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30" w:rsidRDefault="00204730" w:rsidP="0020473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6836471" r:id="rId9"/>
        </w:object>
      </w:r>
      <w:r>
        <w:t xml:space="preserve"> </w:t>
      </w:r>
      <w:r>
        <w:ptab w:relativeTo="margin" w:alignment="right" w:leader="none"/>
      </w:r>
    </w:p>
    <w:p w:rsidR="00204730" w:rsidRDefault="00204730" w:rsidP="00204730">
      <w:pPr>
        <w:pStyle w:val="Header"/>
      </w:pPr>
    </w:p>
    <w:p w:rsidR="00204730" w:rsidRPr="001E12E2" w:rsidRDefault="00204730" w:rsidP="00204730">
      <w:pPr>
        <w:jc w:val="center"/>
        <w:rPr>
          <w:b/>
        </w:rPr>
      </w:pPr>
      <w:r w:rsidRPr="001E12E2">
        <w:rPr>
          <w:b/>
        </w:rPr>
        <w:t>COUR SUPRÊME DU CANADA</w:t>
      </w:r>
    </w:p>
    <w:p w:rsidR="00204730" w:rsidRDefault="00204730" w:rsidP="0020473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04730" w:rsidRPr="001E12E2" w:rsidTr="000F4F53">
        <w:trPr>
          <w:cantSplit/>
        </w:trPr>
        <w:tc>
          <w:tcPr>
            <w:tcW w:w="6768" w:type="dxa"/>
          </w:tcPr>
          <w:p w:rsidR="00204730" w:rsidRPr="001E12E2" w:rsidRDefault="00204730" w:rsidP="000F4F53">
            <w:r>
              <w:rPr>
                <w:b/>
                <w:smallCaps/>
              </w:rPr>
              <w:t>Référence :</w:t>
            </w:r>
            <w:r w:rsidRPr="001E12E2">
              <w:t xml:space="preserve"> </w:t>
            </w:r>
            <w:r w:rsidRPr="00204730">
              <w:rPr>
                <w:rStyle w:val="SCCAppellantForIndexChar"/>
                <w:rFonts w:eastAsiaTheme="minorHAnsi"/>
                <w:b w:val="0"/>
              </w:rPr>
              <w:t>Penner</w:t>
            </w:r>
            <w:r w:rsidRPr="00114E8D">
              <w:rPr>
                <w:b/>
              </w:rPr>
              <w:t xml:space="preserve"> </w:t>
            </w:r>
            <w:r w:rsidRPr="00114E8D">
              <w:rPr>
                <w:i/>
              </w:rPr>
              <w:t>c.</w:t>
            </w:r>
            <w:r w:rsidRPr="00114E8D">
              <w:t xml:space="preserve"> Niagara </w:t>
            </w:r>
            <w:r w:rsidRPr="00204730">
              <w:rPr>
                <w:b/>
              </w:rPr>
              <w:t>(</w:t>
            </w:r>
            <w:r w:rsidRPr="00204730">
              <w:rPr>
                <w:rStyle w:val="SCCRespondentForIndexChar"/>
                <w:rFonts w:eastAsiaTheme="minorHAnsi"/>
                <w:b w:val="0"/>
              </w:rPr>
              <w:t>Commission</w:t>
            </w:r>
            <w:r w:rsidRPr="00114E8D">
              <w:rPr>
                <w:rStyle w:val="SCCRespondentForIndexChar"/>
                <w:rFonts w:eastAsiaTheme="minorHAnsi"/>
              </w:rPr>
              <w:t xml:space="preserve"> </w:t>
            </w:r>
            <w:r w:rsidRPr="00204730">
              <w:rPr>
                <w:rStyle w:val="SCCRespondentForCitationChar"/>
                <w:rFonts w:eastAsiaTheme="minorHAnsi"/>
                <w:i w:val="0"/>
              </w:rPr>
              <w:t>régionale</w:t>
            </w:r>
            <w:r w:rsidRPr="00114E8D">
              <w:rPr>
                <w:rStyle w:val="SCCRespondentForCitationChar"/>
                <w:rFonts w:eastAsiaTheme="minorHAnsi"/>
                <w:b/>
              </w:rPr>
              <w:t xml:space="preserve"> </w:t>
            </w:r>
            <w:r w:rsidRPr="00204730">
              <w:rPr>
                <w:rStyle w:val="SCCRespondentForIndexChar"/>
                <w:rFonts w:eastAsiaTheme="minorHAnsi"/>
                <w:b w:val="0"/>
              </w:rPr>
              <w:t>de services</w:t>
            </w:r>
            <w:r w:rsidRPr="00114E8D">
              <w:rPr>
                <w:rStyle w:val="SCCRespondentForIndexChar"/>
                <w:rFonts w:eastAsiaTheme="minorHAnsi"/>
              </w:rPr>
              <w:t xml:space="preserve"> </w:t>
            </w:r>
            <w:r w:rsidRPr="00204730">
              <w:rPr>
                <w:rStyle w:val="SCCRespondentForIndexChar"/>
                <w:rFonts w:eastAsiaTheme="minorHAnsi"/>
                <w:b w:val="0"/>
              </w:rPr>
              <w:t>policiers),</w:t>
            </w:r>
            <w:r>
              <w:rPr>
                <w:rStyle w:val="SCCRespondentForIndexChar"/>
                <w:rFonts w:eastAsiaTheme="minorHAnsi"/>
              </w:rPr>
              <w:t xml:space="preserve"> </w:t>
            </w:r>
            <w:r>
              <w:t>2013 CSC 19, [2013] 2 R.C.S. 125</w:t>
            </w:r>
          </w:p>
        </w:tc>
        <w:tc>
          <w:tcPr>
            <w:tcW w:w="2808" w:type="dxa"/>
          </w:tcPr>
          <w:p w:rsidR="00204730" w:rsidRPr="001E12E2" w:rsidRDefault="00204730" w:rsidP="000F4F53">
            <w:r w:rsidRPr="001E12E2">
              <w:rPr>
                <w:b/>
                <w:smallCaps/>
              </w:rPr>
              <w:t>Date</w:t>
            </w:r>
            <w:r>
              <w:rPr>
                <w:b/>
                <w:smallCaps/>
              </w:rPr>
              <w:t> :</w:t>
            </w:r>
            <w:r w:rsidRPr="001E12E2">
              <w:t xml:space="preserve"> </w:t>
            </w:r>
            <w:r>
              <w:t>20130405</w:t>
            </w:r>
          </w:p>
          <w:p w:rsidR="00204730" w:rsidRPr="001E12E2" w:rsidRDefault="00204730" w:rsidP="000F4F53">
            <w:r w:rsidRPr="001E12E2">
              <w:rPr>
                <w:b/>
                <w:smallCaps/>
              </w:rPr>
              <w:t>Do</w:t>
            </w:r>
            <w:r>
              <w:rPr>
                <w:b/>
                <w:smallCaps/>
              </w:rPr>
              <w:t>ssier :</w:t>
            </w:r>
            <w:r w:rsidRPr="001E12E2">
              <w:t xml:space="preserve"> </w:t>
            </w:r>
            <w:r>
              <w:t>33959</w:t>
            </w:r>
          </w:p>
        </w:tc>
      </w:tr>
    </w:tbl>
    <w:p w:rsidR="00204730" w:rsidRPr="001E12E2" w:rsidRDefault="00204730" w:rsidP="00204730"/>
    <w:p w:rsidR="00204730" w:rsidRDefault="00204730" w:rsidP="00204730">
      <w:pPr>
        <w:pStyle w:val="SCCLsocPrefix"/>
      </w:pPr>
      <w:r>
        <w:t>Entre :</w:t>
      </w:r>
    </w:p>
    <w:p w:rsidR="00204730" w:rsidRDefault="00204730" w:rsidP="00204730">
      <w:pPr>
        <w:pStyle w:val="SCCLsocParty"/>
        <w:jc w:val="center"/>
      </w:pPr>
      <w:r>
        <w:t>Wayne Penner</w:t>
      </w:r>
    </w:p>
    <w:p w:rsidR="00204730" w:rsidRDefault="00204730" w:rsidP="00204730">
      <w:pPr>
        <w:pStyle w:val="SCCLsocPartyRole"/>
        <w:jc w:val="center"/>
      </w:pPr>
      <w:r>
        <w:t>Appelant</w:t>
      </w:r>
    </w:p>
    <w:p w:rsidR="00204730" w:rsidRDefault="00204730" w:rsidP="00204730">
      <w:pPr>
        <w:pStyle w:val="SCCLsocVersus"/>
        <w:jc w:val="center"/>
      </w:pPr>
      <w:r>
        <w:t>et</w:t>
      </w:r>
    </w:p>
    <w:p w:rsidR="00204730" w:rsidRDefault="00204730" w:rsidP="00204730">
      <w:pPr>
        <w:pStyle w:val="SCCLsocParty"/>
        <w:jc w:val="center"/>
      </w:pPr>
      <w:r>
        <w:t>Commission régionale de services policiers de la municipalité régionale de Niagara, Gary E. Nicholls, Nathan Parker, Paul Koscinski et Roy Federkow</w:t>
      </w:r>
    </w:p>
    <w:p w:rsidR="00204730" w:rsidRDefault="00204730" w:rsidP="00204730">
      <w:pPr>
        <w:pStyle w:val="SCCLsocPartyRole"/>
        <w:jc w:val="center"/>
      </w:pPr>
      <w:r>
        <w:t>Intimés</w:t>
      </w:r>
    </w:p>
    <w:p w:rsidR="00204730" w:rsidRDefault="00204730" w:rsidP="00204730">
      <w:pPr>
        <w:pStyle w:val="SCCLsocOtherPartySeparator"/>
        <w:jc w:val="center"/>
      </w:pPr>
      <w:r>
        <w:t>- et -</w:t>
      </w:r>
    </w:p>
    <w:p w:rsidR="00204730" w:rsidRDefault="00204730" w:rsidP="00204730">
      <w:pPr>
        <w:pStyle w:val="SCCLsocParty"/>
        <w:jc w:val="center"/>
      </w:pPr>
      <w:r>
        <w:t>Procureur général de l’Ontario, Alliance urbaine sur les relations interraciales, Criminal Lawyers’ Association (Ontario), Association des libertés civiles de la Colombie-Britannique, Association canadienne des policiers et Association canadienne</w:t>
      </w:r>
    </w:p>
    <w:p w:rsidR="00204730" w:rsidRDefault="00204730" w:rsidP="00204730">
      <w:pPr>
        <w:pStyle w:val="SCCLsocParty"/>
        <w:jc w:val="center"/>
      </w:pPr>
      <w:r>
        <w:t>des libertés civiles</w:t>
      </w:r>
    </w:p>
    <w:p w:rsidR="00204730" w:rsidRDefault="00204730" w:rsidP="00204730">
      <w:pPr>
        <w:pStyle w:val="SCCLsocPartyRole"/>
        <w:jc w:val="center"/>
      </w:pPr>
      <w:r>
        <w:t>Intervenants</w:t>
      </w:r>
    </w:p>
    <w:p w:rsidR="00204730" w:rsidRDefault="00204730" w:rsidP="00204730"/>
    <w:p w:rsidR="00204730" w:rsidRPr="001E12E2" w:rsidRDefault="00204730" w:rsidP="00204730">
      <w:pPr>
        <w:jc w:val="center"/>
        <w:rPr>
          <w:b/>
          <w:smallCaps/>
        </w:rPr>
      </w:pPr>
      <w:r>
        <w:rPr>
          <w:b/>
          <w:smallCaps/>
        </w:rPr>
        <w:t>Traduction française o</w:t>
      </w:r>
      <w:r w:rsidRPr="001E12E2">
        <w:rPr>
          <w:b/>
          <w:smallCaps/>
        </w:rPr>
        <w:t>ffici</w:t>
      </w:r>
      <w:r>
        <w:rPr>
          <w:b/>
          <w:smallCaps/>
        </w:rPr>
        <w:t>elle</w:t>
      </w:r>
    </w:p>
    <w:p w:rsidR="00204730" w:rsidRPr="001E12E2" w:rsidRDefault="00204730" w:rsidP="00204730"/>
    <w:p w:rsidR="00204730" w:rsidRPr="001E12E2" w:rsidRDefault="00204730" w:rsidP="00204730">
      <w:r w:rsidRPr="001E12E2">
        <w:rPr>
          <w:b/>
          <w:smallCaps/>
        </w:rPr>
        <w:t>Coram</w:t>
      </w:r>
      <w:r>
        <w:rPr>
          <w:b/>
          <w:smallCaps/>
        </w:rPr>
        <w:t> :</w:t>
      </w:r>
      <w:r w:rsidRPr="001E12E2">
        <w:t xml:space="preserve"> </w:t>
      </w:r>
      <w:r>
        <w:t>La juge en chef McLachlin et les juges LeBel, Fish, Abella, Rothstein, Cromwell et Karakatsanis</w:t>
      </w:r>
    </w:p>
    <w:p w:rsidR="00204730" w:rsidRPr="001E12E2" w:rsidRDefault="00204730" w:rsidP="002047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04730" w:rsidRPr="001E12E2" w:rsidTr="000F4F53">
        <w:trPr>
          <w:cantSplit/>
        </w:trPr>
        <w:tc>
          <w:tcPr>
            <w:tcW w:w="3618" w:type="dxa"/>
          </w:tcPr>
          <w:p w:rsidR="00204730" w:rsidRDefault="00204730" w:rsidP="000F4F53">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204730" w:rsidRPr="00A669D5" w:rsidRDefault="00204730" w:rsidP="000F4F53">
            <w:r w:rsidRPr="00A669D5">
              <w:t xml:space="preserve">(par. 1 à </w:t>
            </w:r>
            <w:r w:rsidRPr="00566326">
              <w:t>72</w:t>
            </w:r>
            <w:r w:rsidRPr="00A669D5">
              <w:t>)</w:t>
            </w:r>
          </w:p>
          <w:p w:rsidR="00204730" w:rsidRPr="00A669D5" w:rsidRDefault="00204730" w:rsidP="000F4F53"/>
          <w:p w:rsidR="00204730" w:rsidRDefault="00204730" w:rsidP="000F4F53">
            <w:r>
              <w:rPr>
                <w:b/>
                <w:smallCaps/>
              </w:rPr>
              <w:t>Motifs dissidents:</w:t>
            </w:r>
            <w:r>
              <w:t xml:space="preserve"> </w:t>
            </w:r>
          </w:p>
          <w:p w:rsidR="00204730" w:rsidRPr="001E12E2" w:rsidRDefault="00204730" w:rsidP="000F4F53">
            <w:r>
              <w:t xml:space="preserve">(par. </w:t>
            </w:r>
            <w:r w:rsidRPr="00566326">
              <w:t>73 à 127</w:t>
            </w:r>
            <w:r>
              <w:t>)</w:t>
            </w:r>
          </w:p>
        </w:tc>
        <w:tc>
          <w:tcPr>
            <w:tcW w:w="5958" w:type="dxa"/>
          </w:tcPr>
          <w:p w:rsidR="00204730" w:rsidRDefault="00204730" w:rsidP="000F4F53">
            <w:r>
              <w:t>Les juges Cromwell et Karakatsanis (avec l’accord de la juge en chef McLachlin et du juge Fish)</w:t>
            </w:r>
          </w:p>
          <w:p w:rsidR="00204730" w:rsidRDefault="00204730" w:rsidP="000F4F53"/>
          <w:p w:rsidR="00204730" w:rsidRPr="001E12E2" w:rsidRDefault="00204730" w:rsidP="000F4F53">
            <w:r>
              <w:t>Les juges LeBel et Abella (avec l’accord du juge Rothstein)</w:t>
            </w:r>
          </w:p>
        </w:tc>
      </w:tr>
    </w:tbl>
    <w:p w:rsidR="00204730" w:rsidRDefault="00204730" w:rsidP="00204730"/>
    <w:p w:rsidR="00204730" w:rsidRPr="001E12E2" w:rsidRDefault="00204730" w:rsidP="00204730"/>
    <w:p w:rsidR="00204730" w:rsidRPr="001E12E2" w:rsidRDefault="00204730" w:rsidP="00204730">
      <w:r>
        <w:rPr>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04730" w:rsidRDefault="00204730">
      <w:r>
        <w:br w:type="page"/>
      </w:r>
    </w:p>
    <w:p w:rsidR="008322BD" w:rsidRPr="00A04778" w:rsidRDefault="002C0602" w:rsidP="00381F17">
      <w:pPr>
        <w:spacing w:after="720"/>
        <w:jc w:val="both"/>
      </w:pPr>
      <w:r w:rsidRPr="002C0602">
        <w:lastRenderedPageBreak/>
        <w:t xml:space="preserve">Penner </w:t>
      </w:r>
      <w:r w:rsidRPr="002C0602">
        <w:rPr>
          <w:i/>
        </w:rPr>
        <w:t>c.</w:t>
      </w:r>
      <w:r w:rsidRPr="002C0602">
        <w:t xml:space="preserve"> Niagara (Commission régionale de services policiers)</w:t>
      </w:r>
      <w:r>
        <w:t>, 2013 CSC 19, [2013] 2 R.C.S. 125</w:t>
      </w:r>
    </w:p>
    <w:p w:rsidR="000A713E" w:rsidRPr="00A04778" w:rsidRDefault="00420D03" w:rsidP="00381F17">
      <w:pPr>
        <w:pStyle w:val="SCCLsocParty"/>
        <w:tabs>
          <w:tab w:val="right" w:pos="8280"/>
        </w:tabs>
        <w:spacing w:after="720"/>
        <w:rPr>
          <w:b w:val="0"/>
          <w:i/>
        </w:rPr>
      </w:pPr>
      <w:r w:rsidRPr="00A04778">
        <w:t>Wayne Penner</w:t>
      </w:r>
      <w:r w:rsidR="00BA122D" w:rsidRPr="00A04778">
        <w:rPr>
          <w:b w:val="0"/>
        </w:rPr>
        <w:tab/>
      </w:r>
      <w:r w:rsidRPr="00A04778">
        <w:rPr>
          <w:b w:val="0"/>
          <w:i/>
        </w:rPr>
        <w:t>Appelant</w:t>
      </w:r>
    </w:p>
    <w:p w:rsidR="00C259C5" w:rsidRPr="00A04778" w:rsidRDefault="00420D03" w:rsidP="00381F17">
      <w:pPr>
        <w:pStyle w:val="SCCLsocVersus"/>
        <w:spacing w:after="720"/>
      </w:pPr>
      <w:r w:rsidRPr="00A04778">
        <w:t>c.</w:t>
      </w:r>
    </w:p>
    <w:p w:rsidR="00834A19" w:rsidRPr="00A04778" w:rsidRDefault="00420D03">
      <w:pPr>
        <w:pStyle w:val="SCCLsocParty"/>
      </w:pPr>
      <w:r w:rsidRPr="00A04778">
        <w:t xml:space="preserve">Commission </w:t>
      </w:r>
      <w:r w:rsidR="007927BC" w:rsidRPr="00A04778">
        <w:t xml:space="preserve">régionale </w:t>
      </w:r>
      <w:r w:rsidRPr="00A04778">
        <w:t xml:space="preserve">de services policiers de la </w:t>
      </w:r>
    </w:p>
    <w:p w:rsidR="00834A19" w:rsidRPr="00A04778" w:rsidRDefault="00420D03">
      <w:pPr>
        <w:pStyle w:val="SCCLsocParty"/>
      </w:pPr>
      <w:r w:rsidRPr="00A04778">
        <w:t xml:space="preserve">municipalité régionale de Niagara, Gary E. Nicholls, </w:t>
      </w:r>
    </w:p>
    <w:p w:rsidR="000A713E" w:rsidRPr="00A04778" w:rsidRDefault="00420D03" w:rsidP="00381F17">
      <w:pPr>
        <w:pStyle w:val="SCCLsocParty"/>
        <w:tabs>
          <w:tab w:val="right" w:pos="8280"/>
        </w:tabs>
        <w:spacing w:after="720"/>
        <w:rPr>
          <w:b w:val="0"/>
          <w:i/>
          <w:lang w:val="en-US"/>
        </w:rPr>
      </w:pPr>
      <w:r w:rsidRPr="00A04778">
        <w:rPr>
          <w:lang w:val="en-US"/>
        </w:rPr>
        <w:t>Nathan Parker, Paul Koscinski et Roy Federkow</w:t>
      </w:r>
      <w:r w:rsidR="008C6AA9" w:rsidRPr="00A04778">
        <w:rPr>
          <w:b w:val="0"/>
          <w:lang w:val="en-US"/>
        </w:rPr>
        <w:tab/>
      </w:r>
      <w:r w:rsidRPr="00A04778">
        <w:rPr>
          <w:b w:val="0"/>
          <w:i/>
          <w:lang w:val="en-US"/>
        </w:rPr>
        <w:t>Intimés</w:t>
      </w:r>
    </w:p>
    <w:p w:rsidR="000A713E" w:rsidRPr="00A04778" w:rsidRDefault="000A713E" w:rsidP="00381F17">
      <w:pPr>
        <w:pStyle w:val="SCCLsocOtherPartySeparator"/>
        <w:spacing w:after="720"/>
      </w:pPr>
      <w:r w:rsidRPr="00A04778">
        <w:t>e</w:t>
      </w:r>
      <w:r w:rsidR="008C6AA9" w:rsidRPr="00A04778">
        <w:t>t</w:t>
      </w:r>
    </w:p>
    <w:p w:rsidR="000775E5" w:rsidRPr="00A04778" w:rsidRDefault="00C462B6">
      <w:pPr>
        <w:pStyle w:val="SCCLsocParty"/>
      </w:pPr>
      <w:r w:rsidRPr="00A04778">
        <w:t>Procureur général de l</w:t>
      </w:r>
      <w:r w:rsidR="00B0685C">
        <w:t>’</w:t>
      </w:r>
      <w:r w:rsidR="00420D03" w:rsidRPr="00A04778">
        <w:t xml:space="preserve">Ontario, Alliance urbaine sur </w:t>
      </w:r>
    </w:p>
    <w:p w:rsidR="000775E5" w:rsidRPr="00A04778" w:rsidRDefault="00420D03">
      <w:pPr>
        <w:pStyle w:val="SCCLsocParty"/>
      </w:pPr>
      <w:r w:rsidRPr="00A04778">
        <w:t>les relations interraciales, Criminal Lawyers</w:t>
      </w:r>
      <w:r w:rsidR="00B0685C">
        <w:t>’</w:t>
      </w:r>
      <w:r w:rsidRPr="00A04778">
        <w:t xml:space="preserve"> </w:t>
      </w:r>
    </w:p>
    <w:p w:rsidR="000775E5" w:rsidRPr="00A04778" w:rsidRDefault="00420D03">
      <w:pPr>
        <w:pStyle w:val="SCCLsocParty"/>
      </w:pPr>
      <w:r w:rsidRPr="00A04778">
        <w:t xml:space="preserve">Association (Ontario), Association des libertés civiles de </w:t>
      </w:r>
    </w:p>
    <w:p w:rsidR="000775E5" w:rsidRPr="00A04778" w:rsidRDefault="00420D03">
      <w:pPr>
        <w:pStyle w:val="SCCLsocParty"/>
      </w:pPr>
      <w:r w:rsidRPr="00A04778">
        <w:t>la Colombie</w:t>
      </w:r>
      <w:r w:rsidR="001A38E2" w:rsidRPr="00A04778">
        <w:noBreakHyphen/>
      </w:r>
      <w:r w:rsidRPr="00A04778">
        <w:t xml:space="preserve">Britannique, Association canadienne des </w:t>
      </w:r>
    </w:p>
    <w:p w:rsidR="00C259C5" w:rsidRPr="00A04778" w:rsidRDefault="00420D03" w:rsidP="00381F17">
      <w:pPr>
        <w:pStyle w:val="SCCLsocParty"/>
        <w:tabs>
          <w:tab w:val="right" w:pos="8280"/>
        </w:tabs>
        <w:spacing w:after="720"/>
      </w:pPr>
      <w:r w:rsidRPr="00A04778">
        <w:t>policiers</w:t>
      </w:r>
      <w:r w:rsidR="00C462B6" w:rsidRPr="00A04778">
        <w:t xml:space="preserve"> et</w:t>
      </w:r>
      <w:r w:rsidRPr="00A04778">
        <w:t xml:space="preserve"> </w:t>
      </w:r>
      <w:r w:rsidR="00C462B6" w:rsidRPr="00A04778">
        <w:t>Association canadienne des libertés civiles</w:t>
      </w:r>
      <w:r w:rsidR="000775E5" w:rsidRPr="00A04778">
        <w:rPr>
          <w:b w:val="0"/>
        </w:rPr>
        <w:tab/>
      </w:r>
      <w:r w:rsidRPr="00A04778">
        <w:rPr>
          <w:b w:val="0"/>
          <w:i/>
        </w:rPr>
        <w:t>Intervenants</w:t>
      </w:r>
    </w:p>
    <w:p w:rsidR="00426659" w:rsidRPr="00A04778" w:rsidRDefault="0043088E" w:rsidP="00381F17">
      <w:pPr>
        <w:spacing w:after="720"/>
        <w:jc w:val="both"/>
        <w:rPr>
          <w:b/>
        </w:rPr>
      </w:pPr>
      <w:r w:rsidRPr="00A04778">
        <w:rPr>
          <w:b/>
        </w:rPr>
        <w:t>Répertorié</w:t>
      </w:r>
      <w:r w:rsidR="001A38E2" w:rsidRPr="00A04778">
        <w:rPr>
          <w:b/>
        </w:rPr>
        <w:t> :</w:t>
      </w:r>
      <w:r w:rsidR="00C67CA5" w:rsidRPr="00A04778">
        <w:rPr>
          <w:b/>
        </w:rPr>
        <w:t> </w:t>
      </w:r>
      <w:r w:rsidRPr="00DB4D96">
        <w:rPr>
          <w:b/>
        </w:rPr>
        <w:t>Penner</w:t>
      </w:r>
      <w:r w:rsidR="00426659" w:rsidRPr="00A04778">
        <w:rPr>
          <w:b/>
        </w:rPr>
        <w:t xml:space="preserve"> </w:t>
      </w:r>
      <w:r w:rsidR="00645057" w:rsidRPr="00A04778">
        <w:rPr>
          <w:b/>
          <w:i/>
        </w:rPr>
        <w:t>c</w:t>
      </w:r>
      <w:r w:rsidR="00426659" w:rsidRPr="00A04778">
        <w:rPr>
          <w:b/>
          <w:i/>
        </w:rPr>
        <w:t>.</w:t>
      </w:r>
      <w:r w:rsidR="00426659" w:rsidRPr="00A04778">
        <w:rPr>
          <w:b/>
        </w:rPr>
        <w:t xml:space="preserve"> </w:t>
      </w:r>
      <w:r w:rsidR="00525776" w:rsidRPr="00A04778">
        <w:rPr>
          <w:b/>
        </w:rPr>
        <w:t>Niagara (</w:t>
      </w:r>
      <w:r w:rsidR="00BA122D" w:rsidRPr="00DB4D96">
        <w:rPr>
          <w:b/>
        </w:rPr>
        <w:t xml:space="preserve">Commission </w:t>
      </w:r>
      <w:r w:rsidR="007927BC" w:rsidRPr="00934E2B">
        <w:rPr>
          <w:b/>
        </w:rPr>
        <w:t>régionale</w:t>
      </w:r>
      <w:r w:rsidR="007927BC" w:rsidRPr="00DB4D96">
        <w:rPr>
          <w:b/>
          <w:i/>
        </w:rPr>
        <w:t xml:space="preserve"> </w:t>
      </w:r>
      <w:r w:rsidRPr="00DB4D96">
        <w:rPr>
          <w:b/>
        </w:rPr>
        <w:t>de services policier</w:t>
      </w:r>
      <w:r w:rsidR="007F02F2" w:rsidRPr="00DB4D96">
        <w:rPr>
          <w:b/>
        </w:rPr>
        <w:t>s</w:t>
      </w:r>
      <w:r w:rsidR="00525776" w:rsidRPr="00DB4D96">
        <w:rPr>
          <w:b/>
        </w:rPr>
        <w:t>)</w:t>
      </w:r>
    </w:p>
    <w:p w:rsidR="00426659" w:rsidRPr="00A04778" w:rsidRDefault="00C0663B" w:rsidP="00381F17">
      <w:pPr>
        <w:pStyle w:val="SCCSystemYear"/>
        <w:spacing w:after="720"/>
        <w:jc w:val="both"/>
      </w:pPr>
      <w:r w:rsidRPr="00A04778">
        <w:t>201</w:t>
      </w:r>
      <w:r w:rsidR="000775E5" w:rsidRPr="00A04778">
        <w:t>3</w:t>
      </w:r>
      <w:r w:rsidR="00EE0FAF" w:rsidRPr="00A04778">
        <w:t xml:space="preserve"> </w:t>
      </w:r>
      <w:r w:rsidR="00C71F58" w:rsidRPr="00A04778">
        <w:t>C</w:t>
      </w:r>
      <w:r w:rsidR="00213CB5" w:rsidRPr="00A04778">
        <w:t>SC 19</w:t>
      </w:r>
    </w:p>
    <w:p w:rsidR="008322BD" w:rsidRPr="00A04778" w:rsidRDefault="009B57B3" w:rsidP="00381F17">
      <w:pPr>
        <w:spacing w:after="720"/>
        <w:jc w:val="both"/>
      </w:pPr>
      <w:r w:rsidRPr="00A04778">
        <w:t>N</w:t>
      </w:r>
      <w:r w:rsidRPr="00A04778">
        <w:rPr>
          <w:vertAlign w:val="superscript"/>
        </w:rPr>
        <w:t>o</w:t>
      </w:r>
      <w:r w:rsidR="0043088E" w:rsidRPr="00A04778">
        <w:t xml:space="preserve"> du greffe</w:t>
      </w:r>
      <w:r w:rsidR="001A38E2" w:rsidRPr="00A04778">
        <w:t> :</w:t>
      </w:r>
      <w:r w:rsidR="00C67CA5" w:rsidRPr="00A04778">
        <w:t> </w:t>
      </w:r>
      <w:r w:rsidRPr="00A04778">
        <w:t>33959.</w:t>
      </w:r>
    </w:p>
    <w:p w:rsidR="008322BD" w:rsidRPr="00A04778" w:rsidRDefault="00C0663B" w:rsidP="00381F17">
      <w:pPr>
        <w:spacing w:after="720"/>
        <w:jc w:val="both"/>
      </w:pPr>
      <w:r w:rsidRPr="00A04778">
        <w:t>2012</w:t>
      </w:r>
      <w:r w:rsidR="001A38E2" w:rsidRPr="00A04778">
        <w:t> :</w:t>
      </w:r>
      <w:r w:rsidR="00525776" w:rsidRPr="00A04778">
        <w:t> </w:t>
      </w:r>
      <w:r w:rsidR="004E5613" w:rsidRPr="00A04778">
        <w:t>11 </w:t>
      </w:r>
      <w:r w:rsidRPr="00A04778">
        <w:t>janvier</w:t>
      </w:r>
      <w:r w:rsidR="009B57B3" w:rsidRPr="00A04778">
        <w:t xml:space="preserve">; </w:t>
      </w:r>
      <w:r w:rsidR="000775E5" w:rsidRPr="00A04778">
        <w:t>2013</w:t>
      </w:r>
      <w:r w:rsidR="001A38E2" w:rsidRPr="00A04778">
        <w:t> : </w:t>
      </w:r>
      <w:r w:rsidR="006C4FF7" w:rsidRPr="00A04778">
        <w:t>5</w:t>
      </w:r>
      <w:r w:rsidR="001A38E2" w:rsidRPr="00A04778">
        <w:t> </w:t>
      </w:r>
      <w:r w:rsidR="006C4FF7" w:rsidRPr="00A04778">
        <w:t>avril</w:t>
      </w:r>
      <w:r w:rsidR="009B57B3" w:rsidRPr="00A04778">
        <w:t>.</w:t>
      </w:r>
    </w:p>
    <w:p w:rsidR="008322BD" w:rsidRPr="00A04778" w:rsidRDefault="009B57B3" w:rsidP="00381F17">
      <w:pPr>
        <w:spacing w:after="720"/>
        <w:jc w:val="both"/>
      </w:pPr>
      <w:r w:rsidRPr="00A04778">
        <w:t>Pr</w:t>
      </w:r>
      <w:r w:rsidR="0043088E" w:rsidRPr="00A04778">
        <w:t>é</w:t>
      </w:r>
      <w:r w:rsidRPr="00A04778">
        <w:t>sent</w:t>
      </w:r>
      <w:r w:rsidR="008A6558" w:rsidRPr="00A04778">
        <w:t>s</w:t>
      </w:r>
      <w:r w:rsidR="001A38E2" w:rsidRPr="00A04778">
        <w:t> :</w:t>
      </w:r>
      <w:r w:rsidR="00C67CA5" w:rsidRPr="00A04778">
        <w:t> </w:t>
      </w:r>
      <w:r w:rsidRPr="00A04778">
        <w:t>La juge en chef McLachlin et les juges LeBel, Fish, Abella, Rothstein, Cromwell et Karakatsanis.</w:t>
      </w:r>
    </w:p>
    <w:p w:rsidR="008322BD" w:rsidRPr="00A04778" w:rsidRDefault="00AC7437" w:rsidP="00381F17">
      <w:pPr>
        <w:pStyle w:val="SCCLowerCourtNameLowercase"/>
        <w:spacing w:after="720" w:line="240" w:lineRule="auto"/>
      </w:pPr>
      <w:r w:rsidRPr="00A04778">
        <w:lastRenderedPageBreak/>
        <w:t>e</w:t>
      </w:r>
      <w:r w:rsidR="00855307" w:rsidRPr="00A04778">
        <w:t>n</w:t>
      </w:r>
      <w:r w:rsidR="00224FC0" w:rsidRPr="00A04778">
        <w:t xml:space="preserve"> </w:t>
      </w:r>
      <w:r w:rsidR="00855307" w:rsidRPr="00A04778">
        <w:t>appel</w:t>
      </w:r>
      <w:r w:rsidR="00224FC0" w:rsidRPr="00A04778">
        <w:t xml:space="preserve"> </w:t>
      </w:r>
      <w:r w:rsidR="00855307" w:rsidRPr="00A04778">
        <w:t>de</w:t>
      </w:r>
      <w:r w:rsidR="0043088E" w:rsidRPr="00A04778">
        <w:t xml:space="preserve"> </w:t>
      </w:r>
      <w:r w:rsidR="00855307" w:rsidRPr="00A04778">
        <w:t>la</w:t>
      </w:r>
      <w:r w:rsidR="00224FC0" w:rsidRPr="00A04778">
        <w:t xml:space="preserve"> </w:t>
      </w:r>
      <w:r w:rsidR="009B57B3" w:rsidRPr="00A04778">
        <w:t>cour d</w:t>
      </w:r>
      <w:r w:rsidR="00B0685C">
        <w:t>’</w:t>
      </w:r>
      <w:r w:rsidR="009B57B3" w:rsidRPr="00A04778">
        <w:t>appel de l</w:t>
      </w:r>
      <w:r w:rsidR="00B0685C">
        <w:t>’</w:t>
      </w:r>
      <w:r w:rsidR="009B57B3" w:rsidRPr="00A04778">
        <w:t>ontario</w:t>
      </w:r>
    </w:p>
    <w:p w:rsidR="00D5020D" w:rsidRPr="00A04778" w:rsidRDefault="009B57B3" w:rsidP="001A38E2">
      <w:pPr>
        <w:pStyle w:val="SCCNormalDoubleSpacing"/>
        <w:tabs>
          <w:tab w:val="clear" w:pos="1168"/>
          <w:tab w:val="left" w:pos="1170"/>
        </w:tabs>
        <w:spacing w:after="480"/>
        <w:rPr>
          <w:i/>
        </w:rPr>
      </w:pPr>
      <w:r w:rsidRPr="00A04778">
        <w:tab/>
      </w:r>
      <w:r w:rsidR="00D5020D" w:rsidRPr="00A04778">
        <w:rPr>
          <w:i/>
        </w:rPr>
        <w:t xml:space="preserve">Procédure civile </w:t>
      </w:r>
      <w:r w:rsidR="001A38E2" w:rsidRPr="00A04778">
        <w:rPr>
          <w:i/>
        </w:rPr>
        <w:t xml:space="preserve">— </w:t>
      </w:r>
      <w:r w:rsidR="00D5020D" w:rsidRPr="00A04778">
        <w:rPr>
          <w:i/>
        </w:rPr>
        <w:t>Préclusion découlant d</w:t>
      </w:r>
      <w:r w:rsidR="00B0685C">
        <w:rPr>
          <w:i/>
        </w:rPr>
        <w:t>’</w:t>
      </w:r>
      <w:r w:rsidR="00D5020D" w:rsidRPr="00A04778">
        <w:rPr>
          <w:i/>
        </w:rPr>
        <w:t xml:space="preserve">une question déjà tranchée </w:t>
      </w:r>
      <w:r w:rsidR="001A38E2" w:rsidRPr="00A04778">
        <w:rPr>
          <w:i/>
        </w:rPr>
        <w:t xml:space="preserve">— </w:t>
      </w:r>
      <w:r w:rsidR="00D5020D" w:rsidRPr="00A04778">
        <w:rPr>
          <w:i/>
        </w:rPr>
        <w:t xml:space="preserve">Droit administratif </w:t>
      </w:r>
      <w:r w:rsidR="001A38E2" w:rsidRPr="00A04778">
        <w:rPr>
          <w:i/>
        </w:rPr>
        <w:t xml:space="preserve">— </w:t>
      </w:r>
      <w:r w:rsidR="00D5020D" w:rsidRPr="00A04778">
        <w:rPr>
          <w:i/>
        </w:rPr>
        <w:t xml:space="preserve">Procédures disciplinaires </w:t>
      </w:r>
      <w:r w:rsidR="009957E5" w:rsidRPr="00A04778">
        <w:rPr>
          <w:i/>
        </w:rPr>
        <w:t>relatives à</w:t>
      </w:r>
      <w:r w:rsidR="00D5020D" w:rsidRPr="00A04778">
        <w:rPr>
          <w:i/>
        </w:rPr>
        <w:t xml:space="preserve"> la police </w:t>
      </w:r>
      <w:r w:rsidR="001A38E2" w:rsidRPr="00A04778">
        <w:rPr>
          <w:i/>
        </w:rPr>
        <w:t xml:space="preserve">— </w:t>
      </w:r>
      <w:r w:rsidR="00D5020D" w:rsidRPr="00A04778">
        <w:rPr>
          <w:i/>
        </w:rPr>
        <w:t xml:space="preserve">Plainte </w:t>
      </w:r>
      <w:r w:rsidR="00AE182F" w:rsidRPr="00A04778">
        <w:rPr>
          <w:i/>
        </w:rPr>
        <w:t xml:space="preserve">alléguant </w:t>
      </w:r>
      <w:r w:rsidR="00D5020D" w:rsidRPr="00A04778">
        <w:rPr>
          <w:i/>
        </w:rPr>
        <w:t>l</w:t>
      </w:r>
      <w:r w:rsidR="00B0685C">
        <w:rPr>
          <w:i/>
        </w:rPr>
        <w:t>’</w:t>
      </w:r>
      <w:r w:rsidR="00D5020D" w:rsidRPr="00A04778">
        <w:rPr>
          <w:i/>
        </w:rPr>
        <w:t xml:space="preserve">inconduite policière déposée en vertu de la Loi sur les services policiers, L.R.O. 1990, </w:t>
      </w:r>
      <w:r w:rsidR="001A38E2" w:rsidRPr="00A04778">
        <w:rPr>
          <w:i/>
        </w:rPr>
        <w:t>ch. </w:t>
      </w:r>
      <w:r w:rsidR="00D5020D" w:rsidRPr="00A04778">
        <w:rPr>
          <w:i/>
        </w:rPr>
        <w:t>P.15</w:t>
      </w:r>
      <w:r w:rsidR="00D5020D" w:rsidRPr="00A04778">
        <w:t xml:space="preserve"> </w:t>
      </w:r>
      <w:r w:rsidR="00D5020D" w:rsidRPr="00A04778">
        <w:rPr>
          <w:i/>
        </w:rPr>
        <w:t xml:space="preserve">(« LSP ») </w:t>
      </w:r>
      <w:r w:rsidR="001A38E2" w:rsidRPr="00A04778">
        <w:rPr>
          <w:i/>
        </w:rPr>
        <w:t xml:space="preserve">— </w:t>
      </w:r>
      <w:r w:rsidR="00D5020D" w:rsidRPr="00A04778">
        <w:rPr>
          <w:i/>
        </w:rPr>
        <w:t>Action civile en réclamation de dommages</w:t>
      </w:r>
      <w:r w:rsidR="001A38E2" w:rsidRPr="00A04778">
        <w:rPr>
          <w:i/>
        </w:rPr>
        <w:noBreakHyphen/>
      </w:r>
      <w:r w:rsidR="00D5020D" w:rsidRPr="00A04778">
        <w:rPr>
          <w:i/>
        </w:rPr>
        <w:t>intérêts aussi intentée relativement au m</w:t>
      </w:r>
      <w:r w:rsidR="009957E5" w:rsidRPr="00A04778">
        <w:rPr>
          <w:i/>
        </w:rPr>
        <w:t>ê</w:t>
      </w:r>
      <w:r w:rsidR="00D5020D" w:rsidRPr="00A04778">
        <w:rPr>
          <w:i/>
        </w:rPr>
        <w:t xml:space="preserve">me incident </w:t>
      </w:r>
      <w:r w:rsidR="001A38E2" w:rsidRPr="00A04778">
        <w:rPr>
          <w:i/>
        </w:rPr>
        <w:t xml:space="preserve">— </w:t>
      </w:r>
      <w:r w:rsidR="00D5020D" w:rsidRPr="00A04778">
        <w:rPr>
          <w:i/>
        </w:rPr>
        <w:t>Agent d</w:t>
      </w:r>
      <w:r w:rsidR="00B0685C">
        <w:rPr>
          <w:i/>
        </w:rPr>
        <w:t>’</w:t>
      </w:r>
      <w:r w:rsidR="00D5020D" w:rsidRPr="00A04778">
        <w:rPr>
          <w:i/>
        </w:rPr>
        <w:t>audience nommé en application de la LSP conclut à l</w:t>
      </w:r>
      <w:r w:rsidR="00B0685C">
        <w:rPr>
          <w:i/>
        </w:rPr>
        <w:t>’</w:t>
      </w:r>
      <w:r w:rsidR="00D5020D" w:rsidRPr="00A04778">
        <w:rPr>
          <w:i/>
        </w:rPr>
        <w:t>absence d</w:t>
      </w:r>
      <w:r w:rsidR="00B0685C">
        <w:rPr>
          <w:i/>
        </w:rPr>
        <w:t>’</w:t>
      </w:r>
      <w:r w:rsidR="00D5020D" w:rsidRPr="00A04778">
        <w:rPr>
          <w:i/>
        </w:rPr>
        <w:t xml:space="preserve">inconduite et rejette la plainte </w:t>
      </w:r>
      <w:r w:rsidR="001A38E2" w:rsidRPr="00A04778">
        <w:rPr>
          <w:i/>
        </w:rPr>
        <w:t xml:space="preserve">— </w:t>
      </w:r>
      <w:r w:rsidR="009957E5" w:rsidRPr="00A04778">
        <w:rPr>
          <w:i/>
        </w:rPr>
        <w:t>Exercice par le j</w:t>
      </w:r>
      <w:r w:rsidR="00D5020D" w:rsidRPr="00A04778">
        <w:rPr>
          <w:i/>
        </w:rPr>
        <w:t xml:space="preserve">uge des motions et </w:t>
      </w:r>
      <w:r w:rsidR="009957E5" w:rsidRPr="00A04778">
        <w:rPr>
          <w:i/>
        </w:rPr>
        <w:t xml:space="preserve">par la </w:t>
      </w:r>
      <w:r w:rsidR="00D5020D" w:rsidRPr="00A04778">
        <w:rPr>
          <w:i/>
        </w:rPr>
        <w:t>Cour d</w:t>
      </w:r>
      <w:r w:rsidR="00B0685C">
        <w:rPr>
          <w:i/>
        </w:rPr>
        <w:t>’</w:t>
      </w:r>
      <w:r w:rsidR="00D5020D" w:rsidRPr="00A04778">
        <w:rPr>
          <w:i/>
        </w:rPr>
        <w:t xml:space="preserve">appel </w:t>
      </w:r>
      <w:r w:rsidR="009957E5" w:rsidRPr="00A04778">
        <w:rPr>
          <w:i/>
        </w:rPr>
        <w:t>de</w:t>
      </w:r>
      <w:r w:rsidR="00D5020D" w:rsidRPr="00A04778">
        <w:rPr>
          <w:i/>
        </w:rPr>
        <w:t xml:space="preserve"> leur pouvoir discrétionnaire d</w:t>
      </w:r>
      <w:r w:rsidR="00B0685C">
        <w:rPr>
          <w:i/>
        </w:rPr>
        <w:t>’</w:t>
      </w:r>
      <w:r w:rsidR="00D5020D" w:rsidRPr="00A04778">
        <w:rPr>
          <w:i/>
        </w:rPr>
        <w:t>appliquer la préclusion découlant d</w:t>
      </w:r>
      <w:r w:rsidR="00B0685C">
        <w:rPr>
          <w:i/>
        </w:rPr>
        <w:t>’</w:t>
      </w:r>
      <w:r w:rsidR="00D5020D" w:rsidRPr="00A04778">
        <w:rPr>
          <w:i/>
        </w:rPr>
        <w:t>une question déjà tranchée</w:t>
      </w:r>
      <w:r w:rsidR="00F64D38" w:rsidRPr="00A04778">
        <w:rPr>
          <w:i/>
        </w:rPr>
        <w:t xml:space="preserve"> pour </w:t>
      </w:r>
      <w:r w:rsidR="00A35F54" w:rsidRPr="00A04778">
        <w:rPr>
          <w:i/>
        </w:rPr>
        <w:t xml:space="preserve">bloquer </w:t>
      </w:r>
      <w:r w:rsidR="009957E5" w:rsidRPr="00A04778">
        <w:rPr>
          <w:i/>
        </w:rPr>
        <w:t>les demandes</w:t>
      </w:r>
      <w:r w:rsidR="00A35F54" w:rsidRPr="00A04778">
        <w:rPr>
          <w:i/>
        </w:rPr>
        <w:t xml:space="preserve"> civile</w:t>
      </w:r>
      <w:r w:rsidR="009957E5" w:rsidRPr="00A04778">
        <w:rPr>
          <w:i/>
        </w:rPr>
        <w:t>s</w:t>
      </w:r>
      <w:r w:rsidR="00A35F54" w:rsidRPr="00A04778">
        <w:rPr>
          <w:i/>
        </w:rPr>
        <w:t xml:space="preserve"> compte tenu de la décision de l</w:t>
      </w:r>
      <w:r w:rsidR="00B0685C">
        <w:rPr>
          <w:i/>
        </w:rPr>
        <w:t>’</w:t>
      </w:r>
      <w:r w:rsidR="00A35F54" w:rsidRPr="00A04778">
        <w:rPr>
          <w:i/>
        </w:rPr>
        <w:t>agent d</w:t>
      </w:r>
      <w:r w:rsidR="00B0685C">
        <w:rPr>
          <w:i/>
        </w:rPr>
        <w:t>’</w:t>
      </w:r>
      <w:r w:rsidR="00A35F54" w:rsidRPr="00A04778">
        <w:rPr>
          <w:i/>
        </w:rPr>
        <w:t xml:space="preserve">audience </w:t>
      </w:r>
      <w:r w:rsidR="001A38E2" w:rsidRPr="00A04778">
        <w:rPr>
          <w:i/>
        </w:rPr>
        <w:t xml:space="preserve">— </w:t>
      </w:r>
      <w:r w:rsidR="00A35F54" w:rsidRPr="00A04778">
        <w:rPr>
          <w:i/>
        </w:rPr>
        <w:t>Faudrait</w:t>
      </w:r>
      <w:r w:rsidR="001A38E2" w:rsidRPr="00A04778">
        <w:rPr>
          <w:i/>
        </w:rPr>
        <w:noBreakHyphen/>
      </w:r>
      <w:r w:rsidR="00A35F54" w:rsidRPr="00A04778">
        <w:rPr>
          <w:i/>
        </w:rPr>
        <w:t>il créer une règle d</w:t>
      </w:r>
      <w:r w:rsidR="00B0685C">
        <w:rPr>
          <w:i/>
        </w:rPr>
        <w:t>’</w:t>
      </w:r>
      <w:r w:rsidR="00A35F54" w:rsidRPr="00A04778">
        <w:rPr>
          <w:i/>
        </w:rPr>
        <w:t>intérêt public pour empêcher l</w:t>
      </w:r>
      <w:r w:rsidR="00B0685C">
        <w:rPr>
          <w:i/>
        </w:rPr>
        <w:t>’</w:t>
      </w:r>
      <w:r w:rsidR="00A35F54" w:rsidRPr="00A04778">
        <w:rPr>
          <w:i/>
        </w:rPr>
        <w:t>application de la préclusion découlant d</w:t>
      </w:r>
      <w:r w:rsidR="00B0685C">
        <w:rPr>
          <w:i/>
        </w:rPr>
        <w:t>’</w:t>
      </w:r>
      <w:r w:rsidR="00A35F54" w:rsidRPr="00A04778">
        <w:rPr>
          <w:i/>
        </w:rPr>
        <w:t>une question déjà tranchée relativement aux décision</w:t>
      </w:r>
      <w:r w:rsidR="001A38E2" w:rsidRPr="00A04778">
        <w:rPr>
          <w:i/>
        </w:rPr>
        <w:t xml:space="preserve">s disciplinaires </w:t>
      </w:r>
      <w:r w:rsidR="009957E5" w:rsidRPr="00A04778">
        <w:rPr>
          <w:i/>
        </w:rPr>
        <w:t>relatives à</w:t>
      </w:r>
      <w:r w:rsidR="001A38E2" w:rsidRPr="00A04778">
        <w:rPr>
          <w:i/>
        </w:rPr>
        <w:t xml:space="preserve"> la police</w:t>
      </w:r>
      <w:r w:rsidR="00A35F54" w:rsidRPr="00A04778">
        <w:rPr>
          <w:i/>
        </w:rPr>
        <w:t xml:space="preserve">? </w:t>
      </w:r>
      <w:r w:rsidR="001A38E2" w:rsidRPr="00A04778">
        <w:rPr>
          <w:i/>
        </w:rPr>
        <w:t xml:space="preserve">— </w:t>
      </w:r>
      <w:r w:rsidR="00A35F54" w:rsidRPr="00A04778">
        <w:rPr>
          <w:i/>
        </w:rPr>
        <w:t>L</w:t>
      </w:r>
      <w:r w:rsidR="00B0685C">
        <w:rPr>
          <w:i/>
        </w:rPr>
        <w:t>’</w:t>
      </w:r>
      <w:r w:rsidR="00A35F54" w:rsidRPr="00A04778">
        <w:rPr>
          <w:i/>
        </w:rPr>
        <w:t>application de la préclusion découlant d</w:t>
      </w:r>
      <w:r w:rsidR="00B0685C">
        <w:rPr>
          <w:i/>
        </w:rPr>
        <w:t>’</w:t>
      </w:r>
      <w:r w:rsidR="00A35F54" w:rsidRPr="00A04778">
        <w:rPr>
          <w:i/>
        </w:rPr>
        <w:t>une question déjà tranchée entraîne</w:t>
      </w:r>
      <w:r w:rsidR="001A38E2" w:rsidRPr="00A04778">
        <w:rPr>
          <w:i/>
        </w:rPr>
        <w:noBreakHyphen/>
      </w:r>
      <w:r w:rsidR="00A35F54" w:rsidRPr="00A04778">
        <w:rPr>
          <w:i/>
        </w:rPr>
        <w:t>t</w:t>
      </w:r>
      <w:r w:rsidR="001A38E2" w:rsidRPr="00A04778">
        <w:rPr>
          <w:i/>
        </w:rPr>
        <w:noBreakHyphen/>
      </w:r>
      <w:r w:rsidR="00A35F54" w:rsidRPr="00A04778">
        <w:rPr>
          <w:i/>
        </w:rPr>
        <w:t>elle une iniquité en l</w:t>
      </w:r>
      <w:r w:rsidR="00B0685C">
        <w:rPr>
          <w:i/>
        </w:rPr>
        <w:t>’espèce</w:t>
      </w:r>
      <w:r w:rsidR="00A35F54" w:rsidRPr="00A04778">
        <w:rPr>
          <w:i/>
        </w:rPr>
        <w:t>?</w:t>
      </w:r>
      <w:r w:rsidR="00D5020D" w:rsidRPr="00A04778">
        <w:rPr>
          <w:i/>
        </w:rPr>
        <w:t xml:space="preserve"> </w:t>
      </w:r>
    </w:p>
    <w:p w:rsidR="00D5020D" w:rsidRPr="00A04778" w:rsidRDefault="001A38E2" w:rsidP="001A38E2">
      <w:pPr>
        <w:pStyle w:val="SCCNormalDoubleSpacing"/>
        <w:tabs>
          <w:tab w:val="clear" w:pos="1168"/>
          <w:tab w:val="left" w:pos="1170"/>
        </w:tabs>
        <w:spacing w:after="480"/>
      </w:pPr>
      <w:r w:rsidRPr="00A04778">
        <w:tab/>
      </w:r>
      <w:r w:rsidR="009E174C" w:rsidRPr="00A04778">
        <w:t>P a été arrêté parce qu</w:t>
      </w:r>
      <w:r w:rsidR="00B0685C">
        <w:t>’</w:t>
      </w:r>
      <w:r w:rsidR="009E174C" w:rsidRPr="00A04778">
        <w:t>il aurait eu un comportement perturbateur dans une salle d</w:t>
      </w:r>
      <w:r w:rsidR="00B0685C">
        <w:t>’</w:t>
      </w:r>
      <w:r w:rsidR="009E174C" w:rsidRPr="00A04778">
        <w:t>audience en Ontario.  Il a déposé une plainte contre deux agents de police</w:t>
      </w:r>
      <w:r w:rsidR="003C03E8" w:rsidRPr="00A04778">
        <w:t>,</w:t>
      </w:r>
      <w:r w:rsidR="009E174C" w:rsidRPr="00A04778">
        <w:t xml:space="preserve"> en vertu de la </w:t>
      </w:r>
      <w:r w:rsidR="00A54D29">
        <w:rPr>
          <w:i/>
        </w:rPr>
        <w:t xml:space="preserve">Loi sur les services policiers </w:t>
      </w:r>
      <w:r w:rsidR="00A54D29" w:rsidRPr="00A54D29">
        <w:t>(«</w:t>
      </w:r>
      <w:r w:rsidR="00A54D29">
        <w:rPr>
          <w:i/>
        </w:rPr>
        <w:t> LSP »</w:t>
      </w:r>
      <w:r w:rsidR="00A54D29" w:rsidRPr="00A54D29">
        <w:t>)</w:t>
      </w:r>
      <w:r w:rsidR="009957E5" w:rsidRPr="00A04778">
        <w:t>,</w:t>
      </w:r>
      <w:r w:rsidR="009E174C" w:rsidRPr="00A04778">
        <w:t xml:space="preserve"> pour arrestation illégale et usage de force injustifié.  Il a également intenté une action civile </w:t>
      </w:r>
      <w:r w:rsidR="009957E5" w:rsidRPr="00A04778">
        <w:t>en réclamation de</w:t>
      </w:r>
      <w:r w:rsidR="009E174C" w:rsidRPr="00A04778">
        <w:t xml:space="preserve"> dommages</w:t>
      </w:r>
      <w:r w:rsidRPr="00A04778">
        <w:noBreakHyphen/>
      </w:r>
      <w:r w:rsidR="009E174C" w:rsidRPr="00A04778">
        <w:t>intérêts à l</w:t>
      </w:r>
      <w:r w:rsidR="00B0685C">
        <w:t>’</w:t>
      </w:r>
      <w:r w:rsidR="009E174C" w:rsidRPr="00A04778">
        <w:t>égard du même incident.</w:t>
      </w:r>
      <w:r w:rsidR="00D5020D" w:rsidRPr="00A04778">
        <w:t xml:space="preserve">  </w:t>
      </w:r>
      <w:r w:rsidR="009E174C" w:rsidRPr="00A04778">
        <w:t>L</w:t>
      </w:r>
      <w:r w:rsidR="00B0685C">
        <w:t>’</w:t>
      </w:r>
      <w:r w:rsidR="009E174C" w:rsidRPr="00A04778">
        <w:t>agent d</w:t>
      </w:r>
      <w:r w:rsidR="00B0685C">
        <w:t>’</w:t>
      </w:r>
      <w:r w:rsidR="009E174C" w:rsidRPr="00A04778">
        <w:t>audience</w:t>
      </w:r>
      <w:r w:rsidR="009957E5" w:rsidRPr="00A04778">
        <w:t>,</w:t>
      </w:r>
      <w:r w:rsidR="009E174C" w:rsidRPr="00A04778">
        <w:t xml:space="preserve"> nommé en vertu de la </w:t>
      </w:r>
      <w:r w:rsidR="009E174C" w:rsidRPr="00176838">
        <w:rPr>
          <w:i/>
        </w:rPr>
        <w:t>LSP</w:t>
      </w:r>
      <w:r w:rsidR="009E174C" w:rsidRPr="00A04778">
        <w:t xml:space="preserve"> par le chef de police</w:t>
      </w:r>
      <w:r w:rsidR="009957E5" w:rsidRPr="00A04778">
        <w:t>,</w:t>
      </w:r>
      <w:r w:rsidR="009E174C" w:rsidRPr="00A04778">
        <w:t xml:space="preserve"> a déclaré les agents de police non coupables d</w:t>
      </w:r>
      <w:r w:rsidR="00B0685C">
        <w:t>’</w:t>
      </w:r>
      <w:r w:rsidR="009E174C" w:rsidRPr="00A04778">
        <w:t xml:space="preserve">inconduite et a rejeté la plainte.  Cette décision a été infirmée en appel par la </w:t>
      </w:r>
      <w:r w:rsidR="009E174C" w:rsidRPr="00A04778">
        <w:lastRenderedPageBreak/>
        <w:t>Commission civile des services policiers de l</w:t>
      </w:r>
      <w:r w:rsidR="00B0685C">
        <w:t>’</w:t>
      </w:r>
      <w:r w:rsidR="009E174C" w:rsidRPr="00A04778">
        <w:t>Ontario qui a jugé l</w:t>
      </w:r>
      <w:r w:rsidR="00B0685C">
        <w:t>’</w:t>
      </w:r>
      <w:r w:rsidR="009E174C" w:rsidRPr="00A04778">
        <w:t>arrestation illégale.</w:t>
      </w:r>
      <w:r w:rsidRPr="00A04778">
        <w:t xml:space="preserve"> </w:t>
      </w:r>
      <w:r w:rsidR="009E174C" w:rsidRPr="00A04778">
        <w:t>Par suite d</w:t>
      </w:r>
      <w:r w:rsidR="00B0685C">
        <w:t>’</w:t>
      </w:r>
      <w:r w:rsidR="009E174C" w:rsidRPr="00A04778">
        <w:t>un appel supplémentaire, la Cour divisionnaire de l</w:t>
      </w:r>
      <w:r w:rsidR="00B0685C">
        <w:t>’</w:t>
      </w:r>
      <w:r w:rsidR="009E174C" w:rsidRPr="00A04778">
        <w:t>Ontario a conclu que les agents étaient légalement autorisés à procéder à l</w:t>
      </w:r>
      <w:r w:rsidR="00B0685C">
        <w:t>’</w:t>
      </w:r>
      <w:r w:rsidR="009E174C" w:rsidRPr="00A04778">
        <w:t>arrestation et a rétabli la décision de l</w:t>
      </w:r>
      <w:r w:rsidR="00B0685C">
        <w:t>’</w:t>
      </w:r>
      <w:r w:rsidR="009E174C" w:rsidRPr="00A04778">
        <w:t>agent d</w:t>
      </w:r>
      <w:r w:rsidR="00B0685C">
        <w:t>’</w:t>
      </w:r>
      <w:r w:rsidR="009E174C" w:rsidRPr="00A04778">
        <w:t>audience.</w:t>
      </w:r>
      <w:r w:rsidRPr="00A04778">
        <w:t xml:space="preserve"> </w:t>
      </w:r>
      <w:r w:rsidR="009E174C" w:rsidRPr="00A04778">
        <w:t xml:space="preserve"> Les policiers intimés ont ensuite eu gain de cause devant la Cour supérieure de justice </w:t>
      </w:r>
      <w:r w:rsidR="006045E7" w:rsidRPr="00A04778">
        <w:t xml:space="preserve">à qui ils demandaient </w:t>
      </w:r>
      <w:r w:rsidR="009957E5" w:rsidRPr="00A04778">
        <w:t>la radiation de</w:t>
      </w:r>
      <w:r w:rsidR="006045E7" w:rsidRPr="00A04778">
        <w:t xml:space="preserve"> plusieurs des demandes de l</w:t>
      </w:r>
      <w:r w:rsidR="00B0685C">
        <w:t>’</w:t>
      </w:r>
      <w:r w:rsidR="006045E7" w:rsidRPr="00A04778">
        <w:t>action civile par application de la préclusion découlant d</w:t>
      </w:r>
      <w:r w:rsidR="00B0685C">
        <w:t>’</w:t>
      </w:r>
      <w:r w:rsidR="006045E7" w:rsidRPr="00A04778">
        <w:t xml:space="preserve">une question déjà </w:t>
      </w:r>
      <w:r w:rsidR="00AE182F" w:rsidRPr="00A04778">
        <w:t>tranchée</w:t>
      </w:r>
      <w:r w:rsidR="006045E7" w:rsidRPr="00A04778">
        <w:t xml:space="preserve">.  </w:t>
      </w:r>
      <w:r w:rsidR="00A02758" w:rsidRPr="00A04778">
        <w:t>Tout en concluant que plusieurs facteurs militaient contre l</w:t>
      </w:r>
      <w:r w:rsidR="00B0685C">
        <w:t>’</w:t>
      </w:r>
      <w:r w:rsidR="00A02758" w:rsidRPr="00A04778">
        <w:t>application de la préclusion découlant d</w:t>
      </w:r>
      <w:r w:rsidR="00B0685C">
        <w:t>’</w:t>
      </w:r>
      <w:r w:rsidR="00A02758" w:rsidRPr="00A04778">
        <w:t>une question déjà tranchée, la Cour d</w:t>
      </w:r>
      <w:r w:rsidR="00B0685C">
        <w:t>’</w:t>
      </w:r>
      <w:r w:rsidR="00A02758" w:rsidRPr="00A04778">
        <w:t>appel de l</w:t>
      </w:r>
      <w:r w:rsidR="00B0685C">
        <w:t>’</w:t>
      </w:r>
      <w:r w:rsidR="00A02758" w:rsidRPr="00A04778">
        <w:t>Ontario a conclu que l</w:t>
      </w:r>
      <w:r w:rsidR="00B0685C">
        <w:t>’</w:t>
      </w:r>
      <w:r w:rsidR="00A02758" w:rsidRPr="00A04778">
        <w:t>application de la doctrine n</w:t>
      </w:r>
      <w:r w:rsidR="00B0685C">
        <w:t>’</w:t>
      </w:r>
      <w:r w:rsidR="00A02758" w:rsidRPr="00A04778">
        <w:t>emporterait pas d</w:t>
      </w:r>
      <w:r w:rsidR="00B0685C">
        <w:t>’</w:t>
      </w:r>
      <w:r w:rsidR="00A02758" w:rsidRPr="00A04778">
        <w:t>injustice en l</w:t>
      </w:r>
      <w:r w:rsidR="00B0685C">
        <w:t>’</w:t>
      </w:r>
      <w:r w:rsidR="00A02758" w:rsidRPr="00A04778">
        <w:t>espèce et a rejeté l</w:t>
      </w:r>
      <w:r w:rsidR="00B0685C">
        <w:t>’</w:t>
      </w:r>
      <w:r w:rsidR="00A02758" w:rsidRPr="00A04778">
        <w:t xml:space="preserve">appel de </w:t>
      </w:r>
      <w:r w:rsidRPr="00A04778">
        <w:t>P. </w:t>
      </w:r>
    </w:p>
    <w:p w:rsidR="00D5020D" w:rsidRPr="00A04778" w:rsidRDefault="00D5020D" w:rsidP="001A38E2">
      <w:pPr>
        <w:pStyle w:val="SCCNormalDoubleSpacing"/>
        <w:tabs>
          <w:tab w:val="clear" w:pos="1168"/>
          <w:tab w:val="left" w:pos="1170"/>
        </w:tabs>
        <w:spacing w:after="480"/>
      </w:pPr>
      <w:r w:rsidRPr="00A04778">
        <w:tab/>
      </w:r>
      <w:r w:rsidR="00A02758" w:rsidRPr="00DB4D96">
        <w:rPr>
          <w:i/>
        </w:rPr>
        <w:t>Arrêt</w:t>
      </w:r>
      <w:r w:rsidRPr="00DB4D96">
        <w:rPr>
          <w:i/>
        </w:rPr>
        <w:t xml:space="preserve"> </w:t>
      </w:r>
      <w:r w:rsidRPr="00A04778">
        <w:t>(</w:t>
      </w:r>
      <w:r w:rsidR="00A02758" w:rsidRPr="00A04778">
        <w:t xml:space="preserve">les juges </w:t>
      </w:r>
      <w:r w:rsidRPr="00A04778">
        <w:t xml:space="preserve">LeBel, Abella </w:t>
      </w:r>
      <w:r w:rsidR="00A02758" w:rsidRPr="00A04778">
        <w:t>et</w:t>
      </w:r>
      <w:r w:rsidRPr="00A04778">
        <w:t xml:space="preserve"> Rothstein</w:t>
      </w:r>
      <w:r w:rsidR="00A02758" w:rsidRPr="00A04778">
        <w:t xml:space="preserve"> sont</w:t>
      </w:r>
      <w:r w:rsidRPr="00A04778">
        <w:t xml:space="preserve"> diss</w:t>
      </w:r>
      <w:r w:rsidR="00A02758" w:rsidRPr="00A04778">
        <w:t>idents</w:t>
      </w:r>
      <w:r w:rsidRPr="00A04778">
        <w:t>)</w:t>
      </w:r>
      <w:r w:rsidR="001A38E2" w:rsidRPr="00A04778">
        <w:t> </w:t>
      </w:r>
      <w:r w:rsidRPr="00176838">
        <w:t xml:space="preserve">: </w:t>
      </w:r>
      <w:r w:rsidR="00A02758" w:rsidRPr="00A04778">
        <w:t xml:space="preserve">Le pourvoi est accueilli. </w:t>
      </w:r>
      <w:r w:rsidRPr="00A04778">
        <w:t xml:space="preserve"> </w:t>
      </w:r>
    </w:p>
    <w:p w:rsidR="00D5020D" w:rsidRPr="00A04778" w:rsidRDefault="00D5020D" w:rsidP="001A38E2">
      <w:pPr>
        <w:pStyle w:val="SCCNormalDoubleSpacing"/>
        <w:tabs>
          <w:tab w:val="clear" w:pos="1168"/>
          <w:tab w:val="left" w:pos="1170"/>
        </w:tabs>
        <w:spacing w:after="480"/>
      </w:pPr>
      <w:r w:rsidRPr="00A04778">
        <w:tab/>
      </w:r>
      <w:r w:rsidR="00A02758" w:rsidRPr="00A04778">
        <w:rPr>
          <w:i/>
        </w:rPr>
        <w:t>La</w:t>
      </w:r>
      <w:r w:rsidRPr="00A04778">
        <w:t xml:space="preserve"> </w:t>
      </w:r>
      <w:r w:rsidR="00A02758" w:rsidRPr="00A04778">
        <w:t xml:space="preserve">juge en chef </w:t>
      </w:r>
      <w:r w:rsidRPr="00A04778">
        <w:t xml:space="preserve">McLachlin </w:t>
      </w:r>
      <w:r w:rsidR="00A02758" w:rsidRPr="00A04778">
        <w:t>et</w:t>
      </w:r>
      <w:r w:rsidRPr="00A04778">
        <w:t xml:space="preserve"> </w:t>
      </w:r>
      <w:r w:rsidR="00A02758" w:rsidRPr="00A04778">
        <w:t xml:space="preserve">les juges </w:t>
      </w:r>
      <w:r w:rsidRPr="00A04778">
        <w:t xml:space="preserve">Fish, </w:t>
      </w:r>
      <w:r w:rsidRPr="00176838">
        <w:t xml:space="preserve">Cromwell </w:t>
      </w:r>
      <w:r w:rsidR="00A02758" w:rsidRPr="00A04778">
        <w:t>et</w:t>
      </w:r>
      <w:r w:rsidRPr="00A04778">
        <w:t xml:space="preserve"> </w:t>
      </w:r>
      <w:r w:rsidRPr="00176838">
        <w:t>Karakatsanis</w:t>
      </w:r>
      <w:r w:rsidR="001A38E2" w:rsidRPr="00A04778">
        <w:t> :</w:t>
      </w:r>
      <w:r w:rsidRPr="00A04778">
        <w:t xml:space="preserve"> </w:t>
      </w:r>
      <w:r w:rsidR="00BE2BB2" w:rsidRPr="00A04778">
        <w:t>Il n</w:t>
      </w:r>
      <w:r w:rsidR="00B0685C">
        <w:t>’</w:t>
      </w:r>
      <w:r w:rsidR="00BE2BB2" w:rsidRPr="00A04778">
        <w:t>est ni nécessaire ni souhaitable de créer une règle d</w:t>
      </w:r>
      <w:r w:rsidR="00B0685C">
        <w:t>’</w:t>
      </w:r>
      <w:r w:rsidR="00BE2BB2" w:rsidRPr="00A04778">
        <w:t>intérêt public qui exclurait de l</w:t>
      </w:r>
      <w:r w:rsidR="00B0685C">
        <w:t>’</w:t>
      </w:r>
      <w:r w:rsidR="00BE2BB2" w:rsidRPr="00A04778">
        <w:t>application de la préclusion découlant d</w:t>
      </w:r>
      <w:r w:rsidR="00B0685C">
        <w:t>’</w:t>
      </w:r>
      <w:r w:rsidR="00BE2BB2" w:rsidRPr="00A04778">
        <w:t>une question déjà tranchée les cas résultant d</w:t>
      </w:r>
      <w:r w:rsidR="00B0685C">
        <w:t>’</w:t>
      </w:r>
      <w:r w:rsidR="00BE2BB2" w:rsidRPr="00A04778">
        <w:t xml:space="preserve">audiences disciplinaires de la police.  </w:t>
      </w:r>
      <w:r w:rsidR="009957E5" w:rsidRPr="00A04778">
        <w:t>La</w:t>
      </w:r>
      <w:r w:rsidR="00BE2BB2" w:rsidRPr="00A04778">
        <w:t xml:space="preserve"> doctrine</w:t>
      </w:r>
      <w:r w:rsidR="009957E5" w:rsidRPr="00A04778">
        <w:t xml:space="preserve"> de la préclusion</w:t>
      </w:r>
      <w:r w:rsidR="00BE2BB2" w:rsidRPr="00A04778">
        <w:t xml:space="preserve"> invite les cours à exercer leur pouvoir discrétionnaire pour éviter l</w:t>
      </w:r>
      <w:r w:rsidR="00B0685C">
        <w:t>’</w:t>
      </w:r>
      <w:r w:rsidR="00BE2BB2" w:rsidRPr="00A04778">
        <w:t>injustice; elle appelle un examen au cas par cas des circonstances pour déterminer s</w:t>
      </w:r>
      <w:r w:rsidR="00B0685C">
        <w:t>’</w:t>
      </w:r>
      <w:r w:rsidR="00BE2BB2" w:rsidRPr="00A04778">
        <w:t>il résulterait une iniquité ou une injustice de son application même si, comme en l</w:t>
      </w:r>
      <w:r w:rsidR="00B0685C">
        <w:t>’</w:t>
      </w:r>
      <w:r w:rsidR="00BE2BB2" w:rsidRPr="00A04778">
        <w:t xml:space="preserve">espèce, les conditions </w:t>
      </w:r>
      <w:r w:rsidR="009957E5" w:rsidRPr="00A04778">
        <w:t xml:space="preserve">de son </w:t>
      </w:r>
      <w:r w:rsidR="00BE2BB2" w:rsidRPr="00A04778">
        <w:t xml:space="preserve">application sont réunies.  </w:t>
      </w:r>
      <w:r w:rsidR="00EE575E" w:rsidRPr="00A04778">
        <w:t>Il n</w:t>
      </w:r>
      <w:r w:rsidR="00B0685C">
        <w:t>’</w:t>
      </w:r>
      <w:r w:rsidR="00EE575E" w:rsidRPr="00A04778">
        <w:t>y a au</w:t>
      </w:r>
      <w:r w:rsidR="00EE575E" w:rsidRPr="00A04778">
        <w:rPr>
          <w:szCs w:val="24"/>
        </w:rPr>
        <w:t>cune raison de s</w:t>
      </w:r>
      <w:r w:rsidR="00B0685C">
        <w:rPr>
          <w:szCs w:val="24"/>
        </w:rPr>
        <w:t>’</w:t>
      </w:r>
      <w:r w:rsidR="00EE575E" w:rsidRPr="00A04778">
        <w:rPr>
          <w:szCs w:val="24"/>
        </w:rPr>
        <w:t xml:space="preserve">écarter de cette approche. </w:t>
      </w:r>
      <w:r w:rsidRPr="00A04778">
        <w:rPr>
          <w:szCs w:val="24"/>
        </w:rPr>
        <w:t xml:space="preserve"> </w:t>
      </w:r>
      <w:r w:rsidR="00EE575E" w:rsidRPr="00A04778">
        <w:rPr>
          <w:szCs w:val="24"/>
        </w:rPr>
        <w:t>Toutefois, d</w:t>
      </w:r>
      <w:r w:rsidR="00EE575E" w:rsidRPr="00A04778">
        <w:t>ans les circonstances de l</w:t>
      </w:r>
      <w:r w:rsidR="00B0685C">
        <w:t>’</w:t>
      </w:r>
      <w:r w:rsidR="00EE575E" w:rsidRPr="00A04778">
        <w:t>espèce, il était injuste envers P d</w:t>
      </w:r>
      <w:r w:rsidR="00B0685C">
        <w:t>’</w:t>
      </w:r>
      <w:r w:rsidR="00EE575E" w:rsidRPr="00A04778">
        <w:t xml:space="preserve">appliquer la </w:t>
      </w:r>
      <w:r w:rsidR="00EE575E" w:rsidRPr="00A04778">
        <w:lastRenderedPageBreak/>
        <w:t>préclusion découlant d</w:t>
      </w:r>
      <w:r w:rsidR="00B0685C">
        <w:t>’</w:t>
      </w:r>
      <w:r w:rsidR="00EE575E" w:rsidRPr="00A04778">
        <w:t xml:space="preserve">une question déjà tranchée pour bloquer son action civile </w:t>
      </w:r>
      <w:r w:rsidR="009957E5" w:rsidRPr="00A04778">
        <w:t>sur le fondement de</w:t>
      </w:r>
      <w:r w:rsidR="00EE575E" w:rsidRPr="00A04778">
        <w:t xml:space="preserve"> la décision de l</w:t>
      </w:r>
      <w:r w:rsidR="00B0685C">
        <w:t>’</w:t>
      </w:r>
      <w:r w:rsidR="00EE575E" w:rsidRPr="00A04778">
        <w:t>agent d</w:t>
      </w:r>
      <w:r w:rsidR="00B0685C">
        <w:t>’</w:t>
      </w:r>
      <w:r w:rsidR="00EE575E" w:rsidRPr="00A04778">
        <w:t xml:space="preserve">audience.  </w:t>
      </w:r>
      <w:r w:rsidR="003C03E8" w:rsidRPr="00A04778">
        <w:t>L</w:t>
      </w:r>
      <w:r w:rsidR="00EE575E" w:rsidRPr="00A04778">
        <w:t>a Cour d</w:t>
      </w:r>
      <w:r w:rsidR="00B0685C">
        <w:t>’</w:t>
      </w:r>
      <w:r w:rsidR="00EE575E" w:rsidRPr="00A04778">
        <w:t>appel a commis une erreur dans son analyse relative aux différences importantes entre les deux instances sur les plans de l</w:t>
      </w:r>
      <w:r w:rsidR="00B0685C">
        <w:t>’</w:t>
      </w:r>
      <w:r w:rsidR="00EE575E" w:rsidRPr="00A04778">
        <w:t>objet et de la portée et elle n</w:t>
      </w:r>
      <w:r w:rsidR="00B0685C">
        <w:t>’</w:t>
      </w:r>
      <w:r w:rsidR="00EE575E" w:rsidRPr="00A04778">
        <w:t>a pas tenu compte des attentes raisonnables des parties relativement à l</w:t>
      </w:r>
      <w:r w:rsidR="00B0685C">
        <w:t>’</w:t>
      </w:r>
      <w:r w:rsidR="00EE575E" w:rsidRPr="00A04778">
        <w:t>incidence des instances sur leurs droits en génér</w:t>
      </w:r>
      <w:r w:rsidR="001A38E2" w:rsidRPr="00A04778">
        <w:t>al. </w:t>
      </w:r>
      <w:r w:rsidR="00EE575E" w:rsidRPr="00A04778">
        <w:t xml:space="preserve"> </w:t>
      </w:r>
      <w:r w:rsidRPr="00A04778">
        <w:t xml:space="preserve"> </w:t>
      </w:r>
    </w:p>
    <w:p w:rsidR="007302B5" w:rsidRPr="00A04778" w:rsidRDefault="00D5020D" w:rsidP="001A38E2">
      <w:pPr>
        <w:pStyle w:val="SCCNormalDoubleSpacing"/>
        <w:tabs>
          <w:tab w:val="clear" w:pos="1168"/>
          <w:tab w:val="left" w:pos="1170"/>
        </w:tabs>
        <w:spacing w:after="480"/>
      </w:pPr>
      <w:r w:rsidRPr="00A04778">
        <w:rPr>
          <w:szCs w:val="24"/>
        </w:rPr>
        <w:tab/>
      </w:r>
      <w:r w:rsidR="00C36AFD" w:rsidRPr="00A04778">
        <w:t>Le cadre juridique qui régit l</w:t>
      </w:r>
      <w:r w:rsidR="00B0685C">
        <w:t>’</w:t>
      </w:r>
      <w:r w:rsidR="00C36AFD" w:rsidRPr="00A04778">
        <w:t>exercice du pouvoir discrétionnaire de ne pas appliquer la préclusion découlant d</w:t>
      </w:r>
      <w:r w:rsidR="00B0685C">
        <w:t>’</w:t>
      </w:r>
      <w:r w:rsidR="00C36AFD" w:rsidRPr="00A04778">
        <w:t xml:space="preserve">une question déjà tranchée est énoncé dans </w:t>
      </w:r>
      <w:r w:rsidR="00C36AFD" w:rsidRPr="00A04778">
        <w:rPr>
          <w:i/>
        </w:rPr>
        <w:t>Danyluk c. Ainsworth Technologies</w:t>
      </w:r>
      <w:r w:rsidR="00176838">
        <w:rPr>
          <w:i/>
        </w:rPr>
        <w:t xml:space="preserve"> Inc.</w:t>
      </w:r>
      <w:r w:rsidR="00C36AFD" w:rsidRPr="00A04778">
        <w:t xml:space="preserve">, </w:t>
      </w:r>
      <w:r w:rsidR="009957E5" w:rsidRPr="00A04778">
        <w:t xml:space="preserve">2001 CSC 44, </w:t>
      </w:r>
      <w:r w:rsidR="00C36AFD" w:rsidRPr="00A04778">
        <w:t>[2001] 2 R.C.S. 460.  Ce cadre n</w:t>
      </w:r>
      <w:r w:rsidR="00B0685C">
        <w:t>’</w:t>
      </w:r>
      <w:r w:rsidR="00C36AFD" w:rsidRPr="00A04778">
        <w:t xml:space="preserve">a pas été supplanté par la jurisprudence subséquente de la Cour.  </w:t>
      </w:r>
      <w:r w:rsidR="00C36AFD" w:rsidRPr="00A04778">
        <w:rPr>
          <w:szCs w:val="24"/>
        </w:rPr>
        <w:t>S</w:t>
      </w:r>
      <w:r w:rsidR="00B0685C">
        <w:rPr>
          <w:szCs w:val="24"/>
        </w:rPr>
        <w:t>’</w:t>
      </w:r>
      <w:r w:rsidR="00C36AFD" w:rsidRPr="00A04778">
        <w:rPr>
          <w:szCs w:val="24"/>
        </w:rPr>
        <w:t>il est vrai que l</w:t>
      </w:r>
      <w:r w:rsidR="00C36AFD" w:rsidRPr="00A04778">
        <w:t>e caractère définitif des décisions est important tant pour les parties que pour le système judiciaire</w:t>
      </w:r>
      <w:r w:rsidRPr="00A04778">
        <w:t xml:space="preserve">, </w:t>
      </w:r>
      <w:r w:rsidR="00C36AFD" w:rsidRPr="00A04778">
        <w:t>l</w:t>
      </w:r>
      <w:r w:rsidR="00B0685C">
        <w:t>’</w:t>
      </w:r>
      <w:r w:rsidR="00C36AFD" w:rsidRPr="00A04778">
        <w:t>application de la préclusion peut tout de même engendrer une iniquité.  Premièrement, l</w:t>
      </w:r>
      <w:r w:rsidR="00B0685C">
        <w:t>’</w:t>
      </w:r>
      <w:r w:rsidR="00C36AFD" w:rsidRPr="00A04778">
        <w:t>instance antérieur</w:t>
      </w:r>
      <w:r w:rsidR="009957E5" w:rsidRPr="00A04778">
        <w:t>e</w:t>
      </w:r>
      <w:r w:rsidR="00C36AFD" w:rsidRPr="00A04778">
        <w:t xml:space="preserve"> a pu être inéquitable.  Deuxièmement, même si l</w:t>
      </w:r>
      <w:r w:rsidR="00B0685C">
        <w:t>’</w:t>
      </w:r>
      <w:r w:rsidR="00C36AFD" w:rsidRPr="00A04778">
        <w:t>instance antérieure s</w:t>
      </w:r>
      <w:r w:rsidR="00B0685C">
        <w:t>’</w:t>
      </w:r>
      <w:r w:rsidR="00C36AFD" w:rsidRPr="00A04778">
        <w:t>est déroulée de manière juste, il pourrait néanmoins se révéler injuste d</w:t>
      </w:r>
      <w:r w:rsidR="00B0685C">
        <w:t>’</w:t>
      </w:r>
      <w:r w:rsidR="00C36AFD" w:rsidRPr="00A04778">
        <w:t xml:space="preserve">opposer </w:t>
      </w:r>
      <w:r w:rsidR="009957E5" w:rsidRPr="00A04778">
        <w:t>l</w:t>
      </w:r>
      <w:r w:rsidR="00B0685C">
        <w:t>’</w:t>
      </w:r>
      <w:r w:rsidR="009957E5" w:rsidRPr="00A04778">
        <w:t xml:space="preserve">issue de </w:t>
      </w:r>
      <w:r w:rsidR="00C36AFD" w:rsidRPr="00A04778">
        <w:t xml:space="preserve">la décision en résultant à toute action ultérieure. </w:t>
      </w:r>
      <w:r w:rsidR="009A72DF" w:rsidRPr="00A04778">
        <w:t xml:space="preserve"> </w:t>
      </w:r>
      <w:r w:rsidR="00AF634F" w:rsidRPr="00A04778">
        <w:t>Par exemple, ce peut être le cas lorsque les objets, la procédure ou les enjeux des deux instances diffèrent grandement.</w:t>
      </w:r>
      <w:r w:rsidR="001A38E2" w:rsidRPr="00A04778">
        <w:t xml:space="preserve"> </w:t>
      </w:r>
      <w:r w:rsidR="00AF634F" w:rsidRPr="00A04778">
        <w:rPr>
          <w:szCs w:val="24"/>
        </w:rPr>
        <w:t xml:space="preserve"> </w:t>
      </w:r>
      <w:r w:rsidR="009957E5" w:rsidRPr="00A04778">
        <w:rPr>
          <w:szCs w:val="24"/>
        </w:rPr>
        <w:t>L</w:t>
      </w:r>
      <w:r w:rsidR="00B57DC1" w:rsidRPr="00A04778">
        <w:t>e libellé et l</w:t>
      </w:r>
      <w:r w:rsidR="00B0685C">
        <w:t>’</w:t>
      </w:r>
      <w:r w:rsidR="00B57DC1" w:rsidRPr="00A04778">
        <w:t>objet du régime législatif définissent les attentes raisonnables des parties quant à la portée et à l</w:t>
      </w:r>
      <w:r w:rsidR="00B0685C">
        <w:t>’</w:t>
      </w:r>
      <w:r w:rsidR="00B57DC1" w:rsidRPr="00A04778">
        <w:t>effet de l</w:t>
      </w:r>
      <w:r w:rsidR="00B0685C">
        <w:t>’</w:t>
      </w:r>
      <w:r w:rsidR="00B57DC1" w:rsidRPr="00A04778">
        <w:t>instance administrative.  Ils définissent le rôle des parties dans le déroulement de l</w:t>
      </w:r>
      <w:r w:rsidR="00B0685C">
        <w:t>’</w:t>
      </w:r>
      <w:r w:rsidR="00B57DC1" w:rsidRPr="00A04778">
        <w:t>instance et l</w:t>
      </w:r>
      <w:r w:rsidR="00B0685C">
        <w:t>’</w:t>
      </w:r>
      <w:r w:rsidR="00B57DC1" w:rsidRPr="00A04778">
        <w:t>étendue de leur apport.  Lorsque le régime législatif prévoit des instances multiples dont les objets sont fort différents, l</w:t>
      </w:r>
      <w:r w:rsidR="00B0685C">
        <w:t>’</w:t>
      </w:r>
      <w:r w:rsidR="00B57DC1" w:rsidRPr="00A04778">
        <w:t xml:space="preserve">application de la doctrine risque non seulement de bouleverser les attentes légitimes et raisonnables des parties, </w:t>
      </w:r>
      <w:r w:rsidR="00B57DC1" w:rsidRPr="00A04778">
        <w:lastRenderedPageBreak/>
        <w:t>mais aussi de nuire à l</w:t>
      </w:r>
      <w:r w:rsidR="00B0685C">
        <w:t>’</w:t>
      </w:r>
      <w:r w:rsidR="00B57DC1" w:rsidRPr="00A04778">
        <w:t>efficacité et aux objectifs d</w:t>
      </w:r>
      <w:r w:rsidR="00B0685C">
        <w:t>’</w:t>
      </w:r>
      <w:r w:rsidR="00B57DC1" w:rsidRPr="00A04778">
        <w:t xml:space="preserve">intérêt général du régime administratif, en favorisant le formalisme et les lenteurs, </w:t>
      </w:r>
      <w:r w:rsidR="009957E5" w:rsidRPr="00A04778">
        <w:t>ou</w:t>
      </w:r>
      <w:r w:rsidR="00B57DC1" w:rsidRPr="00A04778">
        <w:t xml:space="preserve"> en décourageant complètement l</w:t>
      </w:r>
      <w:r w:rsidR="00B0685C">
        <w:t>’</w:t>
      </w:r>
      <w:r w:rsidR="00B57DC1" w:rsidRPr="00A04778">
        <w:t>exercice d</w:t>
      </w:r>
      <w:r w:rsidR="00B0685C">
        <w:t>’</w:t>
      </w:r>
      <w:r w:rsidR="00B57DC1" w:rsidRPr="00A04778">
        <w:t>un recours administratif.</w:t>
      </w:r>
      <w:r w:rsidRPr="00A04778">
        <w:rPr>
          <w:szCs w:val="24"/>
        </w:rPr>
        <w:t xml:space="preserve"> </w:t>
      </w:r>
      <w:r w:rsidR="00B0685C">
        <w:rPr>
          <w:szCs w:val="24"/>
        </w:rPr>
        <w:t xml:space="preserve"> </w:t>
      </w:r>
      <w:r w:rsidR="007302B5" w:rsidRPr="00A04778">
        <w:t>Ces considérations sont également pertinentes pour évaluer les garanties procédurales</w:t>
      </w:r>
      <w:r w:rsidR="009957E5" w:rsidRPr="00A04778">
        <w:t xml:space="preserve"> dont jouissent les parties</w:t>
      </w:r>
      <w:r w:rsidRPr="00A04778">
        <w:t xml:space="preserve">.  </w:t>
      </w:r>
      <w:r w:rsidR="007302B5" w:rsidRPr="00A04778">
        <w:t>La décision d</w:t>
      </w:r>
      <w:r w:rsidR="00B0685C">
        <w:t>’</w:t>
      </w:r>
      <w:r w:rsidR="007302B5" w:rsidRPr="00A04778">
        <w:t>une partie de se prévaloir ou non des garanties procédurales propres à l</w:t>
      </w:r>
      <w:r w:rsidR="00B0685C">
        <w:t>’</w:t>
      </w:r>
      <w:r w:rsidR="007302B5" w:rsidRPr="00A04778">
        <w:t xml:space="preserve">instance antérieure ne saurait être examinée sans que le soient également ses attentes raisonnables quant aux enjeux ou </w:t>
      </w:r>
      <w:r w:rsidR="003C03E8" w:rsidRPr="00A04778">
        <w:t>aux</w:t>
      </w:r>
      <w:r w:rsidR="007302B5" w:rsidRPr="00A04778">
        <w:t xml:space="preserve"> objets fondamentalement différents des deux types d</w:t>
      </w:r>
      <w:r w:rsidR="00B0685C">
        <w:t>’</w:t>
      </w:r>
      <w:r w:rsidR="007302B5" w:rsidRPr="00A04778">
        <w:t>instances.  Il convient d</w:t>
      </w:r>
      <w:r w:rsidR="00B0685C">
        <w:t>’</w:t>
      </w:r>
      <w:r w:rsidR="007302B5" w:rsidRPr="00A04778">
        <w:t>analyser les liens entre les considérations pertinentes à la lumière de l</w:t>
      </w:r>
      <w:r w:rsidR="00B0685C">
        <w:t>’</w:t>
      </w:r>
      <w:r w:rsidR="007302B5" w:rsidRPr="00A04778">
        <w:t>ensemble.</w:t>
      </w:r>
    </w:p>
    <w:p w:rsidR="001E4986" w:rsidRPr="00A04778" w:rsidRDefault="001A38E2" w:rsidP="001A38E2">
      <w:pPr>
        <w:pStyle w:val="SCCNormalDoubleSpacing"/>
        <w:tabs>
          <w:tab w:val="clear" w:pos="1168"/>
          <w:tab w:val="left" w:pos="1170"/>
        </w:tabs>
        <w:spacing w:after="480"/>
      </w:pPr>
      <w:r w:rsidRPr="00A04778">
        <w:rPr>
          <w:szCs w:val="24"/>
        </w:rPr>
        <w:tab/>
      </w:r>
      <w:r w:rsidR="000B62DA" w:rsidRPr="00A04778">
        <w:rPr>
          <w:szCs w:val="24"/>
        </w:rPr>
        <w:t>En l</w:t>
      </w:r>
      <w:r w:rsidR="00B0685C">
        <w:rPr>
          <w:szCs w:val="24"/>
        </w:rPr>
        <w:t>’</w:t>
      </w:r>
      <w:r w:rsidR="000B62DA" w:rsidRPr="00A04778">
        <w:rPr>
          <w:szCs w:val="24"/>
        </w:rPr>
        <w:t xml:space="preserve">espèce, </w:t>
      </w:r>
      <w:r w:rsidR="000B62DA" w:rsidRPr="00A04778">
        <w:t>l</w:t>
      </w:r>
      <w:r w:rsidR="00B0685C">
        <w:t>’</w:t>
      </w:r>
      <w:r w:rsidR="000B62DA" w:rsidRPr="00A04778">
        <w:t>audience disciplinaire était équitable et P a participé utilement au processus.</w:t>
      </w:r>
      <w:r w:rsidR="009A72DF" w:rsidRPr="00A04778">
        <w:t xml:space="preserve"> </w:t>
      </w:r>
      <w:r w:rsidR="00D5020D" w:rsidRPr="00A04778">
        <w:rPr>
          <w:szCs w:val="24"/>
        </w:rPr>
        <w:t xml:space="preserve"> </w:t>
      </w:r>
      <w:r w:rsidR="000B62DA" w:rsidRPr="00A04778">
        <w:t>Toutefois, la Cour d</w:t>
      </w:r>
      <w:r w:rsidR="00B0685C">
        <w:t>’</w:t>
      </w:r>
      <w:r w:rsidR="000B62DA" w:rsidRPr="00A04778">
        <w:t>appel n</w:t>
      </w:r>
      <w:r w:rsidR="00B0685C">
        <w:t>’</w:t>
      </w:r>
      <w:r w:rsidR="000B62DA" w:rsidRPr="00A04778">
        <w:t>a pas analysé de manière exhaustive la question de savoir s</w:t>
      </w:r>
      <w:r w:rsidR="00B0685C">
        <w:t>’</w:t>
      </w:r>
      <w:r w:rsidR="000B62DA" w:rsidRPr="00A04778">
        <w:t>il serait équitable d</w:t>
      </w:r>
      <w:r w:rsidR="00B0685C">
        <w:t>’</w:t>
      </w:r>
      <w:r w:rsidR="000B62DA" w:rsidRPr="00A04778">
        <w:t xml:space="preserve">opposer </w:t>
      </w:r>
      <w:r w:rsidR="009957E5" w:rsidRPr="00A04778">
        <w:t>l</w:t>
      </w:r>
      <w:r w:rsidR="00B0685C">
        <w:t>’</w:t>
      </w:r>
      <w:r w:rsidR="009957E5" w:rsidRPr="00A04778">
        <w:t>issue</w:t>
      </w:r>
      <w:r w:rsidR="000B62DA" w:rsidRPr="00A04778">
        <w:t xml:space="preserve"> de cette procédure à l</w:t>
      </w:r>
      <w:r w:rsidR="00B0685C">
        <w:t>’</w:t>
      </w:r>
      <w:r w:rsidR="000B62DA" w:rsidRPr="00A04778">
        <w:t xml:space="preserve">action civile intentée par </w:t>
      </w:r>
      <w:r w:rsidRPr="00A04778">
        <w:t xml:space="preserve">P. </w:t>
      </w:r>
      <w:r w:rsidR="000B62DA" w:rsidRPr="00A04778">
        <w:t xml:space="preserve"> Le texte législatif ne comporte aucun élément susceptible de donner naissance à une attente raisonnable que l</w:t>
      </w:r>
      <w:r w:rsidR="00B0685C">
        <w:t>’</w:t>
      </w:r>
      <w:r w:rsidR="000B62DA" w:rsidRPr="00A04778">
        <w:t xml:space="preserve">audience disciplinaire </w:t>
      </w:r>
      <w:r w:rsidR="00AE182F" w:rsidRPr="00A04778">
        <w:t>soit</w:t>
      </w:r>
      <w:r w:rsidR="000B62DA" w:rsidRPr="00A04778">
        <w:t xml:space="preserve"> concluante quant aux droits que P pourrait faire valoir dans le cadre d</w:t>
      </w:r>
      <w:r w:rsidR="00B0685C">
        <w:t>’</w:t>
      </w:r>
      <w:r w:rsidR="000B62DA" w:rsidRPr="00A04778">
        <w:t>une action civile</w:t>
      </w:r>
      <w:r w:rsidR="009957E5" w:rsidRPr="00A04778">
        <w:t> :</w:t>
      </w:r>
      <w:r w:rsidR="00D5020D" w:rsidRPr="00A04778">
        <w:t xml:space="preserve"> </w:t>
      </w:r>
      <w:r w:rsidR="00B8359C" w:rsidRPr="00A04778">
        <w:t>les normes de preuve exigée et l</w:t>
      </w:r>
      <w:r w:rsidR="00B0685C">
        <w:t>’</w:t>
      </w:r>
      <w:r w:rsidR="00B8359C" w:rsidRPr="00A04778">
        <w:t>objet des deux différentes procédures sont considérablement différents et, contrairement à l</w:t>
      </w:r>
      <w:r w:rsidR="00B0685C">
        <w:t>’</w:t>
      </w:r>
      <w:r w:rsidR="00B8359C" w:rsidRPr="00A04778">
        <w:t>action civile, le processus disciplinaire ne prévoit ni réparation ni dépens en faveur du plaignant.</w:t>
      </w:r>
      <w:r w:rsidRPr="00A04778">
        <w:t xml:space="preserve"> </w:t>
      </w:r>
      <w:r w:rsidR="00B8359C" w:rsidRPr="00A04778">
        <w:t xml:space="preserve"> </w:t>
      </w:r>
      <w:r w:rsidR="00B8359C" w:rsidRPr="00A04778">
        <w:rPr>
          <w:szCs w:val="24"/>
        </w:rPr>
        <w:t xml:space="preserve">Une autre considération </w:t>
      </w:r>
      <w:r w:rsidR="001E4986" w:rsidRPr="00A04778">
        <w:rPr>
          <w:szCs w:val="24"/>
        </w:rPr>
        <w:t xml:space="preserve">importante </w:t>
      </w:r>
      <w:r w:rsidR="00B8359C" w:rsidRPr="00A04778">
        <w:rPr>
          <w:szCs w:val="24"/>
        </w:rPr>
        <w:t>d</w:t>
      </w:r>
      <w:r w:rsidR="00B0685C">
        <w:rPr>
          <w:szCs w:val="24"/>
        </w:rPr>
        <w:t>’</w:t>
      </w:r>
      <w:r w:rsidR="00B8359C" w:rsidRPr="00A04778">
        <w:rPr>
          <w:szCs w:val="24"/>
        </w:rPr>
        <w:t>intérêt public se soulève en l</w:t>
      </w:r>
      <w:r w:rsidR="00B0685C">
        <w:rPr>
          <w:szCs w:val="24"/>
        </w:rPr>
        <w:t>’</w:t>
      </w:r>
      <w:r w:rsidR="00B8359C" w:rsidRPr="00A04778">
        <w:rPr>
          <w:szCs w:val="24"/>
        </w:rPr>
        <w:t>espèce, à savoir le risque de complexité et de longueur accrues des instances administratives du fait qu</w:t>
      </w:r>
      <w:r w:rsidR="00B0685C">
        <w:rPr>
          <w:szCs w:val="24"/>
        </w:rPr>
        <w:t>’</w:t>
      </w:r>
      <w:r w:rsidR="00B8359C" w:rsidRPr="00A04778">
        <w:rPr>
          <w:szCs w:val="24"/>
        </w:rPr>
        <w:t>une importance excessive soit accordée à leur issue par l</w:t>
      </w:r>
      <w:r w:rsidR="00B0685C">
        <w:rPr>
          <w:szCs w:val="24"/>
        </w:rPr>
        <w:t>’</w:t>
      </w:r>
      <w:r w:rsidR="00B8359C" w:rsidRPr="00A04778">
        <w:t>application de la préclusion découlant d</w:t>
      </w:r>
      <w:r w:rsidR="00B0685C">
        <w:t>’</w:t>
      </w:r>
      <w:r w:rsidR="00B8359C" w:rsidRPr="00A04778">
        <w:t>une question déjà tranchée</w:t>
      </w:r>
      <w:r w:rsidR="00B8359C" w:rsidRPr="00A04778">
        <w:rPr>
          <w:szCs w:val="24"/>
        </w:rPr>
        <w:t>.</w:t>
      </w:r>
      <w:r w:rsidR="00B8359C" w:rsidRPr="00A04778">
        <w:t xml:space="preserve">  </w:t>
      </w:r>
      <w:r w:rsidR="001E4986" w:rsidRPr="00A04778">
        <w:t xml:space="preserve">P aurait pu participer plus </w:t>
      </w:r>
      <w:r w:rsidR="001E4986" w:rsidRPr="00A04778">
        <w:lastRenderedPageBreak/>
        <w:t>pleinement à l</w:t>
      </w:r>
      <w:r w:rsidR="00B0685C">
        <w:t>’</w:t>
      </w:r>
      <w:r w:rsidR="001E4986" w:rsidRPr="00A04778">
        <w:t>audience s</w:t>
      </w:r>
      <w:r w:rsidR="00B0685C">
        <w:t>’</w:t>
      </w:r>
      <w:r w:rsidR="001E4986" w:rsidRPr="00A04778">
        <w:t>il avait retenu les services d</w:t>
      </w:r>
      <w:r w:rsidR="00B0685C">
        <w:t>’</w:t>
      </w:r>
      <w:r w:rsidR="001E4986" w:rsidRPr="00A04778">
        <w:t>un avocat</w:t>
      </w:r>
      <w:r w:rsidR="009957E5" w:rsidRPr="00A04778">
        <w:t>.</w:t>
      </w:r>
      <w:r w:rsidR="00D5020D" w:rsidRPr="00A04778">
        <w:t xml:space="preserve"> </w:t>
      </w:r>
      <w:r w:rsidR="00B0685C">
        <w:t xml:space="preserve"> </w:t>
      </w:r>
      <w:r w:rsidR="009957E5" w:rsidRPr="00A04778">
        <w:t>O</w:t>
      </w:r>
      <w:r w:rsidR="001E4986" w:rsidRPr="00A04778">
        <w:t xml:space="preserve">r, cela aurait signifié également que les agents de police se seraient </w:t>
      </w:r>
      <w:r w:rsidR="00AE182F" w:rsidRPr="00A04778">
        <w:t>vus</w:t>
      </w:r>
      <w:r w:rsidR="001E4986" w:rsidRPr="00A04778">
        <w:t xml:space="preserve"> obligés de comparaître devant deux poursuivants.</w:t>
      </w:r>
      <w:r w:rsidR="00B0685C">
        <w:t xml:space="preserve"> </w:t>
      </w:r>
      <w:r w:rsidR="001E4986" w:rsidRPr="00A04778">
        <w:t xml:space="preserve"> Cela ne favoriserait ni l</w:t>
      </w:r>
      <w:r w:rsidR="00B0685C">
        <w:t>’</w:t>
      </w:r>
      <w:r w:rsidR="001E4986" w:rsidRPr="00A04778">
        <w:t>efficacité de l</w:t>
      </w:r>
      <w:r w:rsidR="00B0685C">
        <w:t>’</w:t>
      </w:r>
      <w:r w:rsidR="001E4986" w:rsidRPr="00A04778">
        <w:t>audience disciplinaire ni l</w:t>
      </w:r>
      <w:r w:rsidR="00B0685C">
        <w:t>’</w:t>
      </w:r>
      <w:r w:rsidR="001E4986" w:rsidRPr="00A04778">
        <w:t xml:space="preserve">équité envers les agents de police.  Enfin, </w:t>
      </w:r>
      <w:r w:rsidR="009957E5" w:rsidRPr="00A04778">
        <w:t>d</w:t>
      </w:r>
      <w:r w:rsidR="001E4986" w:rsidRPr="00A04778">
        <w:t xml:space="preserve">es </w:t>
      </w:r>
      <w:r w:rsidR="001E4986" w:rsidRPr="00A04778">
        <w:rPr>
          <w:szCs w:val="24"/>
        </w:rPr>
        <w:t>plaignants potentiels pourraient s</w:t>
      </w:r>
      <w:r w:rsidR="00B0685C">
        <w:rPr>
          <w:szCs w:val="24"/>
        </w:rPr>
        <w:t>’</w:t>
      </w:r>
      <w:r w:rsidR="001E4986" w:rsidRPr="00A04778">
        <w:rPr>
          <w:szCs w:val="24"/>
        </w:rPr>
        <w:t>abstenir tout simplement de déposer des plaintes pour ne pas compromettre leur action civile.</w:t>
      </w:r>
      <w:r w:rsidRPr="00A04778">
        <w:rPr>
          <w:szCs w:val="24"/>
        </w:rPr>
        <w:t xml:space="preserve"> </w:t>
      </w:r>
      <w:r w:rsidR="001E4986" w:rsidRPr="00A04778">
        <w:rPr>
          <w:szCs w:val="24"/>
        </w:rPr>
        <w:t xml:space="preserve"> </w:t>
      </w:r>
      <w:r w:rsidR="001E4986" w:rsidRPr="00A04778">
        <w:t>Il s</w:t>
      </w:r>
      <w:r w:rsidR="00B0685C">
        <w:t>’</w:t>
      </w:r>
      <w:r w:rsidR="001E4986" w:rsidRPr="00A04778">
        <w:t>agit de considérations importantes dont la Cour d</w:t>
      </w:r>
      <w:r w:rsidR="00B0685C">
        <w:t>’</w:t>
      </w:r>
      <w:r w:rsidR="001E4986" w:rsidRPr="00A04778">
        <w:t>appel n</w:t>
      </w:r>
      <w:r w:rsidR="00B0685C">
        <w:t>’</w:t>
      </w:r>
      <w:r w:rsidR="001E4986" w:rsidRPr="00A04778">
        <w:t>a pas tenu compte lorsqu</w:t>
      </w:r>
      <w:r w:rsidR="00B0685C">
        <w:t>’</w:t>
      </w:r>
      <w:r w:rsidR="001E4986" w:rsidRPr="00A04778">
        <w:t>elle a apprécié les autres facteurs telles la participation de P à titre de partie et les garanties procédurales de l</w:t>
      </w:r>
      <w:r w:rsidR="00B0685C">
        <w:t>’</w:t>
      </w:r>
      <w:r w:rsidR="001E4986" w:rsidRPr="00A04778">
        <w:t>instance administrative.</w:t>
      </w:r>
      <w:r w:rsidR="00D5020D" w:rsidRPr="00A04778">
        <w:t xml:space="preserve"> </w:t>
      </w:r>
      <w:r w:rsidRPr="00A04778">
        <w:t xml:space="preserve"> </w:t>
      </w:r>
      <w:r w:rsidR="001E4986" w:rsidRPr="00A04778">
        <w:t xml:space="preserve">Finalement, </w:t>
      </w:r>
      <w:r w:rsidR="009957E5" w:rsidRPr="00A04778">
        <w:t>l</w:t>
      </w:r>
      <w:r w:rsidR="00B0685C">
        <w:t>’</w:t>
      </w:r>
      <w:r w:rsidR="001E4986" w:rsidRPr="00A04778">
        <w:t>application de la préclusion a eu pour effet d</w:t>
      </w:r>
      <w:r w:rsidR="00B0685C">
        <w:t>’</w:t>
      </w:r>
      <w:r w:rsidR="001E4986" w:rsidRPr="00A04778">
        <w:t>utiliser la décision rendue par le délégué du chef de police pour soustraire le chef de police à l</w:t>
      </w:r>
      <w:r w:rsidR="00B0685C">
        <w:t>’</w:t>
      </w:r>
      <w:r w:rsidR="001E4986" w:rsidRPr="00A04778">
        <w:t>action civile</w:t>
      </w:r>
      <w:r w:rsidR="00AE182F" w:rsidRPr="00A04778">
        <w:t>,</w:t>
      </w:r>
      <w:r w:rsidR="001E4986" w:rsidRPr="00A04778">
        <w:t xml:space="preserve"> ce qui choque gravement les principes fondamentaux d</w:t>
      </w:r>
      <w:r w:rsidR="00B0685C">
        <w:t>’</w:t>
      </w:r>
      <w:r w:rsidR="001E4986" w:rsidRPr="00A04778">
        <w:t>équité.</w:t>
      </w:r>
    </w:p>
    <w:p w:rsidR="0009699B" w:rsidRPr="00A04778" w:rsidRDefault="001A38E2" w:rsidP="001A38E2">
      <w:pPr>
        <w:pStyle w:val="SCCNormalDoubleSpacing"/>
        <w:tabs>
          <w:tab w:val="clear" w:pos="1168"/>
          <w:tab w:val="left" w:pos="1170"/>
        </w:tabs>
        <w:spacing w:after="480"/>
      </w:pPr>
      <w:r w:rsidRPr="00A04778">
        <w:rPr>
          <w:i/>
        </w:rPr>
        <w:tab/>
      </w:r>
      <w:r w:rsidR="001E4986" w:rsidRPr="00A04778">
        <w:rPr>
          <w:i/>
        </w:rPr>
        <w:t>Les</w:t>
      </w:r>
      <w:r w:rsidR="00D5020D" w:rsidRPr="00A04778">
        <w:rPr>
          <w:i/>
        </w:rPr>
        <w:t xml:space="preserve"> </w:t>
      </w:r>
      <w:r w:rsidR="001E4986" w:rsidRPr="00A04778">
        <w:t xml:space="preserve">juges </w:t>
      </w:r>
      <w:r w:rsidR="00D5020D" w:rsidRPr="009601BD">
        <w:t>LeBel</w:t>
      </w:r>
      <w:r w:rsidR="00D5020D" w:rsidRPr="00A04778">
        <w:t xml:space="preserve">, </w:t>
      </w:r>
      <w:r w:rsidR="00D5020D" w:rsidRPr="009601BD">
        <w:t xml:space="preserve">Abella </w:t>
      </w:r>
      <w:r w:rsidR="001E4986" w:rsidRPr="00A04778">
        <w:t>et</w:t>
      </w:r>
      <w:r w:rsidR="00D5020D" w:rsidRPr="00A04778">
        <w:t xml:space="preserve"> Rothstein (diss</w:t>
      </w:r>
      <w:r w:rsidR="001E4986" w:rsidRPr="00A04778">
        <w:t>idents)</w:t>
      </w:r>
      <w:r w:rsidRPr="00A04778">
        <w:t> </w:t>
      </w:r>
      <w:r w:rsidR="00D5020D" w:rsidRPr="00A04778">
        <w:t xml:space="preserve">: </w:t>
      </w:r>
      <w:r w:rsidR="0009699B" w:rsidRPr="00A04778">
        <w:t>La doc</w:t>
      </w:r>
      <w:r w:rsidR="00B7739D" w:rsidRPr="00A04778">
        <w:t>trine de la préclusion découlant d</w:t>
      </w:r>
      <w:r w:rsidR="00B0685C">
        <w:t>’</w:t>
      </w:r>
      <w:r w:rsidR="00B7739D" w:rsidRPr="00A04778">
        <w:t xml:space="preserve">une question déjà tranchée vise à protéger le caractère définitif des décisions en </w:t>
      </w:r>
      <w:r w:rsidR="00B7739D" w:rsidRPr="00A04778">
        <w:rPr>
          <w:szCs w:val="24"/>
        </w:rPr>
        <w:t>empêchant la remise en cause de questions déjà tranchées</w:t>
      </w:r>
      <w:r w:rsidR="009957E5" w:rsidRPr="00A04778">
        <w:rPr>
          <w:szCs w:val="24"/>
        </w:rPr>
        <w:t xml:space="preserve"> de manière concluante</w:t>
      </w:r>
      <w:r w:rsidR="00B7739D" w:rsidRPr="00A04778">
        <w:rPr>
          <w:szCs w:val="24"/>
        </w:rPr>
        <w:t xml:space="preserve"> lors d</w:t>
      </w:r>
      <w:r w:rsidR="00B0685C">
        <w:rPr>
          <w:szCs w:val="24"/>
        </w:rPr>
        <w:t>’</w:t>
      </w:r>
      <w:r w:rsidR="00B7739D" w:rsidRPr="00A04778">
        <w:rPr>
          <w:szCs w:val="24"/>
        </w:rPr>
        <w:t xml:space="preserve">une instance antérieure.  </w:t>
      </w:r>
      <w:r w:rsidR="00B7739D" w:rsidRPr="00A04778">
        <w:t>Le caractère définitif des litiges est un principe fondamental qui garantit l</w:t>
      </w:r>
      <w:r w:rsidR="00B0685C">
        <w:t>’</w:t>
      </w:r>
      <w:r w:rsidR="00B7739D" w:rsidRPr="00A04778">
        <w:t>équité et l</w:t>
      </w:r>
      <w:r w:rsidR="00B0685C">
        <w:t>’</w:t>
      </w:r>
      <w:r w:rsidR="00B7739D" w:rsidRPr="00A04778">
        <w:t>efficacité du système de justice au Canada.  La doctrine de la préclusion découlant d</w:t>
      </w:r>
      <w:r w:rsidR="00B0685C">
        <w:t>’</w:t>
      </w:r>
      <w:r w:rsidR="00B7739D" w:rsidRPr="00A04778">
        <w:t>une question déjà tranchée vise à protéger l</w:t>
      </w:r>
      <w:r w:rsidR="00B0685C">
        <w:t>’</w:t>
      </w:r>
      <w:r w:rsidR="00B7739D" w:rsidRPr="00A04778">
        <w:t>attente raisonnable des parties quant à leur capacité de se fier au résultat d</w:t>
      </w:r>
      <w:r w:rsidR="00B0685C">
        <w:t>’</w:t>
      </w:r>
      <w:r w:rsidR="00B7739D" w:rsidRPr="00A04778">
        <w:t>une décision rendue par un décideur habilité à trancher, peu importe que la décision ait été prise dans le contexte d</w:t>
      </w:r>
      <w:r w:rsidR="00B0685C">
        <w:t>’</w:t>
      </w:r>
      <w:r w:rsidR="00B7739D" w:rsidRPr="00A04778">
        <w:t>une procédure judiciaire ou d</w:t>
      </w:r>
      <w:r w:rsidR="00B0685C">
        <w:t>’</w:t>
      </w:r>
      <w:r w:rsidR="00B7739D" w:rsidRPr="00A04778">
        <w:t xml:space="preserve">une procédure administrative.  </w:t>
      </w:r>
      <w:r w:rsidR="00B7739D" w:rsidRPr="00A04778">
        <w:rPr>
          <w:szCs w:val="24"/>
        </w:rPr>
        <w:t>Lorsqu</w:t>
      </w:r>
      <w:r w:rsidR="00B0685C">
        <w:rPr>
          <w:szCs w:val="24"/>
        </w:rPr>
        <w:t>’</w:t>
      </w:r>
      <w:r w:rsidR="00B7739D" w:rsidRPr="00A04778">
        <w:rPr>
          <w:szCs w:val="24"/>
        </w:rPr>
        <w:t>on applique la doctrine de la préclusion découlant d</w:t>
      </w:r>
      <w:r w:rsidR="00B0685C">
        <w:rPr>
          <w:szCs w:val="24"/>
        </w:rPr>
        <w:t>’</w:t>
      </w:r>
      <w:r w:rsidR="00B7739D" w:rsidRPr="00A04778">
        <w:rPr>
          <w:szCs w:val="24"/>
        </w:rPr>
        <w:t xml:space="preserve">une question déjà tranchée </w:t>
      </w:r>
      <w:r w:rsidR="009957E5" w:rsidRPr="00A04778">
        <w:rPr>
          <w:szCs w:val="24"/>
        </w:rPr>
        <w:t>aux entités administratives chargées de trancher des litiges</w:t>
      </w:r>
      <w:r w:rsidR="00B7739D" w:rsidRPr="00A04778">
        <w:rPr>
          <w:szCs w:val="24"/>
        </w:rPr>
        <w:t xml:space="preserve">, il </w:t>
      </w:r>
      <w:r w:rsidR="00B7739D" w:rsidRPr="00A04778">
        <w:rPr>
          <w:szCs w:val="24"/>
        </w:rPr>
        <w:lastRenderedPageBreak/>
        <w:t>est inadmissible d</w:t>
      </w:r>
      <w:r w:rsidR="00B0685C">
        <w:rPr>
          <w:szCs w:val="24"/>
        </w:rPr>
        <w:t>’</w:t>
      </w:r>
      <w:r w:rsidR="00B7739D" w:rsidRPr="00A04778">
        <w:rPr>
          <w:szCs w:val="24"/>
        </w:rPr>
        <w:t xml:space="preserve">invoquer les différences entre le processus et les procédures </w:t>
      </w:r>
      <w:r w:rsidR="009957E5" w:rsidRPr="00A04778">
        <w:rPr>
          <w:szCs w:val="24"/>
        </w:rPr>
        <w:t>utilisés par ces entités, y compris les procédures qui ne sont pas à l</w:t>
      </w:r>
      <w:r w:rsidR="00B0685C">
        <w:rPr>
          <w:szCs w:val="24"/>
        </w:rPr>
        <w:t>’</w:t>
      </w:r>
      <w:r w:rsidR="009957E5" w:rsidRPr="00A04778">
        <w:rPr>
          <w:szCs w:val="24"/>
        </w:rPr>
        <w:t xml:space="preserve">image </w:t>
      </w:r>
      <w:r w:rsidR="00A3691D" w:rsidRPr="00A04778">
        <w:rPr>
          <w:szCs w:val="24"/>
        </w:rPr>
        <w:t>celles utilisées par les</w:t>
      </w:r>
      <w:r w:rsidR="009957E5" w:rsidRPr="00A04778">
        <w:rPr>
          <w:szCs w:val="24"/>
        </w:rPr>
        <w:t xml:space="preserve"> cours de justice traditionnelles, </w:t>
      </w:r>
      <w:r w:rsidR="00B7739D" w:rsidRPr="00A04778">
        <w:rPr>
          <w:szCs w:val="24"/>
        </w:rPr>
        <w:t xml:space="preserve">pour écarter le principe du caractère définitif des décisions.  </w:t>
      </w:r>
      <w:r w:rsidR="00B7739D" w:rsidRPr="00A04778">
        <w:t>L</w:t>
      </w:r>
      <w:r w:rsidR="00B0685C">
        <w:t>’</w:t>
      </w:r>
      <w:r w:rsidR="00B7739D" w:rsidRPr="00A04778">
        <w:t>objet peut varier d</w:t>
      </w:r>
      <w:r w:rsidR="00B0685C">
        <w:t>’</w:t>
      </w:r>
      <w:r w:rsidR="00B7739D" w:rsidRPr="00A04778">
        <w:t>une instance à l</w:t>
      </w:r>
      <w:r w:rsidR="00B0685C">
        <w:t>’</w:t>
      </w:r>
      <w:r w:rsidR="00B7739D" w:rsidRPr="00A04778">
        <w:t>autre, tout comme les procédures applicables, mais le principe du caractère définitif des litiges doit être maintenu.</w:t>
      </w:r>
    </w:p>
    <w:p w:rsidR="00F55EC8" w:rsidRPr="00A04778" w:rsidRDefault="001A38E2" w:rsidP="001A38E2">
      <w:pPr>
        <w:pStyle w:val="SCCNormalDoubleSpacing"/>
        <w:tabs>
          <w:tab w:val="clear" w:pos="1168"/>
          <w:tab w:val="left" w:pos="1170"/>
        </w:tabs>
        <w:spacing w:after="480"/>
        <w:rPr>
          <w:szCs w:val="24"/>
        </w:rPr>
      </w:pPr>
      <w:r w:rsidRPr="00A04778">
        <w:rPr>
          <w:szCs w:val="24"/>
        </w:rPr>
        <w:tab/>
      </w:r>
      <w:r w:rsidR="00F55EC8" w:rsidRPr="00A04778">
        <w:rPr>
          <w:szCs w:val="24"/>
        </w:rPr>
        <w:t>La Cour s</w:t>
      </w:r>
      <w:r w:rsidR="00B0685C">
        <w:rPr>
          <w:szCs w:val="24"/>
        </w:rPr>
        <w:t>’</w:t>
      </w:r>
      <w:r w:rsidR="00F55EC8" w:rsidRPr="00A04778">
        <w:rPr>
          <w:szCs w:val="24"/>
        </w:rPr>
        <w:t>est penchée sur cette question le plus récemment en 2011, dans l</w:t>
      </w:r>
      <w:r w:rsidR="00B0685C">
        <w:rPr>
          <w:szCs w:val="24"/>
        </w:rPr>
        <w:t>’</w:t>
      </w:r>
      <w:r w:rsidR="00F55EC8" w:rsidRPr="00A04778">
        <w:rPr>
          <w:szCs w:val="24"/>
        </w:rPr>
        <w:t xml:space="preserve">arrêt </w:t>
      </w:r>
      <w:r w:rsidR="00F55EC8" w:rsidRPr="00A04778">
        <w:rPr>
          <w:i/>
          <w:szCs w:val="24"/>
        </w:rPr>
        <w:t>Colombie</w:t>
      </w:r>
      <w:r w:rsidRPr="00A04778">
        <w:rPr>
          <w:i/>
          <w:szCs w:val="24"/>
        </w:rPr>
        <w:noBreakHyphen/>
      </w:r>
      <w:r w:rsidR="00F55EC8" w:rsidRPr="00A04778">
        <w:rPr>
          <w:i/>
          <w:szCs w:val="24"/>
        </w:rPr>
        <w:t>Britannique (Workers</w:t>
      </w:r>
      <w:r w:rsidR="00B0685C">
        <w:rPr>
          <w:i/>
          <w:szCs w:val="24"/>
        </w:rPr>
        <w:t>’</w:t>
      </w:r>
      <w:r w:rsidR="00F55EC8" w:rsidRPr="00A04778">
        <w:rPr>
          <w:i/>
          <w:szCs w:val="24"/>
        </w:rPr>
        <w:t xml:space="preserve"> Compensation Board) c. Figliola, </w:t>
      </w:r>
      <w:r w:rsidR="00F55EC8" w:rsidRPr="00A04778">
        <w:rPr>
          <w:szCs w:val="24"/>
        </w:rPr>
        <w:t>2011 CSC 52, [2011] 3 R.C.S. 422.  Ce précédent régit donc l</w:t>
      </w:r>
      <w:r w:rsidR="00B0685C">
        <w:rPr>
          <w:szCs w:val="24"/>
        </w:rPr>
        <w:t>’</w:t>
      </w:r>
      <w:r w:rsidR="00F55EC8" w:rsidRPr="00A04778">
        <w:rPr>
          <w:szCs w:val="24"/>
        </w:rPr>
        <w:t>application de la doctrine en l</w:t>
      </w:r>
      <w:r w:rsidR="00B0685C">
        <w:rPr>
          <w:szCs w:val="24"/>
        </w:rPr>
        <w:t>’</w:t>
      </w:r>
      <w:r w:rsidR="00F55EC8" w:rsidRPr="00A04778">
        <w:rPr>
          <w:szCs w:val="24"/>
        </w:rPr>
        <w:t>espèce.  L</w:t>
      </w:r>
      <w:r w:rsidR="00B0685C">
        <w:rPr>
          <w:szCs w:val="24"/>
        </w:rPr>
        <w:t>’</w:t>
      </w:r>
      <w:r w:rsidR="00F55EC8" w:rsidRPr="00A04778">
        <w:rPr>
          <w:szCs w:val="24"/>
        </w:rPr>
        <w:t>élément essentiel pertinent de ce jugement se retrouve dans la distance qu</w:t>
      </w:r>
      <w:r w:rsidR="00B0685C">
        <w:rPr>
          <w:szCs w:val="24"/>
        </w:rPr>
        <w:t>’</w:t>
      </w:r>
      <w:r w:rsidR="00F55EC8" w:rsidRPr="00A04778">
        <w:rPr>
          <w:szCs w:val="24"/>
        </w:rPr>
        <w:t>il a prise par rapport à l</w:t>
      </w:r>
      <w:r w:rsidR="00B0685C">
        <w:rPr>
          <w:szCs w:val="24"/>
        </w:rPr>
        <w:t>’</w:t>
      </w:r>
      <w:r w:rsidR="00F55EC8" w:rsidRPr="00A04778">
        <w:rPr>
          <w:szCs w:val="24"/>
        </w:rPr>
        <w:t xml:space="preserve">approche préconisée dans </w:t>
      </w:r>
      <w:r w:rsidR="00F55EC8" w:rsidRPr="00A04778">
        <w:rPr>
          <w:i/>
          <w:szCs w:val="24"/>
        </w:rPr>
        <w:t>Danyluk c. Ainsworth Technologies Inc.</w:t>
      </w:r>
      <w:r w:rsidR="00F55EC8" w:rsidRPr="00A04778">
        <w:rPr>
          <w:szCs w:val="24"/>
        </w:rPr>
        <w:t>, 2001 CSC 44, [2001] 2 R.C.S. 460, où la Cour a</w:t>
      </w:r>
      <w:r w:rsidR="009957E5" w:rsidRPr="00A04778">
        <w:rPr>
          <w:szCs w:val="24"/>
        </w:rPr>
        <w:t>vait</w:t>
      </w:r>
      <w:r w:rsidR="00F55EC8" w:rsidRPr="00A04778">
        <w:rPr>
          <w:szCs w:val="24"/>
        </w:rPr>
        <w:t xml:space="preserve"> conclu qu</w:t>
      </w:r>
      <w:r w:rsidR="00B0685C">
        <w:rPr>
          <w:szCs w:val="24"/>
        </w:rPr>
        <w:t>’</w:t>
      </w:r>
      <w:r w:rsidR="00F55EC8" w:rsidRPr="00A04778">
        <w:rPr>
          <w:szCs w:val="24"/>
        </w:rPr>
        <w:t xml:space="preserve">il faut appliquer un pouvoir discrétionnaire différent et beaucoup plus large quant aux décisions des tribunaux administratifs que celui </w:t>
      </w:r>
      <w:r w:rsidR="00AE182F" w:rsidRPr="00A04778">
        <w:rPr>
          <w:szCs w:val="24"/>
        </w:rPr>
        <w:t>« </w:t>
      </w:r>
      <w:r w:rsidR="00AA61AF" w:rsidRPr="00A04778">
        <w:rPr>
          <w:szCs w:val="24"/>
        </w:rPr>
        <w:t>très limité » qui s</w:t>
      </w:r>
      <w:r w:rsidR="00B0685C">
        <w:rPr>
          <w:szCs w:val="24"/>
        </w:rPr>
        <w:t>’</w:t>
      </w:r>
      <w:r w:rsidR="00AA61AF" w:rsidRPr="00A04778">
        <w:rPr>
          <w:szCs w:val="24"/>
        </w:rPr>
        <w:t>applique quant aux décisions des cours de justice.</w:t>
      </w:r>
    </w:p>
    <w:p w:rsidR="00D5020D" w:rsidRPr="00A04778" w:rsidRDefault="001A38E2" w:rsidP="001A38E2">
      <w:pPr>
        <w:pStyle w:val="SCCNormalDoubleSpacing"/>
        <w:tabs>
          <w:tab w:val="clear" w:pos="1168"/>
          <w:tab w:val="left" w:pos="1170"/>
        </w:tabs>
        <w:spacing w:after="480"/>
      </w:pPr>
      <w:r w:rsidRPr="00A04778">
        <w:rPr>
          <w:szCs w:val="24"/>
        </w:rPr>
        <w:tab/>
      </w:r>
      <w:r w:rsidR="00AA61AF" w:rsidRPr="00A04778">
        <w:rPr>
          <w:szCs w:val="24"/>
        </w:rPr>
        <w:t>Les principes jumeaux qui sous</w:t>
      </w:r>
      <w:r w:rsidRPr="00A04778">
        <w:rPr>
          <w:szCs w:val="24"/>
        </w:rPr>
        <w:noBreakHyphen/>
      </w:r>
      <w:r w:rsidR="00AA61AF" w:rsidRPr="00A04778">
        <w:rPr>
          <w:szCs w:val="24"/>
        </w:rPr>
        <w:t>tendent la doctrine de la préclusion découlant d</w:t>
      </w:r>
      <w:r w:rsidR="00B0685C">
        <w:rPr>
          <w:szCs w:val="24"/>
        </w:rPr>
        <w:t>’</w:t>
      </w:r>
      <w:r w:rsidR="00AA61AF" w:rsidRPr="00A04778">
        <w:rPr>
          <w:szCs w:val="24"/>
        </w:rPr>
        <w:t>une question déjà tranchée</w:t>
      </w:r>
      <w:r w:rsidRPr="00A04778">
        <w:rPr>
          <w:szCs w:val="24"/>
        </w:rPr>
        <w:t xml:space="preserve"> — </w:t>
      </w:r>
      <w:r w:rsidR="00AA61AF" w:rsidRPr="00A04778">
        <w:rPr>
          <w:szCs w:val="24"/>
        </w:rPr>
        <w:t>soit que tout litige doit avoir une fin et que la même partie ne soit pas harassée deux fois pour la même cause</w:t>
      </w:r>
      <w:r w:rsidRPr="00A04778">
        <w:rPr>
          <w:szCs w:val="24"/>
        </w:rPr>
        <w:t xml:space="preserve"> </w:t>
      </w:r>
      <w:r w:rsidR="00AA61AF" w:rsidRPr="00A04778">
        <w:rPr>
          <w:szCs w:val="24"/>
        </w:rPr>
        <w:t>— constituent des principes fondamentaux qui visent avant tout l</w:t>
      </w:r>
      <w:r w:rsidR="00B0685C">
        <w:rPr>
          <w:szCs w:val="24"/>
        </w:rPr>
        <w:t>’</w:t>
      </w:r>
      <w:r w:rsidR="00AA61AF" w:rsidRPr="00A04778">
        <w:rPr>
          <w:szCs w:val="24"/>
        </w:rPr>
        <w:t>atteinte de l</w:t>
      </w:r>
      <w:r w:rsidR="00B0685C">
        <w:rPr>
          <w:szCs w:val="24"/>
        </w:rPr>
        <w:t>’</w:t>
      </w:r>
      <w:r w:rsidR="00AA61AF" w:rsidRPr="00A04778">
        <w:rPr>
          <w:szCs w:val="24"/>
        </w:rPr>
        <w:t>équité et la prévention de l</w:t>
      </w:r>
      <w:r w:rsidR="00B0685C">
        <w:rPr>
          <w:szCs w:val="24"/>
        </w:rPr>
        <w:t>’</w:t>
      </w:r>
      <w:r w:rsidR="00AA61AF" w:rsidRPr="00A04778">
        <w:rPr>
          <w:szCs w:val="24"/>
        </w:rPr>
        <w:t xml:space="preserve">injustice </w:t>
      </w:r>
      <w:r w:rsidR="00AA61AF" w:rsidRPr="009601BD">
        <w:rPr>
          <w:szCs w:val="24"/>
        </w:rPr>
        <w:t>en préservant le caractère définitif des litiges</w:t>
      </w:r>
      <w:r w:rsidR="00AA61AF" w:rsidRPr="00A04778">
        <w:rPr>
          <w:szCs w:val="24"/>
        </w:rPr>
        <w:t>.  L</w:t>
      </w:r>
      <w:r w:rsidR="00B0685C">
        <w:rPr>
          <w:szCs w:val="24"/>
        </w:rPr>
        <w:t>’</w:t>
      </w:r>
      <w:r w:rsidR="00AA61AF" w:rsidRPr="00A04778">
        <w:rPr>
          <w:szCs w:val="24"/>
        </w:rPr>
        <w:t>objectif ultime de la préclusion découlant d</w:t>
      </w:r>
      <w:r w:rsidR="00B0685C">
        <w:rPr>
          <w:szCs w:val="24"/>
        </w:rPr>
        <w:t>’</w:t>
      </w:r>
      <w:r w:rsidR="00AA61AF" w:rsidRPr="00A04778">
        <w:rPr>
          <w:szCs w:val="24"/>
        </w:rPr>
        <w:t>une question déjà tranchée consiste à protéger l</w:t>
      </w:r>
      <w:r w:rsidR="00B0685C">
        <w:rPr>
          <w:szCs w:val="24"/>
        </w:rPr>
        <w:t>’</w:t>
      </w:r>
      <w:r w:rsidR="00AA61AF" w:rsidRPr="00A04778">
        <w:rPr>
          <w:szCs w:val="24"/>
        </w:rPr>
        <w:t xml:space="preserve">équité </w:t>
      </w:r>
      <w:r w:rsidR="00AA61AF" w:rsidRPr="009601BD">
        <w:rPr>
          <w:szCs w:val="24"/>
        </w:rPr>
        <w:t xml:space="preserve">du </w:t>
      </w:r>
      <w:r w:rsidR="00AA61AF" w:rsidRPr="00A04778">
        <w:rPr>
          <w:szCs w:val="24"/>
        </w:rPr>
        <w:lastRenderedPageBreak/>
        <w:t xml:space="preserve">caractère définitif de la prise de décision et à éviter de nouvelles procédures quant à des questions déjà jugées </w:t>
      </w:r>
      <w:r w:rsidR="00AA61AF" w:rsidRPr="00A04778">
        <w:t>par un décideur habilité à trancher.  Comme la Cour l</w:t>
      </w:r>
      <w:r w:rsidR="00B0685C">
        <w:t>’</w:t>
      </w:r>
      <w:r w:rsidR="00AA61AF" w:rsidRPr="00A04778">
        <w:t xml:space="preserve">a affirmé dans </w:t>
      </w:r>
      <w:r w:rsidR="00AA61AF" w:rsidRPr="00A04778">
        <w:rPr>
          <w:i/>
        </w:rPr>
        <w:t>Figliola</w:t>
      </w:r>
      <w:r w:rsidR="00AA61AF" w:rsidRPr="00A04778">
        <w:t xml:space="preserve">, </w:t>
      </w:r>
      <w:r w:rsidR="009957E5" w:rsidRPr="00A04778">
        <w:t>ce principe tient</w:t>
      </w:r>
      <w:r w:rsidR="00AE182F" w:rsidRPr="00A04778">
        <w:t>,</w:t>
      </w:r>
      <w:r w:rsidR="009957E5" w:rsidRPr="00A04778">
        <w:t xml:space="preserve"> </w:t>
      </w:r>
      <w:r w:rsidR="00AA61AF" w:rsidRPr="00A04778">
        <w:t>peu importe qu</w:t>
      </w:r>
      <w:r w:rsidR="00B0685C">
        <w:t>’</w:t>
      </w:r>
      <w:r w:rsidR="00AA61AF" w:rsidRPr="00A04778">
        <w:t xml:space="preserve">il soit question de cours de justice ou de tribunaux administratifs.  Une approche qui ne protège pas le caractère définitif des décisions </w:t>
      </w:r>
      <w:r w:rsidR="00AA61AF" w:rsidRPr="00A04778">
        <w:rPr>
          <w:szCs w:val="24"/>
        </w:rPr>
        <w:t>mine ces principes et risque</w:t>
      </w:r>
      <w:r w:rsidR="006A730D" w:rsidRPr="00A04778">
        <w:rPr>
          <w:szCs w:val="24"/>
        </w:rPr>
        <w:t>, en ce qui a trait aux tribunaux administratifs,</w:t>
      </w:r>
      <w:r w:rsidR="00AA61AF" w:rsidRPr="00A04778">
        <w:rPr>
          <w:szCs w:val="24"/>
        </w:rPr>
        <w:t xml:space="preserve"> de transformer la préclusion découlant d</w:t>
      </w:r>
      <w:r w:rsidR="00B0685C">
        <w:rPr>
          <w:szCs w:val="24"/>
        </w:rPr>
        <w:t>’</w:t>
      </w:r>
      <w:r w:rsidR="00AA61AF" w:rsidRPr="00A04778">
        <w:rPr>
          <w:szCs w:val="24"/>
        </w:rPr>
        <w:t>une question déjà tranchée en une enquête dépourvue de tout encadrement</w:t>
      </w:r>
      <w:r w:rsidR="006A730D" w:rsidRPr="00A04778">
        <w:rPr>
          <w:szCs w:val="24"/>
        </w:rPr>
        <w:t>.  Cela reviendrait à raviver l</w:t>
      </w:r>
      <w:r w:rsidR="00B0685C">
        <w:rPr>
          <w:szCs w:val="24"/>
        </w:rPr>
        <w:t>’</w:t>
      </w:r>
      <w:r w:rsidR="006A730D" w:rsidRPr="00A04778">
        <w:rPr>
          <w:szCs w:val="24"/>
        </w:rPr>
        <w:t xml:space="preserve">approche préconisée dans </w:t>
      </w:r>
      <w:r w:rsidR="006A730D" w:rsidRPr="00A04778">
        <w:rPr>
          <w:i/>
          <w:szCs w:val="24"/>
        </w:rPr>
        <w:t>Danyluk</w:t>
      </w:r>
      <w:r w:rsidR="006A730D" w:rsidRPr="00A04778">
        <w:rPr>
          <w:szCs w:val="24"/>
        </w:rPr>
        <w:t xml:space="preserve"> que la Cour a refusé d</w:t>
      </w:r>
      <w:r w:rsidR="00B0685C">
        <w:rPr>
          <w:szCs w:val="24"/>
        </w:rPr>
        <w:t>’</w:t>
      </w:r>
      <w:r w:rsidR="006A730D" w:rsidRPr="00A04778">
        <w:rPr>
          <w:szCs w:val="24"/>
        </w:rPr>
        <w:t xml:space="preserve">appliquer dans </w:t>
      </w:r>
      <w:r w:rsidR="006A730D" w:rsidRPr="00A04778">
        <w:rPr>
          <w:i/>
          <w:szCs w:val="24"/>
        </w:rPr>
        <w:t>Figliola</w:t>
      </w:r>
      <w:r w:rsidR="006A730D" w:rsidRPr="00A04778">
        <w:rPr>
          <w:szCs w:val="24"/>
        </w:rPr>
        <w:t>.</w:t>
      </w:r>
      <w:r w:rsidR="00AA61AF" w:rsidRPr="00A04778">
        <w:t xml:space="preserve"> </w:t>
      </w:r>
    </w:p>
    <w:p w:rsidR="00D5020D" w:rsidRPr="00A04778" w:rsidRDefault="00D5020D" w:rsidP="001A38E2">
      <w:pPr>
        <w:pStyle w:val="SCCNormalDoubleSpacing"/>
        <w:tabs>
          <w:tab w:val="clear" w:pos="1168"/>
          <w:tab w:val="left" w:pos="1170"/>
        </w:tabs>
        <w:spacing w:after="480"/>
      </w:pPr>
      <w:r w:rsidRPr="00A04778">
        <w:tab/>
      </w:r>
      <w:r w:rsidR="006A730D" w:rsidRPr="00A04778">
        <w:rPr>
          <w:szCs w:val="24"/>
        </w:rPr>
        <w:t xml:space="preserve">La confirmation récente par la Cour, dans </w:t>
      </w:r>
      <w:r w:rsidR="006A730D" w:rsidRPr="00A04778">
        <w:rPr>
          <w:i/>
          <w:szCs w:val="24"/>
        </w:rPr>
        <w:t>Figliola</w:t>
      </w:r>
      <w:r w:rsidR="006A730D" w:rsidRPr="00A04778">
        <w:rPr>
          <w:szCs w:val="24"/>
        </w:rPr>
        <w:t>, du principe du caractère définitif sous</w:t>
      </w:r>
      <w:r w:rsidR="001A38E2" w:rsidRPr="00A04778">
        <w:rPr>
          <w:szCs w:val="24"/>
        </w:rPr>
        <w:noBreakHyphen/>
      </w:r>
      <w:r w:rsidR="006A730D" w:rsidRPr="00A04778">
        <w:rPr>
          <w:szCs w:val="24"/>
        </w:rPr>
        <w:t>jacent à la doctrine de la préclusion découlant d</w:t>
      </w:r>
      <w:r w:rsidR="00B0685C">
        <w:rPr>
          <w:szCs w:val="24"/>
        </w:rPr>
        <w:t>’</w:t>
      </w:r>
      <w:r w:rsidR="006A730D" w:rsidRPr="00A04778">
        <w:rPr>
          <w:szCs w:val="24"/>
        </w:rPr>
        <w:t>une question déjà tranchée est également essentielle pour assurer le respect des principes sous</w:t>
      </w:r>
      <w:r w:rsidR="001A38E2" w:rsidRPr="00A04778">
        <w:rPr>
          <w:szCs w:val="24"/>
        </w:rPr>
        <w:noBreakHyphen/>
      </w:r>
      <w:r w:rsidR="006A730D" w:rsidRPr="00A04778">
        <w:rPr>
          <w:szCs w:val="24"/>
        </w:rPr>
        <w:t>jacents de notre approche moderne du droit administratif</w:t>
      </w:r>
      <w:r w:rsidR="006A730D" w:rsidRPr="00A04778">
        <w:t xml:space="preserve">.  </w:t>
      </w:r>
      <w:r w:rsidR="006A730D" w:rsidRPr="00A04778">
        <w:rPr>
          <w:szCs w:val="24"/>
        </w:rPr>
        <w:t>La Cour ne devrait pas se servir de son pouvoir discrétionnaire résiduel de ne pas appliquer la préclusion découlant d</w:t>
      </w:r>
      <w:r w:rsidR="00B0685C">
        <w:rPr>
          <w:szCs w:val="24"/>
        </w:rPr>
        <w:t>’</w:t>
      </w:r>
      <w:r w:rsidR="006A730D" w:rsidRPr="00A04778">
        <w:rPr>
          <w:szCs w:val="24"/>
        </w:rPr>
        <w:t>une question déjà tranchée pour imposer un modèle particulier de décision, à l</w:t>
      </w:r>
      <w:r w:rsidR="00B0685C">
        <w:rPr>
          <w:szCs w:val="24"/>
        </w:rPr>
        <w:t>’</w:t>
      </w:r>
      <w:r w:rsidR="006A730D" w:rsidRPr="00A04778">
        <w:rPr>
          <w:szCs w:val="24"/>
        </w:rPr>
        <w:t xml:space="preserve">encontre du principe de déférence qui est au cœur du droit administratif. </w:t>
      </w:r>
      <w:r w:rsidRPr="00A04778">
        <w:t xml:space="preserve"> </w:t>
      </w:r>
      <w:r w:rsidR="007C6258" w:rsidRPr="00A04778">
        <w:t>Lorsqu</w:t>
      </w:r>
      <w:r w:rsidR="00B0685C">
        <w:t>’</w:t>
      </w:r>
      <w:r w:rsidR="007C6258" w:rsidRPr="00A04778">
        <w:t xml:space="preserve">un tribunal </w:t>
      </w:r>
      <w:r w:rsidR="004A701B" w:rsidRPr="00A04778">
        <w:t>chargé de trancher des litiges</w:t>
      </w:r>
      <w:r w:rsidR="007C6258" w:rsidRPr="00A04778">
        <w:t xml:space="preserve"> est investi du pouvoir nécessaire de prendre une décision, on contreviendrait aux principes de déférence en élargissant de manière </w:t>
      </w:r>
      <w:r w:rsidR="004A701B" w:rsidRPr="00A04778">
        <w:t>particulière</w:t>
      </w:r>
      <w:r w:rsidR="007C6258" w:rsidRPr="00A04778">
        <w:t xml:space="preserve"> le pouvoir discrétionnaire des cours de justice de telle sorte que, dans la plupart des cas, cela permettrait à la partie perdante de contourner le contrôle judiciaire et de </w:t>
      </w:r>
      <w:r w:rsidR="007C6258" w:rsidRPr="00A04778">
        <w:rPr>
          <w:szCs w:val="24"/>
        </w:rPr>
        <w:t>s</w:t>
      </w:r>
      <w:r w:rsidR="00B0685C">
        <w:rPr>
          <w:szCs w:val="24"/>
        </w:rPr>
        <w:t>’</w:t>
      </w:r>
      <w:r w:rsidR="007C6258" w:rsidRPr="00A04778">
        <w:rPr>
          <w:szCs w:val="24"/>
        </w:rPr>
        <w:t>adresser plutôt à une cour de justice pour qu</w:t>
      </w:r>
      <w:r w:rsidR="00B0685C">
        <w:rPr>
          <w:szCs w:val="24"/>
        </w:rPr>
        <w:t>’</w:t>
      </w:r>
      <w:r w:rsidR="007C6258" w:rsidRPr="00A04778">
        <w:rPr>
          <w:szCs w:val="24"/>
        </w:rPr>
        <w:t>elle se prononce une nouvelle fois sur le fond de l</w:t>
      </w:r>
      <w:r w:rsidR="00B0685C">
        <w:rPr>
          <w:szCs w:val="24"/>
        </w:rPr>
        <w:t>’</w:t>
      </w:r>
      <w:r w:rsidR="007C6258" w:rsidRPr="00A04778">
        <w:rPr>
          <w:szCs w:val="24"/>
        </w:rPr>
        <w:t>affaire.</w:t>
      </w:r>
    </w:p>
    <w:p w:rsidR="00D5020D" w:rsidRPr="00A04778" w:rsidRDefault="001A38E2" w:rsidP="001A38E2">
      <w:pPr>
        <w:pStyle w:val="SCCNormalDoubleSpacing"/>
        <w:tabs>
          <w:tab w:val="clear" w:pos="1168"/>
          <w:tab w:val="left" w:pos="1170"/>
        </w:tabs>
        <w:spacing w:after="480"/>
      </w:pPr>
      <w:r w:rsidRPr="00A04778">
        <w:lastRenderedPageBreak/>
        <w:tab/>
      </w:r>
      <w:r w:rsidR="007C6258" w:rsidRPr="00A04778">
        <w:t xml:space="preserve">Suivant les principes énoncés dans </w:t>
      </w:r>
      <w:r w:rsidR="007C6258" w:rsidRPr="00A04778">
        <w:rPr>
          <w:i/>
        </w:rPr>
        <w:t>Figliola</w:t>
      </w:r>
      <w:r w:rsidR="007C6258" w:rsidRPr="00A04778">
        <w:t>, la préclusion découlant d</w:t>
      </w:r>
      <w:r w:rsidR="00B0685C">
        <w:t>’</w:t>
      </w:r>
      <w:r w:rsidR="007C6258" w:rsidRPr="00A04778">
        <w:t>une question déjà tranchée devrait s</w:t>
      </w:r>
      <w:r w:rsidR="00B0685C">
        <w:t>’</w:t>
      </w:r>
      <w:r w:rsidR="007C6258" w:rsidRPr="00A04778">
        <w:t xml:space="preserve">appliquer.  La différence entre le fardeau de preuve exigé pour établir une inconduite au sens de la </w:t>
      </w:r>
      <w:r w:rsidR="00A54D29">
        <w:rPr>
          <w:i/>
        </w:rPr>
        <w:t>LSP</w:t>
      </w:r>
      <w:r w:rsidR="007C6258" w:rsidRPr="00A04778">
        <w:t xml:space="preserve"> et celui dont il faut s</w:t>
      </w:r>
      <w:r w:rsidR="00B0685C">
        <w:t>’</w:t>
      </w:r>
      <w:r w:rsidR="007C6258" w:rsidRPr="00A04778">
        <w:t>acquitter dans le cadre d</w:t>
      </w:r>
      <w:r w:rsidR="00B0685C">
        <w:t>’</w:t>
      </w:r>
      <w:r w:rsidR="007C6258" w:rsidRPr="00A04778">
        <w:t xml:space="preserve">un procès civil </w:t>
      </w:r>
      <w:r w:rsidR="00442E44" w:rsidRPr="00A04778">
        <w:t>n</w:t>
      </w:r>
      <w:r w:rsidR="00B0685C">
        <w:t>’</w:t>
      </w:r>
      <w:r w:rsidR="00442E44" w:rsidRPr="00A04778">
        <w:t>est pas pertinente en l</w:t>
      </w:r>
      <w:r w:rsidR="00B0685C">
        <w:t>’</w:t>
      </w:r>
      <w:r w:rsidR="00442E44" w:rsidRPr="00A04778">
        <w:t>espèce.  L</w:t>
      </w:r>
      <w:r w:rsidR="00B0685C">
        <w:t>’</w:t>
      </w:r>
      <w:r w:rsidR="00442E44" w:rsidRPr="00A04778">
        <w:t>agent d</w:t>
      </w:r>
      <w:r w:rsidR="00B0685C">
        <w:t>’</w:t>
      </w:r>
      <w:r w:rsidR="00442E44" w:rsidRPr="00A04778">
        <w:t>audience a tiré des conclusions de fait non équivoques selon lesquelles il n</w:t>
      </w:r>
      <w:r w:rsidR="00B0685C">
        <w:t>’</w:t>
      </w:r>
      <w:r w:rsidR="00442E44" w:rsidRPr="00A04778">
        <w:t xml:space="preserve">existait virtuellement aucun élément de preuve </w:t>
      </w:r>
      <w:r w:rsidR="004A701B" w:rsidRPr="00A04778">
        <w:t>pour étayer</w:t>
      </w:r>
      <w:r w:rsidR="00442E44" w:rsidRPr="00A04778">
        <w:t xml:space="preserve"> les allégations de </w:t>
      </w:r>
      <w:r w:rsidR="00B0685C">
        <w:t xml:space="preserve">P. </w:t>
      </w:r>
      <w:r w:rsidR="00442E44" w:rsidRPr="00A04778">
        <w:t xml:space="preserve"> Il n</w:t>
      </w:r>
      <w:r w:rsidR="00B0685C">
        <w:t>’</w:t>
      </w:r>
      <w:r w:rsidR="00442E44" w:rsidRPr="00A04778">
        <w:t xml:space="preserve">y a </w:t>
      </w:r>
      <w:r w:rsidR="00AE182F" w:rsidRPr="00A04778">
        <w:t xml:space="preserve">donc </w:t>
      </w:r>
      <w:r w:rsidR="00442E44" w:rsidRPr="00A04778">
        <w:t>tout simplement aucun élément de preuve pour étayer les allégations de P quelque soit le fardeau de preuve appliqué.  P ne devrait pas pouvoir contourner les conclusions claires de l</w:t>
      </w:r>
      <w:r w:rsidR="00B0685C">
        <w:t>’</w:t>
      </w:r>
      <w:r w:rsidR="00442E44" w:rsidRPr="00A04778">
        <w:t>agent d</w:t>
      </w:r>
      <w:r w:rsidR="00B0685C">
        <w:t>’</w:t>
      </w:r>
      <w:r w:rsidR="00442E44" w:rsidRPr="00A04778">
        <w:t>audience et faire subir aux parties une nouvelle procédure qui aboutirait inévitablement au même résultat.</w:t>
      </w:r>
    </w:p>
    <w:p w:rsidR="00D5020D" w:rsidRPr="00A04778" w:rsidRDefault="001A38E2" w:rsidP="001A38E2">
      <w:pPr>
        <w:pStyle w:val="SCCNormalDoubleSpacing"/>
        <w:tabs>
          <w:tab w:val="clear" w:pos="1168"/>
          <w:tab w:val="left" w:pos="1170"/>
        </w:tabs>
        <w:spacing w:after="480"/>
      </w:pPr>
      <w:r w:rsidRPr="00A04778">
        <w:rPr>
          <w:szCs w:val="24"/>
        </w:rPr>
        <w:tab/>
      </w:r>
      <w:r w:rsidR="00442E44" w:rsidRPr="00A04778">
        <w:rPr>
          <w:szCs w:val="24"/>
        </w:rPr>
        <w:t>L</w:t>
      </w:r>
      <w:r w:rsidR="00B0685C">
        <w:rPr>
          <w:szCs w:val="24"/>
        </w:rPr>
        <w:t>’</w:t>
      </w:r>
      <w:r w:rsidR="00442E44" w:rsidRPr="00A04778">
        <w:rPr>
          <w:szCs w:val="24"/>
        </w:rPr>
        <w:t>audience disciplinaire menée par l</w:t>
      </w:r>
      <w:r w:rsidR="00B0685C">
        <w:rPr>
          <w:szCs w:val="24"/>
        </w:rPr>
        <w:t>’</w:t>
      </w:r>
      <w:r w:rsidR="00442E44" w:rsidRPr="00A04778">
        <w:rPr>
          <w:szCs w:val="24"/>
        </w:rPr>
        <w:t>agent d</w:t>
      </w:r>
      <w:r w:rsidR="00B0685C">
        <w:rPr>
          <w:szCs w:val="24"/>
        </w:rPr>
        <w:t>’</w:t>
      </w:r>
      <w:r w:rsidR="00442E44" w:rsidRPr="00A04778">
        <w:rPr>
          <w:szCs w:val="24"/>
        </w:rPr>
        <w:t>audience s</w:t>
      </w:r>
      <w:r w:rsidR="00B0685C">
        <w:rPr>
          <w:szCs w:val="24"/>
        </w:rPr>
        <w:t>’</w:t>
      </w:r>
      <w:r w:rsidR="00442E44" w:rsidRPr="00A04778">
        <w:rPr>
          <w:szCs w:val="24"/>
        </w:rPr>
        <w:t>est déroulée conformément aux exigences de la loi et aux principes de l</w:t>
      </w:r>
      <w:r w:rsidR="00B0685C">
        <w:rPr>
          <w:szCs w:val="24"/>
        </w:rPr>
        <w:t>’</w:t>
      </w:r>
      <w:r w:rsidR="00442E44" w:rsidRPr="00A04778">
        <w:rPr>
          <w:szCs w:val="24"/>
        </w:rPr>
        <w:t>équité procédurale.  P</w:t>
      </w:r>
      <w:r w:rsidR="00B0685C">
        <w:rPr>
          <w:szCs w:val="24"/>
        </w:rPr>
        <w:t> </w:t>
      </w:r>
      <w:r w:rsidR="00442E44" w:rsidRPr="00A04778">
        <w:rPr>
          <w:szCs w:val="24"/>
        </w:rPr>
        <w:t>connaissait le fardeau de preuve qui lui incombait, il a pleinement eu la possibilité d</w:t>
      </w:r>
      <w:r w:rsidR="00B0685C">
        <w:rPr>
          <w:szCs w:val="24"/>
        </w:rPr>
        <w:t>’</w:t>
      </w:r>
      <w:r w:rsidR="00442E44" w:rsidRPr="00A04778">
        <w:rPr>
          <w:szCs w:val="24"/>
        </w:rPr>
        <w:t>établir cette preuve et il a été débouté.  S</w:t>
      </w:r>
      <w:r w:rsidR="00B0685C">
        <w:rPr>
          <w:szCs w:val="24"/>
        </w:rPr>
        <w:t>’</w:t>
      </w:r>
      <w:r w:rsidR="00442E44" w:rsidRPr="00A04778">
        <w:rPr>
          <w:szCs w:val="24"/>
        </w:rPr>
        <w:t>il avait eu gain de cause, la décision de l</w:t>
      </w:r>
      <w:r w:rsidR="00B0685C">
        <w:rPr>
          <w:szCs w:val="24"/>
        </w:rPr>
        <w:t>’</w:t>
      </w:r>
      <w:r w:rsidR="00442E44" w:rsidRPr="00A04778">
        <w:rPr>
          <w:szCs w:val="24"/>
        </w:rPr>
        <w:t>agent d</w:t>
      </w:r>
      <w:r w:rsidR="00B0685C">
        <w:rPr>
          <w:szCs w:val="24"/>
        </w:rPr>
        <w:t>’</w:t>
      </w:r>
      <w:r w:rsidR="00442E44" w:rsidRPr="00A04778">
        <w:rPr>
          <w:szCs w:val="24"/>
        </w:rPr>
        <w:t>audience aurait lié tout autant les parties et l</w:t>
      </w:r>
      <w:r w:rsidR="00B0685C">
        <w:rPr>
          <w:szCs w:val="24"/>
        </w:rPr>
        <w:t>’</w:t>
      </w:r>
      <w:r w:rsidR="00442E44" w:rsidRPr="00A04778">
        <w:rPr>
          <w:szCs w:val="24"/>
        </w:rPr>
        <w:t>application de la préclusion découlant d</w:t>
      </w:r>
      <w:r w:rsidR="00B0685C">
        <w:rPr>
          <w:szCs w:val="24"/>
        </w:rPr>
        <w:t>’</w:t>
      </w:r>
      <w:r w:rsidR="00442E44" w:rsidRPr="00A04778">
        <w:rPr>
          <w:szCs w:val="24"/>
        </w:rPr>
        <w:t>une question déjà tranchée lui aurait été utile dans le cadre d</w:t>
      </w:r>
      <w:r w:rsidR="00B0685C">
        <w:rPr>
          <w:szCs w:val="24"/>
        </w:rPr>
        <w:t>’</w:t>
      </w:r>
      <w:r w:rsidR="00442E44" w:rsidRPr="00A04778">
        <w:rPr>
          <w:szCs w:val="24"/>
        </w:rPr>
        <w:t>une action civile subséquente en dommages</w:t>
      </w:r>
      <w:r w:rsidRPr="00A04778">
        <w:rPr>
          <w:szCs w:val="24"/>
        </w:rPr>
        <w:noBreakHyphen/>
      </w:r>
      <w:r w:rsidR="00442E44" w:rsidRPr="00A04778">
        <w:rPr>
          <w:szCs w:val="24"/>
        </w:rPr>
        <w:t>intérêts en le libérant de l</w:t>
      </w:r>
      <w:r w:rsidR="00B0685C">
        <w:rPr>
          <w:szCs w:val="24"/>
        </w:rPr>
        <w:t>’</w:t>
      </w:r>
      <w:r w:rsidR="00442E44" w:rsidRPr="00A04778">
        <w:rPr>
          <w:szCs w:val="24"/>
        </w:rPr>
        <w:t>obli</w:t>
      </w:r>
      <w:r w:rsidR="009A72DF" w:rsidRPr="00A04778">
        <w:rPr>
          <w:szCs w:val="24"/>
        </w:rPr>
        <w:t>gation d</w:t>
      </w:r>
      <w:r w:rsidR="00B0685C">
        <w:rPr>
          <w:szCs w:val="24"/>
        </w:rPr>
        <w:t>’</w:t>
      </w:r>
      <w:r w:rsidR="009A72DF" w:rsidRPr="00A04778">
        <w:rPr>
          <w:szCs w:val="24"/>
        </w:rPr>
        <w:t>établir le préjudice.</w:t>
      </w:r>
    </w:p>
    <w:p w:rsidR="00D5020D" w:rsidRPr="00A04778" w:rsidRDefault="001A38E2" w:rsidP="001A38E2">
      <w:pPr>
        <w:pStyle w:val="SCCNormalDoubleSpacing"/>
        <w:tabs>
          <w:tab w:val="clear" w:pos="1168"/>
          <w:tab w:val="left" w:pos="1170"/>
        </w:tabs>
        <w:spacing w:after="480"/>
      </w:pPr>
      <w:r w:rsidRPr="00A04778">
        <w:rPr>
          <w:szCs w:val="24"/>
        </w:rPr>
        <w:tab/>
      </w:r>
      <w:r w:rsidR="00442E44" w:rsidRPr="00A04778">
        <w:rPr>
          <w:szCs w:val="24"/>
        </w:rPr>
        <w:t>Empêcher les tribunaux d</w:t>
      </w:r>
      <w:r w:rsidR="00B0685C">
        <w:rPr>
          <w:szCs w:val="24"/>
        </w:rPr>
        <w:t>’</w:t>
      </w:r>
      <w:r w:rsidR="00442E44" w:rsidRPr="00A04778">
        <w:rPr>
          <w:szCs w:val="24"/>
        </w:rPr>
        <w:t>appliquer la préclusion découlant d</w:t>
      </w:r>
      <w:r w:rsidR="00B0685C">
        <w:rPr>
          <w:szCs w:val="24"/>
        </w:rPr>
        <w:t>’</w:t>
      </w:r>
      <w:r w:rsidR="00442E44" w:rsidRPr="00A04778">
        <w:rPr>
          <w:szCs w:val="24"/>
        </w:rPr>
        <w:t>une question déjà tranchée dans le contexte d</w:t>
      </w:r>
      <w:r w:rsidR="004A701B" w:rsidRPr="00A04778">
        <w:rPr>
          <w:szCs w:val="24"/>
        </w:rPr>
        <w:t>e ces</w:t>
      </w:r>
      <w:r w:rsidR="00442E44" w:rsidRPr="00A04778">
        <w:rPr>
          <w:szCs w:val="24"/>
        </w:rPr>
        <w:t xml:space="preserve"> procédure</w:t>
      </w:r>
      <w:r w:rsidR="004A701B" w:rsidRPr="00A04778">
        <w:rPr>
          <w:szCs w:val="24"/>
        </w:rPr>
        <w:t>s</w:t>
      </w:r>
      <w:r w:rsidR="00442E44" w:rsidRPr="00A04778">
        <w:rPr>
          <w:szCs w:val="24"/>
        </w:rPr>
        <w:t xml:space="preserve"> disciplinaire</w:t>
      </w:r>
      <w:r w:rsidR="004A701B" w:rsidRPr="00A04778">
        <w:rPr>
          <w:szCs w:val="24"/>
        </w:rPr>
        <w:t>s</w:t>
      </w:r>
      <w:r w:rsidR="00442E44" w:rsidRPr="00A04778">
        <w:rPr>
          <w:szCs w:val="24"/>
        </w:rPr>
        <w:t xml:space="preserve"> signifierait que les décisions ne seraient pas définitives ou ne lieraient pas les parties et qu</w:t>
      </w:r>
      <w:r w:rsidR="00B0685C">
        <w:rPr>
          <w:szCs w:val="24"/>
        </w:rPr>
        <w:t>’</w:t>
      </w:r>
      <w:r w:rsidR="00442E44" w:rsidRPr="00A04778">
        <w:rPr>
          <w:szCs w:val="24"/>
        </w:rPr>
        <w:t xml:space="preserve">elles </w:t>
      </w:r>
      <w:r w:rsidR="00442E44" w:rsidRPr="00A04778">
        <w:rPr>
          <w:szCs w:val="24"/>
        </w:rPr>
        <w:lastRenderedPageBreak/>
        <w:t>pourraient être remises en cause et donner lieu à des résultats contradictoires.</w:t>
      </w:r>
      <w:r w:rsidR="00D5020D" w:rsidRPr="00A04778">
        <w:t xml:space="preserve">  </w:t>
      </w:r>
      <w:r w:rsidR="00442E44" w:rsidRPr="00A04778">
        <w:t xml:space="preserve">Cela minerait la confiance du public quant à la fiabilité du processus de plainte </w:t>
      </w:r>
      <w:r w:rsidR="004A701B" w:rsidRPr="00A04778">
        <w:t>et à</w:t>
      </w:r>
      <w:r w:rsidR="00442E44" w:rsidRPr="00A04778">
        <w:t xml:space="preserve"> l</w:t>
      </w:r>
      <w:r w:rsidR="00B0685C">
        <w:t>’</w:t>
      </w:r>
      <w:r w:rsidR="00442E44" w:rsidRPr="00A04778">
        <w:t>intégrité du processus de prise de décision administrative de manière plus large.</w:t>
      </w:r>
    </w:p>
    <w:p w:rsidR="00442E44" w:rsidRPr="00A04778" w:rsidRDefault="001A38E2" w:rsidP="001A38E2">
      <w:pPr>
        <w:pStyle w:val="SCCNormalDoubleSpacing"/>
        <w:tabs>
          <w:tab w:val="clear" w:pos="1168"/>
          <w:tab w:val="left" w:pos="1170"/>
        </w:tabs>
        <w:spacing w:after="480"/>
        <w:rPr>
          <w:szCs w:val="24"/>
        </w:rPr>
      </w:pPr>
      <w:r w:rsidRPr="00A04778">
        <w:rPr>
          <w:szCs w:val="24"/>
        </w:rPr>
        <w:tab/>
      </w:r>
      <w:r w:rsidR="00442E44" w:rsidRPr="00A04778">
        <w:rPr>
          <w:szCs w:val="24"/>
        </w:rPr>
        <w:t>La méthode de nomination de l</w:t>
      </w:r>
      <w:r w:rsidR="00B0685C">
        <w:rPr>
          <w:szCs w:val="24"/>
        </w:rPr>
        <w:t>’</w:t>
      </w:r>
      <w:r w:rsidR="00442E44" w:rsidRPr="00A04778">
        <w:rPr>
          <w:szCs w:val="24"/>
        </w:rPr>
        <w:t xml:space="preserve">arbitre </w:t>
      </w:r>
      <w:r w:rsidR="004A701B" w:rsidRPr="00A04778">
        <w:rPr>
          <w:szCs w:val="24"/>
        </w:rPr>
        <w:t>en l</w:t>
      </w:r>
      <w:r w:rsidR="00B0685C">
        <w:rPr>
          <w:szCs w:val="24"/>
        </w:rPr>
        <w:t>’</w:t>
      </w:r>
      <w:r w:rsidR="004A701B" w:rsidRPr="00A04778">
        <w:rPr>
          <w:szCs w:val="24"/>
        </w:rPr>
        <w:t xml:space="preserve">espèce </w:t>
      </w:r>
      <w:r w:rsidR="00442E44" w:rsidRPr="00A04778">
        <w:rPr>
          <w:szCs w:val="24"/>
        </w:rPr>
        <w:t>ne devrait pas non plus justifier l</w:t>
      </w:r>
      <w:r w:rsidR="00B0685C">
        <w:rPr>
          <w:szCs w:val="24"/>
        </w:rPr>
        <w:t>’</w:t>
      </w:r>
      <w:r w:rsidR="00442E44" w:rsidRPr="00A04778">
        <w:rPr>
          <w:szCs w:val="24"/>
        </w:rPr>
        <w:t xml:space="preserve">exercice par la cour de son pouvoir discrétionnaire de </w:t>
      </w:r>
      <w:r w:rsidR="004A701B" w:rsidRPr="00A04778">
        <w:rPr>
          <w:szCs w:val="24"/>
        </w:rPr>
        <w:t xml:space="preserve">manière à </w:t>
      </w:r>
      <w:r w:rsidR="00442E44" w:rsidRPr="00A04778">
        <w:rPr>
          <w:szCs w:val="24"/>
        </w:rPr>
        <w:t>refuser d</w:t>
      </w:r>
      <w:r w:rsidR="00B0685C">
        <w:rPr>
          <w:szCs w:val="24"/>
        </w:rPr>
        <w:t>’</w:t>
      </w:r>
      <w:r w:rsidR="00442E44" w:rsidRPr="00A04778">
        <w:rPr>
          <w:szCs w:val="24"/>
        </w:rPr>
        <w:t>appliquer la préclusion découlant d</w:t>
      </w:r>
      <w:r w:rsidR="00B0685C">
        <w:rPr>
          <w:szCs w:val="24"/>
        </w:rPr>
        <w:t>’</w:t>
      </w:r>
      <w:r w:rsidR="00442E44" w:rsidRPr="00A04778">
        <w:rPr>
          <w:szCs w:val="24"/>
        </w:rPr>
        <w:t>une question déjà tranchée.  Le chef de police a désigné un poursuivant de l</w:t>
      </w:r>
      <w:r w:rsidR="00B0685C">
        <w:rPr>
          <w:szCs w:val="24"/>
        </w:rPr>
        <w:t>’</w:t>
      </w:r>
      <w:r w:rsidR="00442E44" w:rsidRPr="00A04778">
        <w:rPr>
          <w:szCs w:val="24"/>
        </w:rPr>
        <w:t xml:space="preserve">extérieur et un arbitre indépendant. </w:t>
      </w:r>
      <w:r w:rsidR="00B0685C">
        <w:rPr>
          <w:szCs w:val="24"/>
        </w:rPr>
        <w:t xml:space="preserve"> </w:t>
      </w:r>
      <w:r w:rsidR="00442E44" w:rsidRPr="00A04778">
        <w:rPr>
          <w:szCs w:val="24"/>
        </w:rPr>
        <w:t>Des modes de nomination similaires sont plutôt fréquents dans d</w:t>
      </w:r>
      <w:r w:rsidR="00B0685C">
        <w:rPr>
          <w:szCs w:val="24"/>
        </w:rPr>
        <w:t>’</w:t>
      </w:r>
      <w:r w:rsidR="00442E44" w:rsidRPr="00A04778">
        <w:rPr>
          <w:szCs w:val="24"/>
        </w:rPr>
        <w:t>autres domaines du droit et ne sont pas considérés comme un obstacle à l</w:t>
      </w:r>
      <w:r w:rsidR="00B0685C">
        <w:rPr>
          <w:szCs w:val="24"/>
        </w:rPr>
        <w:t>’</w:t>
      </w:r>
      <w:r w:rsidR="00442E44" w:rsidRPr="00A04778">
        <w:rPr>
          <w:szCs w:val="24"/>
        </w:rPr>
        <w:t>indépendance du processus décisionnel.  Le mandat de longue durée n</w:t>
      </w:r>
      <w:r w:rsidR="00B0685C">
        <w:rPr>
          <w:szCs w:val="24"/>
        </w:rPr>
        <w:t>’</w:t>
      </w:r>
      <w:r w:rsidR="00442E44" w:rsidRPr="00A04778">
        <w:rPr>
          <w:szCs w:val="24"/>
        </w:rPr>
        <w:t>est pas le seul critère ou la seule condition de l</w:t>
      </w:r>
      <w:r w:rsidR="00B0685C">
        <w:rPr>
          <w:szCs w:val="24"/>
        </w:rPr>
        <w:t>’</w:t>
      </w:r>
      <w:r w:rsidR="00442E44" w:rsidRPr="00A04778">
        <w:rPr>
          <w:szCs w:val="24"/>
        </w:rPr>
        <w:t>indépendance du processus décisionnel.</w:t>
      </w:r>
    </w:p>
    <w:p w:rsidR="007E1C47" w:rsidRPr="00A04778" w:rsidRDefault="0043088E" w:rsidP="001A38E2">
      <w:pPr>
        <w:pStyle w:val="SCCNormalDoubleSpacing"/>
        <w:keepNext/>
        <w:spacing w:after="720" w:line="240" w:lineRule="auto"/>
        <w:rPr>
          <w:b/>
        </w:rPr>
      </w:pPr>
      <w:r w:rsidRPr="00A04778">
        <w:rPr>
          <w:b/>
        </w:rPr>
        <w:t>Jurisprudence</w:t>
      </w:r>
    </w:p>
    <w:p w:rsidR="00FA2F3D" w:rsidRPr="00A04778" w:rsidRDefault="00FA2F3D" w:rsidP="001A38E2">
      <w:pPr>
        <w:pStyle w:val="SCCNormalDoubleSpacing"/>
        <w:keepNext/>
        <w:spacing w:after="720" w:line="240" w:lineRule="auto"/>
      </w:pPr>
      <w:r w:rsidRPr="00A04778">
        <w:t>Citée par les juges Cromwell et Karakatsanis</w:t>
      </w:r>
    </w:p>
    <w:p w:rsidR="002E6705" w:rsidRPr="00A04778" w:rsidRDefault="004934FB" w:rsidP="00381F17">
      <w:pPr>
        <w:pStyle w:val="SCCNormalDoubleSpacing"/>
        <w:widowControl w:val="0"/>
        <w:spacing w:after="480"/>
        <w:rPr>
          <w:b/>
          <w:lang w:val="en-US"/>
        </w:rPr>
      </w:pPr>
      <w:r w:rsidRPr="00A04778">
        <w:rPr>
          <w:b/>
        </w:rPr>
        <w:tab/>
        <w:t>Arrêt appliqué :</w:t>
      </w:r>
      <w:r w:rsidRPr="00A04778">
        <w:rPr>
          <w:i/>
        </w:rPr>
        <w:t xml:space="preserve"> Danyluk c. Ainsworth Technologies Inc.</w:t>
      </w:r>
      <w:r w:rsidRPr="00A04778">
        <w:t xml:space="preserve">, 2001 CSC 44, [2001] 2 R.C.S. 460; </w:t>
      </w:r>
      <w:r w:rsidRPr="00A04778">
        <w:rPr>
          <w:b/>
        </w:rPr>
        <w:t>ar</w:t>
      </w:r>
      <w:r w:rsidR="0043088E" w:rsidRPr="00A04778">
        <w:rPr>
          <w:b/>
        </w:rPr>
        <w:t>rêts mentionnés</w:t>
      </w:r>
      <w:r w:rsidR="001A38E2" w:rsidRPr="00A04778">
        <w:rPr>
          <w:b/>
        </w:rPr>
        <w:t> :</w:t>
      </w:r>
      <w:r w:rsidR="00172A04" w:rsidRPr="00A04778">
        <w:t xml:space="preserve"> </w:t>
      </w:r>
      <w:r w:rsidR="00B80CF7" w:rsidRPr="00A04778">
        <w:rPr>
          <w:i/>
          <w:szCs w:val="24"/>
        </w:rPr>
        <w:t>Parker c. Niagara Regional Police Service</w:t>
      </w:r>
      <w:r w:rsidR="00B80CF7" w:rsidRPr="00A04778">
        <w:rPr>
          <w:szCs w:val="24"/>
        </w:rPr>
        <w:t xml:space="preserve"> (2008), 232 O.A.C. 317; </w:t>
      </w:r>
      <w:r w:rsidR="00FF2870" w:rsidRPr="00A04778">
        <w:rPr>
          <w:i/>
        </w:rPr>
        <w:t>Elsom c. Elsom</w:t>
      </w:r>
      <w:r w:rsidR="00FF2870" w:rsidRPr="00A04778">
        <w:t xml:space="preserve">, [1989] 1 R.C.S. 1367; </w:t>
      </w:r>
      <w:r w:rsidR="00FF2870" w:rsidRPr="00A04778">
        <w:rPr>
          <w:i/>
        </w:rPr>
        <w:t>Friends of the Oldman River Society c. Canada (Ministre des Transports)</w:t>
      </w:r>
      <w:r w:rsidR="00FF2870" w:rsidRPr="00A04778">
        <w:t>, [1992] 1 R.C.S. 3</w:t>
      </w:r>
      <w:r w:rsidR="00120698" w:rsidRPr="00A04778">
        <w:t xml:space="preserve">; </w:t>
      </w:r>
      <w:r w:rsidR="00120698" w:rsidRPr="00A04778">
        <w:rPr>
          <w:i/>
        </w:rPr>
        <w:t>Toronto (Ville) c. S.C.F.P., section locale 79</w:t>
      </w:r>
      <w:r w:rsidR="00120698" w:rsidRPr="00A04778">
        <w:t>, 2003 CSC 63, [2003] 3 R.C.S. 77</w:t>
      </w:r>
      <w:r w:rsidR="00D0313A" w:rsidRPr="00A04778">
        <w:t xml:space="preserve">; </w:t>
      </w:r>
      <w:r w:rsidR="00D0313A" w:rsidRPr="00A04778">
        <w:rPr>
          <w:i/>
        </w:rPr>
        <w:t>Dunsmuir c. Nouveau</w:t>
      </w:r>
      <w:r w:rsidR="001A38E2" w:rsidRPr="00A04778">
        <w:rPr>
          <w:i/>
        </w:rPr>
        <w:noBreakHyphen/>
      </w:r>
      <w:r w:rsidR="00D0313A" w:rsidRPr="00A04778">
        <w:rPr>
          <w:i/>
        </w:rPr>
        <w:t>Brunswick</w:t>
      </w:r>
      <w:r w:rsidR="00D0313A" w:rsidRPr="00A04778">
        <w:t>, 2008 CSC 9, [2008] 1 R.C.S. 190</w:t>
      </w:r>
      <w:r w:rsidR="0051316C" w:rsidRPr="00A04778">
        <w:t xml:space="preserve">; </w:t>
      </w:r>
      <w:r w:rsidR="0051316C" w:rsidRPr="00A04778">
        <w:rPr>
          <w:i/>
        </w:rPr>
        <w:t xml:space="preserve">Sharma c. </w:t>
      </w:r>
      <w:r w:rsidR="0051316C" w:rsidRPr="00A04778">
        <w:rPr>
          <w:i/>
        </w:rPr>
        <w:lastRenderedPageBreak/>
        <w:t>Waterloo Regional Police Service</w:t>
      </w:r>
      <w:r w:rsidR="0051316C" w:rsidRPr="00A04778">
        <w:t xml:space="preserve"> (2006), 213 O.A.C. 371</w:t>
      </w:r>
      <w:r w:rsidR="005D5DDA" w:rsidRPr="00A04778">
        <w:t xml:space="preserve">; </w:t>
      </w:r>
      <w:r w:rsidR="005D5DDA" w:rsidRPr="00A04778">
        <w:rPr>
          <w:i/>
        </w:rPr>
        <w:t>Minott c. O</w:t>
      </w:r>
      <w:r w:rsidR="00B0685C">
        <w:rPr>
          <w:i/>
        </w:rPr>
        <w:t>’</w:t>
      </w:r>
      <w:r w:rsidR="005D5DDA" w:rsidRPr="00A04778">
        <w:rPr>
          <w:i/>
        </w:rPr>
        <w:t>Shanter Development Co.</w:t>
      </w:r>
      <w:r w:rsidR="005D5DDA" w:rsidRPr="00A04778">
        <w:t xml:space="preserve"> </w:t>
      </w:r>
      <w:r w:rsidR="005D5DDA" w:rsidRPr="00A04778">
        <w:rPr>
          <w:szCs w:val="24"/>
          <w:lang w:val="en-US"/>
        </w:rPr>
        <w:t>(1999), 42 O.R. (3d) 321</w:t>
      </w:r>
      <w:r w:rsidR="002A651F" w:rsidRPr="00A04778">
        <w:rPr>
          <w:szCs w:val="24"/>
          <w:lang w:val="en-US"/>
        </w:rPr>
        <w:t>;</w:t>
      </w:r>
      <w:r w:rsidR="002A651F" w:rsidRPr="00A04778">
        <w:rPr>
          <w:i/>
          <w:szCs w:val="24"/>
          <w:lang w:val="en-US"/>
        </w:rPr>
        <w:t xml:space="preserve"> Schweneke c. Ontario</w:t>
      </w:r>
      <w:r w:rsidR="002A651F" w:rsidRPr="00A04778">
        <w:rPr>
          <w:szCs w:val="24"/>
          <w:lang w:val="en-US"/>
        </w:rPr>
        <w:t xml:space="preserve"> (2000</w:t>
      </w:r>
      <w:r w:rsidR="002A651F" w:rsidRPr="00A04778">
        <w:rPr>
          <w:lang w:val="en-US"/>
        </w:rPr>
        <w:t>), 47 O.R. (3d) 97</w:t>
      </w:r>
      <w:r w:rsidR="00455E79" w:rsidRPr="00A04778">
        <w:rPr>
          <w:lang w:val="en-US"/>
        </w:rPr>
        <w:t xml:space="preserve">; </w:t>
      </w:r>
      <w:r w:rsidR="00455E79" w:rsidRPr="00A04778">
        <w:rPr>
          <w:i/>
          <w:szCs w:val="24"/>
          <w:lang w:val="en-US"/>
        </w:rPr>
        <w:t>British Columbia (Minister of Forests) c. Bugbusters Pest Management Inc.</w:t>
      </w:r>
      <w:r w:rsidR="00455E79" w:rsidRPr="00A04778">
        <w:rPr>
          <w:szCs w:val="24"/>
          <w:lang w:val="en-US"/>
        </w:rPr>
        <w:t xml:space="preserve"> (1998), 50 B.C.L.R. (3d) 1</w:t>
      </w:r>
      <w:r w:rsidRPr="00A04778">
        <w:rPr>
          <w:szCs w:val="24"/>
          <w:lang w:val="en-US"/>
        </w:rPr>
        <w:t xml:space="preserve">; </w:t>
      </w:r>
      <w:r w:rsidRPr="00A04778">
        <w:rPr>
          <w:i/>
          <w:szCs w:val="24"/>
          <w:lang w:val="en-US"/>
        </w:rPr>
        <w:t>Burchill c. Yukon (Commissioner)</w:t>
      </w:r>
      <w:r w:rsidRPr="00A04778">
        <w:rPr>
          <w:szCs w:val="24"/>
          <w:lang w:val="en-US"/>
        </w:rPr>
        <w:t>, 2002 YKCA 4</w:t>
      </w:r>
      <w:r w:rsidR="00A47B5A">
        <w:rPr>
          <w:szCs w:val="24"/>
          <w:lang w:val="en-US"/>
        </w:rPr>
        <w:t xml:space="preserve"> (CanLII)</w:t>
      </w:r>
      <w:r w:rsidR="001F72AD" w:rsidRPr="00A04778">
        <w:rPr>
          <w:szCs w:val="24"/>
          <w:lang w:val="en-US"/>
        </w:rPr>
        <w:t xml:space="preserve">; </w:t>
      </w:r>
      <w:r w:rsidR="001F72AD" w:rsidRPr="00A04778">
        <w:rPr>
          <w:i/>
          <w:szCs w:val="24"/>
          <w:lang w:val="en-US"/>
        </w:rPr>
        <w:t>Porter c. York (Regional Municipality) Police</w:t>
      </w:r>
      <w:r w:rsidR="004868CC" w:rsidRPr="00A04778">
        <w:rPr>
          <w:szCs w:val="24"/>
          <w:lang w:val="en-US"/>
        </w:rPr>
        <w:t xml:space="preserve">, [2001] O.J. </w:t>
      </w:r>
      <w:r w:rsidR="001A38E2" w:rsidRPr="00A04778">
        <w:rPr>
          <w:szCs w:val="24"/>
          <w:lang w:val="en-US"/>
        </w:rPr>
        <w:t>No. </w:t>
      </w:r>
      <w:r w:rsidR="001F72AD" w:rsidRPr="00A04778">
        <w:rPr>
          <w:szCs w:val="24"/>
          <w:lang w:val="en-US"/>
        </w:rPr>
        <w:t>5970 (QL)</w:t>
      </w:r>
      <w:r w:rsidR="00FF2870" w:rsidRPr="00A04778">
        <w:rPr>
          <w:lang w:val="en-US"/>
        </w:rPr>
        <w:t>.</w:t>
      </w:r>
    </w:p>
    <w:p w:rsidR="00FA2F3D" w:rsidRPr="00A04778" w:rsidRDefault="00FA2F3D" w:rsidP="001A38E2">
      <w:pPr>
        <w:pStyle w:val="SCCNormalDoubleSpacing"/>
        <w:keepNext/>
        <w:spacing w:after="720" w:line="240" w:lineRule="auto"/>
      </w:pPr>
      <w:r w:rsidRPr="00A04778">
        <w:t>Citée par les juges LeBel et Abella</w:t>
      </w:r>
      <w:r w:rsidR="00697E52" w:rsidRPr="00A04778">
        <w:t xml:space="preserve"> (dissidents)</w:t>
      </w:r>
    </w:p>
    <w:p w:rsidR="007834A8" w:rsidRPr="00A04778" w:rsidRDefault="00FA2F3D" w:rsidP="00381F17">
      <w:pPr>
        <w:pStyle w:val="SCCNormalDoubleSpacing"/>
        <w:spacing w:after="480"/>
        <w:rPr>
          <w:b/>
        </w:rPr>
      </w:pPr>
      <w:r w:rsidRPr="00A04778">
        <w:tab/>
      </w:r>
      <w:r w:rsidR="00466632" w:rsidRPr="00A04778">
        <w:rPr>
          <w:i/>
          <w:szCs w:val="24"/>
        </w:rPr>
        <w:t>Colombie</w:t>
      </w:r>
      <w:r w:rsidR="001A38E2" w:rsidRPr="00A04778">
        <w:rPr>
          <w:i/>
          <w:szCs w:val="24"/>
        </w:rPr>
        <w:noBreakHyphen/>
      </w:r>
      <w:r w:rsidR="00466632" w:rsidRPr="00A04778">
        <w:rPr>
          <w:i/>
          <w:szCs w:val="24"/>
        </w:rPr>
        <w:t>Britannique (Workers</w:t>
      </w:r>
      <w:r w:rsidR="00B0685C">
        <w:rPr>
          <w:i/>
          <w:szCs w:val="24"/>
        </w:rPr>
        <w:t>’</w:t>
      </w:r>
      <w:r w:rsidR="00466632" w:rsidRPr="00A04778">
        <w:rPr>
          <w:i/>
          <w:szCs w:val="24"/>
        </w:rPr>
        <w:t xml:space="preserve"> Compensation Board) c. Figliola</w:t>
      </w:r>
      <w:r w:rsidR="00466632" w:rsidRPr="00A04778">
        <w:rPr>
          <w:szCs w:val="24"/>
        </w:rPr>
        <w:t>, 2011 CSC 52, [2011] 3 R.C.S. 422</w:t>
      </w:r>
      <w:r w:rsidR="003D696F" w:rsidRPr="00A04778">
        <w:t xml:space="preserve">; </w:t>
      </w:r>
      <w:r w:rsidR="003D696F" w:rsidRPr="00A04778">
        <w:rPr>
          <w:i/>
        </w:rPr>
        <w:t>Danyluk c. Ainsworth Technologies Inc.</w:t>
      </w:r>
      <w:r w:rsidR="003D696F" w:rsidRPr="00A04778">
        <w:t xml:space="preserve">, 2001 CSC 44, [2001] 2 R.C.S. 460; </w:t>
      </w:r>
      <w:r w:rsidR="003D696F" w:rsidRPr="00A04778">
        <w:rPr>
          <w:i/>
        </w:rPr>
        <w:t>Dunsmuir c. Nouveau</w:t>
      </w:r>
      <w:r w:rsidR="001A38E2" w:rsidRPr="00A04778">
        <w:rPr>
          <w:i/>
        </w:rPr>
        <w:noBreakHyphen/>
      </w:r>
      <w:r w:rsidR="003D696F" w:rsidRPr="00A04778">
        <w:rPr>
          <w:i/>
        </w:rPr>
        <w:t>Brunswick</w:t>
      </w:r>
      <w:r w:rsidR="003D696F" w:rsidRPr="00A04778">
        <w:t>, 2008 CSC 9, [2008] 1 R.C.S. 190;</w:t>
      </w:r>
      <w:r w:rsidR="003D696F" w:rsidRPr="00A04778">
        <w:rPr>
          <w:szCs w:val="24"/>
        </w:rPr>
        <w:t xml:space="preserve"> </w:t>
      </w:r>
      <w:r w:rsidR="003D696F" w:rsidRPr="00A04778">
        <w:rPr>
          <w:i/>
          <w:szCs w:val="24"/>
        </w:rPr>
        <w:t>Smith c. Alliance Pipeline Ltd.</w:t>
      </w:r>
      <w:r w:rsidR="003D696F" w:rsidRPr="00A04778">
        <w:rPr>
          <w:szCs w:val="24"/>
        </w:rPr>
        <w:t xml:space="preserve">, 2011 CSC 7, [2011] 1 R.C.S. 160; </w:t>
      </w:r>
      <w:r w:rsidR="003D696F" w:rsidRPr="00A04778">
        <w:rPr>
          <w:i/>
          <w:szCs w:val="24"/>
        </w:rPr>
        <w:t>Canada (Commission canadienne des droits de la personne) c. Canada (Procureur général)</w:t>
      </w:r>
      <w:r w:rsidR="003D696F" w:rsidRPr="00A04778">
        <w:rPr>
          <w:szCs w:val="24"/>
        </w:rPr>
        <w:t>, 2011 CSC 53, [2011] 3 R.C.S. 4</w:t>
      </w:r>
      <w:r w:rsidR="008266AB" w:rsidRPr="00A04778">
        <w:rPr>
          <w:szCs w:val="24"/>
        </w:rPr>
        <w:t>7</w:t>
      </w:r>
      <w:r w:rsidR="003D696F" w:rsidRPr="00A04778">
        <w:rPr>
          <w:szCs w:val="24"/>
        </w:rPr>
        <w:t xml:space="preserve">1; </w:t>
      </w:r>
      <w:r w:rsidR="003D696F" w:rsidRPr="00A04778">
        <w:rPr>
          <w:i/>
          <w:iCs/>
        </w:rPr>
        <w:t>Carl Zeiss Stiftung c. Rayner &amp; Keeler Ltd. (</w:t>
      </w:r>
      <w:r w:rsidR="001A38E2" w:rsidRPr="00A04778">
        <w:rPr>
          <w:i/>
          <w:iCs/>
        </w:rPr>
        <w:t>No. </w:t>
      </w:r>
      <w:r w:rsidR="003D696F" w:rsidRPr="00A04778">
        <w:rPr>
          <w:i/>
          <w:iCs/>
        </w:rPr>
        <w:t>2)</w:t>
      </w:r>
      <w:r w:rsidR="003D696F" w:rsidRPr="00A04778">
        <w:t xml:space="preserve">, </w:t>
      </w:r>
      <w:bookmarkStart w:id="0" w:name="reflex-caselaw-69207569"/>
      <w:bookmarkEnd w:id="0"/>
      <w:r w:rsidR="003D696F" w:rsidRPr="00A04778">
        <w:t>[1967] 1 A.C. 853</w:t>
      </w:r>
      <w:r w:rsidR="003D696F" w:rsidRPr="00A04778">
        <w:rPr>
          <w:szCs w:val="24"/>
        </w:rPr>
        <w:t xml:space="preserve">; </w:t>
      </w:r>
      <w:r w:rsidR="00690A81" w:rsidRPr="00A04778">
        <w:rPr>
          <w:i/>
          <w:szCs w:val="24"/>
        </w:rPr>
        <w:t>Parker c. Niagara Regional Police Service</w:t>
      </w:r>
      <w:r w:rsidR="00690A81" w:rsidRPr="00A04778">
        <w:rPr>
          <w:szCs w:val="24"/>
        </w:rPr>
        <w:t xml:space="preserve"> (2008), 232 O.A.C. 317</w:t>
      </w:r>
      <w:r w:rsidR="00CB17F1" w:rsidRPr="00A04778">
        <w:t xml:space="preserve">; </w:t>
      </w:r>
      <w:r w:rsidR="00CB17F1" w:rsidRPr="00A04778">
        <w:rPr>
          <w:i/>
        </w:rPr>
        <w:t>EnerNorth Industries Inc., Re</w:t>
      </w:r>
      <w:r w:rsidR="00CB17F1" w:rsidRPr="00A04778">
        <w:t>,</w:t>
      </w:r>
      <w:r w:rsidR="00CB17F1" w:rsidRPr="00A04778">
        <w:rPr>
          <w:i/>
        </w:rPr>
        <w:t xml:space="preserve"> </w:t>
      </w:r>
      <w:r w:rsidR="00CB17F1" w:rsidRPr="00A04778">
        <w:t>2009 ONCA 536, 96 O.R. (3d) 1</w:t>
      </w:r>
      <w:r w:rsidR="00743349" w:rsidRPr="00A04778">
        <w:t xml:space="preserve">; </w:t>
      </w:r>
      <w:r w:rsidR="00743349" w:rsidRPr="00A04778">
        <w:rPr>
          <w:bCs/>
          <w:i/>
          <w:iCs/>
        </w:rPr>
        <w:t xml:space="preserve">Tsaoussis (Litigation Guardian of) c. Baetz </w:t>
      </w:r>
      <w:r w:rsidR="00743349" w:rsidRPr="00A04778">
        <w:rPr>
          <w:bCs/>
          <w:iCs/>
        </w:rPr>
        <w:t>(1998), 41 O.R. (3d) 257</w:t>
      </w:r>
      <w:r w:rsidR="00DB142E" w:rsidRPr="00A04778">
        <w:rPr>
          <w:bCs/>
          <w:iCs/>
        </w:rPr>
        <w:t xml:space="preserve">, autorisation </w:t>
      </w:r>
      <w:r w:rsidR="00A47B5A">
        <w:rPr>
          <w:bCs/>
          <w:iCs/>
        </w:rPr>
        <w:t>de pourvoi</w:t>
      </w:r>
      <w:r w:rsidR="00DB142E" w:rsidRPr="00A04778">
        <w:rPr>
          <w:bCs/>
          <w:iCs/>
        </w:rPr>
        <w:t xml:space="preserve"> refusée, [1999] 1 R.C.S. xiv</w:t>
      </w:r>
      <w:r w:rsidR="001E5CEB" w:rsidRPr="00A04778">
        <w:rPr>
          <w:bCs/>
          <w:iCs/>
        </w:rPr>
        <w:t xml:space="preserve">; </w:t>
      </w:r>
      <w:r w:rsidR="001E5CEB" w:rsidRPr="00A04778">
        <w:rPr>
          <w:i/>
        </w:rPr>
        <w:t>Revane c. Homersham</w:t>
      </w:r>
      <w:r w:rsidR="001E5CEB" w:rsidRPr="00A04778">
        <w:t>,</w:t>
      </w:r>
      <w:r w:rsidR="001E5CEB" w:rsidRPr="00A04778">
        <w:rPr>
          <w:i/>
        </w:rPr>
        <w:t xml:space="preserve"> </w:t>
      </w:r>
      <w:r w:rsidR="001E5CEB" w:rsidRPr="00A04778">
        <w:t xml:space="preserve">2006 BCCA 8, 53 B.C.L.R. (4th) 76; </w:t>
      </w:r>
      <w:r w:rsidR="00A47B5A">
        <w:rPr>
          <w:i/>
        </w:rPr>
        <w:t>Angle c. Ministre du Revenu N</w:t>
      </w:r>
      <w:r w:rsidR="001E5CEB" w:rsidRPr="00A04778">
        <w:rPr>
          <w:i/>
        </w:rPr>
        <w:t>ational</w:t>
      </w:r>
      <w:r w:rsidR="001E5CEB" w:rsidRPr="00A04778">
        <w:t>,</w:t>
      </w:r>
      <w:r w:rsidR="001E5CEB" w:rsidRPr="00A04778">
        <w:rPr>
          <w:i/>
        </w:rPr>
        <w:t xml:space="preserve"> </w:t>
      </w:r>
      <w:r w:rsidR="001E5CEB" w:rsidRPr="00A04778">
        <w:t>[1975] 2 R.C.S. 248</w:t>
      </w:r>
      <w:r w:rsidR="00D27C6B" w:rsidRPr="00A04778">
        <w:t xml:space="preserve">; </w:t>
      </w:r>
      <w:r w:rsidR="00D27C6B" w:rsidRPr="00A04778">
        <w:rPr>
          <w:i/>
        </w:rPr>
        <w:t>Boucher c. Stelco Inc.</w:t>
      </w:r>
      <w:r w:rsidR="00D27C6B" w:rsidRPr="00A04778">
        <w:t>, 2005 CSC 64, [2005] 3 R.C.S. 279</w:t>
      </w:r>
      <w:r w:rsidR="001C4257" w:rsidRPr="00A04778">
        <w:t xml:space="preserve">; </w:t>
      </w:r>
      <w:r w:rsidR="001C4257" w:rsidRPr="00A04778">
        <w:rPr>
          <w:bCs/>
          <w:i/>
        </w:rPr>
        <w:t>Rasanen c. Rosemount Instruments Ltd.</w:t>
      </w:r>
      <w:r w:rsidR="001C4257" w:rsidRPr="00A04778">
        <w:rPr>
          <w:bCs/>
        </w:rPr>
        <w:t xml:space="preserve"> (1994), </w:t>
      </w:r>
      <w:r w:rsidR="001C4257" w:rsidRPr="00A04778">
        <w:rPr>
          <w:rStyle w:val="canliicitation"/>
        </w:rPr>
        <w:t>17 O.R. (3d) 267</w:t>
      </w:r>
      <w:r w:rsidR="00903BBC" w:rsidRPr="00A04778">
        <w:rPr>
          <w:szCs w:val="24"/>
        </w:rPr>
        <w:t>;</w:t>
      </w:r>
      <w:r w:rsidR="00903BBC" w:rsidRPr="00A04778">
        <w:rPr>
          <w:i/>
          <w:szCs w:val="24"/>
        </w:rPr>
        <w:t xml:space="preserve"> Schweneke c. Ontario</w:t>
      </w:r>
      <w:r w:rsidR="00903BBC" w:rsidRPr="00A04778">
        <w:rPr>
          <w:szCs w:val="24"/>
        </w:rPr>
        <w:t xml:space="preserve"> (2000</w:t>
      </w:r>
      <w:r w:rsidR="00903BBC" w:rsidRPr="00A04778">
        <w:t>), 47 O.R. (3d) 97</w:t>
      </w:r>
      <w:r w:rsidR="00CD40EC" w:rsidRPr="00A04778">
        <w:t xml:space="preserve">; </w:t>
      </w:r>
      <w:r w:rsidR="00CD40EC" w:rsidRPr="00A04778">
        <w:rPr>
          <w:i/>
        </w:rPr>
        <w:t>Newfoundland and Labrador Nurses</w:t>
      </w:r>
      <w:r w:rsidR="00B0685C">
        <w:rPr>
          <w:i/>
        </w:rPr>
        <w:t>’</w:t>
      </w:r>
      <w:r w:rsidR="00CD40EC" w:rsidRPr="00A04778">
        <w:rPr>
          <w:i/>
        </w:rPr>
        <w:t xml:space="preserve"> Union c. Terre</w:t>
      </w:r>
      <w:r w:rsidR="001A38E2" w:rsidRPr="00A04778">
        <w:rPr>
          <w:i/>
        </w:rPr>
        <w:noBreakHyphen/>
      </w:r>
      <w:r w:rsidR="00CD40EC" w:rsidRPr="00A04778">
        <w:rPr>
          <w:i/>
        </w:rPr>
        <w:t>Neuve</w:t>
      </w:r>
      <w:r w:rsidR="001A38E2" w:rsidRPr="00A04778">
        <w:rPr>
          <w:i/>
        </w:rPr>
        <w:noBreakHyphen/>
      </w:r>
      <w:r w:rsidR="00CD40EC" w:rsidRPr="00A04778">
        <w:rPr>
          <w:i/>
        </w:rPr>
        <w:t>et</w:t>
      </w:r>
      <w:r w:rsidR="001A38E2" w:rsidRPr="00A04778">
        <w:rPr>
          <w:i/>
        </w:rPr>
        <w:noBreakHyphen/>
      </w:r>
      <w:r w:rsidR="00CD40EC" w:rsidRPr="00A04778">
        <w:rPr>
          <w:i/>
        </w:rPr>
        <w:t>Labrador (Conseil du Trésor)</w:t>
      </w:r>
      <w:r w:rsidR="00CD40EC" w:rsidRPr="00A04778">
        <w:t>, 2011 CSC 62, [2011] 3 R.C.S. 708</w:t>
      </w:r>
      <w:r w:rsidR="00B80D8B" w:rsidRPr="00A04778">
        <w:t xml:space="preserve">; </w:t>
      </w:r>
      <w:r w:rsidR="00B80D8B" w:rsidRPr="00A04778">
        <w:rPr>
          <w:i/>
        </w:rPr>
        <w:t xml:space="preserve">Wong c. Shell Canada Ltd. </w:t>
      </w:r>
      <w:r w:rsidR="00B80D8B" w:rsidRPr="00A04778">
        <w:lastRenderedPageBreak/>
        <w:t>(1995), 174 A.R. 287, autorisation d</w:t>
      </w:r>
      <w:r w:rsidR="00A47B5A">
        <w:t>e pourvoi</w:t>
      </w:r>
      <w:r w:rsidR="00B80D8B" w:rsidRPr="00A04778">
        <w:t xml:space="preserve"> refusée</w:t>
      </w:r>
      <w:r w:rsidR="005C2BEC" w:rsidRPr="00A04778">
        <w:t>,</w:t>
      </w:r>
      <w:r w:rsidR="00B80D8B" w:rsidRPr="00A04778">
        <w:t xml:space="preserve"> [1996] 3 R.C.S. xiv</w:t>
      </w:r>
      <w:r w:rsidR="00633F3A" w:rsidRPr="00A04778">
        <w:rPr>
          <w:szCs w:val="24"/>
        </w:rPr>
        <w:t xml:space="preserve">; </w:t>
      </w:r>
      <w:r w:rsidR="00633F3A" w:rsidRPr="00A04778">
        <w:rPr>
          <w:i/>
          <w:szCs w:val="24"/>
        </w:rPr>
        <w:t>Porter c. York (Regional Municipality) Police</w:t>
      </w:r>
      <w:r w:rsidR="00633F3A" w:rsidRPr="00A04778">
        <w:rPr>
          <w:szCs w:val="24"/>
        </w:rPr>
        <w:t xml:space="preserve">, [2001] O.J. </w:t>
      </w:r>
      <w:r w:rsidR="001A38E2" w:rsidRPr="00A04778">
        <w:rPr>
          <w:szCs w:val="24"/>
        </w:rPr>
        <w:t>No. </w:t>
      </w:r>
      <w:r w:rsidR="00633F3A" w:rsidRPr="00A04778">
        <w:rPr>
          <w:szCs w:val="24"/>
        </w:rPr>
        <w:t>5970 (QL)</w:t>
      </w:r>
      <w:r w:rsidR="00466632" w:rsidRPr="00A04778">
        <w:t>.</w:t>
      </w:r>
    </w:p>
    <w:p w:rsidR="00231F3A" w:rsidRPr="00A04778" w:rsidRDefault="0043088E" w:rsidP="001A38E2">
      <w:pPr>
        <w:pStyle w:val="SCCNormalDoubleSpacing"/>
        <w:keepNext/>
        <w:spacing w:after="720" w:line="240" w:lineRule="auto"/>
        <w:rPr>
          <w:b/>
        </w:rPr>
      </w:pPr>
      <w:r w:rsidRPr="00A04778">
        <w:rPr>
          <w:b/>
        </w:rPr>
        <w:t>Lois</w:t>
      </w:r>
      <w:r w:rsidR="002E6705" w:rsidRPr="00A04778">
        <w:rPr>
          <w:b/>
        </w:rPr>
        <w:t xml:space="preserve"> </w:t>
      </w:r>
      <w:r w:rsidR="008A6558" w:rsidRPr="00A04778">
        <w:rPr>
          <w:b/>
        </w:rPr>
        <w:t>et</w:t>
      </w:r>
      <w:r w:rsidR="002E6705" w:rsidRPr="00A04778">
        <w:rPr>
          <w:b/>
        </w:rPr>
        <w:t xml:space="preserve"> </w:t>
      </w:r>
      <w:r w:rsidRPr="00A04778">
        <w:rPr>
          <w:b/>
        </w:rPr>
        <w:t>rè</w:t>
      </w:r>
      <w:r w:rsidR="002E6705" w:rsidRPr="00A04778">
        <w:rPr>
          <w:b/>
        </w:rPr>
        <w:t>gl</w:t>
      </w:r>
      <w:r w:rsidRPr="00A04778">
        <w:rPr>
          <w:b/>
        </w:rPr>
        <w:t>ements</w:t>
      </w:r>
      <w:r w:rsidR="002E6705" w:rsidRPr="00A04778">
        <w:rPr>
          <w:b/>
        </w:rPr>
        <w:t xml:space="preserve"> </w:t>
      </w:r>
      <w:r w:rsidRPr="00A04778">
        <w:rPr>
          <w:b/>
        </w:rPr>
        <w:t>c</w:t>
      </w:r>
      <w:r w:rsidR="002E6705" w:rsidRPr="00A04778">
        <w:rPr>
          <w:b/>
        </w:rPr>
        <w:t>it</w:t>
      </w:r>
      <w:r w:rsidRPr="00A04778">
        <w:rPr>
          <w:b/>
        </w:rPr>
        <w:t>és</w:t>
      </w:r>
    </w:p>
    <w:p w:rsidR="0092735B" w:rsidRPr="00A04778" w:rsidRDefault="0092735B" w:rsidP="004868CC">
      <w:pPr>
        <w:pStyle w:val="SCCNormalDoubleSpacing"/>
        <w:spacing w:after="240" w:line="240" w:lineRule="auto"/>
        <w:ind w:left="539" w:hanging="539"/>
      </w:pPr>
      <w:r w:rsidRPr="00A04778">
        <w:rPr>
          <w:i/>
        </w:rPr>
        <w:t>Loi sur l</w:t>
      </w:r>
      <w:r w:rsidR="00B0685C">
        <w:rPr>
          <w:i/>
        </w:rPr>
        <w:t>’</w:t>
      </w:r>
      <w:r w:rsidRPr="00A04778">
        <w:rPr>
          <w:i/>
        </w:rPr>
        <w:t>exercice des compétences légales</w:t>
      </w:r>
      <w:r w:rsidRPr="00A04778">
        <w:t xml:space="preserve">, L.R.O. 1990, </w:t>
      </w:r>
      <w:r w:rsidR="001A38E2" w:rsidRPr="00A04778">
        <w:t>ch. </w:t>
      </w:r>
      <w:r w:rsidRPr="00A04778">
        <w:t xml:space="preserve">S.22, </w:t>
      </w:r>
      <w:r w:rsidR="001A38E2" w:rsidRPr="00A04778">
        <w:t>art. </w:t>
      </w:r>
      <w:r w:rsidRPr="00A04778">
        <w:t>10, 10.1.</w:t>
      </w:r>
    </w:p>
    <w:p w:rsidR="002E1349" w:rsidRPr="00A04778" w:rsidRDefault="002E1349" w:rsidP="004868CC">
      <w:pPr>
        <w:pStyle w:val="SCCNormalDoubleSpacing"/>
        <w:spacing w:after="240" w:line="240" w:lineRule="auto"/>
        <w:ind w:left="539" w:hanging="539"/>
      </w:pPr>
      <w:r w:rsidRPr="00A04778">
        <w:rPr>
          <w:i/>
        </w:rPr>
        <w:t>Loi sur les infractions provinciales</w:t>
      </w:r>
      <w:r w:rsidRPr="00A04778">
        <w:t xml:space="preserve">, L.R.O. 1990, </w:t>
      </w:r>
      <w:r w:rsidR="001A38E2" w:rsidRPr="00A04778">
        <w:t>ch. </w:t>
      </w:r>
      <w:r w:rsidRPr="00A04778">
        <w:t>P.33.</w:t>
      </w:r>
    </w:p>
    <w:p w:rsidR="004C489D" w:rsidRDefault="004C489D" w:rsidP="004868CC">
      <w:pPr>
        <w:pStyle w:val="SCCNormalDoubleSpacing"/>
        <w:spacing w:after="240" w:line="240" w:lineRule="auto"/>
        <w:ind w:left="539" w:hanging="539"/>
      </w:pPr>
      <w:r w:rsidRPr="00A04778">
        <w:rPr>
          <w:i/>
        </w:rPr>
        <w:t xml:space="preserve">Loi sur les </w:t>
      </w:r>
      <w:r w:rsidR="00113C14" w:rsidRPr="00A04778">
        <w:rPr>
          <w:i/>
        </w:rPr>
        <w:t>s</w:t>
      </w:r>
      <w:r w:rsidRPr="00A04778">
        <w:rPr>
          <w:i/>
        </w:rPr>
        <w:t>ervices policiers</w:t>
      </w:r>
      <w:r w:rsidRPr="00A04778">
        <w:t xml:space="preserve">, L.R.O. 1990, </w:t>
      </w:r>
      <w:r w:rsidR="001A38E2" w:rsidRPr="00A04778">
        <w:t>ch. </w:t>
      </w:r>
      <w:r w:rsidRPr="00A04778">
        <w:t>P.15</w:t>
      </w:r>
      <w:r w:rsidR="00113C14" w:rsidRPr="00A04778">
        <w:t xml:space="preserve">, </w:t>
      </w:r>
      <w:r w:rsidR="00246199" w:rsidRPr="00A04778">
        <w:t>partie II, partie </w:t>
      </w:r>
      <w:r w:rsidR="00451233" w:rsidRPr="00A04778">
        <w:t xml:space="preserve">V, </w:t>
      </w:r>
      <w:r w:rsidR="001A38E2" w:rsidRPr="00A04778">
        <w:t>art. </w:t>
      </w:r>
      <w:r w:rsidR="00113C14" w:rsidRPr="00A04778">
        <w:t>56, 57</w:t>
      </w:r>
      <w:r w:rsidR="00D763F0" w:rsidRPr="00A04778">
        <w:t>, 60(4), 64(1), (7)</w:t>
      </w:r>
      <w:r w:rsidR="00F140BD" w:rsidRPr="00A04778">
        <w:t xml:space="preserve"> à (10</w:t>
      </w:r>
      <w:r w:rsidR="00CA01BB" w:rsidRPr="00A04778">
        <w:t>),</w:t>
      </w:r>
      <w:r w:rsidR="00D763F0" w:rsidRPr="00A04778">
        <w:t xml:space="preserve"> </w:t>
      </w:r>
      <w:r w:rsidR="0092735B" w:rsidRPr="00A04778">
        <w:t xml:space="preserve">68(1), (5), </w:t>
      </w:r>
      <w:r w:rsidR="00D763F0" w:rsidRPr="00A04778">
        <w:t>69</w:t>
      </w:r>
      <w:r w:rsidR="00CA01BB" w:rsidRPr="00A04778">
        <w:t xml:space="preserve">(3), (4), </w:t>
      </w:r>
      <w:r w:rsidR="00D763F0" w:rsidRPr="00A04778">
        <w:t>(7)</w:t>
      </w:r>
      <w:r w:rsidR="00CA01BB" w:rsidRPr="00A04778">
        <w:t>,</w:t>
      </w:r>
      <w:r w:rsidR="00335A45" w:rsidRPr="00A04778">
        <w:t xml:space="preserve"> </w:t>
      </w:r>
      <w:r w:rsidR="00D76855" w:rsidRPr="00A04778">
        <w:t xml:space="preserve">(8), </w:t>
      </w:r>
      <w:r w:rsidR="00335A45" w:rsidRPr="00A04778">
        <w:t>(9),</w:t>
      </w:r>
      <w:r w:rsidR="00CA01BB" w:rsidRPr="00A04778">
        <w:t xml:space="preserve"> </w:t>
      </w:r>
      <w:r w:rsidR="000616F4" w:rsidRPr="00A04778">
        <w:t xml:space="preserve">70(1), </w:t>
      </w:r>
      <w:r w:rsidR="00906AE7" w:rsidRPr="00A04778">
        <w:t xml:space="preserve">71(1), </w:t>
      </w:r>
      <w:r w:rsidR="00CA01BB" w:rsidRPr="00A04778">
        <w:t>76</w:t>
      </w:r>
      <w:r w:rsidR="00C20BD1" w:rsidRPr="00A04778">
        <w:t>, 80</w:t>
      </w:r>
      <w:r w:rsidR="0075141F" w:rsidRPr="00A04778">
        <w:t>, 83(7), (8), 95</w:t>
      </w:r>
      <w:r w:rsidRPr="00A04778">
        <w:t>.</w:t>
      </w:r>
    </w:p>
    <w:p w:rsidR="00370D06" w:rsidRPr="00A04778" w:rsidRDefault="00370D06" w:rsidP="004868CC">
      <w:pPr>
        <w:pStyle w:val="SCCNormalDoubleSpacing"/>
        <w:spacing w:after="240" w:line="240" w:lineRule="auto"/>
        <w:ind w:left="539" w:hanging="539"/>
      </w:pPr>
      <w:r w:rsidRPr="00A04778">
        <w:t>Règl. de l</w:t>
      </w:r>
      <w:r>
        <w:t>’</w:t>
      </w:r>
      <w:r w:rsidRPr="00A04778">
        <w:t>Ont. 123/98, partie V, ann., art. 2(1)</w:t>
      </w:r>
      <w:r>
        <w:t>(</w:t>
      </w:r>
      <w:r w:rsidRPr="00A04778">
        <w:t>g)(i), (ii).</w:t>
      </w:r>
    </w:p>
    <w:p w:rsidR="00821AF6" w:rsidRPr="00A04778" w:rsidRDefault="009601BD" w:rsidP="00381F17">
      <w:pPr>
        <w:pStyle w:val="SCCNormalDoubleSpacing"/>
        <w:spacing w:after="720" w:line="240" w:lineRule="auto"/>
        <w:ind w:left="540" w:hanging="540"/>
      </w:pPr>
      <w:r>
        <w:rPr>
          <w:i/>
        </w:rPr>
        <w:t>Règles de procé</w:t>
      </w:r>
      <w:r w:rsidR="00821AF6" w:rsidRPr="00A04778">
        <w:rPr>
          <w:i/>
        </w:rPr>
        <w:t>dure civile</w:t>
      </w:r>
      <w:r w:rsidR="00821AF6" w:rsidRPr="00A04778">
        <w:t>, R.R.O. 1990, Règl. 194, règle 21.01.</w:t>
      </w:r>
    </w:p>
    <w:p w:rsidR="002E6705" w:rsidRPr="004142C0" w:rsidRDefault="0043088E" w:rsidP="00381F17">
      <w:pPr>
        <w:pStyle w:val="SCCNormalDoubleSpacing"/>
        <w:keepNext/>
        <w:spacing w:after="480"/>
        <w:rPr>
          <w:b/>
        </w:rPr>
      </w:pPr>
      <w:r w:rsidRPr="004142C0">
        <w:rPr>
          <w:b/>
        </w:rPr>
        <w:t>Doctrine</w:t>
      </w:r>
      <w:r w:rsidR="004142C0" w:rsidRPr="004142C0">
        <w:rPr>
          <w:b/>
        </w:rPr>
        <w:t xml:space="preserve"> et autres documents</w:t>
      </w:r>
      <w:r w:rsidR="002E6705" w:rsidRPr="004142C0">
        <w:rPr>
          <w:b/>
        </w:rPr>
        <w:t xml:space="preserve"> </w:t>
      </w:r>
      <w:r w:rsidRPr="004142C0">
        <w:rPr>
          <w:b/>
        </w:rPr>
        <w:t>c</w:t>
      </w:r>
      <w:r w:rsidR="002E6705" w:rsidRPr="004142C0">
        <w:rPr>
          <w:b/>
        </w:rPr>
        <w:t>it</w:t>
      </w:r>
      <w:r w:rsidRPr="004142C0">
        <w:rPr>
          <w:b/>
        </w:rPr>
        <w:t>é</w:t>
      </w:r>
      <w:r w:rsidR="004142C0" w:rsidRPr="004142C0">
        <w:rPr>
          <w:b/>
        </w:rPr>
        <w:t>s</w:t>
      </w:r>
    </w:p>
    <w:p w:rsidR="0090651D" w:rsidRPr="00A04778" w:rsidRDefault="009601BD" w:rsidP="004868CC">
      <w:pPr>
        <w:pStyle w:val="SCCNormalDoubleSpacing"/>
        <w:widowControl w:val="0"/>
        <w:spacing w:after="240" w:line="240" w:lineRule="auto"/>
        <w:ind w:left="540" w:hanging="540"/>
        <w:outlineLvl w:val="0"/>
        <w:rPr>
          <w:lang w:val="en-US"/>
        </w:rPr>
      </w:pPr>
      <w:r w:rsidRPr="00204730">
        <w:t>Handley, K</w:t>
      </w:r>
      <w:r w:rsidR="004868CC" w:rsidRPr="00204730">
        <w:t>. </w:t>
      </w:r>
      <w:r w:rsidR="0090651D" w:rsidRPr="00204730">
        <w:t xml:space="preserve">R.  </w:t>
      </w:r>
      <w:r w:rsidR="0090651D" w:rsidRPr="00A04778">
        <w:rPr>
          <w:i/>
          <w:lang w:val="en-US"/>
        </w:rPr>
        <w:t>Spencer Bower and Handley</w:t>
      </w:r>
      <w:r w:rsidR="001A38E2" w:rsidRPr="00A04778">
        <w:rPr>
          <w:i/>
          <w:lang w:val="en-US"/>
        </w:rPr>
        <w:t> :</w:t>
      </w:r>
      <w:r w:rsidR="0090651D" w:rsidRPr="00A04778">
        <w:rPr>
          <w:i/>
          <w:lang w:val="en-US"/>
        </w:rPr>
        <w:t xml:space="preserve"> </w:t>
      </w:r>
      <w:r w:rsidR="0090651D" w:rsidRPr="00A04778">
        <w:rPr>
          <w:i/>
          <w:iCs/>
          <w:lang w:val="en-US"/>
        </w:rPr>
        <w:t>Res Judicata</w:t>
      </w:r>
      <w:r w:rsidR="0090651D" w:rsidRPr="00A04778">
        <w:rPr>
          <w:lang w:val="en-US"/>
        </w:rPr>
        <w:t>, 4th ed.  London</w:t>
      </w:r>
      <w:r w:rsidR="001A38E2" w:rsidRPr="00A04778">
        <w:rPr>
          <w:lang w:val="en-US"/>
        </w:rPr>
        <w:t> :</w:t>
      </w:r>
      <w:r w:rsidR="0090651D" w:rsidRPr="00A04778">
        <w:rPr>
          <w:lang w:val="en-US"/>
        </w:rPr>
        <w:t xml:space="preserve"> LexisNexis, 2009.</w:t>
      </w:r>
    </w:p>
    <w:p w:rsidR="0090651D" w:rsidRPr="00A04778" w:rsidRDefault="004868CC" w:rsidP="004868CC">
      <w:pPr>
        <w:pStyle w:val="SCCNormalDoubleSpacing"/>
        <w:widowControl w:val="0"/>
        <w:spacing w:after="240" w:line="240" w:lineRule="auto"/>
        <w:ind w:left="540" w:hanging="540"/>
        <w:outlineLvl w:val="0"/>
      </w:pPr>
      <w:r w:rsidRPr="00A04778">
        <w:rPr>
          <w:lang w:val="en-US"/>
        </w:rPr>
        <w:t>Lange, Donald </w:t>
      </w:r>
      <w:r w:rsidR="0090651D" w:rsidRPr="00A04778">
        <w:rPr>
          <w:lang w:val="en-US"/>
        </w:rPr>
        <w:t xml:space="preserve">J.  </w:t>
      </w:r>
      <w:r w:rsidR="0090651D" w:rsidRPr="00A04778">
        <w:rPr>
          <w:i/>
          <w:lang w:val="en-US"/>
        </w:rPr>
        <w:t>The Doctrine of Res Judicata in Canada</w:t>
      </w:r>
      <w:r w:rsidR="0090651D" w:rsidRPr="00A04778">
        <w:rPr>
          <w:lang w:val="en-US"/>
        </w:rPr>
        <w:t>,</w:t>
      </w:r>
      <w:r w:rsidR="0090651D" w:rsidRPr="00A04778">
        <w:rPr>
          <w:i/>
          <w:lang w:val="en-US"/>
        </w:rPr>
        <w:t xml:space="preserve"> </w:t>
      </w:r>
      <w:r w:rsidR="0090651D" w:rsidRPr="00A04778">
        <w:rPr>
          <w:lang w:val="en-US"/>
        </w:rPr>
        <w:t xml:space="preserve">3rd ed.  </w:t>
      </w:r>
      <w:r w:rsidR="0090651D" w:rsidRPr="00A04778">
        <w:t>Markham, Ont.</w:t>
      </w:r>
      <w:r w:rsidR="001A38E2" w:rsidRPr="00A04778">
        <w:t> :</w:t>
      </w:r>
      <w:r w:rsidR="0090651D" w:rsidRPr="00A04778">
        <w:t xml:space="preserve"> LexisNexis Canada, 2010.</w:t>
      </w:r>
    </w:p>
    <w:p w:rsidR="00602D3C" w:rsidRPr="00A04778" w:rsidRDefault="009601BD" w:rsidP="00381F17">
      <w:pPr>
        <w:pStyle w:val="SCCNormalDoubleSpacing"/>
        <w:spacing w:after="720" w:line="240" w:lineRule="auto"/>
        <w:ind w:left="540" w:hanging="540"/>
        <w:rPr>
          <w:i/>
        </w:rPr>
      </w:pPr>
      <w:r>
        <w:t>LeS</w:t>
      </w:r>
      <w:r w:rsidR="00602D3C" w:rsidRPr="00A04778">
        <w:t>age, Patric</w:t>
      </w:r>
      <w:r w:rsidR="004868CC" w:rsidRPr="00A04778">
        <w:t>k </w:t>
      </w:r>
      <w:r w:rsidR="00602D3C" w:rsidRPr="00A04778">
        <w:t xml:space="preserve">J.  </w:t>
      </w:r>
      <w:r w:rsidR="00602D3C" w:rsidRPr="00A04778">
        <w:rPr>
          <w:i/>
        </w:rPr>
        <w:t>Rapport sur le système ontarien de traitement des plaintes concernant la police</w:t>
      </w:r>
      <w:r w:rsidR="00602D3C" w:rsidRPr="00A04778">
        <w:t>.  Toronto</w:t>
      </w:r>
      <w:r w:rsidR="001A38E2" w:rsidRPr="00A04778">
        <w:t> :</w:t>
      </w:r>
      <w:r w:rsidR="00602D3C" w:rsidRPr="00A04778">
        <w:t xml:space="preserve"> Ministère du Procureur général, 2005.</w:t>
      </w:r>
    </w:p>
    <w:p w:rsidR="00D5435D" w:rsidRPr="00A04778" w:rsidRDefault="00A63D75" w:rsidP="00381F17">
      <w:pPr>
        <w:pStyle w:val="SCCNormalDoubleSpacing"/>
        <w:spacing w:after="480"/>
      </w:pPr>
      <w:r w:rsidRPr="00A04778">
        <w:tab/>
      </w:r>
      <w:r w:rsidR="009B57B3" w:rsidRPr="00A04778">
        <w:t>P</w:t>
      </w:r>
      <w:r w:rsidR="0043088E" w:rsidRPr="00A04778">
        <w:t>OURVOI contre un arrêt de la</w:t>
      </w:r>
      <w:r w:rsidR="009B57B3" w:rsidRPr="00A04778">
        <w:t xml:space="preserve"> Cour d</w:t>
      </w:r>
      <w:r w:rsidR="00B0685C">
        <w:t>’</w:t>
      </w:r>
      <w:r w:rsidR="009B57B3" w:rsidRPr="00A04778">
        <w:t>appel de l</w:t>
      </w:r>
      <w:r w:rsidR="00B0685C">
        <w:t>’</w:t>
      </w:r>
      <w:r w:rsidR="009B57B3" w:rsidRPr="00A04778">
        <w:t>Ontario</w:t>
      </w:r>
      <w:r w:rsidR="001E54E5" w:rsidRPr="00A04778">
        <w:t xml:space="preserve"> (les juges Laskin, Moldaver et Armstrong), 2010 ONCA 616, 102 O.R. (3d) </w:t>
      </w:r>
      <w:r w:rsidR="00B360DD">
        <w:t>700</w:t>
      </w:r>
      <w:r w:rsidR="001E54E5" w:rsidRPr="00A04778">
        <w:t xml:space="preserve">, 267 O.A.C. 259, 325 D.L.R. (4th) 488, 94 C.P.C. (6th) 262, [2010] O.J. </w:t>
      </w:r>
      <w:r w:rsidR="001A38E2" w:rsidRPr="00A04778">
        <w:t>No. </w:t>
      </w:r>
      <w:r w:rsidR="001E54E5" w:rsidRPr="00A04778">
        <w:t xml:space="preserve">4046 (QL), 2010 </w:t>
      </w:r>
      <w:r w:rsidR="001E54E5" w:rsidRPr="00A04778">
        <w:lastRenderedPageBreak/>
        <w:t xml:space="preserve">CarswellOnt 7164, qui a confirmé une décision du juge Fedak, 2009 CarswellOnt 9420.  Pourvoi </w:t>
      </w:r>
      <w:r w:rsidR="007C6ACD" w:rsidRPr="00A04778">
        <w:t>accueilli</w:t>
      </w:r>
      <w:r w:rsidR="00F46164" w:rsidRPr="00A04778">
        <w:t>, les juges LeBel,</w:t>
      </w:r>
      <w:r w:rsidR="00060F32" w:rsidRPr="00A04778">
        <w:t xml:space="preserve"> Abella </w:t>
      </w:r>
      <w:r w:rsidR="00F46164" w:rsidRPr="00A04778">
        <w:t xml:space="preserve">et Rothstein </w:t>
      </w:r>
      <w:r w:rsidR="00060F32" w:rsidRPr="00A04778">
        <w:t>sont dissidents</w:t>
      </w:r>
      <w:r w:rsidR="001E54E5" w:rsidRPr="00A04778">
        <w:t>.</w:t>
      </w:r>
    </w:p>
    <w:p w:rsidR="00C259C5" w:rsidRPr="00A04778" w:rsidRDefault="00420D03" w:rsidP="00381F17">
      <w:pPr>
        <w:pStyle w:val="SCCNormalDoubleSpacing"/>
        <w:spacing w:after="480"/>
      </w:pPr>
      <w:r w:rsidRPr="00DB4D96">
        <w:rPr>
          <w:i/>
        </w:rPr>
        <w:tab/>
        <w:t>Jul</w:t>
      </w:r>
      <w:r w:rsidR="004868CC" w:rsidRPr="00DB4D96">
        <w:rPr>
          <w:i/>
        </w:rPr>
        <w:t>ian </w:t>
      </w:r>
      <w:r w:rsidRPr="00DB4D96">
        <w:rPr>
          <w:i/>
        </w:rPr>
        <w:t>N. Falconer</w:t>
      </w:r>
      <w:r w:rsidRPr="00A04778">
        <w:t xml:space="preserve">, </w:t>
      </w:r>
      <w:r w:rsidR="004868CC" w:rsidRPr="00DB4D96">
        <w:rPr>
          <w:i/>
        </w:rPr>
        <w:t>Julian </w:t>
      </w:r>
      <w:r w:rsidRPr="00DB4D96">
        <w:rPr>
          <w:i/>
        </w:rPr>
        <w:t>K. Roy</w:t>
      </w:r>
      <w:r w:rsidRPr="00A04778">
        <w:t xml:space="preserve"> et </w:t>
      </w:r>
      <w:r w:rsidR="004868CC" w:rsidRPr="00DB4D96">
        <w:rPr>
          <w:i/>
        </w:rPr>
        <w:t>Sunil </w:t>
      </w:r>
      <w:r w:rsidRPr="00DB4D96">
        <w:rPr>
          <w:i/>
        </w:rPr>
        <w:t>S. Mathai</w:t>
      </w:r>
      <w:r w:rsidRPr="00A04778">
        <w:t>, pour l</w:t>
      </w:r>
      <w:r w:rsidR="00B0685C">
        <w:t>’</w:t>
      </w:r>
      <w:r w:rsidRPr="00A04778">
        <w:t>appelant.</w:t>
      </w:r>
    </w:p>
    <w:p w:rsidR="00C259C5" w:rsidRPr="00A04778" w:rsidRDefault="004868CC" w:rsidP="00381F17">
      <w:pPr>
        <w:pStyle w:val="SCCNormalDoubleSpacing"/>
        <w:spacing w:after="480"/>
      </w:pPr>
      <w:r w:rsidRPr="00DB4D96">
        <w:rPr>
          <w:i/>
        </w:rPr>
        <w:tab/>
        <w:t>Eugene </w:t>
      </w:r>
      <w:r w:rsidR="00420D03" w:rsidRPr="00DB4D96">
        <w:rPr>
          <w:i/>
        </w:rPr>
        <w:t>G. Mazzuca</w:t>
      </w:r>
      <w:r w:rsidR="00420D03" w:rsidRPr="00A04778">
        <w:t xml:space="preserve">, </w:t>
      </w:r>
      <w:r w:rsidR="00420D03" w:rsidRPr="00DB4D96">
        <w:rPr>
          <w:i/>
        </w:rPr>
        <w:t>Kerry Nash</w:t>
      </w:r>
      <w:r w:rsidR="00420D03" w:rsidRPr="00A04778">
        <w:t xml:space="preserve"> et </w:t>
      </w:r>
      <w:r w:rsidR="00420D03" w:rsidRPr="00DB4D96">
        <w:rPr>
          <w:i/>
        </w:rPr>
        <w:t>Rafal Szymanski</w:t>
      </w:r>
      <w:r w:rsidR="00A63D75" w:rsidRPr="00A04778">
        <w:t xml:space="preserve">, pour les </w:t>
      </w:r>
      <w:r w:rsidR="00420D03" w:rsidRPr="00A04778">
        <w:t>intimé</w:t>
      </w:r>
      <w:r w:rsidR="00A63D75" w:rsidRPr="00A04778">
        <w:t>s</w:t>
      </w:r>
      <w:r w:rsidR="00420D03" w:rsidRPr="00A04778">
        <w:t>.</w:t>
      </w:r>
    </w:p>
    <w:p w:rsidR="00A63D75" w:rsidRPr="00A04778" w:rsidRDefault="00A63D75" w:rsidP="00381F17">
      <w:pPr>
        <w:pStyle w:val="SCCNormalDoubleSpacing"/>
        <w:spacing w:after="480"/>
      </w:pPr>
      <w:r w:rsidRPr="00DB4D96">
        <w:rPr>
          <w:i/>
        </w:rPr>
        <w:tab/>
        <w:t>Malliha Wilson</w:t>
      </w:r>
      <w:r w:rsidR="00912AC3" w:rsidRPr="009601BD">
        <w:t>,</w:t>
      </w:r>
      <w:r w:rsidRPr="009601BD">
        <w:t xml:space="preserve"> </w:t>
      </w:r>
      <w:r w:rsidR="004868CC" w:rsidRPr="00DB4D96">
        <w:rPr>
          <w:i/>
        </w:rPr>
        <w:t>Dennis </w:t>
      </w:r>
      <w:r w:rsidR="00912AC3" w:rsidRPr="00DB4D96">
        <w:rPr>
          <w:i/>
        </w:rPr>
        <w:t>W. Brown</w:t>
      </w:r>
      <w:r w:rsidR="00912AC3" w:rsidRPr="009601BD">
        <w:t>,</w:t>
      </w:r>
      <w:r w:rsidR="00912AC3" w:rsidRPr="00DB4D96">
        <w:rPr>
          <w:i/>
        </w:rPr>
        <w:t xml:space="preserve"> c.r.</w:t>
      </w:r>
      <w:r w:rsidR="00912AC3" w:rsidRPr="00A04778">
        <w:t xml:space="preserve">, </w:t>
      </w:r>
      <w:r w:rsidRPr="00A04778">
        <w:t xml:space="preserve">et </w:t>
      </w:r>
      <w:r w:rsidRPr="00DB4D96">
        <w:rPr>
          <w:i/>
        </w:rPr>
        <w:t xml:space="preserve">Christopher </w:t>
      </w:r>
      <w:r w:rsidR="001A38E2" w:rsidRPr="00DB4D96">
        <w:rPr>
          <w:i/>
        </w:rPr>
        <w:t>P. </w:t>
      </w:r>
      <w:r w:rsidRPr="00DB4D96">
        <w:rPr>
          <w:i/>
        </w:rPr>
        <w:t>Thompson</w:t>
      </w:r>
      <w:r w:rsidRPr="00A04778">
        <w:t>, pour l</w:t>
      </w:r>
      <w:r w:rsidR="00B0685C">
        <w:t>’</w:t>
      </w:r>
      <w:r w:rsidRPr="00A04778">
        <w:t>intervenant le procureur général de l</w:t>
      </w:r>
      <w:r w:rsidR="00B0685C">
        <w:t>’</w:t>
      </w:r>
      <w:r w:rsidRPr="00A04778">
        <w:t>Ontario.</w:t>
      </w:r>
    </w:p>
    <w:p w:rsidR="00C259C5" w:rsidRPr="00A04778" w:rsidRDefault="00420D03" w:rsidP="00381F17">
      <w:pPr>
        <w:pStyle w:val="SCCNormalDoubleSpacing"/>
        <w:spacing w:after="480"/>
      </w:pPr>
      <w:r w:rsidRPr="00DB4D96">
        <w:rPr>
          <w:i/>
        </w:rPr>
        <w:tab/>
        <w:t>Maureen Whelton</w:t>
      </w:r>
      <w:r w:rsidRPr="00A04778">
        <w:t xml:space="preserve"> et </w:t>
      </w:r>
      <w:r w:rsidRPr="00DB4D96">
        <w:rPr>
          <w:i/>
        </w:rPr>
        <w:t>Richard Macklin</w:t>
      </w:r>
      <w:r w:rsidR="00A63D75" w:rsidRPr="00A04778">
        <w:t>, pour l</w:t>
      </w:r>
      <w:r w:rsidR="00B0685C">
        <w:t>’</w:t>
      </w:r>
      <w:r w:rsidRPr="00A04778">
        <w:t xml:space="preserve">intervenante </w:t>
      </w:r>
      <w:r w:rsidR="00A63D75" w:rsidRPr="00A04778">
        <w:t>l</w:t>
      </w:r>
      <w:r w:rsidR="00B0685C">
        <w:t>’</w:t>
      </w:r>
      <w:r w:rsidRPr="00A04778">
        <w:t>Alliance urbaine sur les relations interraciales.</w:t>
      </w:r>
    </w:p>
    <w:p w:rsidR="00C259C5" w:rsidRPr="00A04778" w:rsidRDefault="00420D03" w:rsidP="00381F17">
      <w:pPr>
        <w:pStyle w:val="SCCNormalDoubleSpacing"/>
        <w:spacing w:after="480"/>
      </w:pPr>
      <w:r w:rsidRPr="00DB4D96">
        <w:rPr>
          <w:i/>
        </w:rPr>
        <w:tab/>
        <w:t>Louis Sokolov</w:t>
      </w:r>
      <w:r w:rsidRPr="00A04778">
        <w:t xml:space="preserve"> et </w:t>
      </w:r>
      <w:r w:rsidRPr="00DB4D96">
        <w:rPr>
          <w:i/>
        </w:rPr>
        <w:t>Daniel Iny</w:t>
      </w:r>
      <w:r w:rsidR="00A63D75" w:rsidRPr="00A04778">
        <w:t>, pour l</w:t>
      </w:r>
      <w:r w:rsidR="00B0685C">
        <w:t>’</w:t>
      </w:r>
      <w:r w:rsidRPr="00A04778">
        <w:t>intervenante Criminal Lawyers</w:t>
      </w:r>
      <w:r w:rsidR="00B0685C">
        <w:t>’</w:t>
      </w:r>
      <w:r w:rsidRPr="00A04778">
        <w:t xml:space="preserve"> Association (Ontario).</w:t>
      </w:r>
    </w:p>
    <w:p w:rsidR="00C259C5" w:rsidRPr="00A04778" w:rsidRDefault="004868CC" w:rsidP="00381F17">
      <w:pPr>
        <w:pStyle w:val="SCCNormalDoubleSpacing"/>
        <w:spacing w:after="480"/>
      </w:pPr>
      <w:r w:rsidRPr="00DB4D96">
        <w:rPr>
          <w:i/>
        </w:rPr>
        <w:tab/>
        <w:t>Robert </w:t>
      </w:r>
      <w:r w:rsidR="00420D03" w:rsidRPr="00DB4D96">
        <w:rPr>
          <w:i/>
        </w:rPr>
        <w:t>D. Holmes</w:t>
      </w:r>
      <w:r w:rsidR="00420D03" w:rsidRPr="009601BD">
        <w:t>,</w:t>
      </w:r>
      <w:r w:rsidR="00420D03" w:rsidRPr="00DB4D96">
        <w:rPr>
          <w:i/>
        </w:rPr>
        <w:t xml:space="preserve"> </w:t>
      </w:r>
      <w:r w:rsidR="00A63D75" w:rsidRPr="00DB4D96">
        <w:rPr>
          <w:i/>
        </w:rPr>
        <w:t>c.r.</w:t>
      </w:r>
      <w:r w:rsidR="00A63D75" w:rsidRPr="00A04778">
        <w:t>, pour l</w:t>
      </w:r>
      <w:r w:rsidR="00B0685C">
        <w:t>’</w:t>
      </w:r>
      <w:r w:rsidR="00420D03" w:rsidRPr="00A04778">
        <w:t xml:space="preserve">intervenante </w:t>
      </w:r>
      <w:r w:rsidR="00A63D75" w:rsidRPr="00A04778">
        <w:t>l</w:t>
      </w:r>
      <w:r w:rsidR="00B0685C">
        <w:t>’</w:t>
      </w:r>
      <w:r w:rsidR="00420D03" w:rsidRPr="00A04778">
        <w:t>Association des libertés civiles de la Colombie</w:t>
      </w:r>
      <w:r w:rsidR="001A38E2" w:rsidRPr="00A04778">
        <w:noBreakHyphen/>
      </w:r>
      <w:r w:rsidR="00420D03" w:rsidRPr="00A04778">
        <w:t>Britannique.</w:t>
      </w:r>
    </w:p>
    <w:p w:rsidR="00C259C5" w:rsidRPr="00A04778" w:rsidRDefault="004868CC" w:rsidP="00381F17">
      <w:pPr>
        <w:pStyle w:val="SCCNormalDoubleSpacing"/>
        <w:spacing w:after="480"/>
      </w:pPr>
      <w:r w:rsidRPr="00DB4D96">
        <w:rPr>
          <w:i/>
        </w:rPr>
        <w:tab/>
        <w:t>Ian </w:t>
      </w:r>
      <w:r w:rsidR="00420D03" w:rsidRPr="00DB4D96">
        <w:rPr>
          <w:i/>
        </w:rPr>
        <w:t>J. Roland</w:t>
      </w:r>
      <w:r w:rsidR="00420D03" w:rsidRPr="00A04778">
        <w:t xml:space="preserve"> et </w:t>
      </w:r>
      <w:r w:rsidR="00420D03" w:rsidRPr="00DB4D96">
        <w:rPr>
          <w:i/>
        </w:rPr>
        <w:t>Michael Fenrick</w:t>
      </w:r>
      <w:r w:rsidR="00A63D75" w:rsidRPr="00A04778">
        <w:t>, pour l</w:t>
      </w:r>
      <w:r w:rsidR="00B0685C">
        <w:t>’</w:t>
      </w:r>
      <w:r w:rsidR="00420D03" w:rsidRPr="00A04778">
        <w:t xml:space="preserve">intervenante </w:t>
      </w:r>
      <w:r w:rsidR="00A63D75" w:rsidRPr="00A04778">
        <w:t>l</w:t>
      </w:r>
      <w:r w:rsidR="00B0685C">
        <w:t>’</w:t>
      </w:r>
      <w:r w:rsidR="00420D03" w:rsidRPr="00A04778">
        <w:t>Association canadienne des policiers.</w:t>
      </w:r>
    </w:p>
    <w:p w:rsidR="00C259C5" w:rsidRDefault="00420D03" w:rsidP="00381F17">
      <w:pPr>
        <w:pStyle w:val="SCCNormalDoubleSpacing"/>
        <w:spacing w:after="480"/>
      </w:pPr>
      <w:r w:rsidRPr="00DB4D96">
        <w:rPr>
          <w:i/>
        </w:rPr>
        <w:tab/>
      </w:r>
      <w:r w:rsidR="00525776" w:rsidRPr="00DB4D96">
        <w:rPr>
          <w:i/>
        </w:rPr>
        <w:t xml:space="preserve">Tim Gleason </w:t>
      </w:r>
      <w:r w:rsidR="00525776" w:rsidRPr="00A04778">
        <w:t>et</w:t>
      </w:r>
      <w:r w:rsidR="00525776" w:rsidRPr="00DB4D96">
        <w:rPr>
          <w:i/>
        </w:rPr>
        <w:t xml:space="preserve"> </w:t>
      </w:r>
      <w:r w:rsidRPr="00DB4D96">
        <w:rPr>
          <w:i/>
        </w:rPr>
        <w:t>Sean Dewart</w:t>
      </w:r>
      <w:r w:rsidRPr="00A04778">
        <w:t>, pour l</w:t>
      </w:r>
      <w:r w:rsidR="00B0685C">
        <w:t>’</w:t>
      </w:r>
      <w:r w:rsidRPr="00A04778">
        <w:t xml:space="preserve">intervenante </w:t>
      </w:r>
      <w:r w:rsidR="00A63D75" w:rsidRPr="00A04778">
        <w:t>l</w:t>
      </w:r>
      <w:r w:rsidR="00B0685C">
        <w:t>’</w:t>
      </w:r>
      <w:r w:rsidR="00A63D75" w:rsidRPr="00A04778">
        <w:t>Association canadienne des libertés civiles</w:t>
      </w:r>
      <w:r w:rsidRPr="00A04778">
        <w:t>.</w:t>
      </w:r>
    </w:p>
    <w:p w:rsidR="009601BD" w:rsidRPr="00A04778" w:rsidRDefault="009601BD" w:rsidP="00381F17">
      <w:pPr>
        <w:pStyle w:val="SCCNormalDoubleSpacing"/>
        <w:spacing w:after="480"/>
      </w:pPr>
      <w:r>
        <w:lastRenderedPageBreak/>
        <w:tab/>
        <w:t>Version française du jugement de la juge en chef McLachlin et des juges Fish, Cromwell et Karakatsanis rendu par</w:t>
      </w:r>
    </w:p>
    <w:p w:rsidR="0000152B" w:rsidRPr="00CD52B1" w:rsidRDefault="009601BD" w:rsidP="0000152B">
      <w:pPr>
        <w:pStyle w:val="ParaNoNdepar-AltN"/>
        <w:tabs>
          <w:tab w:val="num" w:pos="2156"/>
        </w:tabs>
        <w:rPr>
          <w:rFonts w:cs="Times New Roman"/>
          <w:lang w:val="fr-CA"/>
        </w:rPr>
      </w:pPr>
      <w:r w:rsidRPr="009601BD">
        <w:rPr>
          <w:smallCaps/>
          <w:lang w:val="fr-CA"/>
        </w:rPr>
        <w:t xml:space="preserve">Les juges Cromwell et </w:t>
      </w:r>
      <w:proofErr w:type="spellStart"/>
      <w:r w:rsidRPr="009601BD">
        <w:rPr>
          <w:smallCaps/>
          <w:lang w:val="fr-CA"/>
        </w:rPr>
        <w:t>Karakatsanis</w:t>
      </w:r>
      <w:proofErr w:type="spellEnd"/>
      <w:r w:rsidRPr="00CD52B1">
        <w:rPr>
          <w:lang w:val="fr-CA"/>
        </w:rPr>
        <w:t xml:space="preserve"> — </w:t>
      </w:r>
      <w:r w:rsidR="0000152B" w:rsidRPr="00CD52B1">
        <w:rPr>
          <w:rFonts w:cs="Times New Roman"/>
          <w:lang w:val="fr-CA"/>
        </w:rPr>
        <w:t xml:space="preserve">Le présent pourvoi porte sur l’application discrétionnaire de la doctrine de la </w:t>
      </w:r>
      <w:proofErr w:type="spellStart"/>
      <w:r w:rsidR="0000152B" w:rsidRPr="00CD52B1">
        <w:rPr>
          <w:rFonts w:cs="Times New Roman"/>
          <w:lang w:val="fr-CA"/>
        </w:rPr>
        <w:t>préclusion</w:t>
      </w:r>
      <w:proofErr w:type="spellEnd"/>
      <w:r w:rsidR="0000152B" w:rsidRPr="00CD52B1">
        <w:rPr>
          <w:rFonts w:cs="Times New Roman"/>
          <w:lang w:val="fr-CA"/>
        </w:rPr>
        <w:t xml:space="preserve"> découlant d’une question déjà tranchée.  Plus précisément, il s’agit de savoir si les tribunaux ontariens ont commis une erreur en radiant plusieurs des demandes de l’action civile intentée par l’appelant contre la police au motif que sa plainte pour inconduite policière relativement aux mêmes faits avait été rejetée par un tribunal disciplinaire de la police.</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L’appelant, Wayne Penner, a été arrêté parce qu’il aurait eu un comportement perturbateur dans une salle d’audience en Ontario.  Il a déposé une plainte contre deux agents de police en vertu de la </w:t>
      </w:r>
      <w:r w:rsidRPr="00CD52B1">
        <w:rPr>
          <w:rFonts w:cs="Times New Roman"/>
          <w:i/>
          <w:lang w:val="fr-CA"/>
        </w:rPr>
        <w:t>Loi sur les services policiers</w:t>
      </w:r>
      <w:r w:rsidRPr="00CD52B1">
        <w:rPr>
          <w:rFonts w:cs="Times New Roman"/>
          <w:lang w:val="fr-CA"/>
        </w:rPr>
        <w:t>, L.R.O. 1990, ch. P.15 (« </w:t>
      </w:r>
      <w:r w:rsidRPr="00E71188">
        <w:rPr>
          <w:rFonts w:cs="Times New Roman"/>
          <w:i/>
          <w:lang w:val="fr-CA"/>
        </w:rPr>
        <w:t>LSP</w:t>
      </w:r>
      <w:r w:rsidRPr="00CD52B1">
        <w:rPr>
          <w:rFonts w:cs="Times New Roman"/>
          <w:lang w:val="fr-CA"/>
        </w:rPr>
        <w:t> »), pour arrestation illégale et usage de force injustifiée.  Il a également intenté une action civile contre l’agent de sécurité des tribunaux, les deux agents de pol</w:t>
      </w:r>
      <w:r w:rsidR="00E71188">
        <w:rPr>
          <w:rFonts w:cs="Times New Roman"/>
          <w:lang w:val="fr-CA"/>
        </w:rPr>
        <w:t>ice, leur chef de police et la C</w:t>
      </w:r>
      <w:r w:rsidRPr="00CD52B1">
        <w:rPr>
          <w:rFonts w:cs="Times New Roman"/>
          <w:lang w:val="fr-CA"/>
        </w:rPr>
        <w:t xml:space="preserve">ommission </w:t>
      </w:r>
      <w:r w:rsidR="00E71188">
        <w:rPr>
          <w:rFonts w:cs="Times New Roman"/>
          <w:lang w:val="fr-CA"/>
        </w:rPr>
        <w:t>régionale de</w:t>
      </w:r>
      <w:r w:rsidRPr="00CD52B1">
        <w:rPr>
          <w:rFonts w:cs="Times New Roman"/>
          <w:lang w:val="fr-CA"/>
        </w:rPr>
        <w:t xml:space="preserve"> services policiers de la municipalité régionale de Niagara (« commission de services policiers ») devant la Cour supérieure de justice, afin de réclamer des </w:t>
      </w:r>
      <w:proofErr w:type="spellStart"/>
      <w:r w:rsidRPr="00CD52B1">
        <w:rPr>
          <w:rFonts w:cs="Times New Roman"/>
          <w:lang w:val="fr-CA"/>
        </w:rPr>
        <w:t>dommages</w:t>
      </w:r>
      <w:r w:rsidRPr="00CD52B1">
        <w:rPr>
          <w:rFonts w:cs="Times New Roman"/>
          <w:lang w:val="fr-CA"/>
        </w:rPr>
        <w:noBreakHyphen/>
        <w:t>intérêts</w:t>
      </w:r>
      <w:proofErr w:type="spellEnd"/>
      <w:r w:rsidRPr="00CD52B1">
        <w:rPr>
          <w:rFonts w:cs="Times New Roman"/>
          <w:lang w:val="fr-CA"/>
        </w:rPr>
        <w:t xml:space="preserve"> à l’égard du même incident.</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Le chef de police a renvoyé la plainte déposée par M. Penner en vertu de la </w:t>
      </w:r>
      <w:r w:rsidRPr="00E71188">
        <w:rPr>
          <w:rFonts w:cs="Times New Roman"/>
          <w:i/>
          <w:lang w:val="fr-CA"/>
        </w:rPr>
        <w:t>LSP</w:t>
      </w:r>
      <w:r w:rsidRPr="00CD52B1">
        <w:rPr>
          <w:rFonts w:cs="Times New Roman"/>
          <w:lang w:val="fr-CA"/>
        </w:rPr>
        <w:t xml:space="preserve"> en vue de la tenue d’une audience disciplinaire présidée par un surintendant de </w:t>
      </w:r>
      <w:r w:rsidRPr="00CD52B1">
        <w:rPr>
          <w:rFonts w:cs="Times New Roman"/>
          <w:lang w:val="fr-CA"/>
        </w:rPr>
        <w:lastRenderedPageBreak/>
        <w:t>police à la retraite.  Les agents de police ont été déclarés non coupables d’inconduite.  M. Penner était partie à l’audience disciplinaire et aux appels ultérieurs devant la Commission civile des services policiers de l’Ontario (« Commission ») et la Cour divisionnaire.</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Les intimés ont demandé que l’action civile soit rejetée pour cause de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l’audience disciplinaire ayant, selon eux, réglé définitivement les principales questions en litige qui </w:t>
      </w:r>
      <w:proofErr w:type="spellStart"/>
      <w:r w:rsidRPr="00CD52B1">
        <w:rPr>
          <w:rFonts w:cs="Times New Roman"/>
          <w:lang w:val="fr-CA"/>
        </w:rPr>
        <w:t>sous</w:t>
      </w:r>
      <w:r w:rsidRPr="00CD52B1">
        <w:rPr>
          <w:rFonts w:cs="Times New Roman"/>
          <w:lang w:val="fr-CA"/>
        </w:rPr>
        <w:noBreakHyphen/>
        <w:t>tendent</w:t>
      </w:r>
      <w:proofErr w:type="spellEnd"/>
      <w:r w:rsidRPr="00CD52B1">
        <w:rPr>
          <w:rFonts w:cs="Times New Roman"/>
          <w:lang w:val="fr-CA"/>
        </w:rPr>
        <w:t xml:space="preserve"> l’action civile intentée par M. Penner.</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Plusieurs des demandes de l’action civile ont été radiées par 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La Cour d’appel de l’Ontario, à l’instar du juge des motions, a conclu que l’application de cette doctrine n’entraînerait aucune injustice en l’espèce.</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Devant la Cour, l’appelant ne conteste pas sérieusement l’existence des conditions d’application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Il s’agit en l’espèce de savoir si la Cour d’appel a commis une erreur lorsqu’elle a exercé son pouvoir discrétionnaire d’appliquer ou non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pour bloquer l’action civile de M. Penner.  Ce dernier soutient que l’application de cette doctrine, dans ce contexte, entraînerait une injustice ou une iniquité, vu l’intérêt du public à ce que la police rende des comptes.  Il affirme que les tribunaux, à titre de gardiens de la Constitution et des droits et libertés individuels, </w:t>
      </w:r>
      <w:r w:rsidRPr="00CD52B1">
        <w:rPr>
          <w:rFonts w:cs="Times New Roman"/>
          <w:lang w:val="fr-CA"/>
        </w:rPr>
        <w:lastRenderedPageBreak/>
        <w:t xml:space="preserve">doivent surveiller l’exercice par la police de ses pouvoirs.  Ainsi, selon lui, l’importance de ce contrôle judiciaire est telle que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ne devrait pas s’appliquer à une décision rendue à l’issue d’une audience disciplinaire tenue sous le régime de la </w:t>
      </w:r>
      <w:r w:rsidRPr="00C20B76">
        <w:rPr>
          <w:rFonts w:cs="Times New Roman"/>
          <w:i/>
          <w:lang w:val="fr-CA"/>
        </w:rPr>
        <w:t>LSP</w:t>
      </w:r>
      <w:r w:rsidRPr="00CD52B1">
        <w:rPr>
          <w:rFonts w:cs="Times New Roman"/>
          <w:lang w:val="fr-CA"/>
        </w:rPr>
        <w:t>.</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Les intimés répondent que le sort de la présente affaire dépend des faits exceptionnels qu’elle présente, que l’action civile constitue une contestation indirecte d’une décision définitive rendue dans le cadre du processus de plaintes, et que les tribunaux d’instance inférieure ont eu raison d’appliquer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pour empêcher que les questions réglées de manière définitive par le processus disciplinaire soient remises en cause.</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Nous concluons qu’il n’existe — et ne devrait exister — aucune règle d’intérêt public empêchant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aux décisions rendues à l’issue d’audiences disciplinaires de la police de manière à permettre le contrôle judiciaire des actes de la police.  Une approche souple confère au tribunal le pouvoir discrétionnaire de refuser d’appliquer la </w:t>
      </w:r>
      <w:proofErr w:type="spellStart"/>
      <w:r w:rsidRPr="00CD52B1">
        <w:rPr>
          <w:rFonts w:cs="Times New Roman"/>
          <w:lang w:val="fr-CA"/>
        </w:rPr>
        <w:t>préclusion</w:t>
      </w:r>
      <w:proofErr w:type="spellEnd"/>
      <w:r w:rsidRPr="00CD52B1">
        <w:rPr>
          <w:rFonts w:cs="Times New Roman"/>
          <w:lang w:val="fr-CA"/>
        </w:rPr>
        <w:t xml:space="preserve"> s’il en résultait une injustice, même si les conditions d’application sont réunies.  Nous estimons toutefois que la Cour d’appel a commis une erreur dans son analyse relative aux différences importantes entre les deux instances sur les plans de l’objet et de la portée et qu’elle n’a pas tenu compte des attentes raisonnables des parties</w:t>
      </w:r>
      <w:r w:rsidRPr="00CD52B1">
        <w:rPr>
          <w:rFonts w:eastAsia="Times New Roman" w:cs="Times New Roman"/>
          <w:lang w:val="fr-CA"/>
        </w:rPr>
        <w:t xml:space="preserve"> relativement à l’incidence des instances sur leurs droits en général</w:t>
      </w:r>
      <w:r w:rsidRPr="00CD52B1">
        <w:rPr>
          <w:rFonts w:cs="Times New Roman"/>
          <w:lang w:val="fr-CA"/>
        </w:rPr>
        <w:t xml:space="preserve">.  De plus, il est inéquitable d’opposer la décision rendue par le délégué du chef de police pour </w:t>
      </w:r>
      <w:r w:rsidRPr="00CD52B1">
        <w:rPr>
          <w:rFonts w:cs="Times New Roman"/>
          <w:lang w:val="fr-CA"/>
        </w:rPr>
        <w:lastRenderedPageBreak/>
        <w:t xml:space="preserve">soustraire le chef de police à une action civile intentée ultérieurement.  Dans les circonstances de l’espèce, il était injuste envers l’appelant d’appliquer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pour bloquer son action civile.  Nous sommes d’avis d’accueillir l’appel.</w:t>
      </w:r>
    </w:p>
    <w:p w:rsidR="0000152B" w:rsidRPr="00CD52B1" w:rsidRDefault="0000152B" w:rsidP="0000152B">
      <w:pPr>
        <w:pStyle w:val="TitleTitre-AltT"/>
        <w:numPr>
          <w:ilvl w:val="0"/>
          <w:numId w:val="29"/>
        </w:numPr>
        <w:tabs>
          <w:tab w:val="clear" w:pos="360"/>
          <w:tab w:val="left" w:pos="540"/>
        </w:tabs>
        <w:ind w:left="540" w:hanging="540"/>
        <w:rPr>
          <w:rFonts w:cs="Times New Roman"/>
          <w:u w:val="single"/>
          <w:lang w:val="fr-CA"/>
        </w:rPr>
      </w:pPr>
      <w:r w:rsidRPr="00CD52B1">
        <w:rPr>
          <w:rFonts w:cs="Times New Roman"/>
          <w:u w:val="single"/>
          <w:lang w:val="fr-CA"/>
        </w:rPr>
        <w:t>Contexte factuel</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En janvier 2003, M. Penner assistait à une audience de la Cour des infractions provinciales devant laquelle son épouse comparaissait pour une contravention dressée par le constable Nathan Parker.  M. Penner aurait perturbé l’instance, n’aurait pas obtempéré à l’ordre de cesser d’interrompre les travaux de la cour et de quitter la salle et aurait tenté de résister à son arrestation par l’agent Parker.  Les agents Parker et </w:t>
      </w:r>
      <w:proofErr w:type="spellStart"/>
      <w:r w:rsidRPr="00CD52B1">
        <w:rPr>
          <w:rFonts w:cs="Times New Roman"/>
          <w:lang w:val="fr-CA"/>
        </w:rPr>
        <w:t>Koscinski</w:t>
      </w:r>
      <w:proofErr w:type="spellEnd"/>
      <w:r w:rsidRPr="00CD52B1">
        <w:rPr>
          <w:rFonts w:cs="Times New Roman"/>
          <w:lang w:val="fr-CA"/>
        </w:rPr>
        <w:t xml:space="preserve"> auraient fait usage de force pour le sortir de la salle d’audience.  Une fois à l’extérieur, les agents auraient encore fait usage de force et l’ont menotté.  Le constable Parker a emmené M. Penner, menottes aux poings, au poste de police régional de Niagara, où ce dernier a été soumis à une fouille à nu et enfermé dans une cellule de détention temporaire.  Il a eu un œil tuméfié, de nombreuses éraflures et une ecchymose au genou ainsi que des douleurs au poignet, au coude et aux côtes.  Sous escorte policière, M. Penner s’est présenté à l’hôpital, où on l’a examiné et traité pour les blessures subies lors de son arrestation.  Il a été reconduit par la suite au poste et accusé d’avoir troublé la paix, de ne pas s’être conformé à une ordonnance de probation et d’avoir résisté à une arrestation.  Le ministère public a retiré ces accusations quelque cinq mois plus tard, en juin 2003.</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Après son arrestation, M. Penner a déposé une plainte en vertu </w:t>
      </w:r>
      <w:proofErr w:type="gramStart"/>
      <w:r w:rsidRPr="00CD52B1">
        <w:rPr>
          <w:rFonts w:cs="Times New Roman"/>
          <w:lang w:val="fr-CA"/>
        </w:rPr>
        <w:t>des art</w:t>
      </w:r>
      <w:proofErr w:type="gramEnd"/>
      <w:r w:rsidRPr="00CD52B1">
        <w:rPr>
          <w:rFonts w:cs="Times New Roman"/>
          <w:lang w:val="fr-CA"/>
        </w:rPr>
        <w:t xml:space="preserve">. 56 et 57 de la </w:t>
      </w:r>
      <w:r w:rsidRPr="00C20B76">
        <w:rPr>
          <w:rFonts w:cs="Times New Roman"/>
          <w:i/>
          <w:lang w:val="fr-CA"/>
        </w:rPr>
        <w:t>LSP</w:t>
      </w:r>
      <w:r w:rsidRPr="00CD52B1">
        <w:rPr>
          <w:rFonts w:cs="Times New Roman"/>
          <w:lang w:val="fr-CA"/>
        </w:rPr>
        <w:t xml:space="preserve"> contre les agents Parker et </w:t>
      </w:r>
      <w:proofErr w:type="spellStart"/>
      <w:r w:rsidRPr="00CD52B1">
        <w:rPr>
          <w:rFonts w:cs="Times New Roman"/>
          <w:lang w:val="fr-CA"/>
        </w:rPr>
        <w:t>Koscinski</w:t>
      </w:r>
      <w:proofErr w:type="spellEnd"/>
      <w:r w:rsidRPr="00CD52B1">
        <w:rPr>
          <w:rFonts w:cs="Times New Roman"/>
          <w:lang w:val="fr-CA"/>
        </w:rPr>
        <w:t xml:space="preserve">, invoquant qu’il y avait eu arrestation illégale ou inutile, ainsi qu’usage d’une force injustifiée.  La plainte a donné lieu à une audience disciplinaire visant les deux agents.  De plus, en juillet 2003, M. Penner a déposé à la Cour supérieure de justice de l’Ontario une déclaration au moyen de laquelle il a intenté une action civile, relativement à la même arrestation, contre la commission de services policiers, les agents Parker et </w:t>
      </w:r>
      <w:proofErr w:type="spellStart"/>
      <w:r w:rsidRPr="00CD52B1">
        <w:rPr>
          <w:rFonts w:cs="Times New Roman"/>
          <w:lang w:val="fr-CA"/>
        </w:rPr>
        <w:t>Koscinski</w:t>
      </w:r>
      <w:proofErr w:type="spellEnd"/>
      <w:r w:rsidRPr="00CD52B1">
        <w:rPr>
          <w:rFonts w:cs="Times New Roman"/>
          <w:lang w:val="fr-CA"/>
        </w:rPr>
        <w:t xml:space="preserve">, le chef de police et l’agent de sécurité des tribunaux.  M. Penner réclamait des </w:t>
      </w:r>
      <w:proofErr w:type="spellStart"/>
      <w:r w:rsidRPr="00CD52B1">
        <w:rPr>
          <w:rFonts w:cs="Times New Roman"/>
          <w:lang w:val="fr-CA"/>
        </w:rPr>
        <w:t>dommages</w:t>
      </w:r>
      <w:r w:rsidRPr="00CD52B1">
        <w:rPr>
          <w:rFonts w:cs="Times New Roman"/>
          <w:lang w:val="fr-CA"/>
        </w:rPr>
        <w:noBreakHyphen/>
        <w:t>intérêts</w:t>
      </w:r>
      <w:proofErr w:type="spellEnd"/>
      <w:r w:rsidRPr="00CD52B1">
        <w:rPr>
          <w:rFonts w:cs="Times New Roman"/>
          <w:lang w:val="fr-CA"/>
        </w:rPr>
        <w:t xml:space="preserve"> pour arrestation illégale, </w:t>
      </w:r>
      <w:r w:rsidR="00410361">
        <w:rPr>
          <w:rFonts w:cs="Times New Roman"/>
          <w:lang w:val="fr-CA"/>
        </w:rPr>
        <w:t>détention injustifiée</w:t>
      </w:r>
      <w:r w:rsidRPr="00CD52B1">
        <w:rPr>
          <w:rFonts w:cs="Times New Roman"/>
          <w:lang w:val="fr-CA"/>
        </w:rPr>
        <w:t>, usage de force injustifiée, pendant et après l’arrestation, fouille à nu arbitraire, défaut d’autres agents de police de prévenir les mauvais traitements qu’il avait subis, défaut de fournir rapidement des soins médicaux, mauvaise utilisation des menottes, poursuite malveillante et défaut de collaborer à l’enquête portant sur ses allégations.</w:t>
      </w:r>
    </w:p>
    <w:p w:rsidR="0000152B" w:rsidRPr="00CD52B1" w:rsidRDefault="0000152B" w:rsidP="0000152B">
      <w:pPr>
        <w:pStyle w:val="TitleTitre-AltT"/>
        <w:numPr>
          <w:ilvl w:val="0"/>
          <w:numId w:val="29"/>
        </w:numPr>
        <w:tabs>
          <w:tab w:val="clear" w:pos="360"/>
        </w:tabs>
        <w:ind w:left="540" w:hanging="540"/>
        <w:rPr>
          <w:rFonts w:cs="Times New Roman"/>
          <w:u w:val="single"/>
          <w:lang w:val="fr-CA"/>
        </w:rPr>
      </w:pPr>
      <w:r w:rsidRPr="00CD52B1">
        <w:rPr>
          <w:rFonts w:cs="Times New Roman"/>
          <w:u w:val="single"/>
          <w:lang w:val="fr-CA"/>
        </w:rPr>
        <w:t>Résumé de la procédure relative à la plainte</w:t>
      </w:r>
    </w:p>
    <w:p w:rsidR="0000152B" w:rsidRPr="00CD52B1" w:rsidRDefault="0000152B" w:rsidP="0000152B">
      <w:pPr>
        <w:pStyle w:val="TitleTitre-AltT"/>
        <w:numPr>
          <w:ilvl w:val="0"/>
          <w:numId w:val="11"/>
        </w:numPr>
        <w:tabs>
          <w:tab w:val="clear" w:pos="360"/>
          <w:tab w:val="left" w:pos="540"/>
        </w:tabs>
        <w:ind w:left="540" w:hanging="540"/>
        <w:rPr>
          <w:rFonts w:cs="Times New Roman"/>
          <w:i/>
          <w:lang w:val="fr-CA"/>
        </w:rPr>
      </w:pPr>
      <w:r w:rsidRPr="00CD52B1">
        <w:rPr>
          <w:rFonts w:cs="Times New Roman"/>
          <w:i/>
          <w:lang w:val="fr-CA"/>
        </w:rPr>
        <w:t>L’audience disciplinaire tenue sous le régime de la LS</w:t>
      </w:r>
      <w:r w:rsidR="00C20B76">
        <w:rPr>
          <w:rFonts w:cs="Times New Roman"/>
          <w:i/>
          <w:lang w:val="fr-CA"/>
        </w:rPr>
        <w:t>P (décision du surintendant R. J</w:t>
      </w:r>
      <w:r w:rsidRPr="00CD52B1">
        <w:rPr>
          <w:rFonts w:cs="Times New Roman"/>
          <w:i/>
          <w:lang w:val="fr-CA"/>
        </w:rPr>
        <w:t>. </w:t>
      </w:r>
      <w:proofErr w:type="spellStart"/>
      <w:r w:rsidRPr="00CD52B1">
        <w:rPr>
          <w:rFonts w:cs="Times New Roman"/>
          <w:i/>
          <w:lang w:val="fr-CA"/>
        </w:rPr>
        <w:t>Fitches</w:t>
      </w:r>
      <w:proofErr w:type="spellEnd"/>
      <w:r w:rsidRPr="00CD52B1">
        <w:rPr>
          <w:rFonts w:cs="Times New Roman"/>
          <w:i/>
          <w:lang w:val="fr-CA"/>
        </w:rPr>
        <w:t xml:space="preserve">, datée du 28 juin 2004; </w:t>
      </w:r>
      <w:proofErr w:type="gramStart"/>
      <w:r w:rsidR="00C20B76">
        <w:rPr>
          <w:rFonts w:cs="Times New Roman"/>
          <w:i/>
          <w:lang w:val="fr-CA"/>
        </w:rPr>
        <w:t>d.a</w:t>
      </w:r>
      <w:r w:rsidRPr="00CD52B1">
        <w:rPr>
          <w:rFonts w:cs="Times New Roman"/>
          <w:i/>
          <w:lang w:val="fr-CA"/>
        </w:rPr>
        <w:t>.,</w:t>
      </w:r>
      <w:proofErr w:type="gramEnd"/>
      <w:r w:rsidRPr="00CD52B1">
        <w:rPr>
          <w:rFonts w:cs="Times New Roman"/>
          <w:i/>
          <w:lang w:val="fr-CA"/>
        </w:rPr>
        <w:t xml:space="preserve"> p. 99-116)</w:t>
      </w:r>
    </w:p>
    <w:p w:rsidR="0000152B" w:rsidRPr="00CD52B1" w:rsidRDefault="0000152B" w:rsidP="0000152B">
      <w:pPr>
        <w:pStyle w:val="ParaNoNdepar-AltN"/>
        <w:rPr>
          <w:rFonts w:cs="Times New Roman"/>
          <w:lang w:val="fr-CA"/>
        </w:rPr>
      </w:pPr>
      <w:r w:rsidRPr="00CD52B1">
        <w:rPr>
          <w:rFonts w:cs="Times New Roman"/>
          <w:lang w:val="fr-CA"/>
        </w:rPr>
        <w:t xml:space="preserve">Aux termes de la </w:t>
      </w:r>
      <w:r w:rsidRPr="00BE1CF0">
        <w:rPr>
          <w:rFonts w:cs="Times New Roman"/>
          <w:i/>
          <w:lang w:val="fr-CA"/>
        </w:rPr>
        <w:t>LSP</w:t>
      </w:r>
      <w:r w:rsidRPr="00CD52B1">
        <w:rPr>
          <w:rFonts w:cs="Times New Roman"/>
          <w:lang w:val="fr-CA"/>
        </w:rPr>
        <w:t xml:space="preserve">, toute plainte est renvoyée au chef de police : par. 60(4).  (Les dispositions indiquées renvoient à la version de la </w:t>
      </w:r>
      <w:r w:rsidRPr="00FA62F2">
        <w:rPr>
          <w:rFonts w:cs="Times New Roman"/>
          <w:lang w:val="fr-CA"/>
        </w:rPr>
        <w:t>Loi</w:t>
      </w:r>
      <w:r w:rsidRPr="00CD52B1">
        <w:rPr>
          <w:rFonts w:cs="Times New Roman"/>
          <w:lang w:val="fr-CA"/>
        </w:rPr>
        <w:t xml:space="preserve"> en vigueur à l’époque pertinente.)  Le chef de police est tenu de faire mener une enquête sur la plainte (sous réserve de certaines exceptions non pertinentes en l’espèce) et, compte tenu des résultats, d’ordonner la tenue d’une audience sur l’affaire s’il ou elle estime </w:t>
      </w:r>
      <w:r w:rsidRPr="00CD52B1">
        <w:rPr>
          <w:rFonts w:cs="Times New Roman"/>
          <w:lang w:val="fr-CA"/>
        </w:rPr>
        <w:lastRenderedPageBreak/>
        <w:t>que la conduite de l’agent de police a pu constituer une inconduite : par. 64(1) et (7).  Le cas échéant, l’audience est dirigée par le chef de police ou, pour le compte de ce dernier, par un délégué</w:t>
      </w:r>
      <w:r w:rsidR="00FA62F2">
        <w:rPr>
          <w:rFonts w:cs="Times New Roman"/>
          <w:lang w:val="fr-CA"/>
        </w:rPr>
        <w:t> </w:t>
      </w:r>
      <w:r w:rsidRPr="00CD52B1">
        <w:rPr>
          <w:rFonts w:cs="Times New Roman"/>
          <w:lang w:val="fr-CA"/>
        </w:rPr>
        <w:t xml:space="preserve">: </w:t>
      </w:r>
      <w:r w:rsidR="00BE1CF0">
        <w:rPr>
          <w:rFonts w:cs="Times New Roman"/>
          <w:lang w:val="fr-CA"/>
        </w:rPr>
        <w:t>par</w:t>
      </w:r>
      <w:r w:rsidRPr="00CD52B1">
        <w:rPr>
          <w:rFonts w:cs="Times New Roman"/>
          <w:lang w:val="fr-CA"/>
        </w:rPr>
        <w:t>. 64(7)</w:t>
      </w:r>
      <w:r w:rsidR="00BE1CF0">
        <w:rPr>
          <w:rFonts w:cs="Times New Roman"/>
          <w:lang w:val="fr-CA"/>
        </w:rPr>
        <w:t xml:space="preserve"> et art.</w:t>
      </w:r>
      <w:r w:rsidRPr="00CD52B1">
        <w:rPr>
          <w:rFonts w:cs="Times New Roman"/>
          <w:lang w:val="fr-CA"/>
        </w:rPr>
        <w:t xml:space="preserve"> 76.  Le chef de police désigne également un poursuivant : par. 64(8).  Le plaignant est partie à l’audience de par la loi et a le droit d’y participer (par. 69(3) et (4); </w:t>
      </w:r>
      <w:r w:rsidRPr="00CD52B1">
        <w:rPr>
          <w:rFonts w:cs="Times New Roman"/>
          <w:i/>
          <w:lang w:val="fr-CA"/>
        </w:rPr>
        <w:t>Loi sur l’exercice des compétences légales</w:t>
      </w:r>
      <w:r w:rsidRPr="00CD52B1">
        <w:rPr>
          <w:rFonts w:cs="Times New Roman"/>
          <w:lang w:val="fr-CA"/>
        </w:rPr>
        <w:t xml:space="preserve">, L.R.O. 1990, ch. S.22, art. 10 et 10.1).  Il ne peut toutefois demander la communication ou la production de documents autres que ceux sur lesquels se fonde la partie poursuivante, ni contraindre l’agent de police en question à témoigner : </w:t>
      </w:r>
      <w:r w:rsidRPr="00692862">
        <w:rPr>
          <w:rFonts w:cs="Times New Roman"/>
          <w:i/>
          <w:lang w:val="fr-CA"/>
        </w:rPr>
        <w:t>LSP</w:t>
      </w:r>
      <w:r w:rsidRPr="00CD52B1">
        <w:rPr>
          <w:rFonts w:cs="Times New Roman"/>
          <w:lang w:val="fr-CA"/>
        </w:rPr>
        <w:t>, par. 69(7).  À l’audience, il s’agit de déterminer si la présumée inconduite est « prouvée sur la foi de preuves claires et convaincantes » (par. 64(10)) et, dans l’affirmative, quelle peine infliger à l’agent de police en vertu des par. 68(1) et (5).  Il ne peut être accordé de réparation ni de dépens au plaignant.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En l’espèce, deux agents de police ont été accusés d’infractions disciplinaires pour avoir </w:t>
      </w:r>
      <w:proofErr w:type="spellStart"/>
      <w:r w:rsidRPr="00CD52B1">
        <w:rPr>
          <w:rFonts w:cs="Times New Roman"/>
          <w:lang w:val="fr-CA"/>
        </w:rPr>
        <w:t>présumément</w:t>
      </w:r>
      <w:proofErr w:type="spellEnd"/>
      <w:r w:rsidRPr="00CD52B1">
        <w:rPr>
          <w:rFonts w:cs="Times New Roman"/>
          <w:lang w:val="fr-CA"/>
        </w:rPr>
        <w:t xml:space="preserve"> procédé à une arrestation illégale ou inutile et pour avoir fait usage d’une force injustifiée : </w:t>
      </w:r>
      <w:proofErr w:type="spellStart"/>
      <w:r w:rsidR="00692862">
        <w:rPr>
          <w:rFonts w:cs="Times New Roman"/>
          <w:szCs w:val="24"/>
          <w:lang w:val="fr-CA"/>
        </w:rPr>
        <w:t>Règl</w:t>
      </w:r>
      <w:proofErr w:type="spellEnd"/>
      <w:r w:rsidR="00692862">
        <w:rPr>
          <w:rFonts w:cs="Times New Roman"/>
          <w:szCs w:val="24"/>
          <w:lang w:val="fr-CA"/>
        </w:rPr>
        <w:t xml:space="preserve">. de l’Ont. 123/98, partie V, </w:t>
      </w:r>
      <w:proofErr w:type="spellStart"/>
      <w:proofErr w:type="gramStart"/>
      <w:r w:rsidR="00692862">
        <w:rPr>
          <w:rFonts w:cs="Times New Roman"/>
          <w:szCs w:val="24"/>
          <w:lang w:val="fr-CA"/>
        </w:rPr>
        <w:t>a</w:t>
      </w:r>
      <w:r w:rsidRPr="00CD52B1">
        <w:rPr>
          <w:rFonts w:cs="Times New Roman"/>
          <w:szCs w:val="24"/>
          <w:lang w:val="fr-CA"/>
        </w:rPr>
        <w:t>nn</w:t>
      </w:r>
      <w:proofErr w:type="spellEnd"/>
      <w:r w:rsidRPr="00CD52B1">
        <w:rPr>
          <w:rFonts w:cs="Times New Roman"/>
          <w:szCs w:val="24"/>
          <w:lang w:val="fr-CA"/>
        </w:rPr>
        <w:t>.</w:t>
      </w:r>
      <w:r w:rsidRPr="00CD52B1">
        <w:rPr>
          <w:rFonts w:cs="Times New Roman"/>
          <w:lang w:val="fr-CA"/>
        </w:rPr>
        <w:t>,</w:t>
      </w:r>
      <w:proofErr w:type="gramEnd"/>
      <w:r w:rsidRPr="00CD52B1">
        <w:rPr>
          <w:rFonts w:cs="Times New Roman"/>
          <w:lang w:val="fr-CA"/>
        </w:rPr>
        <w:t xml:space="preserve"> </w:t>
      </w:r>
      <w:r w:rsidR="00692862" w:rsidRPr="00692862">
        <w:rPr>
          <w:rFonts w:cs="Times New Roman"/>
          <w:i/>
          <w:lang w:val="fr-CA"/>
        </w:rPr>
        <w:t xml:space="preserve">Code </w:t>
      </w:r>
      <w:r w:rsidR="00FA62F2">
        <w:rPr>
          <w:rFonts w:cs="Times New Roman"/>
          <w:i/>
          <w:lang w:val="fr-CA"/>
        </w:rPr>
        <w:t xml:space="preserve">of </w:t>
      </w:r>
      <w:proofErr w:type="spellStart"/>
      <w:r w:rsidR="00FA62F2">
        <w:rPr>
          <w:rFonts w:cs="Times New Roman"/>
          <w:i/>
          <w:lang w:val="fr-CA"/>
        </w:rPr>
        <w:t>Conduct</w:t>
      </w:r>
      <w:proofErr w:type="spellEnd"/>
      <w:r w:rsidR="00692862">
        <w:rPr>
          <w:rFonts w:cs="Times New Roman"/>
          <w:lang w:val="fr-CA"/>
        </w:rPr>
        <w:t xml:space="preserve">, </w:t>
      </w:r>
      <w:proofErr w:type="spellStart"/>
      <w:r w:rsidRPr="00CD52B1">
        <w:rPr>
          <w:rFonts w:cs="Times New Roman"/>
          <w:lang w:val="fr-CA"/>
        </w:rPr>
        <w:t>sous</w:t>
      </w:r>
      <w:r w:rsidRPr="00CD52B1">
        <w:rPr>
          <w:rFonts w:cs="Times New Roman"/>
          <w:lang w:val="fr-CA"/>
        </w:rPr>
        <w:noBreakHyphen/>
        <w:t>al</w:t>
      </w:r>
      <w:proofErr w:type="spellEnd"/>
      <w:r w:rsidRPr="00CD52B1">
        <w:rPr>
          <w:rFonts w:cs="Times New Roman"/>
          <w:lang w:val="fr-CA"/>
        </w:rPr>
        <w:t>. 2(1</w:t>
      </w:r>
      <w:proofErr w:type="gramStart"/>
      <w:r w:rsidRPr="00CD52B1">
        <w:rPr>
          <w:rFonts w:cs="Times New Roman"/>
          <w:lang w:val="fr-CA"/>
        </w:rPr>
        <w:t>)</w:t>
      </w:r>
      <w:r w:rsidR="00692862">
        <w:rPr>
          <w:rFonts w:cs="Times New Roman"/>
          <w:lang w:val="fr-CA"/>
        </w:rPr>
        <w:t>(</w:t>
      </w:r>
      <w:proofErr w:type="gramEnd"/>
      <w:r w:rsidRPr="00F401ED">
        <w:rPr>
          <w:rFonts w:cs="Times New Roman"/>
          <w:lang w:val="fr-CA"/>
        </w:rPr>
        <w:t>g</w:t>
      </w:r>
      <w:r w:rsidR="00692862">
        <w:rPr>
          <w:rFonts w:cs="Times New Roman"/>
          <w:lang w:val="fr-CA"/>
        </w:rPr>
        <w:t>)(i) et (ii)</w:t>
      </w:r>
      <w:r w:rsidRPr="00CD52B1">
        <w:rPr>
          <w:rFonts w:cs="Times New Roman"/>
          <w:lang w:val="fr-CA"/>
        </w:rPr>
        <w:t xml:space="preserve">.  Le chef de police a désigné un surintendant à la retraite de la Police provinciale de l’Ontario pour diriger l’audience en son nom.  L’audience s’est déroulée sur plusieurs jours en 2004.  M. Penner s’est représenté </w:t>
      </w:r>
      <w:proofErr w:type="spellStart"/>
      <w:r w:rsidRPr="00CD52B1">
        <w:rPr>
          <w:rFonts w:cs="Times New Roman"/>
          <w:lang w:val="fr-CA"/>
        </w:rPr>
        <w:t>lui</w:t>
      </w:r>
      <w:r w:rsidRPr="00CD52B1">
        <w:rPr>
          <w:rFonts w:cs="Times New Roman"/>
          <w:lang w:val="fr-CA"/>
        </w:rPr>
        <w:noBreakHyphen/>
        <w:t>même</w:t>
      </w:r>
      <w:proofErr w:type="spellEnd"/>
      <w:r w:rsidRPr="00CD52B1">
        <w:rPr>
          <w:rFonts w:cs="Times New Roman"/>
          <w:lang w:val="fr-CA"/>
        </w:rPr>
        <w:t xml:space="preserve">.  À titre de plaignant, il a présenté sa preuve, </w:t>
      </w:r>
      <w:proofErr w:type="gramStart"/>
      <w:r w:rsidRPr="00CD52B1">
        <w:rPr>
          <w:rFonts w:cs="Times New Roman"/>
          <w:lang w:val="fr-CA"/>
        </w:rPr>
        <w:t>a</w:t>
      </w:r>
      <w:proofErr w:type="gramEnd"/>
      <w:r w:rsidRPr="00CD52B1">
        <w:rPr>
          <w:rFonts w:cs="Times New Roman"/>
          <w:lang w:val="fr-CA"/>
        </w:rPr>
        <w:t xml:space="preserve"> </w:t>
      </w:r>
      <w:proofErr w:type="spellStart"/>
      <w:r w:rsidRPr="00CD52B1">
        <w:rPr>
          <w:rFonts w:cs="Times New Roman"/>
          <w:lang w:val="fr-CA"/>
        </w:rPr>
        <w:t>contre</w:t>
      </w:r>
      <w:r w:rsidRPr="00CD52B1">
        <w:rPr>
          <w:rFonts w:cs="Times New Roman"/>
          <w:lang w:val="fr-CA"/>
        </w:rPr>
        <w:noBreakHyphen/>
        <w:t>interrogé</w:t>
      </w:r>
      <w:proofErr w:type="spellEnd"/>
      <w:r w:rsidRPr="00CD52B1">
        <w:rPr>
          <w:rFonts w:cs="Times New Roman"/>
          <w:lang w:val="fr-CA"/>
        </w:rPr>
        <w:t xml:space="preserve"> des témoins et a fait des observations.  Plusieurs personnes qui se trouvaient dans la salle d’audience lors de l’arrestation de M. Penner ont témoigné à l’audience disciplinaire, à savoir l’avocat de la poursuite, le greffier, l’agent de sécurité des </w:t>
      </w:r>
      <w:r w:rsidRPr="00CD52B1">
        <w:rPr>
          <w:rFonts w:cs="Times New Roman"/>
          <w:lang w:val="fr-CA"/>
        </w:rPr>
        <w:lastRenderedPageBreak/>
        <w:t xml:space="preserve">tribunaux, deux personnes qui attendaient chacune la tenue de leur propre procès, M. Penner, son épouse et les agents Parker et </w:t>
      </w:r>
      <w:proofErr w:type="spellStart"/>
      <w:r w:rsidRPr="00CD52B1">
        <w:rPr>
          <w:rFonts w:cs="Times New Roman"/>
          <w:lang w:val="fr-CA"/>
        </w:rPr>
        <w:t>Koscinski</w:t>
      </w:r>
      <w:proofErr w:type="spellEnd"/>
      <w:r w:rsidRPr="00CD52B1">
        <w:rPr>
          <w:rFonts w:cs="Times New Roman"/>
          <w:lang w:val="fr-CA"/>
        </w:rPr>
        <w: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L’agent d’audience a rejeté en grande partie les témoignages des Penner.  Il s’est plutôt fondé principalement sur les dépositions d’autres témoins concernant les faits entourant l’arrestation de M. Penner et a conclu que les agents Parker et </w:t>
      </w:r>
      <w:proofErr w:type="spellStart"/>
      <w:r w:rsidRPr="00CD52B1">
        <w:rPr>
          <w:rFonts w:cs="Times New Roman"/>
          <w:lang w:val="fr-CA"/>
        </w:rPr>
        <w:t>Koscinski</w:t>
      </w:r>
      <w:proofErr w:type="spellEnd"/>
      <w:r w:rsidRPr="00CD52B1">
        <w:rPr>
          <w:rFonts w:cs="Times New Roman"/>
          <w:lang w:val="fr-CA"/>
        </w:rPr>
        <w:t xml:space="preserve"> avaient des motifs raisonnables d’arrêter M. Penner pour avoir troublé la paix dans un endroit public.  Quant à la question de savoir si les agents de police étaient légalement autorisés à procéder à une arrestation en application de la </w:t>
      </w:r>
      <w:r w:rsidRPr="00CD52B1">
        <w:rPr>
          <w:rFonts w:cs="Times New Roman"/>
          <w:i/>
          <w:lang w:val="fr-CA"/>
        </w:rPr>
        <w:t>Loi sur les infractions provinciales</w:t>
      </w:r>
      <w:r w:rsidR="00692862">
        <w:rPr>
          <w:rFonts w:cs="Times New Roman"/>
          <w:lang w:val="fr-CA"/>
        </w:rPr>
        <w:t>, L.R.O. 1990, ch. P</w:t>
      </w:r>
      <w:r w:rsidR="00D71E90">
        <w:rPr>
          <w:rFonts w:cs="Times New Roman"/>
          <w:lang w:val="fr-CA"/>
        </w:rPr>
        <w:t>.</w:t>
      </w:r>
      <w:r w:rsidRPr="00CD52B1">
        <w:rPr>
          <w:rFonts w:cs="Times New Roman"/>
          <w:lang w:val="fr-CA"/>
        </w:rPr>
        <w:t>33</w:t>
      </w:r>
      <w:r w:rsidR="00883795">
        <w:rPr>
          <w:rFonts w:cs="Times New Roman"/>
          <w:lang w:val="fr-CA"/>
        </w:rPr>
        <w:t>,</w:t>
      </w:r>
      <w:r w:rsidRPr="00CD52B1">
        <w:rPr>
          <w:rFonts w:cs="Times New Roman"/>
          <w:lang w:val="fr-CA"/>
        </w:rPr>
        <w:t xml:space="preserve"> lors d’une audience présidée par un juge de paix, l’agent d’audience a conclu que le poursuivant n’avait pas réussi à démontrer </w:t>
      </w:r>
      <w:r w:rsidRPr="00CD52B1">
        <w:rPr>
          <w:rFonts w:cs="Times New Roman"/>
          <w:smallCaps/>
          <w:lang w:val="fr-CA"/>
        </w:rPr>
        <w:t>[traduction]</w:t>
      </w:r>
      <w:r w:rsidRPr="00CD52B1">
        <w:rPr>
          <w:rFonts w:cs="Times New Roman"/>
          <w:lang w:val="fr-CA"/>
        </w:rPr>
        <w:t xml:space="preserve"> « de façon claire et convaincante que l’arrestation de M. Penner n’était pas autorisée par la loi »</w:t>
      </w:r>
      <w:r w:rsidR="00692862">
        <w:rPr>
          <w:rFonts w:cs="Times New Roman"/>
          <w:lang w:val="fr-CA"/>
        </w:rPr>
        <w:t xml:space="preserve"> : </w:t>
      </w:r>
      <w:r w:rsidRPr="00CD52B1">
        <w:rPr>
          <w:rFonts w:cs="Times New Roman"/>
          <w:lang w:val="fr-CA"/>
        </w:rPr>
        <w:t>p. </w:t>
      </w:r>
      <w:r w:rsidR="00692862">
        <w:rPr>
          <w:rFonts w:cs="Times New Roman"/>
          <w:lang w:val="fr-CA"/>
        </w:rPr>
        <w:t>xiii (d.a</w:t>
      </w:r>
      <w:r w:rsidRPr="00CD52B1">
        <w:rPr>
          <w:rFonts w:cs="Times New Roman"/>
          <w:lang w:val="fr-CA"/>
        </w:rPr>
        <w:t>., p. 111).  L’agent d’audience a donc rejeté l’allégation d’arrestation illégale et a déclaré les agents de police non coupables d’inconduite sur ce chef.</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Quant à l’allégation d’usage de force injustifiée, l’agent d’audience a conclu que les policiers avaient utilisé le degré de force qui était nécessaire pour maîtriser M. Penner.  Après avoir visionné les bandes vidéo enregistrées au poste de police, il a conclu [</w:t>
      </w:r>
      <w:r w:rsidRPr="00CD52B1">
        <w:rPr>
          <w:rFonts w:cs="Times New Roman"/>
          <w:smallCaps/>
          <w:lang w:val="fr-CA"/>
        </w:rPr>
        <w:t>traduction</w:t>
      </w:r>
      <w:r w:rsidRPr="00CD52B1">
        <w:rPr>
          <w:rFonts w:cs="Times New Roman"/>
          <w:lang w:val="fr-CA"/>
        </w:rPr>
        <w:t>] « à l’absence de toute preuve claire, convaincante ou concluante » qu’il y avait eu usage de force injustifiée là aussi</w:t>
      </w:r>
      <w:r w:rsidR="00692862">
        <w:rPr>
          <w:rFonts w:cs="Times New Roman"/>
          <w:lang w:val="fr-CA"/>
        </w:rPr>
        <w:t xml:space="preserve"> : </w:t>
      </w:r>
      <w:r w:rsidRPr="00CD52B1">
        <w:rPr>
          <w:rFonts w:cs="Times New Roman"/>
          <w:lang w:val="fr-CA"/>
        </w:rPr>
        <w:t>p. </w:t>
      </w:r>
      <w:r w:rsidR="00692862">
        <w:rPr>
          <w:rFonts w:cs="Times New Roman"/>
          <w:lang w:val="fr-CA"/>
        </w:rPr>
        <w:t>xvi</w:t>
      </w:r>
      <w:r w:rsidRPr="00CD52B1">
        <w:rPr>
          <w:rFonts w:cs="Times New Roman"/>
          <w:lang w:val="fr-CA"/>
        </w:rPr>
        <w:t xml:space="preserve"> </w:t>
      </w:r>
      <w:r w:rsidR="00692862">
        <w:rPr>
          <w:rFonts w:cs="Times New Roman"/>
          <w:lang w:val="fr-CA"/>
        </w:rPr>
        <w:t>(</w:t>
      </w:r>
      <w:proofErr w:type="gramStart"/>
      <w:r w:rsidR="00692862">
        <w:rPr>
          <w:rFonts w:cs="Times New Roman"/>
          <w:lang w:val="fr-CA"/>
        </w:rPr>
        <w:t>d</w:t>
      </w:r>
      <w:r w:rsidRPr="00CD52B1">
        <w:rPr>
          <w:rFonts w:cs="Times New Roman"/>
          <w:lang w:val="fr-CA"/>
        </w:rPr>
        <w:t>.</w:t>
      </w:r>
      <w:r w:rsidR="00692862">
        <w:rPr>
          <w:rFonts w:cs="Times New Roman"/>
          <w:lang w:val="fr-CA"/>
        </w:rPr>
        <w:t>a</w:t>
      </w:r>
      <w:r w:rsidRPr="00CD52B1">
        <w:rPr>
          <w:rFonts w:cs="Times New Roman"/>
          <w:lang w:val="fr-CA"/>
        </w:rPr>
        <w:t>.,</w:t>
      </w:r>
      <w:proofErr w:type="gramEnd"/>
      <w:r w:rsidRPr="00CD52B1">
        <w:rPr>
          <w:rFonts w:cs="Times New Roman"/>
          <w:lang w:val="fr-CA"/>
        </w:rPr>
        <w:t xml:space="preserve"> p. 114).</w:t>
      </w:r>
    </w:p>
    <w:p w:rsidR="0000152B" w:rsidRPr="00CD52B1" w:rsidRDefault="00B33217" w:rsidP="0000152B">
      <w:pPr>
        <w:pStyle w:val="TitleTitre-AltT"/>
        <w:numPr>
          <w:ilvl w:val="0"/>
          <w:numId w:val="11"/>
        </w:numPr>
        <w:tabs>
          <w:tab w:val="clear" w:pos="360"/>
          <w:tab w:val="left" w:pos="540"/>
        </w:tabs>
        <w:ind w:left="540" w:hanging="540"/>
        <w:rPr>
          <w:rFonts w:cs="Times New Roman"/>
          <w:i/>
          <w:lang w:val="fr-CA"/>
        </w:rPr>
      </w:pPr>
      <w:r>
        <w:rPr>
          <w:rFonts w:cs="Times New Roman"/>
          <w:i/>
          <w:lang w:val="fr-CA"/>
        </w:rPr>
        <w:lastRenderedPageBreak/>
        <w:t>Appel devant la Commission (d</w:t>
      </w:r>
      <w:r w:rsidR="0000152B" w:rsidRPr="00CD52B1">
        <w:rPr>
          <w:rFonts w:cs="Times New Roman"/>
          <w:i/>
          <w:lang w:val="fr-CA"/>
        </w:rPr>
        <w:t xml:space="preserve">écision datée du 22 avril 2005; </w:t>
      </w:r>
      <w:proofErr w:type="gramStart"/>
      <w:r w:rsidR="0080540A">
        <w:rPr>
          <w:rFonts w:cs="Times New Roman"/>
          <w:i/>
          <w:lang w:val="fr-CA"/>
        </w:rPr>
        <w:t>d.a</w:t>
      </w:r>
      <w:r w:rsidR="0000152B" w:rsidRPr="00CD52B1">
        <w:rPr>
          <w:rFonts w:cs="Times New Roman"/>
          <w:i/>
          <w:lang w:val="fr-CA"/>
        </w:rPr>
        <w:t>.,</w:t>
      </w:r>
      <w:proofErr w:type="gramEnd"/>
      <w:r w:rsidR="0000152B" w:rsidRPr="00CD52B1">
        <w:rPr>
          <w:rFonts w:cs="Times New Roman"/>
          <w:i/>
          <w:lang w:val="fr-CA"/>
        </w:rPr>
        <w:t xml:space="preserve"> p. 117-130)</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À titre de partie à l’audience disciplinaire, M. Penner a interjeté appel de la décision de l’agent d’audience à la Commission en vertu du par. 70(1) de la </w:t>
      </w:r>
      <w:r w:rsidRPr="009A04C0">
        <w:rPr>
          <w:rFonts w:cs="Times New Roman"/>
          <w:i/>
          <w:lang w:val="fr-CA"/>
        </w:rPr>
        <w:t>LSP</w:t>
      </w:r>
      <w:r w:rsidRPr="00CD52B1">
        <w:rPr>
          <w:rFonts w:cs="Times New Roman"/>
          <w:lang w:val="fr-CA"/>
        </w:rPr>
        <w:t>.  Il a prétendu devant elle qu’aucun motif d’ordre juridique ne justifiait son arrestation.</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 Commission a conclu que l’arrestation de M. Penner dans la salle d’audience était illégale parce que le juge de paix n’avait pas donné l’ordre aux agents d’y procéder.  La Commission était convaincue que la preuve démontrait de façon claire et convaincante que les agents Parker et </w:t>
      </w:r>
      <w:proofErr w:type="spellStart"/>
      <w:r w:rsidRPr="00CD52B1">
        <w:rPr>
          <w:rFonts w:cs="Times New Roman"/>
          <w:lang w:val="fr-CA"/>
        </w:rPr>
        <w:t>Koscinski</w:t>
      </w:r>
      <w:proofErr w:type="spellEnd"/>
      <w:r w:rsidRPr="00CD52B1">
        <w:rPr>
          <w:rFonts w:cs="Times New Roman"/>
          <w:lang w:val="fr-CA"/>
        </w:rPr>
        <w:t xml:space="preserve"> étaient coupables d’inconduite pour avoir procédé à une arrestation illégale et inutile, et partant, toute force dont ils avaient fait usage était injustifiée et inutile.</w:t>
      </w:r>
    </w:p>
    <w:p w:rsidR="0000152B" w:rsidRPr="00CD52B1" w:rsidRDefault="0000152B" w:rsidP="0000152B">
      <w:pPr>
        <w:pStyle w:val="TitleTitre-AltT"/>
        <w:numPr>
          <w:ilvl w:val="0"/>
          <w:numId w:val="11"/>
        </w:numPr>
        <w:tabs>
          <w:tab w:val="clear" w:pos="360"/>
          <w:tab w:val="left" w:pos="540"/>
        </w:tabs>
        <w:ind w:left="540" w:hanging="540"/>
        <w:rPr>
          <w:rFonts w:cs="Times New Roman"/>
          <w:i/>
          <w:lang w:val="fr-CA"/>
        </w:rPr>
      </w:pPr>
      <w:r w:rsidRPr="00CD52B1">
        <w:rPr>
          <w:rFonts w:cs="Times New Roman"/>
          <w:i/>
          <w:lang w:val="fr-CA"/>
        </w:rPr>
        <w:t xml:space="preserve">Appel interjeté devant la Cour supérieure de justice de l’Ontario — Cour divisionnaire (Parker c. Niagara </w:t>
      </w:r>
      <w:proofErr w:type="spellStart"/>
      <w:r w:rsidRPr="00CD52B1">
        <w:rPr>
          <w:rFonts w:cs="Times New Roman"/>
          <w:i/>
          <w:lang w:val="fr-CA"/>
        </w:rPr>
        <w:t>Regional</w:t>
      </w:r>
      <w:proofErr w:type="spellEnd"/>
      <w:r w:rsidRPr="00CD52B1">
        <w:rPr>
          <w:rFonts w:cs="Times New Roman"/>
          <w:i/>
          <w:lang w:val="fr-CA"/>
        </w:rPr>
        <w:t xml:space="preserve"> Police Service (2008), 232 O.A.C. 317) </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Saisie d’un appel supplémentaire interjeté par les agents en vertu du par. 71(1) de la </w:t>
      </w:r>
      <w:r w:rsidRPr="0080540A">
        <w:rPr>
          <w:rFonts w:cs="Times New Roman"/>
          <w:i/>
          <w:lang w:val="fr-CA"/>
        </w:rPr>
        <w:t>LSP</w:t>
      </w:r>
      <w:r w:rsidRPr="00CD52B1">
        <w:rPr>
          <w:rFonts w:cs="Times New Roman"/>
          <w:lang w:val="fr-CA"/>
        </w:rPr>
        <w:t>, la Cour divisionnaire a jugé que la Commission avait fait fi, déraisonnablement, des conclusions de fait tirées par l’agent d’audience et qu’aucune raison ne justifiait qu’elle y substitue les siennes.  La Cour divisionnaire a conclu que les agents de police étaient légalement autorisés à procéder à l’arrestation et a rétabli la conclusion de l’agent d’audience disculpant ces derniers des accusations.</w:t>
      </w:r>
    </w:p>
    <w:p w:rsidR="0000152B" w:rsidRPr="00CD52B1" w:rsidRDefault="0000152B" w:rsidP="0000152B">
      <w:pPr>
        <w:pStyle w:val="TitleTitre-AltT"/>
        <w:numPr>
          <w:ilvl w:val="0"/>
          <w:numId w:val="29"/>
        </w:numPr>
        <w:tabs>
          <w:tab w:val="clear" w:pos="360"/>
          <w:tab w:val="left" w:pos="540"/>
        </w:tabs>
        <w:ind w:left="540" w:hanging="540"/>
        <w:rPr>
          <w:rFonts w:cs="Times New Roman"/>
          <w:u w:val="single"/>
          <w:lang w:val="fr-CA"/>
        </w:rPr>
      </w:pPr>
      <w:r w:rsidRPr="00CD52B1">
        <w:rPr>
          <w:rFonts w:cs="Times New Roman"/>
          <w:u w:val="single"/>
          <w:lang w:val="fr-CA"/>
        </w:rPr>
        <w:lastRenderedPageBreak/>
        <w:t>Genèse de l’action civile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En juillet 2003, M. Penner a intenté une action civile reposant sur les mêmes faits que ceux sur lesquels portait l’audience disciplinaire.  Il alléguait, entre autres, l’arrestation illégale et l’usage de force injustifiée.  Après que la Cour divisionnair</w:t>
      </w:r>
      <w:r w:rsidR="0039424E">
        <w:rPr>
          <w:rFonts w:cs="Times New Roman"/>
          <w:lang w:val="fr-CA"/>
        </w:rPr>
        <w:t xml:space="preserve">e a </w:t>
      </w:r>
      <w:r w:rsidR="0039424E" w:rsidRPr="00CD52B1">
        <w:rPr>
          <w:rFonts w:cs="Times New Roman"/>
          <w:lang w:val="fr-CA"/>
        </w:rPr>
        <w:t>rétabli</w:t>
      </w:r>
      <w:r w:rsidRPr="00CD52B1">
        <w:rPr>
          <w:rFonts w:cs="Times New Roman"/>
          <w:lang w:val="fr-CA"/>
        </w:rPr>
        <w:t xml:space="preserve">, en janvier 2008, la décision rendue à l’issue de l’audience disciplinaire, les intimés ont déposé une motion visant à faire rejeter l’action civile sur le fondement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w:t>
      </w:r>
    </w:p>
    <w:p w:rsidR="0000152B" w:rsidRPr="00CD52B1" w:rsidRDefault="0000152B" w:rsidP="0000152B">
      <w:pPr>
        <w:pStyle w:val="TitleTitre-AltT"/>
        <w:tabs>
          <w:tab w:val="clear" w:pos="360"/>
          <w:tab w:val="left" w:pos="540"/>
        </w:tabs>
        <w:ind w:left="540" w:hanging="540"/>
        <w:rPr>
          <w:rFonts w:cs="Times New Roman"/>
          <w:lang w:val="fr-CA"/>
        </w:rPr>
      </w:pPr>
      <w:r w:rsidRPr="00CD52B1">
        <w:rPr>
          <w:rFonts w:cs="Times New Roman"/>
          <w:lang w:val="fr-CA"/>
        </w:rPr>
        <w:t>A.</w:t>
      </w:r>
      <w:r w:rsidRPr="00CD52B1">
        <w:rPr>
          <w:rFonts w:cs="Times New Roman"/>
          <w:lang w:val="fr-CA"/>
        </w:rPr>
        <w:tab/>
      </w:r>
      <w:r w:rsidRPr="00CD52B1">
        <w:rPr>
          <w:rFonts w:cs="Times New Roman"/>
          <w:i/>
          <w:lang w:val="fr-CA"/>
        </w:rPr>
        <w:t>Cour supérieure de justice (</w:t>
      </w:r>
      <w:r w:rsidR="0080540A">
        <w:rPr>
          <w:rFonts w:cs="Times New Roman"/>
          <w:i/>
          <w:lang w:val="fr-CA"/>
        </w:rPr>
        <w:t xml:space="preserve">le </w:t>
      </w:r>
      <w:r w:rsidRPr="00CD52B1">
        <w:rPr>
          <w:rFonts w:cs="Times New Roman"/>
          <w:i/>
          <w:lang w:val="fr-CA"/>
        </w:rPr>
        <w:t xml:space="preserve">juge </w:t>
      </w:r>
      <w:proofErr w:type="spellStart"/>
      <w:r w:rsidRPr="00CD52B1">
        <w:rPr>
          <w:rFonts w:cs="Times New Roman"/>
          <w:i/>
          <w:lang w:val="fr-CA"/>
        </w:rPr>
        <w:t>Fedak</w:t>
      </w:r>
      <w:proofErr w:type="spellEnd"/>
      <w:r w:rsidRPr="00CD52B1">
        <w:rPr>
          <w:rFonts w:cs="Times New Roman"/>
          <w:i/>
          <w:lang w:val="fr-CA"/>
        </w:rPr>
        <w:t xml:space="preserve">; 2009 </w:t>
      </w:r>
      <w:proofErr w:type="spellStart"/>
      <w:r w:rsidRPr="00CD52B1">
        <w:rPr>
          <w:rFonts w:cs="Times New Roman"/>
          <w:i/>
          <w:lang w:val="fr-CA"/>
        </w:rPr>
        <w:t>CarswellOnt</w:t>
      </w:r>
      <w:proofErr w:type="spellEnd"/>
      <w:r w:rsidRPr="00CD52B1">
        <w:rPr>
          <w:rFonts w:cs="Times New Roman"/>
          <w:i/>
          <w:lang w:val="fr-CA"/>
        </w:rPr>
        <w:t xml:space="preserve"> 9420)</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Selon le juge des motions, M. Penner était </w:t>
      </w:r>
      <w:proofErr w:type="spellStart"/>
      <w:r w:rsidRPr="00CD52B1">
        <w:rPr>
          <w:rFonts w:cs="Times New Roman"/>
          <w:lang w:val="fr-CA"/>
        </w:rPr>
        <w:t>préclus</w:t>
      </w:r>
      <w:proofErr w:type="spellEnd"/>
      <w:r w:rsidRPr="00CD52B1">
        <w:rPr>
          <w:rFonts w:cs="Times New Roman"/>
          <w:lang w:val="fr-CA"/>
        </w:rPr>
        <w:t xml:space="preserve"> d’ester en justice à l’égard de ces réclamations.  Son action civile soulevait, entre autres, les deux questions qui avaient déjà été tranchées à l’issue de l’audience disciplinaire, et dont la Cour divisionnaire avait confirmé le résultat : (1) l’arrestation </w:t>
      </w:r>
      <w:proofErr w:type="spellStart"/>
      <w:r w:rsidRPr="00CD52B1">
        <w:rPr>
          <w:rFonts w:cs="Times New Roman"/>
          <w:lang w:val="fr-CA"/>
        </w:rPr>
        <w:t>était</w:t>
      </w:r>
      <w:r w:rsidRPr="00CD52B1">
        <w:rPr>
          <w:rFonts w:cs="Times New Roman"/>
          <w:lang w:val="fr-CA"/>
        </w:rPr>
        <w:noBreakHyphen/>
        <w:t>elle</w:t>
      </w:r>
      <w:proofErr w:type="spellEnd"/>
      <w:r w:rsidRPr="00CD52B1">
        <w:rPr>
          <w:rFonts w:cs="Times New Roman"/>
          <w:lang w:val="fr-CA"/>
        </w:rPr>
        <w:t xml:space="preserve"> légale?  (2) </w:t>
      </w:r>
      <w:proofErr w:type="spellStart"/>
      <w:r w:rsidRPr="00CD52B1">
        <w:rPr>
          <w:rFonts w:cs="Times New Roman"/>
          <w:lang w:val="fr-CA"/>
        </w:rPr>
        <w:t>avait</w:t>
      </w:r>
      <w:r w:rsidRPr="00CD52B1">
        <w:rPr>
          <w:rFonts w:cs="Times New Roman"/>
          <w:lang w:val="fr-CA"/>
        </w:rPr>
        <w:noBreakHyphen/>
        <w:t>on</w:t>
      </w:r>
      <w:proofErr w:type="spellEnd"/>
      <w:r w:rsidRPr="00CD52B1">
        <w:rPr>
          <w:rFonts w:cs="Times New Roman"/>
          <w:lang w:val="fr-CA"/>
        </w:rPr>
        <w:t xml:space="preserve"> fait usage d’une force injustifiée, à l’audience ou au poste de police?  Le juge a appliqué le critère énoncé dans l’arrêt </w:t>
      </w:r>
      <w:proofErr w:type="spellStart"/>
      <w:r w:rsidRPr="00CD52B1">
        <w:rPr>
          <w:rFonts w:cs="Times New Roman"/>
          <w:i/>
          <w:lang w:val="fr-CA"/>
        </w:rPr>
        <w:t>Danyluk</w:t>
      </w:r>
      <w:proofErr w:type="spellEnd"/>
      <w:r w:rsidRPr="00CD52B1">
        <w:rPr>
          <w:rFonts w:cs="Times New Roman"/>
          <w:i/>
          <w:lang w:val="fr-CA"/>
        </w:rPr>
        <w:t xml:space="preserve"> c. Ainsworth Technologies Inc.</w:t>
      </w:r>
      <w:r w:rsidRPr="00CD52B1">
        <w:rPr>
          <w:rFonts w:cs="Times New Roman"/>
          <w:lang w:val="fr-CA"/>
        </w:rPr>
        <w:t>, 2001 CSC 44, [2001] 2 R.C.S. 460,</w:t>
      </w:r>
      <w:r w:rsidRPr="00CD52B1">
        <w:rPr>
          <w:rFonts w:cs="Times New Roman"/>
          <w:i/>
          <w:lang w:val="fr-CA"/>
        </w:rPr>
        <w:t xml:space="preserve"> </w:t>
      </w:r>
      <w:r w:rsidRPr="00CD52B1">
        <w:rPr>
          <w:rFonts w:cs="Times New Roman"/>
          <w:lang w:val="fr-CA"/>
        </w:rPr>
        <w:t xml:space="preserve">et a conclu que les trois conditions d’application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étaient réunies.</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Premièrement, la décision de l’agent d’audience était de nature judiciaire, et l’audience répondait aux exigences en matière d’équité procédurale en ce que M. Penner avait déposé la plainte, comparu devant le décideur, présenté des éléments </w:t>
      </w:r>
      <w:r w:rsidRPr="00CD52B1">
        <w:rPr>
          <w:rFonts w:cs="Times New Roman"/>
          <w:lang w:val="fr-CA"/>
        </w:rPr>
        <w:lastRenderedPageBreak/>
        <w:t>de preuve, interrogé des témoins et fait des observations écrites.  Deuxièmement, la décision était définitive.  Troisièmement, les parties à l’action civile étaient également parties à l’audience disciplinaire.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En ce qui concerne la deuxième partie du critère formulé dans l’arrêt </w:t>
      </w:r>
      <w:proofErr w:type="spellStart"/>
      <w:r w:rsidRPr="00CD52B1">
        <w:rPr>
          <w:rFonts w:cs="Times New Roman"/>
          <w:i/>
          <w:lang w:val="fr-CA"/>
        </w:rPr>
        <w:t>Danyluk</w:t>
      </w:r>
      <w:proofErr w:type="spellEnd"/>
      <w:r w:rsidRPr="00CD52B1">
        <w:rPr>
          <w:rFonts w:cs="Times New Roman"/>
          <w:lang w:val="fr-CA"/>
        </w:rPr>
        <w:t xml:space="preserve">, le juge des motions a déclaré que rien ne justifiait l’exercice de son pouvoir discrétionnaire de ne pas appliquer la doctrine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Nous tenons pour acquis, sans toutefois trancher la question, que la décision de l’agent d’audience pouvait être présentée au juge des motions pour que ce dernier décide si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s’appliquait.  Les décisions des instances inférieures sont muettes à cet égard.  Vu notre conclusion, il n’est pas nécessaire que nous nous prononcions sur la question.</w:t>
      </w:r>
    </w:p>
    <w:p w:rsidR="0000152B" w:rsidRPr="00CD52B1" w:rsidRDefault="0000152B" w:rsidP="0000152B">
      <w:pPr>
        <w:pStyle w:val="TitleTitre-AltT"/>
        <w:tabs>
          <w:tab w:val="clear" w:pos="360"/>
          <w:tab w:val="left" w:pos="540"/>
        </w:tabs>
        <w:ind w:left="540" w:hanging="540"/>
        <w:rPr>
          <w:rFonts w:cs="Times New Roman"/>
          <w:lang w:val="fr-CA"/>
        </w:rPr>
      </w:pPr>
      <w:r w:rsidRPr="00CD52B1">
        <w:rPr>
          <w:rFonts w:cs="Times New Roman"/>
          <w:lang w:val="fr-CA"/>
        </w:rPr>
        <w:t>B.</w:t>
      </w:r>
      <w:r w:rsidRPr="00CD52B1">
        <w:rPr>
          <w:rFonts w:cs="Times New Roman"/>
          <w:lang w:val="fr-CA"/>
        </w:rPr>
        <w:tab/>
      </w:r>
      <w:r w:rsidRPr="00CD52B1">
        <w:rPr>
          <w:rFonts w:cs="Times New Roman"/>
          <w:i/>
          <w:lang w:val="fr-CA"/>
        </w:rPr>
        <w:t xml:space="preserve">Cour d’appel de l’Ontario (le juge </w:t>
      </w:r>
      <w:proofErr w:type="spellStart"/>
      <w:r w:rsidRPr="00CD52B1">
        <w:rPr>
          <w:rFonts w:cs="Times New Roman"/>
          <w:i/>
          <w:lang w:val="fr-CA"/>
        </w:rPr>
        <w:t>Laskin</w:t>
      </w:r>
      <w:proofErr w:type="spellEnd"/>
      <w:r w:rsidRPr="00CD52B1">
        <w:rPr>
          <w:rFonts w:cs="Times New Roman"/>
          <w:i/>
          <w:lang w:val="fr-CA"/>
        </w:rPr>
        <w:t xml:space="preserve">, les juges </w:t>
      </w:r>
      <w:proofErr w:type="spellStart"/>
      <w:r w:rsidRPr="00CD52B1">
        <w:rPr>
          <w:rFonts w:cs="Times New Roman"/>
          <w:i/>
          <w:lang w:val="fr-CA"/>
        </w:rPr>
        <w:t>Moldaver</w:t>
      </w:r>
      <w:proofErr w:type="spellEnd"/>
      <w:r w:rsidRPr="00CD52B1">
        <w:rPr>
          <w:rFonts w:cs="Times New Roman"/>
          <w:i/>
          <w:lang w:val="fr-CA"/>
        </w:rPr>
        <w:t xml:space="preserve"> et Armstrong souscrivant à ses motifs; 2010 ONCA 616, 102 O.R. (3d) </w:t>
      </w:r>
      <w:r w:rsidR="0076172F">
        <w:rPr>
          <w:rFonts w:cs="Times New Roman"/>
          <w:i/>
          <w:lang w:val="fr-CA"/>
        </w:rPr>
        <w:t>700</w:t>
      </w:r>
      <w:r w:rsidRPr="00CD52B1">
        <w:rPr>
          <w:rFonts w:cs="Times New Roman"/>
          <w:i/>
          <w:lang w:val="fr-CA"/>
        </w:rPr>
        <w: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 Cour d’appel estimait, à l’instar du juge des motions, que les trois conditions d’application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étaient réunies.  Toutefois, elle était d’avis que le juge des motions avait commis une erreur en ne motivant pas sa conclusion selon laquelle rien ne justifiait l’exercice de son pouvoir discrétionnaire de ne pas appliquer cette doctrine.  Par conséquent, la </w:t>
      </w:r>
      <w:r w:rsidRPr="00CD52B1">
        <w:rPr>
          <w:rFonts w:cs="Times New Roman"/>
          <w:lang w:val="fr-CA"/>
        </w:rPr>
        <w:lastRenderedPageBreak/>
        <w:t>Cour d’appel s’est demandé si appliquer la doctrine aurait un effet inéquitable ou injuste, et ce, même si les trois conditions d’application étaient réunies</w:t>
      </w:r>
      <w:r w:rsidR="003B57C4">
        <w:rPr>
          <w:rFonts w:cs="Times New Roman"/>
          <w:lang w:val="fr-CA"/>
        </w:rPr>
        <w: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 Cour d’appel a reconnu que les objets différents visés par l’audience disciplinaire et l’action civile militaient contre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Elle était d’avis que le législateur n’avait pas l’intention d’empêcher quelqu’un dans la situation de M. Penner d’intenter une action civile du seul fait qu’il avait déposé une plainte sous le régime de la </w:t>
      </w:r>
      <w:r w:rsidRPr="003B57C4">
        <w:rPr>
          <w:rFonts w:cs="Times New Roman"/>
          <w:i/>
          <w:lang w:val="fr-CA"/>
        </w:rPr>
        <w:t>LSP</w:t>
      </w:r>
      <w:r w:rsidR="003B57C4">
        <w:rPr>
          <w:rFonts w:cs="Times New Roman"/>
          <w:lang w:val="fr-CA"/>
        </w:rPr>
        <w:t xml:space="preserve"> : </w:t>
      </w:r>
      <w:r w:rsidRPr="00CD52B1">
        <w:rPr>
          <w:rFonts w:cs="Times New Roman"/>
          <w:lang w:val="fr-CA"/>
        </w:rPr>
        <w:t xml:space="preserve">par. 42.  De plus, la Cour d’appel a estimé que l’audience disciplinaire ne présentait pour M. Penner aucun intérêt financier (car la loi ne prévoit le versement d’aucune indemnité au plaignant touché par l’inconduite d’un agent de police), bien que le poids de ce facteur fût diminué, de l’avis de la </w:t>
      </w:r>
      <w:r w:rsidR="003B57C4">
        <w:rPr>
          <w:rFonts w:cs="Times New Roman"/>
          <w:lang w:val="fr-CA"/>
        </w:rPr>
        <w:t>c</w:t>
      </w:r>
      <w:r w:rsidRPr="00CD52B1">
        <w:rPr>
          <w:rFonts w:cs="Times New Roman"/>
          <w:lang w:val="fr-CA"/>
        </w:rPr>
        <w:t xml:space="preserve">our, par le bénéfice potentiel qu’aurait apporté à M. Penner une éventuelle conclusion d’inconduite.  Même si ces facteurs militaient contre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la Cour d’appel a conclu qu’ils n’étaient pas déterminants dans l’analyse que commande l’exercice de ce pouvoir discrétionnaire.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Finalement, la Cour d’appel a estimé que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n’emporterait pas d’injustice et a décidé de ne pas exercer son pouvoir discrétionnaire de ne pas appliquer la doctrine, et ce, en raison des facteurs suivants :</w:t>
      </w:r>
    </w:p>
    <w:p w:rsidR="0000152B" w:rsidRPr="00CD52B1" w:rsidRDefault="0000152B" w:rsidP="003B57C4">
      <w:pPr>
        <w:pStyle w:val="Citation-AltC"/>
        <w:numPr>
          <w:ilvl w:val="0"/>
          <w:numId w:val="26"/>
        </w:numPr>
        <w:tabs>
          <w:tab w:val="left" w:pos="1620"/>
        </w:tabs>
        <w:spacing w:after="240" w:line="480" w:lineRule="auto"/>
        <w:ind w:left="720" w:hanging="720"/>
        <w:contextualSpacing w:val="0"/>
        <w:rPr>
          <w:lang w:val="fr-CA"/>
        </w:rPr>
      </w:pPr>
      <w:r w:rsidRPr="00CD52B1">
        <w:rPr>
          <w:lang w:val="fr-CA"/>
        </w:rPr>
        <w:lastRenderedPageBreak/>
        <w:t>en ce qui concerne les motifs raisonnables et probables de procéder à une arrestation, ainsi que le recours à une force excessive au cours de l’arrestation, l’agent d’audience était tout aussi compétent qu’un tribunal pour trancher (par. 45);</w:t>
      </w:r>
    </w:p>
    <w:p w:rsidR="0000152B" w:rsidRPr="00CD52B1" w:rsidRDefault="0000152B" w:rsidP="003B57C4">
      <w:pPr>
        <w:pStyle w:val="Citation-AltC"/>
        <w:numPr>
          <w:ilvl w:val="0"/>
          <w:numId w:val="26"/>
        </w:numPr>
        <w:tabs>
          <w:tab w:val="left" w:pos="1620"/>
        </w:tabs>
        <w:spacing w:after="240" w:line="480" w:lineRule="auto"/>
        <w:ind w:left="720" w:hanging="720"/>
        <w:contextualSpacing w:val="0"/>
        <w:rPr>
          <w:lang w:val="fr-CA"/>
        </w:rPr>
      </w:pPr>
      <w:r w:rsidRPr="00CD52B1">
        <w:rPr>
          <w:lang w:val="fr-CA"/>
        </w:rPr>
        <w:t xml:space="preserve">l’audience disciplinaire présentait </w:t>
      </w:r>
      <w:r w:rsidRPr="00CD52B1">
        <w:rPr>
          <w:smallCaps/>
          <w:lang w:val="fr-CA"/>
        </w:rPr>
        <w:t>[traduction]</w:t>
      </w:r>
      <w:r w:rsidRPr="00CD52B1">
        <w:rPr>
          <w:lang w:val="fr-CA"/>
        </w:rPr>
        <w:t xml:space="preserve"> « toutes les </w:t>
      </w:r>
      <w:r w:rsidR="00E5596A">
        <w:rPr>
          <w:lang w:val="fr-CA"/>
        </w:rPr>
        <w:t>marques</w:t>
      </w:r>
      <w:r w:rsidRPr="00CD52B1">
        <w:rPr>
          <w:lang w:val="fr-CA"/>
        </w:rPr>
        <w:t xml:space="preserve"> d’un procès civil ordinaire », et, en l’espèce, l’écart entre la norme de preuve applicable à une audience disciplinaire de la police et celle applicable à une action civile est sans importance (par. 48</w:t>
      </w:r>
      <w:r w:rsidRPr="00CD52B1">
        <w:rPr>
          <w:lang w:val="fr-CA"/>
        </w:rPr>
        <w:noBreakHyphen/>
        <w:t>51);</w:t>
      </w:r>
    </w:p>
    <w:p w:rsidR="0000152B" w:rsidRPr="00CD52B1" w:rsidRDefault="0000152B" w:rsidP="003B57C4">
      <w:pPr>
        <w:pStyle w:val="Citation-AltC"/>
        <w:numPr>
          <w:ilvl w:val="0"/>
          <w:numId w:val="26"/>
        </w:numPr>
        <w:tabs>
          <w:tab w:val="left" w:pos="1620"/>
        </w:tabs>
        <w:spacing w:after="240" w:line="480" w:lineRule="auto"/>
        <w:ind w:left="720" w:hanging="720"/>
        <w:contextualSpacing w:val="0"/>
        <w:rPr>
          <w:lang w:val="fr-CA"/>
        </w:rPr>
      </w:pPr>
      <w:r w:rsidRPr="00CD52B1">
        <w:rPr>
          <w:lang w:val="fr-CA"/>
        </w:rPr>
        <w:t xml:space="preserve">M. Penner a participé activement à l’audience disciplinaire (par. 52); </w:t>
      </w:r>
    </w:p>
    <w:p w:rsidR="0000152B" w:rsidRPr="00CD52B1" w:rsidRDefault="0000152B" w:rsidP="003B57C4">
      <w:pPr>
        <w:pStyle w:val="Citation-AltC"/>
        <w:numPr>
          <w:ilvl w:val="0"/>
          <w:numId w:val="26"/>
        </w:numPr>
        <w:tabs>
          <w:tab w:val="left" w:pos="1620"/>
        </w:tabs>
        <w:spacing w:after="240" w:line="480" w:lineRule="auto"/>
        <w:ind w:left="720" w:hanging="720"/>
        <w:contextualSpacing w:val="0"/>
        <w:rPr>
          <w:lang w:val="fr-CA"/>
        </w:rPr>
      </w:pPr>
      <w:r w:rsidRPr="00CD52B1">
        <w:rPr>
          <w:lang w:val="fr-CA"/>
        </w:rPr>
        <w:t xml:space="preserve">la </w:t>
      </w:r>
      <w:r w:rsidRPr="006D660C">
        <w:rPr>
          <w:i/>
          <w:lang w:val="fr-CA"/>
        </w:rPr>
        <w:t>LSP</w:t>
      </w:r>
      <w:r w:rsidRPr="00CD52B1">
        <w:rPr>
          <w:lang w:val="fr-CA"/>
        </w:rPr>
        <w:t xml:space="preserve"> accorde à la partie déboutée le droit d’interjeter appel à la Commission, un droit que M. Penner a exercé (par. 53).</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Par conséquent, la Cour d’appel a rejeté l’appel.</w:t>
      </w:r>
    </w:p>
    <w:p w:rsidR="0000152B" w:rsidRPr="00CD52B1" w:rsidRDefault="0000152B" w:rsidP="0000152B">
      <w:pPr>
        <w:pStyle w:val="TitleTitre-AltT"/>
        <w:tabs>
          <w:tab w:val="clear" w:pos="360"/>
          <w:tab w:val="left" w:pos="540"/>
        </w:tabs>
        <w:ind w:left="540" w:hanging="540"/>
        <w:rPr>
          <w:rFonts w:cs="Times New Roman"/>
          <w:lang w:val="fr-CA"/>
        </w:rPr>
      </w:pPr>
      <w:r w:rsidRPr="00CD52B1">
        <w:rPr>
          <w:rFonts w:cs="Times New Roman"/>
          <w:lang w:val="fr-CA"/>
        </w:rPr>
        <w:t>IV.</w:t>
      </w:r>
      <w:r w:rsidRPr="00CD52B1">
        <w:rPr>
          <w:rFonts w:cs="Times New Roman"/>
          <w:lang w:val="fr-CA"/>
        </w:rPr>
        <w:tab/>
      </w:r>
      <w:r w:rsidRPr="00CD52B1">
        <w:rPr>
          <w:rFonts w:cs="Times New Roman"/>
          <w:u w:val="single"/>
          <w:lang w:val="fr-CA"/>
        </w:rPr>
        <w:t>Norme de contrôle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 décision discrétionnaire d’un tribunal de juridiction inférieure est infirmée lorsque celui-ci s’est fondé sur des considérations erronées en droit ou que sa décision est erronée au point de créer une injustice : </w:t>
      </w:r>
      <w:proofErr w:type="spellStart"/>
      <w:r w:rsidRPr="00CD52B1">
        <w:rPr>
          <w:rFonts w:cs="Times New Roman"/>
          <w:i/>
          <w:lang w:val="fr-CA"/>
        </w:rPr>
        <w:t>Elsom</w:t>
      </w:r>
      <w:proofErr w:type="spellEnd"/>
      <w:r w:rsidRPr="00CD52B1">
        <w:rPr>
          <w:rFonts w:cs="Times New Roman"/>
          <w:i/>
          <w:lang w:val="fr-CA"/>
        </w:rPr>
        <w:t xml:space="preserve"> c. </w:t>
      </w:r>
      <w:proofErr w:type="spellStart"/>
      <w:r w:rsidRPr="00CD52B1">
        <w:rPr>
          <w:rFonts w:cs="Times New Roman"/>
          <w:i/>
          <w:lang w:val="fr-CA"/>
        </w:rPr>
        <w:t>Elsom</w:t>
      </w:r>
      <w:proofErr w:type="spellEnd"/>
      <w:r w:rsidRPr="00CD52B1">
        <w:rPr>
          <w:rFonts w:cs="Times New Roman"/>
          <w:lang w:val="fr-CA"/>
        </w:rPr>
        <w:t xml:space="preserve">, [1989] 1 R.C.S. 1367, p. 1375.  La décision discrétionnaire d’une instance inférieure peut également être infirmée à bon droit dans le cas où cette dernière n’accorde pas suffisamment d’importance aux considérations pertinentes ou ne leur en accorde pas </w:t>
      </w:r>
      <w:r w:rsidRPr="00CD52B1">
        <w:rPr>
          <w:rFonts w:cs="Times New Roman"/>
          <w:lang w:val="fr-CA"/>
        </w:rPr>
        <w:lastRenderedPageBreak/>
        <w:t xml:space="preserve">du tout : </w:t>
      </w:r>
      <w:r w:rsidRPr="00CD52B1">
        <w:rPr>
          <w:rFonts w:cs="Times New Roman"/>
          <w:i/>
          <w:lang w:val="fr-CA"/>
        </w:rPr>
        <w:t xml:space="preserve">Friends of the </w:t>
      </w:r>
      <w:proofErr w:type="spellStart"/>
      <w:r w:rsidRPr="00CD52B1">
        <w:rPr>
          <w:rFonts w:cs="Times New Roman"/>
          <w:i/>
          <w:lang w:val="fr-CA"/>
        </w:rPr>
        <w:t>Oldman</w:t>
      </w:r>
      <w:proofErr w:type="spellEnd"/>
      <w:r w:rsidRPr="00CD52B1">
        <w:rPr>
          <w:rFonts w:cs="Times New Roman"/>
          <w:i/>
          <w:lang w:val="fr-CA"/>
        </w:rPr>
        <w:t xml:space="preserve"> River Society c. Canada (Ministre des Transports)</w:t>
      </w:r>
      <w:r w:rsidRPr="00CD52B1">
        <w:rPr>
          <w:rFonts w:cs="Times New Roman"/>
          <w:lang w:val="fr-CA"/>
        </w:rPr>
        <w:t>, [1992] 1 R.C.S. 3, p. 76</w:t>
      </w:r>
      <w:r w:rsidRPr="00CD52B1">
        <w:rPr>
          <w:rFonts w:cs="Times New Roman"/>
          <w:lang w:val="fr-CA"/>
        </w:rPr>
        <w:noBreakHyphen/>
        <w:t>77.</w:t>
      </w:r>
    </w:p>
    <w:p w:rsidR="0000152B" w:rsidRPr="00CD52B1" w:rsidRDefault="0000152B" w:rsidP="0000152B">
      <w:pPr>
        <w:pStyle w:val="TitleTitre-AltT"/>
        <w:numPr>
          <w:ilvl w:val="0"/>
          <w:numId w:val="43"/>
        </w:numPr>
        <w:tabs>
          <w:tab w:val="clear" w:pos="360"/>
          <w:tab w:val="left" w:pos="540"/>
        </w:tabs>
        <w:rPr>
          <w:rFonts w:cs="Times New Roman"/>
          <w:u w:val="single"/>
          <w:lang w:val="fr-CA"/>
        </w:rPr>
      </w:pPr>
      <w:r w:rsidRPr="00CD52B1">
        <w:rPr>
          <w:rFonts w:cs="Times New Roman"/>
          <w:u w:val="single"/>
          <w:lang w:val="fr-CA"/>
        </w:rPr>
        <w:t>Analyse</w:t>
      </w:r>
    </w:p>
    <w:p w:rsidR="0000152B" w:rsidRPr="00CD52B1" w:rsidRDefault="0000152B" w:rsidP="0000152B">
      <w:pPr>
        <w:pStyle w:val="TitleTitre-AltT"/>
        <w:numPr>
          <w:ilvl w:val="0"/>
          <w:numId w:val="24"/>
        </w:numPr>
        <w:tabs>
          <w:tab w:val="clear" w:pos="360"/>
          <w:tab w:val="left" w:pos="540"/>
        </w:tabs>
        <w:ind w:left="540" w:hanging="540"/>
        <w:rPr>
          <w:rFonts w:cs="Times New Roman"/>
          <w:i/>
          <w:lang w:val="fr-CA"/>
        </w:rPr>
      </w:pPr>
      <w:proofErr w:type="spellStart"/>
      <w:r w:rsidRPr="00CD52B1">
        <w:rPr>
          <w:rFonts w:cs="Times New Roman"/>
          <w:i/>
          <w:lang w:val="fr-CA"/>
        </w:rPr>
        <w:t>Préclusion</w:t>
      </w:r>
      <w:proofErr w:type="spellEnd"/>
      <w:r w:rsidRPr="00CD52B1">
        <w:rPr>
          <w:rFonts w:cs="Times New Roman"/>
          <w:i/>
          <w:lang w:val="fr-CA"/>
        </w:rPr>
        <w:t xml:space="preserve"> découlant d’une question déjà tranchée : le cadre juridique</w:t>
      </w:r>
    </w:p>
    <w:p w:rsidR="0000152B" w:rsidRPr="00CD52B1" w:rsidRDefault="0000152B" w:rsidP="0000152B">
      <w:pPr>
        <w:pStyle w:val="ParaNoNdepar-AltN"/>
        <w:rPr>
          <w:rFonts w:cs="Times New Roman"/>
          <w:lang w:val="fr-CA"/>
        </w:rPr>
      </w:pPr>
      <w:r w:rsidRPr="00CD52B1">
        <w:rPr>
          <w:rFonts w:cs="Times New Roman"/>
          <w:szCs w:val="24"/>
          <w:lang w:val="fr-CA"/>
        </w:rPr>
        <w:t xml:space="preserve">La tenue d’une nouvelle instance à l’égard d’une question déjà tranchée gaspille les ressources, fait en sorte qu’il soit risqué pour les parties d’agir sur la foi du jugement obtenu à l’issue de l’instance antérieure, expose </w:t>
      </w:r>
      <w:proofErr w:type="spellStart"/>
      <w:r w:rsidRPr="00CD52B1">
        <w:rPr>
          <w:rFonts w:cs="Times New Roman"/>
          <w:szCs w:val="24"/>
          <w:lang w:val="fr-CA"/>
        </w:rPr>
        <w:t>inéquitablement</w:t>
      </w:r>
      <w:proofErr w:type="spellEnd"/>
      <w:r w:rsidRPr="00CD52B1">
        <w:rPr>
          <w:rFonts w:cs="Times New Roman"/>
          <w:szCs w:val="24"/>
          <w:lang w:val="fr-CA"/>
        </w:rPr>
        <w:t xml:space="preserve"> les parties à des frais additionnels, soulève le risque d’incohérence décisionnelle et, lorsque le premier décideur exerce une fonction qui relève du droit administratif, risque de contrecarrer l’intention du législateur qui a mis en place le régime administratif.  </w:t>
      </w:r>
      <w:r w:rsidRPr="00CD52B1">
        <w:rPr>
          <w:rFonts w:cs="Times New Roman"/>
          <w:lang w:val="fr-CA"/>
        </w:rPr>
        <w:t>Pour ces motifs, le droit a développé un certain nombre de doctrines visant à limiter la tenue de nouvelles instances.</w:t>
      </w:r>
    </w:p>
    <w:p w:rsidR="0000152B" w:rsidRPr="00CD52B1" w:rsidRDefault="0000152B" w:rsidP="0000152B">
      <w:pPr>
        <w:pStyle w:val="ParaNoNdepar-AltN"/>
        <w:rPr>
          <w:rFonts w:cs="Times New Roman"/>
          <w:lang w:val="fr-CA"/>
        </w:rPr>
      </w:pPr>
      <w:r w:rsidRPr="00CD52B1">
        <w:rPr>
          <w:rFonts w:cs="Times New Roman"/>
          <w:szCs w:val="24"/>
          <w:lang w:val="fr-CA"/>
        </w:rPr>
        <w:t>La doctrine pertinente en l’espèce est celle</w:t>
      </w:r>
      <w:r w:rsidRPr="00CD52B1">
        <w:rPr>
          <w:rFonts w:cs="Times New Roman"/>
          <w:lang w:val="fr-CA"/>
        </w:rPr>
        <w:t xml:space="preserve">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w:t>
      </w:r>
      <w:r w:rsidRPr="00CD52B1">
        <w:rPr>
          <w:rFonts w:cs="Times New Roman"/>
          <w:szCs w:val="24"/>
          <w:lang w:val="fr-CA"/>
        </w:rPr>
        <w:t xml:space="preserve">.  </w:t>
      </w:r>
      <w:r w:rsidRPr="00CD52B1">
        <w:rPr>
          <w:rFonts w:cs="Times New Roman"/>
          <w:lang w:val="fr-CA"/>
        </w:rPr>
        <w:t xml:space="preserve">Elle établit un équilibre entre le caractère définitif des décisions et l’économie, d’une part, et d’autres considérations intéressant l’équité envers les parties, d’autre part.  </w:t>
      </w:r>
      <w:r w:rsidRPr="00CD52B1">
        <w:rPr>
          <w:rFonts w:cs="Times New Roman"/>
          <w:szCs w:val="24"/>
          <w:lang w:val="fr-CA"/>
        </w:rPr>
        <w:t xml:space="preserve">Toujours selon cette doctrine, une partie ne peut pas engager une nouvelle instance à l’égard d’une question tranchée de façon définitive à l’issue d’une instance judiciaire antérieure opposant les mêmes parties ou celles qui les remplacent.  Toutefois, même si ces éléments sont réunis, la cour de justice </w:t>
      </w:r>
      <w:r w:rsidRPr="00CD52B1">
        <w:rPr>
          <w:rFonts w:cs="Times New Roman"/>
          <w:szCs w:val="24"/>
          <w:lang w:val="fr-CA"/>
        </w:rPr>
        <w:lastRenderedPageBreak/>
        <w:t xml:space="preserve">conserve le pouvoir discrétionnaire de ne pas appliquer </w:t>
      </w:r>
      <w:r w:rsidRPr="00CD52B1">
        <w:rPr>
          <w:rFonts w:cs="Times New Roman"/>
          <w:lang w:val="fr-CA"/>
        </w:rPr>
        <w:t xml:space="preserve">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cs="Times New Roman"/>
          <w:szCs w:val="24"/>
          <w:lang w:val="fr-CA"/>
        </w:rPr>
        <w:t>lorsqu’il en découlerait une injustice.</w:t>
      </w:r>
    </w:p>
    <w:p w:rsidR="0000152B" w:rsidRPr="00CD52B1" w:rsidRDefault="0000152B" w:rsidP="0000152B">
      <w:pPr>
        <w:pStyle w:val="ParaNoNdepar-AltN"/>
        <w:rPr>
          <w:rFonts w:cs="Times New Roman"/>
          <w:lang w:val="fr-CA"/>
        </w:rPr>
      </w:pPr>
      <w:r w:rsidRPr="00CD52B1">
        <w:rPr>
          <w:rFonts w:eastAsia="Times New Roman" w:cs="Times New Roman"/>
          <w:lang w:val="fr-CA"/>
        </w:rPr>
        <w:t xml:space="preserve">Selon le principe sur lequel repose ce pouvoir discrétionnaire, </w:t>
      </w:r>
      <w:r w:rsidRPr="00CD52B1">
        <w:rPr>
          <w:rFonts w:cs="Times New Roman"/>
          <w:lang w:val="fr-CA"/>
        </w:rPr>
        <w:t xml:space="preserve">« [u]ne doctrine élaborée par les tribunaux dans l’intérêt de la justice ne devrait pas être appliquée mécaniquement et donner lieu à une injustice » : </w:t>
      </w:r>
      <w:proofErr w:type="spellStart"/>
      <w:r w:rsidRPr="00CD52B1">
        <w:rPr>
          <w:rFonts w:cs="Times New Roman"/>
          <w:i/>
          <w:lang w:val="fr-CA"/>
        </w:rPr>
        <w:t>Danyluk</w:t>
      </w:r>
      <w:proofErr w:type="spellEnd"/>
      <w:r w:rsidRPr="00CD52B1">
        <w:rPr>
          <w:rFonts w:cs="Times New Roman"/>
          <w:lang w:val="fr-CA"/>
        </w:rPr>
        <w:t xml:space="preserve">, par. 1; voir également </w:t>
      </w:r>
      <w:r w:rsidRPr="00CD52B1">
        <w:rPr>
          <w:rFonts w:cs="Times New Roman"/>
          <w:i/>
          <w:lang w:val="fr-CA"/>
        </w:rPr>
        <w:t>Toronto (Ville) c. S.C.F.P., section locale 79</w:t>
      </w:r>
      <w:r w:rsidRPr="00CD52B1">
        <w:rPr>
          <w:rFonts w:cs="Times New Roman"/>
          <w:lang w:val="fr-CA"/>
        </w:rPr>
        <w:t>, 2003 CSC 63, [2003] 3 R.C.S. 77, par. 52-53.</w:t>
      </w:r>
    </w:p>
    <w:p w:rsidR="0000152B" w:rsidRPr="00CD52B1" w:rsidRDefault="0000152B" w:rsidP="0000152B">
      <w:pPr>
        <w:pStyle w:val="ParaNoNdepar-AltN"/>
        <w:rPr>
          <w:rFonts w:cs="Times New Roman"/>
          <w:lang w:val="fr-CA"/>
        </w:rPr>
      </w:pPr>
      <w:r w:rsidRPr="00CD52B1">
        <w:rPr>
          <w:rFonts w:cs="Times New Roman"/>
          <w:lang w:val="fr-CA"/>
        </w:rPr>
        <w:t xml:space="preserve">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de même que le pouvoir discrétionnaire qui s’y rattache, s’applique aux décisions des tribunaux administratifs.  Le cadre juridique qui régit l’exercice de ce pouvoir discrétionnaire est énoncé dans </w:t>
      </w:r>
      <w:proofErr w:type="spellStart"/>
      <w:r w:rsidRPr="00CD52B1">
        <w:rPr>
          <w:rFonts w:cs="Times New Roman"/>
          <w:i/>
          <w:lang w:val="fr-CA"/>
        </w:rPr>
        <w:t>Danyluk</w:t>
      </w:r>
      <w:proofErr w:type="spellEnd"/>
      <w:r w:rsidRPr="00CD52B1">
        <w:rPr>
          <w:rFonts w:cs="Times New Roman"/>
          <w:lang w:val="fr-CA"/>
        </w:rPr>
        <w:t xml:space="preserve">.  À notre avis, ce cadre n’a pas été supplanté par la jurisprudence subséquente de la Cour.  Lorsque les cours de justice exercent leur pouvoir discrétionnaire, elles doivent tenir compte de l’éventail et de la diversité des structures, des mandats et des règles de procédure qui circonscrivent le travail des décideurs dans la sphère administrative; toutefois, il ne faut pas exercer ce pouvoir discrétionnaire de manière à, dans les faits, sanctionner une attaque collatérale, ou à miner l’intégrité du régime administratif.  Comme le souligne la jurisprudence de la Cour, particulièrement depuis </w:t>
      </w:r>
      <w:proofErr w:type="spellStart"/>
      <w:r w:rsidRPr="00CD52B1">
        <w:rPr>
          <w:rFonts w:cs="Times New Roman"/>
          <w:i/>
          <w:lang w:val="fr-CA"/>
        </w:rPr>
        <w:t>Dunsmuir</w:t>
      </w:r>
      <w:proofErr w:type="spellEnd"/>
      <w:r w:rsidRPr="00CD52B1">
        <w:rPr>
          <w:rFonts w:cs="Times New Roman"/>
          <w:i/>
          <w:lang w:val="fr-CA"/>
        </w:rPr>
        <w:t xml:space="preserve"> c. Nouveau-Brunswick</w:t>
      </w:r>
      <w:r w:rsidRPr="00CD52B1">
        <w:rPr>
          <w:rFonts w:cs="Times New Roman"/>
          <w:lang w:val="fr-CA"/>
        </w:rPr>
        <w:t xml:space="preserve">, 2008 CSC 9, [2008] 1 R.C.S. 190, les lois qui créent les tribunaux administratifs sont le reflet des choix politiques des législateurs et la prise de décision par ces tribunaux doit être traitée avec respect par les cours de justice.  Cela dit, comme la Cour l’a affirmé dans </w:t>
      </w:r>
      <w:proofErr w:type="spellStart"/>
      <w:r w:rsidRPr="00CD52B1">
        <w:rPr>
          <w:rFonts w:cs="Times New Roman"/>
          <w:i/>
          <w:lang w:val="fr-CA"/>
        </w:rPr>
        <w:lastRenderedPageBreak/>
        <w:t>Danyluk</w:t>
      </w:r>
      <w:proofErr w:type="spellEnd"/>
      <w:r w:rsidR="00AB5497">
        <w:rPr>
          <w:rFonts w:cs="Times New Roman"/>
          <w:lang w:val="fr-CA"/>
        </w:rPr>
        <w:t xml:space="preserve">, </w:t>
      </w:r>
      <w:r w:rsidRPr="00CD52B1">
        <w:rPr>
          <w:rFonts w:cs="Times New Roman"/>
          <w:lang w:val="fr-CA"/>
        </w:rPr>
        <w:t>par. 67 : « </w:t>
      </w:r>
      <w:r w:rsidR="00F56D80">
        <w:rPr>
          <w:rFonts w:cs="Times New Roman"/>
          <w:lang w:val="fr-CA"/>
        </w:rPr>
        <w:t>L</w:t>
      </w:r>
      <w:r w:rsidRPr="00CD52B1">
        <w:rPr>
          <w:rFonts w:cs="Times New Roman"/>
          <w:lang w:val="fr-CA"/>
        </w:rPr>
        <w:t xml:space="preserve">’objectif est de faire en sorte que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favorise l’administration ordonnée de la justice, mais pas au prix d’une injustice concrète</w:t>
      </w:r>
      <w:r w:rsidR="006D660C">
        <w:rPr>
          <w:rFonts w:cs="Times New Roman"/>
          <w:lang w:val="fr-CA"/>
        </w:rPr>
        <w:t xml:space="preserve"> dans une affaire donnée. »</w:t>
      </w:r>
    </w:p>
    <w:p w:rsidR="0000152B" w:rsidRPr="00CD52B1" w:rsidRDefault="0000152B" w:rsidP="0000152B">
      <w:pPr>
        <w:pStyle w:val="TitleTitre-AltT"/>
        <w:numPr>
          <w:ilvl w:val="0"/>
          <w:numId w:val="24"/>
        </w:numPr>
        <w:tabs>
          <w:tab w:val="clear" w:pos="360"/>
          <w:tab w:val="left" w:pos="540"/>
        </w:tabs>
        <w:ind w:left="540" w:hanging="540"/>
        <w:rPr>
          <w:rFonts w:cs="Times New Roman"/>
          <w:i/>
          <w:lang w:val="fr-CA"/>
        </w:rPr>
      </w:pPr>
      <w:r w:rsidRPr="00CD52B1">
        <w:rPr>
          <w:rFonts w:cs="Times New Roman"/>
          <w:i/>
          <w:lang w:val="fr-CA"/>
        </w:rPr>
        <w:t xml:space="preserve">Aucune règle d’intérêt public n’interdit l’application de la </w:t>
      </w:r>
      <w:proofErr w:type="spellStart"/>
      <w:r w:rsidRPr="00CD52B1">
        <w:rPr>
          <w:rFonts w:cs="Times New Roman"/>
          <w:i/>
          <w:lang w:val="fr-CA"/>
        </w:rPr>
        <w:t>préclusion</w:t>
      </w:r>
      <w:proofErr w:type="spellEnd"/>
      <w:r w:rsidRPr="00CD52B1">
        <w:rPr>
          <w:rFonts w:cs="Times New Roman"/>
          <w:i/>
          <w:lang w:val="fr-CA"/>
        </w:rPr>
        <w:t xml:space="preserve"> découlant d’une question déjà tranchée dans le cas d’audiences disciplinaires de la police</w:t>
      </w:r>
    </w:p>
    <w:p w:rsidR="0000152B" w:rsidRPr="00CD52B1" w:rsidRDefault="0000152B" w:rsidP="0000152B">
      <w:pPr>
        <w:pStyle w:val="ParaNoNdepar-AltN"/>
        <w:tabs>
          <w:tab w:val="num" w:pos="2156"/>
        </w:tabs>
        <w:rPr>
          <w:rFonts w:cs="Times New Roman"/>
          <w:lang w:val="fr-CA"/>
        </w:rPr>
      </w:pPr>
      <w:r w:rsidRPr="00CD52B1">
        <w:rPr>
          <w:rFonts w:cs="Times New Roman"/>
          <w:lang w:val="fr-CA"/>
        </w:rPr>
        <w:t xml:space="preserve">La Cour d’appel de l’Ontario a procédé à une analyse conventionnelle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selon les facteurs énoncés dans </w:t>
      </w:r>
      <w:proofErr w:type="spellStart"/>
      <w:r w:rsidRPr="00CD52B1">
        <w:rPr>
          <w:rFonts w:cs="Times New Roman"/>
          <w:i/>
          <w:lang w:val="fr-CA"/>
        </w:rPr>
        <w:t>Danyluk</w:t>
      </w:r>
      <w:proofErr w:type="spellEnd"/>
      <w:r w:rsidRPr="00CD52B1">
        <w:rPr>
          <w:rFonts w:cs="Times New Roman"/>
          <w:lang w:val="fr-CA"/>
        </w:rPr>
        <w:t xml:space="preserve">.  M. Penner et certains intervenants demandent à la Cour, et ce, dans l’intérêt public, d’interdire l’application de cette doctrine dans le contexte d’une audience disciplinaire de la police si cette application empêche un plaignant d’intenter une action en </w:t>
      </w:r>
      <w:proofErr w:type="spellStart"/>
      <w:r w:rsidRPr="00CD52B1">
        <w:rPr>
          <w:rFonts w:cs="Times New Roman"/>
          <w:lang w:val="fr-CA"/>
        </w:rPr>
        <w:t>dommages</w:t>
      </w:r>
      <w:r w:rsidRPr="00CD52B1">
        <w:rPr>
          <w:rFonts w:cs="Times New Roman"/>
          <w:lang w:val="fr-CA"/>
        </w:rPr>
        <w:noBreakHyphen/>
        <w:t>intérêts</w:t>
      </w:r>
      <w:proofErr w:type="spellEnd"/>
      <w:r w:rsidRPr="00CD52B1">
        <w:rPr>
          <w:rFonts w:cs="Times New Roman"/>
          <w:lang w:val="fr-CA"/>
        </w:rPr>
        <w:t xml:space="preserve"> à l’égard des mêmes faits.  De leur avis, appliquer la doctrine dans le cas d’une audience disciplinaire de la police a pour effet de nier au tribunal son rôle de gardien de la Constitution et de la primauté du droit.  Selon eux également, l’intérêt public exige que la surveillance de l’action policière soit soumise au contrôle judiciaire.  Ces arguments sont soulevés ouvertement pour la première fois devant la Cour.</w:t>
      </w:r>
    </w:p>
    <w:p w:rsidR="0000152B" w:rsidRPr="00CD52B1" w:rsidRDefault="0000152B" w:rsidP="0000152B">
      <w:pPr>
        <w:pStyle w:val="ParaNoNdepar-AltN"/>
        <w:rPr>
          <w:rFonts w:cs="Times New Roman"/>
          <w:lang w:val="fr-CA"/>
        </w:rPr>
      </w:pPr>
      <w:r w:rsidRPr="00CD52B1">
        <w:rPr>
          <w:rFonts w:cs="Times New Roman"/>
          <w:lang w:val="fr-CA"/>
        </w:rPr>
        <w:t xml:space="preserve">La surveillance de l’action policière est une question complexe qui suscite une vive attention de la part du public et appelle différentes réponses d’intérêt public.  Au fil des ans, les cadres législatifs ont été révisés dans les buts exprès de favoriser l’efficacité des services policiers et d’accroître la transparence et la reddition de comptes du processus relatif aux plaintes du public.  Dans une décision </w:t>
      </w:r>
      <w:r w:rsidRPr="00CD52B1">
        <w:rPr>
          <w:rFonts w:cs="Times New Roman"/>
          <w:lang w:val="fr-CA"/>
        </w:rPr>
        <w:lastRenderedPageBreak/>
        <w:t xml:space="preserve">rendue en 2006, la Cour divisionnaire de l’Ontario a conclu que le législateur avait permis une « partialité institutionnelle » dans la nomination d’un agent d’audience effectuée en vertu du par. 76(1) de la </w:t>
      </w:r>
      <w:r w:rsidRPr="006D660C">
        <w:rPr>
          <w:rFonts w:cs="Times New Roman"/>
          <w:i/>
          <w:lang w:val="fr-CA"/>
        </w:rPr>
        <w:t>LSP</w:t>
      </w:r>
      <w:r w:rsidRPr="00CD52B1">
        <w:rPr>
          <w:rFonts w:cs="Times New Roman"/>
          <w:lang w:val="fr-CA"/>
        </w:rPr>
        <w:t xml:space="preserve"> : </w:t>
      </w:r>
      <w:r w:rsidRPr="00CD52B1">
        <w:rPr>
          <w:rFonts w:cs="Times New Roman"/>
          <w:i/>
          <w:lang w:val="fr-CA"/>
        </w:rPr>
        <w:t xml:space="preserve">Sharma c. Waterloo </w:t>
      </w:r>
      <w:proofErr w:type="spellStart"/>
      <w:r w:rsidRPr="00CD52B1">
        <w:rPr>
          <w:rFonts w:cs="Times New Roman"/>
          <w:i/>
          <w:lang w:val="fr-CA"/>
        </w:rPr>
        <w:t>Regional</w:t>
      </w:r>
      <w:proofErr w:type="spellEnd"/>
      <w:r w:rsidRPr="00CD52B1">
        <w:rPr>
          <w:rFonts w:cs="Times New Roman"/>
          <w:i/>
          <w:lang w:val="fr-CA"/>
        </w:rPr>
        <w:t xml:space="preserve"> Police Service</w:t>
      </w:r>
      <w:r w:rsidR="00D5371D">
        <w:rPr>
          <w:rFonts w:cs="Times New Roman"/>
          <w:lang w:val="fr-CA"/>
        </w:rPr>
        <w:t xml:space="preserve"> (2006), </w:t>
      </w:r>
      <w:r w:rsidRPr="00CD52B1">
        <w:rPr>
          <w:rFonts w:cs="Times New Roman"/>
          <w:lang w:val="fr-CA"/>
        </w:rPr>
        <w:t xml:space="preserve">213 O.A.C. 371, par. 27.  En l’espèce, les parties ne contestent pas qu’il s’agit là d’un exercice légitime du pouvoir du législateur, et la Cour divisionnaire, dans </w:t>
      </w:r>
      <w:r w:rsidRPr="00CD52B1">
        <w:rPr>
          <w:rFonts w:cs="Times New Roman"/>
          <w:i/>
          <w:lang w:val="fr-CA"/>
        </w:rPr>
        <w:t>Sharma</w:t>
      </w:r>
      <w:r w:rsidRPr="00CD52B1">
        <w:rPr>
          <w:rFonts w:cs="Times New Roman"/>
          <w:lang w:val="fr-CA"/>
        </w:rPr>
        <w:t xml:space="preserve">, par. 28, était d’avis que la faculté de nommer un « agent de police à la retraite qui n’a aucun lien avec le service permet d’assurer l’indépendance nécessaire ».  Voir également l’honorable Patrick J. </w:t>
      </w:r>
      <w:proofErr w:type="spellStart"/>
      <w:r w:rsidRPr="00CD52B1">
        <w:rPr>
          <w:rFonts w:cs="Times New Roman"/>
          <w:lang w:val="fr-CA"/>
        </w:rPr>
        <w:t>LeSage</w:t>
      </w:r>
      <w:proofErr w:type="spellEnd"/>
      <w:r w:rsidRPr="00CD52B1">
        <w:rPr>
          <w:rFonts w:cs="Times New Roman"/>
          <w:lang w:val="fr-CA"/>
        </w:rPr>
        <w:t xml:space="preserve">, </w:t>
      </w:r>
      <w:r w:rsidRPr="00CD52B1">
        <w:rPr>
          <w:rFonts w:cs="Times New Roman"/>
          <w:i/>
          <w:lang w:val="fr-CA"/>
        </w:rPr>
        <w:t>Rapport sur le système ontarien de traitement des plaintes concernant la police</w:t>
      </w:r>
      <w:r w:rsidR="006D660C">
        <w:rPr>
          <w:rFonts w:cs="Times New Roman"/>
          <w:lang w:val="fr-CA"/>
        </w:rPr>
        <w:t xml:space="preserve"> (2005), p. 84</w:t>
      </w:r>
      <w:r w:rsidRPr="00CD52B1">
        <w:rPr>
          <w:rFonts w:cs="Times New Roman"/>
          <w:lang w:val="fr-CA"/>
        </w:rPr>
        <w:noBreakHyphen/>
        <w:t>85.</w:t>
      </w:r>
    </w:p>
    <w:p w:rsidR="0000152B" w:rsidRPr="00CD52B1" w:rsidRDefault="0000152B" w:rsidP="0000152B">
      <w:pPr>
        <w:pStyle w:val="ParaNoNdepar-AltN"/>
        <w:rPr>
          <w:rFonts w:cs="Times New Roman"/>
          <w:lang w:val="fr-CA"/>
        </w:rPr>
      </w:pPr>
      <w:r w:rsidRPr="00CD52B1">
        <w:rPr>
          <w:rFonts w:cs="Times New Roman"/>
          <w:lang w:val="fr-CA"/>
        </w:rPr>
        <w:t xml:space="preserve">Le processus de plaintes du public comporte un certain nombre de mécanismes permettant de favoriser la participation du public et la reddition de comptes.  Par exemple, aux termes de la partie II de la </w:t>
      </w:r>
      <w:r w:rsidRPr="00F401ED">
        <w:rPr>
          <w:rFonts w:cs="Times New Roman"/>
          <w:i/>
          <w:lang w:val="fr-CA"/>
        </w:rPr>
        <w:t>LSP</w:t>
      </w:r>
      <w:r w:rsidRPr="00CD52B1">
        <w:rPr>
          <w:rFonts w:cs="Times New Roman"/>
          <w:lang w:val="fr-CA"/>
        </w:rPr>
        <w:t xml:space="preserve">, la Commission, à titre d’organisme composé de membres civils, procède en toute indépendance au contrôle des services policiers en Ontario afin d’assurer l’équité et la reddition de comptes dans l’intérêt du public.  La partie V prévoit un processus complet permettant aux membres du public de déposer des plaintes officielles contre des politiques ou des services.  Le contrôle des décisions résultant d’audiences disciplinaires tenues sous le régime de la </w:t>
      </w:r>
      <w:r w:rsidRPr="00792E3F">
        <w:rPr>
          <w:rFonts w:cs="Times New Roman"/>
          <w:i/>
          <w:lang w:val="fr-CA"/>
        </w:rPr>
        <w:t>LSP</w:t>
      </w:r>
      <w:r w:rsidRPr="00CD52B1">
        <w:rPr>
          <w:rFonts w:cs="Times New Roman"/>
          <w:lang w:val="fr-CA"/>
        </w:rPr>
        <w:t xml:space="preserve"> est possible, la </w:t>
      </w:r>
      <w:r w:rsidRPr="00792E3F">
        <w:rPr>
          <w:rFonts w:cs="Times New Roman"/>
          <w:i/>
          <w:lang w:val="fr-CA"/>
        </w:rPr>
        <w:t>LSP</w:t>
      </w:r>
      <w:r w:rsidRPr="00CD52B1">
        <w:rPr>
          <w:rFonts w:cs="Times New Roman"/>
          <w:lang w:val="fr-CA"/>
        </w:rPr>
        <w:t xml:space="preserve"> prévoyant un droit d’appel devant la Commission et ensuite devant la Cour divisionnaire : voir par. 70(1) et 71(1).</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Nous ne sommes pas convaincus qu’il est nécessaire ni souhaitable de créer une règle d’intérêt public qui exclurait de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les cas résultant d’audiences disciplinaires de la police.  Cette doctrine invite les cours à exercer leur pouvoir discrétionnaire pour éviter l’injustice; elle appelle un examen au cas par cas des circonstances pour déterminer s’il résulterait une iniquité ou une injustice de son application. </w:t>
      </w:r>
    </w:p>
    <w:p w:rsidR="0000152B" w:rsidRPr="00CD52B1" w:rsidRDefault="0000152B" w:rsidP="0000152B">
      <w:pPr>
        <w:pStyle w:val="TitleTitre-AltT"/>
        <w:numPr>
          <w:ilvl w:val="0"/>
          <w:numId w:val="24"/>
        </w:numPr>
        <w:tabs>
          <w:tab w:val="clear" w:pos="360"/>
          <w:tab w:val="left" w:pos="540"/>
        </w:tabs>
        <w:ind w:left="540" w:hanging="540"/>
        <w:rPr>
          <w:rFonts w:cs="Times New Roman"/>
          <w:i/>
          <w:lang w:val="fr-CA"/>
        </w:rPr>
      </w:pPr>
      <w:r w:rsidRPr="00CD52B1">
        <w:rPr>
          <w:rFonts w:cs="Times New Roman"/>
          <w:i/>
          <w:lang w:val="fr-CA"/>
        </w:rPr>
        <w:t xml:space="preserve">Application discrétionnaire de la </w:t>
      </w:r>
      <w:proofErr w:type="spellStart"/>
      <w:r w:rsidRPr="00CD52B1">
        <w:rPr>
          <w:rFonts w:cs="Times New Roman"/>
          <w:i/>
          <w:lang w:val="fr-CA"/>
        </w:rPr>
        <w:t>préclusion</w:t>
      </w:r>
      <w:proofErr w:type="spellEnd"/>
      <w:r w:rsidRPr="00CD52B1">
        <w:rPr>
          <w:rFonts w:cs="Times New Roman"/>
          <w:i/>
          <w:lang w:val="fr-CA"/>
        </w:rPr>
        <w:t xml:space="preserve"> découlant d’une</w:t>
      </w:r>
      <w:r w:rsidRPr="00CD52B1">
        <w:rPr>
          <w:rFonts w:cs="Times New Roman"/>
          <w:lang w:val="fr-CA"/>
        </w:rPr>
        <w:t xml:space="preserve"> </w:t>
      </w:r>
      <w:r w:rsidRPr="00CD52B1">
        <w:rPr>
          <w:rFonts w:cs="Times New Roman"/>
          <w:i/>
          <w:lang w:val="fr-CA"/>
        </w:rPr>
        <w:t>question déjà tranchée</w:t>
      </w:r>
      <w:r w:rsidRPr="00CD52B1">
        <w:rPr>
          <w:rFonts w:cs="Times New Roman"/>
          <w:lang w:val="fr-CA"/>
        </w:rPr>
        <w:t xml:space="preserve"> </w:t>
      </w:r>
    </w:p>
    <w:p w:rsidR="0000152B" w:rsidRPr="00CD52B1" w:rsidRDefault="0000152B" w:rsidP="00792E3F">
      <w:pPr>
        <w:pStyle w:val="TitleTitre-AltT"/>
        <w:tabs>
          <w:tab w:val="clear" w:pos="360"/>
          <w:tab w:val="left" w:pos="1170"/>
        </w:tabs>
        <w:ind w:left="1800" w:hanging="1800"/>
        <w:rPr>
          <w:rFonts w:cs="Times New Roman"/>
          <w:u w:val="single"/>
          <w:lang w:val="fr-CA"/>
        </w:rPr>
      </w:pPr>
      <w:r w:rsidRPr="00CD52B1">
        <w:rPr>
          <w:rFonts w:cs="Times New Roman"/>
          <w:lang w:val="fr-CA"/>
        </w:rPr>
        <w:tab/>
        <w:t>(1)</w:t>
      </w:r>
      <w:r w:rsidRPr="00CD52B1">
        <w:rPr>
          <w:rFonts w:cs="Times New Roman"/>
          <w:lang w:val="fr-CA"/>
        </w:rPr>
        <w:tab/>
      </w:r>
      <w:r w:rsidRPr="00CD52B1">
        <w:rPr>
          <w:rFonts w:cs="Times New Roman"/>
          <w:u w:val="single"/>
          <w:lang w:val="fr-CA"/>
        </w:rPr>
        <w:t>Exercice du pouvoir discrétionnaire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Nous souscrivons à la conclusion des tribunaux d’instance inférieure selon laquelle les trois conditions d’application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sont réunies en l’espèce.  La présente affaire porte donc sur l’exercice, par la Cour d’appel, de son pouvoir discrétionnaire de déterminer s’il serait injuste d’appliquer cette doctrine en l’espèce.</w:t>
      </w:r>
    </w:p>
    <w:p w:rsidR="0000152B" w:rsidRPr="00CD52B1" w:rsidRDefault="0000152B" w:rsidP="0000152B">
      <w:pPr>
        <w:pStyle w:val="ParaNoNdepar-AltN"/>
        <w:rPr>
          <w:rFonts w:cs="Times New Roman"/>
          <w:lang w:val="fr-CA"/>
        </w:rPr>
      </w:pPr>
      <w:r w:rsidRPr="00CD52B1">
        <w:rPr>
          <w:rFonts w:cs="Times New Roman"/>
          <w:lang w:val="fr-CA"/>
        </w:rPr>
        <w:t xml:space="preserve">Dans </w:t>
      </w:r>
      <w:proofErr w:type="spellStart"/>
      <w:r w:rsidRPr="00CD52B1">
        <w:rPr>
          <w:rFonts w:cs="Times New Roman"/>
          <w:i/>
          <w:lang w:val="fr-CA"/>
        </w:rPr>
        <w:t>Danyluk</w:t>
      </w:r>
      <w:proofErr w:type="spellEnd"/>
      <w:r w:rsidRPr="00CD52B1">
        <w:rPr>
          <w:rFonts w:cs="Times New Roman"/>
          <w:lang w:val="fr-CA"/>
        </w:rPr>
        <w:t>, par. 68</w:t>
      </w:r>
      <w:r w:rsidR="00792E3F">
        <w:rPr>
          <w:rFonts w:cs="Times New Roman"/>
          <w:lang w:val="fr-CA"/>
        </w:rPr>
        <w:t>-</w:t>
      </w:r>
      <w:r w:rsidRPr="00CD52B1">
        <w:rPr>
          <w:rFonts w:cs="Times New Roman"/>
          <w:lang w:val="fr-CA"/>
        </w:rPr>
        <w:t xml:space="preserve">80, la Cour a repris plusieurs facteurs relevés par le juge </w:t>
      </w:r>
      <w:proofErr w:type="spellStart"/>
      <w:r w:rsidRPr="00CD52B1">
        <w:rPr>
          <w:rFonts w:cs="Times New Roman"/>
          <w:lang w:val="fr-CA"/>
        </w:rPr>
        <w:t>Laskin</w:t>
      </w:r>
      <w:proofErr w:type="spellEnd"/>
      <w:r w:rsidRPr="00CD52B1">
        <w:rPr>
          <w:rFonts w:cs="Times New Roman"/>
          <w:lang w:val="fr-CA"/>
        </w:rPr>
        <w:t xml:space="preserve"> dans </w:t>
      </w:r>
      <w:proofErr w:type="spellStart"/>
      <w:r w:rsidRPr="00CD52B1">
        <w:rPr>
          <w:rFonts w:cs="Times New Roman"/>
          <w:i/>
          <w:lang w:val="fr-CA"/>
        </w:rPr>
        <w:t>Minott</w:t>
      </w:r>
      <w:proofErr w:type="spellEnd"/>
      <w:r w:rsidRPr="00CD52B1">
        <w:rPr>
          <w:rFonts w:cs="Times New Roman"/>
          <w:i/>
          <w:lang w:val="fr-CA"/>
        </w:rPr>
        <w:t xml:space="preserve"> c. </w:t>
      </w:r>
      <w:proofErr w:type="spellStart"/>
      <w:r w:rsidRPr="00CD52B1">
        <w:rPr>
          <w:rFonts w:cs="Times New Roman"/>
          <w:i/>
          <w:lang w:val="fr-CA"/>
        </w:rPr>
        <w:t>O’Shanter</w:t>
      </w:r>
      <w:proofErr w:type="spellEnd"/>
      <w:r w:rsidRPr="00CD52B1">
        <w:rPr>
          <w:rFonts w:cs="Times New Roman"/>
          <w:i/>
          <w:lang w:val="fr-CA"/>
        </w:rPr>
        <w:t xml:space="preserve"> </w:t>
      </w:r>
      <w:proofErr w:type="spellStart"/>
      <w:r w:rsidRPr="00CD52B1">
        <w:rPr>
          <w:rFonts w:cs="Times New Roman"/>
          <w:i/>
          <w:lang w:val="fr-CA"/>
        </w:rPr>
        <w:t>Development</w:t>
      </w:r>
      <w:proofErr w:type="spellEnd"/>
      <w:r w:rsidRPr="00CD52B1">
        <w:rPr>
          <w:rFonts w:cs="Times New Roman"/>
          <w:i/>
          <w:lang w:val="fr-CA"/>
        </w:rPr>
        <w:t xml:space="preserve"> Co.</w:t>
      </w:r>
      <w:r w:rsidRPr="00CD52B1">
        <w:rPr>
          <w:rFonts w:cs="Times New Roman"/>
          <w:lang w:val="fr-CA"/>
        </w:rPr>
        <w:t xml:space="preserve"> </w:t>
      </w:r>
      <w:r w:rsidRPr="00CD52B1">
        <w:rPr>
          <w:rFonts w:eastAsia="Times New Roman" w:cs="Times New Roman"/>
          <w:szCs w:val="24"/>
          <w:lang w:val="fr-CA" w:eastAsia="en-CA"/>
        </w:rPr>
        <w:t>(1999), 42 O.R. (3d) 321</w:t>
      </w:r>
      <w:r w:rsidRPr="00CD52B1">
        <w:rPr>
          <w:rFonts w:cs="Times New Roman"/>
          <w:lang w:val="fr-CA"/>
        </w:rPr>
        <w:t xml:space="preserve"> (C.A.)</w:t>
      </w:r>
      <w:r w:rsidR="004849A1">
        <w:rPr>
          <w:rFonts w:cs="Times New Roman"/>
          <w:lang w:val="fr-CA"/>
        </w:rPr>
        <w:t>,</w:t>
      </w:r>
      <w:r w:rsidRPr="00CD52B1">
        <w:rPr>
          <w:rFonts w:cs="Times New Roman"/>
          <w:lang w:val="fr-CA"/>
        </w:rPr>
        <w:t xml:space="preserve"> qui sont pertinents pour l’analyse préalable à l’exercice du pouvoir discrétionnaire dans le contexte où un tribunal administratif s’est déjà prononcé sur la question en litige.</w:t>
      </w:r>
    </w:p>
    <w:p w:rsidR="0000152B" w:rsidRPr="00CD52B1" w:rsidRDefault="0000152B" w:rsidP="0000152B">
      <w:pPr>
        <w:pStyle w:val="ParaNoNdepar-AltN"/>
        <w:rPr>
          <w:rFonts w:eastAsia="Times New Roman" w:cs="Times New Roman"/>
          <w:lang w:val="fr-CA" w:eastAsia="en-CA"/>
        </w:rPr>
      </w:pPr>
      <w:r w:rsidRPr="00CD52B1">
        <w:rPr>
          <w:rFonts w:eastAsia="Times New Roman" w:cs="Times New Roman"/>
          <w:lang w:val="fr-CA" w:eastAsia="en-CA"/>
        </w:rPr>
        <w:lastRenderedPageBreak/>
        <w:t xml:space="preserve">Les facteurs énumérés dans </w:t>
      </w:r>
      <w:proofErr w:type="spellStart"/>
      <w:r w:rsidRPr="00CD52B1">
        <w:rPr>
          <w:rFonts w:eastAsia="Times New Roman" w:cs="Times New Roman"/>
          <w:i/>
          <w:lang w:val="fr-CA" w:eastAsia="en-CA"/>
        </w:rPr>
        <w:t>Danyluk</w:t>
      </w:r>
      <w:proofErr w:type="spellEnd"/>
      <w:r w:rsidRPr="00CD52B1">
        <w:rPr>
          <w:rFonts w:eastAsia="Times New Roman" w:cs="Times New Roman"/>
          <w:lang w:val="fr-CA" w:eastAsia="en-CA"/>
        </w:rPr>
        <w:t xml:space="preserve"> indiquent simplement certaines circonstances susceptibles d’être pertinentes dans un cas particulier pour déterminer si, dans l’ensemble, il est équitable d’appliquer </w:t>
      </w:r>
      <w:r w:rsidRPr="00CD52B1">
        <w:rPr>
          <w:rFonts w:cs="Times New Roman"/>
          <w:lang w:val="fr-CA"/>
        </w:rPr>
        <w:t>cette doctrine</w:t>
      </w:r>
      <w:r w:rsidRPr="00CD52B1">
        <w:rPr>
          <w:rFonts w:eastAsia="Times New Roman" w:cs="Times New Roman"/>
          <w:lang w:val="fr-CA" w:eastAsia="en-CA"/>
        </w:rPr>
        <w:t xml:space="preserve">.  Cette liste n’est pas exhaustive.  Il ne s’agit ni d’une liste de contrôle ni d’un appel à une analyse mécanique. </w:t>
      </w:r>
      <w:r w:rsidRPr="00CD52B1" w:rsidDel="00241AAE">
        <w:rPr>
          <w:rFonts w:eastAsia="Times New Roman" w:cs="Times New Roman"/>
          <w:lang w:val="fr-CA" w:eastAsia="en-CA"/>
        </w:rPr>
        <w:t xml:space="preserve"> </w:t>
      </w:r>
    </w:p>
    <w:p w:rsidR="0000152B" w:rsidRPr="00CD52B1" w:rsidRDefault="0000152B" w:rsidP="0000152B">
      <w:pPr>
        <w:pStyle w:val="ParaNoNdepar-AltN"/>
        <w:tabs>
          <w:tab w:val="clear" w:pos="1166"/>
          <w:tab w:val="num" w:pos="1152"/>
        </w:tabs>
        <w:rPr>
          <w:rFonts w:cs="Times New Roman"/>
          <w:lang w:val="fr-CA"/>
        </w:rPr>
      </w:pPr>
      <w:r w:rsidRPr="00CD52B1">
        <w:rPr>
          <w:rFonts w:eastAsia="Times New Roman" w:cs="Times New Roman"/>
          <w:lang w:val="fr-CA" w:eastAsia="en-CA"/>
        </w:rPr>
        <w:t>De manière générale, les facteurs relevés dans la jurisprudence montrent que l’iniquité peut se manifester de deux façons principales qui se chevauchent et ne s’excluent pas l’une l’autre.  Premièrement, l’iniquité de l’</w:t>
      </w:r>
      <w:r w:rsidRPr="00CD52B1">
        <w:rPr>
          <w:rFonts w:cs="Times New Roman"/>
          <w:lang w:val="fr-CA"/>
        </w:rPr>
        <w:t xml:space="preserve">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lang w:val="fr-CA" w:eastAsia="en-CA"/>
        </w:rPr>
        <w:t>peut résulter de l’iniquité de</w:t>
      </w:r>
      <w:r w:rsidRPr="00CD52B1">
        <w:rPr>
          <w:rFonts w:cs="Times New Roman"/>
          <w:lang w:val="fr-CA"/>
        </w:rPr>
        <w:t xml:space="preserve"> l’instance antérieure.  Deuxièmement, même si l’instance antérieure s’est déroulée de manière juste et régulière, eu égard à son objet, il pourrait néanmoins se révéler injuste d’opposer la décision en résultant à toute action ultérieure.</w:t>
      </w:r>
    </w:p>
    <w:p w:rsidR="0000152B" w:rsidRPr="00CD52B1" w:rsidRDefault="0098304E" w:rsidP="004D3697">
      <w:pPr>
        <w:pStyle w:val="TitleTitre-AltT"/>
        <w:tabs>
          <w:tab w:val="clear" w:pos="360"/>
          <w:tab w:val="left" w:pos="1170"/>
        </w:tabs>
        <w:ind w:left="1800" w:hanging="1620"/>
        <w:rPr>
          <w:rFonts w:cs="Times New Roman"/>
          <w:lang w:val="fr-CA"/>
        </w:rPr>
      </w:pPr>
      <w:r>
        <w:rPr>
          <w:rFonts w:cs="Times New Roman"/>
          <w:lang w:val="fr-CA"/>
        </w:rPr>
        <w:tab/>
        <w:t>a)</w:t>
      </w:r>
      <w:r w:rsidR="0000152B" w:rsidRPr="00CD52B1">
        <w:rPr>
          <w:rFonts w:cs="Times New Roman"/>
          <w:lang w:val="fr-CA"/>
        </w:rPr>
        <w:tab/>
      </w:r>
      <w:r w:rsidR="0000152B" w:rsidRPr="00CD52B1">
        <w:rPr>
          <w:rFonts w:cs="Times New Roman"/>
          <w:i/>
          <w:lang w:val="fr-CA"/>
        </w:rPr>
        <w:t>Caractère équitable de l’instance antérieure</w:t>
      </w:r>
    </w:p>
    <w:p w:rsidR="0000152B" w:rsidRPr="00CD52B1" w:rsidRDefault="0000152B" w:rsidP="0000152B">
      <w:pPr>
        <w:pStyle w:val="ParaNoNdepar-AltN"/>
        <w:rPr>
          <w:rFonts w:eastAsia="Times New Roman" w:cs="Times New Roman"/>
          <w:lang w:val="fr-CA" w:eastAsia="en-CA"/>
        </w:rPr>
      </w:pPr>
      <w:r w:rsidRPr="00CD52B1">
        <w:rPr>
          <w:rFonts w:eastAsia="Times New Roman" w:cs="Times New Roman"/>
          <w:lang w:val="fr-CA" w:eastAsia="en-CA"/>
        </w:rPr>
        <w:t>Si l’</w:t>
      </w:r>
      <w:r w:rsidRPr="00CD52B1">
        <w:rPr>
          <w:rFonts w:cs="Times New Roman"/>
          <w:lang w:val="fr-CA"/>
        </w:rPr>
        <w:t xml:space="preserve">instance antérieure a été inéquitable envers une partie, ce serait redoubler l’iniquité que cette partie soit liée par l’issue en résultant aux fins d’une action ultérieure.  </w:t>
      </w:r>
      <w:r w:rsidRPr="00CD52B1">
        <w:rPr>
          <w:rFonts w:eastAsia="Times New Roman" w:cs="Times New Roman"/>
          <w:lang w:val="fr-CA" w:eastAsia="en-CA"/>
        </w:rPr>
        <w:t xml:space="preserve">Par exemple, dans </w:t>
      </w:r>
      <w:proofErr w:type="spellStart"/>
      <w:r w:rsidRPr="00CD52B1">
        <w:rPr>
          <w:rFonts w:eastAsia="Times New Roman" w:cs="Times New Roman"/>
          <w:i/>
          <w:lang w:val="fr-CA" w:eastAsia="en-CA"/>
        </w:rPr>
        <w:t>Danyluk</w:t>
      </w:r>
      <w:proofErr w:type="spellEnd"/>
      <w:r w:rsidRPr="00CD52B1">
        <w:rPr>
          <w:rFonts w:eastAsia="Times New Roman" w:cs="Times New Roman"/>
          <w:lang w:val="fr-CA" w:eastAsia="en-CA"/>
        </w:rPr>
        <w:t>, la décision administrative antérieure découlait d’un processus dans le cadre duquel M</w:t>
      </w:r>
      <w:r w:rsidRPr="00CD52B1">
        <w:rPr>
          <w:rFonts w:eastAsia="Times New Roman" w:cs="Times New Roman"/>
          <w:vertAlign w:val="superscript"/>
          <w:lang w:val="fr-CA" w:eastAsia="en-CA"/>
        </w:rPr>
        <w:t>me</w:t>
      </w:r>
      <w:r w:rsidRPr="00CD52B1">
        <w:rPr>
          <w:rFonts w:eastAsia="Times New Roman" w:cs="Times New Roman"/>
          <w:lang w:val="fr-CA" w:eastAsia="en-CA"/>
        </w:rPr>
        <w:t> </w:t>
      </w:r>
      <w:proofErr w:type="spellStart"/>
      <w:r w:rsidRPr="00CD52B1">
        <w:rPr>
          <w:rFonts w:eastAsia="Times New Roman" w:cs="Times New Roman"/>
          <w:lang w:val="fr-CA" w:eastAsia="en-CA"/>
        </w:rPr>
        <w:t>Danyluk</w:t>
      </w:r>
      <w:proofErr w:type="spellEnd"/>
      <w:r w:rsidRPr="00CD52B1">
        <w:rPr>
          <w:rFonts w:eastAsia="Times New Roman" w:cs="Times New Roman"/>
          <w:lang w:val="fr-CA" w:eastAsia="en-CA"/>
        </w:rPr>
        <w:t xml:space="preserve"> n’avait pas été informée des allégations formulées par l’autre partie et n’avait pas eu la possibilité d’y répondre.</w:t>
      </w:r>
    </w:p>
    <w:p w:rsidR="0000152B" w:rsidRPr="00CD52B1" w:rsidRDefault="0000152B" w:rsidP="0000152B">
      <w:pPr>
        <w:pStyle w:val="ParaNoNdepar-AltN"/>
        <w:rPr>
          <w:rFonts w:eastAsia="Times New Roman" w:cs="Times New Roman"/>
          <w:lang w:val="fr-CA" w:eastAsia="en-CA"/>
        </w:rPr>
      </w:pPr>
      <w:r w:rsidRPr="00CD52B1">
        <w:rPr>
          <w:rFonts w:cs="Times New Roman"/>
          <w:lang w:val="fr-CA"/>
        </w:rPr>
        <w:lastRenderedPageBreak/>
        <w:t>Bon nombre des facteurs établis dans la jurisprudence, dont les garanties procédurales, l’existence d’un droit d’appel et l’expertise du décideur, ont trait à la possibilité de participer à la procédure administrative et au caractère équitable de cette dernière.  Ces considérations sont importantes parce qu’elles permettent de déterminer si les parties ont eu une possibilité raisonnable de présenter leur position, si les questions soulevées ont été tranchées et s’il est possible de faire réexaminer la décision.  Dans la négative, il pourrait se révéler injuste qu’elles se voient liées par la première décision aux fins d’autres actions.</w:t>
      </w:r>
    </w:p>
    <w:p w:rsidR="0000152B" w:rsidRPr="00CD52B1" w:rsidRDefault="0098304E" w:rsidP="004D3697">
      <w:pPr>
        <w:pStyle w:val="TitleTitre-AltT"/>
        <w:tabs>
          <w:tab w:val="clear" w:pos="360"/>
          <w:tab w:val="left" w:pos="1170"/>
        </w:tabs>
        <w:ind w:left="1800" w:hanging="1800"/>
        <w:rPr>
          <w:rFonts w:eastAsia="Times New Roman" w:cs="Times New Roman"/>
          <w:lang w:val="fr-CA" w:eastAsia="en-CA"/>
        </w:rPr>
      </w:pPr>
      <w:r>
        <w:rPr>
          <w:rFonts w:cs="Times New Roman"/>
          <w:lang w:val="fr-CA"/>
        </w:rPr>
        <w:tab/>
      </w:r>
      <w:r w:rsidR="0000152B" w:rsidRPr="00CD52B1">
        <w:rPr>
          <w:rFonts w:cs="Times New Roman"/>
          <w:lang w:val="fr-CA"/>
        </w:rPr>
        <w:t>b)</w:t>
      </w:r>
      <w:r w:rsidR="0000152B" w:rsidRPr="00CD52B1">
        <w:rPr>
          <w:rFonts w:cs="Times New Roman"/>
          <w:lang w:val="fr-CA"/>
        </w:rPr>
        <w:tab/>
      </w:r>
      <w:r w:rsidR="0000152B" w:rsidRPr="00CD52B1">
        <w:rPr>
          <w:rFonts w:cs="Times New Roman"/>
          <w:i/>
          <w:lang w:val="fr-CA"/>
        </w:rPr>
        <w:t xml:space="preserve">Caractère équitable du fait d’opposer l’issue d’une instance antérieure à une action intentée ultérieurement </w:t>
      </w:r>
    </w:p>
    <w:p w:rsidR="0000152B" w:rsidRPr="00CD52B1" w:rsidRDefault="0000152B" w:rsidP="0000152B">
      <w:pPr>
        <w:pStyle w:val="ParaNoNdepar-AltN"/>
        <w:rPr>
          <w:rFonts w:cs="Times New Roman"/>
          <w:lang w:val="fr-CA"/>
        </w:rPr>
      </w:pPr>
      <w:r w:rsidRPr="00CD52B1">
        <w:rPr>
          <w:rFonts w:eastAsia="Times New Roman" w:cs="Times New Roman"/>
          <w:lang w:val="fr-CA" w:eastAsia="en-CA"/>
        </w:rPr>
        <w:t>La deuxième façon dont l’</w:t>
      </w:r>
      <w:r w:rsidRPr="00CD52B1">
        <w:rPr>
          <w:rFonts w:cs="Times New Roman"/>
          <w:lang w:val="fr-CA"/>
        </w:rPr>
        <w:t xml:space="preserve">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lang w:val="fr-CA" w:eastAsia="en-CA"/>
        </w:rPr>
        <w:t xml:space="preserve">peut se révéler inéquitable n’intéresse pas tant le caractère équitable de l’instance antérieure que celui du </w:t>
      </w:r>
      <w:r w:rsidRPr="00CD52B1">
        <w:rPr>
          <w:rFonts w:eastAsia="Times New Roman" w:cs="Times New Roman"/>
          <w:i/>
          <w:lang w:val="fr-CA" w:eastAsia="en-CA"/>
        </w:rPr>
        <w:t>fait d’opposer la décision issue de cette instance</w:t>
      </w:r>
      <w:r w:rsidRPr="00CD52B1">
        <w:rPr>
          <w:rFonts w:eastAsia="Times New Roman" w:cs="Times New Roman"/>
          <w:lang w:val="fr-CA" w:eastAsia="en-CA"/>
        </w:rPr>
        <w:t xml:space="preserve"> à une autre action.  </w:t>
      </w:r>
      <w:r w:rsidRPr="00CD52B1">
        <w:rPr>
          <w:rFonts w:cs="Times New Roman"/>
          <w:lang w:val="fr-CA"/>
        </w:rPr>
        <w:t>Dans ce deuxième sens, l’équité fait l’objet d’un examen beaucoup plus nuancé.  D’une part, une partie</w:t>
      </w:r>
      <w:r w:rsidRPr="00CD52B1">
        <w:rPr>
          <w:rFonts w:eastAsia="Times New Roman" w:cs="Times New Roman"/>
          <w:lang w:val="fr-CA" w:eastAsia="en-CA"/>
        </w:rPr>
        <w:t xml:space="preserve"> est censée soulever toutes les questions pertinentes et ne dispose pas de multiples tentatives pour obtenir un jugement favorable.  Le caractère définitif est important tant pour les parties que pour le système judiciaire.  En revanche, même </w:t>
      </w:r>
      <w:r w:rsidRPr="00CD52B1">
        <w:rPr>
          <w:rFonts w:cs="Times New Roman"/>
          <w:lang w:val="fr-CA"/>
        </w:rPr>
        <w:t>si l’instance antérieure s’est déroulée de manière juste et régulière eu égard à son objet, il pourrait se révéler injuste d’empêcher, sur le fondement de l’issue d’une procédure antérieure, la tenue d’une autre instance</w:t>
      </w:r>
      <w:r w:rsidRPr="00CD52B1">
        <w:rPr>
          <w:rFonts w:eastAsia="Times New Roman" w:cs="Times New Roman"/>
          <w:lang w:val="fr-CA" w:eastAsia="en-CA"/>
        </w:rPr>
        <w:t xml:space="preserve">.  Par exemple, ce peut être le cas lorsque les objets, la procédure ou les </w:t>
      </w:r>
      <w:r w:rsidRPr="00CD52B1">
        <w:rPr>
          <w:rFonts w:eastAsia="Times New Roman" w:cs="Times New Roman"/>
          <w:lang w:val="fr-CA" w:eastAsia="en-CA"/>
        </w:rPr>
        <w:lastRenderedPageBreak/>
        <w:t xml:space="preserve">enjeux des deux instances diffèrent grandement.  Nous reconnaissons que la procédure administrative et la procédure judiciaire différeront toujours sur ces plans.  Or, pour démontrer qu’il y a iniquité selon ce deuxième sens que nous venons de décrire, il faut un écart considérable, évalué à la lumière de l’importance que revêt également en droit administratif, selon la Cour, le caractère définitif des litiges.  </w:t>
      </w:r>
      <w:r w:rsidRPr="00CD52B1">
        <w:rPr>
          <w:rFonts w:eastAsia="Times New Roman" w:cs="Times New Roman"/>
          <w:szCs w:val="24"/>
          <w:lang w:val="fr-CA" w:eastAsia="en-CA"/>
        </w:rPr>
        <w:t xml:space="preserve">Comme l’ont souligné les juges Doherty et </w:t>
      </w:r>
      <w:proofErr w:type="spellStart"/>
      <w:r w:rsidRPr="00CD52B1">
        <w:rPr>
          <w:rFonts w:eastAsia="Times New Roman" w:cs="Times New Roman"/>
          <w:szCs w:val="24"/>
          <w:lang w:val="fr-CA" w:eastAsia="en-CA"/>
        </w:rPr>
        <w:t>Feldman</w:t>
      </w:r>
      <w:proofErr w:type="spellEnd"/>
      <w:r w:rsidRPr="00CD52B1">
        <w:rPr>
          <w:rFonts w:eastAsia="Times New Roman" w:cs="Times New Roman"/>
          <w:szCs w:val="24"/>
          <w:lang w:val="fr-CA" w:eastAsia="en-CA"/>
        </w:rPr>
        <w:t xml:space="preserve"> dans </w:t>
      </w:r>
      <w:proofErr w:type="spellStart"/>
      <w:r w:rsidRPr="00CD52B1">
        <w:rPr>
          <w:rFonts w:eastAsia="Times New Roman" w:cs="Times New Roman"/>
          <w:i/>
          <w:szCs w:val="24"/>
          <w:lang w:val="fr-CA" w:eastAsia="en-CA"/>
        </w:rPr>
        <w:t>Schweneke</w:t>
      </w:r>
      <w:proofErr w:type="spellEnd"/>
      <w:r w:rsidRPr="00CD52B1">
        <w:rPr>
          <w:rFonts w:eastAsia="Times New Roman" w:cs="Times New Roman"/>
          <w:i/>
          <w:szCs w:val="24"/>
          <w:lang w:val="fr-CA" w:eastAsia="en-CA"/>
        </w:rPr>
        <w:t xml:space="preserve"> c. Ontario</w:t>
      </w:r>
      <w:r w:rsidRPr="00CD52B1">
        <w:rPr>
          <w:rFonts w:eastAsia="Times New Roman" w:cs="Times New Roman"/>
          <w:szCs w:val="24"/>
          <w:lang w:val="fr-CA" w:eastAsia="en-CA"/>
        </w:rPr>
        <w:t xml:space="preserve"> (2000</w:t>
      </w:r>
      <w:r w:rsidRPr="00CD52B1">
        <w:rPr>
          <w:rFonts w:cs="Times New Roman"/>
          <w:lang w:val="fr-CA"/>
        </w:rPr>
        <w:t>), 47 O.R. (3d) 97 (C.A.), par. 39,</w:t>
      </w:r>
      <w:r w:rsidRPr="00CD52B1">
        <w:rPr>
          <w:rFonts w:eastAsia="Times New Roman" w:cs="Times New Roman"/>
          <w:szCs w:val="24"/>
          <w:lang w:val="fr-CA" w:eastAsia="en-CA"/>
        </w:rPr>
        <w:t xml:space="preserve"> si les tribunaux refusaient systématiquement d’appliquer </w:t>
      </w:r>
      <w:r w:rsidRPr="00CD52B1">
        <w:rPr>
          <w:rFonts w:cs="Times New Roman"/>
          <w:lang w:val="fr-CA"/>
        </w:rPr>
        <w:t xml:space="preserve">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szCs w:val="24"/>
          <w:lang w:val="fr-CA" w:eastAsia="en-CA"/>
        </w:rPr>
        <w:t>parce que les garanties procédurales applicables en matière administrative et en matière judiciaire ne correspondent pas, c</w:t>
      </w:r>
      <w:r w:rsidRPr="00CD52B1">
        <w:rPr>
          <w:rFonts w:cs="Times New Roman"/>
          <w:lang w:val="fr-CA"/>
        </w:rPr>
        <w:t xml:space="preserve">ette doctrine </w:t>
      </w:r>
      <w:r w:rsidRPr="00CD52B1">
        <w:rPr>
          <w:rFonts w:eastAsia="Times New Roman" w:cs="Times New Roman"/>
          <w:szCs w:val="24"/>
          <w:lang w:val="fr-CA" w:eastAsia="en-CA"/>
        </w:rPr>
        <w:t>serait l’exception plutôt que la règle.</w:t>
      </w:r>
    </w:p>
    <w:p w:rsidR="0000152B" w:rsidRPr="00CD52B1" w:rsidRDefault="0000152B" w:rsidP="0000152B">
      <w:pPr>
        <w:pStyle w:val="ParaNoNdepar-AltN"/>
        <w:rPr>
          <w:rFonts w:eastAsia="Times New Roman" w:cs="Times New Roman"/>
          <w:lang w:val="fr-CA" w:eastAsia="en-CA"/>
        </w:rPr>
      </w:pPr>
      <w:r w:rsidRPr="00CD52B1">
        <w:rPr>
          <w:rFonts w:cs="Times New Roman"/>
          <w:lang w:val="fr-CA"/>
        </w:rPr>
        <w:t xml:space="preserve">Deux facteurs analysés dans </w:t>
      </w:r>
      <w:proofErr w:type="spellStart"/>
      <w:r w:rsidRPr="00CD52B1">
        <w:rPr>
          <w:rFonts w:cs="Times New Roman"/>
          <w:i/>
          <w:lang w:val="fr-CA"/>
        </w:rPr>
        <w:t>Danyluk</w:t>
      </w:r>
      <w:proofErr w:type="spellEnd"/>
      <w:r w:rsidRPr="00CD52B1">
        <w:rPr>
          <w:rFonts w:cs="Times New Roman"/>
          <w:lang w:val="fr-CA"/>
        </w:rPr>
        <w:t xml:space="preserve"> — </w:t>
      </w:r>
      <w:r w:rsidRPr="00CD52B1">
        <w:rPr>
          <w:rFonts w:eastAsia="Times New Roman" w:cs="Times New Roman"/>
          <w:lang w:val="fr-CA"/>
        </w:rPr>
        <w:t>« </w:t>
      </w:r>
      <w:r w:rsidR="00A244AC" w:rsidRPr="00CD52B1">
        <w:rPr>
          <w:rFonts w:cs="Times New Roman"/>
          <w:lang w:val="fr-CA"/>
        </w:rPr>
        <w:t xml:space="preserve">le </w:t>
      </w:r>
      <w:r w:rsidRPr="00CD52B1">
        <w:rPr>
          <w:rFonts w:eastAsia="Times New Roman" w:cs="Times New Roman"/>
          <w:lang w:val="fr-CA"/>
        </w:rPr>
        <w:t>libellé du texte de loi accordant le pouvoir de rendre l’ordonnance administrative » (par</w:t>
      </w:r>
      <w:r w:rsidR="00FB7A7A">
        <w:rPr>
          <w:rFonts w:eastAsia="Times New Roman" w:cs="Times New Roman"/>
          <w:lang w:val="fr-CA"/>
        </w:rPr>
        <w:t>.</w:t>
      </w:r>
      <w:r w:rsidRPr="00CD52B1">
        <w:rPr>
          <w:rFonts w:eastAsia="Times New Roman" w:cs="Times New Roman"/>
          <w:lang w:val="fr-CA"/>
        </w:rPr>
        <w:t xml:space="preserve"> 68-70) et </w:t>
      </w:r>
      <w:r w:rsidRPr="00CD52B1">
        <w:rPr>
          <w:rFonts w:cs="Times New Roman"/>
          <w:lang w:val="fr-CA"/>
        </w:rPr>
        <w:t>« </w:t>
      </w:r>
      <w:r w:rsidR="00A244AC" w:rsidRPr="00CD52B1">
        <w:rPr>
          <w:rFonts w:cs="Times New Roman"/>
          <w:lang w:val="fr-CA"/>
        </w:rPr>
        <w:t>l’</w:t>
      </w:r>
      <w:r w:rsidRPr="00CD52B1">
        <w:rPr>
          <w:rFonts w:cs="Times New Roman"/>
          <w:lang w:val="fr-CA"/>
        </w:rPr>
        <w:t>objet de la loi » (par. 71</w:t>
      </w:r>
      <w:r w:rsidRPr="00CD52B1">
        <w:rPr>
          <w:rFonts w:cs="Times New Roman"/>
          <w:lang w:val="fr-CA"/>
        </w:rPr>
        <w:noBreakHyphen/>
        <w:t>73), y compris la teneur de l’enjeu financier — sont forts pertinents en l’espèce quant à l’analyse relative à l’équité selon ce deuxième sens.  Ces facteurs tiennent compte de l’intention du législateur lorsqu’il a créé le régime administratif et définissent les attentes raisonnables des parties</w:t>
      </w:r>
      <w:r w:rsidRPr="00CD52B1">
        <w:rPr>
          <w:rFonts w:eastAsia="Times New Roman" w:cs="Times New Roman"/>
          <w:lang w:val="fr-CA"/>
        </w:rPr>
        <w:t xml:space="preserve"> concernant la portée et l’effet de l’instance ainsi que son incidence sur les droits en général des parties au litige :</w:t>
      </w:r>
      <w:r w:rsidRPr="00CD52B1">
        <w:rPr>
          <w:rFonts w:eastAsia="Times New Roman" w:cs="Times New Roman"/>
          <w:i/>
          <w:szCs w:val="24"/>
          <w:lang w:val="fr-CA" w:eastAsia="en-CA"/>
        </w:rPr>
        <w:t xml:space="preserve"> </w:t>
      </w:r>
      <w:proofErr w:type="spellStart"/>
      <w:r w:rsidRPr="00CD52B1">
        <w:rPr>
          <w:rFonts w:eastAsia="Times New Roman" w:cs="Times New Roman"/>
          <w:i/>
          <w:szCs w:val="24"/>
          <w:lang w:val="fr-CA" w:eastAsia="en-CA"/>
        </w:rPr>
        <w:t>Minott</w:t>
      </w:r>
      <w:proofErr w:type="spellEnd"/>
      <w:r w:rsidRPr="00CD52B1">
        <w:rPr>
          <w:rFonts w:eastAsia="Times New Roman" w:cs="Times New Roman"/>
          <w:szCs w:val="24"/>
          <w:lang w:val="fr-CA" w:eastAsia="en-CA"/>
        </w:rPr>
        <w:t>, p. 341-</w:t>
      </w:r>
      <w:r w:rsidR="00FB7A7A">
        <w:rPr>
          <w:rFonts w:eastAsia="Times New Roman" w:cs="Times New Roman"/>
          <w:szCs w:val="24"/>
          <w:lang w:val="fr-CA" w:eastAsia="en-CA"/>
        </w:rPr>
        <w:t>3</w:t>
      </w:r>
      <w:r w:rsidRPr="00CD52B1">
        <w:rPr>
          <w:rFonts w:eastAsia="Times New Roman" w:cs="Times New Roman"/>
          <w:szCs w:val="24"/>
          <w:lang w:val="fr-CA" w:eastAsia="en-CA"/>
        </w:rPr>
        <w:t>42.</w:t>
      </w:r>
    </w:p>
    <w:p w:rsidR="0000152B" w:rsidRPr="00CD52B1" w:rsidRDefault="0000152B" w:rsidP="0000152B">
      <w:pPr>
        <w:pStyle w:val="ParaNoNdepar-AltN"/>
        <w:rPr>
          <w:rFonts w:cs="Times New Roman"/>
          <w:lang w:val="fr-CA"/>
        </w:rPr>
      </w:pPr>
      <w:r w:rsidRPr="00CD52B1">
        <w:rPr>
          <w:rFonts w:eastAsia="Times New Roman" w:cs="Times New Roman"/>
          <w:szCs w:val="24"/>
          <w:lang w:val="fr-CA" w:eastAsia="en-CA"/>
        </w:rPr>
        <w:t xml:space="preserve">Par exemple, dans </w:t>
      </w:r>
      <w:r w:rsidRPr="00CD52B1">
        <w:rPr>
          <w:rFonts w:eastAsia="Times New Roman" w:cs="Times New Roman"/>
          <w:i/>
          <w:szCs w:val="24"/>
          <w:lang w:val="fr-CA" w:eastAsia="en-CA"/>
        </w:rPr>
        <w:t>British Columbia (</w:t>
      </w:r>
      <w:proofErr w:type="spellStart"/>
      <w:r w:rsidRPr="00CD52B1">
        <w:rPr>
          <w:rFonts w:eastAsia="Times New Roman" w:cs="Times New Roman"/>
          <w:i/>
          <w:szCs w:val="24"/>
          <w:lang w:val="fr-CA" w:eastAsia="en-CA"/>
        </w:rPr>
        <w:t>Minister</w:t>
      </w:r>
      <w:proofErr w:type="spellEnd"/>
      <w:r w:rsidRPr="00CD52B1">
        <w:rPr>
          <w:rFonts w:eastAsia="Times New Roman" w:cs="Times New Roman"/>
          <w:i/>
          <w:szCs w:val="24"/>
          <w:lang w:val="fr-CA" w:eastAsia="en-CA"/>
        </w:rPr>
        <w:t xml:space="preserve"> of </w:t>
      </w:r>
      <w:proofErr w:type="spellStart"/>
      <w:r w:rsidRPr="00CD52B1">
        <w:rPr>
          <w:rFonts w:eastAsia="Times New Roman" w:cs="Times New Roman"/>
          <w:i/>
          <w:szCs w:val="24"/>
          <w:lang w:val="fr-CA" w:eastAsia="en-CA"/>
        </w:rPr>
        <w:t>Forests</w:t>
      </w:r>
      <w:proofErr w:type="spellEnd"/>
      <w:r w:rsidRPr="00CD52B1">
        <w:rPr>
          <w:rFonts w:eastAsia="Times New Roman" w:cs="Times New Roman"/>
          <w:i/>
          <w:szCs w:val="24"/>
          <w:lang w:val="fr-CA" w:eastAsia="en-CA"/>
        </w:rPr>
        <w:t xml:space="preserve">) c. </w:t>
      </w:r>
      <w:proofErr w:type="spellStart"/>
      <w:r w:rsidRPr="00CD52B1">
        <w:rPr>
          <w:rFonts w:eastAsia="Times New Roman" w:cs="Times New Roman"/>
          <w:i/>
          <w:szCs w:val="24"/>
          <w:lang w:val="fr-CA" w:eastAsia="en-CA"/>
        </w:rPr>
        <w:t>Bugbusters</w:t>
      </w:r>
      <w:proofErr w:type="spellEnd"/>
      <w:r w:rsidRPr="00CD52B1">
        <w:rPr>
          <w:rFonts w:eastAsia="Times New Roman" w:cs="Times New Roman"/>
          <w:i/>
          <w:szCs w:val="24"/>
          <w:lang w:val="fr-CA" w:eastAsia="en-CA"/>
        </w:rPr>
        <w:t xml:space="preserve"> Pest Management Inc.</w:t>
      </w:r>
      <w:r w:rsidRPr="00CD52B1">
        <w:rPr>
          <w:rFonts w:eastAsia="Times New Roman" w:cs="Times New Roman"/>
          <w:szCs w:val="24"/>
          <w:lang w:val="fr-CA" w:eastAsia="en-CA"/>
        </w:rPr>
        <w:t xml:space="preserve"> (1998), 50 B.C.L.R. (3d) 1 (C.A.), le défendeur dans une action civile a invoqué la décision du chef forestier adjoint pour empêcher la </w:t>
      </w:r>
      <w:r w:rsidRPr="00CD52B1">
        <w:rPr>
          <w:rFonts w:eastAsia="Times New Roman" w:cs="Times New Roman"/>
          <w:szCs w:val="24"/>
          <w:lang w:val="fr-CA" w:eastAsia="en-CA"/>
        </w:rPr>
        <w:lastRenderedPageBreak/>
        <w:t xml:space="preserve">Couronne d’intenter une action civile en </w:t>
      </w:r>
      <w:proofErr w:type="spellStart"/>
      <w:r w:rsidRPr="00CD52B1">
        <w:rPr>
          <w:rFonts w:eastAsia="Times New Roman" w:cs="Times New Roman"/>
          <w:szCs w:val="24"/>
          <w:lang w:val="fr-CA" w:eastAsia="en-CA"/>
        </w:rPr>
        <w:t>dommages</w:t>
      </w:r>
      <w:r w:rsidRPr="00CD52B1">
        <w:rPr>
          <w:rFonts w:eastAsia="Times New Roman" w:cs="Times New Roman"/>
          <w:szCs w:val="24"/>
          <w:lang w:val="fr-CA" w:eastAsia="en-CA"/>
        </w:rPr>
        <w:noBreakHyphen/>
        <w:t>intérêts</w:t>
      </w:r>
      <w:proofErr w:type="spellEnd"/>
      <w:r w:rsidRPr="00CD52B1">
        <w:rPr>
          <w:rFonts w:eastAsia="Times New Roman" w:cs="Times New Roman"/>
          <w:szCs w:val="24"/>
          <w:lang w:val="fr-CA" w:eastAsia="en-CA"/>
        </w:rPr>
        <w:t xml:space="preserve"> en réparation du préjudice causé par un incendie de forêt.  La Cour d’appel a confirmé la décision du juge en cabinet d’exercer son pouvoir discrétionnaire de refuser d’appliquer l</w:t>
      </w:r>
      <w:r w:rsidRPr="00CD52B1">
        <w:rPr>
          <w:rFonts w:cs="Times New Roman"/>
          <w:lang w:val="fr-CA"/>
        </w:rPr>
        <w:t xml:space="preserve">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La loi ne prévoyant pas </w:t>
      </w:r>
      <w:r w:rsidRPr="00CD52B1">
        <w:rPr>
          <w:rFonts w:eastAsia="Times New Roman" w:cs="Times New Roman"/>
          <w:szCs w:val="24"/>
          <w:lang w:val="fr-CA" w:eastAsia="en-CA"/>
        </w:rPr>
        <w:t xml:space="preserve">que la décision du chef forestier adjoint sur la cause d’un incendie soit définitive, la finalité de cette décision </w:t>
      </w:r>
      <w:r w:rsidRPr="00CD52B1">
        <w:rPr>
          <w:rFonts w:eastAsia="Times New Roman" w:cs="Times New Roman"/>
          <w:smallCaps/>
          <w:szCs w:val="24"/>
          <w:lang w:val="fr-CA" w:eastAsia="en-CA"/>
        </w:rPr>
        <w:t>[traduction]</w:t>
      </w:r>
      <w:r w:rsidRPr="00CD52B1">
        <w:rPr>
          <w:rFonts w:eastAsia="Times New Roman" w:cs="Times New Roman"/>
          <w:szCs w:val="24"/>
          <w:lang w:val="fr-CA" w:eastAsia="en-CA"/>
        </w:rPr>
        <w:t xml:space="preserve"> « n’appartenait pas aux attentes raisonnables de l’une ou l’autre des parties à l’instance » : </w:t>
      </w:r>
      <w:proofErr w:type="spellStart"/>
      <w:r w:rsidRPr="00CD52B1">
        <w:rPr>
          <w:rFonts w:eastAsia="Times New Roman" w:cs="Times New Roman"/>
          <w:i/>
          <w:szCs w:val="24"/>
          <w:lang w:val="fr-CA" w:eastAsia="en-CA"/>
        </w:rPr>
        <w:t>Bugbusters</w:t>
      </w:r>
      <w:proofErr w:type="spellEnd"/>
      <w:r w:rsidRPr="00CD52B1">
        <w:rPr>
          <w:rFonts w:eastAsia="Times New Roman" w:cs="Times New Roman"/>
          <w:szCs w:val="24"/>
          <w:lang w:val="fr-CA" w:eastAsia="en-CA"/>
        </w:rPr>
        <w:t>, par. 30.</w:t>
      </w:r>
    </w:p>
    <w:p w:rsidR="0000152B" w:rsidRPr="00CD52B1" w:rsidRDefault="0000152B" w:rsidP="0000152B">
      <w:pPr>
        <w:pStyle w:val="ParaNoNdepar-AltN"/>
        <w:tabs>
          <w:tab w:val="clear" w:pos="1166"/>
          <w:tab w:val="num" w:pos="1152"/>
        </w:tabs>
        <w:rPr>
          <w:rFonts w:cs="Times New Roman"/>
          <w:lang w:val="fr-CA"/>
        </w:rPr>
      </w:pPr>
      <w:r w:rsidRPr="00CD52B1">
        <w:rPr>
          <w:rFonts w:eastAsia="Times New Roman" w:cs="Times New Roman"/>
          <w:szCs w:val="24"/>
          <w:lang w:val="fr-CA" w:eastAsia="en-CA"/>
        </w:rPr>
        <w:t>Par conséquent, lorsque l’objet de deux instances diffère grandement, l’</w:t>
      </w:r>
      <w:r w:rsidRPr="00CD52B1">
        <w:rPr>
          <w:rFonts w:cs="Times New Roman"/>
          <w:lang w:val="fr-CA"/>
        </w:rPr>
        <w:t xml:space="preserve">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szCs w:val="24"/>
          <w:lang w:val="fr-CA" w:eastAsia="en-CA"/>
        </w:rPr>
        <w:t>pourrait se révéler injuste, même si l’instance antérieure s’est déroulée dans le respect scrupuleux de l’équité, eu égard à l’objet du régime législatif la régissant.  Par exemple, lorsque les enjeux de l’instance antérieure ne sont pas assez importants pour une partie, cette dernière n’aurait guère avantage à offrir une participation vigoureuse et complète :</w:t>
      </w:r>
      <w:r w:rsidRPr="00CD52B1">
        <w:rPr>
          <w:rFonts w:eastAsia="Times New Roman" w:cs="Times New Roman"/>
          <w:i/>
          <w:szCs w:val="24"/>
          <w:lang w:val="fr-CA" w:eastAsia="en-CA"/>
        </w:rPr>
        <w:t xml:space="preserve"> Toronto (Ville)</w:t>
      </w:r>
      <w:r w:rsidRPr="00CD52B1">
        <w:rPr>
          <w:rFonts w:eastAsia="Times New Roman" w:cs="Times New Roman"/>
          <w:szCs w:val="24"/>
          <w:lang w:val="fr-CA" w:eastAsia="en-CA"/>
        </w:rPr>
        <w:t>, par. 53.</w:t>
      </w:r>
    </w:p>
    <w:p w:rsidR="0000152B" w:rsidRPr="00CD52B1" w:rsidRDefault="0000152B" w:rsidP="0000152B">
      <w:pPr>
        <w:pStyle w:val="ParaNoNdepar-AltN"/>
        <w:rPr>
          <w:rFonts w:cs="Times New Roman"/>
          <w:lang w:val="fr-CA"/>
        </w:rPr>
      </w:pPr>
      <w:r w:rsidRPr="00CD52B1">
        <w:rPr>
          <w:rFonts w:eastAsia="Times New Roman" w:cs="Times New Roman"/>
          <w:szCs w:val="24"/>
          <w:lang w:val="fr-CA" w:eastAsia="en-CA"/>
        </w:rPr>
        <w:t xml:space="preserve">Il existe aussi une considération de politique générale liée à l’objet du régime législatif qui régit l’instance antérieure.  En </w:t>
      </w:r>
      <w:r w:rsidRPr="00CD52B1">
        <w:rPr>
          <w:rFonts w:cs="Times New Roman"/>
          <w:lang w:val="fr-CA"/>
        </w:rPr>
        <w:t xml:space="preserve">appliquant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szCs w:val="24"/>
          <w:lang w:val="fr-CA" w:eastAsia="en-CA"/>
        </w:rPr>
        <w:t xml:space="preserve">dans le cas d’un litige où une partie s’attend raisonnablement à des enjeux peu importants, on risque d’inciter à l’avenir d’éventuelles parties à escamoter complètement ce recours ou à y participer plus activement et vigoureusement que ne le commande le bon sens.  Cette situation nuirait au caractère expéditif et à l’efficacité du régime administratif et </w:t>
      </w:r>
      <w:r w:rsidRPr="00CD52B1">
        <w:rPr>
          <w:rFonts w:eastAsia="Times New Roman" w:cs="Times New Roman"/>
          <w:szCs w:val="24"/>
          <w:lang w:val="fr-CA" w:eastAsia="en-CA"/>
        </w:rPr>
        <w:lastRenderedPageBreak/>
        <w:t xml:space="preserve">compromettrait donc l’objet </w:t>
      </w:r>
      <w:proofErr w:type="spellStart"/>
      <w:r w:rsidRPr="00CD52B1">
        <w:rPr>
          <w:rFonts w:eastAsia="Times New Roman" w:cs="Times New Roman"/>
          <w:szCs w:val="24"/>
          <w:lang w:val="fr-CA" w:eastAsia="en-CA"/>
        </w:rPr>
        <w:t>sous</w:t>
      </w:r>
      <w:r w:rsidRPr="00CD52B1">
        <w:rPr>
          <w:rFonts w:eastAsia="Times New Roman" w:cs="Times New Roman"/>
          <w:szCs w:val="24"/>
          <w:lang w:val="fr-CA" w:eastAsia="en-CA"/>
        </w:rPr>
        <w:noBreakHyphen/>
        <w:t>jacent</w:t>
      </w:r>
      <w:proofErr w:type="spellEnd"/>
      <w:r w:rsidRPr="00CD52B1">
        <w:rPr>
          <w:rFonts w:eastAsia="Times New Roman" w:cs="Times New Roman"/>
          <w:szCs w:val="24"/>
          <w:lang w:val="fr-CA" w:eastAsia="en-CA"/>
        </w:rPr>
        <w:t xml:space="preserve"> à la création du tribunal : </w:t>
      </w:r>
      <w:proofErr w:type="spellStart"/>
      <w:r w:rsidRPr="00CD52B1">
        <w:rPr>
          <w:rFonts w:cs="Times New Roman"/>
          <w:i/>
          <w:szCs w:val="24"/>
          <w:lang w:val="fr-CA"/>
        </w:rPr>
        <w:t>Burchill</w:t>
      </w:r>
      <w:proofErr w:type="spellEnd"/>
      <w:r w:rsidRPr="00CD52B1">
        <w:rPr>
          <w:rFonts w:cs="Times New Roman"/>
          <w:i/>
          <w:szCs w:val="24"/>
          <w:lang w:val="fr-CA"/>
        </w:rPr>
        <w:t xml:space="preserve"> c. Yukon (</w:t>
      </w:r>
      <w:proofErr w:type="spellStart"/>
      <w:r w:rsidRPr="00CD52B1">
        <w:rPr>
          <w:rFonts w:cs="Times New Roman"/>
          <w:i/>
          <w:szCs w:val="24"/>
          <w:lang w:val="fr-CA"/>
        </w:rPr>
        <w:t>Commissioner</w:t>
      </w:r>
      <w:proofErr w:type="spellEnd"/>
      <w:r w:rsidRPr="00CD52B1">
        <w:rPr>
          <w:rFonts w:cs="Times New Roman"/>
          <w:i/>
          <w:szCs w:val="24"/>
          <w:lang w:val="fr-CA"/>
        </w:rPr>
        <w:t>)</w:t>
      </w:r>
      <w:r w:rsidRPr="00CD52B1">
        <w:rPr>
          <w:rFonts w:cs="Times New Roman"/>
          <w:szCs w:val="24"/>
          <w:lang w:val="fr-CA"/>
        </w:rPr>
        <w:t>, 2002 YKCA 4</w:t>
      </w:r>
      <w:r w:rsidR="005817C1">
        <w:rPr>
          <w:rFonts w:cs="Times New Roman"/>
          <w:szCs w:val="24"/>
          <w:lang w:val="fr-CA"/>
        </w:rPr>
        <w:t xml:space="preserve"> (</w:t>
      </w:r>
      <w:proofErr w:type="spellStart"/>
      <w:r w:rsidR="005817C1">
        <w:rPr>
          <w:rFonts w:cs="Times New Roman"/>
          <w:szCs w:val="24"/>
          <w:lang w:val="fr-CA"/>
        </w:rPr>
        <w:t>CanLII</w:t>
      </w:r>
      <w:proofErr w:type="spellEnd"/>
      <w:r w:rsidR="005817C1">
        <w:rPr>
          <w:rFonts w:cs="Times New Roman"/>
          <w:szCs w:val="24"/>
          <w:lang w:val="fr-CA"/>
        </w:rPr>
        <w:t>)</w:t>
      </w:r>
      <w:r w:rsidRPr="00CD52B1">
        <w:rPr>
          <w:rFonts w:cs="Times New Roman"/>
          <w:szCs w:val="24"/>
          <w:lang w:val="fr-CA"/>
        </w:rPr>
        <w:t xml:space="preserve">, </w:t>
      </w:r>
      <w:r w:rsidRPr="00CD52B1">
        <w:rPr>
          <w:rFonts w:eastAsia="Times New Roman" w:cs="Times New Roman"/>
          <w:szCs w:val="24"/>
          <w:lang w:val="fr-CA" w:eastAsia="en-CA"/>
        </w:rPr>
        <w:t xml:space="preserve">par. 28; </w:t>
      </w:r>
      <w:proofErr w:type="spellStart"/>
      <w:r w:rsidRPr="00CD52B1">
        <w:rPr>
          <w:rFonts w:eastAsia="Times New Roman" w:cs="Times New Roman"/>
          <w:i/>
          <w:szCs w:val="24"/>
          <w:lang w:val="fr-CA" w:eastAsia="en-CA"/>
        </w:rPr>
        <w:t>Minott</w:t>
      </w:r>
      <w:proofErr w:type="spellEnd"/>
      <w:r w:rsidRPr="00CD52B1">
        <w:rPr>
          <w:rFonts w:eastAsia="Times New Roman" w:cs="Times New Roman"/>
          <w:szCs w:val="24"/>
          <w:lang w:val="fr-CA" w:eastAsia="en-CA"/>
        </w:rPr>
        <w:t xml:space="preserve">, p. 341; et </w:t>
      </w:r>
      <w:proofErr w:type="spellStart"/>
      <w:r w:rsidRPr="00CD52B1">
        <w:rPr>
          <w:rFonts w:eastAsia="Times New Roman" w:cs="Times New Roman"/>
          <w:i/>
          <w:szCs w:val="24"/>
          <w:lang w:val="fr-CA" w:eastAsia="en-CA"/>
        </w:rPr>
        <w:t>Danyluk</w:t>
      </w:r>
      <w:proofErr w:type="spellEnd"/>
      <w:r w:rsidRPr="00CD52B1">
        <w:rPr>
          <w:rFonts w:eastAsia="Times New Roman" w:cs="Times New Roman"/>
          <w:szCs w:val="24"/>
          <w:lang w:val="fr-CA" w:eastAsia="en-CA"/>
        </w:rPr>
        <w:t>, par. 73.  Dans le contexte qui nous occupe, cela pourrait décourager des citoyens de déposer des plaintes pour inconduite policière.</w:t>
      </w:r>
    </w:p>
    <w:p w:rsidR="0000152B" w:rsidRPr="00CD52B1" w:rsidRDefault="0000152B" w:rsidP="0000152B">
      <w:pPr>
        <w:pStyle w:val="ParaNoNdepar-AltN"/>
        <w:rPr>
          <w:rFonts w:eastAsia="Times New Roman" w:cs="Times New Roman"/>
          <w:lang w:val="fr-CA" w:eastAsia="en-CA"/>
        </w:rPr>
      </w:pPr>
      <w:r w:rsidRPr="00CD52B1">
        <w:rPr>
          <w:rFonts w:eastAsia="Times New Roman" w:cs="Times New Roman"/>
          <w:lang w:val="fr-CA"/>
        </w:rPr>
        <w:t xml:space="preserve">Ainsi, le libellé et l’objet du régime législatif définissent les attentes raisonnables des parties quant à la portée et à l’effet de l’instance administrative.  Ils définissent le rôle des parties dans le déroulement de l’instance et l’étendue de leur apport.  </w:t>
      </w:r>
      <w:r w:rsidRPr="00CD52B1">
        <w:rPr>
          <w:rFonts w:cs="Times New Roman"/>
          <w:lang w:val="fr-CA"/>
        </w:rPr>
        <w:t xml:space="preserve">Lorsque le régime législatif prévoit des instances multiples dont les objets sont </w:t>
      </w:r>
      <w:proofErr w:type="gramStart"/>
      <w:r w:rsidRPr="00CD52B1">
        <w:rPr>
          <w:rFonts w:cs="Times New Roman"/>
          <w:lang w:val="fr-CA"/>
        </w:rPr>
        <w:t>fort</w:t>
      </w:r>
      <w:proofErr w:type="gramEnd"/>
      <w:r w:rsidRPr="00CD52B1">
        <w:rPr>
          <w:rFonts w:cs="Times New Roman"/>
          <w:lang w:val="fr-CA"/>
        </w:rPr>
        <w:t xml:space="preserve"> différents, l’application de la doctrine risque non seulement de bouleverser les attentes légitimes et raisonnables des parties, mais aussi de nuire à l’efficacité et aux objectifs d’intérêt général du régime administratif, en favorisant le formalisme et les lenteurs, voire en décourageant complètement l’exercice d’un recours administratif.</w:t>
      </w:r>
    </w:p>
    <w:p w:rsidR="0000152B" w:rsidRPr="00CD52B1" w:rsidRDefault="0000152B" w:rsidP="0000152B">
      <w:pPr>
        <w:pStyle w:val="ParaNoNdepar-AltN"/>
        <w:rPr>
          <w:rFonts w:eastAsia="Times New Roman" w:cs="Times New Roman"/>
          <w:lang w:val="fr-CA" w:eastAsia="en-CA"/>
        </w:rPr>
      </w:pPr>
      <w:r w:rsidRPr="00CD52B1">
        <w:rPr>
          <w:rFonts w:cs="Times New Roman"/>
          <w:lang w:val="fr-CA"/>
        </w:rPr>
        <w:t xml:space="preserve">Ces considérations sont également pertinentes pour évaluer un autre facteur énoncé dans </w:t>
      </w:r>
      <w:proofErr w:type="spellStart"/>
      <w:r w:rsidRPr="00CD52B1">
        <w:rPr>
          <w:rFonts w:cs="Times New Roman"/>
          <w:i/>
          <w:lang w:val="fr-CA"/>
        </w:rPr>
        <w:t>Danyluk</w:t>
      </w:r>
      <w:proofErr w:type="spellEnd"/>
      <w:r w:rsidRPr="00CD52B1">
        <w:rPr>
          <w:rFonts w:cs="Times New Roman"/>
          <w:lang w:val="fr-CA"/>
        </w:rPr>
        <w:t>, à savoir les garanties procédurales applicables dans le cadre du processus administratif antérieur.  La décision d’une partie de se prévaloir ou non des garanties procédurales propres à l’instance antérieure ne saurait être examinée sans que le soient également ses attentes raisonnables quant aux enjeux ou les objets fondamentalement différents des deux types d’instances.  Il convient d’analyser les liens entre les considérations pertinentes à la lumière de l’ensemble.</w:t>
      </w:r>
    </w:p>
    <w:p w:rsidR="0000152B" w:rsidRPr="00CD52B1" w:rsidRDefault="0000152B" w:rsidP="00FB7A7A">
      <w:pPr>
        <w:pStyle w:val="TitleTitre-AltT"/>
        <w:tabs>
          <w:tab w:val="clear" w:pos="360"/>
          <w:tab w:val="left" w:pos="1170"/>
        </w:tabs>
        <w:ind w:left="1800" w:hanging="1620"/>
        <w:rPr>
          <w:rFonts w:cs="Times New Roman"/>
          <w:lang w:val="fr-CA"/>
        </w:rPr>
      </w:pPr>
      <w:r w:rsidRPr="00CD52B1">
        <w:rPr>
          <w:rFonts w:cs="Times New Roman"/>
          <w:lang w:val="fr-CA" w:eastAsia="en-CA"/>
        </w:rPr>
        <w:lastRenderedPageBreak/>
        <w:tab/>
        <w:t>(2)</w:t>
      </w:r>
      <w:r w:rsidRPr="00CD52B1">
        <w:rPr>
          <w:rFonts w:cs="Times New Roman"/>
          <w:lang w:val="fr-CA" w:eastAsia="en-CA"/>
        </w:rPr>
        <w:tab/>
      </w:r>
      <w:r w:rsidRPr="00CD52B1">
        <w:rPr>
          <w:rFonts w:cs="Times New Roman"/>
          <w:u w:val="single"/>
          <w:lang w:val="fr-CA" w:eastAsia="en-CA"/>
        </w:rPr>
        <w:t>Caractère équitable de l’opposition des conclusions issues de l’enquête disciplinaire à l’action civile en l’espèce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En toute déférence, nous estimons que la Cour d’appel n’a pas axé son examen sur l’équité selon le deuxième sens que nous venons de décrire.  Nous ne trouvons rien à redire à ses conclusions selon lesquelles l’audience disciplinaire était équitable et M. Penner a participé utilement au processus.  Toutefois, bien qu’elle ait analysé en détail la procédure disciplinaire en soi pour en déterminer le caractère équitable, elle n’a pas analysé de manière exhaustive la question de savoir s’il serait équitable d’opposer le résultat de cette procédure aux demandes civiles de l’appelant, à la lumière de la nature et de la portée de cette instance antérieure ainsi que des attentes raisonnables des parties à cet égard.</w:t>
      </w:r>
    </w:p>
    <w:p w:rsidR="0000152B" w:rsidRPr="00CD52B1" w:rsidRDefault="0000152B" w:rsidP="00FB7A7A">
      <w:pPr>
        <w:pStyle w:val="TitleTitre-AltT"/>
        <w:tabs>
          <w:tab w:val="clear" w:pos="360"/>
          <w:tab w:val="left" w:pos="1170"/>
        </w:tabs>
        <w:ind w:left="1800" w:hanging="1800"/>
        <w:rPr>
          <w:rFonts w:cs="Times New Roman"/>
          <w:lang w:val="fr-CA"/>
        </w:rPr>
      </w:pPr>
      <w:r w:rsidRPr="00CD52B1">
        <w:rPr>
          <w:rFonts w:cs="Times New Roman"/>
          <w:i/>
          <w:lang w:val="fr-CA"/>
        </w:rPr>
        <w:tab/>
      </w:r>
      <w:r w:rsidRPr="00CD52B1">
        <w:rPr>
          <w:rFonts w:cs="Times New Roman"/>
          <w:lang w:val="fr-CA"/>
        </w:rPr>
        <w:t>a)</w:t>
      </w:r>
      <w:r w:rsidRPr="00CD52B1">
        <w:rPr>
          <w:rFonts w:cs="Times New Roman"/>
          <w:lang w:val="fr-CA"/>
        </w:rPr>
        <w:tab/>
      </w:r>
      <w:r w:rsidRPr="00CD52B1">
        <w:rPr>
          <w:rFonts w:cs="Times New Roman"/>
          <w:i/>
          <w:lang w:val="fr-CA"/>
        </w:rPr>
        <w:t>Loi établissant la procédure d’audience disciplinaire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Comme l’a souligné la Cour d’appel, [</w:t>
      </w:r>
      <w:r w:rsidRPr="00CD52B1">
        <w:rPr>
          <w:rFonts w:cs="Times New Roman"/>
          <w:smallCaps/>
          <w:lang w:val="fr-CA"/>
        </w:rPr>
        <w:t>traduction</w:t>
      </w:r>
      <w:r w:rsidRPr="00CD52B1">
        <w:rPr>
          <w:rFonts w:cs="Times New Roman"/>
          <w:lang w:val="fr-CA"/>
        </w:rPr>
        <w:t>] « </w:t>
      </w:r>
      <w:r w:rsidR="000F37F5">
        <w:rPr>
          <w:rFonts w:cs="Times New Roman"/>
          <w:lang w:val="fr-CA"/>
        </w:rPr>
        <w:t>l’intention du</w:t>
      </w:r>
      <w:r w:rsidRPr="00CD52B1">
        <w:rPr>
          <w:rFonts w:cs="Times New Roman"/>
          <w:lang w:val="fr-CA"/>
        </w:rPr>
        <w:t xml:space="preserve"> législateur n</w:t>
      </w:r>
      <w:r w:rsidR="000F37F5">
        <w:rPr>
          <w:rFonts w:cs="Times New Roman"/>
          <w:lang w:val="fr-CA"/>
        </w:rPr>
        <w:t xml:space="preserve">’était pas de faire obstacle à </w:t>
      </w:r>
      <w:r w:rsidR="00E51F77">
        <w:rPr>
          <w:rFonts w:cs="Times New Roman"/>
          <w:lang w:val="fr-CA"/>
        </w:rPr>
        <w:t>[</w:t>
      </w:r>
      <w:r w:rsidR="000F37F5">
        <w:rPr>
          <w:rFonts w:cs="Times New Roman"/>
          <w:lang w:val="fr-CA"/>
        </w:rPr>
        <w:t>l’</w:t>
      </w:r>
      <w:r w:rsidR="00E51F77">
        <w:rPr>
          <w:rFonts w:cs="Times New Roman"/>
          <w:lang w:val="fr-CA"/>
        </w:rPr>
        <w:t>]</w:t>
      </w:r>
      <w:r w:rsidRPr="00CD52B1">
        <w:rPr>
          <w:rFonts w:cs="Times New Roman"/>
          <w:lang w:val="fr-CA"/>
        </w:rPr>
        <w:t xml:space="preserve">action civile </w:t>
      </w:r>
      <w:r w:rsidR="000F37F5">
        <w:rPr>
          <w:rFonts w:cs="Times New Roman"/>
          <w:lang w:val="fr-CA"/>
        </w:rPr>
        <w:t>[de M. Penner] au</w:t>
      </w:r>
      <w:r w:rsidRPr="00CD52B1">
        <w:rPr>
          <w:rFonts w:cs="Times New Roman"/>
          <w:lang w:val="fr-CA"/>
        </w:rPr>
        <w:t xml:space="preserve"> seul </w:t>
      </w:r>
      <w:r w:rsidR="000F37F5">
        <w:rPr>
          <w:rFonts w:cs="Times New Roman"/>
          <w:lang w:val="fr-CA"/>
        </w:rPr>
        <w:t xml:space="preserve">motif </w:t>
      </w:r>
      <w:r w:rsidRPr="00CD52B1">
        <w:rPr>
          <w:rFonts w:cs="Times New Roman"/>
          <w:lang w:val="fr-CA"/>
        </w:rPr>
        <w:t>qu’il a</w:t>
      </w:r>
      <w:r w:rsidR="000F37F5">
        <w:rPr>
          <w:rFonts w:cs="Times New Roman"/>
          <w:lang w:val="fr-CA"/>
        </w:rPr>
        <w:t xml:space="preserve"> porté </w:t>
      </w:r>
      <w:r w:rsidRPr="00CD52B1">
        <w:rPr>
          <w:rFonts w:cs="Times New Roman"/>
          <w:lang w:val="fr-CA"/>
        </w:rPr>
        <w:t>plainte en vertu de la [</w:t>
      </w:r>
      <w:r w:rsidRPr="00FB7A7A">
        <w:rPr>
          <w:rFonts w:cs="Times New Roman"/>
          <w:i/>
          <w:lang w:val="fr-CA"/>
        </w:rPr>
        <w:t>LSP</w:t>
      </w:r>
      <w:r w:rsidRPr="00CD52B1">
        <w:rPr>
          <w:rFonts w:cs="Times New Roman"/>
          <w:lang w:val="fr-CA"/>
        </w:rPr>
        <w:t>] »</w:t>
      </w:r>
      <w:r w:rsidR="00FB7A7A">
        <w:rPr>
          <w:rFonts w:cs="Times New Roman"/>
          <w:lang w:val="fr-CA"/>
        </w:rPr>
        <w:t xml:space="preserve"> : </w:t>
      </w:r>
      <w:r w:rsidRPr="00CD52B1">
        <w:rPr>
          <w:rFonts w:cs="Times New Roman"/>
          <w:lang w:val="fr-CA"/>
        </w:rPr>
        <w:t xml:space="preserve">par. 42.  La </w:t>
      </w:r>
      <w:r w:rsidRPr="00FB7A7A">
        <w:rPr>
          <w:rFonts w:cs="Times New Roman"/>
          <w:i/>
          <w:lang w:val="fr-CA"/>
        </w:rPr>
        <w:t>LSP</w:t>
      </w:r>
      <w:r w:rsidRPr="00CD52B1">
        <w:rPr>
          <w:rFonts w:cs="Times New Roman"/>
          <w:lang w:val="fr-CA"/>
        </w:rPr>
        <w:t xml:space="preserve"> prévoit des dispositions établissant des privilèges, dont trois méritent d’être mentionnées</w:t>
      </w:r>
      <w:r w:rsidR="00B954B0">
        <w:rPr>
          <w:rFonts w:cs="Times New Roman"/>
          <w:lang w:val="fr-CA"/>
        </w:rPr>
        <w:t>.  L</w:t>
      </w:r>
      <w:r w:rsidRPr="00CD52B1">
        <w:rPr>
          <w:rFonts w:cs="Times New Roman"/>
          <w:lang w:val="fr-CA"/>
        </w:rPr>
        <w:t>es documents préparés au cours du processus de plainte ne sont pas admissibles dans une instance civile : par. 69(9)</w:t>
      </w:r>
      <w:r w:rsidR="00B954B0">
        <w:rPr>
          <w:rFonts w:cs="Times New Roman"/>
          <w:lang w:val="fr-CA"/>
        </w:rPr>
        <w:t xml:space="preserve">. </w:t>
      </w:r>
      <w:r w:rsidRPr="00CD52B1">
        <w:rPr>
          <w:rFonts w:cs="Times New Roman"/>
          <w:lang w:val="fr-CA"/>
        </w:rPr>
        <w:t xml:space="preserve"> </w:t>
      </w:r>
      <w:r w:rsidR="00B954B0">
        <w:rPr>
          <w:rFonts w:cs="Times New Roman"/>
          <w:lang w:val="fr-CA"/>
        </w:rPr>
        <w:t>L</w:t>
      </w:r>
      <w:r w:rsidRPr="00CD52B1">
        <w:rPr>
          <w:rFonts w:cs="Times New Roman"/>
          <w:lang w:val="fr-CA"/>
        </w:rPr>
        <w:t>a personne qui exerce ses fonctions dans le cadre du processus de plainte ne peut être tenue de témoigner dans une instance civile relativement aux renseignements obtenus dans l’exercice de ses fonctions : par. 69(8)</w:t>
      </w:r>
      <w:r w:rsidR="00B954B0">
        <w:rPr>
          <w:rFonts w:cs="Times New Roman"/>
          <w:lang w:val="fr-CA"/>
        </w:rPr>
        <w:t>.  E</w:t>
      </w:r>
      <w:r w:rsidRPr="00CD52B1">
        <w:rPr>
          <w:rFonts w:cs="Times New Roman"/>
          <w:lang w:val="fr-CA"/>
        </w:rPr>
        <w:t xml:space="preserve">nfin, la personne qui participe à l’administration du processus de plainte doit tenir </w:t>
      </w:r>
      <w:r w:rsidRPr="00CD52B1">
        <w:rPr>
          <w:rFonts w:cs="Times New Roman"/>
          <w:lang w:val="fr-CA"/>
        </w:rPr>
        <w:lastRenderedPageBreak/>
        <w:t xml:space="preserve">confidentiel tout renseignement obtenu au cours de ce processus, à quelques exceptions près : art. 80.  Ces dispositions prévoient expressément la possibilité d’instances parallèles relativement aux mêmes faits. </w:t>
      </w:r>
    </w:p>
    <w:p w:rsidR="0000152B" w:rsidRPr="00CD52B1" w:rsidRDefault="0000152B" w:rsidP="0000152B">
      <w:pPr>
        <w:pStyle w:val="ParaNoNdepar-AltN"/>
        <w:rPr>
          <w:rFonts w:cs="Times New Roman"/>
          <w:lang w:val="fr-CA"/>
        </w:rPr>
      </w:pPr>
      <w:r w:rsidRPr="00CD52B1">
        <w:rPr>
          <w:rFonts w:eastAsia="Times New Roman" w:cs="Times New Roman"/>
          <w:szCs w:val="24"/>
          <w:lang w:val="fr-CA" w:eastAsia="en-CA"/>
        </w:rPr>
        <w:t>En l’espèce, comme l’a reconnu la Cour d’appel, la loi ne vise pas à empêcher la tenue d’instances parallèles dans le cas d’une plainte du public.  Cela a une incidence sur les attentes raisonnables des parties ainsi que sur la nature et la portée de leur participation au processus.</w:t>
      </w:r>
    </w:p>
    <w:p w:rsidR="0000152B" w:rsidRPr="00CD52B1" w:rsidRDefault="0000152B" w:rsidP="0000152B">
      <w:pPr>
        <w:pStyle w:val="ParaNoNdepar-AltN"/>
        <w:rPr>
          <w:rFonts w:cs="Times New Roman"/>
          <w:lang w:val="fr-CA"/>
        </w:rPr>
      </w:pPr>
      <w:r w:rsidRPr="00CD52B1">
        <w:rPr>
          <w:rFonts w:cs="Times New Roman"/>
          <w:lang w:val="fr-CA"/>
        </w:rPr>
        <w:t>Le texte législatif ne comporte donc aucun élément susceptible de donner naissance à une attente raisonnable que l’audience disciplinaire serait concluante quant aux droits que M. Penner pourrait faire valoir contre les agents de police, le chef de police ou la commission de services policiers dans le cadre d’une action civile.</w:t>
      </w:r>
    </w:p>
    <w:p w:rsidR="0000152B" w:rsidRPr="00CD52B1" w:rsidRDefault="0098304E" w:rsidP="00FB7A7A">
      <w:pPr>
        <w:pStyle w:val="TitleTitre-AltT"/>
        <w:tabs>
          <w:tab w:val="clear" w:pos="360"/>
          <w:tab w:val="left" w:pos="1170"/>
        </w:tabs>
        <w:ind w:left="1800" w:hanging="1800"/>
        <w:rPr>
          <w:rFonts w:cs="Times New Roman"/>
          <w:i/>
          <w:lang w:val="fr-CA"/>
        </w:rPr>
      </w:pPr>
      <w:r>
        <w:rPr>
          <w:rFonts w:cs="Times New Roman"/>
          <w:lang w:val="fr-CA"/>
        </w:rPr>
        <w:tab/>
      </w:r>
      <w:r w:rsidR="0000152B" w:rsidRPr="00CD52B1">
        <w:rPr>
          <w:rFonts w:cs="Times New Roman"/>
          <w:lang w:val="fr-CA"/>
        </w:rPr>
        <w:t>b)</w:t>
      </w:r>
      <w:r w:rsidR="0000152B" w:rsidRPr="00CD52B1">
        <w:rPr>
          <w:rFonts w:cs="Times New Roman"/>
          <w:lang w:val="fr-CA"/>
        </w:rPr>
        <w:tab/>
      </w:r>
      <w:r w:rsidR="0000152B" w:rsidRPr="00CD52B1">
        <w:rPr>
          <w:rFonts w:cs="Times New Roman"/>
          <w:i/>
          <w:lang w:val="fr-CA"/>
        </w:rPr>
        <w:t xml:space="preserve">Attentes raisonnables des parties : objets différents des deux types d’instances et autres considérations </w:t>
      </w:r>
    </w:p>
    <w:p w:rsidR="0000152B" w:rsidRPr="00CD52B1" w:rsidRDefault="0000152B" w:rsidP="0000152B">
      <w:pPr>
        <w:pStyle w:val="ParaNoNdepar-AltN"/>
        <w:rPr>
          <w:rFonts w:cs="Times New Roman"/>
          <w:lang w:val="fr-CA"/>
        </w:rPr>
      </w:pPr>
      <w:r w:rsidRPr="00CD52B1">
        <w:rPr>
          <w:rFonts w:cs="Times New Roman"/>
          <w:lang w:val="fr-CA"/>
        </w:rPr>
        <w:t xml:space="preserve">La Cour d’appel a reconnu que les objets visés par une procédure disciplinaire de la police et une action civile diffèrent et que ce fait militait contre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L’audience disciplinaire appartient au processus par lequel l’employeur décide de l’opportunité de mesures disciplinaires contre un agent de police.  En </w:t>
      </w:r>
      <w:r w:rsidRPr="00CD52B1">
        <w:rPr>
          <w:rFonts w:cs="Times New Roman"/>
          <w:lang w:val="fr-CA"/>
        </w:rPr>
        <w:lastRenderedPageBreak/>
        <w:t xml:space="preserve">faisant du plaignant une partie à l’instance, la </w:t>
      </w:r>
      <w:r w:rsidRPr="00B50740">
        <w:rPr>
          <w:rFonts w:cs="Times New Roman"/>
          <w:i/>
          <w:lang w:val="fr-CA"/>
        </w:rPr>
        <w:t>LSP</w:t>
      </w:r>
      <w:r w:rsidRPr="00CD52B1">
        <w:rPr>
          <w:rFonts w:cs="Times New Roman"/>
          <w:lang w:val="fr-CA"/>
        </w:rPr>
        <w:t xml:space="preserve"> favorise la transparence et la reddition de comptes dans l’intérêt du public.  Ce processus ne prévoit toutefois ni réparation ni dépens en faveur du plaignant.  En revanche, une action civile fournit une tribune permettant s’il y a lieu à la partie lésée d’être indemnisée.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Outre le texte de loi, plusieurs faits appellent la même conclusion sur les attentes raisonnables des parties quant à l’incidence de l’audience disciplinaire sur l’action civile.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Premièrement, M. Penner a déposé son recours civil en juillet 2003, soit environ un an </w:t>
      </w:r>
      <w:r w:rsidRPr="00CD52B1">
        <w:rPr>
          <w:rFonts w:cs="Times New Roman"/>
          <w:i/>
          <w:lang w:val="fr-CA"/>
        </w:rPr>
        <w:t>avant</w:t>
      </w:r>
      <w:r w:rsidRPr="00CD52B1">
        <w:rPr>
          <w:rFonts w:cs="Times New Roman"/>
          <w:lang w:val="fr-CA"/>
        </w:rPr>
        <w:t xml:space="preserve"> que l’agent d’audience rende sa décision, le 28 juin 2004.  </w:t>
      </w:r>
      <w:r w:rsidRPr="00CD52B1">
        <w:rPr>
          <w:rFonts w:eastAsia="Times New Roman" w:cs="Times New Roman"/>
          <w:lang w:val="fr-CA" w:eastAsia="en-CA"/>
        </w:rPr>
        <w:t xml:space="preserve">Dans </w:t>
      </w:r>
      <w:proofErr w:type="spellStart"/>
      <w:r w:rsidRPr="00CD52B1">
        <w:rPr>
          <w:rFonts w:eastAsia="Times New Roman" w:cs="Times New Roman"/>
          <w:i/>
          <w:lang w:val="fr-CA" w:eastAsia="en-CA"/>
        </w:rPr>
        <w:t>Danyluk</w:t>
      </w:r>
      <w:proofErr w:type="spellEnd"/>
      <w:r w:rsidRPr="00CD52B1">
        <w:rPr>
          <w:rFonts w:eastAsia="Times New Roman" w:cs="Times New Roman"/>
          <w:lang w:val="fr-CA" w:eastAsia="en-CA"/>
        </w:rPr>
        <w:t xml:space="preserve">, l’action civile avait été intentée avant que la procédure administrative ne prenne fin.  Selon le juge </w:t>
      </w:r>
      <w:proofErr w:type="spellStart"/>
      <w:r w:rsidRPr="00CD52B1">
        <w:rPr>
          <w:rFonts w:eastAsia="Times New Roman" w:cs="Times New Roman"/>
          <w:lang w:val="fr-CA" w:eastAsia="en-CA"/>
        </w:rPr>
        <w:t>Binnie</w:t>
      </w:r>
      <w:proofErr w:type="spellEnd"/>
      <w:r w:rsidRPr="00CD52B1">
        <w:rPr>
          <w:rFonts w:eastAsia="Times New Roman" w:cs="Times New Roman"/>
          <w:lang w:val="fr-CA" w:eastAsia="en-CA"/>
        </w:rPr>
        <w:t>, cette situation militait contre l’</w:t>
      </w:r>
      <w:r w:rsidRPr="00CD52B1">
        <w:rPr>
          <w:rFonts w:cs="Times New Roman"/>
          <w:lang w:val="fr-CA"/>
        </w:rPr>
        <w:t xml:space="preserve">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eastAsia="Times New Roman" w:cs="Times New Roman"/>
          <w:lang w:val="fr-CA" w:eastAsia="en-CA"/>
        </w:rPr>
        <w:t>parce que « les intimés savaient parfaitement, en droit et en fait, qu’ils devaient se défendre dans des procédures parallèles se chevauchant dans une certaine mesure »</w:t>
      </w:r>
      <w:r w:rsidR="00FB7A7A">
        <w:rPr>
          <w:rFonts w:eastAsia="Times New Roman" w:cs="Times New Roman"/>
          <w:lang w:val="fr-CA" w:eastAsia="en-CA"/>
        </w:rPr>
        <w:t> : par. 70</w:t>
      </w:r>
      <w:r w:rsidRPr="00CD52B1">
        <w:rPr>
          <w:rFonts w:eastAsia="Times New Roman" w:cs="Times New Roman"/>
          <w:lang w:val="fr-CA" w:eastAsia="en-CA"/>
        </w:rPr>
        <w:t>.</w:t>
      </w:r>
      <w:r w:rsidR="00FB7A7A">
        <w:rPr>
          <w:rFonts w:eastAsia="Times New Roman" w:cs="Times New Roman"/>
          <w:lang w:val="fr-CA" w:eastAsia="en-CA"/>
        </w:rPr>
        <w:t xml:space="preserve"> </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Deuxièmement, suivant l’opinion du juge </w:t>
      </w:r>
      <w:proofErr w:type="spellStart"/>
      <w:r w:rsidRPr="00CD52B1">
        <w:rPr>
          <w:rFonts w:cs="Times New Roman"/>
          <w:lang w:val="fr-CA"/>
        </w:rPr>
        <w:t>Hermiston</w:t>
      </w:r>
      <w:proofErr w:type="spellEnd"/>
      <w:r w:rsidRPr="00CD52B1">
        <w:rPr>
          <w:rFonts w:cs="Times New Roman"/>
          <w:lang w:val="fr-CA"/>
        </w:rPr>
        <w:t xml:space="preserve">, </w:t>
      </w:r>
      <w:r w:rsidR="00FB7A7A">
        <w:rPr>
          <w:rFonts w:cs="Times New Roman"/>
          <w:lang w:val="fr-CA"/>
        </w:rPr>
        <w:t xml:space="preserve">dans </w:t>
      </w:r>
      <w:r w:rsidRPr="00CD52B1">
        <w:rPr>
          <w:rFonts w:cs="Times New Roman"/>
          <w:lang w:val="fr-CA"/>
        </w:rPr>
        <w:t xml:space="preserve">la décision ontarienne la plus pertinente à l’époque en matière d’audience disciplinaire de la police et de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cs="Times New Roman"/>
          <w:i/>
          <w:lang w:val="fr-CA"/>
        </w:rPr>
        <w:t>Porter c. York (</w:t>
      </w:r>
      <w:proofErr w:type="spellStart"/>
      <w:r w:rsidRPr="00CD52B1">
        <w:rPr>
          <w:rFonts w:cs="Times New Roman"/>
          <w:i/>
          <w:lang w:val="fr-CA"/>
        </w:rPr>
        <w:t>Regional</w:t>
      </w:r>
      <w:proofErr w:type="spellEnd"/>
      <w:r w:rsidRPr="00CD52B1">
        <w:rPr>
          <w:rFonts w:cs="Times New Roman"/>
          <w:i/>
          <w:lang w:val="fr-CA"/>
        </w:rPr>
        <w:t xml:space="preserve"> </w:t>
      </w:r>
      <w:proofErr w:type="spellStart"/>
      <w:r w:rsidRPr="00CD52B1">
        <w:rPr>
          <w:rFonts w:cs="Times New Roman"/>
          <w:i/>
          <w:lang w:val="fr-CA"/>
        </w:rPr>
        <w:t>Municipality</w:t>
      </w:r>
      <w:proofErr w:type="spellEnd"/>
      <w:r w:rsidRPr="00CD52B1">
        <w:rPr>
          <w:rFonts w:cs="Times New Roman"/>
          <w:i/>
          <w:lang w:val="fr-CA"/>
        </w:rPr>
        <w:t>) Police</w:t>
      </w:r>
      <w:r w:rsidRPr="00CD52B1">
        <w:rPr>
          <w:rFonts w:cs="Times New Roman"/>
          <w:lang w:val="fr-CA"/>
        </w:rPr>
        <w:t>, [2001] O.J. No</w:t>
      </w:r>
      <w:r w:rsidR="0001200B">
        <w:rPr>
          <w:rFonts w:cs="Times New Roman"/>
          <w:lang w:val="fr-CA"/>
        </w:rPr>
        <w:t>.</w:t>
      </w:r>
      <w:r w:rsidRPr="00CD52B1">
        <w:rPr>
          <w:rFonts w:cs="Times New Roman"/>
          <w:lang w:val="fr-CA"/>
        </w:rPr>
        <w:t xml:space="preserve"> 5970 (QL)</w:t>
      </w:r>
      <w:r w:rsidR="00FB7A7A">
        <w:rPr>
          <w:rFonts w:cs="Times New Roman"/>
          <w:lang w:val="fr-CA"/>
        </w:rPr>
        <w:t xml:space="preserve"> </w:t>
      </w:r>
      <w:r w:rsidRPr="00CD52B1">
        <w:rPr>
          <w:rFonts w:cs="Times New Roman"/>
          <w:lang w:val="fr-CA"/>
        </w:rPr>
        <w:t xml:space="preserve">(C.S.J.), l’acquittement d’un agent de police à l’issue d’une audience disciplinaire </w:t>
      </w:r>
      <w:r w:rsidRPr="00CD52B1">
        <w:rPr>
          <w:rFonts w:cs="Times New Roman"/>
          <w:i/>
          <w:lang w:val="fr-CA"/>
        </w:rPr>
        <w:t>ne</w:t>
      </w:r>
      <w:r w:rsidRPr="00CD52B1">
        <w:rPr>
          <w:rFonts w:cs="Times New Roman"/>
          <w:lang w:val="fr-CA"/>
        </w:rPr>
        <w:t xml:space="preserve"> donne </w:t>
      </w:r>
      <w:r w:rsidRPr="00CD52B1">
        <w:rPr>
          <w:rFonts w:cs="Times New Roman"/>
          <w:i/>
          <w:lang w:val="fr-CA"/>
        </w:rPr>
        <w:t>pas</w:t>
      </w:r>
      <w:r w:rsidRPr="00CD52B1">
        <w:rPr>
          <w:rFonts w:cs="Times New Roman"/>
          <w:lang w:val="fr-CA"/>
        </w:rPr>
        <w:t xml:space="preserve"> lieu à </w:t>
      </w:r>
      <w:r w:rsidRPr="00CD52B1">
        <w:rPr>
          <w:rFonts w:cs="Times New Roman"/>
          <w:lang w:val="fr-CA"/>
        </w:rPr>
        <w:lastRenderedPageBreak/>
        <w:t>l’application de cette doctrine relativement aux mêmes questions invoquées dans une action civile intentée ultérieurement.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Troisièmement, il se peut très bien qu’une personne dans la même situation que M. Penner estime improbable qu’une instance ne présentant pour elle ou lui aucun enjeu personnel ou financier puisse l’empêcher d’intenter une action civile pour réclamer des </w:t>
      </w:r>
      <w:proofErr w:type="spellStart"/>
      <w:r w:rsidRPr="00CD52B1">
        <w:rPr>
          <w:rFonts w:cs="Times New Roman"/>
          <w:lang w:val="fr-CA"/>
        </w:rPr>
        <w:t>dommages</w:t>
      </w:r>
      <w:r w:rsidRPr="00CD52B1">
        <w:rPr>
          <w:rFonts w:cs="Times New Roman"/>
          <w:lang w:val="fr-CA"/>
        </w:rPr>
        <w:noBreakHyphen/>
        <w:t>intérêts</w:t>
      </w:r>
      <w:proofErr w:type="spellEnd"/>
      <w:r w:rsidRPr="00CD52B1">
        <w:rPr>
          <w:rFonts w:cs="Times New Roman"/>
          <w:lang w:val="fr-CA"/>
        </w:rPr>
        <w:t xml:space="preserve"> considérables.</w:t>
      </w:r>
    </w:p>
    <w:p w:rsidR="0000152B" w:rsidRPr="00CD52B1" w:rsidRDefault="0098304E" w:rsidP="00FB7A7A">
      <w:pPr>
        <w:pStyle w:val="TitleTitre-AltT"/>
        <w:tabs>
          <w:tab w:val="clear" w:pos="360"/>
          <w:tab w:val="left" w:pos="1170"/>
        </w:tabs>
        <w:ind w:left="1800" w:hanging="1620"/>
        <w:rPr>
          <w:rFonts w:cs="Times New Roman"/>
          <w:lang w:val="fr-CA"/>
        </w:rPr>
      </w:pPr>
      <w:r>
        <w:rPr>
          <w:rFonts w:cs="Times New Roman"/>
          <w:lang w:val="fr-CA"/>
        </w:rPr>
        <w:tab/>
      </w:r>
      <w:r w:rsidR="0000152B" w:rsidRPr="00CD52B1">
        <w:rPr>
          <w:rFonts w:cs="Times New Roman"/>
          <w:lang w:val="fr-CA"/>
        </w:rPr>
        <w:t>c)</w:t>
      </w:r>
      <w:r w:rsidR="0000152B" w:rsidRPr="00CD52B1">
        <w:rPr>
          <w:rFonts w:cs="Times New Roman"/>
          <w:lang w:val="fr-CA"/>
        </w:rPr>
        <w:tab/>
      </w:r>
      <w:r w:rsidR="0000152B" w:rsidRPr="00CD52B1">
        <w:rPr>
          <w:rFonts w:cs="Times New Roman"/>
          <w:i/>
          <w:lang w:val="fr-CA"/>
        </w:rPr>
        <w:t>Enjeu financier de l’audience disciplinaire</w:t>
      </w:r>
    </w:p>
    <w:p w:rsidR="0000152B" w:rsidRPr="00CD52B1" w:rsidRDefault="0000152B" w:rsidP="0000152B">
      <w:pPr>
        <w:pStyle w:val="ParaNoNdepar-AltN"/>
        <w:rPr>
          <w:rFonts w:cs="Times New Roman"/>
          <w:lang w:val="fr-CA"/>
        </w:rPr>
      </w:pPr>
      <w:r w:rsidRPr="00CD52B1">
        <w:rPr>
          <w:rFonts w:cs="Times New Roman"/>
          <w:lang w:val="fr-CA"/>
        </w:rPr>
        <w:t xml:space="preserve">Selon la Cour d’appel, l’absence d’enjeu financier de la procédure administrative ne règle pas habituellement en soi la question de savoir dans quel sens la cour saisie d’un recours civil devrait exercer son pouvoir discrétionnaire en matière de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opposable à une telle action civile.  Or, la Cour d’appel n’en est pas restée là et a tenu les propos suivants au sujet de</w:t>
      </w:r>
      <w:r w:rsidRPr="00CD52B1">
        <w:rPr>
          <w:rFonts w:cs="Times New Roman"/>
          <w:szCs w:val="24"/>
          <w:lang w:val="fr-CA"/>
        </w:rPr>
        <w:t xml:space="preserve"> l’absence d’enjeu financier à l’audience disciplinaire :</w:t>
      </w:r>
    </w:p>
    <w:p w:rsidR="0000152B" w:rsidRPr="00CD52B1" w:rsidRDefault="0000152B" w:rsidP="0000152B">
      <w:pPr>
        <w:pStyle w:val="Citation-AltC"/>
        <w:ind w:hanging="1166"/>
        <w:rPr>
          <w:lang w:val="fr-CA"/>
        </w:rPr>
      </w:pPr>
      <w:r w:rsidRPr="00CD52B1">
        <w:rPr>
          <w:smallCaps/>
          <w:lang w:val="fr-CA"/>
        </w:rPr>
        <w:tab/>
        <w:t xml:space="preserve">[traduction] </w:t>
      </w:r>
      <w:r w:rsidRPr="00CD52B1">
        <w:rPr>
          <w:lang w:val="fr-CA"/>
        </w:rPr>
        <w:t xml:space="preserve"> Il s’agit d’une considération importante qui milite </w:t>
      </w:r>
      <w:r w:rsidR="00B51FDA">
        <w:rPr>
          <w:lang w:val="fr-CA"/>
        </w:rPr>
        <w:t>à l’en</w:t>
      </w:r>
      <w:r w:rsidRPr="00CD52B1">
        <w:rPr>
          <w:lang w:val="fr-CA"/>
        </w:rPr>
        <w:t xml:space="preserve">contre </w:t>
      </w:r>
      <w:r w:rsidR="00B51FDA">
        <w:rPr>
          <w:lang w:val="fr-CA"/>
        </w:rPr>
        <w:t xml:space="preserve">de </w:t>
      </w:r>
      <w:r w:rsidRPr="00CD52B1">
        <w:rPr>
          <w:lang w:val="fr-CA"/>
        </w:rPr>
        <w:t xml:space="preserve">l’application de la </w:t>
      </w:r>
      <w:proofErr w:type="spellStart"/>
      <w:r w:rsidRPr="00CD52B1">
        <w:rPr>
          <w:lang w:val="fr-CA"/>
        </w:rPr>
        <w:t>préclusion</w:t>
      </w:r>
      <w:proofErr w:type="spellEnd"/>
      <w:r w:rsidRPr="00CD52B1">
        <w:rPr>
          <w:lang w:val="fr-CA"/>
        </w:rPr>
        <w:t xml:space="preserve"> découla</w:t>
      </w:r>
      <w:r w:rsidR="00B51FDA">
        <w:rPr>
          <w:lang w:val="fr-CA"/>
        </w:rPr>
        <w:t>nt d’une question déjà tranchée.</w:t>
      </w:r>
      <w:r w:rsidRPr="00CD52B1">
        <w:rPr>
          <w:lang w:val="fr-CA"/>
        </w:rPr>
        <w:t xml:space="preserve"> </w:t>
      </w:r>
      <w:r w:rsidR="00B51FDA">
        <w:rPr>
          <w:lang w:val="fr-CA"/>
        </w:rPr>
        <w:t xml:space="preserve"> Cependant</w:t>
      </w:r>
      <w:r w:rsidR="00DD5D40">
        <w:rPr>
          <w:lang w:val="fr-CA"/>
        </w:rPr>
        <w:t>,</w:t>
      </w:r>
      <w:r w:rsidR="00B51FDA">
        <w:rPr>
          <w:lang w:val="fr-CA"/>
        </w:rPr>
        <w:t xml:space="preserve"> son poids est réduit en raison de </w:t>
      </w:r>
      <w:r w:rsidRPr="00CD52B1">
        <w:rPr>
          <w:lang w:val="fr-CA"/>
        </w:rPr>
        <w:t xml:space="preserve">l’avantage indirect que </w:t>
      </w:r>
      <w:r w:rsidR="00B51FDA">
        <w:rPr>
          <w:lang w:val="fr-CA"/>
        </w:rPr>
        <w:t>peut pro</w:t>
      </w:r>
      <w:r w:rsidR="00DD5D40">
        <w:rPr>
          <w:lang w:val="fr-CA"/>
        </w:rPr>
        <w:t>curer</w:t>
      </w:r>
      <w:r w:rsidR="00B51FDA">
        <w:rPr>
          <w:lang w:val="fr-CA"/>
        </w:rPr>
        <w:t xml:space="preserve"> l’instance disciplinaire à </w:t>
      </w:r>
      <w:r w:rsidRPr="00CD52B1">
        <w:rPr>
          <w:lang w:val="fr-CA"/>
        </w:rPr>
        <w:t xml:space="preserve">M. Penner.  </w:t>
      </w:r>
      <w:r w:rsidR="00B51FDA">
        <w:rPr>
          <w:lang w:val="fr-CA"/>
        </w:rPr>
        <w:t>P</w:t>
      </w:r>
      <w:r w:rsidRPr="00CD52B1">
        <w:rPr>
          <w:lang w:val="fr-CA"/>
        </w:rPr>
        <w:t xml:space="preserve">ar exemple, </w:t>
      </w:r>
      <w:r w:rsidR="00B51FDA">
        <w:rPr>
          <w:lang w:val="fr-CA"/>
        </w:rPr>
        <w:t xml:space="preserve">si </w:t>
      </w:r>
      <w:r w:rsidR="00DD5D40">
        <w:rPr>
          <w:lang w:val="fr-CA"/>
        </w:rPr>
        <w:t>l’agent d’audi</w:t>
      </w:r>
      <w:r w:rsidR="000C48A7">
        <w:rPr>
          <w:lang w:val="fr-CA"/>
        </w:rPr>
        <w:t>ence</w:t>
      </w:r>
      <w:r w:rsidRPr="00CD52B1">
        <w:rPr>
          <w:lang w:val="fr-CA"/>
        </w:rPr>
        <w:t xml:space="preserve"> avait conclu que les deux agents de police n’avaient </w:t>
      </w:r>
      <w:r w:rsidR="00B51FDA">
        <w:rPr>
          <w:lang w:val="fr-CA"/>
        </w:rPr>
        <w:t>eu aucun motif raisonnable et probable</w:t>
      </w:r>
      <w:r w:rsidRPr="00CD52B1">
        <w:rPr>
          <w:lang w:val="fr-CA"/>
        </w:rPr>
        <w:t xml:space="preserve"> d’arrêter M. Penner ou qu’ils avaient </w:t>
      </w:r>
      <w:r w:rsidR="00B51FDA">
        <w:rPr>
          <w:lang w:val="fr-CA"/>
        </w:rPr>
        <w:t xml:space="preserve">employé </w:t>
      </w:r>
      <w:r w:rsidRPr="00CD52B1">
        <w:rPr>
          <w:lang w:val="fr-CA"/>
        </w:rPr>
        <w:t>une force excessive à son en</w:t>
      </w:r>
      <w:r w:rsidR="00B51FDA">
        <w:rPr>
          <w:lang w:val="fr-CA"/>
        </w:rPr>
        <w:t>contre</w:t>
      </w:r>
      <w:r w:rsidRPr="00CD52B1">
        <w:rPr>
          <w:lang w:val="fr-CA"/>
        </w:rPr>
        <w:t xml:space="preserve">, </w:t>
      </w:r>
      <w:r w:rsidR="00B51FDA">
        <w:rPr>
          <w:lang w:val="fr-CA"/>
        </w:rPr>
        <w:t xml:space="preserve">de telles conclusions auraient probablement empêché les agents de soutenir le contraire dans le cadre de </w:t>
      </w:r>
      <w:r w:rsidRPr="00CD52B1">
        <w:rPr>
          <w:lang w:val="fr-CA"/>
        </w:rPr>
        <w:t xml:space="preserve">l’action civile </w:t>
      </w:r>
      <w:r w:rsidR="00B51FDA">
        <w:rPr>
          <w:lang w:val="fr-CA"/>
        </w:rPr>
        <w:t xml:space="preserve">de </w:t>
      </w:r>
      <w:r w:rsidRPr="00CD52B1">
        <w:rPr>
          <w:lang w:val="fr-CA"/>
        </w:rPr>
        <w:t xml:space="preserve">M. Penner.  En d’autres termes, </w:t>
      </w:r>
      <w:r w:rsidR="00B51FDA">
        <w:rPr>
          <w:lang w:val="fr-CA"/>
        </w:rPr>
        <w:t xml:space="preserve">la </w:t>
      </w:r>
      <w:proofErr w:type="spellStart"/>
      <w:r w:rsidR="00B51FDA">
        <w:rPr>
          <w:lang w:val="fr-CA"/>
        </w:rPr>
        <w:t>préclusion</w:t>
      </w:r>
      <w:proofErr w:type="spellEnd"/>
      <w:r w:rsidR="00B51FDA">
        <w:rPr>
          <w:lang w:val="fr-CA"/>
        </w:rPr>
        <w:t xml:space="preserve"> découlant d’une question déjà tranchée </w:t>
      </w:r>
      <w:r w:rsidRPr="00CD52B1">
        <w:rPr>
          <w:lang w:val="fr-CA"/>
        </w:rPr>
        <w:t>joue dans les deux sens.  [</w:t>
      </w:r>
      <w:proofErr w:type="gramStart"/>
      <w:r w:rsidRPr="00CD52B1">
        <w:rPr>
          <w:lang w:val="fr-CA"/>
        </w:rPr>
        <w:t>par</w:t>
      </w:r>
      <w:proofErr w:type="gramEnd"/>
      <w:r w:rsidRPr="00CD52B1">
        <w:rPr>
          <w:lang w:val="fr-CA"/>
        </w:rPr>
        <w:t>. 43]</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À notre avis, cette analyse est viciée.  On ne peut pas nécessairement dire que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 joue dans les deux sens » en l’espèce.  Comme l’a reconnu la Cour d’appel, puisque la </w:t>
      </w:r>
      <w:r w:rsidRPr="00FB7A7A">
        <w:rPr>
          <w:rFonts w:cs="Times New Roman"/>
          <w:i/>
          <w:lang w:val="fr-CA"/>
        </w:rPr>
        <w:t>LSP</w:t>
      </w:r>
      <w:r w:rsidRPr="00CD52B1">
        <w:rPr>
          <w:rFonts w:cs="Times New Roman"/>
          <w:lang w:val="fr-CA"/>
        </w:rPr>
        <w:t xml:space="preserve"> exige que l’inconduite d’un agent de police soit « prouvée sur la foi de preuves claires et convaincantes » (par. 64(10)), il s’ensuit que la conclusion d’inconduite, selon la nature des constatations de fait, pourrait empêcher que la question de la responsabilité soit réexaminée dans le cadre d’une action civile, où s’appliquerait la prépondérance des probabilités, une norme de preuve moins exigeante.  Toutefois, il n’en va pas de même de l’acquittement.  Il ne faut pas déduire du fait que le poursuivant n’a pas prouvé les accusations sur la foi de « preuves claires et convaincantes » qu’elles n’auraient pu être établies selon la prépondérance des probabilités.  Compte tenu des normes de preuve différentes, le plaignant n’aurait aucun motif de croire que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s’appliquerait en cas d’acquittement des agents de police.  En effet, dans </w:t>
      </w:r>
      <w:r w:rsidRPr="00CD52B1">
        <w:rPr>
          <w:rFonts w:cs="Times New Roman"/>
          <w:i/>
          <w:lang w:val="fr-CA"/>
        </w:rPr>
        <w:t>Porter</w:t>
      </w:r>
      <w:r w:rsidRPr="00CD52B1">
        <w:rPr>
          <w:rFonts w:cs="Times New Roman"/>
          <w:lang w:val="fr-CA"/>
        </w:rPr>
        <w:t xml:space="preserve">, la cour a refusé d’appliquer cette doctrine à la suite d’un acquittement prononcé à l’issue d’une audience disciplinaire de la police parce que l’agent d’audience avait rendu sa décision sur le fondement d’une </w:t>
      </w:r>
      <w:r w:rsidRPr="00CD52B1">
        <w:rPr>
          <w:rFonts w:cs="Times New Roman"/>
          <w:smallCaps/>
          <w:lang w:val="fr-CA"/>
        </w:rPr>
        <w:t>[traduction]</w:t>
      </w:r>
      <w:r w:rsidRPr="00CD52B1">
        <w:rPr>
          <w:rFonts w:cs="Times New Roman"/>
          <w:lang w:val="fr-CA"/>
        </w:rPr>
        <w:t xml:space="preserve"> « norme de preuve exigeante et que sa décision aurait pu se révéler différente si l’agent avait appliqué la norme moins exigeante que commande la procédure civile »</w:t>
      </w:r>
      <w:r w:rsidR="00FB7A7A">
        <w:rPr>
          <w:rFonts w:cs="Times New Roman"/>
          <w:lang w:val="fr-CA"/>
        </w:rPr>
        <w:t xml:space="preserve"> : </w:t>
      </w:r>
      <w:r w:rsidRPr="00CD52B1">
        <w:rPr>
          <w:rFonts w:cs="Times New Roman"/>
          <w:lang w:val="fr-CA"/>
        </w:rPr>
        <w:t>par. 11.  Par conséquent, les parties ne pouvaient pas raisonnablement envisager que l’acquittement des agents de police à l’issue de l’audience disciplinaire serait déterminant pour l’issue de l’action civile intentée par M. Penner.</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En tenant pour acquis que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 joue dans les deux sens », la Cour d’appel a accordé un poids insuffisant au fait que l’audience disciplinaire ne présentait aucun enjeu financier pour M. Penner, et elle a eu tort de conclure que l’enjeu était plus important que ce qu’il aurait raisonnablement pu croire à l’époque.</w:t>
      </w:r>
    </w:p>
    <w:p w:rsidR="0000152B" w:rsidRPr="00CD52B1" w:rsidRDefault="0098304E" w:rsidP="00FB7A7A">
      <w:pPr>
        <w:pStyle w:val="TitleTitre-AltT"/>
        <w:tabs>
          <w:tab w:val="clear" w:pos="360"/>
          <w:tab w:val="left" w:pos="1170"/>
        </w:tabs>
        <w:ind w:left="1800" w:hanging="1800"/>
        <w:rPr>
          <w:rFonts w:cs="Times New Roman"/>
          <w:lang w:val="fr-CA"/>
        </w:rPr>
      </w:pPr>
      <w:r>
        <w:rPr>
          <w:rFonts w:cs="Times New Roman"/>
          <w:lang w:val="fr-CA"/>
        </w:rPr>
        <w:tab/>
      </w:r>
      <w:r w:rsidR="0000152B" w:rsidRPr="00CD52B1">
        <w:rPr>
          <w:rFonts w:cs="Times New Roman"/>
          <w:lang w:val="fr-CA"/>
        </w:rPr>
        <w:t>d)</w:t>
      </w:r>
      <w:r w:rsidR="0000152B" w:rsidRPr="00CD52B1">
        <w:rPr>
          <w:rFonts w:cs="Times New Roman"/>
          <w:lang w:val="fr-CA"/>
        </w:rPr>
        <w:tab/>
      </w:r>
      <w:r w:rsidR="0000152B" w:rsidRPr="00CD52B1">
        <w:rPr>
          <w:rFonts w:cs="Times New Roman"/>
          <w:i/>
          <w:lang w:val="fr-CA"/>
        </w:rPr>
        <w:t xml:space="preserve">La </w:t>
      </w:r>
      <w:proofErr w:type="spellStart"/>
      <w:r w:rsidR="0000152B" w:rsidRPr="00CD52B1">
        <w:rPr>
          <w:rFonts w:cs="Times New Roman"/>
          <w:i/>
          <w:lang w:val="fr-CA"/>
        </w:rPr>
        <w:t>préclusion</w:t>
      </w:r>
      <w:proofErr w:type="spellEnd"/>
      <w:r w:rsidR="0000152B" w:rsidRPr="00CD52B1">
        <w:rPr>
          <w:rFonts w:cs="Times New Roman"/>
          <w:i/>
          <w:lang w:val="fr-CA"/>
        </w:rPr>
        <w:t xml:space="preserve"> découlant d’une question déjà tranchée risque de compromettre l’objet du régime administratif</w:t>
      </w:r>
    </w:p>
    <w:p w:rsidR="0000152B" w:rsidRPr="00CD52B1" w:rsidRDefault="0000152B" w:rsidP="0000152B">
      <w:pPr>
        <w:pStyle w:val="ParaNoNdepar-AltN"/>
        <w:tabs>
          <w:tab w:val="clear" w:pos="1166"/>
          <w:tab w:val="num" w:pos="1152"/>
        </w:tabs>
        <w:rPr>
          <w:rFonts w:cs="Times New Roman"/>
          <w:lang w:val="fr-CA"/>
        </w:rPr>
      </w:pPr>
      <w:r w:rsidRPr="00CD52B1">
        <w:rPr>
          <w:rFonts w:eastAsia="Times New Roman" w:cs="Times New Roman"/>
          <w:szCs w:val="24"/>
          <w:lang w:val="fr-CA" w:eastAsia="en-CA"/>
        </w:rPr>
        <w:t xml:space="preserve">Une autre considération importante d’intérêt public mentionnée précédemment se soulève en l’espèce, à savoir le risque de complexité et de </w:t>
      </w:r>
      <w:proofErr w:type="gramStart"/>
      <w:r w:rsidRPr="00CD52B1">
        <w:rPr>
          <w:rFonts w:eastAsia="Times New Roman" w:cs="Times New Roman"/>
          <w:szCs w:val="24"/>
          <w:lang w:val="fr-CA" w:eastAsia="en-CA"/>
        </w:rPr>
        <w:t>longueur accrues</w:t>
      </w:r>
      <w:proofErr w:type="gramEnd"/>
      <w:r w:rsidRPr="00CD52B1">
        <w:rPr>
          <w:rFonts w:eastAsia="Times New Roman" w:cs="Times New Roman"/>
          <w:szCs w:val="24"/>
          <w:lang w:val="fr-CA" w:eastAsia="en-CA"/>
        </w:rPr>
        <w:t xml:space="preserve"> des instances administratives du fait qu’une importance excessive soit accordée à leur issue par l’</w:t>
      </w:r>
      <w:r w:rsidRPr="00CD52B1">
        <w:rPr>
          <w:rFonts w:cs="Times New Roman"/>
          <w:lang w:val="fr-CA"/>
        </w:rPr>
        <w:t xml:space="preserve">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w:t>
      </w:r>
      <w:r w:rsidRPr="00CD52B1">
        <w:rPr>
          <w:rFonts w:eastAsia="Times New Roman" w:cs="Times New Roman"/>
          <w:szCs w:val="24"/>
          <w:lang w:val="fr-CA" w:eastAsia="en-CA"/>
        </w:rPr>
        <w:t>.</w:t>
      </w:r>
      <w:r w:rsidRPr="00CD52B1">
        <w:rPr>
          <w:rFonts w:cs="Times New Roman"/>
          <w:lang w:val="fr-CA"/>
        </w:rPr>
        <w:t xml:space="preserve">  Certes, M. Penner aurait pu participer plus pleinement à l’audience qu’il ne l’a fait s’il avait retenu les services d’un avocat pour tenter d’obtenir une conclusion d’inconduite qui aurait profité à son action civile.  Or, suivre trop facilement un tel raisonnement risque de conduire à des résultats imprévus et non souhaitables.  Il se pourrait qu’ainsi le processus administratif se substitue à l’action civile intentée par M. Penner.  Si c’est non pas devant le tribunal, mais devant l’agent d’audience qu’une action en </w:t>
      </w:r>
      <w:proofErr w:type="spellStart"/>
      <w:r w:rsidRPr="00CD52B1">
        <w:rPr>
          <w:rFonts w:cs="Times New Roman"/>
          <w:lang w:val="fr-CA"/>
        </w:rPr>
        <w:t>dommages</w:t>
      </w:r>
      <w:r w:rsidRPr="00CD52B1">
        <w:rPr>
          <w:rFonts w:cs="Times New Roman"/>
          <w:lang w:val="fr-CA"/>
        </w:rPr>
        <w:noBreakHyphen/>
        <w:t>intérêts</w:t>
      </w:r>
      <w:proofErr w:type="spellEnd"/>
      <w:r w:rsidRPr="00CD52B1">
        <w:rPr>
          <w:rFonts w:cs="Times New Roman"/>
          <w:lang w:val="fr-CA"/>
        </w:rPr>
        <w:t xml:space="preserve"> se décide en fin de compte, les justiciables qui se trouvent dans la situation de M. Penner auront tout intérêt à monter un dossier très étoffé, ce qui irait à l’encontre du caractère expéditif de l’audience disciplinaire.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Dans le contexte du présent pourvoi, cela signifierait également que les agents de police, pour qui l’audience présente un enjeu important, se verraient, dans les faits, obligés de comparaître devant deux poursuivants plutôt qu’un, vu la présence du conseiller juridique du plaignant.  Nous doutons que cette situation favorise l’efficacité de l’audience disciplinaire ou l’équité envers les agents de police</w:t>
      </w:r>
      <w:r w:rsidR="00FB7A7A">
        <w:rPr>
          <w:rFonts w:cs="Times New Roman"/>
          <w:lang w:val="fr-CA"/>
        </w:rPr>
        <w:t xml:space="preserve"> dans le cadre de ce type d’audience</w:t>
      </w:r>
      <w:r w:rsidRPr="00CD52B1">
        <w:rPr>
          <w:rFonts w:cs="Times New Roman"/>
          <w:lang w:val="fr-CA"/>
        </w:rPr>
        <w:t>.  Enfin, la situation présenterait un autre risque important,</w:t>
      </w:r>
      <w:r w:rsidRPr="00CD52B1">
        <w:rPr>
          <w:rFonts w:eastAsia="Times New Roman" w:cs="Times New Roman"/>
          <w:szCs w:val="24"/>
          <w:lang w:val="fr-CA" w:eastAsia="en-CA"/>
        </w:rPr>
        <w:t xml:space="preserve"> soit celui qu’un plaignant potentiel ne s’abstienne tout simplement de déposer une plainte pour ne pas compromettre son action civile.</w:t>
      </w:r>
    </w:p>
    <w:p w:rsidR="0000152B" w:rsidRPr="00CD52B1" w:rsidRDefault="0098304E" w:rsidP="00FB7A7A">
      <w:pPr>
        <w:pStyle w:val="TitleTitre-AltT"/>
        <w:tabs>
          <w:tab w:val="clear" w:pos="360"/>
          <w:tab w:val="left" w:pos="1170"/>
        </w:tabs>
        <w:ind w:left="1800" w:hanging="1800"/>
        <w:rPr>
          <w:rFonts w:cs="Times New Roman"/>
          <w:lang w:val="fr-CA"/>
        </w:rPr>
      </w:pPr>
      <w:r>
        <w:rPr>
          <w:rFonts w:cs="Times New Roman"/>
          <w:lang w:val="fr-CA"/>
        </w:rPr>
        <w:tab/>
      </w:r>
      <w:r w:rsidR="0000152B" w:rsidRPr="00CD52B1">
        <w:rPr>
          <w:rFonts w:cs="Times New Roman"/>
          <w:lang w:val="fr-CA"/>
        </w:rPr>
        <w:t>e)</w:t>
      </w:r>
      <w:r w:rsidR="0000152B" w:rsidRPr="00CD52B1">
        <w:rPr>
          <w:rFonts w:cs="Times New Roman"/>
          <w:lang w:val="fr-CA"/>
        </w:rPr>
        <w:tab/>
      </w:r>
      <w:r w:rsidR="0000152B" w:rsidRPr="00CD52B1">
        <w:rPr>
          <w:rFonts w:cs="Times New Roman"/>
          <w:i/>
          <w:lang w:val="fr-CA"/>
        </w:rPr>
        <w:t>Le rôle du chef de police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Suivant la procédure relative aux plaintes du public prévue dans la </w:t>
      </w:r>
      <w:r w:rsidRPr="00797659">
        <w:rPr>
          <w:rFonts w:cs="Times New Roman"/>
          <w:i/>
          <w:lang w:val="fr-CA"/>
        </w:rPr>
        <w:t>LSP</w:t>
      </w:r>
      <w:r w:rsidRPr="00CD52B1">
        <w:rPr>
          <w:rFonts w:cs="Times New Roman"/>
          <w:lang w:val="fr-CA"/>
        </w:rPr>
        <w:t xml:space="preserve"> de l’époque, le chef de police faisait mener une enquête sur toute plainte et déterminait si la tenue d’une audience était justifiée.  Il nommait l’enquêteur, le poursuivant et l’agent d’audience.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Il a été reconnu que ces arrangements ne sont pas répréhensibles pour les besoins d’une audience disciplinaire (notamment dans </w:t>
      </w:r>
      <w:r w:rsidRPr="00CD52B1">
        <w:rPr>
          <w:rFonts w:cs="Times New Roman"/>
          <w:i/>
          <w:lang w:val="fr-CA"/>
        </w:rPr>
        <w:t>Sharma</w:t>
      </w:r>
      <w:r w:rsidRPr="00CD52B1">
        <w:rPr>
          <w:rFonts w:cs="Times New Roman"/>
          <w:lang w:val="fr-CA"/>
        </w:rPr>
        <w:t>).  Nous estimons toutefois que, pour évaluer s’il est équitable d’opposer l’issue du processus disciplinaire aux demandes civiles de M. Penner, il faut tenir compte du fait que cette décision a été rendue par le délégué du chef de police.  À notre avis, bien qu’il n’ait pas été présenté clairement à la Cour d’appel, ce point est important.</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En l’espèce, 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contre le plaignant a fait en sorte que le chef de police a jugé sa propre affaire; la décision de son délégué a ainsi eu pour effet de soustraire le chef de police et son service de police à toute responsabilité civile.  À notre avis, appliquer la doctrine dans ce cas choque gravement les principes fondamentaux d’équité.</w:t>
      </w:r>
    </w:p>
    <w:p w:rsidR="0000152B" w:rsidRPr="00CD52B1" w:rsidRDefault="0000152B" w:rsidP="0000152B">
      <w:pPr>
        <w:pStyle w:val="ParaNoNdepar-AltN"/>
        <w:rPr>
          <w:rFonts w:cs="Times New Roman"/>
          <w:lang w:val="fr-CA"/>
        </w:rPr>
      </w:pPr>
      <w:r w:rsidRPr="00CD52B1">
        <w:rPr>
          <w:rFonts w:cs="Times New Roman"/>
          <w:lang w:val="fr-CA"/>
        </w:rPr>
        <w:t xml:space="preserve">Il importe de préciser que l’iniquité ne découle pas de l’exercice, par le chef de police, de ses fonctions prévues par la loi.  Les parties en conviennent et, compte tenu du cadre législatif, elles ne soulèvent aucune objection liée à l’équité quant au rôle du chef de police prévu par le cadre législatif, et sont d’accord pour dire que rien ne permet d’affirmer que </w:t>
      </w:r>
      <w:proofErr w:type="spellStart"/>
      <w:r w:rsidRPr="00CD52B1">
        <w:rPr>
          <w:rFonts w:cs="Times New Roman"/>
          <w:lang w:val="fr-CA"/>
        </w:rPr>
        <w:t>celui</w:t>
      </w:r>
      <w:r w:rsidRPr="00CD52B1">
        <w:rPr>
          <w:rFonts w:cs="Times New Roman"/>
          <w:lang w:val="fr-CA"/>
        </w:rPr>
        <w:noBreakHyphen/>
        <w:t>ci</w:t>
      </w:r>
      <w:proofErr w:type="spellEnd"/>
      <w:r w:rsidRPr="00CD52B1">
        <w:rPr>
          <w:rFonts w:cs="Times New Roman"/>
          <w:lang w:val="fr-CA"/>
        </w:rPr>
        <w:t xml:space="preserve"> a erré dans l’exercice des fonctions que lui confère la loi.  De plus, aucune iniquité flagrante ne ressortirait d’une conclusion d’inconduite policière, puisqu’il s’agirait d’une décision contraire aux intérêts du chef de police ou de la commission de services policiers.  L’iniquité qui nous intéresse se manifeste seulement lorsque la décision du chef de police (ou de son délégué) concluant à l’absence d’inconduite policière dans un contexte disciplinaire est utilisée à une fin tout à fait différente, soit pour le soustraire, par le jeu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à toute responsabilité civile relativement aux mêmes faits.</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 xml:space="preserve">À notre avis, si elle avait eu la possibilité d’examiner pleinement l’importance de ces points, la Cour d’appel aurait constaté qu’appliquer cette doctrine </w:t>
      </w:r>
      <w:r w:rsidRPr="00CD52B1">
        <w:rPr>
          <w:rFonts w:cs="Times New Roman"/>
          <w:lang w:val="fr-CA"/>
        </w:rPr>
        <w:lastRenderedPageBreak/>
        <w:t>contre l’appelant dans les circonstances de l’espèce était fondamentalement inéquitable.</w:t>
      </w:r>
    </w:p>
    <w:p w:rsidR="0000152B" w:rsidRPr="00CD52B1" w:rsidRDefault="0000152B" w:rsidP="0000152B">
      <w:pPr>
        <w:pStyle w:val="TitleTitre-AltT"/>
        <w:tabs>
          <w:tab w:val="clear" w:pos="360"/>
          <w:tab w:val="left" w:pos="540"/>
        </w:tabs>
        <w:ind w:left="0" w:firstLine="0"/>
        <w:rPr>
          <w:rFonts w:cs="Times New Roman"/>
          <w:lang w:val="fr-CA"/>
        </w:rPr>
      </w:pPr>
      <w:r w:rsidRPr="00CD52B1">
        <w:rPr>
          <w:rFonts w:cs="Times New Roman"/>
          <w:lang w:val="fr-CA"/>
        </w:rPr>
        <w:t>VI.</w:t>
      </w:r>
      <w:r w:rsidRPr="00CD52B1">
        <w:rPr>
          <w:rFonts w:cs="Times New Roman"/>
          <w:lang w:val="fr-CA"/>
        </w:rPr>
        <w:tab/>
      </w:r>
      <w:r w:rsidRPr="00CD52B1">
        <w:rPr>
          <w:rFonts w:cs="Times New Roman"/>
          <w:u w:val="single"/>
          <w:lang w:val="fr-CA"/>
        </w:rPr>
        <w:t>Conclusion</w:t>
      </w:r>
    </w:p>
    <w:p w:rsidR="0000152B" w:rsidRPr="00CD52B1" w:rsidRDefault="0000152B" w:rsidP="0000152B">
      <w:pPr>
        <w:pStyle w:val="ParaNoNdepar-AltN"/>
        <w:tabs>
          <w:tab w:val="clear" w:pos="1166"/>
          <w:tab w:val="num" w:pos="1152"/>
        </w:tabs>
        <w:rPr>
          <w:rFonts w:cs="Times New Roman"/>
          <w:szCs w:val="24"/>
          <w:lang w:val="fr-CA"/>
        </w:rPr>
      </w:pPr>
      <w:r w:rsidRPr="00CD52B1">
        <w:rPr>
          <w:rFonts w:cs="Times New Roman"/>
          <w:szCs w:val="24"/>
          <w:lang w:val="fr-CA"/>
        </w:rPr>
        <w:t>La doctrine de</w:t>
      </w:r>
      <w:r w:rsidRPr="00CD52B1">
        <w:rPr>
          <w:rFonts w:cs="Times New Roman"/>
          <w:lang w:val="fr-CA"/>
        </w:rPr>
        <w:t xml:space="preserv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sert à </w:t>
      </w:r>
      <w:r w:rsidRPr="00CD52B1">
        <w:rPr>
          <w:rFonts w:cs="Times New Roman"/>
          <w:szCs w:val="24"/>
          <w:lang w:val="fr-CA"/>
        </w:rPr>
        <w:t xml:space="preserve">établir un équilibre entre le caractère définitif des décisions et l’économie des ressources d’une part, et d’autres considérations intéressant l’équité envers les parties d’autre part.  Il s’agit d’une doctrine souple qui permet au tribunal d’apprécier le caractère équitable d’une affaire donnée.  Nous ne voyons aucune raison de nous écarter de cette approche et de créer une règle d’intérêt public visant à empêcher l’application </w:t>
      </w:r>
      <w:r w:rsidRPr="00CD52B1">
        <w:rPr>
          <w:rFonts w:cs="Times New Roman"/>
          <w:lang w:val="fr-CA"/>
        </w:rPr>
        <w:t xml:space="preserve">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w:t>
      </w:r>
      <w:r w:rsidRPr="00CD52B1">
        <w:rPr>
          <w:rFonts w:cs="Times New Roman"/>
          <w:szCs w:val="24"/>
          <w:lang w:val="fr-CA"/>
        </w:rPr>
        <w:t>dans le contexte d’une plainte du public contre la police.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t>Compte tenu du régime législatif et des objets et enjeux financiers fort différents des deux types d’instance, les parties ne pouvaient pas raisonnablement envisager que l’acquittement des agents de police à l’audience disciplinaire serait déterminant quant à l’issue de l’action civile intentée par M. Penner.  Il s’agit de considérations importantes dont la Cour d’appel n’a pas tenu compte lorsqu’elle a apprécié les autres facteurs tel</w:t>
      </w:r>
      <w:r w:rsidR="006E4D26">
        <w:rPr>
          <w:rFonts w:cs="Times New Roman"/>
          <w:lang w:val="fr-CA"/>
        </w:rPr>
        <w:t>s que</w:t>
      </w:r>
      <w:r w:rsidRPr="00CD52B1">
        <w:rPr>
          <w:rFonts w:cs="Times New Roman"/>
          <w:lang w:val="fr-CA"/>
        </w:rPr>
        <w:t xml:space="preserve"> la participation de M. Penner à titre de partie et les garanties procédurales de l’instance administrative.  De plus, cette application de la </w:t>
      </w:r>
      <w:proofErr w:type="spellStart"/>
      <w:r w:rsidRPr="00CD52B1">
        <w:rPr>
          <w:rFonts w:cs="Times New Roman"/>
          <w:lang w:val="fr-CA"/>
        </w:rPr>
        <w:t>préclusion</w:t>
      </w:r>
      <w:proofErr w:type="spellEnd"/>
      <w:r w:rsidRPr="00CD52B1">
        <w:rPr>
          <w:rFonts w:cs="Times New Roman"/>
          <w:lang w:val="fr-CA"/>
        </w:rPr>
        <w:t xml:space="preserve"> a eu pour effet d’utiliser la décision rendue par le délégué du chef de police pour soustraire le chef de police à l’action civile.</w:t>
      </w:r>
    </w:p>
    <w:p w:rsidR="0000152B" w:rsidRPr="00CD52B1" w:rsidRDefault="0000152B" w:rsidP="0000152B">
      <w:pPr>
        <w:pStyle w:val="ParaNoNdepar-AltN"/>
        <w:tabs>
          <w:tab w:val="clear" w:pos="1166"/>
          <w:tab w:val="num" w:pos="1152"/>
        </w:tabs>
        <w:rPr>
          <w:rFonts w:cs="Times New Roman"/>
          <w:lang w:val="fr-CA"/>
        </w:rPr>
      </w:pPr>
      <w:r w:rsidRPr="00CD52B1">
        <w:rPr>
          <w:rFonts w:cs="Times New Roman"/>
          <w:lang w:val="fr-CA"/>
        </w:rPr>
        <w:lastRenderedPageBreak/>
        <w:t xml:space="preserve">L’application de la </w:t>
      </w:r>
      <w:proofErr w:type="spellStart"/>
      <w:r w:rsidRPr="00CD52B1">
        <w:rPr>
          <w:rFonts w:cs="Times New Roman"/>
          <w:lang w:val="fr-CA"/>
        </w:rPr>
        <w:t>préclusion</w:t>
      </w:r>
      <w:proofErr w:type="spellEnd"/>
      <w:r w:rsidRPr="00CD52B1">
        <w:rPr>
          <w:rFonts w:cs="Times New Roman"/>
          <w:lang w:val="fr-CA"/>
        </w:rPr>
        <w:t xml:space="preserve"> découlant d’une question déjà tranchée contre M. Penner pour bloque</w:t>
      </w:r>
      <w:r w:rsidR="006E4D26">
        <w:rPr>
          <w:rFonts w:cs="Times New Roman"/>
          <w:lang w:val="fr-CA"/>
        </w:rPr>
        <w:t>r son action civile en dommages-</w:t>
      </w:r>
      <w:r w:rsidRPr="00CD52B1">
        <w:rPr>
          <w:rFonts w:cs="Times New Roman"/>
          <w:lang w:val="fr-CA"/>
        </w:rPr>
        <w:t>intérêts était fondamentalement inéquitable dans les circonstances de l’espèce.</w:t>
      </w:r>
    </w:p>
    <w:p w:rsidR="0000152B" w:rsidRPr="00CD52B1" w:rsidRDefault="0000152B" w:rsidP="007B36DA">
      <w:pPr>
        <w:pStyle w:val="TitleTitre-AltT"/>
        <w:tabs>
          <w:tab w:val="clear" w:pos="360"/>
          <w:tab w:val="left" w:pos="540"/>
        </w:tabs>
        <w:ind w:left="540" w:hanging="540"/>
        <w:rPr>
          <w:rFonts w:cs="Times New Roman"/>
          <w:lang w:val="fr-CA"/>
        </w:rPr>
      </w:pPr>
      <w:r w:rsidRPr="00CD52B1">
        <w:rPr>
          <w:rFonts w:cs="Times New Roman"/>
          <w:lang w:val="fr-CA"/>
        </w:rPr>
        <w:t>VII.</w:t>
      </w:r>
      <w:r w:rsidRPr="00CD52B1">
        <w:rPr>
          <w:rFonts w:cs="Times New Roman"/>
          <w:lang w:val="fr-CA"/>
        </w:rPr>
        <w:tab/>
      </w:r>
      <w:r w:rsidRPr="00CD52B1">
        <w:rPr>
          <w:rFonts w:cs="Times New Roman"/>
          <w:u w:val="single"/>
          <w:lang w:val="fr-CA"/>
        </w:rPr>
        <w:t>Dispositif</w:t>
      </w:r>
    </w:p>
    <w:p w:rsidR="0000152B" w:rsidRPr="0000152B" w:rsidRDefault="0000152B" w:rsidP="0000152B">
      <w:pPr>
        <w:pStyle w:val="ParaNoNdepar-AltN"/>
        <w:tabs>
          <w:tab w:val="clear" w:pos="1166"/>
          <w:tab w:val="num" w:pos="1152"/>
        </w:tabs>
        <w:rPr>
          <w:rFonts w:cs="Times New Roman"/>
          <w:lang w:val="fr-CA"/>
        </w:rPr>
      </w:pPr>
      <w:r w:rsidRPr="00CD52B1">
        <w:rPr>
          <w:rFonts w:eastAsia="Times New Roman" w:cs="Times New Roman"/>
          <w:lang w:val="fr-CA"/>
        </w:rPr>
        <w:t>Nous sommes d’avis d’accueillir le pourvoi avec dépens en faveur de l’appelant dans toutes les cours.</w:t>
      </w:r>
    </w:p>
    <w:p w:rsidR="0000152B" w:rsidRPr="00797659" w:rsidRDefault="00797659" w:rsidP="0000152B">
      <w:pPr>
        <w:pStyle w:val="JudgeJuge"/>
        <w:spacing w:before="480"/>
        <w:rPr>
          <w:smallCaps w:val="0"/>
          <w:szCs w:val="24"/>
          <w:lang w:val="fr-CA"/>
        </w:rPr>
      </w:pPr>
      <w:r>
        <w:rPr>
          <w:szCs w:val="24"/>
          <w:lang w:val="fr-CA"/>
        </w:rPr>
        <w:tab/>
      </w:r>
      <w:r w:rsidRPr="00797659">
        <w:rPr>
          <w:smallCaps w:val="0"/>
          <w:szCs w:val="24"/>
          <w:lang w:val="fr-CA"/>
        </w:rPr>
        <w:t>Ver</w:t>
      </w:r>
      <w:r>
        <w:rPr>
          <w:smallCaps w:val="0"/>
          <w:szCs w:val="24"/>
          <w:lang w:val="fr-CA"/>
        </w:rPr>
        <w:t xml:space="preserve">sion française des motifs des juges </w:t>
      </w:r>
      <w:proofErr w:type="spellStart"/>
      <w:r>
        <w:rPr>
          <w:smallCaps w:val="0"/>
          <w:szCs w:val="24"/>
          <w:lang w:val="fr-CA"/>
        </w:rPr>
        <w:t>LeBel</w:t>
      </w:r>
      <w:proofErr w:type="spellEnd"/>
      <w:r>
        <w:rPr>
          <w:smallCaps w:val="0"/>
          <w:szCs w:val="24"/>
          <w:lang w:val="fr-CA"/>
        </w:rPr>
        <w:t xml:space="preserve">, Abella et </w:t>
      </w:r>
      <w:proofErr w:type="spellStart"/>
      <w:r>
        <w:rPr>
          <w:smallCaps w:val="0"/>
          <w:szCs w:val="24"/>
          <w:lang w:val="fr-CA"/>
        </w:rPr>
        <w:t>Rothstein</w:t>
      </w:r>
      <w:proofErr w:type="spellEnd"/>
      <w:r>
        <w:rPr>
          <w:smallCaps w:val="0"/>
          <w:szCs w:val="24"/>
          <w:lang w:val="fr-CA"/>
        </w:rPr>
        <w:t xml:space="preserve"> rendus par</w:t>
      </w:r>
    </w:p>
    <w:p w:rsidR="0000152B" w:rsidRPr="004C53A6" w:rsidRDefault="00797659" w:rsidP="0000152B">
      <w:pPr>
        <w:pStyle w:val="ParaNoNdepar-AltN"/>
        <w:tabs>
          <w:tab w:val="clear" w:pos="1166"/>
          <w:tab w:val="num" w:pos="1152"/>
        </w:tabs>
        <w:rPr>
          <w:rFonts w:cs="Times New Roman"/>
          <w:lang w:val="fr-CA"/>
        </w:rPr>
      </w:pPr>
      <w:r w:rsidRPr="00797659">
        <w:rPr>
          <w:smallCaps/>
          <w:szCs w:val="24"/>
          <w:lang w:val="fr-CA"/>
        </w:rPr>
        <w:t xml:space="preserve">Les juges </w:t>
      </w:r>
      <w:proofErr w:type="spellStart"/>
      <w:r w:rsidRPr="00797659">
        <w:rPr>
          <w:smallCaps/>
          <w:szCs w:val="24"/>
          <w:lang w:val="fr-CA"/>
        </w:rPr>
        <w:t>LeBel</w:t>
      </w:r>
      <w:proofErr w:type="spellEnd"/>
      <w:r w:rsidRPr="00797659">
        <w:rPr>
          <w:smallCaps/>
          <w:szCs w:val="24"/>
          <w:lang w:val="fr-CA"/>
        </w:rPr>
        <w:t xml:space="preserve"> et Abella</w:t>
      </w:r>
      <w:r>
        <w:rPr>
          <w:szCs w:val="24"/>
          <w:lang w:val="fr-CA"/>
        </w:rPr>
        <w:t xml:space="preserve"> </w:t>
      </w:r>
      <w:r w:rsidRPr="00797659">
        <w:rPr>
          <w:smallCaps/>
          <w:szCs w:val="24"/>
          <w:lang w:val="fr-CA"/>
        </w:rPr>
        <w:t>(</w:t>
      </w:r>
      <w:r>
        <w:rPr>
          <w:szCs w:val="24"/>
          <w:lang w:val="fr-CA"/>
        </w:rPr>
        <w:t>dissidents</w:t>
      </w:r>
      <w:r w:rsidRPr="00797659">
        <w:rPr>
          <w:smallCaps/>
          <w:szCs w:val="24"/>
          <w:lang w:val="fr-CA"/>
        </w:rPr>
        <w:t>)</w:t>
      </w:r>
      <w:r w:rsidRPr="004C53A6">
        <w:rPr>
          <w:szCs w:val="24"/>
          <w:lang w:val="fr-CA"/>
        </w:rPr>
        <w:t xml:space="preserve"> — </w:t>
      </w:r>
      <w:r w:rsidR="0000152B" w:rsidRPr="004C53A6">
        <w:rPr>
          <w:rFonts w:cs="Times New Roman"/>
          <w:lang w:val="fr-CA"/>
        </w:rPr>
        <w:t>Tout litige doit avoir une fin, et ce, dans l</w:t>
      </w:r>
      <w:r w:rsidR="0000152B">
        <w:rPr>
          <w:rFonts w:cs="Times New Roman"/>
          <w:lang w:val="fr-CA"/>
        </w:rPr>
        <w:t>’</w:t>
      </w:r>
      <w:r w:rsidR="0000152B" w:rsidRPr="004C53A6">
        <w:rPr>
          <w:rFonts w:cs="Times New Roman"/>
          <w:lang w:val="fr-CA"/>
        </w:rPr>
        <w:t>intérêt des parties, du système de justice et de notre société.  Le caractère définitif des litiges est un principe fondamental qui garantit l</w:t>
      </w:r>
      <w:r w:rsidR="0000152B">
        <w:rPr>
          <w:rFonts w:cs="Times New Roman"/>
          <w:lang w:val="fr-CA"/>
        </w:rPr>
        <w:t>’</w:t>
      </w:r>
      <w:r w:rsidR="0000152B" w:rsidRPr="004C53A6">
        <w:rPr>
          <w:rFonts w:cs="Times New Roman"/>
          <w:lang w:val="fr-CA"/>
        </w:rPr>
        <w:t>équité et l</w:t>
      </w:r>
      <w:r w:rsidR="0000152B">
        <w:rPr>
          <w:rFonts w:cs="Times New Roman"/>
          <w:lang w:val="fr-CA"/>
        </w:rPr>
        <w:t>’</w:t>
      </w:r>
      <w:r w:rsidR="0000152B" w:rsidRPr="004C53A6">
        <w:rPr>
          <w:rFonts w:cs="Times New Roman"/>
          <w:lang w:val="fr-CA"/>
        </w:rPr>
        <w:t xml:space="preserve">efficacité du système de justice au Canada.  La doctrine de la </w:t>
      </w:r>
      <w:proofErr w:type="spellStart"/>
      <w:r w:rsidR="0000152B" w:rsidRPr="004C53A6">
        <w:rPr>
          <w:rFonts w:cs="Times New Roman"/>
          <w:lang w:val="fr-CA"/>
        </w:rPr>
        <w:t>préclusion</w:t>
      </w:r>
      <w:proofErr w:type="spellEnd"/>
      <w:r w:rsidR="0000152B" w:rsidRPr="004C53A6">
        <w:rPr>
          <w:rFonts w:cs="Times New Roman"/>
          <w:lang w:val="fr-CA"/>
        </w:rPr>
        <w:t xml:space="preserve"> découlant d</w:t>
      </w:r>
      <w:r w:rsidR="0000152B">
        <w:rPr>
          <w:rFonts w:cs="Times New Roman"/>
          <w:lang w:val="fr-CA"/>
        </w:rPr>
        <w:t>’</w:t>
      </w:r>
      <w:r w:rsidR="0000152B" w:rsidRPr="004C53A6">
        <w:rPr>
          <w:rFonts w:cs="Times New Roman"/>
          <w:lang w:val="fr-CA"/>
        </w:rPr>
        <w:t>une question déjà tranchée vient appuyer ce principe.  Elle vise à protéger l</w:t>
      </w:r>
      <w:r w:rsidR="0000152B">
        <w:rPr>
          <w:rFonts w:cs="Times New Roman"/>
          <w:lang w:val="fr-CA"/>
        </w:rPr>
        <w:t>’</w:t>
      </w:r>
      <w:r w:rsidR="0000152B" w:rsidRPr="004C53A6">
        <w:rPr>
          <w:rFonts w:cs="Times New Roman"/>
          <w:lang w:val="fr-CA"/>
        </w:rPr>
        <w:t>attente raisonnable des parties quant à leur capacité de se fier au résultat d</w:t>
      </w:r>
      <w:r w:rsidR="0000152B">
        <w:rPr>
          <w:rFonts w:cs="Times New Roman"/>
          <w:lang w:val="fr-CA"/>
        </w:rPr>
        <w:t>’</w:t>
      </w:r>
      <w:r w:rsidR="0000152B" w:rsidRPr="004C53A6">
        <w:rPr>
          <w:rFonts w:cs="Times New Roman"/>
          <w:lang w:val="fr-CA"/>
        </w:rPr>
        <w:t>une décision rendue par un décideur habilité à trancher, peu importe que la décision ait été prise dans le contexte d</w:t>
      </w:r>
      <w:r w:rsidR="0000152B">
        <w:rPr>
          <w:rFonts w:cs="Times New Roman"/>
          <w:lang w:val="fr-CA"/>
        </w:rPr>
        <w:t>’</w:t>
      </w:r>
      <w:r w:rsidR="0000152B" w:rsidRPr="004C53A6">
        <w:rPr>
          <w:rFonts w:cs="Times New Roman"/>
          <w:lang w:val="fr-CA"/>
        </w:rPr>
        <w:t>une procédure judiciaire ou d</w:t>
      </w:r>
      <w:r w:rsidR="0000152B">
        <w:rPr>
          <w:rFonts w:cs="Times New Roman"/>
          <w:lang w:val="fr-CA"/>
        </w:rPr>
        <w:t>’</w:t>
      </w:r>
      <w:r w:rsidR="0000152B" w:rsidRPr="004C53A6">
        <w:rPr>
          <w:rFonts w:cs="Times New Roman"/>
          <w:lang w:val="fr-CA"/>
        </w:rPr>
        <w:t>une procédure administrative.  L</w:t>
      </w:r>
      <w:r w:rsidR="0000152B">
        <w:rPr>
          <w:rFonts w:cs="Times New Roman"/>
          <w:lang w:val="fr-CA"/>
        </w:rPr>
        <w:t>’</w:t>
      </w:r>
      <w:r w:rsidR="0000152B" w:rsidRPr="004C53A6">
        <w:rPr>
          <w:rFonts w:cs="Times New Roman"/>
          <w:lang w:val="fr-CA"/>
        </w:rPr>
        <w:t>objet peut varier d</w:t>
      </w:r>
      <w:r w:rsidR="0000152B">
        <w:rPr>
          <w:rFonts w:cs="Times New Roman"/>
          <w:lang w:val="fr-CA"/>
        </w:rPr>
        <w:t>’</w:t>
      </w:r>
      <w:r w:rsidR="0000152B" w:rsidRPr="004C53A6">
        <w:rPr>
          <w:rFonts w:cs="Times New Roman"/>
          <w:lang w:val="fr-CA"/>
        </w:rPr>
        <w:t>une instance à l</w:t>
      </w:r>
      <w:r w:rsidR="0000152B">
        <w:rPr>
          <w:rFonts w:cs="Times New Roman"/>
          <w:lang w:val="fr-CA"/>
        </w:rPr>
        <w:t>’</w:t>
      </w:r>
      <w:r w:rsidR="0000152B" w:rsidRPr="004C53A6">
        <w:rPr>
          <w:rFonts w:cs="Times New Roman"/>
          <w:lang w:val="fr-CA"/>
        </w:rPr>
        <w:t>autre, tout comme les procédures applicables, mais le principe du caractère définitif des litiges doit être maintenu.</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Le présent pourvoi porte sur l</w:t>
      </w:r>
      <w:r>
        <w:rPr>
          <w:rFonts w:cs="Times New Roman"/>
          <w:szCs w:val="24"/>
          <w:lang w:val="fr-CA"/>
        </w:rPr>
        <w:t>’</w:t>
      </w:r>
      <w:r w:rsidRPr="004C53A6">
        <w:rPr>
          <w:rFonts w:cs="Times New Roman"/>
          <w:szCs w:val="24"/>
          <w:lang w:val="fr-CA"/>
        </w:rPr>
        <w:t>approche à adopter quant à l</w:t>
      </w:r>
      <w:r>
        <w:rPr>
          <w:rFonts w:cs="Times New Roman"/>
          <w:szCs w:val="24"/>
          <w:lang w:val="fr-CA"/>
        </w:rPr>
        <w:t>’</w:t>
      </w:r>
      <w:r w:rsidRPr="004C53A6">
        <w:rPr>
          <w:rFonts w:cs="Times New Roman"/>
          <w:szCs w:val="24"/>
          <w:lang w:val="fr-CA"/>
        </w:rPr>
        <w:t xml:space="preserve">application discrétionnaire de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lorsqu</w:t>
      </w:r>
      <w:r>
        <w:rPr>
          <w:rFonts w:cs="Times New Roman"/>
          <w:szCs w:val="24"/>
          <w:lang w:val="fr-CA"/>
        </w:rPr>
        <w:t>’</w:t>
      </w:r>
      <w:r w:rsidRPr="004C53A6">
        <w:rPr>
          <w:rFonts w:cs="Times New Roman"/>
          <w:szCs w:val="24"/>
          <w:lang w:val="fr-CA"/>
        </w:rPr>
        <w:t>une question a déjà été tranchée dans le contexte d</w:t>
      </w:r>
      <w:r>
        <w:rPr>
          <w:rFonts w:cs="Times New Roman"/>
          <w:szCs w:val="24"/>
          <w:lang w:val="fr-CA"/>
        </w:rPr>
        <w:t>’</w:t>
      </w:r>
      <w:r w:rsidRPr="004C53A6">
        <w:rPr>
          <w:rFonts w:cs="Times New Roman"/>
          <w:szCs w:val="24"/>
          <w:lang w:val="fr-CA"/>
        </w:rPr>
        <w:t>une procédure administrative intentée antérieurement au sujet de la conduite d</w:t>
      </w:r>
      <w:r>
        <w:rPr>
          <w:rFonts w:cs="Times New Roman"/>
          <w:szCs w:val="24"/>
          <w:lang w:val="fr-CA"/>
        </w:rPr>
        <w:t>’</w:t>
      </w:r>
      <w:r w:rsidRPr="004C53A6">
        <w:rPr>
          <w:rFonts w:cs="Times New Roman"/>
          <w:szCs w:val="24"/>
          <w:lang w:val="fr-CA"/>
        </w:rPr>
        <w:t xml:space="preserve">un policier.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La Cour s</w:t>
      </w:r>
      <w:r>
        <w:rPr>
          <w:rFonts w:cs="Times New Roman"/>
          <w:szCs w:val="24"/>
          <w:lang w:val="fr-CA"/>
        </w:rPr>
        <w:t>’</w:t>
      </w:r>
      <w:r w:rsidRPr="004C53A6">
        <w:rPr>
          <w:rFonts w:cs="Times New Roman"/>
          <w:szCs w:val="24"/>
          <w:lang w:val="fr-CA"/>
        </w:rPr>
        <w:t>est penchée sur cette question le plus récemment en 2011, dans l</w:t>
      </w:r>
      <w:r>
        <w:rPr>
          <w:rFonts w:cs="Times New Roman"/>
          <w:szCs w:val="24"/>
          <w:lang w:val="fr-CA"/>
        </w:rPr>
        <w:t>’</w:t>
      </w:r>
      <w:r w:rsidRPr="004C53A6">
        <w:rPr>
          <w:rFonts w:cs="Times New Roman"/>
          <w:szCs w:val="24"/>
          <w:lang w:val="fr-CA"/>
        </w:rPr>
        <w:t xml:space="preserve">arrêt </w:t>
      </w:r>
      <w:proofErr w:type="spellStart"/>
      <w:r w:rsidRPr="004C53A6">
        <w:rPr>
          <w:rFonts w:cs="Times New Roman"/>
          <w:i/>
          <w:szCs w:val="24"/>
          <w:lang w:val="fr-CA"/>
        </w:rPr>
        <w:t>Colombie</w:t>
      </w:r>
      <w:r w:rsidRPr="004C53A6">
        <w:rPr>
          <w:rFonts w:cs="Times New Roman"/>
          <w:i/>
          <w:szCs w:val="24"/>
          <w:lang w:val="fr-CA"/>
        </w:rPr>
        <w:noBreakHyphen/>
        <w:t>Britannique</w:t>
      </w:r>
      <w:proofErr w:type="spellEnd"/>
      <w:r w:rsidRPr="004C53A6">
        <w:rPr>
          <w:rFonts w:cs="Times New Roman"/>
          <w:i/>
          <w:szCs w:val="24"/>
          <w:lang w:val="fr-CA"/>
        </w:rPr>
        <w:t xml:space="preserve"> (</w:t>
      </w:r>
      <w:proofErr w:type="spellStart"/>
      <w:r w:rsidRPr="004C53A6">
        <w:rPr>
          <w:rFonts w:cs="Times New Roman"/>
          <w:i/>
          <w:szCs w:val="24"/>
          <w:lang w:val="fr-CA"/>
        </w:rPr>
        <w:t>Workers</w:t>
      </w:r>
      <w:proofErr w:type="spellEnd"/>
      <w:r>
        <w:rPr>
          <w:rFonts w:cs="Times New Roman"/>
          <w:i/>
          <w:szCs w:val="24"/>
          <w:lang w:val="fr-CA"/>
        </w:rPr>
        <w:t>’</w:t>
      </w:r>
      <w:r w:rsidRPr="004C53A6">
        <w:rPr>
          <w:rFonts w:cs="Times New Roman"/>
          <w:i/>
          <w:szCs w:val="24"/>
          <w:lang w:val="fr-CA"/>
        </w:rPr>
        <w:t xml:space="preserve"> Compensation </w:t>
      </w:r>
      <w:proofErr w:type="spellStart"/>
      <w:r w:rsidRPr="004C53A6">
        <w:rPr>
          <w:rFonts w:cs="Times New Roman"/>
          <w:i/>
          <w:szCs w:val="24"/>
          <w:lang w:val="fr-CA"/>
        </w:rPr>
        <w:t>Board</w:t>
      </w:r>
      <w:proofErr w:type="spellEnd"/>
      <w:r w:rsidRPr="004C53A6">
        <w:rPr>
          <w:rFonts w:cs="Times New Roman"/>
          <w:i/>
          <w:szCs w:val="24"/>
          <w:lang w:val="fr-CA"/>
        </w:rPr>
        <w:t xml:space="preserve">) c.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2011 CSC 52, [2011] 3 R.C.S. 422.  Ce précédent régit donc l</w:t>
      </w:r>
      <w:r>
        <w:rPr>
          <w:rFonts w:cs="Times New Roman"/>
          <w:szCs w:val="24"/>
          <w:lang w:val="fr-CA"/>
        </w:rPr>
        <w:t>’</w:t>
      </w:r>
      <w:r w:rsidRPr="004C53A6">
        <w:rPr>
          <w:rFonts w:cs="Times New Roman"/>
          <w:szCs w:val="24"/>
          <w:lang w:val="fr-CA"/>
        </w:rPr>
        <w:t>application de la doctrine en l</w:t>
      </w:r>
      <w:r>
        <w:rPr>
          <w:rFonts w:cs="Times New Roman"/>
          <w:szCs w:val="24"/>
          <w:lang w:val="fr-CA"/>
        </w:rPr>
        <w:t>’</w:t>
      </w:r>
      <w:r w:rsidRPr="004C53A6">
        <w:rPr>
          <w:rFonts w:cs="Times New Roman"/>
          <w:szCs w:val="24"/>
          <w:lang w:val="fr-CA"/>
        </w:rPr>
        <w:t xml:space="preserve">espèce.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élément essentiel pertinent de ce jugement se retrouve dans la distance qu</w:t>
      </w:r>
      <w:r>
        <w:rPr>
          <w:rFonts w:cs="Times New Roman"/>
          <w:szCs w:val="24"/>
          <w:lang w:val="fr-CA"/>
        </w:rPr>
        <w:t>’</w:t>
      </w:r>
      <w:r w:rsidRPr="004C53A6">
        <w:rPr>
          <w:rFonts w:cs="Times New Roman"/>
          <w:szCs w:val="24"/>
          <w:lang w:val="fr-CA"/>
        </w:rPr>
        <w:t>il a prise par rapport à l</w:t>
      </w:r>
      <w:r>
        <w:rPr>
          <w:rFonts w:cs="Times New Roman"/>
          <w:szCs w:val="24"/>
          <w:lang w:val="fr-CA"/>
        </w:rPr>
        <w:t>’</w:t>
      </w:r>
      <w:r w:rsidRPr="004C53A6">
        <w:rPr>
          <w:rFonts w:cs="Times New Roman"/>
          <w:szCs w:val="24"/>
          <w:lang w:val="fr-CA"/>
        </w:rPr>
        <w:t xml:space="preserve">approche préconisée dans </w:t>
      </w:r>
      <w:proofErr w:type="spellStart"/>
      <w:r w:rsidRPr="004C53A6">
        <w:rPr>
          <w:rFonts w:cs="Times New Roman"/>
          <w:i/>
          <w:szCs w:val="24"/>
          <w:lang w:val="fr-CA"/>
        </w:rPr>
        <w:t>Danyluk</w:t>
      </w:r>
      <w:proofErr w:type="spellEnd"/>
      <w:r w:rsidRPr="004C53A6">
        <w:rPr>
          <w:rFonts w:cs="Times New Roman"/>
          <w:i/>
          <w:szCs w:val="24"/>
          <w:lang w:val="fr-CA"/>
        </w:rPr>
        <w:t xml:space="preserve"> c. Ainsworth Technologies Inc.</w:t>
      </w:r>
      <w:r w:rsidRPr="004C53A6">
        <w:rPr>
          <w:rFonts w:cs="Times New Roman"/>
          <w:szCs w:val="24"/>
          <w:lang w:val="fr-CA"/>
        </w:rPr>
        <w:t>, 2001 CSC 44, [2001] 2 R.C.S. 460, où la Cour a énoncé un test différent quant à l</w:t>
      </w:r>
      <w:r>
        <w:rPr>
          <w:rFonts w:cs="Times New Roman"/>
          <w:szCs w:val="24"/>
          <w:lang w:val="fr-CA"/>
        </w:rPr>
        <w:t>’</w:t>
      </w:r>
      <w:r w:rsidRPr="004C53A6">
        <w:rPr>
          <w:rFonts w:cs="Times New Roman"/>
          <w:szCs w:val="24"/>
          <w:lang w:val="fr-CA"/>
        </w:rPr>
        <w:t xml:space="preserve">application discrétionnaire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dans le contexte des décisions administratives.  Ce faisant, </w:t>
      </w:r>
      <w:proofErr w:type="spellStart"/>
      <w:r w:rsidRPr="004C53A6">
        <w:rPr>
          <w:rFonts w:cs="Times New Roman"/>
          <w:i/>
          <w:szCs w:val="24"/>
          <w:lang w:val="fr-CA"/>
        </w:rPr>
        <w:t>Danyluk</w:t>
      </w:r>
      <w:proofErr w:type="spellEnd"/>
      <w:r w:rsidRPr="004C53A6">
        <w:rPr>
          <w:rFonts w:cs="Times New Roman"/>
          <w:szCs w:val="24"/>
          <w:lang w:val="fr-CA"/>
        </w:rPr>
        <w:t xml:space="preserve"> précisait que l</w:t>
      </w:r>
      <w:r>
        <w:rPr>
          <w:rFonts w:cs="Times New Roman"/>
          <w:szCs w:val="24"/>
          <w:lang w:val="fr-CA"/>
        </w:rPr>
        <w:t>’</w:t>
      </w:r>
      <w:r w:rsidRPr="004C53A6">
        <w:rPr>
          <w:rFonts w:cs="Times New Roman"/>
          <w:szCs w:val="24"/>
          <w:lang w:val="fr-CA"/>
        </w:rPr>
        <w:t>approche devait être fondée sur « l</w:t>
      </w:r>
      <w:r>
        <w:rPr>
          <w:rFonts w:cs="Times New Roman"/>
          <w:szCs w:val="24"/>
          <w:lang w:val="fr-CA"/>
        </w:rPr>
        <w:t>’</w:t>
      </w:r>
      <w:r w:rsidRPr="004C53A6">
        <w:rPr>
          <w:rFonts w:cs="Times New Roman"/>
          <w:szCs w:val="24"/>
          <w:lang w:val="fr-CA"/>
        </w:rPr>
        <w:t>équité » et a énuméré un certain nombre de facteurs à prendre en considération pour juger de l</w:t>
      </w:r>
      <w:r>
        <w:rPr>
          <w:rFonts w:cs="Times New Roman"/>
          <w:szCs w:val="24"/>
          <w:lang w:val="fr-CA"/>
        </w:rPr>
        <w:t>’</w:t>
      </w:r>
      <w:r w:rsidRPr="004C53A6">
        <w:rPr>
          <w:rFonts w:cs="Times New Roman"/>
          <w:szCs w:val="24"/>
          <w:lang w:val="fr-CA"/>
        </w:rPr>
        <w:t xml:space="preserve">« équité » appliquée.  Selon nous, ces facteurs ne peuvent plus jouer le même rôle, et on ne saurait continuer à leur accorder le même poids, compte tenu de la jurisprudence subséquente de la Cour, à commencer par </w:t>
      </w:r>
      <w:proofErr w:type="spellStart"/>
      <w:r w:rsidRPr="004C53A6">
        <w:rPr>
          <w:rFonts w:cs="Times New Roman"/>
          <w:i/>
          <w:szCs w:val="24"/>
          <w:lang w:val="fr-CA"/>
        </w:rPr>
        <w:t>Dunsmuir</w:t>
      </w:r>
      <w:proofErr w:type="spellEnd"/>
      <w:r w:rsidRPr="004C53A6">
        <w:rPr>
          <w:rFonts w:cs="Times New Roman"/>
          <w:i/>
          <w:szCs w:val="24"/>
          <w:lang w:val="fr-CA"/>
        </w:rPr>
        <w:t xml:space="preserve"> c. N</w:t>
      </w:r>
      <w:r w:rsidR="00292F06">
        <w:rPr>
          <w:rFonts w:cs="Times New Roman"/>
          <w:i/>
          <w:szCs w:val="24"/>
          <w:lang w:val="fr-CA"/>
        </w:rPr>
        <w:t>ouveau-</w:t>
      </w:r>
      <w:r w:rsidRPr="004C53A6">
        <w:rPr>
          <w:rFonts w:cs="Times New Roman"/>
          <w:i/>
          <w:szCs w:val="24"/>
          <w:lang w:val="fr-CA"/>
        </w:rPr>
        <w:t>Brunswick</w:t>
      </w:r>
      <w:r w:rsidRPr="004C53A6">
        <w:rPr>
          <w:rFonts w:cs="Times New Roman"/>
          <w:szCs w:val="24"/>
          <w:lang w:val="fr-CA"/>
        </w:rPr>
        <w:t xml:space="preserve">, 2008 CSC 9, [2008] 1 R.C.S. 190.  En effet, la pertinence de ces facteurs a été considérablement limitée par la jurisprudence en question.  Par exemple, le facteur de la violation des règles de justice naturelle, dégagé à partir des différences de nature </w:t>
      </w:r>
      <w:r w:rsidRPr="004C53A6">
        <w:rPr>
          <w:rFonts w:cs="Times New Roman"/>
          <w:szCs w:val="24"/>
          <w:lang w:val="fr-CA"/>
        </w:rPr>
        <w:lastRenderedPageBreak/>
        <w:t>procédurale entre les cours et les tribunaux administratifs ainsi que de celle relative à l</w:t>
      </w:r>
      <w:r>
        <w:rPr>
          <w:rFonts w:cs="Times New Roman"/>
          <w:szCs w:val="24"/>
          <w:lang w:val="fr-CA"/>
        </w:rPr>
        <w:t>’</w:t>
      </w:r>
      <w:r w:rsidRPr="004C53A6">
        <w:rPr>
          <w:rFonts w:cs="Times New Roman"/>
          <w:szCs w:val="24"/>
          <w:lang w:val="fr-CA"/>
        </w:rPr>
        <w:t xml:space="preserve">expertise du décideur, porte principalement à des concepts écartés par la Cour dans </w:t>
      </w:r>
      <w:proofErr w:type="spellStart"/>
      <w:r w:rsidRPr="004C53A6">
        <w:rPr>
          <w:rFonts w:cs="Times New Roman"/>
          <w:i/>
          <w:szCs w:val="24"/>
          <w:lang w:val="fr-CA"/>
        </w:rPr>
        <w:t>Dunsmuir</w:t>
      </w:r>
      <w:proofErr w:type="spellEnd"/>
      <w:r w:rsidRPr="004C53A6">
        <w:rPr>
          <w:rFonts w:cs="Times New Roman"/>
          <w:szCs w:val="24"/>
          <w:lang w:val="fr-CA"/>
        </w:rPr>
        <w:t xml:space="preserve"> et dans </w:t>
      </w:r>
      <w:r w:rsidRPr="004C53A6">
        <w:rPr>
          <w:rFonts w:cs="Times New Roman"/>
          <w:i/>
          <w:szCs w:val="24"/>
          <w:lang w:val="fr-CA"/>
        </w:rPr>
        <w:t>Smith c. Alliance Pipeline Ltd.</w:t>
      </w:r>
      <w:r w:rsidRPr="004C53A6">
        <w:rPr>
          <w:rFonts w:cs="Times New Roman"/>
          <w:szCs w:val="24"/>
          <w:lang w:val="fr-CA"/>
        </w:rPr>
        <w:t>, 2011 CSC 7, [2011] 1 R.C.S. 160.  Quant aux facteurs relatifs au libellé et à l</w:t>
      </w:r>
      <w:r>
        <w:rPr>
          <w:rFonts w:cs="Times New Roman"/>
          <w:szCs w:val="24"/>
          <w:lang w:val="fr-CA"/>
        </w:rPr>
        <w:t>’</w:t>
      </w:r>
      <w:r w:rsidRPr="004C53A6">
        <w:rPr>
          <w:rFonts w:cs="Times New Roman"/>
          <w:szCs w:val="24"/>
          <w:lang w:val="fr-CA"/>
        </w:rPr>
        <w:t>objet du texte législatif, on y réfère désormais en parlant du mandat du tribunal</w:t>
      </w:r>
      <w:r w:rsidR="00797659">
        <w:rPr>
          <w:rFonts w:cs="Times New Roman"/>
          <w:szCs w:val="24"/>
          <w:lang w:val="fr-CA"/>
        </w:rPr>
        <w:t> </w:t>
      </w:r>
      <w:r w:rsidR="007B36DA">
        <w:rPr>
          <w:rFonts w:cs="Times New Roman"/>
          <w:szCs w:val="24"/>
          <w:lang w:val="fr-CA"/>
        </w:rPr>
        <w:t>(</w:t>
      </w:r>
      <w:r w:rsidRPr="004C53A6">
        <w:rPr>
          <w:rFonts w:cs="Times New Roman"/>
          <w:i/>
          <w:szCs w:val="24"/>
          <w:lang w:val="fr-CA"/>
        </w:rPr>
        <w:t>Canada (Commission canadienne des droits de la personne) c. Canada (Procureur général)</w:t>
      </w:r>
      <w:r w:rsidR="00797659">
        <w:rPr>
          <w:rFonts w:cs="Times New Roman"/>
          <w:szCs w:val="24"/>
          <w:lang w:val="fr-CA"/>
        </w:rPr>
        <w:t>, 2011 CSC</w:t>
      </w:r>
      <w:r w:rsidRPr="004C53A6">
        <w:rPr>
          <w:rFonts w:cs="Times New Roman"/>
          <w:szCs w:val="24"/>
          <w:lang w:val="fr-CA"/>
        </w:rPr>
        <w:t xml:space="preserve"> 53, [2011] 3 R.C.S. 471</w:t>
      </w:r>
      <w:r w:rsidR="007B36DA">
        <w:rPr>
          <w:rFonts w:cs="Times New Roman"/>
          <w:szCs w:val="24"/>
          <w:lang w:val="fr-CA"/>
        </w:rPr>
        <w:t>)</w:t>
      </w:r>
      <w:r w:rsidRPr="004C53A6">
        <w:rPr>
          <w:rFonts w:cs="Times New Roman"/>
          <w:szCs w:val="24"/>
          <w:lang w:val="fr-CA"/>
        </w:rPr>
        <w:t>.</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approche que préconisent nos collègues est non seulement incompatible avec l</w:t>
      </w:r>
      <w:r>
        <w:rPr>
          <w:rFonts w:cs="Times New Roman"/>
          <w:szCs w:val="24"/>
          <w:lang w:val="fr-CA"/>
        </w:rPr>
        <w:t>’</w:t>
      </w:r>
      <w:r w:rsidRPr="004C53A6">
        <w:rPr>
          <w:rFonts w:cs="Times New Roman"/>
          <w:szCs w:val="24"/>
          <w:lang w:val="fr-CA"/>
        </w:rPr>
        <w:t>évolution récente du droit relatif au contrôle judiciaire, elle pose aussi des difficultés potentielles dans la branche de ce domaine du droit relative à l</w:t>
      </w:r>
      <w:r>
        <w:rPr>
          <w:rFonts w:cs="Times New Roman"/>
          <w:szCs w:val="24"/>
          <w:lang w:val="fr-CA"/>
        </w:rPr>
        <w:t>’</w:t>
      </w:r>
      <w:r w:rsidRPr="004C53A6">
        <w:rPr>
          <w:rFonts w:cs="Times New Roman"/>
          <w:szCs w:val="24"/>
          <w:lang w:val="fr-CA"/>
        </w:rPr>
        <w:t>équité procédurale.  Dans la mesure où un processus est jugé inéquitable, sur la base des principes de justice naturelle, la façon correcte de l</w:t>
      </w:r>
      <w:r>
        <w:rPr>
          <w:rFonts w:cs="Times New Roman"/>
          <w:szCs w:val="24"/>
          <w:lang w:val="fr-CA"/>
        </w:rPr>
        <w:t>’</w:t>
      </w:r>
      <w:r w:rsidRPr="004C53A6">
        <w:rPr>
          <w:rFonts w:cs="Times New Roman"/>
          <w:szCs w:val="24"/>
          <w:lang w:val="fr-CA"/>
        </w:rPr>
        <w:t>attaquer consisterait à le contester directement sur la base de ces principes.  De plus, la position de nos collègues ignore possiblement la capacité des législateurs de concevoir des processus administratifs et de définir la nature et les limites de l</w:t>
      </w:r>
      <w:r>
        <w:rPr>
          <w:rFonts w:cs="Times New Roman"/>
          <w:szCs w:val="24"/>
          <w:lang w:val="fr-CA"/>
        </w:rPr>
        <w:t>’</w:t>
      </w:r>
      <w:r w:rsidRPr="004C53A6">
        <w:rPr>
          <w:rFonts w:cs="Times New Roman"/>
          <w:szCs w:val="24"/>
          <w:lang w:val="fr-CA"/>
        </w:rPr>
        <w:t>équité procédurale en l</w:t>
      </w:r>
      <w:r>
        <w:rPr>
          <w:rFonts w:cs="Times New Roman"/>
          <w:szCs w:val="24"/>
          <w:lang w:val="fr-CA"/>
        </w:rPr>
        <w:t>’</w:t>
      </w:r>
      <w:r w:rsidRPr="004C53A6">
        <w:rPr>
          <w:rFonts w:cs="Times New Roman"/>
          <w:szCs w:val="24"/>
          <w:lang w:val="fr-CA"/>
        </w:rPr>
        <w:t>absence de considérations constitutionnelles.  Finalement, des problèmes importants d</w:t>
      </w:r>
      <w:r>
        <w:rPr>
          <w:rFonts w:cs="Times New Roman"/>
          <w:szCs w:val="24"/>
          <w:lang w:val="fr-CA"/>
        </w:rPr>
        <w:t>’</w:t>
      </w:r>
      <w:r w:rsidRPr="004C53A6">
        <w:rPr>
          <w:rFonts w:cs="Times New Roman"/>
          <w:szCs w:val="24"/>
          <w:lang w:val="fr-CA"/>
        </w:rPr>
        <w:t>accès à la justice tant civile que criminelle se posent pour le système de justice.  Soutenir que le modèle traditionnel de justice civile et criminelle constitue la norme par excellence à l</w:t>
      </w:r>
      <w:r>
        <w:rPr>
          <w:rFonts w:cs="Times New Roman"/>
          <w:szCs w:val="24"/>
          <w:lang w:val="fr-CA"/>
        </w:rPr>
        <w:t>’</w:t>
      </w:r>
      <w:r w:rsidRPr="004C53A6">
        <w:rPr>
          <w:rFonts w:cs="Times New Roman"/>
          <w:szCs w:val="24"/>
          <w:lang w:val="fr-CA"/>
        </w:rPr>
        <w:t>aune de laquelle il faut juger de l</w:t>
      </w:r>
      <w:r>
        <w:rPr>
          <w:rFonts w:cs="Times New Roman"/>
          <w:szCs w:val="24"/>
          <w:lang w:val="fr-CA"/>
        </w:rPr>
        <w:t>’</w:t>
      </w:r>
      <w:r w:rsidRPr="004C53A6">
        <w:rPr>
          <w:rFonts w:cs="Times New Roman"/>
          <w:szCs w:val="24"/>
          <w:lang w:val="fr-CA"/>
        </w:rPr>
        <w:t>équité de la justice administrative ne sert clairement pas les besoins actuels d</w:t>
      </w:r>
      <w:r>
        <w:rPr>
          <w:rFonts w:cs="Times New Roman"/>
          <w:szCs w:val="24"/>
          <w:lang w:val="fr-CA"/>
        </w:rPr>
        <w:t>’</w:t>
      </w:r>
      <w:r w:rsidRPr="004C53A6">
        <w:rPr>
          <w:rFonts w:cs="Times New Roman"/>
          <w:szCs w:val="24"/>
          <w:lang w:val="fr-CA"/>
        </w:rPr>
        <w:t>un point de vue de politique juridique.</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 xml:space="preserve">Les « principes jumeaux » qui </w:t>
      </w:r>
      <w:proofErr w:type="spellStart"/>
      <w:r w:rsidRPr="004C53A6">
        <w:rPr>
          <w:rFonts w:cs="Times New Roman"/>
          <w:szCs w:val="24"/>
          <w:lang w:val="fr-CA"/>
        </w:rPr>
        <w:t>sous</w:t>
      </w:r>
      <w:r w:rsidRPr="004C53A6">
        <w:rPr>
          <w:rFonts w:cs="Times New Roman"/>
          <w:szCs w:val="24"/>
          <w:lang w:val="fr-CA"/>
        </w:rPr>
        <w:noBreakHyphen/>
        <w:t>tendent</w:t>
      </w:r>
      <w:proofErr w:type="spellEnd"/>
      <w:r w:rsidRPr="004C53A6">
        <w:rPr>
          <w:rFonts w:cs="Times New Roman"/>
          <w:szCs w:val="24"/>
          <w:lang w:val="fr-CA"/>
        </w:rPr>
        <w:t xml:space="preserv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 soit que </w:t>
      </w:r>
      <w:r w:rsidRPr="004C53A6">
        <w:rPr>
          <w:smallCaps/>
          <w:szCs w:val="24"/>
          <w:lang w:val="fr-CA"/>
        </w:rPr>
        <w:t>[traduction]</w:t>
      </w:r>
      <w:r w:rsidRPr="004C53A6">
        <w:rPr>
          <w:szCs w:val="24"/>
          <w:lang w:val="fr-CA"/>
        </w:rPr>
        <w:t xml:space="preserve"> </w:t>
      </w:r>
      <w:r w:rsidRPr="004C53A6">
        <w:rPr>
          <w:rFonts w:cs="Times New Roman"/>
          <w:szCs w:val="24"/>
          <w:lang w:val="fr-CA"/>
        </w:rPr>
        <w:t>« tout litige doit avoir une fin et</w:t>
      </w:r>
      <w:r w:rsidR="004C44F1">
        <w:rPr>
          <w:rFonts w:cs="Times New Roman"/>
          <w:szCs w:val="24"/>
          <w:lang w:val="fr-CA"/>
        </w:rPr>
        <w:t xml:space="preserve"> [. . .] que la même partie ne d</w:t>
      </w:r>
      <w:r w:rsidRPr="004C53A6">
        <w:rPr>
          <w:rFonts w:cs="Times New Roman"/>
          <w:szCs w:val="24"/>
          <w:lang w:val="fr-CA"/>
        </w:rPr>
        <w:t>oit pas</w:t>
      </w:r>
      <w:r w:rsidR="004C44F1">
        <w:rPr>
          <w:rFonts w:cs="Times New Roman"/>
          <w:szCs w:val="24"/>
          <w:lang w:val="fr-CA"/>
        </w:rPr>
        <w:t xml:space="preserve"> être</w:t>
      </w:r>
      <w:r w:rsidRPr="004C53A6">
        <w:rPr>
          <w:rFonts w:cs="Times New Roman"/>
          <w:szCs w:val="24"/>
          <w:lang w:val="fr-CA"/>
        </w:rPr>
        <w:t xml:space="preserve"> harassée deux fois pour la même cause » (</w:t>
      </w:r>
      <w:r w:rsidRPr="004C53A6">
        <w:rPr>
          <w:rFonts w:cs="Times New Roman"/>
          <w:i/>
          <w:szCs w:val="24"/>
          <w:lang w:val="fr-CA"/>
        </w:rPr>
        <w:t xml:space="preserve">Carl Zeiss </w:t>
      </w:r>
      <w:proofErr w:type="spellStart"/>
      <w:r w:rsidRPr="004C53A6">
        <w:rPr>
          <w:rFonts w:cs="Times New Roman"/>
          <w:i/>
          <w:szCs w:val="24"/>
          <w:lang w:val="fr-CA"/>
        </w:rPr>
        <w:t>Stiftung</w:t>
      </w:r>
      <w:proofErr w:type="spellEnd"/>
      <w:r w:rsidRPr="004C53A6">
        <w:rPr>
          <w:rFonts w:cs="Times New Roman"/>
          <w:i/>
          <w:szCs w:val="24"/>
          <w:lang w:val="fr-CA"/>
        </w:rPr>
        <w:t xml:space="preserve"> c. </w:t>
      </w:r>
      <w:proofErr w:type="spellStart"/>
      <w:r w:rsidRPr="004C53A6">
        <w:rPr>
          <w:rFonts w:cs="Times New Roman"/>
          <w:i/>
          <w:szCs w:val="24"/>
          <w:lang w:val="fr-CA"/>
        </w:rPr>
        <w:t>Rayner</w:t>
      </w:r>
      <w:proofErr w:type="spellEnd"/>
      <w:r w:rsidRPr="004C53A6">
        <w:rPr>
          <w:rFonts w:cs="Times New Roman"/>
          <w:i/>
          <w:szCs w:val="24"/>
          <w:lang w:val="fr-CA"/>
        </w:rPr>
        <w:t xml:space="preserve"> &amp; </w:t>
      </w:r>
      <w:proofErr w:type="spellStart"/>
      <w:r w:rsidRPr="004C53A6">
        <w:rPr>
          <w:rFonts w:cs="Times New Roman"/>
          <w:i/>
          <w:szCs w:val="24"/>
          <w:lang w:val="fr-CA"/>
        </w:rPr>
        <w:t>Keeler</w:t>
      </w:r>
      <w:proofErr w:type="spellEnd"/>
      <w:r w:rsidRPr="004C53A6">
        <w:rPr>
          <w:rFonts w:cs="Times New Roman"/>
          <w:i/>
          <w:szCs w:val="24"/>
          <w:lang w:val="fr-CA"/>
        </w:rPr>
        <w:t xml:space="preserve"> Ltd. (No. 2)</w:t>
      </w:r>
      <w:r w:rsidRPr="004C53A6">
        <w:rPr>
          <w:rFonts w:cs="Times New Roman"/>
          <w:szCs w:val="24"/>
          <w:lang w:val="fr-CA"/>
        </w:rPr>
        <w:t>, [1967] 1 A.C. 853 (H.L.), p. 946) — constituent des principes fondamentaux qui visent avant tout l</w:t>
      </w:r>
      <w:r>
        <w:rPr>
          <w:rFonts w:cs="Times New Roman"/>
          <w:szCs w:val="24"/>
          <w:lang w:val="fr-CA"/>
        </w:rPr>
        <w:t>’</w:t>
      </w:r>
      <w:r w:rsidRPr="004C53A6">
        <w:rPr>
          <w:rFonts w:cs="Times New Roman"/>
          <w:szCs w:val="24"/>
          <w:lang w:val="fr-CA"/>
        </w:rPr>
        <w:t>atteinte de l</w:t>
      </w:r>
      <w:r>
        <w:rPr>
          <w:rFonts w:cs="Times New Roman"/>
          <w:szCs w:val="24"/>
          <w:lang w:val="fr-CA"/>
        </w:rPr>
        <w:t>’</w:t>
      </w:r>
      <w:r w:rsidRPr="004C53A6">
        <w:rPr>
          <w:rFonts w:cs="Times New Roman"/>
          <w:szCs w:val="24"/>
          <w:lang w:val="fr-CA"/>
        </w:rPr>
        <w:t>équité et la prévention de l</w:t>
      </w:r>
      <w:r>
        <w:rPr>
          <w:rFonts w:cs="Times New Roman"/>
          <w:szCs w:val="24"/>
          <w:lang w:val="fr-CA"/>
        </w:rPr>
        <w:t>’</w:t>
      </w:r>
      <w:r w:rsidRPr="004C53A6">
        <w:rPr>
          <w:rFonts w:cs="Times New Roman"/>
          <w:szCs w:val="24"/>
          <w:lang w:val="fr-CA"/>
        </w:rPr>
        <w:t xml:space="preserve">injustice </w:t>
      </w:r>
      <w:r w:rsidRPr="004C53A6">
        <w:rPr>
          <w:rFonts w:cs="Times New Roman"/>
          <w:i/>
          <w:szCs w:val="24"/>
          <w:lang w:val="fr-CA"/>
        </w:rPr>
        <w:t>en préservant le caractère définitif des litiges</w:t>
      </w:r>
      <w:r w:rsidRPr="004C53A6">
        <w:rPr>
          <w:rFonts w:cs="Times New Roman"/>
          <w:szCs w:val="24"/>
          <w:lang w:val="fr-CA"/>
        </w:rPr>
        <w:t>.  Cela demeure vrai, comme l</w:t>
      </w:r>
      <w:r>
        <w:rPr>
          <w:rFonts w:cs="Times New Roman"/>
          <w:szCs w:val="24"/>
          <w:lang w:val="fr-CA"/>
        </w:rPr>
        <w:t>’</w:t>
      </w:r>
      <w:r w:rsidRPr="004C53A6">
        <w:rPr>
          <w:rFonts w:cs="Times New Roman"/>
          <w:szCs w:val="24"/>
          <w:lang w:val="fr-CA"/>
        </w:rPr>
        <w:t xml:space="preserve">ont affirmé les juges majoritaires dans </w:t>
      </w:r>
      <w:proofErr w:type="spellStart"/>
      <w:r w:rsidR="00FB0438">
        <w:rPr>
          <w:rFonts w:cs="Times New Roman"/>
          <w:i/>
          <w:szCs w:val="24"/>
          <w:lang w:val="fr-CA"/>
        </w:rPr>
        <w:t>Fi</w:t>
      </w:r>
      <w:r w:rsidRPr="004C53A6">
        <w:rPr>
          <w:rFonts w:cs="Times New Roman"/>
          <w:i/>
          <w:szCs w:val="24"/>
          <w:lang w:val="fr-CA"/>
        </w:rPr>
        <w:t>gliola</w:t>
      </w:r>
      <w:proofErr w:type="spellEnd"/>
      <w:r w:rsidRPr="004C53A6">
        <w:rPr>
          <w:rFonts w:cs="Times New Roman"/>
          <w:szCs w:val="24"/>
          <w:lang w:val="fr-CA"/>
        </w:rPr>
        <w:t>, tant à l</w:t>
      </w:r>
      <w:r>
        <w:rPr>
          <w:rFonts w:cs="Times New Roman"/>
          <w:szCs w:val="24"/>
          <w:lang w:val="fr-CA"/>
        </w:rPr>
        <w:t>’</w:t>
      </w:r>
      <w:r w:rsidRPr="004C53A6">
        <w:rPr>
          <w:rFonts w:cs="Times New Roman"/>
          <w:szCs w:val="24"/>
          <w:lang w:val="fr-CA"/>
        </w:rPr>
        <w:t>égard des cours de justice que des tribunaux administratifs.  L</w:t>
      </w:r>
      <w:r>
        <w:rPr>
          <w:rFonts w:cs="Times New Roman"/>
          <w:szCs w:val="24"/>
          <w:lang w:val="fr-CA"/>
        </w:rPr>
        <w:t>’</w:t>
      </w:r>
      <w:r w:rsidRPr="004C53A6">
        <w:rPr>
          <w:rFonts w:cs="Times New Roman"/>
          <w:szCs w:val="24"/>
          <w:lang w:val="fr-CA"/>
        </w:rPr>
        <w:t xml:space="preserve">approche préconisée par nos collègues mine ces principes et risque de transformer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en une enquête dépourvue de tout encadrement sur l</w:t>
      </w:r>
      <w:r>
        <w:rPr>
          <w:rFonts w:cs="Times New Roman"/>
          <w:szCs w:val="24"/>
          <w:lang w:val="fr-CA"/>
        </w:rPr>
        <w:t>’</w:t>
      </w:r>
      <w:r w:rsidRPr="004C53A6">
        <w:rPr>
          <w:rFonts w:cs="Times New Roman"/>
          <w:szCs w:val="24"/>
          <w:lang w:val="fr-CA"/>
        </w:rPr>
        <w:t>« équité » et l</w:t>
      </w:r>
      <w:r>
        <w:rPr>
          <w:rFonts w:cs="Times New Roman"/>
          <w:szCs w:val="24"/>
          <w:lang w:val="fr-CA"/>
        </w:rPr>
        <w:t>’</w:t>
      </w:r>
      <w:r w:rsidRPr="004C53A6">
        <w:rPr>
          <w:rFonts w:cs="Times New Roman"/>
          <w:szCs w:val="24"/>
          <w:lang w:val="fr-CA"/>
        </w:rPr>
        <w:t>« injustice » de la procédure des tribunaux administratifs et ravive une approche que la Cour a refusé d</w:t>
      </w:r>
      <w:r>
        <w:rPr>
          <w:rFonts w:cs="Times New Roman"/>
          <w:szCs w:val="24"/>
          <w:lang w:val="fr-CA"/>
        </w:rPr>
        <w:t>’</w:t>
      </w:r>
      <w:r w:rsidRPr="004C53A6">
        <w:rPr>
          <w:rFonts w:cs="Times New Roman"/>
          <w:szCs w:val="24"/>
          <w:lang w:val="fr-CA"/>
        </w:rPr>
        <w:t xml:space="preserve">appliquer dans </w:t>
      </w:r>
      <w:proofErr w:type="spellStart"/>
      <w:r w:rsidRPr="004C53A6">
        <w:rPr>
          <w:rFonts w:cs="Times New Roman"/>
          <w:i/>
          <w:szCs w:val="24"/>
          <w:lang w:val="fr-CA"/>
        </w:rPr>
        <w:t>Figliola</w:t>
      </w:r>
      <w:proofErr w:type="spellEnd"/>
      <w:r w:rsidRPr="004C53A6">
        <w:rPr>
          <w:rFonts w:cs="Times New Roman"/>
          <w:szCs w:val="24"/>
          <w:lang w:val="fr-CA"/>
        </w:rPr>
        <w:t>.</w:t>
      </w:r>
    </w:p>
    <w:p w:rsidR="0000152B" w:rsidRPr="004C53A6" w:rsidRDefault="0000152B" w:rsidP="007B36DA">
      <w:pPr>
        <w:pStyle w:val="TitleTitre-AltT"/>
        <w:tabs>
          <w:tab w:val="clear" w:pos="360"/>
          <w:tab w:val="left" w:pos="540"/>
        </w:tabs>
        <w:ind w:left="540" w:hanging="540"/>
        <w:rPr>
          <w:rFonts w:cs="Times New Roman"/>
          <w:lang w:val="fr-CA"/>
        </w:rPr>
      </w:pPr>
      <w:r w:rsidRPr="004C53A6">
        <w:rPr>
          <w:rFonts w:cs="Times New Roman"/>
          <w:lang w:val="fr-CA"/>
        </w:rPr>
        <w:t>I.</w:t>
      </w:r>
      <w:r w:rsidRPr="004C53A6">
        <w:rPr>
          <w:rFonts w:cs="Times New Roman"/>
          <w:lang w:val="fr-CA"/>
        </w:rPr>
        <w:tab/>
      </w:r>
      <w:r w:rsidRPr="004C53A6">
        <w:rPr>
          <w:rFonts w:cs="Times New Roman"/>
          <w:u w:val="single"/>
          <w:lang w:val="fr-CA"/>
        </w:rPr>
        <w:t>Contexte factuel</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 xml:space="preserve">appelant, Wayne Penner, a déposé une plainte contre deux agents de police, dans laquelle il alléguait que </w:t>
      </w:r>
      <w:proofErr w:type="spellStart"/>
      <w:r w:rsidRPr="004C53A6">
        <w:rPr>
          <w:rFonts w:cs="Times New Roman"/>
          <w:szCs w:val="24"/>
          <w:lang w:val="fr-CA"/>
        </w:rPr>
        <w:t>ceux</w:t>
      </w:r>
      <w:r w:rsidRPr="004C53A6">
        <w:rPr>
          <w:rFonts w:cs="Times New Roman"/>
          <w:szCs w:val="24"/>
          <w:lang w:val="fr-CA"/>
        </w:rPr>
        <w:noBreakHyphen/>
        <w:t>ci</w:t>
      </w:r>
      <w:proofErr w:type="spellEnd"/>
      <w:r w:rsidRPr="004C53A6">
        <w:rPr>
          <w:rFonts w:cs="Times New Roman"/>
          <w:szCs w:val="24"/>
          <w:lang w:val="fr-CA"/>
        </w:rPr>
        <w:t xml:space="preserve"> étaient coupables d</w:t>
      </w:r>
      <w:r>
        <w:rPr>
          <w:rFonts w:cs="Times New Roman"/>
          <w:szCs w:val="24"/>
          <w:lang w:val="fr-CA"/>
        </w:rPr>
        <w:t>’</w:t>
      </w:r>
      <w:r w:rsidRPr="004C53A6">
        <w:rPr>
          <w:rFonts w:cs="Times New Roman"/>
          <w:szCs w:val="24"/>
          <w:lang w:val="fr-CA"/>
        </w:rPr>
        <w:t xml:space="preserve">inconduite au sens de la </w:t>
      </w:r>
      <w:r w:rsidRPr="004C53A6">
        <w:rPr>
          <w:rFonts w:cs="Times New Roman"/>
          <w:i/>
          <w:szCs w:val="24"/>
          <w:lang w:val="fr-CA"/>
        </w:rPr>
        <w:t>Loi sur les services policiers</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 xml:space="preserve">L.R.O. 1990, ch. P.15, et du </w:t>
      </w:r>
      <w:r w:rsidRPr="004C53A6">
        <w:rPr>
          <w:rFonts w:cs="Times New Roman"/>
          <w:i/>
          <w:szCs w:val="24"/>
          <w:lang w:val="fr-CA"/>
        </w:rPr>
        <w:t xml:space="preserve">Code </w:t>
      </w:r>
      <w:r w:rsidR="00496C5B">
        <w:rPr>
          <w:rFonts w:cs="Times New Roman"/>
          <w:i/>
          <w:szCs w:val="24"/>
          <w:lang w:val="fr-CA"/>
        </w:rPr>
        <w:t xml:space="preserve">of </w:t>
      </w:r>
      <w:proofErr w:type="spellStart"/>
      <w:r w:rsidR="00496C5B">
        <w:rPr>
          <w:rFonts w:cs="Times New Roman"/>
          <w:i/>
          <w:szCs w:val="24"/>
          <w:lang w:val="fr-CA"/>
        </w:rPr>
        <w:t>Conduct</w:t>
      </w:r>
      <w:proofErr w:type="spellEnd"/>
      <w:r w:rsidRPr="004C53A6">
        <w:rPr>
          <w:rFonts w:cs="Times New Roman"/>
          <w:i/>
          <w:szCs w:val="24"/>
          <w:lang w:val="fr-CA"/>
        </w:rPr>
        <w:t xml:space="preserve"> </w:t>
      </w:r>
      <w:r w:rsidRPr="004C53A6">
        <w:rPr>
          <w:rFonts w:cs="Times New Roman"/>
          <w:szCs w:val="24"/>
          <w:lang w:val="fr-CA"/>
        </w:rPr>
        <w:t>(</w:t>
      </w:r>
      <w:proofErr w:type="spellStart"/>
      <w:r w:rsidRPr="004C53A6">
        <w:rPr>
          <w:rFonts w:cs="Times New Roman"/>
          <w:szCs w:val="24"/>
          <w:lang w:val="fr-CA"/>
        </w:rPr>
        <w:t>Règl</w:t>
      </w:r>
      <w:proofErr w:type="spellEnd"/>
      <w:r w:rsidRPr="004C53A6">
        <w:rPr>
          <w:rFonts w:cs="Times New Roman"/>
          <w:szCs w:val="24"/>
          <w:lang w:val="fr-CA"/>
        </w:rPr>
        <w:t>. de l</w:t>
      </w:r>
      <w:r>
        <w:rPr>
          <w:rFonts w:cs="Times New Roman"/>
          <w:szCs w:val="24"/>
          <w:lang w:val="fr-CA"/>
        </w:rPr>
        <w:t>’</w:t>
      </w:r>
      <w:r w:rsidR="00FB0438">
        <w:rPr>
          <w:rFonts w:cs="Times New Roman"/>
          <w:szCs w:val="24"/>
          <w:lang w:val="fr-CA"/>
        </w:rPr>
        <w:t xml:space="preserve">Ont. 123/98, partie V, </w:t>
      </w:r>
      <w:proofErr w:type="spellStart"/>
      <w:r w:rsidR="00FB0438">
        <w:rPr>
          <w:rFonts w:cs="Times New Roman"/>
          <w:szCs w:val="24"/>
          <w:lang w:val="fr-CA"/>
        </w:rPr>
        <w:t>a</w:t>
      </w:r>
      <w:r w:rsidRPr="004C53A6">
        <w:rPr>
          <w:rFonts w:cs="Times New Roman"/>
          <w:szCs w:val="24"/>
          <w:lang w:val="fr-CA"/>
        </w:rPr>
        <w:t>nn</w:t>
      </w:r>
      <w:proofErr w:type="spellEnd"/>
      <w:r w:rsidRPr="004C53A6">
        <w:rPr>
          <w:rFonts w:cs="Times New Roman"/>
          <w:szCs w:val="24"/>
          <w:lang w:val="fr-CA"/>
        </w:rPr>
        <w:t>.).  Il alléguait que les agents de police avaient effectué une arrestation illégale et avaient fait usage d</w:t>
      </w:r>
      <w:r>
        <w:rPr>
          <w:rFonts w:cs="Times New Roman"/>
          <w:szCs w:val="24"/>
          <w:lang w:val="fr-CA"/>
        </w:rPr>
        <w:t>’</w:t>
      </w:r>
      <w:r w:rsidRPr="004C53A6">
        <w:rPr>
          <w:rFonts w:cs="Times New Roman"/>
          <w:szCs w:val="24"/>
          <w:lang w:val="fr-CA"/>
        </w:rPr>
        <w:t>une force excessive tant lors de l</w:t>
      </w:r>
      <w:r>
        <w:rPr>
          <w:rFonts w:cs="Times New Roman"/>
          <w:szCs w:val="24"/>
          <w:lang w:val="fr-CA"/>
        </w:rPr>
        <w:t>’</w:t>
      </w:r>
      <w:r w:rsidRPr="004C53A6">
        <w:rPr>
          <w:rFonts w:cs="Times New Roman"/>
          <w:szCs w:val="24"/>
          <w:lang w:val="fr-CA"/>
        </w:rPr>
        <w:t>arrestation qu</w:t>
      </w:r>
      <w:r>
        <w:rPr>
          <w:rFonts w:cs="Times New Roman"/>
          <w:szCs w:val="24"/>
          <w:lang w:val="fr-CA"/>
        </w:rPr>
        <w:t>’</w:t>
      </w:r>
      <w:r w:rsidRPr="004C53A6">
        <w:rPr>
          <w:rFonts w:cs="Times New Roman"/>
          <w:szCs w:val="24"/>
          <w:lang w:val="fr-CA"/>
        </w:rPr>
        <w:t>au poste de police.  M. Penner a également intenté une action civile devant la Cour supérieure de justice de l</w:t>
      </w:r>
      <w:r>
        <w:rPr>
          <w:rFonts w:cs="Times New Roman"/>
          <w:szCs w:val="24"/>
          <w:lang w:val="fr-CA"/>
        </w:rPr>
        <w:t>’</w:t>
      </w:r>
      <w:r w:rsidRPr="004C53A6">
        <w:rPr>
          <w:rFonts w:cs="Times New Roman"/>
          <w:szCs w:val="24"/>
          <w:lang w:val="fr-CA"/>
        </w:rPr>
        <w:t xml:space="preserve">Ontario pour que les mêmes agents de police </w:t>
      </w:r>
      <w:r w:rsidRPr="004C53A6">
        <w:rPr>
          <w:rFonts w:cs="Times New Roman"/>
          <w:szCs w:val="24"/>
          <w:lang w:val="fr-CA"/>
        </w:rPr>
        <w:lastRenderedPageBreak/>
        <w:t>soient cond</w:t>
      </w:r>
      <w:r w:rsidR="003B795D">
        <w:rPr>
          <w:rFonts w:cs="Times New Roman"/>
          <w:szCs w:val="24"/>
          <w:lang w:val="fr-CA"/>
        </w:rPr>
        <w:t>amnés à lui verser des dommages-</w:t>
      </w:r>
      <w:r w:rsidRPr="004C53A6">
        <w:rPr>
          <w:rFonts w:cs="Times New Roman"/>
          <w:szCs w:val="24"/>
          <w:lang w:val="fr-CA"/>
        </w:rPr>
        <w:t xml:space="preserve">intérêts pour arrestation illégale, recours à une force excessive, </w:t>
      </w:r>
      <w:r w:rsidR="003B795D">
        <w:rPr>
          <w:rFonts w:cs="Times New Roman"/>
          <w:szCs w:val="24"/>
          <w:lang w:val="fr-CA"/>
        </w:rPr>
        <w:t>détention injustifiée</w:t>
      </w:r>
      <w:r w:rsidRPr="004C53A6">
        <w:rPr>
          <w:rFonts w:cs="Times New Roman"/>
          <w:szCs w:val="24"/>
          <w:lang w:val="fr-CA"/>
        </w:rPr>
        <w:t xml:space="preserve"> et poursuite abusive.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En 2004, la plainte de M. Penner, déposée en application de la </w:t>
      </w:r>
      <w:r w:rsidRPr="004C53A6">
        <w:rPr>
          <w:rFonts w:cs="Times New Roman"/>
          <w:i/>
          <w:szCs w:val="24"/>
          <w:lang w:val="fr-CA"/>
        </w:rPr>
        <w:t>Loi sur les services policiers</w:t>
      </w:r>
      <w:r w:rsidRPr="004C53A6">
        <w:rPr>
          <w:rFonts w:cs="Times New Roman"/>
          <w:szCs w:val="24"/>
          <w:lang w:val="fr-CA"/>
        </w:rPr>
        <w:t>, a donné lieu à une audience disciplinaire devant un agent d</w:t>
      </w:r>
      <w:r>
        <w:rPr>
          <w:rFonts w:cs="Times New Roman"/>
          <w:szCs w:val="24"/>
          <w:lang w:val="fr-CA"/>
        </w:rPr>
        <w:t>’</w:t>
      </w:r>
      <w:r w:rsidRPr="004C53A6">
        <w:rPr>
          <w:rFonts w:cs="Times New Roman"/>
          <w:szCs w:val="24"/>
          <w:lang w:val="fr-CA"/>
        </w:rPr>
        <w:t>audience, un surintendant à la retraite de la Police provinciale de l</w:t>
      </w:r>
      <w:r>
        <w:rPr>
          <w:rFonts w:cs="Times New Roman"/>
          <w:szCs w:val="24"/>
          <w:lang w:val="fr-CA"/>
        </w:rPr>
        <w:t>’</w:t>
      </w:r>
      <w:r w:rsidRPr="004C53A6">
        <w:rPr>
          <w:rFonts w:cs="Times New Roman"/>
          <w:szCs w:val="24"/>
          <w:lang w:val="fr-CA"/>
        </w:rPr>
        <w:t>Ontario, nommé par le chef de police.  L</w:t>
      </w:r>
      <w:r>
        <w:rPr>
          <w:rFonts w:cs="Times New Roman"/>
          <w:szCs w:val="24"/>
          <w:lang w:val="fr-CA"/>
        </w:rPr>
        <w:t>’</w:t>
      </w:r>
      <w:r w:rsidRPr="004C53A6">
        <w:rPr>
          <w:rFonts w:cs="Times New Roman"/>
          <w:szCs w:val="24"/>
          <w:lang w:val="fr-CA"/>
        </w:rPr>
        <w:t>audience s</w:t>
      </w:r>
      <w:r>
        <w:rPr>
          <w:rFonts w:cs="Times New Roman"/>
          <w:szCs w:val="24"/>
          <w:lang w:val="fr-CA"/>
        </w:rPr>
        <w:t>’</w:t>
      </w:r>
      <w:r w:rsidRPr="004C53A6">
        <w:rPr>
          <w:rFonts w:cs="Times New Roman"/>
          <w:szCs w:val="24"/>
          <w:lang w:val="fr-CA"/>
        </w:rPr>
        <w:t>est déroulée pendant plusieurs jours durant lesquels 13 témoins ont été appelés, des pièces ont été produites — notamment des enregistrements audio et vidéo des événements pertinents — et où chaque partie, y compris M. Penner, a pu présenter des observations sur des questions de droit.  À titre de plaignant, M. Penner pouvait retenir les services d</w:t>
      </w:r>
      <w:r>
        <w:rPr>
          <w:rFonts w:cs="Times New Roman"/>
          <w:szCs w:val="24"/>
          <w:lang w:val="fr-CA"/>
        </w:rPr>
        <w:t>’</w:t>
      </w:r>
      <w:r w:rsidRPr="004C53A6">
        <w:rPr>
          <w:rFonts w:cs="Times New Roman"/>
          <w:szCs w:val="24"/>
          <w:lang w:val="fr-CA"/>
        </w:rPr>
        <w:t xml:space="preserve">un avocat, mais il a choisi de se représenter </w:t>
      </w:r>
      <w:proofErr w:type="spellStart"/>
      <w:r w:rsidRPr="004C53A6">
        <w:rPr>
          <w:rFonts w:cs="Times New Roman"/>
          <w:szCs w:val="24"/>
          <w:lang w:val="fr-CA"/>
        </w:rPr>
        <w:t>lui</w:t>
      </w:r>
      <w:r w:rsidRPr="004C53A6">
        <w:rPr>
          <w:rFonts w:cs="Times New Roman"/>
          <w:szCs w:val="24"/>
          <w:lang w:val="fr-CA"/>
        </w:rPr>
        <w:noBreakHyphen/>
        <w:t>même</w:t>
      </w:r>
      <w:proofErr w:type="spellEnd"/>
      <w:r w:rsidRPr="004C53A6">
        <w:rPr>
          <w:rFonts w:cs="Times New Roman"/>
          <w:szCs w:val="24"/>
          <w:lang w:val="fr-CA"/>
        </w:rPr>
        <w:t>.  Il a participé activement à l</w:t>
      </w:r>
      <w:r>
        <w:rPr>
          <w:rFonts w:cs="Times New Roman"/>
          <w:szCs w:val="24"/>
          <w:lang w:val="fr-CA"/>
        </w:rPr>
        <w:t>’</w:t>
      </w:r>
      <w:r w:rsidRPr="004C53A6">
        <w:rPr>
          <w:rFonts w:cs="Times New Roman"/>
          <w:szCs w:val="24"/>
          <w:lang w:val="fr-CA"/>
        </w:rPr>
        <w:t xml:space="preserve">instance : il a livré un témoignage, a participé au </w:t>
      </w:r>
      <w:proofErr w:type="spellStart"/>
      <w:r w:rsidRPr="004C53A6">
        <w:rPr>
          <w:rFonts w:cs="Times New Roman"/>
          <w:szCs w:val="24"/>
          <w:lang w:val="fr-CA"/>
        </w:rPr>
        <w:t>contre</w:t>
      </w:r>
      <w:r w:rsidRPr="004C53A6">
        <w:rPr>
          <w:rFonts w:cs="Times New Roman"/>
          <w:szCs w:val="24"/>
          <w:lang w:val="fr-CA"/>
        </w:rPr>
        <w:noBreakHyphen/>
        <w:t>interrogatoire</w:t>
      </w:r>
      <w:proofErr w:type="spellEnd"/>
      <w:r w:rsidRPr="004C53A6">
        <w:rPr>
          <w:rFonts w:cs="Times New Roman"/>
          <w:szCs w:val="24"/>
          <w:lang w:val="fr-CA"/>
        </w:rPr>
        <w:t xml:space="preserve"> et a présenté des observations écrites.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a motivé sa décision par écrit.  Il a rejeté la plainte de M. Penner et a déclaré les agents de police non coupables d</w:t>
      </w:r>
      <w:r>
        <w:rPr>
          <w:rFonts w:cs="Times New Roman"/>
          <w:szCs w:val="24"/>
          <w:lang w:val="fr-CA"/>
        </w:rPr>
        <w:t>’</w:t>
      </w:r>
      <w:r w:rsidRPr="004C53A6">
        <w:rPr>
          <w:rFonts w:cs="Times New Roman"/>
          <w:szCs w:val="24"/>
          <w:lang w:val="fr-CA"/>
        </w:rPr>
        <w:t xml:space="preserve">inconduite.  Il a rejeté la plus grande partie du témoignage de M. Penner, lui préférant les dépositions des autres témoins, ainsi que les enregistrements audio et vidéo des événements.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a tiré les conclusions de fait suivantes : </w:t>
      </w:r>
    </w:p>
    <w:p w:rsidR="0000152B" w:rsidRPr="004C53A6" w:rsidRDefault="0000152B" w:rsidP="00FB0438">
      <w:pPr>
        <w:pStyle w:val="Citation-AltC"/>
        <w:numPr>
          <w:ilvl w:val="0"/>
          <w:numId w:val="46"/>
        </w:numPr>
        <w:spacing w:after="480" w:line="480" w:lineRule="auto"/>
        <w:ind w:hanging="720"/>
        <w:contextualSpacing w:val="0"/>
        <w:rPr>
          <w:szCs w:val="24"/>
          <w:lang w:val="fr-CA"/>
        </w:rPr>
      </w:pPr>
      <w:r w:rsidRPr="004C53A6">
        <w:rPr>
          <w:szCs w:val="24"/>
          <w:lang w:val="fr-CA"/>
        </w:rPr>
        <w:lastRenderedPageBreak/>
        <w:t>il n</w:t>
      </w:r>
      <w:r>
        <w:rPr>
          <w:szCs w:val="24"/>
          <w:lang w:val="fr-CA"/>
        </w:rPr>
        <w:t>’</w:t>
      </w:r>
      <w:r w:rsidRPr="004C53A6">
        <w:rPr>
          <w:szCs w:val="24"/>
          <w:lang w:val="fr-CA"/>
        </w:rPr>
        <w:t xml:space="preserve">a </w:t>
      </w:r>
      <w:r w:rsidRPr="004C53A6">
        <w:rPr>
          <w:smallCaps/>
          <w:szCs w:val="24"/>
          <w:lang w:val="fr-CA"/>
        </w:rPr>
        <w:t>[traduction]</w:t>
      </w:r>
      <w:r w:rsidRPr="004C53A6">
        <w:rPr>
          <w:szCs w:val="24"/>
          <w:lang w:val="fr-CA"/>
        </w:rPr>
        <w:t xml:space="preserve"> « trouvé </w:t>
      </w:r>
      <w:r w:rsidRPr="004C53A6">
        <w:rPr>
          <w:szCs w:val="24"/>
          <w:u w:val="single"/>
          <w:lang w:val="fr-CA"/>
        </w:rPr>
        <w:t>auc</w:t>
      </w:r>
      <w:r w:rsidRPr="009B3830">
        <w:rPr>
          <w:szCs w:val="24"/>
          <w:u w:val="single"/>
          <w:lang w:val="fr-CA"/>
        </w:rPr>
        <w:t>un élément de preuve</w:t>
      </w:r>
      <w:r w:rsidRPr="004C53A6">
        <w:rPr>
          <w:szCs w:val="24"/>
          <w:lang w:val="fr-CA"/>
        </w:rPr>
        <w:t xml:space="preserve"> démontrant que les agents ont fait usage d</w:t>
      </w:r>
      <w:r>
        <w:rPr>
          <w:szCs w:val="24"/>
          <w:lang w:val="fr-CA"/>
        </w:rPr>
        <w:t>’</w:t>
      </w:r>
      <w:r w:rsidRPr="004C53A6">
        <w:rPr>
          <w:szCs w:val="24"/>
          <w:lang w:val="fr-CA"/>
        </w:rPr>
        <w:t>une force inutile ou excessive à l</w:t>
      </w:r>
      <w:r>
        <w:rPr>
          <w:szCs w:val="24"/>
          <w:lang w:val="fr-CA"/>
        </w:rPr>
        <w:t>’</w:t>
      </w:r>
      <w:r w:rsidRPr="004C53A6">
        <w:rPr>
          <w:szCs w:val="24"/>
          <w:lang w:val="fr-CA"/>
        </w:rPr>
        <w:t>endroit de M. Penner » (</w:t>
      </w:r>
      <w:proofErr w:type="gramStart"/>
      <w:r w:rsidR="00975281">
        <w:rPr>
          <w:szCs w:val="24"/>
          <w:lang w:val="fr-CA"/>
        </w:rPr>
        <w:t>d.a</w:t>
      </w:r>
      <w:r w:rsidRPr="004C53A6">
        <w:rPr>
          <w:szCs w:val="24"/>
          <w:lang w:val="fr-CA"/>
        </w:rPr>
        <w:t>.,</w:t>
      </w:r>
      <w:proofErr w:type="gramEnd"/>
      <w:r w:rsidRPr="004C53A6">
        <w:rPr>
          <w:szCs w:val="24"/>
          <w:lang w:val="fr-CA"/>
        </w:rPr>
        <w:t xml:space="preserve"> p. 112 (nous soulignons));  </w:t>
      </w:r>
    </w:p>
    <w:p w:rsidR="0000152B" w:rsidRPr="004C53A6" w:rsidRDefault="0000152B" w:rsidP="00FB0438">
      <w:pPr>
        <w:pStyle w:val="Citation-AltC"/>
        <w:numPr>
          <w:ilvl w:val="0"/>
          <w:numId w:val="46"/>
        </w:numPr>
        <w:spacing w:after="480" w:line="480" w:lineRule="auto"/>
        <w:ind w:hanging="720"/>
        <w:contextualSpacing w:val="0"/>
        <w:rPr>
          <w:szCs w:val="24"/>
          <w:lang w:val="fr-CA"/>
        </w:rPr>
      </w:pPr>
      <w:r w:rsidRPr="004C53A6">
        <w:rPr>
          <w:szCs w:val="24"/>
          <w:lang w:val="fr-CA"/>
        </w:rPr>
        <w:t>il a conclu qu</w:t>
      </w:r>
      <w:r>
        <w:rPr>
          <w:szCs w:val="24"/>
          <w:lang w:val="fr-CA"/>
        </w:rPr>
        <w:t>’</w:t>
      </w:r>
      <w:r w:rsidRPr="004C53A6">
        <w:rPr>
          <w:szCs w:val="24"/>
          <w:lang w:val="fr-CA"/>
        </w:rPr>
        <w:t>« il n</w:t>
      </w:r>
      <w:r>
        <w:rPr>
          <w:szCs w:val="24"/>
          <w:lang w:val="fr-CA"/>
        </w:rPr>
        <w:t>’</w:t>
      </w:r>
      <w:r w:rsidRPr="004C53A6">
        <w:rPr>
          <w:szCs w:val="24"/>
          <w:lang w:val="fr-CA"/>
        </w:rPr>
        <w:t xml:space="preserve">y a </w:t>
      </w:r>
      <w:r w:rsidRPr="004C53A6">
        <w:rPr>
          <w:szCs w:val="24"/>
          <w:u w:val="single"/>
          <w:lang w:val="fr-CA"/>
        </w:rPr>
        <w:t>aucune preuve claire, convaincante ou pertinente</w:t>
      </w:r>
      <w:r w:rsidRPr="004C53A6">
        <w:rPr>
          <w:i/>
          <w:szCs w:val="24"/>
          <w:lang w:val="fr-CA"/>
        </w:rPr>
        <w:t xml:space="preserve"> </w:t>
      </w:r>
      <w:r w:rsidRPr="004C53A6">
        <w:rPr>
          <w:szCs w:val="24"/>
          <w:lang w:val="fr-CA"/>
        </w:rPr>
        <w:t>démontrant que M. Penner a été victime d</w:t>
      </w:r>
      <w:r>
        <w:rPr>
          <w:szCs w:val="24"/>
          <w:lang w:val="fr-CA"/>
        </w:rPr>
        <w:t>’</w:t>
      </w:r>
      <w:r w:rsidRPr="004C53A6">
        <w:rPr>
          <w:szCs w:val="24"/>
          <w:lang w:val="fr-CA"/>
        </w:rPr>
        <w:t>un usage excessif ou illégal de la force lorsqu</w:t>
      </w:r>
      <w:r>
        <w:rPr>
          <w:szCs w:val="24"/>
          <w:lang w:val="fr-CA"/>
        </w:rPr>
        <w:t>’</w:t>
      </w:r>
      <w:r w:rsidRPr="004C53A6">
        <w:rPr>
          <w:szCs w:val="24"/>
          <w:lang w:val="fr-CA"/>
        </w:rPr>
        <w:t xml:space="preserve">il a été placé sous garde au poste de police » (p. 114 (nous soulignons));  </w:t>
      </w:r>
    </w:p>
    <w:p w:rsidR="0000152B" w:rsidRPr="004C53A6" w:rsidRDefault="0000152B" w:rsidP="00FB0438">
      <w:pPr>
        <w:pStyle w:val="Citation-AltC"/>
        <w:numPr>
          <w:ilvl w:val="0"/>
          <w:numId w:val="46"/>
        </w:numPr>
        <w:spacing w:after="480" w:line="480" w:lineRule="auto"/>
        <w:ind w:hanging="720"/>
        <w:contextualSpacing w:val="0"/>
        <w:rPr>
          <w:szCs w:val="24"/>
          <w:lang w:val="fr-CA"/>
        </w:rPr>
      </w:pPr>
      <w:r w:rsidRPr="004C53A6">
        <w:rPr>
          <w:szCs w:val="24"/>
          <w:lang w:val="fr-CA"/>
        </w:rPr>
        <w:t>il était « convaincu que M. Penner a adopté un comportement qui s</w:t>
      </w:r>
      <w:r>
        <w:rPr>
          <w:szCs w:val="24"/>
          <w:lang w:val="fr-CA"/>
        </w:rPr>
        <w:t>’</w:t>
      </w:r>
      <w:r w:rsidRPr="004C53A6">
        <w:rPr>
          <w:szCs w:val="24"/>
          <w:lang w:val="fr-CA"/>
        </w:rPr>
        <w:t>est transformé en hostilité » et que, par conséquent, « le degré de force utilisé lors de l</w:t>
      </w:r>
      <w:r>
        <w:rPr>
          <w:szCs w:val="24"/>
          <w:lang w:val="fr-CA"/>
        </w:rPr>
        <w:t>’</w:t>
      </w:r>
      <w:r w:rsidRPr="004C53A6">
        <w:rPr>
          <w:szCs w:val="24"/>
          <w:lang w:val="fr-CA"/>
        </w:rPr>
        <w:t xml:space="preserve">arrestation de M. Penner était </w:t>
      </w:r>
      <w:r w:rsidRPr="004C53A6">
        <w:rPr>
          <w:szCs w:val="24"/>
          <w:u w:val="single"/>
          <w:lang w:val="fr-CA"/>
        </w:rPr>
        <w:t>tout à fait justifié</w:t>
      </w:r>
      <w:r w:rsidRPr="004C53A6">
        <w:rPr>
          <w:szCs w:val="24"/>
          <w:lang w:val="fr-CA"/>
        </w:rPr>
        <w:t xml:space="preserve"> » (p. 115 (nous soulignons)).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Invoquant ces conclusions, M. Penner a interjeté appel à la Commission civile des services policiers de l</w:t>
      </w:r>
      <w:r>
        <w:rPr>
          <w:rFonts w:cs="Times New Roman"/>
          <w:szCs w:val="24"/>
          <w:lang w:val="fr-CA"/>
        </w:rPr>
        <w:t>’</w:t>
      </w:r>
      <w:r w:rsidRPr="004C53A6">
        <w:rPr>
          <w:rFonts w:cs="Times New Roman"/>
          <w:szCs w:val="24"/>
          <w:lang w:val="fr-CA"/>
        </w:rPr>
        <w:t xml:space="preserve">Ontario.  </w:t>
      </w:r>
      <w:proofErr w:type="spellStart"/>
      <w:r w:rsidRPr="004C53A6">
        <w:rPr>
          <w:rFonts w:cs="Times New Roman"/>
          <w:szCs w:val="24"/>
          <w:lang w:val="fr-CA"/>
        </w:rPr>
        <w:t>Celle</w:t>
      </w:r>
      <w:r w:rsidRPr="004C53A6">
        <w:rPr>
          <w:rFonts w:cs="Times New Roman"/>
          <w:szCs w:val="24"/>
          <w:lang w:val="fr-CA"/>
        </w:rPr>
        <w:noBreakHyphen/>
        <w:t>ci</w:t>
      </w:r>
      <w:proofErr w:type="spellEnd"/>
      <w:r w:rsidRPr="004C53A6">
        <w:rPr>
          <w:rFonts w:cs="Times New Roman"/>
          <w:szCs w:val="24"/>
          <w:lang w:val="fr-CA"/>
        </w:rPr>
        <w:t xml:space="preserve"> a infirmé la 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au motif que les agents de police n</w:t>
      </w:r>
      <w:r>
        <w:rPr>
          <w:rFonts w:cs="Times New Roman"/>
          <w:szCs w:val="24"/>
          <w:lang w:val="fr-CA"/>
        </w:rPr>
        <w:t>’</w:t>
      </w:r>
      <w:r w:rsidRPr="004C53A6">
        <w:rPr>
          <w:rFonts w:cs="Times New Roman"/>
          <w:szCs w:val="24"/>
          <w:lang w:val="fr-CA"/>
        </w:rPr>
        <w:t>étaient pas légalement autorisés à arrêter M. Penner dans une salle d</w:t>
      </w:r>
      <w:r>
        <w:rPr>
          <w:rFonts w:cs="Times New Roman"/>
          <w:szCs w:val="24"/>
          <w:lang w:val="fr-CA"/>
        </w:rPr>
        <w:t>’</w:t>
      </w:r>
      <w:r w:rsidRPr="004C53A6">
        <w:rPr>
          <w:rFonts w:cs="Times New Roman"/>
          <w:szCs w:val="24"/>
          <w:lang w:val="fr-CA"/>
        </w:rPr>
        <w:t>audience pendant qu</w:t>
      </w:r>
      <w:r>
        <w:rPr>
          <w:rFonts w:cs="Times New Roman"/>
          <w:szCs w:val="24"/>
          <w:lang w:val="fr-CA"/>
        </w:rPr>
        <w:t>’</w:t>
      </w:r>
      <w:r w:rsidRPr="004C53A6">
        <w:rPr>
          <w:rFonts w:cs="Times New Roman"/>
          <w:szCs w:val="24"/>
          <w:lang w:val="fr-CA"/>
        </w:rPr>
        <w:t xml:space="preserve">un juge de paix présidait la séance.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Les intimés ont alors demandé le contrôle judiciaire de la décision de la Commission devant la Cour divisionnaire de l</w:t>
      </w:r>
      <w:r>
        <w:rPr>
          <w:rFonts w:cs="Times New Roman"/>
          <w:szCs w:val="24"/>
          <w:lang w:val="fr-CA"/>
        </w:rPr>
        <w:t>’</w:t>
      </w:r>
      <w:r w:rsidRPr="004C53A6">
        <w:rPr>
          <w:rFonts w:cs="Times New Roman"/>
          <w:szCs w:val="24"/>
          <w:lang w:val="fr-CA"/>
        </w:rPr>
        <w:t>Ontario.  Cette dernière a conclu à l</w:t>
      </w:r>
      <w:r>
        <w:rPr>
          <w:rFonts w:cs="Times New Roman"/>
          <w:szCs w:val="24"/>
          <w:lang w:val="fr-CA"/>
        </w:rPr>
        <w:t>’</w:t>
      </w:r>
      <w:r w:rsidRPr="004C53A6">
        <w:rPr>
          <w:rFonts w:cs="Times New Roman"/>
          <w:szCs w:val="24"/>
          <w:lang w:val="fr-CA"/>
        </w:rPr>
        <w:t xml:space="preserve">unanimité que la décision de la Commission était déraisonnable et a rétabli la </w:t>
      </w:r>
      <w:r w:rsidRPr="004C53A6">
        <w:rPr>
          <w:rFonts w:cs="Times New Roman"/>
          <w:szCs w:val="24"/>
          <w:lang w:val="fr-CA"/>
        </w:rPr>
        <w:lastRenderedPageBreak/>
        <w:t>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w:t>
      </w:r>
      <w:r w:rsidR="007B36DA">
        <w:rPr>
          <w:rFonts w:cs="Times New Roman"/>
          <w:szCs w:val="24"/>
          <w:lang w:val="fr-CA"/>
        </w:rPr>
        <w:t> (</w:t>
      </w:r>
      <w:r w:rsidRPr="004C53A6">
        <w:rPr>
          <w:rFonts w:cs="Times New Roman"/>
          <w:i/>
          <w:szCs w:val="24"/>
          <w:lang w:val="fr-CA"/>
        </w:rPr>
        <w:t xml:space="preserve">Parker c. Niagara </w:t>
      </w:r>
      <w:proofErr w:type="spellStart"/>
      <w:r w:rsidRPr="004C53A6">
        <w:rPr>
          <w:rFonts w:cs="Times New Roman"/>
          <w:i/>
          <w:szCs w:val="24"/>
          <w:lang w:val="fr-CA"/>
        </w:rPr>
        <w:t>Regional</w:t>
      </w:r>
      <w:proofErr w:type="spellEnd"/>
      <w:r w:rsidRPr="004C53A6">
        <w:rPr>
          <w:rFonts w:cs="Times New Roman"/>
          <w:i/>
          <w:szCs w:val="24"/>
          <w:lang w:val="fr-CA"/>
        </w:rPr>
        <w:t xml:space="preserve"> Police Service</w:t>
      </w:r>
      <w:r w:rsidRPr="004C53A6">
        <w:rPr>
          <w:rFonts w:cs="Times New Roman"/>
          <w:szCs w:val="24"/>
          <w:lang w:val="fr-CA"/>
        </w:rPr>
        <w:t xml:space="preserve"> (2008), 232 O.A.C. 317</w:t>
      </w:r>
      <w:r w:rsidR="007B36DA">
        <w:rPr>
          <w:rFonts w:cs="Times New Roman"/>
          <w:szCs w:val="24"/>
          <w:lang w:val="fr-CA"/>
        </w:rPr>
        <w:t>)</w:t>
      </w:r>
      <w:r w:rsidRPr="004C53A6">
        <w:rPr>
          <w:rFonts w:cs="Times New Roman"/>
          <w:szCs w:val="24"/>
          <w:lang w:val="fr-CA"/>
        </w:rPr>
        <w:t>.  Selon la Cour divisionnaire, les conclusions de fait tirées par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étaient </w:t>
      </w:r>
      <w:r w:rsidRPr="004C53A6">
        <w:rPr>
          <w:rFonts w:cs="Times New Roman"/>
          <w:smallCaps/>
          <w:szCs w:val="24"/>
          <w:lang w:val="fr-CA"/>
        </w:rPr>
        <w:t>[traduction]</w:t>
      </w:r>
      <w:r w:rsidRPr="004C53A6">
        <w:rPr>
          <w:rFonts w:cs="Times New Roman"/>
          <w:szCs w:val="24"/>
          <w:lang w:val="fr-CA"/>
        </w:rPr>
        <w:t xml:space="preserve"> « fondées amplement sur la preuve » et il n</w:t>
      </w:r>
      <w:r>
        <w:rPr>
          <w:rFonts w:cs="Times New Roman"/>
          <w:szCs w:val="24"/>
          <w:lang w:val="fr-CA"/>
        </w:rPr>
        <w:t>’</w:t>
      </w:r>
      <w:r w:rsidRPr="004C53A6">
        <w:rPr>
          <w:rFonts w:cs="Times New Roman"/>
          <w:szCs w:val="24"/>
          <w:lang w:val="fr-CA"/>
        </w:rPr>
        <w:t>y avait « aucune erreur manifeste, aucune omission de tenir compte d</w:t>
      </w:r>
      <w:r>
        <w:rPr>
          <w:rFonts w:cs="Times New Roman"/>
          <w:szCs w:val="24"/>
          <w:lang w:val="fr-CA"/>
        </w:rPr>
        <w:t>’</w:t>
      </w:r>
      <w:r w:rsidRPr="004C53A6">
        <w:rPr>
          <w:rFonts w:cs="Times New Roman"/>
          <w:szCs w:val="24"/>
          <w:lang w:val="fr-CA"/>
        </w:rPr>
        <w:t>éléments de preuve concluants ou pertinents, ni aucune indication qu</w:t>
      </w:r>
      <w:r>
        <w:rPr>
          <w:rFonts w:cs="Times New Roman"/>
          <w:szCs w:val="24"/>
          <w:lang w:val="fr-CA"/>
        </w:rPr>
        <w:t>’</w:t>
      </w:r>
      <w:r w:rsidRPr="004C53A6">
        <w:rPr>
          <w:rFonts w:cs="Times New Roman"/>
          <w:szCs w:val="24"/>
          <w:lang w:val="fr-CA"/>
        </w:rPr>
        <w:t>il a mal interprété la preuve ou qu</w:t>
      </w:r>
      <w:r>
        <w:rPr>
          <w:rFonts w:cs="Times New Roman"/>
          <w:szCs w:val="24"/>
          <w:lang w:val="fr-CA"/>
        </w:rPr>
        <w:t>’</w:t>
      </w:r>
      <w:r w:rsidRPr="004C53A6">
        <w:rPr>
          <w:rFonts w:cs="Times New Roman"/>
          <w:szCs w:val="24"/>
          <w:lang w:val="fr-CA"/>
        </w:rPr>
        <w:t>il en a tiré des conclusions erronées »</w:t>
      </w:r>
      <w:r w:rsidR="007B36DA">
        <w:rPr>
          <w:rFonts w:cs="Times New Roman"/>
          <w:szCs w:val="24"/>
          <w:lang w:val="fr-CA"/>
        </w:rPr>
        <w:t> (</w:t>
      </w:r>
      <w:r w:rsidRPr="004C53A6">
        <w:rPr>
          <w:rFonts w:cs="Times New Roman"/>
          <w:szCs w:val="24"/>
          <w:lang w:val="fr-CA"/>
        </w:rPr>
        <w:t>par. 28</w:t>
      </w:r>
      <w:r w:rsidR="007B36DA">
        <w:rPr>
          <w:rFonts w:cs="Times New Roman"/>
          <w:szCs w:val="24"/>
          <w:lang w:val="fr-CA"/>
        </w:rPr>
        <w:t>)</w:t>
      </w:r>
      <w:r w:rsidRPr="004C53A6">
        <w:rPr>
          <w:rFonts w:cs="Times New Roman"/>
          <w:szCs w:val="24"/>
          <w:lang w:val="fr-CA"/>
        </w:rPr>
        <w:t>.  M. Penner n</w:t>
      </w:r>
      <w:r>
        <w:rPr>
          <w:rFonts w:cs="Times New Roman"/>
          <w:szCs w:val="24"/>
          <w:lang w:val="fr-CA"/>
        </w:rPr>
        <w:t>’</w:t>
      </w:r>
      <w:r w:rsidRPr="004C53A6">
        <w:rPr>
          <w:rFonts w:cs="Times New Roman"/>
          <w:szCs w:val="24"/>
          <w:lang w:val="fr-CA"/>
        </w:rPr>
        <w:t>a pas interjeté appel de la décision de la Cour divisionnaire devant la Cour d</w:t>
      </w:r>
      <w:r>
        <w:rPr>
          <w:rFonts w:cs="Times New Roman"/>
          <w:szCs w:val="24"/>
          <w:lang w:val="fr-CA"/>
        </w:rPr>
        <w:t>’</w:t>
      </w:r>
      <w:r w:rsidRPr="004C53A6">
        <w:rPr>
          <w:rFonts w:cs="Times New Roman"/>
          <w:szCs w:val="24"/>
          <w:lang w:val="fr-CA"/>
        </w:rPr>
        <w:t>appel de l</w:t>
      </w:r>
      <w:r>
        <w:rPr>
          <w:rFonts w:cs="Times New Roman"/>
          <w:szCs w:val="24"/>
          <w:lang w:val="fr-CA"/>
        </w:rPr>
        <w:t>’</w:t>
      </w:r>
      <w:r w:rsidRPr="004C53A6">
        <w:rPr>
          <w:rFonts w:cs="Times New Roman"/>
          <w:szCs w:val="24"/>
          <w:lang w:val="fr-CA"/>
        </w:rPr>
        <w:t xml:space="preserve">Ontario.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Au terme de la procédure de contrôle judiciaire, les intimés (les défendeurs à l</w:t>
      </w:r>
      <w:r>
        <w:rPr>
          <w:rFonts w:cs="Times New Roman"/>
          <w:szCs w:val="24"/>
          <w:lang w:val="fr-CA"/>
        </w:rPr>
        <w:t>’</w:t>
      </w:r>
      <w:r w:rsidRPr="004C53A6">
        <w:rPr>
          <w:rFonts w:cs="Times New Roman"/>
          <w:szCs w:val="24"/>
          <w:lang w:val="fr-CA"/>
        </w:rPr>
        <w:t xml:space="preserve">action civile) ont présenté une motion en vertu de la règle 21.01 des </w:t>
      </w:r>
      <w:r w:rsidRPr="004C53A6">
        <w:rPr>
          <w:rFonts w:cs="Times New Roman"/>
          <w:i/>
          <w:szCs w:val="24"/>
          <w:lang w:val="fr-CA"/>
        </w:rPr>
        <w:t>Règles de procédure civile</w:t>
      </w:r>
      <w:r w:rsidRPr="004C53A6">
        <w:rPr>
          <w:rFonts w:cs="Times New Roman"/>
          <w:szCs w:val="24"/>
          <w:lang w:val="fr-CA"/>
        </w:rPr>
        <w:t xml:space="preserve">, R.R.O. 1990, </w:t>
      </w:r>
      <w:proofErr w:type="spellStart"/>
      <w:r w:rsidR="00975281">
        <w:rPr>
          <w:rFonts w:cs="Times New Roman"/>
          <w:szCs w:val="24"/>
          <w:lang w:val="fr-CA"/>
        </w:rPr>
        <w:t>Règl</w:t>
      </w:r>
      <w:proofErr w:type="spellEnd"/>
      <w:r w:rsidRPr="004C53A6">
        <w:rPr>
          <w:rFonts w:cs="Times New Roman"/>
          <w:szCs w:val="24"/>
          <w:lang w:val="fr-CA"/>
        </w:rPr>
        <w:t>. 194, visant à faire rejeter l</w:t>
      </w:r>
      <w:r>
        <w:rPr>
          <w:rFonts w:cs="Times New Roman"/>
          <w:szCs w:val="24"/>
          <w:lang w:val="fr-CA"/>
        </w:rPr>
        <w:t>’</w:t>
      </w:r>
      <w:r w:rsidRPr="004C53A6">
        <w:rPr>
          <w:rFonts w:cs="Times New Roman"/>
          <w:szCs w:val="24"/>
          <w:lang w:val="fr-CA"/>
        </w:rPr>
        <w:t xml:space="preserve">action civile intentée par M. Penner pour arrestation illégale, recours à une force excessive, </w:t>
      </w:r>
      <w:r w:rsidR="003B795D">
        <w:rPr>
          <w:rFonts w:cs="Times New Roman"/>
          <w:szCs w:val="24"/>
          <w:lang w:val="fr-CA"/>
        </w:rPr>
        <w:t>détention injustifiée</w:t>
      </w:r>
      <w:r w:rsidRPr="004C53A6">
        <w:rPr>
          <w:rFonts w:cs="Times New Roman"/>
          <w:szCs w:val="24"/>
          <w:lang w:val="fr-CA"/>
        </w:rPr>
        <w:t xml:space="preserve"> et poursuite abusive, </w:t>
      </w:r>
      <w:r w:rsidR="003B795D">
        <w:rPr>
          <w:rFonts w:cs="Times New Roman"/>
          <w:szCs w:val="24"/>
          <w:lang w:val="fr-CA"/>
        </w:rPr>
        <w:t>en invoquant</w:t>
      </w:r>
      <w:r w:rsidRPr="004C53A6">
        <w:rPr>
          <w:rFonts w:cs="Times New Roman"/>
          <w:szCs w:val="24"/>
          <w:lang w:val="fr-CA"/>
        </w:rPr>
        <w:t xml:space="preserve"> contre toutes ces allégations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Le juge des motions a accueilli la motion présentée en vertu de la règle 21 et a radié ces allégations de la déclaration de M. Penner.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La Cour d</w:t>
      </w:r>
      <w:r>
        <w:rPr>
          <w:rFonts w:cs="Times New Roman"/>
          <w:szCs w:val="24"/>
          <w:lang w:val="fr-CA"/>
        </w:rPr>
        <w:t>’</w:t>
      </w:r>
      <w:r w:rsidRPr="004C53A6">
        <w:rPr>
          <w:rFonts w:cs="Times New Roman"/>
          <w:szCs w:val="24"/>
          <w:lang w:val="fr-CA"/>
        </w:rPr>
        <w:t>appel de l</w:t>
      </w:r>
      <w:r>
        <w:rPr>
          <w:rFonts w:cs="Times New Roman"/>
          <w:szCs w:val="24"/>
          <w:lang w:val="fr-CA"/>
        </w:rPr>
        <w:t>’</w:t>
      </w:r>
      <w:r w:rsidRPr="004C53A6">
        <w:rPr>
          <w:rFonts w:cs="Times New Roman"/>
          <w:szCs w:val="24"/>
          <w:lang w:val="fr-CA"/>
        </w:rPr>
        <w:t>Ontario a rejeté l</w:t>
      </w:r>
      <w:r>
        <w:rPr>
          <w:rFonts w:cs="Times New Roman"/>
          <w:szCs w:val="24"/>
          <w:lang w:val="fr-CA"/>
        </w:rPr>
        <w:t>’</w:t>
      </w:r>
      <w:r w:rsidRPr="004C53A6">
        <w:rPr>
          <w:rFonts w:cs="Times New Roman"/>
          <w:szCs w:val="24"/>
          <w:lang w:val="fr-CA"/>
        </w:rPr>
        <w:t xml:space="preserve">appel de M. Penner (2010 ONCA 616, 102 O.R. (3d) </w:t>
      </w:r>
      <w:r w:rsidR="00975281">
        <w:rPr>
          <w:rFonts w:cs="Times New Roman"/>
          <w:szCs w:val="24"/>
          <w:lang w:val="fr-CA"/>
        </w:rPr>
        <w:t>700</w:t>
      </w:r>
      <w:r w:rsidRPr="004C53A6">
        <w:rPr>
          <w:rFonts w:cs="Times New Roman"/>
          <w:szCs w:val="24"/>
          <w:lang w:val="fr-CA"/>
        </w:rPr>
        <w:t>).  Elle a convenu avec le juge des motions que les conditions d</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avaient été réunies et a conclu qu</w:t>
      </w:r>
      <w:r>
        <w:rPr>
          <w:rFonts w:cs="Times New Roman"/>
          <w:szCs w:val="24"/>
          <w:lang w:val="fr-CA"/>
        </w:rPr>
        <w:t>’</w:t>
      </w:r>
      <w:r w:rsidRPr="004C53A6">
        <w:rPr>
          <w:rFonts w:cs="Times New Roman"/>
          <w:szCs w:val="24"/>
          <w:lang w:val="fr-CA"/>
        </w:rPr>
        <w:t>elle n</w:t>
      </w:r>
      <w:r>
        <w:rPr>
          <w:rFonts w:cs="Times New Roman"/>
          <w:szCs w:val="24"/>
          <w:lang w:val="fr-CA"/>
        </w:rPr>
        <w:t>’</w:t>
      </w:r>
      <w:r w:rsidRPr="004C53A6">
        <w:rPr>
          <w:rFonts w:cs="Times New Roman"/>
          <w:szCs w:val="24"/>
          <w:lang w:val="fr-CA"/>
        </w:rPr>
        <w:t>avait aucune raison d</w:t>
      </w:r>
      <w:r>
        <w:rPr>
          <w:rFonts w:cs="Times New Roman"/>
          <w:szCs w:val="24"/>
          <w:lang w:val="fr-CA"/>
        </w:rPr>
        <w:t>’</w:t>
      </w:r>
      <w:r w:rsidRPr="004C53A6">
        <w:rPr>
          <w:rFonts w:cs="Times New Roman"/>
          <w:szCs w:val="24"/>
          <w:lang w:val="fr-CA"/>
        </w:rPr>
        <w:t>exercer son pouvoir discrétionnaire et de refuser d</w:t>
      </w:r>
      <w:r>
        <w:rPr>
          <w:rFonts w:cs="Times New Roman"/>
          <w:szCs w:val="24"/>
          <w:lang w:val="fr-CA"/>
        </w:rPr>
        <w:t>’</w:t>
      </w:r>
      <w:r w:rsidRPr="004C53A6">
        <w:rPr>
          <w:rFonts w:cs="Times New Roman"/>
          <w:szCs w:val="24"/>
          <w:lang w:val="fr-CA"/>
        </w:rPr>
        <w:t xml:space="preserve">appliquer cette doctrine dans la présente affaire.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Dans son pourvoi devant la Cour, M. Penner ne conteste pas directement la conclusion de la Cour d</w:t>
      </w:r>
      <w:r>
        <w:rPr>
          <w:rFonts w:cs="Times New Roman"/>
          <w:szCs w:val="24"/>
          <w:lang w:val="fr-CA"/>
        </w:rPr>
        <w:t>’</w:t>
      </w:r>
      <w:r w:rsidRPr="004C53A6">
        <w:rPr>
          <w:rFonts w:cs="Times New Roman"/>
          <w:szCs w:val="24"/>
          <w:lang w:val="fr-CA"/>
        </w:rPr>
        <w:t>appel selon laquelle les conditions d</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ont été réunies.  Son pourvoi porte plutôt sur la question de savoir si la Cour d</w:t>
      </w:r>
      <w:r>
        <w:rPr>
          <w:rFonts w:cs="Times New Roman"/>
          <w:szCs w:val="24"/>
          <w:lang w:val="fr-CA"/>
        </w:rPr>
        <w:t>’</w:t>
      </w:r>
      <w:r w:rsidRPr="004C53A6">
        <w:rPr>
          <w:rFonts w:cs="Times New Roman"/>
          <w:szCs w:val="24"/>
          <w:lang w:val="fr-CA"/>
        </w:rPr>
        <w:t>appel a correctement exercé son pouvoir discrétionnaire d</w:t>
      </w:r>
      <w:r>
        <w:rPr>
          <w:rFonts w:cs="Times New Roman"/>
          <w:szCs w:val="24"/>
          <w:lang w:val="fr-CA"/>
        </w:rPr>
        <w:t>’</w:t>
      </w:r>
      <w:r w:rsidRPr="004C53A6">
        <w:rPr>
          <w:rFonts w:cs="Times New Roman"/>
          <w:szCs w:val="24"/>
          <w:lang w:val="fr-CA"/>
        </w:rPr>
        <w:t xml:space="preserve">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et </w:t>
      </w:r>
      <w:r w:rsidR="002358C6">
        <w:rPr>
          <w:rFonts w:cs="Times New Roman"/>
          <w:szCs w:val="24"/>
          <w:lang w:val="fr-CA"/>
        </w:rPr>
        <w:t xml:space="preserve">il </w:t>
      </w:r>
      <w:r w:rsidRPr="004C53A6">
        <w:rPr>
          <w:rFonts w:cs="Times New Roman"/>
          <w:szCs w:val="24"/>
          <w:lang w:val="fr-CA"/>
        </w:rPr>
        <w:t>fait valoir qu</w:t>
      </w:r>
      <w:r>
        <w:rPr>
          <w:rFonts w:cs="Times New Roman"/>
          <w:szCs w:val="24"/>
          <w:lang w:val="fr-CA"/>
        </w:rPr>
        <w:t>’</w:t>
      </w:r>
      <w:r w:rsidRPr="004C53A6">
        <w:rPr>
          <w:rFonts w:cs="Times New Roman"/>
          <w:szCs w:val="24"/>
          <w:lang w:val="fr-CA"/>
        </w:rPr>
        <w:t>elle aurait dû refuser de le faire.</w:t>
      </w:r>
    </w:p>
    <w:p w:rsidR="0000152B" w:rsidRPr="004C53A6" w:rsidRDefault="0000152B" w:rsidP="0000152B">
      <w:pPr>
        <w:pStyle w:val="TitleTitre-AltT"/>
        <w:tabs>
          <w:tab w:val="clear" w:pos="360"/>
          <w:tab w:val="left" w:pos="1134"/>
        </w:tabs>
        <w:ind w:left="567" w:hanging="567"/>
        <w:rPr>
          <w:rFonts w:cs="Times New Roman"/>
          <w:szCs w:val="24"/>
          <w:u w:val="single"/>
          <w:lang w:val="fr-CA"/>
        </w:rPr>
      </w:pPr>
      <w:r w:rsidRPr="004C53A6">
        <w:rPr>
          <w:rFonts w:cs="Times New Roman"/>
          <w:szCs w:val="24"/>
          <w:lang w:val="fr-CA"/>
        </w:rPr>
        <w:t>II.</w:t>
      </w:r>
      <w:r w:rsidRPr="004C53A6">
        <w:rPr>
          <w:rFonts w:cs="Times New Roman"/>
          <w:szCs w:val="24"/>
          <w:lang w:val="fr-CA"/>
        </w:rPr>
        <w:tab/>
      </w:r>
      <w:r w:rsidRPr="004C53A6">
        <w:rPr>
          <w:rFonts w:cs="Times New Roman"/>
          <w:szCs w:val="24"/>
          <w:u w:val="single"/>
          <w:lang w:val="fr-CA"/>
        </w:rPr>
        <w:t>Analyse</w:t>
      </w:r>
    </w:p>
    <w:p w:rsidR="0000152B" w:rsidRPr="004C53A6" w:rsidRDefault="0000152B" w:rsidP="0000152B">
      <w:pPr>
        <w:pStyle w:val="TitleTitre-AltT"/>
        <w:tabs>
          <w:tab w:val="clear" w:pos="360"/>
          <w:tab w:val="left" w:pos="1134"/>
        </w:tabs>
        <w:ind w:left="567" w:hanging="567"/>
        <w:rPr>
          <w:rFonts w:cs="Times New Roman"/>
          <w:i/>
          <w:szCs w:val="24"/>
          <w:u w:val="single"/>
          <w:lang w:val="fr-CA"/>
        </w:rPr>
      </w:pPr>
      <w:r w:rsidRPr="004C53A6">
        <w:rPr>
          <w:rFonts w:cs="Times New Roman"/>
          <w:szCs w:val="24"/>
          <w:lang w:val="fr-CA"/>
        </w:rPr>
        <w:t>A.</w:t>
      </w:r>
      <w:r w:rsidRPr="004C53A6">
        <w:rPr>
          <w:rFonts w:cs="Times New Roman"/>
          <w:szCs w:val="24"/>
          <w:lang w:val="fr-CA"/>
        </w:rPr>
        <w:tab/>
      </w:r>
      <w:r w:rsidRPr="004C53A6">
        <w:rPr>
          <w:rFonts w:cs="Times New Roman"/>
          <w:i/>
          <w:szCs w:val="24"/>
          <w:lang w:val="fr-CA"/>
        </w:rPr>
        <w:t xml:space="preserve">Le rôle de la doctrine de la </w:t>
      </w:r>
      <w:proofErr w:type="spellStart"/>
      <w:r w:rsidRPr="004C53A6">
        <w:rPr>
          <w:rFonts w:cs="Times New Roman"/>
          <w:i/>
          <w:szCs w:val="24"/>
          <w:lang w:val="fr-CA"/>
        </w:rPr>
        <w:t>préclusion</w:t>
      </w:r>
      <w:proofErr w:type="spellEnd"/>
      <w:r w:rsidRPr="004C53A6">
        <w:rPr>
          <w:rFonts w:cs="Times New Roman"/>
          <w:i/>
          <w:szCs w:val="24"/>
          <w:lang w:val="fr-CA"/>
        </w:rPr>
        <w:t xml:space="preserve"> découlant d</w:t>
      </w:r>
      <w:r>
        <w:rPr>
          <w:rFonts w:cs="Times New Roman"/>
          <w:i/>
          <w:szCs w:val="24"/>
          <w:lang w:val="fr-CA"/>
        </w:rPr>
        <w:t>’</w:t>
      </w:r>
      <w:r w:rsidRPr="004C53A6">
        <w:rPr>
          <w:rFonts w:cs="Times New Roman"/>
          <w:i/>
          <w:szCs w:val="24"/>
          <w:lang w:val="fr-CA"/>
        </w:rPr>
        <w:t>une question déjà tranchée</w:t>
      </w:r>
      <w:r w:rsidRPr="004C53A6">
        <w:rPr>
          <w:rFonts w:cs="Times New Roman"/>
          <w:i/>
          <w:szCs w:val="24"/>
          <w:u w:val="single"/>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vise à protéger le caractère définitif des litiges en empêchant la remise en cause de questions déjà tranchées lors d</w:t>
      </w:r>
      <w:r>
        <w:rPr>
          <w:rFonts w:cs="Times New Roman"/>
          <w:szCs w:val="24"/>
          <w:lang w:val="fr-CA"/>
        </w:rPr>
        <w:t>’</w:t>
      </w:r>
      <w:r w:rsidRPr="004C53A6">
        <w:rPr>
          <w:rFonts w:cs="Times New Roman"/>
          <w:szCs w:val="24"/>
          <w:lang w:val="fr-CA"/>
        </w:rPr>
        <w:t xml:space="preserve">une instance antérieure.  Elle constitue la réaction théorique aux </w:t>
      </w:r>
      <w:r w:rsidRPr="004C53A6">
        <w:rPr>
          <w:rFonts w:cs="Times New Roman"/>
          <w:smallCaps/>
          <w:szCs w:val="24"/>
          <w:lang w:val="fr-CA"/>
        </w:rPr>
        <w:t>[traduction]</w:t>
      </w:r>
      <w:r w:rsidRPr="004C53A6">
        <w:rPr>
          <w:rFonts w:cs="Times New Roman"/>
          <w:szCs w:val="24"/>
          <w:lang w:val="fr-CA"/>
        </w:rPr>
        <w:t xml:space="preserve"> « principes jumeaux [. . .] selon lesquels tout litige doit avoir une fi</w:t>
      </w:r>
      <w:r w:rsidR="002358C6">
        <w:rPr>
          <w:rFonts w:cs="Times New Roman"/>
          <w:szCs w:val="24"/>
          <w:lang w:val="fr-CA"/>
        </w:rPr>
        <w:t>n et [. . .] la même partie ne doit pas être</w:t>
      </w:r>
      <w:r w:rsidRPr="004C53A6">
        <w:rPr>
          <w:rFonts w:cs="Times New Roman"/>
          <w:szCs w:val="24"/>
          <w:lang w:val="fr-CA"/>
        </w:rPr>
        <w:t xml:space="preserve"> harassée deux fois pour la même cause »</w:t>
      </w:r>
      <w:r w:rsidR="00071994">
        <w:rPr>
          <w:rFonts w:cs="Times New Roman"/>
          <w:szCs w:val="24"/>
          <w:lang w:val="fr-CA"/>
        </w:rPr>
        <w:t> (</w:t>
      </w:r>
      <w:r w:rsidRPr="004C53A6">
        <w:rPr>
          <w:rFonts w:cs="Times New Roman"/>
          <w:i/>
          <w:iCs/>
          <w:szCs w:val="24"/>
          <w:lang w:val="fr-CA"/>
        </w:rPr>
        <w:t xml:space="preserve">Carl Zeiss </w:t>
      </w:r>
      <w:proofErr w:type="spellStart"/>
      <w:r w:rsidRPr="004C53A6">
        <w:rPr>
          <w:rFonts w:cs="Times New Roman"/>
          <w:i/>
          <w:iCs/>
          <w:szCs w:val="24"/>
          <w:lang w:val="fr-CA"/>
        </w:rPr>
        <w:t>Stiftung</w:t>
      </w:r>
      <w:proofErr w:type="spellEnd"/>
      <w:r w:rsidRPr="004C53A6">
        <w:rPr>
          <w:rFonts w:cs="Times New Roman"/>
          <w:iCs/>
          <w:szCs w:val="24"/>
          <w:lang w:val="fr-CA"/>
        </w:rPr>
        <w:t>, p. 946</w:t>
      </w:r>
      <w:r w:rsidRPr="004C53A6">
        <w:rPr>
          <w:rFonts w:cs="Times New Roman"/>
          <w:szCs w:val="24"/>
          <w:lang w:val="fr-CA"/>
        </w:rPr>
        <w:t xml:space="preserve">; K. R. </w:t>
      </w:r>
      <w:proofErr w:type="spellStart"/>
      <w:r w:rsidRPr="004C53A6">
        <w:rPr>
          <w:rFonts w:cs="Times New Roman"/>
          <w:szCs w:val="24"/>
          <w:lang w:val="fr-CA"/>
        </w:rPr>
        <w:t>Handley</w:t>
      </w:r>
      <w:proofErr w:type="spellEnd"/>
      <w:r w:rsidRPr="004C53A6">
        <w:rPr>
          <w:rFonts w:cs="Times New Roman"/>
          <w:szCs w:val="24"/>
          <w:lang w:val="fr-CA"/>
        </w:rPr>
        <w:t xml:space="preserve">, </w:t>
      </w:r>
      <w:r w:rsidRPr="004C53A6">
        <w:rPr>
          <w:rFonts w:cs="Times New Roman"/>
          <w:i/>
          <w:szCs w:val="24"/>
          <w:lang w:val="fr-CA"/>
        </w:rPr>
        <w:t xml:space="preserve">Spencer </w:t>
      </w:r>
      <w:proofErr w:type="spellStart"/>
      <w:r w:rsidRPr="004C53A6">
        <w:rPr>
          <w:rFonts w:cs="Times New Roman"/>
          <w:i/>
          <w:szCs w:val="24"/>
          <w:lang w:val="fr-CA"/>
        </w:rPr>
        <w:t>Bower</w:t>
      </w:r>
      <w:proofErr w:type="spellEnd"/>
      <w:r w:rsidRPr="004C53A6">
        <w:rPr>
          <w:rFonts w:cs="Times New Roman"/>
          <w:i/>
          <w:szCs w:val="24"/>
          <w:lang w:val="fr-CA"/>
        </w:rPr>
        <w:t xml:space="preserve"> and </w:t>
      </w:r>
      <w:proofErr w:type="spellStart"/>
      <w:r w:rsidRPr="004C53A6">
        <w:rPr>
          <w:rFonts w:cs="Times New Roman"/>
          <w:i/>
          <w:szCs w:val="24"/>
          <w:lang w:val="fr-CA"/>
        </w:rPr>
        <w:t>Handley</w:t>
      </w:r>
      <w:proofErr w:type="spellEnd"/>
      <w:r w:rsidR="00975281" w:rsidRPr="00975281">
        <w:rPr>
          <w:rFonts w:cs="Times New Roman"/>
          <w:i/>
          <w:szCs w:val="24"/>
          <w:lang w:val="fr-CA"/>
        </w:rPr>
        <w:t xml:space="preserve"> </w:t>
      </w:r>
      <w:r w:rsidRPr="00975281">
        <w:rPr>
          <w:rFonts w:cs="Times New Roman"/>
          <w:i/>
          <w:szCs w:val="24"/>
          <w:lang w:val="fr-CA"/>
        </w:rPr>
        <w:t>:</w:t>
      </w:r>
      <w:r w:rsidRPr="004C53A6">
        <w:rPr>
          <w:rFonts w:cs="Times New Roman"/>
          <w:szCs w:val="24"/>
          <w:lang w:val="fr-CA"/>
        </w:rPr>
        <w:t xml:space="preserve"> </w:t>
      </w:r>
      <w:proofErr w:type="spellStart"/>
      <w:r w:rsidRPr="004C53A6">
        <w:rPr>
          <w:rFonts w:cs="Times New Roman"/>
          <w:i/>
          <w:iCs/>
          <w:szCs w:val="24"/>
          <w:lang w:val="fr-CA"/>
        </w:rPr>
        <w:t>Res</w:t>
      </w:r>
      <w:proofErr w:type="spellEnd"/>
      <w:r w:rsidRPr="004C53A6">
        <w:rPr>
          <w:rFonts w:cs="Times New Roman"/>
          <w:i/>
          <w:iCs/>
          <w:szCs w:val="24"/>
          <w:lang w:val="fr-CA"/>
        </w:rPr>
        <w:t xml:space="preserve"> </w:t>
      </w:r>
      <w:proofErr w:type="spellStart"/>
      <w:r w:rsidRPr="004C53A6">
        <w:rPr>
          <w:rFonts w:cs="Times New Roman"/>
          <w:i/>
          <w:iCs/>
          <w:szCs w:val="24"/>
          <w:lang w:val="fr-CA"/>
        </w:rPr>
        <w:t>Judicata</w:t>
      </w:r>
      <w:proofErr w:type="spellEnd"/>
      <w:r w:rsidRPr="004C53A6">
        <w:rPr>
          <w:rFonts w:cs="Times New Roman"/>
          <w:szCs w:val="24"/>
          <w:lang w:val="fr-CA"/>
        </w:rPr>
        <w:t xml:space="preserve"> (4</w:t>
      </w:r>
      <w:r w:rsidRPr="004C53A6">
        <w:rPr>
          <w:rFonts w:cs="Times New Roman"/>
          <w:szCs w:val="24"/>
          <w:vertAlign w:val="superscript"/>
          <w:lang w:val="fr-CA"/>
        </w:rPr>
        <w:t>e</w:t>
      </w:r>
      <w:r w:rsidRPr="004C53A6">
        <w:rPr>
          <w:rFonts w:cs="Times New Roman"/>
          <w:szCs w:val="24"/>
          <w:lang w:val="fr-CA"/>
        </w:rPr>
        <w:t xml:space="preserve"> éd. 2009), p. 4; Donald J. Lange, </w:t>
      </w:r>
      <w:r w:rsidRPr="004C53A6">
        <w:rPr>
          <w:rFonts w:cs="Times New Roman"/>
          <w:i/>
          <w:szCs w:val="24"/>
          <w:lang w:val="fr-CA"/>
        </w:rPr>
        <w:t xml:space="preserve">The Doctrine of </w:t>
      </w:r>
      <w:proofErr w:type="spellStart"/>
      <w:r w:rsidRPr="004C53A6">
        <w:rPr>
          <w:rFonts w:cs="Times New Roman"/>
          <w:i/>
          <w:szCs w:val="24"/>
          <w:lang w:val="fr-CA"/>
        </w:rPr>
        <w:t>Res</w:t>
      </w:r>
      <w:proofErr w:type="spellEnd"/>
      <w:r w:rsidRPr="004C53A6">
        <w:rPr>
          <w:rFonts w:cs="Times New Roman"/>
          <w:i/>
          <w:szCs w:val="24"/>
          <w:lang w:val="fr-CA"/>
        </w:rPr>
        <w:t xml:space="preserve"> </w:t>
      </w:r>
      <w:proofErr w:type="spellStart"/>
      <w:r w:rsidRPr="004C53A6">
        <w:rPr>
          <w:rFonts w:cs="Times New Roman"/>
          <w:i/>
          <w:szCs w:val="24"/>
          <w:lang w:val="fr-CA"/>
        </w:rPr>
        <w:t>Judicata</w:t>
      </w:r>
      <w:proofErr w:type="spellEnd"/>
      <w:r w:rsidRPr="004C53A6">
        <w:rPr>
          <w:rFonts w:cs="Times New Roman"/>
          <w:i/>
          <w:szCs w:val="24"/>
          <w:lang w:val="fr-CA"/>
        </w:rPr>
        <w:t xml:space="preserve"> in Canada </w:t>
      </w:r>
      <w:r w:rsidRPr="004C53A6">
        <w:rPr>
          <w:rFonts w:cs="Times New Roman"/>
          <w:szCs w:val="24"/>
          <w:lang w:val="fr-CA"/>
        </w:rPr>
        <w:t>(3</w:t>
      </w:r>
      <w:r w:rsidRPr="004C53A6">
        <w:rPr>
          <w:rFonts w:cs="Times New Roman"/>
          <w:szCs w:val="24"/>
          <w:vertAlign w:val="superscript"/>
          <w:lang w:val="fr-CA"/>
        </w:rPr>
        <w:t>e</w:t>
      </w:r>
      <w:r w:rsidRPr="004C53A6">
        <w:rPr>
          <w:rFonts w:cs="Times New Roman"/>
          <w:szCs w:val="24"/>
          <w:lang w:val="fr-CA"/>
        </w:rPr>
        <w:t> éd. 2010), p. 4</w:t>
      </w:r>
      <w:r w:rsidRPr="004C53A6">
        <w:rPr>
          <w:rFonts w:cs="Times New Roman"/>
          <w:szCs w:val="24"/>
          <w:lang w:val="fr-CA"/>
        </w:rPr>
        <w:noBreakHyphen/>
        <w:t>7</w:t>
      </w:r>
      <w:r w:rsidR="00071994">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Ces principes jumeaux sont souvent définis en fonction de l</w:t>
      </w:r>
      <w:r>
        <w:rPr>
          <w:rFonts w:cs="Times New Roman"/>
          <w:szCs w:val="24"/>
          <w:lang w:val="fr-CA"/>
        </w:rPr>
        <w:t>’</w:t>
      </w:r>
      <w:r w:rsidRPr="004C53A6">
        <w:rPr>
          <w:rFonts w:cs="Times New Roman"/>
          <w:szCs w:val="24"/>
          <w:lang w:val="fr-CA"/>
        </w:rPr>
        <w:t xml:space="preserve">intérêt public quant à la sauvegarde du caractère définitif des litiges — que </w:t>
      </w:r>
      <w:proofErr w:type="spellStart"/>
      <w:r w:rsidRPr="004C53A6">
        <w:rPr>
          <w:rFonts w:cs="Times New Roman"/>
          <w:szCs w:val="24"/>
          <w:lang w:val="fr-CA"/>
        </w:rPr>
        <w:t>ceux</w:t>
      </w:r>
      <w:r w:rsidRPr="004C53A6">
        <w:rPr>
          <w:rFonts w:cs="Times New Roman"/>
          <w:szCs w:val="24"/>
          <w:lang w:val="fr-CA"/>
        </w:rPr>
        <w:noBreakHyphen/>
        <w:t>ci</w:t>
      </w:r>
      <w:proofErr w:type="spellEnd"/>
      <w:r w:rsidRPr="004C53A6">
        <w:rPr>
          <w:rFonts w:cs="Times New Roman"/>
          <w:szCs w:val="24"/>
          <w:lang w:val="fr-CA"/>
        </w:rPr>
        <w:t xml:space="preserve"> donnent lieu à des recours civils, criminels ou administratifs — et en fonction des intérêts </w:t>
      </w:r>
      <w:r w:rsidRPr="004C53A6">
        <w:rPr>
          <w:rFonts w:cs="Times New Roman"/>
          <w:szCs w:val="24"/>
          <w:lang w:val="fr-CA"/>
        </w:rPr>
        <w:lastRenderedPageBreak/>
        <w:t>individuels quant à la protection des parties contre l</w:t>
      </w:r>
      <w:r>
        <w:rPr>
          <w:rFonts w:cs="Times New Roman"/>
          <w:szCs w:val="24"/>
          <w:lang w:val="fr-CA"/>
        </w:rPr>
        <w:t>’</w:t>
      </w:r>
      <w:r w:rsidRPr="004C53A6">
        <w:rPr>
          <w:rFonts w:cs="Times New Roman"/>
          <w:szCs w:val="24"/>
          <w:lang w:val="fr-CA"/>
        </w:rPr>
        <w:t>iniquité des poursuites répétitives</w:t>
      </w:r>
      <w:r w:rsidR="00975281">
        <w:rPr>
          <w:rFonts w:cs="Times New Roman"/>
          <w:szCs w:val="24"/>
          <w:lang w:val="fr-CA"/>
        </w:rPr>
        <w:t> </w:t>
      </w:r>
      <w:r w:rsidR="00071994">
        <w:rPr>
          <w:rFonts w:cs="Times New Roman"/>
          <w:szCs w:val="24"/>
          <w:lang w:val="fr-CA"/>
        </w:rPr>
        <w:t>(</w:t>
      </w:r>
      <w:r w:rsidRPr="004C53A6">
        <w:rPr>
          <w:rFonts w:cs="Times New Roman"/>
          <w:szCs w:val="24"/>
          <w:lang w:val="fr-CA"/>
        </w:rPr>
        <w:t xml:space="preserve">voir </w:t>
      </w:r>
      <w:proofErr w:type="spellStart"/>
      <w:r w:rsidRPr="004C53A6">
        <w:rPr>
          <w:rFonts w:cs="Times New Roman"/>
          <w:i/>
          <w:szCs w:val="24"/>
          <w:lang w:val="fr-CA"/>
        </w:rPr>
        <w:t>EnerNorth</w:t>
      </w:r>
      <w:proofErr w:type="spellEnd"/>
      <w:r w:rsidRPr="004C53A6">
        <w:rPr>
          <w:rFonts w:cs="Times New Roman"/>
          <w:i/>
          <w:szCs w:val="24"/>
          <w:lang w:val="fr-CA"/>
        </w:rPr>
        <w:t xml:space="preserve"> Industries Inc., </w:t>
      </w:r>
      <w:proofErr w:type="spellStart"/>
      <w:r w:rsidRPr="004C53A6">
        <w:rPr>
          <w:rFonts w:cs="Times New Roman"/>
          <w:i/>
          <w:szCs w:val="24"/>
          <w:lang w:val="fr-CA"/>
        </w:rPr>
        <w:t>Re</w:t>
      </w:r>
      <w:proofErr w:type="spellEnd"/>
      <w:r w:rsidR="00975281" w:rsidRPr="00975281">
        <w:rPr>
          <w:rFonts w:cs="Times New Roman"/>
          <w:szCs w:val="24"/>
          <w:lang w:val="fr-CA"/>
        </w:rPr>
        <w:t>,</w:t>
      </w:r>
      <w:r w:rsidRPr="004C53A6">
        <w:rPr>
          <w:rFonts w:cs="Times New Roman"/>
          <w:i/>
          <w:szCs w:val="24"/>
          <w:lang w:val="fr-CA"/>
        </w:rPr>
        <w:t xml:space="preserve"> </w:t>
      </w:r>
      <w:r w:rsidRPr="004C53A6">
        <w:rPr>
          <w:rFonts w:cs="Times New Roman"/>
          <w:szCs w:val="24"/>
          <w:lang w:val="fr-CA"/>
        </w:rPr>
        <w:t xml:space="preserve">2009 ONCA 536, 96 O.R. (3d) 1, par. 53; </w:t>
      </w:r>
      <w:proofErr w:type="spellStart"/>
      <w:r w:rsidR="00975281">
        <w:rPr>
          <w:rFonts w:cs="Times New Roman"/>
          <w:szCs w:val="24"/>
          <w:lang w:val="fr-CA"/>
        </w:rPr>
        <w:t>Handley</w:t>
      </w:r>
      <w:proofErr w:type="spellEnd"/>
      <w:r w:rsidR="00975281">
        <w:rPr>
          <w:rFonts w:cs="Times New Roman"/>
          <w:szCs w:val="24"/>
          <w:lang w:val="fr-CA"/>
        </w:rPr>
        <w:t>, p. 4; Lange, p. 7</w:t>
      </w:r>
      <w:r w:rsidR="00071994">
        <w:rPr>
          <w:rFonts w:cs="Times New Roman"/>
          <w:szCs w:val="24"/>
          <w:lang w:val="fr-CA"/>
        </w:rPr>
        <w:t>)</w:t>
      </w:r>
      <w:r w:rsidRPr="004C53A6">
        <w:rPr>
          <w:rFonts w:cs="Times New Roman"/>
          <w:szCs w:val="24"/>
          <w:lang w:val="fr-CA"/>
        </w:rPr>
        <w:t>.  Toutefois, il est clair que les deux principes ont pour objectif fondamental de protéger l</w:t>
      </w:r>
      <w:r>
        <w:rPr>
          <w:rFonts w:cs="Times New Roman"/>
          <w:szCs w:val="24"/>
          <w:lang w:val="fr-CA"/>
        </w:rPr>
        <w:t>’</w:t>
      </w:r>
      <w:r w:rsidRPr="004C53A6">
        <w:rPr>
          <w:rFonts w:cs="Times New Roman"/>
          <w:szCs w:val="24"/>
          <w:lang w:val="fr-CA"/>
        </w:rPr>
        <w:t>équité et l</w:t>
      </w:r>
      <w:r>
        <w:rPr>
          <w:rFonts w:cs="Times New Roman"/>
          <w:szCs w:val="24"/>
          <w:lang w:val="fr-CA"/>
        </w:rPr>
        <w:t>’</w:t>
      </w:r>
      <w:r w:rsidRPr="004C53A6">
        <w:rPr>
          <w:rFonts w:cs="Times New Roman"/>
          <w:szCs w:val="24"/>
          <w:lang w:val="fr-CA"/>
        </w:rPr>
        <w:t>intégrité du système de justice en empêchant les procédures répétitives.  En d</w:t>
      </w:r>
      <w:r>
        <w:rPr>
          <w:rFonts w:cs="Times New Roman"/>
          <w:szCs w:val="24"/>
          <w:lang w:val="fr-CA"/>
        </w:rPr>
        <w:t>’</w:t>
      </w:r>
      <w:r w:rsidRPr="004C53A6">
        <w:rPr>
          <w:rFonts w:cs="Times New Roman"/>
          <w:szCs w:val="24"/>
          <w:lang w:val="fr-CA"/>
        </w:rPr>
        <w:t>autres termes, ces principes ne sont pas concurrents, mais plutôt fondamentalement liés.  Comme l</w:t>
      </w:r>
      <w:r>
        <w:rPr>
          <w:rFonts w:cs="Times New Roman"/>
          <w:szCs w:val="24"/>
          <w:lang w:val="fr-CA"/>
        </w:rPr>
        <w:t>’</w:t>
      </w:r>
      <w:r w:rsidRPr="004C53A6">
        <w:rPr>
          <w:rFonts w:cs="Times New Roman"/>
          <w:szCs w:val="24"/>
          <w:lang w:val="fr-CA"/>
        </w:rPr>
        <w:t xml:space="preserve">a reconnu récemment la Cour dans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l</w:t>
      </w:r>
      <w:r>
        <w:rPr>
          <w:rFonts w:cs="Times New Roman"/>
          <w:szCs w:val="24"/>
          <w:lang w:val="fr-CA"/>
        </w:rPr>
        <w:t>’</w:t>
      </w:r>
      <w:r w:rsidRPr="004C53A6">
        <w:rPr>
          <w:rFonts w:cs="Times New Roman"/>
          <w:szCs w:val="24"/>
          <w:lang w:val="fr-CA"/>
        </w:rPr>
        <w:t xml:space="preserve">objectif ultime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n</w:t>
      </w:r>
      <w:r>
        <w:rPr>
          <w:rFonts w:cs="Times New Roman"/>
          <w:szCs w:val="24"/>
          <w:lang w:val="fr-CA"/>
        </w:rPr>
        <w:t>’</w:t>
      </w:r>
      <w:r w:rsidRPr="004C53A6">
        <w:rPr>
          <w:rFonts w:cs="Times New Roman"/>
          <w:szCs w:val="24"/>
          <w:lang w:val="fr-CA"/>
        </w:rPr>
        <w:t>est pas atteint simplement en établissant un équilibre entre l</w:t>
      </w:r>
      <w:r>
        <w:rPr>
          <w:rFonts w:cs="Times New Roman"/>
          <w:szCs w:val="24"/>
          <w:lang w:val="fr-CA"/>
        </w:rPr>
        <w:t>’</w:t>
      </w:r>
      <w:r w:rsidRPr="004C53A6">
        <w:rPr>
          <w:rFonts w:cs="Times New Roman"/>
          <w:szCs w:val="24"/>
          <w:lang w:val="fr-CA"/>
        </w:rPr>
        <w:t>équité et le caractère définitif des décisions, mais en cherchant à protéger « l</w:t>
      </w:r>
      <w:r>
        <w:rPr>
          <w:rFonts w:cs="Times New Roman"/>
          <w:szCs w:val="24"/>
          <w:lang w:val="fr-CA"/>
        </w:rPr>
        <w:t>’</w:t>
      </w:r>
      <w:r w:rsidRPr="004C53A6">
        <w:rPr>
          <w:rFonts w:cs="Times New Roman"/>
          <w:szCs w:val="24"/>
          <w:lang w:val="fr-CA"/>
        </w:rPr>
        <w:t xml:space="preserve">équité </w:t>
      </w:r>
      <w:r w:rsidRPr="004C53A6">
        <w:rPr>
          <w:rFonts w:cs="Times New Roman"/>
          <w:szCs w:val="24"/>
          <w:u w:val="single"/>
          <w:lang w:val="fr-CA"/>
        </w:rPr>
        <w:t>du</w:t>
      </w:r>
      <w:r w:rsidRPr="004C53A6">
        <w:rPr>
          <w:rFonts w:cs="Times New Roman"/>
          <w:szCs w:val="24"/>
          <w:lang w:val="fr-CA"/>
        </w:rPr>
        <w:t xml:space="preserve"> caractère définitif du processus décisionnel et [à] éviter la remise en cause de questions déjà tranchées par un décideur ayant </w:t>
      </w:r>
      <w:r w:rsidR="006F29BD">
        <w:rPr>
          <w:rFonts w:cs="Times New Roman"/>
          <w:szCs w:val="24"/>
          <w:lang w:val="fr-CA"/>
        </w:rPr>
        <w:t>compétence pour en connaître » (</w:t>
      </w:r>
      <w:r w:rsidRPr="004C53A6">
        <w:rPr>
          <w:rFonts w:cs="Times New Roman"/>
          <w:szCs w:val="24"/>
          <w:lang w:val="fr-CA"/>
        </w:rPr>
        <w:t>par. 36 (nous soulignons)</w:t>
      </w:r>
      <w:r w:rsidR="006F29BD">
        <w:rPr>
          <w:rFonts w:cs="Times New Roman"/>
          <w:szCs w:val="24"/>
          <w:lang w:val="fr-CA"/>
        </w:rPr>
        <w:t>)</w:t>
      </w:r>
      <w:r w:rsidR="00975281">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b/>
          <w:bCs/>
          <w:iCs/>
          <w:szCs w:val="24"/>
          <w:lang w:val="fr-CA"/>
        </w:rPr>
      </w:pPr>
      <w:r w:rsidRPr="004C53A6">
        <w:rPr>
          <w:rFonts w:cs="Times New Roman"/>
          <w:szCs w:val="24"/>
          <w:lang w:val="fr-CA"/>
        </w:rPr>
        <w:t>Dans l</w:t>
      </w:r>
      <w:r>
        <w:rPr>
          <w:rFonts w:cs="Times New Roman"/>
          <w:szCs w:val="24"/>
          <w:lang w:val="fr-CA"/>
        </w:rPr>
        <w:t>’</w:t>
      </w:r>
      <w:r w:rsidRPr="004C53A6">
        <w:rPr>
          <w:rFonts w:cs="Times New Roman"/>
          <w:szCs w:val="24"/>
          <w:lang w:val="fr-CA"/>
        </w:rPr>
        <w:t xml:space="preserve">arrêt </w:t>
      </w:r>
      <w:proofErr w:type="spellStart"/>
      <w:r w:rsidRPr="004C53A6">
        <w:rPr>
          <w:rFonts w:cs="Times New Roman"/>
          <w:bCs/>
          <w:i/>
          <w:iCs/>
          <w:szCs w:val="24"/>
          <w:lang w:val="fr-CA"/>
        </w:rPr>
        <w:t>Tsaoussis</w:t>
      </w:r>
      <w:proofErr w:type="spellEnd"/>
      <w:r w:rsidRPr="004C53A6">
        <w:rPr>
          <w:rFonts w:cs="Times New Roman"/>
          <w:bCs/>
          <w:i/>
          <w:iCs/>
          <w:szCs w:val="24"/>
          <w:lang w:val="fr-CA"/>
        </w:rPr>
        <w:t xml:space="preserve"> (</w:t>
      </w:r>
      <w:proofErr w:type="spellStart"/>
      <w:r w:rsidRPr="004C53A6">
        <w:rPr>
          <w:rFonts w:cs="Times New Roman"/>
          <w:bCs/>
          <w:i/>
          <w:iCs/>
          <w:szCs w:val="24"/>
          <w:lang w:val="fr-CA"/>
        </w:rPr>
        <w:t>Litigation</w:t>
      </w:r>
      <w:proofErr w:type="spellEnd"/>
      <w:r w:rsidRPr="004C53A6">
        <w:rPr>
          <w:rFonts w:cs="Times New Roman"/>
          <w:bCs/>
          <w:i/>
          <w:iCs/>
          <w:szCs w:val="24"/>
          <w:lang w:val="fr-CA"/>
        </w:rPr>
        <w:t xml:space="preserve"> Guardian of) c. </w:t>
      </w:r>
      <w:proofErr w:type="spellStart"/>
      <w:r w:rsidRPr="004C53A6">
        <w:rPr>
          <w:rFonts w:cs="Times New Roman"/>
          <w:bCs/>
          <w:i/>
          <w:iCs/>
          <w:szCs w:val="24"/>
          <w:lang w:val="fr-CA"/>
        </w:rPr>
        <w:t>Baetz</w:t>
      </w:r>
      <w:proofErr w:type="spellEnd"/>
      <w:r w:rsidRPr="004C53A6">
        <w:rPr>
          <w:rFonts w:cs="Times New Roman"/>
          <w:bCs/>
          <w:i/>
          <w:iCs/>
          <w:szCs w:val="24"/>
          <w:lang w:val="fr-CA"/>
        </w:rPr>
        <w:t xml:space="preserve"> </w:t>
      </w:r>
      <w:r w:rsidRPr="004C53A6">
        <w:rPr>
          <w:rFonts w:cs="Times New Roman"/>
          <w:bCs/>
          <w:iCs/>
          <w:szCs w:val="24"/>
          <w:lang w:val="fr-CA"/>
        </w:rPr>
        <w:t xml:space="preserve">(1998), 41 O.R. (3d) 257 (C.A.), </w:t>
      </w:r>
      <w:r w:rsidRPr="004C53A6">
        <w:rPr>
          <w:rFonts w:cs="Times New Roman"/>
          <w:szCs w:val="24"/>
          <w:lang w:val="fr-CA"/>
        </w:rPr>
        <w:t>p. 264</w:t>
      </w:r>
      <w:r w:rsidRPr="004C53A6">
        <w:rPr>
          <w:rFonts w:cs="Times New Roman"/>
          <w:szCs w:val="24"/>
          <w:lang w:val="fr-CA"/>
        </w:rPr>
        <w:noBreakHyphen/>
      </w:r>
      <w:r w:rsidR="00975281">
        <w:rPr>
          <w:rFonts w:cs="Times New Roman"/>
          <w:szCs w:val="24"/>
          <w:lang w:val="fr-CA"/>
        </w:rPr>
        <w:t>2</w:t>
      </w:r>
      <w:r w:rsidR="009337EA">
        <w:rPr>
          <w:rFonts w:cs="Times New Roman"/>
          <w:szCs w:val="24"/>
          <w:lang w:val="fr-CA"/>
        </w:rPr>
        <w:t xml:space="preserve">65, </w:t>
      </w:r>
      <w:r w:rsidR="004478A8" w:rsidRPr="004C53A6">
        <w:rPr>
          <w:rFonts w:cs="Times New Roman"/>
          <w:szCs w:val="24"/>
          <w:lang w:val="fr-CA"/>
        </w:rPr>
        <w:t xml:space="preserve"> </w:t>
      </w:r>
      <w:r w:rsidRPr="004C53A6">
        <w:rPr>
          <w:rFonts w:cs="Times New Roman"/>
          <w:szCs w:val="24"/>
          <w:lang w:val="fr-CA"/>
        </w:rPr>
        <w:t>autorisation d</w:t>
      </w:r>
      <w:r w:rsidR="004478A8">
        <w:rPr>
          <w:rFonts w:cs="Times New Roman"/>
          <w:szCs w:val="24"/>
          <w:lang w:val="fr-CA"/>
        </w:rPr>
        <w:t>e pourvoi refusée</w:t>
      </w:r>
      <w:r w:rsidRPr="004C53A6">
        <w:rPr>
          <w:rFonts w:cs="Times New Roman"/>
          <w:szCs w:val="24"/>
          <w:lang w:val="fr-CA"/>
        </w:rPr>
        <w:t>, [</w:t>
      </w:r>
      <w:r w:rsidR="00FE1D87">
        <w:rPr>
          <w:rFonts w:cs="Times New Roman"/>
          <w:szCs w:val="24"/>
          <w:lang w:val="fr-CA"/>
        </w:rPr>
        <w:t>1999] 1 R.C.S. xiv</w:t>
      </w:r>
      <w:r w:rsidRPr="004C53A6">
        <w:rPr>
          <w:rFonts w:cs="Times New Roman"/>
          <w:szCs w:val="24"/>
          <w:lang w:val="fr-CA"/>
        </w:rPr>
        <w:t>, le juge Doherty a fortement souligné l</w:t>
      </w:r>
      <w:r>
        <w:rPr>
          <w:rFonts w:cs="Times New Roman"/>
          <w:szCs w:val="24"/>
          <w:lang w:val="fr-CA"/>
        </w:rPr>
        <w:t>’</w:t>
      </w:r>
      <w:r w:rsidRPr="004C53A6">
        <w:rPr>
          <w:rFonts w:cs="Times New Roman"/>
          <w:szCs w:val="24"/>
          <w:lang w:val="fr-CA"/>
        </w:rPr>
        <w:t>importance fondamentale que revêt le caractère définitif pour le système juridique et pour les parties :</w:t>
      </w:r>
    </w:p>
    <w:p w:rsidR="0000152B" w:rsidRPr="004C53A6" w:rsidRDefault="0000152B" w:rsidP="0000152B">
      <w:pPr>
        <w:pStyle w:val="Citation-AltC"/>
        <w:spacing w:after="240"/>
        <w:ind w:left="1168" w:hanging="1168"/>
        <w:contextualSpacing w:val="0"/>
        <w:rPr>
          <w:szCs w:val="24"/>
          <w:lang w:val="fr-CA"/>
        </w:rPr>
      </w:pPr>
      <w:r w:rsidRPr="004C53A6">
        <w:rPr>
          <w:szCs w:val="24"/>
          <w:lang w:val="fr-CA"/>
        </w:rPr>
        <w:tab/>
      </w:r>
      <w:r w:rsidR="00975281" w:rsidRPr="004C53A6">
        <w:rPr>
          <w:smallCaps/>
          <w:szCs w:val="24"/>
          <w:lang w:val="fr-CA"/>
        </w:rPr>
        <w:t>[traduction]</w:t>
      </w:r>
      <w:r w:rsidR="00975281">
        <w:rPr>
          <w:smallCaps/>
          <w:szCs w:val="24"/>
          <w:lang w:val="fr-CA"/>
        </w:rPr>
        <w:t xml:space="preserve"> </w:t>
      </w:r>
      <w:r w:rsidRPr="004C53A6">
        <w:rPr>
          <w:szCs w:val="24"/>
          <w:lang w:val="fr-CA"/>
        </w:rPr>
        <w:t>Le caractère définitif est une caractéristique importante de notre système de justice, à la fois pour les parties au litige et, sur le plan institutionnel, pour la collectivité en général.  Pour les parties, il est nécessaire sur le plan économique et psychologique.  Pour la collectivité, il limite en quelque sorte le fardeau économique qu</w:t>
      </w:r>
      <w:r>
        <w:rPr>
          <w:szCs w:val="24"/>
          <w:lang w:val="fr-CA"/>
        </w:rPr>
        <w:t>’</w:t>
      </w:r>
      <w:r w:rsidRPr="004C53A6">
        <w:rPr>
          <w:szCs w:val="24"/>
          <w:lang w:val="fr-CA"/>
        </w:rPr>
        <w:t xml:space="preserve">impose chaque litige au système et </w:t>
      </w:r>
      <w:proofErr w:type="gramStart"/>
      <w:r w:rsidRPr="004C53A6">
        <w:rPr>
          <w:szCs w:val="24"/>
          <w:lang w:val="fr-CA"/>
        </w:rPr>
        <w:t>confère aux décisions rendues par le système l</w:t>
      </w:r>
      <w:r>
        <w:rPr>
          <w:szCs w:val="24"/>
          <w:lang w:val="fr-CA"/>
        </w:rPr>
        <w:t>’</w:t>
      </w:r>
      <w:r w:rsidRPr="004C53A6">
        <w:rPr>
          <w:szCs w:val="24"/>
          <w:lang w:val="fr-CA"/>
        </w:rPr>
        <w:t>autorité qu</w:t>
      </w:r>
      <w:r>
        <w:rPr>
          <w:szCs w:val="24"/>
          <w:lang w:val="fr-CA"/>
        </w:rPr>
        <w:t>’</w:t>
      </w:r>
      <w:r w:rsidRPr="004C53A6">
        <w:rPr>
          <w:szCs w:val="24"/>
          <w:lang w:val="fr-CA"/>
        </w:rPr>
        <w:t>elles</w:t>
      </w:r>
      <w:proofErr w:type="gramEnd"/>
      <w:r w:rsidRPr="004C53A6">
        <w:rPr>
          <w:szCs w:val="24"/>
          <w:lang w:val="fr-CA"/>
        </w:rPr>
        <w:t xml:space="preserve"> ne pourraient espérer détenir si elles étaient assujetties à une réévaluation et à une variation constantes : J.I. Jacob, </w:t>
      </w:r>
      <w:r w:rsidRPr="004C53A6">
        <w:rPr>
          <w:i/>
          <w:iCs/>
          <w:szCs w:val="24"/>
          <w:lang w:val="fr-CA"/>
        </w:rPr>
        <w:t xml:space="preserve">The </w:t>
      </w:r>
      <w:proofErr w:type="spellStart"/>
      <w:r w:rsidRPr="004C53A6">
        <w:rPr>
          <w:i/>
          <w:iCs/>
          <w:szCs w:val="24"/>
          <w:lang w:val="fr-CA"/>
        </w:rPr>
        <w:t>Fabric</w:t>
      </w:r>
      <w:proofErr w:type="spellEnd"/>
      <w:r w:rsidRPr="004C53A6">
        <w:rPr>
          <w:i/>
          <w:iCs/>
          <w:szCs w:val="24"/>
          <w:lang w:val="fr-CA"/>
        </w:rPr>
        <w:t xml:space="preserve"> of English Civil Justice</w:t>
      </w:r>
      <w:r w:rsidRPr="004C53A6">
        <w:rPr>
          <w:szCs w:val="24"/>
          <w:lang w:val="fr-CA"/>
        </w:rPr>
        <w:t xml:space="preserve">, </w:t>
      </w:r>
      <w:proofErr w:type="spellStart"/>
      <w:r w:rsidRPr="004C53A6">
        <w:rPr>
          <w:szCs w:val="24"/>
          <w:lang w:val="fr-CA"/>
        </w:rPr>
        <w:t>Hamlyn</w:t>
      </w:r>
      <w:proofErr w:type="spellEnd"/>
      <w:r w:rsidRPr="004C53A6">
        <w:rPr>
          <w:szCs w:val="24"/>
          <w:lang w:val="fr-CA"/>
        </w:rPr>
        <w:t xml:space="preserve"> Lectures 1987, p. 23</w:t>
      </w:r>
      <w:r w:rsidR="00975281">
        <w:rPr>
          <w:szCs w:val="24"/>
          <w:lang w:val="fr-CA"/>
        </w:rPr>
        <w:t>-</w:t>
      </w:r>
      <w:r w:rsidRPr="004C53A6">
        <w:rPr>
          <w:szCs w:val="24"/>
          <w:lang w:val="fr-CA"/>
        </w:rPr>
        <w:t xml:space="preserve">24. </w:t>
      </w:r>
    </w:p>
    <w:p w:rsidR="0000152B" w:rsidRPr="004C53A6" w:rsidRDefault="0000152B" w:rsidP="00504E06">
      <w:pPr>
        <w:pStyle w:val="Citation-AltC"/>
        <w:tabs>
          <w:tab w:val="left" w:pos="1620"/>
        </w:tabs>
        <w:ind w:hanging="1166"/>
        <w:rPr>
          <w:szCs w:val="24"/>
          <w:lang w:val="fr-CA"/>
        </w:rPr>
      </w:pPr>
      <w:r w:rsidRPr="004C53A6">
        <w:rPr>
          <w:szCs w:val="24"/>
          <w:lang w:val="fr-CA"/>
        </w:rPr>
        <w:lastRenderedPageBreak/>
        <w:tab/>
      </w:r>
      <w:r w:rsidRPr="004C53A6">
        <w:rPr>
          <w:szCs w:val="24"/>
          <w:lang w:val="fr-CA"/>
        </w:rPr>
        <w:tab/>
        <w:t>Les parties et la collectivité ont besoin que les litiges aient un caractère définitif déterminé et discernable.  Les parties doivent pouvoir, à un certain point, savoir que la question a été tranchée et que leurs droits et obligations respectifs ont fait l</w:t>
      </w:r>
      <w:r>
        <w:rPr>
          <w:szCs w:val="24"/>
          <w:lang w:val="fr-CA"/>
        </w:rPr>
        <w:t>’</w:t>
      </w:r>
      <w:r w:rsidRPr="004C53A6">
        <w:rPr>
          <w:szCs w:val="24"/>
          <w:lang w:val="fr-CA"/>
        </w:rPr>
        <w:t>objet d</w:t>
      </w:r>
      <w:r>
        <w:rPr>
          <w:szCs w:val="24"/>
          <w:lang w:val="fr-CA"/>
        </w:rPr>
        <w:t>’</w:t>
      </w:r>
      <w:r w:rsidRPr="004C53A6">
        <w:rPr>
          <w:szCs w:val="24"/>
          <w:lang w:val="fr-CA"/>
        </w:rPr>
        <w:t>une décision définitive.  En l</w:t>
      </w:r>
      <w:r>
        <w:rPr>
          <w:szCs w:val="24"/>
          <w:lang w:val="fr-CA"/>
        </w:rPr>
        <w:t>’</w:t>
      </w:r>
      <w:r w:rsidRPr="004C53A6">
        <w:rPr>
          <w:szCs w:val="24"/>
          <w:lang w:val="fr-CA"/>
        </w:rPr>
        <w:t>absence d</w:t>
      </w:r>
      <w:r>
        <w:rPr>
          <w:szCs w:val="24"/>
          <w:lang w:val="fr-CA"/>
        </w:rPr>
        <w:t>’</w:t>
      </w:r>
      <w:r w:rsidRPr="004C53A6">
        <w:rPr>
          <w:szCs w:val="24"/>
          <w:lang w:val="fr-CA"/>
        </w:rPr>
        <w:t>une telle issue discernable, les parties ne peuvent pas avoir la certitude que la question a été tranchée définitivement; elles doivent supporter le fardeau économique et psychologique considérable d</w:t>
      </w:r>
      <w:r>
        <w:rPr>
          <w:szCs w:val="24"/>
          <w:lang w:val="fr-CA"/>
        </w:rPr>
        <w:t>’</w:t>
      </w:r>
      <w:r w:rsidRPr="004C53A6">
        <w:rPr>
          <w:szCs w:val="24"/>
          <w:lang w:val="fr-CA"/>
        </w:rPr>
        <w:t xml:space="preserve">instances de durée indéterminée où leurs droits et obligations respectifs sont réexaminés au fur et à mesure que les circonstances changent.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En tant que type de chose jugée,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s</w:t>
      </w:r>
      <w:r>
        <w:rPr>
          <w:rFonts w:cs="Times New Roman"/>
          <w:szCs w:val="24"/>
          <w:lang w:val="fr-CA"/>
        </w:rPr>
        <w:t>’</w:t>
      </w:r>
      <w:r w:rsidRPr="004C53A6">
        <w:rPr>
          <w:rFonts w:cs="Times New Roman"/>
          <w:szCs w:val="24"/>
          <w:lang w:val="fr-CA"/>
        </w:rPr>
        <w:t xml:space="preserve">apparente sur le plan conceptuel aux doctrines de la </w:t>
      </w:r>
      <w:proofErr w:type="spellStart"/>
      <w:r w:rsidRPr="004C53A6">
        <w:rPr>
          <w:rFonts w:cs="Times New Roman"/>
          <w:szCs w:val="24"/>
          <w:lang w:val="fr-CA"/>
        </w:rPr>
        <w:t>préclusion</w:t>
      </w:r>
      <w:proofErr w:type="spellEnd"/>
      <w:r w:rsidRPr="004C53A6">
        <w:rPr>
          <w:rFonts w:cs="Times New Roman"/>
          <w:szCs w:val="24"/>
          <w:lang w:val="fr-CA"/>
        </w:rPr>
        <w:t xml:space="preserve"> fondée sur la cause d</w:t>
      </w:r>
      <w:r>
        <w:rPr>
          <w:rFonts w:cs="Times New Roman"/>
          <w:szCs w:val="24"/>
          <w:lang w:val="fr-CA"/>
        </w:rPr>
        <w:t>’</w:t>
      </w:r>
      <w:r w:rsidRPr="004C53A6">
        <w:rPr>
          <w:rFonts w:cs="Times New Roman"/>
          <w:szCs w:val="24"/>
          <w:lang w:val="fr-CA"/>
        </w:rPr>
        <w:t>action, de la règle interdisant les contestations indirectes et de l</w:t>
      </w:r>
      <w:r>
        <w:rPr>
          <w:rFonts w:cs="Times New Roman"/>
          <w:szCs w:val="24"/>
          <w:lang w:val="fr-CA"/>
        </w:rPr>
        <w:t>’</w:t>
      </w:r>
      <w:r w:rsidRPr="004C53A6">
        <w:rPr>
          <w:rFonts w:cs="Times New Roman"/>
          <w:szCs w:val="24"/>
          <w:lang w:val="fr-CA"/>
        </w:rPr>
        <w:t>abus de procédure</w:t>
      </w:r>
      <w:r w:rsidR="00975281">
        <w:rPr>
          <w:rFonts w:cs="Times New Roman"/>
          <w:szCs w:val="24"/>
          <w:lang w:val="fr-CA"/>
        </w:rPr>
        <w:t> </w:t>
      </w:r>
      <w:r w:rsidR="006F4ABC">
        <w:rPr>
          <w:rFonts w:cs="Times New Roman"/>
          <w:szCs w:val="24"/>
          <w:lang w:val="fr-CA"/>
        </w:rPr>
        <w:t>(</w:t>
      </w:r>
      <w:r w:rsidR="00975281">
        <w:rPr>
          <w:rFonts w:cs="Times New Roman"/>
          <w:szCs w:val="24"/>
          <w:lang w:val="fr-CA"/>
        </w:rPr>
        <w:t>Lange, p. 1</w:t>
      </w:r>
      <w:r w:rsidR="00975281">
        <w:rPr>
          <w:rFonts w:cs="Times New Roman"/>
          <w:szCs w:val="24"/>
          <w:lang w:val="fr-CA"/>
        </w:rPr>
        <w:noBreakHyphen/>
        <w:t>4</w:t>
      </w:r>
      <w:r w:rsidR="006F4ABC">
        <w:rPr>
          <w:rFonts w:cs="Times New Roman"/>
          <w:szCs w:val="24"/>
          <w:lang w:val="fr-CA"/>
        </w:rPr>
        <w:t>)</w:t>
      </w:r>
      <w:r w:rsidRPr="004C53A6">
        <w:rPr>
          <w:rFonts w:cs="Times New Roman"/>
          <w:szCs w:val="24"/>
          <w:lang w:val="fr-CA"/>
        </w:rPr>
        <w:t xml:space="preserve">.  Tant individuellement que prises dans leur ensemble, ces doctrines deviennent fondamentales pour assurer le respect du principe du caractère définitif des jugements — elles ne sont </w:t>
      </w:r>
      <w:r w:rsidRPr="004C53A6">
        <w:rPr>
          <w:rFonts w:cs="Times New Roman"/>
          <w:smallCaps/>
          <w:szCs w:val="24"/>
          <w:lang w:val="fr-CA"/>
        </w:rPr>
        <w:t>[traduction]</w:t>
      </w:r>
      <w:r w:rsidRPr="004C53A6">
        <w:rPr>
          <w:rFonts w:cs="Times New Roman"/>
          <w:szCs w:val="24"/>
          <w:lang w:val="fr-CA"/>
        </w:rPr>
        <w:t xml:space="preserve"> « pas de simple</w:t>
      </w:r>
      <w:r w:rsidR="009337EA">
        <w:rPr>
          <w:rFonts w:cs="Times New Roman"/>
          <w:szCs w:val="24"/>
          <w:lang w:val="fr-CA"/>
        </w:rPr>
        <w:t>[</w:t>
      </w:r>
      <w:r w:rsidRPr="004C53A6">
        <w:rPr>
          <w:rFonts w:cs="Times New Roman"/>
          <w:szCs w:val="24"/>
          <w:lang w:val="fr-CA"/>
        </w:rPr>
        <w:t>s</w:t>
      </w:r>
      <w:r w:rsidR="009337EA">
        <w:rPr>
          <w:rFonts w:cs="Times New Roman"/>
          <w:szCs w:val="24"/>
          <w:lang w:val="fr-CA"/>
        </w:rPr>
        <w:t>]</w:t>
      </w:r>
      <w:r w:rsidRPr="004C53A6">
        <w:rPr>
          <w:rFonts w:cs="Times New Roman"/>
          <w:szCs w:val="24"/>
          <w:lang w:val="fr-CA"/>
        </w:rPr>
        <w:t xml:space="preserve"> règle</w:t>
      </w:r>
      <w:r w:rsidR="009337EA">
        <w:rPr>
          <w:rFonts w:cs="Times New Roman"/>
          <w:szCs w:val="24"/>
          <w:lang w:val="fr-CA"/>
        </w:rPr>
        <w:t>[</w:t>
      </w:r>
      <w:r w:rsidRPr="004C53A6">
        <w:rPr>
          <w:rFonts w:cs="Times New Roman"/>
          <w:szCs w:val="24"/>
          <w:lang w:val="fr-CA"/>
        </w:rPr>
        <w:t>s</w:t>
      </w:r>
      <w:r w:rsidR="009337EA">
        <w:rPr>
          <w:rFonts w:cs="Times New Roman"/>
          <w:szCs w:val="24"/>
          <w:lang w:val="fr-CA"/>
        </w:rPr>
        <w:t>]</w:t>
      </w:r>
      <w:r w:rsidRPr="004C53A6">
        <w:rPr>
          <w:rFonts w:cs="Times New Roman"/>
          <w:szCs w:val="24"/>
          <w:lang w:val="fr-CA"/>
        </w:rPr>
        <w:t xml:space="preserve"> technique</w:t>
      </w:r>
      <w:r w:rsidR="009337EA">
        <w:rPr>
          <w:rFonts w:cs="Times New Roman"/>
          <w:szCs w:val="24"/>
          <w:lang w:val="fr-CA"/>
        </w:rPr>
        <w:t>[</w:t>
      </w:r>
      <w:r w:rsidRPr="004C53A6">
        <w:rPr>
          <w:rFonts w:cs="Times New Roman"/>
          <w:szCs w:val="24"/>
          <w:lang w:val="fr-CA"/>
        </w:rPr>
        <w:t>s</w:t>
      </w:r>
      <w:r w:rsidR="009337EA">
        <w:rPr>
          <w:rFonts w:cs="Times New Roman"/>
          <w:szCs w:val="24"/>
          <w:lang w:val="fr-CA"/>
        </w:rPr>
        <w:t>]</w:t>
      </w:r>
      <w:r w:rsidRPr="004C53A6">
        <w:rPr>
          <w:rFonts w:cs="Times New Roman"/>
          <w:szCs w:val="24"/>
          <w:lang w:val="fr-CA"/>
        </w:rPr>
        <w:t> », mais « se situ</w:t>
      </w:r>
      <w:r w:rsidR="007E75A1">
        <w:rPr>
          <w:rFonts w:cs="Times New Roman"/>
          <w:szCs w:val="24"/>
          <w:lang w:val="fr-CA"/>
        </w:rPr>
        <w:t>[</w:t>
      </w:r>
      <w:proofErr w:type="spellStart"/>
      <w:r w:rsidRPr="004C53A6">
        <w:rPr>
          <w:rFonts w:cs="Times New Roman"/>
          <w:szCs w:val="24"/>
          <w:lang w:val="fr-CA"/>
        </w:rPr>
        <w:t>ent</w:t>
      </w:r>
      <w:proofErr w:type="spellEnd"/>
      <w:r w:rsidR="007E75A1">
        <w:rPr>
          <w:rFonts w:cs="Times New Roman"/>
          <w:szCs w:val="24"/>
          <w:lang w:val="fr-CA"/>
        </w:rPr>
        <w:t>] plutôt</w:t>
      </w:r>
      <w:r w:rsidRPr="004C53A6">
        <w:rPr>
          <w:rFonts w:cs="Times New Roman"/>
          <w:szCs w:val="24"/>
          <w:lang w:val="fr-CA"/>
        </w:rPr>
        <w:t xml:space="preserve"> au cœur même du système de justice civile qui est voué à la recherche de la vérité [et] qui reconnaît aussi que la perfection est un objectif irréalisable et que le caractère définitif des décisions est nécessaire du point de vu</w:t>
      </w:r>
      <w:r w:rsidR="00975281">
        <w:rPr>
          <w:rFonts w:cs="Times New Roman"/>
          <w:szCs w:val="24"/>
          <w:lang w:val="fr-CA"/>
        </w:rPr>
        <w:t>e</w:t>
      </w:r>
      <w:r w:rsidRPr="004C53A6">
        <w:rPr>
          <w:rFonts w:cs="Times New Roman"/>
          <w:szCs w:val="24"/>
          <w:lang w:val="fr-CA"/>
        </w:rPr>
        <w:t xml:space="preserve"> pratique »</w:t>
      </w:r>
      <w:r w:rsidR="00975281">
        <w:rPr>
          <w:rFonts w:cs="Times New Roman"/>
          <w:szCs w:val="24"/>
          <w:lang w:val="fr-CA"/>
        </w:rPr>
        <w:t> </w:t>
      </w:r>
      <w:r w:rsidR="006F4ABC">
        <w:rPr>
          <w:rFonts w:cs="Times New Roman"/>
          <w:szCs w:val="24"/>
          <w:lang w:val="fr-CA"/>
        </w:rPr>
        <w:t>(</w:t>
      </w:r>
      <w:proofErr w:type="spellStart"/>
      <w:r w:rsidRPr="004C53A6">
        <w:rPr>
          <w:rFonts w:cs="Times New Roman"/>
          <w:i/>
          <w:szCs w:val="24"/>
          <w:lang w:val="fr-CA"/>
        </w:rPr>
        <w:t>Revane</w:t>
      </w:r>
      <w:proofErr w:type="spellEnd"/>
      <w:r w:rsidRPr="004C53A6">
        <w:rPr>
          <w:rFonts w:cs="Times New Roman"/>
          <w:i/>
          <w:szCs w:val="24"/>
          <w:lang w:val="fr-CA"/>
        </w:rPr>
        <w:t xml:space="preserve"> c. </w:t>
      </w:r>
      <w:proofErr w:type="spellStart"/>
      <w:r w:rsidRPr="004C53A6">
        <w:rPr>
          <w:rFonts w:cs="Times New Roman"/>
          <w:i/>
          <w:szCs w:val="24"/>
          <w:lang w:val="fr-CA"/>
        </w:rPr>
        <w:t>Homersham</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2006 BCCA 8, 53 B.C.L.R. (4th)</w:t>
      </w:r>
      <w:r w:rsidR="00975281">
        <w:rPr>
          <w:rFonts w:cs="Times New Roman"/>
          <w:szCs w:val="24"/>
          <w:lang w:val="fr-CA"/>
        </w:rPr>
        <w:t xml:space="preserve"> 76</w:t>
      </w:r>
      <w:r w:rsidRPr="004C53A6">
        <w:rPr>
          <w:rFonts w:cs="Times New Roman"/>
          <w:szCs w:val="24"/>
          <w:lang w:val="fr-CA"/>
        </w:rPr>
        <w:t>, par. 17</w:t>
      </w:r>
      <w:r w:rsidR="006F4ABC">
        <w:rPr>
          <w:rFonts w:cs="Times New Roman"/>
          <w:szCs w:val="24"/>
          <w:lang w:val="fr-CA"/>
        </w:rPr>
        <w:t>)</w:t>
      </w:r>
      <w:r w:rsidRPr="004C53A6">
        <w:rPr>
          <w:rFonts w:cs="Times New Roman"/>
          <w:szCs w:val="24"/>
          <w:lang w:val="fr-CA"/>
        </w:rPr>
        <w:t>.</w:t>
      </w:r>
    </w:p>
    <w:p w:rsidR="0000152B" w:rsidRPr="004C53A6" w:rsidRDefault="0000152B" w:rsidP="0000152B">
      <w:pPr>
        <w:pStyle w:val="TitleTitre-AltT"/>
        <w:tabs>
          <w:tab w:val="clear" w:pos="360"/>
          <w:tab w:val="left" w:pos="1134"/>
        </w:tabs>
        <w:ind w:left="567" w:hanging="567"/>
        <w:rPr>
          <w:rFonts w:cs="Times New Roman"/>
          <w:i/>
          <w:szCs w:val="24"/>
          <w:u w:val="single"/>
          <w:lang w:val="fr-CA"/>
        </w:rPr>
      </w:pPr>
      <w:r w:rsidRPr="004C53A6">
        <w:rPr>
          <w:rFonts w:cs="Times New Roman"/>
          <w:szCs w:val="24"/>
          <w:lang w:val="fr-CA"/>
        </w:rPr>
        <w:t>B.</w:t>
      </w:r>
      <w:r w:rsidRPr="004C53A6">
        <w:rPr>
          <w:rFonts w:cs="Times New Roman"/>
          <w:szCs w:val="24"/>
          <w:lang w:val="fr-CA"/>
        </w:rPr>
        <w:tab/>
      </w:r>
      <w:r w:rsidRPr="004C53A6">
        <w:rPr>
          <w:rFonts w:cs="Times New Roman"/>
          <w:i/>
          <w:szCs w:val="24"/>
          <w:lang w:val="fr-CA"/>
        </w:rPr>
        <w:t xml:space="preserve">Le critère régissant la doctrine de la </w:t>
      </w:r>
      <w:proofErr w:type="spellStart"/>
      <w:r w:rsidRPr="004C53A6">
        <w:rPr>
          <w:rFonts w:cs="Times New Roman"/>
          <w:i/>
          <w:szCs w:val="24"/>
          <w:lang w:val="fr-CA"/>
        </w:rPr>
        <w:t>préclusion</w:t>
      </w:r>
      <w:proofErr w:type="spellEnd"/>
      <w:r w:rsidRPr="004C53A6">
        <w:rPr>
          <w:rFonts w:cs="Times New Roman"/>
          <w:i/>
          <w:szCs w:val="24"/>
          <w:lang w:val="fr-CA"/>
        </w:rPr>
        <w:t xml:space="preserve"> découlant d</w:t>
      </w:r>
      <w:r>
        <w:rPr>
          <w:rFonts w:cs="Times New Roman"/>
          <w:i/>
          <w:szCs w:val="24"/>
          <w:lang w:val="fr-CA"/>
        </w:rPr>
        <w:t>’</w:t>
      </w:r>
      <w:r w:rsidRPr="004C53A6">
        <w:rPr>
          <w:rFonts w:cs="Times New Roman"/>
          <w:i/>
          <w:szCs w:val="24"/>
          <w:lang w:val="fr-CA"/>
        </w:rPr>
        <w:t>une question déjà tranchée</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Le juge Dickson a énoncé dans </w:t>
      </w:r>
      <w:r w:rsidRPr="004C53A6">
        <w:rPr>
          <w:rFonts w:cs="Times New Roman"/>
          <w:i/>
          <w:szCs w:val="24"/>
          <w:lang w:val="fr-CA"/>
        </w:rPr>
        <w:t>Angle c. Ministre du Revenu National</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[1975] 2 R.C.S. 248, les trois conditions d</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 (1) que la même question ait été décidée; (2) que la </w:t>
      </w:r>
      <w:r w:rsidRPr="004C53A6">
        <w:rPr>
          <w:rFonts w:cs="Times New Roman"/>
          <w:szCs w:val="24"/>
          <w:lang w:val="fr-CA"/>
        </w:rPr>
        <w:lastRenderedPageBreak/>
        <w:t xml:space="preserve">décision judiciaire invoquée comme créant la fin de </w:t>
      </w:r>
      <w:proofErr w:type="spellStart"/>
      <w:r w:rsidRPr="004C53A6">
        <w:rPr>
          <w:rFonts w:cs="Times New Roman"/>
          <w:szCs w:val="24"/>
          <w:lang w:val="fr-CA"/>
        </w:rPr>
        <w:t>non</w:t>
      </w:r>
      <w:r w:rsidRPr="004C53A6">
        <w:rPr>
          <w:rFonts w:cs="Times New Roman"/>
          <w:szCs w:val="24"/>
          <w:lang w:val="fr-CA"/>
        </w:rPr>
        <w:noBreakHyphen/>
        <w:t>recevoir</w:t>
      </w:r>
      <w:proofErr w:type="spellEnd"/>
      <w:r w:rsidRPr="004C53A6">
        <w:rPr>
          <w:rFonts w:cs="Times New Roman"/>
          <w:szCs w:val="24"/>
          <w:lang w:val="fr-CA"/>
        </w:rPr>
        <w:t xml:space="preserve"> soit finale; (3) que les parties dans la décision judiciaire invoquée, ou leurs ayants droit</w:t>
      </w:r>
      <w:r w:rsidR="00975281">
        <w:rPr>
          <w:rFonts w:cs="Times New Roman"/>
          <w:szCs w:val="24"/>
          <w:lang w:val="fr-CA"/>
        </w:rPr>
        <w:t>,</w:t>
      </w:r>
      <w:r w:rsidRPr="004C53A6">
        <w:rPr>
          <w:rFonts w:cs="Times New Roman"/>
          <w:szCs w:val="24"/>
          <w:lang w:val="fr-CA"/>
        </w:rPr>
        <w:t xml:space="preserve"> soient les mêmes que les parties engagées dans l</w:t>
      </w:r>
      <w:r>
        <w:rPr>
          <w:rFonts w:cs="Times New Roman"/>
          <w:szCs w:val="24"/>
          <w:lang w:val="fr-CA"/>
        </w:rPr>
        <w:t>’</w:t>
      </w:r>
      <w:r w:rsidRPr="004C53A6">
        <w:rPr>
          <w:rFonts w:cs="Times New Roman"/>
          <w:szCs w:val="24"/>
          <w:lang w:val="fr-CA"/>
        </w:rPr>
        <w:t>affaire où la fi</w:t>
      </w:r>
      <w:r w:rsidR="006F4ABC">
        <w:rPr>
          <w:rFonts w:cs="Times New Roman"/>
          <w:szCs w:val="24"/>
          <w:lang w:val="fr-CA"/>
        </w:rPr>
        <w:t xml:space="preserve">n de </w:t>
      </w:r>
      <w:proofErr w:type="spellStart"/>
      <w:r w:rsidR="006F4ABC">
        <w:rPr>
          <w:rFonts w:cs="Times New Roman"/>
          <w:szCs w:val="24"/>
          <w:lang w:val="fr-CA"/>
        </w:rPr>
        <w:t>non</w:t>
      </w:r>
      <w:r w:rsidR="006F4ABC">
        <w:rPr>
          <w:rFonts w:cs="Times New Roman"/>
          <w:szCs w:val="24"/>
          <w:lang w:val="fr-CA"/>
        </w:rPr>
        <w:noBreakHyphen/>
        <w:t>recevoir</w:t>
      </w:r>
      <w:proofErr w:type="spellEnd"/>
      <w:r w:rsidR="006F4ABC">
        <w:rPr>
          <w:rFonts w:cs="Times New Roman"/>
          <w:szCs w:val="24"/>
          <w:lang w:val="fr-CA"/>
        </w:rPr>
        <w:t xml:space="preserve"> est soulevée (</w:t>
      </w:r>
      <w:r w:rsidR="00FB7216">
        <w:rPr>
          <w:rFonts w:cs="Times New Roman"/>
          <w:szCs w:val="24"/>
          <w:lang w:val="fr-CA"/>
        </w:rPr>
        <w:t>p. 254</w:t>
      </w:r>
      <w:r w:rsidR="006F4ABC">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Toutefois, comme la Cour l</w:t>
      </w:r>
      <w:r>
        <w:rPr>
          <w:rFonts w:cs="Times New Roman"/>
          <w:szCs w:val="24"/>
          <w:lang w:val="fr-CA"/>
        </w:rPr>
        <w:t>’</w:t>
      </w:r>
      <w:r w:rsidRPr="004C53A6">
        <w:rPr>
          <w:rFonts w:cs="Times New Roman"/>
          <w:szCs w:val="24"/>
          <w:lang w:val="fr-CA"/>
        </w:rPr>
        <w:t xml:space="preserve">a reconnu dans </w:t>
      </w:r>
      <w:proofErr w:type="spellStart"/>
      <w:r w:rsidRPr="004C53A6">
        <w:rPr>
          <w:rFonts w:cs="Times New Roman"/>
          <w:i/>
          <w:szCs w:val="24"/>
          <w:lang w:val="fr-CA"/>
        </w:rPr>
        <w:t>Danyluk</w:t>
      </w:r>
      <w:proofErr w:type="spellEnd"/>
      <w:r w:rsidRPr="004C53A6">
        <w:rPr>
          <w:rFonts w:cs="Times New Roman"/>
          <w:szCs w:val="24"/>
          <w:lang w:val="fr-CA"/>
        </w:rPr>
        <w:t>, les tribunaux conservent un pouvoir discrétionnaire résiduel d</w:t>
      </w:r>
      <w:r>
        <w:rPr>
          <w:rFonts w:cs="Times New Roman"/>
          <w:szCs w:val="24"/>
          <w:lang w:val="fr-CA"/>
        </w:rPr>
        <w:t>’</w:t>
      </w:r>
      <w:r w:rsidRPr="004C53A6">
        <w:rPr>
          <w:rFonts w:cs="Times New Roman"/>
          <w:szCs w:val="24"/>
          <w:lang w:val="fr-CA"/>
        </w:rPr>
        <w:t xml:space="preserve">appliquer ou non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dans un cas individuel.  Par conséquent, dans l</w:t>
      </w:r>
      <w:r>
        <w:rPr>
          <w:rFonts w:cs="Times New Roman"/>
          <w:szCs w:val="24"/>
          <w:lang w:val="fr-CA"/>
        </w:rPr>
        <w:t>’</w:t>
      </w:r>
      <w:r w:rsidRPr="004C53A6">
        <w:rPr>
          <w:rFonts w:cs="Times New Roman"/>
          <w:szCs w:val="24"/>
          <w:lang w:val="fr-CA"/>
        </w:rPr>
        <w:t>affaire mentionnée précédemment, la Cour a énoncé le test suivant à deux volets quant à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 </w:t>
      </w:r>
    </w:p>
    <w:p w:rsidR="0000152B" w:rsidRPr="004C53A6" w:rsidRDefault="0000152B" w:rsidP="0000152B">
      <w:pPr>
        <w:pStyle w:val="Citation-AltC"/>
        <w:ind w:hanging="1166"/>
        <w:rPr>
          <w:szCs w:val="24"/>
          <w:lang w:val="fr-CA"/>
        </w:rPr>
      </w:pPr>
      <w:r w:rsidRPr="004C53A6">
        <w:rPr>
          <w:szCs w:val="24"/>
          <w:lang w:val="fr-CA"/>
        </w:rPr>
        <w:tab/>
        <w:t>Il s</w:t>
      </w:r>
      <w:r>
        <w:rPr>
          <w:szCs w:val="24"/>
          <w:lang w:val="fr-CA"/>
        </w:rPr>
        <w:t>’</w:t>
      </w:r>
      <w:r w:rsidRPr="004C53A6">
        <w:rPr>
          <w:szCs w:val="24"/>
          <w:lang w:val="fr-CA"/>
        </w:rPr>
        <w:t>agit, au cours de la première étape, de déterminer si le requérant [. . .] a établi l</w:t>
      </w:r>
      <w:r>
        <w:rPr>
          <w:szCs w:val="24"/>
          <w:lang w:val="fr-CA"/>
        </w:rPr>
        <w:t>’</w:t>
      </w:r>
      <w:r w:rsidRPr="004C53A6">
        <w:rPr>
          <w:szCs w:val="24"/>
          <w:lang w:val="fr-CA"/>
        </w:rPr>
        <w:t>existence des conditions d</w:t>
      </w:r>
      <w:r>
        <w:rPr>
          <w:szCs w:val="24"/>
          <w:lang w:val="fr-CA"/>
        </w:rPr>
        <w:t>’</w:t>
      </w:r>
      <w:r w:rsidRPr="004C53A6">
        <w:rPr>
          <w:szCs w:val="24"/>
          <w:lang w:val="fr-CA"/>
        </w:rPr>
        <w:t xml:space="preserve">application de la </w:t>
      </w:r>
      <w:proofErr w:type="spellStart"/>
      <w:r w:rsidRPr="004C53A6">
        <w:rPr>
          <w:szCs w:val="24"/>
          <w:lang w:val="fr-CA"/>
        </w:rPr>
        <w:t>préclusion</w:t>
      </w:r>
      <w:proofErr w:type="spellEnd"/>
      <w:r w:rsidRPr="004C53A6">
        <w:rPr>
          <w:szCs w:val="24"/>
          <w:lang w:val="fr-CA"/>
        </w:rPr>
        <w:t xml:space="preserve"> découlant d</w:t>
      </w:r>
      <w:r>
        <w:rPr>
          <w:szCs w:val="24"/>
          <w:lang w:val="fr-CA"/>
        </w:rPr>
        <w:t>’</w:t>
      </w:r>
      <w:r w:rsidRPr="004C53A6">
        <w:rPr>
          <w:szCs w:val="24"/>
          <w:lang w:val="fr-CA"/>
        </w:rPr>
        <w:t>une question déjà tranchée énoncées par le juge Dickson dans l</w:t>
      </w:r>
      <w:r>
        <w:rPr>
          <w:szCs w:val="24"/>
          <w:lang w:val="fr-CA"/>
        </w:rPr>
        <w:t>’</w:t>
      </w:r>
      <w:r w:rsidRPr="004C53A6">
        <w:rPr>
          <w:szCs w:val="24"/>
          <w:lang w:val="fr-CA"/>
        </w:rPr>
        <w:t xml:space="preserve">arrêt </w:t>
      </w:r>
      <w:r w:rsidRPr="004C53A6">
        <w:rPr>
          <w:i/>
          <w:szCs w:val="24"/>
          <w:lang w:val="fr-CA"/>
        </w:rPr>
        <w:t>Angle</w:t>
      </w:r>
      <w:r w:rsidRPr="004C53A6">
        <w:rPr>
          <w:szCs w:val="24"/>
          <w:lang w:val="fr-CA"/>
        </w:rPr>
        <w:t xml:space="preserve">, précité.  </w:t>
      </w:r>
      <w:r w:rsidR="00FB7216">
        <w:rPr>
          <w:szCs w:val="24"/>
          <w:lang w:val="fr-CA"/>
        </w:rPr>
        <w:t>Dans l’affirmative</w:t>
      </w:r>
      <w:r w:rsidRPr="004C53A6">
        <w:rPr>
          <w:szCs w:val="24"/>
          <w:lang w:val="fr-CA"/>
        </w:rPr>
        <w:t>, la cour doit ensuite se demander, dans l</w:t>
      </w:r>
      <w:r>
        <w:rPr>
          <w:szCs w:val="24"/>
          <w:lang w:val="fr-CA"/>
        </w:rPr>
        <w:t>’</w:t>
      </w:r>
      <w:r w:rsidRPr="004C53A6">
        <w:rPr>
          <w:szCs w:val="24"/>
          <w:lang w:val="fr-CA"/>
        </w:rPr>
        <w:t xml:space="preserve">exercice de son pouvoir discrétionnaire, si cette forme de </w:t>
      </w:r>
      <w:proofErr w:type="spellStart"/>
      <w:r w:rsidRPr="004C53A6">
        <w:rPr>
          <w:szCs w:val="24"/>
          <w:lang w:val="fr-CA"/>
        </w:rPr>
        <w:t>préclusion</w:t>
      </w:r>
      <w:proofErr w:type="spellEnd"/>
      <w:r w:rsidRPr="004C53A6">
        <w:rPr>
          <w:szCs w:val="24"/>
          <w:lang w:val="fr-CA"/>
        </w:rPr>
        <w:t xml:space="preserve"> </w:t>
      </w:r>
      <w:r w:rsidRPr="004C53A6">
        <w:rPr>
          <w:i/>
          <w:szCs w:val="24"/>
          <w:lang w:val="fr-CA"/>
        </w:rPr>
        <w:t>devrait</w:t>
      </w:r>
      <w:r w:rsidRPr="004C53A6">
        <w:rPr>
          <w:szCs w:val="24"/>
          <w:lang w:val="fr-CA"/>
        </w:rPr>
        <w:t xml:space="preserve"> être appliquée</w:t>
      </w:r>
      <w:r w:rsidR="00FB7216">
        <w:rPr>
          <w:szCs w:val="24"/>
          <w:lang w:val="fr-CA"/>
        </w:rPr>
        <w:t xml:space="preserve"> </w:t>
      </w:r>
      <w:r w:rsidRPr="004C53A6">
        <w:rPr>
          <w:szCs w:val="24"/>
          <w:lang w:val="fr-CA"/>
        </w:rPr>
        <w:t xml:space="preserve">. </w:t>
      </w:r>
      <w:r w:rsidR="00FB7216">
        <w:rPr>
          <w:szCs w:val="24"/>
          <w:lang w:val="fr-CA"/>
        </w:rPr>
        <w:t xml:space="preserve">. . </w:t>
      </w:r>
      <w:r w:rsidRPr="004C53A6">
        <w:rPr>
          <w:szCs w:val="24"/>
          <w:lang w:val="fr-CA"/>
        </w:rPr>
        <w:t>[</w:t>
      </w:r>
      <w:r w:rsidR="007E75A1">
        <w:rPr>
          <w:szCs w:val="24"/>
          <w:lang w:val="fr-CA"/>
        </w:rPr>
        <w:t>En italique</w:t>
      </w:r>
      <w:r w:rsidRPr="004C53A6">
        <w:rPr>
          <w:szCs w:val="24"/>
          <w:lang w:val="fr-CA"/>
        </w:rPr>
        <w:t xml:space="preserve"> dans l</w:t>
      </w:r>
      <w:r>
        <w:rPr>
          <w:szCs w:val="24"/>
          <w:lang w:val="fr-CA"/>
        </w:rPr>
        <w:t>’</w:t>
      </w:r>
      <w:r w:rsidRPr="004C53A6">
        <w:rPr>
          <w:szCs w:val="24"/>
          <w:lang w:val="fr-CA"/>
        </w:rPr>
        <w:t xml:space="preserve">original; références omises; par. 33.]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Bien que formulée, au départ, dans le contexte d</w:t>
      </w:r>
      <w:r>
        <w:rPr>
          <w:rFonts w:cs="Times New Roman"/>
          <w:szCs w:val="24"/>
          <w:lang w:val="fr-CA"/>
        </w:rPr>
        <w:t>’</w:t>
      </w:r>
      <w:r w:rsidRPr="004C53A6">
        <w:rPr>
          <w:rFonts w:cs="Times New Roman"/>
          <w:szCs w:val="24"/>
          <w:lang w:val="fr-CA"/>
        </w:rPr>
        <w:t xml:space="preserve">une procédure judiciaire antérieure,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est appliquée depuis longtemps aux décisions judiciaires ou quasi judiciaires prononcées par les commissions et les tribunaux administratifs.  En droit administratif, « l</w:t>
      </w:r>
      <w:r>
        <w:rPr>
          <w:rFonts w:cs="Times New Roman"/>
          <w:szCs w:val="24"/>
          <w:lang w:val="fr-CA"/>
        </w:rPr>
        <w:t>’</w:t>
      </w:r>
      <w:r w:rsidRPr="004C53A6">
        <w:rPr>
          <w:rFonts w:cs="Times New Roman"/>
          <w:szCs w:val="24"/>
          <w:lang w:val="fr-CA"/>
        </w:rPr>
        <w:t>objectif spécifique poursuivi consiste à assurer l</w:t>
      </w:r>
      <w:r>
        <w:rPr>
          <w:rFonts w:cs="Times New Roman"/>
          <w:szCs w:val="24"/>
          <w:lang w:val="fr-CA"/>
        </w:rPr>
        <w:t>’</w:t>
      </w:r>
      <w:r w:rsidRPr="004C53A6">
        <w:rPr>
          <w:rFonts w:cs="Times New Roman"/>
          <w:szCs w:val="24"/>
          <w:lang w:val="fr-CA"/>
        </w:rPr>
        <w:t>équilibre entre le respect de l</w:t>
      </w:r>
      <w:r>
        <w:rPr>
          <w:rFonts w:cs="Times New Roman"/>
          <w:szCs w:val="24"/>
          <w:lang w:val="fr-CA"/>
        </w:rPr>
        <w:t>’</w:t>
      </w:r>
      <w:r w:rsidRPr="004C53A6">
        <w:rPr>
          <w:rFonts w:cs="Times New Roman"/>
          <w:szCs w:val="24"/>
          <w:lang w:val="fr-CA"/>
        </w:rPr>
        <w:t xml:space="preserve">équité envers les parties et la protection du processus décisionnel administratif, dont </w:t>
      </w:r>
      <w:r w:rsidRPr="004C53A6">
        <w:rPr>
          <w:rFonts w:cs="Times New Roman"/>
          <w:szCs w:val="24"/>
          <w:lang w:val="fr-CA"/>
        </w:rPr>
        <w:lastRenderedPageBreak/>
        <w:t>l</w:t>
      </w:r>
      <w:r>
        <w:rPr>
          <w:rFonts w:cs="Times New Roman"/>
          <w:szCs w:val="24"/>
          <w:lang w:val="fr-CA"/>
        </w:rPr>
        <w:t>’</w:t>
      </w:r>
      <w:r w:rsidRPr="004C53A6">
        <w:rPr>
          <w:rFonts w:cs="Times New Roman"/>
          <w:szCs w:val="24"/>
          <w:lang w:val="fr-CA"/>
        </w:rPr>
        <w:t>intégrité serait compromise si on autorisait trop facilement les contestations indirectes ou l</w:t>
      </w:r>
      <w:r>
        <w:rPr>
          <w:rFonts w:cs="Times New Roman"/>
          <w:szCs w:val="24"/>
          <w:lang w:val="fr-CA"/>
        </w:rPr>
        <w:t>’</w:t>
      </w:r>
      <w:r w:rsidRPr="004C53A6">
        <w:rPr>
          <w:rFonts w:cs="Times New Roman"/>
          <w:szCs w:val="24"/>
          <w:lang w:val="fr-CA"/>
        </w:rPr>
        <w:t>engagement d</w:t>
      </w:r>
      <w:r>
        <w:rPr>
          <w:rFonts w:cs="Times New Roman"/>
          <w:szCs w:val="24"/>
          <w:lang w:val="fr-CA"/>
        </w:rPr>
        <w:t>’</w:t>
      </w:r>
      <w:r w:rsidRPr="004C53A6">
        <w:rPr>
          <w:rFonts w:cs="Times New Roman"/>
          <w:szCs w:val="24"/>
          <w:lang w:val="fr-CA"/>
        </w:rPr>
        <w:t>une nouvelle instance à l</w:t>
      </w:r>
      <w:r>
        <w:rPr>
          <w:rFonts w:cs="Times New Roman"/>
          <w:szCs w:val="24"/>
          <w:lang w:val="fr-CA"/>
        </w:rPr>
        <w:t>’</w:t>
      </w:r>
      <w:r w:rsidRPr="004C53A6">
        <w:rPr>
          <w:rFonts w:cs="Times New Roman"/>
          <w:szCs w:val="24"/>
          <w:lang w:val="fr-CA"/>
        </w:rPr>
        <w:t>égard</w:t>
      </w:r>
      <w:r w:rsidR="00FB7216">
        <w:rPr>
          <w:rFonts w:cs="Times New Roman"/>
          <w:szCs w:val="24"/>
          <w:lang w:val="fr-CA"/>
        </w:rPr>
        <w:t xml:space="preserve"> de questions déjà tranchées » </w:t>
      </w:r>
      <w:r w:rsidR="006F4ABC">
        <w:rPr>
          <w:rFonts w:cs="Times New Roman"/>
          <w:szCs w:val="24"/>
          <w:lang w:val="fr-CA"/>
        </w:rPr>
        <w:t>(</w:t>
      </w:r>
      <w:proofErr w:type="spellStart"/>
      <w:r w:rsidRPr="004C53A6">
        <w:rPr>
          <w:rFonts w:cs="Times New Roman"/>
          <w:i/>
          <w:szCs w:val="24"/>
          <w:lang w:val="fr-CA"/>
        </w:rPr>
        <w:t>Danyluk</w:t>
      </w:r>
      <w:proofErr w:type="spellEnd"/>
      <w:r w:rsidRPr="004C53A6">
        <w:rPr>
          <w:rFonts w:cs="Times New Roman"/>
          <w:szCs w:val="24"/>
          <w:lang w:val="fr-CA"/>
        </w:rPr>
        <w:t>,</w:t>
      </w:r>
      <w:r w:rsidRPr="004C53A6">
        <w:rPr>
          <w:rFonts w:cs="Times New Roman"/>
          <w:i/>
          <w:szCs w:val="24"/>
          <w:lang w:val="fr-CA"/>
        </w:rPr>
        <w:t xml:space="preserve"> </w:t>
      </w:r>
      <w:r w:rsidR="00FB7216">
        <w:rPr>
          <w:rFonts w:cs="Times New Roman"/>
          <w:szCs w:val="24"/>
          <w:lang w:val="fr-CA"/>
        </w:rPr>
        <w:t>par. 21</w:t>
      </w:r>
      <w:r w:rsidR="006F4ABC">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Selon les principes </w:t>
      </w:r>
      <w:proofErr w:type="spellStart"/>
      <w:r w:rsidRPr="004C53A6">
        <w:rPr>
          <w:rFonts w:cs="Times New Roman"/>
          <w:szCs w:val="24"/>
          <w:lang w:val="fr-CA"/>
        </w:rPr>
        <w:t>sous</w:t>
      </w:r>
      <w:r w:rsidRPr="004C53A6">
        <w:rPr>
          <w:rFonts w:cs="Times New Roman"/>
          <w:szCs w:val="24"/>
          <w:lang w:val="fr-CA"/>
        </w:rPr>
        <w:noBreakHyphen/>
        <w:t>jacents</w:t>
      </w:r>
      <w:proofErr w:type="spellEnd"/>
      <w:r w:rsidRPr="004C53A6">
        <w:rPr>
          <w:rFonts w:cs="Times New Roman"/>
          <w:szCs w:val="24"/>
          <w:lang w:val="fr-CA"/>
        </w:rPr>
        <w:t xml:space="preserve"> à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l</w:t>
      </w:r>
      <w:r>
        <w:rPr>
          <w:rFonts w:cs="Times New Roman"/>
          <w:szCs w:val="24"/>
          <w:lang w:val="fr-CA"/>
        </w:rPr>
        <w:t>’</w:t>
      </w:r>
      <w:r w:rsidRPr="004C53A6">
        <w:rPr>
          <w:rFonts w:cs="Times New Roman"/>
          <w:szCs w:val="24"/>
          <w:lang w:val="fr-CA"/>
        </w:rPr>
        <w:t>équité envers les parties vise à empêcher le fardeau lié aux instances faisant double emploi — l</w:t>
      </w:r>
      <w:r>
        <w:rPr>
          <w:rFonts w:cs="Times New Roman"/>
          <w:szCs w:val="24"/>
          <w:lang w:val="fr-CA"/>
        </w:rPr>
        <w:t>’</w:t>
      </w:r>
      <w:r w:rsidRPr="004C53A6">
        <w:rPr>
          <w:rFonts w:cs="Times New Roman"/>
          <w:szCs w:val="24"/>
          <w:lang w:val="fr-CA"/>
        </w:rPr>
        <w:t>objectif de l</w:t>
      </w:r>
      <w:r>
        <w:rPr>
          <w:rFonts w:cs="Times New Roman"/>
          <w:szCs w:val="24"/>
          <w:lang w:val="fr-CA"/>
        </w:rPr>
        <w:t>’</w:t>
      </w:r>
      <w:r w:rsidRPr="004C53A6">
        <w:rPr>
          <w:rFonts w:cs="Times New Roman"/>
          <w:szCs w:val="24"/>
          <w:lang w:val="fr-CA"/>
        </w:rPr>
        <w:t xml:space="preserve">équité est associé au principe du caractère définitif.  En effet, dans </w:t>
      </w:r>
      <w:proofErr w:type="spellStart"/>
      <w:r w:rsidRPr="004C53A6">
        <w:rPr>
          <w:rFonts w:cs="Times New Roman"/>
          <w:i/>
          <w:szCs w:val="24"/>
          <w:lang w:val="fr-CA"/>
        </w:rPr>
        <w:t>Danyluk</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le juge</w:t>
      </w:r>
      <w:r w:rsidRPr="004C53A6">
        <w:rPr>
          <w:rFonts w:cs="Times New Roman"/>
          <w:i/>
          <w:szCs w:val="24"/>
          <w:lang w:val="fr-CA"/>
        </w:rPr>
        <w:t xml:space="preserve"> </w:t>
      </w:r>
      <w:proofErr w:type="spellStart"/>
      <w:r w:rsidRPr="004C53A6">
        <w:rPr>
          <w:rFonts w:cs="Times New Roman"/>
          <w:szCs w:val="24"/>
          <w:lang w:val="fr-CA"/>
        </w:rPr>
        <w:t>Binnie</w:t>
      </w:r>
      <w:proofErr w:type="spellEnd"/>
      <w:r w:rsidRPr="004C53A6">
        <w:rPr>
          <w:rFonts w:cs="Times New Roman"/>
          <w:szCs w:val="24"/>
          <w:lang w:val="fr-CA"/>
        </w:rPr>
        <w:t>, s</w:t>
      </w:r>
      <w:r>
        <w:rPr>
          <w:rFonts w:cs="Times New Roman"/>
          <w:szCs w:val="24"/>
          <w:lang w:val="fr-CA"/>
        </w:rPr>
        <w:t>’</w:t>
      </w:r>
      <w:r w:rsidRPr="004C53A6">
        <w:rPr>
          <w:rFonts w:cs="Times New Roman"/>
          <w:szCs w:val="24"/>
          <w:lang w:val="fr-CA"/>
        </w:rPr>
        <w:t>exprimant au nom de la Cour, s</w:t>
      </w:r>
      <w:r>
        <w:rPr>
          <w:rFonts w:cs="Times New Roman"/>
          <w:szCs w:val="24"/>
          <w:lang w:val="fr-CA"/>
        </w:rPr>
        <w:t>’</w:t>
      </w:r>
      <w:r w:rsidRPr="004C53A6">
        <w:rPr>
          <w:rFonts w:cs="Times New Roman"/>
          <w:szCs w:val="24"/>
          <w:lang w:val="fr-CA"/>
        </w:rPr>
        <w:t>est penché sur l</w:t>
      </w:r>
      <w:r>
        <w:rPr>
          <w:rFonts w:cs="Times New Roman"/>
          <w:szCs w:val="24"/>
          <w:lang w:val="fr-CA"/>
        </w:rPr>
        <w:t>’</w:t>
      </w:r>
      <w:r w:rsidRPr="004C53A6">
        <w:rPr>
          <w:rFonts w:cs="Times New Roman"/>
          <w:szCs w:val="24"/>
          <w:lang w:val="fr-CA"/>
        </w:rPr>
        <w:t xml:space="preserve">importance du caractère définitif des instances :  </w:t>
      </w:r>
    </w:p>
    <w:p w:rsidR="0000152B" w:rsidRPr="004C53A6" w:rsidRDefault="0000152B" w:rsidP="0000152B">
      <w:pPr>
        <w:pStyle w:val="Citation-AltC"/>
        <w:ind w:hanging="1166"/>
        <w:rPr>
          <w:szCs w:val="24"/>
          <w:lang w:val="fr-CA"/>
        </w:rPr>
      </w:pPr>
      <w:r w:rsidRPr="004C53A6">
        <w:rPr>
          <w:szCs w:val="24"/>
          <w:lang w:val="fr-CA"/>
        </w:rPr>
        <w:tab/>
        <w:t>Une fois tranché, un différend ne devrait généralement pas être soumis à nouveau aux tribunaux au bénéfice de la partie déboutée et au détriment de la partie qui a eu gain de cause.  Une personne ne devrait être tracassée qu</w:t>
      </w:r>
      <w:r>
        <w:rPr>
          <w:szCs w:val="24"/>
          <w:lang w:val="fr-CA"/>
        </w:rPr>
        <w:t>’</w:t>
      </w:r>
      <w:r w:rsidRPr="004C53A6">
        <w:rPr>
          <w:szCs w:val="24"/>
          <w:lang w:val="fr-CA"/>
        </w:rPr>
        <w:t>une seule fois à l</w:t>
      </w:r>
      <w:r>
        <w:rPr>
          <w:szCs w:val="24"/>
          <w:lang w:val="fr-CA"/>
        </w:rPr>
        <w:t>’</w:t>
      </w:r>
      <w:r w:rsidRPr="004C53A6">
        <w:rPr>
          <w:szCs w:val="24"/>
          <w:lang w:val="fr-CA"/>
        </w:rPr>
        <w:t>égard d</w:t>
      </w:r>
      <w:r>
        <w:rPr>
          <w:szCs w:val="24"/>
          <w:lang w:val="fr-CA"/>
        </w:rPr>
        <w:t>’</w:t>
      </w:r>
      <w:r w:rsidRPr="004C53A6">
        <w:rPr>
          <w:szCs w:val="24"/>
          <w:lang w:val="fr-CA"/>
        </w:rPr>
        <w:t>une même cause d</w:t>
      </w:r>
      <w:r>
        <w:rPr>
          <w:szCs w:val="24"/>
          <w:lang w:val="fr-CA"/>
        </w:rPr>
        <w:t>’</w:t>
      </w:r>
      <w:r w:rsidRPr="004C53A6">
        <w:rPr>
          <w:szCs w:val="24"/>
          <w:lang w:val="fr-CA"/>
        </w:rPr>
        <w:t xml:space="preserve">action.  Les instances faisant double emploi, les risques de résultats contradictoires, les frais excessifs et les procédures non décisives doivent être </w:t>
      </w:r>
      <w:proofErr w:type="gramStart"/>
      <w:r w:rsidRPr="004C53A6">
        <w:rPr>
          <w:szCs w:val="24"/>
          <w:lang w:val="fr-CA"/>
        </w:rPr>
        <w:t>évités</w:t>
      </w:r>
      <w:proofErr w:type="gramEnd"/>
      <w:r w:rsidRPr="004C53A6">
        <w:rPr>
          <w:szCs w:val="24"/>
          <w:lang w:val="fr-CA"/>
        </w:rPr>
        <w:t>.  [</w:t>
      </w:r>
      <w:proofErr w:type="gramStart"/>
      <w:r w:rsidRPr="004C53A6">
        <w:rPr>
          <w:szCs w:val="24"/>
          <w:lang w:val="fr-CA"/>
        </w:rPr>
        <w:t>par</w:t>
      </w:r>
      <w:proofErr w:type="gramEnd"/>
      <w:r w:rsidRPr="004C53A6">
        <w:rPr>
          <w:szCs w:val="24"/>
          <w:lang w:val="fr-CA"/>
        </w:rPr>
        <w:t xml:space="preserve">. 18]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Autrement dit, comme l</w:t>
      </w:r>
      <w:r>
        <w:rPr>
          <w:rFonts w:cs="Times New Roman"/>
          <w:szCs w:val="24"/>
          <w:lang w:val="fr-CA"/>
        </w:rPr>
        <w:t>’</w:t>
      </w:r>
      <w:r w:rsidRPr="004C53A6">
        <w:rPr>
          <w:rFonts w:cs="Times New Roman"/>
          <w:szCs w:val="24"/>
          <w:lang w:val="fr-CA"/>
        </w:rPr>
        <w:t xml:space="preserve">a indiqué le juge </w:t>
      </w:r>
      <w:proofErr w:type="spellStart"/>
      <w:r w:rsidRPr="004C53A6">
        <w:rPr>
          <w:rFonts w:cs="Times New Roman"/>
          <w:szCs w:val="24"/>
          <w:lang w:val="fr-CA"/>
        </w:rPr>
        <w:t>Binnie</w:t>
      </w:r>
      <w:proofErr w:type="spellEnd"/>
      <w:r w:rsidRPr="004C53A6">
        <w:rPr>
          <w:rFonts w:cs="Times New Roman"/>
          <w:szCs w:val="24"/>
          <w:lang w:val="fr-CA"/>
        </w:rPr>
        <w:t>, « un plaideur n</w:t>
      </w:r>
      <w:r>
        <w:rPr>
          <w:rFonts w:cs="Times New Roman"/>
          <w:szCs w:val="24"/>
          <w:lang w:val="fr-CA"/>
        </w:rPr>
        <w:t>’</w:t>
      </w:r>
      <w:r w:rsidRPr="004C53A6">
        <w:rPr>
          <w:rFonts w:cs="Times New Roman"/>
          <w:szCs w:val="24"/>
          <w:lang w:val="fr-CA"/>
        </w:rPr>
        <w:t>a droit qu</w:t>
      </w:r>
      <w:r>
        <w:rPr>
          <w:rFonts w:cs="Times New Roman"/>
          <w:szCs w:val="24"/>
          <w:lang w:val="fr-CA"/>
        </w:rPr>
        <w:t>’</w:t>
      </w:r>
      <w:r w:rsidR="00FB7216">
        <w:rPr>
          <w:rFonts w:cs="Times New Roman"/>
          <w:szCs w:val="24"/>
          <w:lang w:val="fr-CA"/>
        </w:rPr>
        <w:t>à une seule tentative » </w:t>
      </w:r>
      <w:r w:rsidR="006F4ABC">
        <w:rPr>
          <w:rFonts w:cs="Times New Roman"/>
          <w:szCs w:val="24"/>
          <w:lang w:val="fr-CA"/>
        </w:rPr>
        <w:t>(</w:t>
      </w:r>
      <w:r w:rsidR="00FB7216">
        <w:rPr>
          <w:rFonts w:cs="Times New Roman"/>
          <w:szCs w:val="24"/>
          <w:lang w:val="fr-CA"/>
        </w:rPr>
        <w:t>par. 18</w:t>
      </w:r>
      <w:r w:rsidR="006F4ABC">
        <w:rPr>
          <w:rFonts w:cs="Times New Roman"/>
          <w:szCs w:val="24"/>
          <w:lang w:val="fr-CA"/>
        </w:rPr>
        <w:t>)</w:t>
      </w:r>
      <w:r w:rsidRPr="004C53A6">
        <w:rPr>
          <w:rFonts w:cs="Times New Roman"/>
          <w:szCs w:val="24"/>
          <w:lang w:val="fr-CA"/>
        </w:rPr>
        <w:t>.  C</w:t>
      </w:r>
      <w:r>
        <w:rPr>
          <w:rFonts w:cs="Times New Roman"/>
          <w:szCs w:val="24"/>
          <w:lang w:val="fr-CA"/>
        </w:rPr>
        <w:t>’</w:t>
      </w:r>
      <w:r w:rsidRPr="004C53A6">
        <w:rPr>
          <w:rFonts w:cs="Times New Roman"/>
          <w:szCs w:val="24"/>
          <w:lang w:val="fr-CA"/>
        </w:rPr>
        <w:t xml:space="preserve">est la thèse selon laquelle « la </w:t>
      </w:r>
      <w:proofErr w:type="spellStart"/>
      <w:r w:rsidRPr="004C53A6">
        <w:rPr>
          <w:rFonts w:cs="Times New Roman"/>
          <w:szCs w:val="24"/>
          <w:lang w:val="fr-CA"/>
        </w:rPr>
        <w:t>préclusion</w:t>
      </w:r>
      <w:proofErr w:type="spellEnd"/>
      <w:r w:rsidRPr="004C53A6">
        <w:rPr>
          <w:rFonts w:cs="Times New Roman"/>
          <w:szCs w:val="24"/>
          <w:lang w:val="fr-CA"/>
        </w:rPr>
        <w:t xml:space="preserve"> est une doctrine d</w:t>
      </w:r>
      <w:r>
        <w:rPr>
          <w:rFonts w:cs="Times New Roman"/>
          <w:szCs w:val="24"/>
          <w:lang w:val="fr-CA"/>
        </w:rPr>
        <w:t>’</w:t>
      </w:r>
      <w:r w:rsidRPr="004C53A6">
        <w:rPr>
          <w:rFonts w:cs="Times New Roman"/>
          <w:szCs w:val="24"/>
          <w:lang w:val="fr-CA"/>
        </w:rPr>
        <w:t xml:space="preserve">intérêt public qui tend à favoriser les intérêts de la justice » (par. 19) qui </w:t>
      </w:r>
      <w:proofErr w:type="spellStart"/>
      <w:r w:rsidRPr="004C53A6">
        <w:rPr>
          <w:rFonts w:cs="Times New Roman"/>
          <w:szCs w:val="24"/>
          <w:lang w:val="fr-CA"/>
        </w:rPr>
        <w:t>sous</w:t>
      </w:r>
      <w:r w:rsidRPr="004C53A6">
        <w:rPr>
          <w:rFonts w:cs="Times New Roman"/>
          <w:szCs w:val="24"/>
          <w:lang w:val="fr-CA"/>
        </w:rPr>
        <w:noBreakHyphen/>
        <w:t>tend</w:t>
      </w:r>
      <w:proofErr w:type="spellEnd"/>
      <w:r w:rsidRPr="004C53A6">
        <w:rPr>
          <w:rFonts w:cs="Times New Roman"/>
          <w:szCs w:val="24"/>
          <w:lang w:val="fr-CA"/>
        </w:rPr>
        <w:t xml:space="preserve">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dans ce contexte.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La Cour a réexaminé, dans </w:t>
      </w:r>
      <w:r w:rsidRPr="004C53A6">
        <w:rPr>
          <w:rFonts w:cs="Times New Roman"/>
          <w:i/>
          <w:szCs w:val="24"/>
          <w:lang w:val="fr-CA"/>
        </w:rPr>
        <w:t xml:space="preserve">Boucher c. </w:t>
      </w:r>
      <w:proofErr w:type="spellStart"/>
      <w:r w:rsidRPr="004C53A6">
        <w:rPr>
          <w:rFonts w:cs="Times New Roman"/>
          <w:i/>
          <w:szCs w:val="24"/>
          <w:lang w:val="fr-CA"/>
        </w:rPr>
        <w:t>Stelco</w:t>
      </w:r>
      <w:proofErr w:type="spellEnd"/>
      <w:r w:rsidRPr="004C53A6">
        <w:rPr>
          <w:rFonts w:cs="Times New Roman"/>
          <w:i/>
          <w:szCs w:val="24"/>
          <w:lang w:val="fr-CA"/>
        </w:rPr>
        <w:t xml:space="preserve"> Inc.</w:t>
      </w:r>
      <w:r w:rsidRPr="004C53A6">
        <w:rPr>
          <w:rFonts w:cs="Times New Roman"/>
          <w:szCs w:val="24"/>
          <w:lang w:val="fr-CA"/>
        </w:rPr>
        <w:t>, 2005 CSC 64, [2005] 3 R.C.S. 279, l</w:t>
      </w:r>
      <w:r>
        <w:rPr>
          <w:rFonts w:cs="Times New Roman"/>
          <w:szCs w:val="24"/>
          <w:lang w:val="fr-CA"/>
        </w:rPr>
        <w:t>’</w:t>
      </w:r>
      <w:r w:rsidRPr="004C53A6">
        <w:rPr>
          <w:rFonts w:cs="Times New Roman"/>
          <w:szCs w:val="24"/>
          <w:lang w:val="fr-CA"/>
        </w:rPr>
        <w:t>exercice du pouvoir discrétionnaire d</w:t>
      </w:r>
      <w:r>
        <w:rPr>
          <w:rFonts w:cs="Times New Roman"/>
          <w:szCs w:val="24"/>
          <w:lang w:val="fr-CA"/>
        </w:rPr>
        <w:t>’</w:t>
      </w:r>
      <w:r w:rsidRPr="004C53A6">
        <w:rPr>
          <w:rFonts w:cs="Times New Roman"/>
          <w:szCs w:val="24"/>
          <w:lang w:val="fr-CA"/>
        </w:rPr>
        <w:t xml:space="preserve">appliquer ou non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dans le contexte d</w:t>
      </w:r>
      <w:r>
        <w:rPr>
          <w:rFonts w:cs="Times New Roman"/>
          <w:szCs w:val="24"/>
          <w:lang w:val="fr-CA"/>
        </w:rPr>
        <w:t>’</w:t>
      </w:r>
      <w:r w:rsidRPr="004C53A6">
        <w:rPr>
          <w:rFonts w:cs="Times New Roman"/>
          <w:szCs w:val="24"/>
          <w:lang w:val="fr-CA"/>
        </w:rPr>
        <w:t xml:space="preserve">une procédure </w:t>
      </w:r>
      <w:r w:rsidRPr="004C53A6">
        <w:rPr>
          <w:rFonts w:cs="Times New Roman"/>
          <w:szCs w:val="24"/>
          <w:lang w:val="fr-CA"/>
        </w:rPr>
        <w:lastRenderedPageBreak/>
        <w:t>administrative antérieure.  La Cour a reconnu les objectifs différents des procédures concurrentes.  Néanmoins, dans cette affaire, la Cour a accordé un poids considérable à la stabilité et au caractère définitif des décisions ainsi qu</w:t>
      </w:r>
      <w:r>
        <w:rPr>
          <w:rFonts w:cs="Times New Roman"/>
          <w:szCs w:val="24"/>
          <w:lang w:val="fr-CA"/>
        </w:rPr>
        <w:t>’</w:t>
      </w:r>
      <w:r w:rsidRPr="004C53A6">
        <w:rPr>
          <w:rFonts w:cs="Times New Roman"/>
          <w:szCs w:val="24"/>
          <w:lang w:val="fr-CA"/>
        </w:rPr>
        <w:t>à l</w:t>
      </w:r>
      <w:r>
        <w:rPr>
          <w:rFonts w:cs="Times New Roman"/>
          <w:szCs w:val="24"/>
          <w:lang w:val="fr-CA"/>
        </w:rPr>
        <w:t>’</w:t>
      </w:r>
      <w:r w:rsidRPr="004C53A6">
        <w:rPr>
          <w:rFonts w:cs="Times New Roman"/>
          <w:szCs w:val="24"/>
          <w:lang w:val="fr-CA"/>
        </w:rPr>
        <w:t>importance de la déférence et d</w:t>
      </w:r>
      <w:r>
        <w:rPr>
          <w:rFonts w:cs="Times New Roman"/>
          <w:szCs w:val="24"/>
          <w:lang w:val="fr-CA"/>
        </w:rPr>
        <w:t>’</w:t>
      </w:r>
      <w:r w:rsidRPr="004C53A6">
        <w:rPr>
          <w:rFonts w:cs="Times New Roman"/>
          <w:szCs w:val="24"/>
          <w:lang w:val="fr-CA"/>
        </w:rPr>
        <w:t>autres recours appropriés en matière administrative, en tant que facteurs cruciaux pour déterminer s</w:t>
      </w:r>
      <w:r>
        <w:rPr>
          <w:rFonts w:cs="Times New Roman"/>
          <w:szCs w:val="24"/>
          <w:lang w:val="fr-CA"/>
        </w:rPr>
        <w:t>’</w:t>
      </w:r>
      <w:r w:rsidRPr="004C53A6">
        <w:rPr>
          <w:rFonts w:cs="Times New Roman"/>
          <w:szCs w:val="24"/>
          <w:lang w:val="fr-CA"/>
        </w:rPr>
        <w:t>il convient d</w:t>
      </w:r>
      <w:r>
        <w:rPr>
          <w:rFonts w:cs="Times New Roman"/>
          <w:szCs w:val="24"/>
          <w:lang w:val="fr-CA"/>
        </w:rPr>
        <w:t>’</w:t>
      </w:r>
      <w:r w:rsidRPr="004C53A6">
        <w:rPr>
          <w:rFonts w:cs="Times New Roman"/>
          <w:szCs w:val="24"/>
          <w:lang w:val="fr-CA"/>
        </w:rPr>
        <w:t xml:space="preserve">appliquer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dans un cas particulier :  </w:t>
      </w:r>
    </w:p>
    <w:p w:rsidR="0000152B" w:rsidRPr="004C53A6" w:rsidRDefault="0000152B" w:rsidP="0000152B">
      <w:pPr>
        <w:pStyle w:val="Citation-AltC"/>
        <w:ind w:hanging="1166"/>
        <w:rPr>
          <w:szCs w:val="24"/>
          <w:lang w:val="fr-CA"/>
        </w:rPr>
      </w:pPr>
      <w:r w:rsidRPr="004C53A6">
        <w:rPr>
          <w:szCs w:val="24"/>
          <w:lang w:val="fr-CA"/>
        </w:rPr>
        <w:tab/>
      </w:r>
      <w:r w:rsidRPr="004C53A6">
        <w:rPr>
          <w:szCs w:val="24"/>
          <w:lang w:val="fr-CA"/>
        </w:rPr>
        <w:tab/>
        <w:t>La situation dans laquelle pourrait se trouver l</w:t>
      </w:r>
      <w:r>
        <w:rPr>
          <w:szCs w:val="24"/>
          <w:lang w:val="fr-CA"/>
        </w:rPr>
        <w:t>’</w:t>
      </w:r>
      <w:r w:rsidRPr="004C53A6">
        <w:rPr>
          <w:szCs w:val="24"/>
          <w:lang w:val="fr-CA"/>
        </w:rPr>
        <w:t>intimée si ce n</w:t>
      </w:r>
      <w:r>
        <w:rPr>
          <w:szCs w:val="24"/>
          <w:lang w:val="fr-CA"/>
        </w:rPr>
        <w:t>’</w:t>
      </w:r>
      <w:r w:rsidRPr="004C53A6">
        <w:rPr>
          <w:szCs w:val="24"/>
          <w:lang w:val="fr-CA"/>
        </w:rPr>
        <w:t>était l</w:t>
      </w:r>
      <w:r>
        <w:rPr>
          <w:szCs w:val="24"/>
          <w:lang w:val="fr-CA"/>
        </w:rPr>
        <w:t>’</w:t>
      </w:r>
      <w:r w:rsidRPr="004C53A6">
        <w:rPr>
          <w:szCs w:val="24"/>
          <w:lang w:val="fr-CA"/>
        </w:rPr>
        <w:t xml:space="preserve">application des règles de la chose jugée ou de la </w:t>
      </w:r>
      <w:proofErr w:type="spellStart"/>
      <w:r w:rsidRPr="004C53A6">
        <w:rPr>
          <w:szCs w:val="24"/>
          <w:lang w:val="fr-CA"/>
        </w:rPr>
        <w:t>préclusion</w:t>
      </w:r>
      <w:proofErr w:type="spellEnd"/>
      <w:r w:rsidRPr="004C53A6">
        <w:rPr>
          <w:szCs w:val="24"/>
          <w:lang w:val="fr-CA"/>
        </w:rPr>
        <w:t xml:space="preserve"> illustre le danger d</w:t>
      </w:r>
      <w:r>
        <w:rPr>
          <w:szCs w:val="24"/>
          <w:lang w:val="fr-CA"/>
        </w:rPr>
        <w:t>’</w:t>
      </w:r>
      <w:r w:rsidRPr="004C53A6">
        <w:rPr>
          <w:szCs w:val="24"/>
          <w:lang w:val="fr-CA"/>
        </w:rPr>
        <w:t>une contestation incidente et du défaut d</w:t>
      </w:r>
      <w:r>
        <w:rPr>
          <w:szCs w:val="24"/>
          <w:lang w:val="fr-CA"/>
        </w:rPr>
        <w:t>’</w:t>
      </w:r>
      <w:r w:rsidRPr="004C53A6">
        <w:rPr>
          <w:szCs w:val="24"/>
          <w:lang w:val="fr-CA"/>
        </w:rPr>
        <w:t>exercer en temps utile les recours que connaît le système judiciaire canadien contre la décision d</w:t>
      </w:r>
      <w:r>
        <w:rPr>
          <w:szCs w:val="24"/>
          <w:lang w:val="fr-CA"/>
        </w:rPr>
        <w:t>’</w:t>
      </w:r>
      <w:r w:rsidRPr="004C53A6">
        <w:rPr>
          <w:szCs w:val="24"/>
          <w:lang w:val="fr-CA"/>
        </w:rPr>
        <w:t>un organisme administratif ou d</w:t>
      </w:r>
      <w:r>
        <w:rPr>
          <w:szCs w:val="24"/>
          <w:lang w:val="fr-CA"/>
        </w:rPr>
        <w:t>’</w:t>
      </w:r>
      <w:r w:rsidRPr="004C53A6">
        <w:rPr>
          <w:szCs w:val="24"/>
          <w:lang w:val="fr-CA"/>
        </w:rPr>
        <w:t xml:space="preserve">une cour de justice.  </w:t>
      </w:r>
      <w:r w:rsidRPr="004C53A6">
        <w:rPr>
          <w:szCs w:val="24"/>
          <w:u w:val="single"/>
          <w:lang w:val="fr-CA"/>
        </w:rPr>
        <w:t>La stabilité et le caractère définitif des jugements constituent des objectifs fondamentaux et des conditions de l</w:t>
      </w:r>
      <w:r>
        <w:rPr>
          <w:szCs w:val="24"/>
          <w:u w:val="single"/>
          <w:lang w:val="fr-CA"/>
        </w:rPr>
        <w:t>’</w:t>
      </w:r>
      <w:r w:rsidRPr="004C53A6">
        <w:rPr>
          <w:szCs w:val="24"/>
          <w:u w:val="single"/>
          <w:lang w:val="fr-CA"/>
        </w:rPr>
        <w:t>efficacité de l</w:t>
      </w:r>
      <w:r>
        <w:rPr>
          <w:szCs w:val="24"/>
          <w:u w:val="single"/>
          <w:lang w:val="fr-CA"/>
        </w:rPr>
        <w:t>’</w:t>
      </w:r>
      <w:r w:rsidRPr="004C53A6">
        <w:rPr>
          <w:szCs w:val="24"/>
          <w:u w:val="single"/>
          <w:lang w:val="fr-CA"/>
        </w:rPr>
        <w:t>action judiciaire comme de l</w:t>
      </w:r>
      <w:r>
        <w:rPr>
          <w:szCs w:val="24"/>
          <w:u w:val="single"/>
          <w:lang w:val="fr-CA"/>
        </w:rPr>
        <w:t>’</w:t>
      </w:r>
      <w:r w:rsidRPr="004C53A6">
        <w:rPr>
          <w:szCs w:val="24"/>
          <w:u w:val="single"/>
          <w:lang w:val="fr-CA"/>
        </w:rPr>
        <w:t>effectivité des droits des intéressés</w:t>
      </w:r>
      <w:r w:rsidRPr="009B7A9E">
        <w:rPr>
          <w:szCs w:val="24"/>
          <w:u w:val="single"/>
          <w:lang w:val="fr-CA"/>
        </w:rPr>
        <w:t>.</w:t>
      </w:r>
      <w:r w:rsidRPr="004C53A6">
        <w:rPr>
          <w:szCs w:val="24"/>
          <w:lang w:val="fr-CA"/>
        </w:rPr>
        <w:t xml:space="preserve">  [Nous soulignons; par. 35.]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Plus récemment, dans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la Cour s</w:t>
      </w:r>
      <w:r>
        <w:rPr>
          <w:rFonts w:cs="Times New Roman"/>
          <w:szCs w:val="24"/>
          <w:lang w:val="fr-CA"/>
        </w:rPr>
        <w:t>’</w:t>
      </w:r>
      <w:r w:rsidRPr="004C53A6">
        <w:rPr>
          <w:rFonts w:cs="Times New Roman"/>
          <w:szCs w:val="24"/>
          <w:lang w:val="fr-CA"/>
        </w:rPr>
        <w:t>est penchée sur l</w:t>
      </w:r>
      <w:r>
        <w:rPr>
          <w:rFonts w:cs="Times New Roman"/>
          <w:szCs w:val="24"/>
          <w:lang w:val="fr-CA"/>
        </w:rPr>
        <w:t>’</w:t>
      </w:r>
      <w:r w:rsidRPr="004C53A6">
        <w:rPr>
          <w:rFonts w:cs="Times New Roman"/>
          <w:szCs w:val="24"/>
          <w:lang w:val="fr-CA"/>
        </w:rPr>
        <w:t xml:space="preserve">application discrétionnaire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et des doctrines connexes dans les procédures administratives.  Dans cette affaire, les juges majoritaires ont souligné l</w:t>
      </w:r>
      <w:r>
        <w:rPr>
          <w:rFonts w:cs="Times New Roman"/>
          <w:szCs w:val="24"/>
          <w:lang w:val="fr-CA"/>
        </w:rPr>
        <w:t>’</w:t>
      </w:r>
      <w:r w:rsidRPr="004C53A6">
        <w:rPr>
          <w:rFonts w:cs="Times New Roman"/>
          <w:szCs w:val="24"/>
          <w:lang w:val="fr-CA"/>
        </w:rPr>
        <w:t xml:space="preserve">importance du principe </w:t>
      </w:r>
      <w:proofErr w:type="spellStart"/>
      <w:r w:rsidRPr="004C53A6">
        <w:rPr>
          <w:rFonts w:cs="Times New Roman"/>
          <w:szCs w:val="24"/>
          <w:lang w:val="fr-CA"/>
        </w:rPr>
        <w:t>sous</w:t>
      </w:r>
      <w:r w:rsidRPr="004C53A6">
        <w:rPr>
          <w:rFonts w:cs="Times New Roman"/>
          <w:szCs w:val="24"/>
          <w:lang w:val="fr-CA"/>
        </w:rPr>
        <w:noBreakHyphen/>
        <w:t>jacent</w:t>
      </w:r>
      <w:proofErr w:type="spellEnd"/>
      <w:r w:rsidRPr="004C53A6">
        <w:rPr>
          <w:rFonts w:cs="Times New Roman"/>
          <w:szCs w:val="24"/>
          <w:lang w:val="fr-CA"/>
        </w:rPr>
        <w:t xml:space="preserve"> du caractère définitif pour l</w:t>
      </w:r>
      <w:r>
        <w:rPr>
          <w:rFonts w:cs="Times New Roman"/>
          <w:szCs w:val="24"/>
          <w:lang w:val="fr-CA"/>
        </w:rPr>
        <w:t>’</w:t>
      </w:r>
      <w:r w:rsidRPr="004C53A6">
        <w:rPr>
          <w:rFonts w:cs="Times New Roman"/>
          <w:szCs w:val="24"/>
          <w:lang w:val="fr-CA"/>
        </w:rPr>
        <w:t>intégrité du système de justice, faisant remarquer que « ce ne sont pas tant des dogmes doctrinaux précis qui devraient guider [l</w:t>
      </w:r>
      <w:r>
        <w:rPr>
          <w:rFonts w:cs="Times New Roman"/>
          <w:szCs w:val="24"/>
          <w:lang w:val="fr-CA"/>
        </w:rPr>
        <w:t>’</w:t>
      </w:r>
      <w:r w:rsidRPr="004C53A6">
        <w:rPr>
          <w:rFonts w:cs="Times New Roman"/>
          <w:szCs w:val="24"/>
          <w:lang w:val="fr-CA"/>
        </w:rPr>
        <w:t xml:space="preserve">application discrétionnaire des doctrines telle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que les objets de la disposition, qui sont d</w:t>
      </w:r>
      <w:r>
        <w:rPr>
          <w:rFonts w:cs="Times New Roman"/>
          <w:szCs w:val="24"/>
          <w:lang w:val="fr-CA"/>
        </w:rPr>
        <w:t>’</w:t>
      </w:r>
      <w:r w:rsidRPr="004C53A6">
        <w:rPr>
          <w:rFonts w:cs="Times New Roman"/>
          <w:szCs w:val="24"/>
          <w:lang w:val="fr-CA"/>
        </w:rPr>
        <w:t>assurer l</w:t>
      </w:r>
      <w:r>
        <w:rPr>
          <w:rFonts w:cs="Times New Roman"/>
          <w:szCs w:val="24"/>
          <w:lang w:val="fr-CA"/>
        </w:rPr>
        <w:t>’</w:t>
      </w:r>
      <w:r w:rsidRPr="004C53A6">
        <w:rPr>
          <w:rFonts w:cs="Times New Roman"/>
          <w:szCs w:val="24"/>
          <w:lang w:val="fr-CA"/>
        </w:rPr>
        <w:t>équité du caractère définitif du processus décisionnel et d</w:t>
      </w:r>
      <w:r>
        <w:rPr>
          <w:rFonts w:cs="Times New Roman"/>
          <w:szCs w:val="24"/>
          <w:lang w:val="fr-CA"/>
        </w:rPr>
        <w:t>’</w:t>
      </w:r>
      <w:r w:rsidRPr="004C53A6">
        <w:rPr>
          <w:rFonts w:cs="Times New Roman"/>
          <w:szCs w:val="24"/>
          <w:lang w:val="fr-CA"/>
        </w:rPr>
        <w:t>éviter la remise en cause de ques</w:t>
      </w:r>
      <w:r w:rsidR="00FB7216">
        <w:rPr>
          <w:rFonts w:cs="Times New Roman"/>
          <w:szCs w:val="24"/>
          <w:lang w:val="fr-CA"/>
        </w:rPr>
        <w:t xml:space="preserve">tions déjà tranchées . . . » </w:t>
      </w:r>
      <w:r w:rsidR="006F4ABC">
        <w:rPr>
          <w:rFonts w:cs="Times New Roman"/>
          <w:szCs w:val="24"/>
          <w:lang w:val="fr-CA"/>
        </w:rPr>
        <w:t>(</w:t>
      </w:r>
      <w:r w:rsidRPr="004C53A6">
        <w:rPr>
          <w:rFonts w:cs="Times New Roman"/>
          <w:szCs w:val="24"/>
          <w:lang w:val="fr-CA"/>
        </w:rPr>
        <w:t>par. 36</w:t>
      </w:r>
      <w:r w:rsidR="006F4ABC">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 xml:space="preserve">Dans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les juges majoritaires ont rejeté expressément l</w:t>
      </w:r>
      <w:r>
        <w:rPr>
          <w:rFonts w:cs="Times New Roman"/>
          <w:szCs w:val="24"/>
          <w:lang w:val="fr-CA"/>
        </w:rPr>
        <w:t>’</w:t>
      </w:r>
      <w:r w:rsidRPr="004C53A6">
        <w:rPr>
          <w:rFonts w:cs="Times New Roman"/>
          <w:szCs w:val="24"/>
          <w:lang w:val="fr-CA"/>
        </w:rPr>
        <w:t>approche voulant que l</w:t>
      </w:r>
      <w:r>
        <w:rPr>
          <w:rFonts w:cs="Times New Roman"/>
          <w:szCs w:val="24"/>
          <w:lang w:val="fr-CA"/>
        </w:rPr>
        <w:t>’</w:t>
      </w:r>
      <w:r w:rsidRPr="004C53A6">
        <w:rPr>
          <w:rFonts w:cs="Times New Roman"/>
          <w:szCs w:val="24"/>
          <w:lang w:val="fr-CA"/>
        </w:rPr>
        <w:t>équité et le caractère définitif des décisions soient des objectifs distincts.  Ils ont plutôt décidé que préserver le caractère définitif d</w:t>
      </w:r>
      <w:r>
        <w:rPr>
          <w:rFonts w:cs="Times New Roman"/>
          <w:szCs w:val="24"/>
          <w:lang w:val="fr-CA"/>
        </w:rPr>
        <w:t>’</w:t>
      </w:r>
      <w:r w:rsidRPr="004C53A6">
        <w:rPr>
          <w:rFonts w:cs="Times New Roman"/>
          <w:szCs w:val="24"/>
          <w:lang w:val="fr-CA"/>
        </w:rPr>
        <w:t>une décision administrative et empêcher les remises en cause protégeait mieux l</w:t>
      </w:r>
      <w:r>
        <w:rPr>
          <w:rFonts w:cs="Times New Roman"/>
          <w:szCs w:val="24"/>
          <w:lang w:val="fr-CA"/>
        </w:rPr>
        <w:t>’</w:t>
      </w:r>
      <w:r w:rsidRPr="004C53A6">
        <w:rPr>
          <w:rFonts w:cs="Times New Roman"/>
          <w:szCs w:val="24"/>
          <w:lang w:val="fr-CA"/>
        </w:rPr>
        <w:t>équité et l</w:t>
      </w:r>
      <w:r>
        <w:rPr>
          <w:rFonts w:cs="Times New Roman"/>
          <w:szCs w:val="24"/>
          <w:lang w:val="fr-CA"/>
        </w:rPr>
        <w:t>’</w:t>
      </w:r>
      <w:r w:rsidRPr="004C53A6">
        <w:rPr>
          <w:rFonts w:cs="Times New Roman"/>
          <w:szCs w:val="24"/>
          <w:lang w:val="fr-CA"/>
        </w:rPr>
        <w:t>intégrité du système de justice ainsi</w:t>
      </w:r>
      <w:r w:rsidR="00CB27C2">
        <w:rPr>
          <w:rFonts w:cs="Times New Roman"/>
          <w:szCs w:val="24"/>
          <w:lang w:val="fr-CA"/>
        </w:rPr>
        <w:t xml:space="preserve"> que les intérêts de la justice :</w:t>
      </w:r>
      <w:r w:rsidRPr="004C53A6">
        <w:rPr>
          <w:rFonts w:cs="Times New Roman"/>
          <w:szCs w:val="24"/>
          <w:lang w:val="fr-CA"/>
        </w:rPr>
        <w:t xml:space="preserve">  </w:t>
      </w:r>
    </w:p>
    <w:p w:rsidR="0000152B" w:rsidRPr="004C53A6" w:rsidRDefault="0000152B" w:rsidP="0000152B">
      <w:pPr>
        <w:pStyle w:val="Citation-AltC"/>
        <w:ind w:hanging="1166"/>
        <w:rPr>
          <w:szCs w:val="24"/>
          <w:lang w:val="fr-CA"/>
        </w:rPr>
      </w:pPr>
      <w:r w:rsidRPr="004C53A6">
        <w:rPr>
          <w:szCs w:val="24"/>
          <w:lang w:val="fr-CA"/>
        </w:rPr>
        <w:tab/>
        <w:t>La justice est accrue par la protection de l</w:t>
      </w:r>
      <w:r>
        <w:rPr>
          <w:szCs w:val="24"/>
          <w:lang w:val="fr-CA"/>
        </w:rPr>
        <w:t>’</w:t>
      </w:r>
      <w:r w:rsidRPr="004C53A6">
        <w:rPr>
          <w:szCs w:val="24"/>
          <w:lang w:val="fr-CA"/>
        </w:rPr>
        <w:t>attente des parties qu</w:t>
      </w:r>
      <w:r>
        <w:rPr>
          <w:szCs w:val="24"/>
          <w:lang w:val="fr-CA"/>
        </w:rPr>
        <w:t>’</w:t>
      </w:r>
      <w:r w:rsidRPr="004C53A6">
        <w:rPr>
          <w:szCs w:val="24"/>
          <w:lang w:val="fr-CA"/>
        </w:rPr>
        <w:t>elles ne soient pas sujettes à des instances supplémentaires, devant un forum différent, pour des questions qu</w:t>
      </w:r>
      <w:r>
        <w:rPr>
          <w:szCs w:val="24"/>
          <w:lang w:val="fr-CA"/>
        </w:rPr>
        <w:t>’</w:t>
      </w:r>
      <w:r w:rsidRPr="004C53A6">
        <w:rPr>
          <w:szCs w:val="24"/>
          <w:lang w:val="fr-CA"/>
        </w:rPr>
        <w:t>elles estimaient résolues définitivement.  Le magasinage de forum pour que l</w:t>
      </w:r>
      <w:r>
        <w:rPr>
          <w:szCs w:val="24"/>
          <w:lang w:val="fr-CA"/>
        </w:rPr>
        <w:t>’</w:t>
      </w:r>
      <w:r w:rsidRPr="004C53A6">
        <w:rPr>
          <w:szCs w:val="24"/>
          <w:lang w:val="fr-CA"/>
        </w:rPr>
        <w:t>issue d</w:t>
      </w:r>
      <w:r>
        <w:rPr>
          <w:szCs w:val="24"/>
          <w:lang w:val="fr-CA"/>
        </w:rPr>
        <w:t>’</w:t>
      </w:r>
      <w:r w:rsidRPr="004C53A6">
        <w:rPr>
          <w:szCs w:val="24"/>
          <w:lang w:val="fr-CA"/>
        </w:rPr>
        <w:t>un litige soit différente et meilleure peut être maquillé de nombreux qualificatifs attrayants, l</w:t>
      </w:r>
      <w:r>
        <w:rPr>
          <w:szCs w:val="24"/>
          <w:lang w:val="fr-CA"/>
        </w:rPr>
        <w:t>’</w:t>
      </w:r>
      <w:r w:rsidRPr="004C53A6">
        <w:rPr>
          <w:szCs w:val="24"/>
          <w:lang w:val="fr-CA"/>
        </w:rPr>
        <w:t>équité n</w:t>
      </w:r>
      <w:r>
        <w:rPr>
          <w:szCs w:val="24"/>
          <w:lang w:val="fr-CA"/>
        </w:rPr>
        <w:t>’</w:t>
      </w:r>
      <w:r w:rsidRPr="004C53A6">
        <w:rPr>
          <w:szCs w:val="24"/>
          <w:lang w:val="fr-CA"/>
        </w:rPr>
        <w:t>en fait toutefois pas partie.  [</w:t>
      </w:r>
      <w:proofErr w:type="gramStart"/>
      <w:r w:rsidRPr="004C53A6">
        <w:rPr>
          <w:szCs w:val="24"/>
          <w:lang w:val="fr-CA"/>
        </w:rPr>
        <w:t>par</w:t>
      </w:r>
      <w:proofErr w:type="gramEnd"/>
      <w:r w:rsidRPr="004C53A6">
        <w:rPr>
          <w:szCs w:val="24"/>
          <w:lang w:val="fr-CA"/>
        </w:rPr>
        <w:t xml:space="preserve">. 36]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Cette approche respecte les principes bien établis </w:t>
      </w:r>
      <w:proofErr w:type="spellStart"/>
      <w:r w:rsidRPr="004C53A6">
        <w:rPr>
          <w:rFonts w:cs="Times New Roman"/>
          <w:szCs w:val="24"/>
          <w:lang w:val="fr-CA"/>
        </w:rPr>
        <w:t>sous</w:t>
      </w:r>
      <w:r w:rsidRPr="004C53A6">
        <w:rPr>
          <w:rFonts w:cs="Times New Roman"/>
          <w:szCs w:val="24"/>
          <w:lang w:val="fr-CA"/>
        </w:rPr>
        <w:noBreakHyphen/>
        <w:t>jacents</w:t>
      </w:r>
      <w:proofErr w:type="spellEnd"/>
      <w:r w:rsidRPr="004C53A6">
        <w:rPr>
          <w:rFonts w:cs="Times New Roman"/>
          <w:szCs w:val="24"/>
          <w:lang w:val="fr-CA"/>
        </w:rPr>
        <w:t xml:space="preserve"> à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et à celle de la chose jugée qui mettent en valeur et protègent le caractère définitif du litige.  </w:t>
      </w:r>
    </w:p>
    <w:p w:rsidR="0000152B" w:rsidRPr="004C53A6" w:rsidRDefault="0000152B" w:rsidP="0000152B">
      <w:pPr>
        <w:pStyle w:val="TitleTitre-AltT"/>
        <w:tabs>
          <w:tab w:val="clear" w:pos="360"/>
          <w:tab w:val="left" w:pos="1134"/>
        </w:tabs>
        <w:ind w:left="567" w:hanging="567"/>
        <w:rPr>
          <w:rFonts w:cs="Times New Roman"/>
          <w:i/>
          <w:szCs w:val="24"/>
          <w:lang w:val="fr-CA"/>
        </w:rPr>
      </w:pPr>
      <w:r w:rsidRPr="004C53A6">
        <w:rPr>
          <w:rFonts w:cs="Times New Roman"/>
          <w:szCs w:val="24"/>
          <w:lang w:val="fr-CA"/>
        </w:rPr>
        <w:t>C.</w:t>
      </w:r>
      <w:r w:rsidRPr="004C53A6">
        <w:rPr>
          <w:rFonts w:cs="Times New Roman"/>
          <w:i/>
          <w:szCs w:val="24"/>
          <w:lang w:val="fr-CA"/>
        </w:rPr>
        <w:tab/>
        <w:t xml:space="preserve">La doctrine de la </w:t>
      </w:r>
      <w:proofErr w:type="spellStart"/>
      <w:r w:rsidRPr="004C53A6">
        <w:rPr>
          <w:rFonts w:cs="Times New Roman"/>
          <w:i/>
          <w:szCs w:val="24"/>
          <w:lang w:val="fr-CA"/>
        </w:rPr>
        <w:t>préclusion</w:t>
      </w:r>
      <w:proofErr w:type="spellEnd"/>
      <w:r w:rsidRPr="004C53A6">
        <w:rPr>
          <w:rFonts w:cs="Times New Roman"/>
          <w:i/>
          <w:szCs w:val="24"/>
          <w:lang w:val="fr-CA"/>
        </w:rPr>
        <w:t xml:space="preserve"> découlant d</w:t>
      </w:r>
      <w:r>
        <w:rPr>
          <w:rFonts w:cs="Times New Roman"/>
          <w:i/>
          <w:szCs w:val="24"/>
          <w:lang w:val="fr-CA"/>
        </w:rPr>
        <w:t>’</w:t>
      </w:r>
      <w:r w:rsidRPr="004C53A6">
        <w:rPr>
          <w:rFonts w:cs="Times New Roman"/>
          <w:i/>
          <w:szCs w:val="24"/>
          <w:lang w:val="fr-CA"/>
        </w:rPr>
        <w:t>une question déjà tranchée et les décisions administratives</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La confirmation récente par la Cour, dans </w:t>
      </w:r>
      <w:proofErr w:type="spellStart"/>
      <w:r w:rsidRPr="004C53A6">
        <w:rPr>
          <w:rFonts w:cs="Times New Roman"/>
          <w:i/>
          <w:szCs w:val="24"/>
          <w:lang w:val="fr-CA"/>
        </w:rPr>
        <w:t>Figliola</w:t>
      </w:r>
      <w:proofErr w:type="spellEnd"/>
      <w:r w:rsidRPr="004C53A6">
        <w:rPr>
          <w:rFonts w:cs="Times New Roman"/>
          <w:szCs w:val="24"/>
          <w:lang w:val="fr-CA"/>
        </w:rPr>
        <w:t xml:space="preserve">, du principe du caractère définitif </w:t>
      </w:r>
      <w:proofErr w:type="spellStart"/>
      <w:r w:rsidRPr="004C53A6">
        <w:rPr>
          <w:rFonts w:cs="Times New Roman"/>
          <w:szCs w:val="24"/>
          <w:lang w:val="fr-CA"/>
        </w:rPr>
        <w:t>sous</w:t>
      </w:r>
      <w:r w:rsidRPr="004C53A6">
        <w:rPr>
          <w:rFonts w:cs="Times New Roman"/>
          <w:szCs w:val="24"/>
          <w:lang w:val="fr-CA"/>
        </w:rPr>
        <w:noBreakHyphen/>
        <w:t>jacent</w:t>
      </w:r>
      <w:proofErr w:type="spellEnd"/>
      <w:r w:rsidRPr="004C53A6">
        <w:rPr>
          <w:rFonts w:cs="Times New Roman"/>
          <w:szCs w:val="24"/>
          <w:lang w:val="fr-CA"/>
        </w:rPr>
        <w:t xml:space="preserve"> à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est essentielle pour assurer le respect des principes </w:t>
      </w:r>
      <w:proofErr w:type="spellStart"/>
      <w:r w:rsidRPr="004C53A6">
        <w:rPr>
          <w:rFonts w:cs="Times New Roman"/>
          <w:szCs w:val="24"/>
          <w:lang w:val="fr-CA"/>
        </w:rPr>
        <w:t>sous</w:t>
      </w:r>
      <w:r w:rsidRPr="004C53A6">
        <w:rPr>
          <w:rFonts w:cs="Times New Roman"/>
          <w:szCs w:val="24"/>
          <w:lang w:val="fr-CA"/>
        </w:rPr>
        <w:noBreakHyphen/>
        <w:t>jacents</w:t>
      </w:r>
      <w:proofErr w:type="spellEnd"/>
      <w:r w:rsidRPr="004C53A6">
        <w:rPr>
          <w:rFonts w:cs="Times New Roman"/>
          <w:szCs w:val="24"/>
          <w:lang w:val="fr-CA"/>
        </w:rPr>
        <w:t xml:space="preserve"> de notre approche moderne du droit administratif.  L</w:t>
      </w:r>
      <w:r>
        <w:rPr>
          <w:rFonts w:cs="Times New Roman"/>
          <w:szCs w:val="24"/>
          <w:lang w:val="fr-CA"/>
        </w:rPr>
        <w:t>’</w:t>
      </w:r>
      <w:r w:rsidRPr="004C53A6">
        <w:rPr>
          <w:rFonts w:cs="Times New Roman"/>
          <w:szCs w:val="24"/>
          <w:lang w:val="fr-CA"/>
        </w:rPr>
        <w:t>approche préconisée par nos collègues en ne sauvegardant pas le caractère définitif des décisions sape aussi gravement ces principes.  Lorsqu</w:t>
      </w:r>
      <w:r>
        <w:rPr>
          <w:rFonts w:cs="Times New Roman"/>
          <w:szCs w:val="24"/>
          <w:lang w:val="fr-CA"/>
        </w:rPr>
        <w:t>’</w:t>
      </w:r>
      <w:r w:rsidRPr="004C53A6">
        <w:rPr>
          <w:rFonts w:cs="Times New Roman"/>
          <w:szCs w:val="24"/>
          <w:lang w:val="fr-CA"/>
        </w:rPr>
        <w:t xml:space="preserve">on applique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w:t>
      </w:r>
      <w:r w:rsidRPr="004C53A6">
        <w:rPr>
          <w:rFonts w:cs="Times New Roman"/>
          <w:szCs w:val="24"/>
          <w:lang w:val="fr-CA"/>
        </w:rPr>
        <w:lastRenderedPageBreak/>
        <w:t>déjà tranchée, il n</w:t>
      </w:r>
      <w:r>
        <w:rPr>
          <w:rFonts w:cs="Times New Roman"/>
          <w:szCs w:val="24"/>
          <w:lang w:val="fr-CA"/>
        </w:rPr>
        <w:t>’</w:t>
      </w:r>
      <w:r w:rsidRPr="004C53A6">
        <w:rPr>
          <w:rFonts w:cs="Times New Roman"/>
          <w:szCs w:val="24"/>
          <w:lang w:val="fr-CA"/>
        </w:rPr>
        <w:t>existe aucune raison de traiter la procédure administrative différemment de la procédure judiciaire au nom de l</w:t>
      </w:r>
      <w:r>
        <w:rPr>
          <w:rFonts w:cs="Times New Roman"/>
          <w:szCs w:val="24"/>
          <w:lang w:val="fr-CA"/>
        </w:rPr>
        <w:t>’</w:t>
      </w:r>
      <w:r w:rsidR="00F16BBC" w:rsidRPr="004C53A6">
        <w:rPr>
          <w:rFonts w:cs="Times New Roman"/>
          <w:szCs w:val="24"/>
          <w:lang w:val="fr-CA"/>
        </w:rPr>
        <w:t>« </w:t>
      </w:r>
      <w:r w:rsidRPr="004C53A6">
        <w:rPr>
          <w:rFonts w:cs="Times New Roman"/>
          <w:szCs w:val="24"/>
          <w:lang w:val="fr-CA"/>
        </w:rPr>
        <w:t>équité ».  Agir ainsi minerait l</w:t>
      </w:r>
      <w:r>
        <w:rPr>
          <w:rFonts w:cs="Times New Roman"/>
          <w:szCs w:val="24"/>
          <w:lang w:val="fr-CA"/>
        </w:rPr>
        <w:t>’</w:t>
      </w:r>
      <w:r w:rsidRPr="004C53A6">
        <w:rPr>
          <w:rFonts w:cs="Times New Roman"/>
          <w:szCs w:val="24"/>
          <w:lang w:val="fr-CA"/>
        </w:rPr>
        <w:t xml:space="preserve">ensemble du système de droit administratif. </w:t>
      </w:r>
    </w:p>
    <w:p w:rsidR="0000152B" w:rsidRPr="002764CC" w:rsidRDefault="0000152B" w:rsidP="002764CC">
      <w:pPr>
        <w:pStyle w:val="ParaNoNdepar-AltN"/>
        <w:tabs>
          <w:tab w:val="clear" w:pos="1166"/>
          <w:tab w:val="num" w:pos="1152"/>
        </w:tabs>
        <w:rPr>
          <w:rFonts w:cs="Times New Roman"/>
          <w:szCs w:val="24"/>
          <w:lang w:val="fr-CA"/>
        </w:rPr>
      </w:pPr>
      <w:r w:rsidRPr="004C53A6">
        <w:rPr>
          <w:rFonts w:cs="Times New Roman"/>
          <w:szCs w:val="24"/>
          <w:lang w:val="fr-CA"/>
        </w:rPr>
        <w:t xml:space="preserve">Dans </w:t>
      </w:r>
      <w:proofErr w:type="spellStart"/>
      <w:r w:rsidRPr="004C53A6">
        <w:rPr>
          <w:rFonts w:cs="Times New Roman"/>
          <w:bCs/>
          <w:i/>
          <w:szCs w:val="24"/>
          <w:lang w:val="fr-CA"/>
        </w:rPr>
        <w:t>Rasanen</w:t>
      </w:r>
      <w:proofErr w:type="spellEnd"/>
      <w:r w:rsidRPr="004C53A6">
        <w:rPr>
          <w:rFonts w:cs="Times New Roman"/>
          <w:bCs/>
          <w:i/>
          <w:szCs w:val="24"/>
          <w:lang w:val="fr-CA"/>
        </w:rPr>
        <w:t xml:space="preserve"> c. </w:t>
      </w:r>
      <w:proofErr w:type="spellStart"/>
      <w:r w:rsidRPr="004C53A6">
        <w:rPr>
          <w:rFonts w:cs="Times New Roman"/>
          <w:bCs/>
          <w:i/>
          <w:szCs w:val="24"/>
          <w:lang w:val="fr-CA"/>
        </w:rPr>
        <w:t>Rosemount</w:t>
      </w:r>
      <w:proofErr w:type="spellEnd"/>
      <w:r w:rsidRPr="004C53A6">
        <w:rPr>
          <w:rFonts w:cs="Times New Roman"/>
          <w:bCs/>
          <w:i/>
          <w:szCs w:val="24"/>
          <w:lang w:val="fr-CA"/>
        </w:rPr>
        <w:t xml:space="preserve"> Instruments Ltd. </w:t>
      </w:r>
      <w:r w:rsidRPr="004C53A6">
        <w:rPr>
          <w:rFonts w:cs="Times New Roman"/>
          <w:bCs/>
          <w:szCs w:val="24"/>
          <w:lang w:val="fr-CA"/>
        </w:rPr>
        <w:t>(1994),</w:t>
      </w:r>
      <w:r w:rsidRPr="004C53A6">
        <w:rPr>
          <w:rFonts w:cs="Times New Roman"/>
          <w:szCs w:val="24"/>
          <w:lang w:val="fr-CA"/>
        </w:rPr>
        <w:t xml:space="preserve"> </w:t>
      </w:r>
      <w:r w:rsidRPr="004C53A6">
        <w:rPr>
          <w:rStyle w:val="canliicitation"/>
          <w:rFonts w:cs="Times New Roman"/>
          <w:szCs w:val="24"/>
          <w:lang w:val="fr-CA"/>
        </w:rPr>
        <w:t>17 O.R. (3d) 267</w:t>
      </w:r>
      <w:r w:rsidR="002764CC">
        <w:rPr>
          <w:rStyle w:val="canliicitation"/>
          <w:rFonts w:cs="Times New Roman"/>
          <w:szCs w:val="24"/>
          <w:lang w:val="fr-CA"/>
        </w:rPr>
        <w:t xml:space="preserve"> (C.A.)</w:t>
      </w:r>
      <w:r w:rsidRPr="004C53A6">
        <w:rPr>
          <w:rStyle w:val="canliicitation"/>
          <w:rFonts w:cs="Times New Roman"/>
          <w:szCs w:val="24"/>
          <w:lang w:val="fr-CA"/>
        </w:rPr>
        <w:t xml:space="preserve">, </w:t>
      </w:r>
      <w:r w:rsidRPr="004C53A6">
        <w:rPr>
          <w:rFonts w:cs="Times New Roman"/>
          <w:szCs w:val="24"/>
          <w:lang w:val="fr-CA"/>
        </w:rPr>
        <w:t>la Cour a décrit de la manière qui suit la raison d</w:t>
      </w:r>
      <w:r>
        <w:rPr>
          <w:rFonts w:cs="Times New Roman"/>
          <w:szCs w:val="24"/>
          <w:lang w:val="fr-CA"/>
        </w:rPr>
        <w:t>’</w:t>
      </w:r>
      <w:r w:rsidRPr="004C53A6">
        <w:rPr>
          <w:rFonts w:cs="Times New Roman"/>
          <w:szCs w:val="24"/>
          <w:lang w:val="fr-CA"/>
        </w:rPr>
        <w:t xml:space="preserve">être des tribunaux administratifs : </w:t>
      </w:r>
    </w:p>
    <w:p w:rsidR="0000152B" w:rsidRPr="004C53A6" w:rsidRDefault="0000152B" w:rsidP="0000152B">
      <w:pPr>
        <w:pStyle w:val="Citation-AltC"/>
        <w:spacing w:after="240"/>
        <w:ind w:left="1168" w:hanging="1166"/>
        <w:contextualSpacing w:val="0"/>
        <w:rPr>
          <w:szCs w:val="24"/>
          <w:lang w:val="fr-CA"/>
        </w:rPr>
      </w:pPr>
      <w:r w:rsidRPr="004C53A6">
        <w:rPr>
          <w:szCs w:val="24"/>
          <w:lang w:val="fr-CA"/>
        </w:rPr>
        <w:tab/>
      </w:r>
      <w:r w:rsidR="002764CC" w:rsidRPr="004C53A6">
        <w:rPr>
          <w:smallCaps/>
          <w:szCs w:val="24"/>
          <w:lang w:val="fr-CA"/>
        </w:rPr>
        <w:t>[traduction]</w:t>
      </w:r>
      <w:r w:rsidR="002764CC" w:rsidRPr="004C53A6">
        <w:rPr>
          <w:szCs w:val="24"/>
          <w:lang w:val="fr-CA"/>
        </w:rPr>
        <w:t xml:space="preserve"> </w:t>
      </w:r>
      <w:r w:rsidRPr="004C53A6">
        <w:rPr>
          <w:szCs w:val="24"/>
          <w:lang w:val="fr-CA"/>
        </w:rPr>
        <w:t>[Les tribunaux administratifs] ont été expressément créés à titre d</w:t>
      </w:r>
      <w:r>
        <w:rPr>
          <w:szCs w:val="24"/>
          <w:lang w:val="fr-CA"/>
        </w:rPr>
        <w:t>’</w:t>
      </w:r>
      <w:r w:rsidRPr="004C53A6">
        <w:rPr>
          <w:szCs w:val="24"/>
          <w:lang w:val="fr-CA"/>
        </w:rPr>
        <w:t>organismes indépendants comme solution de rechange au processus judiciaire et notamment à sa panoplie de procédures.  Conçus pour être plus légers, plus accessibles, moins formels et plus expéditifs, ces organismes décisionnels impartiaux devaient trancher les litiges dans leur domaine de spécialisation plus rapidement et plus facilement, mais de manière tout aussi efficace et crédible</w:t>
      </w:r>
      <w:r w:rsidR="002764CC">
        <w:rPr>
          <w:szCs w:val="24"/>
          <w:lang w:val="fr-CA"/>
        </w:rPr>
        <w:t xml:space="preserve"> </w:t>
      </w:r>
      <w:r w:rsidRPr="004C53A6">
        <w:rPr>
          <w:szCs w:val="24"/>
          <w:lang w:val="fr-CA"/>
        </w:rPr>
        <w:t xml:space="preserve">. </w:t>
      </w:r>
      <w:r w:rsidR="00737C98">
        <w:rPr>
          <w:szCs w:val="24"/>
          <w:lang w:val="fr-CA"/>
        </w:rPr>
        <w:t>. .</w:t>
      </w:r>
    </w:p>
    <w:p w:rsidR="0000152B" w:rsidRPr="004C53A6" w:rsidRDefault="0000152B" w:rsidP="006F4ABC">
      <w:pPr>
        <w:pStyle w:val="Citation-AltC"/>
        <w:ind w:hanging="1166"/>
        <w:contextualSpacing w:val="0"/>
        <w:rPr>
          <w:szCs w:val="24"/>
          <w:lang w:val="fr-CA"/>
        </w:rPr>
      </w:pPr>
      <w:r w:rsidRPr="004C53A6">
        <w:rPr>
          <w:szCs w:val="24"/>
          <w:lang w:val="fr-CA"/>
        </w:rPr>
        <w:tab/>
      </w:r>
      <w:r w:rsidRPr="004C53A6">
        <w:rPr>
          <w:szCs w:val="24"/>
          <w:lang w:val="fr-CA"/>
        </w:rPr>
        <w:tab/>
      </w:r>
      <w:r w:rsidR="002764CC">
        <w:rPr>
          <w:szCs w:val="24"/>
          <w:lang w:val="fr-CA"/>
        </w:rPr>
        <w:t>. . .</w:t>
      </w:r>
      <w:r w:rsidRPr="004C53A6">
        <w:rPr>
          <w:szCs w:val="24"/>
          <w:lang w:val="fr-CA"/>
        </w:rPr>
        <w:t xml:space="preserve"> La méthode de règlement des litiges devant ces tribunaux peut sembler peu orthodoxe aux personnes habituées à la salle d</w:t>
      </w:r>
      <w:r>
        <w:rPr>
          <w:szCs w:val="24"/>
          <w:lang w:val="fr-CA"/>
        </w:rPr>
        <w:t>’</w:t>
      </w:r>
      <w:r w:rsidRPr="004C53A6">
        <w:rPr>
          <w:szCs w:val="24"/>
          <w:lang w:val="fr-CA"/>
        </w:rPr>
        <w:t>audience, mais bien qu</w:t>
      </w:r>
      <w:r>
        <w:rPr>
          <w:szCs w:val="24"/>
          <w:lang w:val="fr-CA"/>
        </w:rPr>
        <w:t>’</w:t>
      </w:r>
      <w:r w:rsidRPr="004C53A6">
        <w:rPr>
          <w:szCs w:val="24"/>
          <w:lang w:val="fr-CA"/>
        </w:rPr>
        <w:t xml:space="preserve">elle soit peu connue des connaisseurs des principes judiciaires, elle constitue tout autant une forme et une tribune de justice pour </w:t>
      </w:r>
      <w:r w:rsidRPr="004C53A6">
        <w:rPr>
          <w:i/>
          <w:iCs/>
          <w:szCs w:val="24"/>
          <w:lang w:val="fr-CA"/>
        </w:rPr>
        <w:t>ses</w:t>
      </w:r>
      <w:r w:rsidRPr="004C53A6">
        <w:rPr>
          <w:szCs w:val="24"/>
          <w:lang w:val="fr-CA"/>
        </w:rPr>
        <w:t xml:space="preserve"> usagers.  [</w:t>
      </w:r>
      <w:r w:rsidR="00737C98">
        <w:rPr>
          <w:szCs w:val="24"/>
          <w:lang w:val="fr-CA"/>
        </w:rPr>
        <w:t xml:space="preserve">En italique </w:t>
      </w:r>
      <w:r w:rsidRPr="004C53A6">
        <w:rPr>
          <w:szCs w:val="24"/>
          <w:lang w:val="fr-CA"/>
        </w:rPr>
        <w:t>dans l</w:t>
      </w:r>
      <w:r>
        <w:rPr>
          <w:szCs w:val="24"/>
          <w:lang w:val="fr-CA"/>
        </w:rPr>
        <w:t>’</w:t>
      </w:r>
      <w:r w:rsidRPr="004C53A6">
        <w:rPr>
          <w:szCs w:val="24"/>
          <w:lang w:val="fr-CA"/>
        </w:rPr>
        <w:t>original; p. 279</w:t>
      </w:r>
      <w:r w:rsidRPr="004C53A6">
        <w:rPr>
          <w:szCs w:val="24"/>
          <w:lang w:val="fr-CA"/>
        </w:rPr>
        <w:noBreakHyphen/>
      </w:r>
      <w:r w:rsidR="002764CC">
        <w:rPr>
          <w:szCs w:val="24"/>
          <w:lang w:val="fr-CA"/>
        </w:rPr>
        <w:t>2</w:t>
      </w:r>
      <w:r w:rsidRPr="004C53A6">
        <w:rPr>
          <w:szCs w:val="24"/>
          <w:lang w:val="fr-CA"/>
        </w:rPr>
        <w:t>80.]</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Lorsqu</w:t>
      </w:r>
      <w:r>
        <w:rPr>
          <w:rFonts w:cs="Times New Roman"/>
          <w:szCs w:val="24"/>
          <w:lang w:val="fr-CA"/>
        </w:rPr>
        <w:t>’</w:t>
      </w:r>
      <w:r w:rsidRPr="004C53A6">
        <w:rPr>
          <w:rFonts w:cs="Times New Roman"/>
          <w:szCs w:val="24"/>
          <w:lang w:val="fr-CA"/>
        </w:rPr>
        <w:t xml:space="preserve">on applique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dans le contexte du droit administratif, il est inadmissible d</w:t>
      </w:r>
      <w:r>
        <w:rPr>
          <w:rFonts w:cs="Times New Roman"/>
          <w:szCs w:val="24"/>
          <w:lang w:val="fr-CA"/>
        </w:rPr>
        <w:t>’</w:t>
      </w:r>
      <w:r w:rsidRPr="004C53A6">
        <w:rPr>
          <w:rFonts w:cs="Times New Roman"/>
          <w:szCs w:val="24"/>
          <w:lang w:val="fr-CA"/>
        </w:rPr>
        <w:t>invoquer les différences entre le processus et les procédures judiciaires et ceux utilisés par l</w:t>
      </w:r>
      <w:r>
        <w:rPr>
          <w:rFonts w:cs="Times New Roman"/>
          <w:szCs w:val="24"/>
          <w:lang w:val="fr-CA"/>
        </w:rPr>
        <w:t>’</w:t>
      </w:r>
      <w:r w:rsidRPr="004C53A6">
        <w:rPr>
          <w:rFonts w:cs="Times New Roman"/>
          <w:szCs w:val="24"/>
          <w:lang w:val="fr-CA"/>
        </w:rPr>
        <w:t>organisme administratif pour écarter le principe du caractère définitif des décisions.  On ne saurait non plus invoquer les objectifs différents visés par la procédure des tribunaux administratifs.  Autrement, toute question substantive de droit pourrait être réexaminée dans le cadre d</w:t>
      </w:r>
      <w:r>
        <w:rPr>
          <w:rFonts w:cs="Times New Roman"/>
          <w:szCs w:val="24"/>
          <w:lang w:val="fr-CA"/>
        </w:rPr>
        <w:t>’</w:t>
      </w:r>
      <w:r w:rsidRPr="004C53A6">
        <w:rPr>
          <w:rFonts w:cs="Times New Roman"/>
          <w:szCs w:val="24"/>
          <w:lang w:val="fr-CA"/>
        </w:rPr>
        <w:t xml:space="preserve">instances civiles ultérieures ou concurrentes, car on peut </w:t>
      </w:r>
      <w:r w:rsidRPr="004C53A6">
        <w:rPr>
          <w:rFonts w:cs="Times New Roman"/>
          <w:szCs w:val="24"/>
          <w:lang w:val="fr-CA"/>
        </w:rPr>
        <w:lastRenderedPageBreak/>
        <w:t>dire presque dans tous les cas que ces procédures ont des objectifs différents.  L</w:t>
      </w:r>
      <w:r>
        <w:rPr>
          <w:rFonts w:cs="Times New Roman"/>
          <w:szCs w:val="24"/>
          <w:lang w:val="fr-CA"/>
        </w:rPr>
        <w:t>’</w:t>
      </w:r>
      <w:r w:rsidRPr="004C53A6">
        <w:rPr>
          <w:rFonts w:cs="Times New Roman"/>
          <w:szCs w:val="24"/>
          <w:lang w:val="fr-CA"/>
        </w:rPr>
        <w:t xml:space="preserve">application discrétionnaire de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en droit administratif reconnaît que toute la panoplie de mesures de protection et de procédures ne se retrouve </w:t>
      </w:r>
      <w:proofErr w:type="spellStart"/>
      <w:r w:rsidRPr="004C53A6">
        <w:rPr>
          <w:rFonts w:cs="Times New Roman"/>
          <w:szCs w:val="24"/>
          <w:lang w:val="fr-CA"/>
        </w:rPr>
        <w:t>peut</w:t>
      </w:r>
      <w:r w:rsidRPr="004C53A6">
        <w:rPr>
          <w:rFonts w:cs="Times New Roman"/>
          <w:szCs w:val="24"/>
          <w:lang w:val="fr-CA"/>
        </w:rPr>
        <w:noBreakHyphen/>
        <w:t>être</w:t>
      </w:r>
      <w:proofErr w:type="spellEnd"/>
      <w:r w:rsidRPr="004C53A6">
        <w:rPr>
          <w:rFonts w:cs="Times New Roman"/>
          <w:szCs w:val="24"/>
          <w:lang w:val="fr-CA"/>
        </w:rPr>
        <w:t xml:space="preserve"> pas dans le cadre d</w:t>
      </w:r>
      <w:r>
        <w:rPr>
          <w:rFonts w:cs="Times New Roman"/>
          <w:szCs w:val="24"/>
          <w:lang w:val="fr-CA"/>
        </w:rPr>
        <w:t>’</w:t>
      </w:r>
      <w:r w:rsidRPr="004C53A6">
        <w:rPr>
          <w:rFonts w:cs="Times New Roman"/>
          <w:szCs w:val="24"/>
          <w:lang w:val="fr-CA"/>
        </w:rPr>
        <w:t>une procédure administrative.  Cependant, ni l</w:t>
      </w:r>
      <w:r>
        <w:rPr>
          <w:rFonts w:cs="Times New Roman"/>
          <w:szCs w:val="24"/>
          <w:lang w:val="fr-CA"/>
        </w:rPr>
        <w:t>’</w:t>
      </w:r>
      <w:r w:rsidRPr="004C53A6">
        <w:rPr>
          <w:rFonts w:cs="Times New Roman"/>
          <w:szCs w:val="24"/>
          <w:lang w:val="fr-CA"/>
        </w:rPr>
        <w:t>absence de telles mesures ni les objectifs différents d</w:t>
      </w:r>
      <w:r>
        <w:rPr>
          <w:rFonts w:cs="Times New Roman"/>
          <w:szCs w:val="24"/>
          <w:lang w:val="fr-CA"/>
        </w:rPr>
        <w:t>’</w:t>
      </w:r>
      <w:r w:rsidRPr="004C53A6">
        <w:rPr>
          <w:rFonts w:cs="Times New Roman"/>
          <w:szCs w:val="24"/>
          <w:lang w:val="fr-CA"/>
        </w:rPr>
        <w:t xml:space="preserve">un processus administratif ne suffisent en </w:t>
      </w:r>
      <w:proofErr w:type="spellStart"/>
      <w:r w:rsidRPr="004C53A6">
        <w:rPr>
          <w:rFonts w:cs="Times New Roman"/>
          <w:szCs w:val="24"/>
          <w:lang w:val="fr-CA"/>
        </w:rPr>
        <w:t>eux</w:t>
      </w:r>
      <w:r w:rsidRPr="004C53A6">
        <w:rPr>
          <w:rFonts w:cs="Times New Roman"/>
          <w:szCs w:val="24"/>
          <w:lang w:val="fr-CA"/>
        </w:rPr>
        <w:noBreakHyphen/>
        <w:t>mêmes</w:t>
      </w:r>
      <w:proofErr w:type="spellEnd"/>
      <w:r w:rsidRPr="004C53A6">
        <w:rPr>
          <w:rFonts w:cs="Times New Roman"/>
          <w:szCs w:val="24"/>
          <w:lang w:val="fr-CA"/>
        </w:rPr>
        <w:t xml:space="preserve"> pour justifier l</w:t>
      </w:r>
      <w:r>
        <w:rPr>
          <w:rFonts w:cs="Times New Roman"/>
          <w:szCs w:val="24"/>
          <w:lang w:val="fr-CA"/>
        </w:rPr>
        <w:t>’</w:t>
      </w:r>
      <w:r w:rsidRPr="004C53A6">
        <w:rPr>
          <w:rFonts w:cs="Times New Roman"/>
          <w:szCs w:val="24"/>
          <w:lang w:val="fr-CA"/>
        </w:rPr>
        <w:t>exercice par le tribunal de son pouvoir discrétionnaire.  En d</w:t>
      </w:r>
      <w:r>
        <w:rPr>
          <w:rFonts w:cs="Times New Roman"/>
          <w:szCs w:val="24"/>
          <w:lang w:val="fr-CA"/>
        </w:rPr>
        <w:t>’</w:t>
      </w:r>
      <w:r w:rsidRPr="004C53A6">
        <w:rPr>
          <w:rFonts w:cs="Times New Roman"/>
          <w:szCs w:val="24"/>
          <w:lang w:val="fr-CA"/>
        </w:rPr>
        <w:t xml:space="preserve">autres termes, la partie requérante ne peut chercher à </w:t>
      </w:r>
      <w:r w:rsidRPr="004C53A6">
        <w:rPr>
          <w:rFonts w:cs="Times New Roman"/>
          <w:smallCaps/>
          <w:szCs w:val="24"/>
          <w:lang w:val="fr-CA"/>
        </w:rPr>
        <w:t>[traduction]</w:t>
      </w:r>
      <w:r w:rsidRPr="004C53A6">
        <w:rPr>
          <w:rFonts w:cs="Times New Roman"/>
          <w:szCs w:val="24"/>
          <w:lang w:val="fr-CA"/>
        </w:rPr>
        <w:t xml:space="preserve"> « s</w:t>
      </w:r>
      <w:r>
        <w:rPr>
          <w:rFonts w:cs="Times New Roman"/>
          <w:szCs w:val="24"/>
          <w:lang w:val="fr-CA"/>
        </w:rPr>
        <w:t>’</w:t>
      </w:r>
      <w:r w:rsidRPr="004C53A6">
        <w:rPr>
          <w:rFonts w:cs="Times New Roman"/>
          <w:szCs w:val="24"/>
          <w:lang w:val="fr-CA"/>
        </w:rPr>
        <w:t>appuyer sur des préoccupations touchant à l</w:t>
      </w:r>
      <w:r>
        <w:rPr>
          <w:rFonts w:cs="Times New Roman"/>
          <w:szCs w:val="24"/>
          <w:lang w:val="fr-CA"/>
        </w:rPr>
        <w:t>’</w:t>
      </w:r>
      <w:r w:rsidRPr="004C53A6">
        <w:rPr>
          <w:rFonts w:cs="Times New Roman"/>
          <w:szCs w:val="24"/>
          <w:lang w:val="fr-CA"/>
        </w:rPr>
        <w:t>équité en général qui surgissent chaque fois que la conclusion invoquée est tirée par un tribunal dont les procédures sont sommaires et dont les fonctions sont plus restreintes que celles des cours de justice »</w:t>
      </w:r>
      <w:r w:rsidR="006F4ABC">
        <w:rPr>
          <w:rFonts w:cs="Times New Roman"/>
          <w:szCs w:val="24"/>
          <w:lang w:val="fr-CA"/>
        </w:rPr>
        <w:t> (</w:t>
      </w:r>
      <w:proofErr w:type="spellStart"/>
      <w:r w:rsidRPr="004C53A6">
        <w:rPr>
          <w:rFonts w:cs="Times New Roman"/>
          <w:i/>
          <w:iCs/>
          <w:szCs w:val="24"/>
          <w:lang w:val="fr-CA"/>
        </w:rPr>
        <w:t>Schweneke</w:t>
      </w:r>
      <w:proofErr w:type="spellEnd"/>
      <w:r w:rsidRPr="004C53A6">
        <w:rPr>
          <w:rFonts w:cs="Times New Roman"/>
          <w:i/>
          <w:iCs/>
          <w:szCs w:val="24"/>
          <w:lang w:val="fr-CA"/>
        </w:rPr>
        <w:t xml:space="preserve"> c. Ontario</w:t>
      </w:r>
      <w:r w:rsidRPr="004C53A6">
        <w:rPr>
          <w:rFonts w:cs="Times New Roman"/>
          <w:szCs w:val="24"/>
          <w:lang w:val="fr-CA"/>
        </w:rPr>
        <w:t xml:space="preserve"> (2000), 47 O.R. (3d) 97 (C.A.),</w:t>
      </w:r>
      <w:r w:rsidRPr="004C53A6">
        <w:rPr>
          <w:rFonts w:cs="Times New Roman"/>
          <w:i/>
          <w:szCs w:val="24"/>
          <w:lang w:val="fr-CA"/>
        </w:rPr>
        <w:t xml:space="preserve"> </w:t>
      </w:r>
      <w:r w:rsidR="002764CC">
        <w:rPr>
          <w:rFonts w:cs="Times New Roman"/>
          <w:szCs w:val="24"/>
          <w:lang w:val="fr-CA"/>
        </w:rPr>
        <w:t>par. 41</w:t>
      </w:r>
      <w:r w:rsidR="006F4ABC">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Dans </w:t>
      </w:r>
      <w:proofErr w:type="spellStart"/>
      <w:r w:rsidRPr="004C53A6">
        <w:rPr>
          <w:rFonts w:cs="Times New Roman"/>
          <w:i/>
          <w:szCs w:val="24"/>
          <w:lang w:val="fr-CA"/>
        </w:rPr>
        <w:t>Figliola</w:t>
      </w:r>
      <w:proofErr w:type="spellEnd"/>
      <w:r w:rsidRPr="004C53A6">
        <w:rPr>
          <w:rFonts w:cs="Times New Roman"/>
          <w:szCs w:val="24"/>
          <w:lang w:val="fr-CA"/>
        </w:rPr>
        <w:t>, les juges majoritaires font constamment référence conjointement aux décisions des tribunaux et des cours de justice lorsqu</w:t>
      </w:r>
      <w:r>
        <w:rPr>
          <w:rFonts w:cs="Times New Roman"/>
          <w:szCs w:val="24"/>
          <w:lang w:val="fr-CA"/>
        </w:rPr>
        <w:t>’</w:t>
      </w:r>
      <w:r w:rsidRPr="004C53A6">
        <w:rPr>
          <w:rFonts w:cs="Times New Roman"/>
          <w:szCs w:val="24"/>
          <w:lang w:val="fr-CA"/>
        </w:rPr>
        <w:t>ils discutent des principes applicables — y compris l</w:t>
      </w:r>
      <w:r>
        <w:rPr>
          <w:rFonts w:cs="Times New Roman"/>
          <w:szCs w:val="24"/>
          <w:lang w:val="fr-CA"/>
        </w:rPr>
        <w:t>’</w:t>
      </w:r>
      <w:r w:rsidRPr="004C53A6">
        <w:rPr>
          <w:rFonts w:cs="Times New Roman"/>
          <w:szCs w:val="24"/>
          <w:lang w:val="fr-CA"/>
        </w:rPr>
        <w:t>exercice du pouvoir discrétionnaire — et ils ne font jamais de distinction entre</w:t>
      </w:r>
      <w:r w:rsidR="00D70E5E">
        <w:rPr>
          <w:rFonts w:cs="Times New Roman"/>
          <w:szCs w:val="24"/>
          <w:lang w:val="fr-CA"/>
        </w:rPr>
        <w:t xml:space="preserve"> celles-ci</w:t>
      </w:r>
      <w:r w:rsidRPr="004C53A6">
        <w:rPr>
          <w:rFonts w:cs="Times New Roman"/>
          <w:szCs w:val="24"/>
          <w:lang w:val="fr-CA"/>
        </w:rPr>
        <w:t>.  L</w:t>
      </w:r>
      <w:r>
        <w:rPr>
          <w:rFonts w:cs="Times New Roman"/>
          <w:szCs w:val="24"/>
          <w:lang w:val="fr-CA"/>
        </w:rPr>
        <w:t>’</w:t>
      </w:r>
      <w:r w:rsidRPr="004C53A6">
        <w:rPr>
          <w:rFonts w:cs="Times New Roman"/>
          <w:szCs w:val="24"/>
          <w:lang w:val="fr-CA"/>
        </w:rPr>
        <w:t>idée que ce pouvoir discrétionnaire devrait être plus étendu lorsqu</w:t>
      </w:r>
      <w:r>
        <w:rPr>
          <w:rFonts w:cs="Times New Roman"/>
          <w:szCs w:val="24"/>
          <w:lang w:val="fr-CA"/>
        </w:rPr>
        <w:t>’</w:t>
      </w:r>
      <w:r w:rsidRPr="004C53A6">
        <w:rPr>
          <w:rFonts w:cs="Times New Roman"/>
          <w:szCs w:val="24"/>
          <w:lang w:val="fr-CA"/>
        </w:rPr>
        <w:t>il est question de tribunaux administratifs n</w:t>
      </w:r>
      <w:r>
        <w:rPr>
          <w:rFonts w:cs="Times New Roman"/>
          <w:szCs w:val="24"/>
          <w:lang w:val="fr-CA"/>
        </w:rPr>
        <w:t>’</w:t>
      </w:r>
      <w:r w:rsidRPr="004C53A6">
        <w:rPr>
          <w:rFonts w:cs="Times New Roman"/>
          <w:szCs w:val="24"/>
          <w:lang w:val="fr-CA"/>
        </w:rPr>
        <w:t>est évoquée que dans la dissidence</w:t>
      </w:r>
      <w:r w:rsidR="00504E06">
        <w:rPr>
          <w:rFonts w:cs="Times New Roman"/>
          <w:szCs w:val="24"/>
          <w:lang w:val="fr-CA"/>
        </w:rPr>
        <w:t> </w:t>
      </w:r>
      <w:r w:rsidR="006F4ABC">
        <w:rPr>
          <w:rFonts w:cs="Times New Roman"/>
          <w:szCs w:val="24"/>
          <w:lang w:val="fr-CA"/>
        </w:rPr>
        <w:t>(</w:t>
      </w:r>
      <w:r w:rsidRPr="004C53A6">
        <w:rPr>
          <w:rFonts w:cs="Times New Roman"/>
          <w:szCs w:val="24"/>
          <w:lang w:val="fr-CA"/>
        </w:rPr>
        <w:t>par. 61</w:t>
      </w:r>
      <w:r w:rsidR="006F4ABC">
        <w:rPr>
          <w:rFonts w:cs="Times New Roman"/>
          <w:szCs w:val="24"/>
          <w:lang w:val="fr-CA"/>
        </w:rPr>
        <w:t>)</w:t>
      </w:r>
      <w:r w:rsidRPr="004C53A6">
        <w:rPr>
          <w:rFonts w:cs="Times New Roman"/>
          <w:szCs w:val="24"/>
          <w:lang w:val="fr-CA"/>
        </w:rPr>
        <w:t>.</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Les objectifs stratégiques </w:t>
      </w:r>
      <w:proofErr w:type="spellStart"/>
      <w:r w:rsidRPr="004C53A6">
        <w:rPr>
          <w:rFonts w:cs="Times New Roman"/>
          <w:szCs w:val="24"/>
          <w:lang w:val="fr-CA"/>
        </w:rPr>
        <w:t>sous</w:t>
      </w:r>
      <w:r w:rsidRPr="004C53A6">
        <w:rPr>
          <w:rFonts w:cs="Times New Roman"/>
          <w:szCs w:val="24"/>
          <w:lang w:val="fr-CA"/>
        </w:rPr>
        <w:noBreakHyphen/>
        <w:t>jacents</w:t>
      </w:r>
      <w:proofErr w:type="spellEnd"/>
      <w:r w:rsidRPr="004C53A6">
        <w:rPr>
          <w:rFonts w:cs="Times New Roman"/>
          <w:szCs w:val="24"/>
          <w:lang w:val="fr-CA"/>
        </w:rPr>
        <w:t xml:space="preserve"> à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 éviter les instances faisant double emploi, les risques de résultats contradictoires, les frais excessifs et les procédures non </w:t>
      </w:r>
      <w:r w:rsidRPr="004C53A6">
        <w:rPr>
          <w:rFonts w:cs="Times New Roman"/>
          <w:szCs w:val="24"/>
          <w:lang w:val="fr-CA"/>
        </w:rPr>
        <w:lastRenderedPageBreak/>
        <w:t>décisives — sont renforcés si l</w:t>
      </w:r>
      <w:r>
        <w:rPr>
          <w:rFonts w:cs="Times New Roman"/>
          <w:szCs w:val="24"/>
          <w:lang w:val="fr-CA"/>
        </w:rPr>
        <w:t>’</w:t>
      </w:r>
      <w:r w:rsidRPr="004C53A6">
        <w:rPr>
          <w:rFonts w:cs="Times New Roman"/>
          <w:szCs w:val="24"/>
          <w:lang w:val="fr-CA"/>
        </w:rPr>
        <w:t>on admet que les décisions administratives sont exécutoires dans des circonstances appropriées.  Comme l</w:t>
      </w:r>
      <w:r>
        <w:rPr>
          <w:rFonts w:cs="Times New Roman"/>
          <w:szCs w:val="24"/>
          <w:lang w:val="fr-CA"/>
        </w:rPr>
        <w:t>’</w:t>
      </w:r>
      <w:r w:rsidRPr="004C53A6">
        <w:rPr>
          <w:rFonts w:cs="Times New Roman"/>
          <w:szCs w:val="24"/>
          <w:lang w:val="fr-CA"/>
        </w:rPr>
        <w:t xml:space="preserve">a reconnu la Cour dans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p>
    <w:p w:rsidR="0000152B" w:rsidRPr="004C53A6" w:rsidRDefault="0000152B" w:rsidP="0000152B">
      <w:pPr>
        <w:pStyle w:val="Citation-AltC"/>
        <w:ind w:hanging="1166"/>
        <w:rPr>
          <w:szCs w:val="24"/>
          <w:lang w:val="fr-CA"/>
        </w:rPr>
      </w:pPr>
      <w:r w:rsidRPr="004C53A6">
        <w:rPr>
          <w:szCs w:val="24"/>
          <w:lang w:val="fr-CA"/>
        </w:rPr>
        <w:tab/>
        <w:t>[l]e respect du caractère définitif d</w:t>
      </w:r>
      <w:r>
        <w:rPr>
          <w:szCs w:val="24"/>
          <w:lang w:val="fr-CA"/>
        </w:rPr>
        <w:t>’</w:t>
      </w:r>
      <w:r w:rsidRPr="004C53A6">
        <w:rPr>
          <w:szCs w:val="24"/>
          <w:lang w:val="fr-CA"/>
        </w:rPr>
        <w:t>une décision [. . .] administrative renforce l</w:t>
      </w:r>
      <w:r>
        <w:rPr>
          <w:szCs w:val="24"/>
          <w:lang w:val="fr-CA"/>
        </w:rPr>
        <w:t>’</w:t>
      </w:r>
      <w:r w:rsidRPr="004C53A6">
        <w:rPr>
          <w:szCs w:val="24"/>
          <w:lang w:val="fr-CA"/>
        </w:rPr>
        <w:t>équité et l</w:t>
      </w:r>
      <w:r>
        <w:rPr>
          <w:szCs w:val="24"/>
          <w:lang w:val="fr-CA"/>
        </w:rPr>
        <w:t>’</w:t>
      </w:r>
      <w:r w:rsidRPr="004C53A6">
        <w:rPr>
          <w:szCs w:val="24"/>
          <w:lang w:val="fr-CA"/>
        </w:rPr>
        <w:t xml:space="preserve">intégrité des </w:t>
      </w:r>
      <w:r w:rsidR="002764CC" w:rsidRPr="004C53A6">
        <w:rPr>
          <w:szCs w:val="24"/>
          <w:lang w:val="fr-CA"/>
        </w:rPr>
        <w:t xml:space="preserve">tribunaux </w:t>
      </w:r>
      <w:r w:rsidRPr="004C53A6">
        <w:rPr>
          <w:szCs w:val="24"/>
          <w:lang w:val="fr-CA"/>
        </w:rPr>
        <w:t>[. . .] administratifs ainsi que de l</w:t>
      </w:r>
      <w:r>
        <w:rPr>
          <w:szCs w:val="24"/>
          <w:lang w:val="fr-CA"/>
        </w:rPr>
        <w:t>’</w:t>
      </w:r>
      <w:r w:rsidRPr="004C53A6">
        <w:rPr>
          <w:szCs w:val="24"/>
          <w:lang w:val="fr-CA"/>
        </w:rPr>
        <w:t>administration de la justice; à l</w:t>
      </w:r>
      <w:r>
        <w:rPr>
          <w:szCs w:val="24"/>
          <w:lang w:val="fr-CA"/>
        </w:rPr>
        <w:t>’</w:t>
      </w:r>
      <w:r w:rsidRPr="004C53A6">
        <w:rPr>
          <w:szCs w:val="24"/>
          <w:lang w:val="fr-CA"/>
        </w:rPr>
        <w:t>opposé, la remise en cause de questions déjà tranchées par un forum compétent peut miner la confiance envers l</w:t>
      </w:r>
      <w:r>
        <w:rPr>
          <w:szCs w:val="24"/>
          <w:lang w:val="fr-CA"/>
        </w:rPr>
        <w:t>’</w:t>
      </w:r>
      <w:r w:rsidRPr="004C53A6">
        <w:rPr>
          <w:szCs w:val="24"/>
          <w:lang w:val="fr-CA"/>
        </w:rPr>
        <w:t>équité et l</w:t>
      </w:r>
      <w:r>
        <w:rPr>
          <w:szCs w:val="24"/>
          <w:lang w:val="fr-CA"/>
        </w:rPr>
        <w:t>’</w:t>
      </w:r>
      <w:r w:rsidRPr="004C53A6">
        <w:rPr>
          <w:szCs w:val="24"/>
          <w:lang w:val="fr-CA"/>
        </w:rPr>
        <w:t>intégrité du système en créant de l</w:t>
      </w:r>
      <w:r>
        <w:rPr>
          <w:szCs w:val="24"/>
          <w:lang w:val="fr-CA"/>
        </w:rPr>
        <w:t>’</w:t>
      </w:r>
      <w:r w:rsidRPr="004C53A6">
        <w:rPr>
          <w:szCs w:val="24"/>
          <w:lang w:val="fr-CA"/>
        </w:rPr>
        <w:t>incohérence et en suscitant des recours faisant inutilement double emploi (</w:t>
      </w:r>
      <w:r w:rsidRPr="004C53A6">
        <w:rPr>
          <w:i/>
          <w:szCs w:val="24"/>
          <w:lang w:val="fr-CA"/>
        </w:rPr>
        <w:t>Toronto (Ville) c. S.C.F.P., section locale 79</w:t>
      </w:r>
      <w:r w:rsidRPr="004C53A6">
        <w:rPr>
          <w:szCs w:val="24"/>
          <w:lang w:val="fr-CA"/>
        </w:rPr>
        <w:t>,</w:t>
      </w:r>
      <w:r w:rsidRPr="004C53A6">
        <w:rPr>
          <w:i/>
          <w:szCs w:val="24"/>
          <w:lang w:val="fr-CA"/>
        </w:rPr>
        <w:t xml:space="preserve"> </w:t>
      </w:r>
      <w:r w:rsidRPr="004C53A6">
        <w:rPr>
          <w:szCs w:val="24"/>
          <w:lang w:val="fr-CA"/>
        </w:rPr>
        <w:t xml:space="preserve">2003 CSC 63, [2003] </w:t>
      </w:r>
      <w:r w:rsidR="008F1D68">
        <w:rPr>
          <w:szCs w:val="24"/>
          <w:lang w:val="fr-CA"/>
        </w:rPr>
        <w:t>3 R.C.S. 77, par. 38 et 51).  [</w:t>
      </w:r>
      <w:proofErr w:type="gramStart"/>
      <w:r w:rsidR="008F1D68">
        <w:rPr>
          <w:szCs w:val="24"/>
          <w:lang w:val="fr-CA"/>
        </w:rPr>
        <w:t>p</w:t>
      </w:r>
      <w:r w:rsidRPr="004C53A6">
        <w:rPr>
          <w:szCs w:val="24"/>
          <w:lang w:val="fr-CA"/>
        </w:rPr>
        <w:t>ar</w:t>
      </w:r>
      <w:proofErr w:type="gramEnd"/>
      <w:r w:rsidRPr="004C53A6">
        <w:rPr>
          <w:szCs w:val="24"/>
          <w:lang w:val="fr-CA"/>
        </w:rPr>
        <w:t xml:space="preserve">. 34]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En outre, le principe du caractère définitif des décisions qui </w:t>
      </w:r>
      <w:proofErr w:type="spellStart"/>
      <w:r w:rsidRPr="004C53A6">
        <w:rPr>
          <w:rFonts w:cs="Times New Roman"/>
          <w:szCs w:val="24"/>
          <w:lang w:val="fr-CA"/>
        </w:rPr>
        <w:t>sous</w:t>
      </w:r>
      <w:r w:rsidRPr="004C53A6">
        <w:rPr>
          <w:rFonts w:cs="Times New Roman"/>
          <w:szCs w:val="24"/>
          <w:lang w:val="fr-CA"/>
        </w:rPr>
        <w:noBreakHyphen/>
        <w:t>tend</w:t>
      </w:r>
      <w:proofErr w:type="spellEnd"/>
      <w:r w:rsidRPr="004C53A6">
        <w:rPr>
          <w:rFonts w:cs="Times New Roman"/>
          <w:szCs w:val="24"/>
          <w:lang w:val="fr-CA"/>
        </w:rPr>
        <w:t xml:space="preserv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est directement lié au principe de la déférence en droit administratif.  L</w:t>
      </w:r>
      <w:r>
        <w:rPr>
          <w:rFonts w:cs="Times New Roman"/>
          <w:szCs w:val="24"/>
          <w:lang w:val="fr-CA"/>
        </w:rPr>
        <w:t>’</w:t>
      </w:r>
      <w:r w:rsidRPr="004C53A6">
        <w:rPr>
          <w:rFonts w:cs="Times New Roman"/>
          <w:szCs w:val="24"/>
          <w:lang w:val="fr-CA"/>
        </w:rPr>
        <w:t>application de cette doctrine reconnaît que « les parties devaient pouvoir être assurées du caractère définitif des décisions administratives, en particulier, parce que ces régimes visent à faciliter le règlement rapide des différends »</w:t>
      </w:r>
      <w:r w:rsidR="00D83859">
        <w:rPr>
          <w:rFonts w:cs="Times New Roman"/>
          <w:szCs w:val="24"/>
          <w:lang w:val="fr-CA"/>
        </w:rPr>
        <w:t> (</w:t>
      </w:r>
      <w:proofErr w:type="spellStart"/>
      <w:r w:rsidRPr="004C53A6">
        <w:rPr>
          <w:rFonts w:cs="Times New Roman"/>
          <w:i/>
          <w:szCs w:val="24"/>
          <w:lang w:val="fr-CA"/>
        </w:rPr>
        <w:t>Figliola</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par. 27</w:t>
      </w:r>
      <w:r w:rsidR="00D83859">
        <w:rPr>
          <w:rFonts w:cs="Times New Roman"/>
          <w:szCs w:val="24"/>
          <w:lang w:val="fr-CA"/>
        </w:rPr>
        <w:t>)</w:t>
      </w:r>
      <w:r w:rsidRPr="004C53A6">
        <w:rPr>
          <w:rFonts w:cs="Times New Roman"/>
          <w:szCs w:val="24"/>
          <w:lang w:val="fr-CA"/>
        </w:rPr>
        <w:t xml:space="preserve">.  Elle reconnaît aussi le principe de déférence qui </w:t>
      </w:r>
      <w:proofErr w:type="spellStart"/>
      <w:r w:rsidRPr="004C53A6">
        <w:rPr>
          <w:rFonts w:cs="Times New Roman"/>
          <w:szCs w:val="24"/>
          <w:lang w:val="fr-CA"/>
        </w:rPr>
        <w:t>sous</w:t>
      </w:r>
      <w:r w:rsidRPr="004C53A6">
        <w:rPr>
          <w:rFonts w:cs="Times New Roman"/>
          <w:szCs w:val="24"/>
          <w:lang w:val="fr-CA"/>
        </w:rPr>
        <w:noBreakHyphen/>
        <w:t>tend</w:t>
      </w:r>
      <w:proofErr w:type="spellEnd"/>
      <w:r w:rsidRPr="004C53A6">
        <w:rPr>
          <w:rFonts w:cs="Times New Roman"/>
          <w:szCs w:val="24"/>
          <w:lang w:val="fr-CA"/>
        </w:rPr>
        <w:t xml:space="preserve"> la jurisprudence de la Cour en matière de contrôle judiciaire ainsi que l</w:t>
      </w:r>
      <w:r>
        <w:rPr>
          <w:rFonts w:cs="Times New Roman"/>
          <w:szCs w:val="24"/>
          <w:lang w:val="fr-CA"/>
        </w:rPr>
        <w:t>’</w:t>
      </w:r>
      <w:r w:rsidRPr="004C53A6">
        <w:rPr>
          <w:rFonts w:cs="Times New Roman"/>
          <w:szCs w:val="24"/>
          <w:lang w:val="fr-CA"/>
        </w:rPr>
        <w:t>importance et la valeur accordées aux décisions administratives</w:t>
      </w:r>
      <w:r w:rsidR="00243B3F">
        <w:rPr>
          <w:rFonts w:cs="Times New Roman"/>
          <w:szCs w:val="24"/>
          <w:lang w:val="fr-CA"/>
        </w:rPr>
        <w:t> (</w:t>
      </w:r>
      <w:r w:rsidRPr="004C53A6">
        <w:rPr>
          <w:rFonts w:cs="Times New Roman"/>
          <w:szCs w:val="24"/>
          <w:lang w:val="fr-CA"/>
        </w:rPr>
        <w:t xml:space="preserve">voir, </w:t>
      </w:r>
      <w:r w:rsidR="003822AB">
        <w:rPr>
          <w:rFonts w:cs="Times New Roman"/>
          <w:szCs w:val="24"/>
          <w:lang w:val="fr-CA"/>
        </w:rPr>
        <w:t>par exemple</w:t>
      </w:r>
      <w:r w:rsidRPr="004C53A6">
        <w:rPr>
          <w:rFonts w:cs="Times New Roman"/>
          <w:szCs w:val="24"/>
          <w:lang w:val="fr-CA"/>
        </w:rPr>
        <w:t xml:space="preserve">, </w:t>
      </w:r>
      <w:r w:rsidRPr="004C53A6">
        <w:rPr>
          <w:rFonts w:cs="Times New Roman"/>
          <w:i/>
          <w:szCs w:val="24"/>
          <w:lang w:val="fr-CA"/>
        </w:rPr>
        <w:t>Newfoundland and Labrador Nurses</w:t>
      </w:r>
      <w:r>
        <w:rPr>
          <w:rFonts w:cs="Times New Roman"/>
          <w:i/>
          <w:szCs w:val="24"/>
          <w:lang w:val="fr-CA"/>
        </w:rPr>
        <w:t>’</w:t>
      </w:r>
      <w:r w:rsidRPr="004C53A6">
        <w:rPr>
          <w:rFonts w:cs="Times New Roman"/>
          <w:i/>
          <w:szCs w:val="24"/>
          <w:lang w:val="fr-CA"/>
        </w:rPr>
        <w:t xml:space="preserve"> Union c. </w:t>
      </w:r>
      <w:proofErr w:type="spellStart"/>
      <w:r w:rsidRPr="004C53A6">
        <w:rPr>
          <w:rFonts w:cs="Times New Roman"/>
          <w:i/>
          <w:szCs w:val="24"/>
          <w:lang w:val="fr-CA"/>
        </w:rPr>
        <w:t>Terre</w:t>
      </w:r>
      <w:r w:rsidRPr="004C53A6">
        <w:rPr>
          <w:rFonts w:cs="Times New Roman"/>
          <w:i/>
          <w:szCs w:val="24"/>
          <w:lang w:val="fr-CA"/>
        </w:rPr>
        <w:noBreakHyphen/>
        <w:t>Neuve</w:t>
      </w:r>
      <w:r w:rsidRPr="004C53A6">
        <w:rPr>
          <w:rFonts w:cs="Times New Roman"/>
          <w:i/>
          <w:szCs w:val="24"/>
          <w:lang w:val="fr-CA"/>
        </w:rPr>
        <w:noBreakHyphen/>
        <w:t>et</w:t>
      </w:r>
      <w:r w:rsidRPr="004C53A6">
        <w:rPr>
          <w:rFonts w:cs="Times New Roman"/>
          <w:i/>
          <w:szCs w:val="24"/>
          <w:lang w:val="fr-CA"/>
        </w:rPr>
        <w:noBreakHyphen/>
        <w:t>Labrador</w:t>
      </w:r>
      <w:proofErr w:type="spellEnd"/>
      <w:r w:rsidRPr="004C53A6">
        <w:rPr>
          <w:rFonts w:cs="Times New Roman"/>
          <w:i/>
          <w:szCs w:val="24"/>
          <w:lang w:val="fr-CA"/>
        </w:rPr>
        <w:t xml:space="preserve"> (Conseil du Trésor)</w:t>
      </w:r>
      <w:r w:rsidRPr="004C53A6">
        <w:rPr>
          <w:rFonts w:cs="Times New Roman"/>
          <w:szCs w:val="24"/>
          <w:lang w:val="fr-CA"/>
        </w:rPr>
        <w:t>, 2011 CSC 62, [2011] 3 R.C.S. 708, par. 11</w:t>
      </w:r>
      <w:r w:rsidR="00243B3F">
        <w:rPr>
          <w:rFonts w:cs="Times New Roman"/>
          <w:szCs w:val="24"/>
          <w:lang w:val="fr-CA"/>
        </w:rPr>
        <w:t>)</w:t>
      </w:r>
      <w:r w:rsidRPr="004C53A6">
        <w:rPr>
          <w:rFonts w:cs="Times New Roman"/>
          <w:szCs w:val="24"/>
          <w:lang w:val="fr-CA"/>
        </w:rPr>
        <w:t>.  Elle donne aussi effet au principe selon lequel l</w:t>
      </w:r>
      <w:r>
        <w:rPr>
          <w:rFonts w:cs="Times New Roman"/>
          <w:szCs w:val="24"/>
          <w:lang w:val="fr-CA"/>
        </w:rPr>
        <w:t>’</w:t>
      </w:r>
      <w:r w:rsidRPr="004C53A6">
        <w:rPr>
          <w:rFonts w:cs="Times New Roman"/>
          <w:szCs w:val="24"/>
          <w:lang w:val="fr-CA"/>
        </w:rPr>
        <w:t>existence d</w:t>
      </w:r>
      <w:r>
        <w:rPr>
          <w:rFonts w:cs="Times New Roman"/>
          <w:szCs w:val="24"/>
          <w:lang w:val="fr-CA"/>
        </w:rPr>
        <w:t>’</w:t>
      </w:r>
      <w:r w:rsidRPr="004C53A6">
        <w:rPr>
          <w:rFonts w:cs="Times New Roman"/>
          <w:szCs w:val="24"/>
          <w:lang w:val="fr-CA"/>
        </w:rPr>
        <w:t>un autre recours approprié oblige les parties de se prévaloir du mécanisme approprié de contrôle judiciaire ou d</w:t>
      </w:r>
      <w:r>
        <w:rPr>
          <w:rFonts w:cs="Times New Roman"/>
          <w:szCs w:val="24"/>
          <w:lang w:val="fr-CA"/>
        </w:rPr>
        <w:t>’</w:t>
      </w:r>
      <w:r w:rsidRPr="004C53A6">
        <w:rPr>
          <w:rFonts w:cs="Times New Roman"/>
          <w:szCs w:val="24"/>
          <w:lang w:val="fr-CA"/>
        </w:rPr>
        <w:t xml:space="preserve">appel pour contester la validité ou le </w:t>
      </w:r>
      <w:proofErr w:type="spellStart"/>
      <w:r w:rsidRPr="004C53A6">
        <w:rPr>
          <w:rFonts w:cs="Times New Roman"/>
          <w:szCs w:val="24"/>
          <w:lang w:val="fr-CA"/>
        </w:rPr>
        <w:t>bien</w:t>
      </w:r>
      <w:r w:rsidRPr="004C53A6">
        <w:rPr>
          <w:rFonts w:cs="Times New Roman"/>
          <w:szCs w:val="24"/>
          <w:lang w:val="fr-CA"/>
        </w:rPr>
        <w:noBreakHyphen/>
        <w:t>fondé</w:t>
      </w:r>
      <w:proofErr w:type="spellEnd"/>
      <w:r w:rsidRPr="004C53A6">
        <w:rPr>
          <w:rFonts w:cs="Times New Roman"/>
          <w:szCs w:val="24"/>
          <w:lang w:val="fr-CA"/>
        </w:rPr>
        <w:t xml:space="preserve"> d</w:t>
      </w:r>
      <w:r>
        <w:rPr>
          <w:rFonts w:cs="Times New Roman"/>
          <w:szCs w:val="24"/>
          <w:lang w:val="fr-CA"/>
        </w:rPr>
        <w:t>’</w:t>
      </w:r>
      <w:r w:rsidRPr="004C53A6">
        <w:rPr>
          <w:rFonts w:cs="Times New Roman"/>
          <w:szCs w:val="24"/>
          <w:lang w:val="fr-CA"/>
        </w:rPr>
        <w:t xml:space="preserve">une décision </w:t>
      </w:r>
      <w:r w:rsidRPr="004C53A6">
        <w:rPr>
          <w:rFonts w:cs="Times New Roman"/>
          <w:szCs w:val="24"/>
          <w:lang w:val="fr-CA"/>
        </w:rPr>
        <w:lastRenderedPageBreak/>
        <w:t>administrative, en les empêchant de contourner ces processus pour rechercher un résultat différent devant un nouveau forum.  En l</w:t>
      </w:r>
      <w:r>
        <w:rPr>
          <w:rFonts w:cs="Times New Roman"/>
          <w:szCs w:val="24"/>
          <w:lang w:val="fr-CA"/>
        </w:rPr>
        <w:t>’</w:t>
      </w:r>
      <w:r w:rsidRPr="004C53A6">
        <w:rPr>
          <w:rFonts w:cs="Times New Roman"/>
          <w:szCs w:val="24"/>
          <w:lang w:val="fr-CA"/>
        </w:rPr>
        <w:t xml:space="preserve">espèce, il est difficile de concilier le vaste exercice du pouvoir discrétionnaire résiduel de ne pas appliquer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avec l</w:t>
      </w:r>
      <w:r>
        <w:rPr>
          <w:rFonts w:cs="Times New Roman"/>
          <w:szCs w:val="24"/>
          <w:lang w:val="fr-CA"/>
        </w:rPr>
        <w:t>’</w:t>
      </w:r>
      <w:r w:rsidRPr="004C53A6">
        <w:rPr>
          <w:rFonts w:cs="Times New Roman"/>
          <w:szCs w:val="24"/>
          <w:lang w:val="fr-CA"/>
        </w:rPr>
        <w:t>importance de la déférence envers les décisions administratives qui est à la base de la jurisprudence de la Cour en matière de contrôle judiciaire.  Ce faisant, nos collègues nient ainsi la valeur et l</w:t>
      </w:r>
      <w:r>
        <w:rPr>
          <w:rFonts w:cs="Times New Roman"/>
          <w:szCs w:val="24"/>
          <w:lang w:val="fr-CA"/>
        </w:rPr>
        <w:t>’</w:t>
      </w:r>
      <w:r w:rsidRPr="004C53A6">
        <w:rPr>
          <w:rFonts w:cs="Times New Roman"/>
          <w:szCs w:val="24"/>
          <w:lang w:val="fr-CA"/>
        </w:rPr>
        <w:t xml:space="preserve">importance des décisions </w:t>
      </w:r>
      <w:r w:rsidR="003408E4">
        <w:rPr>
          <w:rFonts w:cs="Times New Roman"/>
          <w:szCs w:val="24"/>
          <w:lang w:val="fr-CA"/>
        </w:rPr>
        <w:t>des tribunaux administratifs</w:t>
      </w:r>
      <w:r w:rsidRPr="004C53A6">
        <w:rPr>
          <w:rFonts w:cs="Times New Roman"/>
          <w:szCs w:val="24"/>
          <w:lang w:val="fr-CA"/>
        </w:rPr>
        <w:t>, que la Cour a tout particulièrement soulignée à maintes reprises.</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Les cours ne devraient pas se servir de leur pouvoir discrétionnaire résiduel de ne pas 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pour imposer un modèle particulier de décision, à l</w:t>
      </w:r>
      <w:r>
        <w:rPr>
          <w:rFonts w:cs="Times New Roman"/>
          <w:szCs w:val="24"/>
          <w:lang w:val="fr-CA"/>
        </w:rPr>
        <w:t>’</w:t>
      </w:r>
      <w:r w:rsidRPr="004C53A6">
        <w:rPr>
          <w:rFonts w:cs="Times New Roman"/>
          <w:szCs w:val="24"/>
          <w:lang w:val="fr-CA"/>
        </w:rPr>
        <w:t>encontre du principe de déférence qui est au cœur du droit administratif.  Lorsque le législateur confère à un tribunal le pouvoir nécessaire de prendre une décision et que la décision en question est de nature judiciaire ou quasi judiciaire, on contreviendrait au principe de déférence.  En effet, on élargirait la portée du pouvoir discrétionnaire des cours de justice d</w:t>
      </w:r>
      <w:r>
        <w:rPr>
          <w:rFonts w:cs="Times New Roman"/>
          <w:szCs w:val="24"/>
          <w:lang w:val="fr-CA"/>
        </w:rPr>
        <w:t>’</w:t>
      </w:r>
      <w:r w:rsidRPr="004C53A6">
        <w:rPr>
          <w:rFonts w:cs="Times New Roman"/>
          <w:szCs w:val="24"/>
          <w:lang w:val="fr-CA"/>
        </w:rPr>
        <w:t>une manière qui, dans la plupart des cas, permettrait à la partie perdante de contourner le contrôle judiciaire et de s</w:t>
      </w:r>
      <w:r>
        <w:rPr>
          <w:rFonts w:cs="Times New Roman"/>
          <w:szCs w:val="24"/>
          <w:lang w:val="fr-CA"/>
        </w:rPr>
        <w:t>’</w:t>
      </w:r>
      <w:r w:rsidRPr="004C53A6">
        <w:rPr>
          <w:rFonts w:cs="Times New Roman"/>
          <w:szCs w:val="24"/>
          <w:lang w:val="fr-CA"/>
        </w:rPr>
        <w:t>adresser plutôt à une cour de justice pour qu</w:t>
      </w:r>
      <w:r>
        <w:rPr>
          <w:rFonts w:cs="Times New Roman"/>
          <w:szCs w:val="24"/>
          <w:lang w:val="fr-CA"/>
        </w:rPr>
        <w:t>’</w:t>
      </w:r>
      <w:r w:rsidRPr="004C53A6">
        <w:rPr>
          <w:rFonts w:cs="Times New Roman"/>
          <w:szCs w:val="24"/>
          <w:lang w:val="fr-CA"/>
        </w:rPr>
        <w:t>elle se prononce une nouvelle fois sur le fond de l</w:t>
      </w:r>
      <w:r>
        <w:rPr>
          <w:rFonts w:cs="Times New Roman"/>
          <w:szCs w:val="24"/>
          <w:lang w:val="fr-CA"/>
        </w:rPr>
        <w:t>’</w:t>
      </w:r>
      <w:r w:rsidRPr="004C53A6">
        <w:rPr>
          <w:rFonts w:cs="Times New Roman"/>
          <w:szCs w:val="24"/>
          <w:lang w:val="fr-CA"/>
        </w:rPr>
        <w:t>affaire.  Comme l</w:t>
      </w:r>
      <w:r>
        <w:rPr>
          <w:rFonts w:cs="Times New Roman"/>
          <w:szCs w:val="24"/>
          <w:lang w:val="fr-CA"/>
        </w:rPr>
        <w:t>’</w:t>
      </w:r>
      <w:r w:rsidRPr="004C53A6">
        <w:rPr>
          <w:rFonts w:cs="Times New Roman"/>
          <w:szCs w:val="24"/>
          <w:lang w:val="fr-CA"/>
        </w:rPr>
        <w:t>a écrit la Cour d</w:t>
      </w:r>
      <w:r>
        <w:rPr>
          <w:rFonts w:cs="Times New Roman"/>
          <w:szCs w:val="24"/>
          <w:lang w:val="fr-CA"/>
        </w:rPr>
        <w:t>’</w:t>
      </w:r>
      <w:r w:rsidRPr="004C53A6">
        <w:rPr>
          <w:rFonts w:cs="Times New Roman"/>
          <w:szCs w:val="24"/>
          <w:lang w:val="fr-CA"/>
        </w:rPr>
        <w:t>appel de l</w:t>
      </w:r>
      <w:r>
        <w:rPr>
          <w:rFonts w:cs="Times New Roman"/>
          <w:szCs w:val="24"/>
          <w:lang w:val="fr-CA"/>
        </w:rPr>
        <w:t>’</w:t>
      </w:r>
      <w:r w:rsidRPr="004C53A6">
        <w:rPr>
          <w:rFonts w:cs="Times New Roman"/>
          <w:szCs w:val="24"/>
          <w:lang w:val="fr-CA"/>
        </w:rPr>
        <w:t xml:space="preserve">Ontario dans </w:t>
      </w:r>
      <w:proofErr w:type="spellStart"/>
      <w:r w:rsidRPr="004C53A6">
        <w:rPr>
          <w:rFonts w:cs="Times New Roman"/>
          <w:i/>
          <w:szCs w:val="24"/>
          <w:lang w:val="fr-CA"/>
        </w:rPr>
        <w:t>Schweneke</w:t>
      </w:r>
      <w:proofErr w:type="spellEnd"/>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 xml:space="preserve">une application trop large du pouvoir discrétionnaire dans le contexte administratif aurait pour effet </w:t>
      </w:r>
      <w:r w:rsidRPr="004C53A6">
        <w:rPr>
          <w:rFonts w:cs="Times New Roman"/>
          <w:smallCaps/>
          <w:szCs w:val="24"/>
          <w:lang w:val="fr-CA"/>
        </w:rPr>
        <w:t>[traduction]</w:t>
      </w:r>
      <w:r w:rsidRPr="004C53A6">
        <w:rPr>
          <w:rFonts w:cs="Times New Roman"/>
          <w:szCs w:val="24"/>
          <w:lang w:val="fr-CA"/>
        </w:rPr>
        <w:t xml:space="preserve"> d</w:t>
      </w:r>
      <w:r>
        <w:rPr>
          <w:rFonts w:cs="Times New Roman"/>
          <w:szCs w:val="24"/>
          <w:lang w:val="fr-CA"/>
        </w:rPr>
        <w:t>’</w:t>
      </w:r>
      <w:r w:rsidRPr="004C53A6">
        <w:rPr>
          <w:rFonts w:cs="Times New Roman"/>
          <w:szCs w:val="24"/>
          <w:lang w:val="fr-CA"/>
        </w:rPr>
        <w:t>« écarter complètement la règle qui permet l</w:t>
      </w:r>
      <w:r>
        <w:rPr>
          <w:rFonts w:cs="Times New Roman"/>
          <w:szCs w:val="24"/>
          <w:lang w:val="fr-CA"/>
        </w:rPr>
        <w:t>’</w:t>
      </w:r>
      <w:r w:rsidRPr="004C53A6">
        <w:rPr>
          <w:rFonts w:cs="Times New Roman"/>
          <w:szCs w:val="24"/>
          <w:lang w:val="fr-CA"/>
        </w:rPr>
        <w:t xml:space="preserve">application de la doctrine aux conclusions tirées </w:t>
      </w:r>
      <w:r w:rsidRPr="004C53A6">
        <w:rPr>
          <w:rFonts w:cs="Times New Roman"/>
          <w:szCs w:val="24"/>
          <w:lang w:val="fr-CA"/>
        </w:rPr>
        <w:lastRenderedPageBreak/>
        <w:t>par les tribunaux dont les procédures, quoique de nature judiciaire, sont moins élaborées que celles applicables dans le cadre d</w:t>
      </w:r>
      <w:r>
        <w:rPr>
          <w:rFonts w:cs="Times New Roman"/>
          <w:szCs w:val="24"/>
          <w:lang w:val="fr-CA"/>
        </w:rPr>
        <w:t>’</w:t>
      </w:r>
      <w:r w:rsidRPr="004C53A6">
        <w:rPr>
          <w:rFonts w:cs="Times New Roman"/>
          <w:szCs w:val="24"/>
          <w:lang w:val="fr-CA"/>
        </w:rPr>
        <w:t>un litige civil »</w:t>
      </w:r>
      <w:r w:rsidR="002764CC">
        <w:rPr>
          <w:rFonts w:cs="Times New Roman"/>
          <w:szCs w:val="24"/>
          <w:lang w:val="fr-CA"/>
        </w:rPr>
        <w:t> </w:t>
      </w:r>
      <w:r w:rsidR="00022103">
        <w:rPr>
          <w:rFonts w:cs="Times New Roman"/>
          <w:szCs w:val="24"/>
          <w:lang w:val="fr-CA"/>
        </w:rPr>
        <w:t>(</w:t>
      </w:r>
      <w:r w:rsidRPr="004C53A6">
        <w:rPr>
          <w:rFonts w:cs="Times New Roman"/>
          <w:szCs w:val="24"/>
          <w:lang w:val="fr-CA"/>
        </w:rPr>
        <w:t>par. 39</w:t>
      </w:r>
      <w:r w:rsidR="00022103">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Ces réflexions nous amènent à examiner la manière dont il convient d</w:t>
      </w:r>
      <w:r>
        <w:rPr>
          <w:rFonts w:cs="Times New Roman"/>
          <w:szCs w:val="24"/>
          <w:lang w:val="fr-CA"/>
        </w:rPr>
        <w:t>’</w:t>
      </w:r>
      <w:r w:rsidRPr="004C53A6">
        <w:rPr>
          <w:rFonts w:cs="Times New Roman"/>
          <w:szCs w:val="24"/>
          <w:lang w:val="fr-CA"/>
        </w:rPr>
        <w:t>appliquer en l</w:t>
      </w:r>
      <w:r>
        <w:rPr>
          <w:rFonts w:cs="Times New Roman"/>
          <w:szCs w:val="24"/>
          <w:lang w:val="fr-CA"/>
        </w:rPr>
        <w:t>’</w:t>
      </w:r>
      <w:r w:rsidRPr="004C53A6">
        <w:rPr>
          <w:rFonts w:cs="Times New Roman"/>
          <w:szCs w:val="24"/>
          <w:lang w:val="fr-CA"/>
        </w:rPr>
        <w:t>espèce les principes énoncés dans l</w:t>
      </w:r>
      <w:r>
        <w:rPr>
          <w:rFonts w:cs="Times New Roman"/>
          <w:szCs w:val="24"/>
          <w:lang w:val="fr-CA"/>
        </w:rPr>
        <w:t>’</w:t>
      </w:r>
      <w:r w:rsidRPr="004C53A6">
        <w:rPr>
          <w:rFonts w:cs="Times New Roman"/>
          <w:szCs w:val="24"/>
          <w:lang w:val="fr-CA"/>
        </w:rPr>
        <w:t xml:space="preserve">arrêt </w:t>
      </w:r>
      <w:proofErr w:type="spellStart"/>
      <w:r w:rsidRPr="004C53A6">
        <w:rPr>
          <w:rFonts w:cs="Times New Roman"/>
          <w:i/>
          <w:szCs w:val="24"/>
          <w:lang w:val="fr-CA"/>
        </w:rPr>
        <w:t>Figliola</w:t>
      </w:r>
      <w:proofErr w:type="spellEnd"/>
      <w:r w:rsidRPr="004C53A6">
        <w:rPr>
          <w:rFonts w:cs="Times New Roman"/>
          <w:szCs w:val="24"/>
          <w:lang w:val="fr-CA"/>
        </w:rPr>
        <w:t>.</w:t>
      </w:r>
    </w:p>
    <w:p w:rsidR="0000152B" w:rsidRPr="004C53A6" w:rsidRDefault="0000152B" w:rsidP="0000152B">
      <w:pPr>
        <w:pStyle w:val="TitleTitre-AltT"/>
        <w:tabs>
          <w:tab w:val="clear" w:pos="360"/>
          <w:tab w:val="left" w:pos="1134"/>
        </w:tabs>
        <w:ind w:left="567" w:hanging="567"/>
        <w:rPr>
          <w:rFonts w:cs="Times New Roman"/>
          <w:i/>
          <w:szCs w:val="24"/>
          <w:lang w:val="fr-CA"/>
        </w:rPr>
      </w:pPr>
      <w:r w:rsidRPr="004C53A6">
        <w:rPr>
          <w:rFonts w:cs="Times New Roman"/>
          <w:szCs w:val="24"/>
          <w:lang w:val="fr-CA"/>
        </w:rPr>
        <w:t>D.</w:t>
      </w:r>
      <w:r w:rsidRPr="004C53A6">
        <w:rPr>
          <w:rFonts w:cs="Times New Roman"/>
          <w:i/>
          <w:szCs w:val="24"/>
          <w:lang w:val="fr-CA"/>
        </w:rPr>
        <w:tab/>
        <w:t>Application</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Les arguments présentés par M. Penner dans le cadre de l</w:t>
      </w:r>
      <w:r>
        <w:rPr>
          <w:rFonts w:cs="Times New Roman"/>
          <w:szCs w:val="24"/>
          <w:lang w:val="fr-CA"/>
        </w:rPr>
        <w:t>’</w:t>
      </w:r>
      <w:r w:rsidRPr="004C53A6">
        <w:rPr>
          <w:rFonts w:cs="Times New Roman"/>
          <w:szCs w:val="24"/>
          <w:lang w:val="fr-CA"/>
        </w:rPr>
        <w:t>appel portent pour l</w:t>
      </w:r>
      <w:r>
        <w:rPr>
          <w:rFonts w:cs="Times New Roman"/>
          <w:szCs w:val="24"/>
          <w:lang w:val="fr-CA"/>
        </w:rPr>
        <w:t>’</w:t>
      </w:r>
      <w:r w:rsidRPr="004C53A6">
        <w:rPr>
          <w:rFonts w:cs="Times New Roman"/>
          <w:szCs w:val="24"/>
          <w:lang w:val="fr-CA"/>
        </w:rPr>
        <w:t xml:space="preserve">essentiel que les procédures disciplinaires de la police ne possédaient pas </w:t>
      </w:r>
      <w:r w:rsidRPr="004C53A6">
        <w:rPr>
          <w:rFonts w:cs="Times New Roman"/>
          <w:smallCaps/>
          <w:szCs w:val="24"/>
          <w:lang w:val="fr-CA"/>
        </w:rPr>
        <w:t>[traduction]</w:t>
      </w:r>
      <w:r w:rsidRPr="004C53A6">
        <w:rPr>
          <w:rFonts w:cs="Times New Roman"/>
          <w:szCs w:val="24"/>
          <w:lang w:val="fr-CA"/>
        </w:rPr>
        <w:t xml:space="preserve"> « les caractéristiques d</w:t>
      </w:r>
      <w:r>
        <w:rPr>
          <w:rFonts w:cs="Times New Roman"/>
          <w:szCs w:val="24"/>
          <w:lang w:val="fr-CA"/>
        </w:rPr>
        <w:t>’</w:t>
      </w:r>
      <w:r w:rsidRPr="004C53A6">
        <w:rPr>
          <w:rFonts w:cs="Times New Roman"/>
          <w:szCs w:val="24"/>
          <w:lang w:val="fr-CA"/>
        </w:rPr>
        <w:t>un procès civil ordinaire ».  Plus particulièrement, il plaide que ses droits de participation à titre de plaignant étaient limités, que le régime législatif n</w:t>
      </w:r>
      <w:r>
        <w:rPr>
          <w:rFonts w:cs="Times New Roman"/>
          <w:szCs w:val="24"/>
          <w:lang w:val="fr-CA"/>
        </w:rPr>
        <w:t>’</w:t>
      </w:r>
      <w:r w:rsidRPr="004C53A6">
        <w:rPr>
          <w:rFonts w:cs="Times New Roman"/>
          <w:szCs w:val="24"/>
          <w:lang w:val="fr-CA"/>
        </w:rPr>
        <w:t>est pas compatible avec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que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ne jouissait pas d</w:t>
      </w:r>
      <w:r>
        <w:rPr>
          <w:rFonts w:cs="Times New Roman"/>
          <w:szCs w:val="24"/>
          <w:lang w:val="fr-CA"/>
        </w:rPr>
        <w:t>’</w:t>
      </w:r>
      <w:r w:rsidRPr="004C53A6">
        <w:rPr>
          <w:rFonts w:cs="Times New Roman"/>
          <w:szCs w:val="24"/>
          <w:lang w:val="fr-CA"/>
        </w:rPr>
        <w:t>une véritable indépendance et que la norme de preuve dans le cadre des procédures disciplinaires était plus élevée qu</w:t>
      </w:r>
      <w:r>
        <w:rPr>
          <w:rFonts w:cs="Times New Roman"/>
          <w:szCs w:val="24"/>
          <w:lang w:val="fr-CA"/>
        </w:rPr>
        <w:t>’</w:t>
      </w:r>
      <w:r w:rsidRPr="004C53A6">
        <w:rPr>
          <w:rFonts w:cs="Times New Roman"/>
          <w:szCs w:val="24"/>
          <w:lang w:val="fr-CA"/>
        </w:rPr>
        <w:t xml:space="preserve">en matière civile.  Pour ces motifs, </w:t>
      </w:r>
      <w:proofErr w:type="spellStart"/>
      <w:r w:rsidRPr="004C53A6">
        <w:rPr>
          <w:rFonts w:cs="Times New Roman"/>
          <w:szCs w:val="24"/>
          <w:lang w:val="fr-CA"/>
        </w:rPr>
        <w:t>soutient</w:t>
      </w:r>
      <w:r w:rsidRPr="004C53A6">
        <w:rPr>
          <w:rFonts w:cs="Times New Roman"/>
          <w:szCs w:val="24"/>
          <w:lang w:val="fr-CA"/>
        </w:rPr>
        <w:noBreakHyphen/>
        <w:t>il</w:t>
      </w:r>
      <w:proofErr w:type="spellEnd"/>
      <w:r w:rsidRPr="004C53A6">
        <w:rPr>
          <w:rFonts w:cs="Times New Roman"/>
          <w:szCs w:val="24"/>
          <w:lang w:val="fr-CA"/>
        </w:rPr>
        <w:t>, la Cour devrait exercer son pouvoir discrétionnaire et refuser, en l</w:t>
      </w:r>
      <w:r>
        <w:rPr>
          <w:rFonts w:cs="Times New Roman"/>
          <w:szCs w:val="24"/>
          <w:lang w:val="fr-CA"/>
        </w:rPr>
        <w:t>’</w:t>
      </w:r>
      <w:r w:rsidRPr="004C53A6">
        <w:rPr>
          <w:rFonts w:cs="Times New Roman"/>
          <w:szCs w:val="24"/>
          <w:lang w:val="fr-CA"/>
        </w:rPr>
        <w:t>espèce,</w:t>
      </w:r>
      <w:r>
        <w:rPr>
          <w:rFonts w:cs="Times New Roman"/>
          <w:szCs w:val="24"/>
          <w:lang w:val="fr-CA"/>
        </w:rPr>
        <w:t xml:space="preserve"> </w:t>
      </w:r>
      <w:r w:rsidRPr="004C53A6">
        <w:rPr>
          <w:rFonts w:cs="Times New Roman"/>
          <w:szCs w:val="24"/>
          <w:lang w:val="fr-CA"/>
        </w:rPr>
        <w:t>d</w:t>
      </w:r>
      <w:r>
        <w:rPr>
          <w:rFonts w:cs="Times New Roman"/>
          <w:szCs w:val="24"/>
          <w:lang w:val="fr-CA"/>
        </w:rPr>
        <w:t>’</w:t>
      </w:r>
      <w:r w:rsidRPr="004C53A6">
        <w:rPr>
          <w:rFonts w:cs="Times New Roman"/>
          <w:szCs w:val="24"/>
          <w:lang w:val="fr-CA"/>
        </w:rPr>
        <w:t xml:space="preserve">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Les arguments de M. Penner sont totalement incompatibles avec la jurisprudence antérieure de la Cour et avec l</w:t>
      </w:r>
      <w:r>
        <w:rPr>
          <w:rFonts w:cs="Times New Roman"/>
          <w:szCs w:val="24"/>
          <w:lang w:val="fr-CA"/>
        </w:rPr>
        <w:t>’</w:t>
      </w:r>
      <w:r w:rsidRPr="004C53A6">
        <w:rPr>
          <w:rFonts w:cs="Times New Roman"/>
          <w:szCs w:val="24"/>
          <w:lang w:val="fr-CA"/>
        </w:rPr>
        <w:t xml:space="preserve">approche concernant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formulée récemment par notre Cour dans </w:t>
      </w:r>
      <w:proofErr w:type="spellStart"/>
      <w:r w:rsidRPr="004C53A6">
        <w:rPr>
          <w:rFonts w:cs="Times New Roman"/>
          <w:i/>
          <w:szCs w:val="24"/>
          <w:lang w:val="fr-CA"/>
        </w:rPr>
        <w:t>Figliola</w:t>
      </w:r>
      <w:proofErr w:type="spellEnd"/>
      <w:r w:rsidRPr="002513E3">
        <w:rPr>
          <w:rFonts w:cs="Times New Roman"/>
          <w:szCs w:val="24"/>
          <w:lang w:val="fr-CA"/>
        </w:rPr>
        <w:t>.</w:t>
      </w:r>
      <w:r w:rsidRPr="004C53A6">
        <w:rPr>
          <w:rFonts w:cs="Times New Roman"/>
          <w:i/>
          <w:szCs w:val="24"/>
          <w:lang w:val="fr-CA"/>
        </w:rPr>
        <w:t xml:space="preserve">  </w:t>
      </w:r>
      <w:r w:rsidRPr="004C53A6">
        <w:rPr>
          <w:rFonts w:cs="Times New Roman"/>
          <w:szCs w:val="24"/>
          <w:lang w:val="fr-CA"/>
        </w:rPr>
        <w:t>L</w:t>
      </w:r>
      <w:r>
        <w:rPr>
          <w:rFonts w:cs="Times New Roman"/>
          <w:szCs w:val="24"/>
          <w:lang w:val="fr-CA"/>
        </w:rPr>
        <w:t>’</w:t>
      </w:r>
      <w:r w:rsidRPr="004C53A6">
        <w:rPr>
          <w:rFonts w:cs="Times New Roman"/>
          <w:szCs w:val="24"/>
          <w:lang w:val="fr-CA"/>
        </w:rPr>
        <w:t xml:space="preserve">exercice du pouvoir discrétionnaire résiduel de la Cour de ne pas </w:t>
      </w:r>
      <w:r w:rsidRPr="004C53A6">
        <w:rPr>
          <w:rFonts w:cs="Times New Roman"/>
          <w:szCs w:val="24"/>
          <w:lang w:val="fr-CA"/>
        </w:rPr>
        <w:lastRenderedPageBreak/>
        <w:t xml:space="preserve">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devrait obéir à un souci d</w:t>
      </w:r>
      <w:r>
        <w:rPr>
          <w:rFonts w:cs="Times New Roman"/>
          <w:szCs w:val="24"/>
          <w:lang w:val="fr-CA"/>
        </w:rPr>
        <w:t>’</w:t>
      </w:r>
      <w:r w:rsidRPr="004C53A6">
        <w:rPr>
          <w:rFonts w:cs="Times New Roman"/>
          <w:szCs w:val="24"/>
          <w:lang w:val="fr-CA"/>
        </w:rPr>
        <w:t>équité et préserver le caractère définitif d</w:t>
      </w:r>
      <w:r>
        <w:rPr>
          <w:rFonts w:cs="Times New Roman"/>
          <w:szCs w:val="24"/>
          <w:lang w:val="fr-CA"/>
        </w:rPr>
        <w:t>’</w:t>
      </w:r>
      <w:r w:rsidRPr="004C53A6">
        <w:rPr>
          <w:rFonts w:cs="Times New Roman"/>
          <w:szCs w:val="24"/>
          <w:lang w:val="fr-CA"/>
        </w:rPr>
        <w:t>un litige.  Il ne devrait pas être exercé de manière à imposer un modèle particulier de décision, à miner l</w:t>
      </w:r>
      <w:r>
        <w:rPr>
          <w:rFonts w:cs="Times New Roman"/>
          <w:szCs w:val="24"/>
          <w:lang w:val="fr-CA"/>
        </w:rPr>
        <w:t>’</w:t>
      </w:r>
      <w:r w:rsidRPr="004C53A6">
        <w:rPr>
          <w:rFonts w:cs="Times New Roman"/>
          <w:szCs w:val="24"/>
          <w:lang w:val="fr-CA"/>
        </w:rPr>
        <w:t>intégrité des tribunaux administratifs, et à refuser à leurs décisions la déférence qu</w:t>
      </w:r>
      <w:r>
        <w:rPr>
          <w:rFonts w:cs="Times New Roman"/>
          <w:szCs w:val="24"/>
          <w:lang w:val="fr-CA"/>
        </w:rPr>
        <w:t>’</w:t>
      </w:r>
      <w:r w:rsidRPr="004C53A6">
        <w:rPr>
          <w:rFonts w:cs="Times New Roman"/>
          <w:szCs w:val="24"/>
          <w:lang w:val="fr-CA"/>
        </w:rPr>
        <w:t>elles commandent selon la jurisprudence de la Cour.  En appliquant ces principes en l</w:t>
      </w:r>
      <w:r>
        <w:rPr>
          <w:rFonts w:cs="Times New Roman"/>
          <w:szCs w:val="24"/>
          <w:lang w:val="fr-CA"/>
        </w:rPr>
        <w:t>’</w:t>
      </w:r>
      <w:r w:rsidRPr="004C53A6">
        <w:rPr>
          <w:rFonts w:cs="Times New Roman"/>
          <w:szCs w:val="24"/>
          <w:lang w:val="fr-CA"/>
        </w:rPr>
        <w:t>espèce, nous constatons qu</w:t>
      </w:r>
      <w:r>
        <w:rPr>
          <w:rFonts w:cs="Times New Roman"/>
          <w:szCs w:val="24"/>
          <w:lang w:val="fr-CA"/>
        </w:rPr>
        <w:t>’</w:t>
      </w:r>
      <w:r w:rsidRPr="004C53A6">
        <w:rPr>
          <w:rFonts w:cs="Times New Roman"/>
          <w:szCs w:val="24"/>
          <w:lang w:val="fr-CA"/>
        </w:rPr>
        <w:t>il n</w:t>
      </w:r>
      <w:r>
        <w:rPr>
          <w:rFonts w:cs="Times New Roman"/>
          <w:szCs w:val="24"/>
          <w:lang w:val="fr-CA"/>
        </w:rPr>
        <w:t>’</w:t>
      </w:r>
      <w:r w:rsidRPr="004C53A6">
        <w:rPr>
          <w:rFonts w:cs="Times New Roman"/>
          <w:szCs w:val="24"/>
          <w:lang w:val="fr-CA"/>
        </w:rPr>
        <w:t>y a pas lieu d</w:t>
      </w:r>
      <w:r>
        <w:rPr>
          <w:rFonts w:cs="Times New Roman"/>
          <w:szCs w:val="24"/>
          <w:lang w:val="fr-CA"/>
        </w:rPr>
        <w:t>’</w:t>
      </w:r>
      <w:r w:rsidRPr="004C53A6">
        <w:rPr>
          <w:rFonts w:cs="Times New Roman"/>
          <w:szCs w:val="24"/>
          <w:lang w:val="fr-CA"/>
        </w:rPr>
        <w:t xml:space="preserve">exercer notre pouvoir discrétionnaire de ne pas 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w:t>
      </w:r>
      <w:r w:rsidRPr="004C53A6">
        <w:rPr>
          <w:rFonts w:cs="Times New Roman"/>
          <w:i/>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w:t>
      </w:r>
      <w:r>
        <w:rPr>
          <w:rFonts w:cs="Times New Roman"/>
          <w:szCs w:val="24"/>
          <w:lang w:val="fr-CA"/>
        </w:rPr>
        <w:t>’</w:t>
      </w:r>
      <w:r w:rsidRPr="004C53A6">
        <w:rPr>
          <w:rFonts w:cs="Times New Roman"/>
          <w:szCs w:val="24"/>
          <w:lang w:val="fr-CA"/>
        </w:rPr>
        <w:t>audience disciplinaire menée par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est conçue pour établir un processus décisionnel indépendant, équitable, responsable et exécutoire.  Elle s</w:t>
      </w:r>
      <w:r>
        <w:rPr>
          <w:rFonts w:cs="Times New Roman"/>
          <w:szCs w:val="24"/>
          <w:lang w:val="fr-CA"/>
        </w:rPr>
        <w:t>’</w:t>
      </w:r>
      <w:r w:rsidRPr="004C53A6">
        <w:rPr>
          <w:rFonts w:cs="Times New Roman"/>
          <w:szCs w:val="24"/>
          <w:lang w:val="fr-CA"/>
        </w:rPr>
        <w:t>est déroulée conformément aux exigences de la loi et aux principes de l</w:t>
      </w:r>
      <w:r>
        <w:rPr>
          <w:rFonts w:cs="Times New Roman"/>
          <w:szCs w:val="24"/>
          <w:lang w:val="fr-CA"/>
        </w:rPr>
        <w:t>’</w:t>
      </w:r>
      <w:r w:rsidRPr="004C53A6">
        <w:rPr>
          <w:rFonts w:cs="Times New Roman"/>
          <w:szCs w:val="24"/>
          <w:lang w:val="fr-CA"/>
        </w:rPr>
        <w:t xml:space="preserve">équité procédurale : voir la </w:t>
      </w:r>
      <w:r w:rsidRPr="004C53A6">
        <w:rPr>
          <w:rFonts w:cs="Times New Roman"/>
          <w:i/>
          <w:szCs w:val="24"/>
          <w:lang w:val="fr-CA"/>
        </w:rPr>
        <w:t>Loi sur les services policiers</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 xml:space="preserve">par. 64(7) à (10) et art. 69; </w:t>
      </w:r>
      <w:r w:rsidRPr="004C53A6">
        <w:rPr>
          <w:rFonts w:cs="Times New Roman"/>
          <w:i/>
          <w:szCs w:val="24"/>
          <w:lang w:val="fr-CA"/>
        </w:rPr>
        <w:t>Loi sur l</w:t>
      </w:r>
      <w:r>
        <w:rPr>
          <w:rFonts w:cs="Times New Roman"/>
          <w:i/>
          <w:szCs w:val="24"/>
          <w:lang w:val="fr-CA"/>
        </w:rPr>
        <w:t>’</w:t>
      </w:r>
      <w:r w:rsidRPr="004C53A6">
        <w:rPr>
          <w:rFonts w:cs="Times New Roman"/>
          <w:i/>
          <w:szCs w:val="24"/>
          <w:lang w:val="fr-CA"/>
        </w:rPr>
        <w:t>exercice des compétences légales</w:t>
      </w:r>
      <w:r w:rsidRPr="004C53A6">
        <w:rPr>
          <w:rFonts w:cs="Times New Roman"/>
          <w:szCs w:val="24"/>
          <w:lang w:val="fr-CA"/>
        </w:rPr>
        <w:t>,</w:t>
      </w:r>
      <w:r w:rsidRPr="004C53A6">
        <w:rPr>
          <w:rFonts w:cs="Times New Roman"/>
          <w:i/>
          <w:szCs w:val="24"/>
          <w:lang w:val="fr-CA"/>
        </w:rPr>
        <w:t xml:space="preserve"> </w:t>
      </w:r>
      <w:r w:rsidR="008F1D68">
        <w:rPr>
          <w:rFonts w:cs="Times New Roman"/>
          <w:szCs w:val="24"/>
          <w:lang w:val="fr-CA"/>
        </w:rPr>
        <w:t>L.R.O. 1990, ch. S.</w:t>
      </w:r>
      <w:r w:rsidRPr="004C53A6">
        <w:rPr>
          <w:rFonts w:cs="Times New Roman"/>
          <w:szCs w:val="24"/>
          <w:lang w:val="fr-CA"/>
        </w:rPr>
        <w:t>22.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a examiné des témoignages sous serment et des observations écrites.  À titre de partie à l</w:t>
      </w:r>
      <w:r>
        <w:rPr>
          <w:rFonts w:cs="Times New Roman"/>
          <w:szCs w:val="24"/>
          <w:lang w:val="fr-CA"/>
        </w:rPr>
        <w:t>’</w:t>
      </w:r>
      <w:r w:rsidRPr="004C53A6">
        <w:rPr>
          <w:rFonts w:cs="Times New Roman"/>
          <w:szCs w:val="24"/>
          <w:lang w:val="fr-CA"/>
        </w:rPr>
        <w:t xml:space="preserve">instance, M. Penner a eu la possibilité de présenter des éléments de preuve, de </w:t>
      </w:r>
      <w:proofErr w:type="spellStart"/>
      <w:r w:rsidRPr="004C53A6">
        <w:rPr>
          <w:rFonts w:cs="Times New Roman"/>
          <w:szCs w:val="24"/>
          <w:lang w:val="fr-CA"/>
        </w:rPr>
        <w:t>contre</w:t>
      </w:r>
      <w:r w:rsidRPr="004C53A6">
        <w:rPr>
          <w:rFonts w:cs="Times New Roman"/>
          <w:szCs w:val="24"/>
          <w:lang w:val="fr-CA"/>
        </w:rPr>
        <w:noBreakHyphen/>
        <w:t>interroger</w:t>
      </w:r>
      <w:proofErr w:type="spellEnd"/>
      <w:r w:rsidRPr="004C53A6">
        <w:rPr>
          <w:rFonts w:cs="Times New Roman"/>
          <w:szCs w:val="24"/>
          <w:lang w:val="fr-CA"/>
        </w:rPr>
        <w:t xml:space="preserve"> les témoins et de présenter des observations.  Il avait le choix de retenir les services d</w:t>
      </w:r>
      <w:r>
        <w:rPr>
          <w:rFonts w:cs="Times New Roman"/>
          <w:szCs w:val="24"/>
          <w:lang w:val="fr-CA"/>
        </w:rPr>
        <w:t>’</w:t>
      </w:r>
      <w:r w:rsidRPr="004C53A6">
        <w:rPr>
          <w:rFonts w:cs="Times New Roman"/>
          <w:szCs w:val="24"/>
          <w:lang w:val="fr-CA"/>
        </w:rPr>
        <w:t>un avocat.  Il pouvait demander le contrôle judiciaire de la procédure en vertu du droit d</w:t>
      </w:r>
      <w:r>
        <w:rPr>
          <w:rFonts w:cs="Times New Roman"/>
          <w:szCs w:val="24"/>
          <w:lang w:val="fr-CA"/>
        </w:rPr>
        <w:t>’</w:t>
      </w:r>
      <w:r w:rsidRPr="004C53A6">
        <w:rPr>
          <w:rFonts w:cs="Times New Roman"/>
          <w:szCs w:val="24"/>
          <w:lang w:val="fr-CA"/>
        </w:rPr>
        <w:t>appel prévu par la loi — droit que M. Penner a exercé en l</w:t>
      </w:r>
      <w:r>
        <w:rPr>
          <w:rFonts w:cs="Times New Roman"/>
          <w:szCs w:val="24"/>
          <w:lang w:val="fr-CA"/>
        </w:rPr>
        <w:t>’</w:t>
      </w:r>
      <w:r w:rsidRPr="004C53A6">
        <w:rPr>
          <w:rFonts w:cs="Times New Roman"/>
          <w:szCs w:val="24"/>
          <w:lang w:val="fr-CA"/>
        </w:rPr>
        <w:t>espèce et qui, en fin de compte, a mené au contrôle de la 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par la Cour divisionnaire.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Par conséquent,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a rendu sa décision dans des circonstances où M. Penner connaissait le fardeau de preuve qui lui incombait, il a </w:t>
      </w:r>
      <w:r w:rsidRPr="004C53A6">
        <w:rPr>
          <w:rFonts w:cs="Times New Roman"/>
          <w:szCs w:val="24"/>
          <w:lang w:val="fr-CA"/>
        </w:rPr>
        <w:lastRenderedPageBreak/>
        <w:t>pleinement eu la possibilité d</w:t>
      </w:r>
      <w:r>
        <w:rPr>
          <w:rFonts w:cs="Times New Roman"/>
          <w:szCs w:val="24"/>
          <w:lang w:val="fr-CA"/>
        </w:rPr>
        <w:t>’</w:t>
      </w:r>
      <w:r w:rsidRPr="004C53A6">
        <w:rPr>
          <w:rFonts w:cs="Times New Roman"/>
          <w:szCs w:val="24"/>
          <w:lang w:val="fr-CA"/>
        </w:rPr>
        <w:t>établir cette preuve et il a été débouté.  S</w:t>
      </w:r>
      <w:r>
        <w:rPr>
          <w:rFonts w:cs="Times New Roman"/>
          <w:szCs w:val="24"/>
          <w:lang w:val="fr-CA"/>
        </w:rPr>
        <w:t>’</w:t>
      </w:r>
      <w:r w:rsidRPr="004C53A6">
        <w:rPr>
          <w:rFonts w:cs="Times New Roman"/>
          <w:szCs w:val="24"/>
          <w:lang w:val="fr-CA"/>
        </w:rPr>
        <w:t>il avait eu gain de cause, la 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aurait lié tout autant les parties.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Or, la contrepartie que procure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porte directement sur l</w:t>
      </w:r>
      <w:r>
        <w:rPr>
          <w:rFonts w:cs="Times New Roman"/>
          <w:szCs w:val="24"/>
          <w:lang w:val="fr-CA"/>
        </w:rPr>
        <w:t>’</w:t>
      </w:r>
      <w:r w:rsidRPr="004C53A6">
        <w:rPr>
          <w:rFonts w:cs="Times New Roman"/>
          <w:szCs w:val="24"/>
          <w:lang w:val="fr-CA"/>
        </w:rPr>
        <w:t>argument de M. Penner selon lequel l</w:t>
      </w:r>
      <w:r>
        <w:rPr>
          <w:rFonts w:cs="Times New Roman"/>
          <w:szCs w:val="24"/>
          <w:lang w:val="fr-CA"/>
        </w:rPr>
        <w:t>’</w:t>
      </w:r>
      <w:r w:rsidRPr="004C53A6">
        <w:rPr>
          <w:rFonts w:cs="Times New Roman"/>
          <w:szCs w:val="24"/>
          <w:lang w:val="fr-CA"/>
        </w:rPr>
        <w:t>instance avait un objet différent et que, parce que l</w:t>
      </w:r>
      <w:r>
        <w:rPr>
          <w:rFonts w:cs="Times New Roman"/>
          <w:szCs w:val="24"/>
          <w:lang w:val="fr-CA"/>
        </w:rPr>
        <w:t>’</w:t>
      </w:r>
      <w:r w:rsidRPr="004C53A6">
        <w:rPr>
          <w:rFonts w:cs="Times New Roman"/>
          <w:szCs w:val="24"/>
          <w:lang w:val="fr-CA"/>
        </w:rPr>
        <w:t xml:space="preserve">audience disciplinaire ne lui permettait pas de réclamer des </w:t>
      </w:r>
      <w:proofErr w:type="spellStart"/>
      <w:r w:rsidRPr="004C53A6">
        <w:rPr>
          <w:rFonts w:cs="Times New Roman"/>
          <w:szCs w:val="24"/>
          <w:lang w:val="fr-CA"/>
        </w:rPr>
        <w:t>dommages</w:t>
      </w:r>
      <w:r w:rsidRPr="004C53A6">
        <w:rPr>
          <w:rFonts w:cs="Times New Roman"/>
          <w:szCs w:val="24"/>
          <w:lang w:val="fr-CA"/>
        </w:rPr>
        <w:noBreakHyphen/>
        <w:t>intérêts</w:t>
      </w:r>
      <w:proofErr w:type="spellEnd"/>
      <w:r w:rsidRPr="004C53A6">
        <w:rPr>
          <w:rFonts w:cs="Times New Roman"/>
          <w:szCs w:val="24"/>
          <w:lang w:val="fr-CA"/>
        </w:rPr>
        <w:t>, il devrait être autorisé à intenter une action civile.  Comme l</w:t>
      </w:r>
      <w:r>
        <w:rPr>
          <w:rFonts w:cs="Times New Roman"/>
          <w:szCs w:val="24"/>
          <w:lang w:val="fr-CA"/>
        </w:rPr>
        <w:t>’</w:t>
      </w:r>
      <w:r w:rsidRPr="004C53A6">
        <w:rPr>
          <w:rFonts w:cs="Times New Roman"/>
          <w:szCs w:val="24"/>
          <w:lang w:val="fr-CA"/>
        </w:rPr>
        <w:t>a conclu la Cour d</w:t>
      </w:r>
      <w:r>
        <w:rPr>
          <w:rFonts w:cs="Times New Roman"/>
          <w:szCs w:val="24"/>
          <w:lang w:val="fr-CA"/>
        </w:rPr>
        <w:t>’</w:t>
      </w:r>
      <w:r w:rsidRPr="004C53A6">
        <w:rPr>
          <w:rFonts w:cs="Times New Roman"/>
          <w:szCs w:val="24"/>
          <w:lang w:val="fr-CA"/>
        </w:rPr>
        <w:t>appel, la différence entre les objets des deux instances n</w:t>
      </w:r>
      <w:r>
        <w:rPr>
          <w:rFonts w:cs="Times New Roman"/>
          <w:szCs w:val="24"/>
          <w:lang w:val="fr-CA"/>
        </w:rPr>
        <w:t>’</w:t>
      </w:r>
      <w:r w:rsidRPr="004C53A6">
        <w:rPr>
          <w:rFonts w:cs="Times New Roman"/>
          <w:szCs w:val="24"/>
          <w:lang w:val="fr-CA"/>
        </w:rPr>
        <w:t>est pas un facteur déterminant en l</w:t>
      </w:r>
      <w:r>
        <w:rPr>
          <w:rFonts w:cs="Times New Roman"/>
          <w:szCs w:val="24"/>
          <w:lang w:val="fr-CA"/>
        </w:rPr>
        <w:t>’</w:t>
      </w:r>
      <w:r w:rsidRPr="004C53A6">
        <w:rPr>
          <w:rFonts w:cs="Times New Roman"/>
          <w:szCs w:val="24"/>
          <w:lang w:val="fr-CA"/>
        </w:rPr>
        <w:t>espèce, puisque M. Penner a eu la possibilité de tirer un avantage financier indirect dans le cadre de l</w:t>
      </w:r>
      <w:r>
        <w:rPr>
          <w:rFonts w:cs="Times New Roman"/>
          <w:szCs w:val="24"/>
          <w:lang w:val="fr-CA"/>
        </w:rPr>
        <w:t>’</w:t>
      </w:r>
      <w:r w:rsidRPr="004C53A6">
        <w:rPr>
          <w:rFonts w:cs="Times New Roman"/>
          <w:szCs w:val="24"/>
          <w:lang w:val="fr-CA"/>
        </w:rPr>
        <w:t>audience disciplinaire.  Si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avait conclu à l</w:t>
      </w:r>
      <w:r>
        <w:rPr>
          <w:rFonts w:cs="Times New Roman"/>
          <w:szCs w:val="24"/>
          <w:lang w:val="fr-CA"/>
        </w:rPr>
        <w:t>’</w:t>
      </w:r>
      <w:r w:rsidRPr="004C53A6">
        <w:rPr>
          <w:rFonts w:cs="Times New Roman"/>
          <w:szCs w:val="24"/>
          <w:lang w:val="fr-CA"/>
        </w:rPr>
        <w:t>inconduite des agents de police,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aurait été utile au plaignant dans le cadre d</w:t>
      </w:r>
      <w:r>
        <w:rPr>
          <w:rFonts w:cs="Times New Roman"/>
          <w:szCs w:val="24"/>
          <w:lang w:val="fr-CA"/>
        </w:rPr>
        <w:t>’</w:t>
      </w:r>
      <w:r w:rsidRPr="004C53A6">
        <w:rPr>
          <w:rFonts w:cs="Times New Roman"/>
          <w:szCs w:val="24"/>
          <w:lang w:val="fr-CA"/>
        </w:rPr>
        <w:t xml:space="preserve">une action civile subséquente en </w:t>
      </w:r>
      <w:proofErr w:type="spellStart"/>
      <w:r w:rsidRPr="004C53A6">
        <w:rPr>
          <w:rFonts w:cs="Times New Roman"/>
          <w:szCs w:val="24"/>
          <w:lang w:val="fr-CA"/>
        </w:rPr>
        <w:t>dommages</w:t>
      </w:r>
      <w:r w:rsidRPr="004C53A6">
        <w:rPr>
          <w:rFonts w:cs="Times New Roman"/>
          <w:szCs w:val="24"/>
          <w:lang w:val="fr-CA"/>
        </w:rPr>
        <w:noBreakHyphen/>
        <w:t>intérêts</w:t>
      </w:r>
      <w:proofErr w:type="spellEnd"/>
      <w:r w:rsidRPr="004C53A6">
        <w:rPr>
          <w:rFonts w:cs="Times New Roman"/>
          <w:szCs w:val="24"/>
          <w:lang w:val="fr-CA"/>
        </w:rPr>
        <w:t>.  Pour l</w:t>
      </w:r>
      <w:r>
        <w:rPr>
          <w:rFonts w:cs="Times New Roman"/>
          <w:szCs w:val="24"/>
          <w:lang w:val="fr-CA"/>
        </w:rPr>
        <w:t>’</w:t>
      </w:r>
      <w:r w:rsidRPr="004C53A6">
        <w:rPr>
          <w:rFonts w:cs="Times New Roman"/>
          <w:szCs w:val="24"/>
          <w:lang w:val="fr-CA"/>
        </w:rPr>
        <w:t>essentiel, dans un tel cas de figure, le plaignant serait libéré de l</w:t>
      </w:r>
      <w:r>
        <w:rPr>
          <w:rFonts w:cs="Times New Roman"/>
          <w:szCs w:val="24"/>
          <w:lang w:val="fr-CA"/>
        </w:rPr>
        <w:t>’</w:t>
      </w:r>
      <w:r w:rsidRPr="004C53A6">
        <w:rPr>
          <w:rFonts w:cs="Times New Roman"/>
          <w:szCs w:val="24"/>
          <w:lang w:val="fr-CA"/>
        </w:rPr>
        <w:t>obligation d</w:t>
      </w:r>
      <w:r>
        <w:rPr>
          <w:rFonts w:cs="Times New Roman"/>
          <w:szCs w:val="24"/>
          <w:lang w:val="fr-CA"/>
        </w:rPr>
        <w:t>’</w:t>
      </w:r>
      <w:r w:rsidRPr="004C53A6">
        <w:rPr>
          <w:rFonts w:cs="Times New Roman"/>
          <w:szCs w:val="24"/>
          <w:lang w:val="fr-CA"/>
        </w:rPr>
        <w:t>établir le préjudice et l</w:t>
      </w:r>
      <w:r>
        <w:rPr>
          <w:rFonts w:cs="Times New Roman"/>
          <w:szCs w:val="24"/>
          <w:lang w:val="fr-CA"/>
        </w:rPr>
        <w:t>’</w:t>
      </w:r>
      <w:r w:rsidRPr="004C53A6">
        <w:rPr>
          <w:rFonts w:cs="Times New Roman"/>
          <w:szCs w:val="24"/>
          <w:lang w:val="fr-CA"/>
        </w:rPr>
        <w:t>instance civile se poursuivrait directement par l</w:t>
      </w:r>
      <w:r>
        <w:rPr>
          <w:rFonts w:cs="Times New Roman"/>
          <w:szCs w:val="24"/>
          <w:lang w:val="fr-CA"/>
        </w:rPr>
        <w:t>’</w:t>
      </w:r>
      <w:r w:rsidRPr="004C53A6">
        <w:rPr>
          <w:rFonts w:cs="Times New Roman"/>
          <w:szCs w:val="24"/>
          <w:lang w:val="fr-CA"/>
        </w:rPr>
        <w:t xml:space="preserve">évaluation des </w:t>
      </w:r>
      <w:proofErr w:type="spellStart"/>
      <w:r w:rsidRPr="004C53A6">
        <w:rPr>
          <w:rFonts w:cs="Times New Roman"/>
          <w:szCs w:val="24"/>
          <w:lang w:val="fr-CA"/>
        </w:rPr>
        <w:t>dommages</w:t>
      </w:r>
      <w:r w:rsidRPr="004C53A6">
        <w:rPr>
          <w:rFonts w:cs="Times New Roman"/>
          <w:szCs w:val="24"/>
          <w:lang w:val="fr-CA"/>
        </w:rPr>
        <w:noBreakHyphen/>
        <w:t>intérêts</w:t>
      </w:r>
      <w:proofErr w:type="spellEnd"/>
      <w:r w:rsidRPr="004C53A6">
        <w:rPr>
          <w:rFonts w:cs="Times New Roman"/>
          <w:szCs w:val="24"/>
          <w:lang w:val="fr-CA"/>
        </w:rPr>
        <w:t>.  Autrement dit, comme l</w:t>
      </w:r>
      <w:r>
        <w:rPr>
          <w:rFonts w:cs="Times New Roman"/>
          <w:szCs w:val="24"/>
          <w:lang w:val="fr-CA"/>
        </w:rPr>
        <w:t>’</w:t>
      </w:r>
      <w:r w:rsidRPr="004C53A6">
        <w:rPr>
          <w:rFonts w:cs="Times New Roman"/>
          <w:szCs w:val="24"/>
          <w:lang w:val="fr-CA"/>
        </w:rPr>
        <w:t>a indiqué la Cour d</w:t>
      </w:r>
      <w:r>
        <w:rPr>
          <w:rFonts w:cs="Times New Roman"/>
          <w:szCs w:val="24"/>
          <w:lang w:val="fr-CA"/>
        </w:rPr>
        <w:t>’</w:t>
      </w:r>
      <w:r w:rsidRPr="004C53A6">
        <w:rPr>
          <w:rFonts w:cs="Times New Roman"/>
          <w:szCs w:val="24"/>
          <w:lang w:val="fr-CA"/>
        </w:rPr>
        <w:t>appel en l</w:t>
      </w:r>
      <w:r>
        <w:rPr>
          <w:rFonts w:cs="Times New Roman"/>
          <w:szCs w:val="24"/>
          <w:lang w:val="fr-CA"/>
        </w:rPr>
        <w:t>’</w:t>
      </w:r>
      <w:r w:rsidRPr="004C53A6">
        <w:rPr>
          <w:rFonts w:cs="Times New Roman"/>
          <w:szCs w:val="24"/>
          <w:lang w:val="fr-CA"/>
        </w:rPr>
        <w:t xml:space="preserve">espèce, </w:t>
      </w:r>
      <w:r w:rsidRPr="004C53A6">
        <w:rPr>
          <w:rFonts w:cs="Times New Roman"/>
          <w:smallCaps/>
          <w:szCs w:val="24"/>
          <w:lang w:val="fr-CA"/>
        </w:rPr>
        <w:t>[traduction]</w:t>
      </w:r>
      <w:r w:rsidRPr="004C53A6">
        <w:rPr>
          <w:rFonts w:cs="Times New Roman"/>
          <w:szCs w:val="24"/>
          <w:lang w:val="fr-CA"/>
        </w:rPr>
        <w:t xml:space="preserve"> «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est applicable dans les deux sens »</w:t>
      </w:r>
      <w:r w:rsidR="002513E3">
        <w:rPr>
          <w:rFonts w:cs="Times New Roman"/>
          <w:szCs w:val="24"/>
          <w:lang w:val="fr-CA"/>
        </w:rPr>
        <w:t> </w:t>
      </w:r>
      <w:r w:rsidR="00B96B5D">
        <w:rPr>
          <w:rFonts w:cs="Times New Roman"/>
          <w:szCs w:val="24"/>
          <w:lang w:val="fr-CA"/>
        </w:rPr>
        <w:t>(</w:t>
      </w:r>
      <w:r w:rsidRPr="004C53A6">
        <w:rPr>
          <w:rFonts w:cs="Times New Roman"/>
          <w:szCs w:val="24"/>
          <w:lang w:val="fr-CA"/>
        </w:rPr>
        <w:t>par. 43</w:t>
      </w:r>
      <w:r w:rsidR="00B96B5D">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M. Penner se fonde aussi sur des dispositions particulières de la </w:t>
      </w:r>
      <w:r w:rsidRPr="004C53A6">
        <w:rPr>
          <w:rFonts w:cs="Times New Roman"/>
          <w:i/>
          <w:szCs w:val="24"/>
          <w:lang w:val="fr-CA"/>
        </w:rPr>
        <w:t>Loi sur les services policiers</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qui, d</w:t>
      </w:r>
      <w:r>
        <w:rPr>
          <w:rFonts w:cs="Times New Roman"/>
          <w:szCs w:val="24"/>
          <w:lang w:val="fr-CA"/>
        </w:rPr>
        <w:t>’</w:t>
      </w:r>
      <w:r w:rsidRPr="004C53A6">
        <w:rPr>
          <w:rFonts w:cs="Times New Roman"/>
          <w:szCs w:val="24"/>
          <w:lang w:val="fr-CA"/>
        </w:rPr>
        <w:t>après lui, sont incompatibles avec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puisqu</w:t>
      </w:r>
      <w:r>
        <w:rPr>
          <w:rFonts w:cs="Times New Roman"/>
          <w:szCs w:val="24"/>
          <w:lang w:val="fr-CA"/>
        </w:rPr>
        <w:t>’</w:t>
      </w:r>
      <w:r w:rsidRPr="004C53A6">
        <w:rPr>
          <w:rFonts w:cs="Times New Roman"/>
          <w:szCs w:val="24"/>
          <w:lang w:val="fr-CA"/>
        </w:rPr>
        <w:t xml:space="preserve">elles prévoient expressément des instances civiles parallèles.  Il invoque notamment les par. 69(8), </w:t>
      </w:r>
      <w:r w:rsidRPr="004C53A6">
        <w:rPr>
          <w:rFonts w:cs="Times New Roman"/>
          <w:szCs w:val="24"/>
          <w:lang w:val="fr-CA"/>
        </w:rPr>
        <w:lastRenderedPageBreak/>
        <w:t>69(9) et l</w:t>
      </w:r>
      <w:r>
        <w:rPr>
          <w:rFonts w:cs="Times New Roman"/>
          <w:szCs w:val="24"/>
          <w:lang w:val="fr-CA"/>
        </w:rPr>
        <w:t>’</w:t>
      </w:r>
      <w:r w:rsidRPr="004C53A6">
        <w:rPr>
          <w:rFonts w:cs="Times New Roman"/>
          <w:szCs w:val="24"/>
          <w:lang w:val="fr-CA"/>
        </w:rPr>
        <w:t>art. 80 (maintenant les par. 83(7), 83(8) et l</w:t>
      </w:r>
      <w:r>
        <w:rPr>
          <w:rFonts w:cs="Times New Roman"/>
          <w:szCs w:val="24"/>
          <w:lang w:val="fr-CA"/>
        </w:rPr>
        <w:t>’</w:t>
      </w:r>
      <w:r w:rsidRPr="004C53A6">
        <w:rPr>
          <w:rFonts w:cs="Times New Roman"/>
          <w:szCs w:val="24"/>
          <w:lang w:val="fr-CA"/>
        </w:rPr>
        <w:t>art. 95), qui portent sur le privilège prévu par la loi et la confidentialité.  Cet argument n</w:t>
      </w:r>
      <w:r>
        <w:rPr>
          <w:rFonts w:cs="Times New Roman"/>
          <w:szCs w:val="24"/>
          <w:lang w:val="fr-CA"/>
        </w:rPr>
        <w:t>’</w:t>
      </w:r>
      <w:r w:rsidRPr="004C53A6">
        <w:rPr>
          <w:rFonts w:cs="Times New Roman"/>
          <w:szCs w:val="24"/>
          <w:lang w:val="fr-CA"/>
        </w:rPr>
        <w:t xml:space="preserve">est pas convaincant.  Les dispositions en question de la </w:t>
      </w:r>
      <w:r w:rsidRPr="004C53A6">
        <w:rPr>
          <w:rFonts w:cs="Times New Roman"/>
          <w:i/>
          <w:szCs w:val="24"/>
          <w:lang w:val="fr-CA"/>
        </w:rPr>
        <w:t xml:space="preserve">Loi sur les services policiers </w:t>
      </w:r>
      <w:r w:rsidRPr="004C53A6">
        <w:rPr>
          <w:rFonts w:cs="Times New Roman"/>
          <w:szCs w:val="24"/>
          <w:lang w:val="fr-CA"/>
        </w:rPr>
        <w:t>visent à garantir l</w:t>
      </w:r>
      <w:r>
        <w:rPr>
          <w:rFonts w:cs="Times New Roman"/>
          <w:szCs w:val="24"/>
          <w:lang w:val="fr-CA"/>
        </w:rPr>
        <w:t>’</w:t>
      </w:r>
      <w:r w:rsidRPr="004C53A6">
        <w:rPr>
          <w:rFonts w:cs="Times New Roman"/>
          <w:szCs w:val="24"/>
          <w:lang w:val="fr-CA"/>
        </w:rPr>
        <w:t xml:space="preserve">intégrité du processus disciplinaire.  Elles ne donnent pas à entendre que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ne peut pas être appliquée pour prononcer l</w:t>
      </w:r>
      <w:r>
        <w:rPr>
          <w:rFonts w:cs="Times New Roman"/>
          <w:szCs w:val="24"/>
          <w:lang w:val="fr-CA"/>
        </w:rPr>
        <w:t>’</w:t>
      </w:r>
      <w:r w:rsidRPr="004C53A6">
        <w:rPr>
          <w:rFonts w:cs="Times New Roman"/>
          <w:szCs w:val="24"/>
          <w:lang w:val="fr-CA"/>
        </w:rPr>
        <w:t>irrecevabilité d</w:t>
      </w:r>
      <w:r>
        <w:rPr>
          <w:rFonts w:cs="Times New Roman"/>
          <w:szCs w:val="24"/>
          <w:lang w:val="fr-CA"/>
        </w:rPr>
        <w:t>’</w:t>
      </w:r>
      <w:r w:rsidRPr="004C53A6">
        <w:rPr>
          <w:rFonts w:cs="Times New Roman"/>
          <w:szCs w:val="24"/>
          <w:lang w:val="fr-CA"/>
        </w:rPr>
        <w:t>instances civiles.  Comme le fait observer l</w:t>
      </w:r>
      <w:r>
        <w:rPr>
          <w:rFonts w:cs="Times New Roman"/>
          <w:szCs w:val="24"/>
          <w:lang w:val="fr-CA"/>
        </w:rPr>
        <w:t>’</w:t>
      </w:r>
      <w:r w:rsidRPr="004C53A6">
        <w:rPr>
          <w:rFonts w:cs="Times New Roman"/>
          <w:szCs w:val="24"/>
          <w:lang w:val="fr-CA"/>
        </w:rPr>
        <w:t>auteur Lange, lorsque le législateur a l</w:t>
      </w:r>
      <w:r>
        <w:rPr>
          <w:rFonts w:cs="Times New Roman"/>
          <w:szCs w:val="24"/>
          <w:lang w:val="fr-CA"/>
        </w:rPr>
        <w:t>’</w:t>
      </w:r>
      <w:r w:rsidRPr="004C53A6">
        <w:rPr>
          <w:rFonts w:cs="Times New Roman"/>
          <w:szCs w:val="24"/>
          <w:lang w:val="fr-CA"/>
        </w:rPr>
        <w:t>intention d</w:t>
      </w:r>
      <w:r>
        <w:rPr>
          <w:rFonts w:cs="Times New Roman"/>
          <w:szCs w:val="24"/>
          <w:lang w:val="fr-CA"/>
        </w:rPr>
        <w:t>’</w:t>
      </w:r>
      <w:r w:rsidRPr="004C53A6">
        <w:rPr>
          <w:rFonts w:cs="Times New Roman"/>
          <w:szCs w:val="24"/>
          <w:lang w:val="fr-CA"/>
        </w:rPr>
        <w:t>empêcher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à une décision administrative, il doit exprimer clairement dans la loi son intention à cet égard</w:t>
      </w:r>
      <w:r w:rsidR="002513E3">
        <w:rPr>
          <w:rFonts w:cs="Times New Roman"/>
          <w:szCs w:val="24"/>
          <w:lang w:val="fr-CA"/>
        </w:rPr>
        <w:t> </w:t>
      </w:r>
      <w:r w:rsidR="00B96B5D">
        <w:rPr>
          <w:rFonts w:cs="Times New Roman"/>
          <w:szCs w:val="24"/>
          <w:lang w:val="fr-CA"/>
        </w:rPr>
        <w:t>(</w:t>
      </w:r>
      <w:r w:rsidR="002513E3">
        <w:rPr>
          <w:rFonts w:cs="Times New Roman"/>
          <w:szCs w:val="24"/>
          <w:lang w:val="fr-CA"/>
        </w:rPr>
        <w:t>p. 122</w:t>
      </w:r>
      <w:r w:rsidR="00B96B5D">
        <w:rPr>
          <w:rFonts w:cs="Times New Roman"/>
          <w:szCs w:val="24"/>
          <w:lang w:val="fr-CA"/>
        </w:rPr>
        <w:t>)</w:t>
      </w:r>
      <w:r w:rsidRPr="004C53A6">
        <w:rPr>
          <w:rFonts w:cs="Times New Roman"/>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Même lorsque le libellé de la loi prévoit expressément des droits ou des recours civils connexes, les tribunaux ont appliqué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Par exemple, dans </w:t>
      </w:r>
      <w:r w:rsidRPr="004C53A6">
        <w:rPr>
          <w:rFonts w:cs="Times New Roman"/>
          <w:i/>
          <w:szCs w:val="24"/>
          <w:lang w:val="fr-CA"/>
        </w:rPr>
        <w:t>Wong c. Shell Canada Ltd</w:t>
      </w:r>
      <w:r w:rsidR="002513E3">
        <w:rPr>
          <w:rFonts w:cs="Times New Roman"/>
          <w:i/>
          <w:szCs w:val="24"/>
          <w:lang w:val="fr-CA"/>
        </w:rPr>
        <w:t>.</w:t>
      </w:r>
      <w:r w:rsidRPr="004C53A6">
        <w:rPr>
          <w:rFonts w:cs="Times New Roman"/>
          <w:i/>
          <w:szCs w:val="24"/>
          <w:lang w:val="fr-CA"/>
        </w:rPr>
        <w:t xml:space="preserve"> </w:t>
      </w:r>
      <w:r w:rsidRPr="004C53A6">
        <w:rPr>
          <w:rFonts w:cs="Times New Roman"/>
          <w:szCs w:val="24"/>
          <w:lang w:val="fr-CA"/>
        </w:rPr>
        <w:t xml:space="preserve">(1995), 174 A.R. 287, autorisation </w:t>
      </w:r>
      <w:r w:rsidR="002513E3">
        <w:rPr>
          <w:rFonts w:cs="Times New Roman"/>
          <w:szCs w:val="24"/>
          <w:lang w:val="fr-CA"/>
        </w:rPr>
        <w:t>d</w:t>
      </w:r>
      <w:r w:rsidR="00B85E05">
        <w:rPr>
          <w:rFonts w:cs="Times New Roman"/>
          <w:szCs w:val="24"/>
          <w:lang w:val="fr-CA"/>
        </w:rPr>
        <w:t>e pourvoi</w:t>
      </w:r>
      <w:r w:rsidRPr="004C53A6">
        <w:rPr>
          <w:rFonts w:cs="Times New Roman"/>
          <w:szCs w:val="24"/>
          <w:lang w:val="fr-CA"/>
        </w:rPr>
        <w:t xml:space="preserve"> refusée, [1996] 3 R.C.S. xiv,</w:t>
      </w:r>
      <w:r w:rsidRPr="004C53A6">
        <w:rPr>
          <w:rFonts w:cs="Times New Roman"/>
          <w:i/>
          <w:szCs w:val="24"/>
          <w:lang w:val="fr-CA"/>
        </w:rPr>
        <w:t xml:space="preserve"> </w:t>
      </w:r>
      <w:r w:rsidRPr="004C53A6">
        <w:rPr>
          <w:rFonts w:cs="Times New Roman"/>
          <w:szCs w:val="24"/>
          <w:lang w:val="fr-CA"/>
        </w:rPr>
        <w:t>la Cour d</w:t>
      </w:r>
      <w:r>
        <w:rPr>
          <w:rFonts w:cs="Times New Roman"/>
          <w:szCs w:val="24"/>
          <w:lang w:val="fr-CA"/>
        </w:rPr>
        <w:t>’</w:t>
      </w:r>
      <w:r w:rsidRPr="004C53A6">
        <w:rPr>
          <w:rFonts w:cs="Times New Roman"/>
          <w:szCs w:val="24"/>
          <w:lang w:val="fr-CA"/>
        </w:rPr>
        <w:t>appel de l</w:t>
      </w:r>
      <w:r>
        <w:rPr>
          <w:rFonts w:cs="Times New Roman"/>
          <w:szCs w:val="24"/>
          <w:lang w:val="fr-CA"/>
        </w:rPr>
        <w:t>’</w:t>
      </w:r>
      <w:r w:rsidRPr="004C53A6">
        <w:rPr>
          <w:rFonts w:cs="Times New Roman"/>
          <w:szCs w:val="24"/>
          <w:lang w:val="fr-CA"/>
        </w:rPr>
        <w:t>Alberta a examiné la question de savoir si l</w:t>
      </w:r>
      <w:r>
        <w:rPr>
          <w:rFonts w:cs="Times New Roman"/>
          <w:szCs w:val="24"/>
          <w:lang w:val="fr-CA"/>
        </w:rPr>
        <w:t>’</w:t>
      </w:r>
      <w:r w:rsidRPr="004C53A6">
        <w:rPr>
          <w:rFonts w:cs="Times New Roman"/>
          <w:szCs w:val="24"/>
          <w:lang w:val="fr-CA"/>
        </w:rPr>
        <w:t>al. 9(1</w:t>
      </w:r>
      <w:proofErr w:type="gramStart"/>
      <w:r w:rsidRPr="004C53A6">
        <w:rPr>
          <w:rFonts w:cs="Times New Roman"/>
          <w:szCs w:val="24"/>
          <w:lang w:val="fr-CA"/>
        </w:rPr>
        <w:t>)</w:t>
      </w:r>
      <w:r w:rsidR="002513E3">
        <w:rPr>
          <w:rFonts w:cs="Times New Roman"/>
          <w:szCs w:val="24"/>
          <w:lang w:val="fr-CA"/>
        </w:rPr>
        <w:t>(</w:t>
      </w:r>
      <w:proofErr w:type="gramEnd"/>
      <w:r w:rsidRPr="002513E3">
        <w:rPr>
          <w:rFonts w:cs="Times New Roman"/>
          <w:szCs w:val="24"/>
          <w:lang w:val="fr-CA"/>
        </w:rPr>
        <w:t>a</w:t>
      </w:r>
      <w:r w:rsidRPr="004C53A6">
        <w:rPr>
          <w:rFonts w:cs="Times New Roman"/>
          <w:szCs w:val="24"/>
          <w:lang w:val="fr-CA"/>
        </w:rPr>
        <w:t xml:space="preserve">) du </w:t>
      </w:r>
      <w:proofErr w:type="spellStart"/>
      <w:r w:rsidRPr="004C53A6">
        <w:rPr>
          <w:rFonts w:cs="Times New Roman"/>
          <w:i/>
          <w:szCs w:val="24"/>
          <w:lang w:val="fr-CA"/>
        </w:rPr>
        <w:t>Employment</w:t>
      </w:r>
      <w:proofErr w:type="spellEnd"/>
      <w:r w:rsidRPr="004C53A6">
        <w:rPr>
          <w:rFonts w:cs="Times New Roman"/>
          <w:i/>
          <w:szCs w:val="24"/>
          <w:lang w:val="fr-CA"/>
        </w:rPr>
        <w:t xml:space="preserve"> Standards Code</w:t>
      </w:r>
      <w:r w:rsidRPr="004C53A6">
        <w:rPr>
          <w:rFonts w:cs="Times New Roman"/>
          <w:szCs w:val="24"/>
          <w:lang w:val="fr-CA"/>
        </w:rPr>
        <w:t>, S.A. 1988, ch. E</w:t>
      </w:r>
      <w:r w:rsidRPr="004C53A6">
        <w:rPr>
          <w:rFonts w:cs="Times New Roman"/>
          <w:szCs w:val="24"/>
          <w:lang w:val="fr-CA"/>
        </w:rPr>
        <w:noBreakHyphen/>
        <w:t>10.2, empêchait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Selon l</w:t>
      </w:r>
      <w:r>
        <w:rPr>
          <w:rFonts w:cs="Times New Roman"/>
          <w:szCs w:val="24"/>
          <w:lang w:val="fr-CA"/>
        </w:rPr>
        <w:t>’</w:t>
      </w:r>
      <w:r w:rsidRPr="004C53A6">
        <w:rPr>
          <w:rFonts w:cs="Times New Roman"/>
          <w:szCs w:val="24"/>
          <w:lang w:val="fr-CA"/>
        </w:rPr>
        <w:t>alinéa 9(1</w:t>
      </w:r>
      <w:proofErr w:type="gramStart"/>
      <w:r w:rsidRPr="004C53A6">
        <w:rPr>
          <w:rFonts w:cs="Times New Roman"/>
          <w:szCs w:val="24"/>
          <w:lang w:val="fr-CA"/>
        </w:rPr>
        <w:t>)</w:t>
      </w:r>
      <w:r w:rsidR="002513E3">
        <w:rPr>
          <w:rFonts w:cs="Times New Roman"/>
          <w:szCs w:val="24"/>
          <w:lang w:val="fr-CA"/>
        </w:rPr>
        <w:t>(</w:t>
      </w:r>
      <w:proofErr w:type="gramEnd"/>
      <w:r w:rsidRPr="002513E3">
        <w:rPr>
          <w:rFonts w:cs="Times New Roman"/>
          <w:szCs w:val="24"/>
          <w:lang w:val="fr-CA"/>
        </w:rPr>
        <w:t>a</w:t>
      </w:r>
      <w:r w:rsidRPr="004C53A6">
        <w:rPr>
          <w:rFonts w:cs="Times New Roman"/>
          <w:szCs w:val="24"/>
          <w:lang w:val="fr-CA"/>
        </w:rPr>
        <w:t xml:space="preserve">), </w:t>
      </w:r>
      <w:r w:rsidRPr="004C53A6">
        <w:rPr>
          <w:rFonts w:cs="Times New Roman"/>
          <w:smallCaps/>
          <w:szCs w:val="24"/>
          <w:lang w:val="fr-CA"/>
        </w:rPr>
        <w:t xml:space="preserve">[traduction] </w:t>
      </w:r>
      <w:r w:rsidRPr="004C53A6">
        <w:rPr>
          <w:rFonts w:cs="Times New Roman"/>
          <w:szCs w:val="24"/>
          <w:lang w:val="fr-CA"/>
        </w:rPr>
        <w:t>« [l]a présente loi n</w:t>
      </w:r>
      <w:r>
        <w:rPr>
          <w:rFonts w:cs="Times New Roman"/>
          <w:szCs w:val="24"/>
          <w:lang w:val="fr-CA"/>
        </w:rPr>
        <w:t>’</w:t>
      </w:r>
      <w:r w:rsidRPr="004C53A6">
        <w:rPr>
          <w:rFonts w:cs="Times New Roman"/>
          <w:szCs w:val="24"/>
          <w:lang w:val="fr-CA"/>
        </w:rPr>
        <w:t>a pas pour effet de porter atteinte aux recours civils que l</w:t>
      </w:r>
      <w:r>
        <w:rPr>
          <w:rFonts w:cs="Times New Roman"/>
          <w:szCs w:val="24"/>
          <w:lang w:val="fr-CA"/>
        </w:rPr>
        <w:t>’</w:t>
      </w:r>
      <w:r w:rsidRPr="004C53A6">
        <w:rPr>
          <w:rFonts w:cs="Times New Roman"/>
          <w:szCs w:val="24"/>
          <w:lang w:val="fr-CA"/>
        </w:rPr>
        <w:t>employé peut exercer contre son employeur ».  L</w:t>
      </w:r>
      <w:r>
        <w:rPr>
          <w:rFonts w:cs="Times New Roman"/>
          <w:szCs w:val="24"/>
          <w:lang w:val="fr-CA"/>
        </w:rPr>
        <w:t>’</w:t>
      </w:r>
      <w:r w:rsidRPr="004C53A6">
        <w:rPr>
          <w:rFonts w:cs="Times New Roman"/>
          <w:szCs w:val="24"/>
          <w:lang w:val="fr-CA"/>
        </w:rPr>
        <w:t xml:space="preserve">employé faisait valoir que le par. 9(1) du </w:t>
      </w:r>
      <w:r w:rsidRPr="004C53A6">
        <w:rPr>
          <w:rFonts w:cs="Times New Roman"/>
          <w:i/>
          <w:szCs w:val="24"/>
          <w:lang w:val="fr-CA"/>
        </w:rPr>
        <w:t>Code</w:t>
      </w:r>
      <w:r w:rsidRPr="004C53A6">
        <w:rPr>
          <w:rFonts w:cs="Times New Roman"/>
          <w:szCs w:val="24"/>
          <w:lang w:val="fr-CA"/>
        </w:rPr>
        <w:t xml:space="preserve"> visait à protéger une action civile, sans égard au fait qu</w:t>
      </w:r>
      <w:r>
        <w:rPr>
          <w:rFonts w:cs="Times New Roman"/>
          <w:szCs w:val="24"/>
          <w:lang w:val="fr-CA"/>
        </w:rPr>
        <w:t>’</w:t>
      </w:r>
      <w:r w:rsidRPr="004C53A6">
        <w:rPr>
          <w:rFonts w:cs="Times New Roman"/>
          <w:szCs w:val="24"/>
          <w:lang w:val="fr-CA"/>
        </w:rPr>
        <w:t xml:space="preserve">il avait demandé une réparation en vertu du </w:t>
      </w:r>
      <w:r w:rsidRPr="004C53A6">
        <w:rPr>
          <w:rFonts w:cs="Times New Roman"/>
          <w:i/>
          <w:szCs w:val="24"/>
          <w:lang w:val="fr-CA"/>
        </w:rPr>
        <w:t>Code</w:t>
      </w:r>
      <w:r w:rsidRPr="004C53A6">
        <w:rPr>
          <w:rFonts w:cs="Times New Roman"/>
          <w:szCs w:val="24"/>
          <w:lang w:val="fr-CA"/>
        </w:rPr>
        <w:t xml:space="preserve"> et obtenu une décision définitive.  La Cour d</w:t>
      </w:r>
      <w:r>
        <w:rPr>
          <w:rFonts w:cs="Times New Roman"/>
          <w:szCs w:val="24"/>
          <w:lang w:val="fr-CA"/>
        </w:rPr>
        <w:t>’</w:t>
      </w:r>
      <w:r w:rsidRPr="004C53A6">
        <w:rPr>
          <w:rFonts w:cs="Times New Roman"/>
          <w:szCs w:val="24"/>
          <w:lang w:val="fr-CA"/>
        </w:rPr>
        <w:t xml:space="preserve">appel a rejeté cette interprétation : </w:t>
      </w:r>
    </w:p>
    <w:p w:rsidR="0000152B" w:rsidRPr="004C53A6" w:rsidRDefault="0000152B" w:rsidP="00E676BA">
      <w:pPr>
        <w:pStyle w:val="Citation-AltC"/>
        <w:tabs>
          <w:tab w:val="left" w:pos="1620"/>
        </w:tabs>
        <w:spacing w:after="240"/>
        <w:ind w:left="1168" w:hanging="1168"/>
        <w:contextualSpacing w:val="0"/>
        <w:rPr>
          <w:szCs w:val="24"/>
          <w:lang w:val="fr-CA"/>
        </w:rPr>
      </w:pPr>
      <w:r w:rsidRPr="004C53A6">
        <w:rPr>
          <w:smallCaps/>
          <w:szCs w:val="24"/>
          <w:lang w:val="fr-CA"/>
        </w:rPr>
        <w:lastRenderedPageBreak/>
        <w:tab/>
      </w:r>
      <w:r w:rsidR="002513E3">
        <w:rPr>
          <w:smallCaps/>
          <w:szCs w:val="24"/>
          <w:lang w:val="fr-CA"/>
        </w:rPr>
        <w:tab/>
      </w:r>
      <w:r w:rsidRPr="004C53A6">
        <w:rPr>
          <w:smallCaps/>
          <w:szCs w:val="24"/>
          <w:lang w:val="fr-CA"/>
        </w:rPr>
        <w:t>[traduction]</w:t>
      </w:r>
      <w:r w:rsidRPr="004C53A6">
        <w:rPr>
          <w:szCs w:val="24"/>
          <w:lang w:val="fr-CA"/>
        </w:rPr>
        <w:t xml:space="preserve">  Bien que l</w:t>
      </w:r>
      <w:r>
        <w:rPr>
          <w:szCs w:val="24"/>
          <w:lang w:val="fr-CA"/>
        </w:rPr>
        <w:t>’</w:t>
      </w:r>
      <w:r w:rsidRPr="004C53A6">
        <w:rPr>
          <w:szCs w:val="24"/>
          <w:lang w:val="fr-CA"/>
        </w:rPr>
        <w:t>al. 9(1</w:t>
      </w:r>
      <w:proofErr w:type="gramStart"/>
      <w:r w:rsidRPr="004C53A6">
        <w:rPr>
          <w:szCs w:val="24"/>
          <w:lang w:val="fr-CA"/>
        </w:rPr>
        <w:t>)</w:t>
      </w:r>
      <w:r w:rsidR="00E676BA">
        <w:rPr>
          <w:szCs w:val="24"/>
          <w:lang w:val="fr-CA"/>
        </w:rPr>
        <w:t>(</w:t>
      </w:r>
      <w:proofErr w:type="gramEnd"/>
      <w:r w:rsidRPr="002513E3">
        <w:rPr>
          <w:szCs w:val="24"/>
          <w:lang w:val="fr-CA"/>
        </w:rPr>
        <w:t>a</w:t>
      </w:r>
      <w:r w:rsidRPr="004C53A6">
        <w:rPr>
          <w:szCs w:val="24"/>
          <w:lang w:val="fr-CA"/>
        </w:rPr>
        <w:t xml:space="preserve">) ne vise pas à supprimer de droits reconnus par la </w:t>
      </w:r>
      <w:proofErr w:type="spellStart"/>
      <w:r w:rsidRPr="004C53A6">
        <w:rPr>
          <w:szCs w:val="24"/>
          <w:lang w:val="fr-CA"/>
        </w:rPr>
        <w:t>common</w:t>
      </w:r>
      <w:proofErr w:type="spellEnd"/>
      <w:r w:rsidRPr="004C53A6">
        <w:rPr>
          <w:szCs w:val="24"/>
          <w:lang w:val="fr-CA"/>
        </w:rPr>
        <w:t xml:space="preserve"> </w:t>
      </w:r>
      <w:proofErr w:type="spellStart"/>
      <w:r w:rsidRPr="004C53A6">
        <w:rPr>
          <w:szCs w:val="24"/>
          <w:lang w:val="fr-CA"/>
        </w:rPr>
        <w:t>law</w:t>
      </w:r>
      <w:proofErr w:type="spellEnd"/>
      <w:r w:rsidRPr="004C53A6">
        <w:rPr>
          <w:szCs w:val="24"/>
          <w:lang w:val="fr-CA"/>
        </w:rPr>
        <w:t>, et qu</w:t>
      </w:r>
      <w:r>
        <w:rPr>
          <w:szCs w:val="24"/>
          <w:lang w:val="fr-CA"/>
        </w:rPr>
        <w:t>’</w:t>
      </w:r>
      <w:r w:rsidRPr="004C53A6">
        <w:rPr>
          <w:szCs w:val="24"/>
          <w:lang w:val="fr-CA"/>
        </w:rPr>
        <w:t>il cherche en fait à les préserver, son libellé ne fait pas obstacle à l</w:t>
      </w:r>
      <w:r>
        <w:rPr>
          <w:szCs w:val="24"/>
          <w:lang w:val="fr-CA"/>
        </w:rPr>
        <w:t>’</w:t>
      </w:r>
      <w:r w:rsidRPr="004C53A6">
        <w:rPr>
          <w:szCs w:val="24"/>
          <w:lang w:val="fr-CA"/>
        </w:rPr>
        <w:t xml:space="preserve">application par les tribunaux de la </w:t>
      </w:r>
      <w:proofErr w:type="spellStart"/>
      <w:r w:rsidRPr="004C53A6">
        <w:rPr>
          <w:szCs w:val="24"/>
          <w:lang w:val="fr-CA"/>
        </w:rPr>
        <w:t>préclusion</w:t>
      </w:r>
      <w:proofErr w:type="spellEnd"/>
      <w:r w:rsidRPr="004C53A6">
        <w:rPr>
          <w:szCs w:val="24"/>
          <w:lang w:val="fr-CA"/>
        </w:rPr>
        <w:t xml:space="preserve"> découlant d</w:t>
      </w:r>
      <w:r>
        <w:rPr>
          <w:szCs w:val="24"/>
          <w:lang w:val="fr-CA"/>
        </w:rPr>
        <w:t>’</w:t>
      </w:r>
      <w:r w:rsidRPr="004C53A6">
        <w:rPr>
          <w:szCs w:val="24"/>
          <w:lang w:val="fr-CA"/>
        </w:rPr>
        <w:t>une question déjà tranchée.  Le législateur donne à l</w:t>
      </w:r>
      <w:r>
        <w:rPr>
          <w:szCs w:val="24"/>
          <w:lang w:val="fr-CA"/>
        </w:rPr>
        <w:t>’</w:t>
      </w:r>
      <w:r w:rsidRPr="004C53A6">
        <w:rPr>
          <w:szCs w:val="24"/>
          <w:lang w:val="fr-CA"/>
        </w:rPr>
        <w:t>employé le choix du tribunal à qui il va s</w:t>
      </w:r>
      <w:r>
        <w:rPr>
          <w:szCs w:val="24"/>
          <w:lang w:val="fr-CA"/>
        </w:rPr>
        <w:t>’</w:t>
      </w:r>
      <w:r w:rsidRPr="004C53A6">
        <w:rPr>
          <w:szCs w:val="24"/>
          <w:lang w:val="fr-CA"/>
        </w:rPr>
        <w:t>adresser.  L</w:t>
      </w:r>
      <w:r>
        <w:rPr>
          <w:szCs w:val="24"/>
          <w:lang w:val="fr-CA"/>
        </w:rPr>
        <w:t>’</w:t>
      </w:r>
      <w:r w:rsidRPr="004C53A6">
        <w:rPr>
          <w:szCs w:val="24"/>
          <w:lang w:val="fr-CA"/>
        </w:rPr>
        <w:t xml:space="preserve">employé peut intenter une action ou exercer les recours prévus dans le </w:t>
      </w:r>
      <w:r w:rsidRPr="00E676BA">
        <w:rPr>
          <w:i/>
          <w:szCs w:val="24"/>
          <w:lang w:val="fr-CA"/>
        </w:rPr>
        <w:t>Code</w:t>
      </w:r>
      <w:r w:rsidRPr="004C53A6">
        <w:rPr>
          <w:szCs w:val="24"/>
          <w:lang w:val="fr-CA"/>
        </w:rPr>
        <w:t>.  La loi ne prévoit pas la possibilité que l</w:t>
      </w:r>
      <w:r>
        <w:rPr>
          <w:szCs w:val="24"/>
          <w:lang w:val="fr-CA"/>
        </w:rPr>
        <w:t>’</w:t>
      </w:r>
      <w:r w:rsidRPr="004C53A6">
        <w:rPr>
          <w:szCs w:val="24"/>
          <w:lang w:val="fr-CA"/>
        </w:rPr>
        <w:t>employeur exerce les deux recours à l</w:t>
      </w:r>
      <w:r>
        <w:rPr>
          <w:szCs w:val="24"/>
          <w:lang w:val="fr-CA"/>
        </w:rPr>
        <w:t>’</w:t>
      </w:r>
      <w:r w:rsidRPr="004C53A6">
        <w:rPr>
          <w:szCs w:val="24"/>
          <w:lang w:val="fr-CA"/>
        </w:rPr>
        <w:t>égard de la même plainte.  [</w:t>
      </w:r>
      <w:proofErr w:type="gramStart"/>
      <w:r w:rsidRPr="004C53A6">
        <w:rPr>
          <w:szCs w:val="24"/>
          <w:lang w:val="fr-CA"/>
        </w:rPr>
        <w:t>par</w:t>
      </w:r>
      <w:proofErr w:type="gramEnd"/>
      <w:r w:rsidRPr="004C53A6">
        <w:rPr>
          <w:szCs w:val="24"/>
          <w:lang w:val="fr-CA"/>
        </w:rPr>
        <w:t xml:space="preserve">. 14] </w:t>
      </w:r>
    </w:p>
    <w:p w:rsidR="0000152B" w:rsidRPr="004C53A6" w:rsidRDefault="0000152B" w:rsidP="002513E3">
      <w:pPr>
        <w:pStyle w:val="Citation-AltC"/>
        <w:ind w:left="0"/>
        <w:rPr>
          <w:szCs w:val="24"/>
          <w:lang w:val="fr-CA"/>
        </w:rPr>
      </w:pPr>
      <w:r w:rsidRPr="004C53A6">
        <w:rPr>
          <w:szCs w:val="24"/>
          <w:lang w:val="fr-CA"/>
        </w:rPr>
        <w:t xml:space="preserve">(Voir également </w:t>
      </w:r>
      <w:proofErr w:type="spellStart"/>
      <w:r w:rsidRPr="004C53A6">
        <w:rPr>
          <w:i/>
          <w:szCs w:val="24"/>
          <w:lang w:val="fr-CA"/>
        </w:rPr>
        <w:t>Rasanen</w:t>
      </w:r>
      <w:proofErr w:type="spellEnd"/>
      <w:r w:rsidRPr="004C53A6">
        <w:rPr>
          <w:szCs w:val="24"/>
          <w:lang w:val="fr-CA"/>
        </w:rPr>
        <w:t xml:space="preser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Dans le même ordre d</w:t>
      </w:r>
      <w:r>
        <w:rPr>
          <w:rFonts w:cs="Times New Roman"/>
          <w:szCs w:val="24"/>
          <w:lang w:val="fr-CA"/>
        </w:rPr>
        <w:t>’</w:t>
      </w:r>
      <w:r w:rsidRPr="004C53A6">
        <w:rPr>
          <w:rFonts w:cs="Times New Roman"/>
          <w:szCs w:val="24"/>
          <w:lang w:val="fr-CA"/>
        </w:rPr>
        <w:t>idées, les dispositions — qui prévoient des instances civiles — invoquées par M. Penner en l</w:t>
      </w:r>
      <w:r>
        <w:rPr>
          <w:rFonts w:cs="Times New Roman"/>
          <w:szCs w:val="24"/>
          <w:lang w:val="fr-CA"/>
        </w:rPr>
        <w:t>’</w:t>
      </w:r>
      <w:r w:rsidRPr="004C53A6">
        <w:rPr>
          <w:rFonts w:cs="Times New Roman"/>
          <w:szCs w:val="24"/>
          <w:lang w:val="fr-CA"/>
        </w:rPr>
        <w:t>espèce n</w:t>
      </w:r>
      <w:r>
        <w:rPr>
          <w:rFonts w:cs="Times New Roman"/>
          <w:szCs w:val="24"/>
          <w:lang w:val="fr-CA"/>
        </w:rPr>
        <w:t>’</w:t>
      </w:r>
      <w:r w:rsidRPr="004C53A6">
        <w:rPr>
          <w:rFonts w:cs="Times New Roman"/>
          <w:szCs w:val="24"/>
          <w:lang w:val="fr-CA"/>
        </w:rPr>
        <w:t>empêchent pas expressément l</w:t>
      </w:r>
      <w:r>
        <w:rPr>
          <w:rFonts w:cs="Times New Roman"/>
          <w:szCs w:val="24"/>
          <w:lang w:val="fr-CA"/>
        </w:rPr>
        <w:t>’</w:t>
      </w:r>
      <w:r w:rsidRPr="004C53A6">
        <w:rPr>
          <w:rFonts w:cs="Times New Roman"/>
          <w:szCs w:val="24"/>
          <w:lang w:val="fr-CA"/>
        </w:rPr>
        <w:t xml:space="preserve">application par un tribunal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Qui plus est, interpréter ces dispositions de façon à empêcher l</w:t>
      </w:r>
      <w:r>
        <w:rPr>
          <w:rFonts w:cs="Times New Roman"/>
          <w:szCs w:val="24"/>
          <w:lang w:val="fr-CA"/>
        </w:rPr>
        <w:t>’</w:t>
      </w:r>
      <w:r w:rsidRPr="004C53A6">
        <w:rPr>
          <w:rFonts w:cs="Times New Roman"/>
          <w:szCs w:val="24"/>
          <w:lang w:val="fr-CA"/>
        </w:rPr>
        <w:t xml:space="preserve">application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contredirait les objectifs de la </w:t>
      </w:r>
      <w:r w:rsidRPr="004C53A6">
        <w:rPr>
          <w:rFonts w:cs="Times New Roman"/>
          <w:i/>
          <w:szCs w:val="24"/>
          <w:lang w:val="fr-CA"/>
        </w:rPr>
        <w:t>Loi sur les services policiers</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qui vise à rehausser la confiance du public dans la prestation de services policiers, notamment le traitement des plaintes.  Empêcher les tribunaux d</w:t>
      </w:r>
      <w:r>
        <w:rPr>
          <w:rFonts w:cs="Times New Roman"/>
          <w:szCs w:val="24"/>
          <w:lang w:val="fr-CA"/>
        </w:rPr>
        <w:t>’</w:t>
      </w:r>
      <w:r w:rsidRPr="004C53A6">
        <w:rPr>
          <w:rFonts w:cs="Times New Roman"/>
          <w:szCs w:val="24"/>
          <w:lang w:val="fr-CA"/>
        </w:rPr>
        <w:t xml:space="preserve">appliquer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dans le contexte d</w:t>
      </w:r>
      <w:r>
        <w:rPr>
          <w:rFonts w:cs="Times New Roman"/>
          <w:szCs w:val="24"/>
          <w:lang w:val="fr-CA"/>
        </w:rPr>
        <w:t>’</w:t>
      </w:r>
      <w:r w:rsidRPr="004C53A6">
        <w:rPr>
          <w:rFonts w:cs="Times New Roman"/>
          <w:szCs w:val="24"/>
          <w:lang w:val="fr-CA"/>
        </w:rPr>
        <w:t>une procédure disciplinaire irait à l</w:t>
      </w:r>
      <w:r>
        <w:rPr>
          <w:rFonts w:cs="Times New Roman"/>
          <w:szCs w:val="24"/>
          <w:lang w:val="fr-CA"/>
        </w:rPr>
        <w:t>’</w:t>
      </w:r>
      <w:r w:rsidRPr="004C53A6">
        <w:rPr>
          <w:rFonts w:cs="Times New Roman"/>
          <w:szCs w:val="24"/>
          <w:lang w:val="fr-CA"/>
        </w:rPr>
        <w:t>encontre de cet objectif — les décisions ne seraient pas définitives ou ne lieraient pas les parties, elles pourraient être remises en cause et donner lieu à des résultats contradictoires.  Un résultat semblable minerait la confiance du public dans le processus de traitement des plaintes et, de façon plus générale, dans l</w:t>
      </w:r>
      <w:r>
        <w:rPr>
          <w:rFonts w:cs="Times New Roman"/>
          <w:szCs w:val="24"/>
          <w:lang w:val="fr-CA"/>
        </w:rPr>
        <w:t>’</w:t>
      </w:r>
      <w:r w:rsidRPr="004C53A6">
        <w:rPr>
          <w:rFonts w:cs="Times New Roman"/>
          <w:szCs w:val="24"/>
          <w:lang w:val="fr-CA"/>
        </w:rPr>
        <w:t xml:space="preserve">intégrité du processus décisionnel administratif.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M. Penner conteste en outre la question de l</w:t>
      </w:r>
      <w:r>
        <w:rPr>
          <w:rFonts w:cs="Times New Roman"/>
          <w:szCs w:val="24"/>
          <w:lang w:val="fr-CA"/>
        </w:rPr>
        <w:t>’</w:t>
      </w:r>
      <w:r w:rsidRPr="004C53A6">
        <w:rPr>
          <w:rFonts w:cs="Times New Roman"/>
          <w:szCs w:val="24"/>
          <w:lang w:val="fr-CA"/>
        </w:rPr>
        <w:t>indépendance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en l</w:t>
      </w:r>
      <w:r>
        <w:rPr>
          <w:rFonts w:cs="Times New Roman"/>
          <w:szCs w:val="24"/>
          <w:lang w:val="fr-CA"/>
        </w:rPr>
        <w:t>’</w:t>
      </w:r>
      <w:r w:rsidRPr="004C53A6">
        <w:rPr>
          <w:rFonts w:cs="Times New Roman"/>
          <w:szCs w:val="24"/>
          <w:lang w:val="fr-CA"/>
        </w:rPr>
        <w:t xml:space="preserve">espèce.  Plus particulièrement, M. Penner soutient que, puisque la </w:t>
      </w:r>
      <w:r w:rsidRPr="004C53A6">
        <w:rPr>
          <w:rFonts w:cs="Times New Roman"/>
          <w:i/>
          <w:szCs w:val="24"/>
          <w:lang w:val="fr-CA"/>
        </w:rPr>
        <w:t xml:space="preserve">Loi sur les services policiers </w:t>
      </w:r>
      <w:r w:rsidRPr="004C53A6">
        <w:rPr>
          <w:rFonts w:cs="Times New Roman"/>
          <w:szCs w:val="24"/>
          <w:lang w:val="fr-CA"/>
        </w:rPr>
        <w:t>exige que le chef de police nomme l</w:t>
      </w:r>
      <w:r>
        <w:rPr>
          <w:rFonts w:cs="Times New Roman"/>
          <w:szCs w:val="24"/>
          <w:lang w:val="fr-CA"/>
        </w:rPr>
        <w:t>’</w:t>
      </w:r>
      <w:r w:rsidRPr="004C53A6">
        <w:rPr>
          <w:rFonts w:cs="Times New Roman"/>
          <w:szCs w:val="24"/>
          <w:lang w:val="fr-CA"/>
        </w:rPr>
        <w:t>enquêteur, le poursuivant et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pour traiter la plainte, le processus d</w:t>
      </w:r>
      <w:r>
        <w:rPr>
          <w:rFonts w:cs="Times New Roman"/>
          <w:szCs w:val="24"/>
          <w:lang w:val="fr-CA"/>
        </w:rPr>
        <w:t>’</w:t>
      </w:r>
      <w:r w:rsidRPr="004C53A6">
        <w:rPr>
          <w:rFonts w:cs="Times New Roman"/>
          <w:szCs w:val="24"/>
          <w:lang w:val="fr-CA"/>
        </w:rPr>
        <w:t>audience disciplinaire est privé d</w:t>
      </w:r>
      <w:r>
        <w:rPr>
          <w:rFonts w:cs="Times New Roman"/>
          <w:szCs w:val="24"/>
          <w:lang w:val="fr-CA"/>
        </w:rPr>
        <w:t>’</w:t>
      </w:r>
      <w:r w:rsidRPr="004C53A6">
        <w:rPr>
          <w:rFonts w:cs="Times New Roman"/>
          <w:szCs w:val="24"/>
          <w:lang w:val="fr-CA"/>
        </w:rPr>
        <w:t xml:space="preserve">un arbitre indépendant et impartial.  M. Penner a soulevé de nouveau cette question dans son pourvoi devant la Cour.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La méthode de nomination de l</w:t>
      </w:r>
      <w:r>
        <w:rPr>
          <w:rFonts w:cs="Times New Roman"/>
          <w:szCs w:val="24"/>
          <w:lang w:val="fr-CA"/>
        </w:rPr>
        <w:t>’</w:t>
      </w:r>
      <w:r w:rsidRPr="004C53A6">
        <w:rPr>
          <w:rFonts w:cs="Times New Roman"/>
          <w:szCs w:val="24"/>
          <w:lang w:val="fr-CA"/>
        </w:rPr>
        <w:t>arbitre ne devrait pas justifier l</w:t>
      </w:r>
      <w:r>
        <w:rPr>
          <w:rFonts w:cs="Times New Roman"/>
          <w:szCs w:val="24"/>
          <w:lang w:val="fr-CA"/>
        </w:rPr>
        <w:t>’</w:t>
      </w:r>
      <w:r w:rsidRPr="004C53A6">
        <w:rPr>
          <w:rFonts w:cs="Times New Roman"/>
          <w:szCs w:val="24"/>
          <w:lang w:val="fr-CA"/>
        </w:rPr>
        <w:t>exercice par la cour de son pouvoir discrétionnaire de refuser d</w:t>
      </w:r>
      <w:r>
        <w:rPr>
          <w:rFonts w:cs="Times New Roman"/>
          <w:szCs w:val="24"/>
          <w:lang w:val="fr-CA"/>
        </w:rPr>
        <w:t>’</w:t>
      </w:r>
      <w:r w:rsidRPr="004C53A6">
        <w:rPr>
          <w:rFonts w:cs="Times New Roman"/>
          <w:szCs w:val="24"/>
          <w:lang w:val="fr-CA"/>
        </w:rPr>
        <w:t>appliquer en l</w:t>
      </w:r>
      <w:r>
        <w:rPr>
          <w:rFonts w:cs="Times New Roman"/>
          <w:szCs w:val="24"/>
          <w:lang w:val="fr-CA"/>
        </w:rPr>
        <w:t>’</w:t>
      </w:r>
      <w:r w:rsidRPr="004C53A6">
        <w:rPr>
          <w:rFonts w:cs="Times New Roman"/>
          <w:szCs w:val="24"/>
          <w:lang w:val="fr-CA"/>
        </w:rPr>
        <w:t xml:space="preserve">espèce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 xml:space="preserve">une question déjà tranchée.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En 2004, le gouvernement de l</w:t>
      </w:r>
      <w:r>
        <w:rPr>
          <w:rFonts w:cs="Times New Roman"/>
          <w:szCs w:val="24"/>
          <w:lang w:val="fr-CA"/>
        </w:rPr>
        <w:t>’</w:t>
      </w:r>
      <w:r w:rsidRPr="004C53A6">
        <w:rPr>
          <w:rFonts w:cs="Times New Roman"/>
          <w:szCs w:val="24"/>
          <w:lang w:val="fr-CA"/>
        </w:rPr>
        <w:t>Ontario a demandé à l</w:t>
      </w:r>
      <w:r>
        <w:rPr>
          <w:rFonts w:cs="Times New Roman"/>
          <w:szCs w:val="24"/>
          <w:lang w:val="fr-CA"/>
        </w:rPr>
        <w:t>’</w:t>
      </w:r>
      <w:r w:rsidRPr="004C53A6">
        <w:rPr>
          <w:rFonts w:cs="Times New Roman"/>
          <w:szCs w:val="24"/>
          <w:lang w:val="fr-CA"/>
        </w:rPr>
        <w:t xml:space="preserve">honorable Patrick J. </w:t>
      </w:r>
      <w:proofErr w:type="spellStart"/>
      <w:r w:rsidRPr="004C53A6">
        <w:rPr>
          <w:rFonts w:cs="Times New Roman"/>
          <w:szCs w:val="24"/>
          <w:lang w:val="fr-CA"/>
        </w:rPr>
        <w:t>LeSage</w:t>
      </w:r>
      <w:proofErr w:type="spellEnd"/>
      <w:r w:rsidRPr="004C53A6">
        <w:rPr>
          <w:rFonts w:cs="Times New Roman"/>
          <w:szCs w:val="24"/>
          <w:lang w:val="fr-CA"/>
        </w:rPr>
        <w:t xml:space="preserve">, </w:t>
      </w:r>
      <w:proofErr w:type="gramStart"/>
      <w:r w:rsidRPr="004C53A6">
        <w:rPr>
          <w:rFonts w:cs="Times New Roman"/>
          <w:szCs w:val="24"/>
          <w:lang w:val="fr-CA"/>
        </w:rPr>
        <w:t>c.r.,</w:t>
      </w:r>
      <w:proofErr w:type="gramEnd"/>
      <w:r w:rsidRPr="004C53A6">
        <w:rPr>
          <w:rFonts w:cs="Times New Roman"/>
          <w:szCs w:val="24"/>
          <w:lang w:val="fr-CA"/>
        </w:rPr>
        <w:t xml:space="preserve"> de rédiger un rapport sur le processus de traitement des plaintes régi par la </w:t>
      </w:r>
      <w:r w:rsidRPr="004C53A6">
        <w:rPr>
          <w:rFonts w:cs="Times New Roman"/>
          <w:i/>
          <w:szCs w:val="24"/>
          <w:lang w:val="fr-CA"/>
        </w:rPr>
        <w:t>Loi sur les services policiers</w:t>
      </w:r>
      <w:r w:rsidR="002513E3">
        <w:rPr>
          <w:rFonts w:cs="Times New Roman"/>
          <w:i/>
          <w:szCs w:val="24"/>
          <w:lang w:val="fr-CA"/>
        </w:rPr>
        <w:t> </w:t>
      </w:r>
      <w:r w:rsidR="00B96B5D">
        <w:rPr>
          <w:rFonts w:cs="Times New Roman"/>
          <w:szCs w:val="24"/>
          <w:lang w:val="fr-CA"/>
        </w:rPr>
        <w:t>(</w:t>
      </w:r>
      <w:r w:rsidRPr="004C53A6">
        <w:rPr>
          <w:rFonts w:cs="Times New Roman"/>
          <w:szCs w:val="24"/>
          <w:lang w:val="fr-CA"/>
        </w:rPr>
        <w:t>voir l</w:t>
      </w:r>
      <w:r>
        <w:rPr>
          <w:rFonts w:cs="Times New Roman"/>
          <w:szCs w:val="24"/>
          <w:lang w:val="fr-CA"/>
        </w:rPr>
        <w:t>’</w:t>
      </w:r>
      <w:r w:rsidR="002513E3">
        <w:rPr>
          <w:rFonts w:cs="Times New Roman"/>
          <w:szCs w:val="24"/>
          <w:lang w:val="fr-CA"/>
        </w:rPr>
        <w:t xml:space="preserve">honorable Patrick J. </w:t>
      </w:r>
      <w:proofErr w:type="spellStart"/>
      <w:r w:rsidR="002513E3">
        <w:rPr>
          <w:rFonts w:cs="Times New Roman"/>
          <w:szCs w:val="24"/>
          <w:lang w:val="fr-CA"/>
        </w:rPr>
        <w:t>LeS</w:t>
      </w:r>
      <w:r w:rsidRPr="004C53A6">
        <w:rPr>
          <w:rFonts w:cs="Times New Roman"/>
          <w:szCs w:val="24"/>
          <w:lang w:val="fr-CA"/>
        </w:rPr>
        <w:t>age</w:t>
      </w:r>
      <w:proofErr w:type="spellEnd"/>
      <w:r w:rsidRPr="004C53A6">
        <w:rPr>
          <w:rFonts w:cs="Times New Roman"/>
          <w:szCs w:val="24"/>
          <w:lang w:val="fr-CA"/>
        </w:rPr>
        <w:t xml:space="preserve">, </w:t>
      </w:r>
      <w:r w:rsidRPr="004C53A6">
        <w:rPr>
          <w:rFonts w:cs="Times New Roman"/>
          <w:i/>
          <w:szCs w:val="24"/>
          <w:lang w:val="fr-CA"/>
        </w:rPr>
        <w:t xml:space="preserve">Rapport sur le système ontarien de traitement des plaintes concernant la police </w:t>
      </w:r>
      <w:r w:rsidRPr="004C53A6">
        <w:rPr>
          <w:rFonts w:cs="Times New Roman"/>
          <w:szCs w:val="24"/>
          <w:lang w:val="fr-CA"/>
        </w:rPr>
        <w:t>(2005)</w:t>
      </w:r>
      <w:r w:rsidR="00B96B5D">
        <w:rPr>
          <w:rFonts w:cs="Times New Roman"/>
          <w:szCs w:val="24"/>
          <w:lang w:val="fr-CA"/>
        </w:rPr>
        <w:t>)</w:t>
      </w:r>
      <w:r w:rsidRPr="004C53A6">
        <w:rPr>
          <w:rFonts w:cs="Times New Roman"/>
          <w:i/>
          <w:szCs w:val="24"/>
          <w:lang w:val="fr-CA"/>
        </w:rPr>
        <w:t xml:space="preserve">.  </w:t>
      </w:r>
      <w:r w:rsidRPr="004C53A6">
        <w:rPr>
          <w:rFonts w:cs="Times New Roman"/>
          <w:szCs w:val="24"/>
          <w:lang w:val="fr-CA"/>
        </w:rPr>
        <w:t xml:space="preserve">Le rapport </w:t>
      </w:r>
      <w:proofErr w:type="spellStart"/>
      <w:r w:rsidRPr="004C53A6">
        <w:rPr>
          <w:rFonts w:cs="Times New Roman"/>
          <w:szCs w:val="24"/>
          <w:lang w:val="fr-CA"/>
        </w:rPr>
        <w:t>LeSage</w:t>
      </w:r>
      <w:proofErr w:type="spellEnd"/>
      <w:r w:rsidRPr="004C53A6">
        <w:rPr>
          <w:rFonts w:cs="Times New Roman"/>
          <w:szCs w:val="24"/>
          <w:lang w:val="fr-CA"/>
        </w:rPr>
        <w:t>, publié en 2005, contient de nombreuses recommandations concernant l</w:t>
      </w:r>
      <w:r>
        <w:rPr>
          <w:rFonts w:cs="Times New Roman"/>
          <w:szCs w:val="24"/>
          <w:lang w:val="fr-CA"/>
        </w:rPr>
        <w:t>’</w:t>
      </w:r>
      <w:r w:rsidRPr="004C53A6">
        <w:rPr>
          <w:rFonts w:cs="Times New Roman"/>
          <w:szCs w:val="24"/>
          <w:lang w:val="fr-CA"/>
        </w:rPr>
        <w:t>enquête sur les plaintes concernant la police et l</w:t>
      </w:r>
      <w:r>
        <w:rPr>
          <w:rFonts w:cs="Times New Roman"/>
          <w:szCs w:val="24"/>
          <w:lang w:val="fr-CA"/>
        </w:rPr>
        <w:t>’</w:t>
      </w:r>
      <w:r w:rsidRPr="004C53A6">
        <w:rPr>
          <w:rFonts w:cs="Times New Roman"/>
          <w:szCs w:val="24"/>
          <w:lang w:val="fr-CA"/>
        </w:rPr>
        <w:t xml:space="preserve">audition de ces plaintes.  Dans son rapport, </w:t>
      </w:r>
      <w:proofErr w:type="spellStart"/>
      <w:r w:rsidRPr="004C53A6">
        <w:rPr>
          <w:rFonts w:cs="Times New Roman"/>
          <w:szCs w:val="24"/>
          <w:lang w:val="fr-CA"/>
        </w:rPr>
        <w:t>LeSage</w:t>
      </w:r>
      <w:proofErr w:type="spellEnd"/>
      <w:r w:rsidRPr="004C53A6">
        <w:rPr>
          <w:rFonts w:cs="Times New Roman"/>
          <w:szCs w:val="24"/>
          <w:lang w:val="fr-CA"/>
        </w:rPr>
        <w:t xml:space="preserve"> a expressément rejeté les préoccupations relatives à l</w:t>
      </w:r>
      <w:r>
        <w:rPr>
          <w:rFonts w:cs="Times New Roman"/>
          <w:szCs w:val="24"/>
          <w:lang w:val="fr-CA"/>
        </w:rPr>
        <w:t>’</w:t>
      </w:r>
      <w:r w:rsidRPr="004C53A6">
        <w:rPr>
          <w:rFonts w:cs="Times New Roman"/>
          <w:szCs w:val="24"/>
          <w:lang w:val="fr-CA"/>
        </w:rPr>
        <w:t xml:space="preserve">indépendance des enquêteurs et des arbitres dans le cadre du processus de traitement des plaintes : </w:t>
      </w:r>
    </w:p>
    <w:p w:rsidR="0000152B" w:rsidRPr="004C53A6" w:rsidRDefault="0000152B" w:rsidP="0000152B">
      <w:pPr>
        <w:pStyle w:val="Citation-AltC"/>
        <w:ind w:hanging="1166"/>
        <w:rPr>
          <w:szCs w:val="24"/>
          <w:lang w:val="fr-CA"/>
        </w:rPr>
      </w:pPr>
      <w:r w:rsidRPr="004C53A6">
        <w:rPr>
          <w:szCs w:val="24"/>
          <w:lang w:val="fr-CA"/>
        </w:rPr>
        <w:tab/>
        <w:t>D</w:t>
      </w:r>
      <w:r>
        <w:rPr>
          <w:szCs w:val="24"/>
          <w:lang w:val="fr-CA"/>
        </w:rPr>
        <w:t>’</w:t>
      </w:r>
      <w:r w:rsidRPr="004C53A6">
        <w:rPr>
          <w:szCs w:val="24"/>
          <w:lang w:val="fr-CA"/>
        </w:rPr>
        <w:t>autres intervenants préconisent l</w:t>
      </w:r>
      <w:r>
        <w:rPr>
          <w:szCs w:val="24"/>
          <w:lang w:val="fr-CA"/>
        </w:rPr>
        <w:t>’</w:t>
      </w:r>
      <w:r w:rsidRPr="004C53A6">
        <w:rPr>
          <w:szCs w:val="24"/>
          <w:lang w:val="fr-CA"/>
        </w:rPr>
        <w:t>instauration d</w:t>
      </w:r>
      <w:r>
        <w:rPr>
          <w:szCs w:val="24"/>
          <w:lang w:val="fr-CA"/>
        </w:rPr>
        <w:t>’</w:t>
      </w:r>
      <w:r w:rsidRPr="004C53A6">
        <w:rPr>
          <w:szCs w:val="24"/>
          <w:lang w:val="fr-CA"/>
        </w:rPr>
        <w:t>un processus indépendant d</w:t>
      </w:r>
      <w:r>
        <w:rPr>
          <w:szCs w:val="24"/>
          <w:lang w:val="fr-CA"/>
        </w:rPr>
        <w:t>’</w:t>
      </w:r>
      <w:r w:rsidRPr="004C53A6">
        <w:rPr>
          <w:szCs w:val="24"/>
          <w:lang w:val="fr-CA"/>
        </w:rPr>
        <w:t>audience en cas de plainte du public.  Les poursuites et le processus décisionnel seraient tout à fait indépendants.  Je reconnais que l</w:t>
      </w:r>
      <w:r>
        <w:rPr>
          <w:szCs w:val="24"/>
          <w:lang w:val="fr-CA"/>
        </w:rPr>
        <w:t>’</w:t>
      </w:r>
      <w:r w:rsidRPr="004C53A6">
        <w:rPr>
          <w:szCs w:val="24"/>
          <w:lang w:val="fr-CA"/>
        </w:rPr>
        <w:t>on réclame une indépendance accrue du processus d</w:t>
      </w:r>
      <w:r>
        <w:rPr>
          <w:szCs w:val="24"/>
          <w:lang w:val="fr-CA"/>
        </w:rPr>
        <w:t>’</w:t>
      </w:r>
      <w:r w:rsidRPr="004C53A6">
        <w:rPr>
          <w:szCs w:val="24"/>
          <w:lang w:val="fr-CA"/>
        </w:rPr>
        <w:t xml:space="preserve">audience.  Les </w:t>
      </w:r>
      <w:r w:rsidRPr="004C53A6">
        <w:rPr>
          <w:szCs w:val="24"/>
          <w:lang w:val="fr-CA"/>
        </w:rPr>
        <w:lastRenderedPageBreak/>
        <w:t>arguments en sa faveur sont d</w:t>
      </w:r>
      <w:r>
        <w:rPr>
          <w:szCs w:val="24"/>
          <w:lang w:val="fr-CA"/>
        </w:rPr>
        <w:t>’</w:t>
      </w:r>
      <w:r w:rsidRPr="004C53A6">
        <w:rPr>
          <w:szCs w:val="24"/>
          <w:lang w:val="fr-CA"/>
        </w:rPr>
        <w:t>ailleurs convaincants.  Il faut éviter les conflits d</w:t>
      </w:r>
      <w:r>
        <w:rPr>
          <w:szCs w:val="24"/>
          <w:lang w:val="fr-CA"/>
        </w:rPr>
        <w:t>’</w:t>
      </w:r>
      <w:r w:rsidRPr="004C53A6">
        <w:rPr>
          <w:szCs w:val="24"/>
          <w:lang w:val="fr-CA"/>
        </w:rPr>
        <w:t>intérêts; c</w:t>
      </w:r>
      <w:r>
        <w:rPr>
          <w:szCs w:val="24"/>
          <w:lang w:val="fr-CA"/>
        </w:rPr>
        <w:t>’</w:t>
      </w:r>
      <w:r w:rsidRPr="004C53A6">
        <w:rPr>
          <w:szCs w:val="24"/>
          <w:lang w:val="fr-CA"/>
        </w:rPr>
        <w:t>est pourquoi la responsabilité des audiences ne devrait pas être confiée intégralement à des membres du corps de police, qui ont des rapports quotidiens.  Ce problème touche particulièrement les petits corps de police, qui devraient faire appel à des poursuivants et à des agents enquêteurs de l</w:t>
      </w:r>
      <w:r>
        <w:rPr>
          <w:szCs w:val="24"/>
          <w:lang w:val="fr-CA"/>
        </w:rPr>
        <w:t>’</w:t>
      </w:r>
      <w:r w:rsidRPr="004C53A6">
        <w:rPr>
          <w:szCs w:val="24"/>
          <w:lang w:val="fr-CA"/>
        </w:rPr>
        <w:t xml:space="preserve">extérieur.  </w:t>
      </w:r>
      <w:r w:rsidRPr="004C53A6">
        <w:rPr>
          <w:szCs w:val="24"/>
          <w:u w:val="single"/>
          <w:lang w:val="fr-CA"/>
        </w:rPr>
        <w:t>La loi actuelle aborde déjà cette situation en permettant aux chefs de police de désigner des poursuivants et des agents enquêteurs qui ne font pas partie du corps de police.</w:t>
      </w:r>
      <w:r w:rsidRPr="004C53A6">
        <w:rPr>
          <w:szCs w:val="24"/>
          <w:lang w:val="fr-CA"/>
        </w:rPr>
        <w:t xml:space="preserve">  [Nous soulignons; p. 84</w:t>
      </w:r>
      <w:r w:rsidR="002513E3">
        <w:rPr>
          <w:szCs w:val="24"/>
          <w:lang w:val="fr-CA"/>
        </w:rPr>
        <w:t>-</w:t>
      </w:r>
      <w:r w:rsidRPr="004C53A6">
        <w:rPr>
          <w:szCs w:val="24"/>
          <w:lang w:val="fr-CA"/>
        </w:rPr>
        <w:t xml:space="preserve">85.]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Bref, le rapport </w:t>
      </w:r>
      <w:proofErr w:type="spellStart"/>
      <w:r w:rsidRPr="004C53A6">
        <w:rPr>
          <w:rFonts w:cs="Times New Roman"/>
          <w:szCs w:val="24"/>
          <w:lang w:val="fr-CA"/>
        </w:rPr>
        <w:t>LeSage</w:t>
      </w:r>
      <w:proofErr w:type="spellEnd"/>
      <w:r w:rsidRPr="004C53A6">
        <w:rPr>
          <w:rFonts w:cs="Times New Roman"/>
          <w:i/>
          <w:szCs w:val="24"/>
          <w:lang w:val="fr-CA"/>
        </w:rPr>
        <w:t xml:space="preserve"> </w:t>
      </w:r>
      <w:r w:rsidRPr="004C53A6">
        <w:rPr>
          <w:rFonts w:cs="Times New Roman"/>
          <w:szCs w:val="24"/>
          <w:lang w:val="fr-CA"/>
        </w:rPr>
        <w:t xml:space="preserve">a confirmé le mode de nomination des enquêteurs et des arbitres prévu par la </w:t>
      </w:r>
      <w:r w:rsidRPr="004C53A6">
        <w:rPr>
          <w:rFonts w:cs="Times New Roman"/>
          <w:i/>
          <w:szCs w:val="24"/>
          <w:lang w:val="fr-CA"/>
        </w:rPr>
        <w:t>Loi sur les services policiers</w:t>
      </w:r>
      <w:r w:rsidRPr="002513E3">
        <w:rPr>
          <w:rFonts w:cs="Times New Roman"/>
          <w:szCs w:val="24"/>
          <w:lang w:val="fr-CA"/>
        </w:rPr>
        <w:t>.</w:t>
      </w:r>
      <w:r w:rsidRPr="004C53A6">
        <w:rPr>
          <w:rFonts w:cs="Times New Roman"/>
          <w:i/>
          <w:szCs w:val="24"/>
          <w:lang w:val="fr-CA"/>
        </w:rPr>
        <w:t xml:space="preserve">  </w:t>
      </w:r>
      <w:r w:rsidRPr="004C53A6">
        <w:rPr>
          <w:rFonts w:cs="Times New Roman"/>
          <w:szCs w:val="24"/>
          <w:lang w:val="fr-CA"/>
        </w:rPr>
        <w:t>En fait, selon l</w:t>
      </w:r>
      <w:r>
        <w:rPr>
          <w:rFonts w:cs="Times New Roman"/>
          <w:szCs w:val="24"/>
          <w:lang w:val="fr-CA"/>
        </w:rPr>
        <w:t>’</w:t>
      </w:r>
      <w:r w:rsidRPr="004C53A6">
        <w:rPr>
          <w:rFonts w:cs="Times New Roman"/>
          <w:szCs w:val="24"/>
          <w:lang w:val="fr-CA"/>
        </w:rPr>
        <w:t>auteur du rapport, le système de nomination même que M. Penner cherche à contester dans le présent pourvoi avait déjà bien répondu aux préoccupations quant aux conflits d</w:t>
      </w:r>
      <w:r>
        <w:rPr>
          <w:rFonts w:cs="Times New Roman"/>
          <w:szCs w:val="24"/>
          <w:lang w:val="fr-CA"/>
        </w:rPr>
        <w:t>’</w:t>
      </w:r>
      <w:r w:rsidRPr="004C53A6">
        <w:rPr>
          <w:rFonts w:cs="Times New Roman"/>
          <w:szCs w:val="24"/>
          <w:lang w:val="fr-CA"/>
        </w:rPr>
        <w:t>intérêts et à l</w:t>
      </w:r>
      <w:r>
        <w:rPr>
          <w:rFonts w:cs="Times New Roman"/>
          <w:szCs w:val="24"/>
          <w:lang w:val="fr-CA"/>
        </w:rPr>
        <w:t>’</w:t>
      </w:r>
      <w:r w:rsidRPr="004C53A6">
        <w:rPr>
          <w:rFonts w:cs="Times New Roman"/>
          <w:szCs w:val="24"/>
          <w:lang w:val="fr-CA"/>
        </w:rPr>
        <w:t xml:space="preserve">indépendance du processus décisionnel.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Quoi qu</w:t>
      </w:r>
      <w:r>
        <w:rPr>
          <w:rFonts w:cs="Times New Roman"/>
          <w:szCs w:val="24"/>
          <w:lang w:val="fr-CA"/>
        </w:rPr>
        <w:t>’</w:t>
      </w:r>
      <w:r w:rsidRPr="004C53A6">
        <w:rPr>
          <w:rFonts w:cs="Times New Roman"/>
          <w:szCs w:val="24"/>
          <w:lang w:val="fr-CA"/>
        </w:rPr>
        <w:t>il en soit, le chef de police n</w:t>
      </w:r>
      <w:r>
        <w:rPr>
          <w:rFonts w:cs="Times New Roman"/>
          <w:szCs w:val="24"/>
          <w:lang w:val="fr-CA"/>
        </w:rPr>
        <w:t>’</w:t>
      </w:r>
      <w:r w:rsidRPr="004C53A6">
        <w:rPr>
          <w:rFonts w:cs="Times New Roman"/>
          <w:szCs w:val="24"/>
          <w:lang w:val="fr-CA"/>
        </w:rPr>
        <w:t>a joué aucun rôle dans les événements à l</w:t>
      </w:r>
      <w:r>
        <w:rPr>
          <w:rFonts w:cs="Times New Roman"/>
          <w:szCs w:val="24"/>
          <w:lang w:val="fr-CA"/>
        </w:rPr>
        <w:t>’</w:t>
      </w:r>
      <w:r w:rsidRPr="004C53A6">
        <w:rPr>
          <w:rFonts w:cs="Times New Roman"/>
          <w:szCs w:val="24"/>
          <w:lang w:val="fr-CA"/>
        </w:rPr>
        <w:t>origine des plaintes en l</w:t>
      </w:r>
      <w:r>
        <w:rPr>
          <w:rFonts w:cs="Times New Roman"/>
          <w:szCs w:val="24"/>
          <w:lang w:val="fr-CA"/>
        </w:rPr>
        <w:t>’</w:t>
      </w:r>
      <w:r w:rsidRPr="004C53A6">
        <w:rPr>
          <w:rFonts w:cs="Times New Roman"/>
          <w:szCs w:val="24"/>
          <w:lang w:val="fr-CA"/>
        </w:rPr>
        <w:t>espèce.  Il a désigné un poursuivant de l</w:t>
      </w:r>
      <w:r>
        <w:rPr>
          <w:rFonts w:cs="Times New Roman"/>
          <w:szCs w:val="24"/>
          <w:lang w:val="fr-CA"/>
        </w:rPr>
        <w:t>’</w:t>
      </w:r>
      <w:r w:rsidRPr="004C53A6">
        <w:rPr>
          <w:rFonts w:cs="Times New Roman"/>
          <w:szCs w:val="24"/>
          <w:lang w:val="fr-CA"/>
        </w:rPr>
        <w:t>extérieur et un arbitre indépendant, soit un surintendant à la retraite d</w:t>
      </w:r>
      <w:r>
        <w:rPr>
          <w:rFonts w:cs="Times New Roman"/>
          <w:szCs w:val="24"/>
          <w:lang w:val="fr-CA"/>
        </w:rPr>
        <w:t>’</w:t>
      </w:r>
      <w:r w:rsidRPr="004C53A6">
        <w:rPr>
          <w:rFonts w:cs="Times New Roman"/>
          <w:szCs w:val="24"/>
          <w:lang w:val="fr-CA"/>
        </w:rPr>
        <w:t>un autre corps de police.  L</w:t>
      </w:r>
      <w:r>
        <w:rPr>
          <w:rFonts w:cs="Times New Roman"/>
          <w:szCs w:val="24"/>
          <w:lang w:val="fr-CA"/>
        </w:rPr>
        <w:t>’</w:t>
      </w:r>
      <w:r w:rsidRPr="004C53A6">
        <w:rPr>
          <w:rFonts w:cs="Times New Roman"/>
          <w:szCs w:val="24"/>
          <w:lang w:val="fr-CA"/>
        </w:rPr>
        <w:t>impartialité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à l</w:t>
      </w:r>
      <w:r>
        <w:rPr>
          <w:rFonts w:cs="Times New Roman"/>
          <w:szCs w:val="24"/>
          <w:lang w:val="fr-CA"/>
        </w:rPr>
        <w:t>’</w:t>
      </w:r>
      <w:r w:rsidRPr="004C53A6">
        <w:rPr>
          <w:rFonts w:cs="Times New Roman"/>
          <w:szCs w:val="24"/>
          <w:lang w:val="fr-CA"/>
        </w:rPr>
        <w:t>audience disciplinaire ou dans le cadre de l</w:t>
      </w:r>
      <w:r>
        <w:rPr>
          <w:rFonts w:cs="Times New Roman"/>
          <w:szCs w:val="24"/>
          <w:lang w:val="fr-CA"/>
        </w:rPr>
        <w:t>’</w:t>
      </w:r>
      <w:r w:rsidRPr="004C53A6">
        <w:rPr>
          <w:rFonts w:cs="Times New Roman"/>
          <w:szCs w:val="24"/>
          <w:lang w:val="fr-CA"/>
        </w:rPr>
        <w:t>une ou l</w:t>
      </w:r>
      <w:r>
        <w:rPr>
          <w:rFonts w:cs="Times New Roman"/>
          <w:szCs w:val="24"/>
          <w:lang w:val="fr-CA"/>
        </w:rPr>
        <w:t>’</w:t>
      </w:r>
      <w:r w:rsidRPr="004C53A6">
        <w:rPr>
          <w:rFonts w:cs="Times New Roman"/>
          <w:szCs w:val="24"/>
          <w:lang w:val="fr-CA"/>
        </w:rPr>
        <w:t>autre des procédures tenues devant les instances inférieures n</w:t>
      </w:r>
      <w:r>
        <w:rPr>
          <w:rFonts w:cs="Times New Roman"/>
          <w:szCs w:val="24"/>
          <w:lang w:val="fr-CA"/>
        </w:rPr>
        <w:t>’</w:t>
      </w:r>
      <w:r w:rsidRPr="004C53A6">
        <w:rPr>
          <w:rFonts w:cs="Times New Roman"/>
          <w:szCs w:val="24"/>
          <w:lang w:val="fr-CA"/>
        </w:rPr>
        <w:t>a pas été contestée.  Rien dans la preuve n</w:t>
      </w:r>
      <w:r>
        <w:rPr>
          <w:rFonts w:cs="Times New Roman"/>
          <w:szCs w:val="24"/>
          <w:lang w:val="fr-CA"/>
        </w:rPr>
        <w:t>’</w:t>
      </w:r>
      <w:r w:rsidRPr="004C53A6">
        <w:rPr>
          <w:rFonts w:cs="Times New Roman"/>
          <w:szCs w:val="24"/>
          <w:lang w:val="fr-CA"/>
        </w:rPr>
        <w:t>indique que le chef de police a entravé de quelque manière que ce soit le travail de l</w:t>
      </w:r>
      <w:r>
        <w:rPr>
          <w:rFonts w:cs="Times New Roman"/>
          <w:szCs w:val="24"/>
          <w:lang w:val="fr-CA"/>
        </w:rPr>
        <w:t>’</w:t>
      </w:r>
      <w:r w:rsidRPr="004C53A6">
        <w:rPr>
          <w:rFonts w:cs="Times New Roman"/>
          <w:szCs w:val="24"/>
          <w:lang w:val="fr-CA"/>
        </w:rPr>
        <w:t>arbitre.  Nous devons ajouter que des modes de nomination similaires sont plutôt fréquents en droit du travail, ainsi que dans d</w:t>
      </w:r>
      <w:r>
        <w:rPr>
          <w:rFonts w:cs="Times New Roman"/>
          <w:szCs w:val="24"/>
          <w:lang w:val="fr-CA"/>
        </w:rPr>
        <w:t>’</w:t>
      </w:r>
      <w:r w:rsidRPr="004C53A6">
        <w:rPr>
          <w:rFonts w:cs="Times New Roman"/>
          <w:szCs w:val="24"/>
          <w:lang w:val="fr-CA"/>
        </w:rPr>
        <w:t>autres domaines du droit, et ne sont pas considérés comme un obstacle à l</w:t>
      </w:r>
      <w:r>
        <w:rPr>
          <w:rFonts w:cs="Times New Roman"/>
          <w:szCs w:val="24"/>
          <w:lang w:val="fr-CA"/>
        </w:rPr>
        <w:t>’</w:t>
      </w:r>
      <w:r w:rsidRPr="004C53A6">
        <w:rPr>
          <w:rFonts w:cs="Times New Roman"/>
          <w:szCs w:val="24"/>
          <w:lang w:val="fr-CA"/>
        </w:rPr>
        <w:t>indépendance du processus décisionnel.  Le mandat de longue durée n</w:t>
      </w:r>
      <w:r>
        <w:rPr>
          <w:rFonts w:cs="Times New Roman"/>
          <w:szCs w:val="24"/>
          <w:lang w:val="fr-CA"/>
        </w:rPr>
        <w:t>’</w:t>
      </w:r>
      <w:r w:rsidRPr="004C53A6">
        <w:rPr>
          <w:rFonts w:cs="Times New Roman"/>
          <w:szCs w:val="24"/>
          <w:lang w:val="fr-CA"/>
        </w:rPr>
        <w:t>est pas le seul critère ou la seule condition de l</w:t>
      </w:r>
      <w:r>
        <w:rPr>
          <w:rFonts w:cs="Times New Roman"/>
          <w:szCs w:val="24"/>
          <w:lang w:val="fr-CA"/>
        </w:rPr>
        <w:t>’</w:t>
      </w:r>
      <w:r w:rsidRPr="004C53A6">
        <w:rPr>
          <w:rFonts w:cs="Times New Roman"/>
          <w:szCs w:val="24"/>
          <w:lang w:val="fr-CA"/>
        </w:rPr>
        <w:t>indépendance du processus décisionnel.</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lastRenderedPageBreak/>
        <w:t>Enfin, M. Penner soutient qu</w:t>
      </w:r>
      <w:r>
        <w:rPr>
          <w:rFonts w:cs="Times New Roman"/>
          <w:szCs w:val="24"/>
          <w:lang w:val="fr-CA"/>
        </w:rPr>
        <w:t>’</w:t>
      </w:r>
      <w:r w:rsidRPr="004C53A6">
        <w:rPr>
          <w:rFonts w:cs="Times New Roman"/>
          <w:szCs w:val="24"/>
          <w:lang w:val="fr-CA"/>
        </w:rPr>
        <w:t>il ne convient pas d</w:t>
      </w:r>
      <w:r>
        <w:rPr>
          <w:rFonts w:cs="Times New Roman"/>
          <w:szCs w:val="24"/>
          <w:lang w:val="fr-CA"/>
        </w:rPr>
        <w:t>’</w:t>
      </w:r>
      <w:r w:rsidRPr="004C53A6">
        <w:rPr>
          <w:rFonts w:cs="Times New Roman"/>
          <w:szCs w:val="24"/>
          <w:lang w:val="fr-CA"/>
        </w:rPr>
        <w:t xml:space="preserve">appliquer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en l</w:t>
      </w:r>
      <w:r>
        <w:rPr>
          <w:rFonts w:cs="Times New Roman"/>
          <w:szCs w:val="24"/>
          <w:lang w:val="fr-CA"/>
        </w:rPr>
        <w:t>’</w:t>
      </w:r>
      <w:r w:rsidRPr="004C53A6">
        <w:rPr>
          <w:rFonts w:cs="Times New Roman"/>
          <w:szCs w:val="24"/>
          <w:lang w:val="fr-CA"/>
        </w:rPr>
        <w:t xml:space="preserve">espèce puisque le fardeau de la preuve est différent dans le cadre des instances civiles.  La norme de preuve prévue par la </w:t>
      </w:r>
      <w:r w:rsidRPr="004C53A6">
        <w:rPr>
          <w:rFonts w:cs="Times New Roman"/>
          <w:i/>
          <w:szCs w:val="24"/>
          <w:lang w:val="fr-CA"/>
        </w:rPr>
        <w:t xml:space="preserve">Loi sur les services policiers </w:t>
      </w:r>
      <w:r w:rsidRPr="004C53A6">
        <w:rPr>
          <w:rFonts w:cs="Times New Roman"/>
          <w:szCs w:val="24"/>
          <w:lang w:val="fr-CA"/>
        </w:rPr>
        <w:t>exige que l</w:t>
      </w:r>
      <w:r>
        <w:rPr>
          <w:rFonts w:cs="Times New Roman"/>
          <w:szCs w:val="24"/>
          <w:lang w:val="fr-CA"/>
        </w:rPr>
        <w:t>’</w:t>
      </w:r>
      <w:r w:rsidRPr="004C53A6">
        <w:rPr>
          <w:rFonts w:cs="Times New Roman"/>
          <w:szCs w:val="24"/>
          <w:lang w:val="fr-CA"/>
        </w:rPr>
        <w:t>inconduite d</w:t>
      </w:r>
      <w:r>
        <w:rPr>
          <w:rFonts w:cs="Times New Roman"/>
          <w:szCs w:val="24"/>
          <w:lang w:val="fr-CA"/>
        </w:rPr>
        <w:t>’</w:t>
      </w:r>
      <w:r w:rsidRPr="004C53A6">
        <w:rPr>
          <w:rFonts w:cs="Times New Roman"/>
          <w:szCs w:val="24"/>
          <w:lang w:val="fr-CA"/>
        </w:rPr>
        <w:t>un agent de police soit « prouvée sur la foi de preuves claires et convaincantes »</w:t>
      </w:r>
      <w:r w:rsidR="002513E3">
        <w:rPr>
          <w:rFonts w:cs="Times New Roman"/>
          <w:szCs w:val="24"/>
          <w:lang w:val="fr-CA"/>
        </w:rPr>
        <w:t> </w:t>
      </w:r>
      <w:r w:rsidR="00F4180C">
        <w:rPr>
          <w:rFonts w:cs="Times New Roman"/>
          <w:szCs w:val="24"/>
          <w:lang w:val="fr-CA"/>
        </w:rPr>
        <w:t>(</w:t>
      </w:r>
      <w:r w:rsidRPr="004C53A6">
        <w:rPr>
          <w:rFonts w:cs="Times New Roman"/>
          <w:szCs w:val="24"/>
          <w:lang w:val="fr-CA"/>
        </w:rPr>
        <w:t>par. 64(10); maintenant par. 84(1)</w:t>
      </w:r>
      <w:r w:rsidR="00745790">
        <w:rPr>
          <w:rFonts w:cs="Times New Roman"/>
          <w:szCs w:val="24"/>
          <w:lang w:val="fr-CA"/>
        </w:rPr>
        <w:t>)</w:t>
      </w:r>
      <w:r w:rsidRPr="004C53A6">
        <w:rPr>
          <w:rFonts w:cs="Times New Roman"/>
          <w:szCs w:val="24"/>
          <w:lang w:val="fr-CA"/>
        </w:rPr>
        <w:t>.  Il s</w:t>
      </w:r>
      <w:r>
        <w:rPr>
          <w:rFonts w:cs="Times New Roman"/>
          <w:szCs w:val="24"/>
          <w:lang w:val="fr-CA"/>
        </w:rPr>
        <w:t>’</w:t>
      </w:r>
      <w:r w:rsidRPr="004C53A6">
        <w:rPr>
          <w:rFonts w:cs="Times New Roman"/>
          <w:szCs w:val="24"/>
          <w:lang w:val="fr-CA"/>
        </w:rPr>
        <w:t>agit d</w:t>
      </w:r>
      <w:r>
        <w:rPr>
          <w:rFonts w:cs="Times New Roman"/>
          <w:szCs w:val="24"/>
          <w:lang w:val="fr-CA"/>
        </w:rPr>
        <w:t>’</w:t>
      </w:r>
      <w:r w:rsidRPr="004C53A6">
        <w:rPr>
          <w:rFonts w:cs="Times New Roman"/>
          <w:szCs w:val="24"/>
          <w:lang w:val="fr-CA"/>
        </w:rPr>
        <w:t xml:space="preserve">une norme plus élevée que la norme de la prépondérance des probabilités qui est requise en matière civile.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M. Penner invoque la décision </w:t>
      </w:r>
      <w:r w:rsidRPr="004C53A6">
        <w:rPr>
          <w:rFonts w:cs="Times New Roman"/>
          <w:i/>
          <w:iCs/>
          <w:szCs w:val="24"/>
          <w:lang w:val="fr-CA"/>
        </w:rPr>
        <w:t>Porter c. York (</w:t>
      </w:r>
      <w:proofErr w:type="spellStart"/>
      <w:r w:rsidRPr="004C53A6">
        <w:rPr>
          <w:rFonts w:cs="Times New Roman"/>
          <w:i/>
          <w:iCs/>
          <w:szCs w:val="24"/>
          <w:lang w:val="fr-CA"/>
        </w:rPr>
        <w:t>Regional</w:t>
      </w:r>
      <w:proofErr w:type="spellEnd"/>
      <w:r w:rsidRPr="004C53A6">
        <w:rPr>
          <w:rFonts w:cs="Times New Roman"/>
          <w:i/>
          <w:iCs/>
          <w:szCs w:val="24"/>
          <w:lang w:val="fr-CA"/>
        </w:rPr>
        <w:t xml:space="preserve"> </w:t>
      </w:r>
      <w:proofErr w:type="spellStart"/>
      <w:r w:rsidRPr="004C53A6">
        <w:rPr>
          <w:rFonts w:cs="Times New Roman"/>
          <w:i/>
          <w:iCs/>
          <w:szCs w:val="24"/>
          <w:lang w:val="fr-CA"/>
        </w:rPr>
        <w:t>Municipality</w:t>
      </w:r>
      <w:proofErr w:type="spellEnd"/>
      <w:r w:rsidRPr="004C53A6">
        <w:rPr>
          <w:rFonts w:cs="Times New Roman"/>
          <w:i/>
          <w:iCs/>
          <w:szCs w:val="24"/>
          <w:lang w:val="fr-CA"/>
        </w:rPr>
        <w:t>) Police</w:t>
      </w:r>
      <w:r w:rsidR="002513E3">
        <w:rPr>
          <w:rFonts w:cs="Times New Roman"/>
          <w:szCs w:val="24"/>
          <w:lang w:val="fr-CA"/>
        </w:rPr>
        <w:t>, [2001] O.J. No. 5970 (Q</w:t>
      </w:r>
      <w:r w:rsidRPr="004C53A6">
        <w:rPr>
          <w:rFonts w:cs="Times New Roman"/>
          <w:szCs w:val="24"/>
          <w:lang w:val="fr-CA"/>
        </w:rPr>
        <w:t>L), où la Cour supérieure de justice de l</w:t>
      </w:r>
      <w:r>
        <w:rPr>
          <w:rFonts w:cs="Times New Roman"/>
          <w:szCs w:val="24"/>
          <w:lang w:val="fr-CA"/>
        </w:rPr>
        <w:t>’</w:t>
      </w:r>
      <w:r w:rsidRPr="004C53A6">
        <w:rPr>
          <w:rFonts w:cs="Times New Roman"/>
          <w:szCs w:val="24"/>
          <w:lang w:val="fr-CA"/>
        </w:rPr>
        <w:t>Ontario a affirmé que, parce que la 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 xml:space="preserve">audience </w:t>
      </w:r>
      <w:r w:rsidRPr="004C53A6">
        <w:rPr>
          <w:rFonts w:cs="Times New Roman"/>
          <w:smallCaps/>
          <w:szCs w:val="24"/>
          <w:lang w:val="fr-CA"/>
        </w:rPr>
        <w:t>[traduction]</w:t>
      </w:r>
      <w:r w:rsidRPr="004C53A6">
        <w:rPr>
          <w:rFonts w:cs="Times New Roman"/>
          <w:szCs w:val="24"/>
          <w:lang w:val="fr-CA"/>
        </w:rPr>
        <w:t xml:space="preserve"> « reposait sur une norme de preuve élevée et qu</w:t>
      </w:r>
      <w:r>
        <w:rPr>
          <w:rFonts w:cs="Times New Roman"/>
          <w:szCs w:val="24"/>
          <w:lang w:val="fr-CA"/>
        </w:rPr>
        <w:t>’</w:t>
      </w:r>
      <w:r w:rsidRPr="004C53A6">
        <w:rPr>
          <w:rFonts w:cs="Times New Roman"/>
          <w:szCs w:val="24"/>
          <w:lang w:val="fr-CA"/>
        </w:rPr>
        <w:t>elle aurait pu être différente si elle avait été rendue en fonction d</w:t>
      </w:r>
      <w:r>
        <w:rPr>
          <w:rFonts w:cs="Times New Roman"/>
          <w:szCs w:val="24"/>
          <w:lang w:val="fr-CA"/>
        </w:rPr>
        <w:t>’</w:t>
      </w:r>
      <w:r w:rsidRPr="004C53A6">
        <w:rPr>
          <w:rFonts w:cs="Times New Roman"/>
          <w:szCs w:val="24"/>
          <w:lang w:val="fr-CA"/>
        </w:rPr>
        <w:t xml:space="preserve">une norme civile moins exigeante » (par. 11), la doctrine de la </w:t>
      </w:r>
      <w:proofErr w:type="spellStart"/>
      <w:r w:rsidRPr="004C53A6">
        <w:rPr>
          <w:rFonts w:cs="Times New Roman"/>
          <w:szCs w:val="24"/>
          <w:lang w:val="fr-CA"/>
        </w:rPr>
        <w:t>préclusion</w:t>
      </w:r>
      <w:proofErr w:type="spellEnd"/>
      <w:r w:rsidRPr="004C53A6">
        <w:rPr>
          <w:rFonts w:cs="Times New Roman"/>
          <w:szCs w:val="24"/>
          <w:lang w:val="fr-CA"/>
        </w:rPr>
        <w:t xml:space="preserve"> découlant d</w:t>
      </w:r>
      <w:r>
        <w:rPr>
          <w:rFonts w:cs="Times New Roman"/>
          <w:szCs w:val="24"/>
          <w:lang w:val="fr-CA"/>
        </w:rPr>
        <w:t>’</w:t>
      </w:r>
      <w:r w:rsidRPr="004C53A6">
        <w:rPr>
          <w:rFonts w:cs="Times New Roman"/>
          <w:szCs w:val="24"/>
          <w:lang w:val="fr-CA"/>
        </w:rPr>
        <w:t>une question déjà tranchée ne devait pas empêcher une action civile subséquente.</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 xml:space="preserve">Toutefois, contrairement à la situation qui a mené à la décision </w:t>
      </w:r>
      <w:r w:rsidRPr="004C53A6">
        <w:rPr>
          <w:rFonts w:cs="Times New Roman"/>
          <w:i/>
          <w:szCs w:val="24"/>
          <w:lang w:val="fr-CA"/>
        </w:rPr>
        <w:t>Porter</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la norme de preuve n</w:t>
      </w:r>
      <w:r>
        <w:rPr>
          <w:rFonts w:cs="Times New Roman"/>
          <w:szCs w:val="24"/>
          <w:lang w:val="fr-CA"/>
        </w:rPr>
        <w:t>’</w:t>
      </w:r>
      <w:r w:rsidRPr="004C53A6">
        <w:rPr>
          <w:rFonts w:cs="Times New Roman"/>
          <w:szCs w:val="24"/>
          <w:lang w:val="fr-CA"/>
        </w:rPr>
        <w:t>a pas eu d</w:t>
      </w:r>
      <w:r>
        <w:rPr>
          <w:rFonts w:cs="Times New Roman"/>
          <w:szCs w:val="24"/>
          <w:lang w:val="fr-CA"/>
        </w:rPr>
        <w:t>’</w:t>
      </w:r>
      <w:r w:rsidRPr="004C53A6">
        <w:rPr>
          <w:rFonts w:cs="Times New Roman"/>
          <w:szCs w:val="24"/>
          <w:lang w:val="fr-CA"/>
        </w:rPr>
        <w:t>incidence sur la décision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en l</w:t>
      </w:r>
      <w:r>
        <w:rPr>
          <w:rFonts w:cs="Times New Roman"/>
          <w:szCs w:val="24"/>
          <w:lang w:val="fr-CA"/>
        </w:rPr>
        <w:t>’</w:t>
      </w:r>
      <w:r w:rsidRPr="004C53A6">
        <w:rPr>
          <w:rFonts w:cs="Times New Roman"/>
          <w:szCs w:val="24"/>
          <w:lang w:val="fr-CA"/>
        </w:rPr>
        <w:t xml:space="preserve">espèce.  </w:t>
      </w:r>
      <w:proofErr w:type="spellStart"/>
      <w:r w:rsidRPr="004C53A6">
        <w:rPr>
          <w:rFonts w:cs="Times New Roman"/>
          <w:szCs w:val="24"/>
          <w:lang w:val="fr-CA"/>
        </w:rPr>
        <w:t>Celui</w:t>
      </w:r>
      <w:r w:rsidRPr="004C53A6">
        <w:rPr>
          <w:rFonts w:cs="Times New Roman"/>
          <w:szCs w:val="24"/>
          <w:lang w:val="fr-CA"/>
        </w:rPr>
        <w:noBreakHyphen/>
        <w:t>ci</w:t>
      </w:r>
      <w:proofErr w:type="spellEnd"/>
      <w:r w:rsidRPr="004C53A6">
        <w:rPr>
          <w:rFonts w:cs="Times New Roman"/>
          <w:szCs w:val="24"/>
          <w:lang w:val="fr-CA"/>
        </w:rPr>
        <w:t xml:space="preserve"> a tiré des conclusions de fait claires à l</w:t>
      </w:r>
      <w:r>
        <w:rPr>
          <w:rFonts w:cs="Times New Roman"/>
          <w:szCs w:val="24"/>
          <w:lang w:val="fr-CA"/>
        </w:rPr>
        <w:t>’</w:t>
      </w:r>
      <w:r w:rsidRPr="004C53A6">
        <w:rPr>
          <w:rFonts w:cs="Times New Roman"/>
          <w:szCs w:val="24"/>
          <w:lang w:val="fr-CA"/>
        </w:rPr>
        <w:t>encontre de M. Penner.  Les conclusions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sont non équivoques : il n</w:t>
      </w:r>
      <w:r>
        <w:rPr>
          <w:rFonts w:cs="Times New Roman"/>
          <w:szCs w:val="24"/>
          <w:lang w:val="fr-CA"/>
        </w:rPr>
        <w:t>’</w:t>
      </w:r>
      <w:r w:rsidRPr="004C53A6">
        <w:rPr>
          <w:rFonts w:cs="Times New Roman"/>
          <w:szCs w:val="24"/>
          <w:lang w:val="fr-CA"/>
        </w:rPr>
        <w:t xml:space="preserve">a constaté </w:t>
      </w:r>
      <w:r w:rsidRPr="004C53A6">
        <w:rPr>
          <w:rFonts w:cs="Times New Roman"/>
          <w:smallCaps/>
          <w:szCs w:val="24"/>
          <w:lang w:val="fr-CA"/>
        </w:rPr>
        <w:t>[traduction]</w:t>
      </w:r>
      <w:r w:rsidRPr="004C53A6">
        <w:rPr>
          <w:rFonts w:cs="Times New Roman"/>
          <w:szCs w:val="24"/>
          <w:lang w:val="fr-CA"/>
        </w:rPr>
        <w:t xml:space="preserve"> « </w:t>
      </w:r>
      <w:r w:rsidRPr="004C53A6">
        <w:rPr>
          <w:rFonts w:cs="Times New Roman"/>
          <w:szCs w:val="24"/>
          <w:u w:val="single"/>
          <w:lang w:val="fr-CA"/>
        </w:rPr>
        <w:t xml:space="preserve">aucun </w:t>
      </w:r>
      <w:r w:rsidR="00784B9B">
        <w:rPr>
          <w:rFonts w:cs="Times New Roman"/>
          <w:szCs w:val="24"/>
          <w:u w:val="single"/>
          <w:lang w:val="fr-CA"/>
        </w:rPr>
        <w:t xml:space="preserve">[. . .] </w:t>
      </w:r>
      <w:r w:rsidRPr="004C53A6">
        <w:rPr>
          <w:rFonts w:cs="Times New Roman"/>
          <w:szCs w:val="24"/>
          <w:u w:val="single"/>
          <w:lang w:val="fr-CA"/>
        </w:rPr>
        <w:t>élément de preuve</w:t>
      </w:r>
      <w:r w:rsidRPr="004C53A6">
        <w:rPr>
          <w:rFonts w:cs="Times New Roman"/>
          <w:i/>
          <w:szCs w:val="24"/>
          <w:lang w:val="fr-CA"/>
        </w:rPr>
        <w:t> </w:t>
      </w:r>
      <w:r w:rsidRPr="004C53A6">
        <w:rPr>
          <w:rFonts w:cs="Times New Roman"/>
          <w:szCs w:val="24"/>
          <w:lang w:val="fr-CA"/>
        </w:rPr>
        <w:t>»</w:t>
      </w:r>
      <w:r w:rsidRPr="004C53A6">
        <w:rPr>
          <w:rFonts w:cs="Times New Roman"/>
          <w:i/>
          <w:szCs w:val="24"/>
          <w:lang w:val="fr-CA"/>
        </w:rPr>
        <w:t xml:space="preserve"> </w:t>
      </w:r>
      <w:r w:rsidRPr="004C53A6">
        <w:rPr>
          <w:rFonts w:cs="Times New Roman"/>
          <w:szCs w:val="24"/>
          <w:lang w:val="fr-CA"/>
        </w:rPr>
        <w:t>qui étaye les allégations de M. Penner</w:t>
      </w:r>
      <w:r w:rsidR="00D221E5">
        <w:rPr>
          <w:rFonts w:cs="Times New Roman"/>
          <w:szCs w:val="24"/>
          <w:lang w:val="fr-CA"/>
        </w:rPr>
        <w:t> (</w:t>
      </w:r>
      <w:proofErr w:type="gramStart"/>
      <w:r w:rsidR="002513E3">
        <w:rPr>
          <w:rFonts w:cs="Times New Roman"/>
          <w:szCs w:val="24"/>
          <w:lang w:val="fr-CA"/>
        </w:rPr>
        <w:t>d.a.,</w:t>
      </w:r>
      <w:proofErr w:type="gramEnd"/>
      <w:r w:rsidRPr="004C53A6">
        <w:rPr>
          <w:rFonts w:cs="Times New Roman"/>
          <w:szCs w:val="24"/>
          <w:lang w:val="fr-CA"/>
        </w:rPr>
        <w:t> p. 114 (nous soulignons</w:t>
      </w:r>
      <w:r w:rsidR="00D221E5">
        <w:rPr>
          <w:rFonts w:cs="Times New Roman"/>
          <w:szCs w:val="24"/>
          <w:lang w:val="fr-CA"/>
        </w:rPr>
        <w:t>)</w:t>
      </w:r>
      <w:r w:rsidRPr="004C53A6">
        <w:rPr>
          <w:rFonts w:cs="Times New Roman"/>
          <w:szCs w:val="24"/>
          <w:lang w:val="fr-CA"/>
        </w:rPr>
        <w:t>).  Lors du contrôle judiciaire, la Cour divisionnaire a conclu que les conclusions de fait n</w:t>
      </w:r>
      <w:r>
        <w:rPr>
          <w:rFonts w:cs="Times New Roman"/>
          <w:szCs w:val="24"/>
          <w:lang w:val="fr-CA"/>
        </w:rPr>
        <w:t>’</w:t>
      </w:r>
      <w:r w:rsidRPr="004C53A6">
        <w:rPr>
          <w:rFonts w:cs="Times New Roman"/>
          <w:szCs w:val="24"/>
          <w:lang w:val="fr-CA"/>
        </w:rPr>
        <w:t>étaient pas entachées d</w:t>
      </w:r>
      <w:r>
        <w:rPr>
          <w:rFonts w:cs="Times New Roman"/>
          <w:szCs w:val="24"/>
          <w:lang w:val="fr-CA"/>
        </w:rPr>
        <w:t>’</w:t>
      </w:r>
      <w:r w:rsidRPr="004C53A6">
        <w:rPr>
          <w:rFonts w:cs="Times New Roman"/>
          <w:szCs w:val="24"/>
          <w:lang w:val="fr-CA"/>
        </w:rPr>
        <w:t xml:space="preserve">erreur et </w:t>
      </w:r>
      <w:r w:rsidRPr="004C53A6">
        <w:rPr>
          <w:rFonts w:cs="Times New Roman"/>
          <w:szCs w:val="24"/>
          <w:lang w:val="fr-CA"/>
        </w:rPr>
        <w:lastRenderedPageBreak/>
        <w:t>qu</w:t>
      </w:r>
      <w:r>
        <w:rPr>
          <w:rFonts w:cs="Times New Roman"/>
          <w:szCs w:val="24"/>
          <w:lang w:val="fr-CA"/>
        </w:rPr>
        <w:t>’</w:t>
      </w:r>
      <w:r w:rsidRPr="004C53A6">
        <w:rPr>
          <w:rFonts w:cs="Times New Roman"/>
          <w:szCs w:val="24"/>
          <w:lang w:val="fr-CA"/>
        </w:rPr>
        <w:t xml:space="preserve">elles étaient </w:t>
      </w:r>
      <w:r w:rsidRPr="004C53A6">
        <w:rPr>
          <w:rFonts w:cs="Times New Roman"/>
          <w:smallCaps/>
          <w:szCs w:val="24"/>
          <w:lang w:val="fr-CA"/>
        </w:rPr>
        <w:t>[traduction]</w:t>
      </w:r>
      <w:r w:rsidRPr="004C53A6">
        <w:rPr>
          <w:rFonts w:cs="Times New Roman"/>
          <w:szCs w:val="24"/>
          <w:lang w:val="fr-CA"/>
        </w:rPr>
        <w:t xml:space="preserve"> « fondées amplement sur la preuve »</w:t>
      </w:r>
      <w:r w:rsidR="002513E3">
        <w:rPr>
          <w:rFonts w:cs="Times New Roman"/>
          <w:szCs w:val="24"/>
          <w:lang w:val="fr-CA"/>
        </w:rPr>
        <w:t> </w:t>
      </w:r>
      <w:r w:rsidR="000E5748">
        <w:rPr>
          <w:rFonts w:cs="Times New Roman"/>
          <w:szCs w:val="24"/>
          <w:lang w:val="fr-CA"/>
        </w:rPr>
        <w:t>(</w:t>
      </w:r>
      <w:r w:rsidRPr="004C53A6">
        <w:rPr>
          <w:rFonts w:cs="Times New Roman"/>
          <w:szCs w:val="24"/>
          <w:lang w:val="fr-CA"/>
        </w:rPr>
        <w:t>par. 28</w:t>
      </w:r>
      <w:r w:rsidR="000E5748">
        <w:rPr>
          <w:rFonts w:cs="Times New Roman"/>
          <w:szCs w:val="24"/>
          <w:lang w:val="fr-CA"/>
        </w:rPr>
        <w:t>)</w:t>
      </w:r>
      <w:r w:rsidRPr="004C53A6">
        <w:rPr>
          <w:rFonts w:cs="Times New Roman"/>
          <w:szCs w:val="24"/>
          <w:lang w:val="fr-CA"/>
        </w:rPr>
        <w:t>.  Le fardeau de la preuve n</w:t>
      </w:r>
      <w:r>
        <w:rPr>
          <w:rFonts w:cs="Times New Roman"/>
          <w:szCs w:val="24"/>
          <w:lang w:val="fr-CA"/>
        </w:rPr>
        <w:t>’</w:t>
      </w:r>
      <w:r w:rsidRPr="004C53A6">
        <w:rPr>
          <w:rFonts w:cs="Times New Roman"/>
          <w:szCs w:val="24"/>
          <w:lang w:val="fr-CA"/>
        </w:rPr>
        <w:t>est donc pas pertinent en l</w:t>
      </w:r>
      <w:r>
        <w:rPr>
          <w:rFonts w:cs="Times New Roman"/>
          <w:szCs w:val="24"/>
          <w:lang w:val="fr-CA"/>
        </w:rPr>
        <w:t>’</w:t>
      </w:r>
      <w:r w:rsidRPr="004C53A6">
        <w:rPr>
          <w:rFonts w:cs="Times New Roman"/>
          <w:szCs w:val="24"/>
          <w:lang w:val="fr-CA"/>
        </w:rPr>
        <w:t>espèce — il n</w:t>
      </w:r>
      <w:r>
        <w:rPr>
          <w:rFonts w:cs="Times New Roman"/>
          <w:szCs w:val="24"/>
          <w:lang w:val="fr-CA"/>
        </w:rPr>
        <w:t>’</w:t>
      </w:r>
      <w:r w:rsidRPr="004C53A6">
        <w:rPr>
          <w:rFonts w:cs="Times New Roman"/>
          <w:szCs w:val="24"/>
          <w:lang w:val="fr-CA"/>
        </w:rPr>
        <w:t xml:space="preserve">existe tout simplement </w:t>
      </w:r>
      <w:r w:rsidRPr="004C53A6">
        <w:rPr>
          <w:rFonts w:cs="Times New Roman"/>
          <w:i/>
          <w:szCs w:val="24"/>
          <w:lang w:val="fr-CA"/>
        </w:rPr>
        <w:t>aucun élément de preuve</w:t>
      </w:r>
      <w:r w:rsidRPr="004C53A6">
        <w:rPr>
          <w:rFonts w:cs="Times New Roman"/>
          <w:szCs w:val="24"/>
          <w:lang w:val="fr-CA"/>
        </w:rPr>
        <w:t xml:space="preserve"> qui étaye les allégations de M. Penner quelque soit la norme de preuve.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Nous ne voyons aucune raison de permettre à M. Penner de contourner les conclusions claires de l</w:t>
      </w:r>
      <w:r>
        <w:rPr>
          <w:rFonts w:cs="Times New Roman"/>
          <w:szCs w:val="24"/>
          <w:lang w:val="fr-CA"/>
        </w:rPr>
        <w:t>’</w:t>
      </w:r>
      <w:r w:rsidRPr="004C53A6">
        <w:rPr>
          <w:rFonts w:cs="Times New Roman"/>
          <w:szCs w:val="24"/>
          <w:lang w:val="fr-CA"/>
        </w:rPr>
        <w:t>agent d</w:t>
      </w:r>
      <w:r>
        <w:rPr>
          <w:rFonts w:cs="Times New Roman"/>
          <w:szCs w:val="24"/>
          <w:lang w:val="fr-CA"/>
        </w:rPr>
        <w:t>’</w:t>
      </w:r>
      <w:r w:rsidRPr="004C53A6">
        <w:rPr>
          <w:rFonts w:cs="Times New Roman"/>
          <w:szCs w:val="24"/>
          <w:lang w:val="fr-CA"/>
        </w:rPr>
        <w:t>audience et d</w:t>
      </w:r>
      <w:r>
        <w:rPr>
          <w:rFonts w:cs="Times New Roman"/>
          <w:szCs w:val="24"/>
          <w:lang w:val="fr-CA"/>
        </w:rPr>
        <w:t>’</w:t>
      </w:r>
      <w:r w:rsidRPr="004C53A6">
        <w:rPr>
          <w:rFonts w:cs="Times New Roman"/>
          <w:szCs w:val="24"/>
          <w:lang w:val="fr-CA"/>
        </w:rPr>
        <w:t>imposer aux parties une instance faisant double emploi qui, en l</w:t>
      </w:r>
      <w:r>
        <w:rPr>
          <w:rFonts w:cs="Times New Roman"/>
          <w:szCs w:val="24"/>
          <w:lang w:val="fr-CA"/>
        </w:rPr>
        <w:t>’</w:t>
      </w:r>
      <w:r w:rsidRPr="004C53A6">
        <w:rPr>
          <w:rFonts w:cs="Times New Roman"/>
          <w:szCs w:val="24"/>
          <w:lang w:val="fr-CA"/>
        </w:rPr>
        <w:t xml:space="preserve">espèce, conduirait forcément au même résultat.  </w:t>
      </w:r>
    </w:p>
    <w:p w:rsidR="0000152B" w:rsidRPr="004C53A6" w:rsidRDefault="0000152B" w:rsidP="0000152B">
      <w:pPr>
        <w:pStyle w:val="ParaNoNdepar-AltN"/>
        <w:tabs>
          <w:tab w:val="clear" w:pos="1166"/>
          <w:tab w:val="num" w:pos="1152"/>
        </w:tabs>
        <w:rPr>
          <w:rFonts w:cs="Times New Roman"/>
          <w:szCs w:val="24"/>
          <w:lang w:val="fr-CA"/>
        </w:rPr>
      </w:pPr>
      <w:r w:rsidRPr="004C53A6">
        <w:rPr>
          <w:rFonts w:cs="Times New Roman"/>
          <w:szCs w:val="24"/>
          <w:lang w:val="fr-CA"/>
        </w:rPr>
        <w:t>Par conséquent, nous sommes d</w:t>
      </w:r>
      <w:r>
        <w:rPr>
          <w:rFonts w:cs="Times New Roman"/>
          <w:szCs w:val="24"/>
          <w:lang w:val="fr-CA"/>
        </w:rPr>
        <w:t>’</w:t>
      </w:r>
      <w:r w:rsidRPr="004C53A6">
        <w:rPr>
          <w:rFonts w:cs="Times New Roman"/>
          <w:szCs w:val="24"/>
          <w:lang w:val="fr-CA"/>
        </w:rPr>
        <w:t>avis de rejeter le pourvoi avec dépens devant toutes les cours.</w:t>
      </w:r>
    </w:p>
    <w:p w:rsidR="0033393C" w:rsidRPr="00A04778" w:rsidRDefault="0033393C" w:rsidP="00381F17">
      <w:pPr>
        <w:pStyle w:val="SCCNormalDoubleSpacing"/>
        <w:spacing w:after="480"/>
        <w:rPr>
          <w:i/>
        </w:rPr>
      </w:pPr>
      <w:r w:rsidRPr="00A04778">
        <w:tab/>
      </w:r>
      <w:r w:rsidR="00A63D75" w:rsidRPr="00A04778">
        <w:rPr>
          <w:i/>
        </w:rPr>
        <w:t xml:space="preserve">Pourvoi </w:t>
      </w:r>
      <w:r w:rsidR="00F9729D" w:rsidRPr="00A04778">
        <w:rPr>
          <w:i/>
        </w:rPr>
        <w:t>accueilli</w:t>
      </w:r>
      <w:r w:rsidR="00C14D9F" w:rsidRPr="00A04778">
        <w:rPr>
          <w:i/>
        </w:rPr>
        <w:t xml:space="preserve"> avec dépens</w:t>
      </w:r>
      <w:r w:rsidR="00C92F01" w:rsidRPr="00A04778">
        <w:rPr>
          <w:i/>
        </w:rPr>
        <w:t xml:space="preserve"> devant toutes les cours</w:t>
      </w:r>
      <w:r w:rsidR="00F9729D" w:rsidRPr="00A04778">
        <w:rPr>
          <w:i/>
        </w:rPr>
        <w:t xml:space="preserve">, les juges </w:t>
      </w:r>
      <w:r w:rsidR="00F9729D" w:rsidRPr="00A04778">
        <w:rPr>
          <w:smallCaps/>
        </w:rPr>
        <w:t>LeBel</w:t>
      </w:r>
      <w:r w:rsidR="00F46164" w:rsidRPr="00A04778">
        <w:rPr>
          <w:i/>
        </w:rPr>
        <w:t xml:space="preserve">, </w:t>
      </w:r>
      <w:r w:rsidR="00F9729D" w:rsidRPr="00A04778">
        <w:rPr>
          <w:smallCaps/>
        </w:rPr>
        <w:t>Abella</w:t>
      </w:r>
      <w:r w:rsidR="00F46164" w:rsidRPr="00A04778">
        <w:rPr>
          <w:smallCaps/>
        </w:rPr>
        <w:t xml:space="preserve"> </w:t>
      </w:r>
      <w:r w:rsidR="00F46164" w:rsidRPr="00A04778">
        <w:rPr>
          <w:i/>
        </w:rPr>
        <w:t xml:space="preserve">et </w:t>
      </w:r>
      <w:r w:rsidR="00F46164" w:rsidRPr="00A04778">
        <w:rPr>
          <w:smallCaps/>
        </w:rPr>
        <w:t>Rothstein</w:t>
      </w:r>
      <w:r w:rsidR="00F9729D" w:rsidRPr="00A04778">
        <w:rPr>
          <w:i/>
        </w:rPr>
        <w:t xml:space="preserve"> sont dissidents.</w:t>
      </w:r>
    </w:p>
    <w:p w:rsidR="00F9729D" w:rsidRPr="00A04778" w:rsidRDefault="00F9729D" w:rsidP="00381F17">
      <w:pPr>
        <w:pStyle w:val="SCCLawFirm"/>
        <w:spacing w:after="480"/>
      </w:pPr>
      <w:r w:rsidRPr="00A04778">
        <w:tab/>
        <w:t>Procureurs de l</w:t>
      </w:r>
      <w:r w:rsidR="00B0685C">
        <w:t>’</w:t>
      </w:r>
      <w:r w:rsidRPr="00A04778">
        <w:t>appelant</w:t>
      </w:r>
      <w:r w:rsidR="001A38E2" w:rsidRPr="00A04778">
        <w:t> :</w:t>
      </w:r>
      <w:r w:rsidR="004868CC" w:rsidRPr="00A04778">
        <w:t> </w:t>
      </w:r>
      <w:r w:rsidRPr="00A04778">
        <w:t>Falconer Charney, Toronto.</w:t>
      </w:r>
    </w:p>
    <w:p w:rsidR="00F9729D" w:rsidRPr="00A04778" w:rsidRDefault="00F9729D" w:rsidP="00381F17">
      <w:pPr>
        <w:pStyle w:val="SCCLawFirm"/>
        <w:spacing w:after="480"/>
      </w:pPr>
      <w:r w:rsidRPr="00A04778">
        <w:tab/>
        <w:t>Procureurs des intimés</w:t>
      </w:r>
      <w:r w:rsidR="001A38E2" w:rsidRPr="00A04778">
        <w:t> :</w:t>
      </w:r>
      <w:r w:rsidR="004868CC" w:rsidRPr="00A04778">
        <w:t> </w:t>
      </w:r>
      <w:r w:rsidRPr="00A04778">
        <w:t>Blaney McMurtry, Toronto.</w:t>
      </w:r>
    </w:p>
    <w:p w:rsidR="00F9729D" w:rsidRPr="00A04778" w:rsidRDefault="00F9729D" w:rsidP="00381F17">
      <w:pPr>
        <w:pStyle w:val="SCCLawFirm"/>
        <w:spacing w:after="480"/>
      </w:pPr>
      <w:r w:rsidRPr="00A04778">
        <w:tab/>
        <w:t>Procureur de l</w:t>
      </w:r>
      <w:r w:rsidR="00B0685C">
        <w:t>’</w:t>
      </w:r>
      <w:r w:rsidRPr="00A04778">
        <w:t>intervenant le procureur général de l</w:t>
      </w:r>
      <w:r w:rsidR="00B0685C">
        <w:t>’</w:t>
      </w:r>
      <w:r w:rsidRPr="00A04778">
        <w:t>Ontario</w:t>
      </w:r>
      <w:r w:rsidR="001A38E2" w:rsidRPr="00A04778">
        <w:t> :</w:t>
      </w:r>
      <w:r w:rsidR="004868CC" w:rsidRPr="00A04778">
        <w:t> </w:t>
      </w:r>
      <w:r w:rsidRPr="00A04778">
        <w:t>Procureur général de l</w:t>
      </w:r>
      <w:r w:rsidR="00B0685C">
        <w:t>’</w:t>
      </w:r>
      <w:r w:rsidRPr="00A04778">
        <w:t>Ontario, Toronto.</w:t>
      </w:r>
    </w:p>
    <w:p w:rsidR="00F9729D" w:rsidRPr="00A04778" w:rsidRDefault="00F9729D" w:rsidP="00381F17">
      <w:pPr>
        <w:pStyle w:val="SCCLawFirm"/>
        <w:spacing w:after="480"/>
      </w:pPr>
      <w:r w:rsidRPr="00A04778">
        <w:tab/>
        <w:t>Procureurs de l</w:t>
      </w:r>
      <w:r w:rsidR="00B0685C">
        <w:t>’</w:t>
      </w:r>
      <w:r w:rsidRPr="00A04778">
        <w:t>intervenante l</w:t>
      </w:r>
      <w:r w:rsidR="00B0685C">
        <w:t>’</w:t>
      </w:r>
      <w:r w:rsidRPr="00A04778">
        <w:t>Alliance urbaine sur les relations interraciales</w:t>
      </w:r>
      <w:r w:rsidR="001A38E2" w:rsidRPr="00A04778">
        <w:t> :</w:t>
      </w:r>
      <w:r w:rsidR="004868CC" w:rsidRPr="00A04778">
        <w:t> </w:t>
      </w:r>
      <w:r w:rsidRPr="00A04778">
        <w:t>Stevensons, Toronto.</w:t>
      </w:r>
    </w:p>
    <w:p w:rsidR="00F9729D" w:rsidRPr="00A04778" w:rsidRDefault="00F9729D" w:rsidP="00381F17">
      <w:pPr>
        <w:pStyle w:val="SCCLawFirm"/>
        <w:spacing w:after="480"/>
      </w:pPr>
      <w:r w:rsidRPr="00A04778">
        <w:lastRenderedPageBreak/>
        <w:tab/>
        <w:t>Procureurs de l</w:t>
      </w:r>
      <w:r w:rsidR="00B0685C">
        <w:t>’</w:t>
      </w:r>
      <w:r w:rsidRPr="00A04778">
        <w:t>intervenante Criminal Lawyers</w:t>
      </w:r>
      <w:r w:rsidR="00B0685C">
        <w:t>’</w:t>
      </w:r>
      <w:r w:rsidRPr="00A04778">
        <w:t xml:space="preserve"> Association (Ontario)</w:t>
      </w:r>
      <w:r w:rsidR="001A38E2" w:rsidRPr="00A04778">
        <w:t> :</w:t>
      </w:r>
      <w:r w:rsidR="004868CC" w:rsidRPr="00A04778">
        <w:t> </w:t>
      </w:r>
      <w:r w:rsidRPr="00A04778">
        <w:t>Sack Goldblatt Mitchell, Toronto.</w:t>
      </w:r>
    </w:p>
    <w:p w:rsidR="00F9729D" w:rsidRPr="00A04778" w:rsidRDefault="00F9729D" w:rsidP="00381F17">
      <w:pPr>
        <w:pStyle w:val="SCCLawFirm"/>
        <w:spacing w:after="480"/>
      </w:pPr>
      <w:r w:rsidRPr="00A04778">
        <w:tab/>
        <w:t>Procureurs de l</w:t>
      </w:r>
      <w:r w:rsidR="00B0685C">
        <w:t>’</w:t>
      </w:r>
      <w:r w:rsidRPr="00A04778">
        <w:t>intervenante l</w:t>
      </w:r>
      <w:r w:rsidR="00B0685C">
        <w:t>’</w:t>
      </w:r>
      <w:r w:rsidRPr="00A04778">
        <w:t>Association des libertés civiles de la Colombie</w:t>
      </w:r>
      <w:r w:rsidR="001A38E2" w:rsidRPr="00A04778">
        <w:noBreakHyphen/>
      </w:r>
      <w:r w:rsidRPr="00A04778">
        <w:t>Britannique</w:t>
      </w:r>
      <w:r w:rsidR="001A38E2" w:rsidRPr="00A04778">
        <w:t> :</w:t>
      </w:r>
      <w:r w:rsidR="004868CC" w:rsidRPr="00A04778">
        <w:t> </w:t>
      </w:r>
      <w:r w:rsidRPr="00A04778">
        <w:t>Holmes &amp; King, Vancouver.</w:t>
      </w:r>
    </w:p>
    <w:p w:rsidR="00F9729D" w:rsidRPr="00A04778" w:rsidRDefault="00F9729D" w:rsidP="00381F17">
      <w:pPr>
        <w:pStyle w:val="SCCLawFirm"/>
        <w:spacing w:after="480"/>
      </w:pPr>
      <w:r w:rsidRPr="00A04778">
        <w:tab/>
        <w:t>Procureurs de l</w:t>
      </w:r>
      <w:r w:rsidR="00B0685C">
        <w:t>’</w:t>
      </w:r>
      <w:r w:rsidRPr="00A04778">
        <w:t>intervenante l</w:t>
      </w:r>
      <w:r w:rsidR="00B0685C">
        <w:t>’</w:t>
      </w:r>
      <w:r w:rsidRPr="00A04778">
        <w:t>Association canadienne des policiers</w:t>
      </w:r>
      <w:r w:rsidR="001A38E2" w:rsidRPr="00A04778">
        <w:t> :</w:t>
      </w:r>
      <w:r w:rsidR="004868CC" w:rsidRPr="00A04778">
        <w:t> </w:t>
      </w:r>
      <w:r w:rsidRPr="00A04778">
        <w:t>Paliare, Roland, Rosenberg, Rothstein, Toronto.</w:t>
      </w:r>
    </w:p>
    <w:p w:rsidR="0033242F" w:rsidRPr="0000152B" w:rsidRDefault="00F9729D" w:rsidP="0000152B">
      <w:pPr>
        <w:pStyle w:val="SCCNormalDoubleSpacing"/>
        <w:rPr>
          <w:b/>
          <w:i/>
        </w:rPr>
      </w:pPr>
      <w:r w:rsidRPr="0000152B">
        <w:rPr>
          <w:i/>
        </w:rPr>
        <w:tab/>
        <w:t>Procureurs de l</w:t>
      </w:r>
      <w:r w:rsidR="00B0685C" w:rsidRPr="0000152B">
        <w:rPr>
          <w:i/>
        </w:rPr>
        <w:t>’</w:t>
      </w:r>
      <w:r w:rsidRPr="0000152B">
        <w:rPr>
          <w:i/>
        </w:rPr>
        <w:t>intervenante l</w:t>
      </w:r>
      <w:r w:rsidR="00B0685C" w:rsidRPr="0000152B">
        <w:rPr>
          <w:i/>
        </w:rPr>
        <w:t>’</w:t>
      </w:r>
      <w:r w:rsidRPr="0000152B">
        <w:rPr>
          <w:i/>
        </w:rPr>
        <w:t>Association canadienne des libertés civiles</w:t>
      </w:r>
      <w:r w:rsidR="001A38E2" w:rsidRPr="0000152B">
        <w:rPr>
          <w:i/>
        </w:rPr>
        <w:t> :</w:t>
      </w:r>
      <w:r w:rsidR="004868CC" w:rsidRPr="0000152B">
        <w:rPr>
          <w:i/>
        </w:rPr>
        <w:t> </w:t>
      </w:r>
      <w:r w:rsidRPr="0000152B">
        <w:rPr>
          <w:i/>
        </w:rPr>
        <w:t>Dewart Gleason, Toronto.</w:t>
      </w:r>
    </w:p>
    <w:p w:rsidR="0000152B" w:rsidRPr="00176838" w:rsidRDefault="0000152B" w:rsidP="0000152B">
      <w:pPr>
        <w:pStyle w:val="SCCNormalDoubleSpacing"/>
      </w:pPr>
    </w:p>
    <w:sectPr w:rsidR="0000152B" w:rsidRPr="00176838" w:rsidSect="00766EF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0C" w:rsidRDefault="00F4180C">
      <w:r>
        <w:separator/>
      </w:r>
    </w:p>
  </w:endnote>
  <w:endnote w:type="continuationSeparator" w:id="0">
    <w:p w:rsidR="00F4180C" w:rsidRDefault="00F41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C" w:rsidRDefault="00F4180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C" w:rsidRDefault="00F4180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0C" w:rsidRDefault="00F4180C">
      <w:r>
        <w:separator/>
      </w:r>
    </w:p>
  </w:footnote>
  <w:footnote w:type="continuationSeparator" w:id="0">
    <w:p w:rsidR="00F4180C" w:rsidRDefault="00F41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0C" w:rsidRDefault="00F4180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792"/>
      <w:docPartObj>
        <w:docPartGallery w:val="Page Numbers (Top of Page)"/>
        <w:docPartUnique/>
      </w:docPartObj>
    </w:sdtPr>
    <w:sdtContent>
      <w:p w:rsidR="00F4180C" w:rsidRDefault="00F4180C">
        <w:pPr>
          <w:pStyle w:val="Header"/>
          <w:jc w:val="center"/>
        </w:pPr>
        <w:r>
          <w:t xml:space="preserve">- </w:t>
        </w:r>
        <w:fldSimple w:instr=" PAGE   \* MERGEFORMAT ">
          <w:r w:rsidR="00204730">
            <w:t>2</w:t>
          </w:r>
        </w:fldSimple>
        <w:r>
          <w:t xml:space="preserve"> -</w:t>
        </w:r>
      </w:p>
    </w:sdtContent>
  </w:sdt>
  <w:p w:rsidR="00F4180C" w:rsidRDefault="00F4180C"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528"/>
    <w:multiLevelType w:val="hybridMultilevel"/>
    <w:tmpl w:val="D152F51A"/>
    <w:lvl w:ilvl="0" w:tplc="7A440788">
      <w:start w:val="1"/>
      <w:numFmt w:val="lowerRoman"/>
      <w:lvlText w:val="%1."/>
      <w:lvlJc w:val="left"/>
      <w:pPr>
        <w:ind w:left="720" w:hanging="360"/>
      </w:pPr>
      <w:rPr>
        <w:rFonts w:ascii="Times New Roman" w:eastAsiaTheme="minorEastAsia" w:hAnsi="Times New Roman"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F2CCE"/>
    <w:multiLevelType w:val="multilevel"/>
    <w:tmpl w:val="3CB8EFE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800F40"/>
    <w:multiLevelType w:val="hybridMultilevel"/>
    <w:tmpl w:val="69DCA8E4"/>
    <w:lvl w:ilvl="0" w:tplc="E026B2A4">
      <w:start w:val="1"/>
      <w:numFmt w:val="upperLetter"/>
      <w:lvlText w:val="%1."/>
      <w:lvlJc w:val="left"/>
      <w:pPr>
        <w:ind w:left="5580" w:hanging="360"/>
      </w:pPr>
      <w:rPr>
        <w:rFonts w:hint="default"/>
        <w:i w:val="0"/>
      </w:rPr>
    </w:lvl>
    <w:lvl w:ilvl="1" w:tplc="10090019" w:tentative="1">
      <w:start w:val="1"/>
      <w:numFmt w:val="lowerLetter"/>
      <w:lvlText w:val="%2."/>
      <w:lvlJc w:val="left"/>
      <w:pPr>
        <w:ind w:left="6300" w:hanging="360"/>
      </w:pPr>
    </w:lvl>
    <w:lvl w:ilvl="2" w:tplc="1009001B" w:tentative="1">
      <w:start w:val="1"/>
      <w:numFmt w:val="lowerRoman"/>
      <w:lvlText w:val="%3."/>
      <w:lvlJc w:val="right"/>
      <w:pPr>
        <w:ind w:left="7020" w:hanging="180"/>
      </w:pPr>
    </w:lvl>
    <w:lvl w:ilvl="3" w:tplc="1009000F" w:tentative="1">
      <w:start w:val="1"/>
      <w:numFmt w:val="decimal"/>
      <w:lvlText w:val="%4."/>
      <w:lvlJc w:val="left"/>
      <w:pPr>
        <w:ind w:left="7740" w:hanging="360"/>
      </w:pPr>
    </w:lvl>
    <w:lvl w:ilvl="4" w:tplc="10090019" w:tentative="1">
      <w:start w:val="1"/>
      <w:numFmt w:val="lowerLetter"/>
      <w:lvlText w:val="%5."/>
      <w:lvlJc w:val="left"/>
      <w:pPr>
        <w:ind w:left="8460" w:hanging="360"/>
      </w:pPr>
    </w:lvl>
    <w:lvl w:ilvl="5" w:tplc="1009001B" w:tentative="1">
      <w:start w:val="1"/>
      <w:numFmt w:val="lowerRoman"/>
      <w:lvlText w:val="%6."/>
      <w:lvlJc w:val="right"/>
      <w:pPr>
        <w:ind w:left="9180" w:hanging="180"/>
      </w:pPr>
    </w:lvl>
    <w:lvl w:ilvl="6" w:tplc="1009000F" w:tentative="1">
      <w:start w:val="1"/>
      <w:numFmt w:val="decimal"/>
      <w:lvlText w:val="%7."/>
      <w:lvlJc w:val="left"/>
      <w:pPr>
        <w:ind w:left="9900" w:hanging="360"/>
      </w:pPr>
    </w:lvl>
    <w:lvl w:ilvl="7" w:tplc="10090019" w:tentative="1">
      <w:start w:val="1"/>
      <w:numFmt w:val="lowerLetter"/>
      <w:lvlText w:val="%8."/>
      <w:lvlJc w:val="left"/>
      <w:pPr>
        <w:ind w:left="10620" w:hanging="360"/>
      </w:pPr>
    </w:lvl>
    <w:lvl w:ilvl="8" w:tplc="1009001B" w:tentative="1">
      <w:start w:val="1"/>
      <w:numFmt w:val="lowerRoman"/>
      <w:lvlText w:val="%9."/>
      <w:lvlJc w:val="right"/>
      <w:pPr>
        <w:ind w:left="11340" w:hanging="180"/>
      </w:pPr>
    </w:lvl>
  </w:abstractNum>
  <w:abstractNum w:abstractNumId="3">
    <w:nsid w:val="0BE86EB5"/>
    <w:multiLevelType w:val="hybridMultilevel"/>
    <w:tmpl w:val="B8CC1F1C"/>
    <w:lvl w:ilvl="0" w:tplc="5524A0CA">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EA484D"/>
    <w:multiLevelType w:val="hybridMultilevel"/>
    <w:tmpl w:val="C616C28C"/>
    <w:lvl w:ilvl="0" w:tplc="05A29B8C">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0442F76"/>
    <w:multiLevelType w:val="hybridMultilevel"/>
    <w:tmpl w:val="605C18A6"/>
    <w:lvl w:ilvl="0" w:tplc="ED349238">
      <w:start w:val="1"/>
      <w:numFmt w:val="upperLetter"/>
      <w:lvlText w:val="%1."/>
      <w:lvlJc w:val="left"/>
      <w:pPr>
        <w:ind w:left="360" w:hanging="360"/>
      </w:pPr>
      <w:rPr>
        <w:rFonts w:hint="default"/>
        <w:i w:val="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nsid w:val="117D1F58"/>
    <w:multiLevelType w:val="hybridMultilevel"/>
    <w:tmpl w:val="B6209C50"/>
    <w:lvl w:ilvl="0" w:tplc="0590D374">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8C860CC"/>
    <w:multiLevelType w:val="hybridMultilevel"/>
    <w:tmpl w:val="D70C8C6A"/>
    <w:lvl w:ilvl="0" w:tplc="3A7C283E">
      <w:start w:val="6"/>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8CB519D"/>
    <w:multiLevelType w:val="hybridMultilevel"/>
    <w:tmpl w:val="6666D1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5255B6"/>
    <w:multiLevelType w:val="multilevel"/>
    <w:tmpl w:val="05BEAB76"/>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1E1B1D96"/>
    <w:multiLevelType w:val="hybridMultilevel"/>
    <w:tmpl w:val="7F988E9E"/>
    <w:lvl w:ilvl="0" w:tplc="F0824F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9458E6"/>
    <w:multiLevelType w:val="hybridMultilevel"/>
    <w:tmpl w:val="E8D004E8"/>
    <w:lvl w:ilvl="0" w:tplc="81A635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FC0D5C"/>
    <w:multiLevelType w:val="hybridMultilevel"/>
    <w:tmpl w:val="E8D004E8"/>
    <w:lvl w:ilvl="0" w:tplc="81A635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9504DB"/>
    <w:multiLevelType w:val="hybridMultilevel"/>
    <w:tmpl w:val="E1B20CBC"/>
    <w:lvl w:ilvl="0" w:tplc="7852482A">
      <w:start w:val="200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7274F3"/>
    <w:multiLevelType w:val="hybridMultilevel"/>
    <w:tmpl w:val="A6745FC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AC6D29"/>
    <w:multiLevelType w:val="hybridMultilevel"/>
    <w:tmpl w:val="B1E8A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9401CC"/>
    <w:multiLevelType w:val="hybridMultilevel"/>
    <w:tmpl w:val="3ACCF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E0192"/>
    <w:multiLevelType w:val="hybridMultilevel"/>
    <w:tmpl w:val="B590FB52"/>
    <w:lvl w:ilvl="0" w:tplc="3A7C283E">
      <w:start w:val="6"/>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AD3DEA"/>
    <w:multiLevelType w:val="hybridMultilevel"/>
    <w:tmpl w:val="739A3C38"/>
    <w:lvl w:ilvl="0" w:tplc="1BA86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E7FC7"/>
    <w:multiLevelType w:val="hybridMultilevel"/>
    <w:tmpl w:val="F52418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5365E8"/>
    <w:multiLevelType w:val="hybridMultilevel"/>
    <w:tmpl w:val="84567B24"/>
    <w:lvl w:ilvl="0" w:tplc="B0145EC8">
      <w:start w:val="8"/>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C97746"/>
    <w:multiLevelType w:val="hybridMultilevel"/>
    <w:tmpl w:val="FE8E4C3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4">
    <w:nsid w:val="499B70D2"/>
    <w:multiLevelType w:val="multilevel"/>
    <w:tmpl w:val="F59A994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45073D"/>
    <w:multiLevelType w:val="multilevel"/>
    <w:tmpl w:val="9AA097D4"/>
    <w:lvl w:ilvl="0">
      <w:start w:val="1"/>
      <w:numFmt w:val="decimal"/>
      <w:lvlText w:val="%1)"/>
      <w:lvlJc w:val="left"/>
      <w:pPr>
        <w:tabs>
          <w:tab w:val="num" w:pos="1872"/>
        </w:tabs>
        <w:ind w:left="720" w:firstLine="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4FA36644"/>
    <w:multiLevelType w:val="hybridMultilevel"/>
    <w:tmpl w:val="0988233E"/>
    <w:lvl w:ilvl="0" w:tplc="77683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E4DD5"/>
    <w:multiLevelType w:val="hybridMultilevel"/>
    <w:tmpl w:val="08D8BD68"/>
    <w:lvl w:ilvl="0" w:tplc="A6883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83EE8"/>
    <w:multiLevelType w:val="multilevel"/>
    <w:tmpl w:val="4ABA1FB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B15E99"/>
    <w:multiLevelType w:val="hybridMultilevel"/>
    <w:tmpl w:val="C93EE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A0540ED"/>
    <w:multiLevelType w:val="hybridMultilevel"/>
    <w:tmpl w:val="A07C2442"/>
    <w:lvl w:ilvl="0" w:tplc="6646E3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8268C"/>
    <w:multiLevelType w:val="hybridMultilevel"/>
    <w:tmpl w:val="165886B8"/>
    <w:lvl w:ilvl="0" w:tplc="287A4986">
      <w:start w:val="5"/>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BE410D4"/>
    <w:multiLevelType w:val="multilevel"/>
    <w:tmpl w:val="3CB8EFE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F5226A5"/>
    <w:multiLevelType w:val="hybridMultilevel"/>
    <w:tmpl w:val="D1900352"/>
    <w:lvl w:ilvl="0" w:tplc="C2E08B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405527"/>
    <w:multiLevelType w:val="hybridMultilevel"/>
    <w:tmpl w:val="F872C670"/>
    <w:lvl w:ilvl="0" w:tplc="D0C83AE4">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3DB0BB0"/>
    <w:multiLevelType w:val="hybridMultilevel"/>
    <w:tmpl w:val="187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D3346F"/>
    <w:multiLevelType w:val="multilevel"/>
    <w:tmpl w:val="BF7EFCB4"/>
    <w:lvl w:ilvl="0">
      <w:start w:val="1"/>
      <w:numFmt w:val="decimal"/>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E99288A"/>
    <w:multiLevelType w:val="hybridMultilevel"/>
    <w:tmpl w:val="E84A0C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6F2F21FA"/>
    <w:multiLevelType w:val="hybridMultilevel"/>
    <w:tmpl w:val="DAB04F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2">
    <w:nsid w:val="6FEF7176"/>
    <w:multiLevelType w:val="hybridMultilevel"/>
    <w:tmpl w:val="1F98567E"/>
    <w:lvl w:ilvl="0" w:tplc="592A02A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37798"/>
    <w:multiLevelType w:val="hybridMultilevel"/>
    <w:tmpl w:val="943669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
  </w:num>
  <w:num w:numId="5">
    <w:abstractNumId w:val="25"/>
  </w:num>
  <w:num w:numId="6">
    <w:abstractNumId w:val="26"/>
  </w:num>
  <w:num w:numId="7">
    <w:abstractNumId w:val="31"/>
  </w:num>
  <w:num w:numId="8">
    <w:abstractNumId w:val="17"/>
  </w:num>
  <w:num w:numId="9">
    <w:abstractNumId w:val="10"/>
  </w:num>
  <w:num w:numId="10">
    <w:abstractNumId w:val="27"/>
  </w:num>
  <w:num w:numId="11">
    <w:abstractNumId w:val="2"/>
  </w:num>
  <w:num w:numId="12">
    <w:abstractNumId w:val="14"/>
  </w:num>
  <w:num w:numId="13">
    <w:abstractNumId w:val="21"/>
  </w:num>
  <w:num w:numId="14">
    <w:abstractNumId w:val="39"/>
  </w:num>
  <w:num w:numId="15">
    <w:abstractNumId w:val="1"/>
  </w:num>
  <w:num w:numId="16">
    <w:abstractNumId w:val="34"/>
  </w:num>
  <w:num w:numId="17">
    <w:abstractNumId w:val="24"/>
  </w:num>
  <w:num w:numId="18">
    <w:abstractNumId w:val="7"/>
  </w:num>
  <w:num w:numId="19">
    <w:abstractNumId w:val="12"/>
  </w:num>
  <w:num w:numId="20">
    <w:abstractNumId w:val="40"/>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36"/>
  </w:num>
  <w:num w:numId="26">
    <w:abstractNumId w:val="23"/>
  </w:num>
  <w:num w:numId="27">
    <w:abstractNumId w:val="20"/>
  </w:num>
  <w:num w:numId="28">
    <w:abstractNumId w:val="29"/>
  </w:num>
  <w:num w:numId="29">
    <w:abstractNumId w:val="28"/>
  </w:num>
  <w:num w:numId="30">
    <w:abstractNumId w:val="42"/>
  </w:num>
  <w:num w:numId="31">
    <w:abstractNumId w:val="5"/>
  </w:num>
  <w:num w:numId="32">
    <w:abstractNumId w:val="0"/>
  </w:num>
  <w:num w:numId="33">
    <w:abstractNumId w:val="35"/>
  </w:num>
  <w:num w:numId="34">
    <w:abstractNumId w:val="9"/>
  </w:num>
  <w:num w:numId="35">
    <w:abstractNumId w:val="8"/>
  </w:num>
  <w:num w:numId="36">
    <w:abstractNumId w:val="19"/>
  </w:num>
  <w:num w:numId="37">
    <w:abstractNumId w:val="43"/>
  </w:num>
  <w:num w:numId="38">
    <w:abstractNumId w:val="16"/>
  </w:num>
  <w:num w:numId="39">
    <w:abstractNumId w:val="2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 w:numId="43">
    <w:abstractNumId w:val="3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5">
    <w:abstractNumId w:val="15"/>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8481"/>
  </w:hdrShapeDefaults>
  <w:footnotePr>
    <w:footnote w:id="-1"/>
    <w:footnote w:id="0"/>
  </w:footnotePr>
  <w:endnotePr>
    <w:endnote w:id="-1"/>
    <w:endnote w:id="0"/>
  </w:endnotePr>
  <w:compat/>
  <w:rsids>
    <w:rsidRoot w:val="0031414C"/>
    <w:rsid w:val="0000152B"/>
    <w:rsid w:val="0001200B"/>
    <w:rsid w:val="00022103"/>
    <w:rsid w:val="00025198"/>
    <w:rsid w:val="00036B40"/>
    <w:rsid w:val="00055A36"/>
    <w:rsid w:val="000578A3"/>
    <w:rsid w:val="00060F32"/>
    <w:rsid w:val="000616F4"/>
    <w:rsid w:val="00064563"/>
    <w:rsid w:val="000648CC"/>
    <w:rsid w:val="00071994"/>
    <w:rsid w:val="000775E5"/>
    <w:rsid w:val="00094DE0"/>
    <w:rsid w:val="0009699B"/>
    <w:rsid w:val="000A5321"/>
    <w:rsid w:val="000A713E"/>
    <w:rsid w:val="000B62DA"/>
    <w:rsid w:val="000C27DA"/>
    <w:rsid w:val="000C48A7"/>
    <w:rsid w:val="000C59B8"/>
    <w:rsid w:val="000D0783"/>
    <w:rsid w:val="000E5748"/>
    <w:rsid w:val="000F0303"/>
    <w:rsid w:val="000F37F5"/>
    <w:rsid w:val="00111DE2"/>
    <w:rsid w:val="00113C14"/>
    <w:rsid w:val="00116B38"/>
    <w:rsid w:val="00120698"/>
    <w:rsid w:val="0013109F"/>
    <w:rsid w:val="00134C2D"/>
    <w:rsid w:val="00135406"/>
    <w:rsid w:val="00135972"/>
    <w:rsid w:val="00140667"/>
    <w:rsid w:val="001426A9"/>
    <w:rsid w:val="00154D7C"/>
    <w:rsid w:val="001570B0"/>
    <w:rsid w:val="00172A04"/>
    <w:rsid w:val="00175A97"/>
    <w:rsid w:val="00176838"/>
    <w:rsid w:val="00185394"/>
    <w:rsid w:val="001A38E2"/>
    <w:rsid w:val="001A451D"/>
    <w:rsid w:val="001B33E0"/>
    <w:rsid w:val="001B4573"/>
    <w:rsid w:val="001C4257"/>
    <w:rsid w:val="001C779F"/>
    <w:rsid w:val="001D2AC1"/>
    <w:rsid w:val="001E4986"/>
    <w:rsid w:val="001E54E5"/>
    <w:rsid w:val="001E5CEB"/>
    <w:rsid w:val="001F72AD"/>
    <w:rsid w:val="001F7673"/>
    <w:rsid w:val="00204730"/>
    <w:rsid w:val="00213CB5"/>
    <w:rsid w:val="002172D9"/>
    <w:rsid w:val="00217AEE"/>
    <w:rsid w:val="00220FC2"/>
    <w:rsid w:val="00224FC0"/>
    <w:rsid w:val="00225EA4"/>
    <w:rsid w:val="00226EAF"/>
    <w:rsid w:val="00231F3A"/>
    <w:rsid w:val="00234E07"/>
    <w:rsid w:val="002358C6"/>
    <w:rsid w:val="002406EE"/>
    <w:rsid w:val="00243B3F"/>
    <w:rsid w:val="00246199"/>
    <w:rsid w:val="002513E3"/>
    <w:rsid w:val="002745CC"/>
    <w:rsid w:val="002764CC"/>
    <w:rsid w:val="00292F06"/>
    <w:rsid w:val="002A651F"/>
    <w:rsid w:val="002A7525"/>
    <w:rsid w:val="002C0602"/>
    <w:rsid w:val="002C6C09"/>
    <w:rsid w:val="002D39A4"/>
    <w:rsid w:val="002D688A"/>
    <w:rsid w:val="002E1349"/>
    <w:rsid w:val="002E2B1E"/>
    <w:rsid w:val="002E6705"/>
    <w:rsid w:val="002F696C"/>
    <w:rsid w:val="002F7DAD"/>
    <w:rsid w:val="0030185A"/>
    <w:rsid w:val="0030329A"/>
    <w:rsid w:val="00307AFD"/>
    <w:rsid w:val="0031086F"/>
    <w:rsid w:val="00310E05"/>
    <w:rsid w:val="0031414C"/>
    <w:rsid w:val="00314E01"/>
    <w:rsid w:val="0032089D"/>
    <w:rsid w:val="0033042D"/>
    <w:rsid w:val="0033242F"/>
    <w:rsid w:val="0033393C"/>
    <w:rsid w:val="00335A45"/>
    <w:rsid w:val="003408E4"/>
    <w:rsid w:val="0034770C"/>
    <w:rsid w:val="0035259D"/>
    <w:rsid w:val="00370D06"/>
    <w:rsid w:val="00381F17"/>
    <w:rsid w:val="003822AB"/>
    <w:rsid w:val="003866EC"/>
    <w:rsid w:val="0039424E"/>
    <w:rsid w:val="00394476"/>
    <w:rsid w:val="003A3CB1"/>
    <w:rsid w:val="003A4C70"/>
    <w:rsid w:val="003A4E15"/>
    <w:rsid w:val="003B40ED"/>
    <w:rsid w:val="003B57C4"/>
    <w:rsid w:val="003B795D"/>
    <w:rsid w:val="003C03E8"/>
    <w:rsid w:val="003C2937"/>
    <w:rsid w:val="003C799C"/>
    <w:rsid w:val="003D696F"/>
    <w:rsid w:val="003E1C71"/>
    <w:rsid w:val="003F327B"/>
    <w:rsid w:val="004037C6"/>
    <w:rsid w:val="004059A7"/>
    <w:rsid w:val="00406166"/>
    <w:rsid w:val="00410361"/>
    <w:rsid w:val="00411300"/>
    <w:rsid w:val="004142C0"/>
    <w:rsid w:val="00414BC6"/>
    <w:rsid w:val="00420D03"/>
    <w:rsid w:val="00426659"/>
    <w:rsid w:val="0043088E"/>
    <w:rsid w:val="00442E44"/>
    <w:rsid w:val="004439D8"/>
    <w:rsid w:val="004478A8"/>
    <w:rsid w:val="00451233"/>
    <w:rsid w:val="00454051"/>
    <w:rsid w:val="00455E79"/>
    <w:rsid w:val="00465132"/>
    <w:rsid w:val="00466285"/>
    <w:rsid w:val="00466632"/>
    <w:rsid w:val="00466840"/>
    <w:rsid w:val="00480C90"/>
    <w:rsid w:val="0048396F"/>
    <w:rsid w:val="004849A1"/>
    <w:rsid w:val="004868CC"/>
    <w:rsid w:val="004934FB"/>
    <w:rsid w:val="00493C18"/>
    <w:rsid w:val="00494CDC"/>
    <w:rsid w:val="00496C5B"/>
    <w:rsid w:val="004A0E69"/>
    <w:rsid w:val="004A600C"/>
    <w:rsid w:val="004A664D"/>
    <w:rsid w:val="004A701B"/>
    <w:rsid w:val="004B3127"/>
    <w:rsid w:val="004C44F1"/>
    <w:rsid w:val="004C478D"/>
    <w:rsid w:val="004C489D"/>
    <w:rsid w:val="004C4BAB"/>
    <w:rsid w:val="004D3697"/>
    <w:rsid w:val="004E5613"/>
    <w:rsid w:val="004E6A2C"/>
    <w:rsid w:val="004F3E5C"/>
    <w:rsid w:val="00504E06"/>
    <w:rsid w:val="0051316C"/>
    <w:rsid w:val="00515711"/>
    <w:rsid w:val="00521AE8"/>
    <w:rsid w:val="00525776"/>
    <w:rsid w:val="005260BA"/>
    <w:rsid w:val="00527180"/>
    <w:rsid w:val="00536719"/>
    <w:rsid w:val="00554B25"/>
    <w:rsid w:val="005564A7"/>
    <w:rsid w:val="005817C1"/>
    <w:rsid w:val="005C2BEC"/>
    <w:rsid w:val="005C51FD"/>
    <w:rsid w:val="005D3B4A"/>
    <w:rsid w:val="005D5DDA"/>
    <w:rsid w:val="005E4698"/>
    <w:rsid w:val="00602D3C"/>
    <w:rsid w:val="006045E7"/>
    <w:rsid w:val="00625C35"/>
    <w:rsid w:val="00633F3A"/>
    <w:rsid w:val="00634E1B"/>
    <w:rsid w:val="00645057"/>
    <w:rsid w:val="00654858"/>
    <w:rsid w:val="006565F4"/>
    <w:rsid w:val="00676BE5"/>
    <w:rsid w:val="00681AD1"/>
    <w:rsid w:val="0068269E"/>
    <w:rsid w:val="00690A81"/>
    <w:rsid w:val="00692862"/>
    <w:rsid w:val="00697E52"/>
    <w:rsid w:val="006A56F1"/>
    <w:rsid w:val="006A730D"/>
    <w:rsid w:val="006B5FF5"/>
    <w:rsid w:val="006C4FF7"/>
    <w:rsid w:val="006C5661"/>
    <w:rsid w:val="006D1073"/>
    <w:rsid w:val="006D4790"/>
    <w:rsid w:val="006D660C"/>
    <w:rsid w:val="006E4D26"/>
    <w:rsid w:val="006E621F"/>
    <w:rsid w:val="006F29BD"/>
    <w:rsid w:val="006F4ABC"/>
    <w:rsid w:val="0070025B"/>
    <w:rsid w:val="00701759"/>
    <w:rsid w:val="00702C6F"/>
    <w:rsid w:val="00703A42"/>
    <w:rsid w:val="007302B5"/>
    <w:rsid w:val="00730DAD"/>
    <w:rsid w:val="00737C98"/>
    <w:rsid w:val="00743349"/>
    <w:rsid w:val="00744FB9"/>
    <w:rsid w:val="00745790"/>
    <w:rsid w:val="00747288"/>
    <w:rsid w:val="00747DD3"/>
    <w:rsid w:val="0075141F"/>
    <w:rsid w:val="00752F4E"/>
    <w:rsid w:val="007549C8"/>
    <w:rsid w:val="0076172F"/>
    <w:rsid w:val="00762D30"/>
    <w:rsid w:val="00763377"/>
    <w:rsid w:val="00766D14"/>
    <w:rsid w:val="00766D46"/>
    <w:rsid w:val="00766EF2"/>
    <w:rsid w:val="00767A0F"/>
    <w:rsid w:val="007834A8"/>
    <w:rsid w:val="00784B9B"/>
    <w:rsid w:val="007927BC"/>
    <w:rsid w:val="00792E3F"/>
    <w:rsid w:val="00797659"/>
    <w:rsid w:val="007A05F6"/>
    <w:rsid w:val="007B36DA"/>
    <w:rsid w:val="007B6F4A"/>
    <w:rsid w:val="007C6258"/>
    <w:rsid w:val="007C6ACD"/>
    <w:rsid w:val="007C7BFE"/>
    <w:rsid w:val="007E1C47"/>
    <w:rsid w:val="007E337A"/>
    <w:rsid w:val="007E5C70"/>
    <w:rsid w:val="007E75A1"/>
    <w:rsid w:val="007F02F2"/>
    <w:rsid w:val="007F2FF5"/>
    <w:rsid w:val="0080540A"/>
    <w:rsid w:val="008135EF"/>
    <w:rsid w:val="00817190"/>
    <w:rsid w:val="00821AF6"/>
    <w:rsid w:val="008266AB"/>
    <w:rsid w:val="008322BD"/>
    <w:rsid w:val="00834A19"/>
    <w:rsid w:val="00846A3E"/>
    <w:rsid w:val="00855307"/>
    <w:rsid w:val="00862CF3"/>
    <w:rsid w:val="00864CF8"/>
    <w:rsid w:val="00874914"/>
    <w:rsid w:val="00883795"/>
    <w:rsid w:val="00892E1A"/>
    <w:rsid w:val="008958F5"/>
    <w:rsid w:val="008A0BB1"/>
    <w:rsid w:val="008A490C"/>
    <w:rsid w:val="008A6558"/>
    <w:rsid w:val="008A727C"/>
    <w:rsid w:val="008C01DA"/>
    <w:rsid w:val="008C6AA9"/>
    <w:rsid w:val="008C74B0"/>
    <w:rsid w:val="008F16D9"/>
    <w:rsid w:val="008F1D68"/>
    <w:rsid w:val="008F6E1C"/>
    <w:rsid w:val="008F78E9"/>
    <w:rsid w:val="00902462"/>
    <w:rsid w:val="00903BBC"/>
    <w:rsid w:val="0090651D"/>
    <w:rsid w:val="00906AE7"/>
    <w:rsid w:val="00912AC3"/>
    <w:rsid w:val="0092735B"/>
    <w:rsid w:val="009337EA"/>
    <w:rsid w:val="0093467D"/>
    <w:rsid w:val="00934E2B"/>
    <w:rsid w:val="009403F3"/>
    <w:rsid w:val="009438C6"/>
    <w:rsid w:val="00957FA2"/>
    <w:rsid w:val="009601BD"/>
    <w:rsid w:val="00966913"/>
    <w:rsid w:val="00967374"/>
    <w:rsid w:val="00975281"/>
    <w:rsid w:val="0097543E"/>
    <w:rsid w:val="00975604"/>
    <w:rsid w:val="0098304E"/>
    <w:rsid w:val="00983E06"/>
    <w:rsid w:val="00983F3F"/>
    <w:rsid w:val="00985C69"/>
    <w:rsid w:val="00986D2B"/>
    <w:rsid w:val="0099079B"/>
    <w:rsid w:val="00995436"/>
    <w:rsid w:val="009957E5"/>
    <w:rsid w:val="009A04C0"/>
    <w:rsid w:val="009A72DF"/>
    <w:rsid w:val="009B2F23"/>
    <w:rsid w:val="009B53E2"/>
    <w:rsid w:val="009B57B3"/>
    <w:rsid w:val="009B7A9E"/>
    <w:rsid w:val="009C7307"/>
    <w:rsid w:val="009D5AEB"/>
    <w:rsid w:val="009E174C"/>
    <w:rsid w:val="009E5C65"/>
    <w:rsid w:val="009F383F"/>
    <w:rsid w:val="00A02758"/>
    <w:rsid w:val="00A04778"/>
    <w:rsid w:val="00A05F0E"/>
    <w:rsid w:val="00A07169"/>
    <w:rsid w:val="00A21107"/>
    <w:rsid w:val="00A21B90"/>
    <w:rsid w:val="00A244AC"/>
    <w:rsid w:val="00A24E15"/>
    <w:rsid w:val="00A35F54"/>
    <w:rsid w:val="00A3691D"/>
    <w:rsid w:val="00A47B5A"/>
    <w:rsid w:val="00A548CB"/>
    <w:rsid w:val="00A54D29"/>
    <w:rsid w:val="00A6242E"/>
    <w:rsid w:val="00A63D75"/>
    <w:rsid w:val="00A643E7"/>
    <w:rsid w:val="00A73C38"/>
    <w:rsid w:val="00AA61AF"/>
    <w:rsid w:val="00AB5497"/>
    <w:rsid w:val="00AC4F86"/>
    <w:rsid w:val="00AC6322"/>
    <w:rsid w:val="00AC7437"/>
    <w:rsid w:val="00AC7A44"/>
    <w:rsid w:val="00AE182F"/>
    <w:rsid w:val="00AE6574"/>
    <w:rsid w:val="00AF03C5"/>
    <w:rsid w:val="00AF634F"/>
    <w:rsid w:val="00B000D8"/>
    <w:rsid w:val="00B00F75"/>
    <w:rsid w:val="00B0685C"/>
    <w:rsid w:val="00B145B6"/>
    <w:rsid w:val="00B24AE4"/>
    <w:rsid w:val="00B330B1"/>
    <w:rsid w:val="00B33217"/>
    <w:rsid w:val="00B360DD"/>
    <w:rsid w:val="00B42D47"/>
    <w:rsid w:val="00B50740"/>
    <w:rsid w:val="00B50C81"/>
    <w:rsid w:val="00B51FDA"/>
    <w:rsid w:val="00B557F8"/>
    <w:rsid w:val="00B57DC1"/>
    <w:rsid w:val="00B637AB"/>
    <w:rsid w:val="00B64972"/>
    <w:rsid w:val="00B66DD8"/>
    <w:rsid w:val="00B7739D"/>
    <w:rsid w:val="00B80CF7"/>
    <w:rsid w:val="00B80D8B"/>
    <w:rsid w:val="00B8145D"/>
    <w:rsid w:val="00B815FC"/>
    <w:rsid w:val="00B8359C"/>
    <w:rsid w:val="00B85E05"/>
    <w:rsid w:val="00B93FBC"/>
    <w:rsid w:val="00B954B0"/>
    <w:rsid w:val="00B96B5D"/>
    <w:rsid w:val="00BA122D"/>
    <w:rsid w:val="00BE1CF0"/>
    <w:rsid w:val="00BE2BB2"/>
    <w:rsid w:val="00C02092"/>
    <w:rsid w:val="00C057F7"/>
    <w:rsid w:val="00C0663B"/>
    <w:rsid w:val="00C14D9F"/>
    <w:rsid w:val="00C20B76"/>
    <w:rsid w:val="00C20BD1"/>
    <w:rsid w:val="00C24C8C"/>
    <w:rsid w:val="00C24D91"/>
    <w:rsid w:val="00C259C5"/>
    <w:rsid w:val="00C36AFD"/>
    <w:rsid w:val="00C462B6"/>
    <w:rsid w:val="00C52532"/>
    <w:rsid w:val="00C53F14"/>
    <w:rsid w:val="00C55C2E"/>
    <w:rsid w:val="00C600CF"/>
    <w:rsid w:val="00C6084F"/>
    <w:rsid w:val="00C62A66"/>
    <w:rsid w:val="00C62A6F"/>
    <w:rsid w:val="00C67CA5"/>
    <w:rsid w:val="00C71458"/>
    <w:rsid w:val="00C71F58"/>
    <w:rsid w:val="00C77613"/>
    <w:rsid w:val="00C828E7"/>
    <w:rsid w:val="00C921DD"/>
    <w:rsid w:val="00C92F01"/>
    <w:rsid w:val="00CA01BB"/>
    <w:rsid w:val="00CA4D82"/>
    <w:rsid w:val="00CA6391"/>
    <w:rsid w:val="00CB17F1"/>
    <w:rsid w:val="00CB27C2"/>
    <w:rsid w:val="00CD40EC"/>
    <w:rsid w:val="00CE3171"/>
    <w:rsid w:val="00CF1601"/>
    <w:rsid w:val="00D0313A"/>
    <w:rsid w:val="00D07C22"/>
    <w:rsid w:val="00D221E5"/>
    <w:rsid w:val="00D27C6B"/>
    <w:rsid w:val="00D32086"/>
    <w:rsid w:val="00D37A3F"/>
    <w:rsid w:val="00D45744"/>
    <w:rsid w:val="00D45FCF"/>
    <w:rsid w:val="00D4667A"/>
    <w:rsid w:val="00D5020D"/>
    <w:rsid w:val="00D510BB"/>
    <w:rsid w:val="00D5371D"/>
    <w:rsid w:val="00D537D5"/>
    <w:rsid w:val="00D5435D"/>
    <w:rsid w:val="00D70E5E"/>
    <w:rsid w:val="00D71E90"/>
    <w:rsid w:val="00D74F2E"/>
    <w:rsid w:val="00D763F0"/>
    <w:rsid w:val="00D76855"/>
    <w:rsid w:val="00D829E6"/>
    <w:rsid w:val="00D83859"/>
    <w:rsid w:val="00D953E3"/>
    <w:rsid w:val="00DA0590"/>
    <w:rsid w:val="00DB142E"/>
    <w:rsid w:val="00DB4D96"/>
    <w:rsid w:val="00DC1788"/>
    <w:rsid w:val="00DD19BD"/>
    <w:rsid w:val="00DD3E9F"/>
    <w:rsid w:val="00DD5D40"/>
    <w:rsid w:val="00DF0CA8"/>
    <w:rsid w:val="00DF49A7"/>
    <w:rsid w:val="00E01106"/>
    <w:rsid w:val="00E07EE2"/>
    <w:rsid w:val="00E24573"/>
    <w:rsid w:val="00E377A1"/>
    <w:rsid w:val="00E45109"/>
    <w:rsid w:val="00E46EA3"/>
    <w:rsid w:val="00E51F77"/>
    <w:rsid w:val="00E54B02"/>
    <w:rsid w:val="00E5596A"/>
    <w:rsid w:val="00E676BA"/>
    <w:rsid w:val="00E71188"/>
    <w:rsid w:val="00E90CA3"/>
    <w:rsid w:val="00E97830"/>
    <w:rsid w:val="00EA03E5"/>
    <w:rsid w:val="00ED2B55"/>
    <w:rsid w:val="00EE0FAF"/>
    <w:rsid w:val="00EE575E"/>
    <w:rsid w:val="00F00EB7"/>
    <w:rsid w:val="00F140BD"/>
    <w:rsid w:val="00F16BBC"/>
    <w:rsid w:val="00F2258E"/>
    <w:rsid w:val="00F33658"/>
    <w:rsid w:val="00F36AB6"/>
    <w:rsid w:val="00F401ED"/>
    <w:rsid w:val="00F409CE"/>
    <w:rsid w:val="00F4180C"/>
    <w:rsid w:val="00F441CF"/>
    <w:rsid w:val="00F46164"/>
    <w:rsid w:val="00F55EC8"/>
    <w:rsid w:val="00F56D80"/>
    <w:rsid w:val="00F64D38"/>
    <w:rsid w:val="00F84297"/>
    <w:rsid w:val="00F84DF4"/>
    <w:rsid w:val="00F853FB"/>
    <w:rsid w:val="00F85C97"/>
    <w:rsid w:val="00F9729D"/>
    <w:rsid w:val="00FA2F3D"/>
    <w:rsid w:val="00FA2FE1"/>
    <w:rsid w:val="00FA62F2"/>
    <w:rsid w:val="00FB0438"/>
    <w:rsid w:val="00FB7216"/>
    <w:rsid w:val="00FB7A7A"/>
    <w:rsid w:val="00FC606D"/>
    <w:rsid w:val="00FD068D"/>
    <w:rsid w:val="00FD4F28"/>
    <w:rsid w:val="00FE1D87"/>
    <w:rsid w:val="00FE4B4D"/>
    <w:rsid w:val="00FE6784"/>
    <w:rsid w:val="00FF2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noProof/>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customStyle="1" w:styleId="canliicitation">
    <w:name w:val="canliicitation"/>
    <w:basedOn w:val="DefaultParagraphFont"/>
    <w:rsid w:val="001C4257"/>
  </w:style>
  <w:style w:type="paragraph" w:customStyle="1" w:styleId="ParaNoNdepar-AltN">
    <w:name w:val="Para. No. / Nº de par. - Alt N"/>
    <w:qFormat/>
    <w:rsid w:val="00D5020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0152B"/>
    <w:pPr>
      <w:spacing w:after="480"/>
    </w:pPr>
    <w:rPr>
      <w:rFonts w:eastAsiaTheme="minorHAnsi" w:cstheme="minorBidi"/>
      <w:noProof w:val="0"/>
      <w:szCs w:val="22"/>
      <w:lang w:val="en-CA" w:eastAsia="en-US"/>
    </w:rPr>
  </w:style>
  <w:style w:type="character" w:customStyle="1" w:styleId="SCCLsocOtherPartyRoleSeparatorChar">
    <w:name w:val="SCC.Lsoc.OtherPartyRoleSeparator Char"/>
    <w:basedOn w:val="DefaultParagraphFont"/>
    <w:link w:val="SCCLsocOtherPartyRoleSeparator"/>
    <w:rsid w:val="0000152B"/>
    <w:rPr>
      <w:rFonts w:eastAsiaTheme="minorHAnsi" w:cstheme="minorBidi"/>
      <w:sz w:val="24"/>
      <w:szCs w:val="22"/>
      <w:lang w:eastAsia="en-US"/>
    </w:rPr>
  </w:style>
  <w:style w:type="character" w:customStyle="1" w:styleId="SCCBanSummaryChar">
    <w:name w:val="SCC.BanSummary Char"/>
    <w:basedOn w:val="DefaultParagraphFont"/>
    <w:link w:val="SCCBanSummary"/>
    <w:rsid w:val="0000152B"/>
    <w:rPr>
      <w:b/>
      <w:noProof/>
      <w:sz w:val="24"/>
      <w:lang w:val="fr-CA"/>
    </w:rPr>
  </w:style>
  <w:style w:type="table" w:styleId="TableGrid">
    <w:name w:val="Table Grid"/>
    <w:basedOn w:val="TableNormal"/>
    <w:uiPriority w:val="59"/>
    <w:rsid w:val="000015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0152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0152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0152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0152B"/>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00152B"/>
    <w:pPr>
      <w:spacing w:after="200" w:line="276" w:lineRule="auto"/>
      <w:ind w:left="720"/>
      <w:contextualSpacing/>
    </w:pPr>
    <w:rPr>
      <w:rFonts w:eastAsiaTheme="minorHAnsi" w:cstheme="minorBidi"/>
      <w:noProof w:val="0"/>
      <w:szCs w:val="22"/>
      <w:lang w:val="en-CA" w:eastAsia="en-US"/>
    </w:rPr>
  </w:style>
  <w:style w:type="paragraph" w:styleId="FootnoteText">
    <w:name w:val="footnote text"/>
    <w:basedOn w:val="Normal"/>
    <w:link w:val="FootnoteTextChar"/>
    <w:uiPriority w:val="99"/>
    <w:unhideWhenUsed/>
    <w:rsid w:val="0000152B"/>
    <w:rPr>
      <w:rFonts w:eastAsiaTheme="minorHAnsi"/>
      <w:noProof w:val="0"/>
      <w:sz w:val="20"/>
      <w:lang w:val="en-CA" w:eastAsia="en-US"/>
    </w:rPr>
  </w:style>
  <w:style w:type="character" w:customStyle="1" w:styleId="FootnoteTextChar">
    <w:name w:val="Footnote Text Char"/>
    <w:basedOn w:val="DefaultParagraphFont"/>
    <w:link w:val="FootnoteText"/>
    <w:uiPriority w:val="99"/>
    <w:rsid w:val="0000152B"/>
    <w:rPr>
      <w:rFonts w:eastAsiaTheme="minorHAnsi"/>
      <w:lang w:eastAsia="en-US"/>
    </w:rPr>
  </w:style>
  <w:style w:type="character" w:styleId="FootnoteReference">
    <w:name w:val="footnote reference"/>
    <w:basedOn w:val="DefaultParagraphFont"/>
    <w:uiPriority w:val="99"/>
    <w:semiHidden/>
    <w:unhideWhenUsed/>
    <w:rsid w:val="0000152B"/>
    <w:rPr>
      <w:vertAlign w:val="superscript"/>
    </w:rPr>
  </w:style>
  <w:style w:type="character" w:styleId="CommentReference">
    <w:name w:val="annotation reference"/>
    <w:basedOn w:val="DefaultParagraphFont"/>
    <w:uiPriority w:val="99"/>
    <w:semiHidden/>
    <w:unhideWhenUsed/>
    <w:rsid w:val="0000152B"/>
    <w:rPr>
      <w:sz w:val="16"/>
      <w:szCs w:val="16"/>
    </w:rPr>
  </w:style>
  <w:style w:type="paragraph" w:styleId="CommentText">
    <w:name w:val="annotation text"/>
    <w:basedOn w:val="Normal"/>
    <w:link w:val="CommentTextChar"/>
    <w:uiPriority w:val="99"/>
    <w:unhideWhenUsed/>
    <w:rsid w:val="0000152B"/>
    <w:rPr>
      <w:noProof w:val="0"/>
      <w:sz w:val="20"/>
      <w:lang w:val="en-CA"/>
    </w:rPr>
  </w:style>
  <w:style w:type="character" w:customStyle="1" w:styleId="CommentTextChar">
    <w:name w:val="Comment Text Char"/>
    <w:basedOn w:val="DefaultParagraphFont"/>
    <w:link w:val="CommentText"/>
    <w:uiPriority w:val="99"/>
    <w:rsid w:val="0000152B"/>
  </w:style>
  <w:style w:type="paragraph" w:styleId="CommentSubject">
    <w:name w:val="annotation subject"/>
    <w:basedOn w:val="CommentText"/>
    <w:next w:val="CommentText"/>
    <w:link w:val="CommentSubjectChar"/>
    <w:uiPriority w:val="99"/>
    <w:semiHidden/>
    <w:unhideWhenUsed/>
    <w:rsid w:val="0000152B"/>
    <w:rPr>
      <w:b/>
      <w:bCs/>
    </w:rPr>
  </w:style>
  <w:style w:type="character" w:customStyle="1" w:styleId="CommentSubjectChar">
    <w:name w:val="Comment Subject Char"/>
    <w:basedOn w:val="CommentTextChar"/>
    <w:link w:val="CommentSubject"/>
    <w:uiPriority w:val="99"/>
    <w:semiHidden/>
    <w:rsid w:val="0000152B"/>
    <w:rPr>
      <w:b/>
      <w:bCs/>
    </w:rPr>
  </w:style>
  <w:style w:type="paragraph" w:styleId="Revision">
    <w:name w:val="Revision"/>
    <w:hidden/>
    <w:uiPriority w:val="99"/>
    <w:semiHidden/>
    <w:rsid w:val="0000152B"/>
    <w:rPr>
      <w:sz w:val="24"/>
    </w:rPr>
  </w:style>
  <w:style w:type="paragraph" w:styleId="DocumentMap">
    <w:name w:val="Document Map"/>
    <w:basedOn w:val="Normal"/>
    <w:link w:val="DocumentMapChar"/>
    <w:uiPriority w:val="99"/>
    <w:semiHidden/>
    <w:unhideWhenUsed/>
    <w:rsid w:val="0000152B"/>
    <w:rPr>
      <w:rFonts w:ascii="Tahoma" w:hAnsi="Tahoma" w:cs="Tahoma"/>
      <w:noProof w:val="0"/>
      <w:sz w:val="16"/>
      <w:szCs w:val="16"/>
      <w:lang w:val="en-CA"/>
    </w:rPr>
  </w:style>
  <w:style w:type="character" w:customStyle="1" w:styleId="DocumentMapChar">
    <w:name w:val="Document Map Char"/>
    <w:basedOn w:val="DefaultParagraphFont"/>
    <w:link w:val="DocumentMap"/>
    <w:uiPriority w:val="99"/>
    <w:semiHidden/>
    <w:rsid w:val="0000152B"/>
    <w:rPr>
      <w:rFonts w:ascii="Tahoma" w:hAnsi="Tahoma" w:cs="Tahoma"/>
      <w:sz w:val="16"/>
      <w:szCs w:val="16"/>
    </w:rPr>
  </w:style>
  <w:style w:type="paragraph" w:customStyle="1" w:styleId="normalnumber1">
    <w:name w:val="normalnumber1"/>
    <w:basedOn w:val="Normal"/>
    <w:rsid w:val="0000152B"/>
    <w:pPr>
      <w:spacing w:after="240"/>
    </w:pPr>
    <w:rPr>
      <w:rFonts w:ascii="Arial" w:hAnsi="Arial" w:cs="Arial"/>
      <w:noProof w:val="0"/>
      <w:szCs w:val="24"/>
      <w:lang w:val="en-CA"/>
    </w:rPr>
  </w:style>
  <w:style w:type="paragraph" w:customStyle="1" w:styleId="quote1">
    <w:name w:val="quote1"/>
    <w:basedOn w:val="Normal"/>
    <w:rsid w:val="0000152B"/>
    <w:pPr>
      <w:spacing w:after="240"/>
      <w:ind w:left="720" w:right="720"/>
    </w:pPr>
    <w:rPr>
      <w:rFonts w:ascii="Arial" w:hAnsi="Arial" w:cs="Arial"/>
      <w:noProof w:val="0"/>
      <w:szCs w:val="24"/>
      <w:lang w:val="en-CA"/>
    </w:rPr>
  </w:style>
  <w:style w:type="character" w:styleId="Hyperlink">
    <w:name w:val="Hyperlink"/>
    <w:basedOn w:val="DefaultParagraphFont"/>
    <w:uiPriority w:val="99"/>
    <w:unhideWhenUsed/>
    <w:rsid w:val="0000152B"/>
    <w:rPr>
      <w:color w:val="0000FF" w:themeColor="hyperlink"/>
      <w:u w:val="single"/>
    </w:rPr>
  </w:style>
  <w:style w:type="paragraph" w:customStyle="1" w:styleId="SCCLsocPrefix">
    <w:name w:val="SCC.Lsoc.Prefix"/>
    <w:basedOn w:val="Normal"/>
    <w:next w:val="Normal"/>
    <w:link w:val="SCCLsocPrefixChar"/>
    <w:rsid w:val="00204730"/>
    <w:rPr>
      <w:rFonts w:eastAsiaTheme="minorHAnsi" w:cstheme="minorBidi"/>
      <w:b/>
      <w:smallCaps/>
      <w:noProof w:val="0"/>
      <w:szCs w:val="24"/>
      <w:lang w:eastAsia="en-US"/>
    </w:rPr>
  </w:style>
  <w:style w:type="character" w:customStyle="1" w:styleId="SCCLsocPrefixChar">
    <w:name w:val="SCC.Lsoc.Prefix Char"/>
    <w:basedOn w:val="DefaultParagraphFont"/>
    <w:link w:val="SCCLsocPrefix"/>
    <w:rsid w:val="00204730"/>
    <w:rPr>
      <w:rFonts w:eastAsiaTheme="minorHAnsi" w:cstheme="minorBidi"/>
      <w:b/>
      <w:smallCaps/>
      <w:sz w:val="24"/>
      <w:szCs w:val="24"/>
      <w:lang w:val="fr-CA" w:eastAsia="en-US"/>
    </w:rPr>
  </w:style>
  <w:style w:type="paragraph" w:customStyle="1" w:styleId="SCCAppellantForIndex">
    <w:name w:val="SCC.AppellantForIndex"/>
    <w:basedOn w:val="Normal"/>
    <w:next w:val="Normal"/>
    <w:link w:val="SCCAppellantForIndexChar"/>
    <w:rsid w:val="00204730"/>
    <w:rPr>
      <w:b/>
      <w:noProof w:val="0"/>
    </w:rPr>
  </w:style>
  <w:style w:type="character" w:customStyle="1" w:styleId="SCCAppellantForIndexChar">
    <w:name w:val="SCC.AppellantForIndex Char"/>
    <w:basedOn w:val="DefaultParagraphFont"/>
    <w:link w:val="SCCAppellantForIndex"/>
    <w:rsid w:val="00204730"/>
    <w:rPr>
      <w:b/>
      <w:sz w:val="24"/>
      <w:lang w:val="fr-CA"/>
    </w:rPr>
  </w:style>
  <w:style w:type="paragraph" w:customStyle="1" w:styleId="SCCRespondentForIndex">
    <w:name w:val="SCC.RespondentForIndex"/>
    <w:basedOn w:val="Normal"/>
    <w:next w:val="Normal"/>
    <w:link w:val="SCCRespondentForIndexChar"/>
    <w:rsid w:val="00204730"/>
    <w:rPr>
      <w:b/>
      <w:noProof w:val="0"/>
    </w:rPr>
  </w:style>
  <w:style w:type="character" w:customStyle="1" w:styleId="SCCRespondentForIndexChar">
    <w:name w:val="SCC.RespondentForIndex Char"/>
    <w:basedOn w:val="DefaultParagraphFont"/>
    <w:link w:val="SCCRespondentForIndex"/>
    <w:rsid w:val="00204730"/>
    <w:rPr>
      <w:b/>
      <w:sz w:val="24"/>
      <w:lang w:val="fr-CA"/>
    </w:rPr>
  </w:style>
  <w:style w:type="paragraph" w:customStyle="1" w:styleId="SCCRespondentForCitation">
    <w:name w:val="SCC.RespondentForCitation"/>
    <w:basedOn w:val="Normal"/>
    <w:next w:val="Normal"/>
    <w:link w:val="SCCRespondentForCitationChar"/>
    <w:rsid w:val="00204730"/>
    <w:rPr>
      <w:i/>
      <w:noProof w:val="0"/>
    </w:rPr>
  </w:style>
  <w:style w:type="character" w:customStyle="1" w:styleId="SCCRespondentForCitationChar">
    <w:name w:val="SCC.RespondentForCitation Char"/>
    <w:basedOn w:val="DefaultParagraphFont"/>
    <w:link w:val="SCCRespondentForCitation"/>
    <w:rsid w:val="00204730"/>
    <w:rPr>
      <w:i/>
      <w:sz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2D61E-75F7-499B-9F93-448229F7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17301</Words>
  <Characters>95021</Characters>
  <Application>Microsoft Office Word</Application>
  <DocSecurity>0</DocSecurity>
  <Lines>791</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2013-04-05T15:34:00Z</dcterms:created>
  <dcterms:modified xsi:type="dcterms:W3CDTF">2014-03-20T19:59:00Z</dcterms:modified>
</cp:coreProperties>
</file>