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8C" w:rsidRPr="00830A8C" w:rsidRDefault="00830A8C" w:rsidP="00830A8C">
      <w:pPr>
        <w:tabs>
          <w:tab w:val="center" w:pos="4680"/>
          <w:tab w:val="right" w:pos="9360"/>
        </w:tabs>
        <w:rPr>
          <w:rFonts w:eastAsiaTheme="minorHAnsi" w:cstheme="minorBidi"/>
          <w:szCs w:val="24"/>
          <w:lang w:val="fr-CA" w:eastAsia="en-US"/>
        </w:rPr>
      </w:pPr>
      <w:r w:rsidRPr="00830A8C">
        <w:rPr>
          <w:rFonts w:eastAsiaTheme="minorHAnsi" w:cstheme="minorBidi"/>
          <w:szCs w:val="24"/>
          <w:lang w:val="fr-CA" w:eastAsia="en-US"/>
        </w:rPr>
        <w:ptab w:relativeTo="margin" w:alignment="center" w:leader="none"/>
      </w:r>
      <w:r w:rsidRPr="00830A8C">
        <w:rPr>
          <w:rFonts w:eastAsiaTheme="minorHAnsi" w:cstheme="minorBidi"/>
          <w:szCs w:val="24"/>
          <w:lang w:val="fr-CA" w:eastAsia="en-US"/>
        </w:rPr>
        <w:t xml:space="preserve"> </w:t>
      </w:r>
      <w:r w:rsidRPr="00830A8C">
        <w:rPr>
          <w:rFonts w:eastAsiaTheme="minorHAnsi" w:cstheme="minorBidi"/>
          <w:szCs w:val="24"/>
          <w:lang w:val="fr-CA" w:eastAsia="en-US"/>
        </w:rPr>
        <w:object w:dxaOrig="1365" w:dyaOrig="1440">
          <v:shape id="_x0000_i1034" type="#_x0000_t75" style="width:61.65pt;height:64.35pt" o:ole="">
            <v:imagedata r:id="rId8" o:title=""/>
          </v:shape>
          <o:OLEObject Type="Embed" ProgID="Presentations.Drawing.13" ShapeID="_x0000_i1034" DrawAspect="Content" ObjectID="_1465302032" r:id="rId9"/>
        </w:object>
      </w:r>
      <w:r w:rsidRPr="00830A8C">
        <w:rPr>
          <w:rFonts w:eastAsiaTheme="minorHAnsi" w:cstheme="minorBidi"/>
          <w:szCs w:val="24"/>
          <w:lang w:val="fr-CA" w:eastAsia="en-US"/>
        </w:rPr>
        <w:t xml:space="preserve"> </w:t>
      </w:r>
      <w:r w:rsidRPr="00830A8C">
        <w:rPr>
          <w:rFonts w:eastAsiaTheme="minorHAnsi" w:cstheme="minorBidi"/>
          <w:szCs w:val="24"/>
          <w:lang w:val="fr-CA" w:eastAsia="en-US"/>
        </w:rPr>
        <w:ptab w:relativeTo="margin" w:alignment="right" w:leader="none"/>
      </w:r>
    </w:p>
    <w:p w:rsidR="00830A8C" w:rsidRPr="00830A8C" w:rsidRDefault="00830A8C" w:rsidP="00830A8C">
      <w:pPr>
        <w:tabs>
          <w:tab w:val="center" w:pos="4680"/>
          <w:tab w:val="right" w:pos="9360"/>
        </w:tabs>
        <w:rPr>
          <w:rFonts w:eastAsiaTheme="minorHAnsi" w:cstheme="minorBidi"/>
          <w:szCs w:val="24"/>
          <w:lang w:val="fr-CA" w:eastAsia="en-US"/>
        </w:rPr>
      </w:pPr>
    </w:p>
    <w:p w:rsidR="00830A8C" w:rsidRPr="00830A8C" w:rsidRDefault="00830A8C" w:rsidP="00830A8C">
      <w:pPr>
        <w:jc w:val="center"/>
        <w:rPr>
          <w:rFonts w:eastAsiaTheme="minorHAnsi" w:cstheme="minorBidi"/>
          <w:b/>
          <w:szCs w:val="24"/>
          <w:lang w:val="fr-CA" w:eastAsia="en-US"/>
        </w:rPr>
      </w:pPr>
      <w:r w:rsidRPr="00830A8C">
        <w:rPr>
          <w:rFonts w:eastAsiaTheme="minorHAnsi" w:cstheme="minorBidi"/>
          <w:b/>
          <w:szCs w:val="24"/>
          <w:lang w:val="fr-CA" w:eastAsia="en-US"/>
        </w:rPr>
        <w:t>COUR SUPRÊME DU CANADA</w:t>
      </w:r>
    </w:p>
    <w:p w:rsidR="00830A8C" w:rsidRPr="00830A8C" w:rsidRDefault="00830A8C" w:rsidP="00830A8C">
      <w:pPr>
        <w:rPr>
          <w:rFonts w:eastAsiaTheme="minorHAnsi" w:cstheme="minorBidi"/>
          <w:szCs w:val="24"/>
          <w:lang w:val="fr-CA"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30A8C" w:rsidRPr="00830A8C" w:rsidTr="00D63C38">
        <w:trPr>
          <w:cantSplit/>
        </w:trPr>
        <w:tc>
          <w:tcPr>
            <w:tcW w:w="6768" w:type="dxa"/>
          </w:tcPr>
          <w:p w:rsidR="00830A8C" w:rsidRPr="00830A8C" w:rsidRDefault="00830A8C" w:rsidP="00830A8C">
            <w:pPr>
              <w:rPr>
                <w:lang w:val="fr-CA"/>
              </w:rPr>
            </w:pPr>
            <w:r w:rsidRPr="00830A8C">
              <w:rPr>
                <w:b/>
                <w:smallCaps/>
                <w:lang w:val="fr-CA"/>
              </w:rPr>
              <w:t>Référence :</w:t>
            </w:r>
            <w:r w:rsidRPr="00830A8C">
              <w:rPr>
                <w:lang w:val="fr-CA"/>
              </w:rPr>
              <w:t xml:space="preserve"> Renvoi relatif à la </w:t>
            </w:r>
            <w:r w:rsidRPr="00830A8C">
              <w:rPr>
                <w:i/>
                <w:lang w:val="fr-CA"/>
              </w:rPr>
              <w:t>Loi sur la Cour suprême</w:t>
            </w:r>
            <w:r w:rsidRPr="00830A8C">
              <w:rPr>
                <w:lang w:val="fr-CA"/>
              </w:rPr>
              <w:t>, art. 5 et 6, 2014 CSC 21</w:t>
            </w:r>
            <w:r>
              <w:rPr>
                <w:lang w:val="fr-CA"/>
              </w:rPr>
              <w:t>, [2014] 1 R.C.S. 433</w:t>
            </w:r>
          </w:p>
        </w:tc>
        <w:tc>
          <w:tcPr>
            <w:tcW w:w="2808" w:type="dxa"/>
          </w:tcPr>
          <w:p w:rsidR="00830A8C" w:rsidRPr="00830A8C" w:rsidRDefault="00830A8C" w:rsidP="00830A8C">
            <w:pPr>
              <w:rPr>
                <w:lang w:val="fr-CA"/>
              </w:rPr>
            </w:pPr>
            <w:r w:rsidRPr="00830A8C">
              <w:rPr>
                <w:b/>
                <w:smallCaps/>
                <w:lang w:val="fr-CA"/>
              </w:rPr>
              <w:t>Date :</w:t>
            </w:r>
            <w:r w:rsidRPr="00830A8C">
              <w:rPr>
                <w:lang w:val="fr-CA"/>
              </w:rPr>
              <w:t xml:space="preserve"> 20140321</w:t>
            </w:r>
          </w:p>
          <w:p w:rsidR="00830A8C" w:rsidRPr="00830A8C" w:rsidRDefault="00830A8C" w:rsidP="00830A8C">
            <w:pPr>
              <w:rPr>
                <w:lang w:val="fr-CA"/>
              </w:rPr>
            </w:pPr>
            <w:r w:rsidRPr="00830A8C">
              <w:rPr>
                <w:b/>
                <w:smallCaps/>
                <w:lang w:val="fr-CA"/>
              </w:rPr>
              <w:t>Dossier :</w:t>
            </w:r>
            <w:r w:rsidRPr="00830A8C">
              <w:rPr>
                <w:lang w:val="fr-CA"/>
              </w:rPr>
              <w:t xml:space="preserve"> 35586</w:t>
            </w:r>
          </w:p>
        </w:tc>
      </w:tr>
    </w:tbl>
    <w:p w:rsidR="00830A8C" w:rsidRPr="00830A8C" w:rsidRDefault="00830A8C" w:rsidP="00830A8C">
      <w:pPr>
        <w:rPr>
          <w:rFonts w:eastAsiaTheme="minorHAnsi" w:cstheme="minorBidi"/>
          <w:szCs w:val="24"/>
          <w:lang w:val="fr-CA" w:eastAsia="en-US"/>
        </w:rPr>
      </w:pPr>
    </w:p>
    <w:p w:rsidR="00830A8C" w:rsidRPr="00830A8C" w:rsidRDefault="00830A8C" w:rsidP="00830A8C">
      <w:pPr>
        <w:jc w:val="center"/>
        <w:rPr>
          <w:rFonts w:eastAsiaTheme="minorHAnsi" w:cstheme="minorBidi"/>
          <w:b/>
          <w:szCs w:val="24"/>
          <w:lang w:val="fr-CA" w:eastAsia="en-US"/>
        </w:rPr>
      </w:pPr>
      <w:r w:rsidRPr="00830A8C">
        <w:rPr>
          <w:rFonts w:eastAsiaTheme="minorHAnsi" w:cstheme="minorBidi"/>
          <w:b/>
          <w:szCs w:val="24"/>
          <w:lang w:val="fr-CA" w:eastAsia="en-US"/>
        </w:rPr>
        <w:t xml:space="preserve">Dans l’affaire d’un renvoi par le Gouverneur en conseil concernant </w:t>
      </w:r>
    </w:p>
    <w:p w:rsidR="00830A8C" w:rsidRPr="00830A8C" w:rsidRDefault="00830A8C" w:rsidP="00830A8C">
      <w:pPr>
        <w:jc w:val="center"/>
        <w:rPr>
          <w:rFonts w:eastAsiaTheme="minorHAnsi" w:cstheme="minorBidi"/>
          <w:b/>
          <w:szCs w:val="24"/>
          <w:lang w:val="fr-CA" w:eastAsia="en-US"/>
        </w:rPr>
      </w:pPr>
      <w:r w:rsidRPr="00830A8C">
        <w:rPr>
          <w:rFonts w:eastAsiaTheme="minorHAnsi" w:cstheme="minorBidi"/>
          <w:b/>
          <w:szCs w:val="24"/>
          <w:lang w:val="fr-CA" w:eastAsia="en-US"/>
        </w:rPr>
        <w:t xml:space="preserve">les articles 5 et 6 de la </w:t>
      </w:r>
      <w:r w:rsidRPr="00830A8C">
        <w:rPr>
          <w:rFonts w:eastAsiaTheme="minorHAnsi" w:cstheme="minorBidi"/>
          <w:b/>
          <w:i/>
          <w:szCs w:val="24"/>
          <w:lang w:val="fr-CA" w:eastAsia="en-US"/>
        </w:rPr>
        <w:t>Loi sur la Cour suprême</w:t>
      </w:r>
      <w:r w:rsidRPr="00830A8C">
        <w:rPr>
          <w:rFonts w:eastAsiaTheme="minorHAnsi" w:cstheme="minorBidi"/>
          <w:b/>
          <w:szCs w:val="24"/>
          <w:lang w:val="fr-CA" w:eastAsia="en-US"/>
        </w:rPr>
        <w:t xml:space="preserve">, L.R.C. 1985, ch. S-26, </w:t>
      </w:r>
    </w:p>
    <w:p w:rsidR="00830A8C" w:rsidRPr="00830A8C" w:rsidRDefault="00830A8C" w:rsidP="00830A8C">
      <w:pPr>
        <w:jc w:val="center"/>
        <w:rPr>
          <w:rFonts w:eastAsiaTheme="minorHAnsi" w:cstheme="minorBidi"/>
          <w:b/>
          <w:szCs w:val="24"/>
          <w:lang w:val="fr-CA" w:eastAsia="en-US"/>
        </w:rPr>
      </w:pPr>
      <w:r w:rsidRPr="00830A8C">
        <w:rPr>
          <w:rFonts w:eastAsiaTheme="minorHAnsi" w:cstheme="minorBidi"/>
          <w:b/>
          <w:szCs w:val="24"/>
          <w:lang w:val="fr-CA" w:eastAsia="en-US"/>
        </w:rPr>
        <w:t>dans le décret C.P. 2013-1105 en date du 22 octobre 2013</w:t>
      </w:r>
    </w:p>
    <w:p w:rsidR="00830A8C" w:rsidRPr="00830A8C" w:rsidRDefault="00830A8C" w:rsidP="00830A8C">
      <w:pPr>
        <w:rPr>
          <w:rFonts w:eastAsiaTheme="minorHAnsi" w:cstheme="minorBidi"/>
          <w:szCs w:val="24"/>
          <w:lang w:val="fr-CA" w:eastAsia="en-US"/>
        </w:rPr>
      </w:pPr>
    </w:p>
    <w:p w:rsidR="00830A8C" w:rsidRPr="00830A8C" w:rsidRDefault="00830A8C" w:rsidP="00830A8C">
      <w:pPr>
        <w:rPr>
          <w:rFonts w:eastAsiaTheme="minorHAnsi" w:cstheme="minorBidi"/>
          <w:szCs w:val="24"/>
          <w:lang w:val="fr-CA" w:eastAsia="en-US"/>
        </w:rPr>
      </w:pPr>
    </w:p>
    <w:p w:rsidR="00830A8C" w:rsidRPr="00830A8C" w:rsidRDefault="00830A8C" w:rsidP="00830A8C">
      <w:pPr>
        <w:jc w:val="center"/>
        <w:rPr>
          <w:rFonts w:eastAsiaTheme="minorHAnsi" w:cstheme="minorBidi"/>
          <w:b/>
          <w:smallCaps/>
          <w:szCs w:val="24"/>
          <w:lang w:val="fr-CA" w:eastAsia="en-US"/>
        </w:rPr>
      </w:pPr>
      <w:r w:rsidRPr="00830A8C">
        <w:rPr>
          <w:rFonts w:eastAsiaTheme="minorHAnsi" w:cstheme="minorBidi"/>
          <w:b/>
          <w:smallCaps/>
          <w:szCs w:val="24"/>
          <w:lang w:val="fr-CA" w:eastAsia="en-US"/>
        </w:rPr>
        <w:t>Traduction française officielle</w:t>
      </w:r>
    </w:p>
    <w:p w:rsidR="00830A8C" w:rsidRPr="00830A8C" w:rsidRDefault="00830A8C" w:rsidP="00830A8C">
      <w:pPr>
        <w:rPr>
          <w:rFonts w:eastAsiaTheme="minorHAnsi" w:cstheme="minorBidi"/>
          <w:szCs w:val="24"/>
          <w:lang w:val="fr-CA" w:eastAsia="en-US"/>
        </w:rPr>
      </w:pPr>
    </w:p>
    <w:p w:rsidR="00830A8C" w:rsidRPr="00830A8C" w:rsidRDefault="00830A8C" w:rsidP="00830A8C">
      <w:pPr>
        <w:rPr>
          <w:rFonts w:eastAsiaTheme="minorHAnsi" w:cstheme="minorBidi"/>
          <w:szCs w:val="24"/>
          <w:lang w:val="fr-CA" w:eastAsia="en-US"/>
        </w:rPr>
      </w:pPr>
      <w:r w:rsidRPr="00830A8C">
        <w:rPr>
          <w:rFonts w:eastAsiaTheme="minorHAnsi" w:cstheme="minorBidi"/>
          <w:b/>
          <w:smallCaps/>
          <w:szCs w:val="24"/>
          <w:lang w:val="fr-CA" w:eastAsia="en-US"/>
        </w:rPr>
        <w:t>Coram :</w:t>
      </w:r>
      <w:r w:rsidRPr="00830A8C">
        <w:rPr>
          <w:rFonts w:eastAsiaTheme="minorHAnsi" w:cstheme="minorBidi"/>
          <w:szCs w:val="24"/>
          <w:lang w:val="fr-CA" w:eastAsia="en-US"/>
        </w:rPr>
        <w:t xml:space="preserve"> La juge en chef McLachlin et les juges LeBel, Abella, Cromwell, Moldaver, Karakatsanis et Wagner</w:t>
      </w:r>
    </w:p>
    <w:p w:rsidR="00830A8C" w:rsidRPr="00830A8C" w:rsidRDefault="00830A8C" w:rsidP="00830A8C">
      <w:pPr>
        <w:rPr>
          <w:rFonts w:eastAsiaTheme="minorHAnsi" w:cstheme="minorBidi"/>
          <w:szCs w:val="24"/>
          <w:lang w:val="fr-CA"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30A8C" w:rsidRPr="00830A8C" w:rsidTr="00D63C38">
        <w:trPr>
          <w:cantSplit/>
        </w:trPr>
        <w:tc>
          <w:tcPr>
            <w:tcW w:w="3618" w:type="dxa"/>
          </w:tcPr>
          <w:p w:rsidR="00830A8C" w:rsidRPr="00830A8C" w:rsidRDefault="00830A8C" w:rsidP="00830A8C">
            <w:pPr>
              <w:rPr>
                <w:b/>
                <w:smallCaps/>
                <w:lang w:val="fr-CA"/>
              </w:rPr>
            </w:pPr>
            <w:r w:rsidRPr="00830A8C">
              <w:rPr>
                <w:b/>
                <w:smallCaps/>
                <w:lang w:val="fr-CA"/>
              </w:rPr>
              <w:t>Motifs conjoints :</w:t>
            </w:r>
          </w:p>
          <w:p w:rsidR="00830A8C" w:rsidRPr="00830A8C" w:rsidRDefault="00830A8C" w:rsidP="00830A8C">
            <w:pPr>
              <w:rPr>
                <w:lang w:val="fr-CA"/>
              </w:rPr>
            </w:pPr>
            <w:r w:rsidRPr="00830A8C">
              <w:rPr>
                <w:lang w:val="fr-CA"/>
              </w:rPr>
              <w:t>(par. 1 à 107)</w:t>
            </w:r>
          </w:p>
          <w:p w:rsidR="00830A8C" w:rsidRPr="00830A8C" w:rsidRDefault="00830A8C" w:rsidP="00830A8C">
            <w:pPr>
              <w:rPr>
                <w:lang w:val="fr-CA"/>
              </w:rPr>
            </w:pPr>
          </w:p>
          <w:p w:rsidR="00830A8C" w:rsidRPr="00830A8C" w:rsidRDefault="00830A8C" w:rsidP="00830A8C">
            <w:pPr>
              <w:rPr>
                <w:b/>
                <w:smallCaps/>
                <w:lang w:val="fr-CA"/>
              </w:rPr>
            </w:pPr>
            <w:r w:rsidRPr="00830A8C">
              <w:rPr>
                <w:b/>
                <w:smallCaps/>
                <w:lang w:val="fr-CA"/>
              </w:rPr>
              <w:t>Motifs dissidents :</w:t>
            </w:r>
          </w:p>
          <w:p w:rsidR="00830A8C" w:rsidRPr="00830A8C" w:rsidRDefault="00830A8C" w:rsidP="00830A8C">
            <w:pPr>
              <w:rPr>
                <w:lang w:val="fr-CA"/>
              </w:rPr>
            </w:pPr>
            <w:r w:rsidRPr="00830A8C">
              <w:rPr>
                <w:lang w:val="fr-CA"/>
              </w:rPr>
              <w:t>(par. 108 à 154)</w:t>
            </w:r>
          </w:p>
        </w:tc>
        <w:tc>
          <w:tcPr>
            <w:tcW w:w="5958" w:type="dxa"/>
          </w:tcPr>
          <w:p w:rsidR="00830A8C" w:rsidRDefault="00830A8C" w:rsidP="00830A8C">
            <w:pPr>
              <w:rPr>
                <w:lang w:val="fr-CA"/>
              </w:rPr>
            </w:pPr>
            <w:r w:rsidRPr="00830A8C">
              <w:rPr>
                <w:lang w:val="fr-CA"/>
              </w:rPr>
              <w:t xml:space="preserve">La juge en chef McLachlin et les juges LeBel, </w:t>
            </w:r>
          </w:p>
          <w:p w:rsidR="00830A8C" w:rsidRPr="00830A8C" w:rsidRDefault="00830A8C" w:rsidP="00830A8C">
            <w:pPr>
              <w:rPr>
                <w:lang w:val="fr-CA"/>
              </w:rPr>
            </w:pPr>
            <w:r w:rsidRPr="00830A8C">
              <w:rPr>
                <w:lang w:val="fr-CA"/>
              </w:rPr>
              <w:t>Abella, Cromwell, Karakatsanis et Wagner</w:t>
            </w:r>
          </w:p>
          <w:p w:rsidR="00830A8C" w:rsidRPr="00830A8C" w:rsidRDefault="00830A8C" w:rsidP="00830A8C">
            <w:pPr>
              <w:rPr>
                <w:lang w:val="fr-CA"/>
              </w:rPr>
            </w:pPr>
          </w:p>
          <w:p w:rsidR="00830A8C" w:rsidRPr="00830A8C" w:rsidRDefault="00830A8C" w:rsidP="00830A8C">
            <w:pPr>
              <w:rPr>
                <w:lang w:val="fr-CA"/>
              </w:rPr>
            </w:pPr>
            <w:r w:rsidRPr="00830A8C">
              <w:rPr>
                <w:lang w:val="fr-CA"/>
              </w:rPr>
              <w:t>Le juge Moldaver</w:t>
            </w:r>
          </w:p>
        </w:tc>
      </w:tr>
    </w:tbl>
    <w:p w:rsidR="00830A8C" w:rsidRPr="00830A8C" w:rsidRDefault="00830A8C" w:rsidP="00830A8C">
      <w:pPr>
        <w:rPr>
          <w:rFonts w:eastAsiaTheme="minorHAnsi" w:cstheme="minorBidi"/>
          <w:szCs w:val="24"/>
          <w:lang w:val="fr-CA" w:eastAsia="en-US"/>
        </w:rPr>
      </w:pPr>
      <w:r w:rsidRPr="00830A8C">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30" type="#_x0000_t32" style="position:absolute;margin-left:126.75pt;margin-top:14.5pt;width:197.25pt;height:0;z-index:251660288;mso-position-horizontal-relative:text;mso-position-vertical-relative:text" o:connectortype="straight"/>
        </w:pict>
      </w:r>
    </w:p>
    <w:p w:rsidR="00830A8C" w:rsidRDefault="00830A8C" w:rsidP="00830A8C">
      <w:pPr>
        <w:rPr>
          <w:lang w:val="fr-CA"/>
        </w:rPr>
      </w:pPr>
    </w:p>
    <w:p w:rsidR="004D7D95" w:rsidRPr="00F77463" w:rsidRDefault="00F77463" w:rsidP="006B5FE2">
      <w:pPr>
        <w:spacing w:after="720"/>
        <w:jc w:val="both"/>
        <w:rPr>
          <w:lang w:val="fr-CA"/>
        </w:rPr>
      </w:pPr>
      <w:r w:rsidRPr="00F77463">
        <w:rPr>
          <w:lang w:val="fr-CA"/>
        </w:rPr>
        <w:t xml:space="preserve">Renvoi relatif à la </w:t>
      </w:r>
      <w:r w:rsidRPr="00F77463">
        <w:rPr>
          <w:i/>
          <w:lang w:val="fr-CA"/>
        </w:rPr>
        <w:t>Loi sur la Cour suprême</w:t>
      </w:r>
      <w:r w:rsidRPr="00F77463">
        <w:rPr>
          <w:lang w:val="fr-CA"/>
        </w:rPr>
        <w:t>, art. 5 et 6</w:t>
      </w:r>
      <w:r>
        <w:rPr>
          <w:lang w:val="fr-CA"/>
        </w:rPr>
        <w:t>, 2014 CSC 21, [2014] 1 R.C.S. 433</w:t>
      </w:r>
    </w:p>
    <w:p w:rsidR="002D3C4B" w:rsidRPr="0019011E" w:rsidRDefault="005F203A" w:rsidP="006B5FE2">
      <w:pPr>
        <w:pStyle w:val="SCCLsocLastPartyInRole"/>
        <w:jc w:val="both"/>
        <w:rPr>
          <w:lang w:val="fr-CA"/>
        </w:rPr>
      </w:pPr>
      <w:r w:rsidRPr="0019011E">
        <w:rPr>
          <w:lang w:val="fr-CA"/>
        </w:rPr>
        <w:t>D</w:t>
      </w:r>
      <w:r w:rsidR="006C6AFF">
        <w:rPr>
          <w:lang w:val="fr-CA"/>
        </w:rPr>
        <w:t>ANS L’AFFAIRE DU renvoi par le g</w:t>
      </w:r>
      <w:r w:rsidRPr="0019011E">
        <w:rPr>
          <w:lang w:val="fr-CA"/>
        </w:rPr>
        <w:t>ouverneur en conseil concernant les art</w:t>
      </w:r>
      <w:r w:rsidR="008077A9">
        <w:rPr>
          <w:lang w:val="fr-CA"/>
        </w:rPr>
        <w:t xml:space="preserve">. </w:t>
      </w:r>
      <w:r w:rsidRPr="0019011E">
        <w:rPr>
          <w:lang w:val="fr-CA"/>
        </w:rPr>
        <w:t xml:space="preserve">5 et 6 de la </w:t>
      </w:r>
      <w:r w:rsidRPr="0019011E">
        <w:rPr>
          <w:i/>
          <w:lang w:val="fr-CA"/>
        </w:rPr>
        <w:t xml:space="preserve">Loi sur la Cour </w:t>
      </w:r>
      <w:r w:rsidR="000B22E7" w:rsidRPr="0019011E">
        <w:rPr>
          <w:i/>
          <w:lang w:val="fr-CA"/>
        </w:rPr>
        <w:t>s</w:t>
      </w:r>
      <w:r w:rsidRPr="0019011E">
        <w:rPr>
          <w:i/>
          <w:lang w:val="fr-CA"/>
        </w:rPr>
        <w:t>uprême</w:t>
      </w:r>
      <w:r w:rsidRPr="0019011E">
        <w:rPr>
          <w:lang w:val="fr-CA"/>
        </w:rPr>
        <w:t xml:space="preserve">, L.R.C. 1985, </w:t>
      </w:r>
      <w:r w:rsidR="006303ED" w:rsidRPr="0019011E">
        <w:rPr>
          <w:lang w:val="fr-CA"/>
        </w:rPr>
        <w:t>ch. </w:t>
      </w:r>
      <w:r w:rsidRPr="0019011E">
        <w:rPr>
          <w:lang w:val="fr-CA"/>
        </w:rPr>
        <w:t>S</w:t>
      </w:r>
      <w:r w:rsidR="006303ED" w:rsidRPr="0019011E">
        <w:rPr>
          <w:lang w:val="fr-CA"/>
        </w:rPr>
        <w:noBreakHyphen/>
      </w:r>
      <w:r w:rsidRPr="0019011E">
        <w:rPr>
          <w:lang w:val="fr-CA"/>
        </w:rPr>
        <w:t xml:space="preserve">26, </w:t>
      </w:r>
      <w:r w:rsidR="00966B40" w:rsidRPr="0019011E">
        <w:rPr>
          <w:lang w:val="fr-CA"/>
        </w:rPr>
        <w:t>institué aux termes du</w:t>
      </w:r>
      <w:r w:rsidRPr="0019011E">
        <w:rPr>
          <w:lang w:val="fr-CA"/>
        </w:rPr>
        <w:t xml:space="preserve"> décr</w:t>
      </w:r>
      <w:r w:rsidR="006303ED" w:rsidRPr="0019011E">
        <w:rPr>
          <w:lang w:val="fr-CA"/>
        </w:rPr>
        <w:t>et C.P. 2013</w:t>
      </w:r>
      <w:r w:rsidR="006303ED" w:rsidRPr="0019011E">
        <w:rPr>
          <w:lang w:val="fr-CA"/>
        </w:rPr>
        <w:noBreakHyphen/>
        <w:t>1105 en date du 22 </w:t>
      </w:r>
      <w:r w:rsidRPr="0019011E">
        <w:rPr>
          <w:lang w:val="fr-CA"/>
        </w:rPr>
        <w:t>octobre 2013</w:t>
      </w:r>
    </w:p>
    <w:p w:rsidR="004D7D95" w:rsidRPr="008B29FB" w:rsidRDefault="004D7D95" w:rsidP="006B5FE2">
      <w:pPr>
        <w:spacing w:after="240"/>
        <w:jc w:val="both"/>
        <w:rPr>
          <w:b/>
          <w:lang w:val="fr-CA"/>
        </w:rPr>
      </w:pPr>
      <w:r w:rsidRPr="0019011E">
        <w:rPr>
          <w:b/>
          <w:lang w:val="fr-CA"/>
        </w:rPr>
        <w:t>Répertorié</w:t>
      </w:r>
      <w:r w:rsidR="006303ED" w:rsidRPr="0019011E">
        <w:rPr>
          <w:b/>
          <w:lang w:val="fr-CA"/>
        </w:rPr>
        <w:t> :</w:t>
      </w:r>
      <w:r w:rsidRPr="0019011E">
        <w:rPr>
          <w:b/>
          <w:lang w:val="fr-CA"/>
        </w:rPr>
        <w:t> </w:t>
      </w:r>
      <w:r w:rsidR="00894511" w:rsidRPr="0019011E">
        <w:rPr>
          <w:b/>
          <w:lang w:val="fr-CA"/>
        </w:rPr>
        <w:t xml:space="preserve">Renvoi relatif à la </w:t>
      </w:r>
      <w:r w:rsidR="00894511" w:rsidRPr="0019011E">
        <w:rPr>
          <w:b/>
          <w:i/>
          <w:lang w:val="fr-CA"/>
        </w:rPr>
        <w:t xml:space="preserve">Loi sur la Cour </w:t>
      </w:r>
      <w:r w:rsidR="000B22E7" w:rsidRPr="0019011E">
        <w:rPr>
          <w:b/>
          <w:i/>
          <w:lang w:val="fr-CA"/>
        </w:rPr>
        <w:t>s</w:t>
      </w:r>
      <w:r w:rsidR="00894511" w:rsidRPr="0019011E">
        <w:rPr>
          <w:b/>
          <w:i/>
          <w:lang w:val="fr-CA"/>
        </w:rPr>
        <w:t>uprême</w:t>
      </w:r>
      <w:r w:rsidR="00894511" w:rsidRPr="0019011E">
        <w:rPr>
          <w:b/>
          <w:lang w:val="fr-CA"/>
        </w:rPr>
        <w:t xml:space="preserve">, </w:t>
      </w:r>
      <w:r w:rsidR="006303ED" w:rsidRPr="0019011E">
        <w:rPr>
          <w:b/>
          <w:lang w:val="fr-CA"/>
        </w:rPr>
        <w:t>art. </w:t>
      </w:r>
      <w:r w:rsidR="00894511" w:rsidRPr="0019011E">
        <w:rPr>
          <w:b/>
          <w:lang w:val="fr-CA"/>
        </w:rPr>
        <w:t>5 et 6</w:t>
      </w:r>
    </w:p>
    <w:p w:rsidR="004D7D95" w:rsidRPr="0019011E" w:rsidRDefault="00F62639" w:rsidP="006B5FE2">
      <w:pPr>
        <w:pStyle w:val="SCCSystemYear"/>
        <w:spacing w:after="720"/>
        <w:jc w:val="both"/>
        <w:rPr>
          <w:lang w:val="fr-CA"/>
        </w:rPr>
      </w:pPr>
      <w:r w:rsidRPr="0019011E">
        <w:rPr>
          <w:lang w:val="fr-CA"/>
        </w:rPr>
        <w:t>2014</w:t>
      </w:r>
      <w:r w:rsidR="00271FE8" w:rsidRPr="0019011E">
        <w:rPr>
          <w:lang w:val="fr-CA"/>
        </w:rPr>
        <w:t xml:space="preserve"> CSC 21</w:t>
      </w:r>
    </w:p>
    <w:p w:rsidR="004D7D95" w:rsidRPr="0019011E" w:rsidRDefault="004D7D95" w:rsidP="006B5FE2">
      <w:pPr>
        <w:spacing w:after="720"/>
        <w:jc w:val="both"/>
        <w:rPr>
          <w:lang w:val="fr-CA"/>
        </w:rPr>
      </w:pPr>
      <w:r w:rsidRPr="0019011E">
        <w:rPr>
          <w:lang w:val="fr-CA"/>
        </w:rPr>
        <w:t>N</w:t>
      </w:r>
      <w:r w:rsidRPr="0019011E">
        <w:rPr>
          <w:vertAlign w:val="superscript"/>
          <w:lang w:val="fr-CA"/>
        </w:rPr>
        <w:t>o</w:t>
      </w:r>
      <w:r w:rsidRPr="0019011E">
        <w:rPr>
          <w:lang w:val="fr-CA"/>
        </w:rPr>
        <w:t xml:space="preserve"> du greffe</w:t>
      </w:r>
      <w:r w:rsidR="006303ED" w:rsidRPr="0019011E">
        <w:rPr>
          <w:lang w:val="fr-CA"/>
        </w:rPr>
        <w:t> :</w:t>
      </w:r>
      <w:r w:rsidRPr="0019011E">
        <w:rPr>
          <w:lang w:val="fr-CA"/>
        </w:rPr>
        <w:t> 35586.</w:t>
      </w:r>
    </w:p>
    <w:p w:rsidR="004D7D95" w:rsidRPr="0019011E" w:rsidRDefault="009357EC" w:rsidP="006B5FE2">
      <w:pPr>
        <w:spacing w:after="720"/>
        <w:jc w:val="both"/>
        <w:rPr>
          <w:lang w:val="fr-CA"/>
        </w:rPr>
      </w:pPr>
      <w:r w:rsidRPr="0019011E">
        <w:rPr>
          <w:lang w:val="fr-CA"/>
        </w:rPr>
        <w:t>2014</w:t>
      </w:r>
      <w:r w:rsidR="006303ED" w:rsidRPr="0019011E">
        <w:rPr>
          <w:lang w:val="fr-CA"/>
        </w:rPr>
        <w:t> :</w:t>
      </w:r>
      <w:r w:rsidRPr="0019011E">
        <w:rPr>
          <w:lang w:val="fr-CA"/>
        </w:rPr>
        <w:t> </w:t>
      </w:r>
      <w:r w:rsidR="00F62639" w:rsidRPr="0019011E">
        <w:rPr>
          <w:lang w:val="fr-CA"/>
        </w:rPr>
        <w:t>15</w:t>
      </w:r>
      <w:r w:rsidRPr="0019011E">
        <w:rPr>
          <w:lang w:val="fr-CA"/>
        </w:rPr>
        <w:t> </w:t>
      </w:r>
      <w:r w:rsidR="00F62639" w:rsidRPr="0019011E">
        <w:rPr>
          <w:lang w:val="fr-CA"/>
        </w:rPr>
        <w:t>janvier</w:t>
      </w:r>
      <w:r w:rsidR="004D7D95" w:rsidRPr="0019011E">
        <w:rPr>
          <w:lang w:val="fr-CA"/>
        </w:rPr>
        <w:t xml:space="preserve">; </w:t>
      </w:r>
      <w:r w:rsidR="00325CBD" w:rsidRPr="0019011E">
        <w:rPr>
          <w:lang w:val="fr-CA"/>
        </w:rPr>
        <w:t>2014</w:t>
      </w:r>
      <w:r w:rsidR="006303ED" w:rsidRPr="0019011E">
        <w:rPr>
          <w:lang w:val="fr-CA"/>
        </w:rPr>
        <w:t> :</w:t>
      </w:r>
      <w:r w:rsidR="00325CBD" w:rsidRPr="0019011E">
        <w:rPr>
          <w:lang w:val="fr-CA"/>
        </w:rPr>
        <w:t> </w:t>
      </w:r>
      <w:r w:rsidR="00044DE4" w:rsidRPr="0019011E">
        <w:rPr>
          <w:lang w:val="fr-CA"/>
        </w:rPr>
        <w:t>21 mars</w:t>
      </w:r>
      <w:r w:rsidR="004D7D95" w:rsidRPr="0019011E">
        <w:rPr>
          <w:lang w:val="fr-CA"/>
        </w:rPr>
        <w:t>.</w:t>
      </w:r>
    </w:p>
    <w:p w:rsidR="004D7D95" w:rsidRPr="0019011E" w:rsidRDefault="004D7D95" w:rsidP="006B5FE2">
      <w:pPr>
        <w:spacing w:after="720"/>
        <w:jc w:val="both"/>
        <w:rPr>
          <w:lang w:val="fr-CA"/>
        </w:rPr>
      </w:pPr>
      <w:r w:rsidRPr="0019011E">
        <w:rPr>
          <w:lang w:val="fr-CA"/>
        </w:rPr>
        <w:t>Présents</w:t>
      </w:r>
      <w:r w:rsidR="006303ED" w:rsidRPr="0019011E">
        <w:rPr>
          <w:lang w:val="fr-CA"/>
        </w:rPr>
        <w:t> :</w:t>
      </w:r>
      <w:r w:rsidRPr="0019011E">
        <w:rPr>
          <w:lang w:val="fr-CA"/>
        </w:rPr>
        <w:t> La juge en chef McLachlin et les juges LeBel, Abella, Cromwell, Moldaver, Karakatsanis et Wagner.</w:t>
      </w:r>
    </w:p>
    <w:p w:rsidR="007A28DF" w:rsidRPr="0019011E" w:rsidRDefault="009357EC" w:rsidP="006B5FE2">
      <w:pPr>
        <w:pStyle w:val="SCCLowerCourtNameLowercase"/>
        <w:spacing w:after="720" w:line="240" w:lineRule="auto"/>
        <w:rPr>
          <w:lang w:val="fr-CA"/>
        </w:rPr>
      </w:pPr>
      <w:r w:rsidRPr="0019011E">
        <w:rPr>
          <w:lang w:val="fr-CA"/>
        </w:rPr>
        <w:lastRenderedPageBreak/>
        <w:t>renvoi par le gouverneur en conseil</w:t>
      </w:r>
    </w:p>
    <w:p w:rsidR="007A28DF" w:rsidRPr="0019011E" w:rsidRDefault="007A28DF" w:rsidP="006B5FE2">
      <w:pPr>
        <w:pStyle w:val="SCCNormalDoubleSpacing"/>
        <w:spacing w:before="480" w:after="480"/>
        <w:rPr>
          <w:i/>
          <w:lang w:val="fr-CA"/>
        </w:rPr>
      </w:pPr>
      <w:r w:rsidRPr="0019011E">
        <w:rPr>
          <w:i/>
          <w:lang w:val="fr-CA"/>
        </w:rPr>
        <w:tab/>
        <w:t xml:space="preserve">Tribunaux — Cour suprême du Canada — Juges — Conditions d’admissibilité à une nomination à la Cour suprême du Canada — Exigence que trois juges soient nommés parmi les juges de la Cour d’appel ou de la Cour supérieure de la province de Québec ou parmi les avocats inscrits </w:t>
      </w:r>
      <w:r w:rsidR="00332AE9" w:rsidRPr="0019011E">
        <w:rPr>
          <w:i/>
          <w:lang w:val="fr-CA"/>
        </w:rPr>
        <w:t>pendant</w:t>
      </w:r>
      <w:r w:rsidR="006303ED" w:rsidRPr="0019011E">
        <w:rPr>
          <w:i/>
          <w:lang w:val="fr-CA"/>
        </w:rPr>
        <w:t xml:space="preserve"> au moins 10 </w:t>
      </w:r>
      <w:r w:rsidRPr="0019011E">
        <w:rPr>
          <w:i/>
          <w:lang w:val="fr-CA"/>
        </w:rPr>
        <w:t>ans au Barreau du Québec — Un juge de la Cour d’appel fédérale qui a été autrefois inscrit au Barreau du Québec pendant plus de 10 ans est</w:t>
      </w:r>
      <w:r w:rsidR="006303ED" w:rsidRPr="0019011E">
        <w:rPr>
          <w:i/>
          <w:lang w:val="fr-CA"/>
        </w:rPr>
        <w:noBreakHyphen/>
      </w:r>
      <w:r w:rsidRPr="0019011E">
        <w:rPr>
          <w:i/>
          <w:lang w:val="fr-CA"/>
        </w:rPr>
        <w:t>il admissible</w:t>
      </w:r>
      <w:r w:rsidR="00464F99" w:rsidRPr="0019011E">
        <w:rPr>
          <w:i/>
          <w:lang w:val="fr-CA"/>
        </w:rPr>
        <w:t xml:space="preserve"> à une nomination à la Cour suprême du Canada? </w:t>
      </w:r>
      <w:r w:rsidRPr="0019011E">
        <w:rPr>
          <w:i/>
          <w:lang w:val="fr-CA"/>
        </w:rPr>
        <w:t xml:space="preserve">— </w:t>
      </w:r>
      <w:r w:rsidR="00464F99" w:rsidRPr="0019011E">
        <w:rPr>
          <w:i/>
          <w:lang w:val="fr-CA"/>
        </w:rPr>
        <w:t xml:space="preserve">Loi sur la </w:t>
      </w:r>
      <w:r w:rsidR="002574F9" w:rsidRPr="0019011E">
        <w:rPr>
          <w:i/>
          <w:lang w:val="fr-CA"/>
        </w:rPr>
        <w:t>Cour</w:t>
      </w:r>
      <w:r w:rsidR="00464F99" w:rsidRPr="0019011E">
        <w:rPr>
          <w:i/>
          <w:lang w:val="fr-CA"/>
        </w:rPr>
        <w:t xml:space="preserve"> suprême</w:t>
      </w:r>
      <w:r w:rsidRPr="0019011E">
        <w:rPr>
          <w:i/>
          <w:lang w:val="fr-CA"/>
        </w:rPr>
        <w:t xml:space="preserve">, </w:t>
      </w:r>
      <w:r w:rsidR="00464F99" w:rsidRPr="0019011E">
        <w:rPr>
          <w:i/>
          <w:lang w:val="fr-CA"/>
        </w:rPr>
        <w:t>L.</w:t>
      </w:r>
      <w:r w:rsidRPr="0019011E">
        <w:rPr>
          <w:i/>
          <w:lang w:val="fr-CA"/>
        </w:rPr>
        <w:t>R.</w:t>
      </w:r>
      <w:r w:rsidR="00464F99" w:rsidRPr="0019011E">
        <w:rPr>
          <w:i/>
          <w:lang w:val="fr-CA"/>
        </w:rPr>
        <w:t>C.</w:t>
      </w:r>
      <w:r w:rsidRPr="0019011E">
        <w:rPr>
          <w:i/>
          <w:lang w:val="fr-CA"/>
        </w:rPr>
        <w:t xml:space="preserve"> 1985, </w:t>
      </w:r>
      <w:r w:rsidR="006303ED" w:rsidRPr="0019011E">
        <w:rPr>
          <w:i/>
          <w:lang w:val="fr-CA"/>
        </w:rPr>
        <w:t>ch. </w:t>
      </w:r>
      <w:r w:rsidRPr="0019011E">
        <w:rPr>
          <w:i/>
          <w:lang w:val="fr-CA"/>
        </w:rPr>
        <w:t>S</w:t>
      </w:r>
      <w:r w:rsidR="006303ED" w:rsidRPr="0019011E">
        <w:rPr>
          <w:i/>
          <w:lang w:val="fr-CA"/>
        </w:rPr>
        <w:noBreakHyphen/>
      </w:r>
      <w:r w:rsidRPr="0019011E">
        <w:rPr>
          <w:i/>
          <w:lang w:val="fr-CA"/>
        </w:rPr>
        <w:t xml:space="preserve">26, </w:t>
      </w:r>
      <w:r w:rsidR="006303ED" w:rsidRPr="0019011E">
        <w:rPr>
          <w:i/>
          <w:lang w:val="fr-CA"/>
        </w:rPr>
        <w:t>art. </w:t>
      </w:r>
      <w:r w:rsidRPr="0019011E">
        <w:rPr>
          <w:i/>
          <w:lang w:val="fr-CA"/>
        </w:rPr>
        <w:t>5, 6.</w:t>
      </w:r>
    </w:p>
    <w:p w:rsidR="007A28DF" w:rsidRPr="0019011E" w:rsidRDefault="007A28DF" w:rsidP="006B5FE2">
      <w:pPr>
        <w:pStyle w:val="SCCNormalDoubleSpacing"/>
        <w:spacing w:before="480" w:after="480"/>
        <w:rPr>
          <w:i/>
          <w:lang w:val="fr-CA"/>
        </w:rPr>
      </w:pPr>
      <w:r w:rsidRPr="0019011E">
        <w:rPr>
          <w:i/>
          <w:lang w:val="fr-CA"/>
        </w:rPr>
        <w:tab/>
      </w:r>
      <w:r w:rsidR="00464F99" w:rsidRPr="0019011E">
        <w:rPr>
          <w:i/>
          <w:lang w:val="fr-CA"/>
        </w:rPr>
        <w:t xml:space="preserve">Droit constitutionnel </w:t>
      </w:r>
      <w:r w:rsidRPr="0019011E">
        <w:rPr>
          <w:i/>
          <w:lang w:val="fr-CA"/>
        </w:rPr>
        <w:t xml:space="preserve">— </w:t>
      </w:r>
      <w:r w:rsidR="00464F99" w:rsidRPr="0019011E">
        <w:rPr>
          <w:i/>
          <w:lang w:val="fr-CA"/>
        </w:rPr>
        <w:t xml:space="preserve">Modification </w:t>
      </w:r>
      <w:r w:rsidR="00424C1A" w:rsidRPr="0019011E">
        <w:rPr>
          <w:i/>
          <w:lang w:val="fr-CA"/>
        </w:rPr>
        <w:t>de</w:t>
      </w:r>
      <w:r w:rsidR="00464F99" w:rsidRPr="0019011E">
        <w:rPr>
          <w:i/>
          <w:lang w:val="fr-CA"/>
        </w:rPr>
        <w:t xml:space="preserve"> la Constitution</w:t>
      </w:r>
      <w:r w:rsidRPr="0019011E">
        <w:rPr>
          <w:i/>
          <w:lang w:val="fr-CA"/>
        </w:rPr>
        <w:t xml:space="preserve"> — Composition </w:t>
      </w:r>
      <w:r w:rsidR="00464F99" w:rsidRPr="0019011E">
        <w:rPr>
          <w:i/>
          <w:lang w:val="fr-CA"/>
        </w:rPr>
        <w:t>de la Cour suprême du Canada</w:t>
      </w:r>
      <w:r w:rsidRPr="0019011E">
        <w:rPr>
          <w:i/>
          <w:lang w:val="fr-CA"/>
        </w:rPr>
        <w:t xml:space="preserve"> — </w:t>
      </w:r>
      <w:r w:rsidR="00464F99" w:rsidRPr="0019011E">
        <w:rPr>
          <w:i/>
          <w:lang w:val="fr-CA"/>
        </w:rPr>
        <w:t>Le Parlement agissant seul peut</w:t>
      </w:r>
      <w:r w:rsidR="006303ED" w:rsidRPr="0019011E">
        <w:rPr>
          <w:i/>
          <w:lang w:val="fr-CA"/>
        </w:rPr>
        <w:noBreakHyphen/>
      </w:r>
      <w:r w:rsidR="00464F99" w:rsidRPr="0019011E">
        <w:rPr>
          <w:i/>
          <w:lang w:val="fr-CA"/>
        </w:rPr>
        <w:t xml:space="preserve">il légiférer pour permettre la nomination d’un ancien membre du Barreau du Québec à un poste de juge de la Cour réservé au Québec? </w:t>
      </w:r>
      <w:r w:rsidRPr="0019011E">
        <w:rPr>
          <w:i/>
          <w:lang w:val="fr-CA"/>
        </w:rPr>
        <w:t xml:space="preserve">— </w:t>
      </w:r>
      <w:r w:rsidR="00464F99" w:rsidRPr="0019011E">
        <w:rPr>
          <w:i/>
          <w:lang w:val="fr-CA"/>
        </w:rPr>
        <w:t xml:space="preserve">Loi constitutionnelle de 1982, </w:t>
      </w:r>
      <w:r w:rsidR="006303ED" w:rsidRPr="0019011E">
        <w:rPr>
          <w:i/>
          <w:lang w:val="fr-CA"/>
        </w:rPr>
        <w:t>art. </w:t>
      </w:r>
      <w:r w:rsidR="00464F99" w:rsidRPr="0019011E">
        <w:rPr>
          <w:i/>
          <w:lang w:val="fr-CA"/>
        </w:rPr>
        <w:t>41</w:t>
      </w:r>
      <w:r w:rsidRPr="0019011E">
        <w:rPr>
          <w:i/>
          <w:lang w:val="fr-CA"/>
        </w:rPr>
        <w:t>d)</w:t>
      </w:r>
      <w:r w:rsidR="00871FD8">
        <w:rPr>
          <w:i/>
          <w:lang w:val="fr-CA"/>
        </w:rPr>
        <w:t xml:space="preserve"> —</w:t>
      </w:r>
      <w:r w:rsidRPr="0019011E">
        <w:rPr>
          <w:i/>
          <w:lang w:val="fr-CA"/>
        </w:rPr>
        <w:t xml:space="preserve"> </w:t>
      </w:r>
      <w:r w:rsidR="00464F99" w:rsidRPr="0019011E">
        <w:rPr>
          <w:i/>
          <w:lang w:val="fr-CA"/>
        </w:rPr>
        <w:t xml:space="preserve">Loi sur la </w:t>
      </w:r>
      <w:r w:rsidR="002574F9" w:rsidRPr="0019011E">
        <w:rPr>
          <w:i/>
          <w:lang w:val="fr-CA"/>
        </w:rPr>
        <w:t>Cour</w:t>
      </w:r>
      <w:r w:rsidR="00464F99" w:rsidRPr="0019011E">
        <w:rPr>
          <w:i/>
          <w:lang w:val="fr-CA"/>
        </w:rPr>
        <w:t xml:space="preserve"> suprême, L.R.C. 1985, </w:t>
      </w:r>
      <w:r w:rsidR="006303ED" w:rsidRPr="0019011E">
        <w:rPr>
          <w:i/>
          <w:lang w:val="fr-CA"/>
        </w:rPr>
        <w:t>ch. </w:t>
      </w:r>
      <w:r w:rsidR="00464F99" w:rsidRPr="0019011E">
        <w:rPr>
          <w:i/>
          <w:lang w:val="fr-CA"/>
        </w:rPr>
        <w:t>S</w:t>
      </w:r>
      <w:r w:rsidR="006303ED" w:rsidRPr="0019011E">
        <w:rPr>
          <w:i/>
          <w:lang w:val="fr-CA"/>
        </w:rPr>
        <w:noBreakHyphen/>
      </w:r>
      <w:r w:rsidR="00464F99" w:rsidRPr="0019011E">
        <w:rPr>
          <w:i/>
          <w:lang w:val="fr-CA"/>
        </w:rPr>
        <w:t xml:space="preserve">26, </w:t>
      </w:r>
      <w:r w:rsidR="006303ED" w:rsidRPr="0019011E">
        <w:rPr>
          <w:i/>
          <w:lang w:val="fr-CA"/>
        </w:rPr>
        <w:t>art. </w:t>
      </w:r>
      <w:r w:rsidRPr="0019011E">
        <w:rPr>
          <w:i/>
          <w:lang w:val="fr-CA"/>
        </w:rPr>
        <w:t>5.1, 6.1.</w:t>
      </w:r>
    </w:p>
    <w:p w:rsidR="007A28DF" w:rsidRPr="0019011E" w:rsidRDefault="007A28DF" w:rsidP="006B5FE2">
      <w:pPr>
        <w:pStyle w:val="SCCNormalDoubleSpacing"/>
        <w:spacing w:before="480" w:after="480"/>
        <w:rPr>
          <w:lang w:val="fr-CA"/>
        </w:rPr>
      </w:pPr>
      <w:r w:rsidRPr="0019011E">
        <w:rPr>
          <w:lang w:val="fr-CA"/>
        </w:rPr>
        <w:tab/>
      </w:r>
      <w:r w:rsidR="00464F99" w:rsidRPr="0019011E">
        <w:rPr>
          <w:lang w:val="fr-CA"/>
        </w:rPr>
        <w:t xml:space="preserve">L’honorable </w:t>
      </w:r>
      <w:r w:rsidRPr="0019011E">
        <w:rPr>
          <w:lang w:val="fr-CA"/>
        </w:rPr>
        <w:t xml:space="preserve">Marc Nadon, </w:t>
      </w:r>
      <w:r w:rsidR="00464F99" w:rsidRPr="0019011E">
        <w:rPr>
          <w:lang w:val="fr-CA"/>
        </w:rPr>
        <w:t>juge surnuméraire de la Cour d’appel fédérale et ancien membre du Barreau du Québec pendant plus de 10 ans</w:t>
      </w:r>
      <w:r w:rsidR="00424C1A" w:rsidRPr="0019011E">
        <w:rPr>
          <w:lang w:val="fr-CA"/>
        </w:rPr>
        <w:t>,</w:t>
      </w:r>
      <w:r w:rsidR="00464F99" w:rsidRPr="0019011E">
        <w:rPr>
          <w:lang w:val="fr-CA"/>
        </w:rPr>
        <w:t xml:space="preserve"> a été nommé juge de la Cour suprême du Canada pour la province de Québec en vertu de l’</w:t>
      </w:r>
      <w:r w:rsidR="006303ED" w:rsidRPr="0019011E">
        <w:rPr>
          <w:lang w:val="fr-CA"/>
        </w:rPr>
        <w:t>art. </w:t>
      </w:r>
      <w:r w:rsidR="00464F99" w:rsidRPr="0019011E">
        <w:rPr>
          <w:lang w:val="fr-CA"/>
        </w:rPr>
        <w:t xml:space="preserve">6 de la </w:t>
      </w:r>
      <w:r w:rsidR="00464F99" w:rsidRPr="0019011E">
        <w:rPr>
          <w:i/>
          <w:lang w:val="fr-CA"/>
        </w:rPr>
        <w:t xml:space="preserve">Loi sur la </w:t>
      </w:r>
      <w:r w:rsidR="002574F9" w:rsidRPr="0019011E">
        <w:rPr>
          <w:i/>
          <w:lang w:val="fr-CA"/>
        </w:rPr>
        <w:t>Cour</w:t>
      </w:r>
      <w:r w:rsidR="00464F99" w:rsidRPr="0019011E">
        <w:rPr>
          <w:i/>
          <w:lang w:val="fr-CA"/>
        </w:rPr>
        <w:t xml:space="preserve"> suprême</w:t>
      </w:r>
      <w:r w:rsidR="00464F99" w:rsidRPr="0019011E">
        <w:rPr>
          <w:lang w:val="fr-CA"/>
        </w:rPr>
        <w:t xml:space="preserve"> (« Loi »</w:t>
      </w:r>
      <w:r w:rsidRPr="0019011E">
        <w:rPr>
          <w:lang w:val="fr-CA"/>
        </w:rPr>
        <w:t xml:space="preserve">). </w:t>
      </w:r>
      <w:r w:rsidR="00464F99" w:rsidRPr="0019011E">
        <w:rPr>
          <w:lang w:val="fr-CA"/>
        </w:rPr>
        <w:t>L’</w:t>
      </w:r>
      <w:r w:rsidR="002574F9" w:rsidRPr="0019011E">
        <w:rPr>
          <w:lang w:val="fr-CA"/>
        </w:rPr>
        <w:t>article </w:t>
      </w:r>
      <w:r w:rsidR="00464F99" w:rsidRPr="0019011E">
        <w:rPr>
          <w:lang w:val="fr-CA"/>
        </w:rPr>
        <w:t>6 précise qu’au moins trois des neuf juges nommés à la Cour « sont choisis parmi les juges de la Cour d’appel ou de la Cour supérieure de la province de Québec ou parmi les avocats de celle</w:t>
      </w:r>
      <w:r w:rsidR="006303ED" w:rsidRPr="0019011E">
        <w:rPr>
          <w:lang w:val="fr-CA"/>
        </w:rPr>
        <w:noBreakHyphen/>
      </w:r>
      <w:r w:rsidR="00245DE9">
        <w:rPr>
          <w:lang w:val="fr-CA"/>
        </w:rPr>
        <w:t>ci</w:t>
      </w:r>
      <w:r w:rsidR="00464F99" w:rsidRPr="0019011E">
        <w:rPr>
          <w:lang w:val="fr-CA"/>
        </w:rPr>
        <w:t> »</w:t>
      </w:r>
      <w:r w:rsidR="00245DE9">
        <w:rPr>
          <w:lang w:val="fr-CA"/>
        </w:rPr>
        <w:t>.</w:t>
      </w:r>
      <w:r w:rsidRPr="0019011E">
        <w:rPr>
          <w:lang w:val="fr-CA"/>
        </w:rPr>
        <w:t xml:space="preserve"> </w:t>
      </w:r>
    </w:p>
    <w:p w:rsidR="007A28DF" w:rsidRPr="0019011E" w:rsidRDefault="007A28DF" w:rsidP="006B5FE2">
      <w:pPr>
        <w:pStyle w:val="SCCNormalDoubleSpacing"/>
        <w:spacing w:before="480" w:after="480"/>
        <w:rPr>
          <w:lang w:val="fr-CA"/>
        </w:rPr>
      </w:pPr>
      <w:r w:rsidRPr="0019011E">
        <w:rPr>
          <w:lang w:val="fr-CA"/>
        </w:rPr>
        <w:lastRenderedPageBreak/>
        <w:tab/>
      </w:r>
      <w:r w:rsidR="00464F99" w:rsidRPr="0019011E">
        <w:rPr>
          <w:lang w:val="fr-CA"/>
        </w:rPr>
        <w:t>Après la contestation de la nomi</w:t>
      </w:r>
      <w:r w:rsidR="00DA4B71">
        <w:rPr>
          <w:lang w:val="fr-CA"/>
        </w:rPr>
        <w:t>nation du juge Nadon devant la C</w:t>
      </w:r>
      <w:r w:rsidR="00464F99" w:rsidRPr="0019011E">
        <w:rPr>
          <w:lang w:val="fr-CA"/>
        </w:rPr>
        <w:t xml:space="preserve">our fédérale du Canada, le gouverneur </w:t>
      </w:r>
      <w:r w:rsidR="00BF1640">
        <w:rPr>
          <w:lang w:val="fr-CA"/>
        </w:rPr>
        <w:t xml:space="preserve">général </w:t>
      </w:r>
      <w:r w:rsidR="00464F99" w:rsidRPr="0019011E">
        <w:rPr>
          <w:lang w:val="fr-CA"/>
        </w:rPr>
        <w:t>en conseil a soumis les questions suivantes</w:t>
      </w:r>
      <w:r w:rsidR="00BE0FBE" w:rsidRPr="0019011E">
        <w:rPr>
          <w:lang w:val="fr-CA"/>
        </w:rPr>
        <w:t xml:space="preserve"> au jugement de la Cour en vertu de l’</w:t>
      </w:r>
      <w:r w:rsidR="006303ED" w:rsidRPr="0019011E">
        <w:rPr>
          <w:lang w:val="fr-CA"/>
        </w:rPr>
        <w:t>art. </w:t>
      </w:r>
      <w:r w:rsidR="00BE0FBE" w:rsidRPr="0019011E">
        <w:rPr>
          <w:lang w:val="fr-CA"/>
        </w:rPr>
        <w:t>53 de la Loi</w:t>
      </w:r>
      <w:r w:rsidR="006303ED" w:rsidRPr="0019011E">
        <w:rPr>
          <w:lang w:val="fr-CA"/>
        </w:rPr>
        <w:t> :</w:t>
      </w:r>
      <w:r w:rsidR="00BE0FBE" w:rsidRPr="0019011E">
        <w:rPr>
          <w:lang w:val="fr-CA"/>
        </w:rPr>
        <w:t xml:space="preserve"> </w:t>
      </w:r>
      <w:r w:rsidRPr="0019011E">
        <w:rPr>
          <w:lang w:val="fr-CA"/>
        </w:rPr>
        <w:t xml:space="preserve"> </w:t>
      </w:r>
    </w:p>
    <w:p w:rsidR="007A28DF" w:rsidRPr="0019011E" w:rsidRDefault="006303ED" w:rsidP="00BF1640">
      <w:pPr>
        <w:pStyle w:val="SCCNormalDoubleSpacing"/>
        <w:tabs>
          <w:tab w:val="clear" w:pos="1168"/>
          <w:tab w:val="left" w:pos="1440"/>
        </w:tabs>
        <w:spacing w:after="240" w:line="240" w:lineRule="auto"/>
        <w:ind w:left="1170"/>
        <w:rPr>
          <w:lang w:val="fr-CA"/>
        </w:rPr>
      </w:pPr>
      <w:r w:rsidRPr="0019011E">
        <w:rPr>
          <w:lang w:val="fr-CA"/>
        </w:rPr>
        <w:t>1.</w:t>
      </w:r>
      <w:r w:rsidRPr="0019011E">
        <w:rPr>
          <w:lang w:val="fr-CA"/>
        </w:rPr>
        <w:tab/>
      </w:r>
      <w:r w:rsidR="00BE0FBE" w:rsidRPr="0019011E">
        <w:rPr>
          <w:lang w:val="fr-CA"/>
        </w:rPr>
        <w:t>Une personne qui a autrefois été inscrite comme avocat pendant au moins dix ans au Barreau du Québec peut</w:t>
      </w:r>
      <w:r w:rsidRPr="0019011E">
        <w:rPr>
          <w:lang w:val="fr-CA"/>
        </w:rPr>
        <w:noBreakHyphen/>
      </w:r>
      <w:r w:rsidR="00BE0FBE" w:rsidRPr="0019011E">
        <w:rPr>
          <w:lang w:val="fr-CA"/>
        </w:rPr>
        <w:t xml:space="preserve">elle être nommée à la Cour suprême du Canada à titre de juge de la Cour suprême pour le Québec conformément aux </w:t>
      </w:r>
      <w:r w:rsidR="002574F9" w:rsidRPr="0019011E">
        <w:rPr>
          <w:lang w:val="fr-CA"/>
        </w:rPr>
        <w:t>articles </w:t>
      </w:r>
      <w:r w:rsidR="00BE0FBE" w:rsidRPr="0019011E">
        <w:rPr>
          <w:lang w:val="fr-CA"/>
        </w:rPr>
        <w:t xml:space="preserve">5 et 6 de la </w:t>
      </w:r>
      <w:r w:rsidR="00BE0FBE" w:rsidRPr="0019011E">
        <w:rPr>
          <w:i/>
          <w:lang w:val="fr-CA"/>
        </w:rPr>
        <w:t>Loi sur la Cour suprême</w:t>
      </w:r>
      <w:r w:rsidR="007A28DF" w:rsidRPr="0019011E">
        <w:rPr>
          <w:lang w:val="fr-CA"/>
        </w:rPr>
        <w:t>?</w:t>
      </w:r>
    </w:p>
    <w:p w:rsidR="007A28DF" w:rsidRPr="0019011E" w:rsidRDefault="006303ED" w:rsidP="00BF1640">
      <w:pPr>
        <w:pStyle w:val="SCCNormalDoubleSpacing"/>
        <w:tabs>
          <w:tab w:val="clear" w:pos="1168"/>
          <w:tab w:val="left" w:pos="1440"/>
        </w:tabs>
        <w:spacing w:after="240" w:line="240" w:lineRule="auto"/>
        <w:ind w:left="1170"/>
        <w:rPr>
          <w:lang w:val="fr-CA"/>
        </w:rPr>
      </w:pPr>
      <w:r w:rsidRPr="0019011E">
        <w:rPr>
          <w:lang w:val="fr-CA"/>
        </w:rPr>
        <w:t>2.</w:t>
      </w:r>
      <w:r w:rsidRPr="0019011E">
        <w:rPr>
          <w:lang w:val="fr-CA"/>
        </w:rPr>
        <w:tab/>
      </w:r>
      <w:r w:rsidR="00BE0FBE" w:rsidRPr="0019011E">
        <w:rPr>
          <w:lang w:val="fr-CA"/>
        </w:rPr>
        <w:t>Le Parlement peut</w:t>
      </w:r>
      <w:r w:rsidRPr="0019011E">
        <w:rPr>
          <w:lang w:val="fr-CA"/>
        </w:rPr>
        <w:noBreakHyphen/>
      </w:r>
      <w:r w:rsidR="00BE0FBE" w:rsidRPr="0019011E">
        <w:rPr>
          <w:lang w:val="fr-CA"/>
        </w:rPr>
        <w:t xml:space="preserve">il légiférer pour exiger, à titre de condition de sa nomination au poste de juge de la Cour suprême du Canada, qu’une personne soit ou ait été inscrite comme avocat au barreau d’une province pendant au moins dix ans ou adopter des dispositions déclaratoires telles que celles prévues aux </w:t>
      </w:r>
      <w:r w:rsidR="002574F9" w:rsidRPr="0019011E">
        <w:rPr>
          <w:lang w:val="fr-CA"/>
        </w:rPr>
        <w:t>articles </w:t>
      </w:r>
      <w:r w:rsidR="00BE0FBE" w:rsidRPr="0019011E">
        <w:rPr>
          <w:lang w:val="fr-CA"/>
        </w:rPr>
        <w:t xml:space="preserve">471 et 472 du projet de loi intitulé </w:t>
      </w:r>
      <w:r w:rsidR="00BE0FBE" w:rsidRPr="0019011E">
        <w:rPr>
          <w:i/>
          <w:lang w:val="fr-CA"/>
        </w:rPr>
        <w:t xml:space="preserve">Loi </w:t>
      </w:r>
      <w:r w:rsidR="002574F9" w:rsidRPr="0019011E">
        <w:rPr>
          <w:i/>
          <w:lang w:val="fr-CA"/>
        </w:rPr>
        <w:t>n</w:t>
      </w:r>
      <w:r w:rsidR="002574F9" w:rsidRPr="00BF1640">
        <w:rPr>
          <w:i/>
          <w:vertAlign w:val="superscript"/>
          <w:lang w:val="fr-CA"/>
        </w:rPr>
        <w:t>o</w:t>
      </w:r>
      <w:r w:rsidR="002574F9" w:rsidRPr="0019011E">
        <w:rPr>
          <w:i/>
          <w:lang w:val="fr-CA"/>
        </w:rPr>
        <w:t> </w:t>
      </w:r>
      <w:r w:rsidR="00BE0FBE" w:rsidRPr="0019011E">
        <w:rPr>
          <w:i/>
          <w:lang w:val="fr-CA"/>
        </w:rPr>
        <w:t>2 sur le plan d’action économique de 2013</w:t>
      </w:r>
      <w:r w:rsidR="00BF1640">
        <w:rPr>
          <w:lang w:val="fr-CA"/>
        </w:rPr>
        <w:t>, ci-annexé</w:t>
      </w:r>
      <w:r w:rsidR="007A28DF" w:rsidRPr="0019011E">
        <w:rPr>
          <w:lang w:val="fr-CA"/>
        </w:rPr>
        <w:t>?</w:t>
      </w:r>
    </w:p>
    <w:p w:rsidR="007A28DF" w:rsidRPr="0019011E" w:rsidRDefault="007A28DF" w:rsidP="006B5FE2">
      <w:pPr>
        <w:pStyle w:val="SCCNormalDoubleSpacing"/>
        <w:spacing w:before="480" w:after="480"/>
        <w:rPr>
          <w:lang w:val="fr-CA"/>
        </w:rPr>
      </w:pPr>
      <w:r w:rsidRPr="0019011E">
        <w:rPr>
          <w:lang w:val="fr-CA"/>
        </w:rPr>
        <w:tab/>
      </w:r>
      <w:r w:rsidR="00BE0FBE" w:rsidRPr="0019011E">
        <w:rPr>
          <w:lang w:val="fr-CA"/>
        </w:rPr>
        <w:t xml:space="preserve">Les </w:t>
      </w:r>
      <w:r w:rsidR="006303ED" w:rsidRPr="0019011E">
        <w:rPr>
          <w:lang w:val="fr-CA"/>
        </w:rPr>
        <w:t>art</w:t>
      </w:r>
      <w:r w:rsidR="00BF1640">
        <w:rPr>
          <w:lang w:val="fr-CA"/>
        </w:rPr>
        <w:t>icles</w:t>
      </w:r>
      <w:r w:rsidR="006303ED" w:rsidRPr="0019011E">
        <w:rPr>
          <w:lang w:val="fr-CA"/>
        </w:rPr>
        <w:t> </w:t>
      </w:r>
      <w:r w:rsidRPr="0019011E">
        <w:rPr>
          <w:lang w:val="fr-CA"/>
        </w:rPr>
        <w:t xml:space="preserve">471 </w:t>
      </w:r>
      <w:r w:rsidR="00BE0FBE" w:rsidRPr="0019011E">
        <w:rPr>
          <w:lang w:val="fr-CA"/>
        </w:rPr>
        <w:t>et</w:t>
      </w:r>
      <w:r w:rsidRPr="0019011E">
        <w:rPr>
          <w:lang w:val="fr-CA"/>
        </w:rPr>
        <w:t xml:space="preserve"> 472 </w:t>
      </w:r>
      <w:r w:rsidR="00BE0FBE" w:rsidRPr="0019011E">
        <w:rPr>
          <w:lang w:val="fr-CA"/>
        </w:rPr>
        <w:t xml:space="preserve">du projet de loi intitulé </w:t>
      </w:r>
      <w:r w:rsidR="00BE0FBE" w:rsidRPr="0019011E">
        <w:rPr>
          <w:i/>
          <w:lang w:val="fr-CA"/>
        </w:rPr>
        <w:t xml:space="preserve">Loi </w:t>
      </w:r>
      <w:r w:rsidR="002574F9" w:rsidRPr="0019011E">
        <w:rPr>
          <w:i/>
          <w:lang w:val="fr-CA"/>
        </w:rPr>
        <w:t>n</w:t>
      </w:r>
      <w:r w:rsidR="002574F9" w:rsidRPr="00BF1640">
        <w:rPr>
          <w:i/>
          <w:vertAlign w:val="superscript"/>
          <w:lang w:val="fr-CA"/>
        </w:rPr>
        <w:t>o</w:t>
      </w:r>
      <w:r w:rsidR="002574F9" w:rsidRPr="0019011E">
        <w:rPr>
          <w:i/>
          <w:lang w:val="fr-CA"/>
        </w:rPr>
        <w:t> </w:t>
      </w:r>
      <w:r w:rsidR="00BE0FBE" w:rsidRPr="0019011E">
        <w:rPr>
          <w:i/>
          <w:lang w:val="fr-CA"/>
        </w:rPr>
        <w:t xml:space="preserve">2 sur le plan d’action économique de 2013 </w:t>
      </w:r>
      <w:r w:rsidR="00BE0FBE" w:rsidRPr="0019011E">
        <w:rPr>
          <w:lang w:val="fr-CA"/>
        </w:rPr>
        <w:t xml:space="preserve">ont reçu la sanction royale et sont devenus les </w:t>
      </w:r>
      <w:r w:rsidR="006303ED" w:rsidRPr="0019011E">
        <w:rPr>
          <w:lang w:val="fr-CA"/>
        </w:rPr>
        <w:t>art. </w:t>
      </w:r>
      <w:r w:rsidRPr="0019011E">
        <w:rPr>
          <w:lang w:val="fr-CA"/>
        </w:rPr>
        <w:t xml:space="preserve">5.1 </w:t>
      </w:r>
      <w:r w:rsidR="00BE0FBE" w:rsidRPr="0019011E">
        <w:rPr>
          <w:lang w:val="fr-CA"/>
        </w:rPr>
        <w:t>et</w:t>
      </w:r>
      <w:r w:rsidRPr="0019011E">
        <w:rPr>
          <w:lang w:val="fr-CA"/>
        </w:rPr>
        <w:t xml:space="preserve"> 6.1 </w:t>
      </w:r>
      <w:r w:rsidR="00BE0FBE" w:rsidRPr="0019011E">
        <w:rPr>
          <w:lang w:val="fr-CA"/>
        </w:rPr>
        <w:t>de la Loi</w:t>
      </w:r>
      <w:r w:rsidRPr="0019011E">
        <w:rPr>
          <w:lang w:val="fr-CA"/>
        </w:rPr>
        <w:t xml:space="preserve">. </w:t>
      </w:r>
      <w:r w:rsidR="00936D51" w:rsidRPr="0019011E">
        <w:rPr>
          <w:lang w:val="fr-CA"/>
        </w:rPr>
        <w:t xml:space="preserve">Les </w:t>
      </w:r>
      <w:r w:rsidR="002574F9" w:rsidRPr="0019011E">
        <w:rPr>
          <w:lang w:val="fr-CA"/>
        </w:rPr>
        <w:t>articles </w:t>
      </w:r>
      <w:r w:rsidRPr="0019011E">
        <w:rPr>
          <w:lang w:val="fr-CA"/>
        </w:rPr>
        <w:t xml:space="preserve">5.1 </w:t>
      </w:r>
      <w:r w:rsidR="00936D51" w:rsidRPr="0019011E">
        <w:rPr>
          <w:lang w:val="fr-CA"/>
        </w:rPr>
        <w:t>et</w:t>
      </w:r>
      <w:r w:rsidRPr="0019011E">
        <w:rPr>
          <w:lang w:val="fr-CA"/>
        </w:rPr>
        <w:t xml:space="preserve"> 6.1 </w:t>
      </w:r>
      <w:r w:rsidR="00936D51" w:rsidRPr="0019011E">
        <w:rPr>
          <w:lang w:val="fr-CA"/>
        </w:rPr>
        <w:t>précisent qu’un ancien membre</w:t>
      </w:r>
      <w:r w:rsidRPr="0019011E">
        <w:rPr>
          <w:lang w:val="fr-CA"/>
        </w:rPr>
        <w:t xml:space="preserve"> </w:t>
      </w:r>
      <w:r w:rsidR="00936D51" w:rsidRPr="0019011E">
        <w:rPr>
          <w:lang w:val="fr-CA"/>
        </w:rPr>
        <w:t>du barreau peut être nommé à la Cour en vertu de l’</w:t>
      </w:r>
      <w:r w:rsidR="006303ED" w:rsidRPr="0019011E">
        <w:rPr>
          <w:lang w:val="fr-CA"/>
        </w:rPr>
        <w:t>art. </w:t>
      </w:r>
      <w:r w:rsidR="00936D51" w:rsidRPr="0019011E">
        <w:rPr>
          <w:lang w:val="fr-CA"/>
        </w:rPr>
        <w:t>5 et qu’un ancien membre du Barreau du Québec est admissible à une nomination en vertu de l’</w:t>
      </w:r>
      <w:r w:rsidR="006303ED" w:rsidRPr="0019011E">
        <w:rPr>
          <w:lang w:val="fr-CA"/>
        </w:rPr>
        <w:t>art. </w:t>
      </w:r>
      <w:r w:rsidR="00936D51" w:rsidRPr="0019011E">
        <w:rPr>
          <w:lang w:val="fr-CA"/>
        </w:rPr>
        <w:t xml:space="preserve">6. </w:t>
      </w:r>
    </w:p>
    <w:p w:rsidR="007A28DF" w:rsidRPr="0019011E" w:rsidRDefault="007A28DF" w:rsidP="006B5FE2">
      <w:pPr>
        <w:pStyle w:val="SCCNormalDoubleSpacing"/>
        <w:spacing w:before="480" w:after="480"/>
        <w:rPr>
          <w:lang w:val="fr-CA"/>
        </w:rPr>
      </w:pPr>
      <w:r w:rsidRPr="0019011E">
        <w:rPr>
          <w:lang w:val="fr-CA"/>
        </w:rPr>
        <w:tab/>
      </w:r>
      <w:r w:rsidR="00E43EFC" w:rsidRPr="0019011E">
        <w:rPr>
          <w:i/>
          <w:lang w:val="fr-CA"/>
        </w:rPr>
        <w:t>Arrêt</w:t>
      </w:r>
      <w:r w:rsidRPr="00AE4ED2">
        <w:rPr>
          <w:lang w:val="fr-CA"/>
        </w:rPr>
        <w:t xml:space="preserve"> (</w:t>
      </w:r>
      <w:r w:rsidR="00E43EFC" w:rsidRPr="00AE4ED2">
        <w:rPr>
          <w:lang w:val="fr-CA"/>
        </w:rPr>
        <w:t xml:space="preserve">le juge </w:t>
      </w:r>
      <w:r w:rsidRPr="00AE4ED2">
        <w:rPr>
          <w:lang w:val="fr-CA"/>
        </w:rPr>
        <w:t xml:space="preserve">Moldaver </w:t>
      </w:r>
      <w:r w:rsidR="00E43EFC" w:rsidRPr="00AE4ED2">
        <w:rPr>
          <w:lang w:val="fr-CA"/>
        </w:rPr>
        <w:t>est dissident</w:t>
      </w:r>
      <w:r w:rsidRPr="00AE4ED2">
        <w:rPr>
          <w:lang w:val="fr-CA"/>
        </w:rPr>
        <w:t>)</w:t>
      </w:r>
      <w:r w:rsidR="006303ED" w:rsidRPr="00AE4ED2">
        <w:rPr>
          <w:lang w:val="fr-CA"/>
        </w:rPr>
        <w:t> :</w:t>
      </w:r>
      <w:r w:rsidRPr="00AE4ED2">
        <w:rPr>
          <w:lang w:val="fr-CA"/>
        </w:rPr>
        <w:t xml:space="preserve"> </w:t>
      </w:r>
      <w:r w:rsidR="00E43EFC" w:rsidRPr="0019011E">
        <w:rPr>
          <w:lang w:val="fr-CA"/>
        </w:rPr>
        <w:t xml:space="preserve">La </w:t>
      </w:r>
      <w:r w:rsidR="00BF1640">
        <w:rPr>
          <w:lang w:val="fr-CA"/>
        </w:rPr>
        <w:t>q</w:t>
      </w:r>
      <w:r w:rsidR="002574F9" w:rsidRPr="0019011E">
        <w:rPr>
          <w:lang w:val="fr-CA"/>
        </w:rPr>
        <w:t>uestion </w:t>
      </w:r>
      <w:r w:rsidRPr="0019011E">
        <w:rPr>
          <w:lang w:val="fr-CA"/>
        </w:rPr>
        <w:t xml:space="preserve">1 </w:t>
      </w:r>
      <w:r w:rsidR="00E43EFC" w:rsidRPr="0019011E">
        <w:rPr>
          <w:lang w:val="fr-CA"/>
        </w:rPr>
        <w:t>reçoit une réponse né</w:t>
      </w:r>
      <w:r w:rsidRPr="0019011E">
        <w:rPr>
          <w:lang w:val="fr-CA"/>
        </w:rPr>
        <w:t xml:space="preserve">gative. </w:t>
      </w:r>
      <w:r w:rsidR="005D7244" w:rsidRPr="0019011E">
        <w:rPr>
          <w:lang w:val="fr-CA"/>
        </w:rPr>
        <w:t xml:space="preserve"> </w:t>
      </w:r>
      <w:r w:rsidR="00E43EFC" w:rsidRPr="0019011E">
        <w:rPr>
          <w:lang w:val="fr-CA"/>
        </w:rPr>
        <w:t xml:space="preserve">La </w:t>
      </w:r>
      <w:r w:rsidR="00BF1640">
        <w:rPr>
          <w:lang w:val="fr-CA"/>
        </w:rPr>
        <w:t>q</w:t>
      </w:r>
      <w:r w:rsidR="002574F9" w:rsidRPr="0019011E">
        <w:rPr>
          <w:lang w:val="fr-CA"/>
        </w:rPr>
        <w:t>uestion </w:t>
      </w:r>
      <w:r w:rsidRPr="0019011E">
        <w:rPr>
          <w:lang w:val="fr-CA"/>
        </w:rPr>
        <w:t xml:space="preserve">2 </w:t>
      </w:r>
      <w:r w:rsidR="00E43EFC" w:rsidRPr="0019011E">
        <w:rPr>
          <w:lang w:val="fr-CA"/>
        </w:rPr>
        <w:t xml:space="preserve">reçoit une réponse négative pour ce qui est des trois postes réservés au </w:t>
      </w:r>
      <w:r w:rsidR="00BF1640">
        <w:rPr>
          <w:lang w:val="fr-CA"/>
        </w:rPr>
        <w:t>Q</w:t>
      </w:r>
      <w:r w:rsidR="00E43EFC" w:rsidRPr="0019011E">
        <w:rPr>
          <w:lang w:val="fr-CA"/>
        </w:rPr>
        <w:t>uébec et de la disposition déclaratoire énoncée dans l’art</w:t>
      </w:r>
      <w:r w:rsidR="00871FD8">
        <w:rPr>
          <w:lang w:val="fr-CA"/>
        </w:rPr>
        <w:t>.</w:t>
      </w:r>
      <w:r w:rsidR="00E43EFC" w:rsidRPr="0019011E">
        <w:rPr>
          <w:lang w:val="fr-CA"/>
        </w:rPr>
        <w:t xml:space="preserve"> 472.  Elle reçoit une réponse </w:t>
      </w:r>
      <w:r w:rsidR="009169A1">
        <w:rPr>
          <w:lang w:val="fr-CA"/>
        </w:rPr>
        <w:t>affirmativ</w:t>
      </w:r>
      <w:r w:rsidR="00E43EFC" w:rsidRPr="0019011E">
        <w:rPr>
          <w:lang w:val="fr-CA"/>
        </w:rPr>
        <w:t>e concernant l’</w:t>
      </w:r>
      <w:r w:rsidR="002574F9" w:rsidRPr="0019011E">
        <w:rPr>
          <w:lang w:val="fr-CA"/>
        </w:rPr>
        <w:t>art</w:t>
      </w:r>
      <w:r w:rsidR="00871FD8">
        <w:rPr>
          <w:lang w:val="fr-CA"/>
        </w:rPr>
        <w:t>.</w:t>
      </w:r>
      <w:r w:rsidR="002574F9" w:rsidRPr="0019011E">
        <w:rPr>
          <w:lang w:val="fr-CA"/>
        </w:rPr>
        <w:t> </w:t>
      </w:r>
      <w:r w:rsidR="00E43EFC" w:rsidRPr="0019011E">
        <w:rPr>
          <w:lang w:val="fr-CA"/>
        </w:rPr>
        <w:t>471</w:t>
      </w:r>
      <w:r w:rsidRPr="0019011E">
        <w:rPr>
          <w:lang w:val="fr-CA"/>
        </w:rPr>
        <w:t>.</w:t>
      </w:r>
    </w:p>
    <w:p w:rsidR="007A28DF" w:rsidRPr="0019011E" w:rsidRDefault="002574F9" w:rsidP="006B5FE2">
      <w:pPr>
        <w:pStyle w:val="SCCNormalDoubleSpacing"/>
        <w:spacing w:after="720" w:line="240" w:lineRule="auto"/>
        <w:rPr>
          <w:i/>
          <w:lang w:val="fr-CA"/>
        </w:rPr>
      </w:pPr>
      <w:r w:rsidRPr="0019011E">
        <w:rPr>
          <w:i/>
          <w:lang w:val="fr-CA"/>
        </w:rPr>
        <w:t>Question </w:t>
      </w:r>
      <w:r w:rsidR="007A28DF" w:rsidRPr="0019011E">
        <w:rPr>
          <w:i/>
          <w:lang w:val="fr-CA"/>
        </w:rPr>
        <w:t>1</w:t>
      </w:r>
    </w:p>
    <w:p w:rsidR="007A28DF" w:rsidRPr="0019011E" w:rsidRDefault="00E43EFC" w:rsidP="006B5FE2">
      <w:pPr>
        <w:pStyle w:val="SCCNormalDoubleSpacing"/>
        <w:spacing w:after="720" w:line="240" w:lineRule="auto"/>
        <w:rPr>
          <w:lang w:val="fr-CA"/>
        </w:rPr>
      </w:pPr>
      <w:r w:rsidRPr="0019011E">
        <w:rPr>
          <w:i/>
          <w:lang w:val="fr-CA"/>
        </w:rPr>
        <w:t>La</w:t>
      </w:r>
      <w:r w:rsidR="007A28DF" w:rsidRPr="0019011E">
        <w:rPr>
          <w:lang w:val="fr-CA"/>
        </w:rPr>
        <w:t xml:space="preserve"> </w:t>
      </w:r>
      <w:r w:rsidRPr="0019011E">
        <w:rPr>
          <w:lang w:val="fr-CA"/>
        </w:rPr>
        <w:t xml:space="preserve">juge en chef </w:t>
      </w:r>
      <w:r w:rsidR="007A28DF" w:rsidRPr="0019011E">
        <w:rPr>
          <w:lang w:val="fr-CA"/>
        </w:rPr>
        <w:t xml:space="preserve">McLachlin </w:t>
      </w:r>
      <w:r w:rsidRPr="0019011E">
        <w:rPr>
          <w:lang w:val="fr-CA"/>
        </w:rPr>
        <w:t>et les juges</w:t>
      </w:r>
      <w:r w:rsidR="007A28DF" w:rsidRPr="0019011E">
        <w:rPr>
          <w:lang w:val="fr-CA"/>
        </w:rPr>
        <w:t xml:space="preserve"> LeBel, Abella, Cromwell, Karakatsanis </w:t>
      </w:r>
      <w:r w:rsidRPr="0019011E">
        <w:rPr>
          <w:lang w:val="fr-CA"/>
        </w:rPr>
        <w:t>et Wagner</w:t>
      </w:r>
      <w:r w:rsidR="006303ED" w:rsidRPr="0019011E">
        <w:rPr>
          <w:lang w:val="fr-CA"/>
        </w:rPr>
        <w:t> :</w:t>
      </w:r>
      <w:r w:rsidR="007A28DF" w:rsidRPr="0019011E">
        <w:rPr>
          <w:lang w:val="fr-CA"/>
        </w:rPr>
        <w:t xml:space="preserve"> </w:t>
      </w:r>
    </w:p>
    <w:p w:rsidR="007A28DF" w:rsidRPr="0019011E" w:rsidRDefault="007A28DF" w:rsidP="006B5FE2">
      <w:pPr>
        <w:pStyle w:val="SCCNormalDoubleSpacing"/>
        <w:spacing w:before="480" w:after="480"/>
        <w:rPr>
          <w:lang w:val="fr-CA"/>
        </w:rPr>
      </w:pPr>
      <w:r w:rsidRPr="0019011E">
        <w:rPr>
          <w:lang w:val="fr-CA"/>
        </w:rPr>
        <w:lastRenderedPageBreak/>
        <w:tab/>
      </w:r>
      <w:r w:rsidR="00E43EFC" w:rsidRPr="0019011E">
        <w:rPr>
          <w:lang w:val="fr-CA"/>
        </w:rPr>
        <w:t>Un juge de la Cour fédérale ou de la Cour d’appel fédérale ne peut être nommé à la Cour suprême du Canada en vertu de l’</w:t>
      </w:r>
      <w:r w:rsidR="006303ED" w:rsidRPr="0019011E">
        <w:rPr>
          <w:lang w:val="fr-CA"/>
        </w:rPr>
        <w:t>art. </w:t>
      </w:r>
      <w:r w:rsidR="00E43EFC" w:rsidRPr="0019011E">
        <w:rPr>
          <w:lang w:val="fr-CA"/>
        </w:rPr>
        <w:t>6 de la Loi</w:t>
      </w:r>
      <w:r w:rsidR="00424C1A" w:rsidRPr="0019011E">
        <w:rPr>
          <w:lang w:val="fr-CA"/>
        </w:rPr>
        <w:t xml:space="preserve">. </w:t>
      </w:r>
      <w:r w:rsidR="00E43EFC" w:rsidRPr="0019011E">
        <w:rPr>
          <w:lang w:val="fr-CA"/>
        </w:rPr>
        <w:t>L’article 5 de la Loi</w:t>
      </w:r>
      <w:r w:rsidR="00E43EFC" w:rsidRPr="0019011E">
        <w:rPr>
          <w:i/>
          <w:lang w:val="fr-CA"/>
        </w:rPr>
        <w:t xml:space="preserve"> </w:t>
      </w:r>
      <w:r w:rsidR="00E43EFC" w:rsidRPr="0019011E">
        <w:rPr>
          <w:lang w:val="fr-CA"/>
        </w:rPr>
        <w:t>fixe les conditions générales de nomination à la Cour suprême en créant quatre groupes de personnes admissibles à une nomination</w:t>
      </w:r>
      <w:r w:rsidR="006303ED" w:rsidRPr="0019011E">
        <w:rPr>
          <w:lang w:val="fr-CA"/>
        </w:rPr>
        <w:t> : (1) </w:t>
      </w:r>
      <w:r w:rsidR="00E43EFC" w:rsidRPr="0019011E">
        <w:rPr>
          <w:lang w:val="fr-CA"/>
        </w:rPr>
        <w:t>les juges actuels d’une cour supérieure, et notamment d’une co</w:t>
      </w:r>
      <w:r w:rsidR="006303ED" w:rsidRPr="0019011E">
        <w:rPr>
          <w:lang w:val="fr-CA"/>
        </w:rPr>
        <w:t>ur d’appel, d’une province; (2) </w:t>
      </w:r>
      <w:r w:rsidR="00E43EFC" w:rsidRPr="0019011E">
        <w:rPr>
          <w:lang w:val="fr-CA"/>
        </w:rPr>
        <w:t>les anci</w:t>
      </w:r>
      <w:r w:rsidR="006303ED" w:rsidRPr="0019011E">
        <w:rPr>
          <w:lang w:val="fr-CA"/>
        </w:rPr>
        <w:t>ens juges d’une telle cour; (3) </w:t>
      </w:r>
      <w:r w:rsidR="00E43EFC" w:rsidRPr="0019011E">
        <w:rPr>
          <w:lang w:val="fr-CA"/>
        </w:rPr>
        <w:t>les avocats actuels inscrits pendant au moins 10</w:t>
      </w:r>
      <w:r w:rsidR="005D7244" w:rsidRPr="0019011E">
        <w:rPr>
          <w:lang w:val="fr-CA"/>
        </w:rPr>
        <w:t> </w:t>
      </w:r>
      <w:r w:rsidR="00E43EFC" w:rsidRPr="0019011E">
        <w:rPr>
          <w:lang w:val="fr-CA"/>
        </w:rPr>
        <w:t>ans</w:t>
      </w:r>
      <w:r w:rsidR="006303ED" w:rsidRPr="0019011E">
        <w:rPr>
          <w:lang w:val="fr-CA"/>
        </w:rPr>
        <w:t xml:space="preserve"> au barreau d’une province; (4) </w:t>
      </w:r>
      <w:r w:rsidR="00E43EFC" w:rsidRPr="0019011E">
        <w:rPr>
          <w:lang w:val="fr-CA"/>
        </w:rPr>
        <w:t>les anciens avocats inscrits au barreau d’u</w:t>
      </w:r>
      <w:r w:rsidR="005D7244" w:rsidRPr="0019011E">
        <w:rPr>
          <w:lang w:val="fr-CA"/>
        </w:rPr>
        <w:t>ne province pendant au moins 10 </w:t>
      </w:r>
      <w:r w:rsidR="00E43EFC" w:rsidRPr="0019011E">
        <w:rPr>
          <w:lang w:val="fr-CA"/>
        </w:rPr>
        <w:t>ans</w:t>
      </w:r>
      <w:r w:rsidRPr="0019011E">
        <w:rPr>
          <w:lang w:val="fr-CA"/>
        </w:rPr>
        <w:t xml:space="preserve">. </w:t>
      </w:r>
      <w:r w:rsidR="006303ED" w:rsidRPr="0019011E">
        <w:rPr>
          <w:lang w:val="fr-CA"/>
        </w:rPr>
        <w:t xml:space="preserve"> </w:t>
      </w:r>
      <w:r w:rsidR="00171A1D" w:rsidRPr="0019011E">
        <w:rPr>
          <w:lang w:val="fr-CA"/>
        </w:rPr>
        <w:t>Toutefois, l’</w:t>
      </w:r>
      <w:r w:rsidR="006303ED" w:rsidRPr="0019011E">
        <w:rPr>
          <w:lang w:val="fr-CA"/>
        </w:rPr>
        <w:t>art. </w:t>
      </w:r>
      <w:r w:rsidR="00171A1D" w:rsidRPr="0019011E">
        <w:rPr>
          <w:lang w:val="fr-CA"/>
        </w:rPr>
        <w:t>6 réduit à deux groupes le bassin des personnes admissibles, qui comprend quatre groupes en vertu de l’</w:t>
      </w:r>
      <w:r w:rsidR="006303ED" w:rsidRPr="0019011E">
        <w:rPr>
          <w:lang w:val="fr-CA"/>
        </w:rPr>
        <w:t>art. </w:t>
      </w:r>
      <w:r w:rsidR="00171A1D" w:rsidRPr="0019011E">
        <w:rPr>
          <w:lang w:val="fr-CA"/>
        </w:rPr>
        <w:t xml:space="preserve">5. </w:t>
      </w:r>
      <w:r w:rsidR="006303ED" w:rsidRPr="0019011E">
        <w:rPr>
          <w:lang w:val="fr-CA"/>
        </w:rPr>
        <w:t xml:space="preserve"> </w:t>
      </w:r>
      <w:r w:rsidR="00171A1D" w:rsidRPr="0019011E">
        <w:rPr>
          <w:lang w:val="fr-CA"/>
        </w:rPr>
        <w:t>Les personnes nommées aux trois postes réservés pour le Québec en vertu de l’</w:t>
      </w:r>
      <w:r w:rsidR="006303ED" w:rsidRPr="0019011E">
        <w:rPr>
          <w:lang w:val="fr-CA"/>
        </w:rPr>
        <w:t>art. </w:t>
      </w:r>
      <w:r w:rsidR="00171A1D" w:rsidRPr="0019011E">
        <w:rPr>
          <w:lang w:val="fr-CA"/>
        </w:rPr>
        <w:t>6 doivent être soit membres du Barreau du Québec soit juges de la Cour d’appel ou de la Cour supérieure du Québec au moment de leur nomination, en plus de répondre aux conditions générales fixées à l’</w:t>
      </w:r>
      <w:r w:rsidR="006303ED" w:rsidRPr="0019011E">
        <w:rPr>
          <w:lang w:val="fr-CA"/>
        </w:rPr>
        <w:t>art. </w:t>
      </w:r>
      <w:r w:rsidR="00171A1D" w:rsidRPr="0019011E">
        <w:rPr>
          <w:lang w:val="fr-CA"/>
        </w:rPr>
        <w:t xml:space="preserve">5.  </w:t>
      </w:r>
      <w:r w:rsidRPr="0019011E">
        <w:rPr>
          <w:lang w:val="fr-CA"/>
        </w:rPr>
        <w:t xml:space="preserve"> </w:t>
      </w:r>
    </w:p>
    <w:p w:rsidR="007A28DF" w:rsidRPr="0019011E" w:rsidRDefault="007A28DF" w:rsidP="006B5FE2">
      <w:pPr>
        <w:pStyle w:val="SCCNormalDoubleSpacing"/>
        <w:spacing w:before="480" w:after="480"/>
        <w:rPr>
          <w:lang w:val="fr-CA"/>
        </w:rPr>
      </w:pPr>
      <w:r w:rsidRPr="0019011E">
        <w:rPr>
          <w:lang w:val="fr-CA"/>
        </w:rPr>
        <w:tab/>
      </w:r>
      <w:r w:rsidR="00171A1D" w:rsidRPr="0019011E">
        <w:rPr>
          <w:lang w:val="fr-CA"/>
        </w:rPr>
        <w:t>Le sens ordinaire de l’</w:t>
      </w:r>
      <w:r w:rsidR="006303ED" w:rsidRPr="0019011E">
        <w:rPr>
          <w:lang w:val="fr-CA"/>
        </w:rPr>
        <w:t>art. </w:t>
      </w:r>
      <w:r w:rsidR="00171A1D" w:rsidRPr="0019011E">
        <w:rPr>
          <w:lang w:val="fr-CA"/>
        </w:rPr>
        <w:t>6 est demeuré constant depuis la version originale de cette disposition édictée en 1875 et il a toujours exclu les anciens avocats</w:t>
      </w:r>
      <w:r w:rsidRPr="0019011E">
        <w:rPr>
          <w:lang w:val="fr-CA"/>
        </w:rPr>
        <w:t>.</w:t>
      </w:r>
      <w:r w:rsidR="00171A1D" w:rsidRPr="0019011E">
        <w:rPr>
          <w:lang w:val="fr-CA"/>
        </w:rPr>
        <w:t xml:space="preserve">  En précisant que trois juges sont nommés « parmi » les juges et les avocats (c’est</w:t>
      </w:r>
      <w:r w:rsidR="006303ED" w:rsidRPr="0019011E">
        <w:rPr>
          <w:lang w:val="fr-CA"/>
        </w:rPr>
        <w:noBreakHyphen/>
      </w:r>
      <w:r w:rsidR="00171A1D" w:rsidRPr="0019011E">
        <w:rPr>
          <w:lang w:val="fr-CA"/>
        </w:rPr>
        <w:t>à</w:t>
      </w:r>
      <w:r w:rsidR="006303ED" w:rsidRPr="0019011E">
        <w:rPr>
          <w:lang w:val="fr-CA"/>
        </w:rPr>
        <w:noBreakHyphen/>
      </w:r>
      <w:r w:rsidR="00171A1D" w:rsidRPr="0019011E">
        <w:rPr>
          <w:lang w:val="fr-CA"/>
        </w:rPr>
        <w:t>dire les membres) des institutions énumérées, l’</w:t>
      </w:r>
      <w:r w:rsidR="006303ED" w:rsidRPr="0019011E">
        <w:rPr>
          <w:lang w:val="fr-CA"/>
        </w:rPr>
        <w:t>art. </w:t>
      </w:r>
      <w:r w:rsidR="00171A1D" w:rsidRPr="0019011E">
        <w:rPr>
          <w:lang w:val="fr-CA"/>
        </w:rPr>
        <w:t>6 exclut implicitement les anciens membres de ces institutions et impose une condition de contemporanéité de l’appartenance à celles</w:t>
      </w:r>
      <w:r w:rsidR="006303ED" w:rsidRPr="0019011E">
        <w:rPr>
          <w:lang w:val="fr-CA"/>
        </w:rPr>
        <w:noBreakHyphen/>
      </w:r>
      <w:r w:rsidR="005D7244" w:rsidRPr="0019011E">
        <w:rPr>
          <w:lang w:val="fr-CA"/>
        </w:rPr>
        <w:t>ci.</w:t>
      </w:r>
      <w:r w:rsidR="00171A1D" w:rsidRPr="0019011E">
        <w:rPr>
          <w:lang w:val="fr-CA"/>
        </w:rPr>
        <w:t xml:space="preserve"> </w:t>
      </w:r>
      <w:r w:rsidRPr="0019011E">
        <w:rPr>
          <w:lang w:val="fr-CA"/>
        </w:rPr>
        <w:t xml:space="preserve"> </w:t>
      </w:r>
      <w:r w:rsidR="00FC61FC" w:rsidRPr="0019011E">
        <w:rPr>
          <w:lang w:val="fr-CA"/>
        </w:rPr>
        <w:t xml:space="preserve">Selon les </w:t>
      </w:r>
      <w:r w:rsidR="006303ED" w:rsidRPr="0019011E">
        <w:rPr>
          <w:lang w:val="fr-CA"/>
        </w:rPr>
        <w:t>art. </w:t>
      </w:r>
      <w:r w:rsidR="00FC61FC" w:rsidRPr="0019011E">
        <w:rPr>
          <w:lang w:val="fr-CA"/>
        </w:rPr>
        <w:t xml:space="preserve">5 et 6, interprétés en corrélation, </w:t>
      </w:r>
      <w:r w:rsidR="005D7244" w:rsidRPr="0019011E">
        <w:rPr>
          <w:lang w:val="fr-CA"/>
        </w:rPr>
        <w:t>le minimum de 10 </w:t>
      </w:r>
      <w:r w:rsidR="00FC61FC" w:rsidRPr="0019011E">
        <w:rPr>
          <w:lang w:val="fr-CA"/>
        </w:rPr>
        <w:t>années d’inscription au barreau s’applique à la nomination des juges pour le Québec</w:t>
      </w:r>
      <w:r w:rsidRPr="0019011E">
        <w:rPr>
          <w:lang w:val="fr-CA"/>
        </w:rPr>
        <w:t xml:space="preserve">. </w:t>
      </w:r>
    </w:p>
    <w:p w:rsidR="007A28DF" w:rsidRPr="0019011E" w:rsidRDefault="007A28DF" w:rsidP="006B5FE2">
      <w:pPr>
        <w:pStyle w:val="SCCNormalDoubleSpacing"/>
        <w:spacing w:before="480" w:after="480"/>
        <w:rPr>
          <w:lang w:val="fr-CA"/>
        </w:rPr>
      </w:pPr>
      <w:r w:rsidRPr="0019011E">
        <w:rPr>
          <w:lang w:val="fr-CA"/>
        </w:rPr>
        <w:tab/>
      </w:r>
      <w:r w:rsidR="00FC61FC" w:rsidRPr="0019011E">
        <w:rPr>
          <w:szCs w:val="24"/>
          <w:lang w:val="fr-CA"/>
        </w:rPr>
        <w:t>Cette analyse textuelle respecte l’objectif sous</w:t>
      </w:r>
      <w:r w:rsidR="006303ED" w:rsidRPr="0019011E">
        <w:rPr>
          <w:szCs w:val="24"/>
          <w:lang w:val="fr-CA"/>
        </w:rPr>
        <w:noBreakHyphen/>
      </w:r>
      <w:r w:rsidR="00FC61FC" w:rsidRPr="0019011E">
        <w:rPr>
          <w:szCs w:val="24"/>
          <w:lang w:val="fr-CA"/>
        </w:rPr>
        <w:t>jacent de l’</w:t>
      </w:r>
      <w:r w:rsidR="006303ED" w:rsidRPr="0019011E">
        <w:rPr>
          <w:szCs w:val="24"/>
          <w:lang w:val="fr-CA"/>
        </w:rPr>
        <w:t>art. </w:t>
      </w:r>
      <w:r w:rsidR="00FC61FC" w:rsidRPr="0019011E">
        <w:rPr>
          <w:szCs w:val="24"/>
          <w:lang w:val="fr-CA"/>
        </w:rPr>
        <w:t>6</w:t>
      </w:r>
      <w:r w:rsidR="00FC61FC" w:rsidRPr="0019011E">
        <w:rPr>
          <w:lang w:val="fr-CA"/>
        </w:rPr>
        <w:t xml:space="preserve"> et reflète </w:t>
      </w:r>
      <w:r w:rsidR="00FC61FC" w:rsidRPr="0019011E">
        <w:rPr>
          <w:szCs w:val="24"/>
          <w:lang w:val="fr-CA"/>
        </w:rPr>
        <w:t xml:space="preserve">le compromis historique qui a mené à la création de la Cour </w:t>
      </w:r>
      <w:r w:rsidR="002574F9" w:rsidRPr="0019011E">
        <w:rPr>
          <w:szCs w:val="24"/>
          <w:lang w:val="fr-CA"/>
        </w:rPr>
        <w:t xml:space="preserve">suprême </w:t>
      </w:r>
      <w:r w:rsidR="00FC61FC" w:rsidRPr="0019011E">
        <w:rPr>
          <w:lang w:val="fr-CA"/>
        </w:rPr>
        <w:t xml:space="preserve">en tant que cour </w:t>
      </w:r>
      <w:r w:rsidR="00FC61FC" w:rsidRPr="0019011E">
        <w:rPr>
          <w:lang w:val="fr-CA"/>
        </w:rPr>
        <w:lastRenderedPageBreak/>
        <w:t xml:space="preserve">générale d’appel pour le Canada et </w:t>
      </w:r>
      <w:r w:rsidR="00265197" w:rsidRPr="0019011E">
        <w:rPr>
          <w:lang w:val="fr-CA"/>
        </w:rPr>
        <w:t xml:space="preserve">en tant </w:t>
      </w:r>
      <w:r w:rsidR="00FC61FC" w:rsidRPr="0019011E">
        <w:rPr>
          <w:lang w:val="fr-CA"/>
        </w:rPr>
        <w:t>qu’institution fédérale et bijuridique.  L’</w:t>
      </w:r>
      <w:r w:rsidR="002574F9" w:rsidRPr="0019011E">
        <w:rPr>
          <w:lang w:val="fr-CA"/>
        </w:rPr>
        <w:t>article </w:t>
      </w:r>
      <w:r w:rsidR="00FC61FC" w:rsidRPr="0019011E">
        <w:rPr>
          <w:lang w:val="fr-CA"/>
        </w:rPr>
        <w:t>6 vise (i)</w:t>
      </w:r>
      <w:r w:rsidR="005D7244" w:rsidRPr="0019011E">
        <w:rPr>
          <w:lang w:val="fr-CA"/>
        </w:rPr>
        <w:t> </w:t>
      </w:r>
      <w:r w:rsidR="00FC61FC" w:rsidRPr="0019011E">
        <w:rPr>
          <w:lang w:val="fr-CA"/>
        </w:rPr>
        <w:t>à garantir une expertise en droit civil et la représentation des traditions juridiques et des valeurs sociales du Québec à la Cour</w:t>
      </w:r>
      <w:r w:rsidR="009F4BD4">
        <w:rPr>
          <w:lang w:val="fr-CA"/>
        </w:rPr>
        <w:t>,</w:t>
      </w:r>
      <w:r w:rsidR="00FC61FC" w:rsidRPr="0019011E">
        <w:rPr>
          <w:lang w:val="fr-CA"/>
        </w:rPr>
        <w:t xml:space="preserve"> et (ii)</w:t>
      </w:r>
      <w:r w:rsidR="005D7244" w:rsidRPr="0019011E">
        <w:rPr>
          <w:lang w:val="fr-CA"/>
        </w:rPr>
        <w:t> </w:t>
      </w:r>
      <w:r w:rsidR="00FC61FC" w:rsidRPr="0019011E">
        <w:rPr>
          <w:lang w:val="fr-CA"/>
        </w:rPr>
        <w:t>à renforcer la confiance du Québec envers la Cour</w:t>
      </w:r>
      <w:r w:rsidRPr="0019011E">
        <w:rPr>
          <w:lang w:val="fr-CA"/>
        </w:rPr>
        <w:t>.</w:t>
      </w:r>
      <w:r w:rsidR="00FC61FC" w:rsidRPr="0019011E">
        <w:rPr>
          <w:lang w:val="fr-CA"/>
        </w:rPr>
        <w:t xml:space="preserve"> </w:t>
      </w:r>
      <w:r w:rsidRPr="0019011E">
        <w:rPr>
          <w:lang w:val="fr-CA"/>
        </w:rPr>
        <w:t xml:space="preserve"> </w:t>
      </w:r>
      <w:r w:rsidR="00FC61FC" w:rsidRPr="0019011E">
        <w:rPr>
          <w:lang w:val="fr-CA"/>
        </w:rPr>
        <w:t>Cette interprétation respecte en outre l’économie générale de la Loi au sujet de la nomination de</w:t>
      </w:r>
      <w:r w:rsidR="00265197" w:rsidRPr="0019011E">
        <w:rPr>
          <w:lang w:val="fr-CA"/>
        </w:rPr>
        <w:t>s</w:t>
      </w:r>
      <w:r w:rsidR="00FC61FC" w:rsidRPr="0019011E">
        <w:rPr>
          <w:lang w:val="fr-CA"/>
        </w:rPr>
        <w:t xml:space="preserve"> juges suppléants</w:t>
      </w:r>
      <w:r w:rsidR="00263E00" w:rsidRPr="0019011E">
        <w:rPr>
          <w:lang w:val="fr-CA"/>
        </w:rPr>
        <w:t>,</w:t>
      </w:r>
      <w:r w:rsidR="00FC61FC" w:rsidRPr="0019011E">
        <w:rPr>
          <w:lang w:val="fr-CA"/>
        </w:rPr>
        <w:t xml:space="preserve"> </w:t>
      </w:r>
      <w:r w:rsidR="00263E00" w:rsidRPr="0019011E">
        <w:rPr>
          <w:lang w:val="fr-CA"/>
        </w:rPr>
        <w:t xml:space="preserve">qui exclut les juges des cours fédérales des postes de juge suppléant </w:t>
      </w:r>
      <w:r w:rsidR="00FC61FC" w:rsidRPr="0019011E">
        <w:rPr>
          <w:lang w:val="fr-CA"/>
        </w:rPr>
        <w:t xml:space="preserve">pour </w:t>
      </w:r>
      <w:r w:rsidR="00263E00" w:rsidRPr="0019011E">
        <w:rPr>
          <w:lang w:val="fr-CA"/>
        </w:rPr>
        <w:t>le</w:t>
      </w:r>
      <w:r w:rsidR="00245DE9">
        <w:rPr>
          <w:lang w:val="fr-CA"/>
        </w:rPr>
        <w:t>s causes du</w:t>
      </w:r>
      <w:r w:rsidR="00263E00" w:rsidRPr="0019011E">
        <w:rPr>
          <w:lang w:val="fr-CA"/>
        </w:rPr>
        <w:t xml:space="preserve"> Québec</w:t>
      </w:r>
      <w:r w:rsidRPr="0019011E">
        <w:rPr>
          <w:lang w:val="fr-CA"/>
        </w:rPr>
        <w:t>.</w:t>
      </w:r>
    </w:p>
    <w:p w:rsidR="007A28DF" w:rsidRPr="0019011E" w:rsidRDefault="00263E00" w:rsidP="006B5FE2">
      <w:pPr>
        <w:pStyle w:val="SCCNormalDoubleSpacing"/>
        <w:spacing w:after="720" w:line="240" w:lineRule="auto"/>
        <w:rPr>
          <w:lang w:val="fr-CA"/>
        </w:rPr>
      </w:pPr>
      <w:r w:rsidRPr="0019011E">
        <w:rPr>
          <w:i/>
          <w:lang w:val="fr-CA"/>
        </w:rPr>
        <w:t xml:space="preserve">Le </w:t>
      </w:r>
      <w:r w:rsidRPr="0019011E">
        <w:rPr>
          <w:lang w:val="fr-CA"/>
        </w:rPr>
        <w:t>juge</w:t>
      </w:r>
      <w:r w:rsidR="007A28DF" w:rsidRPr="0019011E">
        <w:rPr>
          <w:lang w:val="fr-CA"/>
        </w:rPr>
        <w:t xml:space="preserve"> Moldaver (diss</w:t>
      </w:r>
      <w:r w:rsidRPr="0019011E">
        <w:rPr>
          <w:lang w:val="fr-CA"/>
        </w:rPr>
        <w:t>ident</w:t>
      </w:r>
      <w:r w:rsidR="007A28DF" w:rsidRPr="0019011E">
        <w:rPr>
          <w:lang w:val="fr-CA"/>
        </w:rPr>
        <w:t>)</w:t>
      </w:r>
      <w:r w:rsidR="006303ED" w:rsidRPr="0019011E">
        <w:rPr>
          <w:lang w:val="fr-CA"/>
        </w:rPr>
        <w:t> :</w:t>
      </w:r>
      <w:r w:rsidR="007A28DF" w:rsidRPr="0019011E">
        <w:rPr>
          <w:lang w:val="fr-CA"/>
        </w:rPr>
        <w:t xml:space="preserve"> </w:t>
      </w:r>
    </w:p>
    <w:p w:rsidR="007A28DF" w:rsidRPr="0019011E" w:rsidRDefault="007A28DF" w:rsidP="006B5FE2">
      <w:pPr>
        <w:pStyle w:val="SCCNormalDoubleSpacing"/>
        <w:spacing w:before="480" w:after="480"/>
        <w:rPr>
          <w:lang w:val="fr-CA"/>
        </w:rPr>
      </w:pPr>
      <w:r w:rsidRPr="0019011E">
        <w:rPr>
          <w:lang w:val="fr-CA"/>
        </w:rPr>
        <w:tab/>
      </w:r>
      <w:r w:rsidR="000B6A0F" w:rsidRPr="0019011E">
        <w:rPr>
          <w:lang w:val="fr-CA"/>
        </w:rPr>
        <w:t>Les conditions de nomination énoncées à l’</w:t>
      </w:r>
      <w:r w:rsidR="006303ED" w:rsidRPr="0019011E">
        <w:rPr>
          <w:lang w:val="fr-CA"/>
        </w:rPr>
        <w:t>art. </w:t>
      </w:r>
      <w:r w:rsidR="000B6A0F" w:rsidRPr="0019011E">
        <w:rPr>
          <w:lang w:val="fr-CA"/>
        </w:rPr>
        <w:t>5 s’appliquent à tous les candidats, y compris ceux qui sont choisis parmi les institutions québécoises pour occuper un siège réservé au Québec</w:t>
      </w:r>
      <w:r w:rsidRPr="0019011E">
        <w:rPr>
          <w:lang w:val="fr-CA"/>
        </w:rPr>
        <w:t xml:space="preserve">.  </w:t>
      </w:r>
      <w:r w:rsidR="00345AE7" w:rsidRPr="0019011E">
        <w:rPr>
          <w:lang w:val="fr-CA"/>
        </w:rPr>
        <w:t xml:space="preserve">En conséquence, les avocats actuels </w:t>
      </w:r>
      <w:r w:rsidR="00345AE7" w:rsidRPr="0019011E">
        <w:rPr>
          <w:i/>
          <w:lang w:val="fr-CA"/>
        </w:rPr>
        <w:t xml:space="preserve">et les anciens </w:t>
      </w:r>
      <w:r w:rsidR="00345AE7" w:rsidRPr="0019011E">
        <w:rPr>
          <w:lang w:val="fr-CA"/>
        </w:rPr>
        <w:t xml:space="preserve">avocats inscrits pendant au moins </w:t>
      </w:r>
      <w:r w:rsidR="00245DE9">
        <w:rPr>
          <w:lang w:val="fr-CA"/>
        </w:rPr>
        <w:t>10</w:t>
      </w:r>
      <w:r w:rsidR="00345AE7" w:rsidRPr="0019011E">
        <w:rPr>
          <w:lang w:val="fr-CA"/>
        </w:rPr>
        <w:t xml:space="preserve"> ans au Barreau du Québec ainsi que les juges actuels </w:t>
      </w:r>
      <w:r w:rsidR="00345AE7" w:rsidRPr="0019011E">
        <w:rPr>
          <w:i/>
          <w:lang w:val="fr-CA"/>
        </w:rPr>
        <w:t xml:space="preserve">et les anciens </w:t>
      </w:r>
      <w:r w:rsidR="00345AE7" w:rsidRPr="0019011E">
        <w:rPr>
          <w:lang w:val="fr-CA"/>
        </w:rPr>
        <w:t>juges des cours supérieures du Québec sont tous admissibles à une nomination à un poste de la Cour réservé au Québec.</w:t>
      </w:r>
      <w:r w:rsidR="006303ED" w:rsidRPr="0019011E">
        <w:rPr>
          <w:lang w:val="fr-CA"/>
        </w:rPr>
        <w:t xml:space="preserve"> </w:t>
      </w:r>
      <w:r w:rsidR="00345AE7" w:rsidRPr="0019011E">
        <w:rPr>
          <w:lang w:val="fr-CA"/>
        </w:rPr>
        <w:t xml:space="preserve"> Je </w:t>
      </w:r>
      <w:r w:rsidR="002574F9" w:rsidRPr="0019011E">
        <w:rPr>
          <w:lang w:val="fr-CA"/>
        </w:rPr>
        <w:t>réponds</w:t>
      </w:r>
      <w:r w:rsidR="00345AE7" w:rsidRPr="0019011E">
        <w:rPr>
          <w:lang w:val="fr-CA"/>
        </w:rPr>
        <w:t xml:space="preserve"> donc à la </w:t>
      </w:r>
      <w:r w:rsidR="00BF1640">
        <w:rPr>
          <w:lang w:val="fr-CA"/>
        </w:rPr>
        <w:t>q</w:t>
      </w:r>
      <w:r w:rsidR="00345AE7" w:rsidRPr="0019011E">
        <w:rPr>
          <w:lang w:val="fr-CA"/>
        </w:rPr>
        <w:t>uestion 1</w:t>
      </w:r>
      <w:r w:rsidR="00265197" w:rsidRPr="0019011E">
        <w:rPr>
          <w:lang w:val="fr-CA"/>
        </w:rPr>
        <w:t xml:space="preserve"> par l’affirmative</w:t>
      </w:r>
      <w:r w:rsidRPr="0019011E">
        <w:rPr>
          <w:lang w:val="fr-CA"/>
        </w:rPr>
        <w:t>.</w:t>
      </w:r>
    </w:p>
    <w:p w:rsidR="007A28DF" w:rsidRPr="0019011E" w:rsidRDefault="007A28DF" w:rsidP="006B5FE2">
      <w:pPr>
        <w:pStyle w:val="SCCNormalDoubleSpacing"/>
        <w:spacing w:before="480" w:after="480"/>
        <w:rPr>
          <w:lang w:val="fr-CA"/>
        </w:rPr>
      </w:pPr>
      <w:r w:rsidRPr="0019011E">
        <w:rPr>
          <w:lang w:val="fr-CA"/>
        </w:rPr>
        <w:tab/>
      </w:r>
      <w:r w:rsidR="00345AE7" w:rsidRPr="0019011E">
        <w:rPr>
          <w:lang w:val="fr-CA"/>
        </w:rPr>
        <w:t xml:space="preserve">Les </w:t>
      </w:r>
      <w:r w:rsidR="002574F9" w:rsidRPr="0019011E">
        <w:rPr>
          <w:lang w:val="fr-CA"/>
        </w:rPr>
        <w:t>articles </w:t>
      </w:r>
      <w:r w:rsidR="00345AE7" w:rsidRPr="0019011E">
        <w:rPr>
          <w:lang w:val="fr-CA"/>
        </w:rPr>
        <w:t>5 et 6 sont inextricablement liés</w:t>
      </w:r>
      <w:r w:rsidRPr="0019011E">
        <w:rPr>
          <w:lang w:val="fr-CA"/>
        </w:rPr>
        <w:t xml:space="preserve">.  </w:t>
      </w:r>
      <w:r w:rsidR="00345AE7" w:rsidRPr="0019011E">
        <w:rPr>
          <w:lang w:val="fr-CA"/>
        </w:rPr>
        <w:t>L’</w:t>
      </w:r>
      <w:r w:rsidR="002574F9" w:rsidRPr="0019011E">
        <w:rPr>
          <w:lang w:val="fr-CA"/>
        </w:rPr>
        <w:t>article </w:t>
      </w:r>
      <w:r w:rsidR="00345AE7" w:rsidRPr="0019011E">
        <w:rPr>
          <w:lang w:val="fr-CA"/>
        </w:rPr>
        <w:t>5 énonce les conditions de base auxquelles une personne doit satisfaire pour être nommée juge de la Cour</w:t>
      </w:r>
      <w:r w:rsidRPr="0019011E">
        <w:rPr>
          <w:lang w:val="fr-CA"/>
        </w:rPr>
        <w:t xml:space="preserve">.  </w:t>
      </w:r>
      <w:r w:rsidR="00345AE7" w:rsidRPr="0019011E">
        <w:rPr>
          <w:lang w:val="fr-CA"/>
        </w:rPr>
        <w:t>Pour l’application de l’</w:t>
      </w:r>
      <w:r w:rsidR="006303ED" w:rsidRPr="0019011E">
        <w:rPr>
          <w:lang w:val="fr-CA"/>
        </w:rPr>
        <w:t>art. </w:t>
      </w:r>
      <w:r w:rsidR="00345AE7" w:rsidRPr="0019011E">
        <w:rPr>
          <w:lang w:val="fr-CA"/>
        </w:rPr>
        <w:t>5, tous les avocats, actuels et anciens, inscrits au barreau d’u</w:t>
      </w:r>
      <w:r w:rsidR="005D7244" w:rsidRPr="0019011E">
        <w:rPr>
          <w:lang w:val="fr-CA"/>
        </w:rPr>
        <w:t>ne province pendant au moins 10 </w:t>
      </w:r>
      <w:r w:rsidR="00345AE7" w:rsidRPr="0019011E">
        <w:rPr>
          <w:lang w:val="fr-CA"/>
        </w:rPr>
        <w:t xml:space="preserve">ans </w:t>
      </w:r>
      <w:r w:rsidR="00824154" w:rsidRPr="0019011E">
        <w:rPr>
          <w:lang w:val="fr-CA"/>
        </w:rPr>
        <w:t xml:space="preserve">et tous les juges, actuels et anciens, d’une cour supérieure d’une province sont admissibles.  L’article 6 </w:t>
      </w:r>
      <w:r w:rsidR="000878B4" w:rsidRPr="0019011E">
        <w:rPr>
          <w:lang w:val="fr-CA"/>
        </w:rPr>
        <w:t>précise</w:t>
      </w:r>
      <w:r w:rsidR="00824154" w:rsidRPr="0019011E">
        <w:rPr>
          <w:lang w:val="fr-CA"/>
        </w:rPr>
        <w:t xml:space="preserve"> l’</w:t>
      </w:r>
      <w:r w:rsidR="006303ED" w:rsidRPr="0019011E">
        <w:rPr>
          <w:lang w:val="fr-CA"/>
        </w:rPr>
        <w:t>art. </w:t>
      </w:r>
      <w:r w:rsidR="00824154" w:rsidRPr="0019011E">
        <w:rPr>
          <w:lang w:val="fr-CA"/>
        </w:rPr>
        <w:t>5 en exigeant que, pour trois postes de juge de notre Cour, les candidats qui satisfont aux critères de l’</w:t>
      </w:r>
      <w:r w:rsidR="006303ED" w:rsidRPr="0019011E">
        <w:rPr>
          <w:lang w:val="fr-CA"/>
        </w:rPr>
        <w:t>art. </w:t>
      </w:r>
      <w:r w:rsidR="00824154" w:rsidRPr="0019011E">
        <w:rPr>
          <w:lang w:val="fr-CA"/>
        </w:rPr>
        <w:t xml:space="preserve">5 soient choisis parmi trois institutions québécoises (le Barreau du </w:t>
      </w:r>
      <w:r w:rsidR="00824154" w:rsidRPr="0019011E">
        <w:rPr>
          <w:lang w:val="fr-CA"/>
        </w:rPr>
        <w:lastRenderedPageBreak/>
        <w:t>Québec, la Cour d’appel du Québec et la Cour supérieure du Québec).  L’</w:t>
      </w:r>
      <w:r w:rsidR="002574F9" w:rsidRPr="0019011E">
        <w:rPr>
          <w:lang w:val="fr-CA"/>
        </w:rPr>
        <w:t>article </w:t>
      </w:r>
      <w:r w:rsidR="00824154" w:rsidRPr="0019011E">
        <w:rPr>
          <w:lang w:val="fr-CA"/>
        </w:rPr>
        <w:t>6 n’impose aucune condition</w:t>
      </w:r>
      <w:r w:rsidR="000878B4" w:rsidRPr="0019011E">
        <w:rPr>
          <w:lang w:val="fr-CA"/>
        </w:rPr>
        <w:t xml:space="preserve"> additionnelle</w:t>
      </w:r>
      <w:r w:rsidR="00824154" w:rsidRPr="0019011E">
        <w:rPr>
          <w:lang w:val="fr-CA"/>
        </w:rPr>
        <w:t xml:space="preserve">.  </w:t>
      </w:r>
    </w:p>
    <w:p w:rsidR="007A28DF" w:rsidRPr="0019011E" w:rsidRDefault="007A28DF" w:rsidP="006B5FE2">
      <w:pPr>
        <w:pStyle w:val="SCCNormalDoubleSpacing"/>
        <w:spacing w:before="480" w:after="480"/>
        <w:rPr>
          <w:lang w:val="fr-CA"/>
        </w:rPr>
      </w:pPr>
      <w:r w:rsidRPr="0019011E">
        <w:rPr>
          <w:lang w:val="fr-CA"/>
        </w:rPr>
        <w:tab/>
      </w:r>
      <w:r w:rsidR="00824154" w:rsidRPr="0019011E">
        <w:rPr>
          <w:lang w:val="fr-CA"/>
        </w:rPr>
        <w:t>Suggérer que le Québec souhaitait soustraire du bassin de candidats potentiels les anciens avocats inscrits pendant au moins</w:t>
      </w:r>
      <w:r w:rsidR="005D7244" w:rsidRPr="0019011E">
        <w:rPr>
          <w:lang w:val="fr-CA"/>
        </w:rPr>
        <w:t xml:space="preserve"> 10 </w:t>
      </w:r>
      <w:r w:rsidR="00824154" w:rsidRPr="0019011E">
        <w:rPr>
          <w:lang w:val="fr-CA"/>
        </w:rPr>
        <w:t>ans au Barreau du Québec revient à réécrire l’histoire</w:t>
      </w:r>
      <w:r w:rsidRPr="0019011E">
        <w:rPr>
          <w:lang w:val="fr-CA"/>
        </w:rPr>
        <w:t xml:space="preserve">.  </w:t>
      </w:r>
      <w:r w:rsidR="00824154" w:rsidRPr="0019011E">
        <w:rPr>
          <w:lang w:val="fr-CA"/>
        </w:rPr>
        <w:t>L’</w:t>
      </w:r>
      <w:r w:rsidR="002574F9" w:rsidRPr="0019011E">
        <w:rPr>
          <w:lang w:val="fr-CA"/>
        </w:rPr>
        <w:t>article </w:t>
      </w:r>
      <w:r w:rsidR="00824154" w:rsidRPr="0019011E">
        <w:rPr>
          <w:lang w:val="fr-CA"/>
        </w:rPr>
        <w:t>6 a, et a toujours eu, pour objet de garantir qu’un nombre déterminé de juges de la Cour soient formés en droit civil et représentent le Québec.  Puisque ces postes de juge doivent être pourvus par des candidats provenant d’une des trois institutions québécoises énumérées à l’</w:t>
      </w:r>
      <w:r w:rsidR="006303ED" w:rsidRPr="0019011E">
        <w:rPr>
          <w:lang w:val="fr-CA"/>
        </w:rPr>
        <w:t>art. </w:t>
      </w:r>
      <w:r w:rsidR="00824154" w:rsidRPr="0019011E">
        <w:rPr>
          <w:lang w:val="fr-CA"/>
        </w:rPr>
        <w:t xml:space="preserve">6, ces candidats auront forcément reçu une formation en droit civil.  La combinaison de cette formation et de leur </w:t>
      </w:r>
      <w:r w:rsidR="00DA4B71">
        <w:rPr>
          <w:lang w:val="fr-CA"/>
        </w:rPr>
        <w:t>lien avec</w:t>
      </w:r>
      <w:r w:rsidR="00824154" w:rsidRPr="0019011E">
        <w:rPr>
          <w:lang w:val="fr-CA"/>
        </w:rPr>
        <w:t xml:space="preserve"> l’une des institutions québécoises nommées sert à protéger la tradition civiliste du Québec et suscite la confiance du Québec envers la Cour</w:t>
      </w:r>
      <w:r w:rsidR="005D7244" w:rsidRPr="0019011E">
        <w:rPr>
          <w:lang w:val="fr-CA"/>
        </w:rPr>
        <w:t>.</w:t>
      </w:r>
      <w:r w:rsidRPr="0019011E">
        <w:rPr>
          <w:lang w:val="fr-CA"/>
        </w:rPr>
        <w:t xml:space="preserve">  </w:t>
      </w:r>
      <w:r w:rsidR="009542BA" w:rsidRPr="0019011E">
        <w:rPr>
          <w:lang w:val="fr-CA"/>
        </w:rPr>
        <w:t>Imposer une exigence additionnelle de contemporanéité de l’appartenance au Barreau du Québec ne favorise en rien la réalisation de l’objet sous</w:t>
      </w:r>
      <w:r w:rsidR="006303ED" w:rsidRPr="0019011E">
        <w:rPr>
          <w:lang w:val="fr-CA"/>
        </w:rPr>
        <w:noBreakHyphen/>
      </w:r>
      <w:r w:rsidR="009542BA" w:rsidRPr="0019011E">
        <w:rPr>
          <w:lang w:val="fr-CA"/>
        </w:rPr>
        <w:t>jacent de l’</w:t>
      </w:r>
      <w:r w:rsidR="006303ED" w:rsidRPr="0019011E">
        <w:rPr>
          <w:lang w:val="fr-CA"/>
        </w:rPr>
        <w:t>art. </w:t>
      </w:r>
      <w:r w:rsidR="009542BA" w:rsidRPr="0019011E">
        <w:rPr>
          <w:lang w:val="fr-CA"/>
        </w:rPr>
        <w:t xml:space="preserve">6 et </w:t>
      </w:r>
      <w:r w:rsidR="000878B4" w:rsidRPr="0019011E">
        <w:rPr>
          <w:lang w:val="fr-CA"/>
        </w:rPr>
        <w:t>mène à des</w:t>
      </w:r>
      <w:r w:rsidR="009542BA" w:rsidRPr="0019011E">
        <w:rPr>
          <w:lang w:val="fr-CA"/>
        </w:rPr>
        <w:t xml:space="preserve"> résultat</w:t>
      </w:r>
      <w:r w:rsidR="000878B4" w:rsidRPr="0019011E">
        <w:rPr>
          <w:lang w:val="fr-CA"/>
        </w:rPr>
        <w:t>s</w:t>
      </w:r>
      <w:r w:rsidR="009542BA" w:rsidRPr="0019011E">
        <w:rPr>
          <w:lang w:val="fr-CA"/>
        </w:rPr>
        <w:t xml:space="preserve"> absurde</w:t>
      </w:r>
      <w:r w:rsidR="000878B4" w:rsidRPr="0019011E">
        <w:rPr>
          <w:lang w:val="fr-CA"/>
        </w:rPr>
        <w:t>s</w:t>
      </w:r>
      <w:r w:rsidR="009542BA" w:rsidRPr="0019011E">
        <w:rPr>
          <w:lang w:val="fr-CA"/>
        </w:rPr>
        <w:t>.</w:t>
      </w:r>
      <w:r w:rsidRPr="0019011E">
        <w:rPr>
          <w:lang w:val="fr-CA"/>
        </w:rPr>
        <w:t xml:space="preserve">  </w:t>
      </w:r>
    </w:p>
    <w:p w:rsidR="007A28DF" w:rsidRPr="0019011E" w:rsidRDefault="007A28DF" w:rsidP="006B5FE2">
      <w:pPr>
        <w:pStyle w:val="SCCNormalDoubleSpacing"/>
        <w:spacing w:before="480" w:after="480"/>
        <w:rPr>
          <w:lang w:val="fr-CA"/>
        </w:rPr>
      </w:pPr>
      <w:r w:rsidRPr="0019011E">
        <w:rPr>
          <w:lang w:val="fr-CA"/>
        </w:rPr>
        <w:tab/>
      </w:r>
      <w:r w:rsidR="009542BA" w:rsidRPr="0019011E">
        <w:rPr>
          <w:lang w:val="fr-CA"/>
        </w:rPr>
        <w:t>L’exigence de contemporanéité ne trouve un appui ni dans le texte de l’</w:t>
      </w:r>
      <w:r w:rsidR="006303ED" w:rsidRPr="0019011E">
        <w:rPr>
          <w:lang w:val="fr-CA"/>
        </w:rPr>
        <w:t>art. </w:t>
      </w:r>
      <w:r w:rsidR="009542BA" w:rsidRPr="0019011E">
        <w:rPr>
          <w:lang w:val="fr-CA"/>
        </w:rPr>
        <w:t>6, ni dans son contexte ou son historique législatif</w:t>
      </w:r>
      <w:r w:rsidR="0051212C" w:rsidRPr="0019011E">
        <w:rPr>
          <w:lang w:val="fr-CA"/>
        </w:rPr>
        <w:t>.  Le mot « parmi », à l’</w:t>
      </w:r>
      <w:r w:rsidR="006303ED" w:rsidRPr="0019011E">
        <w:rPr>
          <w:lang w:val="fr-CA"/>
        </w:rPr>
        <w:t>art. </w:t>
      </w:r>
      <w:r w:rsidR="0051212C" w:rsidRPr="0019011E">
        <w:rPr>
          <w:lang w:val="fr-CA"/>
        </w:rPr>
        <w:t>6, n’a aucune signification temporelle</w:t>
      </w:r>
      <w:r w:rsidRPr="0019011E">
        <w:rPr>
          <w:lang w:val="fr-CA"/>
        </w:rPr>
        <w:t xml:space="preserve">. </w:t>
      </w:r>
      <w:r w:rsidR="005D7244" w:rsidRPr="0019011E">
        <w:rPr>
          <w:lang w:val="fr-CA"/>
        </w:rPr>
        <w:t xml:space="preserve"> </w:t>
      </w:r>
      <w:r w:rsidR="0051212C" w:rsidRPr="0019011E">
        <w:rPr>
          <w:lang w:val="fr-CA"/>
        </w:rPr>
        <w:t xml:space="preserve">Il tire son sens du contexte et ne peut, </w:t>
      </w:r>
      <w:r w:rsidR="006C6AFF">
        <w:rPr>
          <w:lang w:val="fr-CA"/>
        </w:rPr>
        <w:t xml:space="preserve">en soi, </w:t>
      </w:r>
      <w:r w:rsidR="0051212C" w:rsidRPr="0019011E">
        <w:rPr>
          <w:lang w:val="fr-CA"/>
        </w:rPr>
        <w:t>appuyer la</w:t>
      </w:r>
      <w:r w:rsidR="006C6AFF">
        <w:rPr>
          <w:lang w:val="fr-CA"/>
        </w:rPr>
        <w:t xml:space="preserve"> prétention qu’une personne doive</w:t>
      </w:r>
      <w:r w:rsidR="0051212C" w:rsidRPr="0019011E">
        <w:rPr>
          <w:lang w:val="fr-CA"/>
        </w:rPr>
        <w:t xml:space="preserve"> être un membre </w:t>
      </w:r>
      <w:r w:rsidR="0051212C" w:rsidRPr="0019011E">
        <w:rPr>
          <w:i/>
          <w:lang w:val="fr-CA"/>
        </w:rPr>
        <w:t>actuel</w:t>
      </w:r>
      <w:r w:rsidR="0051212C" w:rsidRPr="0019011E">
        <w:rPr>
          <w:lang w:val="fr-CA"/>
        </w:rPr>
        <w:t xml:space="preserve"> du barreau ou de la magistrature pour être nommée juge pour le Québec.  Le mot « parmi » ne modifie pas le groupe de personnes visé à l’</w:t>
      </w:r>
      <w:r w:rsidR="006303ED" w:rsidRPr="0019011E">
        <w:rPr>
          <w:lang w:val="fr-CA"/>
        </w:rPr>
        <w:t>art. </w:t>
      </w:r>
      <w:r w:rsidR="0051212C" w:rsidRPr="0019011E">
        <w:rPr>
          <w:lang w:val="fr-CA"/>
        </w:rPr>
        <w:t xml:space="preserve">6 </w:t>
      </w:r>
      <w:r w:rsidR="005D7244" w:rsidRPr="0019011E">
        <w:rPr>
          <w:lang w:val="fr-CA"/>
        </w:rPr>
        <w:t xml:space="preserve">— </w:t>
      </w:r>
      <w:r w:rsidR="0051212C" w:rsidRPr="0019011E">
        <w:rPr>
          <w:lang w:val="fr-CA"/>
        </w:rPr>
        <w:t>celui qui est décrit à l’</w:t>
      </w:r>
      <w:r w:rsidR="006303ED" w:rsidRPr="0019011E">
        <w:rPr>
          <w:lang w:val="fr-CA"/>
        </w:rPr>
        <w:t>art. </w:t>
      </w:r>
      <w:r w:rsidR="0051212C" w:rsidRPr="0019011E">
        <w:rPr>
          <w:lang w:val="fr-CA"/>
        </w:rPr>
        <w:t xml:space="preserve">5.  En fait, compte tenu de son contexte historique, le mot « parmi » </w:t>
      </w:r>
      <w:r w:rsidR="0051212C" w:rsidRPr="0019011E">
        <w:rPr>
          <w:i/>
          <w:lang w:val="fr-CA"/>
        </w:rPr>
        <w:t>renforce</w:t>
      </w:r>
      <w:r w:rsidR="0051212C" w:rsidRPr="0019011E">
        <w:rPr>
          <w:lang w:val="fr-CA"/>
        </w:rPr>
        <w:t xml:space="preserve"> l’idée d’un lien inextricable entre les </w:t>
      </w:r>
      <w:r w:rsidR="006303ED" w:rsidRPr="0019011E">
        <w:rPr>
          <w:lang w:val="fr-CA"/>
        </w:rPr>
        <w:t>art. </w:t>
      </w:r>
      <w:r w:rsidR="0051212C" w:rsidRPr="0019011E">
        <w:rPr>
          <w:lang w:val="fr-CA"/>
        </w:rPr>
        <w:t>5 et 6</w:t>
      </w:r>
      <w:r w:rsidRPr="0019011E">
        <w:rPr>
          <w:lang w:val="fr-CA"/>
        </w:rPr>
        <w:t xml:space="preserve">. </w:t>
      </w:r>
    </w:p>
    <w:p w:rsidR="007A28DF" w:rsidRPr="0019011E" w:rsidRDefault="007A28DF" w:rsidP="006B5FE2">
      <w:pPr>
        <w:pStyle w:val="SCCNormalDoubleSpacing"/>
        <w:spacing w:before="480" w:after="480"/>
        <w:rPr>
          <w:lang w:val="fr-CA"/>
        </w:rPr>
      </w:pPr>
      <w:r w:rsidRPr="0019011E">
        <w:rPr>
          <w:lang w:val="fr-CA"/>
        </w:rPr>
        <w:lastRenderedPageBreak/>
        <w:tab/>
      </w:r>
      <w:r w:rsidR="0051212C" w:rsidRPr="0019011E">
        <w:rPr>
          <w:lang w:val="fr-CA"/>
        </w:rPr>
        <w:t>Si on ne le lit pas en conjonction avec l’</w:t>
      </w:r>
      <w:r w:rsidR="006303ED" w:rsidRPr="0019011E">
        <w:rPr>
          <w:lang w:val="fr-CA"/>
        </w:rPr>
        <w:t>art. </w:t>
      </w:r>
      <w:r w:rsidR="0051212C" w:rsidRPr="0019011E">
        <w:rPr>
          <w:lang w:val="fr-CA"/>
        </w:rPr>
        <w:t>5, l’</w:t>
      </w:r>
      <w:r w:rsidR="006303ED" w:rsidRPr="0019011E">
        <w:rPr>
          <w:lang w:val="fr-CA"/>
        </w:rPr>
        <w:t>art. </w:t>
      </w:r>
      <w:r w:rsidR="0051212C" w:rsidRPr="0019011E">
        <w:rPr>
          <w:lang w:val="fr-CA"/>
        </w:rPr>
        <w:t>6 mène à un résultat absurde, car un avocat néophyte admis au barreau la veille serait admissible à occuper l’un des sièges de la Cour réservés au Québec</w:t>
      </w:r>
      <w:r w:rsidRPr="0019011E">
        <w:rPr>
          <w:lang w:val="fr-CA"/>
        </w:rPr>
        <w:t>.</w:t>
      </w:r>
      <w:r w:rsidR="0051212C" w:rsidRPr="0019011E">
        <w:rPr>
          <w:lang w:val="fr-CA"/>
        </w:rPr>
        <w:t xml:space="preserve">  Manifestement, l’art 6 doit être </w:t>
      </w:r>
      <w:r w:rsidR="002574F9" w:rsidRPr="0019011E">
        <w:rPr>
          <w:lang w:val="fr-CA"/>
        </w:rPr>
        <w:t>lié</w:t>
      </w:r>
      <w:r w:rsidR="0051212C" w:rsidRPr="0019011E">
        <w:rPr>
          <w:lang w:val="fr-CA"/>
        </w:rPr>
        <w:t xml:space="preserve"> à la condition d’in</w:t>
      </w:r>
      <w:r w:rsidR="005D7244" w:rsidRPr="0019011E">
        <w:rPr>
          <w:lang w:val="fr-CA"/>
        </w:rPr>
        <w:t>scription au barreau pendant 10 </w:t>
      </w:r>
      <w:r w:rsidR="0051212C" w:rsidRPr="0019011E">
        <w:rPr>
          <w:lang w:val="fr-CA"/>
        </w:rPr>
        <w:t>ans que pose l’</w:t>
      </w:r>
      <w:r w:rsidR="006303ED" w:rsidRPr="0019011E">
        <w:rPr>
          <w:lang w:val="fr-CA"/>
        </w:rPr>
        <w:t>art. </w:t>
      </w:r>
      <w:r w:rsidR="0051212C" w:rsidRPr="0019011E">
        <w:rPr>
          <w:lang w:val="fr-CA"/>
        </w:rPr>
        <w:t>5</w:t>
      </w:r>
      <w:r w:rsidRPr="0019011E">
        <w:rPr>
          <w:lang w:val="fr-CA"/>
        </w:rPr>
        <w:t xml:space="preserve">.  </w:t>
      </w:r>
      <w:r w:rsidR="0051212C" w:rsidRPr="0019011E">
        <w:rPr>
          <w:lang w:val="fr-CA"/>
        </w:rPr>
        <w:t>Il n’existe pas à ce jour de principe d’interprétation des lois qui permette de puiser seulement les aspects qui nous agréent dans l’</w:t>
      </w:r>
      <w:r w:rsidR="006303ED" w:rsidRPr="0019011E">
        <w:rPr>
          <w:lang w:val="fr-CA"/>
        </w:rPr>
        <w:t>art. </w:t>
      </w:r>
      <w:r w:rsidR="0051212C" w:rsidRPr="0019011E">
        <w:rPr>
          <w:lang w:val="fr-CA"/>
        </w:rPr>
        <w:t>5 (soit l’inscription au barreau pendant 10</w:t>
      </w:r>
      <w:r w:rsidR="005D7244" w:rsidRPr="0019011E">
        <w:rPr>
          <w:lang w:val="fr-CA"/>
        </w:rPr>
        <w:t> </w:t>
      </w:r>
      <w:r w:rsidR="0051212C" w:rsidRPr="0019011E">
        <w:rPr>
          <w:lang w:val="fr-CA"/>
        </w:rPr>
        <w:t>ans) et de rejeter les autres (soit l’admissibilité, en vertu de l’</w:t>
      </w:r>
      <w:r w:rsidR="006303ED" w:rsidRPr="0019011E">
        <w:rPr>
          <w:lang w:val="fr-CA"/>
        </w:rPr>
        <w:t>art. </w:t>
      </w:r>
      <w:r w:rsidR="0051212C" w:rsidRPr="0019011E">
        <w:rPr>
          <w:lang w:val="fr-CA"/>
        </w:rPr>
        <w:t xml:space="preserve">5, des avocats actuels </w:t>
      </w:r>
      <w:r w:rsidR="0051212C" w:rsidRPr="0019011E">
        <w:rPr>
          <w:i/>
          <w:lang w:val="fr-CA"/>
        </w:rPr>
        <w:t xml:space="preserve">et des anciens </w:t>
      </w:r>
      <w:r w:rsidR="0051212C" w:rsidRPr="0019011E">
        <w:rPr>
          <w:lang w:val="fr-CA"/>
        </w:rPr>
        <w:t>avocats inscrits au barreau pendant 10</w:t>
      </w:r>
      <w:r w:rsidR="005D7244" w:rsidRPr="0019011E">
        <w:rPr>
          <w:lang w:val="fr-CA"/>
        </w:rPr>
        <w:t> ans).</w:t>
      </w:r>
    </w:p>
    <w:p w:rsidR="007A28DF" w:rsidRPr="0019011E" w:rsidRDefault="007A28DF" w:rsidP="006B5FE2">
      <w:pPr>
        <w:pStyle w:val="SCCNormalDoubleSpacing"/>
        <w:spacing w:before="480" w:after="480"/>
        <w:rPr>
          <w:lang w:val="fr-CA"/>
        </w:rPr>
      </w:pPr>
      <w:r w:rsidRPr="0019011E">
        <w:rPr>
          <w:lang w:val="fr-CA"/>
        </w:rPr>
        <w:tab/>
      </w:r>
      <w:r w:rsidR="0051212C" w:rsidRPr="0019011E">
        <w:rPr>
          <w:lang w:val="fr-CA"/>
        </w:rPr>
        <w:t>L’exigence de contemporanéité ne trouve pas d’appui dans l’économie de la Loi.  L’</w:t>
      </w:r>
      <w:r w:rsidR="002574F9" w:rsidRPr="0019011E">
        <w:rPr>
          <w:lang w:val="fr-CA"/>
        </w:rPr>
        <w:t>article </w:t>
      </w:r>
      <w:r w:rsidR="0051212C" w:rsidRPr="0019011E">
        <w:rPr>
          <w:lang w:val="fr-CA"/>
        </w:rPr>
        <w:t xml:space="preserve">30 de la Loi qui traite de la nomination de juges suppléants constitue une anomalie </w:t>
      </w:r>
      <w:r w:rsidR="002574F9" w:rsidRPr="0019011E">
        <w:rPr>
          <w:lang w:val="fr-CA"/>
        </w:rPr>
        <w:t xml:space="preserve">historique </w:t>
      </w:r>
      <w:r w:rsidR="0051212C" w:rsidRPr="0019011E">
        <w:rPr>
          <w:lang w:val="fr-CA"/>
        </w:rPr>
        <w:t xml:space="preserve">et n’est d’aucune utilité pour l’interprétation des </w:t>
      </w:r>
      <w:r w:rsidR="006303ED" w:rsidRPr="0019011E">
        <w:rPr>
          <w:lang w:val="fr-CA"/>
        </w:rPr>
        <w:t>art. </w:t>
      </w:r>
      <w:r w:rsidR="0051212C" w:rsidRPr="0019011E">
        <w:rPr>
          <w:lang w:val="fr-CA"/>
        </w:rPr>
        <w:t xml:space="preserve">5 et 6. </w:t>
      </w:r>
    </w:p>
    <w:p w:rsidR="007A28DF" w:rsidRPr="0019011E" w:rsidRDefault="007A28DF" w:rsidP="006B5FE2">
      <w:pPr>
        <w:pStyle w:val="SCCNormalDoubleSpacing"/>
        <w:spacing w:before="480" w:after="480"/>
        <w:rPr>
          <w:lang w:val="fr-CA"/>
        </w:rPr>
      </w:pPr>
      <w:r w:rsidRPr="0019011E">
        <w:rPr>
          <w:lang w:val="fr-CA"/>
        </w:rPr>
        <w:tab/>
      </w:r>
      <w:r w:rsidR="00263228" w:rsidRPr="0019011E">
        <w:rPr>
          <w:lang w:val="fr-CA"/>
        </w:rPr>
        <w:t>Toute interprétation de l’</w:t>
      </w:r>
      <w:r w:rsidR="006303ED" w:rsidRPr="0019011E">
        <w:rPr>
          <w:lang w:val="fr-CA"/>
        </w:rPr>
        <w:t>art. </w:t>
      </w:r>
      <w:r w:rsidR="00263228" w:rsidRPr="0019011E">
        <w:rPr>
          <w:lang w:val="fr-CA"/>
        </w:rPr>
        <w:t xml:space="preserve">6 exigeant qu’un </w:t>
      </w:r>
      <w:r w:rsidR="00263228" w:rsidRPr="0019011E">
        <w:rPr>
          <w:i/>
          <w:lang w:val="fr-CA"/>
        </w:rPr>
        <w:t>ancien</w:t>
      </w:r>
      <w:r w:rsidR="00263228" w:rsidRPr="0019011E">
        <w:rPr>
          <w:lang w:val="fr-CA"/>
        </w:rPr>
        <w:t xml:space="preserve"> avocat qui a été membre du </w:t>
      </w:r>
      <w:r w:rsidR="00075814">
        <w:rPr>
          <w:lang w:val="fr-CA"/>
        </w:rPr>
        <w:t>B</w:t>
      </w:r>
      <w:r w:rsidR="00263228" w:rsidRPr="0019011E">
        <w:rPr>
          <w:lang w:val="fr-CA"/>
        </w:rPr>
        <w:t xml:space="preserve">arreau du Québec pendant </w:t>
      </w:r>
      <w:r w:rsidR="00BF1640">
        <w:rPr>
          <w:lang w:val="fr-CA"/>
        </w:rPr>
        <w:t>10</w:t>
      </w:r>
      <w:r w:rsidR="00263228" w:rsidRPr="0019011E">
        <w:rPr>
          <w:lang w:val="fr-CA"/>
        </w:rPr>
        <w:t xml:space="preserve"> ans, ou qu’un </w:t>
      </w:r>
      <w:r w:rsidR="00263228" w:rsidRPr="0019011E">
        <w:rPr>
          <w:i/>
          <w:lang w:val="fr-CA"/>
        </w:rPr>
        <w:t>ancien</w:t>
      </w:r>
      <w:r w:rsidR="00263228" w:rsidRPr="0019011E">
        <w:rPr>
          <w:lang w:val="fr-CA"/>
        </w:rPr>
        <w:t xml:space="preserve"> juge de la Cour d’appel du Québec ou de la Cour supérieure, redevienne membre de ce barreau </w:t>
      </w:r>
      <w:r w:rsidR="00075814">
        <w:rPr>
          <w:lang w:val="fr-CA"/>
        </w:rPr>
        <w:t>pendant un jour</w:t>
      </w:r>
      <w:r w:rsidR="00263228" w:rsidRPr="0019011E">
        <w:rPr>
          <w:lang w:val="fr-CA"/>
        </w:rPr>
        <w:t xml:space="preserve"> pour être admissible à une nomination à la Cour n’aurait aucun sens d’un point de vue pratique</w:t>
      </w:r>
      <w:r w:rsidRPr="0019011E">
        <w:rPr>
          <w:lang w:val="fr-CA"/>
        </w:rPr>
        <w:t>.</w:t>
      </w:r>
      <w:r w:rsidR="005D7244" w:rsidRPr="0019011E">
        <w:rPr>
          <w:lang w:val="fr-CA"/>
        </w:rPr>
        <w:t xml:space="preserve"> </w:t>
      </w:r>
      <w:r w:rsidRPr="0019011E">
        <w:rPr>
          <w:lang w:val="fr-CA"/>
        </w:rPr>
        <w:t xml:space="preserve"> I</w:t>
      </w:r>
      <w:r w:rsidR="00263228" w:rsidRPr="0019011E">
        <w:rPr>
          <w:lang w:val="fr-CA"/>
        </w:rPr>
        <w:t>l est difficile de croire que la population du Québec aurait, pour une raison ou pour une autre, davantage confiance en pareil candidat le vendredi que le jeudi</w:t>
      </w:r>
      <w:r w:rsidRPr="0019011E">
        <w:rPr>
          <w:lang w:val="fr-CA"/>
        </w:rPr>
        <w:t>.</w:t>
      </w:r>
    </w:p>
    <w:p w:rsidR="007A28DF" w:rsidRPr="0019011E" w:rsidRDefault="002574F9" w:rsidP="006B5FE2">
      <w:pPr>
        <w:pStyle w:val="SCCNormalDoubleSpacing"/>
        <w:spacing w:after="720" w:line="240" w:lineRule="auto"/>
        <w:rPr>
          <w:i/>
          <w:lang w:val="fr-CA"/>
        </w:rPr>
      </w:pPr>
      <w:r w:rsidRPr="0019011E">
        <w:rPr>
          <w:i/>
          <w:lang w:val="fr-CA"/>
        </w:rPr>
        <w:t>Question </w:t>
      </w:r>
      <w:r w:rsidR="007A28DF" w:rsidRPr="0019011E">
        <w:rPr>
          <w:i/>
          <w:lang w:val="fr-CA"/>
        </w:rPr>
        <w:t>2</w:t>
      </w:r>
    </w:p>
    <w:p w:rsidR="007A28DF" w:rsidRPr="0019011E" w:rsidRDefault="00263228" w:rsidP="006B5FE2">
      <w:pPr>
        <w:pStyle w:val="SCCNormalDoubleSpacing"/>
        <w:spacing w:after="720" w:line="240" w:lineRule="auto"/>
        <w:rPr>
          <w:lang w:val="fr-CA"/>
        </w:rPr>
      </w:pPr>
      <w:r w:rsidRPr="0019011E">
        <w:rPr>
          <w:i/>
          <w:lang w:val="fr-CA"/>
        </w:rPr>
        <w:t xml:space="preserve">La </w:t>
      </w:r>
      <w:r w:rsidRPr="0019011E">
        <w:rPr>
          <w:lang w:val="fr-CA"/>
        </w:rPr>
        <w:t xml:space="preserve">juge en chef </w:t>
      </w:r>
      <w:r w:rsidR="00FD05E5" w:rsidRPr="0019011E">
        <w:rPr>
          <w:lang w:val="fr-CA"/>
        </w:rPr>
        <w:t xml:space="preserve">McLachlin </w:t>
      </w:r>
      <w:r w:rsidRPr="0019011E">
        <w:rPr>
          <w:lang w:val="fr-CA"/>
        </w:rPr>
        <w:t xml:space="preserve">et les juges </w:t>
      </w:r>
      <w:r w:rsidR="007A28DF" w:rsidRPr="0019011E">
        <w:rPr>
          <w:lang w:val="fr-CA"/>
        </w:rPr>
        <w:t xml:space="preserve">LeBel, Abella, Cromwell, Karakatsanis </w:t>
      </w:r>
      <w:r w:rsidRPr="0019011E">
        <w:rPr>
          <w:lang w:val="fr-CA"/>
        </w:rPr>
        <w:t>et Wagner</w:t>
      </w:r>
      <w:r w:rsidR="006303ED" w:rsidRPr="0019011E">
        <w:rPr>
          <w:lang w:val="fr-CA"/>
        </w:rPr>
        <w:t> :</w:t>
      </w:r>
      <w:r w:rsidR="007A28DF" w:rsidRPr="0019011E">
        <w:rPr>
          <w:lang w:val="fr-CA"/>
        </w:rPr>
        <w:t xml:space="preserve"> </w:t>
      </w:r>
    </w:p>
    <w:p w:rsidR="007A28DF" w:rsidRPr="0019011E" w:rsidRDefault="007A28DF" w:rsidP="006B5FE2">
      <w:pPr>
        <w:pStyle w:val="SCCNormalDoubleSpacing"/>
        <w:spacing w:before="480" w:after="480"/>
        <w:rPr>
          <w:lang w:val="fr-CA"/>
        </w:rPr>
      </w:pPr>
      <w:r w:rsidRPr="0019011E">
        <w:rPr>
          <w:lang w:val="fr-CA"/>
        </w:rPr>
        <w:lastRenderedPageBreak/>
        <w:tab/>
      </w:r>
      <w:r w:rsidR="004720FD" w:rsidRPr="0019011E">
        <w:rPr>
          <w:lang w:val="fr-CA"/>
        </w:rPr>
        <w:t>Le pouvoir unilatéral de « créer, maintenir e</w:t>
      </w:r>
      <w:r w:rsidR="00245DE9">
        <w:rPr>
          <w:lang w:val="fr-CA"/>
        </w:rPr>
        <w:t>t organiser une cour générale d’</w:t>
      </w:r>
      <w:r w:rsidR="004720FD" w:rsidRPr="0019011E">
        <w:rPr>
          <w:lang w:val="fr-CA"/>
        </w:rPr>
        <w:t>appel pour le Canada »</w:t>
      </w:r>
      <w:r w:rsidR="00F06F01">
        <w:rPr>
          <w:lang w:val="fr-CA"/>
        </w:rPr>
        <w:t>,</w:t>
      </w:r>
      <w:r w:rsidR="004720FD" w:rsidRPr="0019011E">
        <w:rPr>
          <w:lang w:val="fr-CA"/>
        </w:rPr>
        <w:t xml:space="preserve"> conféré au Parlement par l’</w:t>
      </w:r>
      <w:r w:rsidR="006303ED" w:rsidRPr="0019011E">
        <w:rPr>
          <w:lang w:val="fr-CA"/>
        </w:rPr>
        <w:t>art. </w:t>
      </w:r>
      <w:r w:rsidR="004720FD" w:rsidRPr="0019011E">
        <w:rPr>
          <w:lang w:val="fr-CA"/>
        </w:rPr>
        <w:t xml:space="preserve">101 de la </w:t>
      </w:r>
      <w:r w:rsidR="004720FD" w:rsidRPr="0019011E">
        <w:rPr>
          <w:i/>
          <w:lang w:val="fr-CA"/>
        </w:rPr>
        <w:t>Loi constitutionnelle de 1867</w:t>
      </w:r>
      <w:r w:rsidR="00F06F01">
        <w:rPr>
          <w:lang w:val="fr-CA"/>
        </w:rPr>
        <w:t xml:space="preserve">, </w:t>
      </w:r>
      <w:r w:rsidR="004720FD" w:rsidRPr="0019011E">
        <w:rPr>
          <w:lang w:val="fr-CA"/>
        </w:rPr>
        <w:t xml:space="preserve">a été modifié par l’évolution de la Cour </w:t>
      </w:r>
      <w:r w:rsidR="000878B4" w:rsidRPr="0019011E">
        <w:rPr>
          <w:lang w:val="fr-CA"/>
        </w:rPr>
        <w:t xml:space="preserve">suprême </w:t>
      </w:r>
      <w:r w:rsidR="004720FD" w:rsidRPr="0019011E">
        <w:rPr>
          <w:lang w:val="fr-CA"/>
        </w:rPr>
        <w:t>dans la structure constitutionnelle, comme le reconnaît l</w:t>
      </w:r>
      <w:r w:rsidR="00F06F01">
        <w:rPr>
          <w:lang w:val="fr-CA"/>
        </w:rPr>
        <w:t>a p</w:t>
      </w:r>
      <w:r w:rsidR="004720FD" w:rsidRPr="0019011E">
        <w:rPr>
          <w:lang w:val="fr-CA"/>
        </w:rPr>
        <w:t>artie</w:t>
      </w:r>
      <w:r w:rsidR="006303ED" w:rsidRPr="0019011E">
        <w:rPr>
          <w:lang w:val="fr-CA"/>
        </w:rPr>
        <w:t> </w:t>
      </w:r>
      <w:r w:rsidR="004720FD" w:rsidRPr="0019011E">
        <w:rPr>
          <w:lang w:val="fr-CA"/>
        </w:rPr>
        <w:t xml:space="preserve">V de la </w:t>
      </w:r>
      <w:r w:rsidR="004720FD" w:rsidRPr="0019011E">
        <w:rPr>
          <w:i/>
          <w:lang w:val="fr-CA"/>
        </w:rPr>
        <w:t>Loi constitutionnelle de 1982</w:t>
      </w:r>
      <w:r w:rsidR="004720FD" w:rsidRPr="0019011E">
        <w:rPr>
          <w:lang w:val="fr-CA"/>
        </w:rPr>
        <w:t>.</w:t>
      </w:r>
      <w:r w:rsidRPr="0019011E">
        <w:rPr>
          <w:lang w:val="fr-CA"/>
        </w:rPr>
        <w:t xml:space="preserve"> </w:t>
      </w:r>
      <w:r w:rsidR="006303ED" w:rsidRPr="0019011E">
        <w:rPr>
          <w:lang w:val="fr-CA"/>
        </w:rPr>
        <w:t xml:space="preserve"> </w:t>
      </w:r>
      <w:r w:rsidR="004720FD" w:rsidRPr="0019011E">
        <w:rPr>
          <w:szCs w:val="24"/>
          <w:lang w:val="fr-CA"/>
        </w:rPr>
        <w:t>Initialement, la</w:t>
      </w:r>
      <w:r w:rsidR="009372D7">
        <w:rPr>
          <w:szCs w:val="24"/>
          <w:lang w:val="fr-CA"/>
        </w:rPr>
        <w:t xml:space="preserve"> Cour suprême a acquis son</w:t>
      </w:r>
      <w:r w:rsidR="004720FD" w:rsidRPr="0019011E">
        <w:rPr>
          <w:szCs w:val="24"/>
          <w:lang w:val="fr-CA"/>
        </w:rPr>
        <w:t xml:space="preserve"> statut constitutionnel en raison de l’évolution historique qui en a fait une institution dont la pérennité et le fonctionnement affectaient les intérêts à la fois du Parlement et des provinces</w:t>
      </w:r>
      <w:r w:rsidR="004720FD" w:rsidRPr="0019011E">
        <w:rPr>
          <w:lang w:val="fr-CA"/>
        </w:rPr>
        <w:t xml:space="preserve">.  La protection de la Cour </w:t>
      </w:r>
      <w:r w:rsidR="0064325E" w:rsidRPr="0019011E">
        <w:rPr>
          <w:szCs w:val="24"/>
          <w:lang w:val="fr-CA"/>
        </w:rPr>
        <w:t xml:space="preserve">a ensuite été confirmée dans la </w:t>
      </w:r>
      <w:r w:rsidR="0064325E" w:rsidRPr="0019011E">
        <w:rPr>
          <w:i/>
          <w:szCs w:val="24"/>
          <w:lang w:val="fr-CA"/>
        </w:rPr>
        <w:t>Loi constitutionnelle de 1982</w:t>
      </w:r>
      <w:r w:rsidR="0064325E" w:rsidRPr="0019011E">
        <w:rPr>
          <w:szCs w:val="24"/>
          <w:lang w:val="fr-CA"/>
        </w:rPr>
        <w:t>, dont le contenu reflète la perception que les caractéristiques essentielles de la Cour faisaient partie de la Constitution canadienne</w:t>
      </w:r>
      <w:r w:rsidRPr="0019011E">
        <w:rPr>
          <w:lang w:val="fr-CA"/>
        </w:rPr>
        <w:t xml:space="preserve">. </w:t>
      </w:r>
      <w:r w:rsidR="0064325E" w:rsidRPr="0019011E">
        <w:rPr>
          <w:lang w:val="fr-CA"/>
        </w:rPr>
        <w:t xml:space="preserve">En conséquence, le Parlement </w:t>
      </w:r>
      <w:r w:rsidR="00EC7686" w:rsidRPr="0019011E">
        <w:rPr>
          <w:lang w:val="fr-CA"/>
        </w:rPr>
        <w:t>doit maintenant</w:t>
      </w:r>
      <w:r w:rsidR="0064325E" w:rsidRPr="0019011E">
        <w:rPr>
          <w:lang w:val="fr-CA"/>
        </w:rPr>
        <w:t xml:space="preserve"> préserver les éléments essentiels qui permettent à la Cour de s’acquitter de sa mission actuelle. Bien que le Parlement </w:t>
      </w:r>
      <w:r w:rsidR="00245DE9">
        <w:rPr>
          <w:lang w:val="fr-CA"/>
        </w:rPr>
        <w:t xml:space="preserve">puisse </w:t>
      </w:r>
      <w:r w:rsidR="00245DE9" w:rsidRPr="008C4C16">
        <w:rPr>
          <w:lang w:val="fr-CA"/>
        </w:rPr>
        <w:t xml:space="preserve">adopter les modifications d’ordre administratif nécessaires </w:t>
      </w:r>
      <w:r w:rsidR="00245DE9">
        <w:rPr>
          <w:lang w:val="fr-CA"/>
        </w:rPr>
        <w:t>au maintien</w:t>
      </w:r>
      <w:r w:rsidR="00245DE9" w:rsidRPr="008C4C16">
        <w:rPr>
          <w:lang w:val="fr-CA"/>
        </w:rPr>
        <w:t xml:space="preserve"> de la Cour</w:t>
      </w:r>
      <w:r w:rsidR="0064325E" w:rsidRPr="0019011E">
        <w:rPr>
          <w:lang w:val="fr-CA"/>
        </w:rPr>
        <w:t>, il ne peut modifier unilatéralement ni la composition ni d’autres caractéristiques essentielles de la Cour</w:t>
      </w:r>
      <w:r w:rsidRPr="0019011E">
        <w:rPr>
          <w:lang w:val="fr-CA"/>
        </w:rPr>
        <w:t xml:space="preserve">. </w:t>
      </w:r>
    </w:p>
    <w:p w:rsidR="007A28DF" w:rsidRPr="0019011E" w:rsidRDefault="007A28DF" w:rsidP="006B5FE2">
      <w:pPr>
        <w:pStyle w:val="SCCNormalDoubleSpacing"/>
        <w:spacing w:before="480" w:after="480"/>
        <w:rPr>
          <w:lang w:val="fr-CA"/>
        </w:rPr>
      </w:pPr>
      <w:r w:rsidRPr="0019011E">
        <w:rPr>
          <w:lang w:val="fr-CA"/>
        </w:rPr>
        <w:tab/>
      </w:r>
      <w:r w:rsidR="00D94897">
        <w:rPr>
          <w:lang w:val="fr-CA"/>
        </w:rPr>
        <w:t>La p</w:t>
      </w:r>
      <w:r w:rsidR="006303ED" w:rsidRPr="0019011E">
        <w:rPr>
          <w:lang w:val="fr-CA"/>
        </w:rPr>
        <w:t>artie </w:t>
      </w:r>
      <w:r w:rsidR="0064325E" w:rsidRPr="0019011E">
        <w:rPr>
          <w:lang w:val="fr-CA"/>
        </w:rPr>
        <w:t xml:space="preserve">V de la </w:t>
      </w:r>
      <w:r w:rsidR="0064325E" w:rsidRPr="0019011E">
        <w:rPr>
          <w:i/>
          <w:lang w:val="fr-CA"/>
        </w:rPr>
        <w:t xml:space="preserve">Loi constitutionnelle de 1982 </w:t>
      </w:r>
      <w:r w:rsidR="00292427" w:rsidRPr="0019011E">
        <w:rPr>
          <w:szCs w:val="24"/>
          <w:lang w:val="fr-CA"/>
        </w:rPr>
        <w:t>assujettit expressément les changements touchant la Cour suprême et sa composition au respect des procédures de modification de la Constitution.</w:t>
      </w:r>
      <w:r w:rsidRPr="0019011E">
        <w:rPr>
          <w:lang w:val="fr-CA"/>
        </w:rPr>
        <w:t xml:space="preserve"> </w:t>
      </w:r>
      <w:r w:rsidR="00292427" w:rsidRPr="0019011E">
        <w:rPr>
          <w:rFonts w:eastAsiaTheme="minorHAnsi"/>
          <w:lang w:val="fr-CA"/>
        </w:rPr>
        <w:t>Les modifications de la composition de la Cour, y compris son abolition, ne peuvent se faire que conformément à la procédure établie à l’</w:t>
      </w:r>
      <w:r w:rsidR="006303ED" w:rsidRPr="0019011E">
        <w:rPr>
          <w:rFonts w:eastAsiaTheme="minorHAnsi"/>
          <w:lang w:val="fr-CA"/>
        </w:rPr>
        <w:t>al. </w:t>
      </w:r>
      <w:r w:rsidR="00292427" w:rsidRPr="0019011E">
        <w:rPr>
          <w:rFonts w:eastAsiaTheme="minorHAnsi"/>
          <w:lang w:val="fr-CA"/>
        </w:rPr>
        <w:t>41</w:t>
      </w:r>
      <w:r w:rsidR="00292427" w:rsidRPr="0019011E">
        <w:rPr>
          <w:rFonts w:eastAsiaTheme="minorHAnsi"/>
          <w:i/>
          <w:lang w:val="fr-CA"/>
        </w:rPr>
        <w:t>d</w:t>
      </w:r>
      <w:r w:rsidR="00292427" w:rsidRPr="0019011E">
        <w:rPr>
          <w:rFonts w:eastAsiaTheme="minorHAnsi"/>
          <w:lang w:val="fr-CA"/>
        </w:rPr>
        <w:t>) et requièrent donc le consentement unanime du Parlement et de l’assemblée législative de chaque province</w:t>
      </w:r>
      <w:r w:rsidRPr="0019011E">
        <w:rPr>
          <w:lang w:val="fr-CA"/>
        </w:rPr>
        <w:t xml:space="preserve">. </w:t>
      </w:r>
      <w:r w:rsidR="00292427" w:rsidRPr="0019011E">
        <w:rPr>
          <w:rFonts w:eastAsiaTheme="minorHAnsi"/>
          <w:lang w:val="fr-CA"/>
        </w:rPr>
        <w:t>La notion de « composition » renvoie au</w:t>
      </w:r>
      <w:r w:rsidR="00292427" w:rsidRPr="0019011E">
        <w:rPr>
          <w:szCs w:val="24"/>
          <w:lang w:val="fr-CA"/>
        </w:rPr>
        <w:t xml:space="preserve"> par</w:t>
      </w:r>
      <w:r w:rsidR="00BF1640">
        <w:rPr>
          <w:szCs w:val="24"/>
          <w:lang w:val="fr-CA"/>
        </w:rPr>
        <w:t>.</w:t>
      </w:r>
      <w:r w:rsidR="00292427" w:rsidRPr="0019011E">
        <w:rPr>
          <w:szCs w:val="24"/>
          <w:lang w:val="fr-CA"/>
        </w:rPr>
        <w:t xml:space="preserve"> 4(1) et aux </w:t>
      </w:r>
      <w:r w:rsidR="006303ED" w:rsidRPr="0019011E">
        <w:rPr>
          <w:szCs w:val="24"/>
          <w:lang w:val="fr-CA"/>
        </w:rPr>
        <w:t>art. </w:t>
      </w:r>
      <w:r w:rsidR="00292427" w:rsidRPr="0019011E">
        <w:rPr>
          <w:szCs w:val="24"/>
          <w:lang w:val="fr-CA"/>
        </w:rPr>
        <w:t>5 et 6 de la Loi</w:t>
      </w:r>
      <w:r w:rsidR="00292427" w:rsidRPr="0019011E">
        <w:rPr>
          <w:lang w:val="fr-CA"/>
        </w:rPr>
        <w:t>, qui codifient la composition</w:t>
      </w:r>
      <w:r w:rsidR="00292427" w:rsidRPr="0019011E">
        <w:rPr>
          <w:szCs w:val="24"/>
          <w:lang w:val="fr-CA"/>
        </w:rPr>
        <w:t xml:space="preserve"> de la Cour suprême et les conditions de nomination de ses juges telles qu’elles existaient en 1982</w:t>
      </w:r>
      <w:r w:rsidRPr="0019011E">
        <w:rPr>
          <w:lang w:val="fr-CA"/>
        </w:rPr>
        <w:t xml:space="preserve">. </w:t>
      </w:r>
      <w:r w:rsidR="005D7244" w:rsidRPr="0019011E">
        <w:rPr>
          <w:lang w:val="fr-CA"/>
        </w:rPr>
        <w:t xml:space="preserve"> </w:t>
      </w:r>
      <w:r w:rsidR="00292427" w:rsidRPr="0019011E">
        <w:rPr>
          <w:szCs w:val="24"/>
          <w:lang w:val="fr-CA"/>
        </w:rPr>
        <w:t xml:space="preserve">Toute modification importante portant sur ces conditions de nomination constitue une modification de la Constitution portant sur la composition de la Cour suprême et </w:t>
      </w:r>
      <w:r w:rsidR="00292427" w:rsidRPr="0019011E">
        <w:rPr>
          <w:szCs w:val="24"/>
          <w:lang w:val="fr-CA"/>
        </w:rPr>
        <w:lastRenderedPageBreak/>
        <w:t>entr</w:t>
      </w:r>
      <w:r w:rsidR="00D94897">
        <w:rPr>
          <w:szCs w:val="24"/>
          <w:lang w:val="fr-CA"/>
        </w:rPr>
        <w:t>aîne l’application de la p</w:t>
      </w:r>
      <w:r w:rsidR="005D7244" w:rsidRPr="0019011E">
        <w:rPr>
          <w:szCs w:val="24"/>
          <w:lang w:val="fr-CA"/>
        </w:rPr>
        <w:t>artie </w:t>
      </w:r>
      <w:r w:rsidR="00292427" w:rsidRPr="0019011E">
        <w:rPr>
          <w:szCs w:val="24"/>
          <w:lang w:val="fr-CA"/>
        </w:rPr>
        <w:t>V</w:t>
      </w:r>
      <w:r w:rsidRPr="0019011E">
        <w:rPr>
          <w:lang w:val="fr-CA"/>
        </w:rPr>
        <w:t>.</w:t>
      </w:r>
      <w:r w:rsidR="00B41B0A" w:rsidRPr="0019011E">
        <w:rPr>
          <w:lang w:val="fr-CA"/>
        </w:rPr>
        <w:t xml:space="preserve">  Les autres caractéristiques essentielles de la Cour ne peuvent être modifiées que conformément à l’</w:t>
      </w:r>
      <w:r w:rsidR="00D94897">
        <w:rPr>
          <w:lang w:val="fr-CA"/>
        </w:rPr>
        <w:t>al.</w:t>
      </w:r>
      <w:r w:rsidR="006303ED" w:rsidRPr="0019011E">
        <w:rPr>
          <w:lang w:val="fr-CA"/>
        </w:rPr>
        <w:t> </w:t>
      </w:r>
      <w:r w:rsidR="00B41B0A" w:rsidRPr="0019011E">
        <w:rPr>
          <w:lang w:val="fr-CA"/>
        </w:rPr>
        <w:t>42(1)</w:t>
      </w:r>
      <w:r w:rsidR="00B41B0A" w:rsidRPr="0019011E">
        <w:rPr>
          <w:i/>
          <w:lang w:val="fr-CA"/>
        </w:rPr>
        <w:t>d</w:t>
      </w:r>
      <w:r w:rsidR="00B41B0A" w:rsidRPr="0019011E">
        <w:rPr>
          <w:lang w:val="fr-CA"/>
        </w:rPr>
        <w:t>), qui exige le consentement d’au moins sept provinces représentant, au total, au moins la moitié de la population de toutes les provinces</w:t>
      </w:r>
      <w:r w:rsidRPr="0019011E">
        <w:rPr>
          <w:lang w:val="fr-CA"/>
        </w:rPr>
        <w:t xml:space="preserve">. </w:t>
      </w:r>
      <w:r w:rsidR="00272AD7" w:rsidRPr="0019011E">
        <w:rPr>
          <w:lang w:val="fr-CA"/>
        </w:rPr>
        <w:t xml:space="preserve"> </w:t>
      </w:r>
      <w:r w:rsidR="00EC7686" w:rsidRPr="0019011E">
        <w:rPr>
          <w:lang w:val="fr-CA"/>
        </w:rPr>
        <w:t>Les carac</w:t>
      </w:r>
      <w:r w:rsidR="003C5276" w:rsidRPr="0019011E">
        <w:rPr>
          <w:lang w:val="fr-CA"/>
        </w:rPr>
        <w:t>téristiques essentielles de la C</w:t>
      </w:r>
      <w:r w:rsidR="00EC7686" w:rsidRPr="0019011E">
        <w:rPr>
          <w:lang w:val="fr-CA"/>
        </w:rPr>
        <w:t>our qui sont protégées par l’</w:t>
      </w:r>
      <w:r w:rsidR="006303ED" w:rsidRPr="0019011E">
        <w:rPr>
          <w:lang w:val="fr-CA"/>
        </w:rPr>
        <w:t>al. </w:t>
      </w:r>
      <w:r w:rsidR="00EC7686" w:rsidRPr="0019011E">
        <w:rPr>
          <w:lang w:val="fr-CA"/>
        </w:rPr>
        <w:t>42(1)</w:t>
      </w:r>
      <w:r w:rsidR="00EC7686" w:rsidRPr="0019011E">
        <w:rPr>
          <w:i/>
          <w:lang w:val="fr-CA"/>
        </w:rPr>
        <w:t>d</w:t>
      </w:r>
      <w:r w:rsidR="00EC7686" w:rsidRPr="0019011E">
        <w:rPr>
          <w:lang w:val="fr-CA"/>
        </w:rPr>
        <w:t xml:space="preserve">) incluent, à tout le moins, la juridiction de la Cour en tant que cour générale d’appel pour le Canada, notamment en </w:t>
      </w:r>
      <w:r w:rsidR="003C5276" w:rsidRPr="0019011E">
        <w:rPr>
          <w:lang w:val="fr-CA"/>
        </w:rPr>
        <w:t>matière d’interprétation de la C</w:t>
      </w:r>
      <w:r w:rsidR="00EC7686" w:rsidRPr="0019011E">
        <w:rPr>
          <w:lang w:val="fr-CA"/>
        </w:rPr>
        <w:t>onstitution, et son indépendance</w:t>
      </w:r>
      <w:r w:rsidRPr="0019011E">
        <w:rPr>
          <w:lang w:val="fr-CA"/>
        </w:rPr>
        <w:t xml:space="preserve">. </w:t>
      </w:r>
    </w:p>
    <w:p w:rsidR="007A28DF" w:rsidRPr="0019011E" w:rsidRDefault="007A28DF" w:rsidP="006B5FE2">
      <w:pPr>
        <w:pStyle w:val="SCCNormalDoubleSpacing"/>
        <w:spacing w:before="480" w:after="480"/>
        <w:rPr>
          <w:lang w:val="fr-CA"/>
        </w:rPr>
      </w:pPr>
      <w:r w:rsidRPr="0019011E">
        <w:rPr>
          <w:lang w:val="fr-CA"/>
        </w:rPr>
        <w:tab/>
      </w:r>
      <w:r w:rsidR="00EC7686" w:rsidRPr="0019011E">
        <w:rPr>
          <w:lang w:val="fr-CA"/>
        </w:rPr>
        <w:t>L’article</w:t>
      </w:r>
      <w:r w:rsidR="006303ED" w:rsidRPr="0019011E">
        <w:rPr>
          <w:lang w:val="fr-CA"/>
        </w:rPr>
        <w:t> </w:t>
      </w:r>
      <w:r w:rsidR="00EC7686" w:rsidRPr="0019011E">
        <w:rPr>
          <w:lang w:val="fr-CA"/>
        </w:rPr>
        <w:t xml:space="preserve">6.1 </w:t>
      </w:r>
      <w:r w:rsidR="00BF1640">
        <w:rPr>
          <w:lang w:val="fr-CA"/>
        </w:rPr>
        <w:t xml:space="preserve">de la Loi </w:t>
      </w:r>
      <w:r w:rsidR="00EC7686" w:rsidRPr="0019011E">
        <w:rPr>
          <w:lang w:val="fr-CA"/>
        </w:rPr>
        <w:t>(</w:t>
      </w:r>
      <w:r w:rsidR="006303ED" w:rsidRPr="0019011E">
        <w:rPr>
          <w:lang w:val="fr-CA"/>
        </w:rPr>
        <w:t>art. </w:t>
      </w:r>
      <w:r w:rsidR="00EC7686" w:rsidRPr="0019011E">
        <w:rPr>
          <w:lang w:val="fr-CA"/>
        </w:rPr>
        <w:t xml:space="preserve">472 </w:t>
      </w:r>
      <w:r w:rsidR="00CC126A">
        <w:rPr>
          <w:lang w:val="fr-CA"/>
        </w:rPr>
        <w:t>du projet de loi intitulé</w:t>
      </w:r>
      <w:r w:rsidR="00EC7686" w:rsidRPr="0019011E">
        <w:rPr>
          <w:lang w:val="fr-CA"/>
        </w:rPr>
        <w:t xml:space="preserve"> </w:t>
      </w:r>
      <w:r w:rsidR="00EC7686" w:rsidRPr="0019011E">
        <w:rPr>
          <w:i/>
          <w:lang w:val="fr-CA"/>
        </w:rPr>
        <w:t xml:space="preserve">Loi </w:t>
      </w:r>
      <w:r w:rsidR="002574F9" w:rsidRPr="0019011E">
        <w:rPr>
          <w:i/>
          <w:lang w:val="fr-CA"/>
        </w:rPr>
        <w:t>n</w:t>
      </w:r>
      <w:r w:rsidR="002574F9" w:rsidRPr="00BF1640">
        <w:rPr>
          <w:i/>
          <w:vertAlign w:val="superscript"/>
          <w:lang w:val="fr-CA"/>
        </w:rPr>
        <w:t>o</w:t>
      </w:r>
      <w:r w:rsidR="002574F9" w:rsidRPr="0019011E">
        <w:rPr>
          <w:i/>
          <w:lang w:val="fr-CA"/>
        </w:rPr>
        <w:t> </w:t>
      </w:r>
      <w:r w:rsidR="00EC7686" w:rsidRPr="0019011E">
        <w:rPr>
          <w:i/>
          <w:lang w:val="fr-CA"/>
        </w:rPr>
        <w:t>2 sur le plan d’action économique de 2013</w:t>
      </w:r>
      <w:r w:rsidR="00EC7686" w:rsidRPr="0019011E">
        <w:rPr>
          <w:lang w:val="fr-CA"/>
        </w:rPr>
        <w:t xml:space="preserve">) </w:t>
      </w:r>
      <w:r w:rsidR="00EC7686" w:rsidRPr="0019011E">
        <w:rPr>
          <w:szCs w:val="24"/>
          <w:lang w:val="fr-CA"/>
        </w:rPr>
        <w:t>excède le pouvoir du Parlement agissant seul</w:t>
      </w:r>
      <w:r w:rsidRPr="0019011E">
        <w:rPr>
          <w:lang w:val="fr-CA"/>
        </w:rPr>
        <w:t>,</w:t>
      </w:r>
      <w:r w:rsidR="00EC7686" w:rsidRPr="0019011E">
        <w:rPr>
          <w:lang w:val="fr-CA"/>
        </w:rPr>
        <w:t xml:space="preserve"> car il </w:t>
      </w:r>
      <w:r w:rsidR="00EC7686" w:rsidRPr="0019011E">
        <w:rPr>
          <w:szCs w:val="24"/>
          <w:lang w:val="fr-CA"/>
        </w:rPr>
        <w:t>modifie sur le fond les conditions de nomination d’un juge pour le Québec fixées à l’</w:t>
      </w:r>
      <w:r w:rsidR="006303ED" w:rsidRPr="0019011E">
        <w:rPr>
          <w:szCs w:val="24"/>
          <w:lang w:val="fr-CA"/>
        </w:rPr>
        <w:t>art. </w:t>
      </w:r>
      <w:r w:rsidR="00EC7686" w:rsidRPr="0019011E">
        <w:rPr>
          <w:szCs w:val="24"/>
          <w:lang w:val="fr-CA"/>
        </w:rPr>
        <w:t>6</w:t>
      </w:r>
      <w:r w:rsidRPr="0019011E">
        <w:rPr>
          <w:lang w:val="fr-CA"/>
        </w:rPr>
        <w:t>.</w:t>
      </w:r>
      <w:r w:rsidR="006303ED" w:rsidRPr="0019011E">
        <w:rPr>
          <w:lang w:val="fr-CA"/>
        </w:rPr>
        <w:t xml:space="preserve"> </w:t>
      </w:r>
      <w:r w:rsidRPr="0019011E">
        <w:rPr>
          <w:lang w:val="fr-CA"/>
        </w:rPr>
        <w:t xml:space="preserve"> </w:t>
      </w:r>
      <w:r w:rsidR="00EC7686" w:rsidRPr="0019011E">
        <w:rPr>
          <w:szCs w:val="24"/>
          <w:lang w:val="fr-CA"/>
        </w:rPr>
        <w:t>L’affirmation que l’</w:t>
      </w:r>
      <w:r w:rsidR="006303ED" w:rsidRPr="0019011E">
        <w:rPr>
          <w:szCs w:val="24"/>
          <w:lang w:val="fr-CA"/>
        </w:rPr>
        <w:t>art. </w:t>
      </w:r>
      <w:r w:rsidR="00EC7686" w:rsidRPr="0019011E">
        <w:rPr>
          <w:szCs w:val="24"/>
          <w:lang w:val="fr-CA"/>
        </w:rPr>
        <w:t>6.1 est une disposition déclaratoire ne change en rien son effet.</w:t>
      </w:r>
      <w:r w:rsidR="00EC7686" w:rsidRPr="0019011E">
        <w:rPr>
          <w:lang w:val="fr-CA"/>
        </w:rPr>
        <w:t xml:space="preserve"> </w:t>
      </w:r>
      <w:r w:rsidR="006303ED" w:rsidRPr="0019011E">
        <w:rPr>
          <w:lang w:val="fr-CA"/>
        </w:rPr>
        <w:t xml:space="preserve"> </w:t>
      </w:r>
      <w:r w:rsidR="00EC7686" w:rsidRPr="0019011E">
        <w:rPr>
          <w:szCs w:val="24"/>
          <w:lang w:val="fr-CA"/>
        </w:rPr>
        <w:t>Toutefois, l’</w:t>
      </w:r>
      <w:r w:rsidR="006303ED" w:rsidRPr="0019011E">
        <w:rPr>
          <w:szCs w:val="24"/>
          <w:lang w:val="fr-CA"/>
        </w:rPr>
        <w:t>art. </w:t>
      </w:r>
      <w:r w:rsidR="00EC7686" w:rsidRPr="0019011E">
        <w:rPr>
          <w:szCs w:val="24"/>
          <w:lang w:val="fr-CA"/>
        </w:rPr>
        <w:t>5.1 (</w:t>
      </w:r>
      <w:r w:rsidR="006303ED" w:rsidRPr="0019011E">
        <w:rPr>
          <w:szCs w:val="24"/>
          <w:lang w:val="fr-CA"/>
        </w:rPr>
        <w:t>art. </w:t>
      </w:r>
      <w:r w:rsidR="00EC7686" w:rsidRPr="0019011E">
        <w:rPr>
          <w:szCs w:val="24"/>
          <w:lang w:val="fr-CA"/>
        </w:rPr>
        <w:t>471) ne modifie pas le droit existant en 1982; il a donc été valablement adopté en vertu de l’</w:t>
      </w:r>
      <w:r w:rsidR="006303ED" w:rsidRPr="0019011E">
        <w:rPr>
          <w:szCs w:val="24"/>
          <w:lang w:val="fr-CA"/>
        </w:rPr>
        <w:t>art. </w:t>
      </w:r>
      <w:r w:rsidR="00EC7686" w:rsidRPr="0019011E">
        <w:rPr>
          <w:szCs w:val="24"/>
          <w:lang w:val="fr-CA"/>
        </w:rPr>
        <w:t xml:space="preserve">101 de la </w:t>
      </w:r>
      <w:r w:rsidR="00EC7686" w:rsidRPr="0019011E">
        <w:rPr>
          <w:i/>
          <w:szCs w:val="24"/>
          <w:lang w:val="fr-CA"/>
        </w:rPr>
        <w:t>Loi constitutionnelle de 1867</w:t>
      </w:r>
      <w:r w:rsidR="00EC7686" w:rsidRPr="0019011E">
        <w:rPr>
          <w:szCs w:val="24"/>
          <w:lang w:val="fr-CA"/>
        </w:rPr>
        <w:t xml:space="preserve">, bien qu’il soit redondant. </w:t>
      </w:r>
      <w:r w:rsidRPr="0019011E">
        <w:rPr>
          <w:lang w:val="fr-CA"/>
        </w:rPr>
        <w:t xml:space="preserve"> </w:t>
      </w:r>
    </w:p>
    <w:p w:rsidR="007A28DF" w:rsidRPr="0019011E" w:rsidRDefault="00A86331" w:rsidP="006B5FE2">
      <w:pPr>
        <w:pStyle w:val="SCCNormalDoubleSpacing"/>
        <w:spacing w:after="720" w:line="240" w:lineRule="auto"/>
        <w:rPr>
          <w:lang w:val="fr-CA"/>
        </w:rPr>
      </w:pPr>
      <w:r w:rsidRPr="0019011E">
        <w:rPr>
          <w:i/>
          <w:lang w:val="fr-CA"/>
        </w:rPr>
        <w:t xml:space="preserve">Le </w:t>
      </w:r>
      <w:r w:rsidRPr="0019011E">
        <w:rPr>
          <w:lang w:val="fr-CA"/>
        </w:rPr>
        <w:t>juge</w:t>
      </w:r>
      <w:r w:rsidR="007A28DF" w:rsidRPr="0019011E">
        <w:rPr>
          <w:lang w:val="fr-CA"/>
        </w:rPr>
        <w:t xml:space="preserve"> Moldaver (diss</w:t>
      </w:r>
      <w:r w:rsidRPr="0019011E">
        <w:rPr>
          <w:lang w:val="fr-CA"/>
        </w:rPr>
        <w:t>ident</w:t>
      </w:r>
      <w:r w:rsidR="007A28DF" w:rsidRPr="0019011E">
        <w:rPr>
          <w:lang w:val="fr-CA"/>
        </w:rPr>
        <w:t>)</w:t>
      </w:r>
      <w:r w:rsidR="006303ED" w:rsidRPr="0019011E">
        <w:rPr>
          <w:lang w:val="fr-CA"/>
        </w:rPr>
        <w:t> :</w:t>
      </w:r>
      <w:r w:rsidR="007A28DF" w:rsidRPr="0019011E">
        <w:rPr>
          <w:lang w:val="fr-CA"/>
        </w:rPr>
        <w:t xml:space="preserve"> </w:t>
      </w:r>
    </w:p>
    <w:p w:rsidR="004D7D95" w:rsidRPr="0019011E" w:rsidRDefault="007A28DF" w:rsidP="006B5FE2">
      <w:pPr>
        <w:pStyle w:val="SCCNormalDoubleSpacing"/>
        <w:spacing w:before="480" w:after="480"/>
        <w:rPr>
          <w:lang w:val="fr-CA"/>
        </w:rPr>
      </w:pPr>
      <w:r w:rsidRPr="0019011E">
        <w:rPr>
          <w:lang w:val="fr-CA"/>
        </w:rPr>
        <w:tab/>
      </w:r>
      <w:r w:rsidR="00A86331" w:rsidRPr="0019011E">
        <w:rPr>
          <w:lang w:val="fr-CA"/>
        </w:rPr>
        <w:t xml:space="preserve">Comme tout </w:t>
      </w:r>
      <w:r w:rsidR="00A86331" w:rsidRPr="0019011E">
        <w:rPr>
          <w:szCs w:val="24"/>
          <w:lang w:val="fr-CA"/>
        </w:rPr>
        <w:t>avocat</w:t>
      </w:r>
      <w:r w:rsidR="00A86331" w:rsidRPr="0019011E">
        <w:rPr>
          <w:lang w:val="fr-CA"/>
        </w:rPr>
        <w:t xml:space="preserve">, actuel ou ancien, inscrit pendant 10 ans au Barreau du Québec est admissible à une nomination à un poste de juge de la Cour réservé au Québec, </w:t>
      </w:r>
      <w:r w:rsidR="00075814">
        <w:rPr>
          <w:lang w:val="fr-CA"/>
        </w:rPr>
        <w:t xml:space="preserve">le </w:t>
      </w:r>
      <w:r w:rsidR="00A86331" w:rsidRPr="0019011E">
        <w:rPr>
          <w:lang w:val="fr-CA"/>
        </w:rPr>
        <w:t xml:space="preserve">texte législatif mentionné dans la question 2 n’a aucun autre effet que de répéter ce que la loi dit déjà.  Il n’est donc pas nécessaire de répondre à la </w:t>
      </w:r>
      <w:r w:rsidR="00BF1640">
        <w:rPr>
          <w:lang w:val="fr-CA"/>
        </w:rPr>
        <w:t>q</w:t>
      </w:r>
      <w:r w:rsidR="002574F9" w:rsidRPr="0019011E">
        <w:rPr>
          <w:lang w:val="fr-CA"/>
        </w:rPr>
        <w:t>uestion </w:t>
      </w:r>
      <w:r w:rsidR="00A86331" w:rsidRPr="0019011E">
        <w:rPr>
          <w:lang w:val="fr-CA"/>
        </w:rPr>
        <w:t xml:space="preserve">2.  </w:t>
      </w:r>
    </w:p>
    <w:p w:rsidR="004D7D95" w:rsidRPr="0019011E" w:rsidRDefault="004D7D95" w:rsidP="006B5FE2">
      <w:pPr>
        <w:pStyle w:val="SCCNormalDoubleSpacing"/>
        <w:spacing w:after="720" w:line="240" w:lineRule="auto"/>
        <w:rPr>
          <w:b/>
          <w:lang w:val="fr-CA"/>
        </w:rPr>
      </w:pPr>
      <w:r w:rsidRPr="0019011E">
        <w:rPr>
          <w:b/>
          <w:lang w:val="fr-CA"/>
        </w:rPr>
        <w:t>Jurisprudence</w:t>
      </w:r>
    </w:p>
    <w:p w:rsidR="000B4CEB" w:rsidRPr="0019011E" w:rsidRDefault="000B4CEB" w:rsidP="006B5FE2">
      <w:pPr>
        <w:pStyle w:val="SCCNormalDoubleSpacing"/>
        <w:spacing w:after="720" w:line="240" w:lineRule="auto"/>
        <w:rPr>
          <w:lang w:val="fr-CA"/>
        </w:rPr>
      </w:pPr>
      <w:r w:rsidRPr="0019011E">
        <w:rPr>
          <w:lang w:val="fr-CA"/>
        </w:rPr>
        <w:lastRenderedPageBreak/>
        <w:t>Citée par la juge en chef McLachlin et les juges LeBel, Abella, Cromwell, Karakatsanis et Wagner</w:t>
      </w:r>
    </w:p>
    <w:p w:rsidR="004D7D95" w:rsidRPr="0019011E" w:rsidRDefault="004D7D95" w:rsidP="006B5FE2">
      <w:pPr>
        <w:pStyle w:val="SCCNormalDoubleSpacing"/>
        <w:spacing w:before="480" w:after="480"/>
        <w:rPr>
          <w:lang w:val="fr-CA"/>
        </w:rPr>
      </w:pPr>
      <w:r w:rsidRPr="0019011E">
        <w:rPr>
          <w:lang w:val="fr-CA"/>
        </w:rPr>
        <w:tab/>
      </w:r>
      <w:r w:rsidRPr="0019011E">
        <w:rPr>
          <w:b/>
          <w:lang w:val="fr-CA"/>
        </w:rPr>
        <w:t>Arrêts mentionnés</w:t>
      </w:r>
      <w:r w:rsidR="006303ED" w:rsidRPr="0019011E">
        <w:rPr>
          <w:b/>
          <w:lang w:val="fr-CA"/>
        </w:rPr>
        <w:t> :</w:t>
      </w:r>
      <w:r w:rsidR="00520228" w:rsidRPr="0019011E">
        <w:rPr>
          <w:lang w:val="fr-CA"/>
        </w:rPr>
        <w:t xml:space="preserve"> </w:t>
      </w:r>
      <w:r w:rsidR="00520228" w:rsidRPr="0019011E">
        <w:rPr>
          <w:i/>
          <w:lang w:val="fr-CA"/>
        </w:rPr>
        <w:t>Hunter c. Southam Inc.</w:t>
      </w:r>
      <w:r w:rsidR="00520228" w:rsidRPr="0019011E">
        <w:rPr>
          <w:lang w:val="fr-CA"/>
        </w:rPr>
        <w:t xml:space="preserve">, [1984] 2 R.C.S. 145; </w:t>
      </w:r>
      <w:r w:rsidR="00520228" w:rsidRPr="0019011E">
        <w:rPr>
          <w:i/>
          <w:lang w:val="fr-CA"/>
        </w:rPr>
        <w:t>Edwards c. Attorney</w:t>
      </w:r>
      <w:r w:rsidR="006303ED" w:rsidRPr="0019011E">
        <w:rPr>
          <w:i/>
          <w:lang w:val="fr-CA"/>
        </w:rPr>
        <w:noBreakHyphen/>
      </w:r>
      <w:r w:rsidR="00520228" w:rsidRPr="0019011E">
        <w:rPr>
          <w:i/>
          <w:lang w:val="fr-CA"/>
        </w:rPr>
        <w:t>General for Canada</w:t>
      </w:r>
      <w:r w:rsidR="00520228" w:rsidRPr="0019011E">
        <w:rPr>
          <w:lang w:val="fr-CA"/>
        </w:rPr>
        <w:t xml:space="preserve">, [1930] A.C. 124; </w:t>
      </w:r>
      <w:r w:rsidR="00520228" w:rsidRPr="0019011E">
        <w:rPr>
          <w:i/>
          <w:lang w:val="fr-CA"/>
        </w:rPr>
        <w:t>R. c. Big M Drug Mart Ltd.</w:t>
      </w:r>
      <w:r w:rsidR="00520228" w:rsidRPr="0019011E">
        <w:rPr>
          <w:lang w:val="fr-CA"/>
        </w:rPr>
        <w:t xml:space="preserve">, [1985] 1 R.C.S. 295; </w:t>
      </w:r>
      <w:r w:rsidR="00520228" w:rsidRPr="0019011E">
        <w:rPr>
          <w:i/>
          <w:lang w:val="fr-CA"/>
        </w:rPr>
        <w:t>Sarvanis c. Canada</w:t>
      </w:r>
      <w:r w:rsidR="00520228" w:rsidRPr="0019011E">
        <w:rPr>
          <w:lang w:val="fr-CA"/>
        </w:rPr>
        <w:t xml:space="preserve">, 2002 CSC 28, [2002] 1 R.C.S. 921; </w:t>
      </w:r>
      <w:r w:rsidR="00520228" w:rsidRPr="0019011E">
        <w:rPr>
          <w:i/>
          <w:lang w:val="fr-CA"/>
        </w:rPr>
        <w:t>R. c. Daoust</w:t>
      </w:r>
      <w:r w:rsidR="00520228" w:rsidRPr="0019011E">
        <w:rPr>
          <w:lang w:val="fr-CA"/>
        </w:rPr>
        <w:t xml:space="preserve">, 2004 CSC 6, [2004] 1 R.C.S. 217; </w:t>
      </w:r>
      <w:r w:rsidR="00520228" w:rsidRPr="0019011E">
        <w:rPr>
          <w:i/>
          <w:lang w:val="fr-CA"/>
        </w:rPr>
        <w:t>Renvoi relatif à la sécession du Québec</w:t>
      </w:r>
      <w:r w:rsidR="00520228" w:rsidRPr="0019011E">
        <w:rPr>
          <w:lang w:val="fr-CA"/>
        </w:rPr>
        <w:t xml:space="preserve">, [1998] 2 R.C.S. 217; </w:t>
      </w:r>
      <w:r w:rsidR="00AF197F" w:rsidRPr="0019011E">
        <w:rPr>
          <w:i/>
          <w:lang w:val="fr-CA"/>
        </w:rPr>
        <w:t xml:space="preserve">Re References by </w:t>
      </w:r>
      <w:r w:rsidR="00BF1640">
        <w:rPr>
          <w:i/>
          <w:lang w:val="fr-CA"/>
        </w:rPr>
        <w:t xml:space="preserve">the </w:t>
      </w:r>
      <w:r w:rsidR="00AF197F" w:rsidRPr="0019011E">
        <w:rPr>
          <w:i/>
          <w:lang w:val="fr-CA"/>
        </w:rPr>
        <w:t>Governor</w:t>
      </w:r>
      <w:r w:rsidR="006303ED" w:rsidRPr="0019011E">
        <w:rPr>
          <w:i/>
          <w:lang w:val="fr-CA"/>
        </w:rPr>
        <w:noBreakHyphen/>
      </w:r>
      <w:r w:rsidR="00AF197F" w:rsidRPr="0019011E">
        <w:rPr>
          <w:i/>
          <w:lang w:val="fr-CA"/>
        </w:rPr>
        <w:t>General in Council</w:t>
      </w:r>
      <w:r w:rsidR="00AF197F" w:rsidRPr="0019011E">
        <w:rPr>
          <w:lang w:val="fr-CA"/>
        </w:rPr>
        <w:t xml:space="preserve"> (1910), 43 R.C.S. 536, conf. par [1912] A.C. 571; </w:t>
      </w:r>
      <w:r w:rsidR="00520228" w:rsidRPr="0019011E">
        <w:rPr>
          <w:i/>
          <w:lang w:val="fr-CA"/>
        </w:rPr>
        <w:t>Reference re The Farm Products Marketing Act</w:t>
      </w:r>
      <w:r w:rsidR="00520228" w:rsidRPr="0019011E">
        <w:rPr>
          <w:lang w:val="fr-CA"/>
        </w:rPr>
        <w:t xml:space="preserve">, [1957] R.C.S. 198; </w:t>
      </w:r>
      <w:r w:rsidR="00520228" w:rsidRPr="0019011E">
        <w:rPr>
          <w:i/>
          <w:lang w:val="fr-CA"/>
        </w:rPr>
        <w:t>Renvoi relatif à la Loi sur les valeurs mobilières</w:t>
      </w:r>
      <w:r w:rsidR="00520228" w:rsidRPr="0019011E">
        <w:rPr>
          <w:lang w:val="fr-CA"/>
        </w:rPr>
        <w:t xml:space="preserve">, 2011 CSC 66, [2011] 3 R.C.S. 837; </w:t>
      </w:r>
      <w:r w:rsidR="00520228" w:rsidRPr="0019011E">
        <w:rPr>
          <w:i/>
          <w:lang w:val="fr-CA"/>
        </w:rPr>
        <w:t>Hunt c. T&amp;N plc</w:t>
      </w:r>
      <w:r w:rsidR="00520228" w:rsidRPr="0019011E">
        <w:rPr>
          <w:lang w:val="fr-CA"/>
        </w:rPr>
        <w:t xml:space="preserve">, [1993] 4 R.C.S. 289; </w:t>
      </w:r>
      <w:r w:rsidR="00520228" w:rsidRPr="0019011E">
        <w:rPr>
          <w:i/>
          <w:lang w:val="fr-CA"/>
        </w:rPr>
        <w:t>Banque de Montréal c. Metropolitan Investigation &amp; Security (Canada) Ltd.</w:t>
      </w:r>
      <w:r w:rsidR="00520228" w:rsidRPr="0019011E">
        <w:rPr>
          <w:lang w:val="fr-CA"/>
        </w:rPr>
        <w:t xml:space="preserve">, [1975] 2 R.C.S. 546; </w:t>
      </w:r>
      <w:r w:rsidR="00520228" w:rsidRPr="0019011E">
        <w:rPr>
          <w:i/>
          <w:lang w:val="fr-CA"/>
        </w:rPr>
        <w:t>R. c. Gardiner</w:t>
      </w:r>
      <w:r w:rsidR="00520228" w:rsidRPr="0019011E">
        <w:rPr>
          <w:lang w:val="fr-CA"/>
        </w:rPr>
        <w:t xml:space="preserve">, [1982] 2 R.C.S. 368; </w:t>
      </w:r>
      <w:r w:rsidR="00520228" w:rsidRPr="0019011E">
        <w:rPr>
          <w:i/>
          <w:lang w:val="fr-CA"/>
        </w:rPr>
        <w:t>R. c. Henry</w:t>
      </w:r>
      <w:r w:rsidR="00520228" w:rsidRPr="0019011E">
        <w:rPr>
          <w:lang w:val="fr-CA"/>
        </w:rPr>
        <w:t>, 2005 CSC 76, [2005] 3 R.C.S. 609.</w:t>
      </w:r>
    </w:p>
    <w:p w:rsidR="004D7D95" w:rsidRPr="0019011E" w:rsidRDefault="000B4CEB" w:rsidP="006B5FE2">
      <w:pPr>
        <w:pStyle w:val="SCCNormalDoubleSpacing"/>
        <w:spacing w:after="720" w:line="240" w:lineRule="auto"/>
        <w:rPr>
          <w:lang w:val="fr-CA"/>
        </w:rPr>
      </w:pPr>
      <w:r w:rsidRPr="0019011E">
        <w:rPr>
          <w:lang w:val="fr-CA"/>
        </w:rPr>
        <w:t>Citée par le juge Moldaver</w:t>
      </w:r>
      <w:r w:rsidR="006E64AF" w:rsidRPr="0019011E">
        <w:rPr>
          <w:lang w:val="fr-CA"/>
        </w:rPr>
        <w:t xml:space="preserve"> (dissident)</w:t>
      </w:r>
    </w:p>
    <w:p w:rsidR="006E64AF" w:rsidRPr="0019011E" w:rsidRDefault="000B4CEB" w:rsidP="006B5FE2">
      <w:pPr>
        <w:pStyle w:val="SCCNormalDoubleSpacing"/>
        <w:spacing w:before="480" w:after="480"/>
        <w:rPr>
          <w:lang w:val="fr-CA"/>
        </w:rPr>
      </w:pPr>
      <w:r w:rsidRPr="0019011E">
        <w:rPr>
          <w:lang w:val="fr-CA"/>
        </w:rPr>
        <w:tab/>
      </w:r>
      <w:r w:rsidR="006E64AF" w:rsidRPr="0019011E">
        <w:rPr>
          <w:i/>
          <w:lang w:val="fr-CA"/>
        </w:rPr>
        <w:t>Rizzo &amp; Rizzo Shoes Ltd. (Re)</w:t>
      </w:r>
      <w:r w:rsidR="006E64AF" w:rsidRPr="0019011E">
        <w:rPr>
          <w:lang w:val="fr-CA"/>
        </w:rPr>
        <w:t xml:space="preserve">, [1998] 1 R.C.S. 27; </w:t>
      </w:r>
      <w:r w:rsidR="006E64AF" w:rsidRPr="0019011E">
        <w:rPr>
          <w:i/>
          <w:lang w:val="fr-CA"/>
        </w:rPr>
        <w:t>Morgentaler c. La Reine</w:t>
      </w:r>
      <w:r w:rsidR="006E64AF" w:rsidRPr="0019011E">
        <w:rPr>
          <w:lang w:val="fr-CA"/>
        </w:rPr>
        <w:t>, [1976] 1 R.C.S. 616.</w:t>
      </w:r>
    </w:p>
    <w:p w:rsidR="004D7D95" w:rsidRPr="0019011E" w:rsidRDefault="004D7D95" w:rsidP="006B5FE2">
      <w:pPr>
        <w:pStyle w:val="SCCNormalDoubleSpacing"/>
        <w:spacing w:after="720" w:line="240" w:lineRule="auto"/>
        <w:rPr>
          <w:b/>
          <w:lang w:val="fr-CA"/>
        </w:rPr>
      </w:pPr>
      <w:r w:rsidRPr="0019011E">
        <w:rPr>
          <w:b/>
          <w:lang w:val="fr-CA"/>
        </w:rPr>
        <w:t>Lois et règlements cités</w:t>
      </w:r>
    </w:p>
    <w:p w:rsidR="00B86E86" w:rsidRPr="0019011E" w:rsidRDefault="00B86E86" w:rsidP="006B5FE2">
      <w:pPr>
        <w:pStyle w:val="SCCNormalDoubleSpacing"/>
        <w:spacing w:after="240" w:line="240" w:lineRule="auto"/>
        <w:ind w:left="540" w:hanging="540"/>
        <w:rPr>
          <w:lang w:val="fr-CA"/>
        </w:rPr>
      </w:pPr>
      <w:r w:rsidRPr="0019011E">
        <w:rPr>
          <w:i/>
          <w:lang w:val="fr-CA"/>
        </w:rPr>
        <w:t>Acte concernant les statuts revisés du Canada</w:t>
      </w:r>
      <w:r w:rsidRPr="0019011E">
        <w:rPr>
          <w:lang w:val="fr-CA"/>
        </w:rPr>
        <w:t xml:space="preserve">, S.R.C. 1886, </w:t>
      </w:r>
      <w:r w:rsidR="006303ED" w:rsidRPr="0019011E">
        <w:rPr>
          <w:lang w:val="fr-CA"/>
        </w:rPr>
        <w:t>ch. </w:t>
      </w:r>
      <w:r w:rsidRPr="0019011E">
        <w:rPr>
          <w:lang w:val="fr-CA"/>
        </w:rPr>
        <w:t xml:space="preserve">4, </w:t>
      </w:r>
      <w:r w:rsidR="006303ED" w:rsidRPr="0019011E">
        <w:rPr>
          <w:lang w:val="fr-CA"/>
        </w:rPr>
        <w:t>art. </w:t>
      </w:r>
      <w:r w:rsidRPr="0019011E">
        <w:rPr>
          <w:lang w:val="fr-CA"/>
        </w:rPr>
        <w:t>8.</w:t>
      </w:r>
    </w:p>
    <w:p w:rsidR="00B86E86" w:rsidRPr="0019011E" w:rsidRDefault="00B86E86" w:rsidP="006B5FE2">
      <w:pPr>
        <w:pStyle w:val="SCCNormalDoubleSpacing"/>
        <w:spacing w:after="240" w:line="240" w:lineRule="auto"/>
        <w:ind w:left="540" w:hanging="540"/>
        <w:rPr>
          <w:lang w:val="fr-CA"/>
        </w:rPr>
      </w:pPr>
      <w:r w:rsidRPr="0019011E">
        <w:rPr>
          <w:i/>
          <w:lang w:val="fr-CA"/>
        </w:rPr>
        <w:t>Acte de la Cour Suprême et de l’</w:t>
      </w:r>
      <w:r w:rsidR="00BF1640">
        <w:rPr>
          <w:i/>
          <w:lang w:val="fr-CA"/>
        </w:rPr>
        <w:t>É</w:t>
      </w:r>
      <w:r w:rsidRPr="0019011E">
        <w:rPr>
          <w:i/>
          <w:lang w:val="fr-CA"/>
        </w:rPr>
        <w:t>chiquier</w:t>
      </w:r>
      <w:r w:rsidRPr="0019011E">
        <w:rPr>
          <w:lang w:val="fr-CA"/>
        </w:rPr>
        <w:t xml:space="preserve">, S.C. 1875, </w:t>
      </w:r>
      <w:r w:rsidR="006303ED" w:rsidRPr="0019011E">
        <w:rPr>
          <w:lang w:val="fr-CA"/>
        </w:rPr>
        <w:t>ch. </w:t>
      </w:r>
      <w:r w:rsidRPr="0019011E">
        <w:rPr>
          <w:lang w:val="fr-CA"/>
        </w:rPr>
        <w:t xml:space="preserve">11, </w:t>
      </w:r>
      <w:r w:rsidR="006303ED" w:rsidRPr="0019011E">
        <w:rPr>
          <w:lang w:val="fr-CA"/>
        </w:rPr>
        <w:t>art. </w:t>
      </w:r>
      <w:r w:rsidRPr="0019011E">
        <w:rPr>
          <w:lang w:val="fr-CA"/>
        </w:rPr>
        <w:t>4.</w:t>
      </w:r>
    </w:p>
    <w:p w:rsidR="00B86E86" w:rsidRPr="0019011E" w:rsidRDefault="00B86E86" w:rsidP="006B5FE2">
      <w:pPr>
        <w:pStyle w:val="SCCNormalDoubleSpacing"/>
        <w:spacing w:after="240" w:line="240" w:lineRule="auto"/>
        <w:ind w:left="540" w:hanging="540"/>
        <w:rPr>
          <w:lang w:val="fr-CA"/>
        </w:rPr>
      </w:pPr>
      <w:r w:rsidRPr="0019011E">
        <w:rPr>
          <w:i/>
          <w:lang w:val="fr-CA"/>
        </w:rPr>
        <w:t>Acte des cours Suprême et de l’Échiquier</w:t>
      </w:r>
      <w:r w:rsidRPr="0019011E">
        <w:rPr>
          <w:lang w:val="fr-CA"/>
        </w:rPr>
        <w:t xml:space="preserve">, S.R.C. 1886, </w:t>
      </w:r>
      <w:r w:rsidR="006303ED" w:rsidRPr="0019011E">
        <w:rPr>
          <w:lang w:val="fr-CA"/>
        </w:rPr>
        <w:t>ch. </w:t>
      </w:r>
      <w:r w:rsidRPr="0019011E">
        <w:rPr>
          <w:lang w:val="fr-CA"/>
        </w:rPr>
        <w:t xml:space="preserve">135, </w:t>
      </w:r>
      <w:r w:rsidR="006303ED" w:rsidRPr="0019011E">
        <w:rPr>
          <w:lang w:val="fr-CA"/>
        </w:rPr>
        <w:t>art. </w:t>
      </w:r>
      <w:r w:rsidRPr="0019011E">
        <w:rPr>
          <w:lang w:val="fr-CA"/>
        </w:rPr>
        <w:t>4(2), (3).</w:t>
      </w:r>
    </w:p>
    <w:p w:rsidR="00943759" w:rsidRPr="0019011E" w:rsidRDefault="00943759" w:rsidP="006B5FE2">
      <w:pPr>
        <w:pStyle w:val="SCCNormalDoubleSpacing"/>
        <w:spacing w:after="240" w:line="240" w:lineRule="auto"/>
        <w:ind w:left="540" w:hanging="540"/>
        <w:rPr>
          <w:lang w:val="fr-CA"/>
        </w:rPr>
      </w:pPr>
      <w:r w:rsidRPr="0019011E">
        <w:rPr>
          <w:i/>
          <w:lang w:val="fr-CA"/>
        </w:rPr>
        <w:t>Charte canadienne des droits et libertés</w:t>
      </w:r>
      <w:r w:rsidRPr="0019011E">
        <w:rPr>
          <w:lang w:val="fr-CA"/>
        </w:rPr>
        <w:t>.</w:t>
      </w:r>
    </w:p>
    <w:p w:rsidR="00943759" w:rsidRPr="0019011E" w:rsidRDefault="00943759" w:rsidP="006B5FE2">
      <w:pPr>
        <w:pStyle w:val="SCCNormalDoubleSpacing"/>
        <w:spacing w:after="240" w:line="240" w:lineRule="auto"/>
        <w:ind w:left="540" w:hanging="540"/>
        <w:rPr>
          <w:lang w:val="fr-CA"/>
        </w:rPr>
      </w:pPr>
      <w:r w:rsidRPr="0019011E">
        <w:rPr>
          <w:i/>
          <w:lang w:val="fr-CA"/>
        </w:rPr>
        <w:t>Loi constitutionnelle de 1867</w:t>
      </w:r>
      <w:r w:rsidRPr="0019011E">
        <w:rPr>
          <w:lang w:val="fr-CA"/>
        </w:rPr>
        <w:t xml:space="preserve">, </w:t>
      </w:r>
      <w:r w:rsidR="006303ED" w:rsidRPr="0019011E">
        <w:rPr>
          <w:lang w:val="fr-CA"/>
        </w:rPr>
        <w:t>art. </w:t>
      </w:r>
      <w:r w:rsidRPr="0019011E">
        <w:rPr>
          <w:lang w:val="fr-CA"/>
        </w:rPr>
        <w:t>101.</w:t>
      </w:r>
    </w:p>
    <w:p w:rsidR="00943759" w:rsidRPr="0019011E" w:rsidRDefault="00CD20B8" w:rsidP="006B5FE2">
      <w:pPr>
        <w:pStyle w:val="SCCNormalDoubleSpacing"/>
        <w:spacing w:after="240" w:line="240" w:lineRule="auto"/>
        <w:ind w:left="540" w:hanging="540"/>
        <w:rPr>
          <w:lang w:val="fr-CA"/>
        </w:rPr>
      </w:pPr>
      <w:r w:rsidRPr="0019011E">
        <w:rPr>
          <w:i/>
          <w:lang w:val="fr-CA"/>
        </w:rPr>
        <w:t>Loi c</w:t>
      </w:r>
      <w:r w:rsidR="00943759" w:rsidRPr="0019011E">
        <w:rPr>
          <w:i/>
          <w:lang w:val="fr-CA"/>
        </w:rPr>
        <w:t>onstitution</w:t>
      </w:r>
      <w:r w:rsidRPr="0019011E">
        <w:rPr>
          <w:i/>
          <w:lang w:val="fr-CA"/>
        </w:rPr>
        <w:t>nelle de</w:t>
      </w:r>
      <w:r w:rsidR="00943759" w:rsidRPr="0019011E">
        <w:rPr>
          <w:i/>
          <w:lang w:val="fr-CA"/>
        </w:rPr>
        <w:t xml:space="preserve"> 1982</w:t>
      </w:r>
      <w:r w:rsidRPr="0019011E">
        <w:rPr>
          <w:lang w:val="fr-CA"/>
        </w:rPr>
        <w:t xml:space="preserve">, </w:t>
      </w:r>
      <w:r w:rsidR="000213F7" w:rsidRPr="0019011E">
        <w:rPr>
          <w:lang w:val="fr-CA"/>
        </w:rPr>
        <w:t>partie </w:t>
      </w:r>
      <w:r w:rsidR="00C75C1D" w:rsidRPr="0019011E">
        <w:rPr>
          <w:lang w:val="fr-CA"/>
        </w:rPr>
        <w:t xml:space="preserve">V, </w:t>
      </w:r>
      <w:r w:rsidR="006303ED" w:rsidRPr="0019011E">
        <w:rPr>
          <w:lang w:val="fr-CA"/>
        </w:rPr>
        <w:t>art. </w:t>
      </w:r>
      <w:r w:rsidR="00943759" w:rsidRPr="0019011E">
        <w:rPr>
          <w:lang w:val="fr-CA"/>
        </w:rPr>
        <w:t>41</w:t>
      </w:r>
      <w:r w:rsidR="00943759" w:rsidRPr="0019011E">
        <w:rPr>
          <w:i/>
          <w:lang w:val="fr-CA"/>
        </w:rPr>
        <w:t>d</w:t>
      </w:r>
      <w:r w:rsidR="00943759" w:rsidRPr="0019011E">
        <w:rPr>
          <w:lang w:val="fr-CA"/>
        </w:rPr>
        <w:t>), 42(1)</w:t>
      </w:r>
      <w:r w:rsidR="00943759" w:rsidRPr="0019011E">
        <w:rPr>
          <w:i/>
          <w:lang w:val="fr-CA"/>
        </w:rPr>
        <w:t>d</w:t>
      </w:r>
      <w:r w:rsidR="00943759" w:rsidRPr="0019011E">
        <w:rPr>
          <w:lang w:val="fr-CA"/>
        </w:rPr>
        <w:t>), 52(1).</w:t>
      </w:r>
    </w:p>
    <w:p w:rsidR="00B86E86" w:rsidRPr="0019011E" w:rsidRDefault="00B86E86" w:rsidP="006B5FE2">
      <w:pPr>
        <w:pStyle w:val="SCCNormalDoubleSpacing"/>
        <w:spacing w:after="240" w:line="240" w:lineRule="auto"/>
        <w:ind w:left="540" w:hanging="540"/>
        <w:rPr>
          <w:lang w:val="fr-CA"/>
        </w:rPr>
      </w:pPr>
      <w:r w:rsidRPr="0019011E">
        <w:rPr>
          <w:i/>
          <w:lang w:val="fr-CA"/>
        </w:rPr>
        <w:lastRenderedPageBreak/>
        <w:t xml:space="preserve">Loi de la </w:t>
      </w:r>
      <w:r w:rsidR="00BF1640">
        <w:rPr>
          <w:i/>
          <w:lang w:val="fr-CA"/>
        </w:rPr>
        <w:t>c</w:t>
      </w:r>
      <w:r w:rsidRPr="0019011E">
        <w:rPr>
          <w:i/>
          <w:lang w:val="fr-CA"/>
        </w:rPr>
        <w:t xml:space="preserve">our </w:t>
      </w:r>
      <w:r w:rsidR="00BF1640">
        <w:rPr>
          <w:i/>
          <w:lang w:val="fr-CA"/>
        </w:rPr>
        <w:t>S</w:t>
      </w:r>
      <w:r w:rsidRPr="0019011E">
        <w:rPr>
          <w:i/>
          <w:lang w:val="fr-CA"/>
        </w:rPr>
        <w:t>uprême</w:t>
      </w:r>
      <w:r w:rsidRPr="0019011E">
        <w:rPr>
          <w:lang w:val="fr-CA"/>
        </w:rPr>
        <w:t xml:space="preserve">, S.R.C. 1906, </w:t>
      </w:r>
      <w:r w:rsidR="006303ED" w:rsidRPr="0019011E">
        <w:rPr>
          <w:lang w:val="fr-CA"/>
        </w:rPr>
        <w:t>ch. </w:t>
      </w:r>
      <w:r w:rsidRPr="0019011E">
        <w:rPr>
          <w:lang w:val="fr-CA"/>
        </w:rPr>
        <w:t xml:space="preserve">139, </w:t>
      </w:r>
      <w:r w:rsidR="006303ED" w:rsidRPr="0019011E">
        <w:rPr>
          <w:lang w:val="fr-CA"/>
        </w:rPr>
        <w:t>art. </w:t>
      </w:r>
      <w:r w:rsidRPr="0019011E">
        <w:rPr>
          <w:lang w:val="fr-CA"/>
        </w:rPr>
        <w:t>5, 6.</w:t>
      </w:r>
    </w:p>
    <w:p w:rsidR="00B86E86" w:rsidRPr="0019011E" w:rsidRDefault="00B86E86" w:rsidP="006B5FE2">
      <w:pPr>
        <w:pStyle w:val="SCCNormalDoubleSpacing"/>
        <w:spacing w:after="240" w:line="240" w:lineRule="auto"/>
        <w:ind w:left="540" w:hanging="540"/>
        <w:rPr>
          <w:lang w:val="fr-CA"/>
        </w:rPr>
      </w:pPr>
      <w:r w:rsidRPr="0019011E">
        <w:rPr>
          <w:i/>
          <w:lang w:val="fr-CA"/>
        </w:rPr>
        <w:t>Loi de la Cour suprême</w:t>
      </w:r>
      <w:r w:rsidRPr="0019011E">
        <w:rPr>
          <w:lang w:val="fr-CA"/>
        </w:rPr>
        <w:t xml:space="preserve">, S.R.C. 1927, </w:t>
      </w:r>
      <w:r w:rsidR="006303ED" w:rsidRPr="0019011E">
        <w:rPr>
          <w:lang w:val="fr-CA"/>
        </w:rPr>
        <w:t>ch. </w:t>
      </w:r>
      <w:r w:rsidRPr="0019011E">
        <w:rPr>
          <w:lang w:val="fr-CA"/>
        </w:rPr>
        <w:t xml:space="preserve">35, </w:t>
      </w:r>
      <w:r w:rsidR="006303ED" w:rsidRPr="0019011E">
        <w:rPr>
          <w:lang w:val="fr-CA"/>
        </w:rPr>
        <w:t>art. </w:t>
      </w:r>
      <w:r w:rsidRPr="0019011E">
        <w:rPr>
          <w:lang w:val="fr-CA"/>
        </w:rPr>
        <w:t xml:space="preserve">4, </w:t>
      </w:r>
      <w:r w:rsidR="00904014" w:rsidRPr="0019011E">
        <w:rPr>
          <w:lang w:val="fr-CA"/>
        </w:rPr>
        <w:t xml:space="preserve">5, </w:t>
      </w:r>
      <w:r w:rsidRPr="0019011E">
        <w:rPr>
          <w:lang w:val="fr-CA"/>
        </w:rPr>
        <w:t>6.</w:t>
      </w:r>
    </w:p>
    <w:p w:rsidR="007A1270" w:rsidRPr="0019011E" w:rsidRDefault="007A1270" w:rsidP="006B5FE2">
      <w:pPr>
        <w:pStyle w:val="SCCNormalDoubleSpacing"/>
        <w:spacing w:after="240" w:line="240" w:lineRule="auto"/>
        <w:ind w:left="540" w:hanging="540"/>
        <w:rPr>
          <w:lang w:val="fr-CA"/>
        </w:rPr>
      </w:pPr>
      <w:r w:rsidRPr="0019011E">
        <w:rPr>
          <w:i/>
          <w:lang w:val="fr-CA"/>
        </w:rPr>
        <w:t>Loi modifiant la loi de la Cour de l’</w:t>
      </w:r>
      <w:r w:rsidR="00BF1640">
        <w:rPr>
          <w:i/>
          <w:lang w:val="fr-CA"/>
        </w:rPr>
        <w:t>É</w:t>
      </w:r>
      <w:r w:rsidRPr="0019011E">
        <w:rPr>
          <w:i/>
          <w:lang w:val="fr-CA"/>
        </w:rPr>
        <w:t>chiquier</w:t>
      </w:r>
      <w:r w:rsidRPr="0019011E">
        <w:rPr>
          <w:lang w:val="fr-CA"/>
        </w:rPr>
        <w:t xml:space="preserve">, S.C. 1912, </w:t>
      </w:r>
      <w:r w:rsidR="006303ED" w:rsidRPr="0019011E">
        <w:rPr>
          <w:lang w:val="fr-CA"/>
        </w:rPr>
        <w:t>ch. </w:t>
      </w:r>
      <w:r w:rsidRPr="0019011E">
        <w:rPr>
          <w:lang w:val="fr-CA"/>
        </w:rPr>
        <w:t xml:space="preserve">21, </w:t>
      </w:r>
      <w:r w:rsidR="006303ED" w:rsidRPr="0019011E">
        <w:rPr>
          <w:lang w:val="fr-CA"/>
        </w:rPr>
        <w:t>art. </w:t>
      </w:r>
      <w:r w:rsidRPr="0019011E">
        <w:rPr>
          <w:lang w:val="fr-CA"/>
        </w:rPr>
        <w:t>1.</w:t>
      </w:r>
    </w:p>
    <w:p w:rsidR="00764199" w:rsidRPr="0019011E" w:rsidRDefault="00764199" w:rsidP="006B5FE2">
      <w:pPr>
        <w:pStyle w:val="SCCNormalDoubleSpacing"/>
        <w:spacing w:after="240" w:line="240" w:lineRule="auto"/>
        <w:ind w:left="540" w:hanging="540"/>
        <w:rPr>
          <w:lang w:val="fr-CA"/>
        </w:rPr>
      </w:pPr>
      <w:r w:rsidRPr="0019011E">
        <w:rPr>
          <w:i/>
          <w:lang w:val="fr-CA"/>
        </w:rPr>
        <w:t xml:space="preserve">Loi modifiant la Loi </w:t>
      </w:r>
      <w:r w:rsidR="00CF796F" w:rsidRPr="0019011E">
        <w:rPr>
          <w:i/>
          <w:lang w:val="fr-CA"/>
        </w:rPr>
        <w:t>de</w:t>
      </w:r>
      <w:r w:rsidRPr="0019011E">
        <w:rPr>
          <w:i/>
          <w:lang w:val="fr-CA"/>
        </w:rPr>
        <w:t xml:space="preserve"> la </w:t>
      </w:r>
      <w:r w:rsidR="00CF796F" w:rsidRPr="0019011E">
        <w:rPr>
          <w:i/>
          <w:lang w:val="fr-CA"/>
        </w:rPr>
        <w:t>c</w:t>
      </w:r>
      <w:r w:rsidRPr="0019011E">
        <w:rPr>
          <w:i/>
          <w:lang w:val="fr-CA"/>
        </w:rPr>
        <w:t>our de l’</w:t>
      </w:r>
      <w:r w:rsidR="00BF1640">
        <w:rPr>
          <w:i/>
          <w:lang w:val="fr-CA"/>
        </w:rPr>
        <w:t>É</w:t>
      </w:r>
      <w:r w:rsidRPr="0019011E">
        <w:rPr>
          <w:i/>
          <w:lang w:val="fr-CA"/>
        </w:rPr>
        <w:t>chiquier</w:t>
      </w:r>
      <w:r w:rsidRPr="0019011E">
        <w:rPr>
          <w:lang w:val="fr-CA"/>
        </w:rPr>
        <w:t xml:space="preserve">, S.C. 1920, </w:t>
      </w:r>
      <w:r w:rsidR="006303ED" w:rsidRPr="0019011E">
        <w:rPr>
          <w:lang w:val="fr-CA"/>
        </w:rPr>
        <w:t>ch. </w:t>
      </w:r>
      <w:r w:rsidRPr="0019011E">
        <w:rPr>
          <w:lang w:val="fr-CA"/>
        </w:rPr>
        <w:t xml:space="preserve">26, </w:t>
      </w:r>
      <w:r w:rsidR="006303ED" w:rsidRPr="0019011E">
        <w:rPr>
          <w:lang w:val="fr-CA"/>
        </w:rPr>
        <w:t>art. </w:t>
      </w:r>
      <w:r w:rsidRPr="0019011E">
        <w:rPr>
          <w:lang w:val="fr-CA"/>
        </w:rPr>
        <w:t>1.</w:t>
      </w:r>
    </w:p>
    <w:p w:rsidR="00B86E86" w:rsidRPr="0019011E" w:rsidRDefault="00B86E86" w:rsidP="006B5FE2">
      <w:pPr>
        <w:pStyle w:val="SCCNormalDoubleSpacing"/>
        <w:spacing w:after="240" w:line="240" w:lineRule="auto"/>
        <w:ind w:left="540" w:hanging="540"/>
        <w:rPr>
          <w:lang w:val="fr-CA"/>
        </w:rPr>
      </w:pPr>
      <w:r w:rsidRPr="0019011E">
        <w:rPr>
          <w:i/>
          <w:lang w:val="fr-CA"/>
        </w:rPr>
        <w:t>Loi modifiant la Loi de la cour Suprême</w:t>
      </w:r>
      <w:r w:rsidRPr="0019011E">
        <w:rPr>
          <w:lang w:val="fr-CA"/>
        </w:rPr>
        <w:t xml:space="preserve">, S.C. 1918, </w:t>
      </w:r>
      <w:r w:rsidR="006303ED" w:rsidRPr="0019011E">
        <w:rPr>
          <w:lang w:val="fr-CA"/>
        </w:rPr>
        <w:t>ch. </w:t>
      </w:r>
      <w:r w:rsidRPr="0019011E">
        <w:rPr>
          <w:lang w:val="fr-CA"/>
        </w:rPr>
        <w:t>7</w:t>
      </w:r>
      <w:r w:rsidR="00DE044A" w:rsidRPr="0019011E">
        <w:rPr>
          <w:lang w:val="fr-CA"/>
        </w:rPr>
        <w:t xml:space="preserve">, </w:t>
      </w:r>
      <w:r w:rsidR="006303ED" w:rsidRPr="0019011E">
        <w:rPr>
          <w:lang w:val="fr-CA"/>
        </w:rPr>
        <w:t>art. </w:t>
      </w:r>
      <w:r w:rsidR="00DE044A" w:rsidRPr="0019011E">
        <w:rPr>
          <w:lang w:val="fr-CA"/>
        </w:rPr>
        <w:t>1</w:t>
      </w:r>
      <w:r w:rsidRPr="0019011E">
        <w:rPr>
          <w:lang w:val="fr-CA"/>
        </w:rPr>
        <w:t>.</w:t>
      </w:r>
    </w:p>
    <w:p w:rsidR="008A6C48" w:rsidRPr="0019011E" w:rsidRDefault="008A6C48" w:rsidP="006B5FE2">
      <w:pPr>
        <w:pStyle w:val="SCCNormalDoubleSpacing"/>
        <w:spacing w:after="240" w:line="240" w:lineRule="auto"/>
        <w:ind w:left="540" w:hanging="540"/>
        <w:rPr>
          <w:lang w:val="fr-CA"/>
        </w:rPr>
      </w:pPr>
      <w:r w:rsidRPr="0019011E">
        <w:rPr>
          <w:i/>
          <w:lang w:val="fr-CA"/>
        </w:rPr>
        <w:t>Loi modifiant la Loi de la Cour suprême</w:t>
      </w:r>
      <w:r w:rsidRPr="0019011E">
        <w:rPr>
          <w:lang w:val="fr-CA"/>
        </w:rPr>
        <w:t>, S.C. 1926</w:t>
      </w:r>
      <w:r w:rsidR="006303ED" w:rsidRPr="0019011E">
        <w:rPr>
          <w:lang w:val="fr-CA"/>
        </w:rPr>
        <w:noBreakHyphen/>
      </w:r>
      <w:r w:rsidRPr="0019011E">
        <w:rPr>
          <w:lang w:val="fr-CA"/>
        </w:rPr>
        <w:t xml:space="preserve">27, </w:t>
      </w:r>
      <w:r w:rsidR="006303ED" w:rsidRPr="0019011E">
        <w:rPr>
          <w:lang w:val="fr-CA"/>
        </w:rPr>
        <w:t>ch. </w:t>
      </w:r>
      <w:r w:rsidRPr="0019011E">
        <w:rPr>
          <w:lang w:val="fr-CA"/>
        </w:rPr>
        <w:t xml:space="preserve">38, </w:t>
      </w:r>
      <w:r w:rsidR="006303ED" w:rsidRPr="0019011E">
        <w:rPr>
          <w:lang w:val="fr-CA"/>
        </w:rPr>
        <w:t>art. </w:t>
      </w:r>
      <w:r w:rsidRPr="0019011E">
        <w:rPr>
          <w:lang w:val="fr-CA"/>
        </w:rPr>
        <w:t>1.</w:t>
      </w:r>
    </w:p>
    <w:p w:rsidR="00B86E86" w:rsidRPr="0019011E" w:rsidRDefault="00B86E86" w:rsidP="006B5FE2">
      <w:pPr>
        <w:pStyle w:val="SCCNormalDoubleSpacing"/>
        <w:spacing w:after="240" w:line="240" w:lineRule="auto"/>
        <w:ind w:left="540" w:hanging="540"/>
        <w:rPr>
          <w:lang w:val="fr-CA"/>
        </w:rPr>
      </w:pPr>
      <w:r w:rsidRPr="0019011E">
        <w:rPr>
          <w:i/>
          <w:lang w:val="fr-CA"/>
        </w:rPr>
        <w:t>Loi modifiant la Loi de la Cour suprême</w:t>
      </w:r>
      <w:r w:rsidRPr="0019011E">
        <w:rPr>
          <w:lang w:val="fr-CA"/>
        </w:rPr>
        <w:t>, S.C. 1949</w:t>
      </w:r>
      <w:r w:rsidR="00650F7F" w:rsidRPr="0019011E">
        <w:rPr>
          <w:lang w:val="fr-CA"/>
        </w:rPr>
        <w:t xml:space="preserve"> (2</w:t>
      </w:r>
      <w:r w:rsidR="00650F7F" w:rsidRPr="0019011E">
        <w:rPr>
          <w:vertAlign w:val="superscript"/>
          <w:lang w:val="fr-CA"/>
        </w:rPr>
        <w:t>e</w:t>
      </w:r>
      <w:r w:rsidR="00650F7F" w:rsidRPr="0019011E">
        <w:rPr>
          <w:lang w:val="fr-CA"/>
        </w:rPr>
        <w:t xml:space="preserve"> sess.)</w:t>
      </w:r>
      <w:r w:rsidRPr="0019011E">
        <w:rPr>
          <w:lang w:val="fr-CA"/>
        </w:rPr>
        <w:t xml:space="preserve">, </w:t>
      </w:r>
      <w:r w:rsidR="006303ED" w:rsidRPr="0019011E">
        <w:rPr>
          <w:lang w:val="fr-CA"/>
        </w:rPr>
        <w:t>ch. </w:t>
      </w:r>
      <w:r w:rsidRPr="0019011E">
        <w:rPr>
          <w:lang w:val="fr-CA"/>
        </w:rPr>
        <w:t xml:space="preserve">37, </w:t>
      </w:r>
      <w:r w:rsidR="006303ED" w:rsidRPr="0019011E">
        <w:rPr>
          <w:lang w:val="fr-CA"/>
        </w:rPr>
        <w:t>art. </w:t>
      </w:r>
      <w:r w:rsidRPr="0019011E">
        <w:rPr>
          <w:lang w:val="fr-CA"/>
        </w:rPr>
        <w:t>1</w:t>
      </w:r>
      <w:r w:rsidR="00C75C1D" w:rsidRPr="0019011E">
        <w:rPr>
          <w:lang w:val="fr-CA"/>
        </w:rPr>
        <w:t>, 3</w:t>
      </w:r>
      <w:r w:rsidRPr="0019011E">
        <w:rPr>
          <w:lang w:val="fr-CA"/>
        </w:rPr>
        <w:t>.</w:t>
      </w:r>
    </w:p>
    <w:p w:rsidR="00B86E86" w:rsidRPr="0019011E" w:rsidRDefault="00B86E86" w:rsidP="006B5FE2">
      <w:pPr>
        <w:pStyle w:val="SCCNormalDoubleSpacing"/>
        <w:spacing w:after="240" w:line="240" w:lineRule="auto"/>
        <w:ind w:left="540" w:hanging="540"/>
        <w:rPr>
          <w:lang w:val="fr-CA"/>
        </w:rPr>
      </w:pPr>
      <w:r w:rsidRPr="0019011E">
        <w:rPr>
          <w:i/>
          <w:lang w:val="fr-CA"/>
        </w:rPr>
        <w:t>Loi modifiant la Loi sur la Cour suprême et modifiant en conséquence la Loi sur la Cour fédérale</w:t>
      </w:r>
      <w:r w:rsidR="00D94897">
        <w:rPr>
          <w:lang w:val="fr-CA"/>
        </w:rPr>
        <w:t>, S</w:t>
      </w:r>
      <w:r w:rsidRPr="0019011E">
        <w:rPr>
          <w:lang w:val="fr-CA"/>
        </w:rPr>
        <w:t>.C. 1974</w:t>
      </w:r>
      <w:r w:rsidR="006303ED" w:rsidRPr="0019011E">
        <w:rPr>
          <w:lang w:val="fr-CA"/>
        </w:rPr>
        <w:noBreakHyphen/>
      </w:r>
      <w:r w:rsidRPr="0019011E">
        <w:rPr>
          <w:lang w:val="fr-CA"/>
        </w:rPr>
        <w:t>75</w:t>
      </w:r>
      <w:r w:rsidR="006303ED" w:rsidRPr="0019011E">
        <w:rPr>
          <w:lang w:val="fr-CA"/>
        </w:rPr>
        <w:noBreakHyphen/>
      </w:r>
      <w:r w:rsidRPr="0019011E">
        <w:rPr>
          <w:lang w:val="fr-CA"/>
        </w:rPr>
        <w:t xml:space="preserve">76, </w:t>
      </w:r>
      <w:r w:rsidR="006303ED" w:rsidRPr="0019011E">
        <w:rPr>
          <w:lang w:val="fr-CA"/>
        </w:rPr>
        <w:t>ch. </w:t>
      </w:r>
      <w:r w:rsidRPr="0019011E">
        <w:rPr>
          <w:lang w:val="fr-CA"/>
        </w:rPr>
        <w:t>18.</w:t>
      </w:r>
    </w:p>
    <w:p w:rsidR="00764199" w:rsidRPr="0019011E" w:rsidRDefault="00764199" w:rsidP="006B5FE2">
      <w:pPr>
        <w:pStyle w:val="SCCNormalDoubleSpacing"/>
        <w:spacing w:after="240" w:line="240" w:lineRule="auto"/>
        <w:ind w:left="540" w:hanging="540"/>
        <w:rPr>
          <w:lang w:val="fr-CA"/>
        </w:rPr>
      </w:pPr>
      <w:r w:rsidRPr="0019011E">
        <w:rPr>
          <w:i/>
          <w:lang w:val="fr-CA"/>
        </w:rPr>
        <w:t>Loi modifiant le Code criminel</w:t>
      </w:r>
      <w:r w:rsidRPr="0019011E">
        <w:rPr>
          <w:lang w:val="fr-CA"/>
        </w:rPr>
        <w:t>, S.C. 19</w:t>
      </w:r>
      <w:r w:rsidR="00391C17" w:rsidRPr="0019011E">
        <w:rPr>
          <w:lang w:val="fr-CA"/>
        </w:rPr>
        <w:t>32</w:t>
      </w:r>
      <w:r w:rsidR="006303ED" w:rsidRPr="0019011E">
        <w:rPr>
          <w:lang w:val="fr-CA"/>
        </w:rPr>
        <w:noBreakHyphen/>
      </w:r>
      <w:r w:rsidRPr="0019011E">
        <w:rPr>
          <w:lang w:val="fr-CA"/>
        </w:rPr>
        <w:t xml:space="preserve">33, </w:t>
      </w:r>
      <w:r w:rsidR="006303ED" w:rsidRPr="0019011E">
        <w:rPr>
          <w:lang w:val="fr-CA"/>
        </w:rPr>
        <w:t>ch. </w:t>
      </w:r>
      <w:r w:rsidRPr="0019011E">
        <w:rPr>
          <w:lang w:val="fr-CA"/>
        </w:rPr>
        <w:t xml:space="preserve">53, </w:t>
      </w:r>
      <w:r w:rsidR="006303ED" w:rsidRPr="0019011E">
        <w:rPr>
          <w:lang w:val="fr-CA"/>
        </w:rPr>
        <w:t>art. </w:t>
      </w:r>
      <w:r w:rsidRPr="0019011E">
        <w:rPr>
          <w:lang w:val="fr-CA"/>
        </w:rPr>
        <w:t>17.</w:t>
      </w:r>
    </w:p>
    <w:p w:rsidR="00B86E86" w:rsidRPr="0019011E" w:rsidRDefault="00B86E86" w:rsidP="006B5FE2">
      <w:pPr>
        <w:pStyle w:val="SCCNormalDoubleSpacing"/>
        <w:spacing w:after="240" w:line="240" w:lineRule="auto"/>
        <w:ind w:left="540" w:hanging="540"/>
        <w:rPr>
          <w:lang w:val="fr-CA"/>
        </w:rPr>
      </w:pPr>
      <w:r w:rsidRPr="0019011E">
        <w:rPr>
          <w:i/>
          <w:lang w:val="fr-CA"/>
        </w:rPr>
        <w:t>Loi n</w:t>
      </w:r>
      <w:r w:rsidRPr="0019011E">
        <w:rPr>
          <w:i/>
          <w:vertAlign w:val="superscript"/>
          <w:lang w:val="fr-CA"/>
        </w:rPr>
        <w:t>o</w:t>
      </w:r>
      <w:r w:rsidR="000213F7" w:rsidRPr="0019011E">
        <w:rPr>
          <w:i/>
          <w:lang w:val="fr-CA"/>
        </w:rPr>
        <w:t> </w:t>
      </w:r>
      <w:r w:rsidRPr="0019011E">
        <w:rPr>
          <w:i/>
          <w:lang w:val="fr-CA"/>
        </w:rPr>
        <w:t>2 sur le plan d’action économique de 2013</w:t>
      </w:r>
      <w:r w:rsidR="009563BF">
        <w:rPr>
          <w:i/>
          <w:lang w:val="fr-CA"/>
        </w:rPr>
        <w:t xml:space="preserve"> </w:t>
      </w:r>
      <w:r w:rsidR="009563BF" w:rsidRPr="0019011E">
        <w:rPr>
          <w:lang w:val="fr-CA"/>
        </w:rPr>
        <w:t>(projet de loi C</w:t>
      </w:r>
      <w:r w:rsidR="009563BF" w:rsidRPr="0019011E">
        <w:rPr>
          <w:lang w:val="fr-CA"/>
        </w:rPr>
        <w:noBreakHyphen/>
        <w:t>4)</w:t>
      </w:r>
      <w:r w:rsidRPr="0019011E">
        <w:rPr>
          <w:lang w:val="fr-CA"/>
        </w:rPr>
        <w:t xml:space="preserve">, L.C. 2013, </w:t>
      </w:r>
      <w:r w:rsidR="006303ED" w:rsidRPr="0019011E">
        <w:rPr>
          <w:lang w:val="fr-CA"/>
        </w:rPr>
        <w:t>ch. </w:t>
      </w:r>
      <w:r w:rsidRPr="0019011E">
        <w:rPr>
          <w:lang w:val="fr-CA"/>
        </w:rPr>
        <w:t xml:space="preserve">40, </w:t>
      </w:r>
      <w:r w:rsidR="006303ED" w:rsidRPr="0019011E">
        <w:rPr>
          <w:lang w:val="fr-CA"/>
        </w:rPr>
        <w:t>art. </w:t>
      </w:r>
      <w:r w:rsidRPr="0019011E">
        <w:rPr>
          <w:lang w:val="fr-CA"/>
        </w:rPr>
        <w:t>471, 472.</w:t>
      </w:r>
    </w:p>
    <w:p w:rsidR="004648FA" w:rsidRPr="0019011E" w:rsidRDefault="004648FA" w:rsidP="006B5FE2">
      <w:pPr>
        <w:pStyle w:val="SCCNormalDoubleSpacing"/>
        <w:spacing w:after="240" w:line="240" w:lineRule="auto"/>
        <w:ind w:left="540" w:hanging="540"/>
        <w:rPr>
          <w:lang w:val="fr-CA"/>
        </w:rPr>
      </w:pPr>
      <w:r w:rsidRPr="0019011E">
        <w:rPr>
          <w:i/>
          <w:lang w:val="fr-CA"/>
        </w:rPr>
        <w:t>Loi sur la Cour fédérale</w:t>
      </w:r>
      <w:r w:rsidRPr="0019011E">
        <w:rPr>
          <w:lang w:val="fr-CA"/>
        </w:rPr>
        <w:t xml:space="preserve">, S.R.C. 1970, </w:t>
      </w:r>
      <w:r w:rsidR="006303ED" w:rsidRPr="0019011E">
        <w:rPr>
          <w:lang w:val="fr-CA"/>
        </w:rPr>
        <w:t>ch. </w:t>
      </w:r>
      <w:r w:rsidRPr="0019011E">
        <w:rPr>
          <w:lang w:val="fr-CA"/>
        </w:rPr>
        <w:t>10 (2</w:t>
      </w:r>
      <w:r w:rsidRPr="0019011E">
        <w:rPr>
          <w:vertAlign w:val="superscript"/>
          <w:lang w:val="fr-CA"/>
        </w:rPr>
        <w:t>e</w:t>
      </w:r>
      <w:r w:rsidRPr="0019011E">
        <w:rPr>
          <w:lang w:val="fr-CA"/>
        </w:rPr>
        <w:t xml:space="preserve"> suppl.), </w:t>
      </w:r>
      <w:r w:rsidR="006303ED" w:rsidRPr="0019011E">
        <w:rPr>
          <w:lang w:val="fr-CA"/>
        </w:rPr>
        <w:t>art. </w:t>
      </w:r>
      <w:r w:rsidRPr="0019011E">
        <w:rPr>
          <w:lang w:val="fr-CA"/>
        </w:rPr>
        <w:t>64.</w:t>
      </w:r>
    </w:p>
    <w:p w:rsidR="00B86E86" w:rsidRPr="0019011E" w:rsidRDefault="00B86E86" w:rsidP="006B5FE2">
      <w:pPr>
        <w:pStyle w:val="SCCNormalDoubleSpacing"/>
        <w:spacing w:after="240" w:line="240" w:lineRule="auto"/>
        <w:ind w:left="540" w:hanging="540"/>
        <w:rPr>
          <w:lang w:val="en-US"/>
        </w:rPr>
      </w:pPr>
      <w:r w:rsidRPr="0019011E">
        <w:rPr>
          <w:i/>
          <w:lang w:val="fr-CA"/>
        </w:rPr>
        <w:t>Loi sur la Cour suprême</w:t>
      </w:r>
      <w:r w:rsidRPr="0019011E">
        <w:rPr>
          <w:lang w:val="fr-CA"/>
        </w:rPr>
        <w:t xml:space="preserve">, L.R.C. 1985, </w:t>
      </w:r>
      <w:r w:rsidR="006303ED" w:rsidRPr="0019011E">
        <w:rPr>
          <w:lang w:val="fr-CA"/>
        </w:rPr>
        <w:t>ch. </w:t>
      </w:r>
      <w:r w:rsidRPr="0019011E">
        <w:rPr>
          <w:lang w:val="en-US"/>
        </w:rPr>
        <w:t>S</w:t>
      </w:r>
      <w:r w:rsidR="006303ED" w:rsidRPr="0019011E">
        <w:rPr>
          <w:lang w:val="en-US"/>
        </w:rPr>
        <w:noBreakHyphen/>
      </w:r>
      <w:r w:rsidRPr="0019011E">
        <w:rPr>
          <w:lang w:val="en-US"/>
        </w:rPr>
        <w:t xml:space="preserve">26, </w:t>
      </w:r>
      <w:r w:rsidR="006303ED" w:rsidRPr="0019011E">
        <w:rPr>
          <w:lang w:val="en-US"/>
        </w:rPr>
        <w:t>art. </w:t>
      </w:r>
      <w:r w:rsidR="00C75C1D" w:rsidRPr="0019011E">
        <w:rPr>
          <w:lang w:val="en-US"/>
        </w:rPr>
        <w:t xml:space="preserve">4(1), </w:t>
      </w:r>
      <w:r w:rsidRPr="0019011E">
        <w:rPr>
          <w:lang w:val="en-US"/>
        </w:rPr>
        <w:t xml:space="preserve">5, 5.1 [aj. 2013, </w:t>
      </w:r>
      <w:r w:rsidR="006303ED" w:rsidRPr="0019011E">
        <w:rPr>
          <w:lang w:val="en-US"/>
        </w:rPr>
        <w:t>ch. </w:t>
      </w:r>
      <w:r w:rsidRPr="0019011E">
        <w:rPr>
          <w:lang w:val="en-US"/>
        </w:rPr>
        <w:t xml:space="preserve">40, </w:t>
      </w:r>
      <w:r w:rsidR="006303ED" w:rsidRPr="0019011E">
        <w:rPr>
          <w:lang w:val="en-US"/>
        </w:rPr>
        <w:t>art. </w:t>
      </w:r>
      <w:r w:rsidRPr="0019011E">
        <w:rPr>
          <w:lang w:val="en-US"/>
        </w:rPr>
        <w:t>471], 6, 6.1 [</w:t>
      </w:r>
      <w:r w:rsidRPr="0019011E">
        <w:rPr>
          <w:i/>
          <w:lang w:val="en-US"/>
        </w:rPr>
        <w:t>idem</w:t>
      </w:r>
      <w:r w:rsidRPr="0019011E">
        <w:rPr>
          <w:lang w:val="en-US"/>
        </w:rPr>
        <w:t xml:space="preserve">, </w:t>
      </w:r>
      <w:r w:rsidR="006303ED" w:rsidRPr="0019011E">
        <w:rPr>
          <w:lang w:val="en-US"/>
        </w:rPr>
        <w:t>art. </w:t>
      </w:r>
      <w:r w:rsidRPr="0019011E">
        <w:rPr>
          <w:lang w:val="en-US"/>
        </w:rPr>
        <w:t>472]</w:t>
      </w:r>
      <w:r w:rsidR="00E861DE" w:rsidRPr="0019011E">
        <w:rPr>
          <w:lang w:val="en-US"/>
        </w:rPr>
        <w:t xml:space="preserve">, </w:t>
      </w:r>
      <w:r w:rsidR="00325102" w:rsidRPr="0019011E">
        <w:rPr>
          <w:lang w:val="en-US"/>
        </w:rPr>
        <w:t xml:space="preserve">25, </w:t>
      </w:r>
      <w:r w:rsidR="00A61460" w:rsidRPr="0019011E">
        <w:rPr>
          <w:lang w:val="en-US"/>
        </w:rPr>
        <w:t xml:space="preserve">29, </w:t>
      </w:r>
      <w:r w:rsidR="00E861DE" w:rsidRPr="0019011E">
        <w:rPr>
          <w:lang w:val="en-US"/>
        </w:rPr>
        <w:t>30 [</w:t>
      </w:r>
      <w:r w:rsidR="003D375A" w:rsidRPr="0019011E">
        <w:rPr>
          <w:lang w:val="en-US"/>
        </w:rPr>
        <w:t>mod</w:t>
      </w:r>
      <w:r w:rsidR="00E861DE" w:rsidRPr="0019011E">
        <w:rPr>
          <w:lang w:val="en-US"/>
        </w:rPr>
        <w:t xml:space="preserve">. 2002, </w:t>
      </w:r>
      <w:r w:rsidR="006303ED" w:rsidRPr="0019011E">
        <w:rPr>
          <w:lang w:val="en-US"/>
        </w:rPr>
        <w:t>ch. </w:t>
      </w:r>
      <w:r w:rsidR="00E861DE" w:rsidRPr="0019011E">
        <w:rPr>
          <w:lang w:val="en-US"/>
        </w:rPr>
        <w:t xml:space="preserve">8, </w:t>
      </w:r>
      <w:r w:rsidR="006303ED" w:rsidRPr="0019011E">
        <w:rPr>
          <w:lang w:val="en-US"/>
        </w:rPr>
        <w:t>art. </w:t>
      </w:r>
      <w:r w:rsidR="00E861DE" w:rsidRPr="0019011E">
        <w:rPr>
          <w:lang w:val="en-US"/>
        </w:rPr>
        <w:t>175]</w:t>
      </w:r>
      <w:r w:rsidR="00C75C1D" w:rsidRPr="0019011E">
        <w:rPr>
          <w:lang w:val="en-US"/>
        </w:rPr>
        <w:t>, 53</w:t>
      </w:r>
      <w:r w:rsidRPr="0019011E">
        <w:rPr>
          <w:lang w:val="en-US"/>
        </w:rPr>
        <w:t>.</w:t>
      </w:r>
    </w:p>
    <w:p w:rsidR="00712AF2" w:rsidRPr="0019011E" w:rsidRDefault="00712AF2" w:rsidP="006B5FE2">
      <w:pPr>
        <w:pStyle w:val="SCCNormalDoubleSpacing"/>
        <w:spacing w:after="240" w:line="240" w:lineRule="auto"/>
        <w:ind w:left="540" w:hanging="540"/>
        <w:rPr>
          <w:lang w:val="fr-CA"/>
        </w:rPr>
      </w:pPr>
      <w:r w:rsidRPr="0019011E">
        <w:rPr>
          <w:i/>
          <w:lang w:val="fr-CA"/>
        </w:rPr>
        <w:t>Loi sur la révision et la codification des textes législatifs</w:t>
      </w:r>
      <w:r w:rsidRPr="0019011E">
        <w:rPr>
          <w:lang w:val="fr-CA"/>
        </w:rPr>
        <w:t xml:space="preserve">, L.R.C. 1985, </w:t>
      </w:r>
      <w:r w:rsidR="006303ED" w:rsidRPr="0019011E">
        <w:rPr>
          <w:lang w:val="fr-CA"/>
        </w:rPr>
        <w:t>ch. </w:t>
      </w:r>
      <w:r w:rsidRPr="0019011E">
        <w:rPr>
          <w:lang w:val="fr-CA"/>
        </w:rPr>
        <w:t>S</w:t>
      </w:r>
      <w:r w:rsidR="006303ED" w:rsidRPr="0019011E">
        <w:rPr>
          <w:lang w:val="fr-CA"/>
        </w:rPr>
        <w:noBreakHyphen/>
      </w:r>
      <w:r w:rsidRPr="0019011E">
        <w:rPr>
          <w:lang w:val="fr-CA"/>
        </w:rPr>
        <w:t xml:space="preserve">20, </w:t>
      </w:r>
      <w:r w:rsidR="006303ED" w:rsidRPr="0019011E">
        <w:rPr>
          <w:lang w:val="fr-CA"/>
        </w:rPr>
        <w:t>art. </w:t>
      </w:r>
      <w:r w:rsidRPr="0019011E">
        <w:rPr>
          <w:lang w:val="fr-CA"/>
        </w:rPr>
        <w:t>6.</w:t>
      </w:r>
    </w:p>
    <w:p w:rsidR="005A6C68" w:rsidRPr="0019011E" w:rsidRDefault="005A6C68" w:rsidP="006B5FE2">
      <w:pPr>
        <w:pStyle w:val="SCCNormalDoubleSpacing"/>
        <w:spacing w:after="240" w:line="240" w:lineRule="auto"/>
        <w:ind w:left="540" w:hanging="540"/>
        <w:rPr>
          <w:lang w:val="fr-CA"/>
        </w:rPr>
      </w:pPr>
      <w:r w:rsidRPr="0019011E">
        <w:rPr>
          <w:i/>
          <w:lang w:val="fr-CA"/>
        </w:rPr>
        <w:t>Loi sur le Service administratif des tribunaux judiciaires</w:t>
      </w:r>
      <w:r w:rsidRPr="0019011E">
        <w:rPr>
          <w:lang w:val="fr-CA"/>
        </w:rPr>
        <w:t xml:space="preserve">, L.C. 2002, </w:t>
      </w:r>
      <w:r w:rsidR="006303ED" w:rsidRPr="0019011E">
        <w:rPr>
          <w:lang w:val="fr-CA"/>
        </w:rPr>
        <w:t>ch. </w:t>
      </w:r>
      <w:r w:rsidRPr="0019011E">
        <w:rPr>
          <w:lang w:val="fr-CA"/>
        </w:rPr>
        <w:t xml:space="preserve">8, </w:t>
      </w:r>
      <w:r w:rsidR="006303ED" w:rsidRPr="0019011E">
        <w:rPr>
          <w:lang w:val="fr-CA"/>
        </w:rPr>
        <w:t>art. </w:t>
      </w:r>
      <w:r w:rsidRPr="0019011E">
        <w:rPr>
          <w:lang w:val="fr-CA"/>
        </w:rPr>
        <w:t>175.</w:t>
      </w:r>
    </w:p>
    <w:p w:rsidR="00741083" w:rsidRPr="0019011E" w:rsidRDefault="00741083" w:rsidP="006B5FE2">
      <w:pPr>
        <w:pStyle w:val="SCCNormalDoubleSpacing"/>
        <w:spacing w:after="240" w:line="240" w:lineRule="auto"/>
        <w:ind w:left="540" w:hanging="540"/>
        <w:rPr>
          <w:lang w:val="fr-CA"/>
        </w:rPr>
      </w:pPr>
      <w:r w:rsidRPr="0019011E">
        <w:rPr>
          <w:i/>
          <w:lang w:val="fr-CA"/>
        </w:rPr>
        <w:t>Loi sur les Cours fédérales</w:t>
      </w:r>
      <w:r w:rsidR="00812E88" w:rsidRPr="0019011E">
        <w:rPr>
          <w:lang w:val="fr-CA"/>
        </w:rPr>
        <w:t xml:space="preserve">, L.R.C. 1985, </w:t>
      </w:r>
      <w:r w:rsidR="006303ED" w:rsidRPr="0019011E">
        <w:rPr>
          <w:lang w:val="fr-CA"/>
        </w:rPr>
        <w:t>ch. </w:t>
      </w:r>
      <w:r w:rsidR="00812E88" w:rsidRPr="0019011E">
        <w:rPr>
          <w:lang w:val="fr-CA"/>
        </w:rPr>
        <w:t>F</w:t>
      </w:r>
      <w:r w:rsidR="006303ED" w:rsidRPr="0019011E">
        <w:rPr>
          <w:lang w:val="fr-CA"/>
        </w:rPr>
        <w:noBreakHyphen/>
      </w:r>
      <w:r w:rsidR="00812E88" w:rsidRPr="0019011E">
        <w:rPr>
          <w:lang w:val="fr-CA"/>
        </w:rPr>
        <w:t>7</w:t>
      </w:r>
      <w:r w:rsidR="00AC4F67" w:rsidRPr="0019011E">
        <w:rPr>
          <w:lang w:val="fr-CA"/>
        </w:rPr>
        <w:t xml:space="preserve">, </w:t>
      </w:r>
      <w:r w:rsidR="006303ED" w:rsidRPr="0019011E">
        <w:rPr>
          <w:lang w:val="fr-CA"/>
        </w:rPr>
        <w:t>art. </w:t>
      </w:r>
      <w:r w:rsidR="00AC4F67" w:rsidRPr="0019011E">
        <w:rPr>
          <w:lang w:val="fr-CA"/>
        </w:rPr>
        <w:t>5.4</w:t>
      </w:r>
      <w:r w:rsidR="00812E88" w:rsidRPr="0019011E">
        <w:rPr>
          <w:lang w:val="fr-CA"/>
        </w:rPr>
        <w:t>.</w:t>
      </w:r>
    </w:p>
    <w:p w:rsidR="00851EF9" w:rsidRPr="0019011E" w:rsidRDefault="00851EF9" w:rsidP="006B5FE2">
      <w:pPr>
        <w:pStyle w:val="SCCNormalDoubleSpacing"/>
        <w:spacing w:after="240" w:line="240" w:lineRule="auto"/>
        <w:ind w:left="540" w:hanging="540"/>
        <w:rPr>
          <w:lang w:val="fr-CA"/>
        </w:rPr>
      </w:pPr>
      <w:r w:rsidRPr="0019011E">
        <w:rPr>
          <w:i/>
          <w:lang w:val="fr-CA"/>
        </w:rPr>
        <w:t>Règlement sur la formation continue obligatoire des avocats</w:t>
      </w:r>
      <w:r w:rsidRPr="0019011E">
        <w:rPr>
          <w:lang w:val="fr-CA"/>
        </w:rPr>
        <w:t xml:space="preserve">, R.R.Q., </w:t>
      </w:r>
      <w:r w:rsidR="006303ED" w:rsidRPr="0019011E">
        <w:rPr>
          <w:lang w:val="fr-CA"/>
        </w:rPr>
        <w:t>ch. </w:t>
      </w:r>
      <w:r w:rsidRPr="0019011E">
        <w:rPr>
          <w:lang w:val="fr-CA"/>
        </w:rPr>
        <w:t>B</w:t>
      </w:r>
      <w:r w:rsidR="006303ED" w:rsidRPr="0019011E">
        <w:rPr>
          <w:lang w:val="fr-CA"/>
        </w:rPr>
        <w:noBreakHyphen/>
      </w:r>
      <w:r w:rsidRPr="0019011E">
        <w:rPr>
          <w:lang w:val="fr-CA"/>
        </w:rPr>
        <w:t xml:space="preserve">1, r. 12, </w:t>
      </w:r>
      <w:r w:rsidR="006303ED" w:rsidRPr="0019011E">
        <w:rPr>
          <w:lang w:val="fr-CA"/>
        </w:rPr>
        <w:t>art. </w:t>
      </w:r>
      <w:r w:rsidRPr="0019011E">
        <w:rPr>
          <w:lang w:val="fr-CA"/>
        </w:rPr>
        <w:t>2.</w:t>
      </w:r>
    </w:p>
    <w:p w:rsidR="00B86E86" w:rsidRPr="0019011E" w:rsidRDefault="00B86E86" w:rsidP="006B5FE2">
      <w:pPr>
        <w:pStyle w:val="SCCNormalDoubleSpacing"/>
        <w:spacing w:after="720" w:line="240" w:lineRule="auto"/>
        <w:ind w:left="547" w:hanging="547"/>
        <w:rPr>
          <w:lang w:val="fr-CA"/>
        </w:rPr>
      </w:pPr>
      <w:r w:rsidRPr="0019011E">
        <w:rPr>
          <w:i/>
          <w:lang w:val="fr-CA"/>
        </w:rPr>
        <w:t>Statut de Westminster de 1931</w:t>
      </w:r>
      <w:r w:rsidRPr="0019011E">
        <w:rPr>
          <w:lang w:val="fr-CA"/>
        </w:rPr>
        <w:t xml:space="preserve"> (reproduit dans L.R.C. 1985, a</w:t>
      </w:r>
      <w:r w:rsidR="006303ED" w:rsidRPr="0019011E">
        <w:rPr>
          <w:lang w:val="fr-CA"/>
        </w:rPr>
        <w:t>pp. </w:t>
      </w:r>
      <w:r w:rsidRPr="0019011E">
        <w:rPr>
          <w:lang w:val="fr-CA"/>
        </w:rPr>
        <w:t>II, n</w:t>
      </w:r>
      <w:r w:rsidRPr="0019011E">
        <w:rPr>
          <w:vertAlign w:val="superscript"/>
          <w:lang w:val="fr-CA"/>
        </w:rPr>
        <w:t>o</w:t>
      </w:r>
      <w:r w:rsidR="000213F7" w:rsidRPr="0019011E">
        <w:rPr>
          <w:lang w:val="fr-CA"/>
        </w:rPr>
        <w:t> </w:t>
      </w:r>
      <w:r w:rsidRPr="0019011E">
        <w:rPr>
          <w:lang w:val="fr-CA"/>
        </w:rPr>
        <w:t>27).</w:t>
      </w:r>
    </w:p>
    <w:p w:rsidR="004D7D95" w:rsidRPr="0019011E" w:rsidRDefault="004D7D95" w:rsidP="006B5FE2">
      <w:pPr>
        <w:pStyle w:val="SCCNormalDoubleSpacing"/>
        <w:spacing w:after="720" w:line="240" w:lineRule="auto"/>
        <w:rPr>
          <w:b/>
          <w:lang w:val="fr-CA"/>
        </w:rPr>
      </w:pPr>
      <w:r w:rsidRPr="0019011E">
        <w:rPr>
          <w:b/>
          <w:lang w:val="fr-CA"/>
        </w:rPr>
        <w:t>Doctrine et autres documents cités</w:t>
      </w:r>
    </w:p>
    <w:p w:rsidR="00167927" w:rsidRPr="0019011E" w:rsidRDefault="00167927" w:rsidP="006B5FE2">
      <w:pPr>
        <w:pStyle w:val="SCCNormalDoubleSpacing"/>
        <w:spacing w:after="240" w:line="240" w:lineRule="auto"/>
        <w:ind w:left="540" w:hanging="540"/>
        <w:rPr>
          <w:lang w:val="fr-CA"/>
        </w:rPr>
      </w:pPr>
      <w:r w:rsidRPr="0019011E">
        <w:rPr>
          <w:lang w:val="fr-CA"/>
        </w:rPr>
        <w:t xml:space="preserve">Brun, Henri, Guy Tremblay et Eugénie Brouillet.  </w:t>
      </w:r>
      <w:r w:rsidRPr="0019011E">
        <w:rPr>
          <w:i/>
          <w:lang w:val="fr-CA"/>
        </w:rPr>
        <w:t>Droit constitutionnel</w:t>
      </w:r>
      <w:r w:rsidRPr="0019011E">
        <w:rPr>
          <w:lang w:val="fr-CA"/>
        </w:rPr>
        <w:t>, 5</w:t>
      </w:r>
      <w:r w:rsidRPr="0019011E">
        <w:rPr>
          <w:vertAlign w:val="superscript"/>
          <w:lang w:val="fr-CA"/>
        </w:rPr>
        <w:t>e</w:t>
      </w:r>
      <w:r w:rsidRPr="0019011E">
        <w:rPr>
          <w:lang w:val="fr-CA"/>
        </w:rPr>
        <w:t xml:space="preserve"> éd.  Cowansville, Qué.</w:t>
      </w:r>
      <w:r w:rsidR="006303ED" w:rsidRPr="0019011E">
        <w:rPr>
          <w:lang w:val="fr-CA"/>
        </w:rPr>
        <w:t> :</w:t>
      </w:r>
      <w:r w:rsidRPr="0019011E">
        <w:rPr>
          <w:lang w:val="fr-CA"/>
        </w:rPr>
        <w:t xml:space="preserve"> Yvon Blais, 2008.</w:t>
      </w:r>
    </w:p>
    <w:p w:rsidR="00167927" w:rsidRPr="0019011E" w:rsidRDefault="00167927" w:rsidP="006B5FE2">
      <w:pPr>
        <w:pStyle w:val="SCCNormalDoubleSpacing"/>
        <w:spacing w:after="240" w:line="240" w:lineRule="auto"/>
        <w:ind w:left="540" w:hanging="540"/>
        <w:rPr>
          <w:lang w:val="en-US"/>
        </w:rPr>
      </w:pPr>
      <w:r w:rsidRPr="0019011E">
        <w:rPr>
          <w:lang w:val="en-US"/>
        </w:rPr>
        <w:t xml:space="preserve">Bushnell, Ian.  </w:t>
      </w:r>
      <w:r w:rsidRPr="0019011E">
        <w:rPr>
          <w:i/>
          <w:lang w:val="en-US"/>
        </w:rPr>
        <w:t>The Captive Court</w:t>
      </w:r>
      <w:r w:rsidR="006303ED" w:rsidRPr="0019011E">
        <w:rPr>
          <w:i/>
          <w:lang w:val="en-US"/>
        </w:rPr>
        <w:t> :</w:t>
      </w:r>
      <w:r w:rsidRPr="0019011E">
        <w:rPr>
          <w:i/>
          <w:lang w:val="en-US"/>
        </w:rPr>
        <w:t xml:space="preserve"> A Study of the Supreme Court of Canada</w:t>
      </w:r>
      <w:r w:rsidRPr="0019011E">
        <w:rPr>
          <w:lang w:val="en-US"/>
        </w:rPr>
        <w:t>.  Montréal and Kingston</w:t>
      </w:r>
      <w:r w:rsidR="006303ED" w:rsidRPr="0019011E">
        <w:rPr>
          <w:lang w:val="en-US"/>
        </w:rPr>
        <w:t> :</w:t>
      </w:r>
      <w:r w:rsidRPr="0019011E">
        <w:rPr>
          <w:lang w:val="en-US"/>
        </w:rPr>
        <w:t xml:space="preserve"> McGill</w:t>
      </w:r>
      <w:r w:rsidR="006303ED" w:rsidRPr="0019011E">
        <w:rPr>
          <w:lang w:val="en-US"/>
        </w:rPr>
        <w:noBreakHyphen/>
      </w:r>
      <w:r w:rsidRPr="0019011E">
        <w:rPr>
          <w:lang w:val="en-US"/>
        </w:rPr>
        <w:t>Queen’s University Press, 1992.</w:t>
      </w:r>
    </w:p>
    <w:p w:rsidR="006E64AF" w:rsidRPr="0019011E" w:rsidRDefault="006E64AF" w:rsidP="006B5FE2">
      <w:pPr>
        <w:pStyle w:val="SCCNormalDoubleSpacing"/>
        <w:spacing w:after="240" w:line="240" w:lineRule="auto"/>
        <w:ind w:left="540" w:hanging="540"/>
        <w:rPr>
          <w:lang w:val="fr-CA"/>
        </w:rPr>
      </w:pPr>
      <w:r w:rsidRPr="0019011E">
        <w:rPr>
          <w:lang w:val="en-US"/>
        </w:rPr>
        <w:t xml:space="preserve">Bushnell, Ian.  </w:t>
      </w:r>
      <w:r w:rsidRPr="0019011E">
        <w:rPr>
          <w:i/>
          <w:lang w:val="en-US"/>
        </w:rPr>
        <w:t>The Federal Court of Canada</w:t>
      </w:r>
      <w:r w:rsidR="006303ED" w:rsidRPr="0019011E">
        <w:rPr>
          <w:i/>
          <w:lang w:val="en-US"/>
        </w:rPr>
        <w:t> :</w:t>
      </w:r>
      <w:r w:rsidRPr="0019011E">
        <w:rPr>
          <w:i/>
          <w:lang w:val="en-US"/>
        </w:rPr>
        <w:t xml:space="preserve"> A History, 1875</w:t>
      </w:r>
      <w:r w:rsidR="006303ED" w:rsidRPr="0019011E">
        <w:rPr>
          <w:i/>
          <w:lang w:val="en-US"/>
        </w:rPr>
        <w:noBreakHyphen/>
      </w:r>
      <w:r w:rsidRPr="0019011E">
        <w:rPr>
          <w:i/>
          <w:lang w:val="en-US"/>
        </w:rPr>
        <w:t>1992</w:t>
      </w:r>
      <w:r w:rsidRPr="0019011E">
        <w:rPr>
          <w:lang w:val="en-US"/>
        </w:rPr>
        <w:t xml:space="preserve">.  </w:t>
      </w:r>
      <w:r w:rsidRPr="0019011E">
        <w:rPr>
          <w:lang w:val="fr-CA"/>
        </w:rPr>
        <w:t>Toronto</w:t>
      </w:r>
      <w:r w:rsidR="006303ED" w:rsidRPr="0019011E">
        <w:rPr>
          <w:lang w:val="fr-CA"/>
        </w:rPr>
        <w:t> :</w:t>
      </w:r>
      <w:r w:rsidRPr="0019011E">
        <w:rPr>
          <w:lang w:val="fr-CA"/>
        </w:rPr>
        <w:t xml:space="preserve"> University of Toronto Press, 1997.</w:t>
      </w:r>
    </w:p>
    <w:p w:rsidR="004D7D95" w:rsidRDefault="00382BC2" w:rsidP="006B5FE2">
      <w:pPr>
        <w:pStyle w:val="SCCNormalDoubleSpacing"/>
        <w:spacing w:after="240" w:line="240" w:lineRule="auto"/>
        <w:ind w:left="540" w:hanging="540"/>
        <w:rPr>
          <w:lang w:val="fr-CA"/>
        </w:rPr>
      </w:pPr>
      <w:r w:rsidRPr="0019011E">
        <w:rPr>
          <w:lang w:val="fr-CA"/>
        </w:rPr>
        <w:lastRenderedPageBreak/>
        <w:t xml:space="preserve">Canada.  </w:t>
      </w:r>
      <w:r w:rsidRPr="0019011E">
        <w:rPr>
          <w:i/>
          <w:lang w:val="fr-CA"/>
        </w:rPr>
        <w:t>Accord constitutionnel</w:t>
      </w:r>
      <w:r w:rsidR="006303ED" w:rsidRPr="0019011E">
        <w:rPr>
          <w:i/>
          <w:lang w:val="fr-CA"/>
        </w:rPr>
        <w:t> :</w:t>
      </w:r>
      <w:r w:rsidRPr="0019011E">
        <w:rPr>
          <w:i/>
          <w:lang w:val="fr-CA"/>
        </w:rPr>
        <w:t xml:space="preserve"> Projet canadien de rapatriement de la Constitution</w:t>
      </w:r>
      <w:r w:rsidRPr="0019011E">
        <w:rPr>
          <w:lang w:val="fr-CA"/>
        </w:rPr>
        <w:t xml:space="preserve">.  Ottawa, 1981.  </w:t>
      </w:r>
    </w:p>
    <w:p w:rsidR="0053077F" w:rsidRPr="0019011E" w:rsidRDefault="0053077F" w:rsidP="0053077F">
      <w:pPr>
        <w:pStyle w:val="SCCNormalDoubleSpacing"/>
        <w:spacing w:after="240" w:line="240" w:lineRule="auto"/>
        <w:ind w:left="540" w:hanging="540"/>
        <w:rPr>
          <w:lang w:val="fr-CA"/>
        </w:rPr>
      </w:pPr>
      <w:r w:rsidRPr="0019011E">
        <w:rPr>
          <w:lang w:val="fr-CA"/>
        </w:rPr>
        <w:t xml:space="preserve">Canada.  </w:t>
      </w:r>
      <w:r>
        <w:rPr>
          <w:lang w:val="fr-CA"/>
        </w:rPr>
        <w:t>Assemblée législative</w:t>
      </w:r>
      <w:r w:rsidRPr="0019011E">
        <w:rPr>
          <w:lang w:val="fr-CA"/>
        </w:rPr>
        <w:t xml:space="preserve">.  </w:t>
      </w:r>
      <w:r w:rsidRPr="0019011E">
        <w:rPr>
          <w:i/>
          <w:lang w:val="fr-CA"/>
        </w:rPr>
        <w:t>Débats parlementaires sur la question de la Confédération des provinces de l’Amérique britannique du Nord</w:t>
      </w:r>
      <w:r w:rsidRPr="0019011E">
        <w:rPr>
          <w:lang w:val="fr-CA"/>
        </w:rPr>
        <w:t>, 3</w:t>
      </w:r>
      <w:r w:rsidRPr="0019011E">
        <w:rPr>
          <w:vertAlign w:val="superscript"/>
          <w:lang w:val="fr-CA"/>
        </w:rPr>
        <w:t>e</w:t>
      </w:r>
      <w:r w:rsidRPr="0019011E">
        <w:rPr>
          <w:lang w:val="fr-CA"/>
        </w:rPr>
        <w:t xml:space="preserve"> sess., 8</w:t>
      </w:r>
      <w:r w:rsidRPr="0019011E">
        <w:rPr>
          <w:vertAlign w:val="superscript"/>
          <w:lang w:val="fr-CA"/>
        </w:rPr>
        <w:t>e</w:t>
      </w:r>
      <w:r w:rsidRPr="0019011E">
        <w:rPr>
          <w:lang w:val="fr-CA"/>
        </w:rPr>
        <w:t xml:space="preserve"> </w:t>
      </w:r>
      <w:r>
        <w:rPr>
          <w:lang w:val="fr-CA"/>
        </w:rPr>
        <w:t xml:space="preserve">lég. </w:t>
      </w:r>
      <w:r w:rsidRPr="0019011E">
        <w:rPr>
          <w:lang w:val="fr-CA"/>
        </w:rPr>
        <w:t>Québec :</w:t>
      </w:r>
      <w:r>
        <w:rPr>
          <w:lang w:val="fr-CA"/>
        </w:rPr>
        <w:t xml:space="preserve"> Hunter, Rose et</w:t>
      </w:r>
      <w:r w:rsidRPr="0019011E">
        <w:rPr>
          <w:lang w:val="fr-CA"/>
        </w:rPr>
        <w:t xml:space="preserve"> Lemieux, 1865, p. 581</w:t>
      </w:r>
      <w:r w:rsidRPr="0019011E">
        <w:rPr>
          <w:lang w:val="fr-CA"/>
        </w:rPr>
        <w:noBreakHyphen/>
        <w:t>582.</w:t>
      </w:r>
    </w:p>
    <w:p w:rsidR="00167927" w:rsidRPr="0019011E" w:rsidRDefault="00167927" w:rsidP="006B5FE2">
      <w:pPr>
        <w:pStyle w:val="SCCNormalDoubleSpacing"/>
        <w:spacing w:after="240" w:line="240" w:lineRule="auto"/>
        <w:ind w:left="540" w:hanging="540"/>
        <w:rPr>
          <w:lang w:val="fr-CA"/>
        </w:rPr>
      </w:pPr>
      <w:r w:rsidRPr="0019011E">
        <w:rPr>
          <w:lang w:val="fr-CA"/>
        </w:rPr>
        <w:t xml:space="preserve">Canada. </w:t>
      </w:r>
      <w:r w:rsidR="001F2EBF" w:rsidRPr="0019011E">
        <w:rPr>
          <w:lang w:val="fr-CA"/>
        </w:rPr>
        <w:t xml:space="preserve"> Chambre des communes. </w:t>
      </w:r>
      <w:r w:rsidRPr="0019011E">
        <w:rPr>
          <w:lang w:val="fr-CA"/>
        </w:rPr>
        <w:t xml:space="preserve"> </w:t>
      </w:r>
      <w:r w:rsidRPr="0019011E">
        <w:rPr>
          <w:i/>
          <w:lang w:val="fr-CA"/>
        </w:rPr>
        <w:t>Débats de la Chambre des communes du Canada</w:t>
      </w:r>
      <w:r w:rsidRPr="0019011E">
        <w:rPr>
          <w:lang w:val="fr-CA"/>
        </w:rPr>
        <w:t>, 2</w:t>
      </w:r>
      <w:r w:rsidRPr="0019011E">
        <w:rPr>
          <w:vertAlign w:val="superscript"/>
          <w:lang w:val="fr-CA"/>
        </w:rPr>
        <w:t>e</w:t>
      </w:r>
      <w:r w:rsidR="000213F7" w:rsidRPr="0019011E">
        <w:rPr>
          <w:lang w:val="fr-CA"/>
        </w:rPr>
        <w:t> </w:t>
      </w:r>
      <w:r w:rsidRPr="0019011E">
        <w:rPr>
          <w:lang w:val="fr-CA"/>
        </w:rPr>
        <w:t>sess., 3</w:t>
      </w:r>
      <w:r w:rsidRPr="0019011E">
        <w:rPr>
          <w:vertAlign w:val="superscript"/>
          <w:lang w:val="fr-CA"/>
        </w:rPr>
        <w:t>e</w:t>
      </w:r>
      <w:r w:rsidR="000213F7" w:rsidRPr="0019011E">
        <w:rPr>
          <w:lang w:val="fr-CA"/>
        </w:rPr>
        <w:t> </w:t>
      </w:r>
      <w:r w:rsidR="00C75C1D" w:rsidRPr="0019011E">
        <w:rPr>
          <w:lang w:val="fr-CA"/>
        </w:rPr>
        <w:t xml:space="preserve">lég., 1875, </w:t>
      </w:r>
      <w:r w:rsidR="006303ED" w:rsidRPr="0019011E">
        <w:rPr>
          <w:lang w:val="fr-CA"/>
        </w:rPr>
        <w:t>p. </w:t>
      </w:r>
      <w:r w:rsidR="00C75C1D" w:rsidRPr="0019011E">
        <w:rPr>
          <w:lang w:val="fr-CA"/>
        </w:rPr>
        <w:t>299, 782</w:t>
      </w:r>
      <w:r w:rsidR="006303ED" w:rsidRPr="0019011E">
        <w:rPr>
          <w:lang w:val="fr-CA"/>
        </w:rPr>
        <w:noBreakHyphen/>
      </w:r>
      <w:r w:rsidR="00C75C1D" w:rsidRPr="0019011E">
        <w:rPr>
          <w:lang w:val="fr-CA"/>
        </w:rPr>
        <w:t>783, 799, 993, 995, 1030</w:t>
      </w:r>
      <w:r w:rsidRPr="0019011E">
        <w:rPr>
          <w:lang w:val="fr-CA"/>
        </w:rPr>
        <w:t>.</w:t>
      </w:r>
    </w:p>
    <w:p w:rsidR="00C75C1D" w:rsidRPr="0019011E" w:rsidRDefault="00C75C1D" w:rsidP="006B5FE2">
      <w:pPr>
        <w:pStyle w:val="SCCNormalDoubleSpacing"/>
        <w:spacing w:after="240" w:line="240" w:lineRule="auto"/>
        <w:ind w:left="540" w:hanging="540"/>
        <w:rPr>
          <w:lang w:val="fr-CA"/>
        </w:rPr>
      </w:pPr>
      <w:r w:rsidRPr="0019011E">
        <w:rPr>
          <w:lang w:val="fr-CA"/>
        </w:rPr>
        <w:t xml:space="preserve">Canada.  </w:t>
      </w:r>
      <w:r w:rsidRPr="0019011E">
        <w:rPr>
          <w:i/>
          <w:lang w:val="fr-CA"/>
        </w:rPr>
        <w:t>Rapport du consensus sur la Constitution</w:t>
      </w:r>
      <w:r w:rsidR="006303ED" w:rsidRPr="0019011E">
        <w:rPr>
          <w:i/>
          <w:lang w:val="fr-CA"/>
        </w:rPr>
        <w:t> :</w:t>
      </w:r>
      <w:r w:rsidRPr="0019011E">
        <w:rPr>
          <w:i/>
          <w:lang w:val="fr-CA"/>
        </w:rPr>
        <w:t xml:space="preserve"> Charlottetown</w:t>
      </w:r>
      <w:r w:rsidRPr="0019011E">
        <w:rPr>
          <w:lang w:val="fr-CA"/>
        </w:rPr>
        <w:t>.  Ottawa</w:t>
      </w:r>
      <w:r w:rsidR="006303ED" w:rsidRPr="0019011E">
        <w:rPr>
          <w:lang w:val="fr-CA"/>
        </w:rPr>
        <w:t> :</w:t>
      </w:r>
      <w:r w:rsidRPr="0019011E">
        <w:rPr>
          <w:lang w:val="fr-CA"/>
        </w:rPr>
        <w:t xml:space="preserve"> Ministre des Approvisionnements et Services, 1992.</w:t>
      </w:r>
    </w:p>
    <w:p w:rsidR="008E38F7" w:rsidRPr="00A9680D" w:rsidRDefault="008E38F7" w:rsidP="006B5FE2">
      <w:pPr>
        <w:pStyle w:val="SCCNormalDoubleSpacing"/>
        <w:spacing w:after="240" w:line="240" w:lineRule="auto"/>
        <w:ind w:left="540" w:hanging="540"/>
        <w:rPr>
          <w:lang w:val="fr-CA"/>
        </w:rPr>
      </w:pPr>
      <w:r w:rsidRPr="00A9680D">
        <w:rPr>
          <w:lang w:val="fr-CA"/>
        </w:rPr>
        <w:t xml:space="preserve">Canada.  Sénat.  </w:t>
      </w:r>
      <w:r w:rsidRPr="00A9680D">
        <w:rPr>
          <w:i/>
          <w:lang w:val="fr-CA"/>
        </w:rPr>
        <w:t>Debates of the Senate of Canada</w:t>
      </w:r>
      <w:r w:rsidRPr="00A9680D">
        <w:rPr>
          <w:lang w:val="fr-CA"/>
        </w:rPr>
        <w:t xml:space="preserve">, 2nd Sess., 3rd Parl., 1875, </w:t>
      </w:r>
      <w:r w:rsidR="006303ED" w:rsidRPr="00A9680D">
        <w:rPr>
          <w:lang w:val="fr-CA"/>
        </w:rPr>
        <w:t>p. </w:t>
      </w:r>
      <w:r w:rsidRPr="00A9680D">
        <w:rPr>
          <w:lang w:val="fr-CA"/>
        </w:rPr>
        <w:t>713.</w:t>
      </w:r>
    </w:p>
    <w:p w:rsidR="00A13C9B" w:rsidRPr="0019011E" w:rsidRDefault="00A13C9B" w:rsidP="006B5FE2">
      <w:pPr>
        <w:pStyle w:val="SCCNormalDoubleSpacing"/>
        <w:spacing w:after="240" w:line="240" w:lineRule="auto"/>
        <w:ind w:left="540" w:hanging="540"/>
        <w:rPr>
          <w:lang w:val="fr-CA"/>
        </w:rPr>
      </w:pPr>
      <w:r w:rsidRPr="0019011E">
        <w:rPr>
          <w:lang w:val="fr-CA"/>
        </w:rPr>
        <w:t>Côté, Pierre</w:t>
      </w:r>
      <w:r w:rsidR="006303ED" w:rsidRPr="0019011E">
        <w:rPr>
          <w:lang w:val="fr-CA"/>
        </w:rPr>
        <w:noBreakHyphen/>
      </w:r>
      <w:r w:rsidRPr="0019011E">
        <w:rPr>
          <w:lang w:val="fr-CA"/>
        </w:rPr>
        <w:t xml:space="preserve">André, avec la collaboration de Stéphane Beaulac et Mathieu Devinat.  </w:t>
      </w:r>
      <w:r w:rsidRPr="0019011E">
        <w:rPr>
          <w:i/>
          <w:lang w:val="fr-CA"/>
        </w:rPr>
        <w:t>Interprétation des lois</w:t>
      </w:r>
      <w:r w:rsidRPr="0019011E">
        <w:rPr>
          <w:lang w:val="fr-CA"/>
        </w:rPr>
        <w:t>, 4</w:t>
      </w:r>
      <w:r w:rsidRPr="0019011E">
        <w:rPr>
          <w:vertAlign w:val="superscript"/>
          <w:lang w:val="fr-CA"/>
        </w:rPr>
        <w:t>e</w:t>
      </w:r>
      <w:r w:rsidRPr="0019011E">
        <w:rPr>
          <w:lang w:val="fr-CA"/>
        </w:rPr>
        <w:t xml:space="preserve"> éd.  Montréal</w:t>
      </w:r>
      <w:r w:rsidR="006303ED" w:rsidRPr="0019011E">
        <w:rPr>
          <w:lang w:val="fr-CA"/>
        </w:rPr>
        <w:t> :</w:t>
      </w:r>
      <w:r w:rsidRPr="0019011E">
        <w:rPr>
          <w:lang w:val="fr-CA"/>
        </w:rPr>
        <w:t xml:space="preserve"> Thémis, 2009.</w:t>
      </w:r>
    </w:p>
    <w:p w:rsidR="003F4226" w:rsidRPr="0019011E" w:rsidRDefault="003F4226" w:rsidP="006B5FE2">
      <w:pPr>
        <w:pStyle w:val="SCCNormalDoubleSpacing"/>
        <w:spacing w:after="240" w:line="240" w:lineRule="auto"/>
        <w:ind w:left="540" w:hanging="540"/>
        <w:rPr>
          <w:lang w:val="en-US"/>
        </w:rPr>
      </w:pPr>
      <w:r w:rsidRPr="00A9680D">
        <w:rPr>
          <w:lang w:val="fr-CA"/>
        </w:rPr>
        <w:t xml:space="preserve">Hogg, Peter W.  </w:t>
      </w:r>
      <w:r w:rsidRPr="0019011E">
        <w:rPr>
          <w:i/>
          <w:lang w:val="en-US"/>
        </w:rPr>
        <w:t>Constitutional Law of Canada</w:t>
      </w:r>
      <w:r w:rsidRPr="0019011E">
        <w:rPr>
          <w:lang w:val="en-US"/>
        </w:rPr>
        <w:t xml:space="preserve">, 5th ed. Supp., </w:t>
      </w:r>
      <w:r w:rsidR="006303ED" w:rsidRPr="0019011E">
        <w:rPr>
          <w:lang w:val="en-US"/>
        </w:rPr>
        <w:t>vol. </w:t>
      </w:r>
      <w:r w:rsidRPr="0019011E">
        <w:rPr>
          <w:lang w:val="en-US"/>
        </w:rPr>
        <w:t>1.  Toronto</w:t>
      </w:r>
      <w:r w:rsidR="006303ED" w:rsidRPr="0019011E">
        <w:rPr>
          <w:lang w:val="en-US"/>
        </w:rPr>
        <w:t> :</w:t>
      </w:r>
      <w:r w:rsidRPr="0019011E">
        <w:rPr>
          <w:lang w:val="en-US"/>
        </w:rPr>
        <w:t xml:space="preserve"> Carswell, 2007 (updated 2013, release 1).</w:t>
      </w:r>
    </w:p>
    <w:p w:rsidR="00167927" w:rsidRPr="0019011E" w:rsidRDefault="00167927" w:rsidP="006B5FE2">
      <w:pPr>
        <w:pStyle w:val="SCCNormalDoubleSpacing"/>
        <w:spacing w:after="240" w:line="240" w:lineRule="auto"/>
        <w:ind w:left="540" w:hanging="540"/>
        <w:rPr>
          <w:lang w:val="en-US"/>
        </w:rPr>
      </w:pPr>
      <w:r w:rsidRPr="0019011E">
        <w:rPr>
          <w:lang w:val="en-US"/>
        </w:rPr>
        <w:t xml:space="preserve">Lederman, W. R.  </w:t>
      </w:r>
      <w:r w:rsidR="00305F36" w:rsidRPr="0019011E">
        <w:rPr>
          <w:lang w:val="en-US"/>
        </w:rPr>
        <w:t>« </w:t>
      </w:r>
      <w:r w:rsidRPr="0019011E">
        <w:rPr>
          <w:lang w:val="en-US"/>
        </w:rPr>
        <w:t>Constitutional Procedure and the Reform of the Supreme Court of Canada</w:t>
      </w:r>
      <w:r w:rsidR="00305F36" w:rsidRPr="0019011E">
        <w:rPr>
          <w:lang w:val="en-US"/>
        </w:rPr>
        <w:t> »</w:t>
      </w:r>
      <w:r w:rsidRPr="0019011E">
        <w:rPr>
          <w:lang w:val="en-US"/>
        </w:rPr>
        <w:t xml:space="preserve"> (1985), 26 </w:t>
      </w:r>
      <w:r w:rsidRPr="0019011E">
        <w:rPr>
          <w:i/>
          <w:lang w:val="en-US"/>
        </w:rPr>
        <w:t>C. de D.</w:t>
      </w:r>
      <w:r w:rsidRPr="0019011E">
        <w:rPr>
          <w:lang w:val="en-US"/>
        </w:rPr>
        <w:t xml:space="preserve"> 195.</w:t>
      </w:r>
    </w:p>
    <w:p w:rsidR="00167927" w:rsidRPr="0019011E" w:rsidRDefault="00167927" w:rsidP="006B5FE2">
      <w:pPr>
        <w:pStyle w:val="SCCNormalDoubleSpacing"/>
        <w:spacing w:after="240" w:line="240" w:lineRule="auto"/>
        <w:ind w:left="540" w:hanging="540"/>
        <w:rPr>
          <w:lang w:val="en-US"/>
        </w:rPr>
      </w:pPr>
      <w:r w:rsidRPr="0019011E">
        <w:rPr>
          <w:lang w:val="en-US"/>
        </w:rPr>
        <w:t xml:space="preserve">Monahan, </w:t>
      </w:r>
      <w:r w:rsidR="000213F7" w:rsidRPr="0019011E">
        <w:rPr>
          <w:lang w:val="en-US"/>
        </w:rPr>
        <w:t>Patrick </w:t>
      </w:r>
      <w:r w:rsidRPr="0019011E">
        <w:rPr>
          <w:lang w:val="en-US"/>
        </w:rPr>
        <w:t xml:space="preserve">J., and Byron Shaw.  </w:t>
      </w:r>
      <w:r w:rsidRPr="0019011E">
        <w:rPr>
          <w:i/>
          <w:lang w:val="en-US"/>
        </w:rPr>
        <w:t>Constitutional Law</w:t>
      </w:r>
      <w:r w:rsidRPr="0019011E">
        <w:rPr>
          <w:lang w:val="en-US"/>
        </w:rPr>
        <w:t>, 4th ed.  Toronto</w:t>
      </w:r>
      <w:r w:rsidR="006303ED" w:rsidRPr="0019011E">
        <w:rPr>
          <w:lang w:val="en-US"/>
        </w:rPr>
        <w:t> :</w:t>
      </w:r>
      <w:r w:rsidRPr="0019011E">
        <w:rPr>
          <w:lang w:val="en-US"/>
        </w:rPr>
        <w:t xml:space="preserve"> Irwin Law, 2013.</w:t>
      </w:r>
    </w:p>
    <w:p w:rsidR="00167927" w:rsidRPr="0019011E" w:rsidRDefault="00167927" w:rsidP="006B5FE2">
      <w:pPr>
        <w:pStyle w:val="SCCNormalDoubleSpacing"/>
        <w:spacing w:after="240" w:line="240" w:lineRule="auto"/>
        <w:ind w:left="540" w:hanging="540"/>
        <w:rPr>
          <w:lang w:val="en-US"/>
        </w:rPr>
      </w:pPr>
      <w:r w:rsidRPr="0019011E">
        <w:rPr>
          <w:lang w:val="en-US"/>
        </w:rPr>
        <w:t>Newman, Warren</w:t>
      </w:r>
      <w:r w:rsidR="000213F7" w:rsidRPr="0019011E">
        <w:rPr>
          <w:lang w:val="en-US"/>
        </w:rPr>
        <w:t> </w:t>
      </w:r>
      <w:r w:rsidRPr="0019011E">
        <w:rPr>
          <w:lang w:val="en-US"/>
        </w:rPr>
        <w:t xml:space="preserve">J.  </w:t>
      </w:r>
      <w:r w:rsidR="00305F36" w:rsidRPr="0019011E">
        <w:rPr>
          <w:lang w:val="en-US"/>
        </w:rPr>
        <w:t>« </w:t>
      </w:r>
      <w:r w:rsidRPr="0019011E">
        <w:rPr>
          <w:lang w:val="en-US"/>
        </w:rPr>
        <w:t>The Constitutional Status of the Supreme Court of Canada</w:t>
      </w:r>
      <w:r w:rsidR="00305F36" w:rsidRPr="0019011E">
        <w:rPr>
          <w:lang w:val="en-US"/>
        </w:rPr>
        <w:t> »</w:t>
      </w:r>
      <w:r w:rsidRPr="0019011E">
        <w:rPr>
          <w:lang w:val="en-US"/>
        </w:rPr>
        <w:t xml:space="preserve"> (2009), 47 </w:t>
      </w:r>
      <w:r w:rsidRPr="0019011E">
        <w:rPr>
          <w:i/>
          <w:lang w:val="en-US"/>
        </w:rPr>
        <w:t>S.C.L.R.</w:t>
      </w:r>
      <w:r w:rsidRPr="0019011E">
        <w:rPr>
          <w:lang w:val="en-US"/>
        </w:rPr>
        <w:t xml:space="preserve"> (2d) 429.</w:t>
      </w:r>
    </w:p>
    <w:p w:rsidR="00332941" w:rsidRPr="0019011E" w:rsidRDefault="00332941" w:rsidP="006B5FE2">
      <w:pPr>
        <w:pStyle w:val="SCCNormalDoubleSpacing"/>
        <w:spacing w:after="240" w:line="240" w:lineRule="auto"/>
        <w:ind w:left="540" w:hanging="540"/>
        <w:rPr>
          <w:lang w:val="en-US"/>
        </w:rPr>
      </w:pPr>
      <w:r w:rsidRPr="0019011E">
        <w:rPr>
          <w:lang w:val="en-US"/>
        </w:rPr>
        <w:t xml:space="preserve">Oliver, Peter.  « Canada, Quebec, and Constitutional Amendment » (1999), 49 </w:t>
      </w:r>
      <w:r w:rsidRPr="0019011E">
        <w:rPr>
          <w:i/>
          <w:lang w:val="en-US"/>
        </w:rPr>
        <w:t>U.T.L.J.</w:t>
      </w:r>
      <w:r w:rsidRPr="0019011E">
        <w:rPr>
          <w:lang w:val="en-US"/>
        </w:rPr>
        <w:t xml:space="preserve"> 519.</w:t>
      </w:r>
    </w:p>
    <w:p w:rsidR="00167927" w:rsidRPr="0019011E" w:rsidRDefault="00167927" w:rsidP="006B5FE2">
      <w:pPr>
        <w:pStyle w:val="SCCNormalDoubleSpacing"/>
        <w:spacing w:after="240" w:line="240" w:lineRule="auto"/>
        <w:ind w:left="540" w:hanging="540"/>
        <w:rPr>
          <w:lang w:val="en-US"/>
        </w:rPr>
      </w:pPr>
      <w:r w:rsidRPr="0019011E">
        <w:rPr>
          <w:lang w:val="en-US"/>
        </w:rPr>
        <w:t xml:space="preserve">Plaxton, Michael, and Carissima Mathen.  </w:t>
      </w:r>
      <w:r w:rsidR="00305F36" w:rsidRPr="0019011E">
        <w:rPr>
          <w:lang w:val="en-US"/>
        </w:rPr>
        <w:t>« </w:t>
      </w:r>
      <w:r w:rsidRPr="0019011E">
        <w:rPr>
          <w:lang w:val="en-US"/>
        </w:rPr>
        <w:t xml:space="preserve">Purposive Interpretation, Quebec, and the </w:t>
      </w:r>
      <w:r w:rsidRPr="0019011E">
        <w:rPr>
          <w:i/>
          <w:lang w:val="en-US"/>
        </w:rPr>
        <w:t>Supreme Court Act</w:t>
      </w:r>
      <w:r w:rsidR="00305F36" w:rsidRPr="0019011E">
        <w:rPr>
          <w:lang w:val="en-US"/>
        </w:rPr>
        <w:t> »</w:t>
      </w:r>
      <w:r w:rsidRPr="0019011E">
        <w:rPr>
          <w:lang w:val="en-US"/>
        </w:rPr>
        <w:t xml:space="preserve"> (2013), 22 </w:t>
      </w:r>
      <w:r w:rsidRPr="0019011E">
        <w:rPr>
          <w:i/>
          <w:lang w:val="en-US"/>
        </w:rPr>
        <w:t xml:space="preserve">Const. Forum </w:t>
      </w:r>
      <w:r w:rsidRPr="0019011E">
        <w:rPr>
          <w:lang w:val="en-US"/>
        </w:rPr>
        <w:t>15.</w:t>
      </w:r>
    </w:p>
    <w:p w:rsidR="00167927" w:rsidRPr="0019011E" w:rsidRDefault="000213F7" w:rsidP="006B5FE2">
      <w:pPr>
        <w:pStyle w:val="SCCNormalDoubleSpacing"/>
        <w:spacing w:after="240" w:line="240" w:lineRule="auto"/>
        <w:ind w:left="540" w:hanging="540"/>
        <w:rPr>
          <w:lang w:val="en-US"/>
        </w:rPr>
      </w:pPr>
      <w:r w:rsidRPr="0019011E">
        <w:rPr>
          <w:lang w:val="en-US"/>
        </w:rPr>
        <w:t>Russell, Peter </w:t>
      </w:r>
      <w:r w:rsidR="00167927" w:rsidRPr="0019011E">
        <w:rPr>
          <w:lang w:val="en-US"/>
        </w:rPr>
        <w:t xml:space="preserve">H.  </w:t>
      </w:r>
      <w:r w:rsidR="00167927" w:rsidRPr="0019011E">
        <w:rPr>
          <w:i/>
          <w:lang w:val="en-US"/>
        </w:rPr>
        <w:t>The Supreme Court of Canada as a Bilingual and Bicultural Institution</w:t>
      </w:r>
      <w:r w:rsidR="00167927" w:rsidRPr="0019011E">
        <w:rPr>
          <w:lang w:val="en-US"/>
        </w:rPr>
        <w:t>.  Ottawa</w:t>
      </w:r>
      <w:r w:rsidR="006303ED" w:rsidRPr="0019011E">
        <w:rPr>
          <w:lang w:val="en-US"/>
        </w:rPr>
        <w:t> :</w:t>
      </w:r>
      <w:r w:rsidR="00167927" w:rsidRPr="0019011E">
        <w:rPr>
          <w:lang w:val="en-US"/>
        </w:rPr>
        <w:t xml:space="preserve"> Information Canada, 1969.</w:t>
      </w:r>
    </w:p>
    <w:p w:rsidR="009433C8" w:rsidRPr="0019011E" w:rsidRDefault="009433C8" w:rsidP="006B5FE2">
      <w:pPr>
        <w:pStyle w:val="SCCNormalDoubleSpacing"/>
        <w:spacing w:after="240" w:line="240" w:lineRule="auto"/>
        <w:ind w:left="540" w:hanging="540"/>
        <w:rPr>
          <w:lang w:val="en-US"/>
        </w:rPr>
      </w:pPr>
      <w:r w:rsidRPr="0019011E">
        <w:rPr>
          <w:lang w:val="en-US"/>
        </w:rPr>
        <w:t xml:space="preserve">Saywell, John T.  </w:t>
      </w:r>
      <w:r w:rsidRPr="0019011E">
        <w:rPr>
          <w:i/>
          <w:lang w:val="en-US"/>
        </w:rPr>
        <w:t>The Lawmakers</w:t>
      </w:r>
      <w:r w:rsidR="006303ED" w:rsidRPr="0019011E">
        <w:rPr>
          <w:i/>
          <w:lang w:val="en-US"/>
        </w:rPr>
        <w:t> :</w:t>
      </w:r>
      <w:r w:rsidRPr="0019011E">
        <w:rPr>
          <w:i/>
          <w:lang w:val="en-US"/>
        </w:rPr>
        <w:t xml:space="preserve"> Judicial Power and the Shaping of Canadian Federalism</w:t>
      </w:r>
      <w:r w:rsidRPr="0019011E">
        <w:rPr>
          <w:lang w:val="en-US"/>
        </w:rPr>
        <w:t>.  Toronto</w:t>
      </w:r>
      <w:r w:rsidR="006303ED" w:rsidRPr="0019011E">
        <w:rPr>
          <w:lang w:val="en-US"/>
        </w:rPr>
        <w:t> :</w:t>
      </w:r>
      <w:r w:rsidRPr="0019011E">
        <w:rPr>
          <w:lang w:val="en-US"/>
        </w:rPr>
        <w:t xml:space="preserve"> University of Toronto Press, 2002.</w:t>
      </w:r>
    </w:p>
    <w:p w:rsidR="003F4226" w:rsidRPr="0019011E" w:rsidRDefault="003F4226" w:rsidP="006B5FE2">
      <w:pPr>
        <w:pStyle w:val="SCCNormalDoubleSpacing"/>
        <w:spacing w:after="240" w:line="240" w:lineRule="auto"/>
        <w:ind w:left="540" w:hanging="540"/>
        <w:rPr>
          <w:lang w:val="en-US"/>
        </w:rPr>
      </w:pPr>
      <w:r w:rsidRPr="0019011E">
        <w:rPr>
          <w:lang w:val="en-US"/>
        </w:rPr>
        <w:t xml:space="preserve">Scott, Stephen A.  « Pussycat, Pussycat or Patriation and the New Constitutional Amendment Processes » (1982), 20 </w:t>
      </w:r>
      <w:r w:rsidRPr="0019011E">
        <w:rPr>
          <w:i/>
          <w:lang w:val="en-US"/>
        </w:rPr>
        <w:t>U.W.O. L. Rev.</w:t>
      </w:r>
      <w:r w:rsidRPr="0019011E">
        <w:rPr>
          <w:lang w:val="en-US"/>
        </w:rPr>
        <w:t xml:space="preserve"> 247.</w:t>
      </w:r>
    </w:p>
    <w:p w:rsidR="00167927" w:rsidRPr="0019011E" w:rsidRDefault="000213F7" w:rsidP="006B5FE2">
      <w:pPr>
        <w:pStyle w:val="SCCNormalDoubleSpacing"/>
        <w:spacing w:after="240" w:line="240" w:lineRule="auto"/>
        <w:ind w:left="540" w:hanging="540"/>
        <w:rPr>
          <w:lang w:val="en-US"/>
        </w:rPr>
      </w:pPr>
      <w:r w:rsidRPr="0019011E">
        <w:rPr>
          <w:lang w:val="en-US"/>
        </w:rPr>
        <w:t>Scott, Stephen </w:t>
      </w:r>
      <w:r w:rsidR="00167927" w:rsidRPr="0019011E">
        <w:rPr>
          <w:lang w:val="en-US"/>
        </w:rPr>
        <w:t xml:space="preserve">A.  </w:t>
      </w:r>
      <w:r w:rsidR="00305F36" w:rsidRPr="0019011E">
        <w:rPr>
          <w:lang w:val="en-US"/>
        </w:rPr>
        <w:t>« </w:t>
      </w:r>
      <w:r w:rsidR="00167927" w:rsidRPr="0019011E">
        <w:rPr>
          <w:lang w:val="en-US"/>
        </w:rPr>
        <w:t>The Canadian Constitutional Amendment Process</w:t>
      </w:r>
      <w:r w:rsidR="00305F36" w:rsidRPr="0019011E">
        <w:rPr>
          <w:lang w:val="en-US"/>
        </w:rPr>
        <w:t> »</w:t>
      </w:r>
      <w:r w:rsidR="00167927" w:rsidRPr="0019011E">
        <w:rPr>
          <w:lang w:val="en-US"/>
        </w:rPr>
        <w:t xml:space="preserve"> (1982), 45 </w:t>
      </w:r>
      <w:r w:rsidR="00167927" w:rsidRPr="0019011E">
        <w:rPr>
          <w:i/>
          <w:lang w:val="en-US"/>
        </w:rPr>
        <w:t>Law &amp; Contem</w:t>
      </w:r>
      <w:r w:rsidR="006303ED" w:rsidRPr="0019011E">
        <w:rPr>
          <w:i/>
          <w:lang w:val="en-US"/>
        </w:rPr>
        <w:t>p. </w:t>
      </w:r>
      <w:r w:rsidR="00167927" w:rsidRPr="0019011E">
        <w:rPr>
          <w:i/>
          <w:lang w:val="en-US"/>
        </w:rPr>
        <w:t>Probs.</w:t>
      </w:r>
      <w:r w:rsidR="00167927" w:rsidRPr="0019011E">
        <w:rPr>
          <w:lang w:val="en-US"/>
        </w:rPr>
        <w:t xml:space="preserve"> 249.</w:t>
      </w:r>
    </w:p>
    <w:p w:rsidR="00167927" w:rsidRPr="0019011E" w:rsidRDefault="00167927" w:rsidP="006B5FE2">
      <w:pPr>
        <w:pStyle w:val="SCCNormalDoubleSpacing"/>
        <w:spacing w:after="720" w:line="240" w:lineRule="auto"/>
        <w:ind w:left="547" w:hanging="547"/>
        <w:rPr>
          <w:lang w:val="fr-CA"/>
        </w:rPr>
      </w:pPr>
      <w:r w:rsidRPr="0019011E">
        <w:rPr>
          <w:lang w:val="en-US"/>
        </w:rPr>
        <w:t xml:space="preserve">Sullivan, Ruth.  </w:t>
      </w:r>
      <w:r w:rsidRPr="0019011E">
        <w:rPr>
          <w:i/>
          <w:lang w:val="en-US"/>
        </w:rPr>
        <w:t>Sullivan on the Construction of Statutes</w:t>
      </w:r>
      <w:r w:rsidRPr="0019011E">
        <w:rPr>
          <w:lang w:val="en-US"/>
        </w:rPr>
        <w:t xml:space="preserve">, 5th ed.  </w:t>
      </w:r>
      <w:r w:rsidRPr="0019011E">
        <w:rPr>
          <w:lang w:val="fr-CA"/>
        </w:rPr>
        <w:t>Markham, Ont.</w:t>
      </w:r>
      <w:r w:rsidR="006303ED" w:rsidRPr="0019011E">
        <w:rPr>
          <w:lang w:val="fr-CA"/>
        </w:rPr>
        <w:t> :</w:t>
      </w:r>
      <w:r w:rsidRPr="0019011E">
        <w:rPr>
          <w:lang w:val="fr-CA"/>
        </w:rPr>
        <w:t xml:space="preserve"> LexisNexis, 2008.</w:t>
      </w:r>
    </w:p>
    <w:p w:rsidR="004D7D95" w:rsidRPr="0019011E" w:rsidRDefault="004D7D95" w:rsidP="006B5FE2">
      <w:pPr>
        <w:pStyle w:val="SCCNormalDoubleSpacing"/>
        <w:spacing w:before="480" w:after="480"/>
        <w:rPr>
          <w:lang w:val="fr-CA"/>
        </w:rPr>
      </w:pPr>
      <w:r w:rsidRPr="0019011E">
        <w:rPr>
          <w:lang w:val="fr-CA"/>
        </w:rPr>
        <w:lastRenderedPageBreak/>
        <w:tab/>
      </w:r>
      <w:r w:rsidR="00F9029D">
        <w:rPr>
          <w:lang w:val="fr-CA"/>
        </w:rPr>
        <w:t>RENVOI par le g</w:t>
      </w:r>
      <w:r w:rsidR="009357EC" w:rsidRPr="0019011E">
        <w:rPr>
          <w:lang w:val="fr-CA"/>
        </w:rPr>
        <w:t>ouverneur en conseil concernant les art</w:t>
      </w:r>
      <w:r w:rsidR="00F9029D">
        <w:rPr>
          <w:lang w:val="fr-CA"/>
        </w:rPr>
        <w:t>.</w:t>
      </w:r>
      <w:r w:rsidR="009357EC" w:rsidRPr="0019011E">
        <w:rPr>
          <w:lang w:val="fr-CA"/>
        </w:rPr>
        <w:t xml:space="preserve"> 5 et 6 de la </w:t>
      </w:r>
      <w:r w:rsidR="00154918" w:rsidRPr="0019011E">
        <w:rPr>
          <w:i/>
          <w:lang w:val="fr-CA"/>
        </w:rPr>
        <w:t>Loi sur la Cour s</w:t>
      </w:r>
      <w:r w:rsidR="009357EC" w:rsidRPr="0019011E">
        <w:rPr>
          <w:i/>
          <w:lang w:val="fr-CA"/>
        </w:rPr>
        <w:t>uprême</w:t>
      </w:r>
      <w:r w:rsidR="009357EC" w:rsidRPr="0019011E">
        <w:rPr>
          <w:lang w:val="fr-CA"/>
        </w:rPr>
        <w:t xml:space="preserve">, L.R.C. 1985, </w:t>
      </w:r>
      <w:r w:rsidR="006303ED" w:rsidRPr="0019011E">
        <w:rPr>
          <w:lang w:val="fr-CA"/>
        </w:rPr>
        <w:t>ch. </w:t>
      </w:r>
      <w:r w:rsidR="009357EC" w:rsidRPr="0019011E">
        <w:rPr>
          <w:lang w:val="fr-CA"/>
        </w:rPr>
        <w:t>S</w:t>
      </w:r>
      <w:r w:rsidR="006303ED" w:rsidRPr="0019011E">
        <w:rPr>
          <w:lang w:val="fr-CA"/>
        </w:rPr>
        <w:noBreakHyphen/>
      </w:r>
      <w:r w:rsidR="009357EC" w:rsidRPr="0019011E">
        <w:rPr>
          <w:lang w:val="fr-CA"/>
        </w:rPr>
        <w:t xml:space="preserve">26, </w:t>
      </w:r>
      <w:r w:rsidR="00966B40" w:rsidRPr="0019011E">
        <w:rPr>
          <w:lang w:val="fr-CA"/>
        </w:rPr>
        <w:t>institué aux termes du</w:t>
      </w:r>
      <w:r w:rsidR="009357EC" w:rsidRPr="0019011E">
        <w:rPr>
          <w:lang w:val="fr-CA"/>
        </w:rPr>
        <w:t xml:space="preserve"> décret C.</w:t>
      </w:r>
      <w:r w:rsidR="006303ED" w:rsidRPr="0019011E">
        <w:rPr>
          <w:lang w:val="fr-CA"/>
        </w:rPr>
        <w:t>P. </w:t>
      </w:r>
      <w:r w:rsidR="009357EC" w:rsidRPr="0019011E">
        <w:rPr>
          <w:lang w:val="fr-CA"/>
        </w:rPr>
        <w:t>2013</w:t>
      </w:r>
      <w:r w:rsidR="006303ED" w:rsidRPr="0019011E">
        <w:rPr>
          <w:lang w:val="fr-CA"/>
        </w:rPr>
        <w:noBreakHyphen/>
      </w:r>
      <w:r w:rsidR="000213F7" w:rsidRPr="0019011E">
        <w:rPr>
          <w:lang w:val="fr-CA"/>
        </w:rPr>
        <w:t>1105 en date du 22 </w:t>
      </w:r>
      <w:r w:rsidR="009357EC" w:rsidRPr="0019011E">
        <w:rPr>
          <w:lang w:val="fr-CA"/>
        </w:rPr>
        <w:t>octobre 2013.</w:t>
      </w:r>
      <w:r w:rsidR="009169A1">
        <w:rPr>
          <w:lang w:val="fr-CA"/>
        </w:rPr>
        <w:t xml:space="preserve">  </w:t>
      </w:r>
      <w:r w:rsidR="009169A1" w:rsidRPr="0019011E">
        <w:rPr>
          <w:lang w:val="fr-CA"/>
        </w:rPr>
        <w:t xml:space="preserve">La </w:t>
      </w:r>
      <w:r w:rsidR="00BF1640">
        <w:rPr>
          <w:lang w:val="fr-CA"/>
        </w:rPr>
        <w:t>q</w:t>
      </w:r>
      <w:r w:rsidR="009169A1" w:rsidRPr="0019011E">
        <w:rPr>
          <w:lang w:val="fr-CA"/>
        </w:rPr>
        <w:t xml:space="preserve">uestion 1 reçoit une réponse négative.  </w:t>
      </w:r>
      <w:r w:rsidR="009169A1">
        <w:rPr>
          <w:lang w:val="fr-CA"/>
        </w:rPr>
        <w:t xml:space="preserve">Le juge Moldaver est dissident.  </w:t>
      </w:r>
      <w:r w:rsidR="009169A1" w:rsidRPr="0019011E">
        <w:rPr>
          <w:lang w:val="fr-CA"/>
        </w:rPr>
        <w:t xml:space="preserve">La </w:t>
      </w:r>
      <w:r w:rsidR="00BF1640">
        <w:rPr>
          <w:lang w:val="fr-CA"/>
        </w:rPr>
        <w:t>q</w:t>
      </w:r>
      <w:r w:rsidR="009169A1" w:rsidRPr="0019011E">
        <w:rPr>
          <w:lang w:val="fr-CA"/>
        </w:rPr>
        <w:t>uestion 2 reçoit une réponse négative pour ce qui est des trois postes réservés au Québec et de la disposition déclaratoire énoncée dans l’art</w:t>
      </w:r>
      <w:r w:rsidR="00C415E4">
        <w:rPr>
          <w:lang w:val="fr-CA"/>
        </w:rPr>
        <w:t>.</w:t>
      </w:r>
      <w:r w:rsidR="009169A1" w:rsidRPr="0019011E">
        <w:rPr>
          <w:lang w:val="fr-CA"/>
        </w:rPr>
        <w:t xml:space="preserve"> 472.  Elle reçoit une réponse </w:t>
      </w:r>
      <w:r w:rsidR="009169A1">
        <w:rPr>
          <w:lang w:val="fr-CA"/>
        </w:rPr>
        <w:t>affirmativ</w:t>
      </w:r>
      <w:r w:rsidR="009169A1" w:rsidRPr="0019011E">
        <w:rPr>
          <w:lang w:val="fr-CA"/>
        </w:rPr>
        <w:t>e concernant l’art</w:t>
      </w:r>
      <w:r w:rsidR="00C415E4">
        <w:rPr>
          <w:lang w:val="fr-CA"/>
        </w:rPr>
        <w:t>.</w:t>
      </w:r>
      <w:r w:rsidR="009169A1" w:rsidRPr="0019011E">
        <w:rPr>
          <w:lang w:val="fr-CA"/>
        </w:rPr>
        <w:t> 471.</w:t>
      </w:r>
    </w:p>
    <w:p w:rsidR="002D3C4B" w:rsidRPr="0019011E" w:rsidRDefault="005F203A" w:rsidP="006B5FE2">
      <w:pPr>
        <w:pStyle w:val="SCCNormalDoubleSpacing"/>
        <w:spacing w:before="480" w:after="480"/>
        <w:rPr>
          <w:lang w:val="fr-CA"/>
        </w:rPr>
      </w:pPr>
      <w:r w:rsidRPr="0019011E">
        <w:rPr>
          <w:i/>
          <w:lang w:val="fr-CA"/>
        </w:rPr>
        <w:tab/>
        <w:t>René LeBlanc</w:t>
      </w:r>
      <w:r w:rsidRPr="0019011E">
        <w:rPr>
          <w:lang w:val="fr-CA"/>
        </w:rPr>
        <w:t xml:space="preserve"> et </w:t>
      </w:r>
      <w:r w:rsidRPr="0019011E">
        <w:rPr>
          <w:i/>
          <w:lang w:val="fr-CA"/>
        </w:rPr>
        <w:t>Christine Mohr</w:t>
      </w:r>
      <w:r w:rsidRPr="0019011E">
        <w:rPr>
          <w:lang w:val="fr-CA"/>
        </w:rPr>
        <w:t xml:space="preserve">, pour </w:t>
      </w:r>
      <w:r w:rsidR="009357EC" w:rsidRPr="0019011E">
        <w:rPr>
          <w:lang w:val="fr-CA"/>
        </w:rPr>
        <w:t>le procureur général du Canada</w:t>
      </w:r>
      <w:r w:rsidRPr="0019011E">
        <w:rPr>
          <w:lang w:val="fr-CA"/>
        </w:rPr>
        <w:t>.</w:t>
      </w:r>
    </w:p>
    <w:p w:rsidR="009357EC" w:rsidRPr="0019011E" w:rsidRDefault="009357EC" w:rsidP="006B5FE2">
      <w:pPr>
        <w:pStyle w:val="SCCNormalDoubleSpacing"/>
        <w:spacing w:before="480" w:after="480"/>
        <w:rPr>
          <w:lang w:val="fr-CA"/>
        </w:rPr>
      </w:pPr>
      <w:r w:rsidRPr="0019011E">
        <w:rPr>
          <w:i/>
          <w:lang w:val="fr-CA"/>
        </w:rPr>
        <w:tab/>
        <w:t xml:space="preserve">Patrick J. Monahan </w:t>
      </w:r>
      <w:r w:rsidRPr="0019011E">
        <w:rPr>
          <w:lang w:val="fr-CA"/>
        </w:rPr>
        <w:t>et</w:t>
      </w:r>
      <w:r w:rsidRPr="0019011E">
        <w:rPr>
          <w:i/>
          <w:lang w:val="fr-CA"/>
        </w:rPr>
        <w:t xml:space="preserve"> Josh Hunter</w:t>
      </w:r>
      <w:r w:rsidRPr="0019011E">
        <w:rPr>
          <w:lang w:val="fr-CA"/>
        </w:rPr>
        <w:t>, pour l’intervenant le procureur général de l’Ontario.</w:t>
      </w:r>
    </w:p>
    <w:p w:rsidR="002D3C4B" w:rsidRPr="0019011E" w:rsidRDefault="005F203A" w:rsidP="006B5FE2">
      <w:pPr>
        <w:pStyle w:val="SCCNormalDoubleSpacing"/>
        <w:spacing w:before="480" w:after="480"/>
        <w:rPr>
          <w:lang w:val="fr-CA"/>
        </w:rPr>
      </w:pPr>
      <w:r w:rsidRPr="0019011E">
        <w:rPr>
          <w:i/>
          <w:lang w:val="fr-CA"/>
        </w:rPr>
        <w:tab/>
        <w:t>André Fauteux</w:t>
      </w:r>
      <w:r w:rsidRPr="0019011E">
        <w:rPr>
          <w:lang w:val="fr-CA"/>
        </w:rPr>
        <w:t xml:space="preserve"> et </w:t>
      </w:r>
      <w:r w:rsidRPr="0019011E">
        <w:rPr>
          <w:i/>
          <w:lang w:val="fr-CA"/>
        </w:rPr>
        <w:t>Jean</w:t>
      </w:r>
      <w:r w:rsidR="006303ED" w:rsidRPr="0019011E">
        <w:rPr>
          <w:i/>
          <w:lang w:val="fr-CA"/>
        </w:rPr>
        <w:noBreakHyphen/>
      </w:r>
      <w:r w:rsidRPr="0019011E">
        <w:rPr>
          <w:i/>
          <w:lang w:val="fr-CA"/>
        </w:rPr>
        <w:t>François Beaupré</w:t>
      </w:r>
      <w:r w:rsidRPr="0019011E">
        <w:rPr>
          <w:lang w:val="fr-CA"/>
        </w:rPr>
        <w:t>, pour l’intervenant</w:t>
      </w:r>
      <w:r w:rsidR="009357EC" w:rsidRPr="0019011E">
        <w:rPr>
          <w:lang w:val="fr-CA"/>
        </w:rPr>
        <w:t xml:space="preserve"> le p</w:t>
      </w:r>
      <w:r w:rsidRPr="0019011E">
        <w:rPr>
          <w:lang w:val="fr-CA"/>
        </w:rPr>
        <w:t>rocureur général du Québec.</w:t>
      </w:r>
    </w:p>
    <w:p w:rsidR="002D3C4B" w:rsidRPr="0019011E" w:rsidRDefault="005F203A" w:rsidP="006B5FE2">
      <w:pPr>
        <w:pStyle w:val="SCCNormalDoubleSpacing"/>
        <w:spacing w:before="480" w:after="480"/>
        <w:rPr>
          <w:lang w:val="fr-CA"/>
        </w:rPr>
      </w:pPr>
      <w:r w:rsidRPr="0019011E">
        <w:rPr>
          <w:i/>
          <w:lang w:val="fr-CA"/>
        </w:rPr>
        <w:tab/>
        <w:t>Sébastien Grammond</w:t>
      </w:r>
      <w:r w:rsidRPr="0019011E">
        <w:rPr>
          <w:lang w:val="fr-CA"/>
        </w:rPr>
        <w:t xml:space="preserve">, </w:t>
      </w:r>
      <w:r w:rsidRPr="0019011E">
        <w:rPr>
          <w:i/>
          <w:lang w:val="fr-CA"/>
        </w:rPr>
        <w:t>Jeffrey Haylock</w:t>
      </w:r>
      <w:r w:rsidRPr="0019011E">
        <w:rPr>
          <w:lang w:val="fr-CA"/>
        </w:rPr>
        <w:t xml:space="preserve"> et </w:t>
      </w:r>
      <w:r w:rsidR="009357EC" w:rsidRPr="0019011E">
        <w:rPr>
          <w:i/>
          <w:lang w:val="fr-CA"/>
        </w:rPr>
        <w:t>Nicolas </w:t>
      </w:r>
      <w:r w:rsidRPr="0019011E">
        <w:rPr>
          <w:i/>
          <w:lang w:val="fr-CA"/>
        </w:rPr>
        <w:t>M. Rouleau</w:t>
      </w:r>
      <w:r w:rsidRPr="0019011E">
        <w:rPr>
          <w:lang w:val="fr-CA"/>
        </w:rPr>
        <w:t>, pour l</w:t>
      </w:r>
      <w:r w:rsidR="009357EC" w:rsidRPr="0019011E">
        <w:rPr>
          <w:lang w:val="fr-CA"/>
        </w:rPr>
        <w:t xml:space="preserve">es </w:t>
      </w:r>
      <w:r w:rsidRPr="0019011E">
        <w:rPr>
          <w:lang w:val="fr-CA"/>
        </w:rPr>
        <w:t>intervenant</w:t>
      </w:r>
      <w:r w:rsidR="009357EC" w:rsidRPr="0019011E">
        <w:rPr>
          <w:lang w:val="fr-CA"/>
        </w:rPr>
        <w:t>s</w:t>
      </w:r>
      <w:r w:rsidRPr="0019011E">
        <w:rPr>
          <w:lang w:val="fr-CA"/>
        </w:rPr>
        <w:t xml:space="preserve"> Robert Décary</w:t>
      </w:r>
      <w:r w:rsidR="009357EC" w:rsidRPr="0019011E">
        <w:rPr>
          <w:lang w:val="fr-CA"/>
        </w:rPr>
        <w:t>, Alice Desjardins et Gilles Létourneau</w:t>
      </w:r>
      <w:r w:rsidRPr="0019011E">
        <w:rPr>
          <w:lang w:val="fr-CA"/>
        </w:rPr>
        <w:t>.</w:t>
      </w:r>
    </w:p>
    <w:p w:rsidR="002D3C4B" w:rsidRPr="0019011E" w:rsidRDefault="005F203A" w:rsidP="006B5FE2">
      <w:pPr>
        <w:pStyle w:val="SCCNormalDoubleSpacing"/>
        <w:spacing w:before="480" w:after="480"/>
        <w:rPr>
          <w:lang w:val="fr-CA"/>
        </w:rPr>
      </w:pPr>
      <w:r w:rsidRPr="0019011E">
        <w:rPr>
          <w:i/>
          <w:lang w:val="fr-CA"/>
        </w:rPr>
        <w:tab/>
        <w:t>Rocco Galati</w:t>
      </w:r>
      <w:r w:rsidRPr="0019011E">
        <w:rPr>
          <w:lang w:val="fr-CA"/>
        </w:rPr>
        <w:t xml:space="preserve">, </w:t>
      </w:r>
      <w:r w:rsidR="009357EC" w:rsidRPr="0019011E">
        <w:rPr>
          <w:lang w:val="fr-CA"/>
        </w:rPr>
        <w:t>en personne</w:t>
      </w:r>
      <w:r w:rsidRPr="0019011E">
        <w:rPr>
          <w:lang w:val="fr-CA"/>
        </w:rPr>
        <w:t>.</w:t>
      </w:r>
    </w:p>
    <w:p w:rsidR="002D3C4B" w:rsidRPr="0019011E" w:rsidRDefault="005F203A" w:rsidP="006B5FE2">
      <w:pPr>
        <w:pStyle w:val="SCCNormalDoubleSpacing"/>
        <w:spacing w:before="480" w:after="480"/>
        <w:rPr>
          <w:lang w:val="fr-CA"/>
        </w:rPr>
      </w:pPr>
      <w:r w:rsidRPr="0019011E">
        <w:rPr>
          <w:i/>
          <w:lang w:val="fr-CA"/>
        </w:rPr>
        <w:tab/>
        <w:t>Sébastien Grammond</w:t>
      </w:r>
      <w:r w:rsidRPr="0019011E">
        <w:rPr>
          <w:lang w:val="fr-CA"/>
        </w:rPr>
        <w:t xml:space="preserve">, pour l’intervenante </w:t>
      </w:r>
      <w:r w:rsidR="009357EC" w:rsidRPr="0019011E">
        <w:rPr>
          <w:lang w:val="fr-CA"/>
        </w:rPr>
        <w:t>l’</w:t>
      </w:r>
      <w:r w:rsidR="00CC126A">
        <w:rPr>
          <w:lang w:val="fr-CA"/>
        </w:rPr>
        <w:t>Association canadienne des juges de cours p</w:t>
      </w:r>
      <w:r w:rsidRPr="0019011E">
        <w:rPr>
          <w:lang w:val="fr-CA"/>
        </w:rPr>
        <w:t>rovinciales.</w:t>
      </w:r>
    </w:p>
    <w:p w:rsidR="002D3C4B" w:rsidRPr="0019011E" w:rsidRDefault="005F203A" w:rsidP="006B5FE2">
      <w:pPr>
        <w:pStyle w:val="SCCNormalDoubleSpacing"/>
        <w:spacing w:before="480" w:after="480"/>
        <w:rPr>
          <w:lang w:val="fr-CA"/>
        </w:rPr>
      </w:pPr>
      <w:r w:rsidRPr="0019011E">
        <w:rPr>
          <w:i/>
          <w:lang w:val="fr-CA"/>
        </w:rPr>
        <w:tab/>
        <w:t>Paul Slansky</w:t>
      </w:r>
      <w:r w:rsidRPr="0019011E">
        <w:rPr>
          <w:lang w:val="fr-CA"/>
        </w:rPr>
        <w:t>, pour l’intervenante Constitutional Rights Centre Inc.</w:t>
      </w:r>
    </w:p>
    <w:p w:rsidR="00200CB9" w:rsidRPr="00EC4545" w:rsidRDefault="004E5782" w:rsidP="004E5782">
      <w:pPr>
        <w:tabs>
          <w:tab w:val="left" w:pos="1170"/>
        </w:tabs>
        <w:spacing w:after="240" w:line="480" w:lineRule="auto"/>
        <w:ind w:firstLine="720"/>
        <w:rPr>
          <w:lang w:val="fr-CA"/>
        </w:rPr>
      </w:pPr>
      <w:r>
        <w:rPr>
          <w:lang w:val="fr-CA"/>
        </w:rPr>
        <w:tab/>
      </w:r>
      <w:r w:rsidR="00200CB9" w:rsidRPr="00EC4545">
        <w:rPr>
          <w:lang w:val="fr-CA"/>
        </w:rPr>
        <w:t>Version française de l’avis rendu par</w:t>
      </w:r>
    </w:p>
    <w:p w:rsidR="008B29FB" w:rsidRDefault="008B29FB" w:rsidP="006B5FE2">
      <w:pPr>
        <w:rPr>
          <w:lang w:val="fr-CA"/>
        </w:rPr>
      </w:pPr>
    </w:p>
    <w:p w:rsidR="008B29FB" w:rsidRPr="008C4C16" w:rsidRDefault="008B29FB" w:rsidP="006B5FE2">
      <w:pPr>
        <w:pStyle w:val="JudgeJuge"/>
        <w:jc w:val="both"/>
        <w:rPr>
          <w:lang w:val="fr-CA"/>
        </w:rPr>
      </w:pPr>
      <w:r>
        <w:rPr>
          <w:lang w:val="fr-CA"/>
        </w:rPr>
        <w:tab/>
        <w:t>La J</w:t>
      </w:r>
      <w:r w:rsidRPr="008C4C16">
        <w:rPr>
          <w:lang w:val="fr-CA"/>
        </w:rPr>
        <w:t xml:space="preserve">uge en chef et les juges LeBel, Abella, Cromwell, Karakatsanis et Wagner — </w:t>
      </w:r>
    </w:p>
    <w:p w:rsidR="008B29FB" w:rsidRPr="008C4C16" w:rsidRDefault="008B29FB" w:rsidP="006B5FE2">
      <w:pPr>
        <w:pStyle w:val="Title1LevelTitre1Niveau-AltL"/>
        <w:keepNext w:val="0"/>
        <w:rPr>
          <w:rFonts w:cs="Times New Roman"/>
          <w:lang w:val="fr-CA"/>
        </w:rPr>
      </w:pPr>
      <w:r w:rsidRPr="008C4C16">
        <w:rPr>
          <w:rFonts w:cs="Times New Roman"/>
          <w:lang w:val="fr-CA"/>
        </w:rPr>
        <w:t>Introduction</w:t>
      </w:r>
    </w:p>
    <w:p w:rsidR="008B29FB" w:rsidRPr="008C4C16" w:rsidRDefault="008B29FB" w:rsidP="006B5FE2">
      <w:pPr>
        <w:pStyle w:val="ParaNoNdepar-AltN"/>
        <w:rPr>
          <w:rFonts w:cs="Times New Roman"/>
          <w:lang w:val="fr-CA"/>
        </w:rPr>
      </w:pPr>
      <w:r w:rsidRPr="008C4C16">
        <w:rPr>
          <w:rFonts w:cs="Times New Roman"/>
          <w:lang w:val="fr-CA"/>
        </w:rPr>
        <w:t xml:space="preserve">La </w:t>
      </w:r>
      <w:r w:rsidRPr="008C4C16">
        <w:rPr>
          <w:rFonts w:cs="Times New Roman"/>
          <w:i/>
          <w:lang w:val="fr-CA"/>
        </w:rPr>
        <w:t>Loi sur la Cour suprême</w:t>
      </w:r>
      <w:r w:rsidRPr="008C4C16">
        <w:rPr>
          <w:rFonts w:cs="Times New Roman"/>
          <w:lang w:val="fr-CA"/>
        </w:rPr>
        <w:t xml:space="preserve"> prévoit que trois des neuf juges de la Cour suprême</w:t>
      </w:r>
      <w:r w:rsidRPr="008C4C16">
        <w:rPr>
          <w:rFonts w:cs="Times New Roman"/>
          <w:i/>
          <w:lang w:val="fr-CA"/>
        </w:rPr>
        <w:t xml:space="preserve"> </w:t>
      </w:r>
      <w:r w:rsidRPr="008C4C16">
        <w:rPr>
          <w:rFonts w:cs="Times New Roman"/>
          <w:lang w:val="fr-CA"/>
        </w:rPr>
        <w:t>du Canada sont choisis « parmi les juges de la Cour d’appel ou de la Cour supérieure de la province de Québec ou parmi les avocats de celle</w:t>
      </w:r>
      <w:r w:rsidRPr="008C4C16">
        <w:rPr>
          <w:rFonts w:cs="Times New Roman"/>
          <w:lang w:val="fr-CA"/>
        </w:rPr>
        <w:noBreakHyphen/>
        <w:t>ci » : L.R.C. 1985, ch. S</w:t>
      </w:r>
      <w:r w:rsidRPr="008C4C16">
        <w:rPr>
          <w:rFonts w:cs="Times New Roman"/>
          <w:lang w:val="fr-CA"/>
        </w:rPr>
        <w:noBreakHyphen/>
        <w:t>26,</w:t>
      </w:r>
      <w:r w:rsidRPr="008C4C16">
        <w:rPr>
          <w:rFonts w:cs="Times New Roman"/>
          <w:i/>
          <w:lang w:val="fr-CA"/>
        </w:rPr>
        <w:t xml:space="preserve"> </w:t>
      </w:r>
      <w:r w:rsidRPr="008C4C16">
        <w:rPr>
          <w:rFonts w:cs="Times New Roman"/>
          <w:lang w:val="fr-CA"/>
        </w:rPr>
        <w:t>art. 6.  Le renvoi porte sur deux aspects des conditions de nomination à ces trois postes de juge réservés pour le Québec.</w:t>
      </w:r>
    </w:p>
    <w:p w:rsidR="008B29FB" w:rsidRPr="008C4C16" w:rsidRDefault="008B29FB" w:rsidP="006B5FE2">
      <w:pPr>
        <w:pStyle w:val="ParaNoNdepar-AltN"/>
        <w:rPr>
          <w:rFonts w:cs="Times New Roman"/>
          <w:lang w:val="fr-CA"/>
        </w:rPr>
      </w:pPr>
      <w:r w:rsidRPr="008C4C16">
        <w:rPr>
          <w:rFonts w:cs="Times New Roman"/>
          <w:lang w:val="fr-CA"/>
        </w:rPr>
        <w:t>Dans la première question, on nous demande si une personne qui a autrefois été inscrite pendant au moins 10 ans au Barreau du Québec répond aux conditions de nomination pour être choisie « parmi les avocats de » cette province au sens de l’art. 6.  La deuxième question se posera si la première reçoit une réponse négative.  Nous devrons alors déterminer si le Parlement peut légiférer pour permettre la nomination d’une telle personne à l’un des trois postes de juge de la Cour réservés pour le Québec.  La réponse à ces questions — qui soulèvent à première vue des questions d’interprétation législative — implique des problèmes plus fondamentaux sur la composition de la Cour et la place qu’elle occupe dans les ordres juridique et constitutionnel du Canada.</w:t>
      </w:r>
    </w:p>
    <w:p w:rsidR="008B29FB" w:rsidRPr="008C4C16" w:rsidRDefault="008B29FB" w:rsidP="006B5FE2">
      <w:pPr>
        <w:pStyle w:val="ParaNoNdepar-AltN"/>
        <w:rPr>
          <w:rFonts w:cs="Times New Roman"/>
          <w:lang w:val="fr-CA"/>
        </w:rPr>
      </w:pPr>
      <w:r w:rsidRPr="008C4C16">
        <w:rPr>
          <w:rFonts w:cs="Times New Roman"/>
          <w:lang w:val="fr-CA"/>
        </w:rPr>
        <w:t xml:space="preserve">Ces questions se présentent dans le contexte de la nomination, en vertu de l’art. 6, de l’honorable Marc Nadon, juge surnuméraire de la Cour d’appel fédérale.  Le juge Nadon a déjà été inscrit au Barreau du Québec pendant plus de 10 ans, mais </w:t>
      </w:r>
      <w:r w:rsidRPr="008C4C16">
        <w:rPr>
          <w:rFonts w:cs="Times New Roman"/>
          <w:lang w:val="fr-CA"/>
        </w:rPr>
        <w:lastRenderedPageBreak/>
        <w:t xml:space="preserve">ne l’était plus au moment de sa nomination.  Comme il n’était un juge ni de la Cour d’appel ni de la Cour supérieure de la province de Québec, il ne pouvait pas être nommé à ce titre.  Il s’agit donc de déterminer plus précisément s’il était admissible à une nomination à titre de personne qui a été autrefois membre du Barreau du Québec. </w:t>
      </w:r>
    </w:p>
    <w:p w:rsidR="008B29FB" w:rsidRPr="008C4C16" w:rsidRDefault="008B29FB" w:rsidP="006B5FE2">
      <w:pPr>
        <w:pStyle w:val="ParaNoNdepar-AltN"/>
        <w:rPr>
          <w:rFonts w:cs="Times New Roman"/>
          <w:lang w:val="fr-CA"/>
        </w:rPr>
      </w:pPr>
      <w:r w:rsidRPr="008C4C16">
        <w:rPr>
          <w:rFonts w:cs="Times New Roman"/>
          <w:lang w:val="fr-CA"/>
        </w:rPr>
        <w:t xml:space="preserve">À notre avis, il faut répondre à cette question par la négative : une personne actuellement juge à la Cour d’appel fédérale n’est pas admissible à </w:t>
      </w:r>
      <w:r>
        <w:rPr>
          <w:rFonts w:cs="Times New Roman"/>
          <w:lang w:val="fr-CA"/>
        </w:rPr>
        <w:t>être nommée</w:t>
      </w:r>
      <w:r w:rsidRPr="008C4C16">
        <w:rPr>
          <w:rFonts w:cs="Times New Roman"/>
          <w:lang w:val="fr-CA"/>
        </w:rPr>
        <w:t xml:space="preserve"> en vertu de l’art. 6 «</w:t>
      </w:r>
      <w:r>
        <w:rPr>
          <w:rFonts w:cs="Times New Roman"/>
          <w:lang w:val="fr-CA"/>
        </w:rPr>
        <w:t> </w:t>
      </w:r>
      <w:r w:rsidRPr="008C4C16">
        <w:rPr>
          <w:rFonts w:cs="Times New Roman"/>
          <w:lang w:val="fr-CA"/>
        </w:rPr>
        <w:t>parmi les avocats de » la province de Québec.  Ces termes</w:t>
      </w:r>
      <w:r>
        <w:rPr>
          <w:rFonts w:cs="Times New Roman"/>
          <w:lang w:val="fr-CA"/>
        </w:rPr>
        <w:t xml:space="preserve"> </w:t>
      </w:r>
      <w:r w:rsidRPr="008C4C16">
        <w:rPr>
          <w:rFonts w:cs="Times New Roman"/>
          <w:lang w:val="fr-CA"/>
        </w:rPr>
        <w:t xml:space="preserve">exigent que la personne nommée soit un avocat inscrit au Barreau du Québec pendant au moins 10 ans au moment de sa nomination. </w:t>
      </w:r>
    </w:p>
    <w:p w:rsidR="008B29FB" w:rsidRPr="008C4C16" w:rsidRDefault="008B29FB" w:rsidP="006B5FE2">
      <w:pPr>
        <w:pStyle w:val="ParaNoNdepar-AltN"/>
        <w:spacing w:before="0"/>
        <w:rPr>
          <w:rFonts w:cs="Times New Roman"/>
          <w:lang w:val="fr-CA"/>
        </w:rPr>
      </w:pPr>
      <w:r w:rsidRPr="008C4C16">
        <w:rPr>
          <w:rFonts w:cs="Times New Roman"/>
          <w:lang w:val="fr-CA"/>
        </w:rPr>
        <w:t>Quant à la question du pouvoir du Parlement de légiférer pour imposer une interprétation de l’art. 6 et permettre ainsi la nomination d’un ancien membre du Barreau du Québec à l’un des postes de juge de la Cour réservés pour le Québec, nous sommes d’avis qu’il faut aussi y répondre par la négative. Les conditions de nomination fixées à l’art. 6 portent sur la composition de la Cour et bénéficient à ce titre d’une protection constitutionnelle.  Selon l’al. 41</w:t>
      </w:r>
      <w:r w:rsidRPr="008C4C16">
        <w:rPr>
          <w:rFonts w:cs="Times New Roman"/>
          <w:i/>
          <w:lang w:val="fr-CA"/>
        </w:rPr>
        <w:t>d</w:t>
      </w:r>
      <w:r w:rsidRPr="008C4C16">
        <w:rPr>
          <w:rFonts w:cs="Times New Roman"/>
          <w:lang w:val="fr-CA"/>
        </w:rPr>
        <w:t xml:space="preserve">) de la </w:t>
      </w:r>
      <w:r w:rsidRPr="008C4C16">
        <w:rPr>
          <w:rFonts w:cs="Times New Roman"/>
          <w:i/>
          <w:lang w:val="fr-CA"/>
        </w:rPr>
        <w:t>Loi constitutionnelle de 1982</w:t>
      </w:r>
      <w:r w:rsidRPr="008C4C16">
        <w:rPr>
          <w:rFonts w:cs="Times New Roman"/>
          <w:lang w:val="fr-CA"/>
        </w:rPr>
        <w:t xml:space="preserve">, toute modification portant sur la composition de la Cour suprême du Canada doit se faire par proclamation du gouverneur général sous le grand sceau du Canada, autorisée par des résolutions du Sénat, de la Chambre des communes et de l’assemblée législative de chaque province. </w:t>
      </w:r>
    </w:p>
    <w:p w:rsidR="008B29FB" w:rsidRPr="008C4C16" w:rsidRDefault="008B29FB" w:rsidP="006B5FE2">
      <w:pPr>
        <w:pStyle w:val="ParaNoNdepar-AltN"/>
        <w:rPr>
          <w:rFonts w:cs="Times New Roman"/>
          <w:lang w:val="fr-CA"/>
        </w:rPr>
      </w:pPr>
      <w:r w:rsidRPr="008C4C16">
        <w:rPr>
          <w:rFonts w:cs="Times New Roman"/>
          <w:lang w:val="fr-CA"/>
        </w:rPr>
        <w:t xml:space="preserve">Ces conclusions signifient, concrètement, que la nomination du juge Nadon et son assermentation comme juge de la Cour sont nulles </w:t>
      </w:r>
      <w:r w:rsidRPr="008C4C16">
        <w:rPr>
          <w:rFonts w:cs="Times New Roman"/>
          <w:i/>
          <w:lang w:val="fr-CA"/>
        </w:rPr>
        <w:t>ab initio</w:t>
      </w:r>
      <w:r w:rsidRPr="008C4C16">
        <w:rPr>
          <w:rFonts w:cs="Times New Roman"/>
          <w:lang w:val="fr-CA"/>
        </w:rPr>
        <w:t>.</w:t>
      </w:r>
      <w:r w:rsidRPr="008C4C16">
        <w:rPr>
          <w:rFonts w:cs="Times New Roman"/>
          <w:i/>
          <w:lang w:val="fr-CA"/>
        </w:rPr>
        <w:t xml:space="preserve">  </w:t>
      </w:r>
      <w:r w:rsidRPr="008C4C16">
        <w:rPr>
          <w:rFonts w:cs="Times New Roman"/>
          <w:lang w:val="fr-CA"/>
        </w:rPr>
        <w:t>Le juge Nadon demeure juge surnuméraire de la Cour d’appel fédérale</w:t>
      </w:r>
      <w:r w:rsidRPr="008C4C16">
        <w:rPr>
          <w:rFonts w:cs="Times New Roman"/>
          <w:i/>
          <w:lang w:val="fr-CA"/>
        </w:rPr>
        <w:t xml:space="preserve">. </w:t>
      </w:r>
    </w:p>
    <w:p w:rsidR="008B29FB" w:rsidRPr="008C4C16" w:rsidRDefault="008B29FB" w:rsidP="006B5FE2">
      <w:pPr>
        <w:pStyle w:val="Title1LevelTitre1Niveau-AltL"/>
        <w:keepNext w:val="0"/>
        <w:rPr>
          <w:rFonts w:cs="Times New Roman"/>
          <w:lang w:val="fr-CA"/>
        </w:rPr>
      </w:pPr>
      <w:r w:rsidRPr="008C4C16">
        <w:rPr>
          <w:rFonts w:cs="Times New Roman"/>
          <w:lang w:val="fr-CA"/>
        </w:rPr>
        <w:lastRenderedPageBreak/>
        <w:t>Les questions soumises par renvoi</w:t>
      </w:r>
    </w:p>
    <w:p w:rsidR="008B29FB" w:rsidRPr="008C4C16" w:rsidRDefault="008B29FB" w:rsidP="006B5FE2">
      <w:pPr>
        <w:pStyle w:val="ParaNoNdepar-AltN"/>
        <w:rPr>
          <w:rFonts w:cs="Times New Roman"/>
          <w:lang w:val="fr-CA"/>
        </w:rPr>
      </w:pPr>
      <w:r w:rsidRPr="008C4C16">
        <w:rPr>
          <w:rFonts w:cs="Times New Roman"/>
          <w:lang w:val="fr-CA"/>
        </w:rPr>
        <w:t>Le 22 octobre 2013, le gouverneur général en conseil a pris le décret C.P. 2013</w:t>
      </w:r>
      <w:r w:rsidRPr="008C4C16">
        <w:rPr>
          <w:rFonts w:cs="Times New Roman"/>
          <w:lang w:val="fr-CA"/>
        </w:rPr>
        <w:noBreakHyphen/>
        <w:t xml:space="preserve">1105 en vertu de l’art. 53 de la </w:t>
      </w:r>
      <w:r w:rsidRPr="008C4C16">
        <w:rPr>
          <w:rFonts w:cs="Times New Roman"/>
          <w:i/>
          <w:lang w:val="fr-CA"/>
        </w:rPr>
        <w:t>Loi sur la Cour suprême</w:t>
      </w:r>
      <w:r w:rsidRPr="008C4C16">
        <w:rPr>
          <w:rFonts w:cs="Times New Roman"/>
          <w:lang w:val="fr-CA"/>
        </w:rPr>
        <w:t xml:space="preserve"> afin de soumettre les questions suivantes au jugement de la Cour :</w:t>
      </w:r>
      <w:r w:rsidRPr="008C4C16">
        <w:rPr>
          <w:rFonts w:cs="Times New Roman"/>
          <w:i/>
          <w:lang w:val="fr-CA"/>
        </w:rPr>
        <w:t xml:space="preserve"> </w:t>
      </w:r>
      <w:r w:rsidRPr="008C4C16">
        <w:rPr>
          <w:rFonts w:cs="Times New Roman"/>
          <w:lang w:val="fr-CA"/>
        </w:rPr>
        <w:t xml:space="preserve"> </w:t>
      </w:r>
    </w:p>
    <w:p w:rsidR="008B29FB" w:rsidRPr="008C4C16" w:rsidRDefault="00BF1640" w:rsidP="00BF1640">
      <w:pPr>
        <w:pStyle w:val="Citation-AltC"/>
        <w:tabs>
          <w:tab w:val="left" w:pos="1440"/>
        </w:tabs>
        <w:spacing w:after="240"/>
        <w:ind w:left="1170"/>
        <w:contextualSpacing w:val="0"/>
        <w:rPr>
          <w:lang w:val="fr-CA"/>
        </w:rPr>
      </w:pPr>
      <w:r>
        <w:rPr>
          <w:lang w:val="fr-CA"/>
        </w:rPr>
        <w:t>1.</w:t>
      </w:r>
      <w:r>
        <w:rPr>
          <w:lang w:val="fr-CA"/>
        </w:rPr>
        <w:tab/>
      </w:r>
      <w:r w:rsidR="008B29FB" w:rsidRPr="008C4C16">
        <w:rPr>
          <w:lang w:val="fr-CA"/>
        </w:rPr>
        <w:t>Une personne qui a autrefois été inscrite comme avocat pendant au moins dix ans au Barreau du Québec peut</w:t>
      </w:r>
      <w:r w:rsidR="008B29FB" w:rsidRPr="008C4C16">
        <w:rPr>
          <w:lang w:val="fr-CA"/>
        </w:rPr>
        <w:noBreakHyphen/>
        <w:t xml:space="preserve">elle être nommée à la Cour suprême du Canada à titre de juge de la Cour suprême pour le Québec conformément aux articles 5 et 6 de la </w:t>
      </w:r>
      <w:r w:rsidR="008B29FB" w:rsidRPr="008C4C16">
        <w:rPr>
          <w:i/>
          <w:lang w:val="fr-CA"/>
        </w:rPr>
        <w:t>Loi sur la Cour suprême</w:t>
      </w:r>
      <w:r w:rsidR="008B29FB" w:rsidRPr="008C4C16">
        <w:rPr>
          <w:lang w:val="fr-CA"/>
        </w:rPr>
        <w:t>?</w:t>
      </w:r>
    </w:p>
    <w:p w:rsidR="008B29FB" w:rsidRPr="008C4C16" w:rsidRDefault="00BF1640" w:rsidP="0077155D">
      <w:pPr>
        <w:pStyle w:val="Citation-AltC"/>
        <w:tabs>
          <w:tab w:val="left" w:pos="1440"/>
        </w:tabs>
        <w:contextualSpacing w:val="0"/>
        <w:rPr>
          <w:lang w:val="fr-CA"/>
        </w:rPr>
      </w:pPr>
      <w:r>
        <w:rPr>
          <w:lang w:val="fr-CA"/>
        </w:rPr>
        <w:t xml:space="preserve">2. </w:t>
      </w:r>
      <w:r>
        <w:rPr>
          <w:lang w:val="fr-CA"/>
        </w:rPr>
        <w:tab/>
      </w:r>
      <w:r w:rsidR="008B29FB" w:rsidRPr="008C4C16">
        <w:rPr>
          <w:lang w:val="fr-CA"/>
        </w:rPr>
        <w:t>Le Parlement peut</w:t>
      </w:r>
      <w:r w:rsidR="008B29FB" w:rsidRPr="008C4C16">
        <w:rPr>
          <w:lang w:val="fr-CA"/>
        </w:rPr>
        <w:noBreakHyphen/>
        <w:t xml:space="preserve">il légiférer pour exiger, à titre de condition de sa nomination au poste de juge de la Cour suprême du Canada, qu’une personne soit ou ait été inscrite comme avocat au barreau d’une province pendant au moins dix ans ou adopter des dispositions déclaratoires telles que celles prévues aux articles 471 et 472 du projet de loi intitulé </w:t>
      </w:r>
      <w:r w:rsidR="008B29FB" w:rsidRPr="008C4C16">
        <w:rPr>
          <w:i/>
          <w:lang w:val="fr-CA"/>
        </w:rPr>
        <w:t>Loi n</w:t>
      </w:r>
      <w:r w:rsidR="008B29FB" w:rsidRPr="008C4C16">
        <w:rPr>
          <w:i/>
          <w:vertAlign w:val="superscript"/>
          <w:lang w:val="fr-CA"/>
        </w:rPr>
        <w:t>o</w:t>
      </w:r>
      <w:r w:rsidR="008B29FB" w:rsidRPr="008C4C16">
        <w:rPr>
          <w:i/>
          <w:lang w:val="fr-CA"/>
        </w:rPr>
        <w:t> 2 sur le plan d’action économique de 2013</w:t>
      </w:r>
      <w:r>
        <w:rPr>
          <w:lang w:val="fr-CA"/>
        </w:rPr>
        <w:t>, ci-annexé</w:t>
      </w:r>
      <w:r w:rsidR="008B29FB" w:rsidRPr="008C4C16">
        <w:rPr>
          <w:lang w:val="fr-CA"/>
        </w:rPr>
        <w:t>?</w:t>
      </w:r>
    </w:p>
    <w:p w:rsidR="008B29FB" w:rsidRPr="008C4C16" w:rsidRDefault="008B29FB" w:rsidP="006B5FE2">
      <w:pPr>
        <w:pStyle w:val="ParaNoNdepar-AltN"/>
        <w:rPr>
          <w:rFonts w:cs="Times New Roman"/>
          <w:lang w:val="fr-CA"/>
        </w:rPr>
      </w:pPr>
      <w:r w:rsidRPr="008C4C16">
        <w:rPr>
          <w:rFonts w:cs="Times New Roman"/>
          <w:lang w:val="fr-CA"/>
        </w:rPr>
        <w:t xml:space="preserve">Ces questions portent sur l’interprétation juste des art. 5 et 6 de la </w:t>
      </w:r>
      <w:r w:rsidRPr="008C4C16">
        <w:rPr>
          <w:rFonts w:cs="Times New Roman"/>
          <w:i/>
          <w:lang w:val="fr-CA"/>
        </w:rPr>
        <w:t>Loi sur la Cour suprême</w:t>
      </w:r>
      <w:r w:rsidRPr="008C4C16">
        <w:rPr>
          <w:rFonts w:cs="Times New Roman"/>
          <w:lang w:val="fr-CA"/>
        </w:rPr>
        <w:t xml:space="preserve"> et sur le pouvoir du Parlement de les modifier.</w:t>
      </w:r>
      <w:r w:rsidRPr="008C4C16">
        <w:rPr>
          <w:rFonts w:cs="Times New Roman"/>
          <w:i/>
          <w:lang w:val="fr-CA"/>
        </w:rPr>
        <w:t xml:space="preserve">  </w:t>
      </w:r>
      <w:r w:rsidRPr="008C4C16">
        <w:rPr>
          <w:rFonts w:cs="Times New Roman"/>
          <w:lang w:val="fr-CA"/>
        </w:rPr>
        <w:t>Notre avis, donné en vertu du par. 53(4) de la Loi, se limite aux questions de droit et de compétence qu’il faut nécessairement trancher pour y répondre.  On ne nous demande pas notre avis et nous ne nous prononçons pas sur les avantages ou les inconvénients des conditions de nomination codifiées aux art. 5 et 6 de la Loi</w:t>
      </w:r>
      <w:r w:rsidRPr="008C4C16">
        <w:rPr>
          <w:rFonts w:cs="Times New Roman"/>
          <w:i/>
          <w:lang w:val="fr-CA"/>
        </w:rPr>
        <w:t xml:space="preserve"> </w:t>
      </w:r>
      <w:r w:rsidRPr="008C4C16">
        <w:rPr>
          <w:rFonts w:cs="Times New Roman"/>
          <w:lang w:val="fr-CA"/>
        </w:rPr>
        <w:t xml:space="preserve">ni sur les modifications qui pourraient y être apportées. </w:t>
      </w:r>
    </w:p>
    <w:p w:rsidR="008B29FB" w:rsidRPr="008C4C16" w:rsidRDefault="008B29FB" w:rsidP="006B5FE2">
      <w:pPr>
        <w:pStyle w:val="Title1LevelTitre1Niveau-AltL"/>
        <w:keepNext w:val="0"/>
        <w:rPr>
          <w:rFonts w:cs="Times New Roman"/>
          <w:lang w:val="fr-CA"/>
        </w:rPr>
      </w:pPr>
      <w:r w:rsidRPr="008C4C16">
        <w:rPr>
          <w:rFonts w:cs="Times New Roman"/>
          <w:lang w:val="fr-CA"/>
        </w:rPr>
        <w:t>Contexte</w:t>
      </w:r>
    </w:p>
    <w:p w:rsidR="008B29FB" w:rsidRPr="008C4C16" w:rsidRDefault="008B29FB" w:rsidP="006B5FE2">
      <w:pPr>
        <w:pStyle w:val="ParaNoNdepar-AltN"/>
        <w:rPr>
          <w:rFonts w:cs="Times New Roman"/>
          <w:lang w:val="fr-CA"/>
        </w:rPr>
      </w:pPr>
      <w:r w:rsidRPr="008C4C16">
        <w:rPr>
          <w:rFonts w:cs="Times New Roman"/>
          <w:lang w:val="fr-CA"/>
        </w:rPr>
        <w:t>Le 30 septembre 2013, le premier ministre du Canada a annoncé la nomination à la Cour suprême du Canada du juge Marc Nadon, juge surnuméraire de la Cour d’appel fédérale.  Le 3 octobre 2013, le juge Nadon</w:t>
      </w:r>
      <w:r>
        <w:rPr>
          <w:rFonts w:cs="Times New Roman"/>
          <w:lang w:val="fr-CA"/>
        </w:rPr>
        <w:t xml:space="preserve"> </w:t>
      </w:r>
      <w:r w:rsidRPr="008C4C16">
        <w:rPr>
          <w:rFonts w:cs="Times New Roman"/>
          <w:lang w:val="fr-CA"/>
        </w:rPr>
        <w:t xml:space="preserve">a été nommé juge à la </w:t>
      </w:r>
      <w:r w:rsidRPr="008C4C16">
        <w:rPr>
          <w:rFonts w:cs="Times New Roman"/>
          <w:lang w:val="fr-CA"/>
        </w:rPr>
        <w:lastRenderedPageBreak/>
        <w:t>Cour suprême du Canada par le décret C.P. 2013</w:t>
      </w:r>
      <w:r w:rsidRPr="008C4C16">
        <w:rPr>
          <w:rFonts w:cs="Times New Roman"/>
          <w:lang w:val="fr-CA"/>
        </w:rPr>
        <w:noBreakHyphen/>
        <w:t xml:space="preserve">1050, afin de remplacer le juge Morris Fish à titre de l’un des trois juges provenant du Québec nommés conformément à l’art. 6 de la </w:t>
      </w:r>
      <w:r w:rsidRPr="008C4C16">
        <w:rPr>
          <w:rFonts w:cs="Times New Roman"/>
          <w:i/>
          <w:lang w:val="fr-CA"/>
        </w:rPr>
        <w:t xml:space="preserve">Loi sur la Cour suprême.  </w:t>
      </w:r>
      <w:r w:rsidRPr="008C4C16">
        <w:rPr>
          <w:rFonts w:cs="Times New Roman"/>
          <w:lang w:val="fr-CA"/>
        </w:rPr>
        <w:t>Le juge Nadon a prêté serment comme juge de la Cour le 7 octobre 2013, en avant</w:t>
      </w:r>
      <w:r w:rsidRPr="008C4C16">
        <w:rPr>
          <w:rFonts w:cs="Times New Roman"/>
          <w:lang w:val="fr-CA"/>
        </w:rPr>
        <w:noBreakHyphen/>
        <w:t>midi.</w:t>
      </w:r>
    </w:p>
    <w:p w:rsidR="008B29FB" w:rsidRPr="008C4C16" w:rsidRDefault="008B29FB" w:rsidP="006B5FE2">
      <w:pPr>
        <w:pStyle w:val="ParaNoNdepar-AltN"/>
        <w:rPr>
          <w:rFonts w:cs="Times New Roman"/>
          <w:lang w:val="fr-CA"/>
        </w:rPr>
      </w:pPr>
      <w:r w:rsidRPr="008C4C16">
        <w:rPr>
          <w:rFonts w:cs="Times New Roman"/>
          <w:lang w:val="fr-CA"/>
        </w:rPr>
        <w:t>Le même jour, cette nomination a été contestée par une requête présentée devant la Cour fédérale du Canada : dossier de la Cour fédérale n</w:t>
      </w:r>
      <w:r w:rsidRPr="008C4C16">
        <w:rPr>
          <w:rFonts w:cs="Times New Roman"/>
          <w:vertAlign w:val="superscript"/>
          <w:lang w:val="fr-CA"/>
        </w:rPr>
        <w:t>o</w:t>
      </w:r>
      <w:r w:rsidRPr="008C4C16">
        <w:rPr>
          <w:rFonts w:cs="Times New Roman"/>
          <w:lang w:val="fr-CA"/>
        </w:rPr>
        <w:t> T</w:t>
      </w:r>
      <w:r w:rsidRPr="008C4C16">
        <w:rPr>
          <w:rFonts w:cs="Times New Roman"/>
          <w:lang w:val="fr-CA"/>
        </w:rPr>
        <w:noBreakHyphen/>
        <w:t>1657</w:t>
      </w:r>
      <w:r w:rsidRPr="008C4C16">
        <w:rPr>
          <w:rFonts w:cs="Times New Roman"/>
          <w:lang w:val="fr-CA"/>
        </w:rPr>
        <w:noBreakHyphen/>
        <w:t xml:space="preserve">13.  Le juge Nadon a alors décidé de ne pas participer aux dossiers examinés par la Cour. </w:t>
      </w:r>
    </w:p>
    <w:p w:rsidR="008B29FB" w:rsidRPr="008C4C16" w:rsidRDefault="008B29FB" w:rsidP="006B5FE2">
      <w:pPr>
        <w:pStyle w:val="ParaNoNdepar-AltN"/>
        <w:rPr>
          <w:rFonts w:cs="Times New Roman"/>
          <w:lang w:val="fr-CA"/>
        </w:rPr>
      </w:pPr>
      <w:r w:rsidRPr="008C4C16">
        <w:rPr>
          <w:rFonts w:cs="Times New Roman"/>
          <w:lang w:val="fr-CA"/>
        </w:rPr>
        <w:t xml:space="preserve">Le 22 octobre 2013, le gouverneur général en conseil a soumis les deux questions énoncées précédemment au jugement de la Cour en vertu de l’art. 53 de la </w:t>
      </w:r>
      <w:r w:rsidRPr="008C4C16">
        <w:rPr>
          <w:rFonts w:cs="Times New Roman"/>
          <w:i/>
          <w:lang w:val="fr-CA"/>
        </w:rPr>
        <w:t xml:space="preserve">Loi sur la Cour suprême.  </w:t>
      </w:r>
      <w:r w:rsidRPr="008C4C16">
        <w:rPr>
          <w:rFonts w:cs="Times New Roman"/>
          <w:lang w:val="fr-CA"/>
        </w:rPr>
        <w:t>Le même jour, le projet de loi C</w:t>
      </w:r>
      <w:r w:rsidRPr="008C4C16">
        <w:rPr>
          <w:rFonts w:cs="Times New Roman"/>
          <w:lang w:val="fr-CA"/>
        </w:rPr>
        <w:noBreakHyphen/>
        <w:t xml:space="preserve">4, intitulé </w:t>
      </w:r>
      <w:r w:rsidRPr="008C4C16">
        <w:rPr>
          <w:rFonts w:cs="Times New Roman"/>
          <w:i/>
          <w:lang w:val="fr-CA"/>
        </w:rPr>
        <w:t>Loi n</w:t>
      </w:r>
      <w:r w:rsidRPr="008C4C16">
        <w:rPr>
          <w:rFonts w:cs="Times New Roman"/>
          <w:i/>
          <w:vertAlign w:val="superscript"/>
          <w:lang w:val="fr-CA"/>
        </w:rPr>
        <w:t>o</w:t>
      </w:r>
      <w:r w:rsidRPr="008C4C16">
        <w:rPr>
          <w:rFonts w:cs="Times New Roman"/>
          <w:i/>
          <w:lang w:val="fr-CA"/>
        </w:rPr>
        <w:t> 2 sur le plan d’action économique de 2013</w:t>
      </w:r>
      <w:r w:rsidRPr="008C4C16">
        <w:rPr>
          <w:rFonts w:cs="Times New Roman"/>
          <w:lang w:val="fr-CA"/>
        </w:rPr>
        <w:t>, a été déposé à la Chambre des communes.  Les articles 471 et 472 du projet de loi C</w:t>
      </w:r>
      <w:r w:rsidRPr="008C4C16">
        <w:rPr>
          <w:rFonts w:cs="Times New Roman"/>
          <w:lang w:val="fr-CA"/>
        </w:rPr>
        <w:noBreakHyphen/>
        <w:t xml:space="preserve">4 modifiaient la </w:t>
      </w:r>
      <w:r w:rsidRPr="008C4C16">
        <w:rPr>
          <w:rFonts w:cs="Times New Roman"/>
          <w:i/>
          <w:lang w:val="fr-CA"/>
        </w:rPr>
        <w:t>Loi sur la Cour suprême</w:t>
      </w:r>
      <w:r w:rsidRPr="008C4C16">
        <w:rPr>
          <w:rFonts w:cs="Times New Roman"/>
          <w:lang w:val="fr-CA"/>
        </w:rPr>
        <w:t xml:space="preserve"> par l’adjonction des art. 5.1 et 6.1.  Ces dispositions ont par la suite été adoptées et ont reçu la sanction royale le 12 décembre 2013 : L.C. 2013, ch. 40.  Le nouvel art. 6.1 précise qu’un ancien membre du Barreau du Québec peut être nommé à la Cour en vertu de l’art. 6. </w:t>
      </w:r>
    </w:p>
    <w:p w:rsidR="008B29FB" w:rsidRPr="008C4C16" w:rsidRDefault="008B29FB" w:rsidP="006B5FE2">
      <w:pPr>
        <w:pStyle w:val="ParaNoNdepar-AltN"/>
        <w:rPr>
          <w:rFonts w:cs="Times New Roman"/>
          <w:lang w:val="fr-CA"/>
        </w:rPr>
      </w:pPr>
      <w:r w:rsidRPr="008C4C16">
        <w:rPr>
          <w:rFonts w:cs="Times New Roman"/>
          <w:lang w:val="fr-CA"/>
        </w:rPr>
        <w:t>Les articles 5, 5.1, 6 et 6.1 de la Loi sont actuellement libellés comme suit :</w:t>
      </w:r>
    </w:p>
    <w:p w:rsidR="008B29FB" w:rsidRPr="008C4C16" w:rsidRDefault="008B29FB" w:rsidP="006B5FE2">
      <w:pPr>
        <w:pStyle w:val="Citation-AltC"/>
        <w:tabs>
          <w:tab w:val="left" w:pos="1440"/>
          <w:tab w:val="left" w:pos="1920"/>
        </w:tabs>
        <w:spacing w:after="240"/>
        <w:ind w:hanging="1166"/>
        <w:contextualSpacing w:val="0"/>
        <w:rPr>
          <w:lang w:val="fr-CA"/>
        </w:rPr>
      </w:pPr>
      <w:r w:rsidRPr="008C4C16">
        <w:rPr>
          <w:b/>
          <w:lang w:val="fr-CA"/>
        </w:rPr>
        <w:tab/>
      </w:r>
      <w:r w:rsidRPr="008C4C16">
        <w:rPr>
          <w:b/>
          <w:lang w:val="fr-CA"/>
        </w:rPr>
        <w:tab/>
        <w:t>5.</w:t>
      </w:r>
      <w:r w:rsidRPr="008C4C16">
        <w:rPr>
          <w:lang w:val="fr-CA"/>
        </w:rPr>
        <w:tab/>
        <w:t xml:space="preserve">Les juges sont choisis parmi les juges, actuels ou anciens, d’une cour supérieure provinciale et parmi les avocats inscrits pendant au moins dix ans au barreau d’une province. </w:t>
      </w:r>
    </w:p>
    <w:p w:rsidR="008B29FB" w:rsidRPr="008C4C16" w:rsidRDefault="008B29FB" w:rsidP="006B5FE2">
      <w:pPr>
        <w:pStyle w:val="Citation-AltC"/>
        <w:tabs>
          <w:tab w:val="left" w:pos="1440"/>
          <w:tab w:val="left" w:pos="1920"/>
        </w:tabs>
        <w:spacing w:after="240"/>
        <w:ind w:hanging="1166"/>
        <w:contextualSpacing w:val="0"/>
        <w:rPr>
          <w:lang w:val="fr-CA"/>
        </w:rPr>
      </w:pPr>
      <w:r w:rsidRPr="008C4C16">
        <w:rPr>
          <w:b/>
          <w:lang w:val="fr-CA"/>
        </w:rPr>
        <w:tab/>
      </w:r>
      <w:r w:rsidRPr="008C4C16">
        <w:rPr>
          <w:b/>
          <w:lang w:val="fr-CA"/>
        </w:rPr>
        <w:tab/>
        <w:t>5.1</w:t>
      </w:r>
      <w:r w:rsidRPr="008C4C16">
        <w:rPr>
          <w:b/>
          <w:lang w:val="fr-CA"/>
        </w:rPr>
        <w:tab/>
      </w:r>
      <w:r w:rsidRPr="008C4C16">
        <w:rPr>
          <w:lang w:val="fr-CA"/>
        </w:rPr>
        <w:t xml:space="preserve">Pour l’application de l’article 5, il demeure entendu que les juges peuvent être choisis parmi les personnes qui ont autrefois été inscrites comme avocat pendant au moins dix ans au barreau d’une province. </w:t>
      </w:r>
    </w:p>
    <w:p w:rsidR="008B29FB" w:rsidRPr="008C4C16" w:rsidRDefault="008B29FB" w:rsidP="006B5FE2">
      <w:pPr>
        <w:pStyle w:val="Citation-AltC"/>
        <w:tabs>
          <w:tab w:val="left" w:pos="1440"/>
          <w:tab w:val="left" w:pos="1920"/>
        </w:tabs>
        <w:spacing w:after="240"/>
        <w:ind w:hanging="1166"/>
        <w:contextualSpacing w:val="0"/>
        <w:rPr>
          <w:lang w:val="fr-CA"/>
        </w:rPr>
      </w:pPr>
      <w:r w:rsidRPr="008C4C16">
        <w:rPr>
          <w:b/>
          <w:lang w:val="fr-CA"/>
        </w:rPr>
        <w:lastRenderedPageBreak/>
        <w:tab/>
      </w:r>
      <w:r w:rsidRPr="008C4C16">
        <w:rPr>
          <w:b/>
          <w:lang w:val="fr-CA"/>
        </w:rPr>
        <w:tab/>
        <w:t>6.</w:t>
      </w:r>
      <w:r w:rsidRPr="008C4C16">
        <w:rPr>
          <w:b/>
          <w:lang w:val="fr-CA"/>
        </w:rPr>
        <w:tab/>
      </w:r>
      <w:r w:rsidRPr="008C4C16">
        <w:rPr>
          <w:lang w:val="fr-CA"/>
        </w:rPr>
        <w:t>Au moins trois des juges sont choisis parmi les juges de la Cour d’appel ou de la Cour supérieure de la province de Québec ou parmi les avocats de celle</w:t>
      </w:r>
      <w:r w:rsidRPr="008C4C16">
        <w:rPr>
          <w:lang w:val="fr-CA"/>
        </w:rPr>
        <w:noBreakHyphen/>
        <w:t xml:space="preserve">ci. </w:t>
      </w:r>
    </w:p>
    <w:p w:rsidR="008B29FB" w:rsidRPr="008C4C16" w:rsidRDefault="008B29FB" w:rsidP="006B5FE2">
      <w:pPr>
        <w:pStyle w:val="Citation-AltC"/>
        <w:tabs>
          <w:tab w:val="left" w:pos="1440"/>
          <w:tab w:val="left" w:pos="1920"/>
        </w:tabs>
        <w:ind w:hanging="1166"/>
        <w:contextualSpacing w:val="0"/>
        <w:rPr>
          <w:lang w:val="fr-CA"/>
        </w:rPr>
      </w:pPr>
      <w:r w:rsidRPr="008C4C16">
        <w:rPr>
          <w:b/>
          <w:lang w:val="fr-CA"/>
        </w:rPr>
        <w:tab/>
      </w:r>
      <w:r w:rsidRPr="008C4C16">
        <w:rPr>
          <w:b/>
          <w:lang w:val="fr-CA"/>
        </w:rPr>
        <w:tab/>
        <w:t>6.1</w:t>
      </w:r>
      <w:r w:rsidRPr="008C4C16">
        <w:rPr>
          <w:b/>
          <w:lang w:val="fr-CA"/>
        </w:rPr>
        <w:tab/>
      </w:r>
      <w:r w:rsidRPr="008C4C16">
        <w:rPr>
          <w:lang w:val="fr-CA"/>
        </w:rPr>
        <w:t xml:space="preserve">Pour l’application de l’article 6, il demeure entendu que les juges peuvent être choisis parmi les personnes qui ont autrefois été inscrites comme avocat pendant au moins dix ans au barreau de la province de Québec. </w:t>
      </w:r>
    </w:p>
    <w:p w:rsidR="008B29FB" w:rsidRPr="008C4C16" w:rsidRDefault="008B29FB" w:rsidP="006B5FE2">
      <w:pPr>
        <w:pStyle w:val="Title1LevelTitre1Niveau-AltL"/>
        <w:keepNext w:val="0"/>
        <w:rPr>
          <w:rFonts w:cs="Times New Roman"/>
          <w:lang w:val="fr-CA"/>
        </w:rPr>
      </w:pPr>
      <w:r w:rsidRPr="008C4C16">
        <w:rPr>
          <w:rFonts w:cs="Times New Roman"/>
          <w:lang w:val="fr-CA"/>
        </w:rPr>
        <w:t>Question 1</w:t>
      </w:r>
    </w:p>
    <w:p w:rsidR="008B29FB" w:rsidRPr="008C4C16" w:rsidRDefault="008B29FB" w:rsidP="006B5FE2">
      <w:pPr>
        <w:pStyle w:val="Title2LevelTitre2Niveau"/>
        <w:keepNext w:val="0"/>
        <w:tabs>
          <w:tab w:val="clear" w:pos="5616"/>
        </w:tabs>
        <w:ind w:left="0" w:firstLine="0"/>
        <w:rPr>
          <w:rFonts w:cs="Times New Roman"/>
          <w:lang w:val="fr-CA"/>
        </w:rPr>
      </w:pPr>
      <w:r w:rsidRPr="008C4C16">
        <w:rPr>
          <w:rFonts w:cs="Times New Roman"/>
          <w:lang w:val="fr-CA"/>
        </w:rPr>
        <w:t xml:space="preserve">La </w:t>
      </w:r>
      <w:r w:rsidRPr="008C4C16">
        <w:rPr>
          <w:rFonts w:cs="Times New Roman"/>
        </w:rPr>
        <w:t>question</w:t>
      </w:r>
    </w:p>
    <w:p w:rsidR="008B29FB" w:rsidRPr="008C4C16" w:rsidRDefault="008B29FB" w:rsidP="002D60E5">
      <w:pPr>
        <w:pStyle w:val="Citation-AltC"/>
        <w:numPr>
          <w:ilvl w:val="6"/>
          <w:numId w:val="7"/>
        </w:numPr>
        <w:tabs>
          <w:tab w:val="left" w:pos="630"/>
        </w:tabs>
        <w:ind w:left="630" w:hanging="630"/>
        <w:rPr>
          <w:lang w:val="fr-CA"/>
        </w:rPr>
      </w:pPr>
      <w:r w:rsidRPr="008C4C16">
        <w:rPr>
          <w:lang w:val="fr-CA"/>
        </w:rPr>
        <w:t>Une personne qui a autrefois été inscrite comme avocat pendant au moins dix ans au Barreau du Québec peut</w:t>
      </w:r>
      <w:r w:rsidRPr="008C4C16">
        <w:rPr>
          <w:lang w:val="fr-CA"/>
        </w:rPr>
        <w:noBreakHyphen/>
        <w:t xml:space="preserve">elle être nommée à la Cour suprême du Canada à titre de juge de la Cour suprême pour le Québec conformément aux articles 5 et 6 de la </w:t>
      </w:r>
      <w:r w:rsidRPr="008C4C16">
        <w:rPr>
          <w:i/>
          <w:lang w:val="fr-CA"/>
        </w:rPr>
        <w:t>Loi sur la Cour suprême</w:t>
      </w:r>
      <w:r w:rsidRPr="008C4C16">
        <w:rPr>
          <w:lang w:val="fr-CA"/>
        </w:rPr>
        <w:t>?</w:t>
      </w:r>
    </w:p>
    <w:p w:rsidR="008B29FB" w:rsidRPr="008C4C16" w:rsidRDefault="008B29FB" w:rsidP="006B5FE2">
      <w:pPr>
        <w:pStyle w:val="ParaNoNdepar-AltN"/>
        <w:rPr>
          <w:rFonts w:cs="Times New Roman"/>
          <w:lang w:val="fr-CA"/>
        </w:rPr>
      </w:pPr>
      <w:r w:rsidRPr="008C4C16">
        <w:rPr>
          <w:rFonts w:cs="Times New Roman"/>
          <w:lang w:val="fr-CA"/>
        </w:rPr>
        <w:t xml:space="preserve">L’article 5 de la </w:t>
      </w:r>
      <w:r w:rsidRPr="008C4C16">
        <w:rPr>
          <w:rFonts w:cs="Times New Roman"/>
          <w:i/>
          <w:lang w:val="fr-CA"/>
        </w:rPr>
        <w:t xml:space="preserve">Loi sur la Cour suprême </w:t>
      </w:r>
      <w:r w:rsidRPr="008C4C16">
        <w:rPr>
          <w:rFonts w:cs="Times New Roman"/>
          <w:lang w:val="fr-CA"/>
        </w:rPr>
        <w:t>fixe les conditions générales de nomination à la Cour suprême du Canada en créant quatre groupes de personnes admissibles à une nomination : (1) les juges actuels d’une cour supérieure, et notamment d’u</w:t>
      </w:r>
      <w:r w:rsidR="005D4F09">
        <w:rPr>
          <w:rFonts w:cs="Times New Roman"/>
          <w:lang w:val="fr-CA"/>
        </w:rPr>
        <w:t>ne cour d’appel, d’une province,</w:t>
      </w:r>
      <w:r w:rsidRPr="008C4C16">
        <w:rPr>
          <w:rFonts w:cs="Times New Roman"/>
          <w:lang w:val="fr-CA"/>
        </w:rPr>
        <w:t xml:space="preserve"> (2) les</w:t>
      </w:r>
      <w:r w:rsidR="005D4F09">
        <w:rPr>
          <w:rFonts w:cs="Times New Roman"/>
          <w:lang w:val="fr-CA"/>
        </w:rPr>
        <w:t xml:space="preserve"> anciens juges d’une telle cour,</w:t>
      </w:r>
      <w:r w:rsidRPr="008C4C16">
        <w:rPr>
          <w:rFonts w:cs="Times New Roman"/>
          <w:lang w:val="fr-CA"/>
        </w:rPr>
        <w:t xml:space="preserve"> (3) les avocats actuels inscrits pendant au moins 1</w:t>
      </w:r>
      <w:r w:rsidR="005D4F09">
        <w:rPr>
          <w:rFonts w:cs="Times New Roman"/>
          <w:lang w:val="fr-CA"/>
        </w:rPr>
        <w:t>0 ans au barreau d’une province,</w:t>
      </w:r>
      <w:r w:rsidRPr="008C4C16">
        <w:rPr>
          <w:rFonts w:cs="Times New Roman"/>
          <w:lang w:val="fr-CA"/>
        </w:rPr>
        <w:t xml:space="preserve"> (4) les anciens avocats inscrits au barreau d’une province pendant au moins 10 ans.</w:t>
      </w:r>
    </w:p>
    <w:p w:rsidR="008B29FB" w:rsidRPr="008C4C16" w:rsidRDefault="008B29FB" w:rsidP="006B5FE2">
      <w:pPr>
        <w:pStyle w:val="ParaNoNdepar-AltN"/>
        <w:rPr>
          <w:rFonts w:cs="Times New Roman"/>
          <w:lang w:val="fr-CA"/>
        </w:rPr>
      </w:pPr>
      <w:r w:rsidRPr="008C4C16">
        <w:rPr>
          <w:rFonts w:cs="Times New Roman"/>
          <w:lang w:val="fr-CA"/>
        </w:rPr>
        <w:t xml:space="preserve">L’article 6 de la Loi fixe les conditions particulières auxquelles une personne doit répondre pour être nommée juge de la Cour suprême pour la province de Québec.  Il définit expressément deux catégories de personnes admissibles à une nomination : (1) les juges de la Cour d’appel ou de la Cour supérieure de la province de Québec, et (2) les membres du Barreau du Québec. </w:t>
      </w:r>
    </w:p>
    <w:p w:rsidR="008B29FB" w:rsidRPr="008C4C16" w:rsidRDefault="008B29FB" w:rsidP="006B5FE2">
      <w:pPr>
        <w:pStyle w:val="ParaNoNdepar-AltN"/>
        <w:rPr>
          <w:rFonts w:cs="Times New Roman"/>
          <w:lang w:val="fr-CA"/>
        </w:rPr>
      </w:pPr>
      <w:r w:rsidRPr="008C4C16">
        <w:rPr>
          <w:rFonts w:cs="Times New Roman"/>
          <w:lang w:val="fr-CA"/>
        </w:rPr>
        <w:lastRenderedPageBreak/>
        <w:t xml:space="preserve">Dans le présent renvoi, on nous demande de décider si la deuxième catégorie définie à l’art. 6 englobe </w:t>
      </w:r>
      <w:r w:rsidRPr="008C4C16">
        <w:rPr>
          <w:rFonts w:cs="Times New Roman"/>
          <w:i/>
          <w:lang w:val="fr-CA"/>
        </w:rPr>
        <w:t>à la fois</w:t>
      </w:r>
      <w:r w:rsidRPr="008C4C16">
        <w:rPr>
          <w:rFonts w:cs="Times New Roman"/>
          <w:lang w:val="fr-CA"/>
        </w:rPr>
        <w:t xml:space="preserve"> les avocats actuellement inscrits au Barreau du Québec </w:t>
      </w:r>
      <w:r w:rsidRPr="008C4C16">
        <w:rPr>
          <w:rFonts w:cs="Times New Roman"/>
          <w:i/>
          <w:lang w:val="fr-CA"/>
        </w:rPr>
        <w:t>et</w:t>
      </w:r>
      <w:r w:rsidRPr="008C4C16">
        <w:rPr>
          <w:rFonts w:cs="Times New Roman"/>
          <w:lang w:val="fr-CA"/>
        </w:rPr>
        <w:t xml:space="preserve"> ceux qui y ont autrefois été inscrits, ou si l’admissibilité à une nomination se limite aux membres actuels du barreau.  Le juge Nadon n’appartient pas à la première catégorie — il n’était juge ni de la Cour d’appel ni de la Cour supérieure du Québec — et n’était pas membre du Barreau du Québec au moment de sa nomination. Il a toutefois été autrefois un avocat inscrit au Barreau du Québec pendant plus de 10 ans. Son admissibilité à une nomination dépend donc des limites de la deuxième catégorie — c’est</w:t>
      </w:r>
      <w:r w:rsidRPr="008C4C16">
        <w:rPr>
          <w:rFonts w:cs="Times New Roman"/>
          <w:lang w:val="fr-CA"/>
        </w:rPr>
        <w:noBreakHyphen/>
        <w:t>à</w:t>
      </w:r>
      <w:r w:rsidRPr="008C4C16">
        <w:rPr>
          <w:rFonts w:cs="Times New Roman"/>
          <w:lang w:val="fr-CA"/>
        </w:rPr>
        <w:noBreakHyphen/>
        <w:t xml:space="preserve">dire si une personne peut être nommée à la Cour suprême en vertu de l’art. 6 en sa qualité d’ancien membre du Barreau du Québec. </w:t>
      </w:r>
    </w:p>
    <w:p w:rsidR="008B29FB" w:rsidRPr="008C4C16" w:rsidRDefault="008B29FB" w:rsidP="006B5FE2">
      <w:pPr>
        <w:pStyle w:val="ParaNoNdepar-AltN"/>
        <w:rPr>
          <w:rFonts w:cs="Times New Roman"/>
          <w:lang w:val="fr-CA"/>
        </w:rPr>
      </w:pPr>
      <w:r w:rsidRPr="008C4C16">
        <w:rPr>
          <w:rFonts w:cs="Times New Roman"/>
          <w:lang w:val="fr-CA"/>
        </w:rPr>
        <w:t xml:space="preserve">Le procureur général du Canada soutient que l’art. 5 fixe les critères d’admissibilité généraux et permet de nommer les avocats, actuels et anciens, à la Cour suprême.  Selon lui, l’art. 6 ne restreint pas ces critères ni ne les modifie autrement sur le fond : il a plutôt pour objectif de garantir que les juges nommés pour le Québec remplissent les conditions de nomination générales dans la province de Québec. </w:t>
      </w:r>
    </w:p>
    <w:p w:rsidR="008B29FB" w:rsidRPr="008C4C16" w:rsidRDefault="008B29FB" w:rsidP="006B5FE2">
      <w:pPr>
        <w:pStyle w:val="ParaNoNdepar-AltN"/>
        <w:rPr>
          <w:rFonts w:cs="Times New Roman"/>
          <w:lang w:val="fr-CA"/>
        </w:rPr>
      </w:pPr>
      <w:r w:rsidRPr="008C4C16">
        <w:rPr>
          <w:rFonts w:cs="Times New Roman"/>
          <w:lang w:val="fr-CA"/>
        </w:rPr>
        <w:t xml:space="preserve">À notre avis, l’art. 6 réduit à deux groupes le bassin des personnes admissibles, qui comprend quatre groupes en vertu de l’art. 5.  En précisant que trois juges doivent être choisis parmi les membres d’institutions expressément énumérées, l’art. 6 exige que les personnes nommées aux trois postes de juge réservés pour le Québec soient choisies parmi les membres actuels de ces institutions, en plus de répondre aux conditions générales fixées à l’art. 5. </w:t>
      </w:r>
    </w:p>
    <w:p w:rsidR="008B29FB" w:rsidRPr="008C4C16" w:rsidRDefault="008B29FB" w:rsidP="006B5FE2">
      <w:pPr>
        <w:pStyle w:val="ParaNoNdepar-AltN"/>
        <w:rPr>
          <w:rFonts w:cs="Times New Roman"/>
          <w:lang w:val="fr-CA"/>
        </w:rPr>
      </w:pPr>
      <w:r w:rsidRPr="008C4C16">
        <w:rPr>
          <w:rFonts w:cs="Times New Roman"/>
          <w:lang w:val="fr-CA"/>
        </w:rPr>
        <w:lastRenderedPageBreak/>
        <w:t xml:space="preserve">Notre conclusion s’appuie sur quatre motifs principaux.  Premièrement, le sens ordinaire de l’art. 6 est demeuré constant depuis la version originale de cette disposition édictée en 1875 et il a toujours exclu les anciens avocats.  Deuxièmement, cette interprétation reflète des différences importantes dans la formulation des art. 5 et 6. Troisièmement, cette interprétation de l’art. 6 favorise son double objet qui consiste à garantir que la Cour possède une expertise en droit civil et que les traditions juridiques et les valeurs sociales du Québec y soient représentées </w:t>
      </w:r>
      <w:r w:rsidRPr="008C4C16">
        <w:rPr>
          <w:rFonts w:cs="Times New Roman"/>
          <w:i/>
          <w:lang w:val="fr-CA"/>
        </w:rPr>
        <w:t xml:space="preserve">et </w:t>
      </w:r>
      <w:r w:rsidRPr="008C4C16">
        <w:rPr>
          <w:rFonts w:cs="Times New Roman"/>
          <w:lang w:val="fr-CA"/>
        </w:rPr>
        <w:t>à</w:t>
      </w:r>
      <w:r w:rsidRPr="008C4C16">
        <w:rPr>
          <w:rFonts w:cs="Times New Roman"/>
          <w:i/>
          <w:lang w:val="fr-CA"/>
        </w:rPr>
        <w:t xml:space="preserve"> </w:t>
      </w:r>
      <w:r w:rsidRPr="008C4C16">
        <w:rPr>
          <w:rFonts w:cs="Times New Roman"/>
          <w:lang w:val="fr-CA"/>
        </w:rPr>
        <w:t xml:space="preserve">préserver la confiance du Québec envers la Cour.  Enfin, cette interprétation respecte l’économie générale de la </w:t>
      </w:r>
      <w:r w:rsidRPr="008C4C16">
        <w:rPr>
          <w:rFonts w:cs="Times New Roman"/>
          <w:i/>
          <w:lang w:val="fr-CA"/>
        </w:rPr>
        <w:t xml:space="preserve">Loi sur la Cour suprême </w:t>
      </w:r>
      <w:r w:rsidRPr="008C4C16">
        <w:rPr>
          <w:rFonts w:cs="Times New Roman"/>
          <w:lang w:val="fr-CA"/>
        </w:rPr>
        <w:t xml:space="preserve">au sujet de la nomination de juges suppléants. </w:t>
      </w:r>
    </w:p>
    <w:p w:rsidR="008B29FB" w:rsidRPr="008C4C16" w:rsidRDefault="008B29FB" w:rsidP="006B5FE2">
      <w:pPr>
        <w:pStyle w:val="Title2LevelTitre2Niveau"/>
        <w:keepNext w:val="0"/>
        <w:ind w:left="576" w:hanging="576"/>
        <w:rPr>
          <w:rFonts w:cs="Times New Roman"/>
          <w:lang w:val="fr-CA"/>
        </w:rPr>
      </w:pPr>
      <w:r w:rsidRPr="008C4C16">
        <w:rPr>
          <w:rFonts w:cs="Times New Roman"/>
          <w:lang w:val="fr-CA"/>
        </w:rPr>
        <w:t>Principes généraux d’interprétation</w:t>
      </w:r>
    </w:p>
    <w:p w:rsidR="008B29FB" w:rsidRPr="008C4C16" w:rsidRDefault="008B29FB" w:rsidP="006B5FE2">
      <w:pPr>
        <w:pStyle w:val="ParaNoNdepar-AltN"/>
        <w:rPr>
          <w:rFonts w:cs="Times New Roman"/>
          <w:lang w:val="fr-CA"/>
        </w:rPr>
      </w:pPr>
      <w:r w:rsidRPr="008C4C16">
        <w:rPr>
          <w:rFonts w:cs="Times New Roman"/>
          <w:lang w:val="fr-CA"/>
        </w:rPr>
        <w:t xml:space="preserve"> La </w:t>
      </w:r>
      <w:r w:rsidRPr="008C4C16">
        <w:rPr>
          <w:rFonts w:cs="Times New Roman"/>
          <w:i/>
          <w:lang w:val="fr-CA"/>
        </w:rPr>
        <w:t xml:space="preserve">Loi sur la Cour suprême </w:t>
      </w:r>
      <w:r w:rsidRPr="008C4C16">
        <w:rPr>
          <w:rFonts w:cs="Times New Roman"/>
          <w:lang w:val="fr-CA"/>
        </w:rPr>
        <w:t xml:space="preserve">a été édictée en 1875 à titre de loi ordinaire relevant du pouvoir de légiférer conféré par l’art. 101 de la </w:t>
      </w:r>
      <w:r w:rsidRPr="008C4C16">
        <w:rPr>
          <w:rFonts w:cs="Times New Roman"/>
          <w:i/>
          <w:lang w:val="fr-CA"/>
        </w:rPr>
        <w:t xml:space="preserve">Loi constitutionnelle de 1867 </w:t>
      </w:r>
      <w:r w:rsidRPr="008C4C16">
        <w:rPr>
          <w:rFonts w:cs="Times New Roman"/>
          <w:lang w:val="fr-CA"/>
        </w:rPr>
        <w:t xml:space="preserve">(S.C. 1875, ch. 11).  Toutefois, comme nous l’expliquons plus loin, la Constitution limite maintenant le pouvoir du Parlement de modifier la Loi.  En effet, les art. 5 et 6 de la </w:t>
      </w:r>
      <w:r w:rsidRPr="008C4C16">
        <w:rPr>
          <w:rFonts w:cs="Times New Roman"/>
          <w:i/>
          <w:lang w:val="fr-CA"/>
        </w:rPr>
        <w:t xml:space="preserve">Loi sur la Cour suprême </w:t>
      </w:r>
      <w:r w:rsidRPr="008C4C16">
        <w:rPr>
          <w:rFonts w:cs="Times New Roman"/>
          <w:lang w:val="fr-CA"/>
        </w:rPr>
        <w:t xml:space="preserve">contiennent une caractéristique essentielle de la Cour suprême du Canada — sa composition — que protège la partie V de la </w:t>
      </w:r>
      <w:r w:rsidRPr="008C4C16">
        <w:rPr>
          <w:rFonts w:cs="Times New Roman"/>
          <w:i/>
          <w:lang w:val="fr-CA"/>
        </w:rPr>
        <w:t>Loi constitutionnelle de 1982</w:t>
      </w:r>
      <w:r w:rsidRPr="008C4C16">
        <w:rPr>
          <w:rFonts w:cs="Times New Roman"/>
          <w:lang w:val="fr-CA"/>
        </w:rPr>
        <w:t>.  À ce titre, ils</w:t>
      </w:r>
      <w:r>
        <w:rPr>
          <w:rFonts w:cs="Times New Roman"/>
          <w:lang w:val="fr-CA"/>
        </w:rPr>
        <w:t xml:space="preserve"> </w:t>
      </w:r>
      <w:r w:rsidRPr="008C4C16">
        <w:rPr>
          <w:rFonts w:cs="Times New Roman"/>
          <w:lang w:val="fr-CA"/>
        </w:rPr>
        <w:t xml:space="preserve">doivent être interprétés généreusement en fonction de leur objet et examinés dans leurs contextes linguistique, philosophique et historique : </w:t>
      </w:r>
      <w:r w:rsidRPr="008C4C16">
        <w:rPr>
          <w:rFonts w:cs="Times New Roman"/>
          <w:i/>
          <w:lang w:val="fr-CA"/>
        </w:rPr>
        <w:t>Hunter c. Southam Inc.</w:t>
      </w:r>
      <w:r w:rsidRPr="008C4C16">
        <w:rPr>
          <w:rFonts w:cs="Times New Roman"/>
          <w:lang w:val="fr-CA"/>
        </w:rPr>
        <w:t>, [1984] 2 R.C.S. 145, p. 155</w:t>
      </w:r>
      <w:r w:rsidRPr="008C4C16">
        <w:rPr>
          <w:rFonts w:cs="Times New Roman"/>
          <w:lang w:val="fr-CA"/>
        </w:rPr>
        <w:noBreakHyphen/>
        <w:t xml:space="preserve">156; </w:t>
      </w:r>
      <w:r w:rsidRPr="008C4C16">
        <w:rPr>
          <w:rFonts w:cs="Times New Roman"/>
          <w:i/>
          <w:lang w:val="fr-CA"/>
        </w:rPr>
        <w:t>Edwards c. Attorney</w:t>
      </w:r>
      <w:r w:rsidRPr="008C4C16">
        <w:rPr>
          <w:rFonts w:cs="Times New Roman"/>
          <w:i/>
          <w:lang w:val="fr-CA"/>
        </w:rPr>
        <w:noBreakHyphen/>
        <w:t>General for Canada</w:t>
      </w:r>
      <w:r w:rsidRPr="008C4C16">
        <w:rPr>
          <w:rFonts w:cs="Times New Roman"/>
          <w:lang w:val="fr-CA"/>
        </w:rPr>
        <w:t>, [1930] A.C. 124</w:t>
      </w:r>
      <w:r w:rsidR="007D7718">
        <w:rPr>
          <w:rFonts w:cs="Times New Roman"/>
          <w:lang w:val="fr-CA"/>
        </w:rPr>
        <w:t xml:space="preserve"> (C.P.)</w:t>
      </w:r>
      <w:r w:rsidRPr="008C4C16">
        <w:rPr>
          <w:rFonts w:cs="Times New Roman"/>
          <w:lang w:val="fr-CA"/>
        </w:rPr>
        <w:t xml:space="preserve">, p. 136; </w:t>
      </w:r>
      <w:r w:rsidRPr="008C4C16">
        <w:rPr>
          <w:rFonts w:cs="Times New Roman"/>
          <w:i/>
          <w:lang w:val="fr-CA"/>
        </w:rPr>
        <w:t>R. c. Big M Drug Mart Ltd.</w:t>
      </w:r>
      <w:r w:rsidRPr="008C4C16">
        <w:rPr>
          <w:rFonts w:cs="Times New Roman"/>
          <w:lang w:val="fr-CA"/>
        </w:rPr>
        <w:t>, [1985] 1 R.C.S. 295, p. 344</w:t>
      </w:r>
      <w:r w:rsidRPr="008C4C16">
        <w:rPr>
          <w:rFonts w:cs="Times New Roman"/>
          <w:i/>
          <w:lang w:val="fr-CA"/>
        </w:rPr>
        <w:t>.</w:t>
      </w:r>
    </w:p>
    <w:p w:rsidR="008B29FB" w:rsidRPr="008C4C16" w:rsidRDefault="008B29FB" w:rsidP="006B5FE2">
      <w:pPr>
        <w:pStyle w:val="Title2LevelTitre2Niveau"/>
        <w:keepNext w:val="0"/>
        <w:ind w:left="576" w:hanging="576"/>
        <w:rPr>
          <w:rFonts w:cs="Times New Roman"/>
          <w:lang w:val="fr-CA"/>
        </w:rPr>
      </w:pPr>
      <w:r w:rsidRPr="008C4C16">
        <w:rPr>
          <w:rFonts w:cs="Times New Roman"/>
          <w:lang w:val="fr-CA"/>
        </w:rPr>
        <w:t>Historique législatif des art</w:t>
      </w:r>
      <w:r w:rsidR="00BF1640">
        <w:rPr>
          <w:rFonts w:cs="Times New Roman"/>
          <w:lang w:val="fr-CA"/>
        </w:rPr>
        <w:t>.</w:t>
      </w:r>
      <w:r w:rsidRPr="008C4C16">
        <w:rPr>
          <w:rFonts w:cs="Times New Roman"/>
          <w:lang w:val="fr-CA"/>
        </w:rPr>
        <w:t> 5 et 6</w:t>
      </w:r>
    </w:p>
    <w:p w:rsidR="008B29FB" w:rsidRPr="008C4C16" w:rsidRDefault="008B29FB" w:rsidP="006B5FE2">
      <w:pPr>
        <w:pStyle w:val="ParaNoNdepar-AltN"/>
        <w:rPr>
          <w:rFonts w:cs="Times New Roman"/>
          <w:lang w:val="fr-CA"/>
        </w:rPr>
      </w:pPr>
      <w:r w:rsidRPr="008C4C16">
        <w:rPr>
          <w:rFonts w:cs="Times New Roman"/>
          <w:lang w:val="fr-CA"/>
        </w:rPr>
        <w:lastRenderedPageBreak/>
        <w:t>Les conditions de nomination des juges pour le Québec résultent de l’entente historique qui a permis la création de la Cour en 1875.  Les articles 5 et 6 de la Loi actuelle tirent leur origine de la disposition initiale fixant les conditions de nomination à l’art. 4 de la Loi de 1875.  Il est donc utile d’examiner l’historique législatif</w:t>
      </w:r>
      <w:r w:rsidRPr="008C4C16">
        <w:rPr>
          <w:rFonts w:cs="Times New Roman"/>
          <w:i/>
          <w:lang w:val="fr-CA"/>
        </w:rPr>
        <w:t xml:space="preserve"> </w:t>
      </w:r>
      <w:r w:rsidRPr="008C4C16">
        <w:rPr>
          <w:rFonts w:cs="Times New Roman"/>
          <w:lang w:val="fr-CA"/>
        </w:rPr>
        <w:t>des dispositions fixant ces conditions.  Nous verrons que seule la modification de 1886 a apporté un changement de fond aux conditions générales de nomination à la Cour aujourd’hui énoncées à l’art. 5.  Par ailleurs, aucune modification de fond n’a été apportée aux critères de nomination des juges pour le Québec depuis l’entrée en vigueur de la Loi</w:t>
      </w:r>
      <w:r w:rsidRPr="008C4C16">
        <w:rPr>
          <w:rFonts w:cs="Times New Roman"/>
          <w:i/>
          <w:lang w:val="fr-CA"/>
        </w:rPr>
        <w:t xml:space="preserve"> </w:t>
      </w:r>
      <w:r w:rsidRPr="008C4C16">
        <w:rPr>
          <w:rFonts w:cs="Times New Roman"/>
          <w:lang w:val="fr-CA"/>
        </w:rPr>
        <w:t>en 1875.</w:t>
      </w:r>
      <w:r w:rsidRPr="008C4C16">
        <w:rPr>
          <w:rFonts w:cs="Times New Roman"/>
          <w:i/>
          <w:lang w:val="fr-CA"/>
        </w:rPr>
        <w:t xml:space="preserve"> </w:t>
      </w:r>
    </w:p>
    <w:p w:rsidR="008B29FB" w:rsidRPr="008C4C16" w:rsidRDefault="008B29FB" w:rsidP="006B5FE2">
      <w:pPr>
        <w:pStyle w:val="ParaNoNdepar-AltN"/>
        <w:rPr>
          <w:rFonts w:cs="Times New Roman"/>
          <w:lang w:val="fr-CA"/>
        </w:rPr>
      </w:pPr>
      <w:r w:rsidRPr="008C4C16">
        <w:rPr>
          <w:rFonts w:cs="Times New Roman"/>
          <w:lang w:val="fr-CA"/>
        </w:rPr>
        <w:t>La Loi</w:t>
      </w:r>
      <w:r w:rsidRPr="008C4C16">
        <w:rPr>
          <w:rFonts w:cs="Times New Roman"/>
          <w:i/>
          <w:lang w:val="fr-CA"/>
        </w:rPr>
        <w:t xml:space="preserve"> </w:t>
      </w:r>
      <w:r w:rsidRPr="008C4C16">
        <w:rPr>
          <w:rFonts w:cs="Times New Roman"/>
          <w:lang w:val="fr-CA"/>
        </w:rPr>
        <w:t>de 1875 établissait dans une seule disposition le processus de nomination, le nombre de juges (un juge en chef et cinq juges puînés), les conditions de nomination générales et l’exigence que deux juges proviennent de la magistrature ou du barreau de la province de Québec : art. 4.  Le volet de l’art. 4 à l’origine des art. 4, 5 et 6 de la Loi actuelle était ainsi libellé :</w:t>
      </w:r>
      <w:r w:rsidRPr="008C4C16">
        <w:rPr>
          <w:rFonts w:cs="Times New Roman"/>
          <w:i/>
          <w:lang w:val="fr-CA"/>
        </w:rPr>
        <w:t xml:space="preserve"> </w:t>
      </w:r>
    </w:p>
    <w:p w:rsidR="008B29FB" w:rsidRPr="008C4C16" w:rsidRDefault="008B29FB" w:rsidP="006B5FE2">
      <w:pPr>
        <w:pStyle w:val="Citation-AltC"/>
        <w:tabs>
          <w:tab w:val="left" w:pos="1440"/>
          <w:tab w:val="left" w:pos="1920"/>
        </w:tabs>
        <w:spacing w:after="240"/>
        <w:ind w:hanging="1166"/>
        <w:contextualSpacing w:val="0"/>
        <w:rPr>
          <w:rFonts w:eastAsiaTheme="minorEastAsia"/>
          <w:lang w:val="fr-CA" w:eastAsia="en-US"/>
        </w:rPr>
      </w:pPr>
      <w:r w:rsidRPr="008C4C16">
        <w:rPr>
          <w:rFonts w:eastAsiaTheme="minorEastAsia"/>
          <w:b/>
          <w:lang w:val="fr-CA" w:eastAsia="en-US"/>
        </w:rPr>
        <w:tab/>
      </w:r>
      <w:r w:rsidRPr="008C4C16">
        <w:rPr>
          <w:rFonts w:eastAsiaTheme="minorEastAsia"/>
          <w:b/>
          <w:lang w:val="fr-CA" w:eastAsia="en-US"/>
        </w:rPr>
        <w:tab/>
        <w:t>4.</w:t>
      </w:r>
      <w:r w:rsidRPr="008C4C16">
        <w:rPr>
          <w:rFonts w:eastAsiaTheme="minorEastAsia"/>
          <w:lang w:val="fr-CA" w:eastAsia="en-US"/>
        </w:rPr>
        <w:t xml:space="preserve"> [Qualités exigées du juge en chef et des juges.]  Sa Majesté pourra nommer, par lettres patentes sous le grand sceau du Canada, — comme juge en chef de cette cour, — une personne étant ou ayant été juge de l’une des cours supérieures dans quelqu’une des provinces formant la Puissance du Canada, ou un avocat ayant pratiqué pendant au moins dix ans au barreau de quelqu’une de ces provinces et, — comme juges puînés de cette cour, — cinq personnes </w:t>
      </w:r>
      <w:r w:rsidRPr="008C4C16">
        <w:rPr>
          <w:rFonts w:eastAsiaTheme="minorEastAsia"/>
          <w:u w:val="single"/>
          <w:lang w:val="fr-CA" w:eastAsia="en-US"/>
        </w:rPr>
        <w:t>étant ou ayant été respectivement juges</w:t>
      </w:r>
      <w:r w:rsidRPr="008C4C16">
        <w:rPr>
          <w:rFonts w:eastAsiaTheme="minorEastAsia"/>
          <w:lang w:val="fr-CA" w:eastAsia="en-US"/>
        </w:rPr>
        <w:t xml:space="preserve"> de l’une de ces cours supérieures, </w:t>
      </w:r>
      <w:r w:rsidRPr="008C4C16">
        <w:rPr>
          <w:rFonts w:eastAsiaTheme="minorEastAsia"/>
          <w:u w:val="single"/>
          <w:lang w:val="fr-CA" w:eastAsia="en-US"/>
        </w:rPr>
        <w:t>ou étant avocats</w:t>
      </w:r>
      <w:r w:rsidRPr="008C4C16">
        <w:rPr>
          <w:rFonts w:eastAsiaTheme="minorEastAsia"/>
          <w:lang w:val="fr-CA" w:eastAsia="en-US"/>
        </w:rPr>
        <w:t xml:space="preserve"> de pas moins de dix ans de pratique au barreau de quelqu’une de ces provinces, </w:t>
      </w:r>
      <w:r w:rsidRPr="008C4C16">
        <w:rPr>
          <w:rFonts w:eastAsiaTheme="minorEastAsia"/>
          <w:u w:val="single"/>
          <w:lang w:val="fr-CA" w:eastAsia="en-US"/>
        </w:rPr>
        <w:t>dont deux au moins seront pris parmi les juges de la Cour Supérieure ou de la Cour du Banc de la Reine, ou parmi les procureurs ou avocats de la province de Québec</w:t>
      </w:r>
      <w:r w:rsidRPr="00DB0035">
        <w:rPr>
          <w:rFonts w:eastAsiaTheme="minorEastAsia"/>
          <w:lang w:val="fr-CA" w:eastAsia="en-US"/>
        </w:rPr>
        <w:t>;</w:t>
      </w:r>
    </w:p>
    <w:p w:rsidR="008B29FB" w:rsidRPr="008C4C16" w:rsidRDefault="008B29FB" w:rsidP="006B5FE2">
      <w:pPr>
        <w:pStyle w:val="Citation-AltC"/>
        <w:tabs>
          <w:tab w:val="left" w:pos="1440"/>
          <w:tab w:val="left" w:pos="1920"/>
        </w:tabs>
        <w:ind w:hanging="1166"/>
        <w:contextualSpacing w:val="0"/>
        <w:rPr>
          <w:rFonts w:eastAsiaTheme="minorEastAsia"/>
          <w:lang w:eastAsia="en-US"/>
        </w:rPr>
      </w:pPr>
      <w:r w:rsidRPr="008C4C16">
        <w:rPr>
          <w:rFonts w:eastAsiaTheme="minorEastAsia"/>
          <w:b/>
          <w:lang w:val="fr-CA" w:eastAsia="en-US"/>
        </w:rPr>
        <w:tab/>
      </w:r>
      <w:r w:rsidRPr="008C4C16">
        <w:rPr>
          <w:rFonts w:eastAsiaTheme="minorEastAsia"/>
          <w:b/>
          <w:lang w:val="fr-CA" w:eastAsia="en-US"/>
        </w:rPr>
        <w:tab/>
      </w:r>
      <w:r w:rsidRPr="008C4C16">
        <w:rPr>
          <w:rFonts w:eastAsiaTheme="minorEastAsia"/>
          <w:b/>
          <w:lang w:eastAsia="en-US"/>
        </w:rPr>
        <w:t>4.</w:t>
      </w:r>
      <w:r w:rsidRPr="008C4C16">
        <w:rPr>
          <w:rFonts w:eastAsiaTheme="minorEastAsia"/>
          <w:lang w:eastAsia="en-US"/>
        </w:rPr>
        <w:t xml:space="preserve"> [Qualification of Chief Justice and Judges, respectively.]  Her Majesty may appoint, by letters patent, under the Great Seal of Canada, one person, who is, or has been, a Judge of one of the Superior Courts in any of the Provinces forming part of the Dominion of Canada, or who is a Barrister or Advocate of at least ten years’ standing at the Bar of any </w:t>
      </w:r>
      <w:r w:rsidR="00BF1640">
        <w:rPr>
          <w:rFonts w:eastAsiaTheme="minorEastAsia"/>
          <w:lang w:eastAsia="en-US"/>
        </w:rPr>
        <w:t xml:space="preserve">one </w:t>
      </w:r>
      <w:r w:rsidRPr="008C4C16">
        <w:rPr>
          <w:rFonts w:eastAsiaTheme="minorEastAsia"/>
          <w:lang w:eastAsia="en-US"/>
        </w:rPr>
        <w:lastRenderedPageBreak/>
        <w:t xml:space="preserve">of the said Provinces, to be Chief Justice of the said Court, and five persons </w:t>
      </w:r>
      <w:r w:rsidRPr="008C4C16">
        <w:rPr>
          <w:rFonts w:eastAsiaTheme="minorEastAsia"/>
          <w:u w:val="single"/>
          <w:lang w:eastAsia="en-US"/>
        </w:rPr>
        <w:t>who are, or have been, respectively, Judges</w:t>
      </w:r>
      <w:r w:rsidRPr="008C4C16">
        <w:rPr>
          <w:rFonts w:eastAsiaTheme="minorEastAsia"/>
          <w:lang w:eastAsia="en-US"/>
        </w:rPr>
        <w:t xml:space="preserve"> of one of the said Superior Courts, </w:t>
      </w:r>
      <w:r w:rsidRPr="008C4C16">
        <w:rPr>
          <w:rFonts w:eastAsiaTheme="minorEastAsia"/>
          <w:u w:val="single"/>
          <w:lang w:eastAsia="en-US"/>
        </w:rPr>
        <w:t>or who are Barristers or Advocates</w:t>
      </w:r>
      <w:r w:rsidRPr="008C4C16">
        <w:rPr>
          <w:rFonts w:eastAsiaTheme="minorEastAsia"/>
          <w:lang w:eastAsia="en-US"/>
        </w:rPr>
        <w:t xml:space="preserve"> of at least ten years’ standing at the Bar of one of the said Provinces, to be Puisne Judges of the said Court, </w:t>
      </w:r>
      <w:r w:rsidRPr="008C4C16">
        <w:rPr>
          <w:rFonts w:eastAsiaTheme="minorEastAsia"/>
          <w:u w:val="single"/>
          <w:lang w:eastAsia="en-US"/>
        </w:rPr>
        <w:t>two of whom at least shall be taken from among the judges of the Superior Court or Court of Queen’s Bench or the Barristers or Advocates of the Province of Quebec</w:t>
      </w:r>
      <w:r w:rsidRPr="008C4C16">
        <w:rPr>
          <w:rFonts w:eastAsiaTheme="minorEastAsia"/>
          <w:lang w:eastAsia="en-US"/>
        </w:rPr>
        <w:t xml:space="preserve">; </w:t>
      </w:r>
    </w:p>
    <w:p w:rsidR="008B29FB" w:rsidRPr="008C4C16" w:rsidRDefault="008B29FB" w:rsidP="006B5FE2">
      <w:pPr>
        <w:pStyle w:val="ContinueParaSuitedupar-AltP"/>
        <w:rPr>
          <w:rFonts w:cs="Times New Roman"/>
          <w:lang w:val="fr-CA"/>
        </w:rPr>
      </w:pPr>
      <w:r w:rsidRPr="008C4C16">
        <w:rPr>
          <w:rFonts w:cs="Times New Roman"/>
          <w:lang w:val="fr-CA"/>
        </w:rPr>
        <w:t xml:space="preserve">Selon cette disposition, seules les personnes étant avocats au moment de leur nomination pouvaient être nommées à la Cour, tant pour le Québec que pour le reste du pays. </w:t>
      </w:r>
    </w:p>
    <w:p w:rsidR="008B29FB" w:rsidRPr="008C4C16" w:rsidRDefault="008B29FB" w:rsidP="006B5FE2">
      <w:pPr>
        <w:pStyle w:val="ParaNoNdepar-AltN"/>
        <w:rPr>
          <w:rFonts w:cs="Times New Roman"/>
          <w:lang w:val="fr-CA"/>
        </w:rPr>
      </w:pPr>
      <w:r w:rsidRPr="008C4C16">
        <w:rPr>
          <w:rFonts w:cs="Times New Roman"/>
          <w:lang w:val="fr-CA"/>
        </w:rPr>
        <w:t>Le seul changement de fond aux conditions de nomination a été apporté en 1886 lors de la révision des lois (S.R.C. 1886, ch. 135).  L’article 4 a alors été divisé en plusieurs paragraphes, dont les par. 4(2) et 4(3) qui énonçaient les conditions de nomination générales et, plus particulièrement, les conditions de nomination des juges pour le Québec.  En particulier, la formulation du par. 4(2) (maintenant l’art. 5) a été élargie pour inclure quiconque « sera ou aura été » (“</w:t>
      </w:r>
      <w:r w:rsidRPr="008C4C16">
        <w:rPr>
          <w:rFonts w:cs="Times New Roman"/>
          <w:i/>
          <w:lang w:val="fr-CA"/>
        </w:rPr>
        <w:t>is or has been</w:t>
      </w:r>
      <w:r w:rsidRPr="008C4C16">
        <w:rPr>
          <w:rFonts w:cs="Times New Roman"/>
          <w:lang w:val="fr-CA"/>
        </w:rPr>
        <w:t xml:space="preserve">”) un avocat. Voici les par. 4(2) et 4(3) : </w:t>
      </w:r>
    </w:p>
    <w:p w:rsidR="008B29FB" w:rsidRPr="008C4C16" w:rsidRDefault="008B29FB" w:rsidP="006B5FE2">
      <w:pPr>
        <w:pStyle w:val="Citation-AltC"/>
        <w:tabs>
          <w:tab w:val="left" w:pos="1440"/>
          <w:tab w:val="left" w:pos="1920"/>
        </w:tabs>
        <w:spacing w:after="240"/>
        <w:ind w:hanging="1166"/>
        <w:contextualSpacing w:val="0"/>
        <w:rPr>
          <w:lang w:val="fr-CA"/>
        </w:rPr>
      </w:pPr>
      <w:r w:rsidRPr="008C4C16">
        <w:rPr>
          <w:lang w:val="fr-CA"/>
        </w:rPr>
        <w:tab/>
      </w:r>
      <w:r w:rsidRPr="008C4C16">
        <w:rPr>
          <w:lang w:val="fr-CA"/>
        </w:rPr>
        <w:tab/>
        <w:t>2.</w:t>
      </w:r>
      <w:r w:rsidRPr="008C4C16">
        <w:rPr>
          <w:b/>
          <w:lang w:val="fr-CA"/>
        </w:rPr>
        <w:tab/>
      </w:r>
      <w:r w:rsidRPr="008C4C16">
        <w:rPr>
          <w:lang w:val="fr-CA"/>
        </w:rPr>
        <w:t xml:space="preserve">[Qui pourra être nommé juge.] Pourra être nommé juge de la cour quiconque </w:t>
      </w:r>
      <w:r w:rsidRPr="008C4C16">
        <w:rPr>
          <w:u w:val="single"/>
          <w:lang w:val="fr-CA"/>
        </w:rPr>
        <w:t xml:space="preserve">sera ou aura </w:t>
      </w:r>
      <w:r w:rsidRPr="00DB0035">
        <w:rPr>
          <w:u w:val="single"/>
          <w:lang w:val="fr-CA"/>
        </w:rPr>
        <w:t>été</w:t>
      </w:r>
      <w:r w:rsidRPr="008C4C16">
        <w:rPr>
          <w:lang w:val="fr-CA"/>
        </w:rPr>
        <w:t xml:space="preserve"> juge d’une cour supérieure dans quelqu’une des provinces du Canada, ou un avocat ayant pratiqué pendant au moins dix ans au barreau de quelqu’une de ces provinces</w:t>
      </w:r>
      <w:r w:rsidR="00BF1640">
        <w:rPr>
          <w:lang w:val="fr-CA"/>
        </w:rPr>
        <w:t>.</w:t>
      </w:r>
    </w:p>
    <w:p w:rsidR="008B29FB" w:rsidRPr="008C4C16" w:rsidRDefault="008B29FB" w:rsidP="006B5FE2">
      <w:pPr>
        <w:pStyle w:val="Citation-AltC"/>
        <w:tabs>
          <w:tab w:val="left" w:pos="1440"/>
          <w:tab w:val="left" w:pos="1920"/>
        </w:tabs>
        <w:spacing w:after="240"/>
        <w:ind w:hanging="1166"/>
        <w:contextualSpacing w:val="0"/>
        <w:rPr>
          <w:lang w:val="fr-CA"/>
        </w:rPr>
      </w:pPr>
      <w:r w:rsidRPr="008C4C16">
        <w:rPr>
          <w:lang w:val="fr-CA"/>
        </w:rPr>
        <w:tab/>
      </w:r>
      <w:r w:rsidRPr="008C4C16">
        <w:rPr>
          <w:lang w:val="fr-CA"/>
        </w:rPr>
        <w:tab/>
        <w:t>3.</w:t>
      </w:r>
      <w:r w:rsidRPr="008C4C16">
        <w:rPr>
          <w:b/>
          <w:lang w:val="fr-CA"/>
        </w:rPr>
        <w:tab/>
      </w:r>
      <w:r w:rsidRPr="008C4C16">
        <w:rPr>
          <w:lang w:val="fr-CA"/>
        </w:rPr>
        <w:t xml:space="preserve">[Juges tirés du barreau de Québec.] Au moins deux des juges de la cour </w:t>
      </w:r>
      <w:r w:rsidRPr="008C4C16">
        <w:rPr>
          <w:u w:val="single"/>
          <w:lang w:val="fr-CA"/>
        </w:rPr>
        <w:t>seront pris parmi</w:t>
      </w:r>
      <w:r w:rsidRPr="008C4C16">
        <w:rPr>
          <w:lang w:val="fr-CA"/>
        </w:rPr>
        <w:t xml:space="preserve"> les juges de la cour du Banc de la Reine ou de la cour Supérieure, </w:t>
      </w:r>
      <w:r w:rsidRPr="008C4C16">
        <w:rPr>
          <w:u w:val="single"/>
          <w:lang w:val="fr-CA"/>
        </w:rPr>
        <w:t>ou parmi</w:t>
      </w:r>
      <w:r w:rsidRPr="008C4C16">
        <w:rPr>
          <w:lang w:val="fr-CA"/>
        </w:rPr>
        <w:t xml:space="preserve"> les avocats de la province de Québec</w:t>
      </w:r>
      <w:r w:rsidR="00BF1640">
        <w:rPr>
          <w:lang w:val="fr-CA"/>
        </w:rPr>
        <w:t>.</w:t>
      </w:r>
    </w:p>
    <w:p w:rsidR="008B29FB" w:rsidRPr="008C4C16" w:rsidRDefault="008B29FB" w:rsidP="006B5FE2">
      <w:pPr>
        <w:pStyle w:val="Citation-AltC"/>
        <w:tabs>
          <w:tab w:val="left" w:pos="1440"/>
          <w:tab w:val="left" w:pos="1920"/>
        </w:tabs>
        <w:spacing w:after="240"/>
        <w:ind w:hanging="1166"/>
        <w:contextualSpacing w:val="0"/>
      </w:pPr>
      <w:r w:rsidRPr="008C4C16">
        <w:rPr>
          <w:lang w:val="fr-CA"/>
        </w:rPr>
        <w:tab/>
      </w:r>
      <w:r w:rsidRPr="008C4C16">
        <w:rPr>
          <w:lang w:val="fr-CA"/>
        </w:rPr>
        <w:tab/>
      </w:r>
      <w:r w:rsidRPr="008C4C16">
        <w:t>2.</w:t>
      </w:r>
      <w:r w:rsidRPr="008C4C16">
        <w:tab/>
        <w:t xml:space="preserve">[Who may be appointed judge.] Any person may be appointed a judge of the court </w:t>
      </w:r>
      <w:r w:rsidRPr="008C4C16">
        <w:rPr>
          <w:u w:val="single"/>
        </w:rPr>
        <w:t>who is or has been</w:t>
      </w:r>
      <w:r w:rsidRPr="008C4C16">
        <w:t xml:space="preserve"> a judge of a superior court of any of the Provinces of Canada, or a barrister or advocate of at least ten years’ standing at the bar of any of the said Provinces :</w:t>
      </w:r>
    </w:p>
    <w:p w:rsidR="008B29FB" w:rsidRPr="008C4C16" w:rsidRDefault="008B29FB" w:rsidP="006B5FE2">
      <w:pPr>
        <w:pStyle w:val="Citation-AltC"/>
        <w:tabs>
          <w:tab w:val="left" w:pos="1440"/>
          <w:tab w:val="left" w:pos="1920"/>
        </w:tabs>
        <w:ind w:hanging="1166"/>
        <w:contextualSpacing w:val="0"/>
      </w:pPr>
      <w:r w:rsidRPr="008C4C16">
        <w:tab/>
      </w:r>
      <w:r w:rsidRPr="008C4C16">
        <w:tab/>
        <w:t>3.</w:t>
      </w:r>
      <w:r w:rsidRPr="008C4C16">
        <w:tab/>
        <w:t xml:space="preserve">[Judges from bar of Quebec.] Two at least of the judges of the court </w:t>
      </w:r>
      <w:r w:rsidRPr="008C4C16">
        <w:rPr>
          <w:u w:val="single"/>
        </w:rPr>
        <w:t>shall be appointed from among</w:t>
      </w:r>
      <w:r w:rsidRPr="008C4C16">
        <w:t xml:space="preserve"> the judges of the Court of Queen’s </w:t>
      </w:r>
      <w:r w:rsidRPr="008C4C16">
        <w:lastRenderedPageBreak/>
        <w:t>Bench, or of the Superior Court, or the barristers or advocates of the Province of Quebec :</w:t>
      </w:r>
    </w:p>
    <w:p w:rsidR="008B29FB" w:rsidRPr="008C4C16" w:rsidRDefault="008B29FB" w:rsidP="006B5FE2">
      <w:pPr>
        <w:pStyle w:val="ParaNoNdepar-AltN"/>
        <w:rPr>
          <w:rFonts w:cs="Times New Roman"/>
          <w:lang w:val="fr-CA"/>
        </w:rPr>
      </w:pPr>
      <w:r w:rsidRPr="008C4C16">
        <w:rPr>
          <w:rFonts w:cs="Times New Roman"/>
          <w:lang w:val="fr-CA"/>
        </w:rPr>
        <w:t>Nous avons souligné, dans chacune des deux langues officielles, les termes clés des dispositions révisées de 1886 que nous allons maintenant examiner. La Loi</w:t>
      </w:r>
      <w:r w:rsidRPr="008C4C16">
        <w:rPr>
          <w:rFonts w:cs="Times New Roman"/>
          <w:i/>
          <w:lang w:val="fr-CA"/>
        </w:rPr>
        <w:t xml:space="preserve"> </w:t>
      </w:r>
      <w:r w:rsidRPr="008C4C16">
        <w:rPr>
          <w:rFonts w:cs="Times New Roman"/>
          <w:lang w:val="fr-CA"/>
        </w:rPr>
        <w:t xml:space="preserve">de 1886 prévoyait la nomination des avocats, actuels et anciens, à la Cour en général, mais elle n’a pas modifié le langage plus restrictif employé à propos de la nomination des juges pour le Québec.  De plus, dans la refonte de 1886, il était précisé que, dans le cas où l’effet des statuts révisés serait différent de celui des lois abrogées, les « dispositions [des statuts révisés] prévaudront » : </w:t>
      </w:r>
      <w:r w:rsidRPr="008C4C16">
        <w:rPr>
          <w:rFonts w:cs="Times New Roman"/>
          <w:i/>
          <w:lang w:val="fr-CA"/>
        </w:rPr>
        <w:t>Acte concernant les statuts r</w:t>
      </w:r>
      <w:r w:rsidR="00BF1640">
        <w:rPr>
          <w:rFonts w:cs="Times New Roman"/>
          <w:i/>
          <w:lang w:val="fr-CA"/>
        </w:rPr>
        <w:t>e</w:t>
      </w:r>
      <w:r w:rsidRPr="008C4C16">
        <w:rPr>
          <w:rFonts w:cs="Times New Roman"/>
          <w:i/>
          <w:lang w:val="fr-CA"/>
        </w:rPr>
        <w:t>visés du Canada</w:t>
      </w:r>
      <w:r w:rsidRPr="008C4C16">
        <w:rPr>
          <w:rFonts w:cs="Times New Roman"/>
          <w:lang w:val="fr-CA"/>
        </w:rPr>
        <w:t xml:space="preserve">, S.R.C. 1886, ch. 4, art. 8. </w:t>
      </w:r>
    </w:p>
    <w:p w:rsidR="008B29FB" w:rsidRPr="008C4C16" w:rsidRDefault="008B29FB" w:rsidP="006B5FE2">
      <w:pPr>
        <w:pStyle w:val="ParaNoNdepar-AltN"/>
        <w:rPr>
          <w:rFonts w:cs="Times New Roman"/>
          <w:lang w:val="fr-CA"/>
        </w:rPr>
      </w:pPr>
      <w:r w:rsidRPr="008C4C16">
        <w:rPr>
          <w:rFonts w:cs="Times New Roman"/>
          <w:lang w:val="fr-CA"/>
        </w:rPr>
        <w:t xml:space="preserve">En 1906, les par. 4(2) et 4(3) sont devenus les art. 5 et 6, mais sans qu’aucun changement de fond ne soit apporté : S.R.C. 1906, ch. 139.  </w:t>
      </w:r>
    </w:p>
    <w:p w:rsidR="008B29FB" w:rsidRPr="008C4C16" w:rsidRDefault="008B29FB" w:rsidP="006B5FE2">
      <w:pPr>
        <w:pStyle w:val="ParaNoNdepar-AltN"/>
        <w:rPr>
          <w:rFonts w:cs="Times New Roman"/>
          <w:lang w:val="fr-CA"/>
        </w:rPr>
      </w:pPr>
      <w:r w:rsidRPr="008C4C16">
        <w:rPr>
          <w:rFonts w:cs="Times New Roman"/>
          <w:lang w:val="fr-CA"/>
        </w:rPr>
        <w:t xml:space="preserve">En 1927, on a ajouté un juge à la composition de la Cour pour porter le nombre de juges à sept au total, mais on a maintenu à deux le nombre de juges pour le Québec : S.C. 1926-27, ch. 38, art. 1; S.R.C. 1927, ch. 35, art. 4 et 6.  Le nombre de juges de la Cour a été augmenté à nouveau en 1949, pour être porté à neuf.  On a préservé la proportion de juges pour le Québec, en faisant passer leur nombre à trois : </w:t>
      </w:r>
      <w:r w:rsidRPr="008C4C16">
        <w:rPr>
          <w:rFonts w:cs="Times New Roman"/>
          <w:i/>
          <w:lang w:val="fr-CA"/>
        </w:rPr>
        <w:t>Loi modifiant la Loi de la Cour suprême</w:t>
      </w:r>
      <w:r w:rsidRPr="008C4C16">
        <w:rPr>
          <w:rFonts w:cs="Times New Roman"/>
          <w:lang w:val="fr-CA"/>
        </w:rPr>
        <w:t>,</w:t>
      </w:r>
      <w:r w:rsidRPr="008C4C16">
        <w:rPr>
          <w:rFonts w:cs="Times New Roman"/>
          <w:i/>
          <w:lang w:val="fr-CA"/>
        </w:rPr>
        <w:t xml:space="preserve"> </w:t>
      </w:r>
      <w:r w:rsidRPr="008C4C16">
        <w:rPr>
          <w:rFonts w:cs="Times New Roman"/>
          <w:lang w:val="fr-CA"/>
        </w:rPr>
        <w:t>S.C. 1949 (2</w:t>
      </w:r>
      <w:r w:rsidRPr="008C4C16">
        <w:rPr>
          <w:rFonts w:cs="Times New Roman"/>
          <w:vertAlign w:val="superscript"/>
          <w:lang w:val="fr-CA"/>
        </w:rPr>
        <w:t>e</w:t>
      </w:r>
      <w:r w:rsidRPr="008C4C16">
        <w:rPr>
          <w:rFonts w:cs="Times New Roman"/>
          <w:lang w:val="fr-CA"/>
        </w:rPr>
        <w:t> </w:t>
      </w:r>
      <w:r w:rsidR="00BF1640">
        <w:rPr>
          <w:rFonts w:cs="Times New Roman"/>
          <w:lang w:val="fr-CA"/>
        </w:rPr>
        <w:t>s</w:t>
      </w:r>
      <w:r w:rsidRPr="008C4C16">
        <w:rPr>
          <w:rFonts w:cs="Times New Roman"/>
          <w:lang w:val="fr-CA"/>
        </w:rPr>
        <w:t>ess.</w:t>
      </w:r>
      <w:r>
        <w:rPr>
          <w:rFonts w:cs="Times New Roman"/>
          <w:lang w:val="fr-CA"/>
        </w:rPr>
        <w:t>)</w:t>
      </w:r>
      <w:r w:rsidRPr="008C4C16">
        <w:rPr>
          <w:rFonts w:cs="Times New Roman"/>
          <w:lang w:val="fr-CA"/>
        </w:rPr>
        <w:t xml:space="preserve">, ch. 37, art. 1. </w:t>
      </w:r>
    </w:p>
    <w:p w:rsidR="008B29FB" w:rsidRPr="008C4C16" w:rsidRDefault="008B29FB" w:rsidP="006B5FE2">
      <w:pPr>
        <w:pStyle w:val="ParaNoNdepar-AltN"/>
        <w:rPr>
          <w:rFonts w:cs="Times New Roman"/>
        </w:rPr>
      </w:pPr>
      <w:r w:rsidRPr="008C4C16">
        <w:rPr>
          <w:rFonts w:cs="Times New Roman"/>
          <w:lang w:val="fr-CA"/>
        </w:rPr>
        <w:t xml:space="preserve">Le libellé actuel des art. 5 et 6 remonte à la révision des textes législatifs de 1985.  Le libellé de la version française des art. 5 et 6 a alors subi un changement qui a créé une ambiguïté dont nous traiterons plus loin, tandis que la version anglaise est demeurée identique.  À ce moment, le Parlement n’avait pas l’intention d’apporter </w:t>
      </w:r>
      <w:r w:rsidRPr="008C4C16">
        <w:rPr>
          <w:rFonts w:cs="Times New Roman"/>
          <w:lang w:val="fr-CA"/>
        </w:rPr>
        <w:lastRenderedPageBreak/>
        <w:t>de changements de fond à la Loi :</w:t>
      </w:r>
      <w:r w:rsidRPr="008C4C16">
        <w:rPr>
          <w:rFonts w:cs="Times New Roman"/>
          <w:i/>
          <w:lang w:val="fr-CA"/>
        </w:rPr>
        <w:t xml:space="preserve"> </w:t>
      </w:r>
      <w:r w:rsidRPr="008C4C16">
        <w:rPr>
          <w:rFonts w:cs="Times New Roman"/>
          <w:lang w:val="fr-CA"/>
        </w:rPr>
        <w:t xml:space="preserve"> la </w:t>
      </w:r>
      <w:r w:rsidRPr="008C4C16">
        <w:rPr>
          <w:rFonts w:cs="Times New Roman"/>
          <w:i/>
          <w:lang w:val="fr-CA"/>
        </w:rPr>
        <w:t>Loi sur la révision et la codification des textes législatifs</w:t>
      </w:r>
      <w:r w:rsidRPr="00300F11">
        <w:rPr>
          <w:rFonts w:cs="Times New Roman"/>
          <w:lang w:val="fr-CA"/>
        </w:rPr>
        <w:t>,</w:t>
      </w:r>
      <w:r w:rsidRPr="008C4C16">
        <w:rPr>
          <w:rFonts w:cs="Times New Roman"/>
          <w:i/>
          <w:lang w:val="fr-CA"/>
        </w:rPr>
        <w:t xml:space="preserve"> </w:t>
      </w:r>
      <w:r w:rsidRPr="008C4C16">
        <w:rPr>
          <w:rFonts w:cs="Times New Roman"/>
          <w:lang w:val="fr-CA"/>
        </w:rPr>
        <w:t>L</w:t>
      </w:r>
      <w:r w:rsidRPr="008C4C16">
        <w:rPr>
          <w:rFonts w:cs="Times New Roman"/>
          <w:i/>
          <w:lang w:val="fr-CA"/>
        </w:rPr>
        <w:t>.</w:t>
      </w:r>
      <w:r w:rsidRPr="008C4C16">
        <w:rPr>
          <w:rFonts w:cs="Times New Roman"/>
          <w:lang w:val="fr-CA"/>
        </w:rPr>
        <w:t>R.C. 1985, ch. S</w:t>
      </w:r>
      <w:r w:rsidRPr="008C4C16">
        <w:rPr>
          <w:rFonts w:cs="Times New Roman"/>
          <w:lang w:val="fr-CA"/>
        </w:rPr>
        <w:noBreakHyphen/>
        <w:t>20, art. 6. Voici le texte de la Loi</w:t>
      </w:r>
      <w:r w:rsidRPr="008C4C16">
        <w:rPr>
          <w:rFonts w:cs="Times New Roman"/>
          <w:i/>
          <w:lang w:val="fr-CA"/>
        </w:rPr>
        <w:t xml:space="preserve"> </w:t>
      </w:r>
      <w:r w:rsidRPr="008C4C16">
        <w:rPr>
          <w:rFonts w:cs="Times New Roman"/>
          <w:lang w:val="fr-CA"/>
        </w:rPr>
        <w:t xml:space="preserve">de 1985 : </w:t>
      </w:r>
    </w:p>
    <w:p w:rsidR="008B29FB" w:rsidRPr="008C4C16" w:rsidRDefault="008B29FB" w:rsidP="006B5FE2">
      <w:pPr>
        <w:pStyle w:val="Citation-AltC"/>
        <w:tabs>
          <w:tab w:val="left" w:pos="1440"/>
          <w:tab w:val="left" w:pos="1920"/>
        </w:tabs>
        <w:spacing w:after="240"/>
        <w:ind w:hanging="1166"/>
        <w:contextualSpacing w:val="0"/>
        <w:rPr>
          <w:lang w:val="fr-CA"/>
        </w:rPr>
      </w:pPr>
      <w:r w:rsidRPr="008C4C16">
        <w:rPr>
          <w:b/>
          <w:lang w:val="fr-CA"/>
        </w:rPr>
        <w:tab/>
      </w:r>
      <w:r w:rsidRPr="008C4C16">
        <w:rPr>
          <w:b/>
          <w:lang w:val="fr-CA"/>
        </w:rPr>
        <w:tab/>
        <w:t>5.</w:t>
      </w:r>
      <w:r w:rsidRPr="008C4C16">
        <w:rPr>
          <w:lang w:val="fr-CA"/>
        </w:rPr>
        <w:t xml:space="preserve"> [Conditions de nomination</w:t>
      </w:r>
      <w:r w:rsidR="00BF1640">
        <w:rPr>
          <w:lang w:val="fr-CA"/>
        </w:rPr>
        <w:t>.</w:t>
      </w:r>
      <w:r w:rsidRPr="008C4C16">
        <w:rPr>
          <w:lang w:val="fr-CA"/>
        </w:rPr>
        <w:t xml:space="preserve">]  Les juges </w:t>
      </w:r>
      <w:r w:rsidRPr="008C4C16">
        <w:rPr>
          <w:u w:val="single"/>
          <w:lang w:val="fr-CA"/>
        </w:rPr>
        <w:t>sont choisis parmi les juges, actuels ou anciens</w:t>
      </w:r>
      <w:r w:rsidRPr="008C4C16">
        <w:rPr>
          <w:lang w:val="fr-CA"/>
        </w:rPr>
        <w:t xml:space="preserve">, d’une cour supérieure provinciale </w:t>
      </w:r>
      <w:r w:rsidRPr="008C4C16">
        <w:rPr>
          <w:u w:val="single"/>
          <w:lang w:val="fr-CA"/>
        </w:rPr>
        <w:t>et parmi les avocats</w:t>
      </w:r>
      <w:r w:rsidRPr="008C4C16">
        <w:rPr>
          <w:lang w:val="fr-CA"/>
        </w:rPr>
        <w:t xml:space="preserve"> inscrits pendant au moins dix ans au barreau d’une province.</w:t>
      </w:r>
    </w:p>
    <w:p w:rsidR="008B29FB" w:rsidRPr="008C4C16" w:rsidRDefault="008B29FB" w:rsidP="006B5FE2">
      <w:pPr>
        <w:pStyle w:val="Citation-AltC"/>
        <w:tabs>
          <w:tab w:val="left" w:pos="1440"/>
          <w:tab w:val="left" w:pos="1920"/>
        </w:tabs>
        <w:spacing w:after="240"/>
        <w:ind w:hanging="1166"/>
        <w:contextualSpacing w:val="0"/>
        <w:rPr>
          <w:lang w:val="fr-CA"/>
        </w:rPr>
      </w:pPr>
      <w:r w:rsidRPr="008C4C16">
        <w:rPr>
          <w:b/>
          <w:lang w:val="fr-CA"/>
        </w:rPr>
        <w:tab/>
      </w:r>
      <w:r w:rsidRPr="008C4C16">
        <w:rPr>
          <w:b/>
          <w:lang w:val="fr-CA"/>
        </w:rPr>
        <w:tab/>
        <w:t>6.</w:t>
      </w:r>
      <w:r w:rsidRPr="008C4C16">
        <w:rPr>
          <w:lang w:val="fr-CA"/>
        </w:rPr>
        <w:t xml:space="preserve"> [</w:t>
      </w:r>
      <w:r w:rsidRPr="00CA2839">
        <w:rPr>
          <w:lang w:val="fr-CA"/>
        </w:rPr>
        <w:t>Représentation</w:t>
      </w:r>
      <w:r w:rsidRPr="008C4C16">
        <w:rPr>
          <w:lang w:val="fr-CA"/>
        </w:rPr>
        <w:t xml:space="preserve"> du Québec</w:t>
      </w:r>
      <w:r w:rsidR="00BF1640">
        <w:rPr>
          <w:lang w:val="fr-CA"/>
        </w:rPr>
        <w:t>.</w:t>
      </w:r>
      <w:r w:rsidRPr="008C4C16">
        <w:rPr>
          <w:lang w:val="fr-CA"/>
        </w:rPr>
        <w:t xml:space="preserve">]  Au moins trois des juges </w:t>
      </w:r>
      <w:r w:rsidRPr="008C4C16">
        <w:rPr>
          <w:u w:val="single"/>
          <w:lang w:val="fr-CA"/>
        </w:rPr>
        <w:t>sont choisis parmi</w:t>
      </w:r>
      <w:r w:rsidRPr="008C4C16">
        <w:rPr>
          <w:lang w:val="fr-CA"/>
        </w:rPr>
        <w:t xml:space="preserve"> les juges de la Cour d’appel ou de la Cour supérieure de la province de Québec ou parmi les avocats de celle</w:t>
      </w:r>
      <w:r w:rsidRPr="008C4C16">
        <w:rPr>
          <w:lang w:val="fr-CA"/>
        </w:rPr>
        <w:noBreakHyphen/>
        <w:t xml:space="preserve">ci. </w:t>
      </w:r>
    </w:p>
    <w:p w:rsidR="008B29FB" w:rsidRPr="008C4C16" w:rsidRDefault="008B29FB" w:rsidP="006B5FE2">
      <w:pPr>
        <w:pStyle w:val="Citation-AltC"/>
        <w:tabs>
          <w:tab w:val="left" w:pos="1440"/>
          <w:tab w:val="left" w:pos="1920"/>
        </w:tabs>
        <w:spacing w:after="240"/>
        <w:ind w:hanging="1166"/>
        <w:contextualSpacing w:val="0"/>
      </w:pPr>
      <w:r w:rsidRPr="008C4C16">
        <w:rPr>
          <w:b/>
          <w:lang w:val="fr-CA"/>
        </w:rPr>
        <w:tab/>
      </w:r>
      <w:r w:rsidRPr="008C4C16">
        <w:rPr>
          <w:b/>
          <w:lang w:val="fr-CA"/>
        </w:rPr>
        <w:tab/>
      </w:r>
      <w:r w:rsidRPr="008C4C16">
        <w:rPr>
          <w:b/>
        </w:rPr>
        <w:t>5.</w:t>
      </w:r>
      <w:r w:rsidRPr="008C4C16">
        <w:t xml:space="preserve"> [Who may be appointed judges</w:t>
      </w:r>
      <w:r w:rsidR="00BF1640">
        <w:t>.</w:t>
      </w:r>
      <w:r w:rsidRPr="008C4C16">
        <w:t xml:space="preserve">]  Any person may be appointed a judge </w:t>
      </w:r>
      <w:r w:rsidRPr="008C4C16">
        <w:rPr>
          <w:u w:val="single"/>
        </w:rPr>
        <w:t>who is or has been</w:t>
      </w:r>
      <w:r w:rsidRPr="008C4C16">
        <w:t xml:space="preserve"> a judge of a superior court of a province or a barrister or advocate of at least ten years standing at the bar of a province.</w:t>
      </w:r>
    </w:p>
    <w:p w:rsidR="008B29FB" w:rsidRPr="008C4C16" w:rsidRDefault="008B29FB" w:rsidP="006B5FE2">
      <w:pPr>
        <w:pStyle w:val="Citation-AltC"/>
        <w:tabs>
          <w:tab w:val="left" w:pos="1440"/>
          <w:tab w:val="left" w:pos="1920"/>
        </w:tabs>
        <w:ind w:hanging="1166"/>
        <w:contextualSpacing w:val="0"/>
      </w:pPr>
      <w:r w:rsidRPr="008C4C16">
        <w:rPr>
          <w:b/>
        </w:rPr>
        <w:tab/>
      </w:r>
      <w:r w:rsidRPr="008C4C16">
        <w:rPr>
          <w:b/>
        </w:rPr>
        <w:tab/>
        <w:t>6.</w:t>
      </w:r>
      <w:r w:rsidRPr="008C4C16">
        <w:t xml:space="preserve"> [Three judges from Quebec</w:t>
      </w:r>
      <w:r w:rsidR="00BF1640">
        <w:t>.</w:t>
      </w:r>
      <w:r w:rsidRPr="008C4C16">
        <w:t xml:space="preserve">]  At least three of the judges </w:t>
      </w:r>
      <w:r w:rsidRPr="008C4C16">
        <w:rPr>
          <w:u w:val="single"/>
        </w:rPr>
        <w:t>shall be appointed from among</w:t>
      </w:r>
      <w:r w:rsidRPr="008C4C16">
        <w:t xml:space="preserve"> the judges of the Court of Appeal or of the Superior Court of the Province of Quebec or from among the advocates of that Province. </w:t>
      </w:r>
    </w:p>
    <w:p w:rsidR="008B29FB" w:rsidRPr="008C4C16" w:rsidRDefault="008B29FB" w:rsidP="006B5FE2">
      <w:pPr>
        <w:pStyle w:val="ParaNoNdepar-AltN"/>
        <w:rPr>
          <w:rFonts w:cs="Times New Roman"/>
          <w:lang w:val="fr-CA"/>
        </w:rPr>
      </w:pPr>
      <w:r w:rsidRPr="008C4C16">
        <w:rPr>
          <w:rFonts w:cs="Times New Roman"/>
          <w:lang w:val="fr-CA"/>
        </w:rPr>
        <w:t>En résumé, hormis l’augmentation du nombre de juges pour le Québec, qui est passé de deux à trois dans l’art. 6, aucun changement de fond n’a été apporté aux art. 5 et 6 entre la révision de 1886, qui prévalait expressément sur la version antérieure,</w:t>
      </w:r>
      <w:r>
        <w:rPr>
          <w:rFonts w:cs="Times New Roman"/>
          <w:lang w:val="fr-CA"/>
        </w:rPr>
        <w:t xml:space="preserve"> </w:t>
      </w:r>
      <w:r w:rsidRPr="008C4C16">
        <w:rPr>
          <w:rFonts w:cs="Times New Roman"/>
          <w:lang w:val="fr-CA"/>
        </w:rPr>
        <w:t>et la version de la Loi</w:t>
      </w:r>
      <w:r w:rsidRPr="008C4C16">
        <w:rPr>
          <w:rFonts w:cs="Times New Roman"/>
          <w:i/>
          <w:lang w:val="fr-CA"/>
        </w:rPr>
        <w:t xml:space="preserve"> </w:t>
      </w:r>
      <w:r w:rsidRPr="008C4C16">
        <w:rPr>
          <w:rFonts w:cs="Times New Roman"/>
          <w:lang w:val="fr-CA"/>
        </w:rPr>
        <w:t xml:space="preserve">actuellement en vigueur. </w:t>
      </w:r>
    </w:p>
    <w:p w:rsidR="008B29FB" w:rsidRPr="008C4C16" w:rsidRDefault="008B29FB" w:rsidP="006B5FE2">
      <w:pPr>
        <w:pStyle w:val="Title2LevelTitre2Niveau"/>
        <w:keepNext w:val="0"/>
        <w:ind w:left="576" w:hanging="576"/>
        <w:rPr>
          <w:rFonts w:cs="Times New Roman"/>
          <w:lang w:val="fr-CA"/>
        </w:rPr>
      </w:pPr>
      <w:r w:rsidRPr="008C4C16">
        <w:rPr>
          <w:rFonts w:cs="Times New Roman"/>
          <w:lang w:val="fr-CA"/>
        </w:rPr>
        <w:t>L’</w:t>
      </w:r>
      <w:r>
        <w:rPr>
          <w:rFonts w:cs="Times New Roman"/>
          <w:lang w:val="fr-CA"/>
        </w:rPr>
        <w:t>article </w:t>
      </w:r>
      <w:r w:rsidRPr="008C4C16">
        <w:rPr>
          <w:rFonts w:cs="Times New Roman"/>
          <w:lang w:val="fr-CA"/>
        </w:rPr>
        <w:t>5</w:t>
      </w:r>
    </w:p>
    <w:p w:rsidR="008B29FB" w:rsidRPr="008C4C16" w:rsidRDefault="008B29FB" w:rsidP="006B5FE2">
      <w:pPr>
        <w:pStyle w:val="ParaNoNdepar-AltN"/>
        <w:rPr>
          <w:rFonts w:cs="Times New Roman"/>
          <w:lang w:val="fr-CA"/>
        </w:rPr>
      </w:pPr>
      <w:r w:rsidRPr="008C4C16">
        <w:rPr>
          <w:rFonts w:cs="Times New Roman"/>
          <w:lang w:val="fr-CA"/>
        </w:rPr>
        <w:t xml:space="preserve">Rappelons que l’art. 5 de la Loi fixe les conditions de nomination générales à la Cour.  Cet article crée quatre groupes de personnes qui peuvent être nommées : (1) les juges actuels d’une cour supérieure, et notamment d’une cour d’appel, d’une province; (2) les anciens juges d’une telle cour; (3) les avocats actuels inscrits pendant au moins 10 ans au barreau d’une province; (4) les anciens avocats inscrits au barreau </w:t>
      </w:r>
      <w:r>
        <w:rPr>
          <w:rFonts w:cs="Times New Roman"/>
          <w:lang w:val="fr-CA"/>
        </w:rPr>
        <w:t xml:space="preserve">d’une province </w:t>
      </w:r>
      <w:r w:rsidRPr="008C4C16">
        <w:rPr>
          <w:rFonts w:cs="Times New Roman"/>
          <w:lang w:val="fr-CA"/>
        </w:rPr>
        <w:t xml:space="preserve">pendant au moins 10 ans.  En conséquence, cette </w:t>
      </w:r>
      <w:r w:rsidRPr="008C4C16">
        <w:rPr>
          <w:rFonts w:cs="Times New Roman"/>
          <w:lang w:val="fr-CA"/>
        </w:rPr>
        <w:lastRenderedPageBreak/>
        <w:t xml:space="preserve">disposition permet généralement la nomination à la Cour des avocats, actuels </w:t>
      </w:r>
      <w:r w:rsidRPr="008C4C16">
        <w:rPr>
          <w:rFonts w:cs="Times New Roman"/>
          <w:i/>
          <w:lang w:val="fr-CA"/>
        </w:rPr>
        <w:t>ou</w:t>
      </w:r>
      <w:r w:rsidRPr="008C4C16">
        <w:rPr>
          <w:rFonts w:cs="Times New Roman"/>
          <w:lang w:val="fr-CA"/>
        </w:rPr>
        <w:t xml:space="preserve"> anciens, inscrits pendant au moins 10 ans au barreau d’une province.</w:t>
      </w:r>
    </w:p>
    <w:p w:rsidR="008B29FB" w:rsidRPr="008C4C16" w:rsidRDefault="008B29FB" w:rsidP="006B5FE2">
      <w:pPr>
        <w:pStyle w:val="ParaNoNdepar-AltN"/>
        <w:rPr>
          <w:rFonts w:cs="Times New Roman"/>
          <w:lang w:val="fr-CA"/>
        </w:rPr>
      </w:pPr>
      <w:r w:rsidRPr="008C4C16">
        <w:rPr>
          <w:rFonts w:cs="Times New Roman"/>
          <w:lang w:val="fr-CA"/>
        </w:rPr>
        <w:t>La version anglaise de l’art. 5 ne soulève aucune ambiguïté.  Les termes « </w:t>
      </w:r>
      <w:r w:rsidRPr="008C4C16">
        <w:rPr>
          <w:rFonts w:cs="Times New Roman"/>
          <w:i/>
          <w:lang w:val="fr-CA"/>
        </w:rPr>
        <w:t>is or has been </w:t>
      </w:r>
      <w:r w:rsidRPr="008C4C16">
        <w:rPr>
          <w:rFonts w:cs="Times New Roman"/>
          <w:lang w:val="fr-CA"/>
        </w:rPr>
        <w:t xml:space="preserve">» s’appliquent manifestement </w:t>
      </w:r>
      <w:r w:rsidRPr="008C4C16">
        <w:rPr>
          <w:rFonts w:cs="Times New Roman"/>
          <w:i/>
          <w:lang w:val="fr-CA"/>
        </w:rPr>
        <w:t>à la fois</w:t>
      </w:r>
      <w:r w:rsidRPr="008C4C16">
        <w:rPr>
          <w:rFonts w:cs="Times New Roman"/>
          <w:lang w:val="fr-CA"/>
        </w:rPr>
        <w:t xml:space="preserve"> aux juges d’une cour supérieure provinciale </w:t>
      </w:r>
      <w:r w:rsidRPr="008C4C16">
        <w:rPr>
          <w:rFonts w:cs="Times New Roman"/>
          <w:i/>
          <w:lang w:val="fr-CA"/>
        </w:rPr>
        <w:t>et</w:t>
      </w:r>
      <w:r w:rsidRPr="008C4C16">
        <w:rPr>
          <w:rFonts w:cs="Times New Roman"/>
          <w:lang w:val="fr-CA"/>
        </w:rPr>
        <w:t xml:space="preserve"> aux avocats inscrits pendant au moins 10 ans au barreau d’une province.  L’historique législatif de cette disposition le confirme.  La Loi de 1875 limitait les nominations aux personnes « étant ou ayant été respectivement juges de l’une de ces cours supérieures, ou étant avocats » : art. 4. La Loi de 1875 excluait les anciens avocats.  Elle permettait la nomination des juges, actuels et anciens, ainsi que des avocats actuels, à l’exclusion des anciens avocats.  Toutefois, dans la formulation adoptée lors de la révision de 1886, les termes « quiconque sera ou aura été » s’appliquent tant aux juges qu’aux avocats, de sorte que les anciens avocats forment une quatrième catégorie de personnes admissibles.  Comme nous l’avons déjà précisé, les modifications législatives apportées lors de la révision de 1886 étaient conçues pour avoir un effet substantiel sur les textes.</w:t>
      </w:r>
    </w:p>
    <w:p w:rsidR="008B29FB" w:rsidRPr="008C4C16" w:rsidRDefault="008B29FB" w:rsidP="006B5FE2">
      <w:pPr>
        <w:pStyle w:val="ParaNoNdepar-AltN"/>
        <w:rPr>
          <w:rFonts w:cs="Times New Roman"/>
          <w:lang w:val="fr-CA"/>
        </w:rPr>
      </w:pPr>
      <w:r w:rsidRPr="008C4C16">
        <w:rPr>
          <w:rFonts w:cs="Times New Roman"/>
          <w:lang w:val="fr-CA"/>
        </w:rPr>
        <w:t>Si la version française de l’art. 5 soulève maintenant des ambiguïtés, celles</w:t>
      </w:r>
      <w:r w:rsidRPr="008C4C16">
        <w:rPr>
          <w:rFonts w:cs="Times New Roman"/>
          <w:lang w:val="fr-CA"/>
        </w:rPr>
        <w:noBreakHyphen/>
        <w:t xml:space="preserve">ci ont été créées par la révision de 1985.  Auparavant, le texte français </w:t>
      </w:r>
      <w:r>
        <w:rPr>
          <w:rFonts w:cs="Times New Roman"/>
          <w:lang w:val="fr-CA"/>
        </w:rPr>
        <w:t>(</w:t>
      </w:r>
      <w:r w:rsidRPr="008C4C16">
        <w:rPr>
          <w:rFonts w:cs="Times New Roman"/>
          <w:lang w:val="fr-CA"/>
        </w:rPr>
        <w:t>« est ou a été ») suivait le texte anglais de près (« </w:t>
      </w:r>
      <w:r w:rsidRPr="008C4C16">
        <w:rPr>
          <w:rFonts w:cs="Times New Roman"/>
          <w:i/>
          <w:lang w:val="fr-CA"/>
        </w:rPr>
        <w:t>is or has been</w:t>
      </w:r>
      <w:r w:rsidRPr="008C4C16">
        <w:rPr>
          <w:rFonts w:cs="Times New Roman"/>
          <w:lang w:val="fr-CA"/>
        </w:rPr>
        <w:t xml:space="preserve"> »).  De 1886 à 1985, les deux versions incluaient nettement les avocats, actuels ou anciens.  La version anglaise les comprend toujours.  Toutefois, la version française exige maintenant que les juges soient choisis « parmi les juges, actuels ou anciens » ou « parmi les avocats inscrits pendant au moins dix ans ».  Certains pourraient prétendre que la formulation actuelle exclut les avocats qui ne sont pas inscrits au barreau au moment de leur nomination, </w:t>
      </w:r>
      <w:r w:rsidRPr="008C4C16">
        <w:rPr>
          <w:rFonts w:cs="Times New Roman"/>
          <w:lang w:val="fr-CA"/>
        </w:rPr>
        <w:lastRenderedPageBreak/>
        <w:t xml:space="preserve">puisque les termes « actuels ou anciens » ne s’appliquent pas aux avocats. Nous rejetons cet argument. </w:t>
      </w:r>
    </w:p>
    <w:p w:rsidR="008B29FB" w:rsidRPr="008C4C16" w:rsidRDefault="008B29FB" w:rsidP="006B5FE2">
      <w:pPr>
        <w:pStyle w:val="ParaNoNdepar-AltN"/>
        <w:rPr>
          <w:rFonts w:cs="Times New Roman"/>
          <w:lang w:val="fr-CA"/>
        </w:rPr>
      </w:pPr>
      <w:r w:rsidRPr="008C4C16">
        <w:rPr>
          <w:rFonts w:cs="Times New Roman"/>
          <w:lang w:val="fr-CA"/>
        </w:rPr>
        <w:t xml:space="preserve">La modification apportée à la version française de l’art. 5 en 1985 n’en a pas changé la portée.  Cette modification faisait partie de la révision des textes législatifs qui n’était pas censée en modifier le fond : art. 6 de la </w:t>
      </w:r>
      <w:r w:rsidRPr="008C4C16">
        <w:rPr>
          <w:rFonts w:cs="Times New Roman"/>
          <w:i/>
          <w:lang w:val="fr-CA"/>
        </w:rPr>
        <w:t>Loi sur la révision et la codification des textes législatifs</w:t>
      </w:r>
      <w:r w:rsidRPr="008C4C16">
        <w:rPr>
          <w:rFonts w:cs="Times New Roman"/>
          <w:lang w:val="fr-CA"/>
        </w:rPr>
        <w:t xml:space="preserve">; </w:t>
      </w:r>
      <w:r w:rsidRPr="008C4C16">
        <w:rPr>
          <w:rFonts w:cs="Times New Roman"/>
          <w:i/>
          <w:lang w:val="fr-CA"/>
        </w:rPr>
        <w:t>Sarvanis c. Canada</w:t>
      </w:r>
      <w:r w:rsidRPr="008C4C16">
        <w:rPr>
          <w:rFonts w:cs="Times New Roman"/>
          <w:lang w:val="fr-CA"/>
        </w:rPr>
        <w:t>,</w:t>
      </w:r>
      <w:r w:rsidRPr="008C4C16">
        <w:rPr>
          <w:rFonts w:cs="Times New Roman"/>
          <w:i/>
          <w:lang w:val="fr-CA"/>
        </w:rPr>
        <w:t xml:space="preserve"> </w:t>
      </w:r>
      <w:r w:rsidRPr="008C4C16">
        <w:rPr>
          <w:rFonts w:cs="Times New Roman"/>
          <w:lang w:val="fr-CA"/>
        </w:rPr>
        <w:t xml:space="preserve">2002 CSC 28, [2002] 1 R.C.S. 921, par. 13. Bref, les versions française et anglaise ont la même portée, comme c’était le cas avant la révision de 1985. </w:t>
      </w:r>
    </w:p>
    <w:p w:rsidR="008B29FB" w:rsidRPr="008C4C16" w:rsidRDefault="008B29FB" w:rsidP="006B5FE2">
      <w:pPr>
        <w:pStyle w:val="ParaNoNdepar-AltN"/>
        <w:rPr>
          <w:rFonts w:cs="Times New Roman"/>
          <w:lang w:val="fr-CA"/>
        </w:rPr>
      </w:pPr>
      <w:r w:rsidRPr="008C4C16">
        <w:rPr>
          <w:rFonts w:cs="Times New Roman"/>
          <w:lang w:val="fr-CA"/>
        </w:rPr>
        <w:t xml:space="preserve">Nous concluons de la même manière si nous appliquons la règle selon laquelle l’interprétation d’une loi bilingue exige la recherche du sens commun aux deux versions.  En cas d’ambiguïté d’une version, il faut examiner la version rédigée dans l’autre langue officielle pour déterminer si elle est claire et non équivoque : Ruth Sullivan, </w:t>
      </w:r>
      <w:r w:rsidRPr="008C4C16">
        <w:rPr>
          <w:rFonts w:cs="Times New Roman"/>
          <w:i/>
          <w:lang w:val="fr-CA"/>
        </w:rPr>
        <w:t>Sullivan on the Construction of Statutes</w:t>
      </w:r>
      <w:r w:rsidR="00BF1640">
        <w:rPr>
          <w:rFonts w:cs="Times New Roman"/>
          <w:i/>
          <w:lang w:val="fr-CA"/>
        </w:rPr>
        <w:t xml:space="preserve"> </w:t>
      </w:r>
      <w:r w:rsidRPr="008C4C16">
        <w:rPr>
          <w:rFonts w:cs="Times New Roman"/>
          <w:lang w:val="fr-CA"/>
        </w:rPr>
        <w:t>(5</w:t>
      </w:r>
      <w:r w:rsidRPr="008C4C16">
        <w:rPr>
          <w:rFonts w:cs="Times New Roman"/>
          <w:vertAlign w:val="superscript"/>
          <w:lang w:val="fr-CA"/>
        </w:rPr>
        <w:t>e</w:t>
      </w:r>
      <w:r w:rsidRPr="008C4C16">
        <w:rPr>
          <w:rFonts w:cs="Times New Roman"/>
          <w:lang w:val="fr-CA"/>
        </w:rPr>
        <w:t xml:space="preserve"> éd. 2008), p. 99</w:t>
      </w:r>
      <w:r w:rsidRPr="008C4C16">
        <w:rPr>
          <w:rFonts w:cs="Times New Roman"/>
          <w:lang w:val="fr-CA"/>
        </w:rPr>
        <w:noBreakHyphen/>
        <w:t>116; Pierre</w:t>
      </w:r>
      <w:r w:rsidRPr="008C4C16">
        <w:rPr>
          <w:rFonts w:cs="Times New Roman"/>
          <w:lang w:val="fr-CA"/>
        </w:rPr>
        <w:noBreakHyphen/>
        <w:t xml:space="preserve">André Côté, </w:t>
      </w:r>
      <w:r w:rsidR="00BF1640">
        <w:rPr>
          <w:rFonts w:cs="Times New Roman"/>
          <w:lang w:val="fr-CA"/>
        </w:rPr>
        <w:t>avec la</w:t>
      </w:r>
      <w:r w:rsidRPr="008C4C16">
        <w:rPr>
          <w:rFonts w:cs="Times New Roman"/>
          <w:lang w:val="fr-CA"/>
        </w:rPr>
        <w:t xml:space="preserve"> collaboration </w:t>
      </w:r>
      <w:r w:rsidR="00BF1640">
        <w:rPr>
          <w:rFonts w:cs="Times New Roman"/>
          <w:lang w:val="fr-CA"/>
        </w:rPr>
        <w:t>de</w:t>
      </w:r>
      <w:r w:rsidRPr="008C4C16">
        <w:rPr>
          <w:rFonts w:cs="Times New Roman"/>
          <w:lang w:val="fr-CA"/>
        </w:rPr>
        <w:t xml:space="preserve"> Stéphane Beaulac et Mathieu Devinat, </w:t>
      </w:r>
      <w:r w:rsidRPr="008C4C16">
        <w:rPr>
          <w:rFonts w:cs="Times New Roman"/>
          <w:i/>
          <w:lang w:val="fr-CA"/>
        </w:rPr>
        <w:t xml:space="preserve">Interprétation des lois </w:t>
      </w:r>
      <w:r w:rsidRPr="008C4C16">
        <w:rPr>
          <w:rFonts w:cs="Times New Roman"/>
          <w:lang w:val="fr-CA"/>
        </w:rPr>
        <w:t>(4</w:t>
      </w:r>
      <w:r w:rsidRPr="008C4C16">
        <w:rPr>
          <w:rFonts w:cs="Times New Roman"/>
          <w:vertAlign w:val="superscript"/>
          <w:lang w:val="fr-CA"/>
        </w:rPr>
        <w:t>e </w:t>
      </w:r>
      <w:r w:rsidRPr="008C4C16">
        <w:rPr>
          <w:rFonts w:cs="Times New Roman"/>
          <w:lang w:val="fr-CA"/>
        </w:rPr>
        <w:t>éd. 2009), p. 375</w:t>
      </w:r>
      <w:r w:rsidRPr="008C4C16">
        <w:rPr>
          <w:rFonts w:cs="Times New Roman"/>
          <w:lang w:val="fr-CA"/>
        </w:rPr>
        <w:noBreakHyphen/>
        <w:t xml:space="preserve">377; </w:t>
      </w:r>
      <w:r w:rsidRPr="008C4C16">
        <w:rPr>
          <w:rFonts w:cs="Times New Roman"/>
          <w:i/>
          <w:lang w:val="fr-CA"/>
        </w:rPr>
        <w:t>R. c. Daoust</w:t>
      </w:r>
      <w:r w:rsidRPr="008C4C16">
        <w:rPr>
          <w:rFonts w:cs="Times New Roman"/>
          <w:lang w:val="fr-CA"/>
        </w:rPr>
        <w:t>, 2004 CSC 6,</w:t>
      </w:r>
      <w:r w:rsidRPr="008C4C16">
        <w:rPr>
          <w:rFonts w:cs="Times New Roman"/>
          <w:i/>
          <w:lang w:val="fr-CA"/>
        </w:rPr>
        <w:t xml:space="preserve"> </w:t>
      </w:r>
      <w:r w:rsidRPr="008C4C16">
        <w:rPr>
          <w:rFonts w:cs="Times New Roman"/>
          <w:lang w:val="fr-CA"/>
        </w:rPr>
        <w:t xml:space="preserve">[2004] 1 R.C.S. 217, par. 28.  La version anglaise de la loi permet sans équivoque la nomination d’anciens avocats, alors que la version française peut raisonnablement recevoir deux interprétations : une qui exclut les anciens avocats comme personnes admissibles à une nomination et une qui les inclut.  Le sens commun aux deux versions se trouve uniquement dans la version anglaise non équivoque, dont nous devons dès lors retenir le sens. </w:t>
      </w:r>
    </w:p>
    <w:p w:rsidR="008B29FB" w:rsidRPr="008C4C16" w:rsidRDefault="008B29FB" w:rsidP="006B5FE2">
      <w:pPr>
        <w:pStyle w:val="ParaNoNdepar-AltN"/>
        <w:rPr>
          <w:rFonts w:cs="Times New Roman"/>
          <w:lang w:val="fr-CA"/>
        </w:rPr>
      </w:pPr>
      <w:r w:rsidRPr="008C4C16">
        <w:rPr>
          <w:rFonts w:cs="Times New Roman"/>
          <w:lang w:val="fr-CA"/>
        </w:rPr>
        <w:lastRenderedPageBreak/>
        <w:t xml:space="preserve">Enfin, l’inclusion des anciens avocats inscrits pendant au moins 10 ans au barreau est compatible avec l’objet de l’art. 5, qui consiste à garantir que les personnes nommées à la Cour possèdent une expérience suffisante de la pratique du droit. </w:t>
      </w:r>
    </w:p>
    <w:p w:rsidR="008B29FB" w:rsidRPr="008C4C16" w:rsidRDefault="008B29FB" w:rsidP="006B5FE2">
      <w:pPr>
        <w:pStyle w:val="ParaNoNdepar-AltN"/>
        <w:rPr>
          <w:rFonts w:cs="Times New Roman"/>
          <w:lang w:val="fr-CA"/>
        </w:rPr>
      </w:pPr>
      <w:r w:rsidRPr="008C4C16">
        <w:rPr>
          <w:rFonts w:cs="Times New Roman"/>
          <w:lang w:val="fr-CA"/>
        </w:rPr>
        <w:t xml:space="preserve">En conséquence, les juges de la Cour fédérale et de la Cour d’appel fédérale satisfont généralement aux conditions de nomination fixées à l’art. 5, puisqu’ils ont été autrefois des avocats inscrits au barreau pendant au moins 10 ans. </w:t>
      </w:r>
    </w:p>
    <w:p w:rsidR="008B29FB" w:rsidRPr="008C4C16" w:rsidRDefault="008B29FB" w:rsidP="006B5FE2">
      <w:pPr>
        <w:pStyle w:val="Title2LevelTitre2Niveau"/>
        <w:keepNext w:val="0"/>
        <w:ind w:left="576" w:hanging="576"/>
        <w:rPr>
          <w:rFonts w:cs="Times New Roman"/>
          <w:lang w:val="fr-CA"/>
        </w:rPr>
      </w:pPr>
      <w:r w:rsidRPr="008C4C16">
        <w:rPr>
          <w:rFonts w:cs="Times New Roman"/>
          <w:lang w:val="fr-CA"/>
        </w:rPr>
        <w:t>L’article 6</w:t>
      </w:r>
    </w:p>
    <w:p w:rsidR="008B29FB" w:rsidRPr="008C4C16" w:rsidRDefault="008B29FB" w:rsidP="006B5FE2">
      <w:pPr>
        <w:pStyle w:val="ParaNoNdepar-AltN"/>
        <w:rPr>
          <w:rFonts w:cs="Times New Roman"/>
          <w:lang w:val="fr-CA"/>
        </w:rPr>
      </w:pPr>
      <w:r w:rsidRPr="008C4C16">
        <w:rPr>
          <w:rFonts w:cs="Times New Roman"/>
          <w:lang w:val="fr-CA"/>
        </w:rPr>
        <w:t>L’article 6 précise qu’au moins trois des neuf juges nommés à la Cour « sont choisis parmi les juges de la Cour d’appel ou de la Cour supérieure de la province de Québec ou parmi les avocats de celle</w:t>
      </w:r>
      <w:r w:rsidRPr="008C4C16">
        <w:rPr>
          <w:rFonts w:cs="Times New Roman"/>
          <w:lang w:val="fr-CA"/>
        </w:rPr>
        <w:noBreakHyphen/>
        <w:t>ci » («</w:t>
      </w:r>
      <w:r w:rsidRPr="008C4C16">
        <w:rPr>
          <w:rFonts w:cs="Times New Roman"/>
          <w:i/>
          <w:lang w:val="fr-CA"/>
        </w:rPr>
        <w:t> shall be appointed from among the judges of the Court of Appeal or of the Superior Court of the Province of Quebec or from among the advocates of that Province</w:t>
      </w:r>
      <w:r w:rsidRPr="008C4C16">
        <w:rPr>
          <w:rFonts w:cs="Times New Roman"/>
          <w:lang w:val="fr-CA"/>
        </w:rPr>
        <w:t xml:space="preserve"> »). </w:t>
      </w:r>
    </w:p>
    <w:p w:rsidR="008B29FB" w:rsidRPr="008C4C16" w:rsidRDefault="008B29FB" w:rsidP="006B5FE2">
      <w:pPr>
        <w:pStyle w:val="ParaNoNdepar-AltN"/>
        <w:rPr>
          <w:rFonts w:cs="Times New Roman"/>
          <w:lang w:val="fr-CA"/>
        </w:rPr>
      </w:pPr>
      <w:r w:rsidRPr="008C4C16">
        <w:rPr>
          <w:rFonts w:cs="Times New Roman"/>
          <w:lang w:val="fr-CA"/>
        </w:rPr>
        <w:t xml:space="preserve">Le procureur général du Canada plaide que les art. 5 et 6 doivent être lus en corrélation comme des dispositions complémentaires, de sorte que l’inscription pendant au moins 10 ans au barreau s’applique aux nominations des juges pour le Québec.  De l’avis du procureur général, comme l’art. 6 ne précise pas le nombre d’années pendant lesquelles la personne nommée doit avoir été inscrite au barreau, interpréter l’art. 6 isolément de l’art. 5 mènerait à la conclusion absurde qu’un avocat de peu d’expérience pourrait être nommé à la Cour.  </w:t>
      </w:r>
    </w:p>
    <w:p w:rsidR="008B29FB" w:rsidRPr="008C4C16" w:rsidRDefault="008B29FB" w:rsidP="006B5FE2">
      <w:pPr>
        <w:pStyle w:val="ParaNoNdepar-AltN"/>
        <w:rPr>
          <w:rFonts w:cs="Times New Roman"/>
          <w:lang w:val="fr-CA"/>
        </w:rPr>
      </w:pPr>
      <w:r w:rsidRPr="008C4C16">
        <w:rPr>
          <w:rFonts w:cs="Times New Roman"/>
          <w:lang w:val="fr-CA"/>
        </w:rPr>
        <w:lastRenderedPageBreak/>
        <w:t>Nous sommes d’accord pour affirmer que les art. 5 et 6 doivent être interprétés en corrélation. Nous sommes aussi d’avis que le minimum de 10 années d’inscription au barreau s’applique à la nomination des juges pour le Québec.  Nous rejetons toutefois la conclusion ultime du procureur général du Canada selon laquelle l’interprétation de ces dispositions de manière complémentaire permet que d’</w:t>
      </w:r>
      <w:r w:rsidRPr="008C4C16">
        <w:rPr>
          <w:rFonts w:cs="Times New Roman"/>
          <w:i/>
          <w:lang w:val="fr-CA"/>
        </w:rPr>
        <w:t>anciens</w:t>
      </w:r>
      <w:r w:rsidRPr="008C4C16">
        <w:rPr>
          <w:rFonts w:cs="Times New Roman"/>
          <w:lang w:val="fr-CA"/>
        </w:rPr>
        <w:t xml:space="preserve"> avocats inscrits au barreau pendant au moins 10 ans soient nommés aux postes de juge réservés pour le Québec.  L’article 6 n’écarte pas les conditions de nomination générales fixées à l’art. 5, qui s’appliquent à toutes les nominations à la Cour suprême.  Il y ajoute plutôt des conditions de nomination additionnelles applicables aux trois juges nommés pour le Québec.  L’une d’elles exige que les personnes nommées soient inscrites au Barreau du Québec au moment de leur nomination.</w:t>
      </w:r>
    </w:p>
    <w:p w:rsidR="008B29FB" w:rsidRPr="008C4C16" w:rsidRDefault="008B29FB" w:rsidP="006B5FE2">
      <w:pPr>
        <w:pStyle w:val="ParaNoNdepar-AltN"/>
        <w:rPr>
          <w:rFonts w:cs="Times New Roman"/>
          <w:lang w:val="fr-CA"/>
        </w:rPr>
      </w:pPr>
      <w:r w:rsidRPr="008C4C16">
        <w:rPr>
          <w:rFonts w:cs="Times New Roman"/>
          <w:lang w:val="fr-CA"/>
        </w:rPr>
        <w:t xml:space="preserve">Cette conclusion s’appuie sur le sens ordinaire et l’objectif de l’art. 6, ainsi que sur le contexte législatif.  </w:t>
      </w:r>
    </w:p>
    <w:p w:rsidR="008B29FB" w:rsidRPr="008C4C16" w:rsidRDefault="008B29FB" w:rsidP="006B5FE2">
      <w:pPr>
        <w:pStyle w:val="Title3LevelTitre3Niveau"/>
        <w:keepNext w:val="0"/>
        <w:rPr>
          <w:rFonts w:cs="Times New Roman"/>
          <w:lang w:val="fr-CA"/>
        </w:rPr>
      </w:pPr>
      <w:r w:rsidRPr="008C4C16">
        <w:rPr>
          <w:rFonts w:cs="Times New Roman"/>
          <w:lang w:val="fr-CA"/>
        </w:rPr>
        <w:t>Le sens ordinaire de l’art</w:t>
      </w:r>
      <w:r w:rsidR="002D60E5">
        <w:rPr>
          <w:rFonts w:cs="Times New Roman"/>
          <w:lang w:val="fr-CA"/>
        </w:rPr>
        <w:t>.</w:t>
      </w:r>
      <w:r w:rsidRPr="008C4C16">
        <w:rPr>
          <w:rFonts w:cs="Times New Roman"/>
          <w:lang w:val="fr-CA"/>
        </w:rPr>
        <w:t> 6</w:t>
      </w:r>
    </w:p>
    <w:p w:rsidR="008B29FB" w:rsidRPr="008C4C16" w:rsidRDefault="008B29FB" w:rsidP="006B5FE2">
      <w:pPr>
        <w:pStyle w:val="ParaNoNdepar-AltN"/>
        <w:rPr>
          <w:rFonts w:cs="Times New Roman"/>
          <w:lang w:val="fr-CA"/>
        </w:rPr>
      </w:pPr>
      <w:r w:rsidRPr="008C4C16">
        <w:rPr>
          <w:rFonts w:cs="Times New Roman"/>
          <w:lang w:val="fr-CA"/>
        </w:rPr>
        <w:t>L’article 5 est libellé en termes généraux (« [l]es juges sont choisis parmi »), tandis que l’art. 6 est libellé en termes restrictifs (« [a]u moins trois des juges sont choisis parmi »).  Ainsi, l’art. 6 limite le bassin de candidats.  Il n’est pas contesté que les limites fixées à l’art. 6 sont d’ordre géographique, car il exige que les personnes nommées appartiennent à l’une des institutions du Québec qui y sont énumérées.  Il s’agit de savoir si l’art. 6 exige aussi qu’elles appartiennent à l’une des institutions du Québec qu’il énumère au moment de leur nomination.</w:t>
      </w:r>
    </w:p>
    <w:p w:rsidR="008B29FB" w:rsidRPr="008C4C16" w:rsidRDefault="008B29FB" w:rsidP="006B5FE2">
      <w:pPr>
        <w:pStyle w:val="ParaNoNdepar-AltN"/>
        <w:rPr>
          <w:rFonts w:cs="Times New Roman"/>
          <w:lang w:val="fr-CA"/>
        </w:rPr>
      </w:pPr>
      <w:r w:rsidRPr="008C4C16">
        <w:rPr>
          <w:rFonts w:cs="Times New Roman"/>
          <w:lang w:val="fr-CA"/>
        </w:rPr>
        <w:lastRenderedPageBreak/>
        <w:t>Le procureur général du Canada plaide que le sens ordinaire de l’art. 6 n’exige pas qu’une personne soit inscrite au Barreau du Québec au moment de sa nomination.  Selon lui, le terme « parmi » (« </w:t>
      </w:r>
      <w:r w:rsidRPr="008C4C16">
        <w:rPr>
          <w:rFonts w:cs="Times New Roman"/>
          <w:i/>
          <w:lang w:val="fr-CA"/>
        </w:rPr>
        <w:t>from among</w:t>
      </w:r>
      <w:r w:rsidRPr="008C4C16">
        <w:rPr>
          <w:rFonts w:cs="Times New Roman"/>
          <w:lang w:val="fr-CA"/>
        </w:rPr>
        <w:t> » en anglais) ne comporte pas de sens temporel et, en conséquence, les termes « actuels ou anciens » (« </w:t>
      </w:r>
      <w:r w:rsidRPr="008C4C16">
        <w:rPr>
          <w:rFonts w:cs="Times New Roman"/>
          <w:i/>
          <w:lang w:val="fr-CA"/>
        </w:rPr>
        <w:t>is or has been</w:t>
      </w:r>
      <w:r w:rsidRPr="008C4C16">
        <w:rPr>
          <w:rFonts w:cs="Times New Roman"/>
          <w:lang w:val="fr-CA"/>
        </w:rPr>
        <w:t xml:space="preserve"> » en anglais) qui ont un sens temporel dans l’art. 5 s’appliquent à l’art. 6.  </w:t>
      </w:r>
    </w:p>
    <w:p w:rsidR="008B29FB" w:rsidRPr="008C4C16" w:rsidRDefault="008B29FB" w:rsidP="006B5FE2">
      <w:pPr>
        <w:pStyle w:val="ParaNoNdepar-AltN"/>
        <w:rPr>
          <w:rFonts w:cs="Times New Roman"/>
          <w:lang w:val="fr-CA"/>
        </w:rPr>
      </w:pPr>
      <w:r w:rsidRPr="008C4C16">
        <w:rPr>
          <w:rFonts w:cs="Times New Roman"/>
          <w:lang w:val="fr-CA"/>
        </w:rPr>
        <w:t>Nous ne sommes pas de cet avis.  Les termes utilisés aux art. 5 et 6 sont très différents.  L’article 5 renvoie à la fois aux membres actuels et aux anciens membres des institutions énumérées par l’utilisation des mots « actuels ou anciens » dans la version française et des mots « </w:t>
      </w:r>
      <w:r w:rsidRPr="008C4C16">
        <w:rPr>
          <w:rFonts w:cs="Times New Roman"/>
          <w:i/>
          <w:lang w:val="fr-CA"/>
        </w:rPr>
        <w:t>is or has been</w:t>
      </w:r>
      <w:r w:rsidRPr="008C4C16">
        <w:rPr>
          <w:rFonts w:cs="Times New Roman"/>
          <w:lang w:val="fr-CA"/>
        </w:rPr>
        <w:t> » dans la version anglaise.  En revanche, l’art. 6 renvoie uniquement aux personnes qui sont membres du barreau au moment de leur nomination (« sont choisis parmi » et « </w:t>
      </w:r>
      <w:r w:rsidRPr="008C4C16">
        <w:rPr>
          <w:rFonts w:cs="Times New Roman"/>
          <w:i/>
          <w:lang w:val="fr-CA"/>
        </w:rPr>
        <w:t>shall be appointed from among</w:t>
      </w:r>
      <w:r w:rsidRPr="008C4C16">
        <w:rPr>
          <w:rFonts w:cs="Times New Roman"/>
          <w:lang w:val="fr-CA"/>
        </w:rPr>
        <w:t> »).  Le sens ordinaire des termes utilisés indique clairement la signification de cette différence.  Les mots « parmi les juges » et « </w:t>
      </w:r>
      <w:r w:rsidRPr="008C4C16">
        <w:rPr>
          <w:rFonts w:cs="Times New Roman"/>
          <w:i/>
          <w:lang w:val="fr-CA"/>
        </w:rPr>
        <w:t>from among the judges</w:t>
      </w:r>
      <w:r w:rsidRPr="008C4C16">
        <w:rPr>
          <w:rFonts w:cs="Times New Roman"/>
          <w:lang w:val="fr-CA"/>
        </w:rPr>
        <w:t> » ne signifient pas « parmi les anciens juges » et « </w:t>
      </w:r>
      <w:r w:rsidRPr="008C4C16">
        <w:rPr>
          <w:rFonts w:cs="Times New Roman"/>
          <w:i/>
          <w:lang w:val="fr-CA"/>
        </w:rPr>
        <w:t>from among the former judges</w:t>
      </w:r>
      <w:r w:rsidRPr="008C4C16">
        <w:rPr>
          <w:rFonts w:cs="Times New Roman"/>
          <w:lang w:val="fr-CA"/>
        </w:rPr>
        <w:t> ».  De même, les mots « parmi les avocats » et « </w:t>
      </w:r>
      <w:r w:rsidRPr="008C4C16">
        <w:rPr>
          <w:rFonts w:cs="Times New Roman"/>
          <w:i/>
          <w:lang w:val="fr-CA"/>
        </w:rPr>
        <w:t>from among the advocates</w:t>
      </w:r>
      <w:r w:rsidRPr="008C4C16">
        <w:rPr>
          <w:rFonts w:cs="Times New Roman"/>
          <w:lang w:val="fr-CA"/>
        </w:rPr>
        <w:t> » ne signifient pas « parmi les anciens avocats » ou « </w:t>
      </w:r>
      <w:r w:rsidRPr="008C4C16">
        <w:rPr>
          <w:rFonts w:cs="Times New Roman"/>
          <w:i/>
          <w:lang w:val="fr-CA"/>
        </w:rPr>
        <w:t>from among the former advocates</w:t>
      </w:r>
      <w:r w:rsidRPr="008C4C16">
        <w:rPr>
          <w:rFonts w:cs="Times New Roman"/>
          <w:lang w:val="fr-CA"/>
        </w:rPr>
        <w:t xml:space="preserve"> ». </w:t>
      </w:r>
    </w:p>
    <w:p w:rsidR="008B29FB" w:rsidRPr="008C4C16" w:rsidRDefault="008B29FB" w:rsidP="006B5FE2">
      <w:pPr>
        <w:pStyle w:val="ParaNoNdepar-AltN"/>
        <w:rPr>
          <w:rFonts w:cs="Times New Roman"/>
          <w:lang w:val="fr-CA"/>
        </w:rPr>
      </w:pPr>
      <w:r w:rsidRPr="008C4C16">
        <w:rPr>
          <w:rFonts w:cs="Times New Roman"/>
          <w:lang w:val="fr-CA"/>
        </w:rPr>
        <w:t>Un principe d’interprétation reconnaît que la mention d’un ou de plusieurs éléments d’une catégorie donnée exclut implicitement tous les autres éléments de cette catégorie : Sullivan, p. 243</w:t>
      </w:r>
      <w:r w:rsidRPr="008C4C16">
        <w:rPr>
          <w:rFonts w:cs="Times New Roman"/>
          <w:lang w:val="fr-CA"/>
        </w:rPr>
        <w:noBreakHyphen/>
      </w:r>
      <w:r w:rsidR="00C3604C">
        <w:rPr>
          <w:rFonts w:cs="Times New Roman"/>
          <w:lang w:val="fr-CA"/>
        </w:rPr>
        <w:t>2</w:t>
      </w:r>
      <w:r w:rsidRPr="008C4C16">
        <w:rPr>
          <w:rFonts w:cs="Times New Roman"/>
          <w:lang w:val="fr-CA"/>
        </w:rPr>
        <w:t>44.  En énumérant expressément les institutions du Québec parmi les membres desquelles les juges doivent être nommés, l’art. 6 exclut toutes les autres institutions.  De même, en précisant que trois juges sont nommés « parmi » les juges et les avocats (c’est</w:t>
      </w:r>
      <w:r w:rsidRPr="008C4C16">
        <w:rPr>
          <w:rFonts w:cs="Times New Roman"/>
          <w:lang w:val="fr-CA"/>
        </w:rPr>
        <w:noBreakHyphen/>
        <w:t>à</w:t>
      </w:r>
      <w:r w:rsidRPr="008C4C16">
        <w:rPr>
          <w:rFonts w:cs="Times New Roman"/>
          <w:lang w:val="fr-CA"/>
        </w:rPr>
        <w:noBreakHyphen/>
        <w:t xml:space="preserve">dire les membres) des </w:t>
      </w:r>
      <w:r w:rsidRPr="008C4C16">
        <w:rPr>
          <w:rFonts w:cs="Times New Roman"/>
          <w:lang w:val="fr-CA"/>
        </w:rPr>
        <w:lastRenderedPageBreak/>
        <w:t>institutions énumérées, l’art. 6 exclut implicitement les anciens membres de ces institutions et impose une condition de contemporanéité de l’appartenance à celles</w:t>
      </w:r>
      <w:r w:rsidRPr="008C4C16">
        <w:rPr>
          <w:rFonts w:cs="Times New Roman"/>
          <w:lang w:val="fr-CA"/>
        </w:rPr>
        <w:noBreakHyphen/>
        <w:t xml:space="preserve">ci. </w:t>
      </w:r>
    </w:p>
    <w:p w:rsidR="008B29FB" w:rsidRPr="008C4C16" w:rsidRDefault="008B29FB" w:rsidP="006B5FE2">
      <w:pPr>
        <w:pStyle w:val="ParaNoNdepar-AltN"/>
        <w:rPr>
          <w:rFonts w:cs="Times New Roman"/>
          <w:lang w:val="fr-CA"/>
        </w:rPr>
      </w:pPr>
      <w:r w:rsidRPr="008C4C16">
        <w:rPr>
          <w:rFonts w:cs="Times New Roman"/>
          <w:lang w:val="fr-CA"/>
        </w:rPr>
        <w:t>Le fait que les art. 5 et 6 formaient à l’origine une seule disposition —</w:t>
      </w:r>
      <w:r w:rsidR="006F23FB">
        <w:rPr>
          <w:rFonts w:cs="Times New Roman"/>
          <w:lang w:val="fr-CA"/>
        </w:rPr>
        <w:t xml:space="preserve"> </w:t>
      </w:r>
      <w:r w:rsidRPr="008C4C16">
        <w:rPr>
          <w:rFonts w:cs="Times New Roman"/>
          <w:lang w:val="fr-CA"/>
        </w:rPr>
        <w:t>l’art. 4 de la Loi</w:t>
      </w:r>
      <w:r w:rsidRPr="008C4C16">
        <w:rPr>
          <w:rFonts w:cs="Times New Roman"/>
          <w:i/>
          <w:lang w:val="fr-CA"/>
        </w:rPr>
        <w:t xml:space="preserve"> </w:t>
      </w:r>
      <w:r w:rsidRPr="008C4C16">
        <w:rPr>
          <w:rFonts w:cs="Times New Roman"/>
          <w:lang w:val="fr-CA"/>
        </w:rPr>
        <w:t>de 1875</w:t>
      </w:r>
      <w:r w:rsidRPr="008C4C16">
        <w:rPr>
          <w:rFonts w:cs="Times New Roman"/>
          <w:i/>
          <w:lang w:val="fr-CA"/>
        </w:rPr>
        <w:t xml:space="preserve"> </w:t>
      </w:r>
      <w:r w:rsidRPr="008C4C16">
        <w:rPr>
          <w:rFonts w:cs="Times New Roman"/>
          <w:lang w:val="fr-CA"/>
        </w:rPr>
        <w:t xml:space="preserve">— n’ébranle pas notre interprétation, parce que les mêmes conclusions pourraient être tirées du texte de la disposition initiale.  À l’époque, comme maintenant, les conditions de nomination générales étaient libellées en termes généraux, tandis que les précisions au sujet des juges pour le Québec étaient exprimées en termes restrictifs : « . . . dont deux au moins seront pris parmi les juges de la Cour </w:t>
      </w:r>
      <w:r w:rsidR="00CA2839">
        <w:rPr>
          <w:rFonts w:cs="Times New Roman"/>
          <w:lang w:val="fr-CA"/>
        </w:rPr>
        <w:t>S</w:t>
      </w:r>
      <w:r w:rsidRPr="008C4C16">
        <w:rPr>
          <w:rFonts w:cs="Times New Roman"/>
          <w:lang w:val="fr-CA"/>
        </w:rPr>
        <w:t>upérieure ou de la Cour du Banc de la Reine, ou parmi les procureurs ou avocats d</w:t>
      </w:r>
      <w:r w:rsidR="006F23FB">
        <w:rPr>
          <w:rFonts w:cs="Times New Roman"/>
          <w:lang w:val="fr-CA"/>
        </w:rPr>
        <w:t>e la province de Québec . . . »</w:t>
      </w:r>
    </w:p>
    <w:p w:rsidR="008B29FB" w:rsidRPr="008C4C16" w:rsidRDefault="008B29FB" w:rsidP="006B5FE2">
      <w:pPr>
        <w:pStyle w:val="ParaNoNdepar-AltN"/>
        <w:rPr>
          <w:rFonts w:cs="Times New Roman"/>
          <w:lang w:val="fr-CA"/>
        </w:rPr>
      </w:pPr>
      <w:r w:rsidRPr="008C4C16">
        <w:rPr>
          <w:rFonts w:cs="Times New Roman"/>
          <w:lang w:val="fr-CA"/>
        </w:rPr>
        <w:t>En fait, l’art. 4 de la Loi</w:t>
      </w:r>
      <w:r w:rsidRPr="008C4C16">
        <w:rPr>
          <w:rFonts w:cs="Times New Roman"/>
          <w:i/>
          <w:lang w:val="fr-CA"/>
        </w:rPr>
        <w:t xml:space="preserve"> </w:t>
      </w:r>
      <w:r w:rsidRPr="008C4C16">
        <w:rPr>
          <w:rFonts w:cs="Times New Roman"/>
          <w:lang w:val="fr-CA"/>
        </w:rPr>
        <w:t>de 1875 renforce notre conclusion selon laquelle les anciens avocats ne peuvent pas être nommés aux postes de juge pour le Québec.  Entre 1875 et la révision de 1886, étaient admissibles les personnes « étant ou ayant été respectivement juges [. . .] ou étant avocats ».  Les conditions de nomination des juges pour le Québec ont été édictées à l’origine parallèlement à ces termes généraux, qui excluaient manifestement les anciens avocats.  Lorsque les conditions de nomination générales ont été assouplies en 1886 pour permettre la nomination d’anciens avocats, les conditions de nomination aux postes de juge pour le Québec n’ont pas été modifiées sur le fond.  Hormis l’augmentation du nombre de juges qui est passé de deux à trois</w:t>
      </w:r>
      <w:r w:rsidR="002D60E5">
        <w:rPr>
          <w:rFonts w:cs="Times New Roman"/>
          <w:lang w:val="fr-CA"/>
        </w:rPr>
        <w:t xml:space="preserve"> en 1949</w:t>
      </w:r>
      <w:r w:rsidRPr="008C4C16">
        <w:rPr>
          <w:rFonts w:cs="Times New Roman"/>
          <w:lang w:val="fr-CA"/>
        </w:rPr>
        <w:t xml:space="preserve">, les conditions de nomination aux postes de juge pour le Québec sont demeurées inchangées sur le fond depuis 1875.  En l’absence d’intention expresse de modifier les conditions de nomination des juges pour le Québec depuis qu’elles ont été édictées en 1875, nous concluons que l’art. 6 a </w:t>
      </w:r>
      <w:r w:rsidRPr="008C4C16">
        <w:rPr>
          <w:rFonts w:cs="Times New Roman"/>
          <w:lang w:val="fr-CA"/>
        </w:rPr>
        <w:lastRenderedPageBreak/>
        <w:t xml:space="preserve">conservé le même sens qu’à l’origine et qu’il exclut la nomination d’anciens avocats aux postes de juge réservés pour le Québec.  La condition de contemporanéité existe sans équivoque depuis 1875 et n’a jamais été modifiée. </w:t>
      </w:r>
    </w:p>
    <w:p w:rsidR="008B29FB" w:rsidRPr="008C4C16" w:rsidRDefault="008B29FB" w:rsidP="006B5FE2">
      <w:pPr>
        <w:pStyle w:val="ParaNoNdepar-AltN"/>
        <w:rPr>
          <w:rFonts w:cs="Times New Roman"/>
          <w:lang w:val="fr-CA"/>
        </w:rPr>
      </w:pPr>
      <w:r w:rsidRPr="008C4C16">
        <w:rPr>
          <w:rFonts w:cs="Times New Roman"/>
          <w:lang w:val="fr-CA"/>
        </w:rPr>
        <w:t>En résumé, selon le sens ordinaire des termes utilisés, l’art. 5 crée quatre groupes de personnes admissibles à une nomination : les juges, actuels et anciens, d’une cour supérieure et les avocats, actuels et anciens, inscrits au barreau</w:t>
      </w:r>
      <w:r>
        <w:rPr>
          <w:rFonts w:cs="Times New Roman"/>
          <w:lang w:val="fr-CA"/>
        </w:rPr>
        <w:t xml:space="preserve"> d’une province</w:t>
      </w:r>
      <w:r w:rsidRPr="008C4C16">
        <w:rPr>
          <w:rFonts w:cs="Times New Roman"/>
          <w:lang w:val="fr-CA"/>
        </w:rPr>
        <w:t xml:space="preserve"> pendant au moins 10 ans.  Toutefois, l’art. 6 impose une condition additionnelle en exigeant que les personnes nommées aux trois postes de juge réservés pour le Québec soient membres des institutions énumérées de la province de Québec au moment de leur nomination, en plus de satisfaire aux conditions générales fixées à l’art. 5.  Ainsi, l’art</w:t>
      </w:r>
      <w:r w:rsidR="002D60E5">
        <w:rPr>
          <w:rFonts w:cs="Times New Roman"/>
          <w:lang w:val="fr-CA"/>
        </w:rPr>
        <w:t>.</w:t>
      </w:r>
      <w:r w:rsidRPr="008C4C16">
        <w:rPr>
          <w:rFonts w:cs="Times New Roman"/>
          <w:lang w:val="fr-CA"/>
        </w:rPr>
        <w:t> 6 restreint à seulement deux groupes le bassin de candidats à une nomination pour le Québec : les juges actuels de la Cour d’appel ou de la Cour supérieure de la province de Québec et les avocats actuels inscrits pendant au moins 10 ans au Barreau du Québec.</w:t>
      </w:r>
    </w:p>
    <w:p w:rsidR="008B29FB" w:rsidRPr="008C4C16" w:rsidRDefault="008B29FB" w:rsidP="006B5FE2">
      <w:pPr>
        <w:pStyle w:val="Title3LevelTitre3Niveau"/>
        <w:keepNext w:val="0"/>
        <w:rPr>
          <w:rFonts w:cs="Times New Roman"/>
          <w:szCs w:val="24"/>
          <w:lang w:val="fr-CA"/>
        </w:rPr>
      </w:pPr>
      <w:r w:rsidRPr="008C4C16">
        <w:rPr>
          <w:rFonts w:cs="Times New Roman"/>
          <w:szCs w:val="24"/>
          <w:lang w:val="fr-CA"/>
        </w:rPr>
        <w:t xml:space="preserve">L’objet de l’art. 6 </w:t>
      </w:r>
    </w:p>
    <w:p w:rsidR="008B29FB" w:rsidRPr="008C4C16" w:rsidRDefault="008B29FB" w:rsidP="006B5FE2">
      <w:pPr>
        <w:pStyle w:val="ParaNoNdepar-AltN"/>
        <w:rPr>
          <w:rFonts w:cs="Times New Roman"/>
          <w:szCs w:val="24"/>
          <w:lang w:val="fr-CA"/>
        </w:rPr>
      </w:pPr>
      <w:r w:rsidRPr="008C4C16">
        <w:rPr>
          <w:rFonts w:cs="Times New Roman"/>
          <w:szCs w:val="24"/>
          <w:lang w:val="fr-CA"/>
        </w:rPr>
        <w:t>Cette analyse textuelle respecte l’objectif sous</w:t>
      </w:r>
      <w:r w:rsidRPr="008C4C16">
        <w:rPr>
          <w:rFonts w:cs="Times New Roman"/>
          <w:szCs w:val="24"/>
          <w:lang w:val="fr-CA"/>
        </w:rPr>
        <w:noBreakHyphen/>
        <w:t>jacent de l’art. 6.  Le procureur général du Canada plaide que l’art. 6 vise seulement à garantir que trois membres de notre Cour possèdent une formation et de l’expérience en droit civil québécois.  Il soutient que la nomination d’avocats du Québec, actuels ou anciens, qui p</w:t>
      </w:r>
      <w:r w:rsidR="00A9680D">
        <w:rPr>
          <w:rFonts w:cs="Times New Roman"/>
          <w:szCs w:val="24"/>
          <w:lang w:val="fr-CA"/>
        </w:rPr>
        <w:t>ossé</w:t>
      </w:r>
      <w:r w:rsidRPr="008C4C16">
        <w:rPr>
          <w:rFonts w:cs="Times New Roman"/>
          <w:szCs w:val="24"/>
          <w:lang w:val="fr-CA"/>
        </w:rPr>
        <w:t xml:space="preserve">deraient de toute façon une formation et de l’expérience en droit civil, permet de réaliser cet objectif. </w:t>
      </w:r>
    </w:p>
    <w:p w:rsidR="008B29FB" w:rsidRPr="008C4C16" w:rsidRDefault="008B29FB" w:rsidP="006B5FE2">
      <w:pPr>
        <w:pStyle w:val="ParaNoNdepar-AltN"/>
        <w:rPr>
          <w:rFonts w:cs="Times New Roman"/>
          <w:szCs w:val="24"/>
          <w:lang w:val="fr-CA"/>
        </w:rPr>
      </w:pPr>
      <w:r w:rsidRPr="008C4C16">
        <w:rPr>
          <w:rFonts w:cs="Times New Roman"/>
          <w:szCs w:val="24"/>
          <w:lang w:val="fr-CA"/>
        </w:rPr>
        <w:lastRenderedPageBreak/>
        <w:t>Bien que les arguments du procureur général du Canada fassent ressortir un objectif important de l’art. 6, un examen de l’historique législatif révèle que cette disposition possède un objectif additionnel de caractère plus général.</w:t>
      </w:r>
    </w:p>
    <w:p w:rsidR="008B29FB" w:rsidRPr="008C4C16" w:rsidRDefault="008B29FB" w:rsidP="006B5FE2">
      <w:pPr>
        <w:pStyle w:val="ParaNoNdepar-AltN"/>
        <w:rPr>
          <w:rFonts w:cs="Times New Roman"/>
          <w:szCs w:val="24"/>
          <w:lang w:val="fr-CA"/>
        </w:rPr>
      </w:pPr>
      <w:r w:rsidRPr="008C4C16">
        <w:rPr>
          <w:rFonts w:cs="Times New Roman"/>
          <w:szCs w:val="24"/>
          <w:lang w:val="fr-CA"/>
        </w:rPr>
        <w:t>En effet, l’art</w:t>
      </w:r>
      <w:r w:rsidR="002D60E5">
        <w:rPr>
          <w:rFonts w:cs="Times New Roman"/>
          <w:szCs w:val="24"/>
          <w:lang w:val="fr-CA"/>
        </w:rPr>
        <w:t>.</w:t>
      </w:r>
      <w:r w:rsidRPr="008C4C16">
        <w:rPr>
          <w:rFonts w:cs="Times New Roman"/>
          <w:szCs w:val="24"/>
          <w:lang w:val="fr-CA"/>
        </w:rPr>
        <w:t> 6 exprime le compromis historique qui a mené à la création de la Cour suprême.  Tout comme la protection des droits linguistiques, religieux et scolaires de minorités constituait une considération majeure dans les négociations qui ont mené à la Confédération (</w:t>
      </w:r>
      <w:r w:rsidRPr="008C4C16">
        <w:rPr>
          <w:rFonts w:cs="Times New Roman"/>
          <w:i/>
          <w:szCs w:val="24"/>
          <w:lang w:val="fr-CA"/>
        </w:rPr>
        <w:t>Renvoi relatif à la sécession du Québec</w:t>
      </w:r>
      <w:r w:rsidRPr="008C4C16">
        <w:rPr>
          <w:rFonts w:cs="Times New Roman"/>
          <w:szCs w:val="24"/>
          <w:lang w:val="fr-CA"/>
        </w:rPr>
        <w:t>, [1998] 2 R.C.S. 217 (« </w:t>
      </w:r>
      <w:r w:rsidRPr="008C4C16">
        <w:rPr>
          <w:rFonts w:cs="Times New Roman"/>
          <w:i/>
          <w:szCs w:val="24"/>
          <w:lang w:val="fr-CA"/>
        </w:rPr>
        <w:t>Renvoi sur la sécession</w:t>
      </w:r>
      <w:r w:rsidRPr="008C4C16">
        <w:rPr>
          <w:rFonts w:cs="Times New Roman"/>
          <w:szCs w:val="24"/>
          <w:lang w:val="fr-CA"/>
        </w:rPr>
        <w:t> »), par. 79</w:t>
      </w:r>
      <w:r w:rsidRPr="008C4C16">
        <w:rPr>
          <w:rFonts w:cs="Times New Roman"/>
          <w:szCs w:val="24"/>
          <w:lang w:val="fr-CA"/>
        </w:rPr>
        <w:noBreakHyphen/>
        <w:t>82), la protection du Québec par un nombre minimum de juges du Québec constituait un enjeu majeur de la création de la Cour.  Une interprétation téléologique de l’art. 6 doit refléter la conclusion de ce compromis et non saper celui</w:t>
      </w:r>
      <w:r w:rsidRPr="008C4C16">
        <w:rPr>
          <w:rFonts w:cs="Times New Roman"/>
          <w:szCs w:val="24"/>
          <w:lang w:val="fr-CA"/>
        </w:rPr>
        <w:noBreakHyphen/>
        <w:t>ci.</w:t>
      </w:r>
    </w:p>
    <w:p w:rsidR="008B29FB" w:rsidRPr="008C4C16" w:rsidRDefault="008B29FB" w:rsidP="006B5FE2">
      <w:pPr>
        <w:pStyle w:val="ParaNoNdepar-AltN"/>
        <w:rPr>
          <w:rFonts w:cs="Times New Roman"/>
          <w:szCs w:val="24"/>
          <w:lang w:val="fr-CA"/>
        </w:rPr>
      </w:pPr>
      <w:r w:rsidRPr="008C4C16">
        <w:rPr>
          <w:rFonts w:cs="Times New Roman"/>
          <w:szCs w:val="24"/>
          <w:lang w:val="fr-CA"/>
        </w:rPr>
        <w:t>L’objectif de l’art</w:t>
      </w:r>
      <w:r w:rsidR="002D60E5">
        <w:rPr>
          <w:rFonts w:cs="Times New Roman"/>
          <w:szCs w:val="24"/>
          <w:lang w:val="fr-CA"/>
        </w:rPr>
        <w:t>.</w:t>
      </w:r>
      <w:r w:rsidRPr="008C4C16">
        <w:rPr>
          <w:rFonts w:cs="Times New Roman"/>
          <w:szCs w:val="24"/>
          <w:lang w:val="fr-CA"/>
        </w:rPr>
        <w:t xml:space="preserve"> 6 est de garantir que non seulement des juristes civilistes expérimentés siègent à la Cour, mais également que les traditions juridiques et les valeurs sociales distinctes du Québec y soient représentées, pour renforcer la confiance des Québécois envers la Cour en tant qu’arbitre ultime de leurs droits.  Autrement dit, l’art. 6 protège à la fois le </w:t>
      </w:r>
      <w:r w:rsidRPr="008C4C16">
        <w:rPr>
          <w:rFonts w:cs="Times New Roman"/>
          <w:i/>
          <w:szCs w:val="24"/>
          <w:lang w:val="fr-CA"/>
        </w:rPr>
        <w:t>fonctionnement</w:t>
      </w:r>
      <w:r w:rsidRPr="008C4C16">
        <w:rPr>
          <w:rFonts w:cs="Times New Roman"/>
          <w:szCs w:val="24"/>
          <w:lang w:val="fr-CA"/>
        </w:rPr>
        <w:t xml:space="preserve"> et la </w:t>
      </w:r>
      <w:r w:rsidRPr="008C4C16">
        <w:rPr>
          <w:rFonts w:cs="Times New Roman"/>
          <w:i/>
          <w:szCs w:val="24"/>
          <w:lang w:val="fr-CA"/>
        </w:rPr>
        <w:t>légitimité</w:t>
      </w:r>
      <w:r w:rsidRPr="008C4C16">
        <w:rPr>
          <w:rFonts w:cs="Times New Roman"/>
          <w:szCs w:val="24"/>
          <w:lang w:val="fr-CA"/>
        </w:rPr>
        <w:t xml:space="preserve"> de la Cour suprême dans sa fonction de cour générale d’appel pour le Canada.  Le professeur Russell a décrit succinctement cet objectif plus général en des termes que l’histoire justifie :</w:t>
      </w:r>
    </w:p>
    <w:p w:rsidR="008B29FB" w:rsidRPr="008C4C16" w:rsidRDefault="008B29FB" w:rsidP="006B5FE2">
      <w:pPr>
        <w:pStyle w:val="Citation-AltC"/>
        <w:spacing w:after="240"/>
        <w:ind w:hanging="1166"/>
        <w:contextualSpacing w:val="0"/>
      </w:pPr>
      <w:r w:rsidRPr="008C4C16">
        <w:rPr>
          <w:lang w:val="fr-CA"/>
        </w:rPr>
        <w:tab/>
      </w:r>
      <w:r w:rsidR="002D60E5">
        <w:rPr>
          <w:lang w:val="fr-CA"/>
        </w:rPr>
        <w:tab/>
      </w:r>
      <w:r w:rsidRPr="008C4C16">
        <w:rPr>
          <w:lang w:val="fr-CA"/>
        </w:rPr>
        <w:t>[</w:t>
      </w:r>
      <w:r w:rsidRPr="008C4C16">
        <w:rPr>
          <w:smallCaps/>
          <w:lang w:val="fr-CA"/>
        </w:rPr>
        <w:t>traduction</w:t>
      </w:r>
      <w:r w:rsidRPr="008C4C16">
        <w:rPr>
          <w:lang w:val="fr-CA"/>
        </w:rPr>
        <w:t>] . . . l’antipathie pour l’idée que des juges d’une tradition juridique étrangère interprètent le Code civil du Bas</w:t>
      </w:r>
      <w:r w:rsidRPr="008C4C16">
        <w:rPr>
          <w:lang w:val="fr-CA"/>
        </w:rPr>
        <w:noBreakHyphen/>
        <w:t xml:space="preserve">Canada ne reposait pas simplement sur une préoccupation à l’égard de la pureté ou de la justesse du droit.  Elle découlait plus souvent de la prémisse plus fondamentale que le système de droit civil du Québec constituait un ingrédient essentiel de sa culture distinctive et devait par conséquent, de </w:t>
      </w:r>
      <w:r w:rsidRPr="008C4C16">
        <w:rPr>
          <w:i/>
          <w:lang w:val="fr-CA"/>
        </w:rPr>
        <w:lastRenderedPageBreak/>
        <w:t>droit</w:t>
      </w:r>
      <w:r w:rsidRPr="008C4C16">
        <w:rPr>
          <w:lang w:val="fr-CA"/>
        </w:rPr>
        <w:t xml:space="preserve">, être protégé par des juges empreints des pratiques judiciaires et des valeurs sociales inhérentes à cette culture.  </w:t>
      </w:r>
      <w:r w:rsidRPr="008C4C16">
        <w:t>[</w:t>
      </w:r>
      <w:r w:rsidR="002D60E5">
        <w:t>En italique</w:t>
      </w:r>
      <w:r w:rsidRPr="008C4C16">
        <w:t xml:space="preserve"> dans l’original.]</w:t>
      </w:r>
    </w:p>
    <w:p w:rsidR="008B29FB" w:rsidRPr="008C4C16" w:rsidRDefault="008B29FB" w:rsidP="00CA2839">
      <w:pPr>
        <w:pStyle w:val="Citation-AltC"/>
        <w:ind w:left="0"/>
        <w:contextualSpacing w:val="0"/>
      </w:pPr>
      <w:r w:rsidRPr="008C4C16">
        <w:t>(P</w:t>
      </w:r>
      <w:r w:rsidR="002D60E5">
        <w:t>eter</w:t>
      </w:r>
      <w:r w:rsidRPr="008C4C16">
        <w:t xml:space="preserve"> H. Russell, </w:t>
      </w:r>
      <w:r w:rsidRPr="008C4C16">
        <w:rPr>
          <w:i/>
        </w:rPr>
        <w:t>The Supreme Court of Canada as a Bilingual and Bicultural Institution</w:t>
      </w:r>
      <w:r w:rsidRPr="008C4C16">
        <w:t xml:space="preserve"> (1969), p. 8)</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À l’époque de la Confédération, le Québec hésitait à accepter la création d’une Cour suprême parce qu’il craignait qu’elle soit incapable de traiter adéquatement les questions de droit civil québécois (Ian Bushnell, </w:t>
      </w:r>
      <w:r w:rsidRPr="008C4C16">
        <w:rPr>
          <w:rFonts w:cs="Times New Roman"/>
          <w:i/>
          <w:lang w:val="fr-CA"/>
        </w:rPr>
        <w:t>The Captive Court : A Study of the Supreme Court of Canada</w:t>
      </w:r>
      <w:r w:rsidRPr="008C4C16">
        <w:rPr>
          <w:rFonts w:cs="Times New Roman"/>
          <w:lang w:val="fr-CA"/>
        </w:rPr>
        <w:t xml:space="preserve"> (1992), p. 4</w:t>
      </w:r>
      <w:r w:rsidRPr="008C4C16">
        <w:rPr>
          <w:rFonts w:cs="Times New Roman"/>
          <w:lang w:val="fr-CA"/>
        </w:rPr>
        <w:noBreakHyphen/>
        <w:t>5; Russell, p. 8</w:t>
      </w:r>
      <w:r w:rsidRPr="008C4C16">
        <w:rPr>
          <w:rFonts w:cs="Times New Roman"/>
          <w:lang w:val="fr-CA"/>
        </w:rPr>
        <w:noBreakHyphen/>
        <w:t>9).  Des députés fédéraux du Québec déclarèrent redouter qu’un « tribunal suprême d’appel » soit</w:t>
      </w:r>
    </w:p>
    <w:p w:rsidR="008B29FB" w:rsidRPr="008C4C16" w:rsidRDefault="008B29FB" w:rsidP="006B5FE2">
      <w:pPr>
        <w:pStyle w:val="Citation-AltC"/>
        <w:spacing w:after="240"/>
        <w:contextualSpacing w:val="0"/>
        <w:rPr>
          <w:lang w:val="fr-CA"/>
        </w:rPr>
      </w:pPr>
      <w:r w:rsidRPr="008C4C16">
        <w:rPr>
          <w:lang w:val="fr-CA"/>
        </w:rPr>
        <w:t>composé de juges, dont la grande majorité ignorerait les lois civiles d</w:t>
      </w:r>
      <w:r w:rsidR="002D60E5">
        <w:rPr>
          <w:lang w:val="fr-CA"/>
        </w:rPr>
        <w:t>e</w:t>
      </w:r>
      <w:r w:rsidRPr="008C4C16">
        <w:rPr>
          <w:lang w:val="fr-CA"/>
        </w:rPr>
        <w:t xml:space="preserve"> Québec, lequel tribunal serait appelé à r</w:t>
      </w:r>
      <w:r w:rsidR="002D60E5">
        <w:rPr>
          <w:lang w:val="fr-CA"/>
        </w:rPr>
        <w:t>e</w:t>
      </w:r>
      <w:r w:rsidRPr="008C4C16">
        <w:rPr>
          <w:lang w:val="fr-CA"/>
        </w:rPr>
        <w:t>viser et aurait le pouvoir de renverser les décisions de toutes leurs cours d</w:t>
      </w:r>
      <w:r w:rsidR="002D60E5">
        <w:rPr>
          <w:lang w:val="fr-CA"/>
        </w:rPr>
        <w:t>e</w:t>
      </w:r>
      <w:r w:rsidRPr="008C4C16">
        <w:rPr>
          <w:lang w:val="fr-CA"/>
        </w:rPr>
        <w:t xml:space="preserve"> Québec . . . </w:t>
      </w:r>
    </w:p>
    <w:p w:rsidR="008B29FB" w:rsidRPr="008C4C16" w:rsidRDefault="008B29FB" w:rsidP="002D60E5">
      <w:pPr>
        <w:pStyle w:val="Citation-AltC"/>
        <w:ind w:left="0"/>
        <w:rPr>
          <w:lang w:val="fr-CA"/>
        </w:rPr>
      </w:pPr>
      <w:r w:rsidRPr="008C4C16">
        <w:rPr>
          <w:lang w:val="fr-CA"/>
        </w:rPr>
        <w:t>(</w:t>
      </w:r>
      <w:r w:rsidRPr="008C4C16">
        <w:rPr>
          <w:i/>
          <w:lang w:val="fr-CA"/>
        </w:rPr>
        <w:t>Débats de la Chambre des communes</w:t>
      </w:r>
      <w:r w:rsidRPr="008C4C16">
        <w:rPr>
          <w:lang w:val="fr-CA"/>
        </w:rPr>
        <w:t>, 2</w:t>
      </w:r>
      <w:r w:rsidRPr="002D60E5">
        <w:rPr>
          <w:vertAlign w:val="superscript"/>
          <w:lang w:val="fr-CA"/>
        </w:rPr>
        <w:t>e</w:t>
      </w:r>
      <w:r w:rsidRPr="008C4C16">
        <w:rPr>
          <w:lang w:val="fr-CA"/>
        </w:rPr>
        <w:t xml:space="preserve"> </w:t>
      </w:r>
      <w:r w:rsidR="002D60E5">
        <w:rPr>
          <w:lang w:val="fr-CA"/>
        </w:rPr>
        <w:t>s</w:t>
      </w:r>
      <w:r w:rsidRPr="008C4C16">
        <w:rPr>
          <w:lang w:val="fr-CA"/>
        </w:rPr>
        <w:t>ess., 3</w:t>
      </w:r>
      <w:r w:rsidRPr="00CA2839">
        <w:rPr>
          <w:vertAlign w:val="superscript"/>
          <w:lang w:val="fr-CA"/>
        </w:rPr>
        <w:t>e</w:t>
      </w:r>
      <w:r w:rsidRPr="008C4C16">
        <w:rPr>
          <w:lang w:val="fr-CA"/>
        </w:rPr>
        <w:t> lég. (« </w:t>
      </w:r>
      <w:r w:rsidRPr="008C4C16">
        <w:rPr>
          <w:i/>
          <w:lang w:val="fr-CA"/>
        </w:rPr>
        <w:t>Débats de 1875</w:t>
      </w:r>
      <w:r w:rsidRPr="008C4C16">
        <w:rPr>
          <w:lang w:val="fr-CA"/>
        </w:rPr>
        <w:t> »), 16 mars 1875, p. 782</w:t>
      </w:r>
      <w:r w:rsidRPr="008C4C16">
        <w:rPr>
          <w:lang w:val="fr-CA"/>
        </w:rPr>
        <w:noBreakHyphen/>
        <w:t>783, Henri</w:t>
      </w:r>
      <w:r w:rsidRPr="008C4C16">
        <w:rPr>
          <w:lang w:val="fr-CA"/>
        </w:rPr>
        <w:noBreakHyphen/>
        <w:t xml:space="preserve">Thomas Taschereau, député de Montmagny, Québec) </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Le projet de loi créant la Cour suprême a été adopté seulement après que des amendements y furent apportés pour répondre spécifiquement aux préoccupations du Québec.  Plus important encore, le projet de loi amendé qui est devenu la </w:t>
      </w:r>
      <w:r w:rsidRPr="008C4C16">
        <w:rPr>
          <w:rFonts w:cs="Times New Roman"/>
          <w:i/>
          <w:lang w:val="fr-CA"/>
        </w:rPr>
        <w:t>Loi sur la Cour suprême</w:t>
      </w:r>
      <w:r w:rsidRPr="008C4C16">
        <w:rPr>
          <w:rFonts w:cs="Times New Roman"/>
          <w:lang w:val="fr-CA"/>
        </w:rPr>
        <w:t xml:space="preserve"> prévoyait que deux des six juges « seront pris parmi les juges de la Cour Supérieure ou de la Cour du Banc de la Reine, ou parmi les procureurs ou avocats de la province de Québec » : art. 4 de la Loi de 1875. </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Lors des débats entourant l’adoption du projet d’établissement de la Cour suprême en 1875, des députés des deux côtés de la Chambre étaient conscients de la situation particulière du Québec et de la nécessité d’assurer une expertise en droit </w:t>
      </w:r>
      <w:r w:rsidRPr="008C4C16">
        <w:rPr>
          <w:rFonts w:cs="Times New Roman"/>
          <w:lang w:val="fr-CA"/>
        </w:rPr>
        <w:lastRenderedPageBreak/>
        <w:t>civil à la Cour.  Ainsi, en deuxième lecture, M. Taschereau, député du parti libéral alors au pouvoir, a décrit l’intérêt spécial du Québec à l’égard du projet de loi :</w:t>
      </w:r>
    </w:p>
    <w:p w:rsidR="008B29FB" w:rsidRPr="008C4C16" w:rsidRDefault="008B29FB" w:rsidP="00CA2839">
      <w:pPr>
        <w:pStyle w:val="Citation-AltC"/>
        <w:spacing w:after="480"/>
        <w:ind w:hanging="1166"/>
        <w:contextualSpacing w:val="0"/>
        <w:rPr>
          <w:lang w:val="fr-CA"/>
        </w:rPr>
      </w:pPr>
      <w:r w:rsidRPr="008C4C16">
        <w:rPr>
          <w:lang w:val="fr-CA"/>
        </w:rPr>
        <w:tab/>
        <w:t>Cet intérêt provient du droit de juridiction en appel en matière civile que l’on se propose d’accorder à la Cour Suprême, et de la position particulière de cette province relativement à ses institutions et à ses lois comparées avec celles des autres provinces.  Située comme elle l’est, il n’y a pas de province dans la Puissance aussi intéressée que la nôtre dans la passation de l’acte maintenant sous discussion, et qui avant que quelques jours ne se soient écoulés, formera un des chapitres les plus importants dans le livre des statuts de la Puissance</w:t>
      </w:r>
      <w:r>
        <w:rPr>
          <w:lang w:val="fr-CA"/>
        </w:rPr>
        <w:t>.</w:t>
      </w:r>
    </w:p>
    <w:p w:rsidR="008B29FB" w:rsidRPr="008C4C16" w:rsidRDefault="008B29FB" w:rsidP="002D60E5">
      <w:pPr>
        <w:pStyle w:val="Citation-AltC"/>
        <w:ind w:left="0"/>
        <w:rPr>
          <w:lang w:val="fr-CA"/>
        </w:rPr>
      </w:pPr>
      <w:r w:rsidRPr="008C4C16">
        <w:rPr>
          <w:lang w:val="fr-CA"/>
        </w:rPr>
        <w:t>(</w:t>
      </w:r>
      <w:r w:rsidRPr="008C4C16">
        <w:rPr>
          <w:i/>
          <w:lang w:val="fr-CA"/>
        </w:rPr>
        <w:t>Débats de</w:t>
      </w:r>
      <w:r w:rsidRPr="008C4C16">
        <w:rPr>
          <w:lang w:val="fr-CA"/>
        </w:rPr>
        <w:t xml:space="preserve"> </w:t>
      </w:r>
      <w:r w:rsidRPr="008C4C16">
        <w:rPr>
          <w:i/>
          <w:lang w:val="fr-CA"/>
        </w:rPr>
        <w:t>1875</w:t>
      </w:r>
      <w:r w:rsidRPr="008C4C16">
        <w:rPr>
          <w:lang w:val="fr-CA"/>
        </w:rPr>
        <w:t>, 16 mars 1875, p. 782)</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De même, Toussaint Antoine Rodolphe Laflamme, qui a présenté devant le Parlement la disposition prévoyant un nombre minimum de juges du Québec, a qualifié cette exigence de question de droit pour le Québec : « </w:t>
      </w:r>
      <w:r w:rsidR="002D60E5">
        <w:rPr>
          <w:rFonts w:cs="Times New Roman"/>
          <w:lang w:val="fr-CA"/>
        </w:rPr>
        <w:t>I</w:t>
      </w:r>
      <w:r w:rsidRPr="008C4C16">
        <w:rPr>
          <w:rFonts w:cs="Times New Roman"/>
          <w:lang w:val="fr-CA"/>
        </w:rPr>
        <w:t>l comprenait que si cette Cour Suprême devait régler et établir définitivement toutes les questions qui embrassaient les intérêts du Bas</w:t>
      </w:r>
      <w:r w:rsidRPr="008C4C16">
        <w:rPr>
          <w:rFonts w:cs="Times New Roman"/>
          <w:lang w:val="fr-CA"/>
        </w:rPr>
        <w:noBreakHyphen/>
        <w:t>Canada, cette province avait droit à deux juges sur les six » (</w:t>
      </w:r>
      <w:r w:rsidRPr="008C4C16">
        <w:rPr>
          <w:rFonts w:cs="Times New Roman"/>
          <w:i/>
          <w:lang w:val="fr-CA"/>
        </w:rPr>
        <w:t>Débats de 1875</w:t>
      </w:r>
      <w:r w:rsidRPr="008C4C16">
        <w:rPr>
          <w:rFonts w:cs="Times New Roman"/>
          <w:lang w:val="fr-CA"/>
        </w:rPr>
        <w:t>, 27 mars 1875, p. 993).  Monsieur Laflamme estimait qu’avec deux juges (un tiers) à la Cour suprême, pour le Québec, « la clause serait une sauvegarde plus considérable et meilleure que sous le présent système », soit celui des appels au Conseil privé (</w:t>
      </w:r>
      <w:r w:rsidRPr="008C4C16">
        <w:rPr>
          <w:rFonts w:cs="Times New Roman"/>
          <w:i/>
          <w:lang w:val="fr-CA"/>
        </w:rPr>
        <w:t>ibid</w:t>
      </w:r>
      <w:r w:rsidRPr="008C4C16">
        <w:rPr>
          <w:rFonts w:cs="Times New Roman"/>
          <w:lang w:val="fr-CA"/>
        </w:rPr>
        <w:t>.).  De son côté, Télesphore Fournier, le ministre de la Justice, principal porte</w:t>
      </w:r>
      <w:r w:rsidRPr="008C4C16">
        <w:rPr>
          <w:rFonts w:cs="Times New Roman"/>
          <w:lang w:val="fr-CA"/>
        </w:rPr>
        <w:noBreakHyphen/>
        <w:t>parole pour le projet de loi, a fait valoir que la connaissance du droit civil de ces deux juges bénéficierait à l’ensemble de la Cour : «</w:t>
      </w:r>
      <w:r w:rsidR="00CA2839">
        <w:rPr>
          <w:rFonts w:cs="Times New Roman"/>
          <w:lang w:val="fr-CA"/>
        </w:rPr>
        <w:t> </w:t>
      </w:r>
      <w:r w:rsidR="002D60E5">
        <w:rPr>
          <w:rFonts w:cs="Times New Roman"/>
          <w:lang w:val="fr-CA"/>
        </w:rPr>
        <w:t>. . .</w:t>
      </w:r>
      <w:r w:rsidRPr="008C4C16">
        <w:rPr>
          <w:rFonts w:cs="Times New Roman"/>
          <w:lang w:val="fr-CA"/>
        </w:rPr>
        <w:t> il y aura, parmi les juges sur le banc, des personnes parfaitement entendues dans la connaissance des lois de cette section de la Confédération, et ces personnes pourront donner le bénéfice de leurs lumières aux autres juges siégeant avec elles » (</w:t>
      </w:r>
      <w:r w:rsidRPr="008C4C16">
        <w:rPr>
          <w:rFonts w:cs="Times New Roman"/>
          <w:i/>
          <w:szCs w:val="24"/>
          <w:lang w:val="fr-CA"/>
        </w:rPr>
        <w:t>Débats de 1875</w:t>
      </w:r>
      <w:r w:rsidRPr="008C4C16">
        <w:rPr>
          <w:rFonts w:cs="Times New Roman"/>
          <w:szCs w:val="24"/>
          <w:lang w:val="fr-CA"/>
        </w:rPr>
        <w:t>, 16 mars 1875,</w:t>
      </w:r>
      <w:r w:rsidRPr="008C4C16">
        <w:rPr>
          <w:rFonts w:cs="Times New Roman"/>
          <w:lang w:val="fr-CA"/>
        </w:rPr>
        <w:t xml:space="preserve"> p. 799).  David Mills, qui appuyait le projet de loi, s’est fait le défenseur de la disposition réservant un nombre minimum de juges pour </w:t>
      </w:r>
      <w:r w:rsidRPr="008C4C16">
        <w:rPr>
          <w:rFonts w:cs="Times New Roman"/>
          <w:lang w:val="fr-CA"/>
        </w:rPr>
        <w:lastRenderedPageBreak/>
        <w:t xml:space="preserve">le Québec face aux critiques qui la taxaient d’« esprit de section ».  Selon lui, compte tenu du « système de jurisprudence entièrement différent » au Québec, « il n’était que raisonnable qu’il eût une </w:t>
      </w:r>
      <w:r w:rsidRPr="002D60E5">
        <w:rPr>
          <w:rFonts w:cs="Times New Roman"/>
          <w:i/>
          <w:lang w:val="fr-CA"/>
        </w:rPr>
        <w:t>garantie</w:t>
      </w:r>
      <w:r w:rsidRPr="008C4C16">
        <w:rPr>
          <w:rFonts w:cs="Times New Roman"/>
          <w:lang w:val="fr-CA"/>
        </w:rPr>
        <w:t xml:space="preserve"> qu’une portion de la cour comprît le système de lois qu’elle était appelée à administrer » (</w:t>
      </w:r>
      <w:r w:rsidRPr="008C4C16">
        <w:rPr>
          <w:rFonts w:cs="Times New Roman"/>
          <w:i/>
          <w:szCs w:val="24"/>
          <w:lang w:val="fr-CA"/>
        </w:rPr>
        <w:t>Débats de 1875</w:t>
      </w:r>
      <w:r w:rsidRPr="008C4C16">
        <w:rPr>
          <w:rFonts w:cs="Times New Roman"/>
          <w:szCs w:val="24"/>
          <w:lang w:val="fr-CA"/>
        </w:rPr>
        <w:t xml:space="preserve">, </w:t>
      </w:r>
      <w:r w:rsidRPr="008C4C16">
        <w:rPr>
          <w:rFonts w:cs="Times New Roman"/>
          <w:lang w:val="fr-CA"/>
        </w:rPr>
        <w:t>30 mars 1875, p. 1030 (</w:t>
      </w:r>
      <w:r w:rsidR="006F23FB">
        <w:rPr>
          <w:rFonts w:cs="Times New Roman"/>
          <w:lang w:val="fr-CA"/>
        </w:rPr>
        <w:t>nous soulignons</w:t>
      </w:r>
      <w:r w:rsidRPr="008C4C16">
        <w:rPr>
          <w:rFonts w:cs="Times New Roman"/>
          <w:lang w:val="fr-CA"/>
        </w:rPr>
        <w:t>)).</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La confiance du Québec envers la Cour dépendait de la présence de deux juges (un tiers) originaires du Québec.  Jacques</w:t>
      </w:r>
      <w:r w:rsidRPr="008C4C16">
        <w:rPr>
          <w:rFonts w:cs="Times New Roman"/>
          <w:lang w:val="fr-CA"/>
        </w:rPr>
        <w:noBreakHyphen/>
        <w:t>Olivier Bureau, un sénateur du Québec, a estimé justifié de [</w:t>
      </w:r>
      <w:r w:rsidRPr="008C4C16">
        <w:rPr>
          <w:rFonts w:cs="Times New Roman"/>
          <w:smallCaps/>
          <w:lang w:val="fr-CA"/>
        </w:rPr>
        <w:t xml:space="preserve">traduction] </w:t>
      </w:r>
      <w:r w:rsidRPr="008C4C16">
        <w:rPr>
          <w:rFonts w:cs="Times New Roman"/>
          <w:lang w:val="fr-CA"/>
        </w:rPr>
        <w:t xml:space="preserve">« confier les droits de ses concitoyens </w:t>
      </w:r>
      <w:r w:rsidR="002D60E5">
        <w:rPr>
          <w:rFonts w:cs="Times New Roman"/>
          <w:lang w:val="fr-CA"/>
        </w:rPr>
        <w:t>[.</w:t>
      </w:r>
      <w:r w:rsidR="00CA2839">
        <w:rPr>
          <w:rFonts w:cs="Times New Roman"/>
          <w:lang w:val="fr-CA"/>
        </w:rPr>
        <w:t> . </w:t>
      </w:r>
      <w:r w:rsidR="002D60E5">
        <w:rPr>
          <w:rFonts w:cs="Times New Roman"/>
          <w:lang w:val="fr-CA"/>
        </w:rPr>
        <w:t>.]</w:t>
      </w:r>
      <w:r w:rsidR="00CA2839">
        <w:rPr>
          <w:rFonts w:cs="Times New Roman"/>
          <w:lang w:val="fr-CA"/>
        </w:rPr>
        <w:t xml:space="preserve"> </w:t>
      </w:r>
      <w:r w:rsidRPr="008C4C16">
        <w:rPr>
          <w:rFonts w:cs="Times New Roman"/>
          <w:lang w:val="fr-CA"/>
        </w:rPr>
        <w:t>à cette Cour suprême, puisqu’il considérait que leurs droits seraient en sécurité dans une cour dont deux des juges proviendraient de la magistrature de cette province » (</w:t>
      </w:r>
      <w:r w:rsidR="006F23FB">
        <w:rPr>
          <w:rFonts w:cs="Times New Roman"/>
          <w:i/>
          <w:lang w:val="fr-CA"/>
        </w:rPr>
        <w:t>Debates of the Senate</w:t>
      </w:r>
      <w:r w:rsidRPr="008C4C16">
        <w:rPr>
          <w:rFonts w:cs="Times New Roman"/>
          <w:lang w:val="fr-CA"/>
        </w:rPr>
        <w:t>, 2</w:t>
      </w:r>
      <w:r w:rsidRPr="002D60E5">
        <w:rPr>
          <w:rFonts w:cs="Times New Roman"/>
          <w:vertAlign w:val="superscript"/>
          <w:lang w:val="fr-CA"/>
        </w:rPr>
        <w:t>e</w:t>
      </w:r>
      <w:r w:rsidRPr="008C4C16">
        <w:rPr>
          <w:rFonts w:cs="Times New Roman"/>
          <w:lang w:val="fr-CA"/>
        </w:rPr>
        <w:t> sess., 3</w:t>
      </w:r>
      <w:r w:rsidRPr="002D60E5">
        <w:rPr>
          <w:rFonts w:cs="Times New Roman"/>
          <w:vertAlign w:val="superscript"/>
          <w:lang w:val="fr-CA"/>
        </w:rPr>
        <w:t>e</w:t>
      </w:r>
      <w:r w:rsidRPr="008C4C16">
        <w:rPr>
          <w:rFonts w:cs="Times New Roman"/>
          <w:lang w:val="fr-CA"/>
        </w:rPr>
        <w:t> lég., 5 avril 1875, p. 713).  Les commentaires de Joseph</w:t>
      </w:r>
      <w:r w:rsidRPr="008C4C16">
        <w:rPr>
          <w:rFonts w:cs="Times New Roman"/>
          <w:lang w:val="fr-CA"/>
        </w:rPr>
        <w:noBreakHyphen/>
        <w:t>Aldéric Ouimet, député libéral</w:t>
      </w:r>
      <w:r w:rsidRPr="008C4C16">
        <w:rPr>
          <w:rFonts w:cs="Times New Roman"/>
          <w:lang w:val="fr-CA"/>
        </w:rPr>
        <w:noBreakHyphen/>
        <w:t xml:space="preserve">conservateur de Laval, soulignent également qu’il s’agissait d’une question de confiance envers la Cour : </w:t>
      </w:r>
    </w:p>
    <w:p w:rsidR="008B29FB" w:rsidRPr="008C4C16" w:rsidRDefault="008B29FB" w:rsidP="006B5FE2">
      <w:pPr>
        <w:pStyle w:val="Citation-AltC"/>
        <w:spacing w:after="240"/>
        <w:ind w:hanging="1166"/>
        <w:contextualSpacing w:val="0"/>
        <w:rPr>
          <w:lang w:val="fr-CA"/>
        </w:rPr>
      </w:pPr>
      <w:r w:rsidRPr="008C4C16">
        <w:rPr>
          <w:lang w:val="fr-CA"/>
        </w:rPr>
        <w:tab/>
        <w:t>Dans Québec un avocat doit avoir dix ans de pratique avant de pouvoir être nommé juge.  Les juges des autres provinces pourraient avoir la plus belle intelligence et le plus beau talent possible et cependant ne pas donner autant de satisfaction au peuple de Québec que leur propre Banc Judiciaire.</w:t>
      </w:r>
    </w:p>
    <w:p w:rsidR="008B29FB" w:rsidRPr="008C4C16" w:rsidRDefault="008B29FB" w:rsidP="002D60E5">
      <w:pPr>
        <w:pStyle w:val="Citation-AltC"/>
        <w:ind w:left="0" w:firstLine="4"/>
        <w:rPr>
          <w:lang w:val="fr-CA"/>
        </w:rPr>
      </w:pPr>
      <w:r w:rsidRPr="002D60E5">
        <w:rPr>
          <w:lang w:val="fr-CA"/>
        </w:rPr>
        <w:t>(</w:t>
      </w:r>
      <w:r w:rsidRPr="008C4C16">
        <w:rPr>
          <w:i/>
          <w:lang w:val="fr-CA"/>
        </w:rPr>
        <w:t xml:space="preserve">Débats </w:t>
      </w:r>
      <w:r w:rsidR="002D60E5">
        <w:rPr>
          <w:i/>
          <w:lang w:val="fr-CA"/>
        </w:rPr>
        <w:t xml:space="preserve">de </w:t>
      </w:r>
      <w:r w:rsidRPr="008C4C16">
        <w:rPr>
          <w:i/>
          <w:lang w:val="fr-CA"/>
        </w:rPr>
        <w:t>1875</w:t>
      </w:r>
      <w:r w:rsidRPr="008C4C16">
        <w:rPr>
          <w:lang w:val="fr-CA"/>
        </w:rPr>
        <w:t>, 27 mars 1875, p. 995)</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Les députés du gouvernement comme ceux de l’opposition ont considéré que l’attribution de deux postes de juge </w:t>
      </w:r>
      <w:r w:rsidR="00D41F2B" w:rsidRPr="008C4C16">
        <w:rPr>
          <w:rFonts w:cs="Times New Roman"/>
          <w:lang w:val="fr-CA"/>
        </w:rPr>
        <w:t xml:space="preserve">(un tiers) </w:t>
      </w:r>
      <w:r w:rsidRPr="008C4C16">
        <w:rPr>
          <w:rFonts w:cs="Times New Roman"/>
          <w:lang w:val="fr-CA"/>
        </w:rPr>
        <w:t>au Québec était un moyen d’assurer non seulement le bon fonctionnement, mais aussi la légitimité de la Cour suprême en tant qu’institution fédérale et bijuridique.</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lastRenderedPageBreak/>
        <w:t>Envisagé sous cet angle, l’objectif de l’art. 6 diffère manifestement de celui de l’art. 5.  L’article 5 établit un vaste bassin de candidats admissibles; l’art. 6 est plus restrictif.  Le Parlement considérait l’exclusion de candidats par ailleurs admissibles aux termes de l’art. 5 comme un moyen d’atteindre le double objectif de (i) garantir une expertise en droit civil et la représentation des traditions juridiques et des valeurs sociales du Québec à la Cour</w:t>
      </w:r>
      <w:r w:rsidR="00CC11E7">
        <w:rPr>
          <w:rFonts w:cs="Times New Roman"/>
          <w:lang w:val="fr-CA"/>
        </w:rPr>
        <w:t>,</w:t>
      </w:r>
      <w:r w:rsidRPr="008C4C16">
        <w:rPr>
          <w:rFonts w:cs="Times New Roman"/>
          <w:lang w:val="fr-CA"/>
        </w:rPr>
        <w:t xml:space="preserve"> et de (ii) renforcer la confiance du Québec envers la Cour.  Exiger que des membres actuels des institutions de droit civil soient nommés garantissait non seulement que ces juges soient qualifiés pour représenter le Québec, mais que les Québécois les perçoivent ainsi.</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On pourrait prétendre que l’exclusion des anciens avocats inscrits pendant au moins 10 ans au Barreau du Québec ne permet pas de réaliser parfaitement ce double objectif parce qu’elle risque d’exclure des candidats qui possèdent une expertise en droit civil et qui feraient effectivement bénéficier la Cour de leur connaissance des traditions juridiques et des valeurs sociales du Québec.  En d’autres mots, on pourrait prétendre que notre interprétation de l’art. 6 est trop limitative au regard des objets de cette disposition.</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Cet argument n’est pas convaincant.  Le législateur aurait pu retenir des critères différents pour réaliser le double objectif de l’art. 6 — en exigeant par exemple une évaluation qualitative de l’expertise des candidats en matière de droit civil et de traditions juridiques du Québec — mais il a plutôt choisi de favoriser la réalisation des objectifs de cette disposition en précisant des critères objectifs de nomination à un poste de la Cour réservé pour Québec.  En dernière analyse, le législateur doit tracer la ligne.  Les critères choisis par le législateur ne sont peut</w:t>
      </w:r>
      <w:r w:rsidRPr="008C4C16">
        <w:rPr>
          <w:rFonts w:cs="Times New Roman"/>
          <w:lang w:val="fr-CA"/>
        </w:rPr>
        <w:noBreakHyphen/>
        <w:t xml:space="preserve">être </w:t>
      </w:r>
      <w:r w:rsidRPr="008C4C16">
        <w:rPr>
          <w:rFonts w:cs="Times New Roman"/>
          <w:lang w:val="fr-CA"/>
        </w:rPr>
        <w:lastRenderedPageBreak/>
        <w:t xml:space="preserve">pas parfaits, mais ils favorisent la réalisation </w:t>
      </w:r>
      <w:r>
        <w:rPr>
          <w:rFonts w:cs="Times New Roman"/>
          <w:lang w:val="fr-CA"/>
        </w:rPr>
        <w:t>de l’objectif de</w:t>
      </w:r>
      <w:r w:rsidRPr="008C4C16">
        <w:rPr>
          <w:rFonts w:cs="Times New Roman"/>
          <w:lang w:val="fr-CA"/>
        </w:rPr>
        <w:t xml:space="preserve"> cette disposition : voir Michael Plaxton et Carissima Mathe</w:t>
      </w:r>
      <w:r w:rsidR="002D60E5">
        <w:rPr>
          <w:rFonts w:cs="Times New Roman"/>
          <w:lang w:val="fr-CA"/>
        </w:rPr>
        <w:t>n</w:t>
      </w:r>
      <w:r w:rsidRPr="008C4C16">
        <w:rPr>
          <w:rFonts w:cs="Times New Roman"/>
          <w:lang w:val="fr-CA"/>
        </w:rPr>
        <w:t xml:space="preserve">, « Purposive Interpretation, Quebec, and the </w:t>
      </w:r>
      <w:r w:rsidRPr="008C4C16">
        <w:rPr>
          <w:rFonts w:cs="Times New Roman"/>
          <w:i/>
          <w:lang w:val="fr-CA"/>
        </w:rPr>
        <w:t>Supreme Court Act</w:t>
      </w:r>
      <w:r w:rsidRPr="008C4C16">
        <w:rPr>
          <w:rFonts w:cs="Times New Roman"/>
          <w:lang w:val="fr-CA"/>
        </w:rPr>
        <w:t xml:space="preserve"> » (2013), 22 </w:t>
      </w:r>
      <w:r w:rsidRPr="008C4C16">
        <w:rPr>
          <w:rFonts w:cs="Times New Roman"/>
          <w:i/>
          <w:lang w:val="fr-CA"/>
        </w:rPr>
        <w:t xml:space="preserve">Const. Forum </w:t>
      </w:r>
      <w:r w:rsidRPr="008C4C16">
        <w:rPr>
          <w:rFonts w:cs="Times New Roman"/>
          <w:lang w:val="fr-CA"/>
        </w:rPr>
        <w:t>15, p. 20</w:t>
      </w:r>
      <w:r w:rsidRPr="008C4C16">
        <w:rPr>
          <w:rFonts w:cs="Times New Roman"/>
          <w:lang w:val="fr-CA"/>
        </w:rPr>
        <w:noBreakHyphen/>
        <w:t>22.</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Nous avons déjà conclu qu’une interprétation textuelle de l’art. 6 exclut la nomination d’anciens avocats.  L’interprétation téléologique de cet article nous amène à la même conclusion.  La disposition générale relative à l’admissibilité, l’art. 5, a pour objectif sous</w:t>
      </w:r>
      <w:r w:rsidRPr="008C4C16">
        <w:rPr>
          <w:rFonts w:cs="Times New Roman"/>
          <w:lang w:val="fr-CA"/>
        </w:rPr>
        <w:noBreakHyphen/>
        <w:t>jacent l’énonciation des conditions générales minimales applicables à la nomination de tous les juges de la Cour suprême.  Par contre, l’objectif sous</w:t>
      </w:r>
      <w:r w:rsidRPr="008C4C16">
        <w:rPr>
          <w:rFonts w:cs="Times New Roman"/>
          <w:lang w:val="fr-CA"/>
        </w:rPr>
        <w:noBreakHyphen/>
        <w:t>jacent de l’art. 6 consiste à consacrer le compromis historique qui a permis la création de la Cour, en restreignant les conditions d’admissibilité aux postes de juge réservés pour le Québec.  Il sert à limiter le pouvoir discrétionnaire par ailleurs large du gouverneur en conseil de nommer des juges, afin de garantir que la Cour suprême possède une expertise en droit civil et que les traditions juridiques et les valeurs sociales du Québec y soient représentées, ainsi qu’afin de renforcer la confiance des Québécois envers la Cour.</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Nous atteignons cette conclusion sans pour autant ignorer ou minimiser de quelque façon que ce soit l’expertise en droit civil des juges de la Cour fédérale et de la Cour d’appel fédérale.  À titre d’exemple, l’art. 5.4 de la </w:t>
      </w:r>
      <w:r w:rsidRPr="008C4C16">
        <w:rPr>
          <w:rFonts w:cs="Times New Roman"/>
          <w:i/>
          <w:lang w:val="fr-CA"/>
        </w:rPr>
        <w:t>Loi sur les Cours fédérales</w:t>
      </w:r>
      <w:r w:rsidRPr="008C4C16">
        <w:rPr>
          <w:rFonts w:cs="Times New Roman"/>
          <w:lang w:val="fr-CA"/>
        </w:rPr>
        <w:t>, L.R.C. 1985, ch. F</w:t>
      </w:r>
      <w:r w:rsidRPr="008C4C16">
        <w:rPr>
          <w:rFonts w:cs="Times New Roman"/>
          <w:lang w:val="fr-CA"/>
        </w:rPr>
        <w:noBreakHyphen/>
        <w:t xml:space="preserve">7, fait écho à bien des égards à l’art. 6 de la </w:t>
      </w:r>
      <w:r w:rsidRPr="008C4C16">
        <w:rPr>
          <w:rFonts w:cs="Times New Roman"/>
          <w:i/>
          <w:lang w:val="fr-CA"/>
        </w:rPr>
        <w:t>Loi sur la Cour suprême</w:t>
      </w:r>
      <w:r w:rsidRPr="008C4C16">
        <w:rPr>
          <w:rFonts w:cs="Times New Roman"/>
          <w:lang w:val="fr-CA"/>
        </w:rPr>
        <w:t xml:space="preserve"> en exigeant qu’un nombre minimum de juges de chacune de ces cours proviennent des institutions québécoises. Les juges originaires du Québec jouent un rôle vital au sein des cours fédérales.  Cependant, l’art. 6 précise que les juges des cours fédérales ne sont pas, à ce titre, admissibles à l’un des postes de juge de notre </w:t>
      </w:r>
      <w:r w:rsidRPr="008C4C16">
        <w:rPr>
          <w:rFonts w:cs="Times New Roman"/>
          <w:lang w:val="fr-CA"/>
        </w:rPr>
        <w:lastRenderedPageBreak/>
        <w:t xml:space="preserve">Cour réservés pour le Québec.  La question n’est pas de savoir si les membres civilistes des cours fédérales feraient d’excellents juges de la Cour suprême du Canada, mais de déterminer s’ils sont admissibles à une nomination en vertu de l’art. 6 à titre d’anciens avocats, plutôt que d’avocats actuels, de la province de Québec.  Nous concluons qu’ils ne le sont pas. </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Certains arguments qui nous ont été présentés s’appuient fortement sur le contexte découlant des négociations constitutionnelles qui ont suivi le rapatriement de la Constitution en 1982, en particulier sur le consentement du Québec aux réformes constitutionnelles proposées, qui auraient explicitement rendu les juges de la Cour fédérale et de la Cour d’appel fédérale admissibles à l’un des postes de juge de la Cour réservés pour le Québec.  L’Accord de Charlottetown allait plus loin en stipulant qu’il inscrivait dans la Constitution les dispositions actuelles de la </w:t>
      </w:r>
      <w:r w:rsidRPr="008C4C16">
        <w:rPr>
          <w:rFonts w:cs="Times New Roman"/>
          <w:i/>
          <w:lang w:val="fr-CA"/>
        </w:rPr>
        <w:t>Loi sur la Cour suprême</w:t>
      </w:r>
      <w:r w:rsidRPr="008C4C16">
        <w:rPr>
          <w:rFonts w:cs="Times New Roman"/>
          <w:lang w:val="fr-CA"/>
        </w:rPr>
        <w:t xml:space="preserve"> prévoyant « neuf juges, dont trois doivent avoir été reçus au barreau du Québec (barreau de droit civil) » (</w:t>
      </w:r>
      <w:r w:rsidRPr="008C4C16">
        <w:rPr>
          <w:rFonts w:cs="Times New Roman"/>
          <w:i/>
          <w:lang w:val="fr-CA"/>
        </w:rPr>
        <w:t>Rapport du consensus sur la Constitution : Charlottetown</w:t>
      </w:r>
      <w:r w:rsidRPr="008C4C16">
        <w:rPr>
          <w:rFonts w:cs="Times New Roman"/>
          <w:lang w:val="fr-CA"/>
        </w:rPr>
        <w:t xml:space="preserve"> (1992), p. 8</w:t>
      </w:r>
      <w:r>
        <w:rPr>
          <w:rFonts w:cs="Times New Roman"/>
          <w:lang w:val="fr-CA"/>
        </w:rPr>
        <w:t>)</w:t>
      </w:r>
      <w:r w:rsidRPr="008C4C16">
        <w:rPr>
          <w:rFonts w:cs="Times New Roman"/>
          <w:lang w:val="fr-CA"/>
        </w:rPr>
        <w:t>.  Le consentement du Québec démontrait, plaide</w:t>
      </w:r>
      <w:r w:rsidRPr="008C4C16">
        <w:rPr>
          <w:rFonts w:cs="Times New Roman"/>
          <w:lang w:val="fr-CA"/>
        </w:rPr>
        <w:noBreakHyphen/>
        <w:t>t</w:t>
      </w:r>
      <w:r w:rsidRPr="008C4C16">
        <w:rPr>
          <w:rFonts w:cs="Times New Roman"/>
          <w:lang w:val="fr-CA"/>
        </w:rPr>
        <w:noBreakHyphen/>
        <w:t>on, que ce dernier acceptait ces conditions de nomination.</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Cet argument n’est pas convaincant.  Les négociations en vue des accords du Lac Meech et de Charlottetown au sujet des conditions de nomination à la Cour ont été entreprises dans le contexte de discussions plus vastes sur des questions intéressant le fédéral et les provinces, qui comprenaient une participation plus importante des provinces au processus de nomination des juges de la Cour suprême.  Dans le cas du Québec, les modifications proposées auraient diminué l’importance de l’art. 6 en tant que seule mesure de sauvegarde des intérêts du Québec à la Cour </w:t>
      </w:r>
      <w:r w:rsidRPr="008C4C16">
        <w:rPr>
          <w:rFonts w:cs="Times New Roman"/>
          <w:lang w:val="fr-CA"/>
        </w:rPr>
        <w:lastRenderedPageBreak/>
        <w:t>suprême.  En effet, ces propositions auraient exigé que le gouverneur général en conseil</w:t>
      </w:r>
      <w:r>
        <w:rPr>
          <w:rFonts w:cs="Times New Roman"/>
          <w:lang w:val="fr-CA"/>
        </w:rPr>
        <w:t xml:space="preserve"> </w:t>
      </w:r>
      <w:r w:rsidRPr="008C4C16">
        <w:rPr>
          <w:rFonts w:cs="Times New Roman"/>
          <w:lang w:val="fr-CA"/>
        </w:rPr>
        <w:t>nomme une personne dont le nom figurerait sur une liste fournie par le Québec.  Dans ce contexte, il faut nous garder de toute inférence selon laquelle tous s’entendaient pour donner de l’art. 6 une interprétation différente de celle que nous adoptons.</w:t>
      </w:r>
    </w:p>
    <w:p w:rsidR="008B29FB" w:rsidRPr="008C4C16" w:rsidRDefault="008B29FB" w:rsidP="006B5FE2">
      <w:pPr>
        <w:pStyle w:val="Title3LevelTitre3Niveau"/>
        <w:keepNext w:val="0"/>
        <w:rPr>
          <w:rFonts w:cs="Times New Roman"/>
          <w:lang w:val="fr-CA"/>
        </w:rPr>
      </w:pPr>
      <w:r w:rsidRPr="008C4C16">
        <w:rPr>
          <w:rFonts w:cs="Times New Roman"/>
          <w:lang w:val="fr-CA"/>
        </w:rPr>
        <w:t>Contexte législatif</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L’économie générale de la </w:t>
      </w:r>
      <w:r w:rsidRPr="008C4C16">
        <w:rPr>
          <w:rFonts w:cs="Times New Roman"/>
          <w:i/>
          <w:lang w:val="fr-CA"/>
        </w:rPr>
        <w:t>Loi sur la Cour suprême</w:t>
      </w:r>
      <w:r w:rsidRPr="008C4C16">
        <w:rPr>
          <w:rFonts w:cs="Times New Roman"/>
          <w:lang w:val="fr-CA"/>
        </w:rPr>
        <w:t xml:space="preserve"> renforce la conclusion à laquelle nous a amenés une interprétation textuelle et téléologique.  En plus d’indiquer quelles personnes peuvent être nommées juges de la Cour suprême du Canada, la Loi indique quels juges des autres cours peuvent agir à titre de juges suppléants de la Cour.  Les juges des cours fédérales et de la Cour canadienne de l’impôt, qui sont admissibles à siéger à titre de juges suppléants en général, ne peuvent siéger pour l’audition de l’appel d’un jugement rendu au Québec lorsque le quorum de la Cour n’inclut pas au moins deux des juges nommés aux termes de l’art. 6.  Autrement dit, les dispositions régissant l’admissibilité à siéger à titre de juge suppléant de la Cour comportent la même distinction entre l’admissibilité générale et l’admissibilité à un poste de juge réservé pour le Québec.  Il ne s’agit pas d’affirmer que ces juges sont exclus pour l’application de l’art. 6 simplement parce qu’ils sont exclus pour l’application du par. 30(2) de la Loi.  Le fait est plutôt que l’exclusion prévue au par. 30(2) s’inscrit dans le contexte général qui doit être pris en compte pour l’interprétation des art. 5 et 6 de la Loi. </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En principe, cinq juges constituent le quorum de la Cour : art. 25 et 29 de la Loi.  Lorsque le quorum n’est pas atteint, le par. 30(1) prévoit qu’u</w:t>
      </w:r>
      <w:r w:rsidR="005C425B">
        <w:rPr>
          <w:rFonts w:cs="Times New Roman"/>
          <w:lang w:val="fr-CA"/>
        </w:rPr>
        <w:t xml:space="preserve">n juge suppléant </w:t>
      </w:r>
      <w:r w:rsidR="005C425B">
        <w:rPr>
          <w:rFonts w:cs="Times New Roman"/>
          <w:lang w:val="fr-CA"/>
        </w:rPr>
        <w:lastRenderedPageBreak/>
        <w:t xml:space="preserve">peut provenir </w:t>
      </w:r>
      <w:r w:rsidRPr="008C4C16">
        <w:rPr>
          <w:rFonts w:cs="Times New Roman"/>
          <w:lang w:val="fr-CA"/>
        </w:rPr>
        <w:t>a) de la Cour d’appel fédérale, de la Cour fédérale ou de la Cour canadienne de</w:t>
      </w:r>
      <w:r w:rsidR="005C425B">
        <w:rPr>
          <w:rFonts w:cs="Times New Roman"/>
          <w:lang w:val="fr-CA"/>
        </w:rPr>
        <w:t xml:space="preserve"> l’impôt, ou, en leur absence, </w:t>
      </w:r>
      <w:r w:rsidRPr="008C4C16">
        <w:rPr>
          <w:rFonts w:cs="Times New Roman"/>
          <w:lang w:val="fr-CA"/>
        </w:rPr>
        <w:t>b) des cours supérieures des provinces.  Toutefois, aux termes du par. 30(2), lorsque les juges capables de siéger ne comprennent pas au moins deux juges qui remplissent les conditions fixées à l’art. 6, — c’est</w:t>
      </w:r>
      <w:r w:rsidRPr="008C4C16">
        <w:rPr>
          <w:rFonts w:cs="Times New Roman"/>
          <w:lang w:val="fr-CA"/>
        </w:rPr>
        <w:noBreakHyphen/>
        <w:t>à</w:t>
      </w:r>
      <w:r w:rsidRPr="008C4C16">
        <w:rPr>
          <w:rFonts w:cs="Times New Roman"/>
          <w:lang w:val="fr-CA"/>
        </w:rPr>
        <w:noBreakHyphen/>
        <w:t>dire deux juges issus de la magistrature ou du barreau de la province de Québec — le juge suppléant choisi pour l’audition d’un appel d’un jugement rendu au Québec doit provenir de la Cour d’appel ou de la Cour supérieure du Québec.</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Ainsi, les juges de la Cour fédérale, de la Cour d’appel fédérale et de la Cour canadienne de l’impôt satisfont aux conditions de nomination générales pour siéger à titre de juge suppléant de la Cour aux termes du par. 30(1), mais ils ne satisfont pas aux conditions plus restrictives fixées au par. 30(2) pour remplacer, à titre de juge suppléant, un juge provenant du Québec.  En effet, le par</w:t>
      </w:r>
      <w:r w:rsidR="002D60E5">
        <w:rPr>
          <w:rFonts w:cs="Times New Roman"/>
          <w:lang w:val="fr-CA"/>
        </w:rPr>
        <w:t>.</w:t>
      </w:r>
      <w:r w:rsidRPr="008C4C16">
        <w:rPr>
          <w:rFonts w:cs="Times New Roman"/>
          <w:lang w:val="fr-CA"/>
        </w:rPr>
        <w:t> 30(2) mentionne expressément les juges qui remplissent les « conditions fixées à l’article 6 », de sorte que les deux articles sont explicitement liés.  De plus, les art. 5 et 6 et les par. 30(1) et 30(2) comportent la même distinction entre les conditions de nomination générales (art. 5 et par. 30(1)) et les conditions plus restrictives pour les postes de juge de la Cour réservés pour le Québec (art. 6 et par. 30(2)).</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Le fait que les juges de la Cour fédérale et de la Cour d’appel fédérale ne peuvent pas être nommés juges suppléants pour le Québec appuie la conclusion suivant laquelle ces juges sont, de la même manière, exclus d’une nomination à la Cour en vertu de l’art. 6.</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lastRenderedPageBreak/>
        <w:t>On a suggéré qu’il ne faudrait pas accorder d’importance aux termes de l’art. 30 parce qu’il s’agirait d’une disposition désuète à laquelle on n’a pas eu recours depuis la seconde décennie du 20</w:t>
      </w:r>
      <w:r w:rsidRPr="008C4C16">
        <w:rPr>
          <w:rFonts w:cs="Times New Roman"/>
          <w:vertAlign w:val="superscript"/>
          <w:lang w:val="fr-CA"/>
        </w:rPr>
        <w:t>e</w:t>
      </w:r>
      <w:r w:rsidRPr="008C4C16">
        <w:rPr>
          <w:rFonts w:cs="Times New Roman"/>
          <w:lang w:val="fr-CA"/>
        </w:rPr>
        <w:t xml:space="preserve"> siècle.  Nous ne sommes pas d’accord.  L’historique de la Loi donne à penser que l’exclusion des juges des cours fédérales des postes de juge suppléant pour le Québec ne résulte pas d’un simple oubli.  Après la création de la Cour fédérale dans les années 70, on a révisé le par. 30(1) de la </w:t>
      </w:r>
      <w:r w:rsidRPr="008C4C16">
        <w:rPr>
          <w:rFonts w:cs="Times New Roman"/>
          <w:i/>
          <w:lang w:val="fr-CA"/>
        </w:rPr>
        <w:t>Loi sur la Cour suprême</w:t>
      </w:r>
      <w:r w:rsidRPr="008C4C16">
        <w:rPr>
          <w:rFonts w:cs="Times New Roman"/>
          <w:lang w:val="fr-CA"/>
        </w:rPr>
        <w:t xml:space="preserve"> pour y faire mention de la Cour fédérale (</w:t>
      </w:r>
      <w:r w:rsidRPr="008C4C16">
        <w:rPr>
          <w:rFonts w:cs="Times New Roman"/>
          <w:i/>
          <w:lang w:val="fr-CA"/>
        </w:rPr>
        <w:t>Loi sur la Cour fédérale</w:t>
      </w:r>
      <w:r w:rsidRPr="008C4C16">
        <w:rPr>
          <w:rFonts w:cs="Times New Roman"/>
          <w:lang w:val="fr-CA"/>
        </w:rPr>
        <w:t xml:space="preserve">, </w:t>
      </w:r>
      <w:r w:rsidR="002D60E5">
        <w:rPr>
          <w:rFonts w:cs="Times New Roman"/>
          <w:lang w:val="fr-CA"/>
        </w:rPr>
        <w:t>S</w:t>
      </w:r>
      <w:r w:rsidRPr="008C4C16">
        <w:rPr>
          <w:rFonts w:cs="Times New Roman"/>
          <w:lang w:val="fr-CA"/>
        </w:rPr>
        <w:t>.R.C. 1970, ch. 10 (2</w:t>
      </w:r>
      <w:r w:rsidRPr="008C4C16">
        <w:rPr>
          <w:rFonts w:cs="Times New Roman"/>
          <w:vertAlign w:val="superscript"/>
          <w:lang w:val="fr-CA"/>
        </w:rPr>
        <w:t>e</w:t>
      </w:r>
      <w:r w:rsidRPr="008C4C16">
        <w:rPr>
          <w:rFonts w:cs="Times New Roman"/>
          <w:lang w:val="fr-CA"/>
        </w:rPr>
        <w:t xml:space="preserve"> suppl.)</w:t>
      </w:r>
      <w:r w:rsidR="00636E2F">
        <w:rPr>
          <w:rFonts w:cs="Times New Roman"/>
          <w:lang w:val="fr-CA"/>
        </w:rPr>
        <w:t>,</w:t>
      </w:r>
      <w:r w:rsidRPr="008C4C16">
        <w:rPr>
          <w:rFonts w:cs="Times New Roman"/>
          <w:lang w:val="fr-CA"/>
        </w:rPr>
        <w:t xml:space="preserve"> art. 64).  Même si l’objectif de la révision était expressément de mentionner la Cour fédérale dans la Loi, comme au par</w:t>
      </w:r>
      <w:r>
        <w:rPr>
          <w:rFonts w:cs="Times New Roman"/>
          <w:lang w:val="fr-CA"/>
        </w:rPr>
        <w:t>.</w:t>
      </w:r>
      <w:r w:rsidRPr="008C4C16">
        <w:rPr>
          <w:rFonts w:cs="Times New Roman"/>
          <w:lang w:val="fr-CA"/>
        </w:rPr>
        <w:t> 30(1), le législateur n’a pas modifié la disposition qui la suit immédiatement, le par. 30(2).  De même, il n’a pas modifié le par. 30(2) en 2002, lorsqu’il a modifié le par. 30(1) pour mentionner les deux nouvelles cours distinctes, la Cour d’appel fédérale et la Cour canadienne de l’impôt (</w:t>
      </w:r>
      <w:r w:rsidR="002D60E5">
        <w:rPr>
          <w:rFonts w:cs="Times New Roman"/>
          <w:lang w:val="fr-CA"/>
        </w:rPr>
        <w:t>L</w:t>
      </w:r>
      <w:r w:rsidRPr="008C4C16">
        <w:rPr>
          <w:rFonts w:cs="Times New Roman"/>
          <w:lang w:val="fr-CA"/>
        </w:rPr>
        <w:t>.C. 2002, ch. 8, art. 175).  Même si elle n’est pas concluante, l’omission répétée d’inclure les juges de la Cour fédérale et de la Cour d’appel fédérale provenant du Québec parmi les juges suppléants qui peuvent siéger à notre Cour en remplacement de juges nommés aux termes de l’art. 6 laisse croire que leur exclusion était délibérée.  Cette exclusion est compatible avec le fait que les juges de ces mêmes cours ne peuvent être nommés aux termes de l’art. 6.</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Lorsque l’art</w:t>
      </w:r>
      <w:r w:rsidR="002D60E5">
        <w:rPr>
          <w:rFonts w:cs="Times New Roman"/>
          <w:lang w:val="fr-CA"/>
        </w:rPr>
        <w:t>.</w:t>
      </w:r>
      <w:r w:rsidRPr="008C4C16">
        <w:rPr>
          <w:rFonts w:cs="Times New Roman"/>
          <w:lang w:val="fr-CA"/>
        </w:rPr>
        <w:t xml:space="preserve"> 30 a été édicté à l’origine en 1918 (S.C. 1918, ch. 7, art. 1), le juge adjoint de la Cour de l’Échiquier provenait du Québec.  S’il avait été nommé juge suppléant pour entendre une affaire provenant d’une province de common law, une majorité du quorum qui aurait tranché le litige aurait été composée de juristes de formation civiliste.  Le Parlement a jugé que cette conséquence n’était pas souhaitable.  L’historique législatif explique pourquoi le juge adjoint de la Cour de </w:t>
      </w:r>
      <w:r w:rsidRPr="008C4C16">
        <w:rPr>
          <w:rFonts w:cs="Times New Roman"/>
          <w:lang w:val="fr-CA"/>
        </w:rPr>
        <w:lastRenderedPageBreak/>
        <w:t>l’Échiquier ne pouvait agir comme juge suppléant pour entendre les appels de décisions rendues dans une province de common law.  Il n’explique toutefois pas pourquoi ce juge ne pouvait pas non plus agir comme juge suppléant pour entendre les appels d’une décision rendue au Québec, alors que la représentation du Québec aurait ainsi été préservée pour l’audition des appels provenant de cette province.  Depuis qu’il a prévu pour la première fois la nomination de juges suppléants, le Parlement a toujours refusé que les juges des cours fédérales, ou de la Cour de l’Échiquier qu’elles ont remplacée,</w:t>
      </w:r>
      <w:r>
        <w:rPr>
          <w:rFonts w:cs="Times New Roman"/>
          <w:lang w:val="fr-CA"/>
        </w:rPr>
        <w:t xml:space="preserve"> </w:t>
      </w:r>
      <w:r w:rsidRPr="008C4C16">
        <w:rPr>
          <w:rFonts w:cs="Times New Roman"/>
          <w:lang w:val="fr-CA"/>
        </w:rPr>
        <w:t xml:space="preserve">siègent en qualité de juges suppléants à la Cour suprême dans les appels des décisions rendues au Québec.  S’il s’agit d’une anomalie, le Parlement l’a créée délibérément et l’a toujours maintenue.  </w:t>
      </w:r>
    </w:p>
    <w:p w:rsidR="008B29FB" w:rsidRPr="008C4C16" w:rsidRDefault="008B29FB" w:rsidP="006B5FE2">
      <w:pPr>
        <w:pStyle w:val="Title3LevelTitre3Niveau"/>
        <w:keepNext w:val="0"/>
        <w:rPr>
          <w:rFonts w:cs="Times New Roman"/>
          <w:lang w:val="fr-CA"/>
        </w:rPr>
      </w:pPr>
      <w:r w:rsidRPr="008C4C16">
        <w:rPr>
          <w:rFonts w:cs="Times New Roman"/>
          <w:lang w:val="fr-CA"/>
        </w:rPr>
        <w:t>Conclusion</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Nous concluons donc que l’art. 5 établit les conditions générales de nomination d’un vaste bassin de personnes admissibles à un poste de juge à la Cour suprême du Canada. Cependant, dans le cas des trois postes de juge réservés pour le Québec, l’art. 6 commande une interprétation plus restrictive des conditions d’admissibilité pour qu’il reflète le compromis historique destiné à protéger les traditions juridiques et les valeurs sociales du Québec.</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Nous concluons qu’une personne qui a été autrefois inscrite pendant au moins 10 ans au Barreau du Québec peut être nommée juge de la Cour en vertu de l’art. 5 de la </w:t>
      </w:r>
      <w:r w:rsidRPr="008C4C16">
        <w:rPr>
          <w:rFonts w:cs="Times New Roman"/>
          <w:i/>
          <w:lang w:val="fr-CA"/>
        </w:rPr>
        <w:t>Loi sur la Cour suprême</w:t>
      </w:r>
      <w:r w:rsidRPr="008C4C16">
        <w:rPr>
          <w:rFonts w:cs="Times New Roman"/>
          <w:lang w:val="fr-CA"/>
        </w:rPr>
        <w:t xml:space="preserve">, mais ne peut pas être nommée en vertu de l’art. 6.  Pour être admissible à l’un des trois postes de juge visés à l’art. 6 il faut, en plus de satisfaire aux conditions fixées à l’art. 5, être soit membre du Barreau du Québec soit juge de la Cour d’appel ou de la Cour supérieure du Québec au moment </w:t>
      </w:r>
      <w:r w:rsidRPr="008C4C16">
        <w:rPr>
          <w:rFonts w:cs="Times New Roman"/>
          <w:lang w:val="fr-CA"/>
        </w:rPr>
        <w:lastRenderedPageBreak/>
        <w:t xml:space="preserve">de la nomination.  En conséquence, un juge de la Cour fédérale ou de la Cour d’appel fédérale ne peut être nommé à la Cour en vertu de l’art. 6 de la Loi. </w:t>
      </w:r>
    </w:p>
    <w:p w:rsidR="008B29FB" w:rsidRPr="008C4C16" w:rsidRDefault="008B29FB" w:rsidP="006B5FE2">
      <w:pPr>
        <w:pStyle w:val="ParaNoNdepar-AltN"/>
        <w:rPr>
          <w:rFonts w:cs="Times New Roman"/>
          <w:lang w:val="fr-CA"/>
        </w:rPr>
      </w:pPr>
      <w:r w:rsidRPr="008C4C16">
        <w:rPr>
          <w:rFonts w:cs="Times New Roman"/>
          <w:lang w:val="fr-CA"/>
        </w:rPr>
        <w:t>Nous soulignons en passant que le renvoi ne soulève pas la question de savoir si un juge de la Cour fédérale ou de la Cour d’appel fédérale qui a été autrefois inscrit au Barreau du Québec pendant au moins 10 ans pourrait s’y réinscrire pendant un jour pour être admissible à une nomination à la Cour en vertu de l’art. 6.  Nous ne nous prononçons donc pas sur cette question.</w:t>
      </w:r>
    </w:p>
    <w:p w:rsidR="008B29FB" w:rsidRPr="008C4C16" w:rsidRDefault="008B29FB" w:rsidP="006B5FE2">
      <w:pPr>
        <w:pStyle w:val="Title1LevelTitre1Niveau-AltL"/>
        <w:keepNext w:val="0"/>
        <w:rPr>
          <w:rFonts w:cs="Times New Roman"/>
          <w:lang w:val="fr-CA"/>
        </w:rPr>
      </w:pPr>
      <w:r w:rsidRPr="008C4C16">
        <w:rPr>
          <w:rFonts w:cs="Times New Roman"/>
          <w:lang w:val="fr-CA"/>
        </w:rPr>
        <w:t>Question 2</w:t>
      </w:r>
    </w:p>
    <w:p w:rsidR="008B29FB" w:rsidRPr="008C4C16" w:rsidRDefault="008B29FB" w:rsidP="006B5FE2">
      <w:pPr>
        <w:pStyle w:val="Title2LevelTitre2Niveau"/>
        <w:keepNext w:val="0"/>
        <w:ind w:left="576" w:hanging="576"/>
        <w:rPr>
          <w:rFonts w:cs="Times New Roman"/>
          <w:lang w:val="fr-CA"/>
        </w:rPr>
      </w:pPr>
      <w:r w:rsidRPr="008C4C16">
        <w:rPr>
          <w:rFonts w:cs="Times New Roman"/>
          <w:lang w:val="fr-CA"/>
        </w:rPr>
        <w:t>La question</w:t>
      </w:r>
    </w:p>
    <w:p w:rsidR="008B29FB" w:rsidRPr="008C4C16" w:rsidRDefault="002D60E5" w:rsidP="003D53E7">
      <w:pPr>
        <w:pStyle w:val="Citation-AltC"/>
        <w:ind w:left="630" w:hanging="630"/>
        <w:rPr>
          <w:lang w:val="fr-CA"/>
        </w:rPr>
      </w:pPr>
      <w:r>
        <w:rPr>
          <w:lang w:val="fr-CA"/>
        </w:rPr>
        <w:t>2.</w:t>
      </w:r>
      <w:r w:rsidR="008B29FB" w:rsidRPr="008C4C16">
        <w:rPr>
          <w:lang w:val="fr-CA"/>
        </w:rPr>
        <w:tab/>
        <w:t>Le Parlement peut</w:t>
      </w:r>
      <w:r w:rsidR="008B29FB" w:rsidRPr="008C4C16">
        <w:rPr>
          <w:lang w:val="fr-CA"/>
        </w:rPr>
        <w:noBreakHyphen/>
        <w:t xml:space="preserve">il légiférer pour exiger, à titre de condition de sa nomination au poste de juge de la Cour suprême du Canada, qu’une personne soit ou ait été inscrite comme avocat au barreau d’une province pendant au moins dix ans ou adopter des dispositions déclaratoires telles que celles prévues aux articles 471 et 472 du projet de loi intitulé </w:t>
      </w:r>
      <w:r w:rsidR="008B29FB" w:rsidRPr="008C4C16">
        <w:rPr>
          <w:i/>
          <w:lang w:val="fr-CA"/>
        </w:rPr>
        <w:t>Loi n</w:t>
      </w:r>
      <w:r w:rsidR="008B29FB" w:rsidRPr="003D53E7">
        <w:rPr>
          <w:i/>
          <w:vertAlign w:val="superscript"/>
          <w:lang w:val="fr-CA"/>
        </w:rPr>
        <w:t>o</w:t>
      </w:r>
      <w:r w:rsidR="008B29FB" w:rsidRPr="008C4C16">
        <w:rPr>
          <w:i/>
          <w:lang w:val="fr-CA"/>
        </w:rPr>
        <w:t xml:space="preserve"> 2 sur le plan d’action économique de 2013</w:t>
      </w:r>
      <w:r w:rsidR="003D53E7">
        <w:rPr>
          <w:lang w:val="fr-CA"/>
        </w:rPr>
        <w:t>, ci-annexé</w:t>
      </w:r>
      <w:r w:rsidR="008B29FB" w:rsidRPr="008C4C16">
        <w:rPr>
          <w:lang w:val="fr-CA"/>
        </w:rPr>
        <w:t>?</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Comme nous avons conclu que, pour être admissible à l’un des postes de juge visés à l’art. 6 il faut, en plus de satisfaire aux conditions fixées à l’art. 5, être soit membre du Barreau du Québec soit juge de la Cour d’appel ou de la Cour supérieure du Québec au moment de la nomination, nous devons examiner la seconde question et déterminer si le Parlement peut adopter des dispositions déclaratoires qui modifieraient la composition de la Cour suprême du Canada.</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Le procureur général du Canada plaide que les conditions de nomination prévues à l’art. 6 ne sont pas inscrites dans la Constitution.  Selon ses prétentions, le </w:t>
      </w:r>
      <w:r w:rsidRPr="008C4C16">
        <w:rPr>
          <w:rFonts w:cs="Times New Roman"/>
          <w:lang w:val="fr-CA"/>
        </w:rPr>
        <w:lastRenderedPageBreak/>
        <w:t xml:space="preserve">Parlement conserve le plein pouvoir de modifier unilatéralement les conditions de nomination fixées aux art. 5 et 6 en vertu de l’art. 101 de la </w:t>
      </w:r>
      <w:r w:rsidRPr="008C4C16">
        <w:rPr>
          <w:rFonts w:cs="Times New Roman"/>
          <w:i/>
          <w:lang w:val="fr-CA"/>
        </w:rPr>
        <w:t>Loi constitutionnelle de 1867</w:t>
      </w:r>
      <w:r w:rsidRPr="008C4C16">
        <w:rPr>
          <w:rFonts w:cs="Times New Roman"/>
          <w:lang w:val="fr-CA"/>
        </w:rPr>
        <w:t>.</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Nous ne sommes pas d’accord.  Le Parlement ne peut pas modifier unilatéralement la composition de la Cour suprême du Canada.  Les caractéristiques essentielles de la Cour sont protégées par la partie V de la </w:t>
      </w:r>
      <w:r w:rsidRPr="008C4C16">
        <w:rPr>
          <w:rFonts w:cs="Times New Roman"/>
          <w:i/>
          <w:lang w:val="fr-CA"/>
        </w:rPr>
        <w:t>Loi constitutionnelle de 1982</w:t>
      </w:r>
      <w:r w:rsidRPr="008C4C16">
        <w:rPr>
          <w:rFonts w:cs="Times New Roman"/>
          <w:lang w:val="fr-CA"/>
        </w:rPr>
        <w:t>.  La composition de la Cour ne peut être modifiée que conformément à l’art. 41</w:t>
      </w:r>
      <w:r w:rsidRPr="0077155D">
        <w:rPr>
          <w:rStyle w:val="Hyperlink"/>
          <w:u w:val="none"/>
          <w:vertAlign w:val="superscript"/>
        </w:rPr>
        <w:footnoteReference w:id="1"/>
      </w:r>
      <w:r w:rsidRPr="008C4C16">
        <w:rPr>
          <w:rFonts w:cs="Times New Roman"/>
          <w:lang w:val="fr-CA"/>
        </w:rPr>
        <w:t xml:space="preserve"> de la </w:t>
      </w:r>
      <w:r w:rsidRPr="008C4C16">
        <w:rPr>
          <w:rFonts w:cs="Times New Roman"/>
          <w:i/>
          <w:lang w:val="fr-CA"/>
        </w:rPr>
        <w:t>Loi constitutionnelle de 1982</w:t>
      </w:r>
      <w:r w:rsidRPr="008C4C16">
        <w:rPr>
          <w:rFonts w:cs="Times New Roman"/>
          <w:lang w:val="fr-CA"/>
        </w:rPr>
        <w:t xml:space="preserve"> et, partant, pareille modification requiert le consentement unanime du Parlement et de l’assemblée législative de chaque province.  Les autres caractéristiques essentielles de la Cour ne peuvent être modifiées que conformément à l’art. 42</w:t>
      </w:r>
      <w:r w:rsidRPr="0077155D">
        <w:rPr>
          <w:rStyle w:val="Hyperlink"/>
          <w:u w:val="none"/>
          <w:vertAlign w:val="superscript"/>
        </w:rPr>
        <w:footnoteReference w:id="2"/>
      </w:r>
      <w:r w:rsidRPr="008C4C16">
        <w:rPr>
          <w:rFonts w:cs="Times New Roman"/>
          <w:lang w:val="fr-CA"/>
        </w:rPr>
        <w:t xml:space="preserve"> de la </w:t>
      </w:r>
      <w:r w:rsidRPr="008C4C16">
        <w:rPr>
          <w:rFonts w:cs="Times New Roman"/>
          <w:i/>
          <w:lang w:val="fr-CA"/>
        </w:rPr>
        <w:t>Loi constitutionnelle de 1982</w:t>
      </w:r>
      <w:r w:rsidRPr="008C4C16">
        <w:rPr>
          <w:rFonts w:cs="Times New Roman"/>
          <w:lang w:val="fr-CA"/>
        </w:rPr>
        <w:t>, qui exige le consentement d’au moins sept provinces représentant, au total, au moins la moitié de la population de toutes les provinces.</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Nous examinerons comment la Cour a acquis une protection constitutionnelle au cours de l’histoire, puis nous répondrons aux arguments du </w:t>
      </w:r>
      <w:r w:rsidRPr="008C4C16">
        <w:rPr>
          <w:rFonts w:cs="Times New Roman"/>
          <w:lang w:val="fr-CA"/>
        </w:rPr>
        <w:lastRenderedPageBreak/>
        <w:t xml:space="preserve">procureur général du Canada sur cette question.  Enfin, nous traiterons de l’effet des dispositions déclaratoires adoptées par le Parlement.  </w:t>
      </w:r>
    </w:p>
    <w:p w:rsidR="008B29FB" w:rsidRPr="008C4C16" w:rsidRDefault="008B29FB" w:rsidP="006B5FE2">
      <w:pPr>
        <w:pStyle w:val="Title2LevelTitre2Niveau"/>
        <w:keepNext w:val="0"/>
        <w:ind w:left="576" w:hanging="576"/>
        <w:rPr>
          <w:rFonts w:cs="Times New Roman"/>
          <w:i w:val="0"/>
          <w:lang w:val="fr-CA"/>
        </w:rPr>
      </w:pPr>
      <w:r w:rsidRPr="008C4C16">
        <w:rPr>
          <w:rFonts w:cs="Times New Roman"/>
          <w:lang w:val="fr-CA"/>
        </w:rPr>
        <w:t xml:space="preserve">Évolution du statut constitutionnel de la Cour suprême </w:t>
      </w:r>
    </w:p>
    <w:p w:rsidR="008B29FB" w:rsidRPr="008C4C16" w:rsidRDefault="008B29FB" w:rsidP="006B5FE2">
      <w:pPr>
        <w:pStyle w:val="ParaNoNdepar-AltN"/>
        <w:rPr>
          <w:rFonts w:cs="Times New Roman"/>
          <w:lang w:val="fr-CA"/>
        </w:rPr>
      </w:pPr>
      <w:r w:rsidRPr="008C4C16">
        <w:rPr>
          <w:rFonts w:cs="Times New Roman"/>
          <w:szCs w:val="24"/>
          <w:lang w:val="fr-CA"/>
        </w:rPr>
        <w:t>Initialemen</w:t>
      </w:r>
      <w:r w:rsidR="009372D7">
        <w:rPr>
          <w:rFonts w:cs="Times New Roman"/>
          <w:szCs w:val="24"/>
          <w:lang w:val="fr-CA"/>
        </w:rPr>
        <w:t>t, la Cour suprême a acquis son</w:t>
      </w:r>
      <w:r w:rsidRPr="008C4C16">
        <w:rPr>
          <w:rFonts w:cs="Times New Roman"/>
          <w:szCs w:val="24"/>
          <w:lang w:val="fr-CA"/>
        </w:rPr>
        <w:t xml:space="preserve"> statut constitutionnel en raison de l’évolution historique qui en a fait une institution dont la pérennité et le fonctionnement affectaient les intérêts à la fois du Parlement et des provinces.  Ce statut a ensuite été confirmé dans la </w:t>
      </w:r>
      <w:r w:rsidRPr="008C4C16">
        <w:rPr>
          <w:rFonts w:cs="Times New Roman"/>
          <w:i/>
          <w:szCs w:val="24"/>
          <w:lang w:val="fr-CA"/>
        </w:rPr>
        <w:t>Loi constitutionnelle de 1982</w:t>
      </w:r>
      <w:r w:rsidRPr="008C4C16">
        <w:rPr>
          <w:rFonts w:cs="Times New Roman"/>
          <w:szCs w:val="24"/>
          <w:lang w:val="fr-CA"/>
        </w:rPr>
        <w:t xml:space="preserve">, dont le contenu reflète la perception que les caractéristiques essentielles de la Cour faisaient partie de la Constitution canadienne. </w:t>
      </w:r>
    </w:p>
    <w:p w:rsidR="008B29FB" w:rsidRPr="008C4C16" w:rsidRDefault="008B29FB" w:rsidP="006B5FE2">
      <w:pPr>
        <w:pStyle w:val="Title3LevelTitre3Niveau"/>
        <w:keepNext w:val="0"/>
        <w:rPr>
          <w:rFonts w:cs="Times New Roman"/>
          <w:lang w:val="fr-CA"/>
        </w:rPr>
      </w:pPr>
      <w:r w:rsidRPr="008C4C16">
        <w:rPr>
          <w:rFonts w:cs="Times New Roman"/>
          <w:lang w:val="fr-CA"/>
        </w:rPr>
        <w:t>L’évolution de la Cour suprême avant le rapatriement</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Au moment de la Confédération, la Cour suprême du Canada n’existait pas.  De plus, la </w:t>
      </w:r>
      <w:r w:rsidRPr="008C4C16">
        <w:rPr>
          <w:rFonts w:cs="Times New Roman"/>
          <w:i/>
          <w:szCs w:val="24"/>
          <w:lang w:val="fr-CA"/>
        </w:rPr>
        <w:t xml:space="preserve">Loi constitutionnelle de 1867 </w:t>
      </w:r>
      <w:r w:rsidRPr="008C4C16">
        <w:rPr>
          <w:rFonts w:cs="Times New Roman"/>
          <w:szCs w:val="24"/>
          <w:lang w:val="fr-CA"/>
        </w:rPr>
        <w:t xml:space="preserve">ne contenait </w:t>
      </w:r>
      <w:r w:rsidRPr="008C4C16">
        <w:rPr>
          <w:rFonts w:cs="Times New Roman"/>
          <w:lang w:val="fr-CA"/>
        </w:rPr>
        <w:t xml:space="preserve">aucune précision à propos de l’institution qui deviendrait la Cour suprême du Canada.  On supposait que le Comité judiciaire du Conseil privé de Londres demeurerait l’autorité judiciaire suprême pour le Canada.  À titre </w:t>
      </w:r>
      <w:r w:rsidR="0066111F">
        <w:rPr>
          <w:rFonts w:cs="Times New Roman"/>
          <w:lang w:val="fr-CA"/>
        </w:rPr>
        <w:t>d’</w:t>
      </w:r>
      <w:r w:rsidRPr="008C4C16">
        <w:rPr>
          <w:rFonts w:cs="Times New Roman"/>
          <w:lang w:val="fr-CA"/>
        </w:rPr>
        <w:t>exemple, George</w:t>
      </w:r>
      <w:r w:rsidRPr="008C4C16">
        <w:rPr>
          <w:rFonts w:cs="Times New Roman"/>
          <w:lang w:val="fr-CA"/>
        </w:rPr>
        <w:noBreakHyphen/>
        <w:t>Étienne Cartier, qui était alors procureur général pour le Bas</w:t>
      </w:r>
      <w:r w:rsidRPr="008C4C16">
        <w:rPr>
          <w:rFonts w:cs="Times New Roman"/>
          <w:lang w:val="fr-CA"/>
        </w:rPr>
        <w:noBreakHyphen/>
        <w:t xml:space="preserve">Canada, a exprimé l’opinion que « nous trouverons toujours un tribunal d’appel en dernier ressort dans le conseil privé de Sa Majesté », même si une cour générale d’appel pour le Canada devait être créée au pays : Province du Canada, Assemblée législative, </w:t>
      </w:r>
      <w:r w:rsidRPr="008C4C16">
        <w:rPr>
          <w:rFonts w:cs="Times New Roman"/>
          <w:i/>
          <w:lang w:val="fr-CA"/>
        </w:rPr>
        <w:t>Débats parlementaires sur la question de la Confédération</w:t>
      </w:r>
      <w:r w:rsidR="007A2BDF">
        <w:rPr>
          <w:rFonts w:cs="Times New Roman"/>
          <w:i/>
          <w:lang w:val="fr-CA"/>
        </w:rPr>
        <w:t xml:space="preserve"> des provinces de l’Amérique britannique du Nord</w:t>
      </w:r>
      <w:r w:rsidRPr="008C4C16">
        <w:rPr>
          <w:rFonts w:cs="Times New Roman"/>
          <w:lang w:val="fr-CA"/>
        </w:rPr>
        <w:t>, 3</w:t>
      </w:r>
      <w:r w:rsidRPr="0066111F">
        <w:rPr>
          <w:rFonts w:cs="Times New Roman"/>
          <w:vertAlign w:val="superscript"/>
          <w:lang w:val="fr-CA"/>
        </w:rPr>
        <w:t>e</w:t>
      </w:r>
      <w:r w:rsidRPr="008C4C16">
        <w:rPr>
          <w:rFonts w:cs="Times New Roman"/>
          <w:lang w:val="fr-CA"/>
        </w:rPr>
        <w:t xml:space="preserve"> </w:t>
      </w:r>
      <w:r w:rsidR="0066111F">
        <w:rPr>
          <w:rFonts w:cs="Times New Roman"/>
          <w:lang w:val="fr-CA"/>
        </w:rPr>
        <w:t>s</w:t>
      </w:r>
      <w:r w:rsidRPr="008C4C16">
        <w:rPr>
          <w:rFonts w:cs="Times New Roman"/>
          <w:lang w:val="fr-CA"/>
        </w:rPr>
        <w:t>ess., 8</w:t>
      </w:r>
      <w:r w:rsidRPr="0077155D">
        <w:rPr>
          <w:rFonts w:cs="Times New Roman"/>
          <w:vertAlign w:val="superscript"/>
          <w:lang w:val="fr-CA"/>
        </w:rPr>
        <w:t>e</w:t>
      </w:r>
      <w:r w:rsidRPr="008C4C16">
        <w:rPr>
          <w:rFonts w:cs="Times New Roman"/>
          <w:lang w:val="fr-CA"/>
        </w:rPr>
        <w:t xml:space="preserve"> lég., 2 mars 1865, p. 581</w:t>
      </w:r>
      <w:r w:rsidRPr="008C4C16">
        <w:rPr>
          <w:rFonts w:cs="Times New Roman"/>
          <w:lang w:val="fr-CA"/>
        </w:rPr>
        <w:noBreakHyphen/>
        <w:t>582.</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lastRenderedPageBreak/>
        <w:t xml:space="preserve">Toutefois, une disposition de la </w:t>
      </w:r>
      <w:r w:rsidRPr="008C4C16">
        <w:rPr>
          <w:rFonts w:cs="Times New Roman"/>
          <w:i/>
          <w:szCs w:val="24"/>
          <w:lang w:val="fr-CA"/>
        </w:rPr>
        <w:t xml:space="preserve">Loi constitutionnelle de 1867 </w:t>
      </w:r>
      <w:r w:rsidRPr="008C4C16">
        <w:rPr>
          <w:rFonts w:cs="Times New Roman"/>
          <w:lang w:val="fr-CA"/>
        </w:rPr>
        <w:t>accordait au Parlement le pouvoir d’établir une cour générale d’appel pour le Canada :</w:t>
      </w:r>
    </w:p>
    <w:p w:rsidR="008B29FB" w:rsidRPr="008C4C16" w:rsidRDefault="008B29FB" w:rsidP="006B5FE2">
      <w:pPr>
        <w:pStyle w:val="Citation-AltC"/>
        <w:tabs>
          <w:tab w:val="left" w:pos="1560"/>
        </w:tabs>
        <w:ind w:left="1195" w:hanging="1555"/>
        <w:contextualSpacing w:val="0"/>
        <w:rPr>
          <w:lang w:val="fr-CA"/>
        </w:rPr>
      </w:pPr>
      <w:r w:rsidRPr="008C4C16">
        <w:rPr>
          <w:b/>
          <w:lang w:val="fr-CA"/>
        </w:rPr>
        <w:tab/>
      </w:r>
      <w:r w:rsidRPr="008C4C16">
        <w:rPr>
          <w:b/>
          <w:lang w:val="fr-CA"/>
        </w:rPr>
        <w:tab/>
        <w:t>101.</w:t>
      </w:r>
      <w:r w:rsidRPr="008C4C16">
        <w:rPr>
          <w:lang w:val="fr-CA"/>
        </w:rPr>
        <w:t xml:space="preserve">  Le </w:t>
      </w:r>
      <w:r w:rsidR="0066111F">
        <w:rPr>
          <w:lang w:val="fr-CA"/>
        </w:rPr>
        <w:t>p</w:t>
      </w:r>
      <w:r w:rsidRPr="008C4C16">
        <w:rPr>
          <w:lang w:val="fr-CA"/>
        </w:rPr>
        <w:t>arlement du Canada pourra, nonobstant toute disposition contraire énoncée dans la présente loi, lorsque l’occasion le requerra, adopter des mesures à l’effet de créer, maintenir et organiser une cour générale d’appel pour le Canada, et établir des tribunaux additionnels pour la meilleure administration des lois du Canada.</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Sir John A. Macdonald, le premier ministre et ministre de la Justice de 1867 à 1873, fut l’instigateur des débats parlementaires tenus sur l’opportunité d’établir une Cour suprême entre 1868 et 1875.  En 1869, puis de nouveau en 1870, il a déposé à la Chambre des communes des projets de loi pour créer la Cour suprême.  Aucun de ces projets ne réservait de postes à la Cour pour des juristes québécois.  Le Québec s’est opposé ardemment à ces projets de loi au Parlement.  Le pre</w:t>
      </w:r>
      <w:r w:rsidR="00A92966">
        <w:rPr>
          <w:rFonts w:cs="Times New Roman"/>
          <w:lang w:val="fr-CA"/>
        </w:rPr>
        <w:t>mier projet de loi est mort au F</w:t>
      </w:r>
      <w:r w:rsidRPr="008C4C16">
        <w:rPr>
          <w:rFonts w:cs="Times New Roman"/>
          <w:lang w:val="fr-CA"/>
        </w:rPr>
        <w:t xml:space="preserve">euilleton et le deuxième a été retiré. </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Au-delà de l’opposition du Québec, on a contesté la nature de la juridiction de la cour et bon nombre d’objections remettaient en question la nécessité même d’une cour générale d’appel.  Puisque l’on pouvait faire appel au Conseil privé et que l’Ontario et le Québec possédaient déjà des cours d’appel, une Cour suprême ne constituerait qu’une étape judiciaire intermédiaire sur la voie menant à Londres.</w:t>
      </w:r>
    </w:p>
    <w:p w:rsidR="008B29FB" w:rsidRPr="008C4C16" w:rsidRDefault="008B29FB" w:rsidP="006B5FE2">
      <w:pPr>
        <w:pStyle w:val="ParaNoNdepar-AltN"/>
        <w:tabs>
          <w:tab w:val="clear" w:pos="1152"/>
          <w:tab w:val="left" w:pos="1166"/>
        </w:tabs>
        <w:rPr>
          <w:rFonts w:cs="Times New Roman"/>
        </w:rPr>
      </w:pPr>
      <w:r w:rsidRPr="008C4C16">
        <w:rPr>
          <w:rFonts w:cs="Times New Roman"/>
          <w:lang w:val="fr-CA"/>
        </w:rPr>
        <w:t xml:space="preserve">Le projet de loi qui est finalement devenu la </w:t>
      </w:r>
      <w:r w:rsidRPr="008C4C16">
        <w:rPr>
          <w:rFonts w:cs="Times New Roman"/>
          <w:i/>
          <w:lang w:val="fr-CA"/>
        </w:rPr>
        <w:t>Loi sur la Cour suprême</w:t>
      </w:r>
      <w:r w:rsidRPr="008C4C16">
        <w:rPr>
          <w:rFonts w:cs="Times New Roman"/>
          <w:lang w:val="fr-CA"/>
        </w:rPr>
        <w:t xml:space="preserve"> a été déposé par le ministre fédéral de la Justice, Télesphore Fournier, et a été adopté après plusieurs amendements (</w:t>
      </w:r>
      <w:r w:rsidRPr="008C4C16">
        <w:rPr>
          <w:rFonts w:cs="Times New Roman"/>
          <w:i/>
          <w:lang w:val="fr-CA"/>
        </w:rPr>
        <w:t>Débats</w:t>
      </w:r>
      <w:r w:rsidRPr="008C4C16">
        <w:rPr>
          <w:rFonts w:cs="Times New Roman"/>
          <w:lang w:val="fr-CA"/>
        </w:rPr>
        <w:t xml:space="preserve"> </w:t>
      </w:r>
      <w:r w:rsidRPr="008C4C16">
        <w:rPr>
          <w:rFonts w:cs="Times New Roman"/>
          <w:i/>
          <w:lang w:val="fr-CA"/>
        </w:rPr>
        <w:t>de 1875</w:t>
      </w:r>
      <w:r w:rsidRPr="008C4C16">
        <w:rPr>
          <w:rFonts w:cs="Times New Roman"/>
          <w:lang w:val="fr-CA"/>
        </w:rPr>
        <w:t xml:space="preserve">, 23 février 1875, p. 299).  La nouvelle Cour suprême était investie d’une compétence générale d’appel en matières civile, criminelle et constitutionnelle.  De plus, la Cour s’était vu conférer une compétence </w:t>
      </w:r>
      <w:r w:rsidRPr="008C4C16">
        <w:rPr>
          <w:rFonts w:cs="Times New Roman"/>
          <w:lang w:val="fr-CA"/>
        </w:rPr>
        <w:lastRenderedPageBreak/>
        <w:t xml:space="preserve">exceptionnelle de première instance, qui n’était pas incompatible avec sa compétence en appel, notamment pour examiner les renvois du gouverneur en conseil : </w:t>
      </w:r>
      <w:r w:rsidRPr="008C4C16">
        <w:rPr>
          <w:rFonts w:cs="Times New Roman"/>
          <w:i/>
          <w:lang w:val="fr-CA"/>
        </w:rPr>
        <w:t xml:space="preserve">Re References by </w:t>
      </w:r>
      <w:r w:rsidR="0066111F">
        <w:rPr>
          <w:rFonts w:cs="Times New Roman"/>
          <w:i/>
          <w:lang w:val="fr-CA"/>
        </w:rPr>
        <w:t xml:space="preserve">the </w:t>
      </w:r>
      <w:r w:rsidRPr="008C4C16">
        <w:rPr>
          <w:rFonts w:cs="Times New Roman"/>
          <w:i/>
          <w:lang w:val="fr-CA"/>
        </w:rPr>
        <w:t>Governor</w:t>
      </w:r>
      <w:r w:rsidRPr="008C4C16">
        <w:rPr>
          <w:rFonts w:cs="Times New Roman"/>
          <w:i/>
          <w:lang w:val="fr-CA"/>
        </w:rPr>
        <w:noBreakHyphen/>
        <w:t>General in Council</w:t>
      </w:r>
      <w:r w:rsidRPr="008C4C16">
        <w:rPr>
          <w:rFonts w:cs="Times New Roman"/>
          <w:lang w:val="fr-CA"/>
        </w:rPr>
        <w:t xml:space="preserve"> (1910), 43 R.C.S. 536, conf. par le Conseil privé, [1912] A.C. 571 (</w:t>
      </w:r>
      <w:r w:rsidRPr="008C4C16">
        <w:rPr>
          <w:rFonts w:cs="Times New Roman"/>
          <w:i/>
          <w:lang w:val="fr-CA"/>
        </w:rPr>
        <w:t xml:space="preserve">sub nom. </w:t>
      </w:r>
      <w:r w:rsidRPr="008C4C16">
        <w:rPr>
          <w:rFonts w:cs="Times New Roman"/>
          <w:i/>
        </w:rPr>
        <w:t>Attorney</w:t>
      </w:r>
      <w:r w:rsidRPr="008C4C16">
        <w:rPr>
          <w:rFonts w:cs="Times New Roman"/>
          <w:i/>
        </w:rPr>
        <w:noBreakHyphen/>
        <w:t>General for Ontario c. Attorney</w:t>
      </w:r>
      <w:r w:rsidRPr="008C4C16">
        <w:rPr>
          <w:rFonts w:cs="Times New Roman"/>
          <w:i/>
        </w:rPr>
        <w:noBreakHyphen/>
        <w:t>General for Canada</w:t>
      </w:r>
      <w:r w:rsidRPr="008C4C16">
        <w:rPr>
          <w:rFonts w:cs="Times New Roman"/>
        </w:rPr>
        <w:t xml:space="preserve">); </w:t>
      </w:r>
      <w:r w:rsidRPr="008C4C16">
        <w:rPr>
          <w:rFonts w:cs="Times New Roman"/>
          <w:i/>
        </w:rPr>
        <w:t>Renvoi sur la sécession</w:t>
      </w:r>
      <w:r w:rsidRPr="008C4C16">
        <w:rPr>
          <w:rFonts w:cs="Times New Roman"/>
        </w:rPr>
        <w:t>, par. 9.</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En vertu des pouvoirs que lui accordait depuis peu le </w:t>
      </w:r>
      <w:r w:rsidRPr="008C4C16">
        <w:rPr>
          <w:rFonts w:cs="Times New Roman"/>
          <w:i/>
          <w:lang w:val="fr-CA"/>
        </w:rPr>
        <w:t>Statut de Westminster, 1931</w:t>
      </w:r>
      <w:r w:rsidRPr="008C4C16">
        <w:rPr>
          <w:rFonts w:cs="Times New Roman"/>
          <w:lang w:val="fr-CA"/>
        </w:rPr>
        <w:t>, le Parlement a aboli les appels au Conseil privé en matière criminelle en 1933 (</w:t>
      </w:r>
      <w:r w:rsidRPr="008C4C16">
        <w:rPr>
          <w:rFonts w:cs="Times New Roman"/>
          <w:i/>
          <w:lang w:val="fr-CA"/>
        </w:rPr>
        <w:t>Loi modifiant le Code criminel</w:t>
      </w:r>
      <w:r w:rsidRPr="008C4C16">
        <w:rPr>
          <w:rFonts w:cs="Times New Roman"/>
          <w:lang w:val="fr-CA"/>
        </w:rPr>
        <w:t>, S.C.</w:t>
      </w:r>
      <w:r>
        <w:rPr>
          <w:rFonts w:cs="Times New Roman"/>
          <w:lang w:val="fr-CA"/>
        </w:rPr>
        <w:t> </w:t>
      </w:r>
      <w:r w:rsidRPr="008C4C16">
        <w:rPr>
          <w:rFonts w:cs="Times New Roman"/>
          <w:lang w:val="fr-CA"/>
        </w:rPr>
        <w:t>19</w:t>
      </w:r>
      <w:r w:rsidR="0066111F">
        <w:rPr>
          <w:rFonts w:cs="Times New Roman"/>
          <w:lang w:val="fr-CA"/>
        </w:rPr>
        <w:t>32-</w:t>
      </w:r>
      <w:r w:rsidRPr="008C4C16">
        <w:rPr>
          <w:rFonts w:cs="Times New Roman"/>
          <w:lang w:val="fr-CA"/>
        </w:rPr>
        <w:t xml:space="preserve">33, ch. 53, art. 17).  Fait historique encore plus important, il a aboli </w:t>
      </w:r>
      <w:r w:rsidRPr="008C4C16">
        <w:rPr>
          <w:rFonts w:cs="Times New Roman"/>
          <w:i/>
          <w:lang w:val="fr-CA"/>
        </w:rPr>
        <w:t>tous</w:t>
      </w:r>
      <w:r w:rsidRPr="008C4C16">
        <w:rPr>
          <w:rFonts w:cs="Times New Roman"/>
          <w:lang w:val="fr-CA"/>
        </w:rPr>
        <w:t xml:space="preserve"> les appels au Conseil privé en 1949 (</w:t>
      </w:r>
      <w:r w:rsidRPr="008C4C16">
        <w:rPr>
          <w:rFonts w:cs="Times New Roman"/>
          <w:i/>
          <w:lang w:val="fr-CA"/>
        </w:rPr>
        <w:t>Loi modifiant la Loi de la Cour suprême</w:t>
      </w:r>
      <w:r w:rsidRPr="008C4C16">
        <w:rPr>
          <w:rFonts w:cs="Times New Roman"/>
          <w:lang w:val="fr-CA"/>
        </w:rPr>
        <w:t>, art. 3), ce qui a entraîné de profondes répercussions sur l’architecture constitutionnelle du Canada.  En effet, le Conseil privé avait exercé la compétence judiciaire de dernier ressort sur tous les litiges au Canada, y compris ceux relatifs à la Constitution canadienne.  Il avait joué un rôle central dans la structure constitutionnelle de notre pays, notamment en traçant les contours de la compétence fédérale et provinciale dans un bon nombre d’arrêts de principe qui nous éclairent encore aujourd’hui quant au partage des compétences (John T.</w:t>
      </w:r>
      <w:r>
        <w:rPr>
          <w:rFonts w:cs="Times New Roman"/>
          <w:lang w:val="fr-CA"/>
        </w:rPr>
        <w:t> </w:t>
      </w:r>
      <w:r w:rsidRPr="008C4C16">
        <w:rPr>
          <w:rFonts w:cs="Times New Roman"/>
          <w:lang w:val="fr-CA"/>
        </w:rPr>
        <w:t xml:space="preserve">Saywell, </w:t>
      </w:r>
      <w:r w:rsidRPr="008C4C16">
        <w:rPr>
          <w:rFonts w:cs="Times New Roman"/>
          <w:i/>
          <w:lang w:val="fr-CA"/>
        </w:rPr>
        <w:t>The Lawmakers</w:t>
      </w:r>
      <w:r w:rsidR="0066111F">
        <w:rPr>
          <w:rFonts w:cs="Times New Roman"/>
          <w:i/>
          <w:lang w:val="fr-CA"/>
        </w:rPr>
        <w:t xml:space="preserve"> </w:t>
      </w:r>
      <w:r w:rsidRPr="008C4C16">
        <w:rPr>
          <w:rFonts w:cs="Times New Roman"/>
          <w:i/>
          <w:lang w:val="fr-CA"/>
        </w:rPr>
        <w:t xml:space="preserve">: Judicial Power and the Shaping of Canadian Federalism </w:t>
      </w:r>
      <w:r w:rsidRPr="008C4C16">
        <w:rPr>
          <w:rFonts w:cs="Times New Roman"/>
          <w:lang w:val="fr-CA"/>
        </w:rPr>
        <w:t>(2002); Warren J. Newman, « The Constitutional Status of the Supreme Court of Canada » (2009)</w:t>
      </w:r>
      <w:r>
        <w:rPr>
          <w:rFonts w:cs="Times New Roman"/>
          <w:lang w:val="fr-CA"/>
        </w:rPr>
        <w:t>,</w:t>
      </w:r>
      <w:r w:rsidRPr="008C4C16">
        <w:rPr>
          <w:rFonts w:cs="Times New Roman"/>
          <w:lang w:val="fr-CA"/>
        </w:rPr>
        <w:t xml:space="preserve"> 47 </w:t>
      </w:r>
      <w:r w:rsidRPr="0066111F">
        <w:rPr>
          <w:rFonts w:cs="Times New Roman"/>
          <w:i/>
          <w:lang w:val="fr-CA"/>
        </w:rPr>
        <w:t>S.C.L.R.</w:t>
      </w:r>
      <w:r w:rsidRPr="008C4C16">
        <w:rPr>
          <w:rFonts w:cs="Times New Roman"/>
          <w:lang w:val="fr-CA"/>
        </w:rPr>
        <w:t xml:space="preserve"> (2d) 429, p. 439).  Comme l’a expliqué Warren Newman :</w:t>
      </w:r>
    </w:p>
    <w:p w:rsidR="008B29FB" w:rsidRPr="008C4C16" w:rsidRDefault="008B29FB" w:rsidP="0066111F">
      <w:pPr>
        <w:pStyle w:val="Citation-AltC"/>
        <w:ind w:hanging="1166"/>
        <w:contextualSpacing w:val="0"/>
        <w:rPr>
          <w:lang w:val="fr-CA"/>
        </w:rPr>
      </w:pPr>
      <w:r w:rsidRPr="008C4C16">
        <w:rPr>
          <w:lang w:val="fr-CA"/>
        </w:rPr>
        <w:tab/>
        <w:t>[</w:t>
      </w:r>
      <w:r w:rsidRPr="008C4C16">
        <w:rPr>
          <w:smallCaps/>
          <w:lang w:val="fr-CA"/>
        </w:rPr>
        <w:t>traduction</w:t>
      </w:r>
      <w:r w:rsidRPr="008C4C16">
        <w:rPr>
          <w:lang w:val="fr-CA"/>
        </w:rPr>
        <w:t xml:space="preserve">] </w:t>
      </w:r>
      <w:r w:rsidR="0066111F">
        <w:rPr>
          <w:lang w:val="fr-CA"/>
        </w:rPr>
        <w:t>. . .</w:t>
      </w:r>
      <w:r w:rsidRPr="008C4C16">
        <w:rPr>
          <w:lang w:val="fr-CA"/>
        </w:rPr>
        <w:t xml:space="preserve"> la fonction d’appel de dernier ressort du Comité judiciaire du Conseil privé faisait partie intégrante du système judiciaire canadien jusqu’à ce qu’il soit finalement écarté par le Parlement canadien en faveur de la Cour suprême.  Tant que le Comité judiciaire continuait d’exercer cette fonction, les Canadiens pouvaient se passer d’une cour générale d’appel pour le Canada.  Avec l’abolition des appels au Conseil </w:t>
      </w:r>
      <w:r w:rsidRPr="008C4C16">
        <w:rPr>
          <w:lang w:val="fr-CA"/>
        </w:rPr>
        <w:lastRenderedPageBreak/>
        <w:t>privé, la juridiction d’appel de la Cour suprême du Canada est devenue essentielle.  [p. 43</w:t>
      </w:r>
      <w:r w:rsidR="0066111F">
        <w:rPr>
          <w:lang w:val="fr-CA"/>
        </w:rPr>
        <w:t>9</w:t>
      </w:r>
      <w:r w:rsidRPr="008C4C16">
        <w:rPr>
          <w:lang w:val="fr-CA"/>
        </w:rPr>
        <w:t>]</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L’abolition des appels au Conseil privé signifiait que la Cour suprême du Canada héritait du rôle du Conseil en vertu de la Constitution canadienne.  En conséquence, les pouvoirs et la compétence dont a été investie la Cour n’avaient [</w:t>
      </w:r>
      <w:r w:rsidRPr="008C4C16">
        <w:rPr>
          <w:rFonts w:cs="Times New Roman"/>
          <w:smallCaps/>
          <w:lang w:val="fr-CA"/>
        </w:rPr>
        <w:t>traduction</w:t>
      </w:r>
      <w:r w:rsidRPr="008C4C16">
        <w:rPr>
          <w:rFonts w:cs="Times New Roman"/>
          <w:lang w:val="fr-CA"/>
        </w:rPr>
        <w:t>] « pas une portée moindre que ceux exercés autrefois par le Comité judiciaire à l’égard du Canada » (</w:t>
      </w:r>
      <w:r w:rsidRPr="008C4C16">
        <w:rPr>
          <w:rFonts w:cs="Times New Roman"/>
          <w:i/>
          <w:lang w:val="fr-CA"/>
        </w:rPr>
        <w:t>Reference re The Farm Products Marketing Act</w:t>
      </w:r>
      <w:r w:rsidRPr="008C4C16">
        <w:rPr>
          <w:rFonts w:cs="Times New Roman"/>
          <w:lang w:val="fr-CA"/>
        </w:rPr>
        <w:t>, [1957] R.C.S. 198, p. 212), ce qui l’amenait notamment à trancher les litiges relatifs au fédéralisme.  Un système fédéral doit nécessairement compter sur un arbitre indépendant qui tranche en dernier ressort les litiges relatifs au partage des compétences :</w:t>
      </w:r>
    </w:p>
    <w:p w:rsidR="008B29FB" w:rsidRPr="008C4C16" w:rsidRDefault="008B29FB" w:rsidP="006B5FE2">
      <w:pPr>
        <w:pStyle w:val="Citation-AltC"/>
        <w:tabs>
          <w:tab w:val="left" w:pos="1560"/>
        </w:tabs>
        <w:spacing w:after="240"/>
        <w:ind w:left="1195" w:hanging="1555"/>
        <w:contextualSpacing w:val="0"/>
        <w:rPr>
          <w:lang w:val="fr-CA"/>
        </w:rPr>
      </w:pPr>
      <w:r w:rsidRPr="008C4C16">
        <w:rPr>
          <w:lang w:val="fr-CA"/>
        </w:rPr>
        <w:tab/>
      </w:r>
      <w:r w:rsidRPr="008C4C16">
        <w:rPr>
          <w:lang w:val="fr-CA"/>
        </w:rPr>
        <w:tab/>
        <w:t>Un système fédéral repose forcément sur la nécessité qu’existe un arbitre impartial pour régler les conflits de compétence quant aux frontières entre les pouvoirs du Parlement et ceux des législatures provinciales (</w:t>
      </w:r>
      <w:r w:rsidRPr="008C4C16">
        <w:rPr>
          <w:i/>
          <w:lang w:val="fr-CA"/>
        </w:rPr>
        <w:t>Renvoi relatif à la rémunération des juges de la Cour provinciale de l’Île</w:t>
      </w:r>
      <w:r w:rsidRPr="008C4C16">
        <w:rPr>
          <w:i/>
          <w:lang w:val="fr-CA"/>
        </w:rPr>
        <w:noBreakHyphen/>
        <w:t>du</w:t>
      </w:r>
      <w:r w:rsidRPr="008C4C16">
        <w:rPr>
          <w:i/>
          <w:lang w:val="fr-CA"/>
        </w:rPr>
        <w:noBreakHyphen/>
        <w:t>Prince</w:t>
      </w:r>
      <w:r w:rsidRPr="008C4C16">
        <w:rPr>
          <w:i/>
          <w:lang w:val="fr-CA"/>
        </w:rPr>
        <w:noBreakHyphen/>
        <w:t>Édouard</w:t>
      </w:r>
      <w:r w:rsidRPr="008C4C16">
        <w:rPr>
          <w:lang w:val="fr-CA"/>
        </w:rPr>
        <w:t>, [1997] 3 R.C.S. 3, par. 124).  Les juges, qui sont chargés de « contrôle[r] les bornes de la souveraineté propre » des deux paliers de gouvernement, sont cet arbitre impartial (</w:t>
      </w:r>
      <w:r w:rsidRPr="008C4C16">
        <w:rPr>
          <w:i/>
          <w:lang w:val="fr-CA"/>
        </w:rPr>
        <w:t>Northern Telecom Canada Ltée c. Syndicat des travailleurs en communication du Canada</w:t>
      </w:r>
      <w:r w:rsidRPr="008C4C16">
        <w:rPr>
          <w:lang w:val="fr-CA"/>
        </w:rPr>
        <w:t>, [1983] 1 R.C.S. 733, p. 741).</w:t>
      </w:r>
    </w:p>
    <w:p w:rsidR="008B29FB" w:rsidRPr="008C4C16" w:rsidRDefault="008B29FB" w:rsidP="0066111F">
      <w:pPr>
        <w:pStyle w:val="Citation-AltC"/>
        <w:ind w:left="0"/>
        <w:contextualSpacing w:val="0"/>
        <w:rPr>
          <w:lang w:val="fr-CA"/>
        </w:rPr>
      </w:pPr>
      <w:r w:rsidRPr="008C4C16">
        <w:rPr>
          <w:lang w:val="fr-CA"/>
        </w:rPr>
        <w:t>(</w:t>
      </w:r>
      <w:r w:rsidRPr="008C4C16">
        <w:rPr>
          <w:i/>
          <w:lang w:val="fr-CA"/>
        </w:rPr>
        <w:t>Renvoi relatif à la Loi sur les valeurs mobilières</w:t>
      </w:r>
      <w:r w:rsidRPr="008C4C16">
        <w:rPr>
          <w:lang w:val="fr-CA"/>
        </w:rPr>
        <w:t xml:space="preserve">, 2011 CSC 66, [2011] 3 R.C.S. 837, par. 55; voir aussi </w:t>
      </w:r>
      <w:r w:rsidRPr="008C4C16">
        <w:rPr>
          <w:i/>
          <w:lang w:val="fr-CA"/>
        </w:rPr>
        <w:t>Renvoi sur la sécession</w:t>
      </w:r>
      <w:r w:rsidRPr="008C4C16">
        <w:rPr>
          <w:lang w:val="fr-CA"/>
        </w:rPr>
        <w:t>, par. 53.)</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En outre, le statut de tribunal de dernier ressort désormais reconnu à la Cour l’autorisait à exercer une « </w:t>
      </w:r>
      <w:r w:rsidR="0066111F">
        <w:rPr>
          <w:rFonts w:cs="Times New Roman"/>
          <w:lang w:val="fr-CA"/>
        </w:rPr>
        <w:t>“</w:t>
      </w:r>
      <w:r w:rsidRPr="008C4C16">
        <w:rPr>
          <w:rFonts w:cs="Times New Roman"/>
          <w:lang w:val="fr-CA"/>
        </w:rPr>
        <w:t>juridiction unificatrice</w:t>
      </w:r>
      <w:r w:rsidR="0066111F">
        <w:rPr>
          <w:rFonts w:cs="Times New Roman"/>
          <w:lang w:val="fr-CA"/>
        </w:rPr>
        <w:t>”</w:t>
      </w:r>
      <w:r w:rsidRPr="008C4C16">
        <w:rPr>
          <w:rFonts w:cs="Times New Roman"/>
          <w:lang w:val="fr-CA"/>
        </w:rPr>
        <w:t xml:space="preserve"> sur les tribunaux des provinces » : </w:t>
      </w:r>
      <w:r w:rsidRPr="008C4C16">
        <w:rPr>
          <w:rFonts w:cs="Times New Roman"/>
          <w:i/>
          <w:lang w:val="fr-CA"/>
        </w:rPr>
        <w:t xml:space="preserve">Hunt c. T&amp;N </w:t>
      </w:r>
      <w:r w:rsidR="0066111F">
        <w:rPr>
          <w:rFonts w:cs="Times New Roman"/>
          <w:i/>
          <w:lang w:val="fr-CA"/>
        </w:rPr>
        <w:t>plc</w:t>
      </w:r>
      <w:r w:rsidRPr="008C4C16">
        <w:rPr>
          <w:rFonts w:cs="Times New Roman"/>
          <w:lang w:val="fr-CA"/>
        </w:rPr>
        <w:t xml:space="preserve">, [1993] 4 R.C.S. 289, p. 318; </w:t>
      </w:r>
      <w:r w:rsidRPr="008C4C16">
        <w:rPr>
          <w:rFonts w:cs="Times New Roman"/>
          <w:i/>
          <w:lang w:val="fr-CA"/>
        </w:rPr>
        <w:t>Banque de Montréal c. Metropolitan Investigation &amp; Security (Canada) Ltd.</w:t>
      </w:r>
      <w:r w:rsidRPr="008C4C16">
        <w:rPr>
          <w:rFonts w:cs="Times New Roman"/>
          <w:lang w:val="fr-CA"/>
        </w:rPr>
        <w:t xml:space="preserve">, [1975] 2 R.C.S. 546, p. 556.  La Cour suprême du Canada est devenue la clé de voûte du système judiciaire unifié du Canada.  Elle « exerce le rôle de juridiction d’appel suprême et exclusive au </w:t>
      </w:r>
      <w:r w:rsidRPr="008C4C16">
        <w:rPr>
          <w:rFonts w:cs="Times New Roman"/>
          <w:lang w:val="fr-CA"/>
        </w:rPr>
        <w:lastRenderedPageBreak/>
        <w:t>pays » (</w:t>
      </w:r>
      <w:r w:rsidRPr="008C4C16">
        <w:rPr>
          <w:rFonts w:cs="Times New Roman"/>
          <w:i/>
          <w:lang w:val="fr-CA"/>
        </w:rPr>
        <w:t>Renvoi sur la sécession</w:t>
      </w:r>
      <w:r w:rsidRPr="008C4C16">
        <w:rPr>
          <w:rFonts w:cs="Times New Roman"/>
          <w:lang w:val="fr-CA"/>
        </w:rPr>
        <w:t xml:space="preserve">, par. 9).  Dans ce rôle, les pouvoirs de la Cour ne se limitent pas à ceux des tribunaux inférieurs dont elle révise les décisions en appel.  Elle possède tous les pouvoirs nécessaires pour lui permettre « de remplir son rôle au sommet du système judiciaire canadien en tant que cour de dernier ressort pour tous les Canadiens » : </w:t>
      </w:r>
      <w:r w:rsidRPr="008C4C16">
        <w:rPr>
          <w:rFonts w:cs="Times New Roman"/>
          <w:i/>
          <w:lang w:val="fr-CA"/>
        </w:rPr>
        <w:t>R. c. Gardiner</w:t>
      </w:r>
      <w:r w:rsidRPr="008C4C16">
        <w:rPr>
          <w:rFonts w:cs="Times New Roman"/>
          <w:lang w:val="fr-CA"/>
        </w:rPr>
        <w:t>, [1982] 2 R.C.S. 368, p. 404, le juge Dickson;</w:t>
      </w:r>
      <w:r w:rsidRPr="008C4C16">
        <w:rPr>
          <w:rFonts w:cs="Times New Roman"/>
          <w:i/>
          <w:lang w:val="fr-CA"/>
        </w:rPr>
        <w:t xml:space="preserve"> Hunt</w:t>
      </w:r>
      <w:r w:rsidRPr="008C4C16">
        <w:rPr>
          <w:rFonts w:cs="Times New Roman"/>
          <w:lang w:val="fr-CA"/>
        </w:rPr>
        <w:t xml:space="preserve">, p. 319.  </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À la suite de l’abolition des appels au Comité judiciaire du Conseil privé, la pérennité et le fonctionnement de la Cour suprême sont devenus des questions d’intérêt primordiales pour le Parlement et pour les provinces.  La Cour a assumé un rôle vital en tant qu’institution faisant partie du système fédéral.  Elle est devenue l’arbitre ultime des litiges sur le partage des compétences et devait désormais juger en dernier ressort les questions de droit public et de droit provincial en matière civile.  Grâce à l’expertise de ses juges issus des deux traditions juridiques du Canada, la Cour a veillé à ce que la common law et le droit civil évoluent côte à côte, tout en conservant leur caractère distinctif.  La Cour est ainsi devenue essentielle au fonctionnement des systèmes juridiques dans chaque province et, plus généralement, au développement d’un système juridique canadien cohérent et unifié. </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Dans la dernière partie du 20e siècle, le rôle de la Cour a encore évolué.  En 1975, le Parlement a modifié la </w:t>
      </w:r>
      <w:r w:rsidRPr="008C4C16">
        <w:rPr>
          <w:rFonts w:cs="Times New Roman"/>
          <w:i/>
          <w:lang w:val="fr-CA"/>
        </w:rPr>
        <w:t>Loi sur la Cour suprême</w:t>
      </w:r>
      <w:r w:rsidRPr="008C4C16">
        <w:rPr>
          <w:rFonts w:cs="Times New Roman"/>
          <w:lang w:val="fr-CA"/>
        </w:rPr>
        <w:t xml:space="preserve"> pour abolir les appels de plein droit à la Cour en matière civile (</w:t>
      </w:r>
      <w:r w:rsidR="00A92966">
        <w:rPr>
          <w:rFonts w:cs="Times New Roman"/>
          <w:lang w:val="fr-CA"/>
        </w:rPr>
        <w:t>S</w:t>
      </w:r>
      <w:r w:rsidRPr="008C4C16">
        <w:rPr>
          <w:rFonts w:cs="Times New Roman"/>
          <w:lang w:val="fr-CA"/>
        </w:rPr>
        <w:t>.C. 1974</w:t>
      </w:r>
      <w:r w:rsidRPr="008C4C16">
        <w:rPr>
          <w:rFonts w:cs="Times New Roman"/>
          <w:lang w:val="fr-CA"/>
        </w:rPr>
        <w:noBreakHyphen/>
        <w:t>75</w:t>
      </w:r>
      <w:r w:rsidRPr="008C4C16">
        <w:rPr>
          <w:rFonts w:cs="Times New Roman"/>
          <w:lang w:val="fr-CA"/>
        </w:rPr>
        <w:noBreakHyphen/>
        <w:t xml:space="preserve">76, ch. 18).  La Cour a ainsi pu commencer à choisir les affaires qu’elle entend en matière civile, ce qui lui a permis de centrer son attention sur les questions juridiques qui revêtent une importance pour le public.  En conséquence, la mission de la Cour « consiste désormais moins à </w:t>
      </w:r>
      <w:r w:rsidRPr="008C4C16">
        <w:rPr>
          <w:rFonts w:cs="Times New Roman"/>
          <w:lang w:val="fr-CA"/>
        </w:rPr>
        <w:lastRenderedPageBreak/>
        <w:t xml:space="preserve">corriger les erreurs et davantage à développer la jurisprudence » : </w:t>
      </w:r>
      <w:r w:rsidRPr="008C4C16">
        <w:rPr>
          <w:rFonts w:cs="Times New Roman"/>
          <w:i/>
          <w:lang w:val="fr-CA"/>
        </w:rPr>
        <w:t>R. c. Henry</w:t>
      </w:r>
      <w:r w:rsidRPr="008C4C16">
        <w:rPr>
          <w:rFonts w:cs="Times New Roman"/>
          <w:lang w:val="fr-CA"/>
        </w:rPr>
        <w:t>, 2005 CSC 76, [2005] 3 R.C.S. 609, par. 53.</w:t>
      </w:r>
    </w:p>
    <w:p w:rsidR="008B29FB" w:rsidRPr="008C4C16" w:rsidRDefault="008B29FB" w:rsidP="006B5FE2">
      <w:pPr>
        <w:pStyle w:val="ParaNoNdepar-AltN"/>
        <w:rPr>
          <w:rFonts w:cs="Times New Roman"/>
          <w:lang w:val="fr-CA"/>
        </w:rPr>
      </w:pPr>
      <w:r w:rsidRPr="008C4C16">
        <w:rPr>
          <w:rFonts w:cs="Times New Roman"/>
          <w:lang w:val="fr-CA"/>
        </w:rPr>
        <w:t xml:space="preserve">Cette évolution historique a fait de la Cour suprême une institution constitutionnellement essentielle qui affecte les intérêts à la fois du fédéral et des provinces.  De plus en plus, les personnes que préoccupaient les réformes constitutionnelles ont accepté que les réformes à venir devraient reconnaître le rôle de la Cour suprême dans l’architecture de la Constitution.  </w:t>
      </w:r>
    </w:p>
    <w:p w:rsidR="008B29FB" w:rsidRPr="008C4C16" w:rsidRDefault="008B29FB" w:rsidP="006B5FE2">
      <w:pPr>
        <w:pStyle w:val="Title3LevelTitre3Niveau"/>
        <w:keepNext w:val="0"/>
        <w:rPr>
          <w:rFonts w:cs="Times New Roman"/>
          <w:lang w:val="fr-CA"/>
        </w:rPr>
      </w:pPr>
      <w:r w:rsidRPr="008C4C16">
        <w:rPr>
          <w:rFonts w:cs="Times New Roman"/>
          <w:lang w:val="fr-CA"/>
        </w:rPr>
        <w:t>La Cour suprême et le rapatriement</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Nous avons vu que la Cour suprême jouait déjà un rôle primordial dans la structure constitutionnelle en tant qu’arbitre ultime des litiges sur le partage des compétences et en tant que cour générale d’appel pour le Canada.  La </w:t>
      </w:r>
      <w:r w:rsidRPr="008C4C16">
        <w:rPr>
          <w:rFonts w:cs="Times New Roman"/>
          <w:i/>
          <w:lang w:val="fr-CA"/>
        </w:rPr>
        <w:t>Loi constitutionnelle de 1982</w:t>
      </w:r>
      <w:r w:rsidRPr="008C4C16">
        <w:rPr>
          <w:rFonts w:cs="Times New Roman"/>
          <w:lang w:val="fr-CA"/>
        </w:rPr>
        <w:t xml:space="preserve"> a accentué l’importance du rôle attribué à la Cour par la Constitution et a confirmé son statut d’institution protégée par la Constitution.  </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La </w:t>
      </w:r>
      <w:r w:rsidRPr="008C4C16">
        <w:rPr>
          <w:rFonts w:cs="Times New Roman"/>
          <w:i/>
          <w:lang w:val="fr-CA"/>
        </w:rPr>
        <w:t xml:space="preserve">Charte canadienne des droits et libertés </w:t>
      </w:r>
      <w:r w:rsidRPr="008C4C16">
        <w:rPr>
          <w:rFonts w:cs="Times New Roman"/>
          <w:lang w:val="fr-CA"/>
        </w:rPr>
        <w:t xml:space="preserve">a été adoptée lors du rapatriement de la Constitution.  Les tribunaux ont alors dû assumer la responsabilité d’interpréter la </w:t>
      </w:r>
      <w:r w:rsidRPr="008C4C16">
        <w:rPr>
          <w:rFonts w:cs="Times New Roman"/>
          <w:i/>
          <w:lang w:val="fr-CA"/>
        </w:rPr>
        <w:t>Charte</w:t>
      </w:r>
      <w:r w:rsidRPr="008C4C16">
        <w:rPr>
          <w:rFonts w:cs="Times New Roman"/>
          <w:lang w:val="fr-CA"/>
        </w:rPr>
        <w:t xml:space="preserve"> et d’accorder des réparations en cas de violation de ses dispositions.  Le rapatriement a permis également de reconnaître expressément que la Constitution est la « loi suprême du Canada » :  </w:t>
      </w:r>
    </w:p>
    <w:p w:rsidR="008B29FB" w:rsidRPr="008C4C16" w:rsidRDefault="008B29FB" w:rsidP="006B5FE2">
      <w:pPr>
        <w:pStyle w:val="Citation-AltC"/>
        <w:tabs>
          <w:tab w:val="left" w:pos="1560"/>
        </w:tabs>
        <w:ind w:left="1195" w:hanging="1555"/>
        <w:contextualSpacing w:val="0"/>
        <w:rPr>
          <w:lang w:val="fr-CA"/>
        </w:rPr>
      </w:pPr>
      <w:r w:rsidRPr="008C4C16">
        <w:rPr>
          <w:b/>
          <w:lang w:val="fr-CA"/>
        </w:rPr>
        <w:tab/>
      </w:r>
      <w:r w:rsidRPr="008C4C16">
        <w:rPr>
          <w:b/>
          <w:lang w:val="fr-CA"/>
        </w:rPr>
        <w:tab/>
        <w:t>52</w:t>
      </w:r>
      <w:r>
        <w:rPr>
          <w:b/>
          <w:lang w:val="fr-CA"/>
        </w:rPr>
        <w:t xml:space="preserve">. </w:t>
      </w:r>
      <w:r w:rsidRPr="00300F11">
        <w:rPr>
          <w:lang w:val="fr-CA"/>
        </w:rPr>
        <w:t>(1)</w:t>
      </w:r>
      <w:r w:rsidRPr="008C4C16">
        <w:rPr>
          <w:lang w:val="fr-CA"/>
        </w:rPr>
        <w:t xml:space="preserve">  La Constitution du Canada est la loi suprême du Canada; elle rend inopérantes les dispositions incompatibles de toute autre règle de droit.</w:t>
      </w:r>
    </w:p>
    <w:p w:rsidR="008B29FB" w:rsidRPr="008C4C16" w:rsidRDefault="008B29FB" w:rsidP="006B5FE2">
      <w:pPr>
        <w:pStyle w:val="ContinueParaSuitedupar-AltP"/>
        <w:rPr>
          <w:rFonts w:cs="Times New Roman"/>
          <w:lang w:val="fr-CA"/>
        </w:rPr>
      </w:pPr>
      <w:r w:rsidRPr="008C4C16">
        <w:rPr>
          <w:rFonts w:cs="Times New Roman"/>
          <w:lang w:val="fr-CA"/>
        </w:rPr>
        <w:lastRenderedPageBreak/>
        <w:t>La nécessité de l’existence d’un arbitre judiciaire impartial et dont les décisions font autorité est le corollaire de cette disposition.  Les tribunaux sont devenus les « gardiens de la constitution » (</w:t>
      </w:r>
      <w:r w:rsidRPr="008C4C16">
        <w:rPr>
          <w:rFonts w:cs="Times New Roman"/>
          <w:i/>
          <w:lang w:val="fr-CA"/>
        </w:rPr>
        <w:t>Hunter</w:t>
      </w:r>
      <w:r w:rsidRPr="008C4C16">
        <w:rPr>
          <w:rFonts w:cs="Times New Roman"/>
          <w:lang w:val="fr-CA"/>
        </w:rPr>
        <w:t xml:space="preserve">, p. 155, le juge Dickson).  À ce titre, la Cour suprême du Canada constitue une pierre d’assise de la Constitution.  L’adoption de la </w:t>
      </w:r>
      <w:r w:rsidRPr="008C4C16">
        <w:rPr>
          <w:rFonts w:cs="Times New Roman"/>
          <w:i/>
          <w:lang w:val="fr-CA"/>
        </w:rPr>
        <w:t>Loi constitutionnelle de 1982</w:t>
      </w:r>
      <w:r w:rsidRPr="008C4C16">
        <w:rPr>
          <w:rFonts w:cs="Times New Roman"/>
          <w:lang w:val="fr-CA"/>
        </w:rPr>
        <w:t xml:space="preserve"> a « fait passer le système canadien de gouvernement de la suprématie parlementaire à la suprématie constitutionnelle » : </w:t>
      </w:r>
      <w:r w:rsidRPr="008C4C16">
        <w:rPr>
          <w:rFonts w:cs="Times New Roman"/>
          <w:i/>
          <w:lang w:val="fr-CA"/>
        </w:rPr>
        <w:t xml:space="preserve">Renvoi </w:t>
      </w:r>
      <w:r w:rsidR="0066111F">
        <w:rPr>
          <w:rFonts w:cs="Times New Roman"/>
          <w:i/>
          <w:lang w:val="fr-CA"/>
        </w:rPr>
        <w:t>sur</w:t>
      </w:r>
      <w:r w:rsidRPr="008C4C16">
        <w:rPr>
          <w:rFonts w:cs="Times New Roman"/>
          <w:i/>
          <w:lang w:val="fr-CA"/>
        </w:rPr>
        <w:t xml:space="preserve"> la sécession</w:t>
      </w:r>
      <w:r w:rsidRPr="008C4C16">
        <w:rPr>
          <w:rFonts w:cs="Times New Roman"/>
          <w:lang w:val="fr-CA"/>
        </w:rPr>
        <w:t>, par. 72.</w:t>
      </w:r>
    </w:p>
    <w:p w:rsidR="008B29FB" w:rsidRPr="008C4C16" w:rsidRDefault="008B29FB" w:rsidP="006B5FE2">
      <w:pPr>
        <w:pStyle w:val="ParaNoNdepar-AltN"/>
        <w:rPr>
          <w:rFonts w:cs="Times New Roman"/>
          <w:lang w:val="fr-CA"/>
        </w:rPr>
      </w:pPr>
      <w:r w:rsidRPr="008C4C16">
        <w:rPr>
          <w:rFonts w:cs="Times New Roman"/>
          <w:szCs w:val="24"/>
          <w:lang w:val="fr-CA"/>
        </w:rPr>
        <w:t xml:space="preserve">En conséquence, la </w:t>
      </w:r>
      <w:r w:rsidRPr="008C4C16">
        <w:rPr>
          <w:rFonts w:cs="Times New Roman"/>
          <w:i/>
          <w:szCs w:val="24"/>
          <w:lang w:val="fr-CA"/>
        </w:rPr>
        <w:t xml:space="preserve">Loi constitutionnelle de 1982 </w:t>
      </w:r>
      <w:r w:rsidRPr="008C4C16">
        <w:rPr>
          <w:rFonts w:cs="Times New Roman"/>
          <w:szCs w:val="24"/>
          <w:lang w:val="fr-CA"/>
        </w:rPr>
        <w:t xml:space="preserve">a confirmé que les caractéristiques essentielles de la Cour suprême sont protégées par </w:t>
      </w:r>
      <w:r w:rsidR="00A92966">
        <w:rPr>
          <w:rFonts w:cs="Times New Roman"/>
          <w:szCs w:val="24"/>
          <w:lang w:val="fr-CA"/>
        </w:rPr>
        <w:t>la Constitution.  En effet, la p</w:t>
      </w:r>
      <w:r w:rsidRPr="008C4C16">
        <w:rPr>
          <w:rFonts w:cs="Times New Roman"/>
          <w:szCs w:val="24"/>
          <w:lang w:val="fr-CA"/>
        </w:rPr>
        <w:t xml:space="preserve">artie V de la </w:t>
      </w:r>
      <w:r w:rsidRPr="008C4C16">
        <w:rPr>
          <w:rFonts w:cs="Times New Roman"/>
          <w:i/>
          <w:szCs w:val="24"/>
          <w:lang w:val="fr-CA"/>
        </w:rPr>
        <w:t xml:space="preserve">Loi constitutionnelle de 1982 </w:t>
      </w:r>
      <w:r w:rsidRPr="008C4C16">
        <w:rPr>
          <w:rFonts w:cs="Times New Roman"/>
          <w:szCs w:val="24"/>
          <w:lang w:val="fr-CA"/>
        </w:rPr>
        <w:t xml:space="preserve">assujettit expressément les changements touchant la Cour suprême et sa composition au respect des procédures de modification de la Constitution. </w:t>
      </w:r>
    </w:p>
    <w:p w:rsidR="008B29FB" w:rsidRPr="008C4C16" w:rsidRDefault="008B29FB" w:rsidP="006B5FE2">
      <w:pPr>
        <w:pStyle w:val="ParaNoNdepar-AltN"/>
        <w:rPr>
          <w:rFonts w:cs="Times New Roman"/>
          <w:lang w:val="fr-CA"/>
        </w:rPr>
      </w:pPr>
      <w:r w:rsidRPr="008C4C16">
        <w:rPr>
          <w:rFonts w:cs="Times New Roman"/>
          <w:lang w:val="fr-CA"/>
        </w:rPr>
        <w:t>Aux termes de l’al. 41</w:t>
      </w:r>
      <w:r w:rsidRPr="008C4C16">
        <w:rPr>
          <w:rFonts w:cs="Times New Roman"/>
          <w:i/>
          <w:lang w:val="fr-CA"/>
        </w:rPr>
        <w:t>d</w:t>
      </w:r>
      <w:r w:rsidRPr="008C4C16">
        <w:rPr>
          <w:rFonts w:cs="Times New Roman"/>
          <w:lang w:val="fr-CA"/>
        </w:rPr>
        <w:t xml:space="preserve">), </w:t>
      </w:r>
      <w:r w:rsidRPr="008C4C16">
        <w:rPr>
          <w:rFonts w:eastAsiaTheme="minorHAnsi" w:cs="Times New Roman"/>
          <w:lang w:val="fr-CA"/>
        </w:rPr>
        <w:t>les modifications de la Constitution relatives à la « composition de la Cour suprême » requièrent le consentement unanime du Parlement et de l’assemblée législative de chaque province. La notion de « composition » renvoie au</w:t>
      </w:r>
      <w:r w:rsidRPr="008C4C16">
        <w:rPr>
          <w:rFonts w:cs="Times New Roman"/>
          <w:szCs w:val="24"/>
          <w:lang w:val="fr-CA"/>
        </w:rPr>
        <w:t xml:space="preserve"> par</w:t>
      </w:r>
      <w:r w:rsidR="0066111F">
        <w:rPr>
          <w:rFonts w:cs="Times New Roman"/>
          <w:szCs w:val="24"/>
          <w:lang w:val="fr-CA"/>
        </w:rPr>
        <w:t>.</w:t>
      </w:r>
      <w:r w:rsidRPr="008C4C16">
        <w:rPr>
          <w:rFonts w:cs="Times New Roman"/>
          <w:szCs w:val="24"/>
          <w:lang w:val="fr-CA"/>
        </w:rPr>
        <w:t xml:space="preserve"> 4(1) et aux art. 5 et 6 de la </w:t>
      </w:r>
      <w:r w:rsidRPr="008C4C16">
        <w:rPr>
          <w:rFonts w:cs="Times New Roman"/>
          <w:i/>
          <w:szCs w:val="24"/>
          <w:lang w:val="fr-CA"/>
        </w:rPr>
        <w:t>Loi sur la Cour suprême</w:t>
      </w:r>
      <w:r w:rsidRPr="008C4C16">
        <w:rPr>
          <w:rFonts w:cs="Times New Roman"/>
          <w:lang w:val="fr-CA"/>
        </w:rPr>
        <w:t>, qui codifient la composition</w:t>
      </w:r>
      <w:r w:rsidRPr="008C4C16">
        <w:rPr>
          <w:rFonts w:cs="Times New Roman"/>
          <w:szCs w:val="24"/>
          <w:lang w:val="fr-CA"/>
        </w:rPr>
        <w:t xml:space="preserve"> de la Cour suprême du Canada et les conditions de nomination de ses juges telles qu’elles existaient en 1982.  L’alinéa 41</w:t>
      </w:r>
      <w:r w:rsidRPr="008C4C16">
        <w:rPr>
          <w:rFonts w:cs="Times New Roman"/>
          <w:i/>
          <w:szCs w:val="24"/>
          <w:lang w:val="fr-CA"/>
        </w:rPr>
        <w:t>d</w:t>
      </w:r>
      <w:r w:rsidRPr="008C4C16">
        <w:rPr>
          <w:rFonts w:cs="Times New Roman"/>
          <w:szCs w:val="24"/>
          <w:lang w:val="fr-CA"/>
        </w:rPr>
        <w:t>) protège aussi la pérennité de la Cour, puisque son abolition en éliminerait la composition.</w:t>
      </w:r>
    </w:p>
    <w:p w:rsidR="008B29FB" w:rsidRPr="008C4C16" w:rsidRDefault="008B29FB" w:rsidP="006B5FE2">
      <w:pPr>
        <w:pStyle w:val="ParaNoNdepar-AltN"/>
        <w:rPr>
          <w:rFonts w:eastAsia="Times New Roman" w:cs="Times New Roman"/>
          <w:sz w:val="18"/>
          <w:szCs w:val="18"/>
          <w:lang w:val="fr-CA" w:eastAsia="en-CA"/>
        </w:rPr>
      </w:pPr>
      <w:r w:rsidRPr="008C4C16">
        <w:rPr>
          <w:rFonts w:cs="Times New Roman"/>
          <w:lang w:val="fr-CA"/>
        </w:rPr>
        <w:t>Le texte de la partie V apparaissait à l’origine dans l’« Accord d’avril » de 1981 (</w:t>
      </w:r>
      <w:r w:rsidRPr="008C4C16">
        <w:rPr>
          <w:rFonts w:cs="Times New Roman"/>
          <w:i/>
          <w:lang w:val="fr-CA"/>
        </w:rPr>
        <w:t xml:space="preserve">Accord constitutionnel : Projet canadien de rapatriement de la Constitution </w:t>
      </w:r>
      <w:r w:rsidRPr="008C4C16">
        <w:rPr>
          <w:rFonts w:cs="Times New Roman"/>
          <w:lang w:val="fr-CA"/>
        </w:rPr>
        <w:t xml:space="preserve">(1981)), signé par huit provinces, dont le Québec.  Les notes explicatives de cet </w:t>
      </w:r>
      <w:r w:rsidRPr="008C4C16">
        <w:rPr>
          <w:rFonts w:cs="Times New Roman"/>
          <w:lang w:val="fr-CA"/>
        </w:rPr>
        <w:lastRenderedPageBreak/>
        <w:t>Accord confirment que les signataires avaient l’intention de limiter le pouvoir unilatéral du Parlement de réformer la Cour suprême.  Cette intention est exprimée en particulier dans la note explicative du texte maintenant devenu l’art. 41, qui requiert un consentement unanime pour les modifications portant sur cinq sujets, dont la composition de la Cour suprême : « </w:t>
      </w:r>
      <w:r w:rsidR="0066111F">
        <w:rPr>
          <w:rFonts w:cs="Times New Roman"/>
          <w:lang w:val="fr-CA"/>
        </w:rPr>
        <w:t>C</w:t>
      </w:r>
      <w:r w:rsidRPr="008C4C16">
        <w:rPr>
          <w:rFonts w:cs="Times New Roman"/>
          <w:lang w:val="fr-CA"/>
        </w:rPr>
        <w:t>et article reconna</w:t>
      </w:r>
      <w:r w:rsidR="0066111F">
        <w:rPr>
          <w:rFonts w:cs="Times New Roman"/>
          <w:lang w:val="fr-CA"/>
        </w:rPr>
        <w:t>i</w:t>
      </w:r>
      <w:r w:rsidRPr="008C4C16">
        <w:rPr>
          <w:rFonts w:cs="Times New Roman"/>
          <w:lang w:val="fr-CA"/>
        </w:rPr>
        <w:t>t que quelques sujets sont d’une importance tellement fondamentale que des modifications les affectant devraient recevoir l’approbation de toutes les Assemblées provinciales et du Parlement » (p. 9 (note 9)).  La note explicative de l’al. 41</w:t>
      </w:r>
      <w:r w:rsidRPr="008C4C16">
        <w:rPr>
          <w:rFonts w:cs="Times New Roman"/>
          <w:i/>
          <w:lang w:val="fr-CA"/>
        </w:rPr>
        <w:t>d</w:t>
      </w:r>
      <w:r w:rsidRPr="008C4C16">
        <w:rPr>
          <w:rFonts w:cs="Times New Roman"/>
          <w:lang w:val="fr-CA"/>
        </w:rPr>
        <w:t>) précise justement que « [c]e paragraphe assurerait que la Cour suprême du Canada soit composée de juges dont une partie proviendraient du Barreau ou d’une Cour du Québec et auraient, par conséquent, une formation en droit civil » (p. 9 (note 9(d))).  Les auteurs de cette disposition voulaient manifestement qu’il devienne difficile de modifier la composition de la Cour.  Ils entendaient ainsi assurer une protection constitutionnelle spéciale à la représentation du Québec à la Cour.</w:t>
      </w:r>
    </w:p>
    <w:p w:rsidR="008B29FB" w:rsidRPr="008C4C16" w:rsidRDefault="008B29FB" w:rsidP="006B5FE2">
      <w:pPr>
        <w:pStyle w:val="ParaNoNdepar-AltN"/>
        <w:rPr>
          <w:rFonts w:cs="Times New Roman"/>
          <w:lang w:val="fr-CA"/>
        </w:rPr>
      </w:pPr>
      <w:r w:rsidRPr="008C4C16">
        <w:rPr>
          <w:rFonts w:cs="Times New Roman"/>
          <w:lang w:val="fr-CA"/>
        </w:rPr>
        <w:t>Il ne faut pas s’étonner que l’al. 41</w:t>
      </w:r>
      <w:r w:rsidRPr="008C4C16">
        <w:rPr>
          <w:rFonts w:cs="Times New Roman"/>
          <w:i/>
          <w:lang w:val="fr-CA"/>
        </w:rPr>
        <w:t>d</w:t>
      </w:r>
      <w:r w:rsidRPr="008C4C16">
        <w:rPr>
          <w:rFonts w:cs="Times New Roman"/>
          <w:lang w:val="fr-CA"/>
        </w:rPr>
        <w:t xml:space="preserve">) ait accordé une protection spéciale à la composition de la Cour suprême du Canada.  En effet, on reconnaît depuis longtemps son importance cruciale pour le fonctionnement efficace de la Cour et sa légitimité institutionnelle en tant que cour d’appel de dernier ressort au Canada.  Comme nous l’avons expliqué, l’entente essentielle qui a permis la création de la Cour suprême portait sur la garantie qu’un nombre relativement important des juges proviendraient d’institutions liées au droit civil et à la culture du Québec.  L’objectif de garantir que la tradition juridique distincte du Québec soit représentée à la Cour demeure tout aussi important de nos jours et touche la compétence, la légitimité et l’intégrité de la Cour.  Le consentement unanime exigé pour changer la composition </w:t>
      </w:r>
      <w:r w:rsidRPr="008C4C16">
        <w:rPr>
          <w:rFonts w:cs="Times New Roman"/>
          <w:lang w:val="fr-CA"/>
        </w:rPr>
        <w:lastRenderedPageBreak/>
        <w:t>de la Cour a donné au Québec la garantie constitutionnelle que sa représentation à la Cour ne sera pas modifiée sans son consentement.  Il était nécessaire de protéger la composition de la Cour à l’al. 41</w:t>
      </w:r>
      <w:r w:rsidRPr="008C4C16">
        <w:rPr>
          <w:rFonts w:cs="Times New Roman"/>
          <w:i/>
          <w:lang w:val="fr-CA"/>
        </w:rPr>
        <w:t>d</w:t>
      </w:r>
      <w:r w:rsidRPr="008C4C16">
        <w:rPr>
          <w:rFonts w:cs="Times New Roman"/>
          <w:lang w:val="fr-CA"/>
        </w:rPr>
        <w:t>) parce que la protection prévue à l’al. 42(1)</w:t>
      </w:r>
      <w:r w:rsidRPr="008C4C16">
        <w:rPr>
          <w:rFonts w:cs="Times New Roman"/>
          <w:i/>
          <w:lang w:val="fr-CA"/>
        </w:rPr>
        <w:t>d</w:t>
      </w:r>
      <w:r w:rsidRPr="008C4C16">
        <w:rPr>
          <w:rFonts w:cs="Times New Roman"/>
          <w:lang w:val="fr-CA"/>
        </w:rPr>
        <w:t>) n’aurait pas empêché que le nombre de postes de juge réservés pour le Québec puisse être réduit, peut</w:t>
      </w:r>
      <w:r w:rsidRPr="008C4C16">
        <w:rPr>
          <w:rFonts w:cs="Times New Roman"/>
          <w:lang w:val="fr-CA"/>
        </w:rPr>
        <w:noBreakHyphen/>
        <w:t xml:space="preserve">être même totalement supprimé, sans le consentement du Québec. </w:t>
      </w:r>
    </w:p>
    <w:p w:rsidR="008B29FB" w:rsidRPr="008C4C16" w:rsidRDefault="008B29FB" w:rsidP="006B5FE2">
      <w:pPr>
        <w:pStyle w:val="ParaNoNdepar-AltN"/>
        <w:rPr>
          <w:rFonts w:cs="Times New Roman"/>
          <w:lang w:val="fr-CA"/>
        </w:rPr>
      </w:pPr>
      <w:r w:rsidRPr="008C4C16">
        <w:rPr>
          <w:rFonts w:cs="Times New Roman"/>
          <w:lang w:val="fr-CA"/>
        </w:rPr>
        <w:t>L’alinéa 42(1)</w:t>
      </w:r>
      <w:r w:rsidRPr="008C4C16">
        <w:rPr>
          <w:rFonts w:cs="Times New Roman"/>
          <w:i/>
          <w:lang w:val="fr-CA"/>
        </w:rPr>
        <w:t>d</w:t>
      </w:r>
      <w:r w:rsidRPr="008C4C16">
        <w:rPr>
          <w:rFonts w:cs="Times New Roman"/>
          <w:lang w:val="fr-CA"/>
        </w:rPr>
        <w:t xml:space="preserve">) applique la procédure de modification 7/50 aux caractéristiques essentielles de la Cour, plutôt qu’à toutes les dispositions de la </w:t>
      </w:r>
      <w:r w:rsidRPr="008C4C16">
        <w:rPr>
          <w:rFonts w:cs="Times New Roman"/>
          <w:i/>
          <w:lang w:val="fr-CA"/>
        </w:rPr>
        <w:t>Loi sur la Cour suprême</w:t>
      </w:r>
      <w:r w:rsidRPr="0077155D">
        <w:rPr>
          <w:rStyle w:val="Hyperlink"/>
          <w:u w:val="none"/>
          <w:vertAlign w:val="superscript"/>
        </w:rPr>
        <w:footnoteReference w:id="3"/>
      </w:r>
      <w:r w:rsidR="00A92966">
        <w:rPr>
          <w:rFonts w:cs="Times New Roman"/>
          <w:i/>
          <w:lang w:val="fr-CA"/>
        </w:rPr>
        <w:t>.</w:t>
      </w:r>
      <w:r w:rsidRPr="008C4C16">
        <w:rPr>
          <w:rFonts w:cs="Times New Roman"/>
          <w:lang w:val="fr-CA"/>
        </w:rPr>
        <w:t xml:space="preserve"> La mention expresse de la Cour suprême du Canada à l’al. 42(1)</w:t>
      </w:r>
      <w:r w:rsidRPr="008C4C16">
        <w:rPr>
          <w:rFonts w:cs="Times New Roman"/>
          <w:i/>
          <w:lang w:val="fr-CA"/>
        </w:rPr>
        <w:t>d</w:t>
      </w:r>
      <w:r w:rsidRPr="008C4C16">
        <w:rPr>
          <w:rFonts w:cs="Times New Roman"/>
          <w:lang w:val="fr-CA"/>
        </w:rPr>
        <w:t>) garantit le bon fonctionnement de la Cour suprême.  Celui</w:t>
      </w:r>
      <w:r w:rsidRPr="008C4C16">
        <w:rPr>
          <w:rFonts w:cs="Times New Roman"/>
          <w:lang w:val="fr-CA"/>
        </w:rPr>
        <w:noBreakHyphen/>
        <w:t xml:space="preserve">ci exige qu’une protection constitutionnelle soit accordée aux caractéristiques essentielles de la Cour, identifiées à la lumière de son rôle dans la structure constitutionnelle tel qu’il avait évolué jusqu’au rapatriement.  Ces caractéristiques essentielles incluent, à tout le moins, la juridiction de la Cour en tant que cour générale d’appel </w:t>
      </w:r>
      <w:r w:rsidR="00A92966">
        <w:rPr>
          <w:rFonts w:cs="Times New Roman"/>
          <w:lang w:val="fr-CA"/>
        </w:rPr>
        <w:t xml:space="preserve">de dernier ressort </w:t>
      </w:r>
      <w:r w:rsidRPr="008C4C16">
        <w:rPr>
          <w:rFonts w:cs="Times New Roman"/>
          <w:lang w:val="fr-CA"/>
        </w:rPr>
        <w:t>pour le Canada, notamment en matière d’</w:t>
      </w:r>
      <w:r>
        <w:rPr>
          <w:rFonts w:cs="Times New Roman"/>
          <w:lang w:val="fr-CA"/>
        </w:rPr>
        <w:t>interprétation de la C</w:t>
      </w:r>
      <w:r w:rsidRPr="008C4C16">
        <w:rPr>
          <w:rFonts w:cs="Times New Roman"/>
          <w:lang w:val="fr-CA"/>
        </w:rPr>
        <w:t>onstitution, et son indépendance.</w:t>
      </w:r>
    </w:p>
    <w:p w:rsidR="008B29FB" w:rsidRPr="008C4C16" w:rsidRDefault="008B29FB" w:rsidP="006B5FE2">
      <w:pPr>
        <w:pStyle w:val="ParaNoNdepar-AltN"/>
        <w:rPr>
          <w:rFonts w:cs="Times New Roman"/>
          <w:lang w:val="fr-CA"/>
        </w:rPr>
      </w:pPr>
      <w:r w:rsidRPr="008C4C16">
        <w:rPr>
          <w:rFonts w:cs="Times New Roman"/>
          <w:lang w:val="fr-CA"/>
        </w:rPr>
        <w:t xml:space="preserve">En résumé, la Cour suprême a acquis son statut constitutionnel parce qu’elle a évolué de manière à devenir une cour générale d’appel </w:t>
      </w:r>
      <w:r w:rsidRPr="008C4C16">
        <w:rPr>
          <w:rFonts w:cs="Times New Roman"/>
          <w:i/>
          <w:lang w:val="fr-CA"/>
        </w:rPr>
        <w:t>de dernier ressort</w:t>
      </w:r>
      <w:r w:rsidRPr="008C4C16">
        <w:rPr>
          <w:rFonts w:cs="Times New Roman"/>
          <w:lang w:val="fr-CA"/>
        </w:rPr>
        <w:t xml:space="preserve"> pour le Canada, avec compétence sur les appels relatifs à toutes les lois fédérales et provinciales, y compris la Constitution.  Ce statut a été confirmé dans la </w:t>
      </w:r>
      <w:r w:rsidRPr="008C4C16">
        <w:rPr>
          <w:rFonts w:cs="Times New Roman"/>
          <w:i/>
          <w:lang w:val="fr-CA"/>
        </w:rPr>
        <w:t>Loi constitutionnelle de 1982</w:t>
      </w:r>
      <w:r w:rsidRPr="008C4C16">
        <w:rPr>
          <w:rFonts w:cs="Times New Roman"/>
          <w:lang w:val="fr-CA"/>
        </w:rPr>
        <w:t xml:space="preserve">, qui a assujetti toute modification portant sur la composition </w:t>
      </w:r>
      <w:r w:rsidRPr="008C4C16">
        <w:rPr>
          <w:rFonts w:cs="Times New Roman"/>
          <w:lang w:val="fr-CA"/>
        </w:rPr>
        <w:lastRenderedPageBreak/>
        <w:t>de la Cour et</w:t>
      </w:r>
      <w:r w:rsidRPr="008C4C16">
        <w:rPr>
          <w:rFonts w:cs="Times New Roman"/>
          <w:i/>
          <w:lang w:val="fr-CA"/>
        </w:rPr>
        <w:t xml:space="preserve"> </w:t>
      </w:r>
      <w:r w:rsidRPr="008C4C16">
        <w:rPr>
          <w:rFonts w:cs="Times New Roman"/>
          <w:lang w:val="fr-CA"/>
        </w:rPr>
        <w:t>ses autres caractéristiques essentielles à des procédures de modification strictes.</w:t>
      </w:r>
    </w:p>
    <w:p w:rsidR="008B29FB" w:rsidRPr="008C4C16" w:rsidRDefault="008B29FB" w:rsidP="006B5FE2">
      <w:pPr>
        <w:pStyle w:val="Title2LevelTitre2Niveau"/>
        <w:keepNext w:val="0"/>
        <w:ind w:left="576" w:hanging="576"/>
        <w:rPr>
          <w:rFonts w:cs="Times New Roman"/>
          <w:lang w:val="fr-CA"/>
        </w:rPr>
      </w:pPr>
      <w:r w:rsidRPr="008C4C16">
        <w:rPr>
          <w:rFonts w:cs="Times New Roman"/>
          <w:lang w:val="fr-CA"/>
        </w:rPr>
        <w:t>Les arguments du procureur général du Canada</w:t>
      </w:r>
    </w:p>
    <w:p w:rsidR="008B29FB" w:rsidRPr="008C4C16" w:rsidRDefault="008B29FB" w:rsidP="006B5FE2">
      <w:pPr>
        <w:pStyle w:val="ParaNoNdepar-AltN"/>
        <w:rPr>
          <w:rFonts w:cs="Times New Roman"/>
          <w:lang w:val="fr-CA"/>
        </w:rPr>
      </w:pPr>
      <w:r w:rsidRPr="008C4C16">
        <w:rPr>
          <w:rFonts w:cs="Times New Roman"/>
          <w:lang w:val="fr-CA"/>
        </w:rPr>
        <w:t xml:space="preserve">Cependant, le procureur général du Canada plaide (i) que la mention de la Cour suprême dans la </w:t>
      </w:r>
      <w:r w:rsidRPr="008C4C16">
        <w:rPr>
          <w:rFonts w:cs="Times New Roman"/>
          <w:i/>
          <w:lang w:val="fr-CA"/>
        </w:rPr>
        <w:t xml:space="preserve">Loi constitutionnelle de 1982 </w:t>
      </w:r>
      <w:r w:rsidRPr="008C4C16">
        <w:rPr>
          <w:rFonts w:cs="Times New Roman"/>
          <w:lang w:val="fr-CA"/>
        </w:rPr>
        <w:t>n’a pas d’effet juridique, et (ii) que les vaines tentatives d’intégrer les conditions de nomination dans l’Accord du lac Meech en 1987 et dans l’Accord de Charlottetown</w:t>
      </w:r>
      <w:r w:rsidRPr="008C4C16">
        <w:rPr>
          <w:rFonts w:cs="Times New Roman"/>
          <w:i/>
          <w:lang w:val="fr-CA"/>
        </w:rPr>
        <w:t xml:space="preserve"> </w:t>
      </w:r>
      <w:r w:rsidRPr="008C4C16">
        <w:rPr>
          <w:rFonts w:cs="Times New Roman"/>
          <w:lang w:val="fr-CA"/>
        </w:rPr>
        <w:t xml:space="preserve">en 1992 démontrent que le Parlement et les provinces estimaient que ces conditions n’avaient pas été constitutionnalisées en 1982.  </w:t>
      </w:r>
    </w:p>
    <w:p w:rsidR="008B29FB" w:rsidRPr="008C4C16" w:rsidRDefault="008B29FB" w:rsidP="006B5FE2">
      <w:pPr>
        <w:pStyle w:val="Title3LevelTitre3Niveau"/>
        <w:keepNext w:val="0"/>
        <w:rPr>
          <w:rFonts w:cs="Times New Roman"/>
          <w:lang w:val="fr-CA"/>
        </w:rPr>
      </w:pPr>
      <w:r w:rsidRPr="008C4C16">
        <w:rPr>
          <w:rFonts w:cs="Times New Roman"/>
          <w:lang w:val="fr-CA"/>
        </w:rPr>
        <w:t>La thèse des « contenants vides »</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Le procureur général du Canada prétend que la Cour suprême du Ca</w:t>
      </w:r>
      <w:r w:rsidR="00F02ACD">
        <w:rPr>
          <w:rFonts w:cs="Times New Roman"/>
          <w:lang w:val="fr-CA"/>
        </w:rPr>
        <w:t>nada n’est pas protégée par la p</w:t>
      </w:r>
      <w:r w:rsidRPr="008C4C16">
        <w:rPr>
          <w:rFonts w:cs="Times New Roman"/>
          <w:lang w:val="fr-CA"/>
        </w:rPr>
        <w:t xml:space="preserve">artie V, parce que la </w:t>
      </w:r>
      <w:r w:rsidRPr="008C4C16">
        <w:rPr>
          <w:rFonts w:cs="Times New Roman"/>
          <w:i/>
          <w:lang w:val="fr-CA"/>
        </w:rPr>
        <w:t>Loi sur la Cour suprême</w:t>
      </w:r>
      <w:r w:rsidRPr="008C4C16">
        <w:rPr>
          <w:rFonts w:cs="Times New Roman"/>
          <w:lang w:val="fr-CA"/>
        </w:rPr>
        <w:t xml:space="preserve"> n’est pas mentionnée à l’art. 52 de la </w:t>
      </w:r>
      <w:r w:rsidRPr="008C4C16">
        <w:rPr>
          <w:rFonts w:cs="Times New Roman"/>
          <w:i/>
          <w:lang w:val="fr-CA"/>
        </w:rPr>
        <w:t>Loi constitutionnelle de 1982</w:t>
      </w:r>
      <w:r w:rsidRPr="008C4C16">
        <w:rPr>
          <w:rFonts w:cs="Times New Roman"/>
          <w:lang w:val="fr-CA"/>
        </w:rPr>
        <w:t xml:space="preserve"> parmi les textes législatifs compris dans la Constitution du Canada.  Il soutient essentiellement que les mentions de la « Cour suprême » aux al. 41</w:t>
      </w:r>
      <w:r w:rsidRPr="008C4C16">
        <w:rPr>
          <w:rFonts w:cs="Times New Roman"/>
          <w:i/>
          <w:lang w:val="fr-CA"/>
        </w:rPr>
        <w:t>d</w:t>
      </w:r>
      <w:r w:rsidRPr="008C4C16">
        <w:rPr>
          <w:rFonts w:cs="Times New Roman"/>
          <w:lang w:val="fr-CA"/>
        </w:rPr>
        <w:t>) et 42(1)</w:t>
      </w:r>
      <w:r w:rsidRPr="008C4C16">
        <w:rPr>
          <w:rFonts w:cs="Times New Roman"/>
          <w:i/>
          <w:lang w:val="fr-CA"/>
        </w:rPr>
        <w:t>d</w:t>
      </w:r>
      <w:r w:rsidRPr="008C4C16">
        <w:rPr>
          <w:rFonts w:cs="Times New Roman"/>
          <w:lang w:val="fr-CA"/>
        </w:rPr>
        <w:t xml:space="preserve">) sont des « contenants vides » dont le contenu ne sera déterminé que lorsque la Cour sera </w:t>
      </w:r>
      <w:r w:rsidRPr="008C4C16">
        <w:rPr>
          <w:rFonts w:cs="Times New Roman"/>
          <w:i/>
          <w:lang w:val="fr-CA"/>
        </w:rPr>
        <w:t xml:space="preserve">expressément </w:t>
      </w:r>
      <w:r w:rsidRPr="008C4C16">
        <w:rPr>
          <w:rFonts w:cs="Times New Roman"/>
          <w:lang w:val="fr-CA"/>
        </w:rPr>
        <w:t xml:space="preserve">inscrite dans le texte de la Constitution : voir par exemple Peter W. Hogg, </w:t>
      </w:r>
      <w:r w:rsidRPr="008C4C16">
        <w:rPr>
          <w:rFonts w:cs="Times New Roman"/>
          <w:i/>
          <w:lang w:val="fr-CA"/>
        </w:rPr>
        <w:t xml:space="preserve">Constitutional Law of Canada </w:t>
      </w:r>
      <w:r w:rsidRPr="008C4C16">
        <w:rPr>
          <w:rFonts w:cs="Times New Roman"/>
          <w:lang w:val="fr-CA"/>
        </w:rPr>
        <w:t>(5</w:t>
      </w:r>
      <w:r w:rsidRPr="008C4C16">
        <w:rPr>
          <w:rFonts w:cs="Times New Roman"/>
          <w:vertAlign w:val="superscript"/>
          <w:lang w:val="fr-CA"/>
        </w:rPr>
        <w:t>e</w:t>
      </w:r>
      <w:r w:rsidRPr="008C4C16">
        <w:rPr>
          <w:rFonts w:cs="Times New Roman"/>
          <w:lang w:val="fr-CA"/>
        </w:rPr>
        <w:t xml:space="preserve"> éd. </w:t>
      </w:r>
      <w:r>
        <w:rPr>
          <w:rFonts w:cs="Times New Roman"/>
          <w:lang w:val="fr-CA"/>
        </w:rPr>
        <w:t>s</w:t>
      </w:r>
      <w:r w:rsidRPr="008C4C16">
        <w:rPr>
          <w:rFonts w:cs="Times New Roman"/>
          <w:lang w:val="fr-CA"/>
        </w:rPr>
        <w:t>uppl.), p. 4</w:t>
      </w:r>
      <w:r w:rsidRPr="008C4C16">
        <w:rPr>
          <w:rFonts w:cs="Times New Roman"/>
          <w:lang w:val="fr-CA"/>
        </w:rPr>
        <w:noBreakHyphen/>
        <w:t xml:space="preserve">21.  Il s’ensuit, selon lui, que le Parlement conserve le pouvoir d’apporter unilatéralement des changements à la Cour en vertu de l’art. 101 de la </w:t>
      </w:r>
      <w:r w:rsidRPr="008C4C16">
        <w:rPr>
          <w:rFonts w:cs="Times New Roman"/>
          <w:i/>
          <w:lang w:val="fr-CA"/>
        </w:rPr>
        <w:t>Loi constitutionnelle de 1867</w:t>
      </w:r>
      <w:r w:rsidRPr="008C4C16">
        <w:rPr>
          <w:rFonts w:cs="Times New Roman"/>
          <w:lang w:val="fr-CA"/>
        </w:rPr>
        <w:t>,</w:t>
      </w:r>
      <w:r w:rsidRPr="008C4C16">
        <w:rPr>
          <w:rFonts w:cs="Times New Roman"/>
          <w:i/>
          <w:lang w:val="fr-CA"/>
        </w:rPr>
        <w:t xml:space="preserve"> </w:t>
      </w:r>
      <w:r w:rsidRPr="008C4C16">
        <w:rPr>
          <w:rFonts w:cs="Times New Roman"/>
          <w:lang w:val="fr-CA"/>
        </w:rPr>
        <w:t xml:space="preserve">jusqu’à ce que la Cour soit expressément constitutionnalisée. </w:t>
      </w:r>
    </w:p>
    <w:p w:rsidR="008B29FB" w:rsidRPr="008C4C16" w:rsidRDefault="008B29FB" w:rsidP="006B5FE2">
      <w:pPr>
        <w:pStyle w:val="ParaNoNdepar-AltN"/>
        <w:tabs>
          <w:tab w:val="clear" w:pos="1152"/>
          <w:tab w:val="left" w:pos="1166"/>
        </w:tabs>
        <w:rPr>
          <w:rFonts w:cs="Times New Roman"/>
          <w:szCs w:val="24"/>
          <w:lang w:val="fr-CA"/>
        </w:rPr>
      </w:pPr>
      <w:r w:rsidRPr="008C4C16">
        <w:rPr>
          <w:rFonts w:eastAsiaTheme="minorHAnsi" w:cs="Times New Roman"/>
          <w:lang w:val="fr-CA"/>
        </w:rPr>
        <w:lastRenderedPageBreak/>
        <w:t>Cet argument est dépourvu de fondement.  Il signifierait que les auteurs du texte constitutionnel ont constitutionnalisé l’</w:t>
      </w:r>
      <w:r w:rsidRPr="008C4C16">
        <w:rPr>
          <w:rFonts w:eastAsiaTheme="minorHAnsi" w:cs="Times New Roman"/>
          <w:i/>
          <w:lang w:val="fr-CA"/>
        </w:rPr>
        <w:t>exclusion</w:t>
      </w:r>
      <w:r w:rsidRPr="008C4C16">
        <w:rPr>
          <w:rFonts w:eastAsiaTheme="minorHAnsi" w:cs="Times New Roman"/>
          <w:lang w:val="fr-CA"/>
        </w:rPr>
        <w:t xml:space="preserve"> de la Cour suprême de toute protection constitutionnelle : </w:t>
      </w:r>
      <w:r w:rsidRPr="008C4C16">
        <w:rPr>
          <w:rFonts w:cs="Times New Roman"/>
          <w:lang w:val="fr-CA"/>
        </w:rPr>
        <w:t>S</w:t>
      </w:r>
      <w:r>
        <w:rPr>
          <w:rFonts w:cs="Times New Roman"/>
          <w:lang w:val="fr-CA"/>
        </w:rPr>
        <w:t>tephen</w:t>
      </w:r>
      <w:r w:rsidRPr="008C4C16">
        <w:rPr>
          <w:rFonts w:cs="Times New Roman"/>
          <w:lang w:val="fr-CA"/>
        </w:rPr>
        <w:t xml:space="preserve"> A. Scott, </w:t>
      </w:r>
      <w:r w:rsidR="0066111F">
        <w:rPr>
          <w:rFonts w:cs="Times New Roman"/>
          <w:lang w:val="fr-CA"/>
        </w:rPr>
        <w:t xml:space="preserve">« </w:t>
      </w:r>
      <w:r w:rsidRPr="008C4C16">
        <w:rPr>
          <w:rFonts w:cs="Times New Roman"/>
          <w:lang w:val="fr-CA"/>
        </w:rPr>
        <w:t>Pussycat, Pussycat or Patriation and the New Constitutional Amendment Processes</w:t>
      </w:r>
      <w:r w:rsidR="0066111F">
        <w:rPr>
          <w:rFonts w:cs="Times New Roman"/>
          <w:lang w:val="fr-CA"/>
        </w:rPr>
        <w:t xml:space="preserve"> »</w:t>
      </w:r>
      <w:r w:rsidRPr="008C4C16">
        <w:rPr>
          <w:rFonts w:cs="Times New Roman"/>
          <w:lang w:val="fr-CA"/>
        </w:rPr>
        <w:t xml:space="preserve"> (1982), 20 </w:t>
      </w:r>
      <w:r w:rsidRPr="008C4C16">
        <w:rPr>
          <w:rFonts w:cs="Times New Roman"/>
          <w:i/>
          <w:lang w:val="fr-CA"/>
        </w:rPr>
        <w:t>U.W.O.</w:t>
      </w:r>
      <w:r w:rsidR="0066111F">
        <w:rPr>
          <w:rFonts w:cs="Times New Roman"/>
          <w:i/>
          <w:lang w:val="fr-CA"/>
        </w:rPr>
        <w:t xml:space="preserve"> </w:t>
      </w:r>
      <w:r w:rsidRPr="008C4C16">
        <w:rPr>
          <w:rFonts w:cs="Times New Roman"/>
          <w:i/>
          <w:lang w:val="fr-CA"/>
        </w:rPr>
        <w:t>L. Rev</w:t>
      </w:r>
      <w:r>
        <w:rPr>
          <w:rFonts w:cs="Times New Roman"/>
          <w:i/>
          <w:lang w:val="fr-CA"/>
        </w:rPr>
        <w:t>.</w:t>
      </w:r>
      <w:r w:rsidRPr="008C4C16">
        <w:rPr>
          <w:rFonts w:cs="Times New Roman"/>
          <w:lang w:val="fr-CA"/>
        </w:rPr>
        <w:t xml:space="preserve"> 247, p. 272; Stephen A. Scott, </w:t>
      </w:r>
      <w:r w:rsidR="0066111F">
        <w:rPr>
          <w:rFonts w:cs="Times New Roman"/>
          <w:lang w:val="fr-CA"/>
        </w:rPr>
        <w:t xml:space="preserve">« </w:t>
      </w:r>
      <w:r w:rsidRPr="008C4C16">
        <w:rPr>
          <w:rFonts w:cs="Times New Roman"/>
          <w:lang w:val="fr-CA"/>
        </w:rPr>
        <w:t>The Canadian Constitutional Amendment Process</w:t>
      </w:r>
      <w:r w:rsidR="0066111F">
        <w:rPr>
          <w:rFonts w:cs="Times New Roman"/>
          <w:lang w:val="fr-CA"/>
        </w:rPr>
        <w:t xml:space="preserve"> »</w:t>
      </w:r>
      <w:r w:rsidRPr="008C4C16">
        <w:rPr>
          <w:rFonts w:cs="Times New Roman"/>
          <w:lang w:val="fr-CA"/>
        </w:rPr>
        <w:t xml:space="preserve"> (1982), 45 </w:t>
      </w:r>
      <w:r w:rsidRPr="008C4C16">
        <w:rPr>
          <w:rFonts w:cs="Times New Roman"/>
          <w:i/>
          <w:lang w:val="fr-CA"/>
        </w:rPr>
        <w:t>Law &amp; Contemp. Probs.</w:t>
      </w:r>
      <w:r w:rsidRPr="008C4C16">
        <w:rPr>
          <w:rFonts w:cs="Times New Roman"/>
          <w:lang w:val="fr-CA"/>
        </w:rPr>
        <w:t xml:space="preserve"> 249, p. 261; voir aussi Patrick J. Monahan et Byron Shaw</w:t>
      </w:r>
      <w:r w:rsidR="0066111F">
        <w:rPr>
          <w:rFonts w:cs="Times New Roman"/>
          <w:lang w:val="fr-CA"/>
        </w:rPr>
        <w:t>,</w:t>
      </w:r>
      <w:r w:rsidRPr="008C4C16">
        <w:rPr>
          <w:rFonts w:cs="Times New Roman"/>
          <w:lang w:val="fr-CA"/>
        </w:rPr>
        <w:t xml:space="preserve"> </w:t>
      </w:r>
      <w:r w:rsidR="0066111F">
        <w:rPr>
          <w:rFonts w:cs="Times New Roman"/>
          <w:i/>
          <w:lang w:val="fr-CA"/>
        </w:rPr>
        <w:t>C</w:t>
      </w:r>
      <w:r w:rsidRPr="008C4C16">
        <w:rPr>
          <w:rFonts w:cs="Times New Roman"/>
          <w:i/>
          <w:lang w:val="fr-CA"/>
        </w:rPr>
        <w:t xml:space="preserve">onstitutional Law </w:t>
      </w:r>
      <w:r w:rsidRPr="008C4C16">
        <w:rPr>
          <w:rFonts w:cs="Times New Roman"/>
          <w:lang w:val="fr-CA"/>
        </w:rPr>
        <w:t>(4</w:t>
      </w:r>
      <w:r w:rsidRPr="008C4C16">
        <w:rPr>
          <w:rFonts w:cs="Times New Roman"/>
          <w:vertAlign w:val="superscript"/>
          <w:lang w:val="fr-CA"/>
        </w:rPr>
        <w:t>e</w:t>
      </w:r>
      <w:r w:rsidRPr="008C4C16">
        <w:rPr>
          <w:rFonts w:cs="Times New Roman"/>
          <w:lang w:val="fr-CA"/>
        </w:rPr>
        <w:t xml:space="preserve"> éd. 2013), p. 204. Cet argument signifierait aussi que les provinces ont accepté de mettre ce pouvoir unilatéral du Parlement à l’abri de toute modification, à moins que ne soient respectées les procédures </w:t>
      </w:r>
      <w:r w:rsidR="00F02ACD">
        <w:rPr>
          <w:rFonts w:cs="Times New Roman"/>
          <w:lang w:val="fr-CA"/>
        </w:rPr>
        <w:t>astreignantes établies dans la p</w:t>
      </w:r>
      <w:r w:rsidRPr="008C4C16">
        <w:rPr>
          <w:rFonts w:cs="Times New Roman"/>
          <w:lang w:val="fr-CA"/>
        </w:rPr>
        <w:t xml:space="preserve">artie V. </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szCs w:val="24"/>
          <w:lang w:val="fr-CA"/>
        </w:rPr>
        <w:t xml:space="preserve">Retenir cet argument entraînerait deux conséquences pratiques incompatibles avec l’intention des provinces.  Premièrement, cela signifierait que </w:t>
      </w:r>
      <w:r w:rsidRPr="008C4C16">
        <w:rPr>
          <w:rFonts w:eastAsiaTheme="minorHAnsi" w:cs="Times New Roman"/>
          <w:lang w:val="fr-CA"/>
        </w:rPr>
        <w:t>le Parlement pourrait, par une loi ordinaire, modifier unilatéralement et fondamentalement la Cour suprême, y compris la représentation du Québec à la Cour, qui a toujours été garantie</w:t>
      </w:r>
      <w:r w:rsidRPr="008C4C16">
        <w:rPr>
          <w:rFonts w:cs="Times New Roman"/>
          <w:lang w:val="fr-CA"/>
        </w:rPr>
        <w:t>.  Or, le Québec, qui a signé l’Accord d’avril, n’aurait certainement pas consenti à cela, et les autres provinces non plus.  Deuxièmement, cela voudrait dire que la Cour serait moins bien protégée que jamais depuis l’abolition des appels au Conseil privé.  Ce résultat illustre l’absurdité du</w:t>
      </w:r>
      <w:r w:rsidR="00FE7D20">
        <w:rPr>
          <w:rFonts w:cs="Times New Roman"/>
          <w:lang w:val="fr-CA"/>
        </w:rPr>
        <w:t xml:space="preserve"> rejet du sens ordinaire de la p</w:t>
      </w:r>
      <w:r w:rsidRPr="008C4C16">
        <w:rPr>
          <w:rFonts w:cs="Times New Roman"/>
          <w:lang w:val="fr-CA"/>
        </w:rPr>
        <w:t>artie V.  Les auteurs de celle</w:t>
      </w:r>
      <w:r w:rsidRPr="008C4C16">
        <w:rPr>
          <w:rFonts w:cs="Times New Roman"/>
          <w:lang w:val="fr-CA"/>
        </w:rPr>
        <w:noBreakHyphen/>
        <w:t xml:space="preserve">ci ne peuvent pas avoir eu l’intention de réduire la protection constitutionnelle accordée à la Cour, tout en accentuant le rôle constitutionnel que lui attribue la </w:t>
      </w:r>
      <w:r w:rsidRPr="008C4C16">
        <w:rPr>
          <w:rFonts w:cs="Times New Roman"/>
          <w:i/>
          <w:lang w:val="fr-CA"/>
        </w:rPr>
        <w:t xml:space="preserve">Loi constitutionnelle de 1982. </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Notre histoire constitutionnelle révèle que les al. 4</w:t>
      </w:r>
      <w:r w:rsidRPr="0077155D">
        <w:rPr>
          <w:rFonts w:cs="Times New Roman"/>
          <w:lang w:val="fr-CA"/>
        </w:rPr>
        <w:t>1</w:t>
      </w:r>
      <w:r w:rsidRPr="008C4C16">
        <w:rPr>
          <w:rFonts w:cs="Times New Roman"/>
          <w:i/>
          <w:lang w:val="fr-CA"/>
        </w:rPr>
        <w:t>d</w:t>
      </w:r>
      <w:r w:rsidRPr="008C4C16">
        <w:rPr>
          <w:rFonts w:cs="Times New Roman"/>
          <w:lang w:val="fr-CA"/>
        </w:rPr>
        <w:t>) et 42(1</w:t>
      </w:r>
      <w:r w:rsidRPr="00300F11">
        <w:rPr>
          <w:rFonts w:cs="Times New Roman"/>
          <w:lang w:val="fr-CA"/>
        </w:rPr>
        <w:t>)</w:t>
      </w:r>
      <w:r w:rsidRPr="008C4C16">
        <w:rPr>
          <w:rFonts w:cs="Times New Roman"/>
          <w:i/>
          <w:lang w:val="fr-CA"/>
        </w:rPr>
        <w:t>d</w:t>
      </w:r>
      <w:r w:rsidRPr="008C4C16">
        <w:rPr>
          <w:rFonts w:cs="Times New Roman"/>
          <w:lang w:val="fr-CA"/>
        </w:rPr>
        <w:t xml:space="preserve">) de la </w:t>
      </w:r>
      <w:r w:rsidRPr="008C4C16">
        <w:rPr>
          <w:rFonts w:cs="Times New Roman"/>
          <w:i/>
          <w:lang w:val="fr-CA"/>
        </w:rPr>
        <w:t>Loi constitutionnelle de 1982</w:t>
      </w:r>
      <w:r w:rsidRPr="008C4C16">
        <w:rPr>
          <w:rFonts w:cs="Times New Roman"/>
          <w:lang w:val="fr-CA"/>
        </w:rPr>
        <w:t xml:space="preserve"> ont été adoptés dans le contexte de négociations </w:t>
      </w:r>
      <w:r w:rsidRPr="008C4C16">
        <w:rPr>
          <w:rFonts w:cs="Times New Roman"/>
          <w:lang w:val="fr-CA"/>
        </w:rPr>
        <w:lastRenderedPageBreak/>
        <w:t xml:space="preserve">constitutionnelles en prévision de modifications futures touchant la Cour suprême.  Les procédures de modification établies dans la partie V visaient à orienter ce processus.  Lorsque les </w:t>
      </w:r>
      <w:r>
        <w:rPr>
          <w:rFonts w:cs="Times New Roman"/>
          <w:lang w:val="fr-CA"/>
        </w:rPr>
        <w:t>auteurs du texte législatif</w:t>
      </w:r>
      <w:r w:rsidRPr="008C4C16">
        <w:rPr>
          <w:rFonts w:cs="Times New Roman"/>
          <w:lang w:val="fr-CA"/>
        </w:rPr>
        <w:t xml:space="preserve"> ont précisé comment doivent être faites les modifications portant sur la Cour suprême et sa composition, ils avaient manifestement l’intention de préserver le</w:t>
      </w:r>
      <w:r w:rsidRPr="008C4C16">
        <w:rPr>
          <w:rFonts w:cs="Times New Roman"/>
          <w:i/>
          <w:lang w:val="fr-CA"/>
        </w:rPr>
        <w:t xml:space="preserve"> </w:t>
      </w:r>
      <w:r w:rsidRPr="00F02ACD">
        <w:rPr>
          <w:rFonts w:cs="Times New Roman"/>
          <w:lang w:val="fr-CA"/>
        </w:rPr>
        <w:t>statu quo</w:t>
      </w:r>
      <w:r w:rsidRPr="008C4C16">
        <w:rPr>
          <w:rFonts w:cs="Times New Roman"/>
          <w:lang w:val="fr-CA"/>
        </w:rPr>
        <w:t xml:space="preserve"> quant au rôle constitutionnel de la Cour, jusqu’à ce que des modifications soient faites : Monahan et Shaw, p. 204</w:t>
      </w:r>
      <w:r w:rsidRPr="008C4C16">
        <w:rPr>
          <w:rFonts w:cs="Times New Roman"/>
          <w:lang w:val="fr-CA"/>
        </w:rPr>
        <w:noBreakHyphen/>
        <w:t>205; W. R. Lederman, « Constitutional Pr</w:t>
      </w:r>
      <w:r w:rsidR="0066111F">
        <w:rPr>
          <w:rFonts w:cs="Times New Roman"/>
          <w:lang w:val="fr-CA"/>
        </w:rPr>
        <w:t>o</w:t>
      </w:r>
      <w:r w:rsidRPr="008C4C16">
        <w:rPr>
          <w:rFonts w:cs="Times New Roman"/>
          <w:lang w:val="fr-CA"/>
        </w:rPr>
        <w:t>cedure and the Reform of the Supreme Court of Canada » (1985), 26</w:t>
      </w:r>
      <w:r w:rsidRPr="008C4C16">
        <w:rPr>
          <w:rFonts w:cs="Times New Roman"/>
          <w:i/>
          <w:lang w:val="fr-CA"/>
        </w:rPr>
        <w:t xml:space="preserve"> C. de D.</w:t>
      </w:r>
      <w:r w:rsidR="00F02ACD">
        <w:rPr>
          <w:rFonts w:cs="Times New Roman"/>
          <w:lang w:val="fr-CA"/>
        </w:rPr>
        <w:t xml:space="preserve"> 195, p. 200</w:t>
      </w:r>
      <w:r w:rsidRPr="008C4C16">
        <w:rPr>
          <w:rFonts w:cs="Times New Roman"/>
          <w:lang w:val="fr-CA"/>
        </w:rPr>
        <w:t xml:space="preserve">; Henri Brun, Guy Tremblay et Eugénie Brouillet, </w:t>
      </w:r>
      <w:r w:rsidRPr="008C4C16">
        <w:rPr>
          <w:rFonts w:cs="Times New Roman"/>
          <w:i/>
          <w:lang w:val="fr-CA"/>
        </w:rPr>
        <w:t>Droit constitutionnel</w:t>
      </w:r>
      <w:r w:rsidRPr="008C4C16">
        <w:rPr>
          <w:rFonts w:cs="Times New Roman"/>
          <w:lang w:val="fr-CA"/>
        </w:rPr>
        <w:t xml:space="preserve"> (5</w:t>
      </w:r>
      <w:r w:rsidRPr="008C4C16">
        <w:rPr>
          <w:rFonts w:cs="Times New Roman"/>
          <w:vertAlign w:val="superscript"/>
          <w:lang w:val="fr-CA"/>
        </w:rPr>
        <w:t>e</w:t>
      </w:r>
      <w:r w:rsidRPr="008C4C16">
        <w:rPr>
          <w:rFonts w:cs="Times New Roman"/>
          <w:lang w:val="fr-CA"/>
        </w:rPr>
        <w:t xml:space="preserve"> éd. 2008), p. 233</w:t>
      </w:r>
      <w:r w:rsidRPr="008C4C16">
        <w:rPr>
          <w:rFonts w:cs="Times New Roman"/>
          <w:lang w:val="fr-CA"/>
        </w:rPr>
        <w:noBreakHyphen/>
        <w:t xml:space="preserve">234.  Cette intention concorde avec le consensus politique et social de l’époque selon lequel la Cour suprême constitue un élément essentiel de l’architecture constitutionnelle du Canada. </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Il est vrai qu’au moment de la Confédération, l’art. 101 de la</w:t>
      </w:r>
      <w:r w:rsidRPr="008C4C16">
        <w:rPr>
          <w:rFonts w:cs="Times New Roman"/>
          <w:i/>
          <w:lang w:val="fr-CA"/>
        </w:rPr>
        <w:t xml:space="preserve"> Loi constitutionnelle de 1867</w:t>
      </w:r>
      <w:r w:rsidRPr="008C4C16">
        <w:rPr>
          <w:rFonts w:cs="Times New Roman"/>
          <w:lang w:val="fr-CA"/>
        </w:rPr>
        <w:t xml:space="preserve"> a conféré au Parlement le pouvoir d’« adopter des mesures à l’effet de créer, maintenir et organiser une cour générale d’appel pour le Canada ».  Le Parlement peut certainement, aux termes de l’art. 101, adopter les modifications d’ordre administratif nécessaires </w:t>
      </w:r>
      <w:r>
        <w:rPr>
          <w:rFonts w:cs="Times New Roman"/>
          <w:lang w:val="fr-CA"/>
        </w:rPr>
        <w:t>au maintien</w:t>
      </w:r>
      <w:r w:rsidRPr="008C4C16">
        <w:rPr>
          <w:rFonts w:cs="Times New Roman"/>
          <w:lang w:val="fr-CA"/>
        </w:rPr>
        <w:t xml:space="preserve"> de la Cour suprême, mais uniquement à condition que ces modifications ne changent rien aux caractéristiques de la Cour qui bénéficient d’une protection constitutionnelle.  La nature du pouvoir unilatéral conféré à l’art. 101 de la</w:t>
      </w:r>
      <w:r w:rsidRPr="008C4C16">
        <w:rPr>
          <w:rFonts w:cs="Times New Roman"/>
          <w:i/>
          <w:lang w:val="fr-CA"/>
        </w:rPr>
        <w:t xml:space="preserve"> Loi constitutionnelle de 1867</w:t>
      </w:r>
      <w:r w:rsidRPr="008C4C16">
        <w:rPr>
          <w:rFonts w:cs="Times New Roman"/>
          <w:lang w:val="fr-CA"/>
        </w:rPr>
        <w:t xml:space="preserve"> a été modifiée par l’évolution de la Cour dans la structure constitutionnelle, comme le reconnaît la partie V de la</w:t>
      </w:r>
      <w:r w:rsidRPr="008C4C16">
        <w:rPr>
          <w:rFonts w:cs="Times New Roman"/>
          <w:i/>
          <w:lang w:val="fr-CA"/>
        </w:rPr>
        <w:t xml:space="preserve"> Loi constitutionnelle de 1982</w:t>
      </w:r>
      <w:r w:rsidRPr="008C4C16">
        <w:rPr>
          <w:rFonts w:cs="Times New Roman"/>
          <w:lang w:val="fr-CA"/>
        </w:rPr>
        <w:t>.  Par conséquent, l’art. 101 exige maintenant que le Parlement préserve — et protège — les éléments essentiels qui permettent à la Cour suprême de s’acquitter de sa mission actuelle.</w:t>
      </w:r>
    </w:p>
    <w:p w:rsidR="008B29FB" w:rsidRPr="0066111F" w:rsidRDefault="008B29FB" w:rsidP="006B5FE2">
      <w:pPr>
        <w:pStyle w:val="Title3LevelTitre3Niveau"/>
        <w:keepNext w:val="0"/>
        <w:rPr>
          <w:rFonts w:cs="Times New Roman"/>
          <w:lang w:val="fr-CA"/>
        </w:rPr>
      </w:pPr>
      <w:r w:rsidRPr="0066111F">
        <w:rPr>
          <w:rFonts w:cs="Times New Roman"/>
          <w:lang w:val="fr-CA"/>
        </w:rPr>
        <w:lastRenderedPageBreak/>
        <w:t xml:space="preserve">L’Accord du lac Meech et l’Accord de Charlottetown </w:t>
      </w:r>
    </w:p>
    <w:p w:rsidR="008B29FB" w:rsidRPr="008C4C16" w:rsidRDefault="008B29FB" w:rsidP="006B5FE2">
      <w:pPr>
        <w:pStyle w:val="ParaNoNdepar-AltN"/>
        <w:tabs>
          <w:tab w:val="clear" w:pos="1152"/>
          <w:tab w:val="left" w:pos="1166"/>
        </w:tabs>
        <w:rPr>
          <w:rFonts w:cs="Times New Roman"/>
          <w:szCs w:val="24"/>
          <w:lang w:val="fr-CA"/>
        </w:rPr>
      </w:pPr>
      <w:r w:rsidRPr="008C4C16">
        <w:rPr>
          <w:rFonts w:cs="Times New Roman"/>
          <w:lang w:val="fr-CA"/>
        </w:rPr>
        <w:t xml:space="preserve">Le procureur général du Canada plaide que </w:t>
      </w:r>
      <w:r w:rsidRPr="004506F9">
        <w:rPr>
          <w:rFonts w:cs="Times New Roman"/>
          <w:lang w:val="fr-CA"/>
        </w:rPr>
        <w:t>l’Accord du lac Meech</w:t>
      </w:r>
      <w:r w:rsidRPr="008C4C16">
        <w:rPr>
          <w:rFonts w:cs="Times New Roman"/>
          <w:lang w:val="fr-CA"/>
        </w:rPr>
        <w:t xml:space="preserve"> et </w:t>
      </w:r>
      <w:r w:rsidRPr="004506F9">
        <w:rPr>
          <w:rFonts w:cs="Times New Roman"/>
          <w:lang w:val="fr-CA"/>
        </w:rPr>
        <w:t>l’Accord de Charlottetown</w:t>
      </w:r>
      <w:r w:rsidRPr="008C4C16">
        <w:rPr>
          <w:rFonts w:cs="Times New Roman"/>
          <w:lang w:val="fr-CA"/>
        </w:rPr>
        <w:t xml:space="preserve"> auraient expressément constitutionnalisé les conditions de nomination à la Cour et que, comme ces modifications constitutionnelles n’ont pas été adoptées, les conditions de nomination à la Cour ne sont pas inscrites dans la Constitution.  </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Nous ne pouvons pas retenir cet argument.  Comme nous l’avons rappelé, l’adoption de la </w:t>
      </w:r>
      <w:r w:rsidRPr="008C4C16">
        <w:rPr>
          <w:rFonts w:cs="Times New Roman"/>
          <w:i/>
          <w:lang w:val="fr-CA"/>
        </w:rPr>
        <w:t xml:space="preserve">Loi constitutionnelle de 1982 </w:t>
      </w:r>
      <w:r w:rsidRPr="008C4C16">
        <w:rPr>
          <w:rFonts w:cs="Times New Roman"/>
          <w:lang w:val="fr-CA"/>
        </w:rPr>
        <w:t>a protégé le</w:t>
      </w:r>
      <w:r w:rsidRPr="008C4C16">
        <w:rPr>
          <w:rFonts w:cs="Times New Roman"/>
          <w:i/>
          <w:lang w:val="fr-CA"/>
        </w:rPr>
        <w:t xml:space="preserve"> </w:t>
      </w:r>
      <w:r w:rsidRPr="00F02ACD">
        <w:rPr>
          <w:rFonts w:cs="Times New Roman"/>
          <w:lang w:val="fr-CA"/>
        </w:rPr>
        <w:t>statu quo</w:t>
      </w:r>
      <w:r w:rsidRPr="008C4C16">
        <w:rPr>
          <w:rFonts w:cs="Times New Roman"/>
          <w:lang w:val="fr-CA"/>
        </w:rPr>
        <w:t xml:space="preserve"> en ce qui concerne la Cour suprême.  Ce </w:t>
      </w:r>
      <w:r w:rsidRPr="00F02ACD">
        <w:rPr>
          <w:rFonts w:cs="Times New Roman"/>
          <w:lang w:val="fr-CA"/>
        </w:rPr>
        <w:t>statu quo</w:t>
      </w:r>
      <w:r w:rsidRPr="008C4C16">
        <w:rPr>
          <w:rFonts w:cs="Times New Roman"/>
          <w:lang w:val="fr-CA"/>
        </w:rPr>
        <w:t xml:space="preserve"> incluait expressément la composition de la Cour, dont la représentation du Québec à la Cour fait partie intégrante.  </w:t>
      </w:r>
      <w:r w:rsidRPr="008A2D43">
        <w:rPr>
          <w:rFonts w:cs="Times New Roman"/>
          <w:lang w:val="fr-CA"/>
        </w:rPr>
        <w:t>L’Accord du lac Meech et l’Accord de Charlottetown</w:t>
      </w:r>
      <w:r w:rsidRPr="008C4C16">
        <w:rPr>
          <w:rFonts w:cs="Times New Roman"/>
          <w:i/>
          <w:lang w:val="fr-CA"/>
        </w:rPr>
        <w:t xml:space="preserve"> </w:t>
      </w:r>
      <w:r w:rsidRPr="008C4C16">
        <w:rPr>
          <w:rFonts w:cs="Times New Roman"/>
          <w:lang w:val="fr-CA"/>
        </w:rPr>
        <w:t xml:space="preserve">auraient réformé le processus de nomination des juges de la Cour et exigé que les juges pour le Québec soient nommés parmi les candidats figurant sur une liste soumise par le Québec.  Ces vaines tentatives de réforme prouvent uniquement qu’on a tenté de réformer plus généralement le processus de sélection, mais ne nous apprennent rien sur la protection constitutionnelle actuelle de la Cour.  L’échec de </w:t>
      </w:r>
      <w:r w:rsidRPr="008A2D43">
        <w:rPr>
          <w:rFonts w:cs="Times New Roman"/>
          <w:lang w:val="fr-CA"/>
        </w:rPr>
        <w:t>l’Accord</w:t>
      </w:r>
      <w:r w:rsidRPr="008C4C16">
        <w:rPr>
          <w:rFonts w:cs="Times New Roman"/>
          <w:i/>
          <w:lang w:val="fr-CA"/>
        </w:rPr>
        <w:t xml:space="preserve"> </w:t>
      </w:r>
      <w:r w:rsidRPr="008A2D43">
        <w:rPr>
          <w:rFonts w:cs="Times New Roman"/>
          <w:lang w:val="fr-CA"/>
        </w:rPr>
        <w:t>du lac Meech et de l’Accord de Charlottetown</w:t>
      </w:r>
      <w:r w:rsidRPr="008C4C16">
        <w:rPr>
          <w:rFonts w:cs="Times New Roman"/>
          <w:lang w:val="fr-CA"/>
        </w:rPr>
        <w:t xml:space="preserve"> signifie simplement que le </w:t>
      </w:r>
      <w:r w:rsidRPr="000929CB">
        <w:rPr>
          <w:rFonts w:cs="Times New Roman"/>
          <w:lang w:val="fr-CA"/>
        </w:rPr>
        <w:t>statu quo</w:t>
      </w:r>
      <w:r w:rsidRPr="008C4C16">
        <w:rPr>
          <w:rFonts w:cs="Times New Roman"/>
          <w:lang w:val="fr-CA"/>
        </w:rPr>
        <w:t xml:space="preserve"> quant au rôle constitutionnel de la Cour est demeuré intact. </w:t>
      </w:r>
    </w:p>
    <w:p w:rsidR="008B29FB" w:rsidRPr="008C4C16" w:rsidRDefault="008B29FB" w:rsidP="006B5FE2">
      <w:pPr>
        <w:pStyle w:val="Title2LevelTitre2Niveau"/>
        <w:keepNext w:val="0"/>
        <w:ind w:left="576" w:hanging="576"/>
        <w:rPr>
          <w:rFonts w:cs="Times New Roman"/>
          <w:lang w:val="fr-CA"/>
        </w:rPr>
      </w:pPr>
      <w:r w:rsidRPr="008C4C16">
        <w:rPr>
          <w:rFonts w:cs="Times New Roman"/>
          <w:lang w:val="fr-CA"/>
        </w:rPr>
        <w:t xml:space="preserve">Les effets des dispositions déclaratoires édictées par le Parlement </w:t>
      </w:r>
    </w:p>
    <w:p w:rsidR="008B29FB" w:rsidRPr="008C4C16" w:rsidRDefault="008B29FB" w:rsidP="006B5FE2">
      <w:pPr>
        <w:pStyle w:val="ParaNoNdepar-AltN"/>
        <w:rPr>
          <w:rFonts w:eastAsia="Times New Roman" w:cs="Times New Roman"/>
          <w:sz w:val="18"/>
          <w:szCs w:val="18"/>
          <w:lang w:val="fr-CA" w:eastAsia="en-CA"/>
        </w:rPr>
      </w:pPr>
      <w:r w:rsidRPr="008C4C16">
        <w:rPr>
          <w:rFonts w:cs="Times New Roman"/>
          <w:lang w:val="fr-CA"/>
        </w:rPr>
        <w:t>Tout changement dans la composition de la Cour doit être fait conformément à l’a</w:t>
      </w:r>
      <w:r>
        <w:rPr>
          <w:rFonts w:cs="Times New Roman"/>
          <w:lang w:val="fr-CA"/>
        </w:rPr>
        <w:t>l</w:t>
      </w:r>
      <w:r w:rsidRPr="008C4C16">
        <w:rPr>
          <w:rFonts w:cs="Times New Roman"/>
          <w:lang w:val="fr-CA"/>
        </w:rPr>
        <w:t>. 41</w:t>
      </w:r>
      <w:r>
        <w:rPr>
          <w:rFonts w:cs="Times New Roman"/>
          <w:i/>
          <w:lang w:val="fr-CA"/>
        </w:rPr>
        <w:t>d</w:t>
      </w:r>
      <w:r>
        <w:rPr>
          <w:rFonts w:cs="Times New Roman"/>
          <w:lang w:val="fr-CA"/>
        </w:rPr>
        <w:t>)</w:t>
      </w:r>
      <w:r w:rsidRPr="008C4C16">
        <w:rPr>
          <w:rFonts w:cs="Times New Roman"/>
          <w:lang w:val="fr-CA"/>
        </w:rPr>
        <w:t xml:space="preserve"> de la </w:t>
      </w:r>
      <w:r w:rsidRPr="008C4C16">
        <w:rPr>
          <w:rFonts w:cs="Times New Roman"/>
          <w:i/>
          <w:lang w:val="fr-CA"/>
        </w:rPr>
        <w:t>Loi constitutionnelle de 1982</w:t>
      </w:r>
      <w:r w:rsidRPr="008C4C16">
        <w:rPr>
          <w:rFonts w:cs="Times New Roman"/>
          <w:lang w:val="fr-CA"/>
        </w:rPr>
        <w:t>.  Le par</w:t>
      </w:r>
      <w:r w:rsidR="0066111F">
        <w:rPr>
          <w:rFonts w:cs="Times New Roman"/>
          <w:lang w:val="fr-CA"/>
        </w:rPr>
        <w:t>agraphe</w:t>
      </w:r>
      <w:r w:rsidRPr="008C4C16">
        <w:rPr>
          <w:rFonts w:cs="Times New Roman"/>
          <w:lang w:val="fr-CA"/>
        </w:rPr>
        <w:t xml:space="preserve"> 4(1) et les art. 5 et 6 de la </w:t>
      </w:r>
      <w:r w:rsidRPr="008C4C16">
        <w:rPr>
          <w:rFonts w:cs="Times New Roman"/>
          <w:i/>
          <w:lang w:val="fr-CA"/>
        </w:rPr>
        <w:t xml:space="preserve">Loi sur la Cour suprême </w:t>
      </w:r>
      <w:r w:rsidRPr="008C4C16">
        <w:rPr>
          <w:rFonts w:cs="Times New Roman"/>
          <w:lang w:val="fr-CA"/>
        </w:rPr>
        <w:t xml:space="preserve">codifient la composition de la Cour </w:t>
      </w:r>
      <w:r w:rsidRPr="008C4C16">
        <w:rPr>
          <w:rFonts w:cs="Times New Roman"/>
          <w:lang w:val="fr-CA"/>
        </w:rPr>
        <w:lastRenderedPageBreak/>
        <w:t>suprême du Canada et les conditions de nomination de ses juges</w:t>
      </w:r>
      <w:r w:rsidRPr="008C4C16">
        <w:rPr>
          <w:rFonts w:cs="Times New Roman"/>
          <w:i/>
          <w:lang w:val="fr-CA"/>
        </w:rPr>
        <w:t xml:space="preserve"> </w:t>
      </w:r>
      <w:r w:rsidRPr="008C4C16">
        <w:rPr>
          <w:rFonts w:cs="Times New Roman"/>
          <w:lang w:val="fr-CA"/>
        </w:rPr>
        <w:t xml:space="preserve">telles qu’elles existaient en 1982.  L’article 6 est particulièrement pertinent, car il reflète le caractère bijuridique de la </w:t>
      </w:r>
      <w:r w:rsidR="0066111F">
        <w:rPr>
          <w:rFonts w:cs="Times New Roman"/>
          <w:lang w:val="fr-CA"/>
        </w:rPr>
        <w:t>C</w:t>
      </w:r>
      <w:r w:rsidRPr="008C4C16">
        <w:rPr>
          <w:rFonts w:cs="Times New Roman"/>
          <w:lang w:val="fr-CA"/>
        </w:rPr>
        <w:t xml:space="preserve">our et représente l’élément clé de l’entente historique qui a permis la création de la Cour suprême.  Rappelons que la garantie qu’un tiers des juges de la Cour proviendraient du Québec assurait que la Cour </w:t>
      </w:r>
      <w:r>
        <w:rPr>
          <w:rFonts w:cs="Times New Roman"/>
          <w:lang w:val="fr-CA"/>
        </w:rPr>
        <w:t>posséderait</w:t>
      </w:r>
      <w:r w:rsidRPr="008C4C16">
        <w:rPr>
          <w:rFonts w:cs="Times New Roman"/>
          <w:lang w:val="fr-CA"/>
        </w:rPr>
        <w:t xml:space="preserve"> une expertise en droit civil et que les traditions juridiques et valeurs sociales du Québec y seraient représentées</w:t>
      </w:r>
      <w:r w:rsidR="000929CB">
        <w:rPr>
          <w:rFonts w:cs="Times New Roman"/>
          <w:lang w:val="fr-CA"/>
        </w:rPr>
        <w:t>,</w:t>
      </w:r>
      <w:r w:rsidRPr="008C4C16">
        <w:rPr>
          <w:rFonts w:cs="Times New Roman"/>
          <w:lang w:val="fr-CA"/>
        </w:rPr>
        <w:t xml:space="preserve"> et renforçait la confiance du Québec envers la Cour.</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lang w:val="fr-CA"/>
        </w:rPr>
        <w:t xml:space="preserve">Les conditions de nomination générales et les conditions de nomination particulières pour le Québec </w:t>
      </w:r>
      <w:r w:rsidRPr="008C4C16">
        <w:rPr>
          <w:rFonts w:cs="Times New Roman"/>
          <w:szCs w:val="24"/>
          <w:lang w:val="fr-CA"/>
        </w:rPr>
        <w:t xml:space="preserve">sont des aspects de la composition de la Cour.  En conséquence, toute modification importante portant sur ces conditions de nomination constitue une modification de la Constitution portant sur la composition de la Cour suprême du Canada et entraîne l’application de la partie V de la </w:t>
      </w:r>
      <w:r w:rsidRPr="008C4C16">
        <w:rPr>
          <w:rFonts w:cs="Times New Roman"/>
          <w:i/>
          <w:szCs w:val="24"/>
          <w:lang w:val="fr-CA"/>
        </w:rPr>
        <w:t>Loi constitutionnelle de 1982</w:t>
      </w:r>
      <w:r w:rsidRPr="008C4C16">
        <w:rPr>
          <w:rFonts w:cs="Times New Roman"/>
          <w:szCs w:val="24"/>
          <w:lang w:val="fr-CA"/>
        </w:rPr>
        <w:t>.  Toute modification des conditions de nomination aux trois postes de juge de la Cour réservés pour le Québec codifiées à l’art. 6 exige donc le consentement unanime du Parlement et des 10 provinces.</w:t>
      </w:r>
    </w:p>
    <w:p w:rsidR="008B29FB" w:rsidRPr="008C4C16" w:rsidRDefault="008B29FB" w:rsidP="006B5FE2">
      <w:pPr>
        <w:pStyle w:val="ParaNoNdepar-AltN"/>
        <w:tabs>
          <w:tab w:val="clear" w:pos="1152"/>
          <w:tab w:val="left" w:pos="1166"/>
        </w:tabs>
        <w:rPr>
          <w:rFonts w:cs="Times New Roman"/>
          <w:lang w:val="fr-CA"/>
        </w:rPr>
      </w:pPr>
      <w:r w:rsidRPr="008C4C16">
        <w:rPr>
          <w:rFonts w:cs="Times New Roman"/>
          <w:szCs w:val="24"/>
          <w:lang w:val="fr-CA"/>
        </w:rPr>
        <w:t xml:space="preserve">Comme l’art. 6.1 de la </w:t>
      </w:r>
      <w:r w:rsidRPr="008C4C16">
        <w:rPr>
          <w:rFonts w:cs="Times New Roman"/>
          <w:i/>
          <w:szCs w:val="24"/>
          <w:lang w:val="fr-CA"/>
        </w:rPr>
        <w:t>Loi sur la Cour suprême</w:t>
      </w:r>
      <w:r w:rsidRPr="008C4C16">
        <w:rPr>
          <w:rFonts w:cs="Times New Roman"/>
          <w:szCs w:val="24"/>
          <w:lang w:val="fr-CA"/>
        </w:rPr>
        <w:t xml:space="preserve"> (l’art. 472 </w:t>
      </w:r>
      <w:r>
        <w:rPr>
          <w:rFonts w:cs="Times New Roman"/>
          <w:szCs w:val="24"/>
          <w:lang w:val="fr-CA"/>
        </w:rPr>
        <w:t>du projet de loi intitulé</w:t>
      </w:r>
      <w:r w:rsidRPr="008C4C16">
        <w:rPr>
          <w:rFonts w:cs="Times New Roman"/>
          <w:szCs w:val="24"/>
          <w:lang w:val="fr-CA"/>
        </w:rPr>
        <w:t xml:space="preserve"> </w:t>
      </w:r>
      <w:r w:rsidRPr="008C4C16">
        <w:rPr>
          <w:rFonts w:cs="Times New Roman"/>
          <w:i/>
          <w:szCs w:val="24"/>
          <w:lang w:val="fr-CA"/>
        </w:rPr>
        <w:t>Loi n</w:t>
      </w:r>
      <w:r w:rsidRPr="008C4C16">
        <w:rPr>
          <w:rFonts w:cs="Times New Roman"/>
          <w:i/>
          <w:szCs w:val="24"/>
          <w:vertAlign w:val="superscript"/>
          <w:lang w:val="fr-CA"/>
        </w:rPr>
        <w:t>o</w:t>
      </w:r>
      <w:r w:rsidRPr="008C4C16">
        <w:rPr>
          <w:rFonts w:cs="Times New Roman"/>
          <w:i/>
          <w:szCs w:val="24"/>
          <w:lang w:val="fr-CA"/>
        </w:rPr>
        <w:t xml:space="preserve"> 2 sur le plan d’action économique de 2013</w:t>
      </w:r>
      <w:r w:rsidRPr="008C4C16">
        <w:rPr>
          <w:rFonts w:cs="Times New Roman"/>
          <w:szCs w:val="24"/>
          <w:lang w:val="fr-CA"/>
        </w:rPr>
        <w:t xml:space="preserve">) modifie </w:t>
      </w:r>
      <w:r>
        <w:rPr>
          <w:rFonts w:cs="Times New Roman"/>
          <w:szCs w:val="24"/>
          <w:lang w:val="fr-CA"/>
        </w:rPr>
        <w:t xml:space="preserve">substantiellement </w:t>
      </w:r>
      <w:r w:rsidRPr="008C4C16">
        <w:rPr>
          <w:rFonts w:cs="Times New Roman"/>
          <w:szCs w:val="24"/>
          <w:lang w:val="fr-CA"/>
        </w:rPr>
        <w:t>les conditions de nomination d’un juge pour le Québec fixées à l’art. 6, il apporte une modification à la Constitution du Canada portant sur un sujet qui requiert le consentemen</w:t>
      </w:r>
      <w:r w:rsidR="000B6D72">
        <w:rPr>
          <w:rFonts w:cs="Times New Roman"/>
          <w:szCs w:val="24"/>
          <w:lang w:val="fr-CA"/>
        </w:rPr>
        <w:t>t unanime du Parlement et de l’a</w:t>
      </w:r>
      <w:r w:rsidRPr="008C4C16">
        <w:rPr>
          <w:rFonts w:cs="Times New Roman"/>
          <w:szCs w:val="24"/>
          <w:lang w:val="fr-CA"/>
        </w:rPr>
        <w:t>ssemblée législative de chaque province.  L’affirmation que l’art. 6.1 est une disposition déclaratoire ne change en rien son effet.  Par conséquent, l’art. 6.1 excède le pouvoir du Parlement agissant seul.  Toutefois, l’art. 5.1 (art</w:t>
      </w:r>
      <w:r w:rsidR="0066111F">
        <w:rPr>
          <w:rFonts w:cs="Times New Roman"/>
          <w:szCs w:val="24"/>
          <w:lang w:val="fr-CA"/>
        </w:rPr>
        <w:t>.</w:t>
      </w:r>
      <w:r w:rsidRPr="008C4C16">
        <w:rPr>
          <w:rFonts w:cs="Times New Roman"/>
          <w:szCs w:val="24"/>
          <w:lang w:val="fr-CA"/>
        </w:rPr>
        <w:t xml:space="preserve"> 471) ne modifie pas le droit existant en 1982; </w:t>
      </w:r>
      <w:r w:rsidRPr="008C4C16">
        <w:rPr>
          <w:rFonts w:cs="Times New Roman"/>
          <w:szCs w:val="24"/>
          <w:lang w:val="fr-CA"/>
        </w:rPr>
        <w:lastRenderedPageBreak/>
        <w:t xml:space="preserve">il a donc été valablement adopté en vertu de l’art. 101 de la </w:t>
      </w:r>
      <w:r w:rsidRPr="008C4C16">
        <w:rPr>
          <w:rFonts w:cs="Times New Roman"/>
          <w:i/>
          <w:szCs w:val="24"/>
          <w:lang w:val="fr-CA"/>
        </w:rPr>
        <w:t>Loi constitutionnelle de 1867</w:t>
      </w:r>
      <w:r w:rsidRPr="008C4C16">
        <w:rPr>
          <w:rFonts w:cs="Times New Roman"/>
          <w:szCs w:val="24"/>
          <w:lang w:val="fr-CA"/>
        </w:rPr>
        <w:t>, bien qu’il soit redondant.</w:t>
      </w:r>
    </w:p>
    <w:p w:rsidR="008B29FB" w:rsidRPr="008C4C16" w:rsidRDefault="008B29FB" w:rsidP="006B5FE2">
      <w:pPr>
        <w:pStyle w:val="Title1LevelTitre1Niveau-AltL"/>
        <w:keepNext w:val="0"/>
        <w:rPr>
          <w:rFonts w:cs="Times New Roman"/>
          <w:lang w:val="fr-CA"/>
        </w:rPr>
      </w:pPr>
      <w:r w:rsidRPr="008C4C16">
        <w:rPr>
          <w:rFonts w:cs="Times New Roman"/>
          <w:lang w:val="fr-CA"/>
        </w:rPr>
        <w:t>Réponses aux questions du renvoi</w:t>
      </w:r>
    </w:p>
    <w:p w:rsidR="008B29FB" w:rsidRPr="008C4C16" w:rsidRDefault="008B29FB" w:rsidP="006B5FE2">
      <w:pPr>
        <w:pStyle w:val="ParaNoNdepar-AltN"/>
        <w:rPr>
          <w:rFonts w:cs="Times New Roman"/>
          <w:lang w:val="fr-CA"/>
        </w:rPr>
      </w:pPr>
      <w:r w:rsidRPr="008C4C16">
        <w:rPr>
          <w:rFonts w:cs="Times New Roman"/>
          <w:lang w:val="fr-CA"/>
        </w:rPr>
        <w:t>Nous répondons comme suit aux questions du renvoi</w:t>
      </w:r>
      <w:r w:rsidR="0066111F">
        <w:rPr>
          <w:rFonts w:cs="Times New Roman"/>
          <w:lang w:val="fr-CA"/>
        </w:rPr>
        <w:t> :</w:t>
      </w:r>
    </w:p>
    <w:p w:rsidR="008B29FB" w:rsidRPr="008C4C16" w:rsidRDefault="008B29FB" w:rsidP="0066111F">
      <w:pPr>
        <w:pStyle w:val="Citation-AltC"/>
        <w:numPr>
          <w:ilvl w:val="6"/>
          <w:numId w:val="7"/>
        </w:numPr>
        <w:tabs>
          <w:tab w:val="left" w:pos="1620"/>
        </w:tabs>
        <w:spacing w:after="240"/>
        <w:ind w:left="1170" w:firstLine="0"/>
        <w:contextualSpacing w:val="0"/>
        <w:rPr>
          <w:lang w:val="fr-CA"/>
        </w:rPr>
      </w:pPr>
      <w:r w:rsidRPr="008C4C16">
        <w:rPr>
          <w:lang w:val="fr-CA"/>
        </w:rPr>
        <w:t>Une personne qui a autrefois été inscrite comme avocat pendant au moins dix ans au Barreau du Québec peut</w:t>
      </w:r>
      <w:r w:rsidRPr="008C4C16">
        <w:rPr>
          <w:lang w:val="fr-CA"/>
        </w:rPr>
        <w:noBreakHyphen/>
        <w:t xml:space="preserve">elle être nommée à la Cour suprême du Canada à titre de juge de la Cour suprême pour le Québec conformément aux articles 5 et 6 de la </w:t>
      </w:r>
      <w:r w:rsidRPr="008C4C16">
        <w:rPr>
          <w:i/>
          <w:lang w:val="fr-CA"/>
        </w:rPr>
        <w:t>Loi sur la Cour suprême</w:t>
      </w:r>
      <w:r w:rsidRPr="008C4C16">
        <w:rPr>
          <w:lang w:val="fr-CA"/>
        </w:rPr>
        <w:t>?</w:t>
      </w:r>
    </w:p>
    <w:p w:rsidR="008B29FB" w:rsidRPr="008C4C16" w:rsidRDefault="008B29FB" w:rsidP="00C25A5D">
      <w:pPr>
        <w:pStyle w:val="Citation-AltC"/>
        <w:spacing w:after="240" w:line="480" w:lineRule="auto"/>
        <w:ind w:left="1440" w:hanging="1440"/>
        <w:contextualSpacing w:val="0"/>
        <w:rPr>
          <w:lang w:val="fr-CA"/>
        </w:rPr>
      </w:pPr>
      <w:r w:rsidRPr="008C4C16">
        <w:rPr>
          <w:lang w:val="fr-CA"/>
        </w:rPr>
        <w:t>Réponse : Non</w:t>
      </w:r>
    </w:p>
    <w:p w:rsidR="008B29FB" w:rsidRPr="008C4C16" w:rsidRDefault="008B29FB" w:rsidP="00C25A5D">
      <w:pPr>
        <w:pStyle w:val="Citation-AltC"/>
        <w:numPr>
          <w:ilvl w:val="6"/>
          <w:numId w:val="7"/>
        </w:numPr>
        <w:tabs>
          <w:tab w:val="left" w:pos="1620"/>
        </w:tabs>
        <w:spacing w:after="480"/>
        <w:ind w:left="1166" w:firstLine="0"/>
        <w:contextualSpacing w:val="0"/>
        <w:rPr>
          <w:lang w:val="fr-CA"/>
        </w:rPr>
      </w:pPr>
      <w:r w:rsidRPr="008C4C16">
        <w:rPr>
          <w:lang w:val="fr-CA"/>
        </w:rPr>
        <w:t>Le Parlement peut</w:t>
      </w:r>
      <w:r w:rsidRPr="008C4C16">
        <w:rPr>
          <w:lang w:val="fr-CA"/>
        </w:rPr>
        <w:noBreakHyphen/>
        <w:t xml:space="preserve">il légiférer pour exiger, à titre de condition de sa nomination au poste de juge de la Cour suprême du Canada, qu’une personne soit ou ait été inscrite comme avocat au barreau d’une province pendant au moins dix ans ou adopter des dispositions déclaratoires telles que celles prévues aux articles 471 et 472 du projet de loi intitulé </w:t>
      </w:r>
      <w:r w:rsidRPr="008C4C16">
        <w:rPr>
          <w:i/>
          <w:lang w:val="fr-CA"/>
        </w:rPr>
        <w:t>Loi n</w:t>
      </w:r>
      <w:r w:rsidRPr="0066111F">
        <w:rPr>
          <w:i/>
          <w:vertAlign w:val="superscript"/>
          <w:lang w:val="fr-CA"/>
        </w:rPr>
        <w:t>o</w:t>
      </w:r>
      <w:r w:rsidRPr="008C4C16">
        <w:rPr>
          <w:i/>
          <w:lang w:val="fr-CA"/>
        </w:rPr>
        <w:t xml:space="preserve"> 2 sur le plan d’action économique de 2013</w:t>
      </w:r>
      <w:r w:rsidR="0066111F">
        <w:rPr>
          <w:lang w:val="fr-CA"/>
        </w:rPr>
        <w:t>, ci-annexé</w:t>
      </w:r>
      <w:r w:rsidRPr="008C4C16">
        <w:rPr>
          <w:lang w:val="fr-CA"/>
        </w:rPr>
        <w:t>?</w:t>
      </w:r>
    </w:p>
    <w:p w:rsidR="008B29FB" w:rsidRPr="008C4C16" w:rsidRDefault="008B29FB" w:rsidP="00C25A5D">
      <w:pPr>
        <w:pStyle w:val="Citation-AltC"/>
        <w:spacing w:after="480" w:line="480" w:lineRule="auto"/>
        <w:ind w:left="0"/>
        <w:contextualSpacing w:val="0"/>
        <w:rPr>
          <w:lang w:val="fr-CA"/>
        </w:rPr>
      </w:pPr>
      <w:r w:rsidRPr="008C4C16">
        <w:rPr>
          <w:lang w:val="fr-CA"/>
        </w:rPr>
        <w:t>Réponse : Pour ce qui est des trois postes de juge de la Cour réservés pour le Québec, la réponse est non.  Pour ce qui est de la disposition déclaratoire énoncée dans l’art</w:t>
      </w:r>
      <w:r w:rsidR="000929CB">
        <w:rPr>
          <w:lang w:val="fr-CA"/>
        </w:rPr>
        <w:t>.</w:t>
      </w:r>
      <w:r w:rsidRPr="008C4C16">
        <w:rPr>
          <w:lang w:val="fr-CA"/>
        </w:rPr>
        <w:t> 472, la rép</w:t>
      </w:r>
      <w:r w:rsidR="000929CB">
        <w:rPr>
          <w:lang w:val="fr-CA"/>
        </w:rPr>
        <w:t xml:space="preserve">onse est non.  Concernant l’art. </w:t>
      </w:r>
      <w:r w:rsidRPr="008C4C16">
        <w:rPr>
          <w:lang w:val="fr-CA"/>
        </w:rPr>
        <w:t>471, la réponse est oui.</w:t>
      </w:r>
    </w:p>
    <w:p w:rsidR="008B29FB" w:rsidRDefault="008B29FB" w:rsidP="00760EB8">
      <w:pPr>
        <w:spacing w:after="480"/>
        <w:ind w:left="720" w:firstLine="720"/>
        <w:rPr>
          <w:lang w:val="fr-CA"/>
        </w:rPr>
      </w:pPr>
      <w:r w:rsidRPr="005C7757">
        <w:rPr>
          <w:lang w:val="fr-CA"/>
        </w:rPr>
        <w:t>Version française de l’avis rendu par</w:t>
      </w:r>
    </w:p>
    <w:p w:rsidR="008B29FB" w:rsidRDefault="008B29FB" w:rsidP="006B5FE2">
      <w:pPr>
        <w:rPr>
          <w:lang w:val="fr-CA"/>
        </w:rPr>
      </w:pPr>
    </w:p>
    <w:p w:rsidR="008B29FB" w:rsidRPr="003B61CC" w:rsidRDefault="008B29FB" w:rsidP="006B5FE2">
      <w:pPr>
        <w:pStyle w:val="JudgeJuge"/>
        <w:rPr>
          <w:lang w:val="fr-CA"/>
        </w:rPr>
      </w:pPr>
      <w:r>
        <w:rPr>
          <w:lang w:val="fr-CA"/>
        </w:rPr>
        <w:tab/>
      </w:r>
      <w:r w:rsidRPr="003B61CC">
        <w:rPr>
          <w:lang w:val="fr-CA"/>
        </w:rPr>
        <w:tab/>
        <w:t>Le juge Moldaver</w:t>
      </w:r>
      <w:r w:rsidRPr="000929CB">
        <w:rPr>
          <w:smallCaps w:val="0"/>
          <w:lang w:val="fr-CA"/>
        </w:rPr>
        <w:t xml:space="preserve"> </w:t>
      </w:r>
      <w:r w:rsidR="000929CB" w:rsidRPr="000929CB">
        <w:rPr>
          <w:smallCaps w:val="0"/>
          <w:lang w:val="fr-CA"/>
        </w:rPr>
        <w:t xml:space="preserve">(dissident) </w:t>
      </w:r>
      <w:r w:rsidRPr="003B61CC">
        <w:rPr>
          <w:lang w:val="fr-CA"/>
        </w:rPr>
        <w:t xml:space="preserve">— </w:t>
      </w:r>
    </w:p>
    <w:p w:rsidR="008B29FB" w:rsidRPr="002C4B13" w:rsidRDefault="008B29FB" w:rsidP="006B5FE2">
      <w:pPr>
        <w:pStyle w:val="Title1LevelTitre1Niveau-AltL"/>
        <w:keepNext w:val="0"/>
        <w:numPr>
          <w:ilvl w:val="0"/>
          <w:numId w:val="36"/>
        </w:numPr>
        <w:ind w:left="432"/>
        <w:rPr>
          <w:rFonts w:cs="Times New Roman"/>
          <w:lang w:val="fr-CA"/>
        </w:rPr>
      </w:pPr>
      <w:r w:rsidRPr="002C4B13">
        <w:rPr>
          <w:rFonts w:cs="Times New Roman"/>
          <w:lang w:val="fr-CA"/>
        </w:rPr>
        <w:t>Introduction</w:t>
      </w:r>
    </w:p>
    <w:p w:rsidR="008B29FB" w:rsidRPr="003B61CC" w:rsidRDefault="008B29FB" w:rsidP="006B5FE2">
      <w:pPr>
        <w:pStyle w:val="ParaNoNdepar-AltN"/>
        <w:tabs>
          <w:tab w:val="clear" w:pos="1152"/>
          <w:tab w:val="left" w:pos="1166"/>
          <w:tab w:val="num" w:pos="1578"/>
        </w:tabs>
      </w:pPr>
      <w:r w:rsidRPr="008B29FB">
        <w:rPr>
          <w:lang w:val="fr-CA"/>
        </w:rPr>
        <w:lastRenderedPageBreak/>
        <w:t xml:space="preserve">Le 22 octobre 2013, le gouverneur général en conseil a soumis les questions suivantes au jugement de la Cour conformément à l’art. 53 de la </w:t>
      </w:r>
      <w:r w:rsidRPr="008B29FB">
        <w:rPr>
          <w:i/>
          <w:lang w:val="fr-CA"/>
        </w:rPr>
        <w:t>Loi sur la Cour suprême</w:t>
      </w:r>
      <w:r w:rsidRPr="008B29FB">
        <w:rPr>
          <w:lang w:val="fr-CA"/>
        </w:rPr>
        <w:t>, L.R.C. 1985, ch. </w:t>
      </w:r>
      <w:r w:rsidRPr="003B61CC">
        <w:t>S</w:t>
      </w:r>
      <w:r w:rsidRPr="003B61CC">
        <w:noBreakHyphen/>
        <w:t xml:space="preserve">26 (« Loi ») : </w:t>
      </w:r>
    </w:p>
    <w:p w:rsidR="008B29FB" w:rsidRPr="003B61CC" w:rsidRDefault="008B29FB" w:rsidP="006B5FE2">
      <w:pPr>
        <w:pStyle w:val="Citation-AltC"/>
        <w:spacing w:after="240"/>
        <w:ind w:hanging="1166"/>
        <w:contextualSpacing w:val="0"/>
        <w:rPr>
          <w:lang w:val="fr-CA"/>
        </w:rPr>
      </w:pPr>
      <w:r w:rsidRPr="003B61CC">
        <w:rPr>
          <w:lang w:val="fr-CA"/>
        </w:rPr>
        <w:tab/>
        <w:t>1.</w:t>
      </w:r>
      <w:r w:rsidRPr="003B61CC">
        <w:rPr>
          <w:lang w:val="fr-CA"/>
        </w:rPr>
        <w:tab/>
        <w:t>Une personne qui a autrefois été inscrite comme avocat pendant au moins dix ans au Barreau du Québec peut</w:t>
      </w:r>
      <w:r w:rsidRPr="003B61CC">
        <w:rPr>
          <w:lang w:val="fr-CA"/>
        </w:rPr>
        <w:noBreakHyphen/>
        <w:t xml:space="preserve">elle être nommée à la Cour suprême du Canada à titre de juge de la Cour suprême pour le Québec conformément aux articles 5 et 6 de la </w:t>
      </w:r>
      <w:r w:rsidRPr="003B61CC">
        <w:rPr>
          <w:i/>
          <w:lang w:val="fr-CA"/>
        </w:rPr>
        <w:t>Loi sur la Cour suprême</w:t>
      </w:r>
      <w:r w:rsidRPr="003B61CC">
        <w:rPr>
          <w:lang w:val="fr-CA"/>
        </w:rPr>
        <w:t>?</w:t>
      </w:r>
    </w:p>
    <w:p w:rsidR="008B29FB" w:rsidRPr="003B61CC" w:rsidRDefault="008B29FB" w:rsidP="006B5FE2">
      <w:pPr>
        <w:pStyle w:val="Citation-AltC"/>
        <w:ind w:hanging="1166"/>
        <w:rPr>
          <w:lang w:val="fr-CA"/>
        </w:rPr>
      </w:pPr>
      <w:r w:rsidRPr="003B61CC">
        <w:rPr>
          <w:lang w:val="fr-CA"/>
        </w:rPr>
        <w:tab/>
        <w:t>2.</w:t>
      </w:r>
      <w:r w:rsidRPr="003B61CC">
        <w:rPr>
          <w:lang w:val="fr-CA"/>
        </w:rPr>
        <w:tab/>
        <w:t>Le Parlement peut</w:t>
      </w:r>
      <w:r w:rsidRPr="003B61CC">
        <w:rPr>
          <w:lang w:val="fr-CA"/>
        </w:rPr>
        <w:noBreakHyphen/>
        <w:t xml:space="preserve">il légiférer pour exiger, à titre de condition de sa nomination au poste de juge de la Cour suprême du Canada, qu’une personne soit ou ait été inscrite comme avocat au barreau d’une province pendant au moins dix ans ou adopter des dispositions déclaratoires telles que celles prévues aux articles 471 et 472 du projet de loi intitulé </w:t>
      </w:r>
      <w:r w:rsidRPr="003B61CC">
        <w:rPr>
          <w:i/>
          <w:lang w:val="fr-CA"/>
        </w:rPr>
        <w:t>Loi n</w:t>
      </w:r>
      <w:r w:rsidRPr="0066111F">
        <w:rPr>
          <w:i/>
          <w:vertAlign w:val="superscript"/>
          <w:lang w:val="fr-CA"/>
        </w:rPr>
        <w:t>o</w:t>
      </w:r>
      <w:r w:rsidRPr="003B61CC">
        <w:rPr>
          <w:i/>
          <w:lang w:val="fr-CA"/>
        </w:rPr>
        <w:t> 2 sur le plan d’action économique de 2013</w:t>
      </w:r>
      <w:r w:rsidR="0066111F">
        <w:rPr>
          <w:lang w:val="fr-CA"/>
        </w:rPr>
        <w:t>, ci-annexé</w:t>
      </w:r>
      <w:r w:rsidRPr="003B61CC">
        <w:rPr>
          <w:lang w:val="fr-CA"/>
        </w:rPr>
        <w:t>?</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Ce renvoi découle de la nomination de l’honorable juge Marc Nadon à l’un des trois postes de juge de la Cour réservés à la province de Québec.  Le juge Nadon a autrefois été membre du Barreau du Québec pendant près de 20 ans.  Au moment de sa nomination à la Cour, il était juge à la Cour d’appel fédérale</w:t>
      </w:r>
      <w:r w:rsidRPr="0077155D">
        <w:rPr>
          <w:rStyle w:val="Hyperlink"/>
          <w:u w:val="none"/>
          <w:vertAlign w:val="superscript"/>
        </w:rPr>
        <w:footnoteReference w:id="4"/>
      </w:r>
      <w:r w:rsidRPr="008B29FB">
        <w:rPr>
          <w:rFonts w:cs="Times New Roman"/>
          <w:lang w:val="fr-CA"/>
        </w:rPr>
        <w:t xml:space="preserve">. </w:t>
      </w:r>
    </w:p>
    <w:p w:rsidR="008B29FB" w:rsidRPr="003B61CC" w:rsidRDefault="008B29FB" w:rsidP="006B5FE2">
      <w:pPr>
        <w:pStyle w:val="ParaNoNdepar-AltN"/>
        <w:tabs>
          <w:tab w:val="clear" w:pos="1152"/>
          <w:tab w:val="left" w:pos="1166"/>
          <w:tab w:val="num" w:pos="1578"/>
        </w:tabs>
        <w:rPr>
          <w:rFonts w:cs="Times New Roman"/>
        </w:rPr>
      </w:pPr>
      <w:r w:rsidRPr="008B29FB">
        <w:rPr>
          <w:rFonts w:cs="Times New Roman"/>
          <w:lang w:val="fr-CA"/>
        </w:rPr>
        <w:t xml:space="preserve">Pour répondre à la question 1, il faut décider si les anciens avocats inscrits au Barreau du Québec pendant au moins 10 ans répondent aux conditions de nomination fixées dans la </w:t>
      </w:r>
      <w:r w:rsidRPr="008B29FB">
        <w:rPr>
          <w:rFonts w:cs="Times New Roman"/>
          <w:i/>
          <w:lang w:val="fr-CA"/>
        </w:rPr>
        <w:t xml:space="preserve">Loi sur la Cour suprême </w:t>
      </w:r>
      <w:r w:rsidRPr="008B29FB">
        <w:rPr>
          <w:rFonts w:cs="Times New Roman"/>
          <w:lang w:val="fr-CA"/>
        </w:rPr>
        <w:t xml:space="preserve">relativement aux postes de juge réservés au Québec.  Il s’agit d’une question d’ordre juridique, et non politique.  Ce n’est pas le rôle de la Cour de faire des commentaires sur l’opportunité d’une nomination ou sur le processus de sélection qui l’a précédée.  Ce sont là des questions </w:t>
      </w:r>
      <w:r w:rsidRPr="008B29FB">
        <w:rPr>
          <w:rFonts w:cs="Times New Roman"/>
          <w:lang w:val="fr-CA"/>
        </w:rPr>
        <w:lastRenderedPageBreak/>
        <w:t xml:space="preserve">d’ordre politique qui relèvent du pouvoir exécutif.  </w:t>
      </w:r>
      <w:r w:rsidRPr="003B61CC">
        <w:rPr>
          <w:rFonts w:cs="Times New Roman"/>
        </w:rPr>
        <w:t xml:space="preserve">Elles n’entrent pas dans notre mandat.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La réponse à la </w:t>
      </w:r>
      <w:r w:rsidR="0066111F">
        <w:rPr>
          <w:rFonts w:cs="Times New Roman"/>
          <w:lang w:val="fr-CA"/>
        </w:rPr>
        <w:t>q</w:t>
      </w:r>
      <w:r w:rsidRPr="008B29FB">
        <w:rPr>
          <w:rFonts w:cs="Times New Roman"/>
          <w:lang w:val="fr-CA"/>
        </w:rPr>
        <w:t xml:space="preserve">uestion 1 réside dans l’interprétation juste des art. 5 et 6 de la Loi. Pour les motifs qui suivent, je répondrais à la question 1 par l’affirmative.  Les articles 5 et 6 permettent de nommer à la Cour tout avocat, actuel ou ancien, inscrit pendant au moins 10 ans au Barreau du Québec.  Compte tenu de ma réponse à la question 1, le texte législatif mentionné dans la question 2 est redondant.  Il n’a aucun autre effet que de répéter ce que la loi dit déjà.  Par conséquent, il n’est pas nécessaire de répondre à la question 2.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Cela dit, comme les motifs des juges majoritaires le montrent clairement, une réponse différente à la </w:t>
      </w:r>
      <w:r w:rsidR="0066111F">
        <w:rPr>
          <w:rFonts w:cs="Times New Roman"/>
          <w:lang w:val="fr-CA"/>
        </w:rPr>
        <w:t>q</w:t>
      </w:r>
      <w:r w:rsidRPr="008B29FB">
        <w:rPr>
          <w:rFonts w:cs="Times New Roman"/>
          <w:lang w:val="fr-CA"/>
        </w:rPr>
        <w:t xml:space="preserve">uestion 1 place la </w:t>
      </w:r>
      <w:r w:rsidR="0066111F">
        <w:rPr>
          <w:rFonts w:cs="Times New Roman"/>
          <w:lang w:val="fr-CA"/>
        </w:rPr>
        <w:t>q</w:t>
      </w:r>
      <w:r w:rsidRPr="008B29FB">
        <w:rPr>
          <w:rFonts w:cs="Times New Roman"/>
          <w:lang w:val="fr-CA"/>
        </w:rPr>
        <w:t>uestion 2 à l’avant</w:t>
      </w:r>
      <w:r w:rsidRPr="008B29FB">
        <w:rPr>
          <w:rFonts w:cs="Times New Roman"/>
          <w:lang w:val="fr-CA"/>
        </w:rPr>
        <w:noBreakHyphen/>
        <w:t xml:space="preserve">plan, à mille lieues de la redondance.  Elle soulève des questions constitutionnelles de grande importance pour la Cour et pour son rôle dans notre démocratie constitutionnelle.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Bien que ma réponse à la </w:t>
      </w:r>
      <w:r w:rsidR="0066111F">
        <w:rPr>
          <w:rFonts w:cs="Times New Roman"/>
          <w:lang w:val="fr-CA"/>
        </w:rPr>
        <w:t>q</w:t>
      </w:r>
      <w:r w:rsidRPr="008B29FB">
        <w:rPr>
          <w:rFonts w:cs="Times New Roman"/>
          <w:lang w:val="fr-CA"/>
        </w:rPr>
        <w:t xml:space="preserve">uestion 1 me dispense d’examiner ces questions constitutionnelles, j’ai décidé de le faire dans la mesure de ce qui suit.  La coexistence de deux systèmes juridiques distincts au Canada — le système de droit civil au Québec et le système de common law ailleurs — constitue une caractéristique unique et fondamentale de notre pays.  Il est crucial pour le Québec et pour l’ensemble du Canada que des personnes formées en droit civil fassent partie intégrante du plus haut tribunal du pays.  En fait, une garantie à cet égard était un </w:t>
      </w:r>
      <w:r w:rsidRPr="008B29FB">
        <w:rPr>
          <w:rFonts w:cs="Times New Roman"/>
          <w:lang w:val="fr-CA"/>
        </w:rPr>
        <w:lastRenderedPageBreak/>
        <w:t>élément capital du compromis auquel en sont arrivés le Parlement et le Québec au moment de la création de la Cour suprême en 1875</w:t>
      </w:r>
      <w:r w:rsidRPr="0077155D">
        <w:rPr>
          <w:rStyle w:val="Hyperlink"/>
          <w:u w:val="none"/>
          <w:vertAlign w:val="superscript"/>
        </w:rPr>
        <w:footnoteReference w:id="5"/>
      </w:r>
      <w:r w:rsidRPr="008B29FB">
        <w:rPr>
          <w:rFonts w:cs="Times New Roman"/>
          <w:lang w:val="fr-CA"/>
        </w:rPr>
        <w:t xml:space="preserve">.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L’article 6 de la Loi protège le droit du Québec aux trois sièges qui lui sont réservés à la Cour.  À l’instar des juges majoritaires, je reconnais que cette garantie a été intégrée à la Constitution et que les trois postes réservés au Québec constituent un élément essentiel de la composition de la Cour.  De ce fait, tout changement à cet égard exigerait le consentement unanime du Sénat, de la Chambre des communes et de l’assemblée législative de chaque province conformément à l’al</w:t>
      </w:r>
      <w:r w:rsidR="0066111F">
        <w:rPr>
          <w:rFonts w:cs="Times New Roman"/>
          <w:lang w:val="fr-CA"/>
        </w:rPr>
        <w:t>.</w:t>
      </w:r>
      <w:r w:rsidRPr="008B29FB">
        <w:rPr>
          <w:rFonts w:cs="Times New Roman"/>
          <w:lang w:val="fr-CA"/>
        </w:rPr>
        <w:t> 41</w:t>
      </w:r>
      <w:r w:rsidRPr="008B29FB">
        <w:rPr>
          <w:rFonts w:cs="Times New Roman"/>
          <w:i/>
          <w:lang w:val="fr-CA"/>
        </w:rPr>
        <w:t>d</w:t>
      </w:r>
      <w:r w:rsidR="000929CB">
        <w:rPr>
          <w:rFonts w:cs="Times New Roman"/>
          <w:lang w:val="fr-CA"/>
        </w:rPr>
        <w:t>) figurant dans la p</w:t>
      </w:r>
      <w:r w:rsidRPr="008B29FB">
        <w:rPr>
          <w:rFonts w:cs="Times New Roman"/>
          <w:lang w:val="fr-CA"/>
        </w:rPr>
        <w:t xml:space="preserve">artie V de la </w:t>
      </w:r>
      <w:r w:rsidRPr="008B29FB">
        <w:rPr>
          <w:rFonts w:cs="Times New Roman"/>
          <w:i/>
          <w:lang w:val="fr-CA"/>
        </w:rPr>
        <w:t>Loi constitutionnelle de 1982</w:t>
      </w:r>
      <w:r w:rsidRPr="008B29FB">
        <w:rPr>
          <w:rFonts w:cs="Times New Roman"/>
          <w:lang w:val="fr-CA"/>
        </w:rPr>
        <w:t>.</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Je n’en dirai pas plus.  Et ce, parce que j’ai du mal à concevoir qu’une modification de l’art. 6 visant à permettre que les anciens avocats inscrits au Barreau du Québec pendant au moins 10 ans soient admissibles à une nomination à la Cour exigerait l’unanimité, alors qu’il serait possible de modifier d’autres caractéristiques de la Cour — par exemple son rôle de cour générale d’appel pour le Canada et son indépendance — en appliquant la formule 7</w:t>
      </w:r>
      <w:r w:rsidRPr="008B29FB">
        <w:rPr>
          <w:rFonts w:cs="Times New Roman"/>
          <w:lang w:val="fr-CA"/>
        </w:rPr>
        <w:noBreakHyphen/>
        <w:t>50, en vertu de l’al. 42(1)</w:t>
      </w:r>
      <w:r w:rsidRPr="008B29FB">
        <w:rPr>
          <w:rFonts w:cs="Times New Roman"/>
          <w:i/>
          <w:lang w:val="fr-CA"/>
        </w:rPr>
        <w:t>d</w:t>
      </w:r>
      <w:r w:rsidRPr="008B29FB">
        <w:rPr>
          <w:rFonts w:cs="Times New Roman"/>
          <w:lang w:val="fr-CA"/>
        </w:rPr>
        <w:t xml:space="preserve">) de la </w:t>
      </w:r>
      <w:r w:rsidRPr="008B29FB">
        <w:rPr>
          <w:rFonts w:cs="Times New Roman"/>
          <w:i/>
          <w:lang w:val="fr-CA"/>
        </w:rPr>
        <w:t>Loi constitutionnelle de 1982</w:t>
      </w:r>
      <w:r w:rsidRPr="008B29FB">
        <w:rPr>
          <w:rFonts w:cs="Times New Roman"/>
          <w:lang w:val="fr-CA"/>
        </w:rPr>
        <w:t>.  En clair, je ne suis pas convaincu que tout changement des conditions de nomination porte sur « la composition de la Cour suprême du Canada » au sens de l’al. 41</w:t>
      </w:r>
      <w:r w:rsidRPr="008B29FB">
        <w:rPr>
          <w:rFonts w:cs="Times New Roman"/>
          <w:i/>
          <w:lang w:val="fr-CA"/>
        </w:rPr>
        <w:t>d</w:t>
      </w:r>
      <w:r w:rsidRPr="008B29FB">
        <w:rPr>
          <w:rFonts w:cs="Times New Roman"/>
          <w:lang w:val="fr-CA"/>
        </w:rPr>
        <w:t xml:space="preserve">).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Quoi qu’il en soit, la première question qui nous est soumise est beaucoup plus restreinte.  On nous demande spécifiquement de déterminer si les </w:t>
      </w:r>
      <w:r w:rsidRPr="008B29FB">
        <w:rPr>
          <w:rFonts w:cs="Times New Roman"/>
          <w:lang w:val="fr-CA"/>
        </w:rPr>
        <w:lastRenderedPageBreak/>
        <w:t xml:space="preserve">conditions de nomination sont plus strictes pour les personnes provenant du Québec que pour celles provenant des provinces de common law.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Les juges majoritaires et moi sommes tous d’avis que, suivant l’art. 5 de la Loi, les avocats, </w:t>
      </w:r>
      <w:r w:rsidRPr="008B29FB">
        <w:rPr>
          <w:rFonts w:cs="Times New Roman"/>
          <w:i/>
          <w:lang w:val="fr-CA"/>
        </w:rPr>
        <w:t>actuels et anciens</w:t>
      </w:r>
      <w:r w:rsidRPr="008B29FB">
        <w:rPr>
          <w:rFonts w:cs="Times New Roman"/>
          <w:lang w:val="fr-CA"/>
        </w:rPr>
        <w:t xml:space="preserve">, inscrits à un barreau provincial pendant au moins 10 ans, ainsi que les juges, </w:t>
      </w:r>
      <w:r w:rsidRPr="008B29FB">
        <w:rPr>
          <w:rFonts w:cs="Times New Roman"/>
          <w:i/>
          <w:lang w:val="fr-CA"/>
        </w:rPr>
        <w:t>actuels et anciens</w:t>
      </w:r>
      <w:r w:rsidRPr="008B29FB">
        <w:rPr>
          <w:rFonts w:cs="Times New Roman"/>
          <w:lang w:val="fr-CA"/>
        </w:rPr>
        <w:t xml:space="preserve">, d’une cour supérieure provinciale, peuvent être nommés juges de notre Cour.  Nous différons toutefois d’avis quant à savoir si, dans le cas des trois sièges réservés au Québec, l’art. 6 restreint les conditions de nomination aux seuls membres </w:t>
      </w:r>
      <w:r w:rsidRPr="008B29FB">
        <w:rPr>
          <w:rFonts w:cs="Times New Roman"/>
          <w:i/>
          <w:lang w:val="fr-CA"/>
        </w:rPr>
        <w:t>actuels</w:t>
      </w:r>
      <w:r w:rsidRPr="008B29FB">
        <w:rPr>
          <w:rFonts w:cs="Times New Roman"/>
          <w:lang w:val="fr-CA"/>
        </w:rPr>
        <w:t xml:space="preserve"> du Barreau du Québec et aux juges </w:t>
      </w:r>
      <w:r w:rsidRPr="008B29FB">
        <w:rPr>
          <w:rFonts w:cs="Times New Roman"/>
          <w:i/>
          <w:lang w:val="fr-CA"/>
        </w:rPr>
        <w:t>actuels</w:t>
      </w:r>
      <w:r w:rsidRPr="008B29FB">
        <w:rPr>
          <w:rFonts w:cs="Times New Roman"/>
          <w:lang w:val="fr-CA"/>
        </w:rPr>
        <w:t xml:space="preserve"> des cours supérieures de cette province.  Contrairement à mes collègues, j’estime que ce n’est pas le cas.  À mon humble avis, les mêmes conditions de nomination, énoncées à l’art. 5, s’appliquent à tous les candidats, y compris ceux qui sont choisis parmi les institutions québécoises pour occuper un siège réservé au Québec.  L’exigence voulant qu’une personne soit inscrite au barreau au moment de sa nomination ne trouve un appui ni dans le texte de l’art. 6, ni dans son contexte, son historique législatif ou l’objet qui le sous</w:t>
      </w:r>
      <w:r w:rsidRPr="008B29FB">
        <w:rPr>
          <w:rFonts w:cs="Times New Roman"/>
          <w:lang w:val="fr-CA"/>
        </w:rPr>
        <w:noBreakHyphen/>
        <w:t xml:space="preserve">tend.  Cette exigence de contemporanéité ne trouve pas non plus d’appui dans l’économie de la </w:t>
      </w:r>
      <w:r w:rsidRPr="008B29FB">
        <w:rPr>
          <w:rFonts w:cs="Times New Roman"/>
          <w:i/>
          <w:lang w:val="fr-CA"/>
        </w:rPr>
        <w:t>Loi sur la Cour suprême</w:t>
      </w:r>
      <w:r w:rsidRPr="008B29FB">
        <w:rPr>
          <w:rFonts w:cs="Times New Roman"/>
          <w:lang w:val="fr-CA"/>
        </w:rPr>
        <w:t xml:space="preserve">.  En bref, la contemporanéité n’a jamais été exigée à l’art. 6 et j’estime que toute tentative en vue de l’imposer doit être repoussée.  </w:t>
      </w:r>
    </w:p>
    <w:p w:rsidR="008B29FB" w:rsidRPr="003B61CC" w:rsidRDefault="008B29FB" w:rsidP="006B5FE2">
      <w:pPr>
        <w:pStyle w:val="Title1LevelTitre1Niveau-AltL"/>
        <w:keepNext w:val="0"/>
        <w:rPr>
          <w:rFonts w:cs="Times New Roman"/>
          <w:lang w:val="fr-CA"/>
        </w:rPr>
      </w:pPr>
      <w:r w:rsidRPr="003B61CC">
        <w:rPr>
          <w:rFonts w:cs="Times New Roman"/>
          <w:lang w:val="fr-CA"/>
        </w:rPr>
        <w:t>Analyse</w:t>
      </w:r>
    </w:p>
    <w:p w:rsidR="008B29FB" w:rsidRPr="003B61CC" w:rsidRDefault="008B29FB" w:rsidP="006B5FE2">
      <w:pPr>
        <w:pStyle w:val="Title2LevelTitre2Niveau"/>
        <w:keepNext w:val="0"/>
        <w:ind w:left="576" w:hanging="576"/>
        <w:rPr>
          <w:rFonts w:cs="Times New Roman"/>
          <w:lang w:val="fr-CA"/>
        </w:rPr>
      </w:pPr>
      <w:r w:rsidRPr="003B61CC">
        <w:rPr>
          <w:rFonts w:cs="Times New Roman"/>
          <w:lang w:val="fr-CA"/>
        </w:rPr>
        <w:t>Le texte, le contexte et l’historique des art</w:t>
      </w:r>
      <w:r w:rsidR="0066111F">
        <w:rPr>
          <w:rFonts w:cs="Times New Roman"/>
          <w:lang w:val="fr-CA"/>
        </w:rPr>
        <w:t>.</w:t>
      </w:r>
      <w:r w:rsidRPr="003B61CC">
        <w:rPr>
          <w:rFonts w:cs="Times New Roman"/>
          <w:lang w:val="fr-CA"/>
        </w:rPr>
        <w:t> 5 et 6</w:t>
      </w:r>
    </w:p>
    <w:p w:rsid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Les art</w:t>
      </w:r>
      <w:r w:rsidR="002B7942">
        <w:rPr>
          <w:rFonts w:cs="Times New Roman"/>
          <w:lang w:val="fr-CA"/>
        </w:rPr>
        <w:t>icles</w:t>
      </w:r>
      <w:r w:rsidR="00F11BB2">
        <w:rPr>
          <w:rFonts w:cs="Times New Roman"/>
          <w:lang w:val="fr-CA"/>
        </w:rPr>
        <w:t> 5 et 6 de la Loi sont au cœu</w:t>
      </w:r>
      <w:r w:rsidRPr="008B29FB">
        <w:rPr>
          <w:rFonts w:cs="Times New Roman"/>
          <w:lang w:val="fr-CA"/>
        </w:rPr>
        <w:t>r du débat qui nous occupe :</w:t>
      </w:r>
    </w:p>
    <w:p w:rsidR="002B7942" w:rsidRDefault="002B7942" w:rsidP="002B7942">
      <w:pPr>
        <w:pStyle w:val="Citation-AltC"/>
        <w:tabs>
          <w:tab w:val="left" w:pos="1560"/>
        </w:tabs>
        <w:spacing w:after="0"/>
        <w:ind w:left="1195" w:hanging="1555"/>
        <w:contextualSpacing w:val="0"/>
        <w:rPr>
          <w:lang w:val="fr-CA"/>
        </w:rPr>
      </w:pPr>
      <w:r>
        <w:rPr>
          <w:lang w:val="fr-CA"/>
        </w:rPr>
        <w:lastRenderedPageBreak/>
        <w:tab/>
      </w:r>
      <w:r>
        <w:rPr>
          <w:lang w:val="fr-CA"/>
        </w:rPr>
        <w:tab/>
      </w:r>
      <w:r w:rsidRPr="003B61CC">
        <w:rPr>
          <w:b/>
          <w:lang w:val="fr-CA"/>
        </w:rPr>
        <w:t>5.</w:t>
      </w:r>
      <w:r w:rsidR="0077155D">
        <w:rPr>
          <w:lang w:val="fr-CA"/>
        </w:rPr>
        <w:t xml:space="preserve"> </w:t>
      </w:r>
      <w:r w:rsidRPr="003B61CC">
        <w:rPr>
          <w:lang w:val="fr-CA"/>
        </w:rPr>
        <w:t>[Conditions de nomination</w:t>
      </w:r>
      <w:r>
        <w:rPr>
          <w:lang w:val="fr-CA"/>
        </w:rPr>
        <w:t>.</w:t>
      </w:r>
      <w:r w:rsidRPr="003B61CC">
        <w:rPr>
          <w:lang w:val="fr-CA"/>
        </w:rPr>
        <w:t>] Les juges sont choisis parmi les juges, actuels ou anciens, d’une cour supérieure provinciale et parmi les avocats inscrits pendant au moins dix ans au barreau d’une province.</w:t>
      </w:r>
    </w:p>
    <w:p w:rsidR="002B7942" w:rsidRDefault="002B7942" w:rsidP="002B7942">
      <w:pPr>
        <w:pStyle w:val="Citation-AltC"/>
        <w:tabs>
          <w:tab w:val="left" w:pos="1560"/>
        </w:tabs>
        <w:spacing w:after="0"/>
        <w:ind w:left="1195" w:hanging="1555"/>
        <w:contextualSpacing w:val="0"/>
        <w:rPr>
          <w:lang w:val="fr-CA"/>
        </w:rPr>
      </w:pPr>
    </w:p>
    <w:p w:rsidR="002B7942" w:rsidRDefault="002B7942" w:rsidP="002B7942">
      <w:pPr>
        <w:pStyle w:val="Citation-AltC"/>
        <w:tabs>
          <w:tab w:val="left" w:pos="1560"/>
        </w:tabs>
        <w:spacing w:after="0"/>
        <w:ind w:left="1195" w:hanging="1555"/>
        <w:contextualSpacing w:val="0"/>
        <w:rPr>
          <w:lang w:val="fr-CA"/>
        </w:rPr>
      </w:pPr>
      <w:r>
        <w:rPr>
          <w:lang w:val="fr-CA"/>
        </w:rPr>
        <w:tab/>
      </w:r>
      <w:r>
        <w:rPr>
          <w:lang w:val="fr-CA"/>
        </w:rPr>
        <w:tab/>
      </w:r>
      <w:r w:rsidRPr="003B61CC">
        <w:rPr>
          <w:b/>
          <w:lang w:val="fr-CA"/>
        </w:rPr>
        <w:t>6.</w:t>
      </w:r>
      <w:r w:rsidR="0077155D">
        <w:rPr>
          <w:lang w:val="fr-CA"/>
        </w:rPr>
        <w:t xml:space="preserve"> </w:t>
      </w:r>
      <w:r w:rsidRPr="003B61CC">
        <w:rPr>
          <w:lang w:val="fr-CA"/>
        </w:rPr>
        <w:t>[Représentation du Québec</w:t>
      </w:r>
      <w:r>
        <w:rPr>
          <w:lang w:val="fr-CA"/>
        </w:rPr>
        <w:t>.</w:t>
      </w:r>
      <w:r w:rsidRPr="003B61CC">
        <w:rPr>
          <w:lang w:val="fr-CA"/>
        </w:rPr>
        <w:t>] Au moins trois des juges sont choisis parmi les juges de la Cour d’appel ou de la Cour supérieure de la province de Québec ou parmi les avocats de celle</w:t>
      </w:r>
      <w:r w:rsidRPr="003B61CC">
        <w:rPr>
          <w:lang w:val="fr-CA"/>
        </w:rPr>
        <w:noBreakHyphen/>
        <w:t>ci.</w:t>
      </w:r>
    </w:p>
    <w:p w:rsidR="002B7942" w:rsidRDefault="002B7942" w:rsidP="002B7942">
      <w:pPr>
        <w:pStyle w:val="Citation-AltC"/>
        <w:tabs>
          <w:tab w:val="left" w:pos="1560"/>
        </w:tabs>
        <w:spacing w:after="0"/>
        <w:ind w:left="1195" w:hanging="1555"/>
        <w:contextualSpacing w:val="0"/>
        <w:rPr>
          <w:lang w:val="fr-CA"/>
        </w:rPr>
      </w:pPr>
    </w:p>
    <w:p w:rsidR="002B7942" w:rsidRDefault="002B7942" w:rsidP="002B7942">
      <w:pPr>
        <w:pStyle w:val="Citation-AltC"/>
        <w:tabs>
          <w:tab w:val="left" w:pos="1560"/>
        </w:tabs>
        <w:spacing w:after="0"/>
        <w:ind w:left="1195" w:hanging="1555"/>
        <w:contextualSpacing w:val="0"/>
      </w:pPr>
      <w:r w:rsidRPr="0077155D">
        <w:rPr>
          <w:lang w:val="fr-CA"/>
        </w:rPr>
        <w:tab/>
      </w:r>
      <w:r w:rsidRPr="0077155D">
        <w:rPr>
          <w:lang w:val="fr-CA"/>
        </w:rPr>
        <w:tab/>
      </w:r>
      <w:r w:rsidRPr="003B61CC">
        <w:rPr>
          <w:b/>
        </w:rPr>
        <w:t>5.</w:t>
      </w:r>
      <w:r w:rsidR="0077155D">
        <w:t xml:space="preserve"> </w:t>
      </w:r>
      <w:r w:rsidRPr="003B61CC">
        <w:t>[Who may be appointed judges</w:t>
      </w:r>
      <w:r>
        <w:t>.</w:t>
      </w:r>
      <w:r w:rsidRPr="003B61CC">
        <w:t xml:space="preserve">] Any </w:t>
      </w:r>
      <w:r w:rsidRPr="0077155D">
        <w:rPr>
          <w:lang w:val="en-US"/>
        </w:rPr>
        <w:t>person</w:t>
      </w:r>
      <w:r w:rsidRPr="003B61CC">
        <w:t xml:space="preserve"> may be appointed a judge who is or has been a judge of a superior court of a province or a barrister or advocate of at least ten years standing at the bar of a province. </w:t>
      </w:r>
    </w:p>
    <w:p w:rsidR="0077155D" w:rsidRDefault="0077155D" w:rsidP="002B7942">
      <w:pPr>
        <w:pStyle w:val="Citation-AltC"/>
        <w:tabs>
          <w:tab w:val="left" w:pos="1560"/>
        </w:tabs>
        <w:spacing w:after="0"/>
        <w:ind w:left="1195" w:hanging="1555"/>
        <w:contextualSpacing w:val="0"/>
      </w:pPr>
    </w:p>
    <w:p w:rsidR="002B7942" w:rsidRDefault="002B7942" w:rsidP="002B7942">
      <w:pPr>
        <w:pStyle w:val="Citation-AltC"/>
        <w:tabs>
          <w:tab w:val="left" w:pos="1560"/>
        </w:tabs>
        <w:ind w:left="1195" w:hanging="1555"/>
        <w:contextualSpacing w:val="0"/>
      </w:pPr>
      <w:r>
        <w:tab/>
      </w:r>
      <w:r>
        <w:tab/>
      </w:r>
      <w:r w:rsidRPr="003B61CC">
        <w:rPr>
          <w:b/>
        </w:rPr>
        <w:t>6.</w:t>
      </w:r>
      <w:r w:rsidR="0077155D">
        <w:t xml:space="preserve"> </w:t>
      </w:r>
      <w:r w:rsidRPr="003B61CC">
        <w:t>[Three judges from Quebec</w:t>
      </w:r>
      <w:r>
        <w:t>.</w:t>
      </w:r>
      <w:r w:rsidRPr="003B61CC">
        <w:t>] At least three of the judges shall be appointed from among the judges of the Court of Appeal or of the Superior Court of the Province of Quebec or from among the advocates of that Province.</w:t>
      </w:r>
    </w:p>
    <w:p w:rsidR="008B29FB" w:rsidRPr="003B61CC" w:rsidRDefault="008B29FB" w:rsidP="002B7942">
      <w:pPr>
        <w:pStyle w:val="ParaNoNdepar-AltN"/>
        <w:tabs>
          <w:tab w:val="clear" w:pos="1152"/>
          <w:tab w:val="left" w:pos="1166"/>
          <w:tab w:val="num" w:pos="1578"/>
        </w:tabs>
        <w:rPr>
          <w:rFonts w:cs="Times New Roman"/>
        </w:rPr>
      </w:pPr>
      <w:r w:rsidRPr="008B29FB">
        <w:rPr>
          <w:rFonts w:cs="Times New Roman"/>
          <w:lang w:val="fr-CA"/>
        </w:rPr>
        <w:t xml:space="preserve">L’article 5 énonce les conditions de base auxquelles une personne doit satisfaire pour être nommée juge de la Cour.  L’article 6 garantit au Québec trois sièges à la Cour en précisant que, pour au moins trois des juges, le barreau mentionné à l’art. 5 est celui du Québec, et les cours supérieures mentionnées à l’art. 5 sont la Cour supérieure du Québec et la Cour d’appel du Québec.  Autrement dit, l’art. 6 précise l’art. 5 en exigeant que, pour trois postes de juge de notre Cour, les candidats qui satisfont aux critères de l’art. 5 soient choisis parmi trois institutions québécoises (le Barreau du Québec, la Cour d’appel du Québec et la Cour supérieure du Québec).  </w:t>
      </w:r>
      <w:r w:rsidRPr="003B61CC">
        <w:rPr>
          <w:rFonts w:cs="Times New Roman"/>
        </w:rPr>
        <w:t xml:space="preserve">L’article 6 n’impose aucune autre condition.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Même si la version française actuelle de l’art. 5 peut être nébuleuse, la version anglaise actuelle est claire.  Mes collègues soulignent donc, avec raison selon moi, que, conformément à la règle d’interprétation des lois bilingues selon laquelle il faut retenir le sens commun aux deux versions, il faut se fonder sur la version anglaise de l’art. 5 pour l’interpréter.  Comme l’indiquent les mots « </w:t>
      </w:r>
      <w:r w:rsidRPr="003B61CC">
        <w:rPr>
          <w:rFonts w:cs="Times New Roman"/>
          <w:i/>
          <w:lang w:val="fr-FR"/>
        </w:rPr>
        <w:t>is or has been</w:t>
      </w:r>
      <w:r w:rsidRPr="008B29FB">
        <w:rPr>
          <w:rFonts w:cs="Times New Roman"/>
          <w:lang w:val="fr-CA"/>
        </w:rPr>
        <w:t xml:space="preserve"> », </w:t>
      </w:r>
      <w:r w:rsidRPr="008B29FB">
        <w:rPr>
          <w:rFonts w:cs="Times New Roman"/>
          <w:lang w:val="fr-CA"/>
        </w:rPr>
        <w:lastRenderedPageBreak/>
        <w:t xml:space="preserve">une personne peut être nommée si elle est un avocat, actuel </w:t>
      </w:r>
      <w:r w:rsidRPr="008B29FB">
        <w:rPr>
          <w:rFonts w:cs="Times New Roman"/>
          <w:i/>
          <w:lang w:val="fr-CA"/>
        </w:rPr>
        <w:t>ou</w:t>
      </w:r>
      <w:r w:rsidRPr="008B29FB">
        <w:rPr>
          <w:rFonts w:cs="Times New Roman"/>
          <w:lang w:val="fr-CA"/>
        </w:rPr>
        <w:t xml:space="preserve"> ancien, inscrit pendant au moins 10 ans au barreau d’une province, ou si elle est un juge, actuel </w:t>
      </w:r>
      <w:r w:rsidRPr="008B29FB">
        <w:rPr>
          <w:rFonts w:cs="Times New Roman"/>
          <w:i/>
          <w:lang w:val="fr-CA"/>
        </w:rPr>
        <w:t>ou</w:t>
      </w:r>
      <w:r w:rsidRPr="008B29FB">
        <w:rPr>
          <w:rFonts w:cs="Times New Roman"/>
          <w:lang w:val="fr-CA"/>
        </w:rPr>
        <w:t xml:space="preserve"> ancien, d’une cour supérieure.  Mes collègues acceptent cette conclusion.  Toutefois, relativement aux sièges réservés pour le Québec, ils affirment que l’art. 6 impose comme exigence supplémentaire que les candidats soient des membres </w:t>
      </w:r>
      <w:r w:rsidRPr="008B29FB">
        <w:rPr>
          <w:rFonts w:cs="Times New Roman"/>
          <w:i/>
          <w:lang w:val="fr-CA"/>
        </w:rPr>
        <w:t>actuels</w:t>
      </w:r>
      <w:r w:rsidRPr="008B29FB">
        <w:rPr>
          <w:rFonts w:cs="Times New Roman"/>
          <w:lang w:val="fr-CA"/>
        </w:rPr>
        <w:t xml:space="preserve"> du Barreau du Québec ou qu’ils soient des juges </w:t>
      </w:r>
      <w:r w:rsidRPr="008B29FB">
        <w:rPr>
          <w:rFonts w:cs="Times New Roman"/>
          <w:i/>
          <w:lang w:val="fr-CA"/>
        </w:rPr>
        <w:t>actuels</w:t>
      </w:r>
      <w:r w:rsidRPr="008B29FB">
        <w:rPr>
          <w:rFonts w:cs="Times New Roman"/>
          <w:lang w:val="fr-CA"/>
        </w:rPr>
        <w:t xml:space="preserve"> d’une cour supérieure du Québec.</w:t>
      </w:r>
    </w:p>
    <w:p w:rsidR="008B29FB" w:rsidRDefault="008B29FB" w:rsidP="006B5FE2">
      <w:pPr>
        <w:pStyle w:val="ParaNoNdepar-AltN"/>
        <w:tabs>
          <w:tab w:val="clear" w:pos="1152"/>
          <w:tab w:val="left" w:pos="1166"/>
          <w:tab w:val="num" w:pos="1578"/>
        </w:tabs>
        <w:spacing w:before="240" w:after="240"/>
        <w:rPr>
          <w:rFonts w:cs="Times New Roman"/>
          <w:lang w:val="fr-CA"/>
        </w:rPr>
      </w:pPr>
      <w:r w:rsidRPr="008B29FB">
        <w:rPr>
          <w:rFonts w:cs="Times New Roman"/>
          <w:lang w:val="fr-CA"/>
        </w:rPr>
        <w:t>En toute déférence, je ne partage pas leur avis.  Les articles 5 et 6 sont inextricablement liés — et c’est là la clé pour comprendre que les conditions de nomination minimales de l’art. 5 s’appliquent également à la nomination des juges pour le Québec dont il est question à l’art. 6.  Ce lien n’est nulle part plus évident que dans la formulation des art. 5 et 6 eux</w:t>
      </w:r>
      <w:r w:rsidRPr="008B29FB">
        <w:rPr>
          <w:rFonts w:cs="Times New Roman"/>
          <w:lang w:val="fr-CA"/>
        </w:rPr>
        <w:noBreakHyphen/>
        <w:t xml:space="preserve">mêmes, que je répète ici par souci de commodité, en en soulignant les termes clés : </w:t>
      </w:r>
    </w:p>
    <w:p w:rsidR="002B7942" w:rsidRDefault="002B7942" w:rsidP="002B7942">
      <w:pPr>
        <w:pStyle w:val="Citation-AltC"/>
        <w:tabs>
          <w:tab w:val="left" w:pos="1560"/>
        </w:tabs>
        <w:spacing w:after="0"/>
        <w:ind w:left="1195" w:hanging="1555"/>
        <w:contextualSpacing w:val="0"/>
        <w:rPr>
          <w:lang w:val="fr-CA"/>
        </w:rPr>
      </w:pPr>
      <w:r>
        <w:rPr>
          <w:lang w:val="fr-CA"/>
        </w:rPr>
        <w:tab/>
      </w:r>
      <w:r>
        <w:rPr>
          <w:lang w:val="fr-CA"/>
        </w:rPr>
        <w:tab/>
      </w:r>
      <w:r w:rsidRPr="003B61CC">
        <w:rPr>
          <w:b/>
          <w:lang w:val="fr-CA"/>
        </w:rPr>
        <w:t>5.</w:t>
      </w:r>
      <w:r w:rsidRPr="003B61CC">
        <w:rPr>
          <w:lang w:val="fr-CA"/>
        </w:rPr>
        <w:t xml:space="preserve"> [</w:t>
      </w:r>
      <w:r w:rsidRPr="0077155D">
        <w:rPr>
          <w:lang w:val="fr-CA"/>
        </w:rPr>
        <w:t>Conditions</w:t>
      </w:r>
      <w:r w:rsidRPr="003B61CC">
        <w:rPr>
          <w:lang w:val="fr-CA"/>
        </w:rPr>
        <w:t xml:space="preserve"> de nomination</w:t>
      </w:r>
      <w:r>
        <w:rPr>
          <w:lang w:val="fr-CA"/>
        </w:rPr>
        <w:t>.</w:t>
      </w:r>
      <w:r w:rsidRPr="003B61CC">
        <w:rPr>
          <w:lang w:val="fr-CA"/>
        </w:rPr>
        <w:t xml:space="preserve">] </w:t>
      </w:r>
      <w:r w:rsidRPr="003B61CC">
        <w:rPr>
          <w:u w:val="single"/>
          <w:lang w:val="fr-CA"/>
        </w:rPr>
        <w:t>Les juges sont choisis</w:t>
      </w:r>
      <w:r w:rsidRPr="003B61CC">
        <w:rPr>
          <w:lang w:val="fr-CA"/>
        </w:rPr>
        <w:t xml:space="preserve"> parmi les juges, actuels ou anciens, d’une cour supérieure provinciale et parmi les avocats inscrits pendant au moins dix ans au barreau d’une province.</w:t>
      </w:r>
    </w:p>
    <w:p w:rsidR="002B7942" w:rsidRDefault="002B7942" w:rsidP="002B7942">
      <w:pPr>
        <w:pStyle w:val="Citation-AltC"/>
        <w:tabs>
          <w:tab w:val="left" w:pos="1560"/>
        </w:tabs>
        <w:spacing w:after="0"/>
        <w:ind w:left="1195" w:hanging="1555"/>
        <w:contextualSpacing w:val="0"/>
        <w:rPr>
          <w:lang w:val="fr-CA"/>
        </w:rPr>
      </w:pPr>
    </w:p>
    <w:p w:rsidR="002B7942" w:rsidRDefault="002B7942" w:rsidP="002B7942">
      <w:pPr>
        <w:pStyle w:val="Citation-AltC"/>
        <w:tabs>
          <w:tab w:val="left" w:pos="1560"/>
        </w:tabs>
        <w:spacing w:after="0"/>
        <w:ind w:left="1195" w:hanging="1555"/>
        <w:contextualSpacing w:val="0"/>
        <w:rPr>
          <w:lang w:val="fr-CA"/>
        </w:rPr>
      </w:pPr>
      <w:r>
        <w:rPr>
          <w:lang w:val="fr-CA"/>
        </w:rPr>
        <w:tab/>
      </w:r>
      <w:r>
        <w:rPr>
          <w:lang w:val="fr-CA"/>
        </w:rPr>
        <w:tab/>
      </w:r>
      <w:r w:rsidRPr="003B61CC">
        <w:rPr>
          <w:b/>
          <w:lang w:val="fr-CA"/>
        </w:rPr>
        <w:t>6.</w:t>
      </w:r>
      <w:r w:rsidR="0077155D">
        <w:rPr>
          <w:lang w:val="fr-CA"/>
        </w:rPr>
        <w:t xml:space="preserve"> </w:t>
      </w:r>
      <w:r w:rsidRPr="003B61CC">
        <w:rPr>
          <w:lang w:val="fr-CA"/>
        </w:rPr>
        <w:t>[Représentation du Québec</w:t>
      </w:r>
      <w:r>
        <w:rPr>
          <w:lang w:val="fr-CA"/>
        </w:rPr>
        <w:t>.</w:t>
      </w:r>
      <w:r w:rsidRPr="003B61CC">
        <w:rPr>
          <w:lang w:val="fr-CA"/>
        </w:rPr>
        <w:t xml:space="preserve">] Au moins trois </w:t>
      </w:r>
      <w:r w:rsidRPr="003B61CC">
        <w:rPr>
          <w:u w:val="single"/>
          <w:lang w:val="fr-CA"/>
        </w:rPr>
        <w:t>des</w:t>
      </w:r>
      <w:r w:rsidRPr="003B61CC">
        <w:rPr>
          <w:lang w:val="fr-CA"/>
        </w:rPr>
        <w:t xml:space="preserve"> juges sont choisis parmi les juges de la Cour d’appel ou de la Cour supérieure de la province de Québec ou parmi les avocats de celle</w:t>
      </w:r>
      <w:r w:rsidRPr="003B61CC">
        <w:rPr>
          <w:lang w:val="fr-CA"/>
        </w:rPr>
        <w:noBreakHyphen/>
        <w:t>ci.</w:t>
      </w:r>
    </w:p>
    <w:p w:rsidR="002B7942" w:rsidRDefault="002B7942" w:rsidP="002B7942">
      <w:pPr>
        <w:pStyle w:val="Citation-AltC"/>
        <w:tabs>
          <w:tab w:val="left" w:pos="1560"/>
        </w:tabs>
        <w:spacing w:after="0"/>
        <w:ind w:left="1195" w:hanging="1555"/>
        <w:contextualSpacing w:val="0"/>
        <w:rPr>
          <w:lang w:val="fr-CA"/>
        </w:rPr>
      </w:pPr>
    </w:p>
    <w:p w:rsidR="002B7942" w:rsidRDefault="002B7942" w:rsidP="002B7942">
      <w:pPr>
        <w:pStyle w:val="Citation-AltC"/>
        <w:tabs>
          <w:tab w:val="left" w:pos="1560"/>
        </w:tabs>
        <w:spacing w:after="0"/>
        <w:ind w:left="1195" w:hanging="1555"/>
        <w:contextualSpacing w:val="0"/>
      </w:pPr>
      <w:r w:rsidRPr="0077155D">
        <w:rPr>
          <w:lang w:val="fr-CA"/>
        </w:rPr>
        <w:tab/>
      </w:r>
      <w:r w:rsidRPr="0077155D">
        <w:rPr>
          <w:lang w:val="fr-CA"/>
        </w:rPr>
        <w:tab/>
      </w:r>
      <w:r w:rsidRPr="003B61CC">
        <w:rPr>
          <w:b/>
          <w:lang w:val="en-US"/>
        </w:rPr>
        <w:t>5.</w:t>
      </w:r>
      <w:r w:rsidRPr="003B61CC">
        <w:rPr>
          <w:lang w:val="en-US"/>
        </w:rPr>
        <w:t xml:space="preserve"> [Who may be </w:t>
      </w:r>
      <w:r w:rsidRPr="0077155D">
        <w:rPr>
          <w:lang w:val="en-US"/>
        </w:rPr>
        <w:t>appointed</w:t>
      </w:r>
      <w:r w:rsidRPr="003B61CC">
        <w:rPr>
          <w:lang w:val="en-US"/>
        </w:rPr>
        <w:t xml:space="preserve"> judges</w:t>
      </w:r>
      <w:r>
        <w:rPr>
          <w:lang w:val="en-US"/>
        </w:rPr>
        <w:t>.</w:t>
      </w:r>
      <w:r w:rsidRPr="003B61CC">
        <w:rPr>
          <w:lang w:val="en-US"/>
        </w:rPr>
        <w:t xml:space="preserve">] </w:t>
      </w:r>
      <w:r w:rsidRPr="003B61CC">
        <w:rPr>
          <w:u w:val="single"/>
          <w:lang w:val="en-US"/>
        </w:rPr>
        <w:t xml:space="preserve">Any person may be </w:t>
      </w:r>
      <w:r w:rsidRPr="00EA7439">
        <w:rPr>
          <w:u w:val="single"/>
          <w:lang w:val="en-US"/>
        </w:rPr>
        <w:t>appointed a judge</w:t>
      </w:r>
      <w:r w:rsidRPr="003B61CC">
        <w:rPr>
          <w:lang w:val="en-US"/>
        </w:rPr>
        <w:t xml:space="preserve"> who is or has been a judge of a superior court of a provin</w:t>
      </w:r>
      <w:r w:rsidRPr="003B61CC">
        <w:t>ce or a barrister or advocate of at least ten years standing at the bar of a province.</w:t>
      </w:r>
    </w:p>
    <w:p w:rsidR="002B7942" w:rsidRDefault="002B7942" w:rsidP="002B7942">
      <w:pPr>
        <w:pStyle w:val="Citation-AltC"/>
        <w:tabs>
          <w:tab w:val="left" w:pos="1560"/>
        </w:tabs>
        <w:spacing w:after="0"/>
        <w:ind w:left="1195" w:hanging="1555"/>
        <w:contextualSpacing w:val="0"/>
      </w:pPr>
    </w:p>
    <w:p w:rsidR="002B7942" w:rsidRDefault="002B7942" w:rsidP="002B7942">
      <w:pPr>
        <w:pStyle w:val="Citation-AltC"/>
        <w:tabs>
          <w:tab w:val="left" w:pos="1560"/>
        </w:tabs>
        <w:ind w:left="1195" w:hanging="1555"/>
        <w:contextualSpacing w:val="0"/>
      </w:pPr>
      <w:r>
        <w:tab/>
      </w:r>
      <w:r>
        <w:tab/>
      </w:r>
      <w:r w:rsidRPr="003B61CC">
        <w:rPr>
          <w:b/>
        </w:rPr>
        <w:t>6.</w:t>
      </w:r>
      <w:r w:rsidRPr="003B61CC">
        <w:t xml:space="preserve"> [Three judges from Quebec</w:t>
      </w:r>
      <w:r>
        <w:t>.</w:t>
      </w:r>
      <w:r w:rsidRPr="003B61CC">
        <w:t xml:space="preserve">] At least three of </w:t>
      </w:r>
      <w:r w:rsidRPr="003B61CC">
        <w:rPr>
          <w:u w:val="single"/>
        </w:rPr>
        <w:t>the</w:t>
      </w:r>
      <w:r w:rsidRPr="003B61CC">
        <w:t xml:space="preserve"> judges shall be appointed from among the judges of the Court of Appeal or of the Superior Court of the Province of Quebec or from among the advocates of that Province.</w:t>
      </w:r>
    </w:p>
    <w:p w:rsidR="008B29FB" w:rsidRPr="008B29FB" w:rsidRDefault="008B29FB" w:rsidP="002B7942">
      <w:pPr>
        <w:pStyle w:val="ParaNoNdepar-AltN"/>
        <w:tabs>
          <w:tab w:val="clear" w:pos="1152"/>
          <w:tab w:val="left" w:pos="1166"/>
          <w:tab w:val="num" w:pos="1578"/>
        </w:tabs>
        <w:rPr>
          <w:rFonts w:cs="Times New Roman"/>
          <w:lang w:val="fr-CA"/>
        </w:rPr>
      </w:pPr>
      <w:r w:rsidRPr="008B29FB">
        <w:rPr>
          <w:rFonts w:cs="Times New Roman"/>
          <w:lang w:val="fr-CA"/>
        </w:rPr>
        <w:lastRenderedPageBreak/>
        <w:t>Tout d’abord, les mots « </w:t>
      </w:r>
      <w:r w:rsidRPr="002B7942">
        <w:rPr>
          <w:rFonts w:cs="Times New Roman"/>
          <w:u w:val="single"/>
          <w:lang w:val="fr-CA"/>
        </w:rPr>
        <w:t>[l]es</w:t>
      </w:r>
      <w:r w:rsidRPr="008B29FB">
        <w:rPr>
          <w:rFonts w:cs="Times New Roman"/>
          <w:lang w:val="fr-CA"/>
        </w:rPr>
        <w:t xml:space="preserve"> juges » à l’art. 5 indiquent clairement que les conditions de nomination qu’énonce cet article s’appliquent à </w:t>
      </w:r>
      <w:r w:rsidRPr="008B29FB">
        <w:rPr>
          <w:rFonts w:cs="Times New Roman"/>
          <w:i/>
          <w:lang w:val="fr-CA"/>
        </w:rPr>
        <w:t>toutes</w:t>
      </w:r>
      <w:r w:rsidRPr="008B29FB">
        <w:rPr>
          <w:rFonts w:cs="Times New Roman"/>
          <w:lang w:val="fr-CA"/>
        </w:rPr>
        <w:t xml:space="preserve"> les personnes nommées juges.  Ensuite, les mots « </w:t>
      </w:r>
      <w:r w:rsidRPr="002B7942">
        <w:rPr>
          <w:rFonts w:cs="Times New Roman"/>
          <w:u w:val="single"/>
          <w:lang w:val="fr-CA"/>
        </w:rPr>
        <w:t>des</w:t>
      </w:r>
      <w:r w:rsidRPr="008B29FB">
        <w:rPr>
          <w:rFonts w:cs="Times New Roman"/>
          <w:lang w:val="fr-CA"/>
        </w:rPr>
        <w:t xml:space="preserve"> juges » à l’art. 6 renvoient explicitement à la description </w:t>
      </w:r>
      <w:r w:rsidRPr="008B29FB">
        <w:rPr>
          <w:rFonts w:cs="Times New Roman"/>
          <w:i/>
          <w:lang w:val="fr-CA"/>
        </w:rPr>
        <w:t xml:space="preserve">des </w:t>
      </w:r>
      <w:r w:rsidRPr="008B29FB">
        <w:rPr>
          <w:rFonts w:cs="Times New Roman"/>
          <w:lang w:val="fr-CA"/>
        </w:rPr>
        <w:t xml:space="preserve">juges de l’art. 5.  Manifestement, il faut lire l’art. 5 afin de comprendre </w:t>
      </w:r>
      <w:r w:rsidRPr="008B29FB">
        <w:rPr>
          <w:rFonts w:cs="Times New Roman"/>
          <w:i/>
          <w:lang w:val="fr-CA"/>
        </w:rPr>
        <w:t>quels</w:t>
      </w:r>
      <w:r w:rsidRPr="008B29FB">
        <w:rPr>
          <w:rFonts w:cs="Times New Roman"/>
          <w:lang w:val="fr-CA"/>
        </w:rPr>
        <w:t xml:space="preserve"> juges sont mentionnés à l’art. 6 et quelles sont les conditions de leur nomination.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Mises à part ces indications textuelles, l’art. 6 mène à un résultat absurde si on </w:t>
      </w:r>
      <w:r w:rsidRPr="008B29FB">
        <w:rPr>
          <w:rFonts w:cs="Times New Roman"/>
          <w:i/>
          <w:lang w:val="fr-CA"/>
        </w:rPr>
        <w:t>ne</w:t>
      </w:r>
      <w:r w:rsidRPr="008B29FB">
        <w:rPr>
          <w:rFonts w:cs="Times New Roman"/>
          <w:lang w:val="fr-CA"/>
        </w:rPr>
        <w:t xml:space="preserve"> le lit </w:t>
      </w:r>
      <w:r w:rsidRPr="008B29FB">
        <w:rPr>
          <w:rFonts w:cs="Times New Roman"/>
          <w:i/>
          <w:lang w:val="fr-CA"/>
        </w:rPr>
        <w:t>pas</w:t>
      </w:r>
      <w:r w:rsidRPr="008B29FB">
        <w:rPr>
          <w:rFonts w:cs="Times New Roman"/>
          <w:lang w:val="fr-CA"/>
        </w:rPr>
        <w:t xml:space="preserve"> en conjonction avec l’art. 5.  L’article 6 n’indique aucunement pendant combien de temps une personne doit être inscrite au barreau pour devenir admissible à occuper l’un des sièges de la Cour réservés au Québec.  Par conséquent, si on ne lit pas l’art. 6 en conjonction avec l’art. 5, </w:t>
      </w:r>
      <w:r w:rsidRPr="008B29FB">
        <w:rPr>
          <w:rFonts w:cs="Times New Roman"/>
          <w:i/>
          <w:lang w:val="fr-CA"/>
        </w:rPr>
        <w:t>tout</w:t>
      </w:r>
      <w:r w:rsidRPr="008B29FB">
        <w:rPr>
          <w:rFonts w:cs="Times New Roman"/>
          <w:lang w:val="fr-CA"/>
        </w:rPr>
        <w:t xml:space="preserve"> membre du Barreau du Québec, y compris un avocat néophyte admis au barreau la veille, serait admissible à occuper l’un des sièges de la Cour réservés au Québec.  Devant ce résultat manifestement absurde, les juges de la majorité reconnaissent que l’expression « avocats de [la province] » à l’art. 6 </w:t>
      </w:r>
      <w:r w:rsidRPr="008B29FB">
        <w:rPr>
          <w:rFonts w:cs="Times New Roman"/>
          <w:i/>
          <w:lang w:val="fr-CA"/>
        </w:rPr>
        <w:t>doit</w:t>
      </w:r>
      <w:r w:rsidRPr="008B29FB">
        <w:rPr>
          <w:rFonts w:cs="Times New Roman"/>
          <w:lang w:val="fr-CA"/>
        </w:rPr>
        <w:t xml:space="preserve"> être liée à la condition d’inscription au barreau pendant 10 ans que pose l’art. 5.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Mais, disent</w:t>
      </w:r>
      <w:r w:rsidRPr="008B29FB">
        <w:rPr>
          <w:rFonts w:cs="Times New Roman"/>
          <w:lang w:val="fr-CA"/>
        </w:rPr>
        <w:noBreakHyphen/>
        <w:t xml:space="preserve">ils, le lien s’arrête là.  Il ne s’étend pas au fait que, pour l’application de l’art. 5, tous les avocats, actuels et anciens, inscrits au barreau pendant au moins 10 ans peuvent être nommés juges de la Cour.  J’estime, en toute déférence, qu’il s’agit d’une interprétation sélective.  Il n’existe pas à ce jour de principe d’interprétation des lois qui permette de puiser seulement les aspects qui nous agréent dans l’art. 5 — et de rejeter les autres. </w:t>
      </w:r>
    </w:p>
    <w:p w:rsidR="008B29FB" w:rsidRPr="000929C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lastRenderedPageBreak/>
        <w:t>Étant donné que l’art. 6 renvoie explicitement aux critères d’admissibilité énoncés à l’art. 5 et qu’il serait absurde que l’art. 6 ne tire pas son sens de l’art. 5, il faut logiquement se poser la question suivante : qu’est</w:t>
      </w:r>
      <w:r w:rsidRPr="008B29FB">
        <w:rPr>
          <w:rFonts w:cs="Times New Roman"/>
          <w:lang w:val="fr-CA"/>
        </w:rPr>
        <w:noBreakHyphen/>
        <w:t>ce qui, à l’art</w:t>
      </w:r>
      <w:r w:rsidR="000929CB">
        <w:rPr>
          <w:rFonts w:cs="Times New Roman"/>
          <w:lang w:val="fr-CA"/>
        </w:rPr>
        <w:t>.</w:t>
      </w:r>
      <w:r w:rsidRPr="008B29FB">
        <w:rPr>
          <w:rFonts w:cs="Times New Roman"/>
          <w:lang w:val="fr-CA"/>
        </w:rPr>
        <w:t xml:space="preserve"> 6, impose une exigence de contemporanéité aux personnes nommées pour le Québec? </w:t>
      </w:r>
      <w:r w:rsidRPr="000929CB">
        <w:rPr>
          <w:rFonts w:cs="Times New Roman"/>
          <w:lang w:val="fr-CA"/>
        </w:rPr>
        <w:t xml:space="preserve">À mon avis, la réponse est rien du tout.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Contrairement aux juges majoritaires, j’estime, avec égards, que le mot « parmi », à l’art. 6, n’impose pas une exigence de contemporanéité aux juges nommés pour le Québec.  Ce terme n’a aucune signification temporelle.  Il tire son sens du contexte et ne peut, </w:t>
      </w:r>
      <w:r w:rsidR="000929CB">
        <w:rPr>
          <w:rFonts w:cs="Times New Roman"/>
          <w:lang w:val="fr-CA"/>
        </w:rPr>
        <w:t>en soi</w:t>
      </w:r>
      <w:r w:rsidRPr="008B29FB">
        <w:rPr>
          <w:rFonts w:cs="Times New Roman"/>
          <w:lang w:val="fr-CA"/>
        </w:rPr>
        <w:t>, appuyer la</w:t>
      </w:r>
      <w:r w:rsidR="000929CB">
        <w:rPr>
          <w:rFonts w:cs="Times New Roman"/>
          <w:lang w:val="fr-CA"/>
        </w:rPr>
        <w:t xml:space="preserve"> prétention qu’une personne doive</w:t>
      </w:r>
      <w:r w:rsidRPr="008B29FB">
        <w:rPr>
          <w:rFonts w:cs="Times New Roman"/>
          <w:lang w:val="fr-CA"/>
        </w:rPr>
        <w:t xml:space="preserve"> être un membre </w:t>
      </w:r>
      <w:r w:rsidRPr="008B29FB">
        <w:rPr>
          <w:rFonts w:cs="Times New Roman"/>
          <w:i/>
          <w:lang w:val="fr-CA"/>
        </w:rPr>
        <w:t>actuel</w:t>
      </w:r>
      <w:r w:rsidRPr="008B29FB">
        <w:rPr>
          <w:rFonts w:cs="Times New Roman"/>
          <w:lang w:val="fr-CA"/>
        </w:rPr>
        <w:t xml:space="preserve"> du barreau ou de la magistrature pour être nommée juge de notre Cour pour le Québec.  En bref, il ne modifie pas le groupe de personnes visé à l’art. 6 — celui qui est décrit à l’art. 5.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Si le législateur </w:t>
      </w:r>
      <w:r w:rsidRPr="008B29FB">
        <w:rPr>
          <w:rFonts w:cs="Times New Roman"/>
          <w:i/>
          <w:lang w:val="fr-CA"/>
        </w:rPr>
        <w:t>avait eu</w:t>
      </w:r>
      <w:r w:rsidRPr="008B29FB">
        <w:rPr>
          <w:rFonts w:cs="Times New Roman"/>
          <w:lang w:val="fr-CA"/>
        </w:rPr>
        <w:t xml:space="preserve"> l’intention de faire une distinction entre les personnes nommées pour le Québec et les autres personnes, en exigeant des juges du Québec qu’ils soient des juges actuels ou des membres actuels du barreau, il l’aurait certainement indiqué en termes clairs.  Il n’aurait pas masqué cette distinction cruciale entre les candidats du Québec et les autres candidats au moyen d’un terme aussi ambigu et non concluant que le mot « parmi ».  L’ajout du mot « actuels » après les mots « juges » et « avocats » à l’art. 6 se serait avéré une solution simple et évidente. </w:t>
      </w:r>
    </w:p>
    <w:p w:rsid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En plus de n’avoir aucune signification temporelle, le mot « parmi » renforce l’idée d’un lien inextricable entre les art. 5 et 6.  C’est ce qui ressort à </w:t>
      </w:r>
      <w:r w:rsidRPr="008B29FB">
        <w:rPr>
          <w:rFonts w:cs="Times New Roman"/>
          <w:lang w:val="fr-CA"/>
        </w:rPr>
        <w:lastRenderedPageBreak/>
        <w:t xml:space="preserve">l’examen des termes employés à l’origine dans la Loi de 1875 (S.C. 1875, ch. 11).  À l’époque, le texte des art. 5 et 6 actuels se retrouvait dans une même phrase </w:t>
      </w:r>
      <w:r w:rsidR="00760EB8">
        <w:rPr>
          <w:rFonts w:cs="Times New Roman"/>
          <w:lang w:val="fr-CA"/>
        </w:rPr>
        <w:t>―</w:t>
      </w:r>
      <w:r w:rsidRPr="008B29FB">
        <w:rPr>
          <w:rFonts w:cs="Times New Roman"/>
          <w:lang w:val="fr-CA"/>
        </w:rPr>
        <w:t xml:space="preserve"> à l’art. 4 de la Loi de 1875.  Cette disposition énonçait les conditions de nomination des juges de la nouvelle Cour suprême : </w:t>
      </w:r>
    </w:p>
    <w:p w:rsidR="002B7942" w:rsidRDefault="002B7942" w:rsidP="002B7942">
      <w:pPr>
        <w:pStyle w:val="Citation-AltC"/>
        <w:tabs>
          <w:tab w:val="left" w:pos="1560"/>
        </w:tabs>
        <w:spacing w:after="0"/>
        <w:ind w:left="1195" w:hanging="1555"/>
        <w:contextualSpacing w:val="0"/>
        <w:rPr>
          <w:lang w:val="fr-CA"/>
        </w:rPr>
      </w:pPr>
      <w:r>
        <w:rPr>
          <w:lang w:val="fr-CA"/>
        </w:rPr>
        <w:tab/>
      </w:r>
      <w:r>
        <w:rPr>
          <w:lang w:val="fr-CA"/>
        </w:rPr>
        <w:tab/>
      </w:r>
      <w:r w:rsidRPr="003B61CC">
        <w:rPr>
          <w:b/>
          <w:lang w:val="fr-CA"/>
        </w:rPr>
        <w:t>4.</w:t>
      </w:r>
      <w:r w:rsidRPr="003B61CC">
        <w:rPr>
          <w:lang w:val="fr-CA"/>
        </w:rPr>
        <w:t xml:space="preserve">  Sa </w:t>
      </w:r>
      <w:r w:rsidRPr="0077155D">
        <w:rPr>
          <w:lang w:val="fr-CA"/>
        </w:rPr>
        <w:t>Majesté</w:t>
      </w:r>
      <w:r w:rsidRPr="003B61CC">
        <w:rPr>
          <w:lang w:val="fr-CA"/>
        </w:rPr>
        <w:t xml:space="preserve"> pourra nommer, par lettres patentes sous le grand sceau du Canada, — comme juge en chef de cette cour, — une personne étant ou ayant été juge de l’une des cours supérieures dans quelqu’une des provinces formant la Puissance du Canada, ou un avocat ayant pratiqué pendant au moi</w:t>
      </w:r>
      <w:r w:rsidR="00797AD7">
        <w:rPr>
          <w:lang w:val="fr-CA"/>
        </w:rPr>
        <w:t>n</w:t>
      </w:r>
      <w:r w:rsidRPr="003B61CC">
        <w:rPr>
          <w:lang w:val="fr-CA"/>
        </w:rPr>
        <w:t>s dix ans au barreau de quelqu’une de ces provinces</w:t>
      </w:r>
      <w:r>
        <w:rPr>
          <w:lang w:val="fr-CA"/>
        </w:rPr>
        <w:t>,</w:t>
      </w:r>
      <w:r w:rsidRPr="003B61CC">
        <w:rPr>
          <w:lang w:val="fr-CA"/>
        </w:rPr>
        <w:t xml:space="preserve"> et, — comme juges puînés de cette cour,</w:t>
      </w:r>
      <w:r>
        <w:rPr>
          <w:lang w:val="fr-CA"/>
        </w:rPr>
        <w:t xml:space="preserve"> </w:t>
      </w:r>
      <w:r w:rsidRPr="003B61CC">
        <w:rPr>
          <w:lang w:val="fr-CA"/>
        </w:rPr>
        <w:t xml:space="preserve">— </w:t>
      </w:r>
      <w:r w:rsidRPr="003B61CC">
        <w:rPr>
          <w:u w:val="single"/>
          <w:lang w:val="fr-CA"/>
        </w:rPr>
        <w:t>cinq personnes étant ou ayant été respectivement juges de l’une de ces cours supérieures</w:t>
      </w:r>
      <w:r w:rsidRPr="003B61CC">
        <w:rPr>
          <w:lang w:val="fr-CA"/>
        </w:rPr>
        <w:t xml:space="preserve">, ou étant avocats de pas moins de dix ans de pratique au barreau de quelqu’une de ces provinces, </w:t>
      </w:r>
      <w:r w:rsidRPr="003B61CC">
        <w:rPr>
          <w:u w:val="single"/>
          <w:lang w:val="fr-CA"/>
        </w:rPr>
        <w:t xml:space="preserve">dont deux au moins seront pris </w:t>
      </w:r>
      <w:r w:rsidRPr="003B61CC">
        <w:rPr>
          <w:i/>
          <w:u w:val="single"/>
          <w:lang w:val="fr-CA"/>
        </w:rPr>
        <w:t>parmi</w:t>
      </w:r>
      <w:r w:rsidRPr="003B61CC">
        <w:rPr>
          <w:u w:val="single"/>
          <w:lang w:val="fr-CA"/>
        </w:rPr>
        <w:t xml:space="preserve"> les juges de la Cour Supérieure ou de la Cour du Banc de la Reine</w:t>
      </w:r>
      <w:r w:rsidRPr="003B61CC">
        <w:rPr>
          <w:lang w:val="fr-CA"/>
        </w:rPr>
        <w:t>, ou parmi les procureurs ou avocats de la province de Québec; et les vacances survenant dans ces charges seront, au besoin, remplies de la même manière.  Le juge en chef et les juges de la Cour Suprême seront respectivement le juge en chef et les juges de la Cour de l’</w:t>
      </w:r>
      <w:r>
        <w:rPr>
          <w:lang w:val="fr-CA"/>
        </w:rPr>
        <w:t>Échiquier</w:t>
      </w:r>
      <w:r w:rsidRPr="003B61CC">
        <w:rPr>
          <w:lang w:val="fr-CA"/>
        </w:rPr>
        <w:t>.  Ils résideront en la cité d’Ottawa, ou dans un rayon de cinq milles de cette cité</w:t>
      </w:r>
      <w:r>
        <w:rPr>
          <w:lang w:val="fr-CA"/>
        </w:rPr>
        <w:t>.</w:t>
      </w:r>
    </w:p>
    <w:p w:rsidR="002B7942" w:rsidRDefault="002B7942" w:rsidP="002B7942">
      <w:pPr>
        <w:pStyle w:val="Citation-AltC"/>
        <w:tabs>
          <w:tab w:val="left" w:pos="1560"/>
        </w:tabs>
        <w:spacing w:after="0"/>
        <w:ind w:left="1195" w:hanging="1555"/>
        <w:contextualSpacing w:val="0"/>
        <w:rPr>
          <w:lang w:val="fr-CA"/>
        </w:rPr>
      </w:pPr>
    </w:p>
    <w:p w:rsidR="002B7942" w:rsidRDefault="002B7942" w:rsidP="002B7942">
      <w:pPr>
        <w:pStyle w:val="Citation-AltC"/>
        <w:tabs>
          <w:tab w:val="left" w:pos="1560"/>
        </w:tabs>
        <w:ind w:left="1195" w:hanging="1555"/>
        <w:contextualSpacing w:val="0"/>
      </w:pPr>
      <w:r w:rsidRPr="0077155D">
        <w:rPr>
          <w:b/>
          <w:lang w:val="fr-CA"/>
        </w:rPr>
        <w:tab/>
      </w:r>
      <w:r w:rsidRPr="0077155D">
        <w:rPr>
          <w:b/>
          <w:lang w:val="fr-CA"/>
        </w:rPr>
        <w:tab/>
      </w:r>
      <w:r w:rsidRPr="003B61CC">
        <w:rPr>
          <w:b/>
        </w:rPr>
        <w:t>4.</w:t>
      </w:r>
      <w:r w:rsidRPr="003B61CC">
        <w:t xml:space="preserve">  Her Majesty may appoint, by letters patent, under the Great Seal of Canada, one person, who is, or has been, a Judge of one of the Superior Courts in any of the Provinces forming part of the Dominion of Canada, or who is a Barrister or Advocate of at least ten years’ standing at the Bar of any one of the said Provinces, to be Chief Justice of the said Court, </w:t>
      </w:r>
      <w:r w:rsidRPr="003B61CC">
        <w:rPr>
          <w:u w:val="single"/>
        </w:rPr>
        <w:t>and five persons who are, or have been, respectively, Judges of one of the said Superior Courts</w:t>
      </w:r>
      <w:r w:rsidRPr="003B61CC">
        <w:t xml:space="preserve">, or who are Barristers or Advocates of at least ten years’ standing at the Bar of one of the said Provinces, </w:t>
      </w:r>
      <w:r w:rsidRPr="003B61CC">
        <w:rPr>
          <w:u w:val="single"/>
        </w:rPr>
        <w:t xml:space="preserve">to be Puisne Judges of the said Court, two of whom at least shall be taken </w:t>
      </w:r>
      <w:r w:rsidRPr="003B61CC">
        <w:rPr>
          <w:i/>
          <w:u w:val="single"/>
        </w:rPr>
        <w:t>from among</w:t>
      </w:r>
      <w:r w:rsidRPr="003B61CC">
        <w:rPr>
          <w:u w:val="single"/>
        </w:rPr>
        <w:t xml:space="preserve"> the Judges of the Superior Court or Court of Queen’s Bench</w:t>
      </w:r>
      <w:r>
        <w:t>,</w:t>
      </w:r>
      <w:r w:rsidRPr="003B61CC">
        <w:t xml:space="preserve"> or the Barristers or Advocates of the Province of Quebec; and vacancies in any of the said offices shall, from time to time, be filled in like manner.  The Chief Justice and Judges of the Supreme Court shall be respectively the Chief Justice and Judges of the Exchequer Court : they shall reside at the City of Ottawa, or within five miles thereof.</w:t>
      </w:r>
    </w:p>
    <w:p w:rsidR="008B29FB" w:rsidRPr="008B29FB" w:rsidRDefault="008B29FB" w:rsidP="002B7942">
      <w:pPr>
        <w:pStyle w:val="ParaNoNdepar-AltN"/>
        <w:tabs>
          <w:tab w:val="clear" w:pos="1152"/>
          <w:tab w:val="left" w:pos="1166"/>
          <w:tab w:val="num" w:pos="1578"/>
        </w:tabs>
        <w:rPr>
          <w:rFonts w:cs="Times New Roman"/>
          <w:lang w:val="fr-CA"/>
        </w:rPr>
      </w:pPr>
      <w:r w:rsidRPr="008B29FB">
        <w:rPr>
          <w:rFonts w:cs="Times New Roman"/>
          <w:lang w:val="fr-CA"/>
        </w:rPr>
        <w:t xml:space="preserve">Cette disposition utilise le mot « parmi » en rapport avec les juges des cours supérieures du Québec.  Et pourtant, le contexte, soit les mots « étant ou ayant été respectivement juges » utilisés précédemment dans la disposition, indique très </w:t>
      </w:r>
      <w:r w:rsidRPr="008B29FB">
        <w:rPr>
          <w:rFonts w:cs="Times New Roman"/>
          <w:lang w:val="fr-CA"/>
        </w:rPr>
        <w:lastRenderedPageBreak/>
        <w:t xml:space="preserve">clairement que les juges actuels </w:t>
      </w:r>
      <w:r w:rsidRPr="008B29FB">
        <w:rPr>
          <w:rFonts w:cs="Times New Roman"/>
          <w:i/>
          <w:lang w:val="fr-CA"/>
        </w:rPr>
        <w:t>et</w:t>
      </w:r>
      <w:r w:rsidRPr="008B29FB">
        <w:rPr>
          <w:rFonts w:cs="Times New Roman"/>
          <w:lang w:val="fr-CA"/>
        </w:rPr>
        <w:t xml:space="preserve"> anciens étaient admissibles à un siège de la Cour réservé pour le Québec — et rien n’a jamais changé à cet égard.  Il n’a jamais été suggéré dans le Hansard — et aucune révision subséquente des lois n’a jamais proclamé — que les anciens juges des cours supérieures du Québec ne peuvent pas être nommés juges de notre Cour.  Ce qui a changé, c’est qu’en 1886, les </w:t>
      </w:r>
      <w:r w:rsidRPr="008B29FB">
        <w:rPr>
          <w:rFonts w:cs="Times New Roman"/>
          <w:i/>
          <w:lang w:val="fr-CA"/>
        </w:rPr>
        <w:t>anciens</w:t>
      </w:r>
      <w:r w:rsidRPr="008B29FB">
        <w:rPr>
          <w:rFonts w:cs="Times New Roman"/>
          <w:lang w:val="fr-CA"/>
        </w:rPr>
        <w:t xml:space="preserve"> avocats inscrits au barreau pendant 10 ans sont devenus admissibles à siéger à la Cour, tout comme les avocats actuels (S.R.C. 1886, ch. 135, par. 4(2)).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Lorsqu’on comprend que les juges actuels et anciens des cours supérieures du Québec ont toujours été inclus dans le bassin des personnes admissibles, il n’y a qu’un pas à faire pour constater que les modifications de 1886 n’ont pas réduit à deux le nombre des groupes de personnes admissibles pour le Québec — ce nombre, au Québec (et ailleurs au Canada), a plutôt été porté de trois à quatre</w:t>
      </w:r>
      <w:r w:rsidRPr="0077155D">
        <w:rPr>
          <w:rStyle w:val="Hyperlink"/>
          <w:u w:val="none"/>
          <w:vertAlign w:val="superscript"/>
        </w:rPr>
        <w:footnoteReference w:id="6"/>
      </w:r>
      <w:r w:rsidR="00797AD7">
        <w:rPr>
          <w:rFonts w:cs="Times New Roman"/>
          <w:lang w:val="fr-CA"/>
        </w:rPr>
        <w:t>.</w:t>
      </w:r>
      <w:r w:rsidRPr="008B29FB">
        <w:rPr>
          <w:rFonts w:cs="Times New Roman"/>
          <w:lang w:val="fr-CA"/>
        </w:rPr>
        <w:t xml:space="preserve"> On peut passer au peigne fin le Hansard des débats de 1875 — ou de toute année ultérieure — on n’y trouvera rien qui indique que </w:t>
      </w:r>
      <w:r w:rsidR="00374C1B">
        <w:rPr>
          <w:rFonts w:cs="Times New Roman"/>
          <w:lang w:val="fr-CA"/>
        </w:rPr>
        <w:t xml:space="preserve">le </w:t>
      </w:r>
      <w:r w:rsidRPr="008B29FB">
        <w:rPr>
          <w:rFonts w:cs="Times New Roman"/>
          <w:lang w:val="fr-CA"/>
        </w:rPr>
        <w:t xml:space="preserve">législateur aurait eu l’intention de ramener les quatre groupes de candidats admissibles énumérés à l’art. 5 à deux groupes seulement dans le cas du Québec.  En bref, la distinction entre quatre groupes d’une part et deux groupes d’autre part n’est fondée ni en fait ni en droit.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En résumé, le libellé clair et l’historique législatif des art. 5 et 6 appuient la conclusion que les conditions de nomination énoncées à l’art. 5 s’appliquent également aux juges nommés pour le Québec.  En outre, l’examen de l’économie </w:t>
      </w:r>
      <w:r w:rsidRPr="008B29FB">
        <w:rPr>
          <w:rFonts w:cs="Times New Roman"/>
          <w:lang w:val="fr-CA"/>
        </w:rPr>
        <w:lastRenderedPageBreak/>
        <w:t xml:space="preserve">générale de la </w:t>
      </w:r>
      <w:r w:rsidRPr="008B29FB">
        <w:rPr>
          <w:rFonts w:cs="Times New Roman"/>
          <w:i/>
          <w:lang w:val="fr-CA"/>
        </w:rPr>
        <w:t>Loi sur la Cour suprême</w:t>
      </w:r>
      <w:r w:rsidRPr="008B29FB">
        <w:rPr>
          <w:rFonts w:cs="Times New Roman"/>
          <w:lang w:val="fr-CA"/>
        </w:rPr>
        <w:t xml:space="preserve"> — et en particulier de l’art. 30 — n’est d’aucune utilité pour l’interprétation des art. 5 et 6.  Je passe à l’examen de cet article uniquement pour expliquer qu’il ne favorise aucune des interprétations des art. 5 et 6 proposées. </w:t>
      </w:r>
    </w:p>
    <w:p w:rsidR="008B29FB" w:rsidRPr="003B61CC" w:rsidRDefault="008B29FB" w:rsidP="006B5FE2">
      <w:pPr>
        <w:pStyle w:val="Title2LevelTitre2Niveau"/>
        <w:keepNext w:val="0"/>
        <w:ind w:left="576" w:hanging="576"/>
        <w:rPr>
          <w:rFonts w:cs="Times New Roman"/>
          <w:lang w:val="fr-CA"/>
        </w:rPr>
      </w:pPr>
      <w:r w:rsidRPr="003B61CC">
        <w:rPr>
          <w:rFonts w:cs="Times New Roman"/>
          <w:lang w:val="fr-CA"/>
        </w:rPr>
        <w:t>L’</w:t>
      </w:r>
      <w:r>
        <w:rPr>
          <w:rFonts w:cs="Times New Roman"/>
          <w:lang w:val="fr-CA"/>
        </w:rPr>
        <w:t>article </w:t>
      </w:r>
      <w:r w:rsidRPr="003B61CC">
        <w:rPr>
          <w:rFonts w:cs="Times New Roman"/>
          <w:lang w:val="fr-CA"/>
        </w:rPr>
        <w:t>30 de la Loi sur la Cour suprême</w:t>
      </w:r>
    </w:p>
    <w:p w:rsid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L’article 30 de la Loi constitue dans l’ensemble une anomalie historique.  Il traite de la nomination de juges suppléants pour notre Cour :</w:t>
      </w:r>
    </w:p>
    <w:p w:rsidR="00374C1B" w:rsidRDefault="00374C1B" w:rsidP="00374C1B">
      <w:pPr>
        <w:pStyle w:val="Citation-AltC"/>
        <w:tabs>
          <w:tab w:val="left" w:pos="1560"/>
        </w:tabs>
        <w:spacing w:after="0"/>
        <w:ind w:left="1195" w:hanging="1555"/>
        <w:contextualSpacing w:val="0"/>
        <w:rPr>
          <w:lang w:val="fr-CA"/>
        </w:rPr>
      </w:pPr>
      <w:r>
        <w:rPr>
          <w:lang w:val="fr-CA"/>
        </w:rPr>
        <w:tab/>
      </w:r>
      <w:r>
        <w:rPr>
          <w:lang w:val="fr-CA"/>
        </w:rPr>
        <w:tab/>
      </w:r>
      <w:r w:rsidRPr="003B61CC">
        <w:rPr>
          <w:b/>
          <w:lang w:val="fr-CA"/>
        </w:rPr>
        <w:t>30.</w:t>
      </w:r>
      <w:r w:rsidRPr="003B61CC">
        <w:rPr>
          <w:lang w:val="fr-CA"/>
        </w:rPr>
        <w:t xml:space="preserve"> (1) [</w:t>
      </w:r>
      <w:r w:rsidRPr="0077155D">
        <w:rPr>
          <w:lang w:val="fr-CA"/>
        </w:rPr>
        <w:t>Nomination</w:t>
      </w:r>
      <w:r w:rsidRPr="003B61CC">
        <w:rPr>
          <w:lang w:val="fr-CA"/>
        </w:rPr>
        <w:t xml:space="preserve"> d’un juge suppléant</w:t>
      </w:r>
      <w:r>
        <w:rPr>
          <w:lang w:val="fr-CA"/>
        </w:rPr>
        <w:t>.</w:t>
      </w:r>
      <w:r w:rsidRPr="003B61CC">
        <w:rPr>
          <w:lang w:val="fr-CA"/>
        </w:rPr>
        <w:t>] Dans les cas où, par suite de vacance, d’absence ou d’empêchement attribuable à la maladie, aux congés ou à l’exercice d’autres fonctions assignées par loi ou décret, ou encore de l’inhabilité à siéger d’un ou plusieurs juges, le quorum n’est pas atteint pour tenir ou poursuivre les travaux de la Cour, le juge en chef ou, en son absence, le doyen des juges puînés peut demander par écrit que soit détaché, pour assister aux séances de la Cour à titre de juge suppléant et pendant le temps nécessaire :</w:t>
      </w:r>
    </w:p>
    <w:p w:rsidR="00374C1B" w:rsidRPr="003B61CC" w:rsidRDefault="00374C1B" w:rsidP="00374C1B">
      <w:pPr>
        <w:pStyle w:val="Citation-AltC"/>
        <w:tabs>
          <w:tab w:val="left" w:pos="1560"/>
        </w:tabs>
        <w:spacing w:after="0"/>
        <w:ind w:left="1195" w:hanging="1555"/>
        <w:contextualSpacing w:val="0"/>
        <w:rPr>
          <w:lang w:val="fr-CA"/>
        </w:rPr>
      </w:pPr>
    </w:p>
    <w:p w:rsidR="00374C1B" w:rsidRDefault="00374C1B" w:rsidP="00760EB8">
      <w:pPr>
        <w:pStyle w:val="Citation-AltC"/>
        <w:tabs>
          <w:tab w:val="left" w:pos="1620"/>
        </w:tabs>
        <w:spacing w:after="0"/>
        <w:ind w:left="1627" w:hanging="1987"/>
        <w:contextualSpacing w:val="0"/>
        <w:rPr>
          <w:lang w:val="fr-CA"/>
        </w:rPr>
      </w:pPr>
      <w:r>
        <w:rPr>
          <w:lang w:val="fr-CA"/>
        </w:rPr>
        <w:tab/>
      </w:r>
      <w:r w:rsidRPr="00374C1B">
        <w:rPr>
          <w:i/>
          <w:lang w:val="fr-CA"/>
        </w:rPr>
        <w:t>a</w:t>
      </w:r>
      <w:r w:rsidRPr="003B61CC">
        <w:rPr>
          <w:lang w:val="fr-CA"/>
        </w:rPr>
        <w:t>) soit un juge de la Cour d’appel fédérale, de la Cour fédérale ou de la Cour canadienne de l’impôt;</w:t>
      </w:r>
    </w:p>
    <w:p w:rsidR="00374C1B" w:rsidRPr="003B61CC" w:rsidRDefault="00374C1B" w:rsidP="00374C1B">
      <w:pPr>
        <w:pStyle w:val="Citation-AltC"/>
        <w:tabs>
          <w:tab w:val="left" w:pos="1560"/>
        </w:tabs>
        <w:spacing w:after="0"/>
        <w:ind w:left="1627" w:hanging="1987"/>
        <w:contextualSpacing w:val="0"/>
        <w:rPr>
          <w:lang w:val="fr-CA"/>
        </w:rPr>
      </w:pPr>
    </w:p>
    <w:p w:rsidR="00374C1B" w:rsidRDefault="00374C1B" w:rsidP="00760EB8">
      <w:pPr>
        <w:pStyle w:val="Citation-AltC"/>
        <w:tabs>
          <w:tab w:val="left" w:pos="1620"/>
        </w:tabs>
        <w:spacing w:after="0"/>
        <w:ind w:left="1627" w:hanging="1987"/>
        <w:contextualSpacing w:val="0"/>
        <w:rPr>
          <w:lang w:val="fr-CA"/>
        </w:rPr>
      </w:pPr>
      <w:r>
        <w:rPr>
          <w:lang w:val="fr-CA"/>
        </w:rPr>
        <w:tab/>
      </w:r>
      <w:r w:rsidRPr="00374C1B">
        <w:rPr>
          <w:i/>
          <w:lang w:val="fr-CA"/>
        </w:rPr>
        <w:t>b</w:t>
      </w:r>
      <w:r w:rsidRPr="003B61CC">
        <w:rPr>
          <w:lang w:val="fr-CA"/>
        </w:rPr>
        <w:t>) soit, si les juges de la Cour d’appel fédérale, de la Cour fédérale ou de la Cour canadienne de l’impôt sont absents d’Ottawa ou dans l’incapacité de siéger, un juge d’une cour supérieure provinciale désigné par écrit, sur demande formelle à lui adressée, par le juge en chef ou, en son absence, le juge en chef suppléant ou le doyen des juges puînés de ce tribunal provincial.</w:t>
      </w:r>
    </w:p>
    <w:p w:rsidR="00374C1B" w:rsidRPr="003B61CC" w:rsidRDefault="00374C1B" w:rsidP="00374C1B">
      <w:pPr>
        <w:pStyle w:val="Citation-AltC"/>
        <w:tabs>
          <w:tab w:val="left" w:pos="1560"/>
        </w:tabs>
        <w:spacing w:after="0"/>
        <w:ind w:left="1627" w:hanging="1987"/>
        <w:contextualSpacing w:val="0"/>
        <w:rPr>
          <w:lang w:val="fr-CA"/>
        </w:rPr>
      </w:pPr>
    </w:p>
    <w:p w:rsidR="00374C1B" w:rsidRDefault="00374C1B" w:rsidP="00374C1B">
      <w:pPr>
        <w:pStyle w:val="Citation-AltC"/>
        <w:tabs>
          <w:tab w:val="left" w:pos="1560"/>
        </w:tabs>
        <w:spacing w:after="0"/>
        <w:ind w:left="1195" w:hanging="1555"/>
        <w:contextualSpacing w:val="0"/>
        <w:rPr>
          <w:lang w:val="fr-CA"/>
        </w:rPr>
      </w:pPr>
      <w:r>
        <w:rPr>
          <w:lang w:val="fr-CA"/>
        </w:rPr>
        <w:tab/>
      </w:r>
      <w:r>
        <w:rPr>
          <w:lang w:val="fr-CA"/>
        </w:rPr>
        <w:tab/>
      </w:r>
      <w:r w:rsidRPr="003B61CC">
        <w:rPr>
          <w:lang w:val="fr-CA"/>
        </w:rPr>
        <w:t>(2) [Appels du Québec</w:t>
      </w:r>
      <w:r>
        <w:rPr>
          <w:lang w:val="fr-CA"/>
        </w:rPr>
        <w:t>.</w:t>
      </w:r>
      <w:r w:rsidRPr="003B61CC">
        <w:rPr>
          <w:lang w:val="fr-CA"/>
        </w:rPr>
        <w:t xml:space="preserve">]  </w:t>
      </w:r>
      <w:r w:rsidRPr="006F5EF3">
        <w:rPr>
          <w:u w:val="single"/>
          <w:lang w:val="fr-CA"/>
        </w:rPr>
        <w:t>Lorsqu</w:t>
      </w:r>
      <w:r>
        <w:rPr>
          <w:u w:val="single"/>
          <w:lang w:val="fr-CA"/>
        </w:rPr>
        <w:t xml:space="preserve">e </w:t>
      </w:r>
      <w:r w:rsidRPr="006F5EF3">
        <w:rPr>
          <w:u w:val="single"/>
          <w:lang w:val="fr-CA"/>
        </w:rPr>
        <w:t>au moins deux des juges pouvant siéger ne remplissent pas les conditions fixées à l’article 6</w:t>
      </w:r>
      <w:r w:rsidRPr="003B61CC">
        <w:rPr>
          <w:lang w:val="fr-CA"/>
        </w:rPr>
        <w:t>, le juge suppléant choisi pour l’audition d’un appel d’un jugement rendu dans la province de Québec doit être un juge de la Cour d’appel ou un juge de la Cour supérieure de cette province, désigné conformément au paragraphe (1).</w:t>
      </w:r>
    </w:p>
    <w:p w:rsidR="00374C1B" w:rsidRDefault="00374C1B" w:rsidP="00374C1B">
      <w:pPr>
        <w:pStyle w:val="Citation-AltC"/>
        <w:tabs>
          <w:tab w:val="left" w:pos="1560"/>
        </w:tabs>
        <w:spacing w:after="0"/>
        <w:ind w:left="1195" w:hanging="1555"/>
        <w:contextualSpacing w:val="0"/>
        <w:rPr>
          <w:lang w:val="fr-CA"/>
        </w:rPr>
      </w:pPr>
    </w:p>
    <w:p w:rsidR="00374C1B" w:rsidRDefault="00374C1B" w:rsidP="00374C1B">
      <w:pPr>
        <w:pStyle w:val="Citation-AltC"/>
        <w:tabs>
          <w:tab w:val="left" w:pos="1560"/>
        </w:tabs>
        <w:spacing w:after="0"/>
        <w:ind w:left="1195" w:hanging="1555"/>
        <w:contextualSpacing w:val="0"/>
      </w:pPr>
      <w:r w:rsidRPr="0077155D">
        <w:rPr>
          <w:lang w:val="fr-CA"/>
        </w:rPr>
        <w:tab/>
      </w:r>
      <w:r w:rsidRPr="0077155D">
        <w:rPr>
          <w:lang w:val="fr-CA"/>
        </w:rPr>
        <w:tab/>
      </w:r>
      <w:r w:rsidRPr="003B61CC">
        <w:rPr>
          <w:b/>
        </w:rPr>
        <w:t>30.</w:t>
      </w:r>
      <w:r w:rsidR="0077155D">
        <w:t xml:space="preserve"> (1) </w:t>
      </w:r>
      <w:r w:rsidRPr="003B61CC">
        <w:t>[</w:t>
      </w:r>
      <w:r w:rsidRPr="0077155D">
        <w:rPr>
          <w:lang w:val="en-US"/>
        </w:rPr>
        <w:t>Appointment</w:t>
      </w:r>
      <w:r w:rsidRPr="003B61CC">
        <w:t xml:space="preserve"> of </w:t>
      </w:r>
      <w:r w:rsidRPr="006F5EF3">
        <w:rPr>
          <w:i/>
        </w:rPr>
        <w:t>ad hoc</w:t>
      </w:r>
      <w:r w:rsidRPr="003B61CC">
        <w:t xml:space="preserve"> judge</w:t>
      </w:r>
      <w:r>
        <w:t>.</w:t>
      </w:r>
      <w:r w:rsidRPr="003B61CC">
        <w:t xml:space="preserve">] Where at any time there is not a quorum of the judges available to hold or continue any session of the Court, owing to a vacancy or vacancies, or to the absence through illness or on leave or in the discharge of other duties assigned by statute or order in council, or to the disqualification of a judge or judges, the Chief </w:t>
      </w:r>
      <w:r w:rsidRPr="003B61CC">
        <w:lastRenderedPageBreak/>
        <w:t xml:space="preserve">Justice of Canada, or in the absence of the Chief Justice, the senior puisne judge, may in writing request the attendance at the sittings of the Court, as an </w:t>
      </w:r>
      <w:r w:rsidRPr="006F5EF3">
        <w:rPr>
          <w:i/>
        </w:rPr>
        <w:t>ad hoc</w:t>
      </w:r>
      <w:r w:rsidRPr="003B61CC">
        <w:t xml:space="preserve"> judge, for such period as may be necessary,</w:t>
      </w:r>
    </w:p>
    <w:p w:rsidR="00374C1B" w:rsidRPr="003B61CC" w:rsidRDefault="00374C1B" w:rsidP="00374C1B">
      <w:pPr>
        <w:pStyle w:val="Citation-AltC"/>
        <w:tabs>
          <w:tab w:val="left" w:pos="1560"/>
        </w:tabs>
        <w:spacing w:after="0"/>
        <w:ind w:left="1195" w:hanging="1555"/>
        <w:contextualSpacing w:val="0"/>
      </w:pPr>
    </w:p>
    <w:p w:rsidR="00374C1B" w:rsidRDefault="00374C1B" w:rsidP="007D6C61">
      <w:pPr>
        <w:pStyle w:val="Citation-AltC"/>
        <w:tabs>
          <w:tab w:val="left" w:pos="1620"/>
        </w:tabs>
        <w:spacing w:after="0"/>
        <w:ind w:left="1627" w:hanging="1987"/>
        <w:contextualSpacing w:val="0"/>
      </w:pPr>
      <w:r>
        <w:tab/>
      </w:r>
      <w:r w:rsidRPr="003B61CC">
        <w:t>(</w:t>
      </w:r>
      <w:r w:rsidRPr="00374C1B">
        <w:rPr>
          <w:i/>
        </w:rPr>
        <w:t>a</w:t>
      </w:r>
      <w:r w:rsidRPr="003B61CC">
        <w:t>) of a judge of the Federal Court of Appeal, the Federal Court or the Tax Court of Canada; or</w:t>
      </w:r>
    </w:p>
    <w:p w:rsidR="00374C1B" w:rsidRPr="003B61CC" w:rsidRDefault="00374C1B" w:rsidP="00374C1B">
      <w:pPr>
        <w:pStyle w:val="Citation-AltC"/>
        <w:tabs>
          <w:tab w:val="left" w:pos="1560"/>
        </w:tabs>
        <w:spacing w:after="0"/>
        <w:ind w:left="1627" w:hanging="1987"/>
        <w:contextualSpacing w:val="0"/>
      </w:pPr>
    </w:p>
    <w:p w:rsidR="00374C1B" w:rsidRDefault="00374C1B" w:rsidP="007D6C61">
      <w:pPr>
        <w:pStyle w:val="Citation-AltC"/>
        <w:tabs>
          <w:tab w:val="left" w:pos="1620"/>
        </w:tabs>
        <w:spacing w:after="0"/>
        <w:ind w:left="1627" w:hanging="1987"/>
        <w:contextualSpacing w:val="0"/>
      </w:pPr>
      <w:r>
        <w:tab/>
      </w:r>
      <w:r w:rsidRPr="003B61CC">
        <w:t>(</w:t>
      </w:r>
      <w:r w:rsidRPr="00374C1B">
        <w:rPr>
          <w:i/>
        </w:rPr>
        <w:t>b</w:t>
      </w:r>
      <w:r w:rsidRPr="003B61CC">
        <w:t>) if the judges of the Federal Court of Appeal, the Federal Court or the Tax Court of Canada are absent from Ottawa or for any reason are unable to sit, of a judge of a provincial superior court to be designated in writing by the chief justice, or in the absence of the chief justice, by any acting chief justice or the senior puisne judge of that provincial court on that request being made to that acting chief justice or that senior puisne judge in writing.</w:t>
      </w:r>
    </w:p>
    <w:p w:rsidR="00374C1B" w:rsidRPr="003B61CC" w:rsidRDefault="00374C1B" w:rsidP="00374C1B">
      <w:pPr>
        <w:pStyle w:val="Citation-AltC"/>
        <w:tabs>
          <w:tab w:val="left" w:pos="1560"/>
        </w:tabs>
        <w:spacing w:after="0"/>
        <w:ind w:left="1627" w:hanging="1987"/>
        <w:contextualSpacing w:val="0"/>
      </w:pPr>
    </w:p>
    <w:p w:rsidR="007D6C61" w:rsidRDefault="00374C1B" w:rsidP="007D6C61">
      <w:pPr>
        <w:pStyle w:val="Citation-AltC"/>
        <w:tabs>
          <w:tab w:val="left" w:pos="1560"/>
        </w:tabs>
        <w:spacing w:after="0"/>
        <w:ind w:left="1195" w:hanging="1555"/>
        <w:contextualSpacing w:val="0"/>
      </w:pPr>
      <w:r>
        <w:tab/>
      </w:r>
      <w:r>
        <w:tab/>
      </w:r>
      <w:r w:rsidRPr="003B61CC">
        <w:t>(2)  [Quebec appeals</w:t>
      </w:r>
      <w:r>
        <w:t>.</w:t>
      </w:r>
      <w:r w:rsidRPr="003B61CC">
        <w:t xml:space="preserve">]  </w:t>
      </w:r>
      <w:r w:rsidRPr="006F5EF3">
        <w:rPr>
          <w:u w:val="single"/>
        </w:rPr>
        <w:t>Unless two of the judges available fulfil the requirements of section 6</w:t>
      </w:r>
      <w:r w:rsidRPr="003B61CC">
        <w:t xml:space="preserve">, the </w:t>
      </w:r>
      <w:r w:rsidRPr="006F5EF3">
        <w:rPr>
          <w:i/>
        </w:rPr>
        <w:t>ad hoc</w:t>
      </w:r>
      <w:r w:rsidRPr="003B61CC">
        <w:t xml:space="preserve"> judge for the hearing of an appeal from a judgment rendered in the Province of Quebec shall be a judge of the Court of Appeal or a judge of the Superior Court of that Province designated in accordance with subsection (1).</w:t>
      </w:r>
    </w:p>
    <w:p w:rsidR="007D6C61" w:rsidRDefault="007D6C61" w:rsidP="007D6C61">
      <w:pPr>
        <w:pStyle w:val="Citation-AltC"/>
        <w:tabs>
          <w:tab w:val="left" w:pos="1560"/>
        </w:tabs>
        <w:spacing w:after="0"/>
        <w:ind w:left="1195" w:hanging="1555"/>
        <w:contextualSpacing w:val="0"/>
      </w:pPr>
    </w:p>
    <w:p w:rsidR="008B29FB" w:rsidRPr="008B29FB" w:rsidRDefault="008B29FB" w:rsidP="007D6C61">
      <w:pPr>
        <w:pStyle w:val="ParaNoNdepar-AltN"/>
        <w:tabs>
          <w:tab w:val="clear" w:pos="1152"/>
          <w:tab w:val="left" w:pos="1166"/>
          <w:tab w:val="num" w:pos="1578"/>
        </w:tabs>
        <w:rPr>
          <w:rFonts w:cs="Times New Roman"/>
          <w:lang w:val="fr-CA"/>
        </w:rPr>
      </w:pPr>
      <w:r w:rsidRPr="008B29FB">
        <w:rPr>
          <w:rFonts w:cs="Times New Roman"/>
          <w:lang w:val="fr-CA"/>
        </w:rPr>
        <w:t>Parce que le par. 30(2) ne mentionne pas les juges des cours fédérales provenant du Québec et que ces derniers ne peuvent agir à titre de juges suppléants pour l’audition de l’appel d’un jugement rendu au Québec lorsque le quorum n’est pas atteint et qu’au moins deux juges de la Cour provenant du Québec ne sont pas disponibles</w:t>
      </w:r>
      <w:r w:rsidRPr="0077155D">
        <w:rPr>
          <w:rStyle w:val="Hyperlink"/>
          <w:u w:val="none"/>
          <w:vertAlign w:val="superscript"/>
        </w:rPr>
        <w:footnoteReference w:id="7"/>
      </w:r>
      <w:r w:rsidR="00A9712D">
        <w:rPr>
          <w:rFonts w:cs="Times New Roman"/>
          <w:lang w:val="fr-CA"/>
        </w:rPr>
        <w:t>,</w:t>
      </w:r>
      <w:r w:rsidRPr="008B29FB">
        <w:rPr>
          <w:rFonts w:cs="Times New Roman"/>
          <w:lang w:val="fr-CA"/>
        </w:rPr>
        <w:t xml:space="preserve"> les intervenants Rocco Galati et Constitutional Rights Centre Inc. plaident que les juges des cours fédérales ne devraient pas être admissibles à un siège </w:t>
      </w:r>
      <w:r w:rsidRPr="008B29FB">
        <w:rPr>
          <w:rFonts w:cs="Times New Roman"/>
          <w:i/>
          <w:lang w:val="fr-CA"/>
        </w:rPr>
        <w:t>permanent</w:t>
      </w:r>
      <w:r w:rsidRPr="008B29FB">
        <w:rPr>
          <w:rFonts w:cs="Times New Roman"/>
          <w:lang w:val="fr-CA"/>
        </w:rPr>
        <w:t xml:space="preserve"> de la Cour réservé pour le Québec.  Mes collègues s’appuient sur cet argument pour conclure à l’exigence de contemporanéité, qui a pour effet d’exclure la nomination de juges des cours fédérales pour occuper à notre Cour un siège permanent réservé au Québec.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lastRenderedPageBreak/>
        <w:t>Pour les motifs qui suivent, je n’accepte pas ces prétentions.  L’article 30 n’est d’aucun secours pour l’interprétation des conditions de nomination qu’énoncent les art. 5 et 6 de la Loi.  À cet égard, je fais miens, pour l’essentiel, les arguments qu’avance le doyen Sébastien Grammond</w:t>
      </w:r>
      <w:r w:rsidRPr="0077155D">
        <w:rPr>
          <w:rStyle w:val="Hyperlink"/>
          <w:u w:val="none"/>
          <w:vertAlign w:val="superscript"/>
        </w:rPr>
        <w:footnoteReference w:id="8"/>
      </w:r>
      <w:r w:rsidRPr="008B29FB">
        <w:rPr>
          <w:rFonts w:cs="Times New Roman"/>
          <w:lang w:val="fr-CA"/>
        </w:rPr>
        <w:t xml:space="preserve"> au nom des intervenants Robert Décary, Alice Desjardins et Gilles Létourneau.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J’ai déjà indiqué que l’art. 30 constitue une anomalie historique.  Afin d’expliquer pourquoi le par. 30(2) ne mentionne pas les juges des cours fédérales provenant du Québec, il faut tracer l’historique législatif de cette disposition.  Cet a</w:t>
      </w:r>
      <w:r w:rsidR="00B17291">
        <w:rPr>
          <w:rFonts w:cs="Times New Roman"/>
          <w:lang w:val="fr-CA"/>
        </w:rPr>
        <w:t>rticle a été adopté en 1918 (S.C</w:t>
      </w:r>
      <w:r w:rsidRPr="008B29FB">
        <w:rPr>
          <w:rFonts w:cs="Times New Roman"/>
          <w:lang w:val="fr-CA"/>
        </w:rPr>
        <w:t xml:space="preserve">. 1918, ch. 7, art. 1).  À l’époque, la Cour ne comptait que six juges et la Loi fixait le quorum à cinq juges.  Par conséquent, si, pour une raison ou une autre, deux juges ou plus n’étaient pas disponibles, la Cour ne pouvait entendre des appels faute de quorum.  En 1918, l’absence de plusieurs juges a placé la Cour dans une situation critique.  Le Parlement a réagi en introduisant dans la Loi la notion de juges suppléants.  Ces derniers devaient remplir temporairement les fonctions de juge de la Cour suprême de sorte que le quorum soit atteint et que les appels soient entendus.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Pour des raisons d’ordre pratique, le Parlement voulait qu’un juge suppléant provienne d’abord de la Cour de l’Échiquier (aujourd’hui remplacée par les cours fédérales) puisque cette cour siégeait elle aussi à Ottawa.  À l’époque, la Cour de l’Échiquier ne comptait que deux juges — le « juge » et le « juge adjoint » (</w:t>
      </w:r>
      <w:r w:rsidRPr="008B29FB">
        <w:rPr>
          <w:rFonts w:cs="Times New Roman"/>
          <w:i/>
          <w:lang w:val="fr-CA"/>
        </w:rPr>
        <w:t xml:space="preserve">Loi modifiant la </w:t>
      </w:r>
      <w:r w:rsidR="007D6C61">
        <w:rPr>
          <w:rFonts w:cs="Times New Roman"/>
          <w:i/>
          <w:lang w:val="fr-CA"/>
        </w:rPr>
        <w:t>l</w:t>
      </w:r>
      <w:r w:rsidRPr="008B29FB">
        <w:rPr>
          <w:rFonts w:cs="Times New Roman"/>
          <w:i/>
          <w:lang w:val="fr-CA"/>
        </w:rPr>
        <w:t>oi de la Cour de l’Échiquier</w:t>
      </w:r>
      <w:r w:rsidR="00B17291">
        <w:rPr>
          <w:rFonts w:cs="Times New Roman"/>
          <w:lang w:val="fr-CA"/>
        </w:rPr>
        <w:t>, S.C</w:t>
      </w:r>
      <w:r w:rsidRPr="008B29FB">
        <w:rPr>
          <w:rFonts w:cs="Times New Roman"/>
          <w:lang w:val="fr-CA"/>
        </w:rPr>
        <w:t xml:space="preserve">. 1912, ch. 21, art. 1).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lastRenderedPageBreak/>
        <w:t xml:space="preserve">Il importe de signaler qu’à l’époque, le juge adjoint provenait du Québec.  Le fait de nommer l’un ou l’autre des juges de la Cour de l’Échiquier pour siéger à titre de juge suppléant pouvait alors faire en sorte que le juge adjoint — un Québécois — soit nommé.  Ce qui engendrait la possibilité qu’une majorité de juges civilistes entendent une affaire de common law, si la perte du quorum de la Cour résultait de l’absence de deux juges de common law.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Le Parlement a cherché à éviter un tel résultat en précisant que seul pouvait être nommé juge suppléant « le juge » de la Cour de l’Échiquier, un terme qui excluait nécessairement le juge adjoint.  Devant le mécontentement du Québec, le Parlement a accepté que, pour entendre l’appel d’un jugement rendu au Québec, si la perte du quorum résultait de l’absence d’au moins deux juges du Québec, le juge suppléant serait choisi parmi les juges des cours supérieures de cette province</w:t>
      </w:r>
      <w:r w:rsidRPr="0077155D">
        <w:rPr>
          <w:rStyle w:val="Hyperlink"/>
          <w:u w:val="none"/>
          <w:vertAlign w:val="superscript"/>
        </w:rPr>
        <w:footnoteReference w:id="9"/>
      </w:r>
      <w:r w:rsidRPr="008B29FB">
        <w:rPr>
          <w:rFonts w:cs="Times New Roman"/>
          <w:lang w:val="fr-CA"/>
        </w:rPr>
        <w:t xml:space="preserve">.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En résumé, lorsqu’il a adopté l’art. 30, le législateur visait deux objectifs précis — tout d’abord, s’assurer que notre Cour continue d’exercer ses fonctions et, ensuite, s’assurer que des juges civilistes ne puissent former une majorité lors de l’audition d’un appel sur une matière relevant de la common law.  Le législateur a examiné la teneur de l’art. 30 pour la dernière fois en 1920, lorsqu’il a modifié la </w:t>
      </w:r>
      <w:r w:rsidRPr="008B29FB">
        <w:rPr>
          <w:rFonts w:cs="Times New Roman"/>
          <w:i/>
          <w:lang w:val="fr-CA"/>
        </w:rPr>
        <w:t xml:space="preserve">Loi </w:t>
      </w:r>
      <w:r w:rsidR="00C7660C">
        <w:rPr>
          <w:rFonts w:cs="Times New Roman"/>
          <w:i/>
          <w:lang w:val="fr-CA"/>
        </w:rPr>
        <w:t>de</w:t>
      </w:r>
      <w:r w:rsidRPr="008B29FB">
        <w:rPr>
          <w:rFonts w:cs="Times New Roman"/>
          <w:i/>
          <w:lang w:val="fr-CA"/>
        </w:rPr>
        <w:t xml:space="preserve"> la </w:t>
      </w:r>
      <w:r w:rsidR="00C7660C">
        <w:rPr>
          <w:rFonts w:cs="Times New Roman"/>
          <w:i/>
          <w:lang w:val="fr-CA"/>
        </w:rPr>
        <w:t>c</w:t>
      </w:r>
      <w:r w:rsidRPr="008B29FB">
        <w:rPr>
          <w:rFonts w:cs="Times New Roman"/>
          <w:i/>
          <w:lang w:val="fr-CA"/>
        </w:rPr>
        <w:t>our de l’Échiquier</w:t>
      </w:r>
      <w:r w:rsidRPr="008B29FB">
        <w:rPr>
          <w:rFonts w:cs="Times New Roman"/>
          <w:lang w:val="fr-CA"/>
        </w:rPr>
        <w:t xml:space="preserve"> pour permettre la nomination de tout juge de la Cour de l’Échiquier à titre de juge suppléant (S.C. 1920, ch. 26, art. 1; S.R.C. 1927, ch. 35, art. 5).  À l’époque, il n’était pas possible d’inclure des juges de la Cour fédérale provenant du Québec au par. 30(2), puisque les cours fédérales n’existaient pas et que </w:t>
      </w:r>
      <w:r w:rsidRPr="008B29FB">
        <w:rPr>
          <w:rFonts w:cs="Times New Roman"/>
          <w:lang w:val="fr-CA"/>
        </w:rPr>
        <w:lastRenderedPageBreak/>
        <w:t xml:space="preserve">la Cour de l’Échiquier, qui </w:t>
      </w:r>
      <w:r w:rsidRPr="008B29FB">
        <w:rPr>
          <w:rFonts w:cs="Times New Roman"/>
          <w:i/>
          <w:lang w:val="fr-CA"/>
        </w:rPr>
        <w:t>existait</w:t>
      </w:r>
      <w:r w:rsidRPr="008B29FB">
        <w:rPr>
          <w:rFonts w:cs="Times New Roman"/>
          <w:lang w:val="fr-CA"/>
        </w:rPr>
        <w:t xml:space="preserve"> alors, n’avait pas de sièges réservés pour le Québec.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Les juges majoritaires affirment que « l’omission répétée d’inclure les juges de la Cour fédérale et de la Cour d’appel fédérale provenant du Québec parmi les juges </w:t>
      </w:r>
      <w:r w:rsidR="00C7660C">
        <w:rPr>
          <w:rFonts w:cs="Times New Roman"/>
          <w:lang w:val="fr-CA"/>
        </w:rPr>
        <w:t xml:space="preserve">suppléants </w:t>
      </w:r>
      <w:r w:rsidRPr="008B29FB">
        <w:rPr>
          <w:rFonts w:cs="Times New Roman"/>
          <w:lang w:val="fr-CA"/>
        </w:rPr>
        <w:t>qui peuvent siéger à notre Cour en remplacement de juges nommés aux termes de l’art. 6 laisse croire que leur exclusion était délibérée » (par. 67).  En fait, la preuve suggère l’inverse.  Les modifications législatives faites pour mettre à jour le nom des cours mentionnées dans cet article étaient de nature organisationnelle et touchaient exclusivement le par. 30(1), puisque le par. 30(2) ne mentionnait pas la Cour de l’Échiquier et ne nécessitait pas d’actualisation</w:t>
      </w:r>
      <w:r w:rsidRPr="0077155D">
        <w:rPr>
          <w:rStyle w:val="Hyperlink"/>
          <w:u w:val="none"/>
          <w:vertAlign w:val="superscript"/>
        </w:rPr>
        <w:footnoteReference w:id="10"/>
      </w:r>
      <w:r w:rsidR="00B17291">
        <w:rPr>
          <w:rFonts w:cs="Times New Roman"/>
          <w:lang w:val="fr-CA"/>
        </w:rPr>
        <w:t>.</w:t>
      </w:r>
      <w:r w:rsidRPr="008B29FB">
        <w:rPr>
          <w:rFonts w:cs="Times New Roman"/>
          <w:lang w:val="fr-CA"/>
        </w:rPr>
        <w:t xml:space="preserve"> Dans la mesure où, à toutes fins utiles, l’art. 30 est devenu obsolète depuis que le nombre de juges siégeant à la Cour est passé à neuf</w:t>
      </w:r>
      <w:r w:rsidRPr="0077155D">
        <w:rPr>
          <w:rStyle w:val="Hyperlink"/>
          <w:u w:val="none"/>
          <w:vertAlign w:val="superscript"/>
        </w:rPr>
        <w:footnoteReference w:id="11"/>
      </w:r>
      <w:r w:rsidRPr="008B29FB">
        <w:rPr>
          <w:rFonts w:cs="Times New Roman"/>
          <w:lang w:val="fr-CA"/>
        </w:rPr>
        <w:t xml:space="preserve">, il n’est guère surprenant que le législateur ne se soit pas préoccupé de la teneur de cette disposition.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Mes collègues signalent que le par. 30(2) renvoie à l’art. 6 — « </w:t>
      </w:r>
      <w:r w:rsidR="00C7660C">
        <w:rPr>
          <w:rFonts w:cs="Times New Roman"/>
          <w:lang w:val="fr-CA"/>
        </w:rPr>
        <w:t>[</w:t>
      </w:r>
      <w:r w:rsidRPr="008B29FB">
        <w:rPr>
          <w:rFonts w:cs="Times New Roman"/>
          <w:lang w:val="fr-CA"/>
        </w:rPr>
        <w:t>l</w:t>
      </w:r>
      <w:r w:rsidR="00C7660C">
        <w:rPr>
          <w:rFonts w:cs="Times New Roman"/>
          <w:lang w:val="fr-CA"/>
        </w:rPr>
        <w:t>]</w:t>
      </w:r>
      <w:r w:rsidRPr="008B29FB">
        <w:rPr>
          <w:rFonts w:cs="Times New Roman"/>
          <w:lang w:val="fr-CA"/>
        </w:rPr>
        <w:t>orsque au moins deux des juges pouvant siéger ne remplissent pas les conditions fixées à l’art</w:t>
      </w:r>
      <w:r w:rsidR="00C7660C">
        <w:rPr>
          <w:rFonts w:cs="Times New Roman"/>
          <w:lang w:val="fr-CA"/>
        </w:rPr>
        <w:t>icle</w:t>
      </w:r>
      <w:r w:rsidRPr="008B29FB">
        <w:rPr>
          <w:rFonts w:cs="Times New Roman"/>
          <w:lang w:val="fr-CA"/>
        </w:rPr>
        <w:t> 6</w:t>
      </w:r>
      <w:r w:rsidRPr="008B29FB">
        <w:rPr>
          <w:rFonts w:cs="Times New Roman"/>
          <w:szCs w:val="24"/>
          <w:lang w:val="fr-CA"/>
        </w:rPr>
        <w:t xml:space="preserve"> » </w:t>
      </w:r>
      <w:r w:rsidRPr="008B29FB">
        <w:rPr>
          <w:rFonts w:cs="Times New Roman"/>
          <w:lang w:val="fr-CA"/>
        </w:rPr>
        <w:t xml:space="preserve">— et ils en déduisent que les deux articles sont « explicitement liés » (par. 65).  Or, que le premier segment du par. 30(2) renvoie à l’art. 6 n’aide pas à interpréter </w:t>
      </w:r>
      <w:r w:rsidRPr="008B29FB">
        <w:rPr>
          <w:rFonts w:cs="Times New Roman"/>
          <w:i/>
          <w:lang w:val="fr-CA"/>
        </w:rPr>
        <w:t>ce que signifie l’art. 6</w:t>
      </w:r>
      <w:r w:rsidRPr="008B29FB">
        <w:rPr>
          <w:rFonts w:cs="Times New Roman"/>
          <w:lang w:val="fr-CA"/>
        </w:rPr>
        <w:t xml:space="preserve">.  En effet, l’art. 30 prévoit manifestement que seuls les juges actuels des cours mentionnées peuvent être nommés juges suppléants de la Cour pour </w:t>
      </w:r>
      <w:r w:rsidRPr="008B29FB">
        <w:rPr>
          <w:rFonts w:cs="Times New Roman"/>
          <w:i/>
          <w:lang w:val="fr-CA"/>
        </w:rPr>
        <w:t>tous</w:t>
      </w:r>
      <w:r w:rsidRPr="008B29FB">
        <w:rPr>
          <w:rFonts w:cs="Times New Roman"/>
          <w:lang w:val="fr-CA"/>
        </w:rPr>
        <w:t xml:space="preserve"> les appels, et non uniquement pour les appels provenant du Québec.  </w:t>
      </w:r>
      <w:r w:rsidRPr="008B29FB">
        <w:rPr>
          <w:rFonts w:cs="Times New Roman"/>
          <w:lang w:val="fr-CA"/>
        </w:rPr>
        <w:lastRenderedPageBreak/>
        <w:t xml:space="preserve">Et ce, même si selon l’art. 5, </w:t>
      </w:r>
      <w:r w:rsidRPr="008B29FB">
        <w:rPr>
          <w:rFonts w:cs="Times New Roman"/>
          <w:i/>
          <w:lang w:val="fr-CA"/>
        </w:rPr>
        <w:t>tant</w:t>
      </w:r>
      <w:r w:rsidRPr="008B29FB">
        <w:rPr>
          <w:rFonts w:cs="Times New Roman"/>
          <w:lang w:val="fr-CA"/>
        </w:rPr>
        <w:t xml:space="preserve"> les juges actuels que les anciens juges peuvent être nommés à titre permanent.  Tout comme les conditions de nomination des juges suppléants énoncées au par. 30(1) n’ont pas d’incidence sur les conditions de nomination des juges </w:t>
      </w:r>
      <w:r w:rsidRPr="008B29FB">
        <w:rPr>
          <w:rFonts w:cs="Times New Roman"/>
          <w:i/>
          <w:lang w:val="fr-CA"/>
        </w:rPr>
        <w:t xml:space="preserve">permanents </w:t>
      </w:r>
      <w:r w:rsidRPr="008B29FB">
        <w:rPr>
          <w:rFonts w:cs="Times New Roman"/>
          <w:lang w:val="fr-CA"/>
        </w:rPr>
        <w:t xml:space="preserve">prévues à l’art. 5 (ce dont conviennent tous les membres de la Cour), le par. 30(2) ne peut servir de fondement à une exigence de contemporanéité à l’art. 6 relativement à la nomination de juges </w:t>
      </w:r>
      <w:r w:rsidRPr="008B29FB">
        <w:rPr>
          <w:rFonts w:cs="Times New Roman"/>
          <w:i/>
          <w:lang w:val="fr-CA"/>
        </w:rPr>
        <w:t>permanents</w:t>
      </w:r>
      <w:r w:rsidRPr="008B29FB">
        <w:rPr>
          <w:rFonts w:cs="Times New Roman"/>
          <w:lang w:val="fr-CA"/>
        </w:rPr>
        <w:t>.</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Pour ces motifs, je suis d’avis que l’art. 30 n’est d’aucun secours pour interpréter les art. 5 et 6.</w:t>
      </w:r>
    </w:p>
    <w:p w:rsidR="008B29FB" w:rsidRPr="003B61CC" w:rsidRDefault="008B29FB" w:rsidP="006B5FE2">
      <w:pPr>
        <w:pStyle w:val="ParaNoNdepar-AltN"/>
        <w:tabs>
          <w:tab w:val="clear" w:pos="1152"/>
          <w:tab w:val="left" w:pos="1166"/>
          <w:tab w:val="num" w:pos="1578"/>
        </w:tabs>
        <w:rPr>
          <w:rFonts w:cs="Times New Roman"/>
        </w:rPr>
      </w:pPr>
      <w:r w:rsidRPr="008B29FB">
        <w:rPr>
          <w:rFonts w:cs="Times New Roman"/>
          <w:lang w:val="fr-CA"/>
        </w:rPr>
        <w:t>Aucun exercice d’interprétation législative n’est complet si les objectifs législatifs qui sous</w:t>
      </w:r>
      <w:r w:rsidRPr="008B29FB">
        <w:rPr>
          <w:rFonts w:cs="Times New Roman"/>
          <w:lang w:val="fr-CA"/>
        </w:rPr>
        <w:noBreakHyphen/>
        <w:t xml:space="preserve">tendent les dispositions en cause ne sont pas examinés.  </w:t>
      </w:r>
      <w:r w:rsidRPr="003B61CC">
        <w:rPr>
          <w:rFonts w:cs="Times New Roman"/>
        </w:rPr>
        <w:t>Je parlerai donc maintenant de ces objectifs.</w:t>
      </w:r>
    </w:p>
    <w:p w:rsidR="008B29FB" w:rsidRPr="003B61CC" w:rsidRDefault="008B29FB" w:rsidP="006B5FE2">
      <w:pPr>
        <w:pStyle w:val="Title2LevelTitre2Niveau"/>
        <w:keepNext w:val="0"/>
        <w:ind w:left="576" w:hanging="576"/>
        <w:rPr>
          <w:rFonts w:cs="Times New Roman"/>
          <w:lang w:val="fr-CA"/>
        </w:rPr>
      </w:pPr>
      <w:r w:rsidRPr="003B61CC">
        <w:rPr>
          <w:rFonts w:cs="Times New Roman"/>
          <w:lang w:val="fr-CA"/>
        </w:rPr>
        <w:t xml:space="preserve">Les objectifs législatifs </w:t>
      </w:r>
    </w:p>
    <w:p w:rsidR="008B29FB" w:rsidRPr="003B61CC" w:rsidRDefault="008B29FB" w:rsidP="006B5FE2">
      <w:pPr>
        <w:pStyle w:val="Title3LevelTitre3Niveau"/>
        <w:keepNext w:val="0"/>
        <w:rPr>
          <w:rFonts w:cs="Times New Roman"/>
          <w:u w:val="none"/>
          <w:lang w:val="fr-CA"/>
        </w:rPr>
      </w:pPr>
      <w:r w:rsidRPr="003B61CC">
        <w:rPr>
          <w:rFonts w:cs="Times New Roman"/>
          <w:lang w:val="fr-CA"/>
        </w:rPr>
        <w:t>L’objet des art</w:t>
      </w:r>
      <w:r w:rsidR="00C7660C">
        <w:rPr>
          <w:rFonts w:cs="Times New Roman"/>
          <w:lang w:val="fr-CA"/>
        </w:rPr>
        <w:t>.</w:t>
      </w:r>
      <w:r w:rsidRPr="003B61CC">
        <w:rPr>
          <w:rFonts w:cs="Times New Roman"/>
          <w:lang w:val="fr-CA"/>
        </w:rPr>
        <w:t> 5 et 6</w:t>
      </w:r>
      <w:r w:rsidRPr="003B61CC">
        <w:rPr>
          <w:rFonts w:cs="Times New Roman"/>
          <w:u w:val="none"/>
          <w:lang w:val="fr-CA"/>
        </w:rPr>
        <w:t xml:space="preserve">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Comme je l’ai expliqué, l’art. 5 énonce les </w:t>
      </w:r>
      <w:r w:rsidRPr="008B29FB">
        <w:rPr>
          <w:rFonts w:cs="Times New Roman"/>
          <w:i/>
          <w:lang w:val="fr-CA"/>
        </w:rPr>
        <w:t>conditions de nomination minimales</w:t>
      </w:r>
      <w:r w:rsidRPr="008B29FB">
        <w:rPr>
          <w:rFonts w:cs="Times New Roman"/>
          <w:lang w:val="fr-CA"/>
        </w:rPr>
        <w:t xml:space="preserve"> pour le bassin de candidats potentiels.  Les conditions très larges prévues par cette disposition garantissent que l’exécutif puisse choisir parmi le bassin le plus large possible de candidats qui satisfont aux conditions de nomination de base.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L’objectif législatif qui sous</w:t>
      </w:r>
      <w:r w:rsidRPr="008B29FB">
        <w:rPr>
          <w:rFonts w:cs="Times New Roman"/>
          <w:lang w:val="fr-CA"/>
        </w:rPr>
        <w:noBreakHyphen/>
        <w:t xml:space="preserve">tend l’art. 6 est différent.  En effet, cette disposition a, et a toujours eu, pour objet de garantir qu’un nombre déterminé de juges de la Cour soient formés en droit civil et représentent le Québec.  Puisque les </w:t>
      </w:r>
      <w:r w:rsidRPr="008B29FB">
        <w:rPr>
          <w:rFonts w:cs="Times New Roman"/>
          <w:lang w:val="fr-CA"/>
        </w:rPr>
        <w:lastRenderedPageBreak/>
        <w:t xml:space="preserve">postes de juge en question doivent être pourvus par des candidats provenant d’une des trois institutions québécoises énumérées à l’art. 6 (le Barreau du Québec, la Cour d’appel du Québec et la Cour supérieure du Québec), ces candidats auront forcément reçu une formation en droit civil.  La combinaison de cette formation et de leur lien avec l’une des institutions québécoises nommées sert à protéger la tradition civiliste du Québec et suscite la confiance du Québec envers la Cour.  Dans cette mesure, je suis d’accord avec les juges majoritaires.  Cependant, ceci dit avec égards, je ne suis pas d’accord pour dire que l’art. 6 vise à garantir que « les valeurs sociales du Québec [. . .] soient représentées [à la Cour] » (par. 18).  Le législateur a délibérément choisi d’inclure uniquement des conditions de nomination objectives dans les art. 5 et 6, et rien dans le libellé de la </w:t>
      </w:r>
      <w:r w:rsidR="00C7660C">
        <w:rPr>
          <w:rFonts w:cs="Times New Roman"/>
          <w:lang w:val="fr-CA"/>
        </w:rPr>
        <w:t>L</w:t>
      </w:r>
      <w:r w:rsidRPr="008B29FB">
        <w:rPr>
          <w:rFonts w:cs="Times New Roman"/>
          <w:lang w:val="fr-CA"/>
        </w:rPr>
        <w:t>oi ou dans son historique n’autorise à y importer les valeurs sociales — 140 ans plus tard.</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Je le répète, l’art</w:t>
      </w:r>
      <w:r w:rsidR="00C7660C">
        <w:rPr>
          <w:rFonts w:cs="Times New Roman"/>
          <w:lang w:val="fr-CA"/>
        </w:rPr>
        <w:t>.</w:t>
      </w:r>
      <w:r w:rsidRPr="008B29FB">
        <w:rPr>
          <w:rFonts w:cs="Times New Roman"/>
          <w:lang w:val="fr-CA"/>
        </w:rPr>
        <w:t xml:space="preserve"> 6 vise à protéger la tradition civiliste du Québec et à susciter la confiance des Québécois envers la Cour.  L’article 6 reconnaît le caractère unique du Québec et la place importante qu’il occupe dans notre pays, et il a joué un rôle clé pour obtenir l’adhésion du Québec à la création de la Cour suprême du Canada.  Ce qui est toutefois crucial, c’est qu’aucune preuve n’établit que le Québec n’aurait pas donné son adhésion si, à l’époque, le débat avait aussi porté sur la question de savoir si les avocats, actuels ou anciens, inscrits au Barreau du Québec devaient être admissibles, comme les juges, actuels ou anciens, des cours supérieures du Québec.  En effet, selon mon interprétation de l’art. 4 de la Loi de 1875, les juges actuels </w:t>
      </w:r>
      <w:r w:rsidRPr="008B29FB">
        <w:rPr>
          <w:rFonts w:cs="Times New Roman"/>
          <w:i/>
          <w:lang w:val="fr-CA"/>
        </w:rPr>
        <w:t>et anciens</w:t>
      </w:r>
      <w:r w:rsidRPr="008B29FB">
        <w:rPr>
          <w:rFonts w:cs="Times New Roman"/>
          <w:lang w:val="fr-CA"/>
        </w:rPr>
        <w:t xml:space="preserve"> </w:t>
      </w:r>
      <w:r w:rsidRPr="008B29FB">
        <w:rPr>
          <w:rFonts w:cs="Times New Roman"/>
          <w:i/>
          <w:lang w:val="fr-CA"/>
        </w:rPr>
        <w:t>ont toujours été</w:t>
      </w:r>
      <w:r w:rsidRPr="008B29FB">
        <w:rPr>
          <w:rFonts w:cs="Times New Roman"/>
          <w:lang w:val="fr-CA"/>
        </w:rPr>
        <w:t xml:space="preserve"> admissibles à une nomination.  Dans la mesure où il a pu y avoir un doute quant aux anciens membres du barreau, la révision législative de 1886 a clairement indiqué qu’ils satisfont eux aussi aux conditions de nomination.</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lastRenderedPageBreak/>
        <w:t>Suggérer que le Québec souhaitait soustraire du bassin de candidats potentiels les anciens avocats inscrits pendant au moins 10 ans au Barreau du Québec revient à réécrire l’histoire.  Rien dans le débat historique ne laisse croire que c’était le cas.  Penser que le Québec aurait eu une raison quelconque de s’opposer à la nomination à la Cour suprême de juges de la Cour du Québec qui avaient été membres du Barreau du Québec pendant au moins 10 ans au moment de leur nomination à cette cour défie la logique et le bon sens</w:t>
      </w:r>
      <w:r w:rsidRPr="0077155D">
        <w:rPr>
          <w:rStyle w:val="Hyperlink"/>
          <w:u w:val="none"/>
          <w:vertAlign w:val="superscript"/>
        </w:rPr>
        <w:footnoteReference w:id="12"/>
      </w:r>
      <w:r w:rsidR="00BC30FE">
        <w:rPr>
          <w:rFonts w:cs="Times New Roman"/>
          <w:lang w:val="fr-CA"/>
        </w:rPr>
        <w:t>.</w:t>
      </w:r>
      <w:r w:rsidRPr="008B29FB">
        <w:rPr>
          <w:rFonts w:cs="Times New Roman"/>
          <w:lang w:val="fr-CA"/>
        </w:rPr>
        <w:t xml:space="preserve">  Les juges de la Cour du Québec appliquent le droit civil </w:t>
      </w:r>
      <w:r w:rsidRPr="008B29FB">
        <w:rPr>
          <w:rFonts w:cs="Times New Roman"/>
          <w:i/>
          <w:lang w:val="fr-CA"/>
        </w:rPr>
        <w:t>quotidiennement</w:t>
      </w:r>
      <w:r w:rsidRPr="008B29FB">
        <w:rPr>
          <w:rFonts w:cs="Times New Roman"/>
          <w:lang w:val="fr-CA"/>
        </w:rPr>
        <w:t>.  Je ne saisis vraiment pas pourquoi ces personnes, par ailleurs admissibles à une nomination à la Cour du fait de leur inscription au Barreau pendant 10 ans, cesseraient soudainement d’être acceptables aux yeux de la population du Québec le jour où elles accèdent à la magistrature.  De même, malgré l’inexistence des cours fédérales à l’époque, la prétention que le Québec se serait opposé à la nomination à la Cour d’un juge de la Cour fédérale qui y occupe un des sièges réservés au Québec</w:t>
      </w:r>
      <w:r w:rsidRPr="0077155D">
        <w:rPr>
          <w:rStyle w:val="Hyperlink"/>
          <w:u w:val="none"/>
          <w:vertAlign w:val="superscript"/>
        </w:rPr>
        <w:footnoteReference w:id="13"/>
      </w:r>
      <w:r w:rsidRPr="008B29FB">
        <w:rPr>
          <w:rFonts w:cs="Times New Roman"/>
          <w:lang w:val="fr-CA"/>
        </w:rPr>
        <w:t xml:space="preserve"> est, à mon avis, tout aussi dénuée de fondement.  Ces juges ont été formés en droit civil et ils continuent d’entendre des causes de droit fédéral impliquant le Québec qui exigent une connaissance pratique du droit civil.</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Mes collègues soutiennent </w:t>
      </w:r>
      <w:r w:rsidR="00C7660C">
        <w:rPr>
          <w:rFonts w:cs="Times New Roman"/>
          <w:lang w:val="fr-CA"/>
        </w:rPr>
        <w:t xml:space="preserve">que </w:t>
      </w:r>
      <w:r w:rsidRPr="008B29FB">
        <w:rPr>
          <w:rFonts w:cs="Times New Roman"/>
          <w:lang w:val="fr-CA"/>
        </w:rPr>
        <w:t>le législateur est libre de « tracer la ligne » en choisissant une solution peut</w:t>
      </w:r>
      <w:r w:rsidRPr="008B29FB">
        <w:rPr>
          <w:rFonts w:cs="Times New Roman"/>
          <w:lang w:val="fr-CA"/>
        </w:rPr>
        <w:noBreakHyphen/>
        <w:t>être « trop limitative au regard des objets de [l’art. 6] », et en fixant ainsi des critères qui « ne sont peut</w:t>
      </w:r>
      <w:r w:rsidRPr="008B29FB">
        <w:rPr>
          <w:rFonts w:cs="Times New Roman"/>
          <w:lang w:val="fr-CA"/>
        </w:rPr>
        <w:noBreakHyphen/>
        <w:t>être pas parfaits » (par. 57-</w:t>
      </w:r>
      <w:r w:rsidRPr="008B29FB">
        <w:rPr>
          <w:rFonts w:cs="Times New Roman"/>
          <w:lang w:val="fr-CA"/>
        </w:rPr>
        <w:lastRenderedPageBreak/>
        <w:t xml:space="preserve">58).  Selon eux, le législateur a choisi certains critères objectifs et il n’appartient pas à la Cour de s’interroger sur la sagesse de sa décision.  Je suis d’accord.  Cela dit, lorsqu’il s’agit d’interpréter une loi pour déterminer ce que </w:t>
      </w:r>
      <w:r w:rsidRPr="008B29FB">
        <w:rPr>
          <w:rFonts w:cs="Times New Roman"/>
          <w:i/>
          <w:lang w:val="fr-CA"/>
        </w:rPr>
        <w:t>sont</w:t>
      </w:r>
      <w:r w:rsidRPr="008B29FB">
        <w:rPr>
          <w:rFonts w:cs="Times New Roman"/>
          <w:lang w:val="fr-CA"/>
        </w:rPr>
        <w:t xml:space="preserve"> les critères pertinents — c’est</w:t>
      </w:r>
      <w:r w:rsidRPr="008B29FB">
        <w:rPr>
          <w:rFonts w:cs="Times New Roman"/>
          <w:lang w:val="fr-CA"/>
        </w:rPr>
        <w:noBreakHyphen/>
        <w:t>à</w:t>
      </w:r>
      <w:r w:rsidRPr="008B29FB">
        <w:rPr>
          <w:rFonts w:cs="Times New Roman"/>
          <w:lang w:val="fr-CA"/>
        </w:rPr>
        <w:noBreakHyphen/>
        <w:t>dire ce que le législateur voulait qu’ils soient — il faut éviter d’en arriver à des résultats absurdes.  (Voir</w:t>
      </w:r>
      <w:r w:rsidR="00C7660C">
        <w:rPr>
          <w:rFonts w:cs="Times New Roman"/>
          <w:lang w:val="fr-CA"/>
        </w:rPr>
        <w:t>,</w:t>
      </w:r>
      <w:r w:rsidRPr="008B29FB">
        <w:rPr>
          <w:rFonts w:cs="Times New Roman"/>
          <w:lang w:val="fr-CA"/>
        </w:rPr>
        <w:t xml:space="preserve"> p</w:t>
      </w:r>
      <w:r w:rsidR="00E70670">
        <w:rPr>
          <w:rFonts w:cs="Times New Roman"/>
          <w:lang w:val="fr-CA"/>
        </w:rPr>
        <w:t>.</w:t>
      </w:r>
      <w:r w:rsidRPr="008B29FB">
        <w:rPr>
          <w:rFonts w:cs="Times New Roman"/>
          <w:lang w:val="fr-CA"/>
        </w:rPr>
        <w:t xml:space="preserve"> ex.</w:t>
      </w:r>
      <w:r w:rsidR="00C7660C">
        <w:rPr>
          <w:rFonts w:cs="Times New Roman"/>
          <w:lang w:val="fr-CA"/>
        </w:rPr>
        <w:t>,</w:t>
      </w:r>
      <w:r w:rsidRPr="008B29FB">
        <w:rPr>
          <w:rFonts w:cs="Times New Roman"/>
          <w:lang w:val="fr-CA"/>
        </w:rPr>
        <w:t xml:space="preserve"> </w:t>
      </w:r>
      <w:r w:rsidRPr="008B29FB">
        <w:rPr>
          <w:rFonts w:cs="Times New Roman"/>
          <w:i/>
          <w:lang w:val="fr-CA"/>
        </w:rPr>
        <w:t>Rizzo &amp; Rizzo Shoes Ltd. (Re)</w:t>
      </w:r>
      <w:r w:rsidRPr="008B29FB">
        <w:rPr>
          <w:rFonts w:cs="Times New Roman"/>
          <w:lang w:val="fr-CA"/>
        </w:rPr>
        <w:t xml:space="preserve">, [1998] 1 R.C.S. 27, par. 27, et </w:t>
      </w:r>
      <w:r w:rsidRPr="008B29FB">
        <w:rPr>
          <w:rFonts w:cs="Times New Roman"/>
          <w:i/>
          <w:lang w:val="fr-CA"/>
        </w:rPr>
        <w:t>Morgentaler c. La Reine</w:t>
      </w:r>
      <w:r w:rsidRPr="008B29FB">
        <w:rPr>
          <w:rFonts w:cs="Times New Roman"/>
          <w:lang w:val="fr-CA"/>
        </w:rPr>
        <w:t>, [1976] 1 R.C.S. 616, p. 676</w:t>
      </w:r>
      <w:r w:rsidR="000D67B8">
        <w:rPr>
          <w:rFonts w:cs="Times New Roman"/>
          <w:lang w:val="fr-CA"/>
        </w:rPr>
        <w:t>.</w:t>
      </w:r>
      <w:r w:rsidRPr="008B29FB">
        <w:rPr>
          <w:rFonts w:cs="Times New Roman"/>
          <w:lang w:val="fr-CA"/>
        </w:rPr>
        <w:t xml:space="preserve">)  En toute déférence, j’estime qu’il faudrait appliquer ce principe pour interpréter l’art. 6 — et son application mène nécessairement au rejet de l’exigence de la contemporanéité.  </w:t>
      </w:r>
    </w:p>
    <w:p w:rsidR="008B29FB" w:rsidRPr="003B61CC" w:rsidRDefault="008B29FB" w:rsidP="006B5FE2">
      <w:pPr>
        <w:pStyle w:val="Title3LevelTitre3Niveau"/>
        <w:keepNext w:val="0"/>
        <w:rPr>
          <w:rFonts w:cs="Times New Roman"/>
          <w:lang w:val="fr-CA"/>
        </w:rPr>
      </w:pPr>
      <w:r w:rsidRPr="003B61CC">
        <w:rPr>
          <w:rFonts w:cs="Times New Roman"/>
          <w:lang w:val="fr-CA"/>
        </w:rPr>
        <w:t xml:space="preserve">L’exigence de la contemporanéité ne favorise pas la réalisation de </w:t>
      </w:r>
      <w:r>
        <w:rPr>
          <w:rFonts w:cs="Times New Roman"/>
          <w:lang w:val="fr-CA"/>
        </w:rPr>
        <w:t>l’objectif législatif</w:t>
      </w:r>
      <w:r w:rsidRPr="003B61CC">
        <w:rPr>
          <w:rFonts w:cs="Times New Roman"/>
          <w:lang w:val="fr-CA"/>
        </w:rPr>
        <w:t xml:space="preserve"> de l’art</w:t>
      </w:r>
      <w:r w:rsidR="00C7660C">
        <w:rPr>
          <w:rFonts w:cs="Times New Roman"/>
          <w:lang w:val="fr-CA"/>
        </w:rPr>
        <w:t>.</w:t>
      </w:r>
      <w:r w:rsidRPr="003B61CC">
        <w:rPr>
          <w:rFonts w:cs="Times New Roman"/>
          <w:lang w:val="fr-CA"/>
        </w:rPr>
        <w:t xml:space="preserve"> 6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En plus de rendre inadmissibles des candidats qui pourraient autrement être dignes d’une nomination à la Cour, l’exigence de la contemporanéité ne favorise en rien la confiance du Québec envers la Cour.  Il y a quelque 16 000 membres </w:t>
      </w:r>
      <w:r w:rsidRPr="008B29FB">
        <w:rPr>
          <w:rFonts w:cs="Times New Roman"/>
          <w:i/>
          <w:lang w:val="fr-CA"/>
        </w:rPr>
        <w:t>actuellement</w:t>
      </w:r>
      <w:r w:rsidRPr="008B29FB">
        <w:rPr>
          <w:rFonts w:cs="Times New Roman"/>
          <w:lang w:val="fr-CA"/>
        </w:rPr>
        <w:t xml:space="preserve"> inscrits au Barreau du Québec depuis au moins 10 ans</w:t>
      </w:r>
      <w:r w:rsidRPr="0077155D">
        <w:rPr>
          <w:rStyle w:val="Hyperlink"/>
          <w:u w:val="none"/>
          <w:vertAlign w:val="superscript"/>
        </w:rPr>
        <w:footnoteReference w:id="14"/>
      </w:r>
      <w:r w:rsidRPr="008B29FB">
        <w:rPr>
          <w:rFonts w:cs="Times New Roman"/>
          <w:lang w:val="fr-CA"/>
        </w:rPr>
        <w:t>.  On ne peut certainement pas prétendre que la nomination de n’importe lequel de ces 16 000 avocats favoriserait la confiance du Québec envers la Cour.</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Cela devient encore plus évident lorsqu’on comprend qu’une personne peut rester membre du Barreau du Québec en se contentant de payer sa cotisation annuelle et de consacrer un nombre donné d’heures à la formation juridique continue — actuellement, 30 heures par période de deux ans</w:t>
      </w:r>
      <w:r w:rsidRPr="0077155D">
        <w:rPr>
          <w:rStyle w:val="Hyperlink"/>
          <w:u w:val="none"/>
          <w:vertAlign w:val="superscript"/>
        </w:rPr>
        <w:footnoteReference w:id="15"/>
      </w:r>
      <w:r w:rsidR="000D67B8">
        <w:rPr>
          <w:rFonts w:cs="Times New Roman"/>
          <w:lang w:val="fr-CA"/>
        </w:rPr>
        <w:t>.</w:t>
      </w:r>
      <w:r w:rsidRPr="008B29FB">
        <w:rPr>
          <w:rFonts w:cs="Times New Roman"/>
          <w:lang w:val="fr-CA"/>
        </w:rPr>
        <w:t xml:space="preserve"> Fait à noter, il n’existe </w:t>
      </w:r>
      <w:r w:rsidRPr="008B29FB">
        <w:rPr>
          <w:rFonts w:cs="Times New Roman"/>
          <w:i/>
          <w:lang w:val="fr-CA"/>
        </w:rPr>
        <w:t>aucune</w:t>
      </w:r>
      <w:r w:rsidRPr="008B29FB">
        <w:rPr>
          <w:rFonts w:cs="Times New Roman"/>
          <w:lang w:val="fr-CA"/>
        </w:rPr>
        <w:t xml:space="preserve"> </w:t>
      </w:r>
      <w:r w:rsidRPr="008B29FB">
        <w:rPr>
          <w:rFonts w:cs="Times New Roman"/>
          <w:lang w:val="fr-CA"/>
        </w:rPr>
        <w:lastRenderedPageBreak/>
        <w:t xml:space="preserve">exigence voulant que cette formation continue ait un lien quelconque avec le droit civil, ni qu’elle soit en fait reçue </w:t>
      </w:r>
      <w:r w:rsidRPr="008B29FB">
        <w:rPr>
          <w:rFonts w:cs="Times New Roman"/>
          <w:i/>
          <w:lang w:val="fr-CA"/>
        </w:rPr>
        <w:t>au</w:t>
      </w:r>
      <w:r w:rsidRPr="008B29FB">
        <w:rPr>
          <w:rFonts w:cs="Times New Roman"/>
          <w:lang w:val="fr-CA"/>
        </w:rPr>
        <w:t xml:space="preserve"> Québec.  D’ailleurs, une personne n’est pas tenue de vivre au Québec, </w:t>
      </w:r>
      <w:r w:rsidRPr="008B29FB">
        <w:rPr>
          <w:rFonts w:cs="Times New Roman"/>
          <w:i/>
          <w:lang w:val="fr-CA"/>
        </w:rPr>
        <w:t>ni d’exercer réellement le droit au Québec</w:t>
      </w:r>
      <w:r w:rsidRPr="008B29FB">
        <w:rPr>
          <w:rFonts w:cs="Times New Roman"/>
          <w:lang w:val="fr-CA"/>
        </w:rPr>
        <w:t xml:space="preserve">, pour rester membre du Barreau du Québec.  Bref, une personne pourrait avoir le lien le plus ténu avec l’exercice du droit civil au Québec et rester, malgré tout, un avocat inscrit au Barreau du Québec depuis au moins 10 ans.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Telle est la réalité — et elle illustre à quel point il n’est pas plausible que quelqu’un puisse considérer l’inscription </w:t>
      </w:r>
      <w:r w:rsidRPr="008B29FB">
        <w:rPr>
          <w:rFonts w:cs="Times New Roman"/>
          <w:i/>
          <w:lang w:val="fr-CA"/>
        </w:rPr>
        <w:t>actuelle</w:t>
      </w:r>
      <w:r w:rsidRPr="008B29FB">
        <w:rPr>
          <w:rFonts w:cs="Times New Roman"/>
          <w:lang w:val="fr-CA"/>
        </w:rPr>
        <w:t xml:space="preserve"> au Barreau du Québec comme une condition essentielle qui garantit la confiance du Québec envers les nominations à la Cour.  De même, il est tout aussi peu vraisemblable que le fait d’être un </w:t>
      </w:r>
      <w:r w:rsidRPr="008B29FB">
        <w:rPr>
          <w:rFonts w:cs="Times New Roman"/>
          <w:i/>
          <w:lang w:val="fr-CA"/>
        </w:rPr>
        <w:t>ancien</w:t>
      </w:r>
      <w:r w:rsidRPr="008B29FB">
        <w:rPr>
          <w:rFonts w:cs="Times New Roman"/>
          <w:lang w:val="fr-CA"/>
        </w:rPr>
        <w:t xml:space="preserve"> membre du Barreau du Québec puisse, à lui seul, miner cette confiance.</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Mes collègues ont choisi de ne pas traiter de la portée de l’exigence de contemporanéité de l’art. 6, c’est</w:t>
      </w:r>
      <w:r w:rsidRPr="008B29FB">
        <w:rPr>
          <w:rFonts w:cs="Times New Roman"/>
          <w:lang w:val="fr-CA"/>
        </w:rPr>
        <w:noBreakHyphen/>
        <w:t>à</w:t>
      </w:r>
      <w:r w:rsidRPr="008B29FB">
        <w:rPr>
          <w:rFonts w:cs="Times New Roman"/>
          <w:lang w:val="fr-CA"/>
        </w:rPr>
        <w:noBreakHyphen/>
        <w:t>dire de ne pas décider si la réinscription au Barreau du Québec pour une journée suffit pour qu’une personne puisse être nommée juge de la Cour en tant qu’avocat, ou s’il faut une période plus longue — six mois, deux ans, cinq ans, ou peut</w:t>
      </w:r>
      <w:r w:rsidRPr="008B29FB">
        <w:rPr>
          <w:rFonts w:cs="Times New Roman"/>
          <w:lang w:val="fr-CA"/>
        </w:rPr>
        <w:noBreakHyphen/>
        <w:t xml:space="preserve">être même une période ininterrompue de 10 ans précédant immédiatement la nomination.  </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Pour moi, </w:t>
      </w:r>
      <w:r w:rsidRPr="008B29FB">
        <w:rPr>
          <w:rFonts w:cs="Times New Roman"/>
          <w:i/>
          <w:lang w:val="fr-CA"/>
        </w:rPr>
        <w:t>la contemporanéité c’est la contemporanéité</w:t>
      </w:r>
      <w:r w:rsidRPr="008B29FB">
        <w:rPr>
          <w:rFonts w:cs="Times New Roman"/>
          <w:lang w:val="fr-CA"/>
        </w:rPr>
        <w:t xml:space="preserve">.  Un ancien juge d’une cour supérieure du Québec ou un ancien avocat qui a été inscrit au Barreau du Québec pendant 10 ans pourrait se réinscrire au barreau pour une journée et répondre ainsi aux conditions de nomination à notre Cour.  Selon moi, ce raisonnement met en évidence la vacuité de l’exigence de la contemporanéité.  Assurément, ce qui est </w:t>
      </w:r>
      <w:r w:rsidRPr="008B29FB">
        <w:rPr>
          <w:rFonts w:cs="Times New Roman"/>
          <w:lang w:val="fr-CA"/>
        </w:rPr>
        <w:lastRenderedPageBreak/>
        <w:t xml:space="preserve">essentiellement un geste de nature administrative ne change rien.  Toute interprétation de l’art. 6 exigeant qu’un </w:t>
      </w:r>
      <w:r w:rsidRPr="008B29FB">
        <w:rPr>
          <w:rFonts w:cs="Times New Roman"/>
          <w:i/>
          <w:lang w:val="fr-CA"/>
        </w:rPr>
        <w:t>ancien</w:t>
      </w:r>
      <w:r w:rsidRPr="008B29FB">
        <w:rPr>
          <w:rFonts w:cs="Times New Roman"/>
          <w:lang w:val="fr-CA"/>
        </w:rPr>
        <w:t xml:space="preserve"> avocat qui a été membre du Barreau du Québec pendant au moins 10 ans, ou qu’un </w:t>
      </w:r>
      <w:r w:rsidRPr="008B29FB">
        <w:rPr>
          <w:rFonts w:cs="Times New Roman"/>
          <w:i/>
          <w:lang w:val="fr-CA"/>
        </w:rPr>
        <w:t>ancien</w:t>
      </w:r>
      <w:r w:rsidRPr="008B29FB">
        <w:rPr>
          <w:rFonts w:cs="Times New Roman"/>
          <w:lang w:val="fr-CA"/>
        </w:rPr>
        <w:t xml:space="preserve"> juge de la Cour d’appel du Québec ou de la Cour supérieure, redevienne membre de ce Barreau pendant un jour pour être admissible à une nomination à la Cour n’aurait aucun sens d’un point de vue pratique.  En toute déférence, j’ai du mal à croire que la population du Québec aurait, pour une raison ou pour une autre, davantage confiance en un tel candidat le vendredi que le jeudi.  </w:t>
      </w:r>
    </w:p>
    <w:p w:rsidR="008B29FB" w:rsidRPr="003B61CC" w:rsidRDefault="008B29FB" w:rsidP="006B5FE2">
      <w:pPr>
        <w:pStyle w:val="Title1LevelTitre1Niveau-AltL"/>
        <w:keepNext w:val="0"/>
        <w:rPr>
          <w:rFonts w:cs="Times New Roman"/>
          <w:lang w:val="fr-CA"/>
        </w:rPr>
      </w:pPr>
      <w:r w:rsidRPr="003B61CC">
        <w:rPr>
          <w:rFonts w:cs="Times New Roman"/>
          <w:lang w:val="fr-CA"/>
        </w:rPr>
        <w:t>Conclusion</w:t>
      </w:r>
    </w:p>
    <w:p w:rsidR="008B29FB" w:rsidRPr="008B29FB" w:rsidRDefault="008B29FB" w:rsidP="006B5FE2">
      <w:pPr>
        <w:pStyle w:val="ParaNoNdepar-AltN"/>
        <w:tabs>
          <w:tab w:val="clear" w:pos="1152"/>
          <w:tab w:val="left" w:pos="1166"/>
          <w:tab w:val="num" w:pos="1578"/>
        </w:tabs>
        <w:rPr>
          <w:rFonts w:cs="Times New Roman"/>
          <w:lang w:val="fr-CA"/>
        </w:rPr>
      </w:pPr>
      <w:r w:rsidRPr="008B29FB">
        <w:rPr>
          <w:rFonts w:cs="Times New Roman"/>
          <w:lang w:val="fr-CA"/>
        </w:rPr>
        <w:t xml:space="preserve">Pour ces motifs, je suis d’avis de répondre par l’affirmative à la question 1.  Les avocats actuels et les anciens avocats inscrits pendant au moins 10 ans au Barreau du Québec ainsi que les juges actuels ou les anciens juges des cours supérieures du Québec sont tous admissibles à une nomination à l’un des postes de juge de la Cour réservés au Québec.  Compte tenu de ma réponse à la question 1, j’estime inutile de répondre à la question 2.   </w:t>
      </w:r>
    </w:p>
    <w:p w:rsidR="00A3335E" w:rsidRPr="0019011E" w:rsidRDefault="00A3335E" w:rsidP="006B5FE2">
      <w:pPr>
        <w:pStyle w:val="SCCNormalDoubleSpacing"/>
        <w:spacing w:before="480" w:after="480"/>
        <w:rPr>
          <w:lang w:val="fr-CA"/>
        </w:rPr>
      </w:pPr>
      <w:r w:rsidRPr="0019011E">
        <w:rPr>
          <w:lang w:val="fr-CA"/>
        </w:rPr>
        <w:tab/>
      </w:r>
      <w:r w:rsidRPr="0019011E">
        <w:rPr>
          <w:i/>
          <w:lang w:val="fr-CA"/>
        </w:rPr>
        <w:t>Jugement en conséquence</w:t>
      </w:r>
      <w:r w:rsidR="000D67B8">
        <w:rPr>
          <w:i/>
          <w:lang w:val="fr-CA"/>
        </w:rPr>
        <w:t xml:space="preserve">, le juge </w:t>
      </w:r>
      <w:r w:rsidR="000D67B8" w:rsidRPr="00BD0ABB">
        <w:rPr>
          <w:smallCaps/>
          <w:lang w:val="fr-CA"/>
        </w:rPr>
        <w:t>Moldaver</w:t>
      </w:r>
      <w:r w:rsidR="000D67B8">
        <w:rPr>
          <w:i/>
          <w:lang w:val="fr-CA"/>
        </w:rPr>
        <w:t xml:space="preserve"> est dissident</w:t>
      </w:r>
      <w:r w:rsidRPr="0019011E">
        <w:rPr>
          <w:i/>
          <w:lang w:val="fr-CA"/>
        </w:rPr>
        <w:t>.</w:t>
      </w:r>
    </w:p>
    <w:p w:rsidR="00A3335E" w:rsidRPr="0019011E" w:rsidRDefault="00A3335E" w:rsidP="006B5FE2">
      <w:pPr>
        <w:pStyle w:val="SCCLawFirm"/>
        <w:spacing w:before="480" w:after="480"/>
        <w:rPr>
          <w:lang w:val="fr-CA"/>
        </w:rPr>
      </w:pPr>
      <w:r w:rsidRPr="0019011E">
        <w:rPr>
          <w:lang w:val="fr-CA"/>
        </w:rPr>
        <w:tab/>
        <w:t>Procureur du procureur général du Canada</w:t>
      </w:r>
      <w:r w:rsidR="006303ED" w:rsidRPr="0019011E">
        <w:rPr>
          <w:lang w:val="fr-CA"/>
        </w:rPr>
        <w:t> </w:t>
      </w:r>
      <w:r w:rsidR="000213F7" w:rsidRPr="0019011E">
        <w:rPr>
          <w:lang w:val="fr-CA"/>
        </w:rPr>
        <w:t>: </w:t>
      </w:r>
      <w:r w:rsidRPr="0019011E">
        <w:rPr>
          <w:lang w:val="fr-CA"/>
        </w:rPr>
        <w:t>Procureur général du Canada, Ottawa.</w:t>
      </w:r>
    </w:p>
    <w:p w:rsidR="00A3335E" w:rsidRPr="0019011E" w:rsidRDefault="00A3335E" w:rsidP="006B5FE2">
      <w:pPr>
        <w:pStyle w:val="SCCLawFirm"/>
        <w:spacing w:before="480" w:after="480"/>
        <w:rPr>
          <w:lang w:val="fr-CA"/>
        </w:rPr>
      </w:pPr>
      <w:r w:rsidRPr="0019011E">
        <w:rPr>
          <w:lang w:val="fr-CA"/>
        </w:rPr>
        <w:tab/>
        <w:t>Procureur de l’intervenant le procureur général de l’Ontario</w:t>
      </w:r>
      <w:r w:rsidR="006303ED" w:rsidRPr="0019011E">
        <w:rPr>
          <w:lang w:val="fr-CA"/>
        </w:rPr>
        <w:t> </w:t>
      </w:r>
      <w:r w:rsidR="000213F7" w:rsidRPr="0019011E">
        <w:rPr>
          <w:lang w:val="fr-CA"/>
        </w:rPr>
        <w:t>: </w:t>
      </w:r>
      <w:r w:rsidRPr="0019011E">
        <w:rPr>
          <w:lang w:val="fr-CA"/>
        </w:rPr>
        <w:t>Procureur général de l’Ontario, Toronto.</w:t>
      </w:r>
    </w:p>
    <w:p w:rsidR="00A3335E" w:rsidRPr="0019011E" w:rsidRDefault="00A3335E" w:rsidP="006B5FE2">
      <w:pPr>
        <w:pStyle w:val="SCCLawFirm"/>
        <w:spacing w:before="480" w:after="480"/>
        <w:rPr>
          <w:lang w:val="fr-CA"/>
        </w:rPr>
      </w:pPr>
      <w:r w:rsidRPr="0019011E">
        <w:rPr>
          <w:lang w:val="fr-CA"/>
        </w:rPr>
        <w:lastRenderedPageBreak/>
        <w:tab/>
        <w:t>Procureurs de l’intervenant le procureur général du Québec</w:t>
      </w:r>
      <w:r w:rsidR="006303ED" w:rsidRPr="0019011E">
        <w:rPr>
          <w:lang w:val="fr-CA"/>
        </w:rPr>
        <w:t> </w:t>
      </w:r>
      <w:r w:rsidR="000213F7" w:rsidRPr="0019011E">
        <w:rPr>
          <w:lang w:val="fr-CA"/>
        </w:rPr>
        <w:t>: </w:t>
      </w:r>
      <w:r w:rsidRPr="0019011E">
        <w:rPr>
          <w:lang w:val="fr-CA"/>
        </w:rPr>
        <w:t>Bernard, Roy &amp; Associés, Montréal; Procureur général du Québec, Montréal.</w:t>
      </w:r>
    </w:p>
    <w:p w:rsidR="00A3335E" w:rsidRPr="0019011E" w:rsidRDefault="00A3335E" w:rsidP="006B5FE2">
      <w:pPr>
        <w:pStyle w:val="SCCLawFirm"/>
        <w:spacing w:before="480" w:after="480"/>
        <w:rPr>
          <w:lang w:val="fr-CA"/>
        </w:rPr>
      </w:pPr>
      <w:r w:rsidRPr="0019011E">
        <w:rPr>
          <w:lang w:val="fr-CA"/>
        </w:rPr>
        <w:tab/>
        <w:t>Procureur des intervenants Robert Décary, Alice Desjardins et Gilles Létourneau</w:t>
      </w:r>
      <w:r w:rsidR="006303ED" w:rsidRPr="0019011E">
        <w:rPr>
          <w:lang w:val="fr-CA"/>
        </w:rPr>
        <w:t> </w:t>
      </w:r>
      <w:r w:rsidR="000213F7" w:rsidRPr="0019011E">
        <w:rPr>
          <w:lang w:val="fr-CA"/>
        </w:rPr>
        <w:t>: </w:t>
      </w:r>
      <w:r w:rsidRPr="0019011E">
        <w:rPr>
          <w:lang w:val="fr-CA"/>
        </w:rPr>
        <w:t>Sébastien Grammond, Ottawa.</w:t>
      </w:r>
    </w:p>
    <w:p w:rsidR="00A3335E" w:rsidRPr="0019011E" w:rsidRDefault="00A3335E" w:rsidP="006B5FE2">
      <w:pPr>
        <w:pStyle w:val="SCCLawFirm"/>
        <w:spacing w:before="480" w:after="480"/>
        <w:rPr>
          <w:lang w:val="fr-CA"/>
        </w:rPr>
      </w:pPr>
      <w:r w:rsidRPr="0019011E">
        <w:rPr>
          <w:lang w:val="fr-CA"/>
        </w:rPr>
        <w:tab/>
        <w:t>Procureurs de l’intervenant Rocco Galati</w:t>
      </w:r>
      <w:r w:rsidR="006303ED" w:rsidRPr="0019011E">
        <w:rPr>
          <w:lang w:val="fr-CA"/>
        </w:rPr>
        <w:t> </w:t>
      </w:r>
      <w:r w:rsidR="000213F7" w:rsidRPr="0019011E">
        <w:rPr>
          <w:lang w:val="fr-CA"/>
        </w:rPr>
        <w:t>: </w:t>
      </w:r>
      <w:r w:rsidRPr="0019011E">
        <w:rPr>
          <w:lang w:val="fr-CA"/>
        </w:rPr>
        <w:t>Rocco Galati Law Firm Professional Corporation, Toronto.</w:t>
      </w:r>
    </w:p>
    <w:p w:rsidR="00A3335E" w:rsidRPr="0019011E" w:rsidRDefault="00A3335E" w:rsidP="006B5FE2">
      <w:pPr>
        <w:pStyle w:val="SCCLawFirm"/>
        <w:spacing w:before="480" w:after="480"/>
        <w:rPr>
          <w:lang w:val="fr-CA"/>
        </w:rPr>
      </w:pPr>
      <w:r w:rsidRPr="0019011E">
        <w:rPr>
          <w:lang w:val="fr-CA"/>
        </w:rPr>
        <w:tab/>
        <w:t>Procureur d</w:t>
      </w:r>
      <w:r w:rsidR="000C159F">
        <w:rPr>
          <w:lang w:val="fr-CA"/>
        </w:rPr>
        <w:t>e l’intervenante l’Association c</w:t>
      </w:r>
      <w:r w:rsidRPr="0019011E">
        <w:rPr>
          <w:lang w:val="fr-CA"/>
        </w:rPr>
        <w:t>a</w:t>
      </w:r>
      <w:r w:rsidR="000C159F">
        <w:rPr>
          <w:lang w:val="fr-CA"/>
        </w:rPr>
        <w:t>nadienne des juges de cours p</w:t>
      </w:r>
      <w:r w:rsidRPr="0019011E">
        <w:rPr>
          <w:lang w:val="fr-CA"/>
        </w:rPr>
        <w:t>rovinciales</w:t>
      </w:r>
      <w:r w:rsidR="006303ED" w:rsidRPr="0019011E">
        <w:rPr>
          <w:lang w:val="fr-CA"/>
        </w:rPr>
        <w:t> </w:t>
      </w:r>
      <w:r w:rsidR="000213F7" w:rsidRPr="0019011E">
        <w:rPr>
          <w:lang w:val="fr-CA"/>
        </w:rPr>
        <w:t>: </w:t>
      </w:r>
      <w:r w:rsidRPr="0019011E">
        <w:rPr>
          <w:lang w:val="fr-CA"/>
        </w:rPr>
        <w:t>Sébastien Grammond, Ottawa.</w:t>
      </w:r>
    </w:p>
    <w:p w:rsidR="004D7D95" w:rsidRPr="0019011E" w:rsidRDefault="00A3335E" w:rsidP="006B5FE2">
      <w:pPr>
        <w:pStyle w:val="SCCLawFirm"/>
        <w:rPr>
          <w:lang w:val="fr-CA"/>
        </w:rPr>
      </w:pPr>
      <w:r w:rsidRPr="0019011E">
        <w:rPr>
          <w:lang w:val="fr-CA"/>
        </w:rPr>
        <w:tab/>
        <w:t>Procureurs de l’intervenante Constitutional Rights Centre Inc.</w:t>
      </w:r>
      <w:r w:rsidR="006303ED" w:rsidRPr="0019011E">
        <w:rPr>
          <w:lang w:val="fr-CA"/>
        </w:rPr>
        <w:t> </w:t>
      </w:r>
      <w:r w:rsidR="000213F7" w:rsidRPr="0019011E">
        <w:rPr>
          <w:lang w:val="fr-CA"/>
        </w:rPr>
        <w:t>: </w:t>
      </w:r>
      <w:r w:rsidRPr="0019011E">
        <w:rPr>
          <w:lang w:val="fr-CA"/>
        </w:rPr>
        <w:t>Slansky Law Professional Corporation, Toronto.</w:t>
      </w:r>
    </w:p>
    <w:sectPr w:rsidR="004D7D95" w:rsidRPr="0019011E"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839" w:rsidRDefault="00CA2839">
      <w:r>
        <w:separator/>
      </w:r>
    </w:p>
  </w:endnote>
  <w:endnote w:type="continuationSeparator" w:id="0">
    <w:p w:rsidR="00CA2839" w:rsidRDefault="00CA2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839" w:rsidRDefault="00CA2839">
      <w:r>
        <w:separator/>
      </w:r>
    </w:p>
  </w:footnote>
  <w:footnote w:type="continuationSeparator" w:id="0">
    <w:p w:rsidR="00CA2839" w:rsidRDefault="00CA2839">
      <w:r>
        <w:continuationSeparator/>
      </w:r>
    </w:p>
  </w:footnote>
  <w:footnote w:id="1">
    <w:p w:rsidR="00CA2839" w:rsidRDefault="00CA2839" w:rsidP="008B29FB">
      <w:pPr>
        <w:pStyle w:val="FootnoteText"/>
        <w:rPr>
          <w:lang w:val="fr-CA"/>
        </w:rPr>
      </w:pPr>
      <w:r>
        <w:rPr>
          <w:rStyle w:val="FootnoteReference"/>
        </w:rPr>
        <w:footnoteRef/>
      </w:r>
      <w:r w:rsidRPr="00654778">
        <w:rPr>
          <w:lang w:val="fr-FR"/>
        </w:rPr>
        <w:t xml:space="preserve"> </w:t>
      </w:r>
      <w:r w:rsidRPr="00F851C5">
        <w:rPr>
          <w:lang w:val="fr-CA"/>
        </w:rPr>
        <w:t>L</w:t>
      </w:r>
      <w:r>
        <w:rPr>
          <w:lang w:val="fr-CA"/>
        </w:rPr>
        <w:t>’</w:t>
      </w:r>
      <w:r w:rsidRPr="00F851C5">
        <w:rPr>
          <w:lang w:val="fr-CA"/>
        </w:rPr>
        <w:t>al</w:t>
      </w:r>
      <w:r>
        <w:rPr>
          <w:lang w:val="fr-CA"/>
        </w:rPr>
        <w:t>inéa</w:t>
      </w:r>
      <w:r w:rsidRPr="00F851C5">
        <w:rPr>
          <w:lang w:val="fr-CA"/>
        </w:rPr>
        <w:t> 41</w:t>
      </w:r>
      <w:r w:rsidRPr="00F851C5">
        <w:rPr>
          <w:i/>
          <w:lang w:val="fr-CA"/>
        </w:rPr>
        <w:t>d</w:t>
      </w:r>
      <w:r w:rsidRPr="00F851C5">
        <w:rPr>
          <w:lang w:val="fr-CA"/>
        </w:rPr>
        <w:t>) prévoit ce qui suit :</w:t>
      </w:r>
    </w:p>
    <w:p w:rsidR="00CA2839" w:rsidRPr="00F851C5" w:rsidRDefault="00CA2839" w:rsidP="008B29FB">
      <w:pPr>
        <w:pStyle w:val="FootnoteText"/>
        <w:jc w:val="both"/>
        <w:rPr>
          <w:lang w:val="fr-CA"/>
        </w:rPr>
      </w:pPr>
    </w:p>
    <w:p w:rsidR="00CA2839" w:rsidRPr="00F851C5" w:rsidRDefault="00CA2839" w:rsidP="008B29FB">
      <w:pPr>
        <w:pStyle w:val="FootnoteText"/>
        <w:ind w:left="720" w:firstLine="720"/>
        <w:jc w:val="both"/>
        <w:rPr>
          <w:lang w:val="fr-CA"/>
        </w:rPr>
      </w:pPr>
      <w:r w:rsidRPr="00F851C5">
        <w:rPr>
          <w:b/>
          <w:lang w:val="fr-CA"/>
        </w:rPr>
        <w:t>41.</w:t>
      </w:r>
      <w:r w:rsidRPr="00F851C5">
        <w:rPr>
          <w:lang w:val="fr-CA"/>
        </w:rPr>
        <w:t xml:space="preserve">  Toute modification de la Constitution du Canada portant sur les questions suivantes se fait par proclamation du gouverneur général sous le grand sceau du Canada, autorisée par des résolutions du Sénat, de la Chambre des communes et de l</w:t>
      </w:r>
      <w:r>
        <w:rPr>
          <w:lang w:val="fr-CA"/>
        </w:rPr>
        <w:t>’</w:t>
      </w:r>
      <w:r w:rsidRPr="00F851C5">
        <w:rPr>
          <w:lang w:val="fr-CA"/>
        </w:rPr>
        <w:t>assemblée législative de chaque province :</w:t>
      </w:r>
    </w:p>
    <w:p w:rsidR="00CA2839" w:rsidRDefault="00CA2839" w:rsidP="003D53E7">
      <w:pPr>
        <w:pStyle w:val="FootnoteText"/>
        <w:ind w:left="720"/>
        <w:jc w:val="center"/>
        <w:rPr>
          <w:lang w:val="fr-CA"/>
        </w:rPr>
      </w:pPr>
      <w:r w:rsidRPr="00F851C5">
        <w:rPr>
          <w:lang w:val="fr-CA"/>
        </w:rPr>
        <w:t>. . .</w:t>
      </w:r>
    </w:p>
    <w:p w:rsidR="00CA2839" w:rsidRPr="00F851C5" w:rsidRDefault="00CA2839" w:rsidP="003D53E7">
      <w:pPr>
        <w:pStyle w:val="FootnoteText"/>
        <w:ind w:left="720"/>
        <w:jc w:val="center"/>
        <w:rPr>
          <w:lang w:val="fr-CA"/>
        </w:rPr>
      </w:pPr>
    </w:p>
    <w:p w:rsidR="00CA2839" w:rsidRDefault="00CA2839" w:rsidP="008B29FB">
      <w:pPr>
        <w:pStyle w:val="FootnoteText"/>
        <w:ind w:left="720" w:firstLine="720"/>
        <w:jc w:val="both"/>
        <w:rPr>
          <w:lang w:val="fr-CA"/>
        </w:rPr>
      </w:pPr>
      <w:r>
        <w:rPr>
          <w:i/>
          <w:lang w:val="fr-CA"/>
        </w:rPr>
        <w:t>d</w:t>
      </w:r>
      <w:r w:rsidRPr="00F851C5">
        <w:rPr>
          <w:lang w:val="fr-CA"/>
        </w:rPr>
        <w:t>)  la composition de la Cour suprême du Canada;</w:t>
      </w:r>
    </w:p>
    <w:p w:rsidR="00CA2839" w:rsidRDefault="00CA2839" w:rsidP="008B29FB">
      <w:pPr>
        <w:pStyle w:val="FootnoteText"/>
        <w:ind w:left="720" w:firstLine="414"/>
        <w:rPr>
          <w:lang w:val="fr-CA"/>
        </w:rPr>
      </w:pPr>
    </w:p>
    <w:p w:rsidR="00CA2839" w:rsidRPr="00F851C5" w:rsidRDefault="00CA2839" w:rsidP="008B29FB">
      <w:pPr>
        <w:pStyle w:val="FootnoteText"/>
        <w:ind w:left="720" w:firstLine="414"/>
        <w:rPr>
          <w:lang w:val="fr-CA"/>
        </w:rPr>
      </w:pPr>
    </w:p>
  </w:footnote>
  <w:footnote w:id="2">
    <w:p w:rsidR="00CA2839" w:rsidRDefault="00CA2839" w:rsidP="008B29FB">
      <w:pPr>
        <w:pStyle w:val="FootnoteText"/>
        <w:rPr>
          <w:lang w:val="fr-CA"/>
        </w:rPr>
      </w:pPr>
      <w:r w:rsidRPr="004A5F96">
        <w:rPr>
          <w:rStyle w:val="FootnoteReference"/>
        </w:rPr>
        <w:footnoteRef/>
      </w:r>
      <w:r w:rsidRPr="004A5F96">
        <w:rPr>
          <w:lang w:val="fr-FR"/>
        </w:rPr>
        <w:t xml:space="preserve"> </w:t>
      </w:r>
      <w:r w:rsidRPr="004A5F96">
        <w:rPr>
          <w:lang w:val="fr-CA"/>
        </w:rPr>
        <w:t>L</w:t>
      </w:r>
      <w:r>
        <w:rPr>
          <w:lang w:val="fr-CA"/>
        </w:rPr>
        <w:t>’</w:t>
      </w:r>
      <w:r w:rsidRPr="004A5F96">
        <w:rPr>
          <w:lang w:val="fr-CA"/>
        </w:rPr>
        <w:t>al</w:t>
      </w:r>
      <w:r>
        <w:rPr>
          <w:lang w:val="fr-CA"/>
        </w:rPr>
        <w:t>inéa</w:t>
      </w:r>
      <w:r w:rsidRPr="004A5F96">
        <w:rPr>
          <w:lang w:val="fr-CA"/>
        </w:rPr>
        <w:t> 42(1)</w:t>
      </w:r>
      <w:r w:rsidRPr="004A5F96">
        <w:rPr>
          <w:i/>
          <w:lang w:val="fr-CA"/>
        </w:rPr>
        <w:t>d</w:t>
      </w:r>
      <w:r w:rsidRPr="004A5F96">
        <w:rPr>
          <w:lang w:val="fr-CA"/>
        </w:rPr>
        <w:t xml:space="preserve">) prévoit ce qui suit : </w:t>
      </w:r>
    </w:p>
    <w:p w:rsidR="00CA2839" w:rsidRPr="004A5F96" w:rsidRDefault="00CA2839" w:rsidP="008B29FB">
      <w:pPr>
        <w:pStyle w:val="FootnoteText"/>
        <w:rPr>
          <w:lang w:val="fr-CA"/>
        </w:rPr>
      </w:pPr>
    </w:p>
    <w:p w:rsidR="00CA2839" w:rsidRDefault="00CA2839" w:rsidP="008B29FB">
      <w:pPr>
        <w:pStyle w:val="FootnoteText"/>
        <w:ind w:left="720" w:firstLine="262"/>
        <w:jc w:val="both"/>
        <w:rPr>
          <w:lang w:val="fr-CA"/>
        </w:rPr>
      </w:pPr>
      <w:r w:rsidRPr="004A5F96">
        <w:rPr>
          <w:b/>
          <w:lang w:val="fr-CA"/>
        </w:rPr>
        <w:t>42.</w:t>
      </w:r>
      <w:r w:rsidRPr="004A5F96">
        <w:rPr>
          <w:lang w:val="fr-CA"/>
        </w:rPr>
        <w:t xml:space="preserve">  (1) Toute modification de la Constitution du Canada portant sur les questions suivantes se fait conformément au paragraphe 38(1) : </w:t>
      </w:r>
    </w:p>
    <w:p w:rsidR="0077155D" w:rsidRPr="004A5F96" w:rsidRDefault="0077155D" w:rsidP="008B29FB">
      <w:pPr>
        <w:pStyle w:val="FootnoteText"/>
        <w:ind w:left="720" w:firstLine="262"/>
        <w:jc w:val="both"/>
        <w:rPr>
          <w:lang w:val="fr-CA"/>
        </w:rPr>
      </w:pPr>
    </w:p>
    <w:p w:rsidR="00CA2839" w:rsidRDefault="00CA2839" w:rsidP="003D53E7">
      <w:pPr>
        <w:pStyle w:val="FootnoteText"/>
        <w:ind w:left="993" w:hanging="11"/>
        <w:jc w:val="center"/>
        <w:rPr>
          <w:lang w:val="fr-CA"/>
        </w:rPr>
      </w:pPr>
      <w:r w:rsidRPr="004A5F96">
        <w:rPr>
          <w:lang w:val="fr-CA"/>
        </w:rPr>
        <w:t>. . .</w:t>
      </w:r>
    </w:p>
    <w:p w:rsidR="00CA2839" w:rsidRPr="004A5F96" w:rsidRDefault="00CA2839" w:rsidP="003D53E7">
      <w:pPr>
        <w:pStyle w:val="FootnoteText"/>
        <w:ind w:left="993" w:hanging="11"/>
        <w:jc w:val="center"/>
        <w:rPr>
          <w:lang w:val="fr-CA"/>
        </w:rPr>
      </w:pPr>
    </w:p>
    <w:p w:rsidR="00CA2839" w:rsidRPr="004A5F96" w:rsidRDefault="00CA2839" w:rsidP="008B29FB">
      <w:pPr>
        <w:pStyle w:val="FootnoteText"/>
        <w:ind w:left="993" w:hanging="11"/>
        <w:jc w:val="both"/>
        <w:rPr>
          <w:lang w:val="fr-CA"/>
        </w:rPr>
      </w:pPr>
      <w:r w:rsidRPr="004A5F96">
        <w:rPr>
          <w:i/>
          <w:lang w:val="fr-CA"/>
        </w:rPr>
        <w:t>d</w:t>
      </w:r>
      <w:r w:rsidRPr="004A5F96">
        <w:rPr>
          <w:lang w:val="fr-CA"/>
        </w:rPr>
        <w:t>)  sous réserve de l</w:t>
      </w:r>
      <w:r>
        <w:rPr>
          <w:lang w:val="fr-CA"/>
        </w:rPr>
        <w:t>’</w:t>
      </w:r>
      <w:r w:rsidRPr="004A5F96">
        <w:rPr>
          <w:lang w:val="fr-CA"/>
        </w:rPr>
        <w:t>alinéa 41</w:t>
      </w:r>
      <w:r w:rsidRPr="004A5F96">
        <w:rPr>
          <w:i/>
          <w:lang w:val="fr-CA"/>
        </w:rPr>
        <w:t>d</w:t>
      </w:r>
      <w:r w:rsidRPr="004A5F96">
        <w:rPr>
          <w:lang w:val="fr-CA"/>
        </w:rPr>
        <w:t>), la Cour suprême du Canada</w:t>
      </w:r>
      <w:r>
        <w:rPr>
          <w:lang w:val="fr-CA"/>
        </w:rPr>
        <w:t>;</w:t>
      </w:r>
    </w:p>
  </w:footnote>
  <w:footnote w:id="3">
    <w:p w:rsidR="00CA2839" w:rsidRPr="00C121B5" w:rsidRDefault="00CA2839" w:rsidP="0066111F">
      <w:pPr>
        <w:pStyle w:val="FootnoteText"/>
        <w:ind w:left="180" w:hanging="180"/>
        <w:jc w:val="both"/>
        <w:rPr>
          <w:color w:val="000000" w:themeColor="text1"/>
        </w:rPr>
      </w:pPr>
      <w:r w:rsidRPr="0003242D">
        <w:rPr>
          <w:rStyle w:val="FootnoteReference"/>
          <w:color w:val="000000" w:themeColor="text1"/>
        </w:rPr>
        <w:footnoteRef/>
      </w:r>
      <w:r w:rsidRPr="00C96278">
        <w:rPr>
          <w:color w:val="000000" w:themeColor="text1"/>
        </w:rPr>
        <w:t xml:space="preserve"> </w:t>
      </w:r>
      <w:r>
        <w:rPr>
          <w:color w:val="000000" w:themeColor="text1"/>
        </w:rPr>
        <w:tab/>
      </w:r>
      <w:r w:rsidRPr="00C96278">
        <w:rPr>
          <w:color w:val="000000" w:themeColor="text1"/>
        </w:rPr>
        <w:t xml:space="preserve">Cette opinion est partagée notamment par Patrick J. </w:t>
      </w:r>
      <w:r w:rsidRPr="00C121B5">
        <w:rPr>
          <w:color w:val="000000" w:themeColor="text1"/>
        </w:rPr>
        <w:t>Monahan</w:t>
      </w:r>
      <w:r>
        <w:rPr>
          <w:color w:val="000000" w:themeColor="text1"/>
        </w:rPr>
        <w:t xml:space="preserve"> et Byron Shaw</w:t>
      </w:r>
      <w:r w:rsidRPr="00C121B5">
        <w:rPr>
          <w:color w:val="000000" w:themeColor="text1"/>
        </w:rPr>
        <w:t xml:space="preserve">, </w:t>
      </w:r>
      <w:r w:rsidRPr="00C121B5">
        <w:rPr>
          <w:i/>
          <w:color w:val="000000" w:themeColor="text1"/>
        </w:rPr>
        <w:t xml:space="preserve">Constitutional Law </w:t>
      </w:r>
      <w:r w:rsidRPr="00C121B5">
        <w:rPr>
          <w:color w:val="000000" w:themeColor="text1"/>
        </w:rPr>
        <w:t>(</w:t>
      </w:r>
      <w:r>
        <w:rPr>
          <w:color w:val="000000" w:themeColor="text1"/>
        </w:rPr>
        <w:t>4</w:t>
      </w:r>
      <w:r w:rsidRPr="00C96278">
        <w:rPr>
          <w:color w:val="000000" w:themeColor="text1"/>
          <w:vertAlign w:val="superscript"/>
        </w:rPr>
        <w:t>e</w:t>
      </w:r>
      <w:r>
        <w:rPr>
          <w:color w:val="000000" w:themeColor="text1"/>
        </w:rPr>
        <w:t xml:space="preserve"> éd. </w:t>
      </w:r>
      <w:r w:rsidRPr="00C121B5">
        <w:rPr>
          <w:color w:val="000000" w:themeColor="text1"/>
        </w:rPr>
        <w:t>2013), p. 205; P</w:t>
      </w:r>
      <w:r>
        <w:rPr>
          <w:color w:val="000000" w:themeColor="text1"/>
        </w:rPr>
        <w:t>eter</w:t>
      </w:r>
      <w:r w:rsidRPr="00C121B5">
        <w:rPr>
          <w:color w:val="000000" w:themeColor="text1"/>
        </w:rPr>
        <w:t xml:space="preserve"> Oliver, </w:t>
      </w:r>
      <w:r>
        <w:rPr>
          <w:color w:val="000000" w:themeColor="text1"/>
        </w:rPr>
        <w:t xml:space="preserve">« </w:t>
      </w:r>
      <w:r w:rsidRPr="00C121B5">
        <w:rPr>
          <w:color w:val="000000" w:themeColor="text1"/>
        </w:rPr>
        <w:t>Canada, Quebec, and Constitutional Amendment</w:t>
      </w:r>
      <w:r>
        <w:rPr>
          <w:color w:val="000000" w:themeColor="text1"/>
        </w:rPr>
        <w:t xml:space="preserve"> »</w:t>
      </w:r>
      <w:r w:rsidRPr="00C121B5">
        <w:rPr>
          <w:color w:val="000000" w:themeColor="text1"/>
        </w:rPr>
        <w:t xml:space="preserve"> (1999), 49</w:t>
      </w:r>
      <w:r>
        <w:rPr>
          <w:color w:val="000000" w:themeColor="text1"/>
        </w:rPr>
        <w:t> </w:t>
      </w:r>
      <w:r w:rsidRPr="00C96278">
        <w:rPr>
          <w:i/>
          <w:color w:val="000000" w:themeColor="text1"/>
        </w:rPr>
        <w:t>U.T.L.J.</w:t>
      </w:r>
      <w:r w:rsidRPr="00C121B5">
        <w:rPr>
          <w:i/>
          <w:color w:val="000000" w:themeColor="text1"/>
        </w:rPr>
        <w:t xml:space="preserve"> </w:t>
      </w:r>
      <w:r w:rsidRPr="00C121B5">
        <w:rPr>
          <w:color w:val="000000" w:themeColor="text1"/>
        </w:rPr>
        <w:t xml:space="preserve">519, p. 579; W. R. Lederman, </w:t>
      </w:r>
      <w:r>
        <w:rPr>
          <w:color w:val="000000" w:themeColor="text1"/>
        </w:rPr>
        <w:t xml:space="preserve">« </w:t>
      </w:r>
      <w:r w:rsidRPr="00C121B5">
        <w:rPr>
          <w:color w:val="000000" w:themeColor="text1"/>
        </w:rPr>
        <w:t>Constitutional Procedure and the Reform of the Supreme Court of Canada</w:t>
      </w:r>
      <w:r>
        <w:rPr>
          <w:color w:val="000000" w:themeColor="text1"/>
        </w:rPr>
        <w:t xml:space="preserve"> »</w:t>
      </w:r>
      <w:r w:rsidRPr="00C121B5">
        <w:rPr>
          <w:color w:val="000000" w:themeColor="text1"/>
        </w:rPr>
        <w:t xml:space="preserve"> (1985), 26 </w:t>
      </w:r>
      <w:r>
        <w:rPr>
          <w:i/>
          <w:color w:val="000000" w:themeColor="text1"/>
        </w:rPr>
        <w:t>C. de D.</w:t>
      </w:r>
      <w:r w:rsidRPr="00C121B5">
        <w:rPr>
          <w:i/>
          <w:color w:val="000000" w:themeColor="text1"/>
        </w:rPr>
        <w:t xml:space="preserve"> </w:t>
      </w:r>
      <w:r w:rsidRPr="00C121B5">
        <w:rPr>
          <w:color w:val="000000" w:themeColor="text1"/>
        </w:rPr>
        <w:t>195, p. 196; S</w:t>
      </w:r>
      <w:r>
        <w:rPr>
          <w:color w:val="000000" w:themeColor="text1"/>
        </w:rPr>
        <w:t>tephen</w:t>
      </w:r>
      <w:r w:rsidRPr="00C121B5">
        <w:rPr>
          <w:color w:val="000000" w:themeColor="text1"/>
        </w:rPr>
        <w:t xml:space="preserve"> A. Scott, </w:t>
      </w:r>
      <w:r>
        <w:rPr>
          <w:color w:val="000000" w:themeColor="text1"/>
        </w:rPr>
        <w:t xml:space="preserve">« </w:t>
      </w:r>
      <w:r w:rsidRPr="00C121B5">
        <w:rPr>
          <w:color w:val="000000" w:themeColor="text1"/>
        </w:rPr>
        <w:t>Pussycat, Pussycat or Patriation and the New Constitutional Amendment Processes</w:t>
      </w:r>
      <w:r>
        <w:rPr>
          <w:color w:val="000000" w:themeColor="text1"/>
        </w:rPr>
        <w:t xml:space="preserve"> »</w:t>
      </w:r>
      <w:r w:rsidRPr="00C121B5">
        <w:rPr>
          <w:color w:val="000000" w:themeColor="text1"/>
        </w:rPr>
        <w:t xml:space="preserve"> (1982), 20 </w:t>
      </w:r>
      <w:r w:rsidRPr="00C121B5">
        <w:rPr>
          <w:i/>
          <w:color w:val="000000" w:themeColor="text1"/>
        </w:rPr>
        <w:t>U</w:t>
      </w:r>
      <w:r>
        <w:rPr>
          <w:i/>
          <w:color w:val="000000" w:themeColor="text1"/>
        </w:rPr>
        <w:t>.</w:t>
      </w:r>
      <w:r w:rsidRPr="00C121B5">
        <w:rPr>
          <w:i/>
          <w:color w:val="000000" w:themeColor="text1"/>
        </w:rPr>
        <w:t>W</w:t>
      </w:r>
      <w:r>
        <w:rPr>
          <w:i/>
          <w:color w:val="000000" w:themeColor="text1"/>
        </w:rPr>
        <w:t>.</w:t>
      </w:r>
      <w:r w:rsidRPr="00C121B5">
        <w:rPr>
          <w:i/>
          <w:color w:val="000000" w:themeColor="text1"/>
        </w:rPr>
        <w:t>O</w:t>
      </w:r>
      <w:r>
        <w:rPr>
          <w:i/>
          <w:color w:val="000000" w:themeColor="text1"/>
        </w:rPr>
        <w:t xml:space="preserve">. </w:t>
      </w:r>
      <w:r w:rsidRPr="00C121B5">
        <w:rPr>
          <w:i/>
          <w:color w:val="000000" w:themeColor="text1"/>
        </w:rPr>
        <w:t>L</w:t>
      </w:r>
      <w:r>
        <w:rPr>
          <w:i/>
          <w:color w:val="000000" w:themeColor="text1"/>
        </w:rPr>
        <w:t>.</w:t>
      </w:r>
      <w:r w:rsidRPr="00C121B5">
        <w:rPr>
          <w:i/>
          <w:color w:val="000000" w:themeColor="text1"/>
        </w:rPr>
        <w:t xml:space="preserve"> Rev</w:t>
      </w:r>
      <w:r>
        <w:rPr>
          <w:i/>
          <w:color w:val="000000" w:themeColor="text1"/>
        </w:rPr>
        <w:t>.</w:t>
      </w:r>
      <w:r w:rsidRPr="00C121B5">
        <w:rPr>
          <w:color w:val="000000" w:themeColor="text1"/>
        </w:rPr>
        <w:t xml:space="preserve"> 247, p. 273.</w:t>
      </w:r>
    </w:p>
  </w:footnote>
  <w:footnote w:id="4">
    <w:p w:rsidR="00CA2839" w:rsidRPr="000E78A4" w:rsidRDefault="00CA2839" w:rsidP="0066111F">
      <w:pPr>
        <w:pStyle w:val="FootnoteText"/>
        <w:ind w:left="270" w:hanging="270"/>
        <w:jc w:val="both"/>
        <w:rPr>
          <w:lang w:val="fr-CA"/>
        </w:rPr>
      </w:pPr>
      <w:r w:rsidRPr="000E78A4">
        <w:rPr>
          <w:rStyle w:val="FootnoteReference"/>
          <w:lang w:val="fr-CA"/>
        </w:rPr>
        <w:footnoteRef/>
      </w:r>
      <w:r w:rsidRPr="000E78A4">
        <w:rPr>
          <w:lang w:val="fr-CA"/>
        </w:rPr>
        <w:t xml:space="preserve"> </w:t>
      </w:r>
      <w:r>
        <w:rPr>
          <w:lang w:val="fr-CA"/>
        </w:rPr>
        <w:tab/>
      </w:r>
      <w:r w:rsidRPr="000E78A4">
        <w:rPr>
          <w:lang w:val="fr-CA"/>
        </w:rPr>
        <w:t xml:space="preserve">Le juge Nadon a été nommé à la </w:t>
      </w:r>
      <w:r>
        <w:rPr>
          <w:lang w:val="fr-CA"/>
        </w:rPr>
        <w:t>Division</w:t>
      </w:r>
      <w:r w:rsidRPr="000E78A4">
        <w:rPr>
          <w:lang w:val="fr-CA"/>
        </w:rPr>
        <w:t xml:space="preserve"> de première instance de la Cour fédérale en 1993.  Il a alors été nommé pour combler l</w:t>
      </w:r>
      <w:r>
        <w:rPr>
          <w:lang w:val="fr-CA"/>
        </w:rPr>
        <w:t>’</w:t>
      </w:r>
      <w:r w:rsidRPr="000E78A4">
        <w:rPr>
          <w:lang w:val="fr-CA"/>
        </w:rPr>
        <w:t xml:space="preserve">un des 10 postes de cette cour réservés </w:t>
      </w:r>
      <w:r>
        <w:rPr>
          <w:lang w:val="fr-CA"/>
        </w:rPr>
        <w:t>à</w:t>
      </w:r>
      <w:r w:rsidRPr="000E78A4">
        <w:rPr>
          <w:lang w:val="fr-CA"/>
        </w:rPr>
        <w:t xml:space="preserve"> la </w:t>
      </w:r>
      <w:r>
        <w:rPr>
          <w:lang w:val="fr-CA"/>
        </w:rPr>
        <w:t>p</w:t>
      </w:r>
      <w:r w:rsidRPr="000E78A4">
        <w:rPr>
          <w:lang w:val="fr-CA"/>
        </w:rPr>
        <w:t xml:space="preserve">rovince de Québec.  Il a ensuite accédé à la </w:t>
      </w:r>
      <w:r>
        <w:rPr>
          <w:lang w:val="fr-CA"/>
        </w:rPr>
        <w:t xml:space="preserve">Division d’appel de la </w:t>
      </w:r>
      <w:r w:rsidRPr="000E78A4">
        <w:rPr>
          <w:lang w:val="fr-CA"/>
        </w:rPr>
        <w:t xml:space="preserve">Cour fédérale en 2001, où il occupait un siège de cette cour réservé </w:t>
      </w:r>
      <w:r>
        <w:rPr>
          <w:lang w:val="fr-CA"/>
        </w:rPr>
        <w:t>à</w:t>
      </w:r>
      <w:r w:rsidRPr="000E78A4">
        <w:rPr>
          <w:lang w:val="fr-CA"/>
        </w:rPr>
        <w:t xml:space="preserve"> la province de Québec.</w:t>
      </w:r>
    </w:p>
  </w:footnote>
  <w:footnote w:id="5">
    <w:p w:rsidR="00CA2839" w:rsidRPr="000E78A4" w:rsidRDefault="00CA2839" w:rsidP="0066111F">
      <w:pPr>
        <w:pStyle w:val="FootnoteText"/>
        <w:ind w:left="270" w:hanging="270"/>
        <w:jc w:val="both"/>
        <w:rPr>
          <w:lang w:val="fr-CA"/>
        </w:rPr>
      </w:pPr>
      <w:r>
        <w:rPr>
          <w:rStyle w:val="FootnoteReference"/>
        </w:rPr>
        <w:footnoteRef/>
      </w:r>
      <w:r w:rsidRPr="009F13BF">
        <w:rPr>
          <w:lang w:val="fr-FR"/>
        </w:rPr>
        <w:t xml:space="preserve"> </w:t>
      </w:r>
      <w:r>
        <w:rPr>
          <w:lang w:val="fr-FR"/>
        </w:rPr>
        <w:tab/>
      </w:r>
      <w:r w:rsidRPr="000E78A4">
        <w:rPr>
          <w:lang w:val="fr-CA"/>
        </w:rPr>
        <w:t>À l</w:t>
      </w:r>
      <w:r>
        <w:rPr>
          <w:lang w:val="fr-CA"/>
        </w:rPr>
        <w:t>’</w:t>
      </w:r>
      <w:r w:rsidRPr="000E78A4">
        <w:rPr>
          <w:lang w:val="fr-CA"/>
        </w:rPr>
        <w:t xml:space="preserve">époque, la Loi exigeait que deux des </w:t>
      </w:r>
      <w:r w:rsidRPr="00604E45">
        <w:rPr>
          <w:lang w:val="fr-CA"/>
        </w:rPr>
        <w:t>six</w:t>
      </w:r>
      <w:r w:rsidRPr="000E78A4">
        <w:rPr>
          <w:lang w:val="fr-CA"/>
        </w:rPr>
        <w:t xml:space="preserve"> juges de la Cour proviennent du Québec</w:t>
      </w:r>
      <w:r>
        <w:rPr>
          <w:lang w:val="fr-CA"/>
        </w:rPr>
        <w:t xml:space="preserve"> (</w:t>
      </w:r>
      <w:r w:rsidRPr="007A4002">
        <w:rPr>
          <w:i/>
          <w:lang w:val="fr-CA"/>
        </w:rPr>
        <w:t>Acte de la Cour Suprême et de l</w:t>
      </w:r>
      <w:r>
        <w:rPr>
          <w:i/>
          <w:lang w:val="fr-CA"/>
        </w:rPr>
        <w:t>’</w:t>
      </w:r>
      <w:r w:rsidRPr="007A4002">
        <w:rPr>
          <w:i/>
          <w:lang w:val="fr-CA"/>
        </w:rPr>
        <w:t>Échiquier</w:t>
      </w:r>
      <w:r>
        <w:rPr>
          <w:lang w:val="fr-CA"/>
        </w:rPr>
        <w:t>, S.C. 1875, ch. </w:t>
      </w:r>
      <w:r w:rsidRPr="007A4002">
        <w:rPr>
          <w:lang w:val="fr-CA"/>
        </w:rPr>
        <w:t>11</w:t>
      </w:r>
      <w:r>
        <w:rPr>
          <w:lang w:val="fr-CA"/>
        </w:rPr>
        <w:t>, art. 4)</w:t>
      </w:r>
      <w:r w:rsidRPr="000E78A4">
        <w:rPr>
          <w:lang w:val="fr-CA"/>
        </w:rPr>
        <w:t>.  En 1949, lorsque le nombre de juges à la Cour a augmenté pour passer à neuf, le nombre de nominations pour le Québec a été haussé à trois</w:t>
      </w:r>
      <w:r>
        <w:rPr>
          <w:lang w:val="fr-CA"/>
        </w:rPr>
        <w:t xml:space="preserve"> (</w:t>
      </w:r>
      <w:r w:rsidRPr="007A4002">
        <w:rPr>
          <w:i/>
          <w:lang w:val="fr-CA"/>
        </w:rPr>
        <w:t>Loi modifiant la Loi de la Cour suprême</w:t>
      </w:r>
      <w:r w:rsidRPr="007A4002">
        <w:rPr>
          <w:lang w:val="fr-CA"/>
        </w:rPr>
        <w:t>, S.C. 1949</w:t>
      </w:r>
      <w:r>
        <w:rPr>
          <w:lang w:val="fr-CA"/>
        </w:rPr>
        <w:t xml:space="preserve"> (2</w:t>
      </w:r>
      <w:r w:rsidRPr="0066111F">
        <w:rPr>
          <w:vertAlign w:val="superscript"/>
          <w:lang w:val="fr-CA"/>
        </w:rPr>
        <w:t>e</w:t>
      </w:r>
      <w:r>
        <w:rPr>
          <w:lang w:val="fr-CA"/>
        </w:rPr>
        <w:t xml:space="preserve"> sess.)</w:t>
      </w:r>
      <w:r w:rsidRPr="007A4002">
        <w:rPr>
          <w:lang w:val="fr-CA"/>
        </w:rPr>
        <w:t>, ch.</w:t>
      </w:r>
      <w:r>
        <w:rPr>
          <w:lang w:val="fr-CA"/>
        </w:rPr>
        <w:t> </w:t>
      </w:r>
      <w:r w:rsidRPr="007A4002">
        <w:rPr>
          <w:lang w:val="fr-CA"/>
        </w:rPr>
        <w:t>37, art.</w:t>
      </w:r>
      <w:r>
        <w:rPr>
          <w:lang w:val="fr-CA"/>
        </w:rPr>
        <w:t> </w:t>
      </w:r>
      <w:r w:rsidRPr="007A4002">
        <w:rPr>
          <w:lang w:val="fr-CA"/>
        </w:rPr>
        <w:t>1</w:t>
      </w:r>
      <w:r>
        <w:rPr>
          <w:lang w:val="fr-CA"/>
        </w:rPr>
        <w:t>)</w:t>
      </w:r>
      <w:r w:rsidRPr="000E78A4">
        <w:rPr>
          <w:lang w:val="fr-CA"/>
        </w:rPr>
        <w:t>.</w:t>
      </w:r>
    </w:p>
  </w:footnote>
  <w:footnote w:id="6">
    <w:p w:rsidR="00CA2839" w:rsidRPr="004D1F28" w:rsidRDefault="00CA2839" w:rsidP="00374C1B">
      <w:pPr>
        <w:pStyle w:val="FootnoteText"/>
        <w:ind w:left="180" w:hanging="180"/>
        <w:jc w:val="both"/>
        <w:rPr>
          <w:lang w:val="fr-FR"/>
        </w:rPr>
      </w:pPr>
      <w:r w:rsidRPr="00604E45">
        <w:rPr>
          <w:rStyle w:val="FootnoteReference"/>
        </w:rPr>
        <w:footnoteRef/>
      </w:r>
      <w:r w:rsidRPr="00604E45">
        <w:rPr>
          <w:lang w:val="fr-FR"/>
        </w:rPr>
        <w:t xml:space="preserve"> </w:t>
      </w:r>
      <w:r>
        <w:rPr>
          <w:lang w:val="fr-FR"/>
        </w:rPr>
        <w:tab/>
      </w:r>
      <w:r w:rsidRPr="00604E45">
        <w:rPr>
          <w:lang w:val="fr-FR"/>
        </w:rPr>
        <w:t>Le mot « étant » employé à l’art. 4 de la Loi de 1875 en rapport avec les avocats a été remplacé par les mots « sera ou aura été », ce qui indique clairement que les avocats anciens et actuels étaient admissibles.  Dans la révision de 1886, le par. 4(2) était rédigé comme suit : « Pourra être nommé juge de la cour quiconque sera ou aura été juge d’une cour supérieure dans quelqu’une des provinces du Canada, ou un avocat ayant pratiqué pendant au moins dix ans au barreau d</w:t>
      </w:r>
      <w:r w:rsidR="00137C39">
        <w:rPr>
          <w:lang w:val="fr-FR"/>
        </w:rPr>
        <w:t>e quelqu’une de ces provinces. »</w:t>
      </w:r>
    </w:p>
  </w:footnote>
  <w:footnote w:id="7">
    <w:p w:rsidR="00CA2839" w:rsidRDefault="00CA2839" w:rsidP="007D6C61">
      <w:pPr>
        <w:pStyle w:val="FootnoteText"/>
        <w:ind w:left="180" w:hanging="180"/>
        <w:jc w:val="both"/>
        <w:rPr>
          <w:lang w:val="fr-FR"/>
        </w:rPr>
      </w:pPr>
      <w:r>
        <w:rPr>
          <w:rStyle w:val="FootnoteReference"/>
        </w:rPr>
        <w:footnoteRef/>
      </w:r>
      <w:r w:rsidRPr="003C73E4">
        <w:rPr>
          <w:lang w:val="fr-FR"/>
        </w:rPr>
        <w:t xml:space="preserve"> </w:t>
      </w:r>
      <w:r>
        <w:rPr>
          <w:lang w:val="fr-FR"/>
        </w:rPr>
        <w:tab/>
      </w:r>
      <w:r w:rsidRPr="003C73E4">
        <w:rPr>
          <w:lang w:val="fr-FR"/>
        </w:rPr>
        <w:t>Il convient de noter que des juges suppléants provenant des cours fédérales</w:t>
      </w:r>
      <w:r>
        <w:rPr>
          <w:lang w:val="fr-FR"/>
        </w:rPr>
        <w:t xml:space="preserve">, qu’ils soient du Québec ou d’ailleurs, </w:t>
      </w:r>
      <w:r w:rsidRPr="00C97CBA">
        <w:rPr>
          <w:i/>
          <w:lang w:val="fr-FR"/>
        </w:rPr>
        <w:t>peuvent</w:t>
      </w:r>
      <w:r>
        <w:rPr>
          <w:lang w:val="fr-FR"/>
        </w:rPr>
        <w:t xml:space="preserve"> remplacer un juge de la Cour provenant du Québec qui est absent.  Le paragraphe 30(2) s’applique uniquement lorsqu’au moins deux juges du Québec sont absents pour l’audition d’un appel d’une décision rendue au Québec.</w:t>
      </w:r>
      <w:r w:rsidRPr="003C73E4">
        <w:rPr>
          <w:lang w:val="fr-FR"/>
        </w:rPr>
        <w:t xml:space="preserve"> </w:t>
      </w:r>
    </w:p>
    <w:p w:rsidR="0077155D" w:rsidRPr="003C73E4" w:rsidRDefault="0077155D" w:rsidP="007D6C61">
      <w:pPr>
        <w:pStyle w:val="FootnoteText"/>
        <w:ind w:left="180" w:hanging="180"/>
        <w:jc w:val="both"/>
        <w:rPr>
          <w:lang w:val="fr-FR"/>
        </w:rPr>
      </w:pPr>
    </w:p>
  </w:footnote>
  <w:footnote w:id="8">
    <w:p w:rsidR="00CA2839" w:rsidRPr="00935B1E" w:rsidRDefault="00CA2839" w:rsidP="008B29FB">
      <w:pPr>
        <w:pStyle w:val="FootnoteText"/>
        <w:rPr>
          <w:lang w:val="fr-FR"/>
        </w:rPr>
      </w:pPr>
      <w:r>
        <w:rPr>
          <w:rStyle w:val="FootnoteReference"/>
        </w:rPr>
        <w:footnoteRef/>
      </w:r>
      <w:r>
        <w:rPr>
          <w:lang w:val="fr-FR"/>
        </w:rPr>
        <w:t xml:space="preserve"> Doyen de la S</w:t>
      </w:r>
      <w:r w:rsidRPr="00935B1E">
        <w:rPr>
          <w:lang w:val="fr-FR"/>
        </w:rPr>
        <w:t>ection de droit civil de la Faculté de droit de l</w:t>
      </w:r>
      <w:r>
        <w:rPr>
          <w:lang w:val="fr-FR"/>
        </w:rPr>
        <w:t>’</w:t>
      </w:r>
      <w:r w:rsidRPr="00935B1E">
        <w:rPr>
          <w:lang w:val="fr-FR"/>
        </w:rPr>
        <w:t>Université d</w:t>
      </w:r>
      <w:r>
        <w:rPr>
          <w:lang w:val="fr-FR"/>
        </w:rPr>
        <w:t>’</w:t>
      </w:r>
      <w:r w:rsidRPr="00935B1E">
        <w:rPr>
          <w:lang w:val="fr-FR"/>
        </w:rPr>
        <w:t>Ottawa</w:t>
      </w:r>
      <w:r>
        <w:rPr>
          <w:lang w:val="fr-FR"/>
        </w:rPr>
        <w:t>.</w:t>
      </w:r>
    </w:p>
  </w:footnote>
  <w:footnote w:id="9">
    <w:p w:rsidR="00CA2839" w:rsidRPr="00EF41DA" w:rsidRDefault="00CA2839" w:rsidP="008B29FB">
      <w:pPr>
        <w:pStyle w:val="FootnoteText"/>
        <w:jc w:val="both"/>
      </w:pPr>
      <w:r>
        <w:rPr>
          <w:rStyle w:val="FootnoteReference"/>
        </w:rPr>
        <w:footnoteRef/>
      </w:r>
      <w:r>
        <w:t xml:space="preserve"> Voir I. Bushnell, </w:t>
      </w:r>
      <w:r w:rsidRPr="002F5F3A">
        <w:rPr>
          <w:i/>
        </w:rPr>
        <w:t>The Federal Court of Canada : A History, 1875</w:t>
      </w:r>
      <w:r w:rsidRPr="002F5F3A">
        <w:rPr>
          <w:i/>
        </w:rPr>
        <w:noBreakHyphen/>
        <w:t>1992</w:t>
      </w:r>
      <w:r>
        <w:t xml:space="preserve"> (1997), p. 95</w:t>
      </w:r>
      <w:r>
        <w:noBreakHyphen/>
        <w:t xml:space="preserve">96.  </w:t>
      </w:r>
    </w:p>
  </w:footnote>
  <w:footnote w:id="10">
    <w:p w:rsidR="00CA2839" w:rsidRDefault="00CA2839" w:rsidP="00C7660C">
      <w:pPr>
        <w:pStyle w:val="FootnoteText"/>
        <w:ind w:left="270" w:hanging="270"/>
        <w:jc w:val="both"/>
        <w:rPr>
          <w:lang w:val="fr-CA"/>
        </w:rPr>
      </w:pPr>
      <w:r>
        <w:rPr>
          <w:rStyle w:val="FootnoteReference"/>
        </w:rPr>
        <w:footnoteRef/>
      </w:r>
      <w:r w:rsidRPr="00C06592">
        <w:rPr>
          <w:lang w:val="fr-CA"/>
        </w:rPr>
        <w:t xml:space="preserve"> </w:t>
      </w:r>
      <w:r>
        <w:rPr>
          <w:lang w:val="fr-CA"/>
        </w:rPr>
        <w:tab/>
      </w:r>
      <w:r w:rsidRPr="00C06592">
        <w:rPr>
          <w:lang w:val="fr-CA"/>
        </w:rPr>
        <w:t xml:space="preserve">Par exemple, en remplaçant la </w:t>
      </w:r>
      <w:r>
        <w:rPr>
          <w:lang w:val="fr-CA"/>
        </w:rPr>
        <w:t>mention de la « Cour de l’Échiquier » au par. 30(1) par « Cour fédérale » lorsque cette dernière a été créée en 1971 (</w:t>
      </w:r>
      <w:r w:rsidRPr="00B06C10">
        <w:rPr>
          <w:i/>
          <w:lang w:val="fr-CA"/>
        </w:rPr>
        <w:t>Loi sur la Cour fédérale</w:t>
      </w:r>
      <w:r>
        <w:rPr>
          <w:lang w:val="fr-CA"/>
        </w:rPr>
        <w:t>, S.R.C. 1970, ch. 10 (2</w:t>
      </w:r>
      <w:r w:rsidRPr="00B06C10">
        <w:rPr>
          <w:vertAlign w:val="superscript"/>
          <w:lang w:val="fr-CA"/>
        </w:rPr>
        <w:t>e</w:t>
      </w:r>
      <w:r>
        <w:rPr>
          <w:lang w:val="fr-CA"/>
        </w:rPr>
        <w:t xml:space="preserve"> suppl.), art. 64), puis, en y ajoutant « Cour d’appel fédérale » en 2002 (L.C. 2002, ch. 8, art. 175).  </w:t>
      </w:r>
    </w:p>
    <w:p w:rsidR="0077155D" w:rsidRPr="00736582" w:rsidRDefault="0077155D" w:rsidP="00C7660C">
      <w:pPr>
        <w:pStyle w:val="FootnoteText"/>
        <w:ind w:left="270" w:hanging="270"/>
        <w:jc w:val="both"/>
        <w:rPr>
          <w:lang w:val="fr-CA"/>
        </w:rPr>
      </w:pPr>
    </w:p>
  </w:footnote>
  <w:footnote w:id="11">
    <w:p w:rsidR="00CA2839" w:rsidRPr="00AA3420" w:rsidRDefault="00CA2839" w:rsidP="00C7660C">
      <w:pPr>
        <w:pStyle w:val="FootnoteText"/>
        <w:ind w:left="270" w:hanging="270"/>
        <w:jc w:val="both"/>
        <w:rPr>
          <w:lang w:val="fr-CA"/>
        </w:rPr>
      </w:pPr>
      <w:r>
        <w:rPr>
          <w:rStyle w:val="FootnoteReference"/>
        </w:rPr>
        <w:footnoteRef/>
      </w:r>
      <w:r w:rsidRPr="00AA3420">
        <w:rPr>
          <w:lang w:val="fr-CA"/>
        </w:rPr>
        <w:t xml:space="preserve"> </w:t>
      </w:r>
      <w:r>
        <w:rPr>
          <w:lang w:val="fr-CA"/>
        </w:rPr>
        <w:tab/>
      </w:r>
      <w:r w:rsidRPr="00AA3420">
        <w:rPr>
          <w:lang w:val="fr-CA"/>
        </w:rPr>
        <w:t xml:space="preserve">Le nombre de juges de la Cour est passé à neuf en 1949. </w:t>
      </w:r>
      <w:r>
        <w:rPr>
          <w:lang w:val="fr-CA"/>
        </w:rPr>
        <w:t xml:space="preserve"> </w:t>
      </w:r>
      <w:r w:rsidRPr="00AA3420">
        <w:rPr>
          <w:lang w:val="fr-CA"/>
        </w:rPr>
        <w:t xml:space="preserve">Toutefois, le quorum légal est demeuré à cinq. </w:t>
      </w:r>
      <w:r>
        <w:rPr>
          <w:lang w:val="fr-CA"/>
        </w:rPr>
        <w:t xml:space="preserve"> </w:t>
      </w:r>
      <w:r w:rsidRPr="00AA3420">
        <w:rPr>
          <w:lang w:val="fr-CA"/>
        </w:rPr>
        <w:t xml:space="preserve">Il ne serait donc </w:t>
      </w:r>
      <w:r>
        <w:rPr>
          <w:lang w:val="fr-CA"/>
        </w:rPr>
        <w:t>n</w:t>
      </w:r>
      <w:r w:rsidRPr="00AA3420">
        <w:rPr>
          <w:lang w:val="fr-CA"/>
        </w:rPr>
        <w:t>écessaire de recourir à l</w:t>
      </w:r>
      <w:r>
        <w:rPr>
          <w:lang w:val="fr-CA"/>
        </w:rPr>
        <w:t>’</w:t>
      </w:r>
      <w:r w:rsidRPr="00AA3420">
        <w:rPr>
          <w:lang w:val="fr-CA"/>
        </w:rPr>
        <w:t xml:space="preserve">art. 30 que si cinq des </w:t>
      </w:r>
      <w:r>
        <w:rPr>
          <w:lang w:val="fr-CA"/>
        </w:rPr>
        <w:t>neuf</w:t>
      </w:r>
      <w:r w:rsidRPr="00AA3420">
        <w:rPr>
          <w:lang w:val="fr-CA"/>
        </w:rPr>
        <w:t xml:space="preserve"> juges de la Cour</w:t>
      </w:r>
      <w:r>
        <w:rPr>
          <w:lang w:val="fr-CA"/>
        </w:rPr>
        <w:t xml:space="preserve"> n’étaient pas disponibles.</w:t>
      </w:r>
    </w:p>
  </w:footnote>
  <w:footnote w:id="12">
    <w:p w:rsidR="00CA2839" w:rsidRDefault="00CA2839" w:rsidP="00C7660C">
      <w:pPr>
        <w:pStyle w:val="FootnoteText"/>
        <w:ind w:left="270" w:hanging="270"/>
        <w:jc w:val="both"/>
        <w:rPr>
          <w:lang w:val="fr-CA"/>
        </w:rPr>
      </w:pPr>
      <w:r>
        <w:rPr>
          <w:rStyle w:val="FootnoteReference"/>
        </w:rPr>
        <w:footnoteRef/>
      </w:r>
      <w:r w:rsidRPr="007421E1">
        <w:rPr>
          <w:lang w:val="fr-CA"/>
        </w:rPr>
        <w:t xml:space="preserve"> </w:t>
      </w:r>
      <w:r>
        <w:rPr>
          <w:lang w:val="fr-CA"/>
        </w:rPr>
        <w:t>« </w:t>
      </w:r>
      <w:r w:rsidRPr="007421E1">
        <w:rPr>
          <w:lang w:val="fr-CA"/>
        </w:rPr>
        <w:t>La Cour du Québec est un</w:t>
      </w:r>
      <w:r>
        <w:rPr>
          <w:lang w:val="fr-CA"/>
        </w:rPr>
        <w:t xml:space="preserve"> tribunal</w:t>
      </w:r>
      <w:r w:rsidRPr="007421E1">
        <w:rPr>
          <w:lang w:val="fr-CA"/>
        </w:rPr>
        <w:t xml:space="preserve"> de première instance qui a compétence en matière civile, criminelle</w:t>
      </w:r>
      <w:r>
        <w:rPr>
          <w:lang w:val="fr-CA"/>
        </w:rPr>
        <w:t xml:space="preserve"> et pénale ainsi que dans les matières relatives </w:t>
      </w:r>
      <w:r w:rsidRPr="00DE7B00">
        <w:rPr>
          <w:lang w:val="fr-CA"/>
        </w:rPr>
        <w:t>à la jeunesse</w:t>
      </w:r>
      <w:r>
        <w:rPr>
          <w:lang w:val="fr-CA"/>
        </w:rPr>
        <w:t xml:space="preserve">. Elle siège également en matière administrative ou en appel, dans les cas prévus par la loi. </w:t>
      </w:r>
      <w:r w:rsidRPr="007421E1">
        <w:rPr>
          <w:lang w:val="fr-CA"/>
        </w:rPr>
        <w:t xml:space="preserve">La Cour du Québec </w:t>
      </w:r>
      <w:r>
        <w:rPr>
          <w:lang w:val="fr-CA"/>
        </w:rPr>
        <w:t xml:space="preserve">se compose d’au plus 270 juges, </w:t>
      </w:r>
      <w:r w:rsidRPr="007421E1">
        <w:rPr>
          <w:lang w:val="fr-CA"/>
        </w:rPr>
        <w:t>nommés à vi</w:t>
      </w:r>
      <w:r w:rsidR="00BC30FE">
        <w:rPr>
          <w:lang w:val="fr-CA"/>
        </w:rPr>
        <w:t>e par le gouvernement du Québec</w:t>
      </w:r>
      <w:r>
        <w:rPr>
          <w:lang w:val="fr-CA"/>
        </w:rPr>
        <w:t> »</w:t>
      </w:r>
      <w:r w:rsidRPr="007421E1">
        <w:rPr>
          <w:lang w:val="fr-CA"/>
        </w:rPr>
        <w:t xml:space="preserve"> </w:t>
      </w:r>
      <w:r>
        <w:rPr>
          <w:lang w:val="fr-CA"/>
        </w:rPr>
        <w:t xml:space="preserve"> (</w:t>
      </w:r>
      <w:r w:rsidRPr="00DE7B00">
        <w:rPr>
          <w:lang w:val="fr-CA"/>
        </w:rPr>
        <w:t>S</w:t>
      </w:r>
      <w:r>
        <w:rPr>
          <w:lang w:val="fr-CA"/>
        </w:rPr>
        <w:t>ite Web de Justice Québec</w:t>
      </w:r>
      <w:r w:rsidRPr="00DE7B00">
        <w:rPr>
          <w:lang w:val="fr-CA"/>
        </w:rPr>
        <w:t xml:space="preserve"> </w:t>
      </w:r>
      <w:r>
        <w:rPr>
          <w:lang w:val="fr-CA"/>
        </w:rPr>
        <w:t>(</w:t>
      </w:r>
      <w:r w:rsidR="00BC30FE">
        <w:rPr>
          <w:lang w:val="fr-CA"/>
        </w:rPr>
        <w:t>en ligne : </w:t>
      </w:r>
      <w:r w:rsidRPr="00C7660C">
        <w:rPr>
          <w:lang w:val="fr-CA"/>
        </w:rPr>
        <w:t>http://www.justice.gouv.qc.ca/français/publications/generale/systeme.htm</w:t>
      </w:r>
      <w:r>
        <w:rPr>
          <w:lang w:val="fr-CA"/>
        </w:rPr>
        <w:t>) 21 mars 2014).</w:t>
      </w:r>
    </w:p>
    <w:p w:rsidR="0077155D" w:rsidRPr="00875050" w:rsidRDefault="0077155D" w:rsidP="00C7660C">
      <w:pPr>
        <w:pStyle w:val="FootnoteText"/>
        <w:ind w:left="270" w:hanging="270"/>
        <w:jc w:val="both"/>
        <w:rPr>
          <w:lang w:val="fr-CA"/>
        </w:rPr>
      </w:pPr>
    </w:p>
  </w:footnote>
  <w:footnote w:id="13">
    <w:p w:rsidR="00CA2839" w:rsidRPr="003F51CD" w:rsidRDefault="00CA2839" w:rsidP="00C7660C">
      <w:pPr>
        <w:pStyle w:val="FootnoteText"/>
        <w:ind w:left="270" w:hanging="270"/>
        <w:jc w:val="both"/>
        <w:rPr>
          <w:lang w:val="fr-CA"/>
        </w:rPr>
      </w:pPr>
      <w:r>
        <w:rPr>
          <w:rStyle w:val="FootnoteReference"/>
        </w:rPr>
        <w:footnoteRef/>
      </w:r>
      <w:r w:rsidRPr="003F51CD">
        <w:rPr>
          <w:lang w:val="fr-CA"/>
        </w:rPr>
        <w:t xml:space="preserve"> </w:t>
      </w:r>
      <w:r>
        <w:rPr>
          <w:lang w:val="fr-CA"/>
        </w:rPr>
        <w:tab/>
      </w:r>
      <w:r w:rsidRPr="003F51CD">
        <w:rPr>
          <w:lang w:val="fr-CA"/>
        </w:rPr>
        <w:t>Parmi les 3</w:t>
      </w:r>
      <w:r>
        <w:rPr>
          <w:lang w:val="fr-CA"/>
        </w:rPr>
        <w:t>7</w:t>
      </w:r>
      <w:r w:rsidRPr="003F51CD">
        <w:rPr>
          <w:lang w:val="fr-CA"/>
        </w:rPr>
        <w:t xml:space="preserve"> sièges de la Cour fédérale, 10 sont réservés </w:t>
      </w:r>
      <w:r>
        <w:rPr>
          <w:lang w:val="fr-CA"/>
        </w:rPr>
        <w:t>à des juges du Québec (</w:t>
      </w:r>
      <w:r w:rsidRPr="0038653E">
        <w:rPr>
          <w:i/>
          <w:lang w:val="fr-CA"/>
        </w:rPr>
        <w:t xml:space="preserve">Loi sur les </w:t>
      </w:r>
      <w:r>
        <w:rPr>
          <w:i/>
          <w:lang w:val="fr-CA"/>
        </w:rPr>
        <w:t>C</w:t>
      </w:r>
      <w:r w:rsidRPr="0038653E">
        <w:rPr>
          <w:i/>
          <w:lang w:val="fr-CA"/>
        </w:rPr>
        <w:t>ours fédérales</w:t>
      </w:r>
      <w:r>
        <w:rPr>
          <w:lang w:val="fr-CA"/>
        </w:rPr>
        <w:t>, L.R.C. 1985, ch. F</w:t>
      </w:r>
      <w:r>
        <w:rPr>
          <w:lang w:val="fr-CA"/>
        </w:rPr>
        <w:noBreakHyphen/>
        <w:t xml:space="preserve">7, art. 5.4).  </w:t>
      </w:r>
      <w:r w:rsidRPr="003F51CD">
        <w:rPr>
          <w:lang w:val="fr-CA"/>
        </w:rPr>
        <w:t>Parmi les 13 sièges de la Cour d</w:t>
      </w:r>
      <w:r>
        <w:rPr>
          <w:lang w:val="fr-CA"/>
        </w:rPr>
        <w:t>’</w:t>
      </w:r>
      <w:r w:rsidRPr="003F51CD">
        <w:rPr>
          <w:lang w:val="fr-CA"/>
        </w:rPr>
        <w:t xml:space="preserve">appel fédérale, 5 sont réservés </w:t>
      </w:r>
      <w:r>
        <w:rPr>
          <w:lang w:val="fr-CA"/>
        </w:rPr>
        <w:t>à des juges du Québec (</w:t>
      </w:r>
      <w:r>
        <w:rPr>
          <w:i/>
          <w:lang w:val="fr-CA"/>
        </w:rPr>
        <w:t>ibid.</w:t>
      </w:r>
      <w:r>
        <w:rPr>
          <w:lang w:val="fr-CA"/>
        </w:rPr>
        <w:t xml:space="preserve">).  </w:t>
      </w:r>
      <w:r w:rsidRPr="003F51CD">
        <w:rPr>
          <w:lang w:val="fr-CA"/>
        </w:rPr>
        <w:t xml:space="preserve"> </w:t>
      </w:r>
    </w:p>
  </w:footnote>
  <w:footnote w:id="14">
    <w:p w:rsidR="00CA2839" w:rsidRDefault="00CA2839" w:rsidP="00C7660C">
      <w:pPr>
        <w:pStyle w:val="FootnoteText"/>
        <w:tabs>
          <w:tab w:val="left" w:pos="270"/>
        </w:tabs>
        <w:jc w:val="both"/>
        <w:rPr>
          <w:lang w:val="fr-CA"/>
        </w:rPr>
      </w:pPr>
      <w:r>
        <w:rPr>
          <w:rStyle w:val="FootnoteReference"/>
        </w:rPr>
        <w:footnoteRef/>
      </w:r>
      <w:r w:rsidRPr="002C7AB4">
        <w:rPr>
          <w:lang w:val="fr-CA"/>
        </w:rPr>
        <w:t xml:space="preserve"> </w:t>
      </w:r>
      <w:r>
        <w:rPr>
          <w:lang w:val="fr-CA"/>
        </w:rPr>
        <w:tab/>
      </w:r>
      <w:r w:rsidRPr="002C7AB4">
        <w:rPr>
          <w:lang w:val="fr-CA"/>
        </w:rPr>
        <w:t xml:space="preserve">Mémoire </w:t>
      </w:r>
      <w:r>
        <w:rPr>
          <w:lang w:val="fr-CA"/>
        </w:rPr>
        <w:t>de</w:t>
      </w:r>
      <w:r w:rsidRPr="002C7AB4">
        <w:rPr>
          <w:lang w:val="fr-CA"/>
        </w:rPr>
        <w:t xml:space="preserve"> </w:t>
      </w:r>
      <w:r>
        <w:rPr>
          <w:bCs/>
          <w:color w:val="222222"/>
          <w:lang w:val="fr-CA"/>
        </w:rPr>
        <w:t>l’</w:t>
      </w:r>
      <w:r w:rsidRPr="002C7AB4">
        <w:rPr>
          <w:bCs/>
          <w:color w:val="222222"/>
          <w:lang w:val="fr-CA"/>
        </w:rPr>
        <w:t>Association</w:t>
      </w:r>
      <w:r w:rsidRPr="002C7AB4">
        <w:rPr>
          <w:color w:val="222222"/>
          <w:lang w:val="fr-CA"/>
        </w:rPr>
        <w:t xml:space="preserve"> </w:t>
      </w:r>
      <w:r>
        <w:rPr>
          <w:color w:val="222222"/>
          <w:lang w:val="fr-CA"/>
        </w:rPr>
        <w:t>c</w:t>
      </w:r>
      <w:r w:rsidRPr="002C7AB4">
        <w:rPr>
          <w:color w:val="222222"/>
          <w:lang w:val="fr-CA"/>
        </w:rPr>
        <w:t xml:space="preserve">anadienne des </w:t>
      </w:r>
      <w:r>
        <w:rPr>
          <w:color w:val="222222"/>
          <w:lang w:val="fr-CA"/>
        </w:rPr>
        <w:t>j</w:t>
      </w:r>
      <w:r w:rsidRPr="002C7AB4">
        <w:rPr>
          <w:color w:val="222222"/>
          <w:lang w:val="fr-CA"/>
        </w:rPr>
        <w:t xml:space="preserve">uges de </w:t>
      </w:r>
      <w:r>
        <w:rPr>
          <w:color w:val="222222"/>
          <w:lang w:val="fr-CA"/>
        </w:rPr>
        <w:t>c</w:t>
      </w:r>
      <w:r w:rsidRPr="002C7AB4">
        <w:rPr>
          <w:color w:val="222222"/>
          <w:lang w:val="fr-CA"/>
        </w:rPr>
        <w:t xml:space="preserve">ours </w:t>
      </w:r>
      <w:r>
        <w:rPr>
          <w:color w:val="222222"/>
          <w:lang w:val="fr-CA"/>
        </w:rPr>
        <w:t>p</w:t>
      </w:r>
      <w:r w:rsidRPr="002C7AB4">
        <w:rPr>
          <w:color w:val="222222"/>
          <w:lang w:val="fr-CA"/>
        </w:rPr>
        <w:t>rovinciales</w:t>
      </w:r>
      <w:r w:rsidRPr="002C7AB4">
        <w:rPr>
          <w:lang w:val="fr-CA"/>
        </w:rPr>
        <w:t>, par</w:t>
      </w:r>
      <w:r>
        <w:rPr>
          <w:lang w:val="fr-CA"/>
        </w:rPr>
        <w:t>. </w:t>
      </w:r>
      <w:r w:rsidRPr="002C7AB4">
        <w:rPr>
          <w:lang w:val="fr-CA"/>
        </w:rPr>
        <w:t>26.</w:t>
      </w:r>
    </w:p>
    <w:p w:rsidR="0077155D" w:rsidRPr="002C7AB4" w:rsidRDefault="0077155D" w:rsidP="00C7660C">
      <w:pPr>
        <w:pStyle w:val="FootnoteText"/>
        <w:tabs>
          <w:tab w:val="left" w:pos="270"/>
        </w:tabs>
        <w:jc w:val="both"/>
        <w:rPr>
          <w:lang w:val="fr-CA"/>
        </w:rPr>
      </w:pPr>
    </w:p>
  </w:footnote>
  <w:footnote w:id="15">
    <w:p w:rsidR="00CA2839" w:rsidRPr="00191C8F" w:rsidRDefault="00CA2839" w:rsidP="00C7660C">
      <w:pPr>
        <w:pStyle w:val="FootnoteText"/>
        <w:ind w:left="270" w:hanging="270"/>
        <w:jc w:val="both"/>
        <w:rPr>
          <w:lang w:val="fr-CA"/>
        </w:rPr>
      </w:pPr>
      <w:r>
        <w:rPr>
          <w:rStyle w:val="FootnoteReference"/>
        </w:rPr>
        <w:footnoteRef/>
      </w:r>
      <w:r w:rsidRPr="00191C8F">
        <w:rPr>
          <w:lang w:val="fr-CA"/>
        </w:rPr>
        <w:t xml:space="preserve"> </w:t>
      </w:r>
      <w:r>
        <w:rPr>
          <w:lang w:val="fr-CA"/>
        </w:rPr>
        <w:tab/>
      </w:r>
      <w:r>
        <w:rPr>
          <w:i/>
          <w:lang w:val="fr-CA"/>
        </w:rPr>
        <w:t>Règlement sur la formation continue obligatoire des avocats</w:t>
      </w:r>
      <w:r>
        <w:rPr>
          <w:lang w:val="fr-CA"/>
        </w:rPr>
        <w:t>, R.R.Q., ch. B</w:t>
      </w:r>
      <w:r>
        <w:rPr>
          <w:lang w:val="fr-CA"/>
        </w:rPr>
        <w:noBreakHyphen/>
        <w:t>1, r. 12, art. 2; voir aussi</w:t>
      </w:r>
      <w:r>
        <w:rPr>
          <w:i/>
          <w:lang w:val="fr-CA"/>
        </w:rPr>
        <w:t xml:space="preserve"> </w:t>
      </w:r>
      <w:r>
        <w:rPr>
          <w:lang w:val="fr-CA"/>
        </w:rPr>
        <w:t>Site Web du Barreau du Québec</w:t>
      </w:r>
      <w:r w:rsidRPr="00191C8F">
        <w:rPr>
          <w:lang w:val="fr-CA"/>
        </w:rPr>
        <w:t xml:space="preserve"> </w:t>
      </w:r>
      <w:r>
        <w:rPr>
          <w:lang w:val="fr-CA"/>
        </w:rPr>
        <w:t>(</w:t>
      </w:r>
      <w:r w:rsidR="000D67B8">
        <w:rPr>
          <w:lang w:val="fr-CA"/>
        </w:rPr>
        <w:t>en ligne : </w:t>
      </w:r>
      <w:r w:rsidRPr="00191C8F">
        <w:rPr>
          <w:lang w:val="fr-CA"/>
        </w:rPr>
        <w:t>https://www.barreau.qc.ca/</w:t>
      </w:r>
      <w:r>
        <w:rPr>
          <w:lang w:val="fr-CA"/>
        </w:rPr>
        <w:t>fr</w:t>
      </w:r>
      <w:r w:rsidRPr="00191C8F">
        <w:rPr>
          <w:lang w:val="fr-CA"/>
        </w:rPr>
        <w:t>/avocats/formation-continue/obligatoire/index.html</w:t>
      </w:r>
      <w:r>
        <w:rPr>
          <w:lang w:val="fr-C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in;height:3in" o:bullet="t"/>
    </w:pict>
  </w:numPicBullet>
  <w:numPicBullet w:numPicBulletId="1">
    <w:pict>
      <v:shape id="_x0000_i1101" type="#_x0000_t75" style="width:3in;height:3in" o:bullet="t"/>
    </w:pict>
  </w:numPicBullet>
  <w:numPicBullet w:numPicBulletId="2">
    <w:pict>
      <v:shape id="_x0000_i1102" type="#_x0000_t75" style="width:3in;height:3in" o:bullet="t"/>
    </w:pict>
  </w:numPicBullet>
  <w:abstractNum w:abstractNumId="0">
    <w:nsid w:val="FFFFFF1D"/>
    <w:multiLevelType w:val="multilevel"/>
    <w:tmpl w:val="F7E24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1508760"/>
    <w:lvl w:ilvl="0">
      <w:start w:val="1"/>
      <w:numFmt w:val="decimal"/>
      <w:lvlText w:val="%1."/>
      <w:lvlJc w:val="left"/>
      <w:pPr>
        <w:tabs>
          <w:tab w:val="num" w:pos="1800"/>
        </w:tabs>
        <w:ind w:left="1800" w:hanging="360"/>
      </w:pPr>
    </w:lvl>
  </w:abstractNum>
  <w:abstractNum w:abstractNumId="2">
    <w:nsid w:val="FFFFFF7D"/>
    <w:multiLevelType w:val="singleLevel"/>
    <w:tmpl w:val="59986E4C"/>
    <w:lvl w:ilvl="0">
      <w:start w:val="1"/>
      <w:numFmt w:val="decimal"/>
      <w:lvlText w:val="%1."/>
      <w:lvlJc w:val="left"/>
      <w:pPr>
        <w:tabs>
          <w:tab w:val="num" w:pos="1440"/>
        </w:tabs>
        <w:ind w:left="1440" w:hanging="360"/>
      </w:pPr>
    </w:lvl>
  </w:abstractNum>
  <w:abstractNum w:abstractNumId="3">
    <w:nsid w:val="FFFFFF7E"/>
    <w:multiLevelType w:val="singleLevel"/>
    <w:tmpl w:val="C6DEEFE8"/>
    <w:lvl w:ilvl="0">
      <w:start w:val="1"/>
      <w:numFmt w:val="decimal"/>
      <w:lvlText w:val="%1."/>
      <w:lvlJc w:val="left"/>
      <w:pPr>
        <w:tabs>
          <w:tab w:val="num" w:pos="1080"/>
        </w:tabs>
        <w:ind w:left="1080" w:hanging="360"/>
      </w:pPr>
    </w:lvl>
  </w:abstractNum>
  <w:abstractNum w:abstractNumId="4">
    <w:nsid w:val="FFFFFF7F"/>
    <w:multiLevelType w:val="singleLevel"/>
    <w:tmpl w:val="DD62BC98"/>
    <w:lvl w:ilvl="0">
      <w:start w:val="1"/>
      <w:numFmt w:val="decimal"/>
      <w:lvlText w:val="%1."/>
      <w:lvlJc w:val="left"/>
      <w:pPr>
        <w:tabs>
          <w:tab w:val="num" w:pos="720"/>
        </w:tabs>
        <w:ind w:left="720" w:hanging="360"/>
      </w:pPr>
    </w:lvl>
  </w:abstractNum>
  <w:abstractNum w:abstractNumId="5">
    <w:nsid w:val="FFFFFF80"/>
    <w:multiLevelType w:val="singleLevel"/>
    <w:tmpl w:val="11BE27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BF8D36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C9602B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E2E3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2CE7D6"/>
    <w:lvl w:ilvl="0">
      <w:start w:val="1"/>
      <w:numFmt w:val="decimal"/>
      <w:lvlText w:val="%1."/>
      <w:lvlJc w:val="left"/>
      <w:pPr>
        <w:tabs>
          <w:tab w:val="num" w:pos="360"/>
        </w:tabs>
        <w:ind w:left="360" w:hanging="360"/>
      </w:pPr>
    </w:lvl>
  </w:abstractNum>
  <w:abstractNum w:abstractNumId="10">
    <w:nsid w:val="FFFFFF89"/>
    <w:multiLevelType w:val="singleLevel"/>
    <w:tmpl w:val="958A3D06"/>
    <w:lvl w:ilvl="0">
      <w:start w:val="1"/>
      <w:numFmt w:val="bullet"/>
      <w:lvlText w:val=""/>
      <w:lvlJc w:val="left"/>
      <w:pPr>
        <w:tabs>
          <w:tab w:val="num" w:pos="360"/>
        </w:tabs>
        <w:ind w:left="360" w:hanging="360"/>
      </w:pPr>
      <w:rPr>
        <w:rFonts w:ascii="Symbol" w:hAnsi="Symbol" w:hint="default"/>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E6D1600"/>
    <w:multiLevelType w:val="hybridMultilevel"/>
    <w:tmpl w:val="337C823C"/>
    <w:lvl w:ilvl="0" w:tplc="A29A9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A2490"/>
    <w:multiLevelType w:val="hybridMultilevel"/>
    <w:tmpl w:val="1422D852"/>
    <w:lvl w:ilvl="0" w:tplc="3AAE9CFC">
      <w:start w:val="3"/>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130700A"/>
    <w:multiLevelType w:val="hybridMultilevel"/>
    <w:tmpl w:val="134CB5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54624FD"/>
    <w:multiLevelType w:val="hybridMultilevel"/>
    <w:tmpl w:val="8B909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B03236"/>
    <w:multiLevelType w:val="hybridMultilevel"/>
    <w:tmpl w:val="4AFE8894"/>
    <w:lvl w:ilvl="0" w:tplc="BAC212D2">
      <w:start w:val="3"/>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8">
    <w:nsid w:val="2FF86D55"/>
    <w:multiLevelType w:val="hybridMultilevel"/>
    <w:tmpl w:val="5784C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9120EE"/>
    <w:multiLevelType w:val="hybridMultilevel"/>
    <w:tmpl w:val="66CC1E34"/>
    <w:lvl w:ilvl="0" w:tplc="922E7B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429A1"/>
    <w:multiLevelType w:val="hybridMultilevel"/>
    <w:tmpl w:val="93186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A77D64"/>
    <w:multiLevelType w:val="hybridMultilevel"/>
    <w:tmpl w:val="A9FCCB9C"/>
    <w:lvl w:ilvl="0" w:tplc="82A0A5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3130A"/>
    <w:multiLevelType w:val="multilevel"/>
    <w:tmpl w:val="BE96084C"/>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trike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nsid w:val="4C981A35"/>
    <w:multiLevelType w:val="hybridMultilevel"/>
    <w:tmpl w:val="590A276A"/>
    <w:lvl w:ilvl="0" w:tplc="E96ECB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A301CAA"/>
    <w:multiLevelType w:val="hybridMultilevel"/>
    <w:tmpl w:val="6054CA22"/>
    <w:lvl w:ilvl="0" w:tplc="09EE62EC">
      <w:start w:val="1"/>
      <w:numFmt w:val="lowerLetter"/>
      <w:lvlText w:val="%1)"/>
      <w:lvlJc w:val="left"/>
      <w:pPr>
        <w:ind w:left="1500" w:hanging="360"/>
      </w:pPr>
      <w:rPr>
        <w:rFonts w:hint="default"/>
        <w:i/>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28">
    <w:nsid w:val="5D6A6E9B"/>
    <w:multiLevelType w:val="hybridMultilevel"/>
    <w:tmpl w:val="25BCE63E"/>
    <w:lvl w:ilvl="0" w:tplc="00B693D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5E7B5C7E"/>
    <w:multiLevelType w:val="hybridMultilevel"/>
    <w:tmpl w:val="9C6EB3D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D81C54"/>
    <w:multiLevelType w:val="multilevel"/>
    <w:tmpl w:val="FD08D66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321BF2"/>
    <w:multiLevelType w:val="multilevel"/>
    <w:tmpl w:val="8A7E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D2953C4"/>
    <w:multiLevelType w:val="multilevel"/>
    <w:tmpl w:val="B79A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2"/>
  </w:num>
  <w:num w:numId="3">
    <w:abstractNumId w:val="14"/>
  </w:num>
  <w:num w:numId="4">
    <w:abstractNumId w:val="11"/>
  </w:num>
  <w:num w:numId="5">
    <w:abstractNumId w:val="23"/>
  </w:num>
  <w:num w:numId="6">
    <w:abstractNumId w:val="25"/>
  </w:num>
  <w:num w:numId="7">
    <w:abstractNumId w:val="26"/>
  </w:num>
  <w:num w:numId="8">
    <w:abstractNumId w:val="2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0"/>
  </w:num>
  <w:num w:numId="20">
    <w:abstractNumId w:val="12"/>
  </w:num>
  <w:num w:numId="21">
    <w:abstractNumId w:val="21"/>
  </w:num>
  <w:num w:numId="22">
    <w:abstractNumId w:val="29"/>
  </w:num>
  <w:num w:numId="23">
    <w:abstractNumId w:val="19"/>
  </w:num>
  <w:num w:numId="24">
    <w:abstractNumId w:val="0"/>
  </w:num>
  <w:num w:numId="25">
    <w:abstractNumId w:val="16"/>
  </w:num>
  <w:num w:numId="26">
    <w:abstractNumId w:val="18"/>
  </w:num>
  <w:num w:numId="27">
    <w:abstractNumId w:val="31"/>
  </w:num>
  <w:num w:numId="28">
    <w:abstractNumId w:val="33"/>
  </w:num>
  <w:num w:numId="29">
    <w:abstractNumId w:val="13"/>
  </w:num>
  <w:num w:numId="30">
    <w:abstractNumId w:val="17"/>
  </w:num>
  <w:num w:numId="31">
    <w:abstractNumId w:val="20"/>
  </w:num>
  <w:num w:numId="32">
    <w:abstractNumId w:val="26"/>
    <w:lvlOverride w:ilvl="0">
      <w:startOverride w:val="7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7"/>
  </w:num>
  <w:num w:numId="35">
    <w:abstractNumId w:val="2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6"/>
  </w:num>
  <w:num w:numId="39">
    <w:abstractNumId w:val="26"/>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stylePaneFormatFilter w:val="1024"/>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04424"/>
    <w:rsid w:val="000126C2"/>
    <w:rsid w:val="000213F7"/>
    <w:rsid w:val="00023FC7"/>
    <w:rsid w:val="00025198"/>
    <w:rsid w:val="000425CA"/>
    <w:rsid w:val="00044DE4"/>
    <w:rsid w:val="000578A3"/>
    <w:rsid w:val="000648CC"/>
    <w:rsid w:val="00065FEA"/>
    <w:rsid w:val="00075814"/>
    <w:rsid w:val="000878B4"/>
    <w:rsid w:val="0009203E"/>
    <w:rsid w:val="000929CB"/>
    <w:rsid w:val="000B22E7"/>
    <w:rsid w:val="000B4CEB"/>
    <w:rsid w:val="000B6A0F"/>
    <w:rsid w:val="000B6D72"/>
    <w:rsid w:val="000C159F"/>
    <w:rsid w:val="000C59B8"/>
    <w:rsid w:val="000C6AF0"/>
    <w:rsid w:val="000D0A77"/>
    <w:rsid w:val="000D67B8"/>
    <w:rsid w:val="000E5A90"/>
    <w:rsid w:val="000F7993"/>
    <w:rsid w:val="00104F33"/>
    <w:rsid w:val="00111DE2"/>
    <w:rsid w:val="001144DD"/>
    <w:rsid w:val="00116B38"/>
    <w:rsid w:val="00132941"/>
    <w:rsid w:val="00135406"/>
    <w:rsid w:val="00135972"/>
    <w:rsid w:val="00136317"/>
    <w:rsid w:val="00137C39"/>
    <w:rsid w:val="001423EB"/>
    <w:rsid w:val="001426A9"/>
    <w:rsid w:val="00154918"/>
    <w:rsid w:val="00154D7C"/>
    <w:rsid w:val="001570B0"/>
    <w:rsid w:val="0015752C"/>
    <w:rsid w:val="00157737"/>
    <w:rsid w:val="00165277"/>
    <w:rsid w:val="00167927"/>
    <w:rsid w:val="00170592"/>
    <w:rsid w:val="00171A1D"/>
    <w:rsid w:val="001720F7"/>
    <w:rsid w:val="0019011E"/>
    <w:rsid w:val="00195D83"/>
    <w:rsid w:val="001A00C1"/>
    <w:rsid w:val="001B33E0"/>
    <w:rsid w:val="001B4573"/>
    <w:rsid w:val="001C372E"/>
    <w:rsid w:val="001C4015"/>
    <w:rsid w:val="001C779F"/>
    <w:rsid w:val="001D2AC1"/>
    <w:rsid w:val="001D4E88"/>
    <w:rsid w:val="001E3DCD"/>
    <w:rsid w:val="001F2EBF"/>
    <w:rsid w:val="00200CB9"/>
    <w:rsid w:val="00220FC2"/>
    <w:rsid w:val="002222F4"/>
    <w:rsid w:val="0022253A"/>
    <w:rsid w:val="00224FC0"/>
    <w:rsid w:val="00225EA4"/>
    <w:rsid w:val="00226EAF"/>
    <w:rsid w:val="00231F3A"/>
    <w:rsid w:val="002406EE"/>
    <w:rsid w:val="00243EC8"/>
    <w:rsid w:val="00245DE9"/>
    <w:rsid w:val="00254333"/>
    <w:rsid w:val="002574F9"/>
    <w:rsid w:val="00263228"/>
    <w:rsid w:val="00263E00"/>
    <w:rsid w:val="00265197"/>
    <w:rsid w:val="00270D93"/>
    <w:rsid w:val="00271FE8"/>
    <w:rsid w:val="00272AD7"/>
    <w:rsid w:val="002745CC"/>
    <w:rsid w:val="00292427"/>
    <w:rsid w:val="002A5708"/>
    <w:rsid w:val="002B6FBE"/>
    <w:rsid w:val="002B7924"/>
    <w:rsid w:val="002B7942"/>
    <w:rsid w:val="002C10A6"/>
    <w:rsid w:val="002C4B13"/>
    <w:rsid w:val="002D28C3"/>
    <w:rsid w:val="002D39A4"/>
    <w:rsid w:val="002D3C4B"/>
    <w:rsid w:val="002D60E5"/>
    <w:rsid w:val="002D6DA7"/>
    <w:rsid w:val="002E6705"/>
    <w:rsid w:val="002F3402"/>
    <w:rsid w:val="00300B76"/>
    <w:rsid w:val="0030329A"/>
    <w:rsid w:val="00305F36"/>
    <w:rsid w:val="0031086F"/>
    <w:rsid w:val="0031414C"/>
    <w:rsid w:val="00314E01"/>
    <w:rsid w:val="0032089D"/>
    <w:rsid w:val="00325102"/>
    <w:rsid w:val="00325CBD"/>
    <w:rsid w:val="003310DE"/>
    <w:rsid w:val="003323B0"/>
    <w:rsid w:val="00332941"/>
    <w:rsid w:val="00332AE9"/>
    <w:rsid w:val="00335FE0"/>
    <w:rsid w:val="00340A49"/>
    <w:rsid w:val="00345AE7"/>
    <w:rsid w:val="0035169A"/>
    <w:rsid w:val="0035259D"/>
    <w:rsid w:val="00364B18"/>
    <w:rsid w:val="00374C1B"/>
    <w:rsid w:val="00375B4E"/>
    <w:rsid w:val="00382BC2"/>
    <w:rsid w:val="00391C17"/>
    <w:rsid w:val="003A125D"/>
    <w:rsid w:val="003A3D7A"/>
    <w:rsid w:val="003A4C70"/>
    <w:rsid w:val="003B215F"/>
    <w:rsid w:val="003C38D8"/>
    <w:rsid w:val="003C5276"/>
    <w:rsid w:val="003C799C"/>
    <w:rsid w:val="003D0399"/>
    <w:rsid w:val="003D375A"/>
    <w:rsid w:val="003D53E7"/>
    <w:rsid w:val="003E1C71"/>
    <w:rsid w:val="003F327B"/>
    <w:rsid w:val="003F4226"/>
    <w:rsid w:val="003F7506"/>
    <w:rsid w:val="00406166"/>
    <w:rsid w:val="0040704B"/>
    <w:rsid w:val="004107D3"/>
    <w:rsid w:val="00410A55"/>
    <w:rsid w:val="00411300"/>
    <w:rsid w:val="00412900"/>
    <w:rsid w:val="00413F17"/>
    <w:rsid w:val="00415417"/>
    <w:rsid w:val="00424C1A"/>
    <w:rsid w:val="00426659"/>
    <w:rsid w:val="00430FB4"/>
    <w:rsid w:val="004456FF"/>
    <w:rsid w:val="00450352"/>
    <w:rsid w:val="00454BDB"/>
    <w:rsid w:val="004648FA"/>
    <w:rsid w:val="00464F99"/>
    <w:rsid w:val="00465132"/>
    <w:rsid w:val="004720FD"/>
    <w:rsid w:val="00474418"/>
    <w:rsid w:val="00480C90"/>
    <w:rsid w:val="0048396F"/>
    <w:rsid w:val="00492A83"/>
    <w:rsid w:val="00493C18"/>
    <w:rsid w:val="004A1842"/>
    <w:rsid w:val="004A600C"/>
    <w:rsid w:val="004A6118"/>
    <w:rsid w:val="004B5732"/>
    <w:rsid w:val="004C478D"/>
    <w:rsid w:val="004D7D95"/>
    <w:rsid w:val="004E2C26"/>
    <w:rsid w:val="004E5782"/>
    <w:rsid w:val="004E7C8D"/>
    <w:rsid w:val="0051212C"/>
    <w:rsid w:val="005125A8"/>
    <w:rsid w:val="00517549"/>
    <w:rsid w:val="00520228"/>
    <w:rsid w:val="00520ABC"/>
    <w:rsid w:val="00521AE8"/>
    <w:rsid w:val="00527180"/>
    <w:rsid w:val="0053077F"/>
    <w:rsid w:val="00555291"/>
    <w:rsid w:val="00566AD1"/>
    <w:rsid w:val="00583EDE"/>
    <w:rsid w:val="005A6079"/>
    <w:rsid w:val="005A6C68"/>
    <w:rsid w:val="005C0AAB"/>
    <w:rsid w:val="005C425B"/>
    <w:rsid w:val="005D4F09"/>
    <w:rsid w:val="005D7244"/>
    <w:rsid w:val="005E4698"/>
    <w:rsid w:val="005F203A"/>
    <w:rsid w:val="00603924"/>
    <w:rsid w:val="00610539"/>
    <w:rsid w:val="00613969"/>
    <w:rsid w:val="00625C35"/>
    <w:rsid w:val="006303ED"/>
    <w:rsid w:val="00636E2F"/>
    <w:rsid w:val="0064325E"/>
    <w:rsid w:val="00647E49"/>
    <w:rsid w:val="00650F7F"/>
    <w:rsid w:val="00656313"/>
    <w:rsid w:val="006565F4"/>
    <w:rsid w:val="0066111F"/>
    <w:rsid w:val="006819E9"/>
    <w:rsid w:val="00684EEA"/>
    <w:rsid w:val="0069689B"/>
    <w:rsid w:val="006A2DB5"/>
    <w:rsid w:val="006B5FE2"/>
    <w:rsid w:val="006B5FF5"/>
    <w:rsid w:val="006C6AFF"/>
    <w:rsid w:val="006E64AF"/>
    <w:rsid w:val="006F23FB"/>
    <w:rsid w:val="006F30AF"/>
    <w:rsid w:val="00701759"/>
    <w:rsid w:val="00705C15"/>
    <w:rsid w:val="007110F6"/>
    <w:rsid w:val="00712AF2"/>
    <w:rsid w:val="007208D1"/>
    <w:rsid w:val="00730DBB"/>
    <w:rsid w:val="00731630"/>
    <w:rsid w:val="00741083"/>
    <w:rsid w:val="00744518"/>
    <w:rsid w:val="00747288"/>
    <w:rsid w:val="00747DD3"/>
    <w:rsid w:val="007549C8"/>
    <w:rsid w:val="00760EB8"/>
    <w:rsid w:val="007615E1"/>
    <w:rsid w:val="00764199"/>
    <w:rsid w:val="00766D14"/>
    <w:rsid w:val="00767A0F"/>
    <w:rsid w:val="0077155D"/>
    <w:rsid w:val="00791272"/>
    <w:rsid w:val="00797AD7"/>
    <w:rsid w:val="007A05F6"/>
    <w:rsid w:val="007A1270"/>
    <w:rsid w:val="007A28DF"/>
    <w:rsid w:val="007A2BDF"/>
    <w:rsid w:val="007B6F4A"/>
    <w:rsid w:val="007C4731"/>
    <w:rsid w:val="007D6C61"/>
    <w:rsid w:val="007D7718"/>
    <w:rsid w:val="007E1C47"/>
    <w:rsid w:val="007E337A"/>
    <w:rsid w:val="007E5C70"/>
    <w:rsid w:val="007F2FF5"/>
    <w:rsid w:val="007F3F08"/>
    <w:rsid w:val="00801D5B"/>
    <w:rsid w:val="00802002"/>
    <w:rsid w:val="00804BF4"/>
    <w:rsid w:val="00804CC6"/>
    <w:rsid w:val="008077A9"/>
    <w:rsid w:val="00812E88"/>
    <w:rsid w:val="00817190"/>
    <w:rsid w:val="00822672"/>
    <w:rsid w:val="00824154"/>
    <w:rsid w:val="00824852"/>
    <w:rsid w:val="008260E2"/>
    <w:rsid w:val="00830A8C"/>
    <w:rsid w:val="008322BD"/>
    <w:rsid w:val="00834F73"/>
    <w:rsid w:val="00851EF9"/>
    <w:rsid w:val="00864C8A"/>
    <w:rsid w:val="00864CF8"/>
    <w:rsid w:val="00871FD8"/>
    <w:rsid w:val="00874914"/>
    <w:rsid w:val="00891422"/>
    <w:rsid w:val="00892E1A"/>
    <w:rsid w:val="00894511"/>
    <w:rsid w:val="008A6C48"/>
    <w:rsid w:val="008B29FB"/>
    <w:rsid w:val="008B660A"/>
    <w:rsid w:val="008C01DA"/>
    <w:rsid w:val="008D367D"/>
    <w:rsid w:val="008D566E"/>
    <w:rsid w:val="008D7065"/>
    <w:rsid w:val="008E38F7"/>
    <w:rsid w:val="008F2674"/>
    <w:rsid w:val="008F78E9"/>
    <w:rsid w:val="00904014"/>
    <w:rsid w:val="009169A1"/>
    <w:rsid w:val="009179F9"/>
    <w:rsid w:val="00917C7A"/>
    <w:rsid w:val="00933E5E"/>
    <w:rsid w:val="00935218"/>
    <w:rsid w:val="009357EC"/>
    <w:rsid w:val="00936D51"/>
    <w:rsid w:val="009372D7"/>
    <w:rsid w:val="00937C52"/>
    <w:rsid w:val="009403F3"/>
    <w:rsid w:val="009433C8"/>
    <w:rsid w:val="00943759"/>
    <w:rsid w:val="009466C4"/>
    <w:rsid w:val="00951536"/>
    <w:rsid w:val="009542BA"/>
    <w:rsid w:val="009555B7"/>
    <w:rsid w:val="009563BF"/>
    <w:rsid w:val="009567AA"/>
    <w:rsid w:val="00957B2C"/>
    <w:rsid w:val="009602C9"/>
    <w:rsid w:val="00964B08"/>
    <w:rsid w:val="00966B40"/>
    <w:rsid w:val="00967374"/>
    <w:rsid w:val="00984B8E"/>
    <w:rsid w:val="009A343A"/>
    <w:rsid w:val="009B2F23"/>
    <w:rsid w:val="009B57B3"/>
    <w:rsid w:val="009D2920"/>
    <w:rsid w:val="009D5AEB"/>
    <w:rsid w:val="009F0E33"/>
    <w:rsid w:val="009F4BD4"/>
    <w:rsid w:val="00A131B6"/>
    <w:rsid w:val="00A13C9B"/>
    <w:rsid w:val="00A14640"/>
    <w:rsid w:val="00A149DF"/>
    <w:rsid w:val="00A1755C"/>
    <w:rsid w:val="00A21B90"/>
    <w:rsid w:val="00A22AAC"/>
    <w:rsid w:val="00A3335E"/>
    <w:rsid w:val="00A41805"/>
    <w:rsid w:val="00A51882"/>
    <w:rsid w:val="00A52AFB"/>
    <w:rsid w:val="00A548CB"/>
    <w:rsid w:val="00A5521C"/>
    <w:rsid w:val="00A61460"/>
    <w:rsid w:val="00A643E7"/>
    <w:rsid w:val="00A73C38"/>
    <w:rsid w:val="00A86331"/>
    <w:rsid w:val="00A92966"/>
    <w:rsid w:val="00A95989"/>
    <w:rsid w:val="00A9680D"/>
    <w:rsid w:val="00A9712D"/>
    <w:rsid w:val="00AB670D"/>
    <w:rsid w:val="00AC4F67"/>
    <w:rsid w:val="00AE4ED2"/>
    <w:rsid w:val="00AF03C5"/>
    <w:rsid w:val="00AF197F"/>
    <w:rsid w:val="00B000D8"/>
    <w:rsid w:val="00B00F75"/>
    <w:rsid w:val="00B145B6"/>
    <w:rsid w:val="00B14DDE"/>
    <w:rsid w:val="00B17291"/>
    <w:rsid w:val="00B279EB"/>
    <w:rsid w:val="00B27A63"/>
    <w:rsid w:val="00B30737"/>
    <w:rsid w:val="00B41B0A"/>
    <w:rsid w:val="00B50C81"/>
    <w:rsid w:val="00B5259D"/>
    <w:rsid w:val="00B53263"/>
    <w:rsid w:val="00B557F8"/>
    <w:rsid w:val="00B571AC"/>
    <w:rsid w:val="00B62F20"/>
    <w:rsid w:val="00B815FC"/>
    <w:rsid w:val="00B86E86"/>
    <w:rsid w:val="00B93FBC"/>
    <w:rsid w:val="00BA7DA0"/>
    <w:rsid w:val="00BB2EE4"/>
    <w:rsid w:val="00BB4C92"/>
    <w:rsid w:val="00BC2108"/>
    <w:rsid w:val="00BC30FE"/>
    <w:rsid w:val="00BC3B57"/>
    <w:rsid w:val="00BD0ABB"/>
    <w:rsid w:val="00BD0E9E"/>
    <w:rsid w:val="00BD1BEC"/>
    <w:rsid w:val="00BD32FF"/>
    <w:rsid w:val="00BE0FBE"/>
    <w:rsid w:val="00BF1640"/>
    <w:rsid w:val="00BF6FE9"/>
    <w:rsid w:val="00C02092"/>
    <w:rsid w:val="00C15CA6"/>
    <w:rsid w:val="00C24D91"/>
    <w:rsid w:val="00C252F4"/>
    <w:rsid w:val="00C25A5D"/>
    <w:rsid w:val="00C26DB2"/>
    <w:rsid w:val="00C3604C"/>
    <w:rsid w:val="00C415E4"/>
    <w:rsid w:val="00C46D90"/>
    <w:rsid w:val="00C53F14"/>
    <w:rsid w:val="00C600CF"/>
    <w:rsid w:val="00C6084F"/>
    <w:rsid w:val="00C62A66"/>
    <w:rsid w:val="00C63677"/>
    <w:rsid w:val="00C640F9"/>
    <w:rsid w:val="00C66359"/>
    <w:rsid w:val="00C71458"/>
    <w:rsid w:val="00C75C1D"/>
    <w:rsid w:val="00C7660C"/>
    <w:rsid w:val="00C77613"/>
    <w:rsid w:val="00C828E7"/>
    <w:rsid w:val="00C86719"/>
    <w:rsid w:val="00C921DD"/>
    <w:rsid w:val="00CA2839"/>
    <w:rsid w:val="00CA6391"/>
    <w:rsid w:val="00CC11E7"/>
    <w:rsid w:val="00CC126A"/>
    <w:rsid w:val="00CD20B8"/>
    <w:rsid w:val="00CE036E"/>
    <w:rsid w:val="00CE3171"/>
    <w:rsid w:val="00CF1601"/>
    <w:rsid w:val="00CF796F"/>
    <w:rsid w:val="00D0172F"/>
    <w:rsid w:val="00D01E33"/>
    <w:rsid w:val="00D0548B"/>
    <w:rsid w:val="00D068A7"/>
    <w:rsid w:val="00D17476"/>
    <w:rsid w:val="00D32086"/>
    <w:rsid w:val="00D37A3F"/>
    <w:rsid w:val="00D41F2B"/>
    <w:rsid w:val="00D4431D"/>
    <w:rsid w:val="00D4667A"/>
    <w:rsid w:val="00D63A1C"/>
    <w:rsid w:val="00D7516F"/>
    <w:rsid w:val="00D94897"/>
    <w:rsid w:val="00D95A35"/>
    <w:rsid w:val="00D95F8E"/>
    <w:rsid w:val="00DA0590"/>
    <w:rsid w:val="00DA4B71"/>
    <w:rsid w:val="00DA5B34"/>
    <w:rsid w:val="00DB0035"/>
    <w:rsid w:val="00DC1739"/>
    <w:rsid w:val="00DC1788"/>
    <w:rsid w:val="00DE0373"/>
    <w:rsid w:val="00DE044A"/>
    <w:rsid w:val="00DE0BF2"/>
    <w:rsid w:val="00DE319C"/>
    <w:rsid w:val="00DF0CA8"/>
    <w:rsid w:val="00DF2B48"/>
    <w:rsid w:val="00DF49A7"/>
    <w:rsid w:val="00DF5AEF"/>
    <w:rsid w:val="00E0365D"/>
    <w:rsid w:val="00E07EE2"/>
    <w:rsid w:val="00E07FD1"/>
    <w:rsid w:val="00E24573"/>
    <w:rsid w:val="00E25E1E"/>
    <w:rsid w:val="00E2602D"/>
    <w:rsid w:val="00E27EE7"/>
    <w:rsid w:val="00E30B8C"/>
    <w:rsid w:val="00E35404"/>
    <w:rsid w:val="00E405C6"/>
    <w:rsid w:val="00E43EFC"/>
    <w:rsid w:val="00E45109"/>
    <w:rsid w:val="00E47B7A"/>
    <w:rsid w:val="00E56A44"/>
    <w:rsid w:val="00E60269"/>
    <w:rsid w:val="00E70670"/>
    <w:rsid w:val="00E861DE"/>
    <w:rsid w:val="00E97830"/>
    <w:rsid w:val="00EC7686"/>
    <w:rsid w:val="00EE0830"/>
    <w:rsid w:val="00EE6CB8"/>
    <w:rsid w:val="00EF0683"/>
    <w:rsid w:val="00F0070C"/>
    <w:rsid w:val="00F00EB7"/>
    <w:rsid w:val="00F02ACD"/>
    <w:rsid w:val="00F06F01"/>
    <w:rsid w:val="00F11BB2"/>
    <w:rsid w:val="00F1771E"/>
    <w:rsid w:val="00F36AB6"/>
    <w:rsid w:val="00F37A09"/>
    <w:rsid w:val="00F409CE"/>
    <w:rsid w:val="00F4379D"/>
    <w:rsid w:val="00F50D2D"/>
    <w:rsid w:val="00F56C8B"/>
    <w:rsid w:val="00F62639"/>
    <w:rsid w:val="00F66810"/>
    <w:rsid w:val="00F77463"/>
    <w:rsid w:val="00F82A72"/>
    <w:rsid w:val="00F84DF4"/>
    <w:rsid w:val="00F85C97"/>
    <w:rsid w:val="00F9029D"/>
    <w:rsid w:val="00FB37D2"/>
    <w:rsid w:val="00FC4EFB"/>
    <w:rsid w:val="00FC61FC"/>
    <w:rsid w:val="00FC6316"/>
    <w:rsid w:val="00FD05E5"/>
    <w:rsid w:val="00FD068D"/>
    <w:rsid w:val="00FD0A24"/>
    <w:rsid w:val="00FD4F28"/>
    <w:rsid w:val="00FE6784"/>
    <w:rsid w:val="00FE7A8B"/>
    <w:rsid w:val="00FE7D20"/>
    <w:rsid w:val="00FF7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F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styleId="FootnoteReference">
    <w:name w:val="footnote reference"/>
    <w:basedOn w:val="DefaultParagraphFont"/>
    <w:uiPriority w:val="99"/>
    <w:unhideWhenUsed/>
    <w:rsid w:val="007A28DF"/>
    <w:rPr>
      <w:vertAlign w:val="superscript"/>
    </w:rPr>
  </w:style>
  <w:style w:type="paragraph" w:styleId="ListParagraph">
    <w:name w:val="List Paragraph"/>
    <w:basedOn w:val="Normal"/>
    <w:uiPriority w:val="34"/>
    <w:qFormat/>
    <w:rsid w:val="007A28DF"/>
    <w:pPr>
      <w:ind w:left="720"/>
      <w:contextualSpacing/>
    </w:p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
    <w:basedOn w:val="Normal"/>
    <w:link w:val="FootnoteTextChar"/>
    <w:uiPriority w:val="99"/>
    <w:unhideWhenUsed/>
    <w:qFormat/>
    <w:rsid w:val="00B41B0A"/>
    <w:rPr>
      <w:sz w:val="20"/>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uiPriority w:val="99"/>
    <w:rsid w:val="00B41B0A"/>
  </w:style>
  <w:style w:type="paragraph" w:customStyle="1" w:styleId="SCCLsocOtherPartyRoleSeparator">
    <w:name w:val="SCC.Lsoc.OtherPartyRoleSeparator"/>
    <w:basedOn w:val="Normal"/>
    <w:next w:val="Normal"/>
    <w:link w:val="SCCLsocOtherPartyRoleSeparatorChar"/>
    <w:rsid w:val="008B29FB"/>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8B29FB"/>
    <w:rPr>
      <w:rFonts w:eastAsiaTheme="minorHAnsi" w:cstheme="minorBidi"/>
      <w:sz w:val="24"/>
      <w:szCs w:val="22"/>
      <w:lang w:eastAsia="en-US"/>
    </w:rPr>
  </w:style>
  <w:style w:type="character" w:customStyle="1" w:styleId="SCCBanSummaryChar">
    <w:name w:val="SCC.BanSummary Char"/>
    <w:basedOn w:val="DefaultParagraphFont"/>
    <w:link w:val="SCCBanSummary"/>
    <w:rsid w:val="008B29FB"/>
    <w:rPr>
      <w:b/>
      <w:sz w:val="24"/>
    </w:rPr>
  </w:style>
  <w:style w:type="table" w:styleId="TableGrid">
    <w:name w:val="Table Grid"/>
    <w:basedOn w:val="TableNormal"/>
    <w:uiPriority w:val="59"/>
    <w:rsid w:val="008B29FB"/>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B29F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B29F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B29FB"/>
    <w:pPr>
      <w:tabs>
        <w:tab w:val="left" w:pos="1166"/>
      </w:tabs>
      <w:spacing w:after="480" w:line="480" w:lineRule="auto"/>
    </w:pPr>
    <w:rPr>
      <w:smallCaps/>
      <w:sz w:val="24"/>
      <w:szCs w:val="24"/>
    </w:rPr>
  </w:style>
  <w:style w:type="paragraph" w:customStyle="1" w:styleId="ParaNoNdepar-AltN">
    <w:name w:val="Para. No. / Nº de par. - Alt N"/>
    <w:qFormat/>
    <w:rsid w:val="008B29FB"/>
    <w:pPr>
      <w:numPr>
        <w:numId w:val="7"/>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8B29FB"/>
    <w:pPr>
      <w:keepNext/>
      <w:numPr>
        <w:numId w:val="8"/>
      </w:numPr>
      <w:tabs>
        <w:tab w:val="left" w:pos="576"/>
      </w:tabs>
      <w:spacing w:after="720"/>
      <w:ind w:left="576" w:hanging="576"/>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B29FB"/>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8B29FB"/>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8B29FB"/>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8B29FB"/>
    <w:pPr>
      <w:numPr>
        <w:ilvl w:val="4"/>
      </w:numPr>
      <w:tabs>
        <w:tab w:val="clear" w:pos="576"/>
        <w:tab w:val="left" w:pos="1620"/>
      </w:tabs>
      <w:ind w:left="1620" w:hanging="540"/>
    </w:pPr>
  </w:style>
  <w:style w:type="paragraph" w:styleId="TOC1">
    <w:name w:val="toc 1"/>
    <w:basedOn w:val="Normal"/>
    <w:next w:val="Normal"/>
    <w:autoRedefine/>
    <w:uiPriority w:val="39"/>
    <w:unhideWhenUsed/>
    <w:rsid w:val="008B29F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B29F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B29F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B29F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B29F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B29FB"/>
    <w:pPr>
      <w:tabs>
        <w:tab w:val="left" w:pos="2160"/>
        <w:tab w:val="right" w:leader="dot" w:pos="8270"/>
      </w:tabs>
      <w:spacing w:after="100"/>
      <w:ind w:left="1800"/>
    </w:pPr>
    <w:rPr>
      <w:noProof/>
    </w:rPr>
  </w:style>
  <w:style w:type="table" w:customStyle="1" w:styleId="TableGrid1">
    <w:name w:val="Table Grid1"/>
    <w:basedOn w:val="TableNormal"/>
    <w:uiPriority w:val="59"/>
    <w:rsid w:val="008B29FB"/>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8B29FB"/>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rsid w:val="008B29FB"/>
    <w:rPr>
      <w:color w:val="0000FF" w:themeColor="hyperlink"/>
      <w:u w:val="single"/>
    </w:rPr>
  </w:style>
  <w:style w:type="character" w:styleId="CommentReference">
    <w:name w:val="annotation reference"/>
    <w:basedOn w:val="DefaultParagraphFont"/>
    <w:rsid w:val="008B29FB"/>
    <w:rPr>
      <w:sz w:val="18"/>
      <w:szCs w:val="18"/>
    </w:rPr>
  </w:style>
  <w:style w:type="paragraph" w:styleId="CommentText">
    <w:name w:val="annotation text"/>
    <w:basedOn w:val="Normal"/>
    <w:link w:val="CommentTextChar"/>
    <w:rsid w:val="008B29FB"/>
    <w:rPr>
      <w:szCs w:val="24"/>
    </w:rPr>
  </w:style>
  <w:style w:type="character" w:customStyle="1" w:styleId="CommentTextChar">
    <w:name w:val="Comment Text Char"/>
    <w:basedOn w:val="DefaultParagraphFont"/>
    <w:link w:val="CommentText"/>
    <w:rsid w:val="008B29FB"/>
    <w:rPr>
      <w:sz w:val="24"/>
      <w:szCs w:val="24"/>
    </w:rPr>
  </w:style>
  <w:style w:type="paragraph" w:styleId="CommentSubject">
    <w:name w:val="annotation subject"/>
    <w:basedOn w:val="CommentText"/>
    <w:next w:val="CommentText"/>
    <w:link w:val="CommentSubjectChar"/>
    <w:rsid w:val="008B29FB"/>
    <w:rPr>
      <w:b/>
      <w:bCs/>
      <w:sz w:val="20"/>
      <w:szCs w:val="20"/>
    </w:rPr>
  </w:style>
  <w:style w:type="character" w:customStyle="1" w:styleId="CommentSubjectChar">
    <w:name w:val="Comment Subject Char"/>
    <w:basedOn w:val="CommentTextChar"/>
    <w:link w:val="CommentSubject"/>
    <w:rsid w:val="008B29FB"/>
    <w:rPr>
      <w:b/>
      <w:bCs/>
    </w:rPr>
  </w:style>
  <w:style w:type="paragraph" w:customStyle="1" w:styleId="scjquote1">
    <w:name w:val="scjquote1"/>
    <w:basedOn w:val="Normal"/>
    <w:rsid w:val="008B29FB"/>
    <w:pPr>
      <w:spacing w:after="120"/>
      <w:ind w:left="720" w:right="720"/>
    </w:pPr>
    <w:rPr>
      <w:rFonts w:ascii="Arial" w:hAnsi="Arial" w:cs="Arial"/>
      <w:sz w:val="22"/>
      <w:szCs w:val="22"/>
      <w:lang w:val="en-US" w:eastAsia="en-US"/>
    </w:rPr>
  </w:style>
  <w:style w:type="character" w:customStyle="1" w:styleId="reflex2-link">
    <w:name w:val="reflex2-link"/>
    <w:basedOn w:val="DefaultParagraphFont"/>
    <w:rsid w:val="008B29FB"/>
  </w:style>
  <w:style w:type="character" w:styleId="Emphasis">
    <w:name w:val="Emphasis"/>
    <w:basedOn w:val="DefaultParagraphFont"/>
    <w:uiPriority w:val="20"/>
    <w:qFormat/>
    <w:rsid w:val="008B29FB"/>
    <w:rPr>
      <w:i/>
      <w:iCs/>
    </w:rPr>
  </w:style>
  <w:style w:type="paragraph" w:customStyle="1" w:styleId="paragraph">
    <w:name w:val="paragraph"/>
    <w:basedOn w:val="Normal"/>
    <w:rsid w:val="008B29FB"/>
    <w:pPr>
      <w:spacing w:before="100" w:beforeAutospacing="1" w:after="100" w:afterAutospacing="1"/>
    </w:pPr>
    <w:rPr>
      <w:szCs w:val="24"/>
      <w:lang w:val="en-US" w:eastAsia="en-US"/>
    </w:rPr>
  </w:style>
  <w:style w:type="paragraph" w:styleId="NoSpacing">
    <w:name w:val="No Spacing"/>
    <w:basedOn w:val="Normal"/>
    <w:uiPriority w:val="3"/>
    <w:qFormat/>
    <w:rsid w:val="008B29FB"/>
    <w:rPr>
      <w:szCs w:val="24"/>
    </w:rPr>
  </w:style>
  <w:style w:type="paragraph" w:customStyle="1" w:styleId="section">
    <w:name w:val="section"/>
    <w:basedOn w:val="Normal"/>
    <w:rsid w:val="008B29FB"/>
    <w:pPr>
      <w:spacing w:before="168" w:after="120"/>
      <w:ind w:firstLine="360"/>
    </w:pPr>
    <w:rPr>
      <w:szCs w:val="24"/>
    </w:rPr>
  </w:style>
  <w:style w:type="character" w:customStyle="1" w:styleId="sectionlabel">
    <w:name w:val="sectionlabel"/>
    <w:basedOn w:val="DefaultParagraphFont"/>
    <w:rsid w:val="008B29FB"/>
    <w:rPr>
      <w:b/>
      <w:bCs/>
    </w:rPr>
  </w:style>
  <w:style w:type="character" w:customStyle="1" w:styleId="definition">
    <w:name w:val="definition"/>
    <w:basedOn w:val="DefaultParagraphFont"/>
    <w:rsid w:val="008B29FB"/>
  </w:style>
  <w:style w:type="paragraph" w:customStyle="1" w:styleId="Default">
    <w:name w:val="Default"/>
    <w:rsid w:val="008B29FB"/>
    <w:pPr>
      <w:autoSpaceDE w:val="0"/>
      <w:autoSpaceDN w:val="0"/>
      <w:adjustRightInd w:val="0"/>
    </w:pPr>
    <w:rPr>
      <w:color w:val="000000"/>
      <w:sz w:val="24"/>
      <w:szCs w:val="24"/>
    </w:rPr>
  </w:style>
  <w:style w:type="paragraph" w:customStyle="1" w:styleId="ListParagraph1">
    <w:name w:val="List Paragraph1"/>
    <w:basedOn w:val="Normal"/>
    <w:rsid w:val="008B29FB"/>
    <w:pPr>
      <w:spacing w:after="200" w:line="276" w:lineRule="auto"/>
      <w:ind w:left="720"/>
      <w:contextualSpacing/>
    </w:pPr>
    <w:rPr>
      <w:rFonts w:ascii="Calibri" w:eastAsia="Batang" w:hAnsi="Calibri"/>
      <w:sz w:val="22"/>
      <w:szCs w:val="22"/>
      <w:lang w:val="en-US" w:eastAsia="en-US" w:bidi="fr-FR"/>
    </w:rPr>
  </w:style>
  <w:style w:type="paragraph" w:customStyle="1" w:styleId="subsection">
    <w:name w:val="subsection"/>
    <w:basedOn w:val="Normal"/>
    <w:rsid w:val="008B29FB"/>
    <w:pPr>
      <w:spacing w:before="168" w:after="120"/>
      <w:ind w:firstLine="360"/>
    </w:pPr>
    <w:rPr>
      <w:szCs w:val="24"/>
    </w:rPr>
  </w:style>
  <w:style w:type="character" w:customStyle="1" w:styleId="otherlang">
    <w:name w:val="otherlang"/>
    <w:basedOn w:val="DefaultParagraphFont"/>
    <w:rsid w:val="008B29FB"/>
    <w:rPr>
      <w:i/>
      <w:iCs/>
    </w:rPr>
  </w:style>
  <w:style w:type="character" w:customStyle="1" w:styleId="wb-invisible">
    <w:name w:val="wb-invisible"/>
    <w:basedOn w:val="DefaultParagraphFont"/>
    <w:rsid w:val="008B29FB"/>
  </w:style>
  <w:style w:type="table" w:customStyle="1" w:styleId="TableGrid2">
    <w:name w:val="Table Grid2"/>
    <w:basedOn w:val="TableNormal"/>
    <w:next w:val="TableGrid"/>
    <w:uiPriority w:val="59"/>
    <w:rsid w:val="00B62F2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30A8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9D284-737E-43CB-8C1F-5B467EC8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23177</Words>
  <Characters>113752</Characters>
  <Application>Microsoft Office Word</Application>
  <DocSecurity>0</DocSecurity>
  <Lines>947</Lines>
  <Paragraphs>273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2014-03-24T21:25:00Z</dcterms:created>
  <dcterms:modified xsi:type="dcterms:W3CDTF">2014-06-26T19:32:00Z</dcterms:modified>
</cp:coreProperties>
</file>