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66" w:rsidRDefault="00BB2766" w:rsidP="00BB276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72561054" r:id="rId8"/>
        </w:object>
      </w:r>
      <w:r>
        <w:t xml:space="preserve"> </w:t>
      </w:r>
      <w:r>
        <w:ptab w:relativeTo="margin" w:alignment="right" w:leader="none"/>
      </w:r>
    </w:p>
    <w:p w:rsidR="00BB2766" w:rsidRDefault="00BB2766" w:rsidP="00BB2766">
      <w:pPr>
        <w:pStyle w:val="Header"/>
      </w:pPr>
    </w:p>
    <w:p w:rsidR="00BB2766" w:rsidRPr="001E12E2" w:rsidRDefault="00BB2766" w:rsidP="00BB2766">
      <w:pPr>
        <w:jc w:val="center"/>
        <w:rPr>
          <w:b/>
        </w:rPr>
      </w:pPr>
      <w:r w:rsidRPr="001E12E2">
        <w:rPr>
          <w:b/>
        </w:rPr>
        <w:t>COUR SUPRÊME DU CANADA</w:t>
      </w:r>
    </w:p>
    <w:p w:rsidR="00BB2766" w:rsidRDefault="00BB2766" w:rsidP="00BB276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B2766" w:rsidRPr="001E12E2" w:rsidTr="0051112B">
        <w:trPr>
          <w:cantSplit/>
        </w:trPr>
        <w:tc>
          <w:tcPr>
            <w:tcW w:w="6768" w:type="dxa"/>
          </w:tcPr>
          <w:p w:rsidR="00BB2766" w:rsidRPr="00BB2766" w:rsidRDefault="00BB2766" w:rsidP="0051112B">
            <w:pPr>
              <w:rPr>
                <w:lang w:val="fr-CA"/>
              </w:rPr>
            </w:pPr>
            <w:r w:rsidRPr="00BB2766">
              <w:rPr>
                <w:b/>
                <w:smallCaps/>
                <w:lang w:val="fr-CA"/>
              </w:rPr>
              <w:t>Référence :</w:t>
            </w:r>
            <w:r w:rsidRPr="00BB2766">
              <w:rPr>
                <w:lang w:val="fr-CA"/>
              </w:rPr>
              <w:t xml:space="preserve"> R. </w:t>
            </w:r>
            <w:r w:rsidRPr="00BB2766">
              <w:rPr>
                <w:i/>
                <w:lang w:val="fr-CA"/>
              </w:rPr>
              <w:t>c.</w:t>
            </w:r>
            <w:r w:rsidRPr="00BB2766">
              <w:rPr>
                <w:lang w:val="fr-CA"/>
              </w:rPr>
              <w:t xml:space="preserve"> </w:t>
            </w:r>
            <w:proofErr w:type="spellStart"/>
            <w:r w:rsidRPr="00BB2766">
              <w:rPr>
                <w:lang w:val="fr-CA"/>
              </w:rPr>
              <w:t>Carvery</w:t>
            </w:r>
            <w:proofErr w:type="spellEnd"/>
            <w:r w:rsidRPr="00BB2766">
              <w:rPr>
                <w:lang w:val="fr-CA"/>
              </w:rPr>
              <w:t>, 2014 CSC 27</w:t>
            </w:r>
            <w:r w:rsidR="009D1CC4">
              <w:rPr>
                <w:lang w:val="fr-CA"/>
              </w:rPr>
              <w:t>, [2014] 1 R.C.S. 605</w:t>
            </w:r>
          </w:p>
        </w:tc>
        <w:tc>
          <w:tcPr>
            <w:tcW w:w="2808" w:type="dxa"/>
          </w:tcPr>
          <w:p w:rsidR="00BB2766" w:rsidRPr="001E12E2" w:rsidRDefault="00BB2766" w:rsidP="0051112B">
            <w:r w:rsidRPr="001E12E2">
              <w:rPr>
                <w:b/>
                <w:smallCaps/>
              </w:rPr>
              <w:t>Date</w:t>
            </w:r>
            <w:r>
              <w:rPr>
                <w:b/>
                <w:smallCaps/>
              </w:rPr>
              <w:t> :</w:t>
            </w:r>
            <w:r w:rsidRPr="001E12E2">
              <w:t xml:space="preserve"> </w:t>
            </w:r>
            <w:r>
              <w:t>20140411</w:t>
            </w:r>
          </w:p>
          <w:p w:rsidR="00BB2766" w:rsidRPr="001E12E2" w:rsidRDefault="00BB2766" w:rsidP="0051112B">
            <w:r w:rsidRPr="001E12E2">
              <w:rPr>
                <w:b/>
                <w:smallCaps/>
              </w:rPr>
              <w:t>Do</w:t>
            </w:r>
            <w:r>
              <w:rPr>
                <w:b/>
                <w:smallCaps/>
              </w:rPr>
              <w:t>ssier :</w:t>
            </w:r>
            <w:r w:rsidRPr="001E12E2">
              <w:t xml:space="preserve"> </w:t>
            </w:r>
            <w:r>
              <w:t>35115</w:t>
            </w:r>
          </w:p>
        </w:tc>
      </w:tr>
    </w:tbl>
    <w:p w:rsidR="00BB2766" w:rsidRPr="001E12E2" w:rsidRDefault="00BB2766" w:rsidP="00BB2766"/>
    <w:p w:rsidR="00BB2766" w:rsidRDefault="00BB2766" w:rsidP="00BB2766">
      <w:pPr>
        <w:pStyle w:val="SCCLsocPrefix"/>
      </w:pPr>
      <w:r>
        <w:t>Entre :</w:t>
      </w:r>
    </w:p>
    <w:p w:rsidR="00BB2766" w:rsidRDefault="00BB2766" w:rsidP="00BB2766">
      <w:pPr>
        <w:pStyle w:val="SCCLsocParty"/>
        <w:jc w:val="center"/>
      </w:pPr>
      <w:r>
        <w:t xml:space="preserve">Sa </w:t>
      </w:r>
      <w:proofErr w:type="spellStart"/>
      <w:r>
        <w:t>Majesté</w:t>
      </w:r>
      <w:proofErr w:type="spellEnd"/>
      <w:r>
        <w:t xml:space="preserve"> la </w:t>
      </w:r>
      <w:proofErr w:type="spellStart"/>
      <w:r>
        <w:t>Reine</w:t>
      </w:r>
      <w:proofErr w:type="spellEnd"/>
    </w:p>
    <w:p w:rsidR="00BB2766" w:rsidRDefault="00BB2766" w:rsidP="00BB2766">
      <w:pPr>
        <w:jc w:val="center"/>
      </w:pPr>
      <w:proofErr w:type="spellStart"/>
      <w:r>
        <w:t>Appellante</w:t>
      </w:r>
      <w:proofErr w:type="spellEnd"/>
    </w:p>
    <w:p w:rsidR="00BB2766" w:rsidRPr="003D1574" w:rsidRDefault="00BB2766" w:rsidP="00BB2766">
      <w:pPr>
        <w:jc w:val="center"/>
      </w:pPr>
    </w:p>
    <w:p w:rsidR="00BB2766" w:rsidRPr="00743BF4" w:rsidRDefault="00BB2766" w:rsidP="00BB2766">
      <w:pPr>
        <w:pStyle w:val="SCCLsocVersus"/>
        <w:jc w:val="center"/>
        <w:rPr>
          <w:lang w:val="en-US"/>
        </w:rPr>
      </w:pPr>
      <w:proofErr w:type="gramStart"/>
      <w:r>
        <w:rPr>
          <w:lang w:val="en-US"/>
        </w:rPr>
        <w:t>et</w:t>
      </w:r>
      <w:proofErr w:type="gramEnd"/>
    </w:p>
    <w:p w:rsidR="00BB2766" w:rsidRDefault="00BB2766" w:rsidP="00BB2766">
      <w:pPr>
        <w:pStyle w:val="SCCLsocParty"/>
        <w:jc w:val="center"/>
        <w:rPr>
          <w:lang w:val="en-US"/>
        </w:rPr>
      </w:pPr>
    </w:p>
    <w:p w:rsidR="00BB2766" w:rsidRPr="00BB2766" w:rsidRDefault="00BB2766" w:rsidP="00BB2766">
      <w:pPr>
        <w:pStyle w:val="SCCLsocParty"/>
        <w:jc w:val="center"/>
        <w:rPr>
          <w:lang w:val="fr-CA"/>
        </w:rPr>
      </w:pPr>
      <w:r w:rsidRPr="00BB2766">
        <w:rPr>
          <w:lang w:val="fr-CA"/>
        </w:rPr>
        <w:t>Level Aaron Carvery</w:t>
      </w:r>
    </w:p>
    <w:p w:rsidR="00BB2766" w:rsidRPr="00BB2766" w:rsidRDefault="00BB2766" w:rsidP="00BB2766">
      <w:pPr>
        <w:jc w:val="center"/>
        <w:rPr>
          <w:lang w:val="fr-CA"/>
        </w:rPr>
      </w:pPr>
      <w:r w:rsidRPr="00BB2766">
        <w:rPr>
          <w:lang w:val="fr-CA"/>
        </w:rPr>
        <w:t>Intimé</w:t>
      </w:r>
    </w:p>
    <w:p w:rsidR="00BB2766" w:rsidRPr="00BB2766" w:rsidRDefault="00BB2766" w:rsidP="00BB2766">
      <w:pPr>
        <w:rPr>
          <w:lang w:val="fr-CA"/>
        </w:rPr>
      </w:pPr>
    </w:p>
    <w:p w:rsidR="00BB2766" w:rsidRPr="00BB2766" w:rsidRDefault="00BB2766" w:rsidP="00BB2766">
      <w:pPr>
        <w:jc w:val="center"/>
        <w:rPr>
          <w:lang w:val="fr-CA"/>
        </w:rPr>
      </w:pPr>
      <w:r w:rsidRPr="00BB2766">
        <w:rPr>
          <w:lang w:val="fr-CA"/>
        </w:rPr>
        <w:t>- et -</w:t>
      </w:r>
    </w:p>
    <w:p w:rsidR="00BB2766" w:rsidRPr="00BB2766" w:rsidRDefault="00BB2766" w:rsidP="00BB2766">
      <w:pPr>
        <w:jc w:val="center"/>
        <w:rPr>
          <w:b/>
          <w:lang w:val="fr-CA"/>
        </w:rPr>
      </w:pPr>
    </w:p>
    <w:p w:rsidR="00BB2766" w:rsidRPr="004974A6" w:rsidRDefault="00BB2766" w:rsidP="00BB2766">
      <w:pPr>
        <w:jc w:val="center"/>
        <w:rPr>
          <w:b/>
          <w:lang w:val="en-US"/>
        </w:rPr>
      </w:pPr>
      <w:r w:rsidRPr="004974A6">
        <w:rPr>
          <w:b/>
          <w:lang w:val="en-US"/>
        </w:rPr>
        <w:t xml:space="preserve">Criminal Lawyers’ Association of Ontario </w:t>
      </w:r>
      <w:proofErr w:type="gramStart"/>
      <w:r w:rsidRPr="004974A6">
        <w:rPr>
          <w:b/>
          <w:lang w:val="en-US"/>
        </w:rPr>
        <w:t>et</w:t>
      </w:r>
      <w:proofErr w:type="gramEnd"/>
      <w:r w:rsidRPr="004974A6">
        <w:rPr>
          <w:b/>
          <w:lang w:val="en-US"/>
        </w:rPr>
        <w:t xml:space="preserve"> </w:t>
      </w:r>
    </w:p>
    <w:p w:rsidR="00BB2766" w:rsidRPr="00BB2766" w:rsidRDefault="00BB2766" w:rsidP="00BB2766">
      <w:pPr>
        <w:jc w:val="center"/>
        <w:rPr>
          <w:b/>
          <w:lang w:val="fr-CA"/>
        </w:rPr>
      </w:pPr>
      <w:r w:rsidRPr="00BB2766">
        <w:rPr>
          <w:b/>
          <w:lang w:val="fr-CA"/>
        </w:rPr>
        <w:t>Association des libertés civiles de la Colombie-Britannique</w:t>
      </w:r>
    </w:p>
    <w:p w:rsidR="00BB2766" w:rsidRPr="00BB2766" w:rsidRDefault="00BB2766" w:rsidP="00BB2766">
      <w:pPr>
        <w:jc w:val="center"/>
        <w:rPr>
          <w:lang w:val="fr-CA"/>
        </w:rPr>
      </w:pPr>
      <w:r w:rsidRPr="00BB2766">
        <w:rPr>
          <w:lang w:val="fr-CA"/>
        </w:rPr>
        <w:t>Intervenantes</w:t>
      </w:r>
    </w:p>
    <w:p w:rsidR="00BB2766" w:rsidRPr="00BB2766" w:rsidRDefault="00BB2766" w:rsidP="00BB2766">
      <w:pPr>
        <w:jc w:val="center"/>
        <w:rPr>
          <w:b/>
          <w:lang w:val="fr-CA"/>
        </w:rPr>
      </w:pPr>
    </w:p>
    <w:p w:rsidR="00BB2766" w:rsidRPr="00BB2766" w:rsidRDefault="00BB2766" w:rsidP="00BB2766">
      <w:pPr>
        <w:jc w:val="center"/>
        <w:rPr>
          <w:b/>
          <w:smallCaps/>
          <w:lang w:val="fr-CA"/>
        </w:rPr>
      </w:pPr>
      <w:r w:rsidRPr="00BB2766">
        <w:rPr>
          <w:b/>
          <w:smallCaps/>
          <w:lang w:val="fr-CA"/>
        </w:rPr>
        <w:t>Traduction française officielle</w:t>
      </w:r>
    </w:p>
    <w:p w:rsidR="00BB2766" w:rsidRPr="00BB2766" w:rsidRDefault="00BB2766" w:rsidP="00BB2766">
      <w:pPr>
        <w:rPr>
          <w:lang w:val="fr-CA"/>
        </w:rPr>
      </w:pPr>
    </w:p>
    <w:p w:rsidR="00BB2766" w:rsidRPr="00BB2766" w:rsidRDefault="00BB2766" w:rsidP="002F397B">
      <w:pPr>
        <w:jc w:val="both"/>
        <w:rPr>
          <w:lang w:val="fr-CA"/>
        </w:rPr>
      </w:pPr>
      <w:r w:rsidRPr="00BB2766">
        <w:rPr>
          <w:b/>
          <w:smallCaps/>
          <w:lang w:val="fr-CA"/>
        </w:rPr>
        <w:t>Coram :</w:t>
      </w:r>
      <w:r w:rsidRPr="00BB2766">
        <w:rPr>
          <w:lang w:val="fr-CA"/>
        </w:rPr>
        <w:t xml:space="preserve"> La juge en chef McLachlin et les juges LeBel, Abella, Rothstein, Cromwell, Karakatsanis et Wagner</w:t>
      </w:r>
    </w:p>
    <w:p w:rsidR="00BB2766" w:rsidRPr="00BB2766" w:rsidRDefault="00BB2766" w:rsidP="00BB276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B2766" w:rsidRPr="009D1CC4" w:rsidTr="0051112B">
        <w:trPr>
          <w:cantSplit/>
        </w:trPr>
        <w:tc>
          <w:tcPr>
            <w:tcW w:w="3618" w:type="dxa"/>
          </w:tcPr>
          <w:p w:rsidR="00BB2766" w:rsidRPr="00BB2766" w:rsidRDefault="00BB2766" w:rsidP="0051112B">
            <w:pPr>
              <w:rPr>
                <w:b/>
                <w:smallCaps/>
                <w:lang w:val="fr-CA"/>
              </w:rPr>
            </w:pPr>
            <w:r w:rsidRPr="00BB2766">
              <w:rPr>
                <w:b/>
                <w:smallCaps/>
                <w:lang w:val="fr-CA"/>
              </w:rPr>
              <w:t>Motifs de jugement :</w:t>
            </w:r>
          </w:p>
          <w:p w:rsidR="00BB2766" w:rsidRPr="00BB2766" w:rsidRDefault="00BB2766" w:rsidP="0051112B">
            <w:pPr>
              <w:rPr>
                <w:lang w:val="fr-CA"/>
              </w:rPr>
            </w:pPr>
            <w:r w:rsidRPr="00BB2766">
              <w:rPr>
                <w:lang w:val="fr-CA"/>
              </w:rPr>
              <w:t>(par. 1 à 23)</w:t>
            </w:r>
          </w:p>
        </w:tc>
        <w:tc>
          <w:tcPr>
            <w:tcW w:w="5958" w:type="dxa"/>
          </w:tcPr>
          <w:p w:rsidR="00BB2766" w:rsidRPr="00BB2766" w:rsidRDefault="00BB2766" w:rsidP="0051112B">
            <w:pPr>
              <w:rPr>
                <w:lang w:val="fr-CA"/>
              </w:rPr>
            </w:pPr>
            <w:r w:rsidRPr="00BB2766">
              <w:rPr>
                <w:lang w:val="fr-CA"/>
              </w:rPr>
              <w:t>La juge Karakatsanis (avec l’accord de la juge en chef McLachlin et des juges LeBel, Abella, Rothstein, Cromwell et Wagner)</w:t>
            </w:r>
          </w:p>
        </w:tc>
      </w:tr>
    </w:tbl>
    <w:p w:rsidR="00BB2766" w:rsidRPr="00BB2766" w:rsidRDefault="00BB2766" w:rsidP="00BB2766">
      <w:pPr>
        <w:rPr>
          <w:lang w:val="fr-CA"/>
        </w:rPr>
      </w:pPr>
    </w:p>
    <w:p w:rsidR="00BB2766" w:rsidRPr="00BB2766" w:rsidRDefault="00DD19F4" w:rsidP="00BB2766">
      <w:pPr>
        <w:rPr>
          <w:lang w:val="fr-CA"/>
        </w:rPr>
      </w:pPr>
      <w:r w:rsidRPr="00DD19F4">
        <w:rPr>
          <w:noProof/>
          <w:lang w:val="fr-CA"/>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BB2766" w:rsidRPr="00BB2766" w:rsidRDefault="00BB2766" w:rsidP="00B45BFC">
      <w:pPr>
        <w:spacing w:after="720"/>
        <w:jc w:val="both"/>
        <w:rPr>
          <w:lang w:val="fr-CA"/>
        </w:rPr>
      </w:pPr>
    </w:p>
    <w:p w:rsidR="004D7D95" w:rsidRPr="004974A6" w:rsidRDefault="0091619E" w:rsidP="00B45BFC">
      <w:pPr>
        <w:spacing w:after="720"/>
        <w:jc w:val="both"/>
        <w:rPr>
          <w:lang w:val="en-US"/>
        </w:rPr>
      </w:pPr>
      <w:r w:rsidRPr="004974A6">
        <w:rPr>
          <w:lang w:val="en-US"/>
        </w:rPr>
        <w:t>R</w:t>
      </w:r>
      <w:r w:rsidR="004D7D95" w:rsidRPr="004974A6">
        <w:rPr>
          <w:lang w:val="en-US"/>
        </w:rPr>
        <w:t xml:space="preserve">. </w:t>
      </w:r>
      <w:r w:rsidR="004D7D95" w:rsidRPr="004974A6">
        <w:rPr>
          <w:i/>
          <w:lang w:val="en-US"/>
        </w:rPr>
        <w:t>c.</w:t>
      </w:r>
      <w:r w:rsidR="004D7D95" w:rsidRPr="004974A6">
        <w:rPr>
          <w:lang w:val="en-US"/>
        </w:rPr>
        <w:t xml:space="preserve"> </w:t>
      </w:r>
      <w:proofErr w:type="spellStart"/>
      <w:r w:rsidRPr="004974A6">
        <w:rPr>
          <w:lang w:val="en-US"/>
        </w:rPr>
        <w:t>C</w:t>
      </w:r>
      <w:r w:rsidR="004D7D95" w:rsidRPr="004974A6">
        <w:rPr>
          <w:lang w:val="en-US"/>
        </w:rPr>
        <w:t>arvery</w:t>
      </w:r>
      <w:proofErr w:type="spellEnd"/>
      <w:r w:rsidRPr="004974A6">
        <w:rPr>
          <w:lang w:val="en-US"/>
        </w:rPr>
        <w:t>, 2014 CSC 27, [2014] 1 R.C.S. 605</w:t>
      </w:r>
    </w:p>
    <w:p w:rsidR="00421F11" w:rsidRPr="000C007C" w:rsidRDefault="00EB484F" w:rsidP="00B45BFC">
      <w:pPr>
        <w:pStyle w:val="SCCLsocLastPartyInRole"/>
        <w:rPr>
          <w:lang w:val="fr-CA"/>
        </w:rPr>
      </w:pPr>
      <w:r w:rsidRPr="000C007C">
        <w:rPr>
          <w:lang w:val="fr-CA"/>
        </w:rPr>
        <w:lastRenderedPageBreak/>
        <w:t>Sa Majesté la Reine</w:t>
      </w:r>
      <w:r w:rsidRPr="000C007C">
        <w:rPr>
          <w:rStyle w:val="SCCLsocPartyRole"/>
          <w:lang w:val="fr-CA"/>
        </w:rPr>
        <w:tab/>
      </w:r>
      <w:r w:rsidR="00EB438A">
        <w:rPr>
          <w:rStyle w:val="SCCLsocPartyRole"/>
          <w:lang w:val="fr-CA"/>
        </w:rPr>
        <w:t>Appel</w:t>
      </w:r>
      <w:r w:rsidR="00890680" w:rsidRPr="000C007C">
        <w:rPr>
          <w:rStyle w:val="SCCLsocPartyRole"/>
          <w:lang w:val="fr-CA"/>
        </w:rPr>
        <w:t>ante</w:t>
      </w:r>
    </w:p>
    <w:p w:rsidR="00421F11" w:rsidRPr="000C007C" w:rsidRDefault="00EB484F" w:rsidP="00B45BFC">
      <w:pPr>
        <w:pStyle w:val="SCCLsocVersus"/>
        <w:rPr>
          <w:lang w:val="fr-CA"/>
        </w:rPr>
      </w:pPr>
      <w:proofErr w:type="gramStart"/>
      <w:r w:rsidRPr="000C007C">
        <w:rPr>
          <w:lang w:val="fr-CA"/>
        </w:rPr>
        <w:t>c</w:t>
      </w:r>
      <w:proofErr w:type="gramEnd"/>
      <w:r w:rsidRPr="000C007C">
        <w:rPr>
          <w:lang w:val="fr-CA"/>
        </w:rPr>
        <w:t>.</w:t>
      </w:r>
    </w:p>
    <w:p w:rsidR="00421F11" w:rsidRPr="000C007C" w:rsidRDefault="00EB484F" w:rsidP="00B45BFC">
      <w:pPr>
        <w:pStyle w:val="SCCLsocLastPartyInRole"/>
        <w:rPr>
          <w:lang w:val="fr-CA"/>
        </w:rPr>
      </w:pPr>
      <w:proofErr w:type="spellStart"/>
      <w:r w:rsidRPr="000C007C">
        <w:rPr>
          <w:lang w:val="fr-CA"/>
        </w:rPr>
        <w:t>Level</w:t>
      </w:r>
      <w:proofErr w:type="spellEnd"/>
      <w:r w:rsidRPr="000C007C">
        <w:rPr>
          <w:lang w:val="fr-CA"/>
        </w:rPr>
        <w:t xml:space="preserve"> Aaron </w:t>
      </w:r>
      <w:proofErr w:type="spellStart"/>
      <w:r w:rsidRPr="000C007C">
        <w:rPr>
          <w:lang w:val="fr-CA"/>
        </w:rPr>
        <w:t>Carvery</w:t>
      </w:r>
      <w:proofErr w:type="spellEnd"/>
      <w:r w:rsidRPr="000C007C">
        <w:rPr>
          <w:rStyle w:val="SCCLsocPartyRole"/>
          <w:lang w:val="fr-CA"/>
        </w:rPr>
        <w:tab/>
        <w:t>Intimé</w:t>
      </w:r>
    </w:p>
    <w:p w:rsidR="00421F11" w:rsidRPr="000C007C" w:rsidRDefault="00EB484F" w:rsidP="00B45BFC">
      <w:pPr>
        <w:pStyle w:val="SCCLsocOtherPartySeparator"/>
        <w:rPr>
          <w:lang w:val="fr-CA"/>
        </w:rPr>
      </w:pPr>
      <w:proofErr w:type="gramStart"/>
      <w:r w:rsidRPr="000C007C">
        <w:rPr>
          <w:lang w:val="fr-CA"/>
        </w:rPr>
        <w:t>et</w:t>
      </w:r>
      <w:proofErr w:type="gramEnd"/>
    </w:p>
    <w:p w:rsidR="00421F11" w:rsidRPr="000C007C" w:rsidRDefault="00890680" w:rsidP="00B45BFC">
      <w:pPr>
        <w:pStyle w:val="SCCLsocParty"/>
        <w:rPr>
          <w:lang w:val="fr-CA"/>
        </w:rPr>
      </w:pPr>
      <w:proofErr w:type="spellStart"/>
      <w:r w:rsidRPr="000C007C">
        <w:rPr>
          <w:lang w:val="fr-CA"/>
        </w:rPr>
        <w:t>Criminal</w:t>
      </w:r>
      <w:proofErr w:type="spellEnd"/>
      <w:r w:rsidRPr="000C007C">
        <w:rPr>
          <w:lang w:val="fr-CA"/>
        </w:rPr>
        <w:t xml:space="preserve"> </w:t>
      </w:r>
      <w:proofErr w:type="spellStart"/>
      <w:r w:rsidRPr="000C007C">
        <w:rPr>
          <w:lang w:val="fr-CA"/>
        </w:rPr>
        <w:t>Lawyers</w:t>
      </w:r>
      <w:proofErr w:type="spellEnd"/>
      <w:r w:rsidRPr="000C007C">
        <w:rPr>
          <w:lang w:val="fr-CA"/>
        </w:rPr>
        <w:t xml:space="preserve">’ Association of Ontario et </w:t>
      </w:r>
    </w:p>
    <w:p w:rsidR="00421F11" w:rsidRPr="000C007C" w:rsidRDefault="00EB484F" w:rsidP="00B45BFC">
      <w:pPr>
        <w:pStyle w:val="SCCLsocLastPartyInRole"/>
        <w:rPr>
          <w:lang w:val="fr-CA"/>
        </w:rPr>
      </w:pPr>
      <w:r w:rsidRPr="000C007C">
        <w:rPr>
          <w:lang w:val="fr-CA"/>
        </w:rPr>
        <w:t>Association</w:t>
      </w:r>
      <w:r w:rsidR="00890680" w:rsidRPr="000C007C">
        <w:rPr>
          <w:lang w:val="fr-CA"/>
        </w:rPr>
        <w:t xml:space="preserve"> des libertés civiles de la Colombie</w:t>
      </w:r>
      <w:r w:rsidR="00B45BFC">
        <w:rPr>
          <w:lang w:val="fr-CA"/>
        </w:rPr>
        <w:t>-</w:t>
      </w:r>
      <w:r w:rsidR="00890680" w:rsidRPr="000C007C">
        <w:rPr>
          <w:lang w:val="fr-CA"/>
        </w:rPr>
        <w:t>Britannique</w:t>
      </w:r>
      <w:r w:rsidRPr="000C007C">
        <w:rPr>
          <w:rStyle w:val="SCCLsocPartyRole"/>
          <w:lang w:val="fr-CA"/>
        </w:rPr>
        <w:tab/>
      </w:r>
      <w:r w:rsidR="00890680" w:rsidRPr="000C007C">
        <w:rPr>
          <w:rStyle w:val="SCCLsocPartyRole"/>
          <w:lang w:val="fr-CA"/>
        </w:rPr>
        <w:t>Intervenante</w:t>
      </w:r>
      <w:r w:rsidRPr="000C007C">
        <w:rPr>
          <w:rStyle w:val="SCCLsocPartyRole"/>
          <w:lang w:val="fr-CA"/>
        </w:rPr>
        <w:t>s</w:t>
      </w:r>
    </w:p>
    <w:p w:rsidR="004D7D95" w:rsidRPr="000C007C" w:rsidRDefault="004D7D95" w:rsidP="00B45BFC">
      <w:pPr>
        <w:spacing w:after="720"/>
        <w:jc w:val="both"/>
        <w:rPr>
          <w:b/>
          <w:lang w:val="fr-CA"/>
        </w:rPr>
      </w:pPr>
      <w:r w:rsidRPr="000C007C">
        <w:rPr>
          <w:b/>
          <w:lang w:val="fr-CA"/>
        </w:rPr>
        <w:t>Répertorié</w:t>
      </w:r>
      <w:r w:rsidR="002E0F24" w:rsidRPr="000C007C">
        <w:rPr>
          <w:b/>
          <w:lang w:val="fr-CA"/>
        </w:rPr>
        <w:t> :</w:t>
      </w:r>
      <w:r w:rsidRPr="000C007C">
        <w:rPr>
          <w:b/>
          <w:lang w:val="fr-CA"/>
        </w:rPr>
        <w:t xml:space="preserve"> R. </w:t>
      </w:r>
      <w:r w:rsidRPr="000C007C">
        <w:rPr>
          <w:b/>
          <w:i/>
          <w:lang w:val="fr-CA"/>
        </w:rPr>
        <w:t>c.</w:t>
      </w:r>
      <w:r w:rsidRPr="000C007C">
        <w:rPr>
          <w:b/>
          <w:lang w:val="fr-CA"/>
        </w:rPr>
        <w:t xml:space="preserve"> </w:t>
      </w:r>
      <w:proofErr w:type="spellStart"/>
      <w:r w:rsidRPr="000C007C">
        <w:rPr>
          <w:b/>
          <w:lang w:val="fr-CA"/>
        </w:rPr>
        <w:t>Carvery</w:t>
      </w:r>
      <w:proofErr w:type="spellEnd"/>
    </w:p>
    <w:p w:rsidR="004D7D95" w:rsidRPr="000C007C" w:rsidRDefault="00F62639" w:rsidP="00B45BFC">
      <w:pPr>
        <w:pStyle w:val="SCCSystemYear"/>
        <w:spacing w:after="720"/>
        <w:jc w:val="both"/>
        <w:rPr>
          <w:lang w:val="fr-CA"/>
        </w:rPr>
      </w:pPr>
      <w:r w:rsidRPr="000C007C">
        <w:rPr>
          <w:lang w:val="fr-CA"/>
        </w:rPr>
        <w:t>2014</w:t>
      </w:r>
      <w:r w:rsidR="00A44A16" w:rsidRPr="000C007C">
        <w:rPr>
          <w:lang w:val="fr-CA"/>
        </w:rPr>
        <w:t xml:space="preserve"> CSC 27</w:t>
      </w:r>
    </w:p>
    <w:p w:rsidR="004D7D95" w:rsidRPr="000C007C" w:rsidRDefault="004D7D95" w:rsidP="00B45BFC">
      <w:pPr>
        <w:spacing w:after="720"/>
        <w:jc w:val="both"/>
        <w:rPr>
          <w:lang w:val="fr-CA"/>
        </w:rPr>
      </w:pPr>
      <w:r w:rsidRPr="000C007C">
        <w:rPr>
          <w:lang w:val="fr-CA"/>
        </w:rPr>
        <w:t>N</w:t>
      </w:r>
      <w:r w:rsidRPr="000C007C">
        <w:rPr>
          <w:vertAlign w:val="superscript"/>
          <w:lang w:val="fr-CA"/>
        </w:rPr>
        <w:t>o</w:t>
      </w:r>
      <w:r w:rsidRPr="000C007C">
        <w:rPr>
          <w:lang w:val="fr-CA"/>
        </w:rPr>
        <w:t xml:space="preserve"> du greffe</w:t>
      </w:r>
      <w:r w:rsidR="002E0F24" w:rsidRPr="000C007C">
        <w:rPr>
          <w:lang w:val="fr-CA"/>
        </w:rPr>
        <w:t> :</w:t>
      </w:r>
      <w:r w:rsidRPr="000C007C">
        <w:rPr>
          <w:lang w:val="fr-CA"/>
        </w:rPr>
        <w:t> 35115.</w:t>
      </w:r>
    </w:p>
    <w:p w:rsidR="004D7D95" w:rsidRPr="000C007C" w:rsidRDefault="00560F56" w:rsidP="00B45BFC">
      <w:pPr>
        <w:spacing w:after="720"/>
        <w:jc w:val="both"/>
        <w:rPr>
          <w:lang w:val="fr-CA"/>
        </w:rPr>
      </w:pPr>
      <w:r w:rsidRPr="000C007C">
        <w:rPr>
          <w:lang w:val="fr-CA"/>
        </w:rPr>
        <w:t>2014</w:t>
      </w:r>
      <w:r w:rsidR="002E0F24" w:rsidRPr="000C007C">
        <w:rPr>
          <w:lang w:val="fr-CA"/>
        </w:rPr>
        <w:t> :</w:t>
      </w:r>
      <w:r w:rsidRPr="000C007C">
        <w:rPr>
          <w:lang w:val="fr-CA"/>
        </w:rPr>
        <w:t> 23 </w:t>
      </w:r>
      <w:r w:rsidR="00F62639" w:rsidRPr="000C007C">
        <w:rPr>
          <w:lang w:val="fr-CA"/>
        </w:rPr>
        <w:t>janvier</w:t>
      </w:r>
      <w:r w:rsidR="00890680" w:rsidRPr="000C007C">
        <w:rPr>
          <w:lang w:val="fr-CA"/>
        </w:rPr>
        <w:t>; 2014</w:t>
      </w:r>
      <w:r w:rsidR="002E0F24" w:rsidRPr="000C007C">
        <w:rPr>
          <w:lang w:val="fr-CA"/>
        </w:rPr>
        <w:t> : </w:t>
      </w:r>
      <w:r w:rsidR="00A44A16" w:rsidRPr="000C007C">
        <w:rPr>
          <w:lang w:val="fr-CA"/>
        </w:rPr>
        <w:t>11</w:t>
      </w:r>
      <w:r w:rsidR="002E0F24" w:rsidRPr="000C007C">
        <w:rPr>
          <w:lang w:val="fr-CA"/>
        </w:rPr>
        <w:t> </w:t>
      </w:r>
      <w:r w:rsidR="00A44A16" w:rsidRPr="000C007C">
        <w:rPr>
          <w:lang w:val="fr-CA"/>
        </w:rPr>
        <w:t>avril</w:t>
      </w:r>
      <w:r w:rsidR="004D7D95" w:rsidRPr="000C007C">
        <w:rPr>
          <w:lang w:val="fr-CA"/>
        </w:rPr>
        <w:t>.</w:t>
      </w:r>
    </w:p>
    <w:p w:rsidR="004D7D95" w:rsidRPr="000C007C" w:rsidRDefault="004D7D95" w:rsidP="00B45BFC">
      <w:pPr>
        <w:spacing w:after="720"/>
        <w:jc w:val="both"/>
        <w:rPr>
          <w:lang w:val="fr-CA"/>
        </w:rPr>
      </w:pPr>
      <w:r w:rsidRPr="000C007C">
        <w:rPr>
          <w:lang w:val="fr-CA"/>
        </w:rPr>
        <w:t>Présents</w:t>
      </w:r>
      <w:r w:rsidR="002E0F24" w:rsidRPr="000C007C">
        <w:rPr>
          <w:lang w:val="fr-CA"/>
        </w:rPr>
        <w:t> :</w:t>
      </w:r>
      <w:r w:rsidRPr="000C007C">
        <w:rPr>
          <w:lang w:val="fr-CA"/>
        </w:rPr>
        <w:t xml:space="preserve"> La juge en chef McLachlin et les juges </w:t>
      </w:r>
      <w:proofErr w:type="spellStart"/>
      <w:r w:rsidRPr="000C007C">
        <w:rPr>
          <w:lang w:val="fr-CA"/>
        </w:rPr>
        <w:t>LeBel</w:t>
      </w:r>
      <w:proofErr w:type="spellEnd"/>
      <w:r w:rsidRPr="000C007C">
        <w:rPr>
          <w:lang w:val="fr-CA"/>
        </w:rPr>
        <w:t xml:space="preserve">, Abella, </w:t>
      </w:r>
      <w:proofErr w:type="spellStart"/>
      <w:r w:rsidRPr="000C007C">
        <w:rPr>
          <w:lang w:val="fr-CA"/>
        </w:rPr>
        <w:t>Rothstein</w:t>
      </w:r>
      <w:proofErr w:type="spellEnd"/>
      <w:r w:rsidRPr="000C007C">
        <w:rPr>
          <w:lang w:val="fr-CA"/>
        </w:rPr>
        <w:t xml:space="preserve">, Cromwell, </w:t>
      </w:r>
      <w:proofErr w:type="spellStart"/>
      <w:r w:rsidRPr="000C007C">
        <w:rPr>
          <w:lang w:val="fr-CA"/>
        </w:rPr>
        <w:t>Karakatsanis</w:t>
      </w:r>
      <w:proofErr w:type="spellEnd"/>
      <w:r w:rsidRPr="000C007C">
        <w:rPr>
          <w:lang w:val="fr-CA"/>
        </w:rPr>
        <w:t xml:space="preserve"> et Wagner.</w:t>
      </w:r>
    </w:p>
    <w:p w:rsidR="004D7D95" w:rsidRPr="000C007C" w:rsidRDefault="004D7D95" w:rsidP="00B45BFC">
      <w:pPr>
        <w:spacing w:after="720"/>
        <w:jc w:val="both"/>
        <w:rPr>
          <w:smallCaps/>
          <w:lang w:val="fr-CA"/>
        </w:rPr>
      </w:pPr>
      <w:r w:rsidRPr="000C007C">
        <w:rPr>
          <w:smallCaps/>
          <w:lang w:val="fr-CA"/>
        </w:rPr>
        <w:t xml:space="preserve">en appel de la cour d’appel de la </w:t>
      </w:r>
      <w:proofErr w:type="spellStart"/>
      <w:r w:rsidRPr="000C007C">
        <w:rPr>
          <w:smallCaps/>
          <w:lang w:val="fr-CA"/>
        </w:rPr>
        <w:t>nouvelle</w:t>
      </w:r>
      <w:r w:rsidR="00B45BFC">
        <w:rPr>
          <w:smallCaps/>
          <w:lang w:val="fr-CA"/>
        </w:rPr>
        <w:t>-</w:t>
      </w:r>
      <w:r w:rsidRPr="000C007C">
        <w:rPr>
          <w:smallCaps/>
          <w:lang w:val="fr-CA"/>
        </w:rPr>
        <w:t>écosse</w:t>
      </w:r>
      <w:proofErr w:type="spellEnd"/>
    </w:p>
    <w:p w:rsidR="00980442" w:rsidRPr="000C007C" w:rsidRDefault="004D7D95" w:rsidP="00B45BFC">
      <w:pPr>
        <w:pStyle w:val="SCCNormalDoubleSpacing"/>
        <w:spacing w:after="480"/>
        <w:rPr>
          <w:lang w:val="fr-CA"/>
        </w:rPr>
      </w:pPr>
      <w:r w:rsidRPr="000C007C">
        <w:rPr>
          <w:lang w:val="fr-CA"/>
        </w:rPr>
        <w:tab/>
      </w:r>
      <w:r w:rsidR="00EB572B" w:rsidRPr="000C007C">
        <w:rPr>
          <w:i/>
          <w:lang w:val="fr-CA"/>
        </w:rPr>
        <w:t xml:space="preserve">Droit criminel </w:t>
      </w:r>
      <w:r w:rsidR="00EB572B" w:rsidRPr="000C007C">
        <w:rPr>
          <w:lang w:val="fr-CA"/>
        </w:rPr>
        <w:t xml:space="preserve">— </w:t>
      </w:r>
      <w:r w:rsidR="00EB572B" w:rsidRPr="000C007C">
        <w:rPr>
          <w:i/>
          <w:lang w:val="fr-CA"/>
        </w:rPr>
        <w:t xml:space="preserve">Détermination de la peine </w:t>
      </w:r>
      <w:r w:rsidR="00EB572B" w:rsidRPr="000C007C">
        <w:rPr>
          <w:lang w:val="fr-CA"/>
        </w:rPr>
        <w:t xml:space="preserve">— </w:t>
      </w:r>
      <w:r w:rsidR="003547D7" w:rsidRPr="000C007C">
        <w:rPr>
          <w:i/>
          <w:lang w:val="fr-CA"/>
        </w:rPr>
        <w:t>C</w:t>
      </w:r>
      <w:r w:rsidR="009862F9" w:rsidRPr="000C007C">
        <w:rPr>
          <w:i/>
          <w:lang w:val="fr-CA"/>
        </w:rPr>
        <w:t>onsidér</w:t>
      </w:r>
      <w:r w:rsidR="003547D7" w:rsidRPr="000C007C">
        <w:rPr>
          <w:i/>
          <w:lang w:val="fr-CA"/>
        </w:rPr>
        <w:t>ations</w:t>
      </w:r>
      <w:r w:rsidR="009862F9" w:rsidRPr="000C007C">
        <w:rPr>
          <w:i/>
          <w:lang w:val="fr-CA"/>
        </w:rPr>
        <w:t xml:space="preserve"> — Crédit pour détention </w:t>
      </w:r>
      <w:proofErr w:type="spellStart"/>
      <w:r w:rsidR="009862F9" w:rsidRPr="000C007C">
        <w:rPr>
          <w:i/>
          <w:lang w:val="fr-CA"/>
        </w:rPr>
        <w:t>présentencielle</w:t>
      </w:r>
      <w:proofErr w:type="spellEnd"/>
      <w:r w:rsidR="00EB572B" w:rsidRPr="000C007C">
        <w:rPr>
          <w:i/>
          <w:lang w:val="fr-CA"/>
        </w:rPr>
        <w:t xml:space="preserve"> </w:t>
      </w:r>
      <w:r w:rsidR="00EB572B" w:rsidRPr="000C007C">
        <w:rPr>
          <w:lang w:val="fr-CA"/>
        </w:rPr>
        <w:t>—</w:t>
      </w:r>
      <w:r w:rsidR="003547D7" w:rsidRPr="000C007C">
        <w:rPr>
          <w:i/>
          <w:lang w:val="fr-CA"/>
        </w:rPr>
        <w:t xml:space="preserve"> Disposition du Code criminel permettant l’octroi </w:t>
      </w:r>
      <w:r w:rsidR="003547D7" w:rsidRPr="000C007C">
        <w:rPr>
          <w:i/>
          <w:lang w:val="fr-CA"/>
        </w:rPr>
        <w:lastRenderedPageBreak/>
        <w:t xml:space="preserve">d’un crédit majoré d’au plus un jour et demi </w:t>
      </w:r>
      <w:r w:rsidR="00EB572B" w:rsidRPr="000C007C">
        <w:rPr>
          <w:i/>
          <w:lang w:val="fr-CA"/>
        </w:rPr>
        <w:t xml:space="preserve">pour chaque jour </w:t>
      </w:r>
      <w:r w:rsidR="00081F67" w:rsidRPr="000C007C">
        <w:rPr>
          <w:i/>
          <w:lang w:val="fr-CA"/>
        </w:rPr>
        <w:t xml:space="preserve">de détention </w:t>
      </w:r>
      <w:proofErr w:type="spellStart"/>
      <w:r w:rsidR="00081F67" w:rsidRPr="000C007C">
        <w:rPr>
          <w:i/>
          <w:lang w:val="fr-CA"/>
        </w:rPr>
        <w:t>présentencielle</w:t>
      </w:r>
      <w:proofErr w:type="spellEnd"/>
      <w:r w:rsidR="00081F67" w:rsidRPr="000C007C">
        <w:rPr>
          <w:i/>
          <w:lang w:val="fr-CA"/>
        </w:rPr>
        <w:t xml:space="preserve"> </w:t>
      </w:r>
      <w:r w:rsidR="00EB572B" w:rsidRPr="000C007C">
        <w:rPr>
          <w:i/>
          <w:lang w:val="fr-CA"/>
        </w:rPr>
        <w:t xml:space="preserve">« si les circonstances le justifient » </w:t>
      </w:r>
      <w:r w:rsidR="00EB572B" w:rsidRPr="000C007C">
        <w:rPr>
          <w:lang w:val="fr-CA"/>
        </w:rPr>
        <w:t xml:space="preserve">— </w:t>
      </w:r>
      <w:r w:rsidR="00EB572B" w:rsidRPr="000C007C">
        <w:rPr>
          <w:i/>
          <w:lang w:val="fr-CA"/>
        </w:rPr>
        <w:t xml:space="preserve">Octroi </w:t>
      </w:r>
      <w:r w:rsidR="00081F67" w:rsidRPr="000C007C">
        <w:rPr>
          <w:i/>
          <w:lang w:val="fr-CA"/>
        </w:rPr>
        <w:t xml:space="preserve">d’un tel crédit </w:t>
      </w:r>
      <w:r w:rsidR="00EB572B" w:rsidRPr="000C007C">
        <w:rPr>
          <w:i/>
          <w:lang w:val="fr-CA"/>
        </w:rPr>
        <w:t>par l</w:t>
      </w:r>
      <w:r w:rsidR="00980442" w:rsidRPr="000C007C">
        <w:rPr>
          <w:i/>
          <w:lang w:val="fr-CA"/>
        </w:rPr>
        <w:t>a</w:t>
      </w:r>
      <w:r w:rsidR="00EB572B" w:rsidRPr="000C007C">
        <w:rPr>
          <w:i/>
          <w:lang w:val="fr-CA"/>
        </w:rPr>
        <w:t xml:space="preserve"> juge chargé</w:t>
      </w:r>
      <w:r w:rsidR="009862F9" w:rsidRPr="000C007C">
        <w:rPr>
          <w:i/>
          <w:lang w:val="fr-CA"/>
        </w:rPr>
        <w:t>e</w:t>
      </w:r>
      <w:r w:rsidR="00EB572B" w:rsidRPr="000C007C">
        <w:rPr>
          <w:i/>
          <w:lang w:val="fr-CA"/>
        </w:rPr>
        <w:t xml:space="preserve"> de la détermination de la peine </w:t>
      </w:r>
      <w:r w:rsidR="00081F67" w:rsidRPr="000C007C">
        <w:rPr>
          <w:i/>
          <w:lang w:val="fr-CA"/>
        </w:rPr>
        <w:t>en raison de</w:t>
      </w:r>
      <w:r w:rsidR="009862F9" w:rsidRPr="000C007C">
        <w:rPr>
          <w:i/>
          <w:lang w:val="fr-CA"/>
        </w:rPr>
        <w:t xml:space="preserve"> la perte </w:t>
      </w:r>
      <w:r w:rsidR="00081F67" w:rsidRPr="000C007C">
        <w:rPr>
          <w:i/>
          <w:lang w:val="fr-CA"/>
        </w:rPr>
        <w:t>liée à</w:t>
      </w:r>
      <w:r w:rsidR="009862F9" w:rsidRPr="000C007C">
        <w:rPr>
          <w:i/>
          <w:lang w:val="fr-CA"/>
        </w:rPr>
        <w:t xml:space="preserve"> l’admissibilité à la libération anticipée</w:t>
      </w:r>
      <w:r w:rsidR="00EB572B" w:rsidRPr="000C007C">
        <w:rPr>
          <w:i/>
          <w:lang w:val="fr-CA"/>
        </w:rPr>
        <w:t xml:space="preserve"> </w:t>
      </w:r>
      <w:r w:rsidR="00EB572B" w:rsidRPr="000C007C">
        <w:rPr>
          <w:lang w:val="fr-CA"/>
        </w:rPr>
        <w:t>—</w:t>
      </w:r>
      <w:r w:rsidR="00EB572B" w:rsidRPr="000C007C">
        <w:rPr>
          <w:i/>
          <w:lang w:val="fr-CA"/>
        </w:rPr>
        <w:t xml:space="preserve"> </w:t>
      </w:r>
      <w:r w:rsidR="00980442" w:rsidRPr="000C007C">
        <w:rPr>
          <w:i/>
          <w:lang w:val="fr-CA"/>
        </w:rPr>
        <w:t>La juge a</w:t>
      </w:r>
      <w:r w:rsidR="00B45BFC">
        <w:rPr>
          <w:i/>
          <w:lang w:val="fr-CA"/>
        </w:rPr>
        <w:t>-</w:t>
      </w:r>
      <w:r w:rsidR="00980442" w:rsidRPr="000C007C">
        <w:rPr>
          <w:i/>
          <w:lang w:val="fr-CA"/>
        </w:rPr>
        <w:t>t</w:t>
      </w:r>
      <w:r w:rsidR="00B45BFC">
        <w:rPr>
          <w:i/>
          <w:lang w:val="fr-CA"/>
        </w:rPr>
        <w:t>-</w:t>
      </w:r>
      <w:r w:rsidR="00980442" w:rsidRPr="000C007C">
        <w:rPr>
          <w:i/>
          <w:lang w:val="fr-CA"/>
        </w:rPr>
        <w:t>elle eu tort d’a</w:t>
      </w:r>
      <w:r w:rsidR="00081F67" w:rsidRPr="000C007C">
        <w:rPr>
          <w:i/>
          <w:lang w:val="fr-CA"/>
        </w:rPr>
        <w:t>llou</w:t>
      </w:r>
      <w:r w:rsidR="00980442" w:rsidRPr="000C007C">
        <w:rPr>
          <w:i/>
          <w:lang w:val="fr-CA"/>
        </w:rPr>
        <w:t xml:space="preserve">er un jour et demi </w:t>
      </w:r>
      <w:r w:rsidR="009862F9" w:rsidRPr="000C007C">
        <w:rPr>
          <w:i/>
          <w:lang w:val="fr-CA"/>
        </w:rPr>
        <w:t xml:space="preserve">par jour de détention </w:t>
      </w:r>
      <w:proofErr w:type="spellStart"/>
      <w:r w:rsidR="009862F9" w:rsidRPr="000C007C">
        <w:rPr>
          <w:i/>
          <w:lang w:val="fr-CA"/>
        </w:rPr>
        <w:t>présentencielle</w:t>
      </w:r>
      <w:proofErr w:type="spellEnd"/>
      <w:r w:rsidR="009862F9" w:rsidRPr="000C007C">
        <w:rPr>
          <w:i/>
          <w:lang w:val="fr-CA"/>
        </w:rPr>
        <w:t xml:space="preserve"> pour tenir compte de cette perte</w:t>
      </w:r>
      <w:r w:rsidR="00980442" w:rsidRPr="000C007C">
        <w:rPr>
          <w:i/>
          <w:lang w:val="fr-CA"/>
        </w:rPr>
        <w:t>? —</w:t>
      </w:r>
      <w:r w:rsidR="00980442" w:rsidRPr="000C007C">
        <w:rPr>
          <w:lang w:val="fr-CA"/>
        </w:rPr>
        <w:t xml:space="preserve"> </w:t>
      </w:r>
      <w:r w:rsidR="00980442" w:rsidRPr="000C007C">
        <w:rPr>
          <w:i/>
          <w:lang w:val="fr-CA"/>
        </w:rPr>
        <w:t xml:space="preserve">Code criminel, L.R.C. 1985, </w:t>
      </w:r>
      <w:r w:rsidR="002E0F24" w:rsidRPr="000C007C">
        <w:rPr>
          <w:i/>
          <w:lang w:val="fr-CA"/>
        </w:rPr>
        <w:t>ch. </w:t>
      </w:r>
      <w:r w:rsidR="00980442" w:rsidRPr="000C007C">
        <w:rPr>
          <w:i/>
          <w:lang w:val="fr-CA"/>
        </w:rPr>
        <w:t>C</w:t>
      </w:r>
      <w:r w:rsidR="00B45BFC">
        <w:rPr>
          <w:i/>
          <w:lang w:val="fr-CA"/>
        </w:rPr>
        <w:t>-</w:t>
      </w:r>
      <w:r w:rsidR="00980442" w:rsidRPr="000C007C">
        <w:rPr>
          <w:i/>
          <w:lang w:val="fr-CA"/>
        </w:rPr>
        <w:t xml:space="preserve">24, </w:t>
      </w:r>
      <w:r w:rsidR="002E0F24" w:rsidRPr="000C007C">
        <w:rPr>
          <w:i/>
          <w:lang w:val="fr-CA"/>
        </w:rPr>
        <w:t>art. </w:t>
      </w:r>
      <w:r w:rsidR="00980442" w:rsidRPr="000C007C">
        <w:rPr>
          <w:i/>
          <w:lang w:val="fr-CA"/>
        </w:rPr>
        <w:t>719(3)</w:t>
      </w:r>
      <w:r w:rsidR="000F74E2">
        <w:rPr>
          <w:i/>
          <w:lang w:val="fr-CA"/>
        </w:rPr>
        <w:t xml:space="preserve">, </w:t>
      </w:r>
      <w:r w:rsidR="006A6893">
        <w:rPr>
          <w:i/>
          <w:lang w:val="fr-CA"/>
        </w:rPr>
        <w:t>719</w:t>
      </w:r>
      <w:r w:rsidR="00980442" w:rsidRPr="000C007C">
        <w:rPr>
          <w:i/>
          <w:lang w:val="fr-CA"/>
        </w:rPr>
        <w:t>(3.1).</w:t>
      </w:r>
    </w:p>
    <w:p w:rsidR="004D7D95" w:rsidRPr="000C007C" w:rsidRDefault="002E0F24" w:rsidP="00B45BFC">
      <w:pPr>
        <w:pStyle w:val="SCCNormalDoubleSpacing"/>
        <w:spacing w:after="480"/>
        <w:rPr>
          <w:lang w:val="fr-CA"/>
        </w:rPr>
      </w:pPr>
      <w:r w:rsidRPr="000C007C">
        <w:rPr>
          <w:lang w:val="fr-CA"/>
        </w:rPr>
        <w:tab/>
      </w:r>
      <w:r w:rsidR="00980442" w:rsidRPr="000C007C">
        <w:rPr>
          <w:lang w:val="fr-CA"/>
        </w:rPr>
        <w:t>L’</w:t>
      </w:r>
      <w:r w:rsidR="009862F9" w:rsidRPr="000C007C">
        <w:rPr>
          <w:lang w:val="fr-CA"/>
        </w:rPr>
        <w:t>accusé</w:t>
      </w:r>
      <w:r w:rsidR="00980442" w:rsidRPr="000C007C">
        <w:rPr>
          <w:lang w:val="fr-CA"/>
        </w:rPr>
        <w:t xml:space="preserve"> a passé 9,5 mois en détention préventive. </w:t>
      </w:r>
      <w:r w:rsidRPr="000C007C">
        <w:rPr>
          <w:lang w:val="fr-CA"/>
        </w:rPr>
        <w:t xml:space="preserve"> </w:t>
      </w:r>
      <w:r w:rsidR="00980442" w:rsidRPr="000C007C">
        <w:rPr>
          <w:lang w:val="fr-CA"/>
        </w:rPr>
        <w:t xml:space="preserve">La juge </w:t>
      </w:r>
      <w:r w:rsidR="009862F9" w:rsidRPr="000C007C">
        <w:rPr>
          <w:lang w:val="fr-CA"/>
        </w:rPr>
        <w:t xml:space="preserve">chargée de la détermination de la peine </w:t>
      </w:r>
      <w:r w:rsidR="00980442" w:rsidRPr="000C007C">
        <w:rPr>
          <w:lang w:val="fr-CA"/>
        </w:rPr>
        <w:t xml:space="preserve">a accordé un crédit à raison d’un jour et demi </w:t>
      </w:r>
      <w:r w:rsidR="009862F9" w:rsidRPr="000C007C">
        <w:rPr>
          <w:lang w:val="fr-CA"/>
        </w:rPr>
        <w:t>contre un</w:t>
      </w:r>
      <w:r w:rsidR="00980442" w:rsidRPr="000C007C">
        <w:rPr>
          <w:lang w:val="fr-CA"/>
        </w:rPr>
        <w:t xml:space="preserve"> pour compenser la perte subie aux fins de l’admissibilité à la réduction de peine et à la libération conditionnelle. </w:t>
      </w:r>
      <w:r w:rsidRPr="000C007C">
        <w:rPr>
          <w:lang w:val="fr-CA"/>
        </w:rPr>
        <w:t xml:space="preserve"> </w:t>
      </w:r>
      <w:r w:rsidR="00980442" w:rsidRPr="000C007C">
        <w:rPr>
          <w:lang w:val="fr-CA"/>
        </w:rPr>
        <w:t xml:space="preserve">La Cour d’appel a confirmé </w:t>
      </w:r>
      <w:r w:rsidR="009862F9" w:rsidRPr="000C007C">
        <w:rPr>
          <w:lang w:val="fr-CA"/>
        </w:rPr>
        <w:t>s</w:t>
      </w:r>
      <w:r w:rsidR="00980442" w:rsidRPr="000C007C">
        <w:rPr>
          <w:lang w:val="fr-CA"/>
        </w:rPr>
        <w:t xml:space="preserve">a décision et conclu que </w:t>
      </w:r>
      <w:r w:rsidR="009862F9" w:rsidRPr="000C007C">
        <w:rPr>
          <w:lang w:val="fr-CA"/>
        </w:rPr>
        <w:t xml:space="preserve">la disposition en cause confère au tribunal un pouvoir discrétionnaire qui lui permet d’allouer au plus un jour et demi pour chaque jour de détention </w:t>
      </w:r>
      <w:proofErr w:type="spellStart"/>
      <w:r w:rsidR="009862F9" w:rsidRPr="000C007C">
        <w:rPr>
          <w:lang w:val="fr-CA"/>
        </w:rPr>
        <w:t>présentencielle</w:t>
      </w:r>
      <w:proofErr w:type="spellEnd"/>
      <w:r w:rsidR="009862F9" w:rsidRPr="000C007C">
        <w:rPr>
          <w:lang w:val="fr-CA"/>
        </w:rPr>
        <w:t xml:space="preserve"> </w:t>
      </w:r>
      <w:r w:rsidR="00081F67" w:rsidRPr="000C007C">
        <w:rPr>
          <w:lang w:val="fr-CA"/>
        </w:rPr>
        <w:t>afin</w:t>
      </w:r>
      <w:r w:rsidR="009862F9" w:rsidRPr="000C007C">
        <w:rPr>
          <w:lang w:val="fr-CA"/>
        </w:rPr>
        <w:t xml:space="preserve"> de compenser la perte liée à l’admissibilité à la réduction de peine ou à la liberté conditionnelle.</w:t>
      </w:r>
      <w:r w:rsidR="00980442" w:rsidRPr="000C007C">
        <w:rPr>
          <w:lang w:val="fr-CA"/>
        </w:rPr>
        <w:t xml:space="preserve">  </w:t>
      </w:r>
    </w:p>
    <w:p w:rsidR="00980442" w:rsidRPr="000C007C" w:rsidRDefault="004D7D95" w:rsidP="00B45BFC">
      <w:pPr>
        <w:pStyle w:val="SCCNormalDoubleSpacing"/>
        <w:spacing w:after="480"/>
        <w:rPr>
          <w:lang w:val="fr-CA"/>
        </w:rPr>
      </w:pPr>
      <w:r w:rsidRPr="000C007C">
        <w:rPr>
          <w:lang w:val="fr-CA"/>
        </w:rPr>
        <w:tab/>
      </w:r>
      <w:r w:rsidRPr="000C007C">
        <w:rPr>
          <w:i/>
          <w:lang w:val="fr-CA"/>
        </w:rPr>
        <w:t>Arrêt</w:t>
      </w:r>
      <w:r w:rsidR="002E0F24" w:rsidRPr="000C007C">
        <w:rPr>
          <w:lang w:val="fr-CA"/>
        </w:rPr>
        <w:t> :</w:t>
      </w:r>
      <w:r w:rsidRPr="000C007C">
        <w:rPr>
          <w:lang w:val="fr-CA"/>
        </w:rPr>
        <w:t xml:space="preserve"> Le pourvoi est</w:t>
      </w:r>
      <w:r w:rsidR="00980442" w:rsidRPr="000C007C">
        <w:rPr>
          <w:lang w:val="fr-CA"/>
        </w:rPr>
        <w:t xml:space="preserve"> rejeté.</w:t>
      </w:r>
    </w:p>
    <w:p w:rsidR="00980442" w:rsidRPr="000C007C" w:rsidRDefault="002E0F24" w:rsidP="00B45BFC">
      <w:pPr>
        <w:pStyle w:val="SCCNormalDoubleSpacing"/>
        <w:spacing w:after="480"/>
        <w:rPr>
          <w:lang w:val="fr-CA"/>
        </w:rPr>
      </w:pPr>
      <w:r w:rsidRPr="000C007C">
        <w:rPr>
          <w:lang w:val="fr-CA"/>
        </w:rPr>
        <w:tab/>
      </w:r>
      <w:r w:rsidR="00980442" w:rsidRPr="000C007C">
        <w:rPr>
          <w:lang w:val="fr-CA"/>
        </w:rPr>
        <w:t xml:space="preserve">Pour les motifs exposés dans </w:t>
      </w:r>
      <w:r w:rsidR="00980442" w:rsidRPr="000C007C">
        <w:rPr>
          <w:i/>
          <w:lang w:val="fr-CA"/>
        </w:rPr>
        <w:t>R. c.</w:t>
      </w:r>
      <w:r w:rsidR="00980442" w:rsidRPr="000C007C">
        <w:rPr>
          <w:lang w:val="fr-CA"/>
        </w:rPr>
        <w:t xml:space="preserve"> </w:t>
      </w:r>
      <w:proofErr w:type="spellStart"/>
      <w:r w:rsidR="00980442" w:rsidRPr="000C007C">
        <w:rPr>
          <w:i/>
          <w:lang w:val="fr-CA"/>
        </w:rPr>
        <w:t>Summers</w:t>
      </w:r>
      <w:proofErr w:type="spellEnd"/>
      <w:r w:rsidR="00DF3416">
        <w:rPr>
          <w:lang w:val="fr-CA"/>
        </w:rPr>
        <w:t xml:space="preserve">, les </w:t>
      </w:r>
      <w:r w:rsidR="00980442" w:rsidRPr="000C007C">
        <w:rPr>
          <w:lang w:val="fr-CA"/>
        </w:rPr>
        <w:t xml:space="preserve">circonstances qui justifient un crédit majoré </w:t>
      </w:r>
      <w:r w:rsidR="009862F9" w:rsidRPr="000C007C">
        <w:rPr>
          <w:lang w:val="fr-CA"/>
        </w:rPr>
        <w:t xml:space="preserve">d’au plus un jour et demi pour chaque jour de détention </w:t>
      </w:r>
      <w:proofErr w:type="spellStart"/>
      <w:r w:rsidR="009862F9" w:rsidRPr="000C007C">
        <w:rPr>
          <w:lang w:val="fr-CA"/>
        </w:rPr>
        <w:t>présentencielle</w:t>
      </w:r>
      <w:proofErr w:type="spellEnd"/>
      <w:r w:rsidR="009862F9" w:rsidRPr="000C007C">
        <w:rPr>
          <w:lang w:val="fr-CA"/>
        </w:rPr>
        <w:t xml:space="preserve"> </w:t>
      </w:r>
      <w:r w:rsidR="00980442" w:rsidRPr="000C007C">
        <w:rPr>
          <w:lang w:val="fr-CA"/>
        </w:rPr>
        <w:t xml:space="preserve">au titre du </w:t>
      </w:r>
      <w:r w:rsidRPr="000C007C">
        <w:rPr>
          <w:lang w:val="fr-CA"/>
        </w:rPr>
        <w:t>par. </w:t>
      </w:r>
      <w:r w:rsidR="00980442" w:rsidRPr="000C007C">
        <w:rPr>
          <w:lang w:val="fr-CA"/>
        </w:rPr>
        <w:t xml:space="preserve">719(3.1) du </w:t>
      </w:r>
      <w:r w:rsidR="00980442" w:rsidRPr="000C007C">
        <w:rPr>
          <w:i/>
          <w:lang w:val="fr-CA"/>
        </w:rPr>
        <w:t>Code criminel</w:t>
      </w:r>
      <w:r w:rsidR="00980442" w:rsidRPr="000C007C">
        <w:rPr>
          <w:lang w:val="fr-CA"/>
        </w:rPr>
        <w:t xml:space="preserve"> comprennent l’effet de la détention </w:t>
      </w:r>
      <w:proofErr w:type="spellStart"/>
      <w:r w:rsidR="00980442" w:rsidRPr="000C007C">
        <w:rPr>
          <w:lang w:val="fr-CA"/>
        </w:rPr>
        <w:t>présentencielle</w:t>
      </w:r>
      <w:proofErr w:type="spellEnd"/>
      <w:r w:rsidR="00980442" w:rsidRPr="000C007C">
        <w:rPr>
          <w:lang w:val="fr-CA"/>
        </w:rPr>
        <w:t xml:space="preserve"> sur l’accès à la libération anticipée.  </w:t>
      </w:r>
      <w:r w:rsidR="009862F9" w:rsidRPr="000C007C">
        <w:rPr>
          <w:lang w:val="fr-CA"/>
        </w:rPr>
        <w:t>Dans la présente affaire, le dossier ne permet pas de conclure que l’accusé se serait vu refuser la libération anticipée, et l’accusé n’a pas tenté de prolonger sa détention pour exploiter</w:t>
      </w:r>
      <w:r w:rsidR="00C041F2" w:rsidRPr="000C007C">
        <w:rPr>
          <w:lang w:val="fr-CA"/>
        </w:rPr>
        <w:t xml:space="preserve"> </w:t>
      </w:r>
      <w:r w:rsidR="00C041F2" w:rsidRPr="000C007C">
        <w:rPr>
          <w:lang w:val="fr-CA"/>
        </w:rPr>
        <w:lastRenderedPageBreak/>
        <w:t>le système</w:t>
      </w:r>
      <w:r w:rsidR="009862F9" w:rsidRPr="000C007C">
        <w:rPr>
          <w:lang w:val="fr-CA"/>
        </w:rPr>
        <w:t xml:space="preserve"> ou </w:t>
      </w:r>
      <w:r w:rsidR="00C041F2" w:rsidRPr="000C007C">
        <w:rPr>
          <w:lang w:val="fr-CA"/>
        </w:rPr>
        <w:t xml:space="preserve">le </w:t>
      </w:r>
      <w:r w:rsidR="009862F9" w:rsidRPr="000C007C">
        <w:rPr>
          <w:lang w:val="fr-CA"/>
        </w:rPr>
        <w:t xml:space="preserve">déjouer.  </w:t>
      </w:r>
      <w:r w:rsidR="00980442" w:rsidRPr="000C007C">
        <w:rPr>
          <w:lang w:val="fr-CA"/>
        </w:rPr>
        <w:t xml:space="preserve">Il n’y a donc aucune raison d’intervenir dans l’exercice du pouvoir discrétionnaire de la juge chargée de la détermination de la peine. </w:t>
      </w:r>
    </w:p>
    <w:p w:rsidR="004D7D95" w:rsidRPr="000C007C" w:rsidRDefault="004D7D95" w:rsidP="00B45BFC">
      <w:pPr>
        <w:pStyle w:val="SCCNormalDoubleSpacing"/>
        <w:spacing w:after="720" w:line="240" w:lineRule="auto"/>
        <w:rPr>
          <w:b/>
          <w:lang w:val="fr-CA"/>
        </w:rPr>
      </w:pPr>
      <w:r w:rsidRPr="000C007C">
        <w:rPr>
          <w:b/>
          <w:lang w:val="fr-CA"/>
        </w:rPr>
        <w:t>Jurisprudence</w:t>
      </w:r>
    </w:p>
    <w:p w:rsidR="004D7D95" w:rsidRPr="000C007C" w:rsidRDefault="004D7D95" w:rsidP="00B45BFC">
      <w:pPr>
        <w:pStyle w:val="SCCNormalDoubleSpacing"/>
        <w:widowControl w:val="0"/>
        <w:spacing w:after="720" w:line="240" w:lineRule="auto"/>
        <w:rPr>
          <w:lang w:val="fr-CA"/>
        </w:rPr>
      </w:pPr>
      <w:r w:rsidRPr="000C007C">
        <w:rPr>
          <w:lang w:val="fr-CA"/>
        </w:rPr>
        <w:tab/>
      </w:r>
      <w:r w:rsidRPr="000C007C">
        <w:rPr>
          <w:b/>
          <w:lang w:val="fr-CA"/>
        </w:rPr>
        <w:t xml:space="preserve">Arrêt </w:t>
      </w:r>
      <w:r w:rsidR="00450BEE" w:rsidRPr="000C007C">
        <w:rPr>
          <w:b/>
          <w:lang w:val="fr-CA"/>
        </w:rPr>
        <w:t>appliqué</w:t>
      </w:r>
      <w:r w:rsidR="002E0F24" w:rsidRPr="000C007C">
        <w:rPr>
          <w:b/>
          <w:lang w:val="fr-CA"/>
        </w:rPr>
        <w:t> :</w:t>
      </w:r>
      <w:r w:rsidR="002E0F24" w:rsidRPr="000C007C">
        <w:rPr>
          <w:lang w:val="fr-CA"/>
        </w:rPr>
        <w:t xml:space="preserve"> </w:t>
      </w:r>
      <w:r w:rsidR="0017784C" w:rsidRPr="000C007C">
        <w:rPr>
          <w:i/>
          <w:lang w:val="fr-CA"/>
        </w:rPr>
        <w:t xml:space="preserve">R. c. </w:t>
      </w:r>
      <w:proofErr w:type="spellStart"/>
      <w:r w:rsidR="0017784C" w:rsidRPr="000C007C">
        <w:rPr>
          <w:i/>
          <w:lang w:val="fr-CA"/>
        </w:rPr>
        <w:t>Summers</w:t>
      </w:r>
      <w:proofErr w:type="spellEnd"/>
      <w:r w:rsidR="0017784C" w:rsidRPr="000C007C">
        <w:rPr>
          <w:lang w:val="fr-CA"/>
        </w:rPr>
        <w:t xml:space="preserve">, 2014 CSC </w:t>
      </w:r>
      <w:r w:rsidR="000B6A8C" w:rsidRPr="000C007C">
        <w:rPr>
          <w:lang w:val="fr-CA"/>
        </w:rPr>
        <w:t>26</w:t>
      </w:r>
      <w:r w:rsidR="00EB7E0E">
        <w:rPr>
          <w:lang w:val="fr-CA"/>
        </w:rPr>
        <w:t xml:space="preserve">, [2014] 1 R.C.S. </w:t>
      </w:r>
      <w:r w:rsidR="00847BE3">
        <w:rPr>
          <w:lang w:val="fr-CA"/>
        </w:rPr>
        <w:t>575</w:t>
      </w:r>
      <w:r w:rsidR="0007125A" w:rsidRPr="000C007C">
        <w:rPr>
          <w:lang w:val="fr-CA"/>
        </w:rPr>
        <w:t>.</w:t>
      </w:r>
    </w:p>
    <w:p w:rsidR="004D7D95" w:rsidRPr="000C007C" w:rsidRDefault="004D7D95" w:rsidP="00B45BFC">
      <w:pPr>
        <w:pStyle w:val="SCCNormalDoubleSpacing"/>
        <w:spacing w:after="720" w:line="240" w:lineRule="auto"/>
        <w:rPr>
          <w:b/>
          <w:lang w:val="fr-CA"/>
        </w:rPr>
      </w:pPr>
      <w:r w:rsidRPr="000C007C">
        <w:rPr>
          <w:b/>
          <w:lang w:val="fr-CA"/>
        </w:rPr>
        <w:t>Lois et règlements cités</w:t>
      </w:r>
    </w:p>
    <w:p w:rsidR="0017784C" w:rsidRPr="000C007C" w:rsidRDefault="0017784C" w:rsidP="00B45BFC">
      <w:pPr>
        <w:pStyle w:val="SCCNormalDoubleSpacing"/>
        <w:spacing w:after="240" w:line="240" w:lineRule="auto"/>
        <w:ind w:left="539" w:hanging="539"/>
        <w:rPr>
          <w:lang w:val="fr-CA"/>
        </w:rPr>
      </w:pPr>
      <w:r w:rsidRPr="000C007C">
        <w:rPr>
          <w:i/>
          <w:lang w:val="fr-CA"/>
        </w:rPr>
        <w:t>Code criminel</w:t>
      </w:r>
      <w:r w:rsidRPr="000C007C">
        <w:rPr>
          <w:lang w:val="fr-CA"/>
        </w:rPr>
        <w:t xml:space="preserve">, L.R.C. 1985, </w:t>
      </w:r>
      <w:r w:rsidR="002E0F24" w:rsidRPr="000C007C">
        <w:rPr>
          <w:lang w:val="fr-CA"/>
        </w:rPr>
        <w:t>ch. </w:t>
      </w:r>
      <w:r w:rsidRPr="000C007C">
        <w:rPr>
          <w:lang w:val="fr-CA"/>
        </w:rPr>
        <w:t>C</w:t>
      </w:r>
      <w:r w:rsidR="00B45BFC">
        <w:rPr>
          <w:lang w:val="fr-CA"/>
        </w:rPr>
        <w:t>-</w:t>
      </w:r>
      <w:r w:rsidRPr="000C007C">
        <w:rPr>
          <w:lang w:val="fr-CA"/>
        </w:rPr>
        <w:t xml:space="preserve">46, </w:t>
      </w:r>
      <w:r w:rsidR="002E0F24" w:rsidRPr="000C007C">
        <w:rPr>
          <w:lang w:val="fr-CA"/>
        </w:rPr>
        <w:t>art. </w:t>
      </w:r>
      <w:r w:rsidRPr="000C007C">
        <w:rPr>
          <w:lang w:val="fr-CA"/>
        </w:rPr>
        <w:t>719</w:t>
      </w:r>
      <w:r w:rsidR="009C5C24" w:rsidRPr="000C007C">
        <w:rPr>
          <w:lang w:val="fr-CA"/>
        </w:rPr>
        <w:t xml:space="preserve">(3), </w:t>
      </w:r>
      <w:r w:rsidRPr="000C007C">
        <w:rPr>
          <w:lang w:val="fr-CA"/>
        </w:rPr>
        <w:t>(3.1).</w:t>
      </w:r>
    </w:p>
    <w:p w:rsidR="00874508" w:rsidRPr="000C007C" w:rsidRDefault="00874508" w:rsidP="00B45BFC">
      <w:pPr>
        <w:pStyle w:val="SCCNormalDoubleSpacing"/>
        <w:spacing w:after="720" w:line="240" w:lineRule="auto"/>
        <w:ind w:left="540" w:hanging="540"/>
        <w:rPr>
          <w:lang w:val="fr-CA"/>
        </w:rPr>
      </w:pPr>
      <w:r w:rsidRPr="000C007C">
        <w:rPr>
          <w:i/>
          <w:lang w:val="fr-CA"/>
        </w:rPr>
        <w:t>Loi sur l’adéquation de la peine et du crime</w:t>
      </w:r>
      <w:r w:rsidRPr="000C007C">
        <w:rPr>
          <w:lang w:val="fr-CA"/>
        </w:rPr>
        <w:t xml:space="preserve">, L.C. 2009, </w:t>
      </w:r>
      <w:r w:rsidR="002E0F24" w:rsidRPr="000C007C">
        <w:rPr>
          <w:lang w:val="fr-CA"/>
        </w:rPr>
        <w:t>ch. </w:t>
      </w:r>
      <w:r w:rsidRPr="000C007C">
        <w:rPr>
          <w:lang w:val="fr-CA"/>
        </w:rPr>
        <w:t xml:space="preserve">29, </w:t>
      </w:r>
      <w:r w:rsidR="002E0F24" w:rsidRPr="000C007C">
        <w:rPr>
          <w:lang w:val="fr-CA"/>
        </w:rPr>
        <w:t>art. </w:t>
      </w:r>
      <w:r w:rsidRPr="000C007C">
        <w:rPr>
          <w:lang w:val="fr-CA"/>
        </w:rPr>
        <w:t xml:space="preserve">3.  </w:t>
      </w:r>
    </w:p>
    <w:p w:rsidR="004D7D95" w:rsidRPr="000C007C" w:rsidRDefault="004D7D95" w:rsidP="00B45BFC">
      <w:pPr>
        <w:pStyle w:val="SCCNormalDoubleSpacing"/>
        <w:spacing w:after="480"/>
        <w:rPr>
          <w:lang w:val="fr-CA"/>
        </w:rPr>
      </w:pPr>
      <w:r w:rsidRPr="000C007C">
        <w:rPr>
          <w:lang w:val="fr-CA"/>
        </w:rPr>
        <w:tab/>
        <w:t>POURVOI contre un arrêt de la Cour d’appel de la Nouvelle</w:t>
      </w:r>
      <w:r w:rsidR="00B45BFC">
        <w:rPr>
          <w:lang w:val="fr-CA"/>
        </w:rPr>
        <w:t>-</w:t>
      </w:r>
      <w:r w:rsidRPr="000C007C">
        <w:rPr>
          <w:lang w:val="fr-CA"/>
        </w:rPr>
        <w:t>Écosse</w:t>
      </w:r>
      <w:r w:rsidR="001319BD" w:rsidRPr="000C007C">
        <w:rPr>
          <w:lang w:val="fr-CA"/>
        </w:rPr>
        <w:t xml:space="preserve"> (le juge en chef </w:t>
      </w:r>
      <w:proofErr w:type="spellStart"/>
      <w:r w:rsidR="001319BD" w:rsidRPr="000C007C">
        <w:rPr>
          <w:lang w:val="fr-CA"/>
        </w:rPr>
        <w:t>MacDonald</w:t>
      </w:r>
      <w:proofErr w:type="spellEnd"/>
      <w:r w:rsidR="001319BD" w:rsidRPr="000C007C">
        <w:rPr>
          <w:lang w:val="fr-CA"/>
        </w:rPr>
        <w:t xml:space="preserve"> et les juges Hamilton et Beveridge), 2012 NSCA 107, 321 N.S.R. (2d) 321, 1018 A.P.R. 321, </w:t>
      </w:r>
      <w:r w:rsidR="00337C73">
        <w:rPr>
          <w:lang w:val="fr-CA"/>
        </w:rPr>
        <w:t xml:space="preserve">305 C.C.C. (3d) 329, </w:t>
      </w:r>
      <w:r w:rsidR="001319BD" w:rsidRPr="000C007C">
        <w:rPr>
          <w:lang w:val="fr-CA"/>
        </w:rPr>
        <w:t xml:space="preserve">267 C.R.R. (2d) 294, </w:t>
      </w:r>
      <w:r w:rsidR="00DF3416">
        <w:rPr>
          <w:lang w:val="fr-CA"/>
        </w:rPr>
        <w:t>[</w:t>
      </w:r>
      <w:r w:rsidR="001319BD" w:rsidRPr="000C007C">
        <w:rPr>
          <w:lang w:val="fr-CA"/>
        </w:rPr>
        <w:t>2012</w:t>
      </w:r>
      <w:r w:rsidR="00DF3416">
        <w:rPr>
          <w:lang w:val="fr-CA"/>
        </w:rPr>
        <w:t>]</w:t>
      </w:r>
      <w:r w:rsidR="001319BD" w:rsidRPr="000C007C">
        <w:rPr>
          <w:lang w:val="fr-CA"/>
        </w:rPr>
        <w:t xml:space="preserve"> N.S.J. </w:t>
      </w:r>
      <w:r w:rsidR="002E0F24" w:rsidRPr="000C007C">
        <w:rPr>
          <w:lang w:val="fr-CA"/>
        </w:rPr>
        <w:t>No. </w:t>
      </w:r>
      <w:r w:rsidR="001319BD" w:rsidRPr="000C007C">
        <w:rPr>
          <w:lang w:val="fr-CA"/>
        </w:rPr>
        <w:t xml:space="preserve">527 (QL), 2012 </w:t>
      </w:r>
      <w:proofErr w:type="spellStart"/>
      <w:r w:rsidR="001319BD" w:rsidRPr="000C007C">
        <w:rPr>
          <w:lang w:val="fr-CA"/>
        </w:rPr>
        <w:t>CarswellNS</w:t>
      </w:r>
      <w:proofErr w:type="spellEnd"/>
      <w:r w:rsidR="001319BD" w:rsidRPr="000C007C">
        <w:rPr>
          <w:lang w:val="fr-CA"/>
        </w:rPr>
        <w:t xml:space="preserve"> 1062, qui a confirmé une décision </w:t>
      </w:r>
      <w:r w:rsidR="002448C0">
        <w:rPr>
          <w:lang w:val="fr-CA"/>
        </w:rPr>
        <w:t xml:space="preserve">relative à la détermination </w:t>
      </w:r>
      <w:r w:rsidR="001319BD" w:rsidRPr="000C007C">
        <w:rPr>
          <w:lang w:val="fr-CA"/>
        </w:rPr>
        <w:t xml:space="preserve">de la </w:t>
      </w:r>
      <w:r w:rsidR="007C371D">
        <w:rPr>
          <w:lang w:val="fr-CA"/>
        </w:rPr>
        <w:t xml:space="preserve">peine de la </w:t>
      </w:r>
      <w:r w:rsidR="001319BD" w:rsidRPr="000C007C">
        <w:rPr>
          <w:lang w:val="fr-CA"/>
        </w:rPr>
        <w:t xml:space="preserve">juge Derrick, 2011 NSPC 35, 305 N.S.R. (2d) 167, 966 A.P.R. 167, </w:t>
      </w:r>
      <w:r w:rsidR="00DF3416">
        <w:rPr>
          <w:lang w:val="fr-CA"/>
        </w:rPr>
        <w:t>[</w:t>
      </w:r>
      <w:r w:rsidR="001319BD" w:rsidRPr="000C007C">
        <w:rPr>
          <w:lang w:val="fr-CA"/>
        </w:rPr>
        <w:t>2011</w:t>
      </w:r>
      <w:r w:rsidR="00DF3416">
        <w:rPr>
          <w:lang w:val="fr-CA"/>
        </w:rPr>
        <w:t>]</w:t>
      </w:r>
      <w:r w:rsidR="001319BD" w:rsidRPr="000C007C">
        <w:rPr>
          <w:lang w:val="fr-CA"/>
        </w:rPr>
        <w:t xml:space="preserve"> N.S.J. </w:t>
      </w:r>
      <w:r w:rsidR="002E0F24" w:rsidRPr="000C007C">
        <w:rPr>
          <w:lang w:val="fr-CA"/>
        </w:rPr>
        <w:t>No. </w:t>
      </w:r>
      <w:r w:rsidR="001319BD" w:rsidRPr="000C007C">
        <w:rPr>
          <w:lang w:val="fr-CA"/>
        </w:rPr>
        <w:t xml:space="preserve">339 (QL), 2011 </w:t>
      </w:r>
      <w:proofErr w:type="spellStart"/>
      <w:r w:rsidR="001319BD" w:rsidRPr="000C007C">
        <w:rPr>
          <w:lang w:val="fr-CA"/>
        </w:rPr>
        <w:t>CarswellNS</w:t>
      </w:r>
      <w:proofErr w:type="spellEnd"/>
      <w:r w:rsidR="001319BD" w:rsidRPr="000C007C">
        <w:rPr>
          <w:lang w:val="fr-CA"/>
        </w:rPr>
        <w:t xml:space="preserve"> 425.  Pourvoi rejeté.</w:t>
      </w:r>
    </w:p>
    <w:p w:rsidR="00421F11" w:rsidRPr="000C007C" w:rsidRDefault="00623F26" w:rsidP="00B45BFC">
      <w:pPr>
        <w:pStyle w:val="SCCNormalDoubleSpacing"/>
        <w:spacing w:after="480"/>
        <w:rPr>
          <w:lang w:val="fr-CA"/>
        </w:rPr>
      </w:pPr>
      <w:r w:rsidRPr="000C007C">
        <w:rPr>
          <w:i/>
          <w:lang w:val="fr-CA"/>
        </w:rPr>
        <w:tab/>
        <w:t>David </w:t>
      </w:r>
      <w:r w:rsidR="00EB484F" w:rsidRPr="000C007C">
        <w:rPr>
          <w:i/>
          <w:lang w:val="fr-CA"/>
        </w:rPr>
        <w:t xml:space="preserve">W. </w:t>
      </w:r>
      <w:proofErr w:type="spellStart"/>
      <w:r w:rsidR="00EB484F" w:rsidRPr="000C007C">
        <w:rPr>
          <w:i/>
          <w:lang w:val="fr-CA"/>
        </w:rPr>
        <w:t>Schermbrucker</w:t>
      </w:r>
      <w:proofErr w:type="spellEnd"/>
      <w:r w:rsidR="00EB484F" w:rsidRPr="000C007C">
        <w:rPr>
          <w:lang w:val="fr-CA"/>
        </w:rPr>
        <w:t xml:space="preserve"> et </w:t>
      </w:r>
      <w:r w:rsidR="00EB484F" w:rsidRPr="000C007C">
        <w:rPr>
          <w:i/>
          <w:lang w:val="fr-CA"/>
        </w:rPr>
        <w:t xml:space="preserve">Brad </w:t>
      </w:r>
      <w:proofErr w:type="spellStart"/>
      <w:r w:rsidR="00EB484F" w:rsidRPr="000C007C">
        <w:rPr>
          <w:i/>
          <w:lang w:val="fr-CA"/>
        </w:rPr>
        <w:t>Reitz</w:t>
      </w:r>
      <w:proofErr w:type="spellEnd"/>
      <w:r w:rsidR="00550E73" w:rsidRPr="000C007C">
        <w:rPr>
          <w:lang w:val="fr-CA"/>
        </w:rPr>
        <w:t>, pour l’appelante</w:t>
      </w:r>
      <w:r w:rsidR="00EB484F" w:rsidRPr="000C007C">
        <w:rPr>
          <w:lang w:val="fr-CA"/>
        </w:rPr>
        <w:t>.</w:t>
      </w:r>
    </w:p>
    <w:p w:rsidR="00421F11" w:rsidRPr="000C007C" w:rsidRDefault="00623F26" w:rsidP="00B45BFC">
      <w:pPr>
        <w:pStyle w:val="SCCNormalDoubleSpacing"/>
        <w:spacing w:after="480"/>
        <w:rPr>
          <w:lang w:val="fr-CA"/>
        </w:rPr>
      </w:pPr>
      <w:r w:rsidRPr="000C007C">
        <w:rPr>
          <w:i/>
          <w:lang w:val="fr-CA"/>
        </w:rPr>
        <w:tab/>
        <w:t>Luke </w:t>
      </w:r>
      <w:r w:rsidR="00EB484F" w:rsidRPr="000C007C">
        <w:rPr>
          <w:i/>
          <w:lang w:val="fr-CA"/>
        </w:rPr>
        <w:t xml:space="preserve">A. </w:t>
      </w:r>
      <w:proofErr w:type="spellStart"/>
      <w:r w:rsidR="00EB484F" w:rsidRPr="000C007C">
        <w:rPr>
          <w:i/>
          <w:lang w:val="fr-CA"/>
        </w:rPr>
        <w:t>Craggs</w:t>
      </w:r>
      <w:proofErr w:type="spellEnd"/>
      <w:r w:rsidR="00EB484F" w:rsidRPr="000C007C">
        <w:rPr>
          <w:lang w:val="fr-CA"/>
        </w:rPr>
        <w:t>, pour l</w:t>
      </w:r>
      <w:r w:rsidR="00550E73" w:rsidRPr="000C007C">
        <w:rPr>
          <w:lang w:val="fr-CA"/>
        </w:rPr>
        <w:t>’</w:t>
      </w:r>
      <w:r w:rsidR="00EB484F" w:rsidRPr="000C007C">
        <w:rPr>
          <w:lang w:val="fr-CA"/>
        </w:rPr>
        <w:t>intimé.</w:t>
      </w:r>
    </w:p>
    <w:p w:rsidR="00421F11" w:rsidRPr="000C007C" w:rsidRDefault="00EB484F" w:rsidP="00B45BFC">
      <w:pPr>
        <w:pStyle w:val="SCCNormalDoubleSpacing"/>
        <w:spacing w:after="480"/>
        <w:rPr>
          <w:lang w:val="fr-CA"/>
        </w:rPr>
      </w:pPr>
      <w:r w:rsidRPr="000C007C">
        <w:rPr>
          <w:i/>
          <w:lang w:val="fr-CA"/>
        </w:rPr>
        <w:lastRenderedPageBreak/>
        <w:tab/>
        <w:t>Ingrid Grant</w:t>
      </w:r>
      <w:r w:rsidRPr="000C007C">
        <w:rPr>
          <w:lang w:val="fr-CA"/>
        </w:rPr>
        <w:t>, pour l</w:t>
      </w:r>
      <w:r w:rsidR="00550E73" w:rsidRPr="000C007C">
        <w:rPr>
          <w:lang w:val="fr-CA"/>
        </w:rPr>
        <w:t>’</w:t>
      </w:r>
      <w:r w:rsidRPr="000C007C">
        <w:rPr>
          <w:lang w:val="fr-CA"/>
        </w:rPr>
        <w:t>intervenante</w:t>
      </w:r>
      <w:r w:rsidR="00550E73" w:rsidRPr="000C007C">
        <w:rPr>
          <w:lang w:val="fr-CA"/>
        </w:rPr>
        <w:t xml:space="preserve"> </w:t>
      </w:r>
      <w:proofErr w:type="spellStart"/>
      <w:r w:rsidR="00550E73" w:rsidRPr="000C007C">
        <w:rPr>
          <w:lang w:val="fr-CA"/>
        </w:rPr>
        <w:t>Criminal</w:t>
      </w:r>
      <w:proofErr w:type="spellEnd"/>
      <w:r w:rsidR="00550E73" w:rsidRPr="000C007C">
        <w:rPr>
          <w:lang w:val="fr-CA"/>
        </w:rPr>
        <w:t xml:space="preserve"> </w:t>
      </w:r>
      <w:proofErr w:type="spellStart"/>
      <w:r w:rsidR="00550E73" w:rsidRPr="000C007C">
        <w:rPr>
          <w:lang w:val="fr-CA"/>
        </w:rPr>
        <w:t>Lawyers</w:t>
      </w:r>
      <w:proofErr w:type="spellEnd"/>
      <w:r w:rsidR="00550E73" w:rsidRPr="000C007C">
        <w:rPr>
          <w:lang w:val="fr-CA"/>
        </w:rPr>
        <w:t xml:space="preserve">’ </w:t>
      </w:r>
      <w:r w:rsidRPr="000C007C">
        <w:rPr>
          <w:lang w:val="fr-CA"/>
        </w:rPr>
        <w:t>Association of Ontario.</w:t>
      </w:r>
    </w:p>
    <w:p w:rsidR="00421F11" w:rsidRPr="000C007C" w:rsidRDefault="00560F56" w:rsidP="00B45BFC">
      <w:pPr>
        <w:pStyle w:val="SCCNormalDoubleSpacing"/>
        <w:spacing w:after="480"/>
        <w:rPr>
          <w:lang w:val="fr-CA"/>
        </w:rPr>
      </w:pPr>
      <w:r w:rsidRPr="00EB7E0E">
        <w:rPr>
          <w:i/>
          <w:lang w:val="fr-CA"/>
        </w:rPr>
        <w:tab/>
      </w:r>
      <w:r w:rsidR="00EB7E0E">
        <w:rPr>
          <w:i/>
          <w:lang w:val="fr-CA"/>
        </w:rPr>
        <w:t xml:space="preserve">Ryan </w:t>
      </w:r>
      <w:r w:rsidR="00EB484F" w:rsidRPr="000C007C">
        <w:rPr>
          <w:i/>
          <w:lang w:val="fr-CA"/>
        </w:rPr>
        <w:t>D.</w:t>
      </w:r>
      <w:r w:rsidR="00EB7E0E">
        <w:rPr>
          <w:i/>
          <w:lang w:val="fr-CA"/>
        </w:rPr>
        <w:t xml:space="preserve"> </w:t>
      </w:r>
      <w:r w:rsidR="00EB484F" w:rsidRPr="000C007C">
        <w:rPr>
          <w:i/>
          <w:lang w:val="fr-CA"/>
        </w:rPr>
        <w:t>W. Dalziel</w:t>
      </w:r>
      <w:r w:rsidR="00EB484F" w:rsidRPr="000C007C">
        <w:rPr>
          <w:lang w:val="fr-CA"/>
        </w:rPr>
        <w:t xml:space="preserve"> et </w:t>
      </w:r>
      <w:r w:rsidR="00EB484F" w:rsidRPr="000C007C">
        <w:rPr>
          <w:i/>
          <w:lang w:val="fr-CA"/>
        </w:rPr>
        <w:t>Anne Amos</w:t>
      </w:r>
      <w:r w:rsidR="00EB7E0E">
        <w:rPr>
          <w:i/>
          <w:lang w:val="fr-CA"/>
        </w:rPr>
        <w:t>-</w:t>
      </w:r>
      <w:r w:rsidR="00EB484F" w:rsidRPr="000C007C">
        <w:rPr>
          <w:i/>
          <w:lang w:val="fr-CA"/>
        </w:rPr>
        <w:t>Stewart</w:t>
      </w:r>
      <w:r w:rsidR="00EB484F" w:rsidRPr="000C007C">
        <w:rPr>
          <w:lang w:val="fr-CA"/>
        </w:rPr>
        <w:t>, pour l</w:t>
      </w:r>
      <w:r w:rsidR="00550E73" w:rsidRPr="000C007C">
        <w:rPr>
          <w:lang w:val="fr-CA"/>
        </w:rPr>
        <w:t>’</w:t>
      </w:r>
      <w:r w:rsidR="00EB484F" w:rsidRPr="000C007C">
        <w:rPr>
          <w:lang w:val="fr-CA"/>
        </w:rPr>
        <w:t xml:space="preserve">intervenante </w:t>
      </w:r>
      <w:r w:rsidR="00550E73" w:rsidRPr="000C007C">
        <w:rPr>
          <w:lang w:val="fr-CA"/>
        </w:rPr>
        <w:t>l’Association de libertés civiles de la Colombie</w:t>
      </w:r>
      <w:r w:rsidR="00B45BFC">
        <w:rPr>
          <w:lang w:val="fr-CA"/>
        </w:rPr>
        <w:t>-</w:t>
      </w:r>
      <w:r w:rsidR="00550E73" w:rsidRPr="000C007C">
        <w:rPr>
          <w:lang w:val="fr-CA"/>
        </w:rPr>
        <w:t>Britannique</w:t>
      </w:r>
      <w:r w:rsidR="00EB484F" w:rsidRPr="000C007C">
        <w:rPr>
          <w:lang w:val="fr-CA"/>
        </w:rPr>
        <w:t>.</w:t>
      </w:r>
    </w:p>
    <w:p w:rsidR="00FD513D" w:rsidRDefault="002448C0" w:rsidP="00B45BFC">
      <w:pPr>
        <w:pStyle w:val="SCCNormalDoubleSpacing"/>
        <w:spacing w:after="480"/>
        <w:rPr>
          <w:szCs w:val="24"/>
          <w:lang w:val="fr-CA"/>
        </w:rPr>
      </w:pPr>
      <w:r>
        <w:rPr>
          <w:szCs w:val="24"/>
          <w:lang w:val="fr-CA"/>
        </w:rPr>
        <w:tab/>
      </w:r>
      <w:r w:rsidR="00FD513D">
        <w:rPr>
          <w:szCs w:val="24"/>
          <w:lang w:val="fr-CA"/>
        </w:rPr>
        <w:t>Ver</w:t>
      </w:r>
      <w:r w:rsidR="00FD513D" w:rsidRPr="00B6619D">
        <w:rPr>
          <w:szCs w:val="24"/>
          <w:lang w:val="fr-CA"/>
        </w:rPr>
        <w:t xml:space="preserve">sion française du jugement </w:t>
      </w:r>
      <w:r w:rsidR="00FD513D">
        <w:rPr>
          <w:szCs w:val="24"/>
          <w:lang w:val="fr-CA"/>
        </w:rPr>
        <w:t>de la Cour r</w:t>
      </w:r>
      <w:r w:rsidR="00FD513D" w:rsidRPr="00B6619D">
        <w:rPr>
          <w:szCs w:val="24"/>
          <w:lang w:val="fr-CA"/>
        </w:rPr>
        <w:t>endu par</w:t>
      </w:r>
    </w:p>
    <w:p w:rsidR="00FD513D" w:rsidRPr="00567E70" w:rsidRDefault="00FD513D" w:rsidP="00B45BFC">
      <w:pPr>
        <w:pStyle w:val="SCCNormalDoubleSpacing"/>
        <w:spacing w:after="480"/>
      </w:pPr>
      <w:r>
        <w:rPr>
          <w:lang w:val="fr-CA"/>
        </w:rPr>
        <w:tab/>
      </w:r>
      <w:r w:rsidRPr="00EB7E0E">
        <w:rPr>
          <w:smallCaps/>
          <w:lang w:val="fr-CA"/>
        </w:rPr>
        <w:t xml:space="preserve">La juge </w:t>
      </w:r>
      <w:proofErr w:type="spellStart"/>
      <w:r w:rsidRPr="00EB7E0E">
        <w:rPr>
          <w:smallCaps/>
        </w:rPr>
        <w:t>Karakatsanis</w:t>
      </w:r>
      <w:proofErr w:type="spellEnd"/>
      <w:r w:rsidRPr="00567E70">
        <w:t xml:space="preserve"> — </w:t>
      </w:r>
    </w:p>
    <w:p w:rsidR="00FD513D" w:rsidRPr="00567E70" w:rsidRDefault="00FD513D" w:rsidP="00B45BFC">
      <w:pPr>
        <w:pStyle w:val="Title1LevelTitre1Niveau-AltL"/>
        <w:rPr>
          <w:rFonts w:cs="Times New Roman"/>
        </w:rPr>
      </w:pPr>
      <w:r w:rsidRPr="00567E70">
        <w:rPr>
          <w:rFonts w:cs="Times New Roman"/>
        </w:rPr>
        <w:t>Introduction</w:t>
      </w:r>
    </w:p>
    <w:p w:rsidR="00FD513D" w:rsidRPr="00567E70" w:rsidRDefault="00FD513D" w:rsidP="00B45BFC">
      <w:pPr>
        <w:pStyle w:val="ParaNoNdepar-AltN"/>
        <w:rPr>
          <w:rFonts w:cs="Times New Roman"/>
          <w:lang w:val="fr-CA"/>
        </w:rPr>
      </w:pPr>
      <w:r w:rsidRPr="00567E70">
        <w:rPr>
          <w:rFonts w:cs="Times New Roman"/>
          <w:lang w:val="fr-CA"/>
        </w:rPr>
        <w:t xml:space="preserve">À l’instar du dossier connexe </w:t>
      </w:r>
      <w:r w:rsidRPr="00567E70">
        <w:rPr>
          <w:rFonts w:cs="Times New Roman"/>
          <w:i/>
          <w:lang w:val="fr-CA"/>
        </w:rPr>
        <w:t xml:space="preserve">R. c. </w:t>
      </w:r>
      <w:proofErr w:type="spellStart"/>
      <w:r w:rsidRPr="00567E70">
        <w:rPr>
          <w:rFonts w:cs="Times New Roman"/>
          <w:i/>
          <w:lang w:val="fr-CA"/>
        </w:rPr>
        <w:t>Summers</w:t>
      </w:r>
      <w:proofErr w:type="spellEnd"/>
      <w:r w:rsidRPr="00567E70">
        <w:rPr>
          <w:rFonts w:cs="Times New Roman"/>
          <w:lang w:val="fr-CA"/>
        </w:rPr>
        <w:t>, 2014 CSC 26,</w:t>
      </w:r>
      <w:r w:rsidR="00EB7E0E">
        <w:rPr>
          <w:rFonts w:cs="Times New Roman"/>
          <w:lang w:val="fr-CA"/>
        </w:rPr>
        <w:t xml:space="preserve"> </w:t>
      </w:r>
      <w:r w:rsidR="00EB7E0E">
        <w:rPr>
          <w:lang w:val="fr-CA"/>
        </w:rPr>
        <w:t xml:space="preserve">[2014] 1 R.C.S. </w:t>
      </w:r>
      <w:r w:rsidR="00847BE3">
        <w:rPr>
          <w:lang w:val="fr-CA"/>
        </w:rPr>
        <w:t>575</w:t>
      </w:r>
      <w:r w:rsidR="00EB7E0E">
        <w:rPr>
          <w:lang w:val="fr-CA"/>
        </w:rPr>
        <w:t>,</w:t>
      </w:r>
      <w:r w:rsidRPr="00567E70">
        <w:rPr>
          <w:rFonts w:cs="Times New Roman"/>
          <w:lang w:val="fr-CA"/>
        </w:rPr>
        <w:t xml:space="preserve"> le présent pourvoi porte sur l’interprétation du par. 719(3.1) du </w:t>
      </w:r>
      <w:r w:rsidRPr="00567E70">
        <w:rPr>
          <w:rFonts w:cs="Times New Roman"/>
          <w:i/>
          <w:lang w:val="fr-CA"/>
        </w:rPr>
        <w:t>Code criminel</w:t>
      </w:r>
      <w:r w:rsidR="00EB7E0E">
        <w:rPr>
          <w:rFonts w:cs="Times New Roman"/>
          <w:lang w:val="fr-CA"/>
        </w:rPr>
        <w:t>, L.R.C. 1985, ch. C-</w:t>
      </w:r>
      <w:r w:rsidRPr="00567E70">
        <w:rPr>
          <w:rFonts w:cs="Times New Roman"/>
          <w:lang w:val="fr-CA"/>
        </w:rPr>
        <w:t xml:space="preserve">46.  Cette disposition permet au tribunal d’accorder un crédit d’un jour et demi pour chaque jour passé sous garde avant la sentence « si les circonstances le justifient ».  La détention </w:t>
      </w:r>
      <w:proofErr w:type="spellStart"/>
      <w:r w:rsidRPr="00567E70">
        <w:rPr>
          <w:rFonts w:cs="Times New Roman"/>
          <w:lang w:val="fr-CA"/>
        </w:rPr>
        <w:t>présentencielle</w:t>
      </w:r>
      <w:proofErr w:type="spellEnd"/>
      <w:r w:rsidRPr="00567E70">
        <w:rPr>
          <w:rFonts w:cs="Times New Roman"/>
          <w:lang w:val="fr-CA"/>
        </w:rPr>
        <w:t xml:space="preserve"> n’est pas prise en compte aux fins de l’admissibilité à la libération conditionnelle ou anticipée, de sorte que le délinquant qui n’est pas mis en liberté sous caution peut être emprisonné plus longtemps que celui qui bénéficie d’une telle mesure.  Selon la Cour d’appel de la Nouvelle</w:t>
      </w:r>
      <w:r w:rsidR="00B45BFC">
        <w:rPr>
          <w:rFonts w:cs="Times New Roman"/>
          <w:lang w:val="fr-CA"/>
        </w:rPr>
        <w:t>-</w:t>
      </w:r>
      <w:r w:rsidRPr="00567E70">
        <w:rPr>
          <w:rFonts w:cs="Times New Roman"/>
          <w:lang w:val="fr-CA"/>
        </w:rPr>
        <w:t>Écosse, cette perte aux fins de l’admissibilité à la libération conditionnelle et à la libération anticipée constitue l’une des « circonstance</w:t>
      </w:r>
      <w:r w:rsidR="00126DE3">
        <w:rPr>
          <w:rFonts w:cs="Times New Roman"/>
          <w:lang w:val="fr-CA"/>
        </w:rPr>
        <w:t>s</w:t>
      </w:r>
      <w:r w:rsidRPr="00567E70">
        <w:rPr>
          <w:rFonts w:cs="Times New Roman"/>
          <w:lang w:val="fr-CA"/>
        </w:rPr>
        <w:t xml:space="preserve"> » qui justifient l’octroi d’un crédit d’un jour et demi pour chaque jour passé sous garde. </w:t>
      </w:r>
    </w:p>
    <w:p w:rsidR="00FD513D" w:rsidRPr="00567E70" w:rsidRDefault="00FD513D" w:rsidP="00B45BFC">
      <w:pPr>
        <w:pStyle w:val="ParaNoNdepar-AltN"/>
        <w:rPr>
          <w:rFonts w:cs="Times New Roman"/>
          <w:lang w:val="fr-CA"/>
        </w:rPr>
      </w:pPr>
      <w:r w:rsidRPr="00567E70">
        <w:rPr>
          <w:rFonts w:cs="Times New Roman"/>
          <w:lang w:val="fr-CA"/>
        </w:rPr>
        <w:lastRenderedPageBreak/>
        <w:t xml:space="preserve">À la lumière des principes formulés dans </w:t>
      </w:r>
      <w:proofErr w:type="spellStart"/>
      <w:r w:rsidRPr="00567E70">
        <w:rPr>
          <w:rFonts w:cs="Times New Roman"/>
          <w:i/>
          <w:lang w:val="fr-CA"/>
        </w:rPr>
        <w:t>Summers</w:t>
      </w:r>
      <w:proofErr w:type="spellEnd"/>
      <w:r w:rsidRPr="00567E70">
        <w:rPr>
          <w:rFonts w:cs="Times New Roman"/>
          <w:lang w:val="fr-CA"/>
        </w:rPr>
        <w:t>, et pour les motifs qui suivent, je suis d’avis de rejeter le pourvoi.</w:t>
      </w:r>
    </w:p>
    <w:p w:rsidR="00FD513D" w:rsidRPr="00567E70" w:rsidRDefault="00FD513D" w:rsidP="00B45BFC">
      <w:pPr>
        <w:pStyle w:val="Title1LevelTitre1Niveau-AltL"/>
        <w:rPr>
          <w:rFonts w:cs="Times New Roman"/>
        </w:rPr>
      </w:pPr>
      <w:r w:rsidRPr="00567E70">
        <w:rPr>
          <w:rFonts w:cs="Times New Roman"/>
        </w:rPr>
        <w:t xml:space="preserve">Dispositions </w:t>
      </w:r>
      <w:proofErr w:type="spellStart"/>
      <w:r w:rsidRPr="00567E70">
        <w:rPr>
          <w:rFonts w:cs="Times New Roman"/>
        </w:rPr>
        <w:t>législatives</w:t>
      </w:r>
      <w:proofErr w:type="spellEnd"/>
    </w:p>
    <w:p w:rsidR="00FD513D" w:rsidRPr="00567E70" w:rsidRDefault="00FD513D" w:rsidP="00B45BFC">
      <w:pPr>
        <w:pStyle w:val="ParaNoNdepar-AltN"/>
        <w:rPr>
          <w:rFonts w:cs="Times New Roman"/>
          <w:lang w:val="fr-CA"/>
        </w:rPr>
      </w:pPr>
      <w:r w:rsidRPr="00567E70">
        <w:rPr>
          <w:rFonts w:cs="Times New Roman"/>
          <w:lang w:val="fr-CA"/>
        </w:rPr>
        <w:t xml:space="preserve">Le législateur a adopté en 2009 la </w:t>
      </w:r>
      <w:r w:rsidRPr="00567E70">
        <w:rPr>
          <w:rFonts w:cs="Times New Roman"/>
          <w:i/>
          <w:lang w:val="fr-CA"/>
        </w:rPr>
        <w:t>Loi sur l’adéquation de la peine et du crime</w:t>
      </w:r>
      <w:r w:rsidR="00EB7E0E">
        <w:rPr>
          <w:rFonts w:cs="Times New Roman"/>
          <w:lang w:val="fr-CA"/>
        </w:rPr>
        <w:t>, L.C. 2009, ch. 29 (</w:t>
      </w:r>
      <w:r w:rsidRPr="00567E70">
        <w:rPr>
          <w:rFonts w:cs="Times New Roman"/>
          <w:i/>
          <w:lang w:val="fr-CA"/>
        </w:rPr>
        <w:t>LAPC</w:t>
      </w:r>
      <w:r w:rsidRPr="00567E70">
        <w:rPr>
          <w:rFonts w:cs="Times New Roman"/>
          <w:lang w:val="fr-CA"/>
        </w:rPr>
        <w:t xml:space="preserve">), dont l’art. 3 modifie le par. 719(3) du </w:t>
      </w:r>
      <w:r w:rsidRPr="00567E70">
        <w:rPr>
          <w:rFonts w:cs="Times New Roman"/>
          <w:i/>
          <w:lang w:val="fr-CA"/>
        </w:rPr>
        <w:t>Code criminel</w:t>
      </w:r>
      <w:r w:rsidRPr="00567E70">
        <w:rPr>
          <w:rFonts w:cs="Times New Roman"/>
          <w:lang w:val="fr-CA"/>
        </w:rPr>
        <w:t xml:space="preserve"> et ajoute le par. 719(3.1).  Voici le texte de ces dispositions (nouveau libellé souligné) : </w:t>
      </w:r>
    </w:p>
    <w:p w:rsidR="00FD513D" w:rsidRPr="00567E70" w:rsidRDefault="00FD513D" w:rsidP="00B45BFC">
      <w:pPr>
        <w:pStyle w:val="Citation-AltC"/>
        <w:spacing w:after="240"/>
        <w:ind w:left="1168" w:hanging="1168"/>
        <w:contextualSpacing w:val="0"/>
        <w:rPr>
          <w:u w:val="single"/>
          <w:lang w:val="fr-CA"/>
        </w:rPr>
      </w:pPr>
      <w:r w:rsidRPr="00567E70">
        <w:rPr>
          <w:lang w:val="fr-CA"/>
        </w:rPr>
        <w:tab/>
      </w:r>
      <w:r w:rsidR="00126DE3">
        <w:rPr>
          <w:lang w:val="fr-CA"/>
        </w:rPr>
        <w:tab/>
      </w:r>
      <w:r w:rsidRPr="00567E70">
        <w:rPr>
          <w:lang w:val="fr-CA"/>
        </w:rPr>
        <w:t xml:space="preserve">(3)  Pour fixer la peine à infliger à une personne déclarée coupable d’une infraction, le tribunal peut prendre en compte toute période que la personne a passée sous garde par suite de l’infraction; </w:t>
      </w:r>
      <w:r w:rsidRPr="00567E70">
        <w:rPr>
          <w:u w:val="single"/>
          <w:lang w:val="fr-CA"/>
        </w:rPr>
        <w:t>il doit, le cas échéant, restreindre le temps alloué pour cette période à un maximum d’un jour pour chaque jour passé sous garde</w:t>
      </w:r>
      <w:r w:rsidRPr="00567E70">
        <w:rPr>
          <w:lang w:val="fr-CA"/>
        </w:rPr>
        <w:t>.</w:t>
      </w:r>
    </w:p>
    <w:p w:rsidR="00FD513D" w:rsidRPr="00567E70" w:rsidRDefault="00FD513D" w:rsidP="00B45BFC">
      <w:pPr>
        <w:pStyle w:val="Citation-AltC"/>
        <w:ind w:hanging="1166"/>
        <w:rPr>
          <w:b/>
          <w:lang w:val="fr-CA"/>
        </w:rPr>
      </w:pPr>
      <w:r w:rsidRPr="00567E70">
        <w:rPr>
          <w:lang w:val="fr-CA"/>
        </w:rPr>
        <w:tab/>
      </w:r>
      <w:r w:rsidR="00126DE3">
        <w:rPr>
          <w:lang w:val="fr-CA"/>
        </w:rPr>
        <w:tab/>
      </w:r>
      <w:r w:rsidRPr="00502DE7">
        <w:rPr>
          <w:lang w:val="fr-CA"/>
        </w:rPr>
        <w:t>(3.1)  </w:t>
      </w:r>
      <w:r w:rsidRPr="00567E70">
        <w:rPr>
          <w:u w:val="single"/>
          <w:lang w:val="fr-CA"/>
        </w:rPr>
        <w:t>Malgré le paragraphe (3), si les circonstances le justifient, le maximum est d’un jour et demi pour chaque jour passé sous garde, sauf dans le cas où la personne a été détenue pour le motif inscrit au dossier de l’instance en application du paragraphe 515(9.1) ou au titre de l’ordonnance rendue en application des paragraphes 524(4) ou (8)</w:t>
      </w:r>
      <w:r w:rsidRPr="00126DE3">
        <w:rPr>
          <w:u w:val="single"/>
          <w:lang w:val="fr-CA"/>
        </w:rPr>
        <w:t>.</w:t>
      </w:r>
    </w:p>
    <w:p w:rsidR="00FD513D" w:rsidRPr="00567E70" w:rsidRDefault="00FD513D" w:rsidP="00B45BFC">
      <w:pPr>
        <w:pStyle w:val="Title1LevelTitre1Niveau-AltL"/>
        <w:rPr>
          <w:rFonts w:cs="Times New Roman"/>
        </w:rPr>
      </w:pPr>
      <w:proofErr w:type="spellStart"/>
      <w:r w:rsidRPr="00567E70">
        <w:rPr>
          <w:rFonts w:cs="Times New Roman"/>
        </w:rPr>
        <w:t>Contexte</w:t>
      </w:r>
      <w:proofErr w:type="spellEnd"/>
    </w:p>
    <w:p w:rsidR="00FD513D" w:rsidRPr="00567E70" w:rsidRDefault="00FD513D" w:rsidP="00B45BFC">
      <w:pPr>
        <w:pStyle w:val="Title2LevelTitre2Niveau"/>
        <w:rPr>
          <w:rFonts w:cs="Times New Roman"/>
        </w:rPr>
      </w:pPr>
      <w:r w:rsidRPr="00567E70">
        <w:rPr>
          <w:rFonts w:cs="Times New Roman"/>
        </w:rPr>
        <w:t xml:space="preserve">Les </w:t>
      </w:r>
      <w:proofErr w:type="spellStart"/>
      <w:r w:rsidRPr="00567E70">
        <w:rPr>
          <w:rFonts w:cs="Times New Roman"/>
        </w:rPr>
        <w:t>faits</w:t>
      </w:r>
      <w:proofErr w:type="spellEnd"/>
    </w:p>
    <w:p w:rsidR="00FD513D" w:rsidRPr="00567E70" w:rsidRDefault="00FD513D" w:rsidP="00B45BFC">
      <w:pPr>
        <w:pStyle w:val="ParaNoNdepar-AltN"/>
        <w:rPr>
          <w:rFonts w:cs="Times New Roman"/>
          <w:lang w:val="fr-CA"/>
        </w:rPr>
      </w:pPr>
      <w:r w:rsidRPr="00567E70">
        <w:rPr>
          <w:rFonts w:cs="Times New Roman"/>
          <w:lang w:val="fr-CA"/>
        </w:rPr>
        <w:t xml:space="preserve">Le 9 septembre 2010, l’intimé a été arrêté au motif qu’il se trouvait dans la rue après minuit en violation des conditions de sa mise en liberté sous caution.  La </w:t>
      </w:r>
      <w:r w:rsidRPr="00567E70">
        <w:rPr>
          <w:rFonts w:cs="Times New Roman"/>
          <w:lang w:val="fr-CA"/>
        </w:rPr>
        <w:lastRenderedPageBreak/>
        <w:t>fouille accessoire alors effectuée a permis de découvrir sur lui cinq grammes de crack dans son sweat</w:t>
      </w:r>
      <w:r w:rsidR="00B45BFC">
        <w:rPr>
          <w:rFonts w:cs="Times New Roman"/>
          <w:lang w:val="fr-CA"/>
        </w:rPr>
        <w:t>-</w:t>
      </w:r>
      <w:r w:rsidRPr="00567E70">
        <w:rPr>
          <w:rFonts w:cs="Times New Roman"/>
          <w:lang w:val="fr-CA"/>
        </w:rPr>
        <w:t xml:space="preserve">shirt. </w:t>
      </w:r>
    </w:p>
    <w:p w:rsidR="00FD513D" w:rsidRPr="00567E70" w:rsidRDefault="00FD513D" w:rsidP="00B45BFC">
      <w:pPr>
        <w:pStyle w:val="ParaNoNdepar-AltN"/>
        <w:rPr>
          <w:rFonts w:cs="Times New Roman"/>
          <w:lang w:val="fr-CA"/>
        </w:rPr>
      </w:pPr>
      <w:r w:rsidRPr="00567E70">
        <w:rPr>
          <w:rFonts w:cs="Times New Roman"/>
          <w:lang w:val="fr-CA"/>
        </w:rPr>
        <w:t xml:space="preserve">L’intimé n’a pas été libéré sous caution. Son procès a été fixé au 16 novembre.  Il a alors plaidé coupable aux accusations de possession de cocaïne en vue d’en faire le trafic et de violation de son engagement. </w:t>
      </w:r>
    </w:p>
    <w:p w:rsidR="00FD513D" w:rsidRPr="00567E70" w:rsidRDefault="00FD513D" w:rsidP="00B45BFC">
      <w:pPr>
        <w:pStyle w:val="ParaNoNdepar-AltN"/>
        <w:rPr>
          <w:rFonts w:cs="Times New Roman"/>
          <w:lang w:val="fr-CA"/>
        </w:rPr>
      </w:pPr>
      <w:r w:rsidRPr="00567E70">
        <w:rPr>
          <w:rFonts w:cs="Times New Roman"/>
          <w:lang w:val="fr-CA"/>
        </w:rPr>
        <w:t xml:space="preserve">La détermination de la peine a été reportée au 13 décembre, mais l’avocat de la défense a demandé un rapport </w:t>
      </w:r>
      <w:proofErr w:type="spellStart"/>
      <w:r w:rsidRPr="00567E70">
        <w:rPr>
          <w:rFonts w:cs="Times New Roman"/>
          <w:lang w:val="fr-CA"/>
        </w:rPr>
        <w:t>présentenciel</w:t>
      </w:r>
      <w:proofErr w:type="spellEnd"/>
      <w:r w:rsidRPr="00567E70">
        <w:rPr>
          <w:rFonts w:cs="Times New Roman"/>
          <w:lang w:val="fr-CA"/>
        </w:rPr>
        <w:t xml:space="preserve">.  Le 13 janvier 2011, la détermination de la peine a de nouveau été reportée lorsque l’intimé a fait connaître son intention de retirer son plaidoyer de culpabilité.  Le tribunal a ajourné l’instance à maintes reprises pour permettre à l’intimé de retenir les services d’un autre avocat.  Le 27 mai 2011, l’intimé a fait savoir par la voix de son nouveau défenseur qu’il ne retirerait pas son plaidoyer de culpabilité. </w:t>
      </w:r>
    </w:p>
    <w:p w:rsidR="00FD513D" w:rsidRPr="00567E70" w:rsidRDefault="00FD513D" w:rsidP="00B45BFC">
      <w:pPr>
        <w:pStyle w:val="ParaNoNdepar-AltN"/>
        <w:rPr>
          <w:rFonts w:cs="Times New Roman"/>
          <w:lang w:val="fr-CA"/>
        </w:rPr>
      </w:pPr>
      <w:r w:rsidRPr="00567E70">
        <w:rPr>
          <w:rFonts w:cs="Times New Roman"/>
          <w:lang w:val="fr-CA"/>
        </w:rPr>
        <w:t>L’audience de détermination de la peine a finalement eu lieu le 9 juin 2011, et la sentence a été prononcée le 22 juin.  L’intimé a passé 9,5 mois en détention préventive.</w:t>
      </w:r>
    </w:p>
    <w:p w:rsidR="00FD513D" w:rsidRPr="00567E70" w:rsidRDefault="00FD513D" w:rsidP="00B45BFC">
      <w:pPr>
        <w:pStyle w:val="Title2LevelTitre2Niveau"/>
        <w:rPr>
          <w:rFonts w:cs="Times New Roman"/>
          <w:lang w:val="fr-CA"/>
        </w:rPr>
      </w:pPr>
      <w:r w:rsidRPr="00567E70">
        <w:rPr>
          <w:rFonts w:cs="Times New Roman"/>
          <w:lang w:val="fr-CA"/>
        </w:rPr>
        <w:t>La peine infligée, 2011 NSPC 35, 305 N.S.R. (2d) 167</w:t>
      </w:r>
    </w:p>
    <w:p w:rsidR="00FD513D" w:rsidRPr="00567E70" w:rsidRDefault="00FD513D" w:rsidP="00B45BFC">
      <w:pPr>
        <w:pStyle w:val="ParaNoNdepar-AltN"/>
        <w:rPr>
          <w:rFonts w:cs="Times New Roman"/>
          <w:lang w:val="fr-CA"/>
        </w:rPr>
      </w:pPr>
      <w:r w:rsidRPr="00567E70">
        <w:rPr>
          <w:rFonts w:cs="Times New Roman"/>
          <w:lang w:val="fr-CA"/>
        </w:rPr>
        <w:t xml:space="preserve">Le ministère public a réclamé une peine de quatre ans d’emprisonnement, moins les neuf mois et demi passés sous garde selon un ratio d’un jour contre un.  </w:t>
      </w:r>
      <w:r w:rsidRPr="00567E70">
        <w:rPr>
          <w:rFonts w:cs="Times New Roman"/>
          <w:lang w:val="fr-CA"/>
        </w:rPr>
        <w:lastRenderedPageBreak/>
        <w:t xml:space="preserve">Pour sa part, la défense a finalement préconisé une peine de deux ans, moins un jour et demi par jour de détention </w:t>
      </w:r>
      <w:proofErr w:type="spellStart"/>
      <w:r w:rsidRPr="00567E70">
        <w:rPr>
          <w:rFonts w:cs="Times New Roman"/>
          <w:lang w:val="fr-CA"/>
        </w:rPr>
        <w:t>présentencielle</w:t>
      </w:r>
      <w:proofErr w:type="spellEnd"/>
      <w:r w:rsidRPr="00567E70">
        <w:rPr>
          <w:rFonts w:cs="Times New Roman"/>
          <w:lang w:val="fr-CA"/>
        </w:rPr>
        <w:t>.</w:t>
      </w:r>
    </w:p>
    <w:p w:rsidR="00FD513D" w:rsidRPr="00567E70" w:rsidRDefault="00FD513D" w:rsidP="00B45BFC">
      <w:pPr>
        <w:pStyle w:val="ParaNoNdepar-AltN"/>
        <w:rPr>
          <w:rFonts w:cs="Times New Roman"/>
          <w:lang w:val="fr-CA"/>
        </w:rPr>
      </w:pPr>
      <w:r w:rsidRPr="00567E70">
        <w:rPr>
          <w:rFonts w:cs="Times New Roman"/>
          <w:lang w:val="fr-CA"/>
        </w:rPr>
        <w:t>La juge Derrick de la Cour provinciale a décidé que la juste peine correspondait à un emprisonnement de 30 mois.  Elle a conclu que la perte subie aux fins de l’admissibilité à la réduction de peine et à la libération conditionnelle peut justifier l’octroi d’un crédit majoré au titre du par. 719(3.1).  Toujours selon elle, c’est délibérément que le législateur n’a pas fait en sorte que le par. 719(3.1) s’applique uniquement dans des [</w:t>
      </w:r>
      <w:r w:rsidRPr="00567E70">
        <w:rPr>
          <w:rFonts w:cs="Times New Roman"/>
          <w:smallCaps/>
          <w:lang w:val="fr-CA"/>
        </w:rPr>
        <w:t>traduction</w:t>
      </w:r>
      <w:r w:rsidRPr="00567E70">
        <w:rPr>
          <w:rFonts w:cs="Times New Roman"/>
          <w:lang w:val="fr-CA"/>
        </w:rPr>
        <w:t xml:space="preserve">] « circonstances exceptionnelles », et la </w:t>
      </w:r>
      <w:proofErr w:type="spellStart"/>
      <w:r w:rsidRPr="00567E70">
        <w:rPr>
          <w:rFonts w:cs="Times New Roman"/>
          <w:lang w:val="fr-CA"/>
        </w:rPr>
        <w:t>common</w:t>
      </w:r>
      <w:proofErr w:type="spellEnd"/>
      <w:r w:rsidRPr="00567E70">
        <w:rPr>
          <w:rFonts w:cs="Times New Roman"/>
          <w:lang w:val="fr-CA"/>
        </w:rPr>
        <w:t xml:space="preserve"> </w:t>
      </w:r>
      <w:proofErr w:type="spellStart"/>
      <w:r w:rsidRPr="00567E70">
        <w:rPr>
          <w:rFonts w:cs="Times New Roman"/>
          <w:lang w:val="fr-CA"/>
        </w:rPr>
        <w:t>law</w:t>
      </w:r>
      <w:proofErr w:type="spellEnd"/>
      <w:r w:rsidRPr="00567E70">
        <w:rPr>
          <w:rFonts w:cs="Times New Roman"/>
          <w:lang w:val="fr-CA"/>
        </w:rPr>
        <w:t xml:space="preserve"> reconnaît depuis longtemps qu’il est juste d’allouer plus d’un jour pour chaque jour passé sous garde. </w:t>
      </w:r>
    </w:p>
    <w:p w:rsidR="00FD513D" w:rsidRPr="00567E70" w:rsidRDefault="00FD513D" w:rsidP="00B45BFC">
      <w:pPr>
        <w:pStyle w:val="ParaNoNdepar-AltN"/>
        <w:rPr>
          <w:rFonts w:cs="Times New Roman"/>
          <w:lang w:val="fr-CA"/>
        </w:rPr>
      </w:pPr>
      <w:r w:rsidRPr="00567E70">
        <w:rPr>
          <w:rFonts w:cs="Times New Roman"/>
          <w:lang w:val="fr-CA"/>
        </w:rPr>
        <w:t xml:space="preserve">La juge Derrick conclut que, par ses actes, l’intimé n’a pas exclu la possibilité d’obtenir un crédit majoré car il n’a pas prolongé sa détention préventive afin d’exploiter le système.  La sentence aurait pu être prononcée plus tôt si l’intimé n’avait pas considéré la possibilité de retirer son plaidoyer de culpabilité, mais il ne convient pas de le pénaliser pour avoir envisagé une option juridique.  Elle reconnaît que les conditions de détention de l’intimé comme telles ne justifiaient pas la majoration du crédit. </w:t>
      </w:r>
    </w:p>
    <w:p w:rsidR="00FD513D" w:rsidRPr="00567E70" w:rsidRDefault="00FD513D" w:rsidP="00B45BFC">
      <w:pPr>
        <w:pStyle w:val="ParaNoNdepar-AltN"/>
        <w:rPr>
          <w:rFonts w:cs="Times New Roman"/>
          <w:lang w:val="fr-CA"/>
        </w:rPr>
      </w:pPr>
      <w:r w:rsidRPr="00567E70">
        <w:rPr>
          <w:rFonts w:cs="Times New Roman"/>
          <w:lang w:val="fr-CA"/>
        </w:rPr>
        <w:t xml:space="preserve">La juge a accordé un crédit de 14 mois et une semaine, soit un jour et demi par jour passé sous garde, pour compenser la perte subie aux fins de l’admissibilité à la réduction de peine et à la libération conditionnelle. </w:t>
      </w:r>
    </w:p>
    <w:p w:rsidR="00FD513D" w:rsidRPr="00567E70" w:rsidRDefault="00FD513D" w:rsidP="00B45BFC">
      <w:pPr>
        <w:pStyle w:val="Title2LevelTitre2Niveau"/>
        <w:rPr>
          <w:rFonts w:cs="Times New Roman"/>
          <w:lang w:val="fr-CA"/>
        </w:rPr>
      </w:pPr>
      <w:r w:rsidRPr="00567E70">
        <w:rPr>
          <w:rFonts w:cs="Times New Roman"/>
          <w:lang w:val="fr-CA"/>
        </w:rPr>
        <w:lastRenderedPageBreak/>
        <w:t>Cour d’appel de la Nouvelle</w:t>
      </w:r>
      <w:r w:rsidR="00B45BFC">
        <w:rPr>
          <w:rFonts w:cs="Times New Roman"/>
          <w:lang w:val="fr-CA"/>
        </w:rPr>
        <w:t>-</w:t>
      </w:r>
      <w:r w:rsidRPr="00567E70">
        <w:rPr>
          <w:rFonts w:cs="Times New Roman"/>
          <w:lang w:val="fr-CA"/>
        </w:rPr>
        <w:t>Écosse, 2012 NSCA 107, 321 N.S.R. (2d) 321</w:t>
      </w:r>
    </w:p>
    <w:p w:rsidR="00FD513D" w:rsidRPr="00567E70" w:rsidRDefault="00FD513D" w:rsidP="00B45BFC">
      <w:pPr>
        <w:pStyle w:val="ParaNoNdepar-AltN"/>
        <w:rPr>
          <w:rFonts w:cs="Times New Roman"/>
          <w:lang w:val="fr-CA"/>
        </w:rPr>
      </w:pPr>
      <w:r w:rsidRPr="00567E70">
        <w:rPr>
          <w:rFonts w:cs="Times New Roman"/>
          <w:lang w:val="fr-CA"/>
        </w:rPr>
        <w:t>Le ministère public a plaidé en appel que seules des circonstances exceptionnelles justifiaient le tribunal d’accorder un crédit de plus d’un jour par jour passé sous garde.  Il a en outre soutenu que, même si le tribunal pouvait accorder un crédit majoré, la mesure était inopportune au vu des faits de l’espèce.</w:t>
      </w:r>
    </w:p>
    <w:p w:rsidR="00FD513D" w:rsidRPr="00567E70" w:rsidRDefault="00FD513D" w:rsidP="00B45BFC">
      <w:pPr>
        <w:pStyle w:val="ParaNoNdepar-AltN"/>
        <w:rPr>
          <w:rFonts w:cs="Times New Roman"/>
          <w:lang w:val="fr-CA"/>
        </w:rPr>
      </w:pPr>
      <w:r w:rsidRPr="00567E70">
        <w:rPr>
          <w:rFonts w:cs="Times New Roman"/>
          <w:lang w:val="fr-CA"/>
        </w:rPr>
        <w:t xml:space="preserve">Au nom de la Cour d’appel, le juge Beveridge conclut à l’issue d’une analyse détaillée du par. 719(3.1) que les « circonstances » qui justifient un crédit majoré n’ont pas à être exceptionnelles.  Le crédit pour détention </w:t>
      </w:r>
      <w:proofErr w:type="spellStart"/>
      <w:r w:rsidRPr="00567E70">
        <w:rPr>
          <w:rFonts w:cs="Times New Roman"/>
          <w:lang w:val="fr-CA"/>
        </w:rPr>
        <w:t>présentencielle</w:t>
      </w:r>
      <w:proofErr w:type="spellEnd"/>
      <w:r w:rsidRPr="00567E70">
        <w:rPr>
          <w:rFonts w:cs="Times New Roman"/>
          <w:lang w:val="fr-CA"/>
        </w:rPr>
        <w:t xml:space="preserve"> est généralement accordé parce que les conditions de détention préventive sont d’ordinaire plus sévères que celles de l’exécution de la peine, et que la détention </w:t>
      </w:r>
      <w:proofErr w:type="spellStart"/>
      <w:r w:rsidRPr="00567E70">
        <w:rPr>
          <w:rFonts w:cs="Times New Roman"/>
          <w:lang w:val="fr-CA"/>
        </w:rPr>
        <w:t>présentencielle</w:t>
      </w:r>
      <w:proofErr w:type="spellEnd"/>
      <w:r w:rsidRPr="00567E70">
        <w:rPr>
          <w:rFonts w:cs="Times New Roman"/>
          <w:lang w:val="fr-CA"/>
        </w:rPr>
        <w:t xml:space="preserve"> n’est pas prise en compte aux fins de l’admissibilité à la réduction de peine ou à la libération conditionnelle.</w:t>
      </w:r>
    </w:p>
    <w:p w:rsidR="00FD513D" w:rsidRPr="00567E70" w:rsidRDefault="00FD513D" w:rsidP="00B45BFC">
      <w:pPr>
        <w:pStyle w:val="ParaNoNdepar-AltN"/>
        <w:rPr>
          <w:rFonts w:cs="Times New Roman"/>
          <w:lang w:val="fr-CA"/>
        </w:rPr>
      </w:pPr>
      <w:r w:rsidRPr="00567E70">
        <w:rPr>
          <w:rFonts w:cs="Times New Roman"/>
          <w:lang w:val="fr-CA"/>
        </w:rPr>
        <w:t xml:space="preserve">Il conclut donc que la disposition confère au tribunal un pouvoir discrétionnaire qui lui permet d’accorder au plus un jour et demi par jour de détention </w:t>
      </w:r>
      <w:proofErr w:type="spellStart"/>
      <w:r w:rsidRPr="00567E70">
        <w:rPr>
          <w:rFonts w:cs="Times New Roman"/>
          <w:lang w:val="fr-CA"/>
        </w:rPr>
        <w:t>présentencielle</w:t>
      </w:r>
      <w:proofErr w:type="spellEnd"/>
      <w:r w:rsidRPr="00567E70">
        <w:rPr>
          <w:rFonts w:cs="Times New Roman"/>
          <w:lang w:val="fr-CA"/>
        </w:rPr>
        <w:t xml:space="preserve"> pour compenser la perte subie aux fins de l’admissibilité à la réduction de peine ou à la libération conditionnelle.  Il fait remarquer que le par. 719(3.1) ne s’applique pas automatiquement, car il demeure nécessaire d’établir que le délinquant aurait mérité une réduction de peine ou obtenu une libération conditionnelle, bien que ce ne soit pas difficile.</w:t>
      </w:r>
    </w:p>
    <w:p w:rsidR="00FD513D" w:rsidRPr="00567E70" w:rsidRDefault="00FD513D" w:rsidP="00B45BFC">
      <w:pPr>
        <w:pStyle w:val="ParaNoNdepar-AltN"/>
        <w:rPr>
          <w:rFonts w:cs="Times New Roman"/>
          <w:lang w:val="fr-CA"/>
        </w:rPr>
      </w:pPr>
      <w:r w:rsidRPr="00567E70">
        <w:rPr>
          <w:rFonts w:cs="Times New Roman"/>
          <w:lang w:val="fr-CA"/>
        </w:rPr>
        <w:lastRenderedPageBreak/>
        <w:t xml:space="preserve">La décision du juge du procès d’allouer du temps pour la détention </w:t>
      </w:r>
      <w:proofErr w:type="spellStart"/>
      <w:r w:rsidRPr="00567E70">
        <w:rPr>
          <w:rFonts w:cs="Times New Roman"/>
          <w:lang w:val="fr-CA"/>
        </w:rPr>
        <w:t>présentencielle</w:t>
      </w:r>
      <w:proofErr w:type="spellEnd"/>
      <w:r w:rsidRPr="00567E70">
        <w:rPr>
          <w:rFonts w:cs="Times New Roman"/>
          <w:lang w:val="fr-CA"/>
        </w:rPr>
        <w:t xml:space="preserve"> est discrétionnaire, et nulle erreur de principe qui justifie une intervention en appel n’entache la décision rendue en l’espèce. </w:t>
      </w:r>
    </w:p>
    <w:p w:rsidR="00FD513D" w:rsidRPr="00567E70" w:rsidRDefault="00FD513D" w:rsidP="00B45BFC">
      <w:pPr>
        <w:pStyle w:val="Title1LevelTitre1Niveau-AltL"/>
        <w:rPr>
          <w:rFonts w:cs="Times New Roman"/>
        </w:rPr>
      </w:pPr>
      <w:r w:rsidRPr="00567E70">
        <w:rPr>
          <w:rFonts w:cs="Times New Roman"/>
        </w:rPr>
        <w:t xml:space="preserve">Question en </w:t>
      </w:r>
      <w:proofErr w:type="spellStart"/>
      <w:r w:rsidRPr="00567E70">
        <w:rPr>
          <w:rFonts w:cs="Times New Roman"/>
        </w:rPr>
        <w:t>litige</w:t>
      </w:r>
      <w:proofErr w:type="spellEnd"/>
    </w:p>
    <w:p w:rsidR="00FD513D" w:rsidRPr="00567E70" w:rsidRDefault="00FD513D" w:rsidP="00B45BFC">
      <w:pPr>
        <w:pStyle w:val="ParaNoNdepar-AltN"/>
        <w:rPr>
          <w:rFonts w:cs="Times New Roman"/>
          <w:lang w:val="fr-CA"/>
        </w:rPr>
      </w:pPr>
      <w:r w:rsidRPr="00567E70">
        <w:rPr>
          <w:rFonts w:cs="Times New Roman"/>
          <w:lang w:val="fr-CA"/>
        </w:rPr>
        <w:t>La juge chargée de la détermination de la peine a</w:t>
      </w:r>
      <w:r w:rsidR="00B45BFC">
        <w:rPr>
          <w:rFonts w:cs="Times New Roman"/>
          <w:lang w:val="fr-CA"/>
        </w:rPr>
        <w:t>-</w:t>
      </w:r>
      <w:r w:rsidRPr="00567E70">
        <w:rPr>
          <w:rFonts w:cs="Times New Roman"/>
          <w:lang w:val="fr-CA"/>
        </w:rPr>
        <w:t>t</w:t>
      </w:r>
      <w:r w:rsidR="00B45BFC">
        <w:rPr>
          <w:rFonts w:cs="Times New Roman"/>
          <w:lang w:val="fr-CA"/>
        </w:rPr>
        <w:t>-</w:t>
      </w:r>
      <w:r w:rsidRPr="00567E70">
        <w:rPr>
          <w:rFonts w:cs="Times New Roman"/>
          <w:lang w:val="fr-CA"/>
        </w:rPr>
        <w:t xml:space="preserve">elle eu tort d’accorder un crédit d’un jour et demi par jour de détention </w:t>
      </w:r>
      <w:proofErr w:type="spellStart"/>
      <w:r w:rsidRPr="00567E70">
        <w:rPr>
          <w:rFonts w:cs="Times New Roman"/>
          <w:lang w:val="fr-CA"/>
        </w:rPr>
        <w:t>présentencielle</w:t>
      </w:r>
      <w:proofErr w:type="spellEnd"/>
      <w:r w:rsidRPr="00567E70">
        <w:rPr>
          <w:rFonts w:cs="Times New Roman"/>
          <w:lang w:val="fr-CA"/>
        </w:rPr>
        <w:t xml:space="preserve"> de manière à compenser la perte subie aux fins de l’admissibilité à la réduction de peine et à la libération anticipée?</w:t>
      </w:r>
    </w:p>
    <w:p w:rsidR="00FD513D" w:rsidRPr="00567E70" w:rsidRDefault="00FD513D" w:rsidP="00B45BFC">
      <w:pPr>
        <w:pStyle w:val="Title1LevelTitre1Niveau-AltL"/>
        <w:rPr>
          <w:rFonts w:cs="Times New Roman"/>
        </w:rPr>
      </w:pPr>
      <w:r w:rsidRPr="00567E70">
        <w:rPr>
          <w:rFonts w:cs="Times New Roman"/>
        </w:rPr>
        <w:t>Analyse</w:t>
      </w:r>
    </w:p>
    <w:p w:rsidR="00FD513D" w:rsidRPr="00567E70" w:rsidRDefault="00FD513D" w:rsidP="00B45BFC">
      <w:pPr>
        <w:pStyle w:val="ParaNoNdepar-AltN"/>
        <w:rPr>
          <w:rFonts w:cs="Times New Roman"/>
          <w:lang w:val="fr-CA"/>
        </w:rPr>
      </w:pPr>
      <w:r w:rsidRPr="00567E70">
        <w:rPr>
          <w:rFonts w:cs="Times New Roman"/>
          <w:lang w:val="fr-CA"/>
        </w:rPr>
        <w:t xml:space="preserve">Pour les motifs exposés dans le pourvoi connexe </w:t>
      </w:r>
      <w:proofErr w:type="spellStart"/>
      <w:r w:rsidRPr="00567E70">
        <w:rPr>
          <w:rFonts w:cs="Times New Roman"/>
          <w:i/>
          <w:lang w:val="fr-CA"/>
        </w:rPr>
        <w:t>Summers</w:t>
      </w:r>
      <w:proofErr w:type="spellEnd"/>
      <w:r w:rsidRPr="00567E70">
        <w:rPr>
          <w:rFonts w:cs="Times New Roman"/>
          <w:lang w:val="fr-CA"/>
        </w:rPr>
        <w:t xml:space="preserve">, je conclus que les « circonstances » qui justifient un crédit majoré au titre du par. 719(3.1) comprennent l’effet de la détention </w:t>
      </w:r>
      <w:proofErr w:type="spellStart"/>
      <w:r w:rsidRPr="00567E70">
        <w:rPr>
          <w:rFonts w:cs="Times New Roman"/>
          <w:lang w:val="fr-CA"/>
        </w:rPr>
        <w:t>présentencielle</w:t>
      </w:r>
      <w:proofErr w:type="spellEnd"/>
      <w:r w:rsidRPr="00567E70">
        <w:rPr>
          <w:rFonts w:cs="Times New Roman"/>
          <w:lang w:val="fr-CA"/>
        </w:rPr>
        <w:t xml:space="preserve"> sur l’accès à la libération anticipée.  Il ne reste donc qu’à déterminer si la juge a eu tort ou non d’accorder un crédit majoré au vu des faits de l’espèce. </w:t>
      </w:r>
    </w:p>
    <w:p w:rsidR="00FD513D" w:rsidRPr="00567E70" w:rsidRDefault="00FD513D" w:rsidP="00B45BFC">
      <w:pPr>
        <w:pStyle w:val="ParaNoNdepar-AltN"/>
        <w:rPr>
          <w:rFonts w:cs="Times New Roman"/>
          <w:lang w:val="fr-CA"/>
        </w:rPr>
      </w:pPr>
      <w:r w:rsidRPr="00567E70">
        <w:rPr>
          <w:rFonts w:cs="Times New Roman"/>
          <w:lang w:val="fr-CA"/>
        </w:rPr>
        <w:t>Le ministère public soutient que, par ses propres actes, l’intimé a exclu la possibilité d’obtenir un crédit majoré.</w:t>
      </w:r>
    </w:p>
    <w:p w:rsidR="00FD513D" w:rsidRPr="00567E70" w:rsidRDefault="00FD513D" w:rsidP="00B45BFC">
      <w:pPr>
        <w:pStyle w:val="ParaNoNdepar-AltN"/>
        <w:rPr>
          <w:rFonts w:cs="Times New Roman"/>
          <w:lang w:val="fr-CA"/>
        </w:rPr>
      </w:pPr>
      <w:r w:rsidRPr="00567E70">
        <w:rPr>
          <w:rFonts w:cs="Times New Roman"/>
          <w:lang w:val="fr-CA"/>
        </w:rPr>
        <w:lastRenderedPageBreak/>
        <w:t xml:space="preserve">Si le prononcé de la sentence a tant tardé c’est en bonne partie à cause de l’indécision de l’intimé quant à l’opportunité d’un plaidoyer de culpabilité et au changement d’avocat qui en a résulté. </w:t>
      </w:r>
    </w:p>
    <w:p w:rsidR="00FD513D" w:rsidRPr="00567E70" w:rsidRDefault="00FD513D" w:rsidP="00B45BFC">
      <w:pPr>
        <w:pStyle w:val="ParaNoNdepar-AltN"/>
        <w:rPr>
          <w:rFonts w:cs="Times New Roman"/>
          <w:lang w:val="fr-CA"/>
        </w:rPr>
      </w:pPr>
      <w:r w:rsidRPr="00567E70">
        <w:rPr>
          <w:rFonts w:cs="Times New Roman"/>
          <w:lang w:val="fr-CA"/>
        </w:rPr>
        <w:t xml:space="preserve">La juge chargée de la détermination de la peine conclut toutefois que l’intimé n’a pas tenté de prolonger sa détention préventive pour exploiter ou </w:t>
      </w:r>
      <w:r w:rsidR="00126DE3">
        <w:rPr>
          <w:rFonts w:cs="Times New Roman"/>
          <w:lang w:val="fr-CA"/>
        </w:rPr>
        <w:t>[</w:t>
      </w:r>
      <w:r w:rsidR="00126DE3" w:rsidRPr="00126DE3">
        <w:rPr>
          <w:rFonts w:cs="Times New Roman"/>
          <w:smallCaps/>
          <w:lang w:val="fr-CA"/>
        </w:rPr>
        <w:t>traduction</w:t>
      </w:r>
      <w:r w:rsidR="00126DE3">
        <w:rPr>
          <w:rFonts w:cs="Times New Roman"/>
          <w:lang w:val="fr-CA"/>
        </w:rPr>
        <w:t xml:space="preserve">] </w:t>
      </w:r>
      <w:r w:rsidRPr="00567E70">
        <w:rPr>
          <w:rFonts w:cs="Times New Roman"/>
          <w:lang w:val="fr-CA"/>
        </w:rPr>
        <w:t>« déjouer » le système (par. 55 et 56).  Le dossier lui permettait de tirer cette conclusion, et rien ne justifie l’annulation de celle</w:t>
      </w:r>
      <w:r w:rsidR="00B45BFC">
        <w:rPr>
          <w:rFonts w:cs="Times New Roman"/>
          <w:lang w:val="fr-CA"/>
        </w:rPr>
        <w:t>-</w:t>
      </w:r>
      <w:r w:rsidRPr="00567E70">
        <w:rPr>
          <w:rFonts w:cs="Times New Roman"/>
          <w:lang w:val="fr-CA"/>
        </w:rPr>
        <w:t>ci.</w:t>
      </w:r>
    </w:p>
    <w:p w:rsidR="00FD513D" w:rsidRPr="00567E70" w:rsidRDefault="00FD513D" w:rsidP="00B45BFC">
      <w:pPr>
        <w:pStyle w:val="ParaNoNdepar-AltN"/>
        <w:rPr>
          <w:rFonts w:cs="Times New Roman"/>
          <w:lang w:val="fr-CA"/>
        </w:rPr>
      </w:pPr>
      <w:r w:rsidRPr="00567E70">
        <w:rPr>
          <w:rFonts w:cs="Times New Roman"/>
          <w:lang w:val="fr-CA"/>
        </w:rPr>
        <w:t xml:space="preserve">L’obtention d’un crédit à raison d’un jour et demi pour chaque jour passé sous garde ne permet pas à l’intimé de tirer « avantage » du délai, sauf si, au final, il n’est pas admissible à la libération anticipée.  En effet, bien que ce ratio compense la perte subie aux fins de la libération anticipée, l’intimé passerait plus de temps en prison à cause du délai s’il était mis en liberté conditionnelle à n’importe quel moment avant l’exécution des deux tiers de sa peine, malgré l’octroi d’un crédit majoré. </w:t>
      </w:r>
    </w:p>
    <w:p w:rsidR="00FD513D" w:rsidRPr="00567E70" w:rsidRDefault="00FD513D" w:rsidP="00B45BFC">
      <w:pPr>
        <w:pStyle w:val="ParaNoNdepar-AltN"/>
        <w:rPr>
          <w:rFonts w:cs="Times New Roman"/>
          <w:lang w:val="fr-CA"/>
        </w:rPr>
      </w:pPr>
      <w:r w:rsidRPr="00567E70">
        <w:rPr>
          <w:rFonts w:cs="Times New Roman"/>
          <w:lang w:val="fr-CA"/>
        </w:rPr>
        <w:t xml:space="preserve">Le dossier ne permet pas de conclure que l’intimé se serait vu refuser la libération anticipée.  Je conviens donc avec la Cour d’appel qu’il n’y a aucune raison d’intervenir dans l’exercice du pouvoir discrétionnaire de la juge chargée de la détermination de la peine. </w:t>
      </w:r>
    </w:p>
    <w:p w:rsidR="00FD513D" w:rsidRPr="00567E70" w:rsidRDefault="00FD513D" w:rsidP="00B45BFC">
      <w:pPr>
        <w:pStyle w:val="ParaNoNdepar-AltN"/>
        <w:rPr>
          <w:rFonts w:cs="Times New Roman"/>
          <w:lang w:val="fr-CA"/>
        </w:rPr>
      </w:pPr>
      <w:r w:rsidRPr="00567E70">
        <w:rPr>
          <w:rFonts w:cs="Times New Roman"/>
          <w:lang w:val="fr-CA"/>
        </w:rPr>
        <w:t>Je suis d’avis de rejeter le pourvoi.</w:t>
      </w:r>
    </w:p>
    <w:p w:rsidR="004D7D95" w:rsidRDefault="004D7D95" w:rsidP="00B45BFC">
      <w:pPr>
        <w:pStyle w:val="SCCLawFirm"/>
        <w:spacing w:after="480"/>
        <w:rPr>
          <w:lang w:val="fr-CA"/>
        </w:rPr>
      </w:pPr>
      <w:r w:rsidRPr="000C007C">
        <w:rPr>
          <w:lang w:val="fr-CA"/>
        </w:rPr>
        <w:lastRenderedPageBreak/>
        <w:tab/>
      </w:r>
      <w:r w:rsidR="00F94891" w:rsidRPr="000C007C">
        <w:rPr>
          <w:lang w:val="fr-CA"/>
        </w:rPr>
        <w:t>Pourvoi rejeté.</w:t>
      </w:r>
    </w:p>
    <w:p w:rsidR="00F94891" w:rsidRPr="000C007C" w:rsidRDefault="00F94891" w:rsidP="00B45BFC">
      <w:pPr>
        <w:pStyle w:val="SCCLawFirm"/>
        <w:spacing w:after="480"/>
        <w:rPr>
          <w:lang w:val="fr-CA"/>
        </w:rPr>
      </w:pPr>
      <w:r w:rsidRPr="000C007C">
        <w:rPr>
          <w:lang w:val="fr-CA"/>
        </w:rPr>
        <w:tab/>
        <w:t>Procureur de l’appelante</w:t>
      </w:r>
      <w:r w:rsidR="002E0F24" w:rsidRPr="000C007C">
        <w:rPr>
          <w:lang w:val="fr-CA"/>
        </w:rPr>
        <w:t> :</w:t>
      </w:r>
      <w:r w:rsidR="00560F56" w:rsidRPr="000C007C">
        <w:rPr>
          <w:lang w:val="fr-CA"/>
        </w:rPr>
        <w:t> </w:t>
      </w:r>
      <w:r w:rsidRPr="000C007C">
        <w:rPr>
          <w:lang w:val="fr-CA"/>
        </w:rPr>
        <w:t>Service des poursuites pénales du Canada, Halifax.</w:t>
      </w:r>
    </w:p>
    <w:p w:rsidR="00F94891" w:rsidRPr="000C007C" w:rsidRDefault="00F94891" w:rsidP="00B45BFC">
      <w:pPr>
        <w:pStyle w:val="SCCLawFirm"/>
        <w:spacing w:after="480"/>
        <w:rPr>
          <w:lang w:val="fr-CA"/>
        </w:rPr>
      </w:pPr>
      <w:r w:rsidRPr="000C007C">
        <w:rPr>
          <w:lang w:val="fr-CA"/>
        </w:rPr>
        <w:tab/>
        <w:t>Procureurs de l’</w:t>
      </w:r>
      <w:r w:rsidR="00560F56" w:rsidRPr="000C007C">
        <w:rPr>
          <w:lang w:val="fr-CA"/>
        </w:rPr>
        <w:t>intimé</w:t>
      </w:r>
      <w:r w:rsidR="002E0F24" w:rsidRPr="000C007C">
        <w:rPr>
          <w:lang w:val="fr-CA"/>
        </w:rPr>
        <w:t> :</w:t>
      </w:r>
      <w:r w:rsidR="00560F56" w:rsidRPr="000C007C">
        <w:rPr>
          <w:lang w:val="fr-CA"/>
        </w:rPr>
        <w:t> </w:t>
      </w:r>
      <w:r w:rsidRPr="000C007C">
        <w:rPr>
          <w:lang w:val="fr-CA"/>
        </w:rPr>
        <w:t>Burke Thompson, Halifax.</w:t>
      </w:r>
    </w:p>
    <w:p w:rsidR="00F94891" w:rsidRPr="000C007C" w:rsidRDefault="00F94891" w:rsidP="00B45BFC">
      <w:pPr>
        <w:pStyle w:val="SCCLawFirm"/>
        <w:spacing w:after="480"/>
        <w:rPr>
          <w:lang w:val="fr-CA"/>
        </w:rPr>
      </w:pPr>
      <w:r w:rsidRPr="000C007C">
        <w:rPr>
          <w:lang w:val="fr-CA"/>
        </w:rPr>
        <w:tab/>
        <w:t xml:space="preserve">Procureurs de l’intervenante </w:t>
      </w:r>
      <w:proofErr w:type="spellStart"/>
      <w:r w:rsidRPr="000C007C">
        <w:rPr>
          <w:lang w:val="fr-CA"/>
        </w:rPr>
        <w:t>Criminal</w:t>
      </w:r>
      <w:proofErr w:type="spellEnd"/>
      <w:r w:rsidRPr="000C007C">
        <w:rPr>
          <w:lang w:val="fr-CA"/>
        </w:rPr>
        <w:t xml:space="preserve"> </w:t>
      </w:r>
      <w:proofErr w:type="spellStart"/>
      <w:r w:rsidRPr="000C007C">
        <w:rPr>
          <w:lang w:val="fr-CA"/>
        </w:rPr>
        <w:t>Lawyers</w:t>
      </w:r>
      <w:proofErr w:type="spellEnd"/>
      <w:r w:rsidRPr="000C007C">
        <w:rPr>
          <w:lang w:val="fr-CA"/>
        </w:rPr>
        <w:t>’</w:t>
      </w:r>
      <w:r w:rsidR="00560F56" w:rsidRPr="000C007C">
        <w:rPr>
          <w:lang w:val="fr-CA"/>
        </w:rPr>
        <w:t xml:space="preserve"> Association of Ontario</w:t>
      </w:r>
      <w:r w:rsidR="002E0F24" w:rsidRPr="000C007C">
        <w:rPr>
          <w:lang w:val="fr-CA"/>
        </w:rPr>
        <w:t> :</w:t>
      </w:r>
      <w:r w:rsidR="00560F56" w:rsidRPr="000C007C">
        <w:rPr>
          <w:lang w:val="fr-CA"/>
        </w:rPr>
        <w:t> </w:t>
      </w:r>
      <w:r w:rsidRPr="000C007C">
        <w:rPr>
          <w:lang w:val="fr-CA"/>
        </w:rPr>
        <w:t>Russe</w:t>
      </w:r>
      <w:r w:rsidR="00B504E4" w:rsidRPr="000C007C">
        <w:rPr>
          <w:lang w:val="fr-CA"/>
        </w:rPr>
        <w:t>l</w:t>
      </w:r>
      <w:r w:rsidRPr="000C007C">
        <w:rPr>
          <w:lang w:val="fr-CA"/>
        </w:rPr>
        <w:t xml:space="preserve">l </w:t>
      </w:r>
      <w:proofErr w:type="spellStart"/>
      <w:r w:rsidRPr="000C007C">
        <w:rPr>
          <w:lang w:val="fr-CA"/>
        </w:rPr>
        <w:t>Silverstein</w:t>
      </w:r>
      <w:proofErr w:type="spellEnd"/>
      <w:r w:rsidRPr="000C007C">
        <w:rPr>
          <w:lang w:val="fr-CA"/>
        </w:rPr>
        <w:t xml:space="preserve"> &amp; </w:t>
      </w:r>
      <w:proofErr w:type="spellStart"/>
      <w:r w:rsidRPr="000C007C">
        <w:rPr>
          <w:lang w:val="fr-CA"/>
        </w:rPr>
        <w:t>Associate</w:t>
      </w:r>
      <w:proofErr w:type="spellEnd"/>
      <w:r w:rsidRPr="000C007C">
        <w:rPr>
          <w:lang w:val="fr-CA"/>
        </w:rPr>
        <w:t>, Toronto.</w:t>
      </w:r>
    </w:p>
    <w:p w:rsidR="00F94891" w:rsidRPr="000C007C" w:rsidRDefault="00F94891" w:rsidP="00B45BFC">
      <w:pPr>
        <w:pStyle w:val="SCCLawFirm"/>
        <w:rPr>
          <w:lang w:val="fr-CA"/>
        </w:rPr>
      </w:pPr>
      <w:r w:rsidRPr="000C007C">
        <w:rPr>
          <w:lang w:val="fr-CA"/>
        </w:rPr>
        <w:tab/>
        <w:t>Procureurs de l’intervenante l’Association des libertés civiles de la Colombie</w:t>
      </w:r>
      <w:r w:rsidR="00B45BFC">
        <w:rPr>
          <w:lang w:val="fr-CA"/>
        </w:rPr>
        <w:t>-</w:t>
      </w:r>
      <w:r w:rsidRPr="000C007C">
        <w:rPr>
          <w:lang w:val="fr-CA"/>
        </w:rPr>
        <w:t>Britannique</w:t>
      </w:r>
      <w:r w:rsidR="002E0F24" w:rsidRPr="000C007C">
        <w:rPr>
          <w:lang w:val="fr-CA"/>
        </w:rPr>
        <w:t> :</w:t>
      </w:r>
      <w:r w:rsidR="00560F56" w:rsidRPr="000C007C">
        <w:rPr>
          <w:lang w:val="fr-CA"/>
        </w:rPr>
        <w:t> </w:t>
      </w:r>
      <w:r w:rsidRPr="000C007C">
        <w:rPr>
          <w:lang w:val="fr-CA"/>
        </w:rPr>
        <w:t xml:space="preserve">Bull, Housser &amp; </w:t>
      </w:r>
      <w:proofErr w:type="spellStart"/>
      <w:r w:rsidRPr="000C007C">
        <w:rPr>
          <w:lang w:val="fr-CA"/>
        </w:rPr>
        <w:t>Tupper</w:t>
      </w:r>
      <w:proofErr w:type="spellEnd"/>
      <w:r w:rsidRPr="000C007C">
        <w:rPr>
          <w:lang w:val="fr-CA"/>
        </w:rPr>
        <w:t>, Vancouver.</w:t>
      </w:r>
    </w:p>
    <w:sectPr w:rsidR="00F94891" w:rsidRPr="000C007C"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93" w:rsidRDefault="006A6893">
      <w:r>
        <w:separator/>
      </w:r>
    </w:p>
  </w:endnote>
  <w:endnote w:type="continuationSeparator" w:id="0">
    <w:p w:rsidR="006A6893" w:rsidRDefault="006A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3" w:rsidRDefault="006A6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3" w:rsidRDefault="006A68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3" w:rsidRDefault="006A6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93" w:rsidRDefault="006A6893">
      <w:r>
        <w:separator/>
      </w:r>
    </w:p>
  </w:footnote>
  <w:footnote w:type="continuationSeparator" w:id="0">
    <w:p w:rsidR="006A6893" w:rsidRDefault="006A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3" w:rsidRDefault="006A6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3" w:rsidRPr="00450352" w:rsidRDefault="006A6893"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93" w:rsidRDefault="006A68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23FC7"/>
    <w:rsid w:val="00025198"/>
    <w:rsid w:val="00051447"/>
    <w:rsid w:val="000578A3"/>
    <w:rsid w:val="000648CC"/>
    <w:rsid w:val="0007125A"/>
    <w:rsid w:val="00081F67"/>
    <w:rsid w:val="000B6A8C"/>
    <w:rsid w:val="000C007C"/>
    <w:rsid w:val="000C59B8"/>
    <w:rsid w:val="000C6AF0"/>
    <w:rsid w:val="000D0A77"/>
    <w:rsid w:val="000F74E2"/>
    <w:rsid w:val="000F7993"/>
    <w:rsid w:val="00104F33"/>
    <w:rsid w:val="0010681B"/>
    <w:rsid w:val="00111DE2"/>
    <w:rsid w:val="00116B38"/>
    <w:rsid w:val="00125BB0"/>
    <w:rsid w:val="00126DE3"/>
    <w:rsid w:val="001319BD"/>
    <w:rsid w:val="00135406"/>
    <w:rsid w:val="00135972"/>
    <w:rsid w:val="001426A9"/>
    <w:rsid w:val="00154D7C"/>
    <w:rsid w:val="001570B0"/>
    <w:rsid w:val="0015752C"/>
    <w:rsid w:val="00157737"/>
    <w:rsid w:val="00165277"/>
    <w:rsid w:val="00170592"/>
    <w:rsid w:val="001720F7"/>
    <w:rsid w:val="0017784C"/>
    <w:rsid w:val="00195D83"/>
    <w:rsid w:val="001A00C1"/>
    <w:rsid w:val="001B33E0"/>
    <w:rsid w:val="001B4573"/>
    <w:rsid w:val="001B4737"/>
    <w:rsid w:val="001C779F"/>
    <w:rsid w:val="001D2AC1"/>
    <w:rsid w:val="001D4E88"/>
    <w:rsid w:val="001F167C"/>
    <w:rsid w:val="001F69E7"/>
    <w:rsid w:val="00220FC2"/>
    <w:rsid w:val="002222F4"/>
    <w:rsid w:val="00224FC0"/>
    <w:rsid w:val="00225EA4"/>
    <w:rsid w:val="00226EAF"/>
    <w:rsid w:val="00231F3A"/>
    <w:rsid w:val="002406EE"/>
    <w:rsid w:val="00243EC8"/>
    <w:rsid w:val="002448C0"/>
    <w:rsid w:val="00270D93"/>
    <w:rsid w:val="002745CC"/>
    <w:rsid w:val="002B6FBE"/>
    <w:rsid w:val="002B7924"/>
    <w:rsid w:val="002C10A6"/>
    <w:rsid w:val="002D28C3"/>
    <w:rsid w:val="002D39A4"/>
    <w:rsid w:val="002E0F24"/>
    <w:rsid w:val="002E6705"/>
    <w:rsid w:val="002F397B"/>
    <w:rsid w:val="0030329A"/>
    <w:rsid w:val="0031086F"/>
    <w:rsid w:val="0031414C"/>
    <w:rsid w:val="00314E01"/>
    <w:rsid w:val="0032089D"/>
    <w:rsid w:val="003310DE"/>
    <w:rsid w:val="003323B0"/>
    <w:rsid w:val="00337C73"/>
    <w:rsid w:val="00340A49"/>
    <w:rsid w:val="0035169A"/>
    <w:rsid w:val="0035259D"/>
    <w:rsid w:val="003547D7"/>
    <w:rsid w:val="00364B18"/>
    <w:rsid w:val="00382E5D"/>
    <w:rsid w:val="003A125D"/>
    <w:rsid w:val="003A4C70"/>
    <w:rsid w:val="003B215F"/>
    <w:rsid w:val="003C799C"/>
    <w:rsid w:val="003D0399"/>
    <w:rsid w:val="003E1C71"/>
    <w:rsid w:val="003F3152"/>
    <w:rsid w:val="003F327B"/>
    <w:rsid w:val="00406166"/>
    <w:rsid w:val="0040704B"/>
    <w:rsid w:val="00410A55"/>
    <w:rsid w:val="00411300"/>
    <w:rsid w:val="00413F17"/>
    <w:rsid w:val="00415417"/>
    <w:rsid w:val="00421F11"/>
    <w:rsid w:val="00426659"/>
    <w:rsid w:val="004463CC"/>
    <w:rsid w:val="00450352"/>
    <w:rsid w:val="00450BEE"/>
    <w:rsid w:val="00454BDB"/>
    <w:rsid w:val="00465132"/>
    <w:rsid w:val="00480C90"/>
    <w:rsid w:val="0048396F"/>
    <w:rsid w:val="00485299"/>
    <w:rsid w:val="00493C18"/>
    <w:rsid w:val="004974A6"/>
    <w:rsid w:val="004A600C"/>
    <w:rsid w:val="004A6118"/>
    <w:rsid w:val="004B3115"/>
    <w:rsid w:val="004C002E"/>
    <w:rsid w:val="004C374B"/>
    <w:rsid w:val="004C478D"/>
    <w:rsid w:val="004D6C12"/>
    <w:rsid w:val="004D7D95"/>
    <w:rsid w:val="004E2C26"/>
    <w:rsid w:val="00502DE7"/>
    <w:rsid w:val="005125A8"/>
    <w:rsid w:val="00517549"/>
    <w:rsid w:val="00520ABC"/>
    <w:rsid w:val="00521AE8"/>
    <w:rsid w:val="00527180"/>
    <w:rsid w:val="00550E73"/>
    <w:rsid w:val="00555291"/>
    <w:rsid w:val="00560F56"/>
    <w:rsid w:val="00566AD1"/>
    <w:rsid w:val="00583EDE"/>
    <w:rsid w:val="005A6079"/>
    <w:rsid w:val="005E4698"/>
    <w:rsid w:val="00603924"/>
    <w:rsid w:val="00610539"/>
    <w:rsid w:val="00613969"/>
    <w:rsid w:val="00617683"/>
    <w:rsid w:val="00623F26"/>
    <w:rsid w:val="00625C35"/>
    <w:rsid w:val="00647E49"/>
    <w:rsid w:val="00656313"/>
    <w:rsid w:val="006565F4"/>
    <w:rsid w:val="00684EEA"/>
    <w:rsid w:val="0069689B"/>
    <w:rsid w:val="006A6893"/>
    <w:rsid w:val="006B5FF5"/>
    <w:rsid w:val="006C5597"/>
    <w:rsid w:val="006F30AF"/>
    <w:rsid w:val="00701759"/>
    <w:rsid w:val="0070526F"/>
    <w:rsid w:val="00705C15"/>
    <w:rsid w:val="007110F6"/>
    <w:rsid w:val="007208D1"/>
    <w:rsid w:val="00744518"/>
    <w:rsid w:val="00747288"/>
    <w:rsid w:val="00747DD3"/>
    <w:rsid w:val="007549C8"/>
    <w:rsid w:val="00757B9C"/>
    <w:rsid w:val="00766D14"/>
    <w:rsid w:val="00767A0F"/>
    <w:rsid w:val="00767DBE"/>
    <w:rsid w:val="007821D2"/>
    <w:rsid w:val="00791272"/>
    <w:rsid w:val="00795CDE"/>
    <w:rsid w:val="007A05F6"/>
    <w:rsid w:val="007B6F4A"/>
    <w:rsid w:val="007C371D"/>
    <w:rsid w:val="007D7684"/>
    <w:rsid w:val="007E1C47"/>
    <w:rsid w:val="007E337A"/>
    <w:rsid w:val="007E5C70"/>
    <w:rsid w:val="007F2FF5"/>
    <w:rsid w:val="007F3F08"/>
    <w:rsid w:val="00804CC6"/>
    <w:rsid w:val="00817190"/>
    <w:rsid w:val="008260E2"/>
    <w:rsid w:val="008322BD"/>
    <w:rsid w:val="00832BD7"/>
    <w:rsid w:val="00834F73"/>
    <w:rsid w:val="00847BE3"/>
    <w:rsid w:val="0086104C"/>
    <w:rsid w:val="00864C8A"/>
    <w:rsid w:val="00864CF8"/>
    <w:rsid w:val="008671C9"/>
    <w:rsid w:val="00874508"/>
    <w:rsid w:val="00874914"/>
    <w:rsid w:val="008813B1"/>
    <w:rsid w:val="00890680"/>
    <w:rsid w:val="00891422"/>
    <w:rsid w:val="00892E1A"/>
    <w:rsid w:val="008B3895"/>
    <w:rsid w:val="008B660A"/>
    <w:rsid w:val="008C01DA"/>
    <w:rsid w:val="008F2674"/>
    <w:rsid w:val="008F78E9"/>
    <w:rsid w:val="0091619E"/>
    <w:rsid w:val="009179F9"/>
    <w:rsid w:val="00917C7A"/>
    <w:rsid w:val="00933E5E"/>
    <w:rsid w:val="00935218"/>
    <w:rsid w:val="00937C52"/>
    <w:rsid w:val="009403F3"/>
    <w:rsid w:val="009555B7"/>
    <w:rsid w:val="009567AA"/>
    <w:rsid w:val="009602C9"/>
    <w:rsid w:val="00967374"/>
    <w:rsid w:val="00980442"/>
    <w:rsid w:val="009862F9"/>
    <w:rsid w:val="009A343A"/>
    <w:rsid w:val="009A4DA6"/>
    <w:rsid w:val="009B2F23"/>
    <w:rsid w:val="009B57B3"/>
    <w:rsid w:val="009B65EB"/>
    <w:rsid w:val="009C5C24"/>
    <w:rsid w:val="009D1CC4"/>
    <w:rsid w:val="009D2920"/>
    <w:rsid w:val="009D5AEB"/>
    <w:rsid w:val="009F0E33"/>
    <w:rsid w:val="00A149DF"/>
    <w:rsid w:val="00A1755C"/>
    <w:rsid w:val="00A21B90"/>
    <w:rsid w:val="00A226FE"/>
    <w:rsid w:val="00A22AAC"/>
    <w:rsid w:val="00A41805"/>
    <w:rsid w:val="00A44A16"/>
    <w:rsid w:val="00A51882"/>
    <w:rsid w:val="00A52AFB"/>
    <w:rsid w:val="00A548CB"/>
    <w:rsid w:val="00A5521C"/>
    <w:rsid w:val="00A643E7"/>
    <w:rsid w:val="00A73C38"/>
    <w:rsid w:val="00A90A88"/>
    <w:rsid w:val="00AB670D"/>
    <w:rsid w:val="00AF03C5"/>
    <w:rsid w:val="00B000D8"/>
    <w:rsid w:val="00B00F75"/>
    <w:rsid w:val="00B145B6"/>
    <w:rsid w:val="00B17A71"/>
    <w:rsid w:val="00B21BFC"/>
    <w:rsid w:val="00B279EB"/>
    <w:rsid w:val="00B45BFC"/>
    <w:rsid w:val="00B504E4"/>
    <w:rsid w:val="00B50C81"/>
    <w:rsid w:val="00B557F8"/>
    <w:rsid w:val="00B815FC"/>
    <w:rsid w:val="00B93FBC"/>
    <w:rsid w:val="00BA7DA0"/>
    <w:rsid w:val="00BB2766"/>
    <w:rsid w:val="00BB2EE4"/>
    <w:rsid w:val="00BB4C92"/>
    <w:rsid w:val="00BB5962"/>
    <w:rsid w:val="00BC2108"/>
    <w:rsid w:val="00BD0E9E"/>
    <w:rsid w:val="00BD1BEC"/>
    <w:rsid w:val="00BD32FF"/>
    <w:rsid w:val="00BF6FE9"/>
    <w:rsid w:val="00C02092"/>
    <w:rsid w:val="00C041F2"/>
    <w:rsid w:val="00C24D91"/>
    <w:rsid w:val="00C26DB2"/>
    <w:rsid w:val="00C53F14"/>
    <w:rsid w:val="00C600CF"/>
    <w:rsid w:val="00C6084F"/>
    <w:rsid w:val="00C62A66"/>
    <w:rsid w:val="00C66359"/>
    <w:rsid w:val="00C71458"/>
    <w:rsid w:val="00C75214"/>
    <w:rsid w:val="00C77613"/>
    <w:rsid w:val="00C828E7"/>
    <w:rsid w:val="00C86719"/>
    <w:rsid w:val="00C921DD"/>
    <w:rsid w:val="00CA6391"/>
    <w:rsid w:val="00CE036E"/>
    <w:rsid w:val="00CE3171"/>
    <w:rsid w:val="00CF1601"/>
    <w:rsid w:val="00D0172F"/>
    <w:rsid w:val="00D01E33"/>
    <w:rsid w:val="00D02118"/>
    <w:rsid w:val="00D068A7"/>
    <w:rsid w:val="00D17476"/>
    <w:rsid w:val="00D32086"/>
    <w:rsid w:val="00D37A3F"/>
    <w:rsid w:val="00D4431D"/>
    <w:rsid w:val="00D4667A"/>
    <w:rsid w:val="00D63A1C"/>
    <w:rsid w:val="00D7516F"/>
    <w:rsid w:val="00D95F8E"/>
    <w:rsid w:val="00DA0590"/>
    <w:rsid w:val="00DC1739"/>
    <w:rsid w:val="00DC1788"/>
    <w:rsid w:val="00DD19F4"/>
    <w:rsid w:val="00DE319C"/>
    <w:rsid w:val="00DF0CA8"/>
    <w:rsid w:val="00DF155B"/>
    <w:rsid w:val="00DF2B48"/>
    <w:rsid w:val="00DF3416"/>
    <w:rsid w:val="00DF49A7"/>
    <w:rsid w:val="00E07EE2"/>
    <w:rsid w:val="00E07FD1"/>
    <w:rsid w:val="00E24573"/>
    <w:rsid w:val="00E25E1E"/>
    <w:rsid w:val="00E27EE7"/>
    <w:rsid w:val="00E35404"/>
    <w:rsid w:val="00E424EF"/>
    <w:rsid w:val="00E45109"/>
    <w:rsid w:val="00E47B7A"/>
    <w:rsid w:val="00E56A44"/>
    <w:rsid w:val="00E60269"/>
    <w:rsid w:val="00E97830"/>
    <w:rsid w:val="00EA5976"/>
    <w:rsid w:val="00EB438A"/>
    <w:rsid w:val="00EB484F"/>
    <w:rsid w:val="00EB572B"/>
    <w:rsid w:val="00EB7E0E"/>
    <w:rsid w:val="00EE0830"/>
    <w:rsid w:val="00EE6CB8"/>
    <w:rsid w:val="00EF0683"/>
    <w:rsid w:val="00F0070C"/>
    <w:rsid w:val="00F00EB7"/>
    <w:rsid w:val="00F03C04"/>
    <w:rsid w:val="00F36AB6"/>
    <w:rsid w:val="00F37A09"/>
    <w:rsid w:val="00F409CE"/>
    <w:rsid w:val="00F4379D"/>
    <w:rsid w:val="00F50D2D"/>
    <w:rsid w:val="00F56C8B"/>
    <w:rsid w:val="00F62639"/>
    <w:rsid w:val="00F66810"/>
    <w:rsid w:val="00F84DF4"/>
    <w:rsid w:val="00F85C97"/>
    <w:rsid w:val="00F94891"/>
    <w:rsid w:val="00FB37D2"/>
    <w:rsid w:val="00FC4EFB"/>
    <w:rsid w:val="00FD068D"/>
    <w:rsid w:val="00FD4F28"/>
    <w:rsid w:val="00FD513D"/>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98044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FD513D"/>
    <w:pPr>
      <w:spacing w:after="720"/>
      <w:ind w:left="1166"/>
      <w:contextualSpacing/>
      <w:jc w:val="both"/>
    </w:pPr>
    <w:rPr>
      <w:sz w:val="24"/>
      <w:szCs w:val="24"/>
    </w:rPr>
  </w:style>
  <w:style w:type="paragraph" w:customStyle="1" w:styleId="JudgeJuge">
    <w:name w:val="Judge / Juge"/>
    <w:uiPriority w:val="3"/>
    <w:rsid w:val="00FD513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D513D"/>
    <w:pPr>
      <w:numPr>
        <w:numId w:val="2"/>
      </w:numPr>
      <w:tabs>
        <w:tab w:val="left" w:pos="576"/>
      </w:tabs>
      <w:spacing w:after="720"/>
      <w:ind w:left="578" w:hanging="578"/>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D513D"/>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D513D"/>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D513D"/>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D513D"/>
    <w:pPr>
      <w:numPr>
        <w:ilvl w:val="4"/>
      </w:numPr>
      <w:tabs>
        <w:tab w:val="clear" w:pos="576"/>
        <w:tab w:val="left" w:pos="1620"/>
      </w:tabs>
      <w:ind w:left="1620" w:hanging="540"/>
    </w:pPr>
  </w:style>
  <w:style w:type="table" w:styleId="TableGrid">
    <w:name w:val="Table Grid"/>
    <w:basedOn w:val="TableNormal"/>
    <w:uiPriority w:val="59"/>
    <w:rsid w:val="00FD513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BB2766"/>
    <w:rPr>
      <w:lang w:val="fr-CA"/>
    </w:rPr>
  </w:style>
  <w:style w:type="paragraph" w:customStyle="1" w:styleId="SCCLsocPrefix">
    <w:name w:val="SCC.Lsoc.Prefix"/>
    <w:basedOn w:val="Normal"/>
    <w:next w:val="Normal"/>
    <w:link w:val="SCCLsocPrefixChar"/>
    <w:rsid w:val="00BB276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B2766"/>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2181</Words>
  <Characters>11010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2014-04-15T16:15:00Z</dcterms:created>
  <dcterms:modified xsi:type="dcterms:W3CDTF">2014-09-18T19:53:00Z</dcterms:modified>
</cp:coreProperties>
</file>