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72" w:rsidRDefault="00530D72" w:rsidP="00530D72">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8" o:title=""/>
          </v:shape>
          <o:OLEObject Type="Embed" ProgID="Presentations.Drawing.13" ShapeID="_x0000_i1025" DrawAspect="Content" ObjectID="_1472630204" r:id="rId9"/>
        </w:object>
      </w:r>
      <w:r>
        <w:t xml:space="preserve"> </w:t>
      </w:r>
      <w:r>
        <w:ptab w:relativeTo="margin" w:alignment="right" w:leader="none"/>
      </w:r>
    </w:p>
    <w:p w:rsidR="00530D72" w:rsidRDefault="00530D72" w:rsidP="00530D72">
      <w:pPr>
        <w:pStyle w:val="Header"/>
      </w:pPr>
    </w:p>
    <w:p w:rsidR="00530D72" w:rsidRPr="001E12E2" w:rsidRDefault="00530D72" w:rsidP="00530D72">
      <w:pPr>
        <w:jc w:val="center"/>
        <w:rPr>
          <w:b/>
        </w:rPr>
      </w:pPr>
      <w:r w:rsidRPr="001E12E2">
        <w:rPr>
          <w:b/>
        </w:rPr>
        <w:t>COUR SUPRÊME DU CANADA</w:t>
      </w:r>
    </w:p>
    <w:p w:rsidR="00530D72" w:rsidRDefault="00530D72" w:rsidP="00530D7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30D72" w:rsidRPr="001E12E2" w:rsidTr="0051112B">
        <w:trPr>
          <w:cantSplit/>
        </w:trPr>
        <w:tc>
          <w:tcPr>
            <w:tcW w:w="6768" w:type="dxa"/>
          </w:tcPr>
          <w:p w:rsidR="00530D72" w:rsidRPr="00530D72" w:rsidRDefault="00530D72" w:rsidP="0051112B">
            <w:pPr>
              <w:jc w:val="both"/>
              <w:rPr>
                <w:lang w:val="fr-CA"/>
              </w:rPr>
            </w:pPr>
            <w:r w:rsidRPr="00530D72">
              <w:rPr>
                <w:b/>
                <w:smallCaps/>
                <w:lang w:val="fr-CA"/>
              </w:rPr>
              <w:t>Référence :</w:t>
            </w:r>
            <w:r w:rsidRPr="00530D72">
              <w:rPr>
                <w:lang w:val="fr-CA"/>
              </w:rPr>
              <w:t xml:space="preserve"> Ontario (Sécurité communautaire et Services correctionnels) </w:t>
            </w:r>
            <w:r w:rsidRPr="00530D72">
              <w:rPr>
                <w:i/>
                <w:lang w:val="fr-CA"/>
              </w:rPr>
              <w:t>c.</w:t>
            </w:r>
            <w:r w:rsidRPr="00530D72">
              <w:rPr>
                <w:lang w:val="fr-CA"/>
              </w:rPr>
              <w:t xml:space="preserve"> Ontario (Commissaire à l’information et à la protection de la vie privée), 2014 CSC 31</w:t>
            </w:r>
            <w:r w:rsidR="000E2B6F">
              <w:rPr>
                <w:lang w:val="fr-CA"/>
              </w:rPr>
              <w:t>, [2014] 1 R.C.S. 674</w:t>
            </w:r>
          </w:p>
        </w:tc>
        <w:tc>
          <w:tcPr>
            <w:tcW w:w="2808" w:type="dxa"/>
          </w:tcPr>
          <w:p w:rsidR="00530D72" w:rsidRPr="001E12E2" w:rsidRDefault="00530D72" w:rsidP="0051112B">
            <w:r w:rsidRPr="001E12E2">
              <w:rPr>
                <w:b/>
                <w:smallCaps/>
              </w:rPr>
              <w:t>Date</w:t>
            </w:r>
            <w:r>
              <w:rPr>
                <w:b/>
                <w:smallCaps/>
              </w:rPr>
              <w:t> :</w:t>
            </w:r>
            <w:r w:rsidRPr="001E12E2">
              <w:t xml:space="preserve"> </w:t>
            </w:r>
            <w:r>
              <w:t>20140424</w:t>
            </w:r>
          </w:p>
          <w:p w:rsidR="00530D72" w:rsidRPr="001E12E2" w:rsidRDefault="00530D72" w:rsidP="0051112B">
            <w:r w:rsidRPr="001E12E2">
              <w:rPr>
                <w:b/>
                <w:smallCaps/>
              </w:rPr>
              <w:t>Do</w:t>
            </w:r>
            <w:r>
              <w:rPr>
                <w:b/>
                <w:smallCaps/>
              </w:rPr>
              <w:t>ssier :</w:t>
            </w:r>
            <w:r w:rsidRPr="001E12E2">
              <w:t xml:space="preserve"> </w:t>
            </w:r>
            <w:r>
              <w:t>34949</w:t>
            </w:r>
          </w:p>
        </w:tc>
      </w:tr>
    </w:tbl>
    <w:p w:rsidR="00530D72" w:rsidRPr="001E12E2" w:rsidRDefault="00530D72" w:rsidP="00530D72"/>
    <w:p w:rsidR="00530D72" w:rsidRDefault="00530D72" w:rsidP="00530D72">
      <w:pPr>
        <w:pStyle w:val="SCCLsocPrefix"/>
      </w:pPr>
      <w:r>
        <w:t>Entre :</w:t>
      </w:r>
    </w:p>
    <w:p w:rsidR="00530D72" w:rsidRPr="00530D72" w:rsidRDefault="00530D72" w:rsidP="00530D72">
      <w:pPr>
        <w:pStyle w:val="SCCLsocParty"/>
        <w:jc w:val="center"/>
        <w:rPr>
          <w:lang w:val="fr-CA"/>
        </w:rPr>
      </w:pPr>
      <w:r w:rsidRPr="00530D72">
        <w:rPr>
          <w:lang w:val="fr-CA"/>
        </w:rPr>
        <w:t>Ministère de la Sécurité communautaire et des Services correctionnels</w:t>
      </w:r>
    </w:p>
    <w:p w:rsidR="00530D72" w:rsidRPr="00530D72" w:rsidRDefault="00530D72" w:rsidP="00530D72">
      <w:pPr>
        <w:jc w:val="center"/>
        <w:rPr>
          <w:lang w:val="fr-CA"/>
        </w:rPr>
      </w:pPr>
      <w:r w:rsidRPr="00530D72">
        <w:rPr>
          <w:lang w:val="fr-CA"/>
        </w:rPr>
        <w:t>Appelant</w:t>
      </w:r>
    </w:p>
    <w:p w:rsidR="00530D72" w:rsidRPr="00530D72" w:rsidRDefault="00530D72" w:rsidP="00530D72">
      <w:pPr>
        <w:pStyle w:val="SCCLsocVersus"/>
        <w:jc w:val="center"/>
        <w:rPr>
          <w:lang w:val="fr-CA"/>
        </w:rPr>
      </w:pPr>
      <w:proofErr w:type="gramStart"/>
      <w:r w:rsidRPr="00530D72">
        <w:rPr>
          <w:lang w:val="fr-CA"/>
        </w:rPr>
        <w:t>et</w:t>
      </w:r>
      <w:proofErr w:type="gramEnd"/>
    </w:p>
    <w:p w:rsidR="00530D72" w:rsidRPr="00530D72" w:rsidRDefault="00530D72" w:rsidP="00530D72">
      <w:pPr>
        <w:pStyle w:val="SCCLsocParty"/>
        <w:jc w:val="center"/>
        <w:rPr>
          <w:lang w:val="fr-CA"/>
        </w:rPr>
      </w:pPr>
      <w:r w:rsidRPr="00530D72">
        <w:rPr>
          <w:lang w:val="fr-CA"/>
        </w:rPr>
        <w:t>Commissaire à l’information et à la protection de la vie privée</w:t>
      </w:r>
    </w:p>
    <w:p w:rsidR="00530D72" w:rsidRPr="00530D72" w:rsidRDefault="00530D72" w:rsidP="00530D72">
      <w:pPr>
        <w:jc w:val="center"/>
        <w:rPr>
          <w:lang w:val="fr-CA"/>
        </w:rPr>
      </w:pPr>
      <w:r w:rsidRPr="00530D72">
        <w:rPr>
          <w:lang w:val="fr-CA"/>
        </w:rPr>
        <w:t>Intimée</w:t>
      </w:r>
    </w:p>
    <w:p w:rsidR="00530D72" w:rsidRPr="00530D72" w:rsidRDefault="00530D72" w:rsidP="00530D72">
      <w:pPr>
        <w:pStyle w:val="SCCLsocOtherPartySeparator"/>
        <w:jc w:val="center"/>
        <w:rPr>
          <w:lang w:val="fr-CA"/>
        </w:rPr>
      </w:pPr>
      <w:r w:rsidRPr="00530D72">
        <w:rPr>
          <w:lang w:val="fr-CA"/>
        </w:rPr>
        <w:t>- et -</w:t>
      </w:r>
    </w:p>
    <w:p w:rsidR="00530D72" w:rsidRPr="00530D72" w:rsidRDefault="00530D72" w:rsidP="00530D72">
      <w:pPr>
        <w:pStyle w:val="SCCLsocParty"/>
        <w:jc w:val="center"/>
        <w:rPr>
          <w:lang w:val="fr-CA"/>
        </w:rPr>
      </w:pPr>
      <w:r w:rsidRPr="00530D72">
        <w:rPr>
          <w:lang w:val="fr-CA"/>
        </w:rPr>
        <w:t>Procureur général du Canada et Commissaire à l’information du Canada</w:t>
      </w:r>
    </w:p>
    <w:p w:rsidR="00530D72" w:rsidRPr="00530D72" w:rsidRDefault="00530D72" w:rsidP="00530D72">
      <w:pPr>
        <w:jc w:val="center"/>
        <w:rPr>
          <w:lang w:val="fr-CA"/>
        </w:rPr>
      </w:pPr>
      <w:r w:rsidRPr="00530D72">
        <w:rPr>
          <w:lang w:val="fr-CA"/>
        </w:rPr>
        <w:t>Intervenants</w:t>
      </w:r>
    </w:p>
    <w:p w:rsidR="00530D72" w:rsidRPr="00530D72" w:rsidRDefault="00530D72" w:rsidP="00530D72">
      <w:pPr>
        <w:rPr>
          <w:lang w:val="fr-CA"/>
        </w:rPr>
      </w:pPr>
    </w:p>
    <w:p w:rsidR="00530D72" w:rsidRPr="00530D72" w:rsidRDefault="00530D72" w:rsidP="00530D72">
      <w:pPr>
        <w:jc w:val="center"/>
        <w:rPr>
          <w:b/>
          <w:smallCaps/>
          <w:lang w:val="fr-CA"/>
        </w:rPr>
      </w:pPr>
      <w:r w:rsidRPr="00530D72">
        <w:rPr>
          <w:b/>
          <w:smallCaps/>
          <w:lang w:val="fr-CA"/>
        </w:rPr>
        <w:t>Traduction française officielle</w:t>
      </w:r>
    </w:p>
    <w:p w:rsidR="00530D72" w:rsidRPr="00530D72" w:rsidRDefault="00530D72" w:rsidP="00530D72">
      <w:pPr>
        <w:rPr>
          <w:lang w:val="fr-CA"/>
        </w:rPr>
      </w:pPr>
    </w:p>
    <w:p w:rsidR="00530D72" w:rsidRPr="00530D72" w:rsidRDefault="00530D72" w:rsidP="000E2B6F">
      <w:pPr>
        <w:jc w:val="both"/>
        <w:rPr>
          <w:lang w:val="fr-CA"/>
        </w:rPr>
      </w:pPr>
      <w:r w:rsidRPr="00530D72">
        <w:rPr>
          <w:b/>
          <w:smallCaps/>
          <w:lang w:val="fr-CA"/>
        </w:rPr>
        <w:t>Coram :</w:t>
      </w:r>
      <w:r w:rsidRPr="00530D72">
        <w:rPr>
          <w:lang w:val="fr-CA"/>
        </w:rPr>
        <w:t xml:space="preserve"> Les juges LeBel, Abella, Rothstein, Cromwell, Moldaver, Karakatsanis et Wagner</w:t>
      </w:r>
    </w:p>
    <w:p w:rsidR="00530D72" w:rsidRPr="00530D72" w:rsidRDefault="00530D72" w:rsidP="00530D72">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30D72" w:rsidRPr="00633DCF" w:rsidTr="0051112B">
        <w:trPr>
          <w:cantSplit/>
        </w:trPr>
        <w:tc>
          <w:tcPr>
            <w:tcW w:w="3618" w:type="dxa"/>
          </w:tcPr>
          <w:p w:rsidR="00530D72" w:rsidRPr="00530D72" w:rsidRDefault="00530D72" w:rsidP="0051112B">
            <w:pPr>
              <w:rPr>
                <w:b/>
                <w:smallCaps/>
                <w:lang w:val="fr-CA"/>
              </w:rPr>
            </w:pPr>
            <w:r w:rsidRPr="00530D72">
              <w:rPr>
                <w:b/>
                <w:smallCaps/>
                <w:lang w:val="fr-CA"/>
              </w:rPr>
              <w:t>Motifs de jugement :</w:t>
            </w:r>
          </w:p>
          <w:p w:rsidR="00530D72" w:rsidRPr="00530D72" w:rsidRDefault="00530D72" w:rsidP="0051112B">
            <w:pPr>
              <w:rPr>
                <w:lang w:val="fr-CA"/>
              </w:rPr>
            </w:pPr>
            <w:r w:rsidRPr="00530D72">
              <w:rPr>
                <w:lang w:val="fr-CA"/>
              </w:rPr>
              <w:t>(par. 1 à 68)</w:t>
            </w:r>
          </w:p>
        </w:tc>
        <w:tc>
          <w:tcPr>
            <w:tcW w:w="5958" w:type="dxa"/>
          </w:tcPr>
          <w:p w:rsidR="00530D72" w:rsidRPr="00530D72" w:rsidRDefault="00530D72" w:rsidP="0051112B">
            <w:pPr>
              <w:rPr>
                <w:lang w:val="fr-CA"/>
              </w:rPr>
            </w:pPr>
            <w:r w:rsidRPr="00530D72">
              <w:rPr>
                <w:lang w:val="fr-CA"/>
              </w:rPr>
              <w:t>Les juges Cromwell et Wagner (avec l’accord des juges LeBel, Abella, Rothstein, Moldaver et Karakatsanis)</w:t>
            </w:r>
          </w:p>
        </w:tc>
      </w:tr>
    </w:tbl>
    <w:p w:rsidR="00530D72" w:rsidRPr="00530D72" w:rsidRDefault="00530D72" w:rsidP="00530D72">
      <w:pPr>
        <w:rPr>
          <w:lang w:val="fr-CA"/>
        </w:rPr>
      </w:pPr>
    </w:p>
    <w:p w:rsidR="00530D72" w:rsidRPr="00530D72" w:rsidRDefault="00B078CF" w:rsidP="00530D72">
      <w:pPr>
        <w:rPr>
          <w:lang w:val="fr-CA"/>
        </w:rPr>
      </w:pPr>
      <w:r w:rsidRPr="00B078CF">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530D72" w:rsidRDefault="00530D72" w:rsidP="00021119">
      <w:pPr>
        <w:spacing w:after="720"/>
        <w:jc w:val="both"/>
        <w:rPr>
          <w:rStyle w:val="SCCAppellantForIndexChar"/>
          <w:b w:val="0"/>
          <w:lang w:val="fr-CA"/>
        </w:rPr>
      </w:pPr>
    </w:p>
    <w:p w:rsidR="004D7D95" w:rsidRPr="006A3004" w:rsidRDefault="006A3004" w:rsidP="00021119">
      <w:pPr>
        <w:spacing w:after="720"/>
        <w:jc w:val="both"/>
        <w:rPr>
          <w:rStyle w:val="SCCRespondentForRunningHeadChar"/>
          <w:smallCaps w:val="0"/>
          <w:lang w:val="fr-CA"/>
        </w:rPr>
      </w:pPr>
      <w:r w:rsidRPr="006A3004">
        <w:rPr>
          <w:rStyle w:val="SCCAppellantForIndexChar"/>
          <w:b w:val="0"/>
          <w:lang w:val="fr-CA"/>
        </w:rPr>
        <w:t>Ontario (Sécurité communautaire et Services correctionnels)</w:t>
      </w:r>
      <w:r w:rsidRPr="006A3004">
        <w:rPr>
          <w:b/>
          <w:lang w:val="fr-CA"/>
        </w:rPr>
        <w:t xml:space="preserve"> </w:t>
      </w:r>
      <w:r w:rsidRPr="006A3004">
        <w:rPr>
          <w:i/>
          <w:lang w:val="fr-CA"/>
        </w:rPr>
        <w:t>c.</w:t>
      </w:r>
      <w:r w:rsidRPr="006A3004">
        <w:rPr>
          <w:lang w:val="fr-CA"/>
        </w:rPr>
        <w:t xml:space="preserve"> Ontario (</w:t>
      </w:r>
      <w:r w:rsidRPr="006A3004">
        <w:rPr>
          <w:rStyle w:val="SCCRespondentForIndexChar"/>
          <w:b w:val="0"/>
          <w:lang w:val="fr-CA"/>
        </w:rPr>
        <w:t>Commissaire à l’information et à la protection de la vie privée)</w:t>
      </w:r>
      <w:r>
        <w:rPr>
          <w:rStyle w:val="SCCRespondentForIndexChar"/>
          <w:b w:val="0"/>
          <w:lang w:val="fr-CA"/>
        </w:rPr>
        <w:t>, 2014 CSC 31, [2014] 1 R.C.S. 674</w:t>
      </w:r>
    </w:p>
    <w:p w:rsidR="00600D22" w:rsidRPr="003D0CB7" w:rsidRDefault="00600D22" w:rsidP="00021119">
      <w:pPr>
        <w:pStyle w:val="SCCLsocLastPartyInRole"/>
        <w:spacing w:after="0"/>
        <w:rPr>
          <w:lang w:val="fr-CA"/>
        </w:rPr>
      </w:pPr>
      <w:r w:rsidRPr="003D0CB7">
        <w:rPr>
          <w:lang w:val="fr-CA"/>
        </w:rPr>
        <w:t xml:space="preserve">Ministère de la Sécurité communautaire et </w:t>
      </w:r>
    </w:p>
    <w:p w:rsidR="00E96F02" w:rsidRPr="003D0CB7" w:rsidRDefault="00600D22" w:rsidP="00021119">
      <w:pPr>
        <w:pStyle w:val="SCCLsocLastPartyInRole"/>
        <w:rPr>
          <w:rStyle w:val="SCCLsocPartyRole"/>
          <w:lang w:val="fr-CA"/>
        </w:rPr>
      </w:pPr>
      <w:proofErr w:type="gramStart"/>
      <w:r w:rsidRPr="003D0CB7">
        <w:rPr>
          <w:lang w:val="fr-CA"/>
        </w:rPr>
        <w:lastRenderedPageBreak/>
        <w:t>des</w:t>
      </w:r>
      <w:proofErr w:type="gramEnd"/>
      <w:r w:rsidRPr="003D0CB7">
        <w:rPr>
          <w:lang w:val="fr-CA"/>
        </w:rPr>
        <w:t xml:space="preserve"> Services correctionnels</w:t>
      </w:r>
      <w:r w:rsidRPr="003D0CB7">
        <w:rPr>
          <w:rStyle w:val="SCCLsocPartyRole"/>
          <w:lang w:val="fr-CA"/>
        </w:rPr>
        <w:tab/>
        <w:t>Appelant</w:t>
      </w:r>
    </w:p>
    <w:p w:rsidR="00E96F02" w:rsidRPr="003D0CB7" w:rsidRDefault="00600D22" w:rsidP="00021119">
      <w:pPr>
        <w:pStyle w:val="SCCLsocVersus"/>
        <w:rPr>
          <w:lang w:val="fr-CA"/>
        </w:rPr>
      </w:pPr>
      <w:proofErr w:type="gramStart"/>
      <w:r w:rsidRPr="003D0CB7">
        <w:rPr>
          <w:lang w:val="fr-CA"/>
        </w:rPr>
        <w:t>c</w:t>
      </w:r>
      <w:proofErr w:type="gramEnd"/>
      <w:r w:rsidRPr="003D0CB7">
        <w:rPr>
          <w:lang w:val="fr-CA"/>
        </w:rPr>
        <w:t>.</w:t>
      </w:r>
    </w:p>
    <w:p w:rsidR="00E96F02" w:rsidRPr="003D0CB7" w:rsidRDefault="00600D22" w:rsidP="00021119">
      <w:pPr>
        <w:pStyle w:val="SCCLsocLastPartyInRole"/>
        <w:rPr>
          <w:lang w:val="fr-CA"/>
        </w:rPr>
      </w:pPr>
      <w:r w:rsidRPr="003D0CB7">
        <w:rPr>
          <w:lang w:val="fr-CA"/>
        </w:rPr>
        <w:t>Commissaire à l</w:t>
      </w:r>
      <w:r w:rsidR="009F7134" w:rsidRPr="003D0CB7">
        <w:rPr>
          <w:lang w:val="fr-CA"/>
        </w:rPr>
        <w:t>’</w:t>
      </w:r>
      <w:r w:rsidRPr="003D0CB7">
        <w:rPr>
          <w:lang w:val="fr-CA"/>
        </w:rPr>
        <w:t>information et à la protection de la vie privée</w:t>
      </w:r>
      <w:r w:rsidRPr="003D0CB7">
        <w:rPr>
          <w:rStyle w:val="SCCLsocPartyRole"/>
          <w:lang w:val="fr-CA"/>
        </w:rPr>
        <w:tab/>
        <w:t>Intimé</w:t>
      </w:r>
      <w:r w:rsidR="0049465F" w:rsidRPr="003D0CB7">
        <w:rPr>
          <w:rStyle w:val="SCCLsocPartyRole"/>
          <w:lang w:val="fr-CA"/>
        </w:rPr>
        <w:t>e</w:t>
      </w:r>
    </w:p>
    <w:p w:rsidR="00E96F02" w:rsidRPr="003D0CB7" w:rsidRDefault="00600D22" w:rsidP="00021119">
      <w:pPr>
        <w:pStyle w:val="SCCLsocOtherPartySeparator"/>
        <w:rPr>
          <w:lang w:val="fr-CA"/>
        </w:rPr>
      </w:pPr>
      <w:proofErr w:type="gramStart"/>
      <w:r w:rsidRPr="003D0CB7">
        <w:rPr>
          <w:lang w:val="fr-CA"/>
        </w:rPr>
        <w:t>et</w:t>
      </w:r>
      <w:proofErr w:type="gramEnd"/>
    </w:p>
    <w:p w:rsidR="00E96F02" w:rsidRPr="003D0CB7" w:rsidRDefault="00600D22" w:rsidP="00021119">
      <w:pPr>
        <w:pStyle w:val="SCCLsocParty"/>
        <w:rPr>
          <w:lang w:val="fr-CA"/>
        </w:rPr>
      </w:pPr>
      <w:r w:rsidRPr="003D0CB7">
        <w:rPr>
          <w:lang w:val="fr-CA"/>
        </w:rPr>
        <w:t>Procureur général du Canada et</w:t>
      </w:r>
    </w:p>
    <w:p w:rsidR="00E96F02" w:rsidRPr="003D0CB7" w:rsidRDefault="00600D22" w:rsidP="00021119">
      <w:pPr>
        <w:pStyle w:val="SCCLsocLastPartyInRole"/>
        <w:rPr>
          <w:rStyle w:val="SCCLsocPartyRole"/>
          <w:lang w:val="fr-CA"/>
        </w:rPr>
      </w:pPr>
      <w:r w:rsidRPr="003D0CB7">
        <w:rPr>
          <w:lang w:val="fr-CA"/>
        </w:rPr>
        <w:t>Commissaire à l</w:t>
      </w:r>
      <w:r w:rsidR="009F7134" w:rsidRPr="003D0CB7">
        <w:rPr>
          <w:lang w:val="fr-CA"/>
        </w:rPr>
        <w:t>’</w:t>
      </w:r>
      <w:r w:rsidRPr="003D0CB7">
        <w:rPr>
          <w:lang w:val="fr-CA"/>
        </w:rPr>
        <w:t>information du Canada</w:t>
      </w:r>
      <w:r w:rsidRPr="003D0CB7">
        <w:rPr>
          <w:rStyle w:val="SCCLsocPartyRole"/>
          <w:lang w:val="fr-CA"/>
        </w:rPr>
        <w:tab/>
        <w:t>Intervenants</w:t>
      </w:r>
    </w:p>
    <w:p w:rsidR="004D7D95" w:rsidRPr="003D0CB7" w:rsidRDefault="004D7D95" w:rsidP="00021119">
      <w:pPr>
        <w:spacing w:after="720"/>
        <w:jc w:val="both"/>
        <w:rPr>
          <w:lang w:val="fr-CA"/>
        </w:rPr>
      </w:pPr>
      <w:r w:rsidRPr="003D0CB7">
        <w:rPr>
          <w:b/>
          <w:lang w:val="fr-CA"/>
        </w:rPr>
        <w:t>Répertorié</w:t>
      </w:r>
      <w:r w:rsidR="00F23967">
        <w:rPr>
          <w:b/>
          <w:lang w:val="fr-CA"/>
        </w:rPr>
        <w:t xml:space="preserve"> </w:t>
      </w:r>
      <w:r w:rsidR="00AA4099" w:rsidRPr="003D0CB7">
        <w:rPr>
          <w:b/>
          <w:lang w:val="fr-CA"/>
        </w:rPr>
        <w:t>:</w:t>
      </w:r>
      <w:r w:rsidR="00F23967">
        <w:rPr>
          <w:b/>
          <w:lang w:val="fr-CA"/>
        </w:rPr>
        <w:t xml:space="preserve"> </w:t>
      </w:r>
      <w:r w:rsidR="00600D22" w:rsidRPr="003D0CB7">
        <w:rPr>
          <w:rStyle w:val="SCCAppellantForIndexChar"/>
          <w:lang w:val="fr-CA"/>
        </w:rPr>
        <w:t>Ontario (</w:t>
      </w:r>
      <w:r w:rsidRPr="003D0CB7">
        <w:rPr>
          <w:rStyle w:val="SCCAppellantForIndexChar"/>
          <w:lang w:val="fr-CA"/>
        </w:rPr>
        <w:t xml:space="preserve">Sécurité </w:t>
      </w:r>
      <w:r w:rsidR="00600D22" w:rsidRPr="003D0CB7">
        <w:rPr>
          <w:rStyle w:val="SCCAppellantForIndexChar"/>
          <w:lang w:val="fr-CA"/>
        </w:rPr>
        <w:t>communautaire et Services correctionnels)</w:t>
      </w:r>
      <w:r w:rsidRPr="003D0CB7">
        <w:rPr>
          <w:b/>
          <w:lang w:val="fr-CA"/>
        </w:rPr>
        <w:t xml:space="preserve"> </w:t>
      </w:r>
      <w:r w:rsidRPr="003D0CB7">
        <w:rPr>
          <w:b/>
          <w:i/>
          <w:lang w:val="fr-CA"/>
        </w:rPr>
        <w:t>c.</w:t>
      </w:r>
      <w:r w:rsidRPr="003D0CB7">
        <w:rPr>
          <w:b/>
          <w:lang w:val="fr-CA"/>
        </w:rPr>
        <w:t xml:space="preserve"> </w:t>
      </w:r>
      <w:r w:rsidR="00600D22" w:rsidRPr="003D0CB7">
        <w:rPr>
          <w:b/>
          <w:lang w:val="fr-CA"/>
        </w:rPr>
        <w:t>Ontario (</w:t>
      </w:r>
      <w:r w:rsidRPr="003D0CB7">
        <w:rPr>
          <w:rStyle w:val="SCCRespondentForIndexChar"/>
          <w:lang w:val="fr-CA"/>
        </w:rPr>
        <w:t>Commissaire à l</w:t>
      </w:r>
      <w:r w:rsidR="009F7134" w:rsidRPr="003D0CB7">
        <w:rPr>
          <w:rStyle w:val="SCCRespondentForIndexChar"/>
          <w:lang w:val="fr-CA"/>
        </w:rPr>
        <w:t>’</w:t>
      </w:r>
      <w:r w:rsidRPr="003D0CB7">
        <w:rPr>
          <w:rStyle w:val="SCCRespondentForIndexChar"/>
          <w:lang w:val="fr-CA"/>
        </w:rPr>
        <w:t>informati</w:t>
      </w:r>
      <w:r w:rsidR="00600D22" w:rsidRPr="003D0CB7">
        <w:rPr>
          <w:rStyle w:val="SCCRespondentForIndexChar"/>
          <w:lang w:val="fr-CA"/>
        </w:rPr>
        <w:t>on et à la protection de la vie privée)</w:t>
      </w:r>
    </w:p>
    <w:p w:rsidR="004D7D95" w:rsidRPr="003D0CB7" w:rsidRDefault="00F62639" w:rsidP="00021119">
      <w:pPr>
        <w:pStyle w:val="SCCSystemYear"/>
        <w:spacing w:after="720"/>
        <w:jc w:val="both"/>
        <w:rPr>
          <w:lang w:val="fr-CA"/>
        </w:rPr>
      </w:pPr>
      <w:r w:rsidRPr="003D0CB7">
        <w:rPr>
          <w:lang w:val="fr-CA"/>
        </w:rPr>
        <w:t>2014</w:t>
      </w:r>
      <w:r w:rsidR="004D7D95" w:rsidRPr="003D0CB7">
        <w:rPr>
          <w:lang w:val="fr-CA"/>
        </w:rPr>
        <w:t xml:space="preserve"> CSC</w:t>
      </w:r>
      <w:r w:rsidR="00F23967">
        <w:rPr>
          <w:lang w:val="fr-CA"/>
        </w:rPr>
        <w:t xml:space="preserve"> </w:t>
      </w:r>
      <w:r w:rsidR="00A8294F" w:rsidRPr="003D0CB7">
        <w:rPr>
          <w:lang w:val="fr-CA"/>
        </w:rPr>
        <w:t>31</w:t>
      </w:r>
    </w:p>
    <w:p w:rsidR="004D7D95" w:rsidRPr="003D0CB7" w:rsidRDefault="004D7D95" w:rsidP="00021119">
      <w:pPr>
        <w:spacing w:after="720"/>
        <w:jc w:val="both"/>
        <w:rPr>
          <w:lang w:val="fr-CA"/>
        </w:rPr>
      </w:pPr>
      <w:r w:rsidRPr="003D0CB7">
        <w:rPr>
          <w:lang w:val="fr-CA"/>
        </w:rPr>
        <w:t>N</w:t>
      </w:r>
      <w:r w:rsidRPr="003D0CB7">
        <w:rPr>
          <w:vertAlign w:val="superscript"/>
          <w:lang w:val="fr-CA"/>
        </w:rPr>
        <w:t>o</w:t>
      </w:r>
      <w:r w:rsidRPr="003D0CB7">
        <w:rPr>
          <w:lang w:val="fr-CA"/>
        </w:rPr>
        <w:t xml:space="preserve"> du greffe</w:t>
      </w:r>
      <w:r w:rsidR="00F23967">
        <w:rPr>
          <w:lang w:val="fr-CA"/>
        </w:rPr>
        <w:t xml:space="preserve"> </w:t>
      </w:r>
      <w:r w:rsidR="00AA4099" w:rsidRPr="003D0CB7">
        <w:rPr>
          <w:lang w:val="fr-CA"/>
        </w:rPr>
        <w:t>:</w:t>
      </w:r>
      <w:r w:rsidR="00F23967">
        <w:rPr>
          <w:lang w:val="fr-CA"/>
        </w:rPr>
        <w:t xml:space="preserve"> </w:t>
      </w:r>
      <w:r w:rsidRPr="003D0CB7">
        <w:rPr>
          <w:lang w:val="fr-CA"/>
        </w:rPr>
        <w:t>34949.</w:t>
      </w:r>
    </w:p>
    <w:p w:rsidR="004D7D95" w:rsidRPr="003D0CB7" w:rsidRDefault="00AA4099" w:rsidP="00021119">
      <w:pPr>
        <w:spacing w:after="720"/>
        <w:jc w:val="both"/>
        <w:rPr>
          <w:lang w:val="fr-CA"/>
        </w:rPr>
      </w:pPr>
      <w:r w:rsidRPr="003D0CB7">
        <w:rPr>
          <w:lang w:val="fr-CA"/>
        </w:rPr>
        <w:t>2013</w:t>
      </w:r>
      <w:r w:rsidR="00F23967">
        <w:rPr>
          <w:lang w:val="fr-CA"/>
        </w:rPr>
        <w:t xml:space="preserve"> </w:t>
      </w:r>
      <w:r w:rsidRPr="003D0CB7">
        <w:rPr>
          <w:lang w:val="fr-CA"/>
        </w:rPr>
        <w:t>:</w:t>
      </w:r>
      <w:r w:rsidR="00F23967">
        <w:rPr>
          <w:lang w:val="fr-CA"/>
        </w:rPr>
        <w:t xml:space="preserve"> </w:t>
      </w:r>
      <w:r w:rsidRPr="003D0CB7">
        <w:rPr>
          <w:lang w:val="fr-CA"/>
        </w:rPr>
        <w:t>5</w:t>
      </w:r>
      <w:r w:rsidR="00F23967">
        <w:rPr>
          <w:lang w:val="fr-CA"/>
        </w:rPr>
        <w:t xml:space="preserve"> </w:t>
      </w:r>
      <w:r w:rsidR="00F62639" w:rsidRPr="003D0CB7">
        <w:rPr>
          <w:lang w:val="fr-CA"/>
        </w:rPr>
        <w:t>décembre</w:t>
      </w:r>
      <w:r w:rsidR="004D7D95" w:rsidRPr="003D0CB7">
        <w:rPr>
          <w:lang w:val="fr-CA"/>
        </w:rPr>
        <w:t xml:space="preserve">; </w:t>
      </w:r>
      <w:r w:rsidRPr="003D0CB7">
        <w:rPr>
          <w:lang w:val="fr-CA"/>
        </w:rPr>
        <w:t>2014</w:t>
      </w:r>
      <w:r w:rsidR="00F23967">
        <w:rPr>
          <w:lang w:val="fr-CA"/>
        </w:rPr>
        <w:t xml:space="preserve"> </w:t>
      </w:r>
      <w:r w:rsidRPr="003D0CB7">
        <w:rPr>
          <w:lang w:val="fr-CA"/>
        </w:rPr>
        <w:t>:</w:t>
      </w:r>
      <w:r w:rsidR="00F23967">
        <w:rPr>
          <w:lang w:val="fr-CA"/>
        </w:rPr>
        <w:t xml:space="preserve"> </w:t>
      </w:r>
      <w:r w:rsidRPr="003D0CB7">
        <w:rPr>
          <w:lang w:val="fr-CA"/>
        </w:rPr>
        <w:t>24</w:t>
      </w:r>
      <w:r w:rsidR="00F23967">
        <w:rPr>
          <w:lang w:val="fr-CA"/>
        </w:rPr>
        <w:t xml:space="preserve"> </w:t>
      </w:r>
      <w:r w:rsidR="00203B64" w:rsidRPr="003D0CB7">
        <w:rPr>
          <w:lang w:val="fr-CA"/>
        </w:rPr>
        <w:t>avril</w:t>
      </w:r>
      <w:r w:rsidR="004D7D95" w:rsidRPr="003D0CB7">
        <w:rPr>
          <w:lang w:val="fr-CA"/>
        </w:rPr>
        <w:t>.</w:t>
      </w:r>
    </w:p>
    <w:p w:rsidR="004D7D95" w:rsidRPr="003D0CB7" w:rsidRDefault="004D7D95" w:rsidP="00021119">
      <w:pPr>
        <w:spacing w:after="720"/>
        <w:jc w:val="both"/>
        <w:rPr>
          <w:lang w:val="fr-CA"/>
        </w:rPr>
      </w:pPr>
      <w:r w:rsidRPr="003D0CB7">
        <w:rPr>
          <w:lang w:val="fr-CA"/>
        </w:rPr>
        <w:t>Présents</w:t>
      </w:r>
      <w:r w:rsidR="00F23967">
        <w:rPr>
          <w:lang w:val="fr-CA"/>
        </w:rPr>
        <w:t xml:space="preserve"> </w:t>
      </w:r>
      <w:r w:rsidR="00AA4099" w:rsidRPr="003D0CB7">
        <w:rPr>
          <w:lang w:val="fr-CA"/>
        </w:rPr>
        <w:t>:</w:t>
      </w:r>
      <w:r w:rsidR="00F23967">
        <w:rPr>
          <w:lang w:val="fr-CA"/>
        </w:rPr>
        <w:t xml:space="preserve"> </w:t>
      </w:r>
      <w:r w:rsidRPr="003D0CB7">
        <w:rPr>
          <w:lang w:val="fr-CA"/>
        </w:rPr>
        <w:t xml:space="preserve">Les juges </w:t>
      </w:r>
      <w:proofErr w:type="spellStart"/>
      <w:r w:rsidRPr="003D0CB7">
        <w:rPr>
          <w:lang w:val="fr-CA"/>
        </w:rPr>
        <w:t>LeBel</w:t>
      </w:r>
      <w:proofErr w:type="spellEnd"/>
      <w:r w:rsidRPr="003D0CB7">
        <w:rPr>
          <w:lang w:val="fr-CA"/>
        </w:rPr>
        <w:t xml:space="preserve">, Abella, </w:t>
      </w:r>
      <w:proofErr w:type="spellStart"/>
      <w:r w:rsidRPr="003D0CB7">
        <w:rPr>
          <w:lang w:val="fr-CA"/>
        </w:rPr>
        <w:t>Rothstein</w:t>
      </w:r>
      <w:proofErr w:type="spellEnd"/>
      <w:r w:rsidRPr="003D0CB7">
        <w:rPr>
          <w:lang w:val="fr-CA"/>
        </w:rPr>
        <w:t xml:space="preserve">, Cromwell, </w:t>
      </w:r>
      <w:proofErr w:type="spellStart"/>
      <w:r w:rsidRPr="003D0CB7">
        <w:rPr>
          <w:lang w:val="fr-CA"/>
        </w:rPr>
        <w:t>Moldaver</w:t>
      </w:r>
      <w:proofErr w:type="spellEnd"/>
      <w:r w:rsidRPr="003D0CB7">
        <w:rPr>
          <w:lang w:val="fr-CA"/>
        </w:rPr>
        <w:t xml:space="preserve">, </w:t>
      </w:r>
      <w:proofErr w:type="spellStart"/>
      <w:r w:rsidRPr="003D0CB7">
        <w:rPr>
          <w:lang w:val="fr-CA"/>
        </w:rPr>
        <w:t>Karakatsanis</w:t>
      </w:r>
      <w:proofErr w:type="spellEnd"/>
      <w:r w:rsidRPr="003D0CB7">
        <w:rPr>
          <w:lang w:val="fr-CA"/>
        </w:rPr>
        <w:t xml:space="preserve"> et Wagner.</w:t>
      </w:r>
    </w:p>
    <w:p w:rsidR="004D7D95" w:rsidRPr="003D0CB7" w:rsidRDefault="004D7D95" w:rsidP="00021119">
      <w:pPr>
        <w:spacing w:after="720"/>
        <w:jc w:val="both"/>
        <w:rPr>
          <w:smallCaps/>
          <w:lang w:val="fr-CA"/>
        </w:rPr>
      </w:pPr>
      <w:r w:rsidRPr="003D0CB7">
        <w:rPr>
          <w:smallCaps/>
          <w:lang w:val="fr-CA"/>
        </w:rPr>
        <w:t>en appel de la cour d</w:t>
      </w:r>
      <w:r w:rsidR="009F7134" w:rsidRPr="003D0CB7">
        <w:rPr>
          <w:smallCaps/>
          <w:lang w:val="fr-CA"/>
        </w:rPr>
        <w:t>’</w:t>
      </w:r>
      <w:r w:rsidRPr="003D0CB7">
        <w:rPr>
          <w:smallCaps/>
          <w:lang w:val="fr-CA"/>
        </w:rPr>
        <w:t>appel de l</w:t>
      </w:r>
      <w:r w:rsidR="009F7134" w:rsidRPr="003D0CB7">
        <w:rPr>
          <w:smallCaps/>
          <w:lang w:val="fr-CA"/>
        </w:rPr>
        <w:t>’</w:t>
      </w:r>
      <w:proofErr w:type="spellStart"/>
      <w:r w:rsidRPr="003D0CB7">
        <w:rPr>
          <w:smallCaps/>
          <w:lang w:val="fr-CA"/>
        </w:rPr>
        <w:t>ontario</w:t>
      </w:r>
      <w:proofErr w:type="spellEnd"/>
    </w:p>
    <w:p w:rsidR="00EF3192" w:rsidRPr="003D0CB7" w:rsidRDefault="00AA4099" w:rsidP="00021119">
      <w:pPr>
        <w:pStyle w:val="SCCNormalDoubleSpacing"/>
        <w:spacing w:after="480"/>
        <w:rPr>
          <w:i/>
          <w:iCs/>
          <w:lang w:val="fr-CA"/>
        </w:rPr>
      </w:pPr>
      <w:r w:rsidRPr="003D0CB7">
        <w:rPr>
          <w:i/>
          <w:lang w:val="fr-CA"/>
        </w:rPr>
        <w:tab/>
      </w:r>
      <w:r w:rsidR="00EF3192" w:rsidRPr="003D0CB7">
        <w:rPr>
          <w:i/>
          <w:lang w:val="fr-CA"/>
        </w:rPr>
        <w:t>Acc</w:t>
      </w:r>
      <w:r w:rsidR="00E27837" w:rsidRPr="003D0CB7">
        <w:rPr>
          <w:i/>
          <w:lang w:val="fr-CA"/>
        </w:rPr>
        <w:t>ès à l</w:t>
      </w:r>
      <w:r w:rsidR="009F7134" w:rsidRPr="003D0CB7">
        <w:rPr>
          <w:i/>
          <w:lang w:val="fr-CA"/>
        </w:rPr>
        <w:t>’</w:t>
      </w:r>
      <w:r w:rsidR="00E27837" w:rsidRPr="003D0CB7">
        <w:rPr>
          <w:i/>
          <w:lang w:val="fr-CA"/>
        </w:rPr>
        <w:t>i</w:t>
      </w:r>
      <w:r w:rsidR="003B56F5" w:rsidRPr="003D0CB7">
        <w:rPr>
          <w:i/>
          <w:lang w:val="fr-CA"/>
        </w:rPr>
        <w:t xml:space="preserve">nformation </w:t>
      </w:r>
      <w:r w:rsidRPr="003D0CB7">
        <w:rPr>
          <w:i/>
          <w:lang w:val="fr-CA"/>
        </w:rPr>
        <w:t>—</w:t>
      </w:r>
      <w:r w:rsidR="003B56F5" w:rsidRPr="003D0CB7">
        <w:rPr>
          <w:i/>
          <w:lang w:val="fr-CA"/>
        </w:rPr>
        <w:t xml:space="preserve"> Exceptions </w:t>
      </w:r>
      <w:r w:rsidRPr="003D0CB7">
        <w:rPr>
          <w:i/>
          <w:lang w:val="fr-CA"/>
        </w:rPr>
        <w:t>—</w:t>
      </w:r>
      <w:r w:rsidR="003B56F5" w:rsidRPr="003D0CB7">
        <w:rPr>
          <w:i/>
          <w:lang w:val="fr-CA"/>
        </w:rPr>
        <w:t xml:space="preserve"> Disposition traitant du caractère confidentiel</w:t>
      </w:r>
      <w:r w:rsidR="00EF3192" w:rsidRPr="003D0CB7">
        <w:rPr>
          <w:i/>
          <w:lang w:val="fr-CA"/>
        </w:rPr>
        <w:t xml:space="preserve"> </w:t>
      </w:r>
      <w:r w:rsidRPr="003D0CB7">
        <w:rPr>
          <w:i/>
          <w:lang w:val="fr-CA"/>
        </w:rPr>
        <w:t>—</w:t>
      </w:r>
      <w:r w:rsidR="00EF3192" w:rsidRPr="003D0CB7">
        <w:rPr>
          <w:i/>
          <w:lang w:val="fr-CA"/>
        </w:rPr>
        <w:t xml:space="preserve"> </w:t>
      </w:r>
      <w:r w:rsidR="003B56F5" w:rsidRPr="003D0CB7">
        <w:rPr>
          <w:i/>
          <w:lang w:val="fr-CA"/>
        </w:rPr>
        <w:t xml:space="preserve">Demande </w:t>
      </w:r>
      <w:r w:rsidR="006E2F9F" w:rsidRPr="003D0CB7">
        <w:rPr>
          <w:i/>
          <w:lang w:val="fr-CA"/>
        </w:rPr>
        <w:t xml:space="preserve">de </w:t>
      </w:r>
      <w:r w:rsidR="003B56F5" w:rsidRPr="003D0CB7">
        <w:rPr>
          <w:i/>
          <w:lang w:val="fr-CA"/>
        </w:rPr>
        <w:t xml:space="preserve">divulgation du nombre de délinquants inscrits au registre </w:t>
      </w:r>
      <w:r w:rsidR="003B56F5" w:rsidRPr="003D0CB7">
        <w:rPr>
          <w:i/>
          <w:lang w:val="fr-CA"/>
        </w:rPr>
        <w:lastRenderedPageBreak/>
        <w:t>des délinquants sexuels qui résident dans des régions désignées par les trois premiers caractères des codes postaux de l</w:t>
      </w:r>
      <w:r w:rsidR="009F7134" w:rsidRPr="003D0CB7">
        <w:rPr>
          <w:i/>
          <w:lang w:val="fr-CA"/>
        </w:rPr>
        <w:t>’</w:t>
      </w:r>
      <w:r w:rsidR="003B56F5" w:rsidRPr="003D0CB7">
        <w:rPr>
          <w:i/>
          <w:lang w:val="fr-CA"/>
        </w:rPr>
        <w:t>Ontario</w:t>
      </w:r>
      <w:r w:rsidR="00EF3192" w:rsidRPr="003D0CB7">
        <w:rPr>
          <w:i/>
          <w:lang w:val="fr-CA"/>
        </w:rPr>
        <w:t xml:space="preserve"> </w:t>
      </w:r>
      <w:r w:rsidRPr="003D0CB7">
        <w:rPr>
          <w:i/>
          <w:lang w:val="fr-CA"/>
        </w:rPr>
        <w:t>—</w:t>
      </w:r>
      <w:r w:rsidR="00EF3192" w:rsidRPr="003D0CB7">
        <w:rPr>
          <w:i/>
          <w:lang w:val="fr-CA"/>
        </w:rPr>
        <w:t xml:space="preserve"> </w:t>
      </w:r>
      <w:r w:rsidR="006E2F9F" w:rsidRPr="003D0CB7">
        <w:rPr>
          <w:i/>
          <w:lang w:val="fr-CA"/>
        </w:rPr>
        <w:t>Rejet de la demande par u</w:t>
      </w:r>
      <w:r w:rsidR="003B56F5" w:rsidRPr="003D0CB7">
        <w:rPr>
          <w:i/>
          <w:lang w:val="fr-CA"/>
        </w:rPr>
        <w:t xml:space="preserve">ne institution gouvernementale </w:t>
      </w:r>
      <w:r w:rsidR="006E2F9F" w:rsidRPr="003D0CB7">
        <w:rPr>
          <w:i/>
          <w:lang w:val="fr-CA"/>
        </w:rPr>
        <w:t>sur la base d</w:t>
      </w:r>
      <w:r w:rsidR="009F7134" w:rsidRPr="003D0CB7">
        <w:rPr>
          <w:i/>
          <w:lang w:val="fr-CA"/>
        </w:rPr>
        <w:t>’</w:t>
      </w:r>
      <w:r w:rsidR="003B56F5" w:rsidRPr="003D0CB7">
        <w:rPr>
          <w:i/>
          <w:lang w:val="fr-CA"/>
        </w:rPr>
        <w:t xml:space="preserve">exceptions prévues par la </w:t>
      </w:r>
      <w:r w:rsidR="003B56F5" w:rsidRPr="003D0CB7">
        <w:rPr>
          <w:i/>
          <w:iCs/>
          <w:lang w:val="fr-CA"/>
        </w:rPr>
        <w:t>Loi</w:t>
      </w:r>
      <w:r w:rsidR="00F23967">
        <w:rPr>
          <w:i/>
          <w:iCs/>
          <w:lang w:val="fr-CA"/>
        </w:rPr>
        <w:t xml:space="preserve"> </w:t>
      </w:r>
      <w:r w:rsidR="003B56F5" w:rsidRPr="003D0CB7">
        <w:rPr>
          <w:i/>
          <w:iCs/>
          <w:lang w:val="fr-CA"/>
        </w:rPr>
        <w:t>sur l</w:t>
      </w:r>
      <w:r w:rsidR="009F7134" w:rsidRPr="003D0CB7">
        <w:rPr>
          <w:i/>
          <w:iCs/>
          <w:lang w:val="fr-CA"/>
        </w:rPr>
        <w:t>’</w:t>
      </w:r>
      <w:r w:rsidR="003B56F5" w:rsidRPr="003D0CB7">
        <w:rPr>
          <w:i/>
          <w:iCs/>
          <w:lang w:val="fr-CA"/>
        </w:rPr>
        <w:t>accès à l</w:t>
      </w:r>
      <w:r w:rsidR="009F7134" w:rsidRPr="003D0CB7">
        <w:rPr>
          <w:i/>
          <w:iCs/>
          <w:lang w:val="fr-CA"/>
        </w:rPr>
        <w:t>’</w:t>
      </w:r>
      <w:r w:rsidR="003B56F5" w:rsidRPr="003D0CB7">
        <w:rPr>
          <w:i/>
          <w:iCs/>
          <w:lang w:val="fr-CA"/>
        </w:rPr>
        <w:t>information et</w:t>
      </w:r>
      <w:r w:rsidR="008A5ED5" w:rsidRPr="003D0CB7">
        <w:rPr>
          <w:i/>
          <w:iCs/>
          <w:lang w:val="fr-CA"/>
        </w:rPr>
        <w:t xml:space="preserve"> la protection de la vie privée </w:t>
      </w:r>
      <w:r w:rsidRPr="003D0CB7">
        <w:rPr>
          <w:i/>
          <w:lang w:val="fr-CA"/>
        </w:rPr>
        <w:t>—</w:t>
      </w:r>
      <w:r w:rsidR="00EF3192" w:rsidRPr="003D0CB7">
        <w:rPr>
          <w:i/>
          <w:lang w:val="fr-CA"/>
        </w:rPr>
        <w:t xml:space="preserve"> </w:t>
      </w:r>
      <w:r w:rsidR="006E2F9F" w:rsidRPr="003D0CB7">
        <w:rPr>
          <w:i/>
          <w:lang w:val="fr-CA"/>
        </w:rPr>
        <w:t>Divulgation ordonnée par la C</w:t>
      </w:r>
      <w:r w:rsidR="003B56F5" w:rsidRPr="003D0CB7">
        <w:rPr>
          <w:i/>
          <w:lang w:val="fr-CA"/>
        </w:rPr>
        <w:t>ommissaire à l</w:t>
      </w:r>
      <w:r w:rsidR="009F7134" w:rsidRPr="003D0CB7">
        <w:rPr>
          <w:i/>
          <w:lang w:val="fr-CA"/>
        </w:rPr>
        <w:t>’</w:t>
      </w:r>
      <w:r w:rsidR="003B56F5" w:rsidRPr="003D0CB7">
        <w:rPr>
          <w:i/>
          <w:lang w:val="fr-CA"/>
        </w:rPr>
        <w:t>information et à la vie privée</w:t>
      </w:r>
      <w:r w:rsidR="00EF3192" w:rsidRPr="003D0CB7">
        <w:rPr>
          <w:i/>
          <w:lang w:val="fr-CA"/>
        </w:rPr>
        <w:t xml:space="preserve"> </w:t>
      </w:r>
      <w:r w:rsidRPr="003D0CB7">
        <w:rPr>
          <w:i/>
          <w:lang w:val="fr-CA"/>
        </w:rPr>
        <w:t>—</w:t>
      </w:r>
      <w:r w:rsidR="00EF3192" w:rsidRPr="003D0CB7">
        <w:rPr>
          <w:i/>
          <w:lang w:val="fr-CA"/>
        </w:rPr>
        <w:t xml:space="preserve"> </w:t>
      </w:r>
      <w:r w:rsidR="003B56F5" w:rsidRPr="003D0CB7">
        <w:rPr>
          <w:i/>
          <w:lang w:val="fr-CA"/>
        </w:rPr>
        <w:t xml:space="preserve">Norme de contrôle applicable </w:t>
      </w:r>
      <w:r w:rsidR="008A5ED5" w:rsidRPr="003D0CB7">
        <w:rPr>
          <w:i/>
          <w:lang w:val="fr-CA"/>
        </w:rPr>
        <w:t xml:space="preserve">à </w:t>
      </w:r>
      <w:r w:rsidR="003B56F5" w:rsidRPr="003D0CB7">
        <w:rPr>
          <w:i/>
          <w:lang w:val="fr-CA"/>
        </w:rPr>
        <w:t>cette décision</w:t>
      </w:r>
      <w:r w:rsidR="00EF3192" w:rsidRPr="003D0CB7">
        <w:rPr>
          <w:i/>
          <w:lang w:val="fr-CA"/>
        </w:rPr>
        <w:t xml:space="preserve"> </w:t>
      </w:r>
      <w:r w:rsidRPr="003D0CB7">
        <w:rPr>
          <w:i/>
          <w:lang w:val="fr-CA"/>
        </w:rPr>
        <w:t>—</w:t>
      </w:r>
      <w:r w:rsidR="00EF3192" w:rsidRPr="003D0CB7">
        <w:rPr>
          <w:i/>
          <w:lang w:val="fr-CA"/>
        </w:rPr>
        <w:t xml:space="preserve"> </w:t>
      </w:r>
      <w:r w:rsidR="003B56F5" w:rsidRPr="003D0CB7">
        <w:rPr>
          <w:i/>
          <w:lang w:val="fr-CA"/>
        </w:rPr>
        <w:t>L</w:t>
      </w:r>
      <w:r w:rsidR="006E2F9F" w:rsidRPr="003D0CB7">
        <w:rPr>
          <w:i/>
          <w:lang w:val="fr-CA"/>
        </w:rPr>
        <w:t>a C</w:t>
      </w:r>
      <w:r w:rsidR="003B56F5" w:rsidRPr="003D0CB7">
        <w:rPr>
          <w:i/>
          <w:lang w:val="fr-CA"/>
        </w:rPr>
        <w:t>ommissaire a</w:t>
      </w:r>
      <w:r w:rsidR="00F23967">
        <w:rPr>
          <w:i/>
          <w:lang w:val="fr-CA"/>
        </w:rPr>
        <w:t>-</w:t>
      </w:r>
      <w:r w:rsidR="003B56F5" w:rsidRPr="003D0CB7">
        <w:rPr>
          <w:i/>
          <w:lang w:val="fr-CA"/>
        </w:rPr>
        <w:t>t</w:t>
      </w:r>
      <w:r w:rsidR="00F23967">
        <w:rPr>
          <w:i/>
          <w:lang w:val="fr-CA"/>
        </w:rPr>
        <w:t>-</w:t>
      </w:r>
      <w:r w:rsidR="006E2F9F" w:rsidRPr="003D0CB7">
        <w:rPr>
          <w:i/>
          <w:lang w:val="fr-CA"/>
        </w:rPr>
        <w:t>elle</w:t>
      </w:r>
      <w:r w:rsidR="003B56F5" w:rsidRPr="003D0CB7">
        <w:rPr>
          <w:i/>
          <w:lang w:val="fr-CA"/>
        </w:rPr>
        <w:t xml:space="preserve"> commis une erreur susceptible de contrôle judiciaire </w:t>
      </w:r>
      <w:r w:rsidR="006E2F9F" w:rsidRPr="003D0CB7">
        <w:rPr>
          <w:i/>
          <w:lang w:val="fr-CA"/>
        </w:rPr>
        <w:t xml:space="preserve">en interprétant </w:t>
      </w:r>
      <w:r w:rsidR="003B56F5" w:rsidRPr="003D0CB7">
        <w:rPr>
          <w:i/>
          <w:lang w:val="fr-CA"/>
        </w:rPr>
        <w:t xml:space="preserve">la loi applicable? </w:t>
      </w:r>
      <w:r w:rsidRPr="003D0CB7">
        <w:rPr>
          <w:i/>
          <w:lang w:val="fr-CA"/>
        </w:rPr>
        <w:t>—</w:t>
      </w:r>
      <w:r w:rsidR="00EF3192" w:rsidRPr="003D0CB7">
        <w:rPr>
          <w:i/>
          <w:lang w:val="fr-CA"/>
        </w:rPr>
        <w:t xml:space="preserve"> </w:t>
      </w:r>
      <w:r w:rsidR="003B56F5" w:rsidRPr="003D0CB7">
        <w:rPr>
          <w:i/>
          <w:lang w:val="fr-CA"/>
        </w:rPr>
        <w:t>L</w:t>
      </w:r>
      <w:r w:rsidR="006E2F9F" w:rsidRPr="003D0CB7">
        <w:rPr>
          <w:i/>
          <w:lang w:val="fr-CA"/>
        </w:rPr>
        <w:t>a C</w:t>
      </w:r>
      <w:r w:rsidR="003B56F5" w:rsidRPr="003D0CB7">
        <w:rPr>
          <w:i/>
          <w:lang w:val="fr-CA"/>
        </w:rPr>
        <w:t>ommissaire a</w:t>
      </w:r>
      <w:r w:rsidR="00F23967">
        <w:rPr>
          <w:i/>
          <w:lang w:val="fr-CA"/>
        </w:rPr>
        <w:t>-</w:t>
      </w:r>
      <w:r w:rsidR="003B56F5" w:rsidRPr="003D0CB7">
        <w:rPr>
          <w:i/>
          <w:lang w:val="fr-CA"/>
        </w:rPr>
        <w:t>t</w:t>
      </w:r>
      <w:r w:rsidR="00F23967">
        <w:rPr>
          <w:i/>
          <w:lang w:val="fr-CA"/>
        </w:rPr>
        <w:t>-</w:t>
      </w:r>
      <w:r w:rsidR="006E2F9F" w:rsidRPr="003D0CB7">
        <w:rPr>
          <w:i/>
          <w:lang w:val="fr-CA"/>
        </w:rPr>
        <w:t>elle</w:t>
      </w:r>
      <w:r w:rsidR="003B56F5" w:rsidRPr="003D0CB7">
        <w:rPr>
          <w:i/>
          <w:lang w:val="fr-CA"/>
        </w:rPr>
        <w:t xml:space="preserve"> appliqué la bonne norme de preuve </w:t>
      </w:r>
      <w:r w:rsidR="006E2F9F" w:rsidRPr="003D0CB7">
        <w:rPr>
          <w:i/>
          <w:lang w:val="fr-CA"/>
        </w:rPr>
        <w:t>à l</w:t>
      </w:r>
      <w:r w:rsidR="009F7134" w:rsidRPr="003D0CB7">
        <w:rPr>
          <w:i/>
          <w:lang w:val="fr-CA"/>
        </w:rPr>
        <w:t>’</w:t>
      </w:r>
      <w:r w:rsidR="006E2F9F" w:rsidRPr="003D0CB7">
        <w:rPr>
          <w:i/>
          <w:lang w:val="fr-CA"/>
        </w:rPr>
        <w:t xml:space="preserve">égard des </w:t>
      </w:r>
      <w:r w:rsidR="003B56F5" w:rsidRPr="003D0CB7">
        <w:rPr>
          <w:i/>
          <w:lang w:val="fr-CA"/>
        </w:rPr>
        <w:t xml:space="preserve">exceptions </w:t>
      </w:r>
      <w:r w:rsidR="003B56F5" w:rsidRPr="003D0CB7">
        <w:rPr>
          <w:i/>
          <w:iCs/>
          <w:lang w:val="fr-CA"/>
        </w:rPr>
        <w:t>repos</w:t>
      </w:r>
      <w:r w:rsidR="00D94D32" w:rsidRPr="003D0CB7">
        <w:rPr>
          <w:i/>
          <w:iCs/>
          <w:lang w:val="fr-CA"/>
        </w:rPr>
        <w:t>a</w:t>
      </w:r>
      <w:r w:rsidR="003B56F5" w:rsidRPr="003D0CB7">
        <w:rPr>
          <w:i/>
          <w:iCs/>
          <w:lang w:val="fr-CA"/>
        </w:rPr>
        <w:t>nt sur le risque de préjudice</w:t>
      </w:r>
      <w:r w:rsidR="00D94D32" w:rsidRPr="003D0CB7">
        <w:rPr>
          <w:i/>
          <w:iCs/>
          <w:lang w:val="fr-CA"/>
        </w:rPr>
        <w:t>s</w:t>
      </w:r>
      <w:r w:rsidR="003B56F5" w:rsidRPr="003D0CB7">
        <w:rPr>
          <w:i/>
          <w:lang w:val="fr-CA"/>
        </w:rPr>
        <w:t xml:space="preserve">? </w:t>
      </w:r>
      <w:r w:rsidRPr="003D0CB7">
        <w:rPr>
          <w:i/>
          <w:lang w:val="fr-CA"/>
        </w:rPr>
        <w:t>—</w:t>
      </w:r>
      <w:r w:rsidR="00EF3192" w:rsidRPr="003D0CB7">
        <w:rPr>
          <w:i/>
          <w:lang w:val="fr-CA"/>
        </w:rPr>
        <w:t xml:space="preserve"> </w:t>
      </w:r>
      <w:r w:rsidR="003B56F5" w:rsidRPr="003D0CB7">
        <w:rPr>
          <w:i/>
          <w:iCs/>
          <w:lang w:val="fr-CA"/>
        </w:rPr>
        <w:t>Loi</w:t>
      </w:r>
      <w:r w:rsidR="00850641" w:rsidRPr="003D0CB7">
        <w:rPr>
          <w:i/>
          <w:iCs/>
          <w:lang w:val="fr-CA"/>
        </w:rPr>
        <w:t xml:space="preserve"> </w:t>
      </w:r>
      <w:r w:rsidR="003B56F5" w:rsidRPr="003D0CB7">
        <w:rPr>
          <w:i/>
          <w:iCs/>
          <w:lang w:val="fr-CA"/>
        </w:rPr>
        <w:t>sur l</w:t>
      </w:r>
      <w:r w:rsidR="009F7134" w:rsidRPr="003D0CB7">
        <w:rPr>
          <w:i/>
          <w:iCs/>
          <w:lang w:val="fr-CA"/>
        </w:rPr>
        <w:t>’</w:t>
      </w:r>
      <w:r w:rsidR="003B56F5" w:rsidRPr="003D0CB7">
        <w:rPr>
          <w:i/>
          <w:iCs/>
          <w:lang w:val="fr-CA"/>
        </w:rPr>
        <w:t>accès à l</w:t>
      </w:r>
      <w:r w:rsidR="009F7134" w:rsidRPr="003D0CB7">
        <w:rPr>
          <w:i/>
          <w:iCs/>
          <w:lang w:val="fr-CA"/>
        </w:rPr>
        <w:t>’</w:t>
      </w:r>
      <w:r w:rsidR="003B56F5" w:rsidRPr="003D0CB7">
        <w:rPr>
          <w:i/>
          <w:iCs/>
          <w:lang w:val="fr-CA"/>
        </w:rPr>
        <w:t>information et la protection de la vie privée</w:t>
      </w:r>
      <w:r w:rsidR="00EF3192" w:rsidRPr="003D0CB7">
        <w:rPr>
          <w:i/>
          <w:iCs/>
          <w:lang w:val="fr-CA"/>
        </w:rPr>
        <w:t xml:space="preserve">, </w:t>
      </w:r>
      <w:r w:rsidR="003B56F5" w:rsidRPr="003D0CB7">
        <w:rPr>
          <w:i/>
          <w:iCs/>
          <w:lang w:val="fr-CA"/>
        </w:rPr>
        <w:t>L.R.O.</w:t>
      </w:r>
      <w:r w:rsidR="00F23967">
        <w:rPr>
          <w:i/>
          <w:iCs/>
          <w:lang w:val="fr-CA"/>
        </w:rPr>
        <w:t xml:space="preserve"> </w:t>
      </w:r>
      <w:r w:rsidR="00EF3192" w:rsidRPr="003D0CB7">
        <w:rPr>
          <w:i/>
          <w:iCs/>
          <w:lang w:val="fr-CA"/>
        </w:rPr>
        <w:t xml:space="preserve">1990, </w:t>
      </w:r>
      <w:r w:rsidRPr="003D0CB7">
        <w:rPr>
          <w:i/>
          <w:iCs/>
          <w:lang w:val="fr-CA"/>
        </w:rPr>
        <w:t>ch.</w:t>
      </w:r>
      <w:r w:rsidR="00F23967">
        <w:rPr>
          <w:i/>
          <w:iCs/>
          <w:lang w:val="fr-CA"/>
        </w:rPr>
        <w:t xml:space="preserve"> </w:t>
      </w:r>
      <w:r w:rsidR="00EF3192" w:rsidRPr="003D0CB7">
        <w:rPr>
          <w:i/>
          <w:iCs/>
          <w:lang w:val="fr-CA"/>
        </w:rPr>
        <w:t>F</w:t>
      </w:r>
      <w:r w:rsidR="002877D0" w:rsidRPr="003D0CB7">
        <w:rPr>
          <w:i/>
          <w:iCs/>
          <w:lang w:val="fr-CA"/>
        </w:rPr>
        <w:t>.</w:t>
      </w:r>
      <w:r w:rsidR="00EF3192" w:rsidRPr="003D0CB7">
        <w:rPr>
          <w:i/>
          <w:iCs/>
          <w:lang w:val="fr-CA"/>
        </w:rPr>
        <w:t xml:space="preserve">31, </w:t>
      </w:r>
      <w:r w:rsidRPr="003D0CB7">
        <w:rPr>
          <w:i/>
          <w:iCs/>
          <w:lang w:val="fr-CA"/>
        </w:rPr>
        <w:t>art.</w:t>
      </w:r>
      <w:r w:rsidR="00F23967">
        <w:rPr>
          <w:i/>
          <w:iCs/>
          <w:lang w:val="fr-CA"/>
        </w:rPr>
        <w:t xml:space="preserve"> </w:t>
      </w:r>
      <w:r w:rsidR="00EF3192" w:rsidRPr="003D0CB7">
        <w:rPr>
          <w:i/>
          <w:iCs/>
          <w:lang w:val="fr-CA"/>
        </w:rPr>
        <w:t xml:space="preserve">14, 67 </w:t>
      </w:r>
      <w:r w:rsidRPr="003D0CB7">
        <w:rPr>
          <w:i/>
          <w:lang w:val="fr-CA"/>
        </w:rPr>
        <w:t>—</w:t>
      </w:r>
      <w:r w:rsidR="00EF3192" w:rsidRPr="003D0CB7">
        <w:rPr>
          <w:i/>
          <w:iCs/>
          <w:lang w:val="fr-CA"/>
        </w:rPr>
        <w:t xml:space="preserve"> </w:t>
      </w:r>
      <w:r w:rsidR="005D3389" w:rsidRPr="003D0CB7">
        <w:rPr>
          <w:i/>
          <w:iCs/>
          <w:lang w:val="fr-CA"/>
        </w:rPr>
        <w:t>Loi</w:t>
      </w:r>
      <w:r w:rsidR="00850641" w:rsidRPr="003D0CB7">
        <w:rPr>
          <w:i/>
          <w:iCs/>
          <w:lang w:val="fr-CA"/>
        </w:rPr>
        <w:t xml:space="preserve"> </w:t>
      </w:r>
      <w:r w:rsidR="005D3389" w:rsidRPr="003D0CB7">
        <w:rPr>
          <w:i/>
          <w:iCs/>
          <w:lang w:val="fr-CA"/>
        </w:rPr>
        <w:t>Christopher de 2000 sur le registre des délinquants sexuels</w:t>
      </w:r>
      <w:r w:rsidR="00EF3192" w:rsidRPr="003D0CB7">
        <w:rPr>
          <w:i/>
          <w:iCs/>
          <w:lang w:val="fr-CA"/>
        </w:rPr>
        <w:t xml:space="preserve">, </w:t>
      </w:r>
      <w:r w:rsidR="005D3389" w:rsidRPr="003D0CB7">
        <w:rPr>
          <w:i/>
          <w:iCs/>
          <w:lang w:val="fr-CA"/>
        </w:rPr>
        <w:t>L.</w:t>
      </w:r>
      <w:r w:rsidR="00EF3192" w:rsidRPr="003D0CB7">
        <w:rPr>
          <w:i/>
          <w:iCs/>
          <w:lang w:val="fr-CA"/>
        </w:rPr>
        <w:t>O.</w:t>
      </w:r>
      <w:r w:rsidR="00F23967">
        <w:rPr>
          <w:i/>
          <w:iCs/>
          <w:lang w:val="fr-CA"/>
        </w:rPr>
        <w:t xml:space="preserve"> </w:t>
      </w:r>
      <w:r w:rsidR="00EF3192" w:rsidRPr="003D0CB7">
        <w:rPr>
          <w:i/>
          <w:iCs/>
          <w:lang w:val="fr-CA"/>
        </w:rPr>
        <w:t xml:space="preserve">2000, </w:t>
      </w:r>
      <w:r w:rsidRPr="003D0CB7">
        <w:rPr>
          <w:i/>
          <w:iCs/>
          <w:lang w:val="fr-CA"/>
        </w:rPr>
        <w:t>ch.</w:t>
      </w:r>
      <w:r w:rsidR="00F23967">
        <w:rPr>
          <w:i/>
          <w:iCs/>
          <w:lang w:val="fr-CA"/>
        </w:rPr>
        <w:t xml:space="preserve"> </w:t>
      </w:r>
      <w:r w:rsidR="00EF3192" w:rsidRPr="003D0CB7">
        <w:rPr>
          <w:i/>
          <w:iCs/>
          <w:lang w:val="fr-CA"/>
        </w:rPr>
        <w:t xml:space="preserve">1, </w:t>
      </w:r>
      <w:r w:rsidRPr="003D0CB7">
        <w:rPr>
          <w:i/>
          <w:iCs/>
          <w:lang w:val="fr-CA"/>
        </w:rPr>
        <w:t>art.</w:t>
      </w:r>
      <w:r w:rsidR="00F23967">
        <w:rPr>
          <w:i/>
          <w:iCs/>
          <w:lang w:val="fr-CA"/>
        </w:rPr>
        <w:t xml:space="preserve"> </w:t>
      </w:r>
      <w:r w:rsidR="00EF3192" w:rsidRPr="003D0CB7">
        <w:rPr>
          <w:i/>
          <w:iCs/>
          <w:lang w:val="fr-CA"/>
        </w:rPr>
        <w:t>10, 13.</w:t>
      </w:r>
    </w:p>
    <w:p w:rsidR="00EF3192" w:rsidRPr="003D0CB7" w:rsidRDefault="00AA4099" w:rsidP="00021119">
      <w:pPr>
        <w:pStyle w:val="SCCNormalDoubleSpacing"/>
        <w:spacing w:after="480"/>
        <w:rPr>
          <w:lang w:val="fr-CA"/>
        </w:rPr>
      </w:pPr>
      <w:r w:rsidRPr="003D0CB7">
        <w:rPr>
          <w:lang w:val="fr-CA"/>
        </w:rPr>
        <w:tab/>
      </w:r>
      <w:r w:rsidR="00096798" w:rsidRPr="003D0CB7">
        <w:rPr>
          <w:lang w:val="fr-CA"/>
        </w:rPr>
        <w:t xml:space="preserve">Une demande a été </w:t>
      </w:r>
      <w:r w:rsidR="002877D0" w:rsidRPr="003D0CB7">
        <w:rPr>
          <w:lang w:val="fr-CA"/>
        </w:rPr>
        <w:t xml:space="preserve">présentée au </w:t>
      </w:r>
      <w:r w:rsidR="00096798" w:rsidRPr="003D0CB7">
        <w:rPr>
          <w:lang w:val="fr-CA"/>
        </w:rPr>
        <w:t xml:space="preserve">ministère de la Sécurité communautaire et des Services correctionnels </w:t>
      </w:r>
      <w:r w:rsidR="009F7134" w:rsidRPr="003D0CB7">
        <w:rPr>
          <w:lang w:val="fr-CA"/>
        </w:rPr>
        <w:t>(«</w:t>
      </w:r>
      <w:r w:rsidR="00E3692F">
        <w:rPr>
          <w:iCs/>
          <w:lang w:val="fr-CA"/>
        </w:rPr>
        <w:t> </w:t>
      </w:r>
      <w:r w:rsidR="009F7134" w:rsidRPr="003D0CB7">
        <w:rPr>
          <w:lang w:val="fr-CA"/>
        </w:rPr>
        <w:t>Ministère</w:t>
      </w:r>
      <w:r w:rsidR="00E3692F">
        <w:rPr>
          <w:iCs/>
          <w:lang w:val="fr-CA"/>
        </w:rPr>
        <w:t> </w:t>
      </w:r>
      <w:r w:rsidR="00E3692F" w:rsidRPr="003D0CB7">
        <w:rPr>
          <w:lang w:val="fr-CA"/>
        </w:rPr>
        <w:t>»</w:t>
      </w:r>
      <w:r w:rsidR="002877D0" w:rsidRPr="003D0CB7">
        <w:rPr>
          <w:lang w:val="fr-CA"/>
        </w:rPr>
        <w:t xml:space="preserve">) afin </w:t>
      </w:r>
      <w:r w:rsidR="00096798" w:rsidRPr="003D0CB7">
        <w:rPr>
          <w:lang w:val="fr-CA"/>
        </w:rPr>
        <w:t>qu</w:t>
      </w:r>
      <w:r w:rsidR="009F7134" w:rsidRPr="003D0CB7">
        <w:rPr>
          <w:lang w:val="fr-CA"/>
        </w:rPr>
        <w:t>’</w:t>
      </w:r>
      <w:r w:rsidR="00096798" w:rsidRPr="003D0CB7">
        <w:rPr>
          <w:lang w:val="fr-CA"/>
        </w:rPr>
        <w:t>il divulgue le nombre de délinquants inscrits à son registre des délinquant</w:t>
      </w:r>
      <w:r w:rsidR="008B6B7A">
        <w:rPr>
          <w:lang w:val="fr-CA"/>
        </w:rPr>
        <w:t>s</w:t>
      </w:r>
      <w:r w:rsidR="00096798" w:rsidRPr="003D0CB7">
        <w:rPr>
          <w:lang w:val="fr-CA"/>
        </w:rPr>
        <w:t xml:space="preserve"> sexuels qui résident dans les régions désignées par les trois premiers caractères des codes postaux de l</w:t>
      </w:r>
      <w:r w:rsidR="009F7134" w:rsidRPr="003D0CB7">
        <w:rPr>
          <w:lang w:val="fr-CA"/>
        </w:rPr>
        <w:t>’</w:t>
      </w:r>
      <w:r w:rsidR="00096798" w:rsidRPr="003D0CB7">
        <w:rPr>
          <w:lang w:val="fr-CA"/>
        </w:rPr>
        <w:t>Ontario</w:t>
      </w:r>
      <w:r w:rsidR="00EF3192" w:rsidRPr="003D0CB7">
        <w:rPr>
          <w:lang w:val="fr-CA"/>
        </w:rPr>
        <w:t xml:space="preserve">. </w:t>
      </w:r>
      <w:r w:rsidR="00096798" w:rsidRPr="003D0CB7">
        <w:rPr>
          <w:lang w:val="fr-CA"/>
        </w:rPr>
        <w:t xml:space="preserve"> </w:t>
      </w:r>
      <w:r w:rsidR="002877D0" w:rsidRPr="003D0CB7">
        <w:rPr>
          <w:lang w:val="fr-CA"/>
        </w:rPr>
        <w:t>C</w:t>
      </w:r>
      <w:r w:rsidR="00096798" w:rsidRPr="003D0CB7">
        <w:rPr>
          <w:lang w:val="fr-CA"/>
        </w:rPr>
        <w:t xml:space="preserve">e registre </w:t>
      </w:r>
      <w:r w:rsidR="002877D0" w:rsidRPr="003D0CB7">
        <w:rPr>
          <w:lang w:val="fr-CA"/>
        </w:rPr>
        <w:t xml:space="preserve">est </w:t>
      </w:r>
      <w:r w:rsidR="00096798" w:rsidRPr="003D0CB7">
        <w:rPr>
          <w:lang w:val="fr-CA"/>
        </w:rPr>
        <w:t xml:space="preserve">créé et maintenu sous le régime de la </w:t>
      </w:r>
      <w:r w:rsidR="00096798" w:rsidRPr="003D0CB7">
        <w:rPr>
          <w:i/>
          <w:iCs/>
          <w:lang w:val="fr-CA"/>
        </w:rPr>
        <w:t>Loi</w:t>
      </w:r>
      <w:r w:rsidR="005475BA" w:rsidRPr="003D0CB7">
        <w:rPr>
          <w:i/>
          <w:iCs/>
          <w:lang w:val="fr-CA"/>
        </w:rPr>
        <w:t xml:space="preserve"> </w:t>
      </w:r>
      <w:r w:rsidR="00096798" w:rsidRPr="003D0CB7">
        <w:rPr>
          <w:i/>
          <w:iCs/>
          <w:lang w:val="fr-CA"/>
        </w:rPr>
        <w:t>Christopher de 2000 sur le registre des délinquants sexuels</w:t>
      </w:r>
      <w:r w:rsidR="009F7134" w:rsidRPr="003D0CB7">
        <w:rPr>
          <w:lang w:val="fr-CA"/>
        </w:rPr>
        <w:t xml:space="preserve"> </w:t>
      </w:r>
      <w:r w:rsidR="00E83F08" w:rsidRPr="003D0CB7">
        <w:rPr>
          <w:lang w:val="fr-CA"/>
        </w:rPr>
        <w:t>(</w:t>
      </w:r>
      <w:r w:rsidR="00E3692F" w:rsidRPr="003D0CB7">
        <w:rPr>
          <w:lang w:val="fr-CA"/>
        </w:rPr>
        <w:t>«</w:t>
      </w:r>
      <w:r w:rsidR="00E3692F">
        <w:rPr>
          <w:iCs/>
          <w:lang w:val="fr-CA"/>
        </w:rPr>
        <w:t> </w:t>
      </w:r>
      <w:r w:rsidR="00E83F08" w:rsidRPr="003D0CB7">
        <w:rPr>
          <w:i/>
          <w:lang w:val="fr-CA"/>
        </w:rPr>
        <w:t>Loi Christopher</w:t>
      </w:r>
      <w:r w:rsidR="00E3692F">
        <w:rPr>
          <w:iCs/>
          <w:lang w:val="fr-CA"/>
        </w:rPr>
        <w:t> </w:t>
      </w:r>
      <w:r w:rsidR="00E3692F" w:rsidRPr="003D0CB7">
        <w:rPr>
          <w:lang w:val="fr-CA"/>
        </w:rPr>
        <w:t>»</w:t>
      </w:r>
      <w:r w:rsidR="00E83F08" w:rsidRPr="003D0CB7">
        <w:rPr>
          <w:lang w:val="fr-CA"/>
        </w:rPr>
        <w:t>)</w:t>
      </w:r>
      <w:r w:rsidR="00EF3192" w:rsidRPr="003D0CB7">
        <w:rPr>
          <w:lang w:val="fr-CA"/>
        </w:rPr>
        <w:t xml:space="preserve">. </w:t>
      </w:r>
      <w:r w:rsidR="00096798" w:rsidRPr="003D0CB7">
        <w:rPr>
          <w:lang w:val="fr-CA"/>
        </w:rPr>
        <w:t xml:space="preserve"> Le Ministère et la police gardent confidentiels les renseignements contenus dans le registre.  Le Ministère a refusé de communiquer les renseignements demandés en invoquant des exceptions relatives à l</w:t>
      </w:r>
      <w:r w:rsidR="009F7134" w:rsidRPr="003D0CB7">
        <w:rPr>
          <w:lang w:val="fr-CA"/>
        </w:rPr>
        <w:t>’</w:t>
      </w:r>
      <w:r w:rsidR="00096798" w:rsidRPr="003D0CB7">
        <w:rPr>
          <w:lang w:val="fr-CA"/>
        </w:rPr>
        <w:t xml:space="preserve">application de la loi et à la protection des renseignements personnels prévues par la </w:t>
      </w:r>
      <w:r w:rsidR="00096798" w:rsidRPr="003D0CB7">
        <w:rPr>
          <w:i/>
          <w:iCs/>
          <w:lang w:val="fr-CA"/>
        </w:rPr>
        <w:t>Loi</w:t>
      </w:r>
      <w:r w:rsidR="005475BA" w:rsidRPr="003D0CB7">
        <w:rPr>
          <w:i/>
          <w:iCs/>
          <w:lang w:val="fr-CA"/>
        </w:rPr>
        <w:t xml:space="preserve"> </w:t>
      </w:r>
      <w:r w:rsidR="00096798" w:rsidRPr="003D0CB7">
        <w:rPr>
          <w:i/>
          <w:iCs/>
          <w:lang w:val="fr-CA"/>
        </w:rPr>
        <w:t>sur l</w:t>
      </w:r>
      <w:r w:rsidR="009F7134" w:rsidRPr="003D0CB7">
        <w:rPr>
          <w:i/>
          <w:iCs/>
          <w:lang w:val="fr-CA"/>
        </w:rPr>
        <w:t>’</w:t>
      </w:r>
      <w:r w:rsidR="00096798" w:rsidRPr="003D0CB7">
        <w:rPr>
          <w:i/>
          <w:iCs/>
          <w:lang w:val="fr-CA"/>
        </w:rPr>
        <w:t>accès à l</w:t>
      </w:r>
      <w:r w:rsidR="009F7134" w:rsidRPr="003D0CB7">
        <w:rPr>
          <w:i/>
          <w:iCs/>
          <w:lang w:val="fr-CA"/>
        </w:rPr>
        <w:t>’</w:t>
      </w:r>
      <w:r w:rsidR="00096798" w:rsidRPr="003D0CB7">
        <w:rPr>
          <w:i/>
          <w:iCs/>
          <w:lang w:val="fr-CA"/>
        </w:rPr>
        <w:t>information et la protection de la vie privée</w:t>
      </w:r>
      <w:r w:rsidR="00EF3192" w:rsidRPr="003D0CB7">
        <w:rPr>
          <w:lang w:val="fr-CA"/>
        </w:rPr>
        <w:t xml:space="preserve">. </w:t>
      </w:r>
      <w:r w:rsidR="00096798" w:rsidRPr="003D0CB7">
        <w:rPr>
          <w:lang w:val="fr-CA"/>
        </w:rPr>
        <w:t xml:space="preserve"> La </w:t>
      </w:r>
      <w:r w:rsidR="002877D0" w:rsidRPr="003D0CB7">
        <w:rPr>
          <w:lang w:val="fr-CA"/>
        </w:rPr>
        <w:t>C</w:t>
      </w:r>
      <w:r w:rsidR="00FE4A63" w:rsidRPr="003D0CB7">
        <w:rPr>
          <w:lang w:val="fr-CA"/>
        </w:rPr>
        <w:t>ommissaire à l</w:t>
      </w:r>
      <w:r w:rsidR="009F7134" w:rsidRPr="003D0CB7">
        <w:rPr>
          <w:lang w:val="fr-CA"/>
        </w:rPr>
        <w:t>’</w:t>
      </w:r>
      <w:r w:rsidR="00FE4A63" w:rsidRPr="003D0CB7">
        <w:rPr>
          <w:lang w:val="fr-CA"/>
        </w:rPr>
        <w:t>information et à la protection de la vie privée (</w:t>
      </w:r>
      <w:r w:rsidR="00E3692F" w:rsidRPr="003D0CB7">
        <w:rPr>
          <w:lang w:val="fr-CA"/>
        </w:rPr>
        <w:t>«</w:t>
      </w:r>
      <w:r w:rsidR="00E3692F">
        <w:rPr>
          <w:iCs/>
          <w:lang w:val="fr-CA"/>
        </w:rPr>
        <w:t> </w:t>
      </w:r>
      <w:r w:rsidR="00FE4A63" w:rsidRPr="003D0CB7">
        <w:rPr>
          <w:lang w:val="fr-CA"/>
        </w:rPr>
        <w:t>Commissaire</w:t>
      </w:r>
      <w:r w:rsidR="00E3692F">
        <w:rPr>
          <w:iCs/>
          <w:lang w:val="fr-CA"/>
        </w:rPr>
        <w:t> </w:t>
      </w:r>
      <w:r w:rsidR="00FE4A63" w:rsidRPr="003D0CB7">
        <w:rPr>
          <w:lang w:val="fr-CA"/>
        </w:rPr>
        <w:t xml:space="preserve">») a </w:t>
      </w:r>
      <w:r w:rsidR="00FE4A63" w:rsidRPr="003D0CB7">
        <w:rPr>
          <w:lang w:val="fr-CA"/>
        </w:rPr>
        <w:lastRenderedPageBreak/>
        <w:t>conclu que les exceptions ne s</w:t>
      </w:r>
      <w:r w:rsidR="009F7134" w:rsidRPr="003D0CB7">
        <w:rPr>
          <w:lang w:val="fr-CA"/>
        </w:rPr>
        <w:t>’</w:t>
      </w:r>
      <w:r w:rsidR="00FE4A63" w:rsidRPr="003D0CB7">
        <w:rPr>
          <w:lang w:val="fr-CA"/>
        </w:rPr>
        <w:t>appliquaient pas et a ordonné la divulgation</w:t>
      </w:r>
      <w:r w:rsidR="00857F9B" w:rsidRPr="003D0CB7">
        <w:rPr>
          <w:lang w:val="fr-CA"/>
        </w:rPr>
        <w:t xml:space="preserve"> des renseignements demandés</w:t>
      </w:r>
      <w:r w:rsidR="00FE4A63" w:rsidRPr="003D0CB7">
        <w:rPr>
          <w:lang w:val="fr-CA"/>
        </w:rPr>
        <w:t xml:space="preserve">.  </w:t>
      </w:r>
      <w:r w:rsidR="002877D0" w:rsidRPr="003D0CB7">
        <w:rPr>
          <w:lang w:val="fr-CA"/>
        </w:rPr>
        <w:t xml:space="preserve">Sa </w:t>
      </w:r>
      <w:r w:rsidR="00FE4A63" w:rsidRPr="003D0CB7">
        <w:rPr>
          <w:lang w:val="fr-CA"/>
        </w:rPr>
        <w:t xml:space="preserve">décision a été confirmée </w:t>
      </w:r>
      <w:r w:rsidR="002877D0" w:rsidRPr="003D0CB7">
        <w:rPr>
          <w:lang w:val="fr-CA"/>
        </w:rPr>
        <w:t xml:space="preserve">au terme </w:t>
      </w:r>
      <w:r w:rsidR="00FE4A63" w:rsidRPr="003D0CB7">
        <w:rPr>
          <w:lang w:val="fr-CA"/>
        </w:rPr>
        <w:t>d</w:t>
      </w:r>
      <w:r w:rsidR="009F7134" w:rsidRPr="003D0CB7">
        <w:rPr>
          <w:lang w:val="fr-CA"/>
        </w:rPr>
        <w:t>’</w:t>
      </w:r>
      <w:r w:rsidR="00FE4A63" w:rsidRPr="003D0CB7">
        <w:rPr>
          <w:lang w:val="fr-CA"/>
        </w:rPr>
        <w:t xml:space="preserve">un contrôle judiciaire et </w:t>
      </w:r>
      <w:r w:rsidR="002877D0" w:rsidRPr="003D0CB7">
        <w:rPr>
          <w:lang w:val="fr-CA"/>
        </w:rPr>
        <w:t>d</w:t>
      </w:r>
      <w:r w:rsidR="009F7134" w:rsidRPr="003D0CB7">
        <w:rPr>
          <w:lang w:val="fr-CA"/>
        </w:rPr>
        <w:t>’</w:t>
      </w:r>
      <w:r w:rsidR="002877D0" w:rsidRPr="003D0CB7">
        <w:rPr>
          <w:lang w:val="fr-CA"/>
        </w:rPr>
        <w:t xml:space="preserve">un </w:t>
      </w:r>
      <w:r w:rsidR="00FE4A63" w:rsidRPr="003D0CB7">
        <w:rPr>
          <w:lang w:val="fr-CA"/>
        </w:rPr>
        <w:t>appel</w:t>
      </w:r>
      <w:r w:rsidR="00EF3192" w:rsidRPr="003D0CB7">
        <w:rPr>
          <w:lang w:val="fr-CA"/>
        </w:rPr>
        <w:t>.</w:t>
      </w:r>
    </w:p>
    <w:p w:rsidR="00EF3192" w:rsidRPr="003D0CB7" w:rsidRDefault="00514B72" w:rsidP="00021119">
      <w:pPr>
        <w:pStyle w:val="SCCNormalDoubleSpacing"/>
        <w:spacing w:after="480"/>
        <w:rPr>
          <w:lang w:val="fr-CA"/>
        </w:rPr>
      </w:pPr>
      <w:r w:rsidRPr="003D0CB7">
        <w:rPr>
          <w:i/>
          <w:lang w:val="fr-CA"/>
        </w:rPr>
        <w:tab/>
      </w:r>
      <w:r w:rsidR="00EF3192" w:rsidRPr="003D0CB7">
        <w:rPr>
          <w:i/>
          <w:lang w:val="fr-CA"/>
        </w:rPr>
        <w:t>Arrêt</w:t>
      </w:r>
      <w:r w:rsidR="00F23967">
        <w:rPr>
          <w:i/>
          <w:lang w:val="fr-CA"/>
        </w:rPr>
        <w:t xml:space="preserve"> </w:t>
      </w:r>
      <w:r w:rsidR="00AA4099" w:rsidRPr="003D0CB7">
        <w:rPr>
          <w:lang w:val="fr-CA"/>
        </w:rPr>
        <w:t>:</w:t>
      </w:r>
      <w:r w:rsidR="00DF29FD" w:rsidRPr="003D0CB7">
        <w:rPr>
          <w:lang w:val="fr-CA"/>
        </w:rPr>
        <w:t xml:space="preserve"> </w:t>
      </w:r>
      <w:r w:rsidR="00EF3192" w:rsidRPr="003D0CB7">
        <w:rPr>
          <w:lang w:val="fr-CA"/>
        </w:rPr>
        <w:t>Le pourvoi est rejeté.</w:t>
      </w:r>
    </w:p>
    <w:p w:rsidR="00EF3192" w:rsidRPr="003D0CB7" w:rsidRDefault="00AA4099" w:rsidP="00021119">
      <w:pPr>
        <w:pStyle w:val="SCCNormalDoubleSpacing"/>
        <w:spacing w:after="480"/>
        <w:rPr>
          <w:lang w:val="fr-CA"/>
        </w:rPr>
      </w:pPr>
      <w:r w:rsidRPr="003D0CB7">
        <w:rPr>
          <w:lang w:val="fr-CA"/>
        </w:rPr>
        <w:tab/>
      </w:r>
      <w:r w:rsidR="00E83F08" w:rsidRPr="003D0CB7">
        <w:rPr>
          <w:lang w:val="fr-CA"/>
        </w:rPr>
        <w:t>La Commissaire n</w:t>
      </w:r>
      <w:r w:rsidR="009F7134" w:rsidRPr="003D0CB7">
        <w:rPr>
          <w:lang w:val="fr-CA"/>
        </w:rPr>
        <w:t>’</w:t>
      </w:r>
      <w:r w:rsidR="00E83F08" w:rsidRPr="003D0CB7">
        <w:rPr>
          <w:lang w:val="fr-CA"/>
        </w:rPr>
        <w:t>a commis aucune erreur susceptible de contrôle judiciaire en ordonnant la communication des renseignements demandés.</w:t>
      </w:r>
      <w:r w:rsidR="00EF3192" w:rsidRPr="003D0CB7">
        <w:rPr>
          <w:lang w:val="fr-CA"/>
        </w:rPr>
        <w:t xml:space="preserve">  </w:t>
      </w:r>
      <w:r w:rsidR="00E83F08" w:rsidRPr="003D0CB7">
        <w:rPr>
          <w:lang w:val="fr-CA"/>
        </w:rPr>
        <w:t>La norme de contrôle applicable est la décision raisonnable</w:t>
      </w:r>
      <w:r w:rsidR="00EF3192" w:rsidRPr="003D0CB7">
        <w:rPr>
          <w:lang w:val="fr-CA"/>
        </w:rPr>
        <w:t xml:space="preserve">. </w:t>
      </w:r>
      <w:r w:rsidR="00E83F08" w:rsidRPr="003D0CB7">
        <w:rPr>
          <w:lang w:val="fr-CA"/>
        </w:rPr>
        <w:t xml:space="preserve"> La Commi</w:t>
      </w:r>
      <w:r w:rsidR="00857F9B" w:rsidRPr="003D0CB7">
        <w:rPr>
          <w:lang w:val="fr-CA"/>
        </w:rPr>
        <w:t>ssaire</w:t>
      </w:r>
      <w:r w:rsidR="00E83F08" w:rsidRPr="003D0CB7">
        <w:rPr>
          <w:lang w:val="fr-CA"/>
        </w:rPr>
        <w:t xml:space="preserve"> deva</w:t>
      </w:r>
      <w:r w:rsidR="00857F9B" w:rsidRPr="003D0CB7">
        <w:rPr>
          <w:lang w:val="fr-CA"/>
        </w:rPr>
        <w:t>it</w:t>
      </w:r>
      <w:r w:rsidR="00E83F08" w:rsidRPr="003D0CB7">
        <w:rPr>
          <w:lang w:val="fr-CA"/>
        </w:rPr>
        <w:t xml:space="preserve"> interpréter la </w:t>
      </w:r>
      <w:r w:rsidR="00E83F08" w:rsidRPr="003D0CB7">
        <w:rPr>
          <w:i/>
          <w:iCs/>
          <w:lang w:val="fr-CA"/>
        </w:rPr>
        <w:t>Loi</w:t>
      </w:r>
      <w:r w:rsidR="005475BA" w:rsidRPr="003D0CB7">
        <w:rPr>
          <w:i/>
          <w:iCs/>
          <w:lang w:val="fr-CA"/>
        </w:rPr>
        <w:t xml:space="preserve"> </w:t>
      </w:r>
      <w:r w:rsidR="00E83F08" w:rsidRPr="003D0CB7">
        <w:rPr>
          <w:i/>
          <w:iCs/>
          <w:lang w:val="fr-CA"/>
        </w:rPr>
        <w:t>Christopher</w:t>
      </w:r>
      <w:r w:rsidR="00E83F08" w:rsidRPr="003D0CB7">
        <w:rPr>
          <w:lang w:val="fr-CA"/>
        </w:rPr>
        <w:t xml:space="preserve"> dans le but précis de déterminer si celle</w:t>
      </w:r>
      <w:r w:rsidR="00F23967">
        <w:rPr>
          <w:lang w:val="fr-CA"/>
        </w:rPr>
        <w:t>-</w:t>
      </w:r>
      <w:r w:rsidR="00E83F08" w:rsidRPr="003D0CB7">
        <w:rPr>
          <w:lang w:val="fr-CA"/>
        </w:rPr>
        <w:t>ci renferm</w:t>
      </w:r>
      <w:r w:rsidR="00857F9B" w:rsidRPr="003D0CB7">
        <w:rPr>
          <w:lang w:val="fr-CA"/>
        </w:rPr>
        <w:t>ait</w:t>
      </w:r>
      <w:r w:rsidR="00E83F08" w:rsidRPr="003D0CB7">
        <w:rPr>
          <w:lang w:val="fr-CA"/>
        </w:rPr>
        <w:t xml:space="preserve"> une disposition traitant du caractère confidentiel qui l</w:t>
      </w:r>
      <w:r w:rsidR="009F7134" w:rsidRPr="003D0CB7">
        <w:rPr>
          <w:lang w:val="fr-CA"/>
        </w:rPr>
        <w:t>’</w:t>
      </w:r>
      <w:r w:rsidR="00E83F08" w:rsidRPr="003D0CB7">
        <w:rPr>
          <w:lang w:val="fr-CA"/>
        </w:rPr>
        <w:t>emporte sur la</w:t>
      </w:r>
      <w:r w:rsidR="002877D0" w:rsidRPr="003D0CB7">
        <w:rPr>
          <w:i/>
          <w:iCs/>
          <w:lang w:val="fr-CA"/>
        </w:rPr>
        <w:t xml:space="preserve"> Loi sur l</w:t>
      </w:r>
      <w:r w:rsidR="009F7134" w:rsidRPr="003D0CB7">
        <w:rPr>
          <w:i/>
          <w:iCs/>
          <w:lang w:val="fr-CA"/>
        </w:rPr>
        <w:t>’</w:t>
      </w:r>
      <w:r w:rsidR="002877D0" w:rsidRPr="003D0CB7">
        <w:rPr>
          <w:i/>
          <w:iCs/>
          <w:lang w:val="fr-CA"/>
        </w:rPr>
        <w:t>accès à l</w:t>
      </w:r>
      <w:r w:rsidR="009F7134" w:rsidRPr="003D0CB7">
        <w:rPr>
          <w:i/>
          <w:iCs/>
          <w:lang w:val="fr-CA"/>
        </w:rPr>
        <w:t>’</w:t>
      </w:r>
      <w:r w:rsidR="002877D0" w:rsidRPr="003D0CB7">
        <w:rPr>
          <w:i/>
          <w:iCs/>
          <w:lang w:val="fr-CA"/>
        </w:rPr>
        <w:t>information et la protection de la vie privée</w:t>
      </w:r>
      <w:r w:rsidR="00EF3192" w:rsidRPr="003D0CB7">
        <w:rPr>
          <w:lang w:val="fr-CA"/>
        </w:rPr>
        <w:t xml:space="preserve">.  </w:t>
      </w:r>
      <w:r w:rsidR="00563F0F" w:rsidRPr="003D0CB7">
        <w:rPr>
          <w:lang w:val="fr-CA"/>
        </w:rPr>
        <w:t>Cette tâche était intimement liée à ses fonctions essentielles</w:t>
      </w:r>
      <w:r w:rsidR="00EF3192" w:rsidRPr="003D0CB7">
        <w:rPr>
          <w:lang w:val="fr-CA"/>
        </w:rPr>
        <w:t xml:space="preserve">. </w:t>
      </w:r>
      <w:r w:rsidR="00563F0F" w:rsidRPr="003D0CB7">
        <w:rPr>
          <w:lang w:val="fr-CA"/>
        </w:rPr>
        <w:t xml:space="preserve"> La Commissaire a raisonnablement conclu que le Ministère n</w:t>
      </w:r>
      <w:r w:rsidR="009F7134" w:rsidRPr="003D0CB7">
        <w:rPr>
          <w:lang w:val="fr-CA"/>
        </w:rPr>
        <w:t>’</w:t>
      </w:r>
      <w:r w:rsidR="00563F0F" w:rsidRPr="003D0CB7">
        <w:rPr>
          <w:lang w:val="fr-CA"/>
        </w:rPr>
        <w:t xml:space="preserve">avait </w:t>
      </w:r>
      <w:r w:rsidR="002849CD" w:rsidRPr="003D0CB7">
        <w:rPr>
          <w:lang w:val="fr-CA"/>
        </w:rPr>
        <w:t xml:space="preserve">pas </w:t>
      </w:r>
      <w:r w:rsidR="00563F0F" w:rsidRPr="003D0CB7">
        <w:rPr>
          <w:lang w:val="fr-CA"/>
        </w:rPr>
        <w:t>suffisamment démontré que la communication de ces renseignements permettrait d</w:t>
      </w:r>
      <w:r w:rsidR="009F7134" w:rsidRPr="003D0CB7">
        <w:rPr>
          <w:lang w:val="fr-CA"/>
        </w:rPr>
        <w:t>’</w:t>
      </w:r>
      <w:r w:rsidR="00563F0F" w:rsidRPr="003D0CB7">
        <w:rPr>
          <w:lang w:val="fr-CA"/>
        </w:rPr>
        <w:t>identifier des délinquants</w:t>
      </w:r>
      <w:r w:rsidR="002849CD" w:rsidRPr="003D0CB7">
        <w:rPr>
          <w:lang w:val="fr-CA"/>
        </w:rPr>
        <w:t xml:space="preserve">, </w:t>
      </w:r>
      <w:r w:rsidR="00D63B0E" w:rsidRPr="003D0CB7">
        <w:rPr>
          <w:lang w:val="fr-CA"/>
        </w:rPr>
        <w:t xml:space="preserve">et </w:t>
      </w:r>
      <w:r w:rsidR="002877D0" w:rsidRPr="003D0CB7">
        <w:rPr>
          <w:lang w:val="fr-CA"/>
        </w:rPr>
        <w:t>qu</w:t>
      </w:r>
      <w:r w:rsidR="009F7134" w:rsidRPr="003D0CB7">
        <w:rPr>
          <w:lang w:val="fr-CA"/>
        </w:rPr>
        <w:t>’</w:t>
      </w:r>
      <w:r w:rsidR="002877D0" w:rsidRPr="003D0CB7">
        <w:rPr>
          <w:lang w:val="fr-CA"/>
        </w:rPr>
        <w:t>il n</w:t>
      </w:r>
      <w:r w:rsidR="009F7134" w:rsidRPr="003D0CB7">
        <w:rPr>
          <w:lang w:val="fr-CA"/>
        </w:rPr>
        <w:t>’</w:t>
      </w:r>
      <w:r w:rsidR="002877D0" w:rsidRPr="003D0CB7">
        <w:rPr>
          <w:lang w:val="fr-CA"/>
        </w:rPr>
        <w:t xml:space="preserve">avait pas non plus établi </w:t>
      </w:r>
      <w:r w:rsidR="00D63B0E" w:rsidRPr="003D0CB7">
        <w:rPr>
          <w:lang w:val="fr-CA"/>
        </w:rPr>
        <w:t xml:space="preserve">suffisamment le </w:t>
      </w:r>
      <w:r w:rsidR="00563F0F" w:rsidRPr="003D0CB7">
        <w:rPr>
          <w:lang w:val="fr-CA"/>
        </w:rPr>
        <w:t>risque de préjudice que les exceptions visent à empêcher</w:t>
      </w:r>
      <w:r w:rsidR="00EF3192" w:rsidRPr="003D0CB7">
        <w:rPr>
          <w:lang w:val="fr-CA"/>
        </w:rPr>
        <w:t xml:space="preserve">. </w:t>
      </w:r>
    </w:p>
    <w:p w:rsidR="00EF3192" w:rsidRPr="003D0CB7" w:rsidRDefault="00AA4099" w:rsidP="00021119">
      <w:pPr>
        <w:pStyle w:val="SCCNormalDoubleSpacing"/>
        <w:spacing w:after="480"/>
        <w:rPr>
          <w:lang w:val="fr-CA"/>
        </w:rPr>
      </w:pPr>
      <w:r w:rsidRPr="003D0CB7">
        <w:rPr>
          <w:lang w:val="fr-CA"/>
        </w:rPr>
        <w:tab/>
      </w:r>
      <w:r w:rsidR="00563F0F" w:rsidRPr="003D0CB7">
        <w:rPr>
          <w:lang w:val="fr-CA"/>
        </w:rPr>
        <w:t>La Commissaire n</w:t>
      </w:r>
      <w:r w:rsidR="009F7134" w:rsidRPr="003D0CB7">
        <w:rPr>
          <w:lang w:val="fr-CA"/>
        </w:rPr>
        <w:t>’</w:t>
      </w:r>
      <w:r w:rsidR="00563F0F" w:rsidRPr="003D0CB7">
        <w:rPr>
          <w:lang w:val="fr-CA"/>
        </w:rPr>
        <w:t>a pas accordé un droit d</w:t>
      </w:r>
      <w:r w:rsidR="009F7134" w:rsidRPr="003D0CB7">
        <w:rPr>
          <w:lang w:val="fr-CA"/>
        </w:rPr>
        <w:t>’</w:t>
      </w:r>
      <w:r w:rsidR="00563F0F" w:rsidRPr="003D0CB7">
        <w:rPr>
          <w:lang w:val="fr-CA"/>
        </w:rPr>
        <w:t>accès incompatible avec l</w:t>
      </w:r>
      <w:r w:rsidR="009F7134" w:rsidRPr="003D0CB7">
        <w:rPr>
          <w:lang w:val="fr-CA"/>
        </w:rPr>
        <w:t>’</w:t>
      </w:r>
      <w:r w:rsidR="00563F0F" w:rsidRPr="003D0CB7">
        <w:rPr>
          <w:lang w:val="fr-CA"/>
        </w:rPr>
        <w:t>une ou l</w:t>
      </w:r>
      <w:r w:rsidR="009F7134" w:rsidRPr="003D0CB7">
        <w:rPr>
          <w:lang w:val="fr-CA"/>
        </w:rPr>
        <w:t>’</w:t>
      </w:r>
      <w:r w:rsidR="00563F0F" w:rsidRPr="003D0CB7">
        <w:rPr>
          <w:lang w:val="fr-CA"/>
        </w:rPr>
        <w:t xml:space="preserve">autre </w:t>
      </w:r>
      <w:r w:rsidR="002877D0" w:rsidRPr="003D0CB7">
        <w:rPr>
          <w:lang w:val="fr-CA"/>
        </w:rPr>
        <w:t xml:space="preserve">des </w:t>
      </w:r>
      <w:r w:rsidR="00563F0F" w:rsidRPr="003D0CB7">
        <w:rPr>
          <w:lang w:val="fr-CA"/>
        </w:rPr>
        <w:t>loi</w:t>
      </w:r>
      <w:r w:rsidR="002877D0" w:rsidRPr="003D0CB7">
        <w:rPr>
          <w:lang w:val="fr-CA"/>
        </w:rPr>
        <w:t>s pertinentes</w:t>
      </w:r>
      <w:r w:rsidR="00EF3192" w:rsidRPr="003D0CB7">
        <w:rPr>
          <w:rFonts w:eastAsiaTheme="minorHAnsi"/>
          <w:lang w:val="fr-CA"/>
        </w:rPr>
        <w:t>.</w:t>
      </w:r>
      <w:r w:rsidR="00EF3192" w:rsidRPr="003D0CB7">
        <w:rPr>
          <w:lang w:val="fr-CA"/>
        </w:rPr>
        <w:t xml:space="preserve"> </w:t>
      </w:r>
      <w:r w:rsidR="00563F0F" w:rsidRPr="003D0CB7">
        <w:rPr>
          <w:lang w:val="fr-CA"/>
        </w:rPr>
        <w:t xml:space="preserve"> Le paragraphe</w:t>
      </w:r>
      <w:r w:rsidR="00F23967">
        <w:rPr>
          <w:lang w:val="fr-CA"/>
        </w:rPr>
        <w:t xml:space="preserve"> </w:t>
      </w:r>
      <w:r w:rsidR="00EF3192" w:rsidRPr="003D0CB7">
        <w:rPr>
          <w:lang w:val="fr-CA"/>
        </w:rPr>
        <w:t xml:space="preserve">67(2) </w:t>
      </w:r>
      <w:r w:rsidR="00563F0F" w:rsidRPr="003D0CB7">
        <w:rPr>
          <w:lang w:val="fr-CA"/>
        </w:rPr>
        <w:t>de la</w:t>
      </w:r>
      <w:r w:rsidR="002877D0" w:rsidRPr="003D0CB7">
        <w:rPr>
          <w:i/>
          <w:iCs/>
          <w:lang w:val="fr-CA"/>
        </w:rPr>
        <w:t xml:space="preserve"> Loi sur l</w:t>
      </w:r>
      <w:r w:rsidR="009F7134" w:rsidRPr="003D0CB7">
        <w:rPr>
          <w:i/>
          <w:iCs/>
          <w:lang w:val="fr-CA"/>
        </w:rPr>
        <w:t>’</w:t>
      </w:r>
      <w:r w:rsidR="002877D0" w:rsidRPr="003D0CB7">
        <w:rPr>
          <w:i/>
          <w:iCs/>
          <w:lang w:val="fr-CA"/>
        </w:rPr>
        <w:t>accès à l</w:t>
      </w:r>
      <w:r w:rsidR="009F7134" w:rsidRPr="003D0CB7">
        <w:rPr>
          <w:i/>
          <w:iCs/>
          <w:lang w:val="fr-CA"/>
        </w:rPr>
        <w:t>’</w:t>
      </w:r>
      <w:r w:rsidR="002877D0" w:rsidRPr="003D0CB7">
        <w:rPr>
          <w:i/>
          <w:iCs/>
          <w:lang w:val="fr-CA"/>
        </w:rPr>
        <w:t>information et la protection de la vie privée</w:t>
      </w:r>
      <w:r w:rsidR="00EF3192" w:rsidRPr="003D0CB7">
        <w:rPr>
          <w:lang w:val="fr-CA"/>
        </w:rPr>
        <w:t xml:space="preserve"> </w:t>
      </w:r>
      <w:r w:rsidR="00563F0F" w:rsidRPr="003D0CB7">
        <w:rPr>
          <w:lang w:val="fr-CA"/>
        </w:rPr>
        <w:t>ne prévoit pas expressément qu</w:t>
      </w:r>
      <w:r w:rsidR="009F7134" w:rsidRPr="003D0CB7">
        <w:rPr>
          <w:lang w:val="fr-CA"/>
        </w:rPr>
        <w:t>’</w:t>
      </w:r>
      <w:r w:rsidR="00563F0F" w:rsidRPr="003D0CB7">
        <w:rPr>
          <w:lang w:val="fr-CA"/>
        </w:rPr>
        <w:t xml:space="preserve">une disposition en matière de confidentialité contenue dans la </w:t>
      </w:r>
      <w:r w:rsidR="00563F0F" w:rsidRPr="003D0CB7">
        <w:rPr>
          <w:i/>
          <w:iCs/>
          <w:lang w:val="fr-CA"/>
        </w:rPr>
        <w:t>Loi Christopher</w:t>
      </w:r>
      <w:r w:rsidR="00563F0F" w:rsidRPr="003D0CB7">
        <w:rPr>
          <w:lang w:val="fr-CA"/>
        </w:rPr>
        <w:t xml:space="preserve"> l</w:t>
      </w:r>
      <w:r w:rsidR="009F7134" w:rsidRPr="003D0CB7">
        <w:rPr>
          <w:lang w:val="fr-CA"/>
        </w:rPr>
        <w:t>’</w:t>
      </w:r>
      <w:r w:rsidR="00563F0F" w:rsidRPr="003D0CB7">
        <w:rPr>
          <w:lang w:val="fr-CA"/>
        </w:rPr>
        <w:t>emporte et</w:t>
      </w:r>
      <w:r w:rsidR="00EF3192" w:rsidRPr="003D0CB7">
        <w:rPr>
          <w:lang w:val="fr-CA"/>
        </w:rPr>
        <w:t xml:space="preserve">, </w:t>
      </w:r>
      <w:r w:rsidR="004F38F4" w:rsidRPr="003D0CB7">
        <w:rPr>
          <w:lang w:val="fr-CA"/>
        </w:rPr>
        <w:t>bien que l</w:t>
      </w:r>
      <w:r w:rsidR="009F7134" w:rsidRPr="003D0CB7">
        <w:rPr>
          <w:lang w:val="fr-CA"/>
        </w:rPr>
        <w:t>’</w:t>
      </w:r>
      <w:r w:rsidRPr="003D0CB7">
        <w:rPr>
          <w:lang w:val="fr-CA"/>
        </w:rPr>
        <w:t>art.</w:t>
      </w:r>
      <w:r w:rsidR="00F23967">
        <w:rPr>
          <w:lang w:val="fr-CA"/>
        </w:rPr>
        <w:t xml:space="preserve"> </w:t>
      </w:r>
      <w:r w:rsidR="004F38F4" w:rsidRPr="003D0CB7">
        <w:rPr>
          <w:lang w:val="fr-CA"/>
        </w:rPr>
        <w:t xml:space="preserve">10 de la </w:t>
      </w:r>
      <w:r w:rsidR="004F38F4" w:rsidRPr="003D0CB7">
        <w:rPr>
          <w:i/>
          <w:lang w:val="fr-CA"/>
        </w:rPr>
        <w:t>Loi Christopher</w:t>
      </w:r>
      <w:r w:rsidR="004F38F4" w:rsidRPr="003D0CB7">
        <w:rPr>
          <w:lang w:val="fr-CA"/>
        </w:rPr>
        <w:t xml:space="preserve"> </w:t>
      </w:r>
      <w:r w:rsidR="00563F0F" w:rsidRPr="003D0CB7">
        <w:rPr>
          <w:lang w:val="fr-CA"/>
        </w:rPr>
        <w:t>constitue une</w:t>
      </w:r>
      <w:r w:rsidR="00857F9B" w:rsidRPr="003D0CB7">
        <w:rPr>
          <w:lang w:val="fr-CA"/>
        </w:rPr>
        <w:t xml:space="preserve"> </w:t>
      </w:r>
      <w:r w:rsidR="00563F0F" w:rsidRPr="003D0CB7">
        <w:rPr>
          <w:lang w:val="fr-CA"/>
        </w:rPr>
        <w:t>disposition</w:t>
      </w:r>
      <w:r w:rsidR="004F38F4" w:rsidRPr="003D0CB7">
        <w:rPr>
          <w:lang w:val="fr-CA"/>
        </w:rPr>
        <w:t xml:space="preserve"> traitant de confidentialité</w:t>
      </w:r>
      <w:r w:rsidR="00EF3192" w:rsidRPr="003D0CB7">
        <w:rPr>
          <w:lang w:val="fr-CA"/>
        </w:rPr>
        <w:t xml:space="preserve">, </w:t>
      </w:r>
      <w:r w:rsidR="00563F0F" w:rsidRPr="003D0CB7">
        <w:rPr>
          <w:lang w:val="fr-CA"/>
        </w:rPr>
        <w:t xml:space="preserve">ni </w:t>
      </w:r>
      <w:r w:rsidR="00857F9B" w:rsidRPr="003D0CB7">
        <w:rPr>
          <w:lang w:val="fr-CA"/>
        </w:rPr>
        <w:t>l</w:t>
      </w:r>
      <w:r w:rsidR="009F7134" w:rsidRPr="003D0CB7">
        <w:rPr>
          <w:lang w:val="fr-CA"/>
        </w:rPr>
        <w:t>’</w:t>
      </w:r>
      <w:r w:rsidRPr="003D0CB7">
        <w:rPr>
          <w:lang w:val="fr-CA"/>
        </w:rPr>
        <w:t>art.</w:t>
      </w:r>
      <w:r w:rsidR="00F23967">
        <w:rPr>
          <w:lang w:val="fr-CA"/>
        </w:rPr>
        <w:t xml:space="preserve"> </w:t>
      </w:r>
      <w:r w:rsidR="00857F9B" w:rsidRPr="003D0CB7">
        <w:rPr>
          <w:lang w:val="fr-CA"/>
        </w:rPr>
        <w:t>10</w:t>
      </w:r>
      <w:r w:rsidR="00563F0F" w:rsidRPr="003D0CB7">
        <w:rPr>
          <w:lang w:val="fr-CA"/>
        </w:rPr>
        <w:t xml:space="preserve"> ni aucune autre partie de la </w:t>
      </w:r>
      <w:r w:rsidR="00563F0F" w:rsidRPr="003D0CB7">
        <w:rPr>
          <w:i/>
          <w:iCs/>
          <w:lang w:val="fr-CA"/>
        </w:rPr>
        <w:t>Loi</w:t>
      </w:r>
      <w:r w:rsidR="00F23967">
        <w:rPr>
          <w:i/>
          <w:iCs/>
          <w:lang w:val="fr-CA"/>
        </w:rPr>
        <w:t xml:space="preserve"> </w:t>
      </w:r>
      <w:r w:rsidR="00563F0F" w:rsidRPr="003D0CB7">
        <w:rPr>
          <w:i/>
          <w:iCs/>
          <w:lang w:val="fr-CA"/>
        </w:rPr>
        <w:t>Christopher</w:t>
      </w:r>
      <w:r w:rsidR="00563F0F" w:rsidRPr="003D0CB7">
        <w:rPr>
          <w:lang w:val="fr-CA"/>
        </w:rPr>
        <w:t xml:space="preserve"> ne l</w:t>
      </w:r>
      <w:r w:rsidR="009F7134" w:rsidRPr="003D0CB7">
        <w:rPr>
          <w:lang w:val="fr-CA"/>
        </w:rPr>
        <w:t>’</w:t>
      </w:r>
      <w:r w:rsidR="00563F0F" w:rsidRPr="003D0CB7">
        <w:rPr>
          <w:lang w:val="fr-CA"/>
        </w:rPr>
        <w:t>emportent sur la</w:t>
      </w:r>
      <w:r w:rsidR="002877D0" w:rsidRPr="003D0CB7">
        <w:rPr>
          <w:i/>
          <w:iCs/>
          <w:lang w:val="fr-CA"/>
        </w:rPr>
        <w:t xml:space="preserve"> Loi sur l</w:t>
      </w:r>
      <w:r w:rsidR="009F7134" w:rsidRPr="003D0CB7">
        <w:rPr>
          <w:i/>
          <w:iCs/>
          <w:lang w:val="fr-CA"/>
        </w:rPr>
        <w:t>’</w:t>
      </w:r>
      <w:r w:rsidR="002877D0" w:rsidRPr="003D0CB7">
        <w:rPr>
          <w:i/>
          <w:iCs/>
          <w:lang w:val="fr-CA"/>
        </w:rPr>
        <w:t>accès à l</w:t>
      </w:r>
      <w:r w:rsidR="009F7134" w:rsidRPr="003D0CB7">
        <w:rPr>
          <w:i/>
          <w:iCs/>
          <w:lang w:val="fr-CA"/>
        </w:rPr>
        <w:t>’</w:t>
      </w:r>
      <w:r w:rsidR="002877D0" w:rsidRPr="003D0CB7">
        <w:rPr>
          <w:i/>
          <w:iCs/>
          <w:lang w:val="fr-CA"/>
        </w:rPr>
        <w:t>information et la protection de la vie privée</w:t>
      </w:r>
      <w:r w:rsidR="00EF3192" w:rsidRPr="003D0CB7">
        <w:rPr>
          <w:lang w:val="fr-CA"/>
        </w:rPr>
        <w:t xml:space="preserve">.  </w:t>
      </w:r>
      <w:r w:rsidR="00807506" w:rsidRPr="003D0CB7">
        <w:rPr>
          <w:lang w:val="fr-CA"/>
        </w:rPr>
        <w:t>Il ressort des</w:t>
      </w:r>
      <w:r w:rsidR="00563F0F" w:rsidRPr="003D0CB7">
        <w:rPr>
          <w:lang w:val="fr-CA"/>
        </w:rPr>
        <w:t xml:space="preserve"> </w:t>
      </w:r>
      <w:r w:rsidR="00563F0F" w:rsidRPr="003D0CB7">
        <w:rPr>
          <w:lang w:val="fr-CA"/>
        </w:rPr>
        <w:lastRenderedPageBreak/>
        <w:t xml:space="preserve">mentions </w:t>
      </w:r>
      <w:r w:rsidR="00807506" w:rsidRPr="003D0CB7">
        <w:rPr>
          <w:lang w:val="fr-CA"/>
        </w:rPr>
        <w:t>expresses</w:t>
      </w:r>
      <w:r w:rsidR="00563F0F" w:rsidRPr="003D0CB7">
        <w:rPr>
          <w:lang w:val="fr-CA"/>
        </w:rPr>
        <w:t xml:space="preserve"> de </w:t>
      </w:r>
      <w:r w:rsidR="002877D0" w:rsidRPr="003D0CB7">
        <w:rPr>
          <w:lang w:val="fr-CA"/>
        </w:rPr>
        <w:t xml:space="preserve">cette loi </w:t>
      </w:r>
      <w:r w:rsidR="00563F0F" w:rsidRPr="003D0CB7">
        <w:rPr>
          <w:lang w:val="fr-CA"/>
        </w:rPr>
        <w:t xml:space="preserve">dans la </w:t>
      </w:r>
      <w:r w:rsidR="00807506" w:rsidRPr="003D0CB7">
        <w:rPr>
          <w:i/>
          <w:iCs/>
          <w:lang w:val="fr-CA"/>
        </w:rPr>
        <w:t>Loi Christopher</w:t>
      </w:r>
      <w:r w:rsidR="00807506" w:rsidRPr="003D0CB7">
        <w:rPr>
          <w:lang w:val="fr-CA"/>
        </w:rPr>
        <w:t xml:space="preserve"> que le législateur a tenu compte de la façon dont ces deux lois s</w:t>
      </w:r>
      <w:r w:rsidR="009F7134" w:rsidRPr="003D0CB7">
        <w:rPr>
          <w:lang w:val="fr-CA"/>
        </w:rPr>
        <w:t>’</w:t>
      </w:r>
      <w:r w:rsidR="00807506" w:rsidRPr="003D0CB7">
        <w:rPr>
          <w:lang w:val="fr-CA"/>
        </w:rPr>
        <w:t>appliquent ensemble</w:t>
      </w:r>
      <w:r w:rsidR="00EF3192" w:rsidRPr="003D0CB7">
        <w:rPr>
          <w:lang w:val="fr-CA"/>
        </w:rPr>
        <w:t xml:space="preserve">. </w:t>
      </w:r>
      <w:r w:rsidR="00807506" w:rsidRPr="003D0CB7">
        <w:rPr>
          <w:lang w:val="fr-CA"/>
        </w:rPr>
        <w:t xml:space="preserve"> Si le législateur avait voulu que la disposition de la </w:t>
      </w:r>
      <w:r w:rsidR="00807506" w:rsidRPr="003D0CB7">
        <w:rPr>
          <w:i/>
          <w:iCs/>
          <w:lang w:val="fr-CA"/>
        </w:rPr>
        <w:t>Loi Christopher</w:t>
      </w:r>
      <w:r w:rsidR="00807506" w:rsidRPr="003D0CB7">
        <w:rPr>
          <w:lang w:val="fr-CA"/>
        </w:rPr>
        <w:t xml:space="preserve"> relative à la confidentialité l</w:t>
      </w:r>
      <w:r w:rsidR="009F7134" w:rsidRPr="003D0CB7">
        <w:rPr>
          <w:lang w:val="fr-CA"/>
        </w:rPr>
        <w:t>’</w:t>
      </w:r>
      <w:r w:rsidR="00807506" w:rsidRPr="003D0CB7">
        <w:rPr>
          <w:lang w:val="fr-CA"/>
        </w:rPr>
        <w:t>emporte, il aurait employé des termes explicites en ce sens.  Ni l</w:t>
      </w:r>
      <w:r w:rsidR="009F7134" w:rsidRPr="003D0CB7">
        <w:rPr>
          <w:lang w:val="fr-CA"/>
        </w:rPr>
        <w:t>’</w:t>
      </w:r>
      <w:r w:rsidR="00B80869">
        <w:rPr>
          <w:lang w:val="fr-CA"/>
        </w:rPr>
        <w:t>article</w:t>
      </w:r>
      <w:r w:rsidR="00F23967">
        <w:rPr>
          <w:lang w:val="fr-CA"/>
        </w:rPr>
        <w:t xml:space="preserve"> </w:t>
      </w:r>
      <w:r w:rsidR="00EF3192" w:rsidRPr="003D0CB7">
        <w:rPr>
          <w:lang w:val="fr-CA"/>
        </w:rPr>
        <w:t xml:space="preserve">13 </w:t>
      </w:r>
      <w:r w:rsidR="00807506" w:rsidRPr="003D0CB7">
        <w:rPr>
          <w:lang w:val="fr-CA"/>
        </w:rPr>
        <w:t>de la</w:t>
      </w:r>
      <w:r w:rsidR="00EF3192" w:rsidRPr="003D0CB7">
        <w:rPr>
          <w:lang w:val="fr-CA"/>
        </w:rPr>
        <w:t xml:space="preserve"> </w:t>
      </w:r>
      <w:r w:rsidR="00807506" w:rsidRPr="003D0CB7">
        <w:rPr>
          <w:i/>
          <w:iCs/>
          <w:lang w:val="fr-CA"/>
        </w:rPr>
        <w:t>Loi Christopher</w:t>
      </w:r>
      <w:r w:rsidR="00807506" w:rsidRPr="003D0CB7">
        <w:rPr>
          <w:lang w:val="fr-CA"/>
        </w:rPr>
        <w:t xml:space="preserve"> ni l</w:t>
      </w:r>
      <w:r w:rsidR="009F7134" w:rsidRPr="003D0CB7">
        <w:rPr>
          <w:lang w:val="fr-CA"/>
        </w:rPr>
        <w:t>’</w:t>
      </w:r>
      <w:r w:rsidR="00807506" w:rsidRPr="003D0CB7">
        <w:rPr>
          <w:lang w:val="fr-CA"/>
        </w:rPr>
        <w:t>application conjuguée de cette loi avec la</w:t>
      </w:r>
      <w:r w:rsidR="00EF3192" w:rsidRPr="003D0CB7">
        <w:rPr>
          <w:lang w:val="fr-CA"/>
        </w:rPr>
        <w:t xml:space="preserve"> </w:t>
      </w:r>
      <w:r w:rsidR="00807506" w:rsidRPr="003D0CB7">
        <w:rPr>
          <w:i/>
          <w:iCs/>
          <w:lang w:val="fr-CA"/>
        </w:rPr>
        <w:t>Loi sur les services policiers</w:t>
      </w:r>
      <w:r w:rsidR="00B80869">
        <w:rPr>
          <w:i/>
          <w:iCs/>
          <w:lang w:val="fr-CA"/>
        </w:rPr>
        <w:t xml:space="preserve"> </w:t>
      </w:r>
      <w:r w:rsidR="00807506" w:rsidRPr="003D0CB7">
        <w:rPr>
          <w:lang w:val="fr-CA"/>
        </w:rPr>
        <w:t>n</w:t>
      </w:r>
      <w:r w:rsidR="009F7134" w:rsidRPr="003D0CB7">
        <w:rPr>
          <w:lang w:val="fr-CA"/>
        </w:rPr>
        <w:t>’</w:t>
      </w:r>
      <w:r w:rsidR="00807506" w:rsidRPr="003D0CB7">
        <w:rPr>
          <w:lang w:val="fr-CA"/>
        </w:rPr>
        <w:t>excluent</w:t>
      </w:r>
      <w:r w:rsidR="00EF3192" w:rsidRPr="003D0CB7">
        <w:rPr>
          <w:lang w:val="fr-CA"/>
        </w:rPr>
        <w:t xml:space="preserve"> </w:t>
      </w:r>
      <w:r w:rsidR="00807506" w:rsidRPr="003D0CB7">
        <w:rPr>
          <w:lang w:val="fr-CA"/>
        </w:rPr>
        <w:t>l</w:t>
      </w:r>
      <w:r w:rsidR="009F7134" w:rsidRPr="003D0CB7">
        <w:rPr>
          <w:lang w:val="fr-CA"/>
        </w:rPr>
        <w:t>’</w:t>
      </w:r>
      <w:r w:rsidR="00807506" w:rsidRPr="003D0CB7">
        <w:rPr>
          <w:lang w:val="fr-CA"/>
        </w:rPr>
        <w:t>application de la</w:t>
      </w:r>
      <w:r w:rsidR="002877D0" w:rsidRPr="003D0CB7">
        <w:rPr>
          <w:i/>
          <w:iCs/>
          <w:lang w:val="fr-CA"/>
        </w:rPr>
        <w:t xml:space="preserve"> Loi sur l</w:t>
      </w:r>
      <w:r w:rsidR="009F7134" w:rsidRPr="003D0CB7">
        <w:rPr>
          <w:i/>
          <w:iCs/>
          <w:lang w:val="fr-CA"/>
        </w:rPr>
        <w:t>’</w:t>
      </w:r>
      <w:r w:rsidR="002877D0" w:rsidRPr="003D0CB7">
        <w:rPr>
          <w:i/>
          <w:iCs/>
          <w:lang w:val="fr-CA"/>
        </w:rPr>
        <w:t>accès à l</w:t>
      </w:r>
      <w:r w:rsidR="009F7134" w:rsidRPr="003D0CB7">
        <w:rPr>
          <w:i/>
          <w:iCs/>
          <w:lang w:val="fr-CA"/>
        </w:rPr>
        <w:t>’</w:t>
      </w:r>
      <w:r w:rsidR="002877D0" w:rsidRPr="003D0CB7">
        <w:rPr>
          <w:i/>
          <w:iCs/>
          <w:lang w:val="fr-CA"/>
        </w:rPr>
        <w:t>information et la protection de la vie privée</w:t>
      </w:r>
      <w:r w:rsidR="00807506" w:rsidRPr="003D0CB7">
        <w:rPr>
          <w:lang w:val="fr-CA"/>
        </w:rPr>
        <w:t xml:space="preserve">.  La Commissaire </w:t>
      </w:r>
      <w:r w:rsidR="00857F9B" w:rsidRPr="003D0CB7">
        <w:rPr>
          <w:lang w:val="fr-CA"/>
        </w:rPr>
        <w:t>n</w:t>
      </w:r>
      <w:r w:rsidR="009F7134" w:rsidRPr="003D0CB7">
        <w:rPr>
          <w:lang w:val="fr-CA"/>
        </w:rPr>
        <w:t>’</w:t>
      </w:r>
      <w:r w:rsidR="00807506" w:rsidRPr="003D0CB7">
        <w:rPr>
          <w:lang w:val="fr-CA"/>
        </w:rPr>
        <w:t xml:space="preserve">a </w:t>
      </w:r>
      <w:r w:rsidR="00857F9B" w:rsidRPr="003D0CB7">
        <w:rPr>
          <w:lang w:val="fr-CA"/>
        </w:rPr>
        <w:t xml:space="preserve">pas </w:t>
      </w:r>
      <w:r w:rsidR="00807506" w:rsidRPr="003D0CB7">
        <w:rPr>
          <w:lang w:val="fr-CA"/>
        </w:rPr>
        <w:t>interprété de façon trop restrictive les exceptions relatives à l</w:t>
      </w:r>
      <w:r w:rsidR="009F7134" w:rsidRPr="003D0CB7">
        <w:rPr>
          <w:lang w:val="fr-CA"/>
        </w:rPr>
        <w:t>’</w:t>
      </w:r>
      <w:r w:rsidR="00807506" w:rsidRPr="003D0CB7">
        <w:rPr>
          <w:lang w:val="fr-CA"/>
        </w:rPr>
        <w:t>application de la loi prévue</w:t>
      </w:r>
      <w:r w:rsidR="00857F9B" w:rsidRPr="003D0CB7">
        <w:rPr>
          <w:lang w:val="fr-CA"/>
        </w:rPr>
        <w:t>s aux</w:t>
      </w:r>
      <w:r w:rsidR="00807506" w:rsidRPr="003D0CB7">
        <w:rPr>
          <w:lang w:val="fr-CA"/>
        </w:rPr>
        <w:t xml:space="preserve"> </w:t>
      </w:r>
      <w:r w:rsidR="008A5ED5" w:rsidRPr="003D0CB7">
        <w:rPr>
          <w:lang w:val="fr-CA"/>
        </w:rPr>
        <w:t>al</w:t>
      </w:r>
      <w:r w:rsidR="00B80869">
        <w:rPr>
          <w:lang w:val="fr-CA"/>
        </w:rPr>
        <w:t>.</w:t>
      </w:r>
      <w:r w:rsidR="00807506" w:rsidRPr="003D0CB7">
        <w:rPr>
          <w:lang w:val="fr-CA"/>
        </w:rPr>
        <w:t>14(1)</w:t>
      </w:r>
      <w:r w:rsidR="00EF3192" w:rsidRPr="003D0CB7">
        <w:rPr>
          <w:lang w:val="fr-CA"/>
        </w:rPr>
        <w:t xml:space="preserve">e) </w:t>
      </w:r>
      <w:r w:rsidR="00807506" w:rsidRPr="003D0CB7">
        <w:rPr>
          <w:lang w:val="fr-CA"/>
        </w:rPr>
        <w:t xml:space="preserve">et </w:t>
      </w:r>
      <w:r w:rsidR="00B80869">
        <w:rPr>
          <w:lang w:val="fr-CA"/>
        </w:rPr>
        <w:t>14(1)</w:t>
      </w:r>
      <w:r w:rsidR="00EF3192" w:rsidRPr="003D0CB7">
        <w:rPr>
          <w:lang w:val="fr-CA"/>
        </w:rPr>
        <w:t xml:space="preserve">l) </w:t>
      </w:r>
      <w:r w:rsidR="00807506" w:rsidRPr="003D0CB7">
        <w:rPr>
          <w:lang w:val="fr-CA"/>
        </w:rPr>
        <w:t>de la</w:t>
      </w:r>
      <w:r w:rsidR="002877D0" w:rsidRPr="003D0CB7">
        <w:rPr>
          <w:i/>
          <w:iCs/>
          <w:lang w:val="fr-CA"/>
        </w:rPr>
        <w:t xml:space="preserve"> Loi sur l</w:t>
      </w:r>
      <w:r w:rsidR="009F7134" w:rsidRPr="003D0CB7">
        <w:rPr>
          <w:i/>
          <w:iCs/>
          <w:lang w:val="fr-CA"/>
        </w:rPr>
        <w:t>’</w:t>
      </w:r>
      <w:r w:rsidR="002877D0" w:rsidRPr="003D0CB7">
        <w:rPr>
          <w:i/>
          <w:iCs/>
          <w:lang w:val="fr-CA"/>
        </w:rPr>
        <w:t>accès à l</w:t>
      </w:r>
      <w:r w:rsidR="009F7134" w:rsidRPr="003D0CB7">
        <w:rPr>
          <w:i/>
          <w:iCs/>
          <w:lang w:val="fr-CA"/>
        </w:rPr>
        <w:t>’</w:t>
      </w:r>
      <w:r w:rsidR="002877D0" w:rsidRPr="003D0CB7">
        <w:rPr>
          <w:i/>
          <w:iCs/>
          <w:lang w:val="fr-CA"/>
        </w:rPr>
        <w:t>information et la protection de la vie privée</w:t>
      </w:r>
      <w:r w:rsidR="00EF3192" w:rsidRPr="003D0CB7">
        <w:rPr>
          <w:lang w:val="fr-CA"/>
        </w:rPr>
        <w:t xml:space="preserve">. </w:t>
      </w:r>
      <w:r w:rsidR="00807506" w:rsidRPr="003D0CB7">
        <w:rPr>
          <w:lang w:val="fr-CA"/>
        </w:rPr>
        <w:t xml:space="preserve"> </w:t>
      </w:r>
      <w:r w:rsidR="00C67BEA" w:rsidRPr="003D0CB7">
        <w:rPr>
          <w:lang w:val="fr-CA"/>
        </w:rPr>
        <w:t xml:space="preserve">Eu égard à la preuve et aux arguments </w:t>
      </w:r>
      <w:r w:rsidR="002877D0" w:rsidRPr="003D0CB7">
        <w:rPr>
          <w:lang w:val="fr-CA"/>
        </w:rPr>
        <w:t xml:space="preserve">qui </w:t>
      </w:r>
      <w:r w:rsidR="00C67BEA" w:rsidRPr="003D0CB7">
        <w:rPr>
          <w:lang w:val="fr-CA"/>
        </w:rPr>
        <w:t xml:space="preserve">lui </w:t>
      </w:r>
      <w:r w:rsidR="002877D0" w:rsidRPr="003D0CB7">
        <w:rPr>
          <w:lang w:val="fr-CA"/>
        </w:rPr>
        <w:t xml:space="preserve">ont </w:t>
      </w:r>
      <w:r w:rsidR="00C67BEA" w:rsidRPr="003D0CB7">
        <w:rPr>
          <w:lang w:val="fr-CA"/>
        </w:rPr>
        <w:t>été présentés</w:t>
      </w:r>
      <w:r w:rsidR="00EF3192" w:rsidRPr="003D0CB7">
        <w:rPr>
          <w:lang w:val="fr-CA"/>
        </w:rPr>
        <w:t xml:space="preserve">, </w:t>
      </w:r>
      <w:r w:rsidR="00C67BEA" w:rsidRPr="003D0CB7">
        <w:rPr>
          <w:lang w:val="fr-CA"/>
        </w:rPr>
        <w:t xml:space="preserve">elle a à juste titre </w:t>
      </w:r>
      <w:r w:rsidR="002877D0" w:rsidRPr="003D0CB7">
        <w:rPr>
          <w:lang w:val="fr-CA"/>
        </w:rPr>
        <w:t>porté</w:t>
      </w:r>
      <w:r w:rsidR="00C67BEA" w:rsidRPr="003D0CB7">
        <w:rPr>
          <w:lang w:val="fr-CA"/>
        </w:rPr>
        <w:t xml:space="preserve"> son attention sur l</w:t>
      </w:r>
      <w:r w:rsidR="002877D0" w:rsidRPr="003D0CB7">
        <w:rPr>
          <w:lang w:val="fr-CA"/>
        </w:rPr>
        <w:t>a question de savoir s</w:t>
      </w:r>
      <w:r w:rsidR="009F7134" w:rsidRPr="003D0CB7">
        <w:rPr>
          <w:lang w:val="fr-CA"/>
        </w:rPr>
        <w:t>’</w:t>
      </w:r>
      <w:r w:rsidR="00C67BEA" w:rsidRPr="003D0CB7">
        <w:rPr>
          <w:lang w:val="fr-CA"/>
        </w:rPr>
        <w:t>il était raisonnable de s</w:t>
      </w:r>
      <w:r w:rsidR="009F7134" w:rsidRPr="003D0CB7">
        <w:rPr>
          <w:lang w:val="fr-CA"/>
        </w:rPr>
        <w:t>’</w:t>
      </w:r>
      <w:r w:rsidR="00C67BEA" w:rsidRPr="003D0CB7">
        <w:rPr>
          <w:lang w:val="fr-CA"/>
        </w:rPr>
        <w:t>attendre à ce que la communication demandée permette d</w:t>
      </w:r>
      <w:r w:rsidR="009F7134" w:rsidRPr="003D0CB7">
        <w:rPr>
          <w:lang w:val="fr-CA"/>
        </w:rPr>
        <w:t>’</w:t>
      </w:r>
      <w:r w:rsidR="00C67BEA" w:rsidRPr="003D0CB7">
        <w:rPr>
          <w:lang w:val="fr-CA"/>
        </w:rPr>
        <w:t xml:space="preserve">identifier des délinquants sexuels ou de </w:t>
      </w:r>
      <w:r w:rsidR="00DC740F" w:rsidRPr="003D0CB7">
        <w:rPr>
          <w:lang w:val="fr-CA"/>
        </w:rPr>
        <w:t xml:space="preserve">découvrit </w:t>
      </w:r>
      <w:r w:rsidR="00C67BEA" w:rsidRPr="003D0CB7">
        <w:rPr>
          <w:lang w:val="fr-CA"/>
        </w:rPr>
        <w:t>l</w:t>
      </w:r>
      <w:r w:rsidR="009F7134" w:rsidRPr="003D0CB7">
        <w:rPr>
          <w:lang w:val="fr-CA"/>
        </w:rPr>
        <w:t>’</w:t>
      </w:r>
      <w:r w:rsidR="00C67BEA" w:rsidRPr="003D0CB7">
        <w:rPr>
          <w:lang w:val="fr-CA"/>
        </w:rPr>
        <w:t>adresse de leur domicile.</w:t>
      </w:r>
      <w:r w:rsidR="00EF3192" w:rsidRPr="003D0CB7">
        <w:rPr>
          <w:lang w:val="fr-CA"/>
        </w:rPr>
        <w:t xml:space="preserve"> </w:t>
      </w:r>
      <w:r w:rsidR="00C67BEA" w:rsidRPr="003D0CB7">
        <w:rPr>
          <w:lang w:val="fr-CA"/>
        </w:rPr>
        <w:t xml:space="preserve"> Comme les exceptions relatives à l</w:t>
      </w:r>
      <w:r w:rsidR="009F7134" w:rsidRPr="003D0CB7">
        <w:rPr>
          <w:lang w:val="fr-CA"/>
        </w:rPr>
        <w:t>’</w:t>
      </w:r>
      <w:r w:rsidR="00C67BEA" w:rsidRPr="003D0CB7">
        <w:rPr>
          <w:lang w:val="fr-CA"/>
        </w:rPr>
        <w:t>application de la loi ne s</w:t>
      </w:r>
      <w:r w:rsidR="009F7134" w:rsidRPr="003D0CB7">
        <w:rPr>
          <w:lang w:val="fr-CA"/>
        </w:rPr>
        <w:t>’</w:t>
      </w:r>
      <w:r w:rsidR="00C67BEA" w:rsidRPr="003D0CB7">
        <w:rPr>
          <w:lang w:val="fr-CA"/>
        </w:rPr>
        <w:t>appliquent pas</w:t>
      </w:r>
      <w:r w:rsidR="00EF3192" w:rsidRPr="003D0CB7">
        <w:rPr>
          <w:lang w:val="fr-CA"/>
        </w:rPr>
        <w:t>,</w:t>
      </w:r>
      <w:r w:rsidR="00C67BEA" w:rsidRPr="003D0CB7">
        <w:rPr>
          <w:lang w:val="fr-CA"/>
        </w:rPr>
        <w:t xml:space="preserve"> le pouvoir discrétionnaire de </w:t>
      </w:r>
      <w:r w:rsidR="00DC740F" w:rsidRPr="003D0CB7">
        <w:rPr>
          <w:lang w:val="fr-CA"/>
        </w:rPr>
        <w:t xml:space="preserve">refuser la </w:t>
      </w:r>
      <w:r w:rsidR="00C67BEA" w:rsidRPr="003D0CB7">
        <w:rPr>
          <w:lang w:val="fr-CA"/>
        </w:rPr>
        <w:t>divulg</w:t>
      </w:r>
      <w:r w:rsidR="00DC740F" w:rsidRPr="003D0CB7">
        <w:rPr>
          <w:lang w:val="fr-CA"/>
        </w:rPr>
        <w:t>ation d</w:t>
      </w:r>
      <w:r w:rsidR="009F7134" w:rsidRPr="003D0CB7">
        <w:rPr>
          <w:lang w:val="fr-CA"/>
        </w:rPr>
        <w:t>’</w:t>
      </w:r>
      <w:r w:rsidR="00C67BEA" w:rsidRPr="003D0CB7">
        <w:rPr>
          <w:lang w:val="fr-CA"/>
        </w:rPr>
        <w:t xml:space="preserve">un document </w:t>
      </w:r>
      <w:r w:rsidR="00DC740F" w:rsidRPr="003D0CB7">
        <w:rPr>
          <w:lang w:val="fr-CA"/>
        </w:rPr>
        <w:t xml:space="preserve">en vertu de </w:t>
      </w:r>
      <w:r w:rsidR="00C67BEA" w:rsidRPr="003D0CB7">
        <w:rPr>
          <w:lang w:val="fr-CA"/>
        </w:rPr>
        <w:t>l</w:t>
      </w:r>
      <w:r w:rsidR="009F7134" w:rsidRPr="003D0CB7">
        <w:rPr>
          <w:lang w:val="fr-CA"/>
        </w:rPr>
        <w:t>’</w:t>
      </w:r>
      <w:r w:rsidRPr="003D0CB7">
        <w:rPr>
          <w:lang w:val="fr-CA"/>
        </w:rPr>
        <w:t>art.</w:t>
      </w:r>
      <w:r w:rsidR="00F23967">
        <w:rPr>
          <w:lang w:val="fr-CA"/>
        </w:rPr>
        <w:t xml:space="preserve"> </w:t>
      </w:r>
      <w:r w:rsidR="00EF3192" w:rsidRPr="003D0CB7">
        <w:rPr>
          <w:lang w:val="fr-CA"/>
        </w:rPr>
        <w:t xml:space="preserve">14 </w:t>
      </w:r>
      <w:r w:rsidR="00C67BEA" w:rsidRPr="003D0CB7">
        <w:rPr>
          <w:lang w:val="fr-CA"/>
        </w:rPr>
        <w:t>de la</w:t>
      </w:r>
      <w:r w:rsidR="00BF71AE" w:rsidRPr="003D0CB7">
        <w:rPr>
          <w:i/>
          <w:iCs/>
          <w:lang w:val="fr-CA"/>
        </w:rPr>
        <w:t xml:space="preserve"> Loi sur l</w:t>
      </w:r>
      <w:r w:rsidR="009F7134" w:rsidRPr="003D0CB7">
        <w:rPr>
          <w:i/>
          <w:iCs/>
          <w:lang w:val="fr-CA"/>
        </w:rPr>
        <w:t>’</w:t>
      </w:r>
      <w:r w:rsidR="00BF71AE" w:rsidRPr="003D0CB7">
        <w:rPr>
          <w:i/>
          <w:iCs/>
          <w:lang w:val="fr-CA"/>
        </w:rPr>
        <w:t>accès à l</w:t>
      </w:r>
      <w:r w:rsidR="009F7134" w:rsidRPr="003D0CB7">
        <w:rPr>
          <w:i/>
          <w:iCs/>
          <w:lang w:val="fr-CA"/>
        </w:rPr>
        <w:t>’</w:t>
      </w:r>
      <w:r w:rsidR="00BF71AE" w:rsidRPr="003D0CB7">
        <w:rPr>
          <w:i/>
          <w:iCs/>
          <w:lang w:val="fr-CA"/>
        </w:rPr>
        <w:t>information et la protection de la vie privée</w:t>
      </w:r>
      <w:r w:rsidR="00EF3192" w:rsidRPr="003D0CB7">
        <w:rPr>
          <w:i/>
          <w:lang w:val="fr-CA"/>
        </w:rPr>
        <w:t xml:space="preserve"> </w:t>
      </w:r>
      <w:r w:rsidR="00C67BEA" w:rsidRPr="003D0CB7">
        <w:rPr>
          <w:lang w:val="fr-CA"/>
        </w:rPr>
        <w:t>ne s</w:t>
      </w:r>
      <w:r w:rsidR="009F7134" w:rsidRPr="003D0CB7">
        <w:rPr>
          <w:lang w:val="fr-CA"/>
        </w:rPr>
        <w:t>’</w:t>
      </w:r>
      <w:r w:rsidR="00C67BEA" w:rsidRPr="003D0CB7">
        <w:rPr>
          <w:lang w:val="fr-CA"/>
        </w:rPr>
        <w:t>applique pas</w:t>
      </w:r>
      <w:r w:rsidR="00EF3192" w:rsidRPr="003D0CB7">
        <w:rPr>
          <w:i/>
          <w:lang w:val="fr-CA"/>
        </w:rPr>
        <w:t>.</w:t>
      </w:r>
      <w:r w:rsidR="00EF3192" w:rsidRPr="003D0CB7">
        <w:rPr>
          <w:lang w:val="fr-CA"/>
        </w:rPr>
        <w:t xml:space="preserve"> </w:t>
      </w:r>
    </w:p>
    <w:p w:rsidR="003B56F5" w:rsidRPr="003D0CB7" w:rsidRDefault="00AA4099" w:rsidP="00021119">
      <w:pPr>
        <w:pStyle w:val="SCCNormalDoubleSpacing"/>
        <w:spacing w:after="480"/>
        <w:rPr>
          <w:lang w:val="fr-CA"/>
        </w:rPr>
      </w:pPr>
      <w:r w:rsidRPr="003D0CB7">
        <w:rPr>
          <w:lang w:val="fr-CA"/>
        </w:rPr>
        <w:tab/>
      </w:r>
      <w:r w:rsidR="002473E1" w:rsidRPr="003D0CB7">
        <w:rPr>
          <w:lang w:val="fr-CA"/>
        </w:rPr>
        <w:t>La Commissaire n</w:t>
      </w:r>
      <w:r w:rsidR="009F7134" w:rsidRPr="003D0CB7">
        <w:rPr>
          <w:lang w:val="fr-CA"/>
        </w:rPr>
        <w:t>’</w:t>
      </w:r>
      <w:r w:rsidR="002473E1" w:rsidRPr="003D0CB7">
        <w:rPr>
          <w:lang w:val="fr-CA"/>
        </w:rPr>
        <w:t>a pas commis d</w:t>
      </w:r>
      <w:r w:rsidR="009F7134" w:rsidRPr="003D0CB7">
        <w:rPr>
          <w:lang w:val="fr-CA"/>
        </w:rPr>
        <w:t>’</w:t>
      </w:r>
      <w:r w:rsidR="002473E1" w:rsidRPr="003D0CB7">
        <w:rPr>
          <w:lang w:val="fr-CA"/>
        </w:rPr>
        <w:t xml:space="preserve">erreur susceptible de contrôle en ce qui concerne la norme de preuve applicable </w:t>
      </w:r>
      <w:r w:rsidR="00BF71AE" w:rsidRPr="003D0CB7">
        <w:rPr>
          <w:lang w:val="fr-CA"/>
        </w:rPr>
        <w:t>à l</w:t>
      </w:r>
      <w:r w:rsidR="009F7134" w:rsidRPr="003D0CB7">
        <w:rPr>
          <w:lang w:val="fr-CA"/>
        </w:rPr>
        <w:t>’</w:t>
      </w:r>
      <w:r w:rsidR="00BF71AE" w:rsidRPr="003D0CB7">
        <w:rPr>
          <w:lang w:val="fr-CA"/>
        </w:rPr>
        <w:t>égard des exc</w:t>
      </w:r>
      <w:r w:rsidR="002473E1" w:rsidRPr="003D0CB7">
        <w:rPr>
          <w:lang w:val="fr-CA"/>
        </w:rPr>
        <w:t>eptions relatives à l</w:t>
      </w:r>
      <w:r w:rsidR="009F7134" w:rsidRPr="003D0CB7">
        <w:rPr>
          <w:lang w:val="fr-CA"/>
        </w:rPr>
        <w:t>’</w:t>
      </w:r>
      <w:r w:rsidR="002473E1" w:rsidRPr="003D0CB7">
        <w:rPr>
          <w:lang w:val="fr-CA"/>
        </w:rPr>
        <w:t>application de la loi</w:t>
      </w:r>
      <w:r w:rsidR="00EF3192" w:rsidRPr="003D0CB7">
        <w:rPr>
          <w:lang w:val="fr-CA"/>
        </w:rPr>
        <w:t xml:space="preserve">. </w:t>
      </w:r>
      <w:r w:rsidR="002473E1" w:rsidRPr="003D0CB7">
        <w:rPr>
          <w:lang w:val="fr-CA"/>
        </w:rPr>
        <w:t xml:space="preserve"> Il n</w:t>
      </w:r>
      <w:r w:rsidR="009F7134" w:rsidRPr="003D0CB7">
        <w:rPr>
          <w:lang w:val="fr-CA"/>
        </w:rPr>
        <w:t>’</w:t>
      </w:r>
      <w:r w:rsidR="002473E1" w:rsidRPr="003D0CB7">
        <w:rPr>
          <w:lang w:val="fr-CA"/>
        </w:rPr>
        <w:t xml:space="preserve">existe aucune différence de fond entre la notion de </w:t>
      </w:r>
      <w:r w:rsidR="00E3692F" w:rsidRPr="003D0CB7">
        <w:rPr>
          <w:lang w:val="fr-CA"/>
        </w:rPr>
        <w:t>«</w:t>
      </w:r>
      <w:r w:rsidR="00E3692F">
        <w:rPr>
          <w:iCs/>
          <w:lang w:val="fr-CA"/>
        </w:rPr>
        <w:t> </w:t>
      </w:r>
      <w:r w:rsidR="002473E1" w:rsidRPr="003D0CB7">
        <w:rPr>
          <w:lang w:val="fr-CA"/>
        </w:rPr>
        <w:t>risque vraisemblable de préjudice probable</w:t>
      </w:r>
      <w:r w:rsidR="00E3692F">
        <w:rPr>
          <w:iCs/>
          <w:lang w:val="fr-CA"/>
        </w:rPr>
        <w:t> </w:t>
      </w:r>
      <w:r w:rsidR="00E3692F" w:rsidRPr="003D0CB7">
        <w:rPr>
          <w:lang w:val="fr-CA"/>
        </w:rPr>
        <w:t>»</w:t>
      </w:r>
      <w:r w:rsidR="002473E1" w:rsidRPr="003D0CB7">
        <w:rPr>
          <w:lang w:val="fr-CA"/>
        </w:rPr>
        <w:t xml:space="preserve"> et celle des </w:t>
      </w:r>
      <w:r w:rsidR="00E3692F" w:rsidRPr="003D0CB7">
        <w:rPr>
          <w:lang w:val="fr-CA"/>
        </w:rPr>
        <w:t>«</w:t>
      </w:r>
      <w:r w:rsidR="00E3692F">
        <w:rPr>
          <w:iCs/>
          <w:lang w:val="fr-CA"/>
        </w:rPr>
        <w:t> </w:t>
      </w:r>
      <w:r w:rsidR="002473E1" w:rsidRPr="003D0CB7">
        <w:rPr>
          <w:lang w:val="fr-CA"/>
        </w:rPr>
        <w:t>motifs raisonnables de croire</w:t>
      </w:r>
      <w:r w:rsidR="00E3692F">
        <w:rPr>
          <w:iCs/>
          <w:lang w:val="fr-CA"/>
        </w:rPr>
        <w:t> </w:t>
      </w:r>
      <w:r w:rsidR="00E3692F" w:rsidRPr="003D0CB7">
        <w:rPr>
          <w:lang w:val="fr-CA"/>
        </w:rPr>
        <w:t>»</w:t>
      </w:r>
      <w:r w:rsidR="002473E1" w:rsidRPr="003D0CB7">
        <w:rPr>
          <w:lang w:val="fr-CA"/>
        </w:rPr>
        <w:t xml:space="preserve"> qu</w:t>
      </w:r>
      <w:r w:rsidR="009F7134" w:rsidRPr="003D0CB7">
        <w:rPr>
          <w:lang w:val="fr-CA"/>
        </w:rPr>
        <w:t>’</w:t>
      </w:r>
      <w:r w:rsidR="002473E1" w:rsidRPr="003D0CB7">
        <w:rPr>
          <w:lang w:val="fr-CA"/>
        </w:rPr>
        <w:t xml:space="preserve">un préjudice se produira.  Le critère du </w:t>
      </w:r>
      <w:r w:rsidR="00E3692F" w:rsidRPr="003D0CB7">
        <w:rPr>
          <w:lang w:val="fr-CA"/>
        </w:rPr>
        <w:t>«</w:t>
      </w:r>
      <w:r w:rsidR="00E3692F">
        <w:rPr>
          <w:iCs/>
          <w:lang w:val="fr-CA"/>
        </w:rPr>
        <w:t> </w:t>
      </w:r>
      <w:r w:rsidR="002473E1" w:rsidRPr="003D0CB7">
        <w:rPr>
          <w:lang w:val="fr-CA"/>
        </w:rPr>
        <w:t>risque vraisemblable de préjudice probable</w:t>
      </w:r>
      <w:r w:rsidR="00E3692F">
        <w:rPr>
          <w:iCs/>
          <w:lang w:val="fr-CA"/>
        </w:rPr>
        <w:t> </w:t>
      </w:r>
      <w:r w:rsidR="00E3692F" w:rsidRPr="003D0CB7">
        <w:rPr>
          <w:lang w:val="fr-CA"/>
        </w:rPr>
        <w:t>»</w:t>
      </w:r>
      <w:r w:rsidR="002473E1" w:rsidRPr="003D0CB7">
        <w:rPr>
          <w:lang w:val="fr-CA"/>
        </w:rPr>
        <w:t xml:space="preserve"> ne fait qu</w:t>
      </w:r>
      <w:r w:rsidR="009F7134" w:rsidRPr="003D0CB7">
        <w:rPr>
          <w:lang w:val="fr-CA"/>
        </w:rPr>
        <w:t>’</w:t>
      </w:r>
      <w:r w:rsidR="002473E1" w:rsidRPr="003D0CB7">
        <w:rPr>
          <w:lang w:val="fr-CA"/>
        </w:rPr>
        <w:t>exprimer la nécessité d</w:t>
      </w:r>
      <w:r w:rsidR="009F7134" w:rsidRPr="003D0CB7">
        <w:rPr>
          <w:lang w:val="fr-CA"/>
        </w:rPr>
        <w:t>’</w:t>
      </w:r>
      <w:r w:rsidR="002473E1" w:rsidRPr="003D0CB7">
        <w:rPr>
          <w:lang w:val="fr-CA"/>
        </w:rPr>
        <w:t xml:space="preserve">établir que la divulgation </w:t>
      </w:r>
      <w:r w:rsidR="002473E1" w:rsidRPr="003D0CB7">
        <w:rPr>
          <w:lang w:val="fr-CA"/>
        </w:rPr>
        <w:lastRenderedPageBreak/>
        <w:t>occasionnera un risque de préjudice selon une norme qui est beaucoup plus exigeante qu</w:t>
      </w:r>
      <w:r w:rsidR="009F7134" w:rsidRPr="003D0CB7">
        <w:rPr>
          <w:lang w:val="fr-CA"/>
        </w:rPr>
        <w:t>’</w:t>
      </w:r>
      <w:r w:rsidR="00BF71AE" w:rsidRPr="003D0CB7">
        <w:rPr>
          <w:lang w:val="fr-CA"/>
        </w:rPr>
        <w:t>un</w:t>
      </w:r>
      <w:r w:rsidR="002473E1" w:rsidRPr="003D0CB7">
        <w:rPr>
          <w:lang w:val="fr-CA"/>
        </w:rPr>
        <w:t>e simple possibilité ou conjecture, mais qui n</w:t>
      </w:r>
      <w:r w:rsidR="009F7134" w:rsidRPr="003D0CB7">
        <w:rPr>
          <w:lang w:val="fr-CA"/>
        </w:rPr>
        <w:t>’</w:t>
      </w:r>
      <w:r w:rsidR="002473E1" w:rsidRPr="003D0CB7">
        <w:rPr>
          <w:lang w:val="fr-CA"/>
        </w:rPr>
        <w:t>atteint cependant pas celle d</w:t>
      </w:r>
      <w:r w:rsidR="009F7134" w:rsidRPr="003D0CB7">
        <w:rPr>
          <w:lang w:val="fr-CA"/>
        </w:rPr>
        <w:t>’</w:t>
      </w:r>
      <w:r w:rsidR="002473E1" w:rsidRPr="003D0CB7">
        <w:rPr>
          <w:lang w:val="fr-CA"/>
        </w:rPr>
        <w:t>établir, selon la prépondérance des probabilités, que la divulgation occasionnera effectivement un tel préjudice</w:t>
      </w:r>
      <w:r w:rsidR="00EF3192" w:rsidRPr="003D0CB7">
        <w:rPr>
          <w:lang w:val="fr-CA"/>
        </w:rPr>
        <w:t>.</w:t>
      </w:r>
      <w:r w:rsidR="00B36163" w:rsidRPr="003D0CB7">
        <w:rPr>
          <w:lang w:val="fr-CA"/>
        </w:rPr>
        <w:t xml:space="preserve"> </w:t>
      </w:r>
      <w:r w:rsidR="00EF3192" w:rsidRPr="003D0CB7">
        <w:rPr>
          <w:lang w:val="fr-CA"/>
        </w:rPr>
        <w:t xml:space="preserve"> </w:t>
      </w:r>
      <w:r w:rsidR="00B36163" w:rsidRPr="003D0CB7">
        <w:rPr>
          <w:lang w:val="fr-CA"/>
        </w:rPr>
        <w:t xml:space="preserve">Le critère du </w:t>
      </w:r>
      <w:r w:rsidR="00E3692F" w:rsidRPr="003D0CB7">
        <w:rPr>
          <w:lang w:val="fr-CA"/>
        </w:rPr>
        <w:t>«</w:t>
      </w:r>
      <w:r w:rsidR="00E3692F">
        <w:rPr>
          <w:iCs/>
          <w:lang w:val="fr-CA"/>
        </w:rPr>
        <w:t> </w:t>
      </w:r>
      <w:r w:rsidR="00B36163" w:rsidRPr="003D0CB7">
        <w:rPr>
          <w:lang w:val="fr-CA"/>
        </w:rPr>
        <w:t>risque vraisemblable de préjudice probable</w:t>
      </w:r>
      <w:r w:rsidR="00E3692F">
        <w:rPr>
          <w:iCs/>
          <w:lang w:val="fr-CA"/>
        </w:rPr>
        <w:t> </w:t>
      </w:r>
      <w:r w:rsidR="00E3692F" w:rsidRPr="003D0CB7">
        <w:rPr>
          <w:lang w:val="fr-CA"/>
        </w:rPr>
        <w:t>»</w:t>
      </w:r>
      <w:r w:rsidR="00B36163" w:rsidRPr="003D0CB7">
        <w:rPr>
          <w:lang w:val="fr-CA"/>
        </w:rPr>
        <w:t xml:space="preserve"> devrait être utilisé chaque fois que le législateur emplo</w:t>
      </w:r>
      <w:r w:rsidR="009F7134" w:rsidRPr="003D0CB7">
        <w:rPr>
          <w:lang w:val="fr-CA"/>
        </w:rPr>
        <w:t xml:space="preserve">ie la formule </w:t>
      </w:r>
      <w:r w:rsidR="00E3692F" w:rsidRPr="003D0CB7">
        <w:rPr>
          <w:lang w:val="fr-CA"/>
        </w:rPr>
        <w:t>«</w:t>
      </w:r>
      <w:r w:rsidR="00E3692F">
        <w:rPr>
          <w:iCs/>
          <w:lang w:val="fr-CA"/>
        </w:rPr>
        <w:t> </w:t>
      </w:r>
      <w:r w:rsidR="00B36163" w:rsidRPr="003D0CB7">
        <w:rPr>
          <w:lang w:val="fr-CA"/>
        </w:rPr>
        <w:t>risquerait vraisemblablement</w:t>
      </w:r>
      <w:r w:rsidR="009F7134" w:rsidRPr="003D0CB7">
        <w:rPr>
          <w:lang w:val="fr-CA"/>
        </w:rPr>
        <w:t xml:space="preserve"> </w:t>
      </w:r>
      <w:r w:rsidR="004F38F4" w:rsidRPr="003D0CB7">
        <w:rPr>
          <w:lang w:val="fr-CA"/>
        </w:rPr>
        <w:t>de</w:t>
      </w:r>
      <w:r w:rsidR="00E3692F">
        <w:rPr>
          <w:iCs/>
          <w:lang w:val="fr-CA"/>
        </w:rPr>
        <w:t> </w:t>
      </w:r>
      <w:r w:rsidR="00E3692F" w:rsidRPr="003D0CB7">
        <w:rPr>
          <w:lang w:val="fr-CA"/>
        </w:rPr>
        <w:t>»</w:t>
      </w:r>
      <w:r w:rsidR="00B36163" w:rsidRPr="003D0CB7">
        <w:rPr>
          <w:lang w:val="fr-CA"/>
        </w:rPr>
        <w:t>.</w:t>
      </w:r>
      <w:r w:rsidR="00EF3192" w:rsidRPr="003D0CB7">
        <w:rPr>
          <w:lang w:val="fr-CA"/>
        </w:rPr>
        <w:t xml:space="preserve">  </w:t>
      </w:r>
      <w:r w:rsidR="00B36163" w:rsidRPr="003D0CB7">
        <w:rPr>
          <w:lang w:val="fr-CA"/>
        </w:rPr>
        <w:t>La Commissaire a raisonnablement conclu que le Ministère n</w:t>
      </w:r>
      <w:r w:rsidR="009F7134" w:rsidRPr="003D0CB7">
        <w:rPr>
          <w:lang w:val="fr-CA"/>
        </w:rPr>
        <w:t>’</w:t>
      </w:r>
      <w:r w:rsidR="00B36163" w:rsidRPr="003D0CB7">
        <w:rPr>
          <w:lang w:val="fr-CA"/>
        </w:rPr>
        <w:t>avait pas établi que le document demandé pouvait être utilisé pour identifier des délinquants sexuels ou que sa divulgation susciterait chez les délinquants sexuels la crainte subjective d</w:t>
      </w:r>
      <w:r w:rsidR="009F7134" w:rsidRPr="003D0CB7">
        <w:rPr>
          <w:lang w:val="fr-CA"/>
        </w:rPr>
        <w:t>’</w:t>
      </w:r>
      <w:r w:rsidR="00B36163" w:rsidRPr="003D0CB7">
        <w:rPr>
          <w:lang w:val="fr-CA"/>
        </w:rPr>
        <w:t xml:space="preserve">être identifiés, </w:t>
      </w:r>
      <w:r w:rsidR="00BF71AE" w:rsidRPr="003D0CB7">
        <w:rPr>
          <w:lang w:val="fr-CA"/>
        </w:rPr>
        <w:t xml:space="preserve">laquelle </w:t>
      </w:r>
      <w:r w:rsidR="00D63B0E" w:rsidRPr="003D0CB7">
        <w:rPr>
          <w:lang w:val="fr-CA"/>
        </w:rPr>
        <w:t>entraîn</w:t>
      </w:r>
      <w:r w:rsidR="00BF71AE" w:rsidRPr="003D0CB7">
        <w:rPr>
          <w:lang w:val="fr-CA"/>
        </w:rPr>
        <w:t>erait</w:t>
      </w:r>
      <w:r w:rsidR="00B36163" w:rsidRPr="003D0CB7">
        <w:rPr>
          <w:lang w:val="fr-CA"/>
        </w:rPr>
        <w:t xml:space="preserve"> une diminution du taux de conformité à la </w:t>
      </w:r>
      <w:r w:rsidR="00B36163" w:rsidRPr="003D0CB7">
        <w:rPr>
          <w:i/>
          <w:lang w:val="fr-CA"/>
        </w:rPr>
        <w:t>Loi Christopher</w:t>
      </w:r>
      <w:r w:rsidR="00EF3192" w:rsidRPr="003D0CB7">
        <w:rPr>
          <w:lang w:val="fr-CA"/>
        </w:rPr>
        <w:t xml:space="preserve">.  </w:t>
      </w:r>
    </w:p>
    <w:p w:rsidR="004D7D95" w:rsidRPr="003D0CB7" w:rsidRDefault="004D7D95" w:rsidP="00021119">
      <w:pPr>
        <w:pStyle w:val="SCCNormalDoubleSpacing"/>
        <w:spacing w:after="720" w:line="240" w:lineRule="auto"/>
        <w:rPr>
          <w:b/>
          <w:lang w:val="fr-CA"/>
        </w:rPr>
      </w:pPr>
      <w:r w:rsidRPr="003D0CB7">
        <w:rPr>
          <w:b/>
          <w:lang w:val="fr-CA"/>
        </w:rPr>
        <w:t>Jurisprudence</w:t>
      </w:r>
    </w:p>
    <w:p w:rsidR="004D7D95" w:rsidRPr="003D0CB7" w:rsidRDefault="004D7D95" w:rsidP="00021119">
      <w:pPr>
        <w:pStyle w:val="SCCNormalDoubleSpacing"/>
        <w:spacing w:after="480"/>
        <w:rPr>
          <w:b/>
          <w:lang w:val="fr-CA"/>
        </w:rPr>
      </w:pPr>
      <w:r w:rsidRPr="003D0CB7">
        <w:rPr>
          <w:lang w:val="fr-CA"/>
        </w:rPr>
        <w:tab/>
      </w:r>
      <w:r w:rsidR="00711780" w:rsidRPr="003D0CB7">
        <w:rPr>
          <w:b/>
          <w:lang w:val="fr-CA"/>
        </w:rPr>
        <w:t xml:space="preserve">Arrêt </w:t>
      </w:r>
      <w:r w:rsidR="00A00FB6" w:rsidRPr="003D0CB7">
        <w:rPr>
          <w:b/>
          <w:lang w:val="fr-CA"/>
        </w:rPr>
        <w:t>appliqué</w:t>
      </w:r>
      <w:r w:rsidR="00F23967">
        <w:rPr>
          <w:b/>
          <w:lang w:val="fr-CA"/>
        </w:rPr>
        <w:t xml:space="preserve"> </w:t>
      </w:r>
      <w:r w:rsidR="00AA4099" w:rsidRPr="003D0CB7">
        <w:rPr>
          <w:b/>
          <w:lang w:val="fr-CA"/>
        </w:rPr>
        <w:t>:</w:t>
      </w:r>
      <w:r w:rsidR="00454729" w:rsidRPr="003D0CB7">
        <w:rPr>
          <w:lang w:val="fr-CA"/>
        </w:rPr>
        <w:t xml:space="preserve"> </w:t>
      </w:r>
      <w:proofErr w:type="spellStart"/>
      <w:r w:rsidR="00711780" w:rsidRPr="003D0CB7">
        <w:rPr>
          <w:i/>
          <w:lang w:val="fr-CA"/>
        </w:rPr>
        <w:t>Merck</w:t>
      </w:r>
      <w:proofErr w:type="spellEnd"/>
      <w:r w:rsidR="00711780" w:rsidRPr="003D0CB7">
        <w:rPr>
          <w:i/>
          <w:lang w:val="fr-CA"/>
        </w:rPr>
        <w:t xml:space="preserve"> </w:t>
      </w:r>
      <w:proofErr w:type="spellStart"/>
      <w:r w:rsidR="00711780" w:rsidRPr="003D0CB7">
        <w:rPr>
          <w:i/>
          <w:lang w:val="fr-CA"/>
        </w:rPr>
        <w:t>Frosst</w:t>
      </w:r>
      <w:proofErr w:type="spellEnd"/>
      <w:r w:rsidR="00711780" w:rsidRPr="003D0CB7">
        <w:rPr>
          <w:i/>
          <w:lang w:val="fr-CA"/>
        </w:rPr>
        <w:t xml:space="preserve"> Canada </w:t>
      </w:r>
      <w:proofErr w:type="spellStart"/>
      <w:r w:rsidR="00711780" w:rsidRPr="003D0CB7">
        <w:rPr>
          <w:i/>
          <w:lang w:val="fr-CA"/>
        </w:rPr>
        <w:t>Ltée</w:t>
      </w:r>
      <w:proofErr w:type="spellEnd"/>
      <w:r w:rsidR="00711780" w:rsidRPr="003D0CB7">
        <w:rPr>
          <w:i/>
          <w:lang w:val="fr-CA"/>
        </w:rPr>
        <w:t xml:space="preserve"> c. Canada (Santé)</w:t>
      </w:r>
      <w:r w:rsidR="00711780" w:rsidRPr="003D0CB7">
        <w:rPr>
          <w:lang w:val="fr-CA"/>
        </w:rPr>
        <w:t xml:space="preserve">, 2012 CSC 3, [2012] 1 R.C.S. 23; </w:t>
      </w:r>
      <w:r w:rsidR="00711780" w:rsidRPr="003D0CB7">
        <w:rPr>
          <w:b/>
          <w:lang w:val="fr-CA"/>
        </w:rPr>
        <w:t>a</w:t>
      </w:r>
      <w:r w:rsidRPr="003D0CB7">
        <w:rPr>
          <w:b/>
          <w:lang w:val="fr-CA"/>
        </w:rPr>
        <w:t>rrêts mentionnés</w:t>
      </w:r>
      <w:r w:rsidR="00F23967">
        <w:rPr>
          <w:b/>
          <w:lang w:val="fr-CA"/>
        </w:rPr>
        <w:t xml:space="preserve"> </w:t>
      </w:r>
      <w:r w:rsidR="00AA4099" w:rsidRPr="003D0CB7">
        <w:rPr>
          <w:b/>
          <w:lang w:val="fr-CA"/>
        </w:rPr>
        <w:t>:</w:t>
      </w:r>
      <w:r w:rsidRPr="003D0CB7">
        <w:rPr>
          <w:lang w:val="fr-CA"/>
        </w:rPr>
        <w:t xml:space="preserve"> </w:t>
      </w:r>
      <w:r w:rsidR="004D70E6">
        <w:rPr>
          <w:lang w:val="fr-CA"/>
        </w:rPr>
        <w:t>ordonnance</w:t>
      </w:r>
      <w:r w:rsidR="00490594" w:rsidRPr="003D0CB7">
        <w:rPr>
          <w:lang w:val="fr-CA"/>
        </w:rPr>
        <w:t xml:space="preserve"> PO</w:t>
      </w:r>
      <w:r w:rsidR="00F23967">
        <w:rPr>
          <w:lang w:val="fr-CA"/>
        </w:rPr>
        <w:t>-</w:t>
      </w:r>
      <w:r w:rsidR="00490594" w:rsidRPr="003D0CB7">
        <w:rPr>
          <w:lang w:val="fr-CA"/>
        </w:rPr>
        <w:t xml:space="preserve">2312, 2004 </w:t>
      </w:r>
      <w:proofErr w:type="spellStart"/>
      <w:r w:rsidR="00490594" w:rsidRPr="003D0CB7">
        <w:rPr>
          <w:lang w:val="fr-CA"/>
        </w:rPr>
        <w:t>CanLII</w:t>
      </w:r>
      <w:proofErr w:type="spellEnd"/>
      <w:r w:rsidR="00490594" w:rsidRPr="003D0CB7">
        <w:rPr>
          <w:lang w:val="fr-CA"/>
        </w:rPr>
        <w:t xml:space="preserve"> 56430</w:t>
      </w:r>
      <w:r w:rsidR="008D6CD5" w:rsidRPr="003D0CB7">
        <w:rPr>
          <w:lang w:val="fr-CA"/>
        </w:rPr>
        <w:t xml:space="preserve">; </w:t>
      </w:r>
      <w:r w:rsidR="008D6CD5" w:rsidRPr="003D0CB7">
        <w:rPr>
          <w:i/>
          <w:lang w:val="fr-CA"/>
        </w:rPr>
        <w:t xml:space="preserve">Ontario (Sûreté et Sécurité publique) c. </w:t>
      </w:r>
      <w:proofErr w:type="spellStart"/>
      <w:r w:rsidR="008D6CD5" w:rsidRPr="003D0CB7">
        <w:rPr>
          <w:i/>
          <w:lang w:val="fr-CA"/>
        </w:rPr>
        <w:t>Criminal</w:t>
      </w:r>
      <w:proofErr w:type="spellEnd"/>
      <w:r w:rsidR="008D6CD5" w:rsidRPr="003D0CB7">
        <w:rPr>
          <w:i/>
          <w:lang w:val="fr-CA"/>
        </w:rPr>
        <w:t xml:space="preserve"> </w:t>
      </w:r>
      <w:proofErr w:type="spellStart"/>
      <w:r w:rsidR="008D6CD5" w:rsidRPr="003D0CB7">
        <w:rPr>
          <w:i/>
          <w:lang w:val="fr-CA"/>
        </w:rPr>
        <w:t>Lawyers</w:t>
      </w:r>
      <w:proofErr w:type="spellEnd"/>
      <w:r w:rsidR="009F7134" w:rsidRPr="003D0CB7">
        <w:rPr>
          <w:i/>
          <w:lang w:val="fr-CA"/>
        </w:rPr>
        <w:t>’</w:t>
      </w:r>
      <w:r w:rsidR="008D6CD5" w:rsidRPr="003D0CB7">
        <w:rPr>
          <w:i/>
          <w:lang w:val="fr-CA"/>
        </w:rPr>
        <w:t xml:space="preserve"> Association</w:t>
      </w:r>
      <w:r w:rsidR="008D6CD5" w:rsidRPr="003D0CB7">
        <w:rPr>
          <w:lang w:val="fr-CA"/>
        </w:rPr>
        <w:t>, 2010 CSC 23, [2010] 1 R.C.S. 815</w:t>
      </w:r>
      <w:r w:rsidR="00300C82" w:rsidRPr="003D0CB7">
        <w:rPr>
          <w:lang w:val="fr-CA"/>
        </w:rPr>
        <w:t xml:space="preserve">; </w:t>
      </w:r>
      <w:r w:rsidR="00300C82" w:rsidRPr="003D0CB7">
        <w:rPr>
          <w:i/>
          <w:lang w:val="fr-CA"/>
        </w:rPr>
        <w:t xml:space="preserve">Ontario (Information and </w:t>
      </w:r>
      <w:proofErr w:type="spellStart"/>
      <w:r w:rsidR="00300C82" w:rsidRPr="003D0CB7">
        <w:rPr>
          <w:i/>
          <w:lang w:val="fr-CA"/>
        </w:rPr>
        <w:t>Privacy</w:t>
      </w:r>
      <w:proofErr w:type="spellEnd"/>
      <w:r w:rsidR="00300C82" w:rsidRPr="003D0CB7">
        <w:rPr>
          <w:i/>
          <w:lang w:val="fr-CA"/>
        </w:rPr>
        <w:t xml:space="preserve"> </w:t>
      </w:r>
      <w:proofErr w:type="spellStart"/>
      <w:r w:rsidR="00300C82" w:rsidRPr="003D0CB7">
        <w:rPr>
          <w:i/>
          <w:lang w:val="fr-CA"/>
        </w:rPr>
        <w:t>Commissioner</w:t>
      </w:r>
      <w:proofErr w:type="spellEnd"/>
      <w:r w:rsidR="00300C82" w:rsidRPr="003D0CB7">
        <w:rPr>
          <w:i/>
          <w:lang w:val="fr-CA"/>
        </w:rPr>
        <w:t xml:space="preserve">, Inquiry </w:t>
      </w:r>
      <w:proofErr w:type="spellStart"/>
      <w:r w:rsidR="00300C82" w:rsidRPr="003D0CB7">
        <w:rPr>
          <w:i/>
          <w:lang w:val="fr-CA"/>
        </w:rPr>
        <w:t>Officer</w:t>
      </w:r>
      <w:proofErr w:type="spellEnd"/>
      <w:r w:rsidR="00300C82" w:rsidRPr="003D0CB7">
        <w:rPr>
          <w:i/>
          <w:lang w:val="fr-CA"/>
        </w:rPr>
        <w:t>) c. Ontario (</w:t>
      </w:r>
      <w:proofErr w:type="spellStart"/>
      <w:r w:rsidR="00300C82" w:rsidRPr="003D0CB7">
        <w:rPr>
          <w:i/>
          <w:lang w:val="fr-CA"/>
        </w:rPr>
        <w:t>Minister</w:t>
      </w:r>
      <w:proofErr w:type="spellEnd"/>
      <w:r w:rsidR="00300C82" w:rsidRPr="003D0CB7">
        <w:rPr>
          <w:i/>
          <w:lang w:val="fr-CA"/>
        </w:rPr>
        <w:t xml:space="preserve"> of Labour, Office of the </w:t>
      </w:r>
      <w:proofErr w:type="spellStart"/>
      <w:r w:rsidR="00300C82" w:rsidRPr="003D0CB7">
        <w:rPr>
          <w:i/>
          <w:lang w:val="fr-CA"/>
        </w:rPr>
        <w:t>Worker</w:t>
      </w:r>
      <w:proofErr w:type="spellEnd"/>
      <w:r w:rsidR="00300C82" w:rsidRPr="003D0CB7">
        <w:rPr>
          <w:i/>
          <w:lang w:val="fr-CA"/>
        </w:rPr>
        <w:t xml:space="preserve"> </w:t>
      </w:r>
      <w:proofErr w:type="spellStart"/>
      <w:r w:rsidR="00300C82" w:rsidRPr="003D0CB7">
        <w:rPr>
          <w:i/>
          <w:lang w:val="fr-CA"/>
        </w:rPr>
        <w:t>Advisor</w:t>
      </w:r>
      <w:proofErr w:type="spellEnd"/>
      <w:r w:rsidR="00300C82" w:rsidRPr="003D0CB7">
        <w:rPr>
          <w:i/>
          <w:lang w:val="fr-CA"/>
        </w:rPr>
        <w:t>)</w:t>
      </w:r>
      <w:r w:rsidR="00300C82" w:rsidRPr="003D0CB7">
        <w:rPr>
          <w:lang w:val="fr-CA"/>
        </w:rPr>
        <w:t xml:space="preserve"> (1999), 46 O.R. (3d) 395; </w:t>
      </w:r>
      <w:r w:rsidR="00300C82" w:rsidRPr="003D0CB7">
        <w:rPr>
          <w:i/>
          <w:lang w:val="fr-CA"/>
        </w:rPr>
        <w:t>Ontario (</w:t>
      </w:r>
      <w:proofErr w:type="spellStart"/>
      <w:r w:rsidR="00300C82" w:rsidRPr="003D0CB7">
        <w:rPr>
          <w:i/>
          <w:lang w:val="fr-CA"/>
        </w:rPr>
        <w:t>Minister</w:t>
      </w:r>
      <w:proofErr w:type="spellEnd"/>
      <w:r w:rsidR="00300C82" w:rsidRPr="003D0CB7">
        <w:rPr>
          <w:i/>
          <w:lang w:val="fr-CA"/>
        </w:rPr>
        <w:t xml:space="preserve"> of Transportation) c. </w:t>
      </w:r>
      <w:proofErr w:type="spellStart"/>
      <w:r w:rsidR="00300C82" w:rsidRPr="003D0CB7">
        <w:rPr>
          <w:i/>
          <w:lang w:val="fr-CA"/>
        </w:rPr>
        <w:t>Cropley</w:t>
      </w:r>
      <w:proofErr w:type="spellEnd"/>
      <w:r w:rsidR="00300C82" w:rsidRPr="003D0CB7">
        <w:rPr>
          <w:lang w:val="fr-CA"/>
        </w:rPr>
        <w:t xml:space="preserve"> (2005), 202 O.A.C. 379; </w:t>
      </w:r>
      <w:r w:rsidR="00300C82" w:rsidRPr="003D0CB7">
        <w:rPr>
          <w:i/>
          <w:lang w:val="fr-CA"/>
        </w:rPr>
        <w:t>Ontario (Minist</w:t>
      </w:r>
      <w:r w:rsidR="00F54FF4" w:rsidRPr="003D0CB7">
        <w:rPr>
          <w:i/>
          <w:lang w:val="fr-CA"/>
        </w:rPr>
        <w:t>r</w:t>
      </w:r>
      <w:r w:rsidR="00300C82" w:rsidRPr="003D0CB7">
        <w:rPr>
          <w:i/>
          <w:lang w:val="fr-CA"/>
        </w:rPr>
        <w:t>e</w:t>
      </w:r>
      <w:r w:rsidR="00F54FF4" w:rsidRPr="003D0CB7">
        <w:rPr>
          <w:i/>
          <w:lang w:val="fr-CA"/>
        </w:rPr>
        <w:t xml:space="preserve"> des</w:t>
      </w:r>
      <w:r w:rsidR="00300C82" w:rsidRPr="003D0CB7">
        <w:rPr>
          <w:i/>
          <w:lang w:val="fr-CA"/>
        </w:rPr>
        <w:t xml:space="preserve"> Finance</w:t>
      </w:r>
      <w:r w:rsidR="00F54FF4" w:rsidRPr="003D0CB7">
        <w:rPr>
          <w:i/>
          <w:lang w:val="fr-CA"/>
        </w:rPr>
        <w:t>s</w:t>
      </w:r>
      <w:r w:rsidR="00300C82" w:rsidRPr="003D0CB7">
        <w:rPr>
          <w:i/>
          <w:lang w:val="fr-CA"/>
        </w:rPr>
        <w:t>) c. Ontario (</w:t>
      </w:r>
      <w:r w:rsidR="00F54FF4" w:rsidRPr="003D0CB7">
        <w:rPr>
          <w:i/>
          <w:lang w:val="fr-CA"/>
        </w:rPr>
        <w:t>Bureau du commissaire à l</w:t>
      </w:r>
      <w:r w:rsidR="009F7134" w:rsidRPr="003D0CB7">
        <w:rPr>
          <w:i/>
          <w:lang w:val="fr-CA"/>
        </w:rPr>
        <w:t>’</w:t>
      </w:r>
      <w:r w:rsidR="00F54FF4" w:rsidRPr="003D0CB7">
        <w:rPr>
          <w:i/>
          <w:lang w:val="fr-CA"/>
        </w:rPr>
        <w:t>i</w:t>
      </w:r>
      <w:r w:rsidR="00300C82" w:rsidRPr="003D0CB7">
        <w:rPr>
          <w:i/>
          <w:lang w:val="fr-CA"/>
        </w:rPr>
        <w:t xml:space="preserve">nformation </w:t>
      </w:r>
      <w:r w:rsidR="00F54FF4" w:rsidRPr="003D0CB7">
        <w:rPr>
          <w:i/>
          <w:lang w:val="fr-CA"/>
        </w:rPr>
        <w:t>et à la protection de la vie privée</w:t>
      </w:r>
      <w:r w:rsidR="00300C82" w:rsidRPr="003D0CB7">
        <w:rPr>
          <w:i/>
          <w:lang w:val="fr-CA"/>
        </w:rPr>
        <w:t>)</w:t>
      </w:r>
      <w:r w:rsidR="00300C82" w:rsidRPr="003D0CB7">
        <w:rPr>
          <w:lang w:val="fr-CA"/>
        </w:rPr>
        <w:t>, 2012 ONCA 125, 109 O.R. (3d) 7</w:t>
      </w:r>
      <w:r w:rsidR="00F54FF4" w:rsidRPr="003D0CB7">
        <w:rPr>
          <w:lang w:val="fr-CA"/>
        </w:rPr>
        <w:t>6</w:t>
      </w:r>
      <w:r w:rsidR="00300C82" w:rsidRPr="003D0CB7">
        <w:rPr>
          <w:lang w:val="fr-CA"/>
        </w:rPr>
        <w:t xml:space="preserve">7; </w:t>
      </w:r>
      <w:r w:rsidR="00300C82" w:rsidRPr="003D0CB7">
        <w:rPr>
          <w:i/>
          <w:lang w:val="fr-CA"/>
        </w:rPr>
        <w:t>Ontario (</w:t>
      </w:r>
      <w:proofErr w:type="spellStart"/>
      <w:r w:rsidR="00300C82" w:rsidRPr="003D0CB7">
        <w:rPr>
          <w:i/>
          <w:lang w:val="fr-CA"/>
        </w:rPr>
        <w:t>Minister</w:t>
      </w:r>
      <w:proofErr w:type="spellEnd"/>
      <w:r w:rsidR="00300C82" w:rsidRPr="003D0CB7">
        <w:rPr>
          <w:i/>
          <w:lang w:val="fr-CA"/>
        </w:rPr>
        <w:t xml:space="preserve"> of </w:t>
      </w:r>
      <w:proofErr w:type="spellStart"/>
      <w:r w:rsidR="00300C82" w:rsidRPr="003D0CB7">
        <w:rPr>
          <w:i/>
          <w:lang w:val="fr-CA"/>
        </w:rPr>
        <w:t>Health</w:t>
      </w:r>
      <w:proofErr w:type="spellEnd"/>
      <w:r w:rsidR="00300C82" w:rsidRPr="003D0CB7">
        <w:rPr>
          <w:i/>
          <w:lang w:val="fr-CA"/>
        </w:rPr>
        <w:t xml:space="preserve"> and Long</w:t>
      </w:r>
      <w:r w:rsidR="00F23967">
        <w:rPr>
          <w:i/>
          <w:lang w:val="fr-CA"/>
        </w:rPr>
        <w:t>-</w:t>
      </w:r>
      <w:proofErr w:type="spellStart"/>
      <w:r w:rsidR="00300C82" w:rsidRPr="003D0CB7">
        <w:rPr>
          <w:i/>
          <w:lang w:val="fr-CA"/>
        </w:rPr>
        <w:t>Term</w:t>
      </w:r>
      <w:proofErr w:type="spellEnd"/>
      <w:r w:rsidR="00300C82" w:rsidRPr="003D0CB7">
        <w:rPr>
          <w:i/>
          <w:lang w:val="fr-CA"/>
        </w:rPr>
        <w:t xml:space="preserve"> Care) c. Ontario (Assistant Information and </w:t>
      </w:r>
      <w:proofErr w:type="spellStart"/>
      <w:r w:rsidR="00300C82" w:rsidRPr="003D0CB7">
        <w:rPr>
          <w:i/>
          <w:lang w:val="fr-CA"/>
        </w:rPr>
        <w:t>Privacy</w:t>
      </w:r>
      <w:proofErr w:type="spellEnd"/>
      <w:r w:rsidR="00300C82" w:rsidRPr="003D0CB7">
        <w:rPr>
          <w:i/>
          <w:lang w:val="fr-CA"/>
        </w:rPr>
        <w:t xml:space="preserve"> </w:t>
      </w:r>
      <w:proofErr w:type="spellStart"/>
      <w:r w:rsidR="00300C82" w:rsidRPr="003D0CB7">
        <w:rPr>
          <w:i/>
          <w:lang w:val="fr-CA"/>
        </w:rPr>
        <w:t>Commissioner</w:t>
      </w:r>
      <w:proofErr w:type="spellEnd"/>
      <w:r w:rsidR="00300C82" w:rsidRPr="003D0CB7">
        <w:rPr>
          <w:i/>
          <w:lang w:val="fr-CA"/>
        </w:rPr>
        <w:t>)</w:t>
      </w:r>
      <w:r w:rsidR="00300C82" w:rsidRPr="003D0CB7">
        <w:rPr>
          <w:lang w:val="fr-CA"/>
        </w:rPr>
        <w:t xml:space="preserve"> (2004), 73 O.R. (3d) 321; </w:t>
      </w:r>
      <w:r w:rsidR="00300C82" w:rsidRPr="003D0CB7">
        <w:rPr>
          <w:i/>
          <w:lang w:val="fr-CA"/>
        </w:rPr>
        <w:t xml:space="preserve">Ontario (Attorney </w:t>
      </w:r>
      <w:r w:rsidR="00300C82" w:rsidRPr="003D0CB7">
        <w:rPr>
          <w:i/>
          <w:lang w:val="fr-CA"/>
        </w:rPr>
        <w:lastRenderedPageBreak/>
        <w:t>General) c. Pascoe</w:t>
      </w:r>
      <w:r w:rsidR="00300C82" w:rsidRPr="003D0CB7">
        <w:rPr>
          <w:lang w:val="fr-CA"/>
        </w:rPr>
        <w:t xml:space="preserve"> (2002), 166 O.A.C. 88; </w:t>
      </w:r>
      <w:proofErr w:type="spellStart"/>
      <w:r w:rsidR="00300C82" w:rsidRPr="003D0CB7">
        <w:rPr>
          <w:i/>
          <w:lang w:val="fr-CA"/>
        </w:rPr>
        <w:t>Dunsmuir</w:t>
      </w:r>
      <w:proofErr w:type="spellEnd"/>
      <w:r w:rsidR="00300C82" w:rsidRPr="003D0CB7">
        <w:rPr>
          <w:i/>
          <w:lang w:val="fr-CA"/>
        </w:rPr>
        <w:t xml:space="preserve"> c. Nouveau</w:t>
      </w:r>
      <w:r w:rsidR="00F23967">
        <w:rPr>
          <w:i/>
          <w:lang w:val="fr-CA"/>
        </w:rPr>
        <w:t>-</w:t>
      </w:r>
      <w:r w:rsidR="00300C82" w:rsidRPr="003D0CB7">
        <w:rPr>
          <w:i/>
          <w:lang w:val="fr-CA"/>
        </w:rPr>
        <w:t>Brunswick</w:t>
      </w:r>
      <w:r w:rsidR="00300C82" w:rsidRPr="003D0CB7">
        <w:rPr>
          <w:lang w:val="fr-CA"/>
        </w:rPr>
        <w:t xml:space="preserve">, 2008 CSC 9, [2008] 1 R.C.S. 190; </w:t>
      </w:r>
      <w:r w:rsidR="00300C82" w:rsidRPr="003D0CB7">
        <w:rPr>
          <w:i/>
          <w:lang w:val="fr-CA"/>
        </w:rPr>
        <w:t>Smith c. Alliance Pipeline Ltd.</w:t>
      </w:r>
      <w:r w:rsidR="00300C82" w:rsidRPr="003D0CB7">
        <w:rPr>
          <w:lang w:val="fr-CA"/>
        </w:rPr>
        <w:t>, 2011 CSC 7, [2011] 1 R.C.S. 160</w:t>
      </w:r>
      <w:r w:rsidR="006369A8" w:rsidRPr="003D0CB7">
        <w:rPr>
          <w:lang w:val="fr-CA"/>
        </w:rPr>
        <w:t xml:space="preserve">; </w:t>
      </w:r>
      <w:r w:rsidR="0087367B">
        <w:rPr>
          <w:lang w:val="fr-CA"/>
        </w:rPr>
        <w:t>ordonnance</w:t>
      </w:r>
      <w:r w:rsidR="006369A8" w:rsidRPr="003D0CB7">
        <w:rPr>
          <w:lang w:val="fr-CA"/>
        </w:rPr>
        <w:t xml:space="preserve"> PO</w:t>
      </w:r>
      <w:r w:rsidR="00F23967">
        <w:rPr>
          <w:lang w:val="fr-CA"/>
        </w:rPr>
        <w:t>-</w:t>
      </w:r>
      <w:r w:rsidR="006369A8" w:rsidRPr="003D0CB7">
        <w:rPr>
          <w:lang w:val="fr-CA"/>
        </w:rPr>
        <w:t xml:space="preserve">2518, 2006 </w:t>
      </w:r>
      <w:proofErr w:type="spellStart"/>
      <w:r w:rsidR="006369A8" w:rsidRPr="003D0CB7">
        <w:rPr>
          <w:lang w:val="fr-CA"/>
        </w:rPr>
        <w:t>CanLII</w:t>
      </w:r>
      <w:proofErr w:type="spellEnd"/>
      <w:r w:rsidR="006369A8" w:rsidRPr="003D0CB7">
        <w:rPr>
          <w:lang w:val="fr-CA"/>
        </w:rPr>
        <w:t xml:space="preserve"> 50861</w:t>
      </w:r>
      <w:r w:rsidR="00A00FB6" w:rsidRPr="003D0CB7">
        <w:rPr>
          <w:lang w:val="fr-CA"/>
        </w:rPr>
        <w:t xml:space="preserve">; </w:t>
      </w:r>
      <w:r w:rsidR="0087367B">
        <w:rPr>
          <w:lang w:val="fr-CA"/>
        </w:rPr>
        <w:t>ordonnance</w:t>
      </w:r>
      <w:r w:rsidR="00A00FB6" w:rsidRPr="003D0CB7">
        <w:rPr>
          <w:lang w:val="fr-CA"/>
        </w:rPr>
        <w:t xml:space="preserve"> PO</w:t>
      </w:r>
      <w:r w:rsidR="00F23967">
        <w:rPr>
          <w:lang w:val="fr-CA"/>
        </w:rPr>
        <w:t>-</w:t>
      </w:r>
      <w:r w:rsidR="00A00FB6" w:rsidRPr="003D0CB7">
        <w:rPr>
          <w:lang w:val="fr-CA"/>
        </w:rPr>
        <w:t xml:space="preserve">3157, 2013 </w:t>
      </w:r>
      <w:proofErr w:type="spellStart"/>
      <w:r w:rsidR="00A00FB6" w:rsidRPr="003D0CB7">
        <w:rPr>
          <w:lang w:val="fr-CA"/>
        </w:rPr>
        <w:t>CanLII</w:t>
      </w:r>
      <w:proofErr w:type="spellEnd"/>
      <w:r w:rsidR="00A00FB6" w:rsidRPr="003D0CB7">
        <w:rPr>
          <w:lang w:val="fr-CA"/>
        </w:rPr>
        <w:t xml:space="preserve"> 28809</w:t>
      </w:r>
      <w:r w:rsidR="006C0B90" w:rsidRPr="003D0CB7">
        <w:rPr>
          <w:lang w:val="fr-CA"/>
        </w:rPr>
        <w:t xml:space="preserve">; </w:t>
      </w:r>
      <w:proofErr w:type="spellStart"/>
      <w:r w:rsidR="006C0B90" w:rsidRPr="003D0CB7">
        <w:rPr>
          <w:i/>
          <w:lang w:val="fr-CA"/>
        </w:rPr>
        <w:t>Chesal</w:t>
      </w:r>
      <w:proofErr w:type="spellEnd"/>
      <w:r w:rsidR="006C0B90" w:rsidRPr="003D0CB7">
        <w:rPr>
          <w:i/>
          <w:lang w:val="fr-CA"/>
        </w:rPr>
        <w:t xml:space="preserve"> c. Nova </w:t>
      </w:r>
      <w:proofErr w:type="spellStart"/>
      <w:r w:rsidR="006C0B90" w:rsidRPr="003D0CB7">
        <w:rPr>
          <w:i/>
          <w:lang w:val="fr-CA"/>
        </w:rPr>
        <w:t>Scotia</w:t>
      </w:r>
      <w:proofErr w:type="spellEnd"/>
      <w:r w:rsidR="006C0B90" w:rsidRPr="003D0CB7">
        <w:rPr>
          <w:i/>
          <w:lang w:val="fr-CA"/>
        </w:rPr>
        <w:t xml:space="preserve"> (Attorney General)</w:t>
      </w:r>
      <w:r w:rsidR="006C0B90" w:rsidRPr="003D0CB7">
        <w:rPr>
          <w:lang w:val="fr-CA"/>
        </w:rPr>
        <w:t>, 2003 NSCA 124, 219 N.S.R. (2d) 139</w:t>
      </w:r>
      <w:r w:rsidR="003B127C" w:rsidRPr="003D0CB7">
        <w:rPr>
          <w:lang w:val="fr-CA"/>
        </w:rPr>
        <w:t xml:space="preserve">; </w:t>
      </w:r>
      <w:r w:rsidR="003B127C" w:rsidRPr="003D0CB7">
        <w:rPr>
          <w:i/>
          <w:lang w:val="fr-CA"/>
        </w:rPr>
        <w:t>F.H. c. McDougall</w:t>
      </w:r>
      <w:r w:rsidR="003B127C" w:rsidRPr="003D0CB7">
        <w:rPr>
          <w:lang w:val="fr-CA"/>
        </w:rPr>
        <w:t>, 2008 CSC 53, [2008] 3 R.C.S. 41</w:t>
      </w:r>
      <w:r w:rsidR="006D1CD4" w:rsidRPr="003D0CB7">
        <w:rPr>
          <w:lang w:val="fr-CA"/>
        </w:rPr>
        <w:t xml:space="preserve">; </w:t>
      </w:r>
      <w:r w:rsidR="006D1CD4" w:rsidRPr="003D0CB7">
        <w:rPr>
          <w:i/>
          <w:lang w:val="fr-CA"/>
        </w:rPr>
        <w:t>Canada (Commissaire à l</w:t>
      </w:r>
      <w:r w:rsidR="009F7134" w:rsidRPr="003D0CB7">
        <w:rPr>
          <w:i/>
          <w:lang w:val="fr-CA"/>
        </w:rPr>
        <w:t>’</w:t>
      </w:r>
      <w:r w:rsidR="006D1CD4" w:rsidRPr="003D0CB7">
        <w:rPr>
          <w:i/>
          <w:lang w:val="fr-CA"/>
        </w:rPr>
        <w:t>information) c. Canada (Commissaire de la Gendarmerie royale du Canada)</w:t>
      </w:r>
      <w:r w:rsidR="006D1CD4" w:rsidRPr="003D0CB7">
        <w:rPr>
          <w:lang w:val="fr-CA"/>
        </w:rPr>
        <w:t>, 2003 CSC 8, [2003] 1 R.C.S. 66</w:t>
      </w:r>
      <w:r w:rsidR="009E0386" w:rsidRPr="003D0CB7">
        <w:rPr>
          <w:lang w:val="fr-CA"/>
        </w:rPr>
        <w:t>.</w:t>
      </w:r>
    </w:p>
    <w:p w:rsidR="004D7D95" w:rsidRPr="003D0CB7" w:rsidRDefault="004D7D95" w:rsidP="00021119">
      <w:pPr>
        <w:pStyle w:val="SCCNormalDoubleSpacing"/>
        <w:spacing w:after="720" w:line="240" w:lineRule="auto"/>
        <w:rPr>
          <w:b/>
          <w:lang w:val="fr-CA"/>
        </w:rPr>
      </w:pPr>
      <w:r w:rsidRPr="003D0CB7">
        <w:rPr>
          <w:b/>
          <w:lang w:val="fr-CA"/>
        </w:rPr>
        <w:t>Lois et règlements cités</w:t>
      </w:r>
    </w:p>
    <w:p w:rsidR="00C267D5" w:rsidRPr="003D0CB7" w:rsidRDefault="004C76CA" w:rsidP="00021119">
      <w:pPr>
        <w:pStyle w:val="SCCNormalDoubleSpacing"/>
        <w:spacing w:after="240" w:line="240" w:lineRule="auto"/>
        <w:ind w:left="540" w:hanging="540"/>
        <w:rPr>
          <w:lang w:val="fr-CA"/>
        </w:rPr>
      </w:pPr>
      <w:r w:rsidRPr="003D0CB7">
        <w:rPr>
          <w:i/>
          <w:lang w:val="fr-CA"/>
        </w:rPr>
        <w:t>Charte canadienne des droits et libertés</w:t>
      </w:r>
      <w:r w:rsidRPr="003D0CB7">
        <w:rPr>
          <w:lang w:val="fr-CA"/>
        </w:rPr>
        <w:t xml:space="preserve">, </w:t>
      </w:r>
      <w:r w:rsidR="00AA4099" w:rsidRPr="003D0CB7">
        <w:rPr>
          <w:lang w:val="fr-CA"/>
        </w:rPr>
        <w:t>art.</w:t>
      </w:r>
      <w:r w:rsidR="00F23967">
        <w:rPr>
          <w:lang w:val="fr-CA"/>
        </w:rPr>
        <w:t xml:space="preserve"> </w:t>
      </w:r>
      <w:r w:rsidRPr="003D0CB7">
        <w:rPr>
          <w:lang w:val="fr-CA"/>
        </w:rPr>
        <w:t>1.</w:t>
      </w:r>
    </w:p>
    <w:p w:rsidR="00E6660D" w:rsidRPr="003D0CB7" w:rsidRDefault="00E6660D" w:rsidP="00021119">
      <w:pPr>
        <w:pStyle w:val="SCCNormalDoubleSpacing"/>
        <w:spacing w:after="240" w:line="240" w:lineRule="auto"/>
        <w:ind w:left="540" w:hanging="540"/>
        <w:rPr>
          <w:lang w:val="fr-CA"/>
        </w:rPr>
      </w:pPr>
      <w:r w:rsidRPr="003D0CB7">
        <w:rPr>
          <w:i/>
          <w:lang w:val="fr-CA"/>
        </w:rPr>
        <w:t>Loi Christopher de 2000 sur le registre des délinquants sexuels</w:t>
      </w:r>
      <w:r w:rsidRPr="003D0CB7">
        <w:rPr>
          <w:lang w:val="fr-CA"/>
        </w:rPr>
        <w:t xml:space="preserve">, L.O. 2000, </w:t>
      </w:r>
      <w:r w:rsidR="00AA4099" w:rsidRPr="003D0CB7">
        <w:rPr>
          <w:lang w:val="fr-CA"/>
        </w:rPr>
        <w:t>ch.</w:t>
      </w:r>
      <w:r w:rsidR="00F23967">
        <w:rPr>
          <w:lang w:val="fr-CA"/>
        </w:rPr>
        <w:t xml:space="preserve"> </w:t>
      </w:r>
      <w:r w:rsidRPr="003D0CB7">
        <w:rPr>
          <w:lang w:val="fr-CA"/>
        </w:rPr>
        <w:t>1</w:t>
      </w:r>
      <w:r w:rsidR="007B368E" w:rsidRPr="003D0CB7">
        <w:rPr>
          <w:lang w:val="fr-CA"/>
        </w:rPr>
        <w:t>, préambule</w:t>
      </w:r>
      <w:r w:rsidR="00A85B0B" w:rsidRPr="003D0CB7">
        <w:rPr>
          <w:lang w:val="fr-CA"/>
        </w:rPr>
        <w:t xml:space="preserve">, </w:t>
      </w:r>
      <w:r w:rsidR="00AA4099" w:rsidRPr="003D0CB7">
        <w:rPr>
          <w:lang w:val="fr-CA"/>
        </w:rPr>
        <w:t>art.</w:t>
      </w:r>
      <w:r w:rsidR="00F23967">
        <w:rPr>
          <w:lang w:val="fr-CA"/>
        </w:rPr>
        <w:t xml:space="preserve"> </w:t>
      </w:r>
      <w:r w:rsidR="00A85B0B" w:rsidRPr="003D0CB7">
        <w:rPr>
          <w:lang w:val="fr-CA"/>
        </w:rPr>
        <w:t>2</w:t>
      </w:r>
      <w:r w:rsidR="006A206D" w:rsidRPr="003D0CB7">
        <w:rPr>
          <w:lang w:val="fr-CA"/>
        </w:rPr>
        <w:t>, 3</w:t>
      </w:r>
      <w:r w:rsidR="000247B2" w:rsidRPr="003D0CB7">
        <w:rPr>
          <w:lang w:val="fr-CA"/>
        </w:rPr>
        <w:t xml:space="preserve">, </w:t>
      </w:r>
      <w:r w:rsidR="00CB7742" w:rsidRPr="003D0CB7">
        <w:rPr>
          <w:lang w:val="fr-CA"/>
        </w:rPr>
        <w:t xml:space="preserve">10, </w:t>
      </w:r>
      <w:r w:rsidR="000247B2" w:rsidRPr="003D0CB7">
        <w:rPr>
          <w:lang w:val="fr-CA"/>
        </w:rPr>
        <w:t>11(1)</w:t>
      </w:r>
      <w:r w:rsidR="00514266" w:rsidRPr="003D0CB7">
        <w:rPr>
          <w:lang w:val="fr-CA"/>
        </w:rPr>
        <w:t>, (2), 13</w:t>
      </w:r>
      <w:r w:rsidRPr="003D0CB7">
        <w:rPr>
          <w:lang w:val="fr-CA"/>
        </w:rPr>
        <w:t>.</w:t>
      </w:r>
    </w:p>
    <w:p w:rsidR="006A709A" w:rsidRPr="003D0CB7" w:rsidRDefault="006A709A" w:rsidP="00021119">
      <w:pPr>
        <w:pStyle w:val="SCCNormalDoubleSpacing"/>
        <w:spacing w:after="240" w:line="240" w:lineRule="auto"/>
        <w:ind w:left="540" w:hanging="540"/>
        <w:rPr>
          <w:lang w:val="fr-CA"/>
        </w:rPr>
      </w:pPr>
      <w:r w:rsidRPr="003D0CB7">
        <w:rPr>
          <w:i/>
          <w:lang w:val="fr-CA"/>
        </w:rPr>
        <w:t>Loi de 1994 sur l</w:t>
      </w:r>
      <w:r w:rsidR="009F7134" w:rsidRPr="003D0CB7">
        <w:rPr>
          <w:i/>
          <w:lang w:val="fr-CA"/>
        </w:rPr>
        <w:t>’</w:t>
      </w:r>
      <w:r w:rsidRPr="003D0CB7">
        <w:rPr>
          <w:i/>
          <w:lang w:val="fr-CA"/>
        </w:rPr>
        <w:t>intégrité des députés</w:t>
      </w:r>
      <w:r w:rsidRPr="003D0CB7">
        <w:rPr>
          <w:lang w:val="fr-CA"/>
        </w:rPr>
        <w:t xml:space="preserve">, L.O. 1994, </w:t>
      </w:r>
      <w:r w:rsidR="00AA4099" w:rsidRPr="003D0CB7">
        <w:rPr>
          <w:lang w:val="fr-CA"/>
        </w:rPr>
        <w:t>ch.</w:t>
      </w:r>
      <w:r w:rsidR="00F23967">
        <w:rPr>
          <w:lang w:val="fr-CA"/>
        </w:rPr>
        <w:t xml:space="preserve"> </w:t>
      </w:r>
      <w:r w:rsidRPr="003D0CB7">
        <w:rPr>
          <w:lang w:val="fr-CA"/>
        </w:rPr>
        <w:t xml:space="preserve">38, </w:t>
      </w:r>
      <w:r w:rsidR="00AA4099" w:rsidRPr="003D0CB7">
        <w:rPr>
          <w:lang w:val="fr-CA"/>
        </w:rPr>
        <w:t>art.</w:t>
      </w:r>
      <w:r w:rsidR="00F23967">
        <w:rPr>
          <w:lang w:val="fr-CA"/>
        </w:rPr>
        <w:t xml:space="preserve"> </w:t>
      </w:r>
      <w:r w:rsidRPr="003D0CB7">
        <w:rPr>
          <w:lang w:val="fr-CA"/>
        </w:rPr>
        <w:t>29(2).</w:t>
      </w:r>
    </w:p>
    <w:p w:rsidR="00C9593F" w:rsidRPr="003D0CB7" w:rsidRDefault="00C9593F" w:rsidP="00021119">
      <w:pPr>
        <w:pStyle w:val="SCCNormalDoubleSpacing"/>
        <w:spacing w:after="240" w:line="240" w:lineRule="auto"/>
        <w:ind w:left="540" w:hanging="540"/>
        <w:rPr>
          <w:lang w:val="fr-CA"/>
        </w:rPr>
      </w:pPr>
      <w:r w:rsidRPr="003D0CB7">
        <w:rPr>
          <w:i/>
          <w:lang w:val="fr-CA"/>
        </w:rPr>
        <w:t xml:space="preserve">Loi de 1997 sur le </w:t>
      </w:r>
      <w:r w:rsidR="00785595">
        <w:rPr>
          <w:i/>
          <w:lang w:val="fr-CA"/>
        </w:rPr>
        <w:t>P</w:t>
      </w:r>
      <w:r w:rsidRPr="003D0CB7">
        <w:rPr>
          <w:i/>
          <w:lang w:val="fr-CA"/>
        </w:rPr>
        <w:t>rogramme ontarien de soutien aux personnes handicapées</w:t>
      </w:r>
      <w:r w:rsidRPr="003D0CB7">
        <w:rPr>
          <w:lang w:val="fr-CA"/>
        </w:rPr>
        <w:t xml:space="preserve">, L.O. 1997, </w:t>
      </w:r>
      <w:r w:rsidR="00AA4099" w:rsidRPr="003D0CB7">
        <w:rPr>
          <w:lang w:val="fr-CA"/>
        </w:rPr>
        <w:t>ch.</w:t>
      </w:r>
      <w:r w:rsidR="00F23967">
        <w:rPr>
          <w:lang w:val="fr-CA"/>
        </w:rPr>
        <w:t xml:space="preserve"> </w:t>
      </w:r>
      <w:r w:rsidRPr="003D0CB7">
        <w:rPr>
          <w:lang w:val="fr-CA"/>
        </w:rPr>
        <w:t xml:space="preserve">25, </w:t>
      </w:r>
      <w:proofErr w:type="spellStart"/>
      <w:r w:rsidRPr="003D0CB7">
        <w:rPr>
          <w:lang w:val="fr-CA"/>
        </w:rPr>
        <w:t>ann</w:t>
      </w:r>
      <w:proofErr w:type="spellEnd"/>
      <w:r w:rsidRPr="003D0CB7">
        <w:rPr>
          <w:lang w:val="fr-CA"/>
        </w:rPr>
        <w:t xml:space="preserve">. B, </w:t>
      </w:r>
      <w:r w:rsidR="00AA4099" w:rsidRPr="003D0CB7">
        <w:rPr>
          <w:lang w:val="fr-CA"/>
        </w:rPr>
        <w:t>art.</w:t>
      </w:r>
      <w:r w:rsidR="00F23967">
        <w:rPr>
          <w:lang w:val="fr-CA"/>
        </w:rPr>
        <w:t xml:space="preserve"> </w:t>
      </w:r>
      <w:r w:rsidRPr="003D0CB7">
        <w:rPr>
          <w:lang w:val="fr-CA"/>
        </w:rPr>
        <w:t>56(9).</w:t>
      </w:r>
    </w:p>
    <w:p w:rsidR="00C21906" w:rsidRPr="003D0CB7" w:rsidRDefault="00C21906" w:rsidP="00021119">
      <w:pPr>
        <w:pStyle w:val="SCCNormalDoubleSpacing"/>
        <w:spacing w:after="240" w:line="240" w:lineRule="auto"/>
        <w:ind w:left="540" w:hanging="540"/>
        <w:rPr>
          <w:lang w:val="fr-CA"/>
        </w:rPr>
      </w:pPr>
      <w:r w:rsidRPr="003D0CB7">
        <w:rPr>
          <w:i/>
          <w:lang w:val="fr-CA"/>
        </w:rPr>
        <w:t>Loi de 1997 sur le programme Ontario au travail</w:t>
      </w:r>
      <w:r w:rsidRPr="003D0CB7">
        <w:rPr>
          <w:lang w:val="fr-CA"/>
        </w:rPr>
        <w:t xml:space="preserve">, L.O. 1997, </w:t>
      </w:r>
      <w:r w:rsidR="00AA4099" w:rsidRPr="003D0CB7">
        <w:rPr>
          <w:lang w:val="fr-CA"/>
        </w:rPr>
        <w:t>ch.</w:t>
      </w:r>
      <w:r w:rsidR="00F23967">
        <w:rPr>
          <w:lang w:val="fr-CA"/>
        </w:rPr>
        <w:t xml:space="preserve"> </w:t>
      </w:r>
      <w:r w:rsidRPr="003D0CB7">
        <w:rPr>
          <w:lang w:val="fr-CA"/>
        </w:rPr>
        <w:t xml:space="preserve">25, </w:t>
      </w:r>
      <w:proofErr w:type="spellStart"/>
      <w:r w:rsidRPr="003D0CB7">
        <w:rPr>
          <w:lang w:val="fr-CA"/>
        </w:rPr>
        <w:t>ann</w:t>
      </w:r>
      <w:proofErr w:type="spellEnd"/>
      <w:r w:rsidRPr="003D0CB7">
        <w:rPr>
          <w:lang w:val="fr-CA"/>
        </w:rPr>
        <w:t xml:space="preserve">. A, </w:t>
      </w:r>
      <w:r w:rsidR="00AA4099" w:rsidRPr="003D0CB7">
        <w:rPr>
          <w:lang w:val="fr-CA"/>
        </w:rPr>
        <w:t>art.</w:t>
      </w:r>
      <w:r w:rsidR="00F23967">
        <w:rPr>
          <w:lang w:val="fr-CA"/>
        </w:rPr>
        <w:t xml:space="preserve"> </w:t>
      </w:r>
      <w:r w:rsidRPr="003D0CB7">
        <w:rPr>
          <w:lang w:val="fr-CA"/>
        </w:rPr>
        <w:t>75(9).</w:t>
      </w:r>
    </w:p>
    <w:p w:rsidR="000F4CF4" w:rsidRPr="003D0CB7" w:rsidRDefault="000F4CF4" w:rsidP="00021119">
      <w:pPr>
        <w:pStyle w:val="SCCNormalDoubleSpacing"/>
        <w:widowControl w:val="0"/>
        <w:spacing w:after="240" w:line="240" w:lineRule="auto"/>
        <w:rPr>
          <w:lang w:val="fr-CA"/>
        </w:rPr>
      </w:pPr>
      <w:r w:rsidRPr="003D0CB7">
        <w:rPr>
          <w:i/>
          <w:lang w:val="fr-CA"/>
        </w:rPr>
        <w:t>Loi sur l</w:t>
      </w:r>
      <w:r w:rsidR="009F7134" w:rsidRPr="003D0CB7">
        <w:rPr>
          <w:i/>
          <w:lang w:val="fr-CA"/>
        </w:rPr>
        <w:t>’</w:t>
      </w:r>
      <w:r w:rsidRPr="003D0CB7">
        <w:rPr>
          <w:i/>
          <w:lang w:val="fr-CA"/>
        </w:rPr>
        <w:t>accès à l</w:t>
      </w:r>
      <w:r w:rsidR="009F7134" w:rsidRPr="003D0CB7">
        <w:rPr>
          <w:i/>
          <w:lang w:val="fr-CA"/>
        </w:rPr>
        <w:t>’</w:t>
      </w:r>
      <w:r w:rsidRPr="003D0CB7">
        <w:rPr>
          <w:i/>
          <w:lang w:val="fr-CA"/>
        </w:rPr>
        <w:t>information</w:t>
      </w:r>
      <w:r w:rsidRPr="003D0CB7">
        <w:rPr>
          <w:lang w:val="fr-CA"/>
        </w:rPr>
        <w:t xml:space="preserve">, L.R.C. 1985, </w:t>
      </w:r>
      <w:r w:rsidR="00AA4099" w:rsidRPr="003D0CB7">
        <w:rPr>
          <w:lang w:val="fr-CA"/>
        </w:rPr>
        <w:t>ch.</w:t>
      </w:r>
      <w:r w:rsidR="00F23967">
        <w:rPr>
          <w:lang w:val="fr-CA"/>
        </w:rPr>
        <w:t xml:space="preserve"> </w:t>
      </w:r>
      <w:r w:rsidRPr="003D0CB7">
        <w:rPr>
          <w:lang w:val="fr-CA"/>
        </w:rPr>
        <w:t>A</w:t>
      </w:r>
      <w:r w:rsidR="00F23967">
        <w:rPr>
          <w:lang w:val="fr-CA"/>
        </w:rPr>
        <w:t>-</w:t>
      </w:r>
      <w:r w:rsidRPr="003D0CB7">
        <w:rPr>
          <w:lang w:val="fr-CA"/>
        </w:rPr>
        <w:t xml:space="preserve">1, </w:t>
      </w:r>
      <w:r w:rsidR="00AA4099" w:rsidRPr="003D0CB7">
        <w:rPr>
          <w:lang w:val="fr-CA"/>
        </w:rPr>
        <w:t>art.</w:t>
      </w:r>
      <w:r w:rsidR="00F23967">
        <w:rPr>
          <w:lang w:val="fr-CA"/>
        </w:rPr>
        <w:t xml:space="preserve"> </w:t>
      </w:r>
      <w:r w:rsidRPr="003D0CB7">
        <w:rPr>
          <w:lang w:val="fr-CA"/>
        </w:rPr>
        <w:t>20(1)</w:t>
      </w:r>
      <w:r w:rsidRPr="003D0CB7">
        <w:rPr>
          <w:i/>
          <w:lang w:val="fr-CA"/>
        </w:rPr>
        <w:t>c</w:t>
      </w:r>
      <w:r w:rsidRPr="003D0CB7">
        <w:rPr>
          <w:lang w:val="fr-CA"/>
        </w:rPr>
        <w:t>).</w:t>
      </w:r>
    </w:p>
    <w:p w:rsidR="004D7D95" w:rsidRPr="003D0CB7" w:rsidRDefault="00C267D5" w:rsidP="00021119">
      <w:pPr>
        <w:pStyle w:val="SCCNormalDoubleSpacing"/>
        <w:spacing w:after="240" w:line="240" w:lineRule="auto"/>
        <w:ind w:left="540" w:hanging="540"/>
        <w:rPr>
          <w:lang w:val="fr-CA"/>
        </w:rPr>
      </w:pPr>
      <w:r w:rsidRPr="003D0CB7">
        <w:rPr>
          <w:i/>
          <w:lang w:val="fr-CA"/>
        </w:rPr>
        <w:t>Loi sur l</w:t>
      </w:r>
      <w:r w:rsidR="009F7134" w:rsidRPr="003D0CB7">
        <w:rPr>
          <w:i/>
          <w:lang w:val="fr-CA"/>
        </w:rPr>
        <w:t>’</w:t>
      </w:r>
      <w:r w:rsidRPr="003D0CB7">
        <w:rPr>
          <w:i/>
          <w:lang w:val="fr-CA"/>
        </w:rPr>
        <w:t>accès à l</w:t>
      </w:r>
      <w:r w:rsidR="009F7134" w:rsidRPr="003D0CB7">
        <w:rPr>
          <w:i/>
          <w:lang w:val="fr-CA"/>
        </w:rPr>
        <w:t>’</w:t>
      </w:r>
      <w:r w:rsidRPr="003D0CB7">
        <w:rPr>
          <w:i/>
          <w:lang w:val="fr-CA"/>
        </w:rPr>
        <w:t>information et la protection de la vie privée</w:t>
      </w:r>
      <w:r w:rsidRPr="003D0CB7">
        <w:rPr>
          <w:lang w:val="fr-CA"/>
        </w:rPr>
        <w:t xml:space="preserve">, L.R.O. 1990, </w:t>
      </w:r>
      <w:r w:rsidR="00AA4099" w:rsidRPr="003D0CB7">
        <w:rPr>
          <w:lang w:val="fr-CA"/>
        </w:rPr>
        <w:t>ch.</w:t>
      </w:r>
      <w:r w:rsidR="00F23967">
        <w:rPr>
          <w:lang w:val="fr-CA"/>
        </w:rPr>
        <w:t xml:space="preserve"> </w:t>
      </w:r>
      <w:r w:rsidRPr="003D0CB7">
        <w:rPr>
          <w:lang w:val="fr-CA"/>
        </w:rPr>
        <w:t>F.31</w:t>
      </w:r>
      <w:r w:rsidR="00F23EE2" w:rsidRPr="003D0CB7">
        <w:rPr>
          <w:lang w:val="fr-CA"/>
        </w:rPr>
        <w:t xml:space="preserve">, </w:t>
      </w:r>
      <w:r w:rsidR="00AA4099" w:rsidRPr="003D0CB7">
        <w:rPr>
          <w:lang w:val="fr-CA"/>
        </w:rPr>
        <w:t>art.</w:t>
      </w:r>
      <w:r w:rsidR="00F23967">
        <w:rPr>
          <w:lang w:val="fr-CA"/>
        </w:rPr>
        <w:t xml:space="preserve"> </w:t>
      </w:r>
      <w:r w:rsidR="00D51F78" w:rsidRPr="003D0CB7">
        <w:rPr>
          <w:lang w:val="fr-CA"/>
        </w:rPr>
        <w:t xml:space="preserve">2(1) </w:t>
      </w:r>
      <w:r w:rsidR="00E3692F" w:rsidRPr="003D0CB7">
        <w:rPr>
          <w:lang w:val="fr-CA"/>
        </w:rPr>
        <w:t>«</w:t>
      </w:r>
      <w:r w:rsidR="00E3692F">
        <w:rPr>
          <w:iCs/>
          <w:lang w:val="fr-CA"/>
        </w:rPr>
        <w:t> </w:t>
      </w:r>
      <w:r w:rsidR="00D51F78" w:rsidRPr="003D0CB7">
        <w:rPr>
          <w:lang w:val="fr-CA"/>
        </w:rPr>
        <w:t>renseignements personnels</w:t>
      </w:r>
      <w:r w:rsidR="00E3692F">
        <w:rPr>
          <w:iCs/>
          <w:lang w:val="fr-CA"/>
        </w:rPr>
        <w:t> </w:t>
      </w:r>
      <w:r w:rsidR="00E3692F" w:rsidRPr="003D0CB7">
        <w:rPr>
          <w:lang w:val="fr-CA"/>
        </w:rPr>
        <w:t>»</w:t>
      </w:r>
      <w:r w:rsidR="00D51F78" w:rsidRPr="003D0CB7">
        <w:rPr>
          <w:lang w:val="fr-CA"/>
        </w:rPr>
        <w:t xml:space="preserve">, </w:t>
      </w:r>
      <w:r w:rsidR="006A27D6" w:rsidRPr="003D0CB7">
        <w:rPr>
          <w:lang w:val="fr-CA"/>
        </w:rPr>
        <w:t>partie</w:t>
      </w:r>
      <w:r w:rsidR="00F23967">
        <w:rPr>
          <w:lang w:val="fr-CA"/>
        </w:rPr>
        <w:t xml:space="preserve"> </w:t>
      </w:r>
      <w:r w:rsidR="00CD40CA" w:rsidRPr="003D0CB7">
        <w:rPr>
          <w:lang w:val="fr-CA"/>
        </w:rPr>
        <w:t xml:space="preserve">II, </w:t>
      </w:r>
      <w:r w:rsidR="00C91487" w:rsidRPr="003D0CB7">
        <w:rPr>
          <w:lang w:val="fr-CA"/>
        </w:rPr>
        <w:t>10</w:t>
      </w:r>
      <w:r w:rsidR="00F23EE2" w:rsidRPr="003D0CB7">
        <w:rPr>
          <w:lang w:val="fr-CA"/>
        </w:rPr>
        <w:t>, 12 à 22</w:t>
      </w:r>
      <w:r w:rsidR="003B6BD8" w:rsidRPr="003D0CB7">
        <w:rPr>
          <w:lang w:val="fr-CA"/>
        </w:rPr>
        <w:t>,</w:t>
      </w:r>
      <w:r w:rsidR="00DD152A" w:rsidRPr="003D0CB7">
        <w:rPr>
          <w:lang w:val="fr-CA"/>
        </w:rPr>
        <w:t xml:space="preserve"> partie III,</w:t>
      </w:r>
      <w:r w:rsidR="003B6BD8" w:rsidRPr="003D0CB7">
        <w:rPr>
          <w:lang w:val="fr-CA"/>
        </w:rPr>
        <w:t xml:space="preserve"> </w:t>
      </w:r>
      <w:r w:rsidR="00A46484" w:rsidRPr="003D0CB7">
        <w:rPr>
          <w:lang w:val="fr-CA"/>
        </w:rPr>
        <w:t xml:space="preserve">39(2), </w:t>
      </w:r>
      <w:r w:rsidR="003B6BD8" w:rsidRPr="003D0CB7">
        <w:rPr>
          <w:lang w:val="fr-CA"/>
        </w:rPr>
        <w:t>42(1)e)</w:t>
      </w:r>
      <w:r w:rsidR="001E7A01" w:rsidRPr="003D0CB7">
        <w:rPr>
          <w:lang w:val="fr-CA"/>
        </w:rPr>
        <w:t>, 67</w:t>
      </w:r>
      <w:r w:rsidRPr="003D0CB7">
        <w:rPr>
          <w:lang w:val="fr-CA"/>
        </w:rPr>
        <w:t>.</w:t>
      </w:r>
    </w:p>
    <w:p w:rsidR="001E03A1" w:rsidRPr="003D0CB7" w:rsidRDefault="001E03A1" w:rsidP="00021119">
      <w:pPr>
        <w:pStyle w:val="SCCNormalDoubleSpacing"/>
        <w:spacing w:after="240" w:line="240" w:lineRule="auto"/>
        <w:ind w:left="540" w:hanging="540"/>
        <w:rPr>
          <w:lang w:val="fr-CA"/>
        </w:rPr>
      </w:pPr>
      <w:r w:rsidRPr="003D0CB7">
        <w:rPr>
          <w:i/>
          <w:lang w:val="fr-CA"/>
        </w:rPr>
        <w:t>Loi sur les mines</w:t>
      </w:r>
      <w:r w:rsidRPr="003D0CB7">
        <w:rPr>
          <w:lang w:val="fr-CA"/>
        </w:rPr>
        <w:t xml:space="preserve">, L.R.O. 1990, </w:t>
      </w:r>
      <w:r w:rsidR="00AA4099" w:rsidRPr="003D0CB7">
        <w:rPr>
          <w:lang w:val="fr-CA"/>
        </w:rPr>
        <w:t>ch.</w:t>
      </w:r>
      <w:r w:rsidR="00F23967">
        <w:rPr>
          <w:lang w:val="fr-CA"/>
        </w:rPr>
        <w:t xml:space="preserve"> </w:t>
      </w:r>
      <w:r w:rsidRPr="003D0CB7">
        <w:rPr>
          <w:lang w:val="fr-CA"/>
        </w:rPr>
        <w:t xml:space="preserve">M.14, </w:t>
      </w:r>
      <w:r w:rsidR="00AA4099" w:rsidRPr="003D0CB7">
        <w:rPr>
          <w:lang w:val="fr-CA"/>
        </w:rPr>
        <w:t>art.</w:t>
      </w:r>
      <w:r w:rsidR="00F23967">
        <w:rPr>
          <w:lang w:val="fr-CA"/>
        </w:rPr>
        <w:t xml:space="preserve"> </w:t>
      </w:r>
      <w:r w:rsidRPr="003D0CB7">
        <w:rPr>
          <w:lang w:val="fr-CA"/>
        </w:rPr>
        <w:t>145(11).</w:t>
      </w:r>
    </w:p>
    <w:p w:rsidR="00221BD4" w:rsidRPr="003D0CB7" w:rsidRDefault="00221BD4" w:rsidP="00021119">
      <w:pPr>
        <w:pStyle w:val="SCCNormalDoubleSpacing"/>
        <w:spacing w:after="240" w:line="240" w:lineRule="auto"/>
        <w:ind w:left="540" w:hanging="540"/>
        <w:rPr>
          <w:lang w:val="fr-CA"/>
        </w:rPr>
      </w:pPr>
      <w:r w:rsidRPr="003D0CB7">
        <w:rPr>
          <w:i/>
          <w:lang w:val="fr-CA"/>
        </w:rPr>
        <w:t>Loi sur les services policiers</w:t>
      </w:r>
      <w:r w:rsidRPr="003D0CB7">
        <w:rPr>
          <w:lang w:val="fr-CA"/>
        </w:rPr>
        <w:t xml:space="preserve">, L.R.O. 1990, </w:t>
      </w:r>
      <w:r w:rsidR="00AA4099" w:rsidRPr="003D0CB7">
        <w:rPr>
          <w:lang w:val="fr-CA"/>
        </w:rPr>
        <w:t>ch.</w:t>
      </w:r>
      <w:r w:rsidR="00F23967">
        <w:rPr>
          <w:lang w:val="fr-CA"/>
        </w:rPr>
        <w:t xml:space="preserve"> </w:t>
      </w:r>
      <w:r w:rsidRPr="003D0CB7">
        <w:rPr>
          <w:lang w:val="fr-CA"/>
        </w:rPr>
        <w:t>P.15</w:t>
      </w:r>
      <w:r w:rsidR="001D503D" w:rsidRPr="003D0CB7">
        <w:rPr>
          <w:lang w:val="fr-CA"/>
        </w:rPr>
        <w:t xml:space="preserve">, </w:t>
      </w:r>
      <w:r w:rsidR="00AA4099" w:rsidRPr="003D0CB7">
        <w:rPr>
          <w:lang w:val="fr-CA"/>
        </w:rPr>
        <w:t>art.</w:t>
      </w:r>
      <w:r w:rsidR="00F23967">
        <w:rPr>
          <w:lang w:val="fr-CA"/>
        </w:rPr>
        <w:t xml:space="preserve"> </w:t>
      </w:r>
      <w:r w:rsidR="001D503D" w:rsidRPr="003D0CB7">
        <w:rPr>
          <w:lang w:val="fr-CA"/>
        </w:rPr>
        <w:t>41(1.1)</w:t>
      </w:r>
      <w:r w:rsidR="001C138E">
        <w:rPr>
          <w:lang w:val="fr-CA"/>
        </w:rPr>
        <w:t>, (1.2)</w:t>
      </w:r>
      <w:r w:rsidRPr="003D0CB7">
        <w:rPr>
          <w:lang w:val="fr-CA"/>
        </w:rPr>
        <w:t>.</w:t>
      </w:r>
    </w:p>
    <w:p w:rsidR="0047470C" w:rsidRPr="003D0CB7" w:rsidRDefault="0047470C" w:rsidP="00021119">
      <w:pPr>
        <w:pStyle w:val="SCCNormalDoubleSpacing"/>
        <w:spacing w:after="240" w:line="240" w:lineRule="auto"/>
        <w:ind w:left="540" w:hanging="540"/>
        <w:rPr>
          <w:lang w:val="fr-CA"/>
        </w:rPr>
      </w:pPr>
      <w:proofErr w:type="spellStart"/>
      <w:r w:rsidRPr="003D0CB7">
        <w:rPr>
          <w:lang w:val="fr-CA"/>
        </w:rPr>
        <w:t>Règl</w:t>
      </w:r>
      <w:proofErr w:type="spellEnd"/>
      <w:r w:rsidRPr="003D0CB7">
        <w:rPr>
          <w:lang w:val="fr-CA"/>
        </w:rPr>
        <w:t xml:space="preserve">. </w:t>
      </w:r>
      <w:proofErr w:type="gramStart"/>
      <w:r w:rsidRPr="003D0CB7">
        <w:rPr>
          <w:lang w:val="fr-CA"/>
        </w:rPr>
        <w:t>de</w:t>
      </w:r>
      <w:proofErr w:type="gramEnd"/>
      <w:r w:rsidRPr="003D0CB7">
        <w:rPr>
          <w:lang w:val="fr-CA"/>
        </w:rPr>
        <w:t xml:space="preserve"> l</w:t>
      </w:r>
      <w:r w:rsidR="009F7134" w:rsidRPr="003D0CB7">
        <w:rPr>
          <w:lang w:val="fr-CA"/>
        </w:rPr>
        <w:t>’</w:t>
      </w:r>
      <w:r w:rsidRPr="003D0CB7">
        <w:rPr>
          <w:lang w:val="fr-CA"/>
        </w:rPr>
        <w:t xml:space="preserve">Ont. 69/01, </w:t>
      </w:r>
      <w:r w:rsidR="00AA4099" w:rsidRPr="003D0CB7">
        <w:rPr>
          <w:lang w:val="fr-CA"/>
        </w:rPr>
        <w:t>art.</w:t>
      </w:r>
      <w:r w:rsidR="00F23967">
        <w:rPr>
          <w:lang w:val="fr-CA"/>
        </w:rPr>
        <w:t xml:space="preserve"> </w:t>
      </w:r>
      <w:r w:rsidRPr="003D0CB7">
        <w:rPr>
          <w:lang w:val="fr-CA"/>
        </w:rPr>
        <w:t>2(1).</w:t>
      </w:r>
    </w:p>
    <w:p w:rsidR="00C267D5" w:rsidRPr="003D0CB7" w:rsidRDefault="002D1064" w:rsidP="00021119">
      <w:pPr>
        <w:pStyle w:val="SCCNormalDoubleSpacing"/>
        <w:spacing w:after="720" w:line="240" w:lineRule="auto"/>
        <w:ind w:left="539" w:hanging="539"/>
        <w:rPr>
          <w:lang w:val="fr-CA"/>
        </w:rPr>
      </w:pPr>
      <w:proofErr w:type="spellStart"/>
      <w:r w:rsidRPr="003D0CB7">
        <w:rPr>
          <w:lang w:val="fr-CA"/>
        </w:rPr>
        <w:t>Règl</w:t>
      </w:r>
      <w:proofErr w:type="spellEnd"/>
      <w:r w:rsidRPr="003D0CB7">
        <w:rPr>
          <w:lang w:val="fr-CA"/>
        </w:rPr>
        <w:t xml:space="preserve">. </w:t>
      </w:r>
      <w:proofErr w:type="gramStart"/>
      <w:r w:rsidRPr="003D0CB7">
        <w:rPr>
          <w:lang w:val="fr-CA"/>
        </w:rPr>
        <w:t>de</w:t>
      </w:r>
      <w:proofErr w:type="gramEnd"/>
      <w:r w:rsidRPr="003D0CB7">
        <w:rPr>
          <w:lang w:val="fr-CA"/>
        </w:rPr>
        <w:t xml:space="preserve"> l</w:t>
      </w:r>
      <w:r w:rsidR="009F7134" w:rsidRPr="003D0CB7">
        <w:rPr>
          <w:lang w:val="fr-CA"/>
        </w:rPr>
        <w:t>’</w:t>
      </w:r>
      <w:r w:rsidRPr="003D0CB7">
        <w:rPr>
          <w:lang w:val="fr-CA"/>
        </w:rPr>
        <w:t xml:space="preserve">Ont. 265/98, </w:t>
      </w:r>
      <w:r w:rsidR="00AA4099" w:rsidRPr="003D0CB7">
        <w:rPr>
          <w:lang w:val="fr-CA"/>
        </w:rPr>
        <w:t>art.</w:t>
      </w:r>
      <w:r w:rsidR="00F23967">
        <w:rPr>
          <w:lang w:val="fr-CA"/>
        </w:rPr>
        <w:t xml:space="preserve"> </w:t>
      </w:r>
      <w:r w:rsidRPr="003D0CB7">
        <w:rPr>
          <w:lang w:val="fr-CA"/>
        </w:rPr>
        <w:t>2</w:t>
      </w:r>
      <w:r w:rsidR="006372B9">
        <w:rPr>
          <w:lang w:val="fr-CA"/>
        </w:rPr>
        <w:t>.</w:t>
      </w:r>
    </w:p>
    <w:p w:rsidR="004D7D95" w:rsidRPr="003D0CB7" w:rsidRDefault="004D7D95" w:rsidP="00021119">
      <w:pPr>
        <w:pStyle w:val="SCCNormalDoubleSpacing"/>
        <w:spacing w:after="720" w:line="240" w:lineRule="auto"/>
        <w:rPr>
          <w:b/>
          <w:lang w:val="fr-CA"/>
        </w:rPr>
      </w:pPr>
      <w:r w:rsidRPr="003D0CB7">
        <w:rPr>
          <w:b/>
          <w:lang w:val="fr-CA"/>
        </w:rPr>
        <w:lastRenderedPageBreak/>
        <w:t>Doctrine et autres documents cités</w:t>
      </w:r>
    </w:p>
    <w:p w:rsidR="00B160D3" w:rsidRPr="003D0CB7" w:rsidRDefault="00B160D3" w:rsidP="00021119">
      <w:pPr>
        <w:pStyle w:val="SCCNormalDoubleSpacing"/>
        <w:spacing w:after="720" w:line="240" w:lineRule="auto"/>
        <w:ind w:left="539" w:hanging="539"/>
      </w:pPr>
      <w:proofErr w:type="spellStart"/>
      <w:r w:rsidRPr="003D0CB7">
        <w:rPr>
          <w:lang w:val="fr-CA"/>
        </w:rPr>
        <w:t>Benedet</w:t>
      </w:r>
      <w:proofErr w:type="spellEnd"/>
      <w:r w:rsidRPr="003D0CB7">
        <w:rPr>
          <w:lang w:val="fr-CA"/>
        </w:rPr>
        <w:t xml:space="preserve">, Janine.  </w:t>
      </w:r>
      <w:r w:rsidR="00E3692F" w:rsidRPr="008B6B7A">
        <w:rPr>
          <w:lang w:val="en-US"/>
        </w:rPr>
        <w:t>«</w:t>
      </w:r>
      <w:r w:rsidR="00E3692F" w:rsidRPr="008B6B7A">
        <w:rPr>
          <w:iCs/>
          <w:lang w:val="en-US"/>
        </w:rPr>
        <w:t> </w:t>
      </w:r>
      <w:r w:rsidRPr="003D0CB7">
        <w:t>A Victim</w:t>
      </w:r>
      <w:r w:rsidR="00F23967">
        <w:t>-</w:t>
      </w:r>
      <w:r w:rsidRPr="003D0CB7">
        <w:t>Centre</w:t>
      </w:r>
      <w:r w:rsidR="0054135B" w:rsidRPr="003D0CB7">
        <w:t xml:space="preserve">d Evaluation of the Federal Sex </w:t>
      </w:r>
      <w:r w:rsidRPr="003D0CB7">
        <w:t xml:space="preserve">Offender </w:t>
      </w:r>
      <w:r w:rsidRPr="003D0CB7">
        <w:rPr>
          <w:lang w:val="en-US"/>
        </w:rPr>
        <w:t>Registry</w:t>
      </w:r>
      <w:r w:rsidR="00E3692F" w:rsidRPr="008B6B7A">
        <w:rPr>
          <w:iCs/>
          <w:lang w:val="en-US"/>
        </w:rPr>
        <w:t> </w:t>
      </w:r>
      <w:r w:rsidR="00E3692F" w:rsidRPr="008B6B7A">
        <w:rPr>
          <w:lang w:val="en-US"/>
        </w:rPr>
        <w:t>»</w:t>
      </w:r>
      <w:r w:rsidRPr="003D0CB7">
        <w:t xml:space="preserve"> (2012), 37 </w:t>
      </w:r>
      <w:r w:rsidRPr="003D0CB7">
        <w:rPr>
          <w:i/>
        </w:rPr>
        <w:t>Queen</w:t>
      </w:r>
      <w:r w:rsidR="009F7134" w:rsidRPr="003D0CB7">
        <w:rPr>
          <w:i/>
        </w:rPr>
        <w:t>’</w:t>
      </w:r>
      <w:r w:rsidRPr="003D0CB7">
        <w:rPr>
          <w:i/>
        </w:rPr>
        <w:t>s L.J.</w:t>
      </w:r>
      <w:r w:rsidRPr="003D0CB7">
        <w:t xml:space="preserve"> 437.</w:t>
      </w:r>
    </w:p>
    <w:p w:rsidR="004D7D95" w:rsidRPr="003D0CB7" w:rsidRDefault="004D7D95" w:rsidP="00021119">
      <w:pPr>
        <w:pStyle w:val="SCCNormalDoubleSpacing"/>
        <w:spacing w:after="480"/>
        <w:rPr>
          <w:lang w:val="fr-CA"/>
        </w:rPr>
      </w:pPr>
      <w:r w:rsidRPr="003D0CB7">
        <w:tab/>
      </w:r>
      <w:r w:rsidRPr="003D0CB7">
        <w:rPr>
          <w:lang w:val="fr-CA"/>
        </w:rPr>
        <w:t>POURVOI contre un arrêt de la Cour d</w:t>
      </w:r>
      <w:r w:rsidR="009F7134" w:rsidRPr="003D0CB7">
        <w:rPr>
          <w:lang w:val="fr-CA"/>
        </w:rPr>
        <w:t>’</w:t>
      </w:r>
      <w:r w:rsidRPr="003D0CB7">
        <w:rPr>
          <w:lang w:val="fr-CA"/>
        </w:rPr>
        <w:t>appel de l</w:t>
      </w:r>
      <w:r w:rsidR="009F7134" w:rsidRPr="003D0CB7">
        <w:rPr>
          <w:lang w:val="fr-CA"/>
        </w:rPr>
        <w:t>’</w:t>
      </w:r>
      <w:r w:rsidRPr="003D0CB7">
        <w:rPr>
          <w:lang w:val="fr-CA"/>
        </w:rPr>
        <w:t>Ontario</w:t>
      </w:r>
      <w:r w:rsidR="0024449B" w:rsidRPr="003D0CB7">
        <w:rPr>
          <w:lang w:val="fr-CA"/>
        </w:rPr>
        <w:t xml:space="preserve"> (les juges </w:t>
      </w:r>
      <w:proofErr w:type="spellStart"/>
      <w:r w:rsidR="0024449B" w:rsidRPr="003D0CB7">
        <w:rPr>
          <w:lang w:val="fr-CA"/>
        </w:rPr>
        <w:t>Laskin</w:t>
      </w:r>
      <w:proofErr w:type="spellEnd"/>
      <w:r w:rsidR="0024449B" w:rsidRPr="003D0CB7">
        <w:rPr>
          <w:lang w:val="fr-CA"/>
        </w:rPr>
        <w:t xml:space="preserve">, Sharpe et Epstein), 2012 ONCA 393, 292 O.A.C. 335, [2012] O.J. </w:t>
      </w:r>
      <w:r w:rsidR="00AA4099" w:rsidRPr="003D0CB7">
        <w:rPr>
          <w:lang w:val="fr-CA"/>
        </w:rPr>
        <w:t>No.</w:t>
      </w:r>
      <w:r w:rsidR="00F23967">
        <w:rPr>
          <w:lang w:val="fr-CA"/>
        </w:rPr>
        <w:t xml:space="preserve"> </w:t>
      </w:r>
      <w:r w:rsidR="0024449B" w:rsidRPr="003D0CB7">
        <w:rPr>
          <w:lang w:val="fr-CA"/>
        </w:rPr>
        <w:t xml:space="preserve">2575 (QL), 2012 </w:t>
      </w:r>
      <w:proofErr w:type="spellStart"/>
      <w:r w:rsidR="0024449B" w:rsidRPr="003D0CB7">
        <w:rPr>
          <w:lang w:val="fr-CA"/>
        </w:rPr>
        <w:t>CarswellOnt</w:t>
      </w:r>
      <w:proofErr w:type="spellEnd"/>
      <w:r w:rsidR="0024449B" w:rsidRPr="003D0CB7">
        <w:rPr>
          <w:lang w:val="fr-CA"/>
        </w:rPr>
        <w:t xml:space="preserve"> 7088, qui a confirmé une décision des juges Aston, </w:t>
      </w:r>
      <w:proofErr w:type="spellStart"/>
      <w:r w:rsidR="0024449B" w:rsidRPr="003D0CB7">
        <w:rPr>
          <w:lang w:val="fr-CA"/>
        </w:rPr>
        <w:t>Low</w:t>
      </w:r>
      <w:proofErr w:type="spellEnd"/>
      <w:r w:rsidR="0024449B" w:rsidRPr="003D0CB7">
        <w:rPr>
          <w:lang w:val="fr-CA"/>
        </w:rPr>
        <w:t xml:space="preserve"> et </w:t>
      </w:r>
      <w:proofErr w:type="spellStart"/>
      <w:r w:rsidR="0024449B" w:rsidRPr="003D0CB7">
        <w:rPr>
          <w:lang w:val="fr-CA"/>
        </w:rPr>
        <w:t>Hourigan</w:t>
      </w:r>
      <w:proofErr w:type="spellEnd"/>
      <w:r w:rsidR="0024449B" w:rsidRPr="003D0CB7">
        <w:rPr>
          <w:lang w:val="fr-CA"/>
        </w:rPr>
        <w:t xml:space="preserve">, 2011 ONSC 3525, 282 O.A.C. 199, [2011] O.J. </w:t>
      </w:r>
      <w:r w:rsidR="00AA4099" w:rsidRPr="003D0CB7">
        <w:rPr>
          <w:lang w:val="fr-CA"/>
        </w:rPr>
        <w:t>No.</w:t>
      </w:r>
      <w:r w:rsidR="00F23967">
        <w:rPr>
          <w:lang w:val="fr-CA"/>
        </w:rPr>
        <w:t xml:space="preserve"> </w:t>
      </w:r>
      <w:r w:rsidR="0024449B" w:rsidRPr="003D0CB7">
        <w:rPr>
          <w:lang w:val="fr-CA"/>
        </w:rPr>
        <w:t xml:space="preserve">2805 (QL), 2011 </w:t>
      </w:r>
      <w:proofErr w:type="spellStart"/>
      <w:r w:rsidR="0024449B" w:rsidRPr="003D0CB7">
        <w:rPr>
          <w:lang w:val="fr-CA"/>
        </w:rPr>
        <w:t>CarswellOnt</w:t>
      </w:r>
      <w:proofErr w:type="spellEnd"/>
      <w:r w:rsidR="0024449B" w:rsidRPr="003D0CB7">
        <w:rPr>
          <w:lang w:val="fr-CA"/>
        </w:rPr>
        <w:t xml:space="preserve"> 5227</w:t>
      </w:r>
      <w:r w:rsidR="00754F16" w:rsidRPr="003D0CB7">
        <w:rPr>
          <w:lang w:val="fr-CA"/>
        </w:rPr>
        <w:t xml:space="preserve">, </w:t>
      </w:r>
      <w:r w:rsidR="00E60CE7" w:rsidRPr="003D0CB7">
        <w:rPr>
          <w:lang w:val="fr-CA"/>
        </w:rPr>
        <w:t xml:space="preserve">laquelle avait </w:t>
      </w:r>
      <w:r w:rsidR="00754F16" w:rsidRPr="003D0CB7">
        <w:rPr>
          <w:lang w:val="fr-CA"/>
        </w:rPr>
        <w:t>confirmé l</w:t>
      </w:r>
      <w:r w:rsidR="009F7134" w:rsidRPr="003D0CB7">
        <w:rPr>
          <w:lang w:val="fr-CA"/>
        </w:rPr>
        <w:t>’</w:t>
      </w:r>
      <w:r w:rsidR="00754F16" w:rsidRPr="003D0CB7">
        <w:rPr>
          <w:lang w:val="fr-CA"/>
        </w:rPr>
        <w:t xml:space="preserve">ordonnance </w:t>
      </w:r>
      <w:r w:rsidR="00131ED6" w:rsidRPr="003D0CB7">
        <w:rPr>
          <w:lang w:val="fr-CA"/>
        </w:rPr>
        <w:t>PO</w:t>
      </w:r>
      <w:r w:rsidR="00F23967">
        <w:rPr>
          <w:lang w:val="fr-CA"/>
        </w:rPr>
        <w:t>-</w:t>
      </w:r>
      <w:r w:rsidR="00131ED6" w:rsidRPr="003D0CB7">
        <w:rPr>
          <w:lang w:val="fr-CA"/>
        </w:rPr>
        <w:t>2811, 2009</w:t>
      </w:r>
      <w:r w:rsidR="00754F16" w:rsidRPr="003D0CB7">
        <w:rPr>
          <w:lang w:val="fr-CA"/>
        </w:rPr>
        <w:t xml:space="preserve"> </w:t>
      </w:r>
      <w:proofErr w:type="spellStart"/>
      <w:r w:rsidR="00754F16" w:rsidRPr="003D0CB7">
        <w:rPr>
          <w:lang w:val="fr-CA"/>
        </w:rPr>
        <w:t>CanLII</w:t>
      </w:r>
      <w:proofErr w:type="spellEnd"/>
      <w:r w:rsidR="00754F16" w:rsidRPr="003D0CB7">
        <w:rPr>
          <w:lang w:val="fr-CA"/>
        </w:rPr>
        <w:t xml:space="preserve"> </w:t>
      </w:r>
      <w:r w:rsidR="00131ED6" w:rsidRPr="003D0CB7">
        <w:rPr>
          <w:lang w:val="fr-CA"/>
        </w:rPr>
        <w:t>43354</w:t>
      </w:r>
      <w:r w:rsidR="0024449B" w:rsidRPr="003D0CB7">
        <w:rPr>
          <w:lang w:val="fr-CA"/>
        </w:rPr>
        <w:t>.  Pourvoi</w:t>
      </w:r>
      <w:r w:rsidR="0085524D" w:rsidRPr="003D0CB7">
        <w:rPr>
          <w:lang w:val="fr-CA"/>
        </w:rPr>
        <w:t xml:space="preserve"> rejeté</w:t>
      </w:r>
      <w:r w:rsidR="0024449B" w:rsidRPr="003D0CB7">
        <w:rPr>
          <w:lang w:val="fr-CA"/>
        </w:rPr>
        <w:t>.</w:t>
      </w:r>
    </w:p>
    <w:p w:rsidR="00E96F02" w:rsidRPr="003D0CB7" w:rsidRDefault="00600D22" w:rsidP="00021119">
      <w:pPr>
        <w:pStyle w:val="SCCNormalDoubleSpacing"/>
        <w:spacing w:after="480"/>
        <w:rPr>
          <w:lang w:val="fr-CA"/>
        </w:rPr>
      </w:pPr>
      <w:r w:rsidRPr="003D0CB7">
        <w:rPr>
          <w:rStyle w:val="SCCCounselNameChar"/>
          <w:lang w:val="fr-CA"/>
        </w:rPr>
        <w:tab/>
        <w:t>Sara Blake</w:t>
      </w:r>
      <w:r w:rsidR="0024449B" w:rsidRPr="003D0CB7">
        <w:rPr>
          <w:rStyle w:val="SCCCounselNameChar"/>
          <w:i w:val="0"/>
          <w:lang w:val="fr-CA"/>
        </w:rPr>
        <w:t xml:space="preserve">, </w:t>
      </w:r>
      <w:r w:rsidRPr="003D0CB7">
        <w:rPr>
          <w:rStyle w:val="SCCCounselNameChar"/>
          <w:lang w:val="fr-CA"/>
        </w:rPr>
        <w:t>Christopher Thompson</w:t>
      </w:r>
      <w:r w:rsidRPr="003D0CB7">
        <w:rPr>
          <w:rStyle w:val="SCCCounselPartyRoleChar"/>
          <w:lang w:val="fr-CA"/>
        </w:rPr>
        <w:t xml:space="preserve"> </w:t>
      </w:r>
      <w:r w:rsidR="0024449B" w:rsidRPr="003D0CB7">
        <w:rPr>
          <w:rStyle w:val="SCCCounselPartyRoleChar"/>
          <w:lang w:val="fr-CA"/>
        </w:rPr>
        <w:t xml:space="preserve">et </w:t>
      </w:r>
      <w:r w:rsidR="0024449B" w:rsidRPr="003D0CB7">
        <w:rPr>
          <w:rStyle w:val="SCCCounselPartyRoleChar"/>
          <w:i/>
          <w:lang w:val="fr-CA"/>
        </w:rPr>
        <w:t xml:space="preserve">Nadia </w:t>
      </w:r>
      <w:proofErr w:type="spellStart"/>
      <w:r w:rsidR="0024449B" w:rsidRPr="003D0CB7">
        <w:rPr>
          <w:rStyle w:val="SCCCounselPartyRoleChar"/>
          <w:i/>
          <w:lang w:val="fr-CA"/>
        </w:rPr>
        <w:t>Laeeque</w:t>
      </w:r>
      <w:proofErr w:type="spellEnd"/>
      <w:r w:rsidR="0024449B" w:rsidRPr="003D0CB7">
        <w:rPr>
          <w:rStyle w:val="SCCCounselPartyRoleChar"/>
          <w:lang w:val="fr-CA"/>
        </w:rPr>
        <w:t>, pour l</w:t>
      </w:r>
      <w:r w:rsidR="009F7134" w:rsidRPr="003D0CB7">
        <w:rPr>
          <w:rStyle w:val="SCCCounselPartyRoleChar"/>
          <w:lang w:val="fr-CA"/>
        </w:rPr>
        <w:t>’</w:t>
      </w:r>
      <w:r w:rsidR="0024449B" w:rsidRPr="003D0CB7">
        <w:rPr>
          <w:rStyle w:val="SCCCounselPartyRoleChar"/>
          <w:lang w:val="fr-CA"/>
        </w:rPr>
        <w:t>appelant</w:t>
      </w:r>
      <w:r w:rsidRPr="003D0CB7">
        <w:rPr>
          <w:rStyle w:val="SCCCounselPartyRoleChar"/>
          <w:lang w:val="fr-CA"/>
        </w:rPr>
        <w:t>.</w:t>
      </w:r>
    </w:p>
    <w:p w:rsidR="00E96F02" w:rsidRPr="003D0CB7" w:rsidRDefault="006A27D6" w:rsidP="00021119">
      <w:pPr>
        <w:pStyle w:val="SCCNormalDoubleSpacing"/>
        <w:spacing w:after="480"/>
        <w:rPr>
          <w:lang w:val="fr-CA"/>
        </w:rPr>
      </w:pPr>
      <w:r w:rsidRPr="003D0CB7">
        <w:rPr>
          <w:rStyle w:val="SCCCounselNameChar"/>
          <w:lang w:val="fr-CA"/>
        </w:rPr>
        <w:tab/>
        <w:t>William</w:t>
      </w:r>
      <w:r w:rsidR="00F23967">
        <w:rPr>
          <w:rStyle w:val="SCCCounselNameChar"/>
          <w:lang w:val="fr-CA"/>
        </w:rPr>
        <w:t xml:space="preserve"> </w:t>
      </w:r>
      <w:r w:rsidR="00600D22" w:rsidRPr="003D0CB7">
        <w:rPr>
          <w:rStyle w:val="SCCCounselNameChar"/>
          <w:lang w:val="fr-CA"/>
        </w:rPr>
        <w:t>S. Challis</w:t>
      </w:r>
      <w:r w:rsidR="006372B9">
        <w:rPr>
          <w:rStyle w:val="SCCCounselPartyRoleChar"/>
          <w:lang w:val="fr-CA"/>
        </w:rPr>
        <w:t xml:space="preserve"> et </w:t>
      </w:r>
      <w:r w:rsidR="006372B9" w:rsidRPr="006372B9">
        <w:rPr>
          <w:rStyle w:val="SCCCounselPartyRoleChar"/>
          <w:i/>
          <w:lang w:val="fr-CA"/>
        </w:rPr>
        <w:t xml:space="preserve">David </w:t>
      </w:r>
      <w:proofErr w:type="spellStart"/>
      <w:r w:rsidR="006372B9" w:rsidRPr="006372B9">
        <w:rPr>
          <w:rStyle w:val="SCCCounselPartyRoleChar"/>
          <w:i/>
          <w:lang w:val="fr-CA"/>
        </w:rPr>
        <w:t>Goodis</w:t>
      </w:r>
      <w:proofErr w:type="spellEnd"/>
      <w:r w:rsidR="006372B9">
        <w:rPr>
          <w:rStyle w:val="SCCCounselPartyRoleChar"/>
          <w:lang w:val="fr-CA"/>
        </w:rPr>
        <w:t xml:space="preserve">, </w:t>
      </w:r>
      <w:r w:rsidR="0024449B" w:rsidRPr="003D0CB7">
        <w:rPr>
          <w:rStyle w:val="SCCCounselPartyRoleChar"/>
          <w:lang w:val="fr-CA"/>
        </w:rPr>
        <w:t>pour l</w:t>
      </w:r>
      <w:r w:rsidR="009F7134" w:rsidRPr="003D0CB7">
        <w:rPr>
          <w:rStyle w:val="SCCCounselPartyRoleChar"/>
          <w:lang w:val="fr-CA"/>
        </w:rPr>
        <w:t>’</w:t>
      </w:r>
      <w:r w:rsidR="00600D22" w:rsidRPr="003D0CB7">
        <w:rPr>
          <w:rStyle w:val="SCCCounselPartyRoleChar"/>
          <w:lang w:val="fr-CA"/>
        </w:rPr>
        <w:t>intimé</w:t>
      </w:r>
      <w:r w:rsidR="0049465F" w:rsidRPr="003D0CB7">
        <w:rPr>
          <w:rStyle w:val="SCCCounselPartyRoleChar"/>
          <w:lang w:val="fr-CA"/>
        </w:rPr>
        <w:t>e</w:t>
      </w:r>
      <w:r w:rsidR="00600D22" w:rsidRPr="003D0CB7">
        <w:rPr>
          <w:rStyle w:val="SCCCounselPartyRoleChar"/>
          <w:lang w:val="fr-CA"/>
        </w:rPr>
        <w:t>.</w:t>
      </w:r>
    </w:p>
    <w:p w:rsidR="0069673B" w:rsidRPr="003D0CB7" w:rsidRDefault="0069673B" w:rsidP="00021119">
      <w:pPr>
        <w:pStyle w:val="SCCNormalDoubleSpacing"/>
        <w:spacing w:after="480"/>
        <w:rPr>
          <w:lang w:val="fr-CA"/>
        </w:rPr>
      </w:pPr>
      <w:r w:rsidRPr="003D0CB7">
        <w:rPr>
          <w:rStyle w:val="SCCCounselNameChar"/>
          <w:lang w:val="fr-CA"/>
        </w:rPr>
        <w:tab/>
        <w:t xml:space="preserve">Christine </w:t>
      </w:r>
      <w:proofErr w:type="spellStart"/>
      <w:r w:rsidRPr="003D0CB7">
        <w:rPr>
          <w:rStyle w:val="SCCCounselNameChar"/>
          <w:lang w:val="fr-CA"/>
        </w:rPr>
        <w:t>Mohr</w:t>
      </w:r>
      <w:proofErr w:type="spellEnd"/>
      <w:r w:rsidRPr="003D0CB7">
        <w:rPr>
          <w:rStyle w:val="SCCCounselPartyRoleChar"/>
          <w:lang w:val="fr-CA"/>
        </w:rPr>
        <w:t>, pour l</w:t>
      </w:r>
      <w:r w:rsidR="009F7134" w:rsidRPr="003D0CB7">
        <w:rPr>
          <w:rStyle w:val="SCCCounselPartyRoleChar"/>
          <w:lang w:val="fr-CA"/>
        </w:rPr>
        <w:t>’</w:t>
      </w:r>
      <w:r w:rsidRPr="003D0CB7">
        <w:rPr>
          <w:rStyle w:val="SCCCounselPartyRoleChar"/>
          <w:lang w:val="fr-CA"/>
        </w:rPr>
        <w:t>intervenant le procureur général du Canada.</w:t>
      </w:r>
    </w:p>
    <w:p w:rsidR="0024449B" w:rsidRPr="003D0CB7" w:rsidRDefault="006A27D6" w:rsidP="00021119">
      <w:pPr>
        <w:pStyle w:val="SCCNormalDoubleSpacing"/>
        <w:spacing w:after="480"/>
        <w:rPr>
          <w:lang w:val="fr-CA"/>
        </w:rPr>
      </w:pPr>
      <w:r w:rsidRPr="00021119">
        <w:rPr>
          <w:rStyle w:val="SCCCounselNameChar"/>
          <w:lang w:val="fr-CA"/>
        </w:rPr>
        <w:tab/>
      </w:r>
      <w:r w:rsidRPr="003D0CB7">
        <w:rPr>
          <w:rStyle w:val="SCCCounselNameChar"/>
          <w:lang w:val="fr-CA"/>
        </w:rPr>
        <w:t>Richard</w:t>
      </w:r>
      <w:r w:rsidR="00F23967">
        <w:rPr>
          <w:rStyle w:val="SCCCounselNameChar"/>
          <w:lang w:val="fr-CA"/>
        </w:rPr>
        <w:t xml:space="preserve"> </w:t>
      </w:r>
      <w:r w:rsidR="00600D22" w:rsidRPr="003D0CB7">
        <w:rPr>
          <w:rStyle w:val="SCCCounselNameChar"/>
          <w:lang w:val="fr-CA"/>
        </w:rPr>
        <w:t xml:space="preserve">G. </w:t>
      </w:r>
      <w:proofErr w:type="spellStart"/>
      <w:r w:rsidR="00600D22" w:rsidRPr="003D0CB7">
        <w:rPr>
          <w:rStyle w:val="SCCCounselNameChar"/>
          <w:lang w:val="fr-CA"/>
        </w:rPr>
        <w:t>Dearden</w:t>
      </w:r>
      <w:proofErr w:type="spellEnd"/>
      <w:r w:rsidR="0024449B" w:rsidRPr="003D0CB7">
        <w:rPr>
          <w:rStyle w:val="SCCCounselSeparatorChar"/>
          <w:lang w:val="fr-CA"/>
        </w:rPr>
        <w:t xml:space="preserve">, </w:t>
      </w:r>
      <w:r w:rsidR="00600D22" w:rsidRPr="003D0CB7">
        <w:rPr>
          <w:rStyle w:val="SCCCounselNameChar"/>
          <w:lang w:val="fr-CA"/>
        </w:rPr>
        <w:t>Diane Therrien</w:t>
      </w:r>
      <w:r w:rsidR="0069673B" w:rsidRPr="003D0CB7">
        <w:rPr>
          <w:rStyle w:val="SCCCounselNameChar"/>
          <w:lang w:val="fr-CA"/>
        </w:rPr>
        <w:t xml:space="preserve"> </w:t>
      </w:r>
      <w:r w:rsidR="0069673B" w:rsidRPr="003D0CB7">
        <w:rPr>
          <w:rStyle w:val="SCCCounselNameChar"/>
          <w:i w:val="0"/>
          <w:lang w:val="fr-CA"/>
        </w:rPr>
        <w:t xml:space="preserve">et </w:t>
      </w:r>
      <w:r w:rsidR="0069673B" w:rsidRPr="003D0CB7">
        <w:rPr>
          <w:rStyle w:val="SCCCounselNameChar"/>
          <w:lang w:val="fr-CA"/>
        </w:rPr>
        <w:t xml:space="preserve">Michael De </w:t>
      </w:r>
      <w:proofErr w:type="spellStart"/>
      <w:r w:rsidR="0069673B" w:rsidRPr="003D0CB7">
        <w:rPr>
          <w:rStyle w:val="SCCCounselNameChar"/>
          <w:lang w:val="fr-CA"/>
        </w:rPr>
        <w:t>Santis</w:t>
      </w:r>
      <w:proofErr w:type="spellEnd"/>
      <w:r w:rsidR="00600D22" w:rsidRPr="003D0CB7">
        <w:rPr>
          <w:rStyle w:val="SCCCounselPartyRoleChar"/>
          <w:lang w:val="fr-CA"/>
        </w:rPr>
        <w:t xml:space="preserve">, </w:t>
      </w:r>
      <w:r w:rsidR="0069673B" w:rsidRPr="003D0CB7">
        <w:rPr>
          <w:rStyle w:val="SCCCounselPartyRoleChar"/>
          <w:lang w:val="fr-CA"/>
        </w:rPr>
        <w:t>pour l</w:t>
      </w:r>
      <w:r w:rsidR="009F7134" w:rsidRPr="003D0CB7">
        <w:rPr>
          <w:rStyle w:val="SCCCounselPartyRoleChar"/>
          <w:lang w:val="fr-CA"/>
        </w:rPr>
        <w:t>’</w:t>
      </w:r>
      <w:r w:rsidR="00600D22" w:rsidRPr="003D0CB7">
        <w:rPr>
          <w:rStyle w:val="SCCCounselPartyRoleChar"/>
          <w:lang w:val="fr-CA"/>
        </w:rPr>
        <w:t>intervenant</w:t>
      </w:r>
      <w:r w:rsidR="008A5ED5" w:rsidRPr="003D0CB7">
        <w:rPr>
          <w:rStyle w:val="SCCCounselPartyRoleChar"/>
          <w:lang w:val="fr-CA"/>
        </w:rPr>
        <w:t>e la</w:t>
      </w:r>
      <w:r w:rsidR="00600D22" w:rsidRPr="003D0CB7">
        <w:rPr>
          <w:rStyle w:val="SCCCounselPartyRoleChar"/>
          <w:lang w:val="fr-CA"/>
        </w:rPr>
        <w:t xml:space="preserve"> Commissaire à l</w:t>
      </w:r>
      <w:r w:rsidR="009F7134" w:rsidRPr="003D0CB7">
        <w:rPr>
          <w:rStyle w:val="SCCCounselPartyRoleChar"/>
          <w:lang w:val="fr-CA"/>
        </w:rPr>
        <w:t>’</w:t>
      </w:r>
      <w:r w:rsidR="00600D22" w:rsidRPr="003D0CB7">
        <w:rPr>
          <w:rStyle w:val="SCCCounselPartyRoleChar"/>
          <w:lang w:val="fr-CA"/>
        </w:rPr>
        <w:t>information du Canada.</w:t>
      </w:r>
    </w:p>
    <w:p w:rsidR="006C6098" w:rsidRDefault="00021119" w:rsidP="00021119">
      <w:pPr>
        <w:pStyle w:val="SCCNormalDoubleSpacing"/>
        <w:spacing w:after="480"/>
        <w:rPr>
          <w:szCs w:val="24"/>
          <w:lang w:val="fr-CA"/>
        </w:rPr>
      </w:pPr>
      <w:r>
        <w:rPr>
          <w:szCs w:val="24"/>
          <w:lang w:val="fr-CA"/>
        </w:rPr>
        <w:tab/>
      </w:r>
      <w:r w:rsidR="006C6098">
        <w:rPr>
          <w:szCs w:val="24"/>
          <w:lang w:val="fr-CA"/>
        </w:rPr>
        <w:t>Ver</w:t>
      </w:r>
      <w:r w:rsidR="006C6098" w:rsidRPr="00B6619D">
        <w:rPr>
          <w:szCs w:val="24"/>
          <w:lang w:val="fr-CA"/>
        </w:rPr>
        <w:t xml:space="preserve">sion française du jugement </w:t>
      </w:r>
      <w:r w:rsidR="006C6098">
        <w:rPr>
          <w:szCs w:val="24"/>
          <w:lang w:val="fr-CA"/>
        </w:rPr>
        <w:t>de la Cour r</w:t>
      </w:r>
      <w:r w:rsidR="006C6098" w:rsidRPr="00B6619D">
        <w:rPr>
          <w:szCs w:val="24"/>
          <w:lang w:val="fr-CA"/>
        </w:rPr>
        <w:t>endu par</w:t>
      </w:r>
    </w:p>
    <w:p w:rsidR="006C6098" w:rsidRPr="00FA6F76" w:rsidRDefault="006C6098" w:rsidP="00021119">
      <w:pPr>
        <w:pStyle w:val="JudgeJuge"/>
        <w:rPr>
          <w:lang w:val="fr-CA"/>
        </w:rPr>
      </w:pPr>
      <w:r w:rsidRPr="00FA6F76">
        <w:rPr>
          <w:lang w:val="fr-CA"/>
        </w:rPr>
        <w:tab/>
        <w:t xml:space="preserve">Les juges Cromwell et Wagner  — </w:t>
      </w:r>
    </w:p>
    <w:p w:rsidR="006C6098" w:rsidRPr="00FA6F76" w:rsidRDefault="006C6098" w:rsidP="00021119">
      <w:pPr>
        <w:pStyle w:val="Title1LevelTitre1Niveau-AltL"/>
        <w:keepNext w:val="0"/>
        <w:rPr>
          <w:rFonts w:cs="Times New Roman"/>
          <w:lang w:val="fr-CA"/>
        </w:rPr>
      </w:pPr>
      <w:r w:rsidRPr="00FA6F76">
        <w:rPr>
          <w:rFonts w:cs="Times New Roman"/>
          <w:lang w:val="fr-CA"/>
        </w:rPr>
        <w:lastRenderedPageBreak/>
        <w:t>Vue d’ensemble</w:t>
      </w:r>
    </w:p>
    <w:p w:rsidR="006C6098" w:rsidRPr="00FA6F76" w:rsidRDefault="006C6098" w:rsidP="00021119">
      <w:pPr>
        <w:pStyle w:val="ParaNoNdepar-AltN"/>
        <w:widowControl w:val="0"/>
        <w:rPr>
          <w:rFonts w:cs="Times New Roman"/>
          <w:lang w:val="fr-CA"/>
        </w:rPr>
      </w:pPr>
      <w:r w:rsidRPr="00FA6F76">
        <w:rPr>
          <w:rFonts w:cs="Times New Roman"/>
          <w:lang w:val="fr-CA"/>
        </w:rPr>
        <w:t>La principale question soumise à la Cour concerne l’interaction entre la loi ontarienne sur l’accès à l’information et le registre confidentiel des délinquants sexuels de cette province (</w:t>
      </w:r>
      <w:r w:rsidR="00E3692F" w:rsidRPr="003D0CB7">
        <w:rPr>
          <w:lang w:val="fr-CA"/>
        </w:rPr>
        <w:t>«</w:t>
      </w:r>
      <w:r w:rsidR="00E3692F">
        <w:rPr>
          <w:rFonts w:cs="Times New Roman"/>
          <w:iCs/>
          <w:lang w:val="fr-CA"/>
        </w:rPr>
        <w:t> </w:t>
      </w:r>
      <w:r w:rsidRPr="00FA6F76">
        <w:rPr>
          <w:rFonts w:cs="Times New Roman"/>
          <w:lang w:val="fr-CA"/>
        </w:rPr>
        <w:t>registre</w:t>
      </w:r>
      <w:r w:rsidR="00E3692F">
        <w:rPr>
          <w:rFonts w:cs="Times New Roman"/>
          <w:iCs/>
          <w:lang w:val="fr-CA"/>
        </w:rPr>
        <w:t> </w:t>
      </w:r>
      <w:r w:rsidR="00E3692F" w:rsidRPr="003D0CB7">
        <w:rPr>
          <w:lang w:val="fr-CA"/>
        </w:rPr>
        <w:t>»</w:t>
      </w:r>
      <w:r w:rsidRPr="00FA6F76">
        <w:rPr>
          <w:rFonts w:cs="Times New Roman"/>
          <w:lang w:val="fr-CA"/>
        </w:rPr>
        <w:t xml:space="preserve">).  Une demande a été faite en vertu de la </w:t>
      </w:r>
      <w:r w:rsidRPr="00FA6F76">
        <w:rPr>
          <w:rFonts w:cs="Times New Roman"/>
          <w:i/>
          <w:iCs/>
          <w:lang w:val="fr-CA"/>
        </w:rPr>
        <w:t>Loi</w:t>
      </w:r>
      <w:r w:rsidR="00F23967">
        <w:rPr>
          <w:rFonts w:cs="Times New Roman"/>
          <w:i/>
          <w:iCs/>
          <w:lang w:val="fr-CA"/>
        </w:rPr>
        <w:t xml:space="preserve"> </w:t>
      </w:r>
      <w:r w:rsidRPr="00FA6F76">
        <w:rPr>
          <w:rFonts w:cs="Times New Roman"/>
          <w:i/>
          <w:iCs/>
          <w:lang w:val="fr-CA"/>
        </w:rPr>
        <w:t>sur l’accès à l’information et la protection de la vie privée</w:t>
      </w:r>
      <w:r w:rsidRPr="00FA6F76">
        <w:rPr>
          <w:rFonts w:cs="Times New Roman"/>
          <w:iCs/>
          <w:lang w:val="fr-CA"/>
        </w:rPr>
        <w:t>, L.R.O. 1990, ch.</w:t>
      </w:r>
      <w:r w:rsidR="00F23967">
        <w:rPr>
          <w:rFonts w:cs="Times New Roman"/>
          <w:iCs/>
          <w:lang w:val="fr-CA"/>
        </w:rPr>
        <w:t xml:space="preserve"> </w:t>
      </w:r>
      <w:r w:rsidRPr="00FA6F76">
        <w:rPr>
          <w:rFonts w:cs="Times New Roman"/>
          <w:iCs/>
          <w:lang w:val="fr-CA"/>
        </w:rPr>
        <w:t>F.31</w:t>
      </w:r>
      <w:r w:rsidRPr="00FA6F76">
        <w:rPr>
          <w:rFonts w:cs="Times New Roman"/>
          <w:i/>
          <w:iCs/>
          <w:lang w:val="fr-CA"/>
        </w:rPr>
        <w:t xml:space="preserve"> </w:t>
      </w:r>
      <w:r w:rsidRPr="00FA6F76">
        <w:rPr>
          <w:rFonts w:cs="Times New Roman"/>
          <w:lang w:val="fr-CA"/>
        </w:rPr>
        <w:t>(</w:t>
      </w:r>
      <w:r w:rsidR="00E3692F" w:rsidRPr="003D0CB7">
        <w:rPr>
          <w:lang w:val="fr-CA"/>
        </w:rPr>
        <w:t>«</w:t>
      </w:r>
      <w:r w:rsidR="00E3692F">
        <w:rPr>
          <w:rFonts w:cs="Times New Roman"/>
          <w:iCs/>
          <w:lang w:val="fr-CA"/>
        </w:rPr>
        <w:t> </w:t>
      </w:r>
      <w:r w:rsidRPr="00FA6F76">
        <w:rPr>
          <w:rFonts w:cs="Times New Roman"/>
          <w:i/>
          <w:iCs/>
          <w:lang w:val="fr-CA"/>
        </w:rPr>
        <w:t>LAIPVP</w:t>
      </w:r>
      <w:r w:rsidR="00E3692F">
        <w:rPr>
          <w:rFonts w:cs="Times New Roman"/>
          <w:iCs/>
          <w:lang w:val="fr-CA"/>
        </w:rPr>
        <w:t> </w:t>
      </w:r>
      <w:r w:rsidR="00E3692F" w:rsidRPr="003D0CB7">
        <w:rPr>
          <w:lang w:val="fr-CA"/>
        </w:rPr>
        <w:t>»</w:t>
      </w:r>
      <w:r w:rsidRPr="00FA6F76">
        <w:rPr>
          <w:rFonts w:cs="Times New Roman"/>
          <w:lang w:val="fr-CA"/>
        </w:rPr>
        <w:t>), en vue d’obtenir du ministère de la Sécurité communautaire et des Services correctionnels (</w:t>
      </w:r>
      <w:r w:rsidR="00E3692F" w:rsidRPr="003D0CB7">
        <w:rPr>
          <w:lang w:val="fr-CA"/>
        </w:rPr>
        <w:t>«</w:t>
      </w:r>
      <w:r w:rsidR="00E3692F">
        <w:rPr>
          <w:rFonts w:cs="Times New Roman"/>
          <w:iCs/>
          <w:lang w:val="fr-CA"/>
        </w:rPr>
        <w:t> </w:t>
      </w:r>
      <w:r w:rsidRPr="00FA6F76">
        <w:rPr>
          <w:rFonts w:cs="Times New Roman"/>
          <w:lang w:val="fr-CA"/>
        </w:rPr>
        <w:t>Ministère</w:t>
      </w:r>
      <w:r w:rsidR="00E3692F">
        <w:rPr>
          <w:rFonts w:cs="Times New Roman"/>
          <w:iCs/>
          <w:lang w:val="fr-CA"/>
        </w:rPr>
        <w:t> </w:t>
      </w:r>
      <w:r w:rsidR="00E3692F" w:rsidRPr="003D0CB7">
        <w:rPr>
          <w:lang w:val="fr-CA"/>
        </w:rPr>
        <w:t>»</w:t>
      </w:r>
      <w:r w:rsidRPr="00FA6F76">
        <w:rPr>
          <w:rFonts w:cs="Times New Roman"/>
          <w:lang w:val="fr-CA"/>
        </w:rPr>
        <w:t xml:space="preserve">) qu’il divulgue le nombre de délinquants inscrits à son registre qui résident dans les régions désignées par les trois premiers caractères des codes postaux de l’Ontario (qui correspondent à ce qu’il est convenu d’appeler les </w:t>
      </w:r>
      <w:r w:rsidR="00E3692F" w:rsidRPr="003D0CB7">
        <w:rPr>
          <w:lang w:val="fr-CA"/>
        </w:rPr>
        <w:t>«</w:t>
      </w:r>
      <w:r w:rsidR="00E3692F">
        <w:rPr>
          <w:rFonts w:cs="Times New Roman"/>
          <w:iCs/>
          <w:lang w:val="fr-CA"/>
        </w:rPr>
        <w:t> </w:t>
      </w:r>
      <w:r w:rsidRPr="00FA6F76">
        <w:rPr>
          <w:rFonts w:cs="Times New Roman"/>
          <w:lang w:val="fr-CA"/>
        </w:rPr>
        <w:t>régions de tri d’acheminement</w:t>
      </w:r>
      <w:r w:rsidR="00E3692F">
        <w:rPr>
          <w:rFonts w:cs="Times New Roman"/>
          <w:iCs/>
          <w:lang w:val="fr-CA"/>
        </w:rPr>
        <w:t> </w:t>
      </w:r>
      <w:r w:rsidR="00E3692F" w:rsidRPr="003D0CB7">
        <w:rPr>
          <w:lang w:val="fr-CA"/>
        </w:rPr>
        <w:t>»</w:t>
      </w:r>
      <w:r w:rsidRPr="00FA6F76">
        <w:rPr>
          <w:rFonts w:cs="Times New Roman"/>
          <w:lang w:val="fr-CA"/>
        </w:rPr>
        <w:t xml:space="preserve"> ou RTA).  Les renseignements contenus dans le registre, qui a été créé et qui est maintenu sous le régime de la </w:t>
      </w:r>
      <w:r w:rsidRPr="00FA6F76">
        <w:rPr>
          <w:rFonts w:cs="Times New Roman"/>
          <w:i/>
          <w:iCs/>
          <w:lang w:val="fr-CA"/>
        </w:rPr>
        <w:t>Loi Christopher de 2000 sur le registre des délinquants sexuels</w:t>
      </w:r>
      <w:r w:rsidRPr="00FA6F76">
        <w:rPr>
          <w:rFonts w:cs="Times New Roman"/>
          <w:lang w:val="fr-CA"/>
        </w:rPr>
        <w:t>, L.O. 2000, ch.</w:t>
      </w:r>
      <w:r w:rsidR="00F23967">
        <w:rPr>
          <w:rFonts w:cs="Times New Roman"/>
          <w:lang w:val="fr-CA"/>
        </w:rPr>
        <w:t xml:space="preserve"> </w:t>
      </w:r>
      <w:r w:rsidR="00B22F59">
        <w:rPr>
          <w:rFonts w:cs="Times New Roman"/>
          <w:lang w:val="fr-CA"/>
        </w:rPr>
        <w:t>1 (</w:t>
      </w:r>
      <w:r w:rsidR="00E3692F" w:rsidRPr="003D0CB7">
        <w:rPr>
          <w:lang w:val="fr-CA"/>
        </w:rPr>
        <w:t>«</w:t>
      </w:r>
      <w:r w:rsidR="00E3692F">
        <w:rPr>
          <w:rFonts w:cs="Times New Roman"/>
          <w:iCs/>
          <w:lang w:val="fr-CA"/>
        </w:rPr>
        <w:t> </w:t>
      </w:r>
      <w:r w:rsidRPr="00FA6F76">
        <w:rPr>
          <w:rFonts w:cs="Times New Roman"/>
          <w:i/>
          <w:lang w:val="fr-CA"/>
        </w:rPr>
        <w:t>Loi Christopher</w:t>
      </w:r>
      <w:r w:rsidR="00E3692F">
        <w:rPr>
          <w:rFonts w:cs="Times New Roman"/>
          <w:iCs/>
          <w:lang w:val="fr-CA"/>
        </w:rPr>
        <w:t> </w:t>
      </w:r>
      <w:r w:rsidR="00E3692F" w:rsidRPr="003D0CB7">
        <w:rPr>
          <w:lang w:val="fr-CA"/>
        </w:rPr>
        <w:t>»</w:t>
      </w:r>
      <w:r w:rsidRPr="00FA6F76">
        <w:rPr>
          <w:rFonts w:cs="Times New Roman"/>
          <w:lang w:val="fr-CA"/>
        </w:rPr>
        <w:t>), sont confidentiels et ne peuvent être communiqués qu’au Ministère et à la police pour l’application de la loi.  À cet égard, le registre ontarien est différent de celui d’autres provinces et territoires, qui sont publics.  Cette différence tient à un choix politique manifeste motivé par la conviction que le fait de garder les renseignements confidentiels pour l’application de la loi incitera les contrevenants à se conformer aux exigences en matière d’enregistrement et de déclaration et aidera à contrer le phénomène des justiciers.</w:t>
      </w:r>
    </w:p>
    <w:p w:rsidR="006C6098" w:rsidRPr="00FA6F76" w:rsidRDefault="006C6098" w:rsidP="00021119">
      <w:pPr>
        <w:pStyle w:val="ParaNoNdepar-AltN"/>
        <w:rPr>
          <w:rFonts w:cs="Times New Roman"/>
          <w:lang w:val="fr-CA"/>
        </w:rPr>
      </w:pPr>
      <w:r w:rsidRPr="00FA6F76">
        <w:rPr>
          <w:rFonts w:cs="Times New Roman"/>
          <w:lang w:val="fr-CA"/>
        </w:rPr>
        <w:t xml:space="preserve">Le Ministère a refusé de communiquer les renseignements demandés en invoquant des exceptions relatives à l’application de la loi et à la protection des </w:t>
      </w:r>
      <w:r w:rsidRPr="00FA6F76">
        <w:rPr>
          <w:rFonts w:cs="Times New Roman"/>
          <w:lang w:val="fr-CA"/>
        </w:rPr>
        <w:lastRenderedPageBreak/>
        <w:t>renseignements personnels, mais sa décision a été infirmée par la Commissaire à l’information et à la protection de la vie privée (</w:t>
      </w:r>
      <w:r w:rsidR="00E3692F" w:rsidRPr="003D0CB7">
        <w:rPr>
          <w:lang w:val="fr-CA"/>
        </w:rPr>
        <w:t>«</w:t>
      </w:r>
      <w:r w:rsidR="00E3692F">
        <w:rPr>
          <w:rFonts w:cs="Times New Roman"/>
          <w:iCs/>
          <w:lang w:val="fr-CA"/>
        </w:rPr>
        <w:t> </w:t>
      </w:r>
      <w:r w:rsidRPr="00FA6F76">
        <w:rPr>
          <w:rFonts w:cs="Times New Roman"/>
          <w:lang w:val="fr-CA"/>
        </w:rPr>
        <w:t>Commissaire</w:t>
      </w:r>
      <w:r w:rsidR="00E3692F">
        <w:rPr>
          <w:rFonts w:cs="Times New Roman"/>
          <w:iCs/>
          <w:lang w:val="fr-CA"/>
        </w:rPr>
        <w:t> </w:t>
      </w:r>
      <w:r w:rsidR="00E3692F" w:rsidRPr="003D0CB7">
        <w:rPr>
          <w:lang w:val="fr-CA"/>
        </w:rPr>
        <w:t>»</w:t>
      </w:r>
      <w:r w:rsidRPr="00FA6F76">
        <w:rPr>
          <w:rFonts w:cs="Times New Roman"/>
          <w:lang w:val="fr-CA"/>
        </w:rPr>
        <w:t xml:space="preserve">), qui en a ordonné la divulgation.  La Commissaire a conclu que le registre était assujetti à la </w:t>
      </w:r>
      <w:r w:rsidRPr="00FA6F76">
        <w:rPr>
          <w:rFonts w:cs="Times New Roman"/>
          <w:i/>
          <w:iCs/>
          <w:lang w:val="fr-CA"/>
        </w:rPr>
        <w:t xml:space="preserve">LAIPVP </w:t>
      </w:r>
      <w:r w:rsidRPr="00FA6F76">
        <w:rPr>
          <w:rFonts w:cs="Times New Roman"/>
          <w:lang w:val="fr-CA"/>
        </w:rPr>
        <w:t>et qu’aucune des exceptions invoquées par le Ministère ne s’appliquait.  Les renseignements demandés n’étaient pas des renseignements personnels visés par une exception, parce qu’on ne pouvait raisonnablement s’attendre à ce qu’ils permettent d’identifier un individu s’ils étaient communiqués.  Les exceptions relatives à l’application de la loi fondées sur le risque de préjudice qu’a invoquées le Ministère ne s’appliquaient pas, parce que la preuve n’établissait pas l’existence d’un risque vraisemblable de préjudice ou de motifs raisonnables de croire que leur communication présenterait une menace.  La décision de la Commissaire a été confirmée par la Cour divisionnaire de l’Ontario dans le cadre d’un contrôle judiciaire et, en appel, par la Cour d’appel de l’Ontario.</w:t>
      </w:r>
    </w:p>
    <w:p w:rsidR="006C6098" w:rsidRPr="00FA6F76" w:rsidRDefault="006C6098" w:rsidP="00021119">
      <w:pPr>
        <w:pStyle w:val="ParaNoNdepar-AltN"/>
        <w:rPr>
          <w:rFonts w:cs="Times New Roman"/>
          <w:lang w:val="fr-CA"/>
        </w:rPr>
      </w:pPr>
      <w:r w:rsidRPr="00FA6F76">
        <w:rPr>
          <w:rFonts w:cs="Times New Roman"/>
          <w:lang w:val="fr-CA"/>
        </w:rPr>
        <w:t xml:space="preserve">Le Ministère soutient devant la Cour que la Commissaire a </w:t>
      </w:r>
      <w:proofErr w:type="gramStart"/>
      <w:r w:rsidRPr="00FA6F76">
        <w:rPr>
          <w:rFonts w:cs="Times New Roman"/>
          <w:lang w:val="fr-CA"/>
        </w:rPr>
        <w:t>interprété</w:t>
      </w:r>
      <w:proofErr w:type="gramEnd"/>
      <w:r w:rsidRPr="00FA6F76">
        <w:rPr>
          <w:rFonts w:cs="Times New Roman"/>
          <w:lang w:val="fr-CA"/>
        </w:rPr>
        <w:t xml:space="preserve"> et appliqué la </w:t>
      </w:r>
      <w:r w:rsidRPr="00FA6F76">
        <w:rPr>
          <w:rFonts w:cs="Times New Roman"/>
          <w:i/>
          <w:lang w:val="fr-CA"/>
        </w:rPr>
        <w:t>LAIPVP</w:t>
      </w:r>
      <w:r w:rsidRPr="00FA6F76">
        <w:rPr>
          <w:rFonts w:cs="Times New Roman"/>
          <w:lang w:val="fr-CA"/>
        </w:rPr>
        <w:t xml:space="preserve"> d’une manière incompatible avec la </w:t>
      </w:r>
      <w:r w:rsidRPr="00FA6F76">
        <w:rPr>
          <w:rFonts w:cs="Times New Roman"/>
          <w:i/>
          <w:iCs/>
          <w:lang w:val="fr-CA"/>
        </w:rPr>
        <w:t>Loi</w:t>
      </w:r>
      <w:r w:rsidR="00F23967">
        <w:rPr>
          <w:rFonts w:cs="Times New Roman"/>
          <w:i/>
          <w:iCs/>
          <w:lang w:val="fr-CA"/>
        </w:rPr>
        <w:t xml:space="preserve"> </w:t>
      </w:r>
      <w:r w:rsidRPr="00FA6F76">
        <w:rPr>
          <w:rFonts w:cs="Times New Roman"/>
          <w:i/>
          <w:iCs/>
          <w:lang w:val="fr-CA"/>
        </w:rPr>
        <w:t>Christopher</w:t>
      </w:r>
      <w:r w:rsidRPr="00FA6F76">
        <w:rPr>
          <w:rFonts w:cs="Times New Roman"/>
          <w:lang w:val="fr-CA"/>
        </w:rPr>
        <w:t xml:space="preserve"> et qu’elle a imposé une norme de preuve trop exigeante pour ce qui est des exceptions à la communication.  Une question additionnelle a été soulevée au sujet de la norme de contrôle applicable à la décision de la Commissaire.</w:t>
      </w:r>
    </w:p>
    <w:p w:rsidR="006C6098" w:rsidRPr="00FA6F76" w:rsidRDefault="006C6098" w:rsidP="00021119">
      <w:pPr>
        <w:pStyle w:val="ParaNoNdepar-AltN"/>
        <w:rPr>
          <w:rFonts w:cs="Times New Roman"/>
          <w:lang w:val="fr-CA"/>
        </w:rPr>
      </w:pPr>
      <w:r w:rsidRPr="00FA6F76">
        <w:rPr>
          <w:rFonts w:cs="Times New Roman"/>
          <w:lang w:val="fr-CA"/>
        </w:rPr>
        <w:t xml:space="preserve">Nous estimons que la Commissaire n’a commis aucune erreur susceptible de contrôle judiciaire en ordonnant la communication des renseignements demandés.  Elle a examiné avec soin les interactions entre la </w:t>
      </w:r>
      <w:r w:rsidRPr="00FA6F76">
        <w:rPr>
          <w:rFonts w:cs="Times New Roman"/>
          <w:i/>
          <w:iCs/>
          <w:lang w:val="fr-CA"/>
        </w:rPr>
        <w:t>Loi</w:t>
      </w:r>
      <w:r w:rsidR="00F23967">
        <w:rPr>
          <w:rFonts w:cs="Times New Roman"/>
          <w:i/>
          <w:iCs/>
          <w:lang w:val="fr-CA"/>
        </w:rPr>
        <w:t xml:space="preserve"> </w:t>
      </w:r>
      <w:r w:rsidRPr="00FA6F76">
        <w:rPr>
          <w:rFonts w:cs="Times New Roman"/>
          <w:i/>
          <w:iCs/>
          <w:lang w:val="fr-CA"/>
        </w:rPr>
        <w:t>Christopher</w:t>
      </w:r>
      <w:r w:rsidRPr="00FA6F76">
        <w:rPr>
          <w:rFonts w:cs="Times New Roman"/>
          <w:lang w:val="fr-CA"/>
        </w:rPr>
        <w:t xml:space="preserve"> et la </w:t>
      </w:r>
      <w:r w:rsidRPr="00FA6F76">
        <w:rPr>
          <w:rFonts w:cs="Times New Roman"/>
          <w:i/>
          <w:iCs/>
          <w:lang w:val="fr-CA"/>
        </w:rPr>
        <w:t xml:space="preserve">LAIPVP </w:t>
      </w:r>
      <w:r w:rsidRPr="00FA6F76">
        <w:rPr>
          <w:rFonts w:cs="Times New Roman"/>
          <w:lang w:val="fr-CA"/>
        </w:rPr>
        <w:t xml:space="preserve">et a </w:t>
      </w:r>
      <w:r w:rsidRPr="00FA6F76">
        <w:rPr>
          <w:rFonts w:cs="Times New Roman"/>
          <w:lang w:val="fr-CA"/>
        </w:rPr>
        <w:lastRenderedPageBreak/>
        <w:t>raisonnablement conclu que la communication de ces renseignements ne permettrait pas d’identifier des délinquants ou de connaître l’adresse de leur domicile, ajoutant que le Ministère n’avait pas suffisamment démontré le risque de préjudice que les exceptions invoquées visent à empêcher.  Nous sommes d’avis de rejeter le pourvoi, mais, comme la Commissaire l’a demandé, le tout sans dépens.</w:t>
      </w:r>
    </w:p>
    <w:p w:rsidR="006C6098" w:rsidRPr="00FA6F76" w:rsidRDefault="006C6098" w:rsidP="00021119">
      <w:pPr>
        <w:pStyle w:val="Title1LevelTitre1Niveau-AltL"/>
        <w:keepNext w:val="0"/>
        <w:rPr>
          <w:rFonts w:cs="Times New Roman"/>
          <w:lang w:val="fr-CA"/>
        </w:rPr>
      </w:pPr>
      <w:r w:rsidRPr="00FA6F76">
        <w:rPr>
          <w:rFonts w:cs="Times New Roman"/>
          <w:lang w:val="fr-CA"/>
        </w:rPr>
        <w:t>Faits et historique judiciaire</w:t>
      </w:r>
    </w:p>
    <w:p w:rsidR="006C6098" w:rsidRPr="00FA6F76" w:rsidRDefault="006C6098" w:rsidP="00021119">
      <w:pPr>
        <w:pStyle w:val="Title2LevelTitre2Niveau"/>
        <w:keepNext w:val="0"/>
        <w:rPr>
          <w:rFonts w:cs="Times New Roman"/>
          <w:i w:val="0"/>
          <w:iCs/>
          <w:lang w:val="fr-CA"/>
        </w:rPr>
      </w:pPr>
      <w:r w:rsidRPr="00FA6F76">
        <w:rPr>
          <w:rFonts w:cs="Times New Roman"/>
          <w:lang w:val="fr-CA"/>
        </w:rPr>
        <w:t>Le cadre législatif</w:t>
      </w:r>
      <w:r w:rsidR="00F23967">
        <w:rPr>
          <w:rFonts w:cs="Times New Roman"/>
          <w:lang w:val="fr-CA"/>
        </w:rPr>
        <w:t xml:space="preserve"> </w:t>
      </w:r>
      <w:r w:rsidRPr="00FA6F76">
        <w:rPr>
          <w:rFonts w:cs="Times New Roman"/>
          <w:lang w:val="fr-CA"/>
        </w:rPr>
        <w:t>: la</w:t>
      </w:r>
      <w:r w:rsidRPr="00FA6F76">
        <w:rPr>
          <w:rFonts w:cs="Times New Roman"/>
          <w:i w:val="0"/>
          <w:lang w:val="fr-CA"/>
        </w:rPr>
        <w:t xml:space="preserve"> </w:t>
      </w:r>
      <w:r w:rsidRPr="00FA6F76">
        <w:rPr>
          <w:rFonts w:cs="Times New Roman"/>
          <w:lang w:val="fr-CA"/>
        </w:rPr>
        <w:t>Loi Christopher et la</w:t>
      </w:r>
      <w:r w:rsidRPr="00FA6F76">
        <w:rPr>
          <w:rFonts w:cs="Times New Roman"/>
          <w:i w:val="0"/>
          <w:lang w:val="fr-CA"/>
        </w:rPr>
        <w:t xml:space="preserve"> </w:t>
      </w:r>
      <w:r w:rsidRPr="00FA6F76">
        <w:rPr>
          <w:rFonts w:cs="Times New Roman"/>
          <w:lang w:val="fr-CA"/>
        </w:rPr>
        <w:t>LAIPVP</w:t>
      </w:r>
      <w:r w:rsidRPr="00FA6F76">
        <w:rPr>
          <w:rFonts w:cs="Times New Roman"/>
          <w:i w:val="0"/>
          <w:lang w:val="fr-CA"/>
        </w:rPr>
        <w:t xml:space="preserve"> </w:t>
      </w:r>
    </w:p>
    <w:p w:rsidR="006C6098" w:rsidRPr="00FA6F76" w:rsidRDefault="006C6098" w:rsidP="00021119">
      <w:pPr>
        <w:pStyle w:val="Title3LevelTitre3Niveau"/>
        <w:keepNext w:val="0"/>
        <w:rPr>
          <w:rFonts w:cs="Times New Roman"/>
          <w:lang w:val="fr-CA"/>
        </w:rPr>
      </w:pPr>
      <w:r w:rsidRPr="00FA6F76">
        <w:rPr>
          <w:rFonts w:cs="Times New Roman"/>
          <w:lang w:val="fr-CA"/>
        </w:rPr>
        <w:t xml:space="preserve">La </w:t>
      </w:r>
      <w:r w:rsidRPr="00FA6F76">
        <w:rPr>
          <w:rFonts w:cs="Times New Roman"/>
          <w:i/>
          <w:lang w:val="fr-CA"/>
        </w:rPr>
        <w:t>Loi Christopher</w:t>
      </w:r>
    </w:p>
    <w:p w:rsidR="006C6098" w:rsidRPr="00FA6F76" w:rsidRDefault="006C6098" w:rsidP="00021119">
      <w:pPr>
        <w:pStyle w:val="ParaNoNdepar-AltN"/>
        <w:rPr>
          <w:rFonts w:cs="Times New Roman"/>
          <w:lang w:val="fr-CA"/>
        </w:rPr>
      </w:pPr>
      <w:r w:rsidRPr="00FA6F76">
        <w:rPr>
          <w:rFonts w:cs="Times New Roman"/>
          <w:lang w:val="fr-CA"/>
        </w:rPr>
        <w:t xml:space="preserve">En 2001, la </w:t>
      </w:r>
      <w:r w:rsidRPr="00FA6F76">
        <w:rPr>
          <w:rFonts w:cs="Times New Roman"/>
          <w:i/>
          <w:iCs/>
          <w:lang w:val="fr-CA"/>
        </w:rPr>
        <w:t xml:space="preserve">Loi Christopher </w:t>
      </w:r>
      <w:r w:rsidRPr="00FA6F76">
        <w:rPr>
          <w:rFonts w:cs="Times New Roman"/>
          <w:lang w:val="fr-CA"/>
        </w:rPr>
        <w:t>est entrée en vigueur en Ontario.  Il s’agissait de la première loi créant un registre des délinquants sexuels au Canada.  Cette loi a été adoptée à la suite d’une recommandation formulée par un jury dans le cadre d’une enquête du coroner menée en 1993 sur l’enlèvement, l’agression sexuelle et le meurtre, par un délinquant sexuel déjà condamné, d’un garçon de 11</w:t>
      </w:r>
      <w:r w:rsidR="00F23967">
        <w:rPr>
          <w:rFonts w:cs="Times New Roman"/>
          <w:lang w:val="fr-CA"/>
        </w:rPr>
        <w:t xml:space="preserve"> </w:t>
      </w:r>
      <w:r w:rsidRPr="00FA6F76">
        <w:rPr>
          <w:rFonts w:cs="Times New Roman"/>
          <w:lang w:val="fr-CA"/>
        </w:rPr>
        <w:t xml:space="preserve">ans nommé Christopher Stephenson.  Cette loi, qui poursuit des objectifs à la fois préventifs et curatifs, crée un régime d’enregistrement obligatoire des délinquants sexuels dans le but de protéger la société, de diminuer la récidive, d’améliorer la sécurité du public et d’offrir un outil d’enquête important à la police (préambule de la </w:t>
      </w:r>
      <w:r w:rsidRPr="00FA6F76">
        <w:rPr>
          <w:rFonts w:cs="Times New Roman"/>
          <w:i/>
          <w:lang w:val="fr-CA"/>
        </w:rPr>
        <w:t xml:space="preserve">Loi </w:t>
      </w:r>
      <w:r w:rsidRPr="00FA6F76">
        <w:rPr>
          <w:rFonts w:cs="Times New Roman"/>
          <w:i/>
          <w:iCs/>
          <w:lang w:val="fr-CA"/>
        </w:rPr>
        <w:t>Christopher</w:t>
      </w:r>
      <w:r w:rsidRPr="00FA6F76">
        <w:rPr>
          <w:rFonts w:cs="Times New Roman"/>
          <w:lang w:val="fr-CA"/>
        </w:rPr>
        <w:t>; J.</w:t>
      </w:r>
      <w:r w:rsidR="00F23967">
        <w:rPr>
          <w:rFonts w:cs="Times New Roman"/>
          <w:lang w:val="fr-CA"/>
        </w:rPr>
        <w:t xml:space="preserve"> </w:t>
      </w:r>
      <w:proofErr w:type="spellStart"/>
      <w:r w:rsidRPr="00FA6F76">
        <w:rPr>
          <w:rFonts w:cs="Times New Roman"/>
          <w:lang w:val="fr-CA"/>
        </w:rPr>
        <w:t>Benedet</w:t>
      </w:r>
      <w:proofErr w:type="spellEnd"/>
      <w:r w:rsidRPr="00FA6F76">
        <w:rPr>
          <w:rFonts w:cs="Times New Roman"/>
          <w:lang w:val="fr-CA"/>
        </w:rPr>
        <w:t xml:space="preserve">, </w:t>
      </w:r>
      <w:r w:rsidR="00E3692F" w:rsidRPr="003D0CB7">
        <w:rPr>
          <w:lang w:val="fr-CA"/>
        </w:rPr>
        <w:t>«</w:t>
      </w:r>
      <w:r w:rsidR="00E3692F">
        <w:rPr>
          <w:rFonts w:cs="Times New Roman"/>
          <w:iCs/>
          <w:lang w:val="fr-CA"/>
        </w:rPr>
        <w:t> </w:t>
      </w:r>
      <w:r w:rsidRPr="00FA6F76">
        <w:rPr>
          <w:rFonts w:cs="Times New Roman"/>
          <w:lang w:val="fr-CA"/>
        </w:rPr>
        <w:t xml:space="preserve">A </w:t>
      </w:r>
      <w:proofErr w:type="spellStart"/>
      <w:r w:rsidRPr="00FA6F76">
        <w:rPr>
          <w:rFonts w:cs="Times New Roman"/>
          <w:lang w:val="fr-CA"/>
        </w:rPr>
        <w:t>Victim</w:t>
      </w:r>
      <w:proofErr w:type="spellEnd"/>
      <w:r w:rsidR="00F23967">
        <w:rPr>
          <w:rFonts w:cs="Times New Roman"/>
          <w:lang w:val="fr-CA"/>
        </w:rPr>
        <w:t>-</w:t>
      </w:r>
      <w:proofErr w:type="spellStart"/>
      <w:r w:rsidRPr="00FA6F76">
        <w:rPr>
          <w:rFonts w:cs="Times New Roman"/>
          <w:lang w:val="fr-CA"/>
        </w:rPr>
        <w:t>Centred</w:t>
      </w:r>
      <w:proofErr w:type="spellEnd"/>
      <w:r w:rsidRPr="00FA6F76">
        <w:rPr>
          <w:rFonts w:cs="Times New Roman"/>
          <w:lang w:val="fr-CA"/>
        </w:rPr>
        <w:t xml:space="preserve"> </w:t>
      </w:r>
      <w:proofErr w:type="spellStart"/>
      <w:r w:rsidRPr="00FA6F76">
        <w:rPr>
          <w:rFonts w:cs="Times New Roman"/>
          <w:lang w:val="fr-CA"/>
        </w:rPr>
        <w:t>Evaluation</w:t>
      </w:r>
      <w:proofErr w:type="spellEnd"/>
      <w:r w:rsidRPr="00FA6F76">
        <w:rPr>
          <w:rFonts w:cs="Times New Roman"/>
          <w:lang w:val="fr-CA"/>
        </w:rPr>
        <w:t xml:space="preserve"> of the </w:t>
      </w:r>
      <w:proofErr w:type="spellStart"/>
      <w:r w:rsidRPr="00FA6F76">
        <w:rPr>
          <w:rFonts w:cs="Times New Roman"/>
          <w:lang w:val="fr-CA"/>
        </w:rPr>
        <w:t>Federal</w:t>
      </w:r>
      <w:proofErr w:type="spellEnd"/>
      <w:r w:rsidRPr="00FA6F76">
        <w:rPr>
          <w:rFonts w:cs="Times New Roman"/>
          <w:lang w:val="fr-CA"/>
        </w:rPr>
        <w:t xml:space="preserve"> </w:t>
      </w:r>
      <w:proofErr w:type="spellStart"/>
      <w:r w:rsidRPr="00FA6F76">
        <w:rPr>
          <w:rFonts w:cs="Times New Roman"/>
          <w:lang w:val="fr-CA"/>
        </w:rPr>
        <w:t>Sex</w:t>
      </w:r>
      <w:proofErr w:type="spellEnd"/>
      <w:r w:rsidRPr="00FA6F76">
        <w:rPr>
          <w:rFonts w:cs="Times New Roman"/>
          <w:lang w:val="fr-CA"/>
        </w:rPr>
        <w:t xml:space="preserve"> </w:t>
      </w:r>
      <w:proofErr w:type="spellStart"/>
      <w:r w:rsidRPr="00FA6F76">
        <w:rPr>
          <w:rFonts w:cs="Times New Roman"/>
          <w:lang w:val="fr-CA"/>
        </w:rPr>
        <w:t>Offender</w:t>
      </w:r>
      <w:proofErr w:type="spellEnd"/>
      <w:r w:rsidRPr="00FA6F76">
        <w:rPr>
          <w:rFonts w:cs="Times New Roman"/>
          <w:lang w:val="fr-CA"/>
        </w:rPr>
        <w:t xml:space="preserve"> </w:t>
      </w:r>
      <w:proofErr w:type="spellStart"/>
      <w:r w:rsidRPr="00FA6F76">
        <w:rPr>
          <w:rFonts w:cs="Times New Roman"/>
          <w:lang w:val="fr-CA"/>
        </w:rPr>
        <w:t>Registry</w:t>
      </w:r>
      <w:proofErr w:type="spellEnd"/>
      <w:r w:rsidR="00E3692F">
        <w:rPr>
          <w:rFonts w:cs="Times New Roman"/>
          <w:iCs/>
          <w:lang w:val="fr-CA"/>
        </w:rPr>
        <w:t> </w:t>
      </w:r>
      <w:r w:rsidR="00E3692F" w:rsidRPr="003D0CB7">
        <w:rPr>
          <w:lang w:val="fr-CA"/>
        </w:rPr>
        <w:t>»</w:t>
      </w:r>
      <w:r w:rsidRPr="00FA6F76">
        <w:rPr>
          <w:rFonts w:cs="Times New Roman"/>
          <w:lang w:val="fr-CA"/>
        </w:rPr>
        <w:t xml:space="preserve"> (2012), 37 </w:t>
      </w:r>
      <w:proofErr w:type="spellStart"/>
      <w:r w:rsidRPr="00FA6F76">
        <w:rPr>
          <w:rFonts w:cs="Times New Roman"/>
          <w:i/>
          <w:lang w:val="fr-CA"/>
        </w:rPr>
        <w:t>Queen’s</w:t>
      </w:r>
      <w:proofErr w:type="spellEnd"/>
      <w:r w:rsidRPr="00FA6F76">
        <w:rPr>
          <w:rFonts w:cs="Times New Roman"/>
          <w:i/>
          <w:lang w:val="fr-CA"/>
        </w:rPr>
        <w:t xml:space="preserve"> L.J.</w:t>
      </w:r>
      <w:r w:rsidRPr="00FA6F76">
        <w:rPr>
          <w:rFonts w:cs="Times New Roman"/>
          <w:lang w:val="fr-CA"/>
        </w:rPr>
        <w:t xml:space="preserve"> 437). </w:t>
      </w:r>
    </w:p>
    <w:p w:rsidR="006C6098" w:rsidRPr="00FA6F76" w:rsidRDefault="006C6098" w:rsidP="00021119">
      <w:pPr>
        <w:pStyle w:val="ParaNoNdepar-AltN"/>
        <w:rPr>
          <w:rFonts w:cs="Times New Roman"/>
          <w:lang w:val="fr-CA"/>
        </w:rPr>
      </w:pPr>
      <w:r w:rsidRPr="00FA6F76">
        <w:rPr>
          <w:rFonts w:cs="Times New Roman"/>
          <w:lang w:val="fr-CA"/>
        </w:rPr>
        <w:lastRenderedPageBreak/>
        <w:t>Selon l’art</w:t>
      </w:r>
      <w:r w:rsidR="00E909DA">
        <w:rPr>
          <w:rFonts w:cs="Times New Roman"/>
          <w:lang w:val="fr-CA"/>
        </w:rPr>
        <w:t>.</w:t>
      </w:r>
      <w:r w:rsidR="00F23967">
        <w:rPr>
          <w:rFonts w:cs="Times New Roman"/>
          <w:lang w:val="fr-CA"/>
        </w:rPr>
        <w:t xml:space="preserve"> </w:t>
      </w:r>
      <w:r w:rsidRPr="00FA6F76">
        <w:rPr>
          <w:rFonts w:cs="Times New Roman"/>
          <w:lang w:val="fr-CA"/>
        </w:rPr>
        <w:t xml:space="preserve">2 de la </w:t>
      </w:r>
      <w:r w:rsidRPr="00FA6F76">
        <w:rPr>
          <w:rFonts w:cs="Times New Roman"/>
          <w:i/>
          <w:iCs/>
          <w:lang w:val="fr-CA"/>
        </w:rPr>
        <w:t>Loi Christopher</w:t>
      </w:r>
      <w:r w:rsidRPr="00FA6F76">
        <w:rPr>
          <w:rFonts w:cs="Times New Roman"/>
          <w:lang w:val="fr-CA"/>
        </w:rPr>
        <w:t>, le Ministère doit créer et tenir un registre dans lequel figurent les nom, date de naissance et adresse des délinquants sexuels, ainsi que les infractions sexuelles pour lesquelles ils purgent ou ont purgé une peine ou dont ils ont été déclarés coupables ou déclarés non responsables criminellement pour cause de troubles mentaux.  Les autres renseignements à inscrire au registre sont prévus par règlement (</w:t>
      </w:r>
      <w:proofErr w:type="spellStart"/>
      <w:r w:rsidRPr="00FA6F76">
        <w:rPr>
          <w:rFonts w:cs="Times New Roman"/>
          <w:lang w:val="fr-CA"/>
        </w:rPr>
        <w:t>Règl</w:t>
      </w:r>
      <w:proofErr w:type="spellEnd"/>
      <w:r w:rsidRPr="00FA6F76">
        <w:rPr>
          <w:rFonts w:cs="Times New Roman"/>
          <w:lang w:val="fr-CA"/>
        </w:rPr>
        <w:t>. de l’Ont. 69/01, par.</w:t>
      </w:r>
      <w:r w:rsidR="00F23967">
        <w:rPr>
          <w:rFonts w:cs="Times New Roman"/>
          <w:lang w:val="fr-CA"/>
        </w:rPr>
        <w:t xml:space="preserve"> </w:t>
      </w:r>
      <w:r w:rsidRPr="00FA6F76">
        <w:rPr>
          <w:rFonts w:cs="Times New Roman"/>
          <w:lang w:val="fr-CA"/>
        </w:rPr>
        <w:t xml:space="preserve">2(1)).  Parmi ces renseignements, mentionnons des photographies du délinquant et son signalement, l’adresse et le numéro de téléphone de son lieu de travail, l’adresse de toute résidence secondaire, ainsi que le nom et l’adresse de tout établissement d’enseignement où le délinquant est ou était inscrit, fréquente ou a fréquenté ou travaille ou a travaillé.  On trouve dans le registre des renseignements fournis directement par le délinquant, ainsi que des renseignements obtenus des gouvernements fédéral et provinciaux.  Ces renseignements sont informatisés et la police y a accès partout sur le territoire de la province. </w:t>
      </w:r>
    </w:p>
    <w:p w:rsidR="006C6098" w:rsidRPr="00FA6F76" w:rsidRDefault="006C6098" w:rsidP="00021119">
      <w:pPr>
        <w:pStyle w:val="ParaNoNdepar-AltN"/>
        <w:rPr>
          <w:rFonts w:cs="Times New Roman"/>
          <w:lang w:val="fr-CA"/>
        </w:rPr>
      </w:pPr>
      <w:r w:rsidRPr="00FA6F76">
        <w:rPr>
          <w:rFonts w:cs="Times New Roman"/>
          <w:lang w:val="fr-CA"/>
        </w:rPr>
        <w:t>Les délinquants sexuels inscrits sont tenus de se présenter chaque année à la police et de l’aviser sans délai de tout changement d’adresse (art.</w:t>
      </w:r>
      <w:r w:rsidR="00F23967">
        <w:rPr>
          <w:rFonts w:cs="Times New Roman"/>
          <w:lang w:val="fr-CA"/>
        </w:rPr>
        <w:t xml:space="preserve"> </w:t>
      </w:r>
      <w:r w:rsidRPr="00FA6F76">
        <w:rPr>
          <w:rFonts w:cs="Times New Roman"/>
          <w:lang w:val="fr-CA"/>
        </w:rPr>
        <w:t xml:space="preserve">3 de la </w:t>
      </w:r>
      <w:r w:rsidRPr="00FA6F76">
        <w:rPr>
          <w:rFonts w:cs="Times New Roman"/>
          <w:i/>
          <w:iCs/>
          <w:lang w:val="fr-CA"/>
        </w:rPr>
        <w:t>Loi</w:t>
      </w:r>
      <w:r w:rsidR="00F23967">
        <w:rPr>
          <w:rFonts w:cs="Times New Roman"/>
          <w:i/>
          <w:iCs/>
          <w:lang w:val="fr-CA"/>
        </w:rPr>
        <w:t xml:space="preserve"> </w:t>
      </w:r>
      <w:r w:rsidRPr="00FA6F76">
        <w:rPr>
          <w:rFonts w:cs="Times New Roman"/>
          <w:i/>
          <w:iCs/>
          <w:lang w:val="fr-CA"/>
        </w:rPr>
        <w:t>Christopher</w:t>
      </w:r>
      <w:r w:rsidRPr="00FA6F76">
        <w:rPr>
          <w:rFonts w:cs="Times New Roman"/>
          <w:iCs/>
          <w:lang w:val="fr-CA"/>
        </w:rPr>
        <w:t xml:space="preserve">).  </w:t>
      </w:r>
      <w:r w:rsidRPr="00FA6F76">
        <w:rPr>
          <w:rFonts w:cs="Times New Roman"/>
          <w:lang w:val="fr-CA"/>
        </w:rPr>
        <w:t xml:space="preserve">L’omission de se conformer à la </w:t>
      </w:r>
      <w:r w:rsidRPr="00FA6F76">
        <w:rPr>
          <w:rFonts w:cs="Times New Roman"/>
          <w:i/>
          <w:iCs/>
          <w:lang w:val="fr-CA"/>
        </w:rPr>
        <w:t>Loi Christopher</w:t>
      </w:r>
      <w:r w:rsidRPr="00FA6F76">
        <w:rPr>
          <w:rFonts w:cs="Times New Roman"/>
          <w:lang w:val="fr-CA"/>
        </w:rPr>
        <w:t xml:space="preserve"> constitue une infraction aux termes de son par.</w:t>
      </w:r>
      <w:r w:rsidR="00F23967">
        <w:rPr>
          <w:rFonts w:cs="Times New Roman"/>
          <w:lang w:val="fr-CA"/>
        </w:rPr>
        <w:t xml:space="preserve"> </w:t>
      </w:r>
      <w:r w:rsidRPr="00FA6F76">
        <w:rPr>
          <w:rFonts w:cs="Times New Roman"/>
          <w:lang w:val="fr-CA"/>
        </w:rPr>
        <w:t xml:space="preserve">11(1). </w:t>
      </w:r>
    </w:p>
    <w:p w:rsidR="006C6098" w:rsidRPr="00FA6F76" w:rsidRDefault="006C6098" w:rsidP="00021119">
      <w:pPr>
        <w:pStyle w:val="ParaNoNdepar-AltN"/>
        <w:rPr>
          <w:rFonts w:cs="Times New Roman"/>
          <w:lang w:val="fr-CA"/>
        </w:rPr>
      </w:pPr>
      <w:r w:rsidRPr="00FA6F76">
        <w:rPr>
          <w:rFonts w:cs="Times New Roman"/>
          <w:lang w:val="fr-CA"/>
        </w:rPr>
        <w:t>Le Ministère et la police gardent confidentiels les renseignements contenus dans le registre.  Le caractère confidentiel du registre le distingue des registres accessibles au public qui existent aux États</w:t>
      </w:r>
      <w:r w:rsidR="00F23967">
        <w:rPr>
          <w:rFonts w:cs="Times New Roman"/>
          <w:lang w:val="fr-CA"/>
        </w:rPr>
        <w:t>-</w:t>
      </w:r>
      <w:r w:rsidRPr="00FA6F76">
        <w:rPr>
          <w:rFonts w:cs="Times New Roman"/>
          <w:lang w:val="fr-CA"/>
        </w:rPr>
        <w:t>Unis (</w:t>
      </w:r>
      <w:r w:rsidR="0043002B">
        <w:rPr>
          <w:rFonts w:cs="Times New Roman"/>
          <w:lang w:val="fr-CA"/>
        </w:rPr>
        <w:t xml:space="preserve">voir </w:t>
      </w:r>
      <w:proofErr w:type="spellStart"/>
      <w:r w:rsidRPr="00FA6F76">
        <w:rPr>
          <w:rFonts w:cs="Times New Roman"/>
          <w:lang w:val="fr-CA"/>
        </w:rPr>
        <w:t>Benedet</w:t>
      </w:r>
      <w:proofErr w:type="spellEnd"/>
      <w:r w:rsidRPr="00FA6F76">
        <w:rPr>
          <w:rFonts w:cs="Times New Roman"/>
          <w:lang w:val="fr-CA"/>
        </w:rPr>
        <w:t>, p.</w:t>
      </w:r>
      <w:r w:rsidR="00F23967">
        <w:rPr>
          <w:rFonts w:cs="Times New Roman"/>
          <w:lang w:val="fr-CA"/>
        </w:rPr>
        <w:t xml:space="preserve"> </w:t>
      </w:r>
      <w:r w:rsidRPr="00FA6F76">
        <w:rPr>
          <w:rFonts w:cs="Times New Roman"/>
          <w:lang w:val="fr-CA"/>
        </w:rPr>
        <w:t xml:space="preserve">442 et  </w:t>
      </w:r>
      <w:r w:rsidRPr="00FA6F76">
        <w:rPr>
          <w:rFonts w:cs="Times New Roman"/>
          <w:lang w:val="fr-CA"/>
        </w:rPr>
        <w:lastRenderedPageBreak/>
        <w:t xml:space="preserve">470).  On justifie la confidentialité des renseignements contenus dans le registre en expliquant qu’on incite ainsi les délinquants à se conformer aux exigences en matière d’enregistrement et de déclaration, ce qui en fait un outil d’application de la loi plus utile, tout en réduisant le risque qu’un préjudice soit infligé aux délinquants par des citoyens qui s’octroieraient un rôle de justicier. </w:t>
      </w:r>
    </w:p>
    <w:p w:rsidR="006C6098" w:rsidRPr="00FA6F76" w:rsidRDefault="006C6098" w:rsidP="00021119">
      <w:pPr>
        <w:pStyle w:val="Title3LevelTitre3Niveau"/>
        <w:keepNext w:val="0"/>
        <w:rPr>
          <w:rFonts w:cs="Times New Roman"/>
          <w:lang w:val="fr-CA"/>
        </w:rPr>
      </w:pPr>
      <w:r w:rsidRPr="00FA6F76">
        <w:rPr>
          <w:rFonts w:cs="Times New Roman"/>
        </w:rPr>
        <w:t>La</w:t>
      </w:r>
      <w:r w:rsidRPr="00FA6F76">
        <w:rPr>
          <w:rFonts w:cs="Times New Roman"/>
          <w:lang w:val="fr-CA"/>
        </w:rPr>
        <w:t xml:space="preserve"> </w:t>
      </w:r>
      <w:r w:rsidRPr="00FA6F76">
        <w:rPr>
          <w:rFonts w:cs="Times New Roman"/>
          <w:i/>
          <w:lang w:val="fr-CA"/>
        </w:rPr>
        <w:t>LAIPVP</w:t>
      </w:r>
      <w:r w:rsidRPr="00FA6F76">
        <w:rPr>
          <w:rFonts w:cs="Times New Roman"/>
          <w:lang w:val="fr-CA"/>
        </w:rPr>
        <w:t xml:space="preserve"> </w:t>
      </w:r>
    </w:p>
    <w:p w:rsidR="006C6098" w:rsidRPr="00FA6F76" w:rsidRDefault="006C6098" w:rsidP="00021119">
      <w:pPr>
        <w:pStyle w:val="ParaNoNdepar-AltN"/>
        <w:rPr>
          <w:rFonts w:cs="Times New Roman"/>
          <w:lang w:val="fr-CA"/>
        </w:rPr>
      </w:pPr>
      <w:r w:rsidRPr="00FA6F76">
        <w:rPr>
          <w:rFonts w:cs="Times New Roman"/>
          <w:lang w:val="fr-CA"/>
        </w:rPr>
        <w:t xml:space="preserve">La </w:t>
      </w:r>
      <w:r w:rsidRPr="00FA6F76">
        <w:rPr>
          <w:rFonts w:cs="Times New Roman"/>
          <w:i/>
          <w:iCs/>
          <w:lang w:val="fr-CA"/>
        </w:rPr>
        <w:t xml:space="preserve">LAIPVP </w:t>
      </w:r>
      <w:r w:rsidRPr="00FA6F76">
        <w:rPr>
          <w:rFonts w:cs="Times New Roman"/>
          <w:lang w:val="fr-CA"/>
        </w:rPr>
        <w:t xml:space="preserve">reconnaît un droit général d’accès à l’information régie par une institution (terme défini par la Loi et désignant les divers organismes gouvernementaux et organismes connexes), sauf si le document demandé est visé par l’une des exceptions énumérées </w:t>
      </w:r>
      <w:proofErr w:type="gramStart"/>
      <w:r w:rsidRPr="00FA6F76">
        <w:rPr>
          <w:rFonts w:cs="Times New Roman"/>
          <w:lang w:val="fr-CA"/>
        </w:rPr>
        <w:t>aux art</w:t>
      </w:r>
      <w:proofErr w:type="gramEnd"/>
      <w:r w:rsidRPr="00FA6F76">
        <w:rPr>
          <w:rFonts w:cs="Times New Roman"/>
          <w:lang w:val="fr-CA"/>
        </w:rPr>
        <w:t>.</w:t>
      </w:r>
      <w:r w:rsidR="00F23967">
        <w:rPr>
          <w:rFonts w:cs="Times New Roman"/>
          <w:lang w:val="fr-CA"/>
        </w:rPr>
        <w:t xml:space="preserve"> </w:t>
      </w:r>
      <w:r w:rsidRPr="00FA6F76">
        <w:rPr>
          <w:rFonts w:cs="Times New Roman"/>
          <w:lang w:val="fr-CA"/>
        </w:rPr>
        <w:t>12 à 22 (par.</w:t>
      </w:r>
      <w:r w:rsidR="00F23967">
        <w:rPr>
          <w:rFonts w:cs="Times New Roman"/>
          <w:lang w:val="fr-CA"/>
        </w:rPr>
        <w:t xml:space="preserve"> </w:t>
      </w:r>
      <w:r w:rsidRPr="00FA6F76">
        <w:rPr>
          <w:rFonts w:cs="Times New Roman"/>
          <w:lang w:val="fr-CA"/>
        </w:rPr>
        <w:t xml:space="preserve">10(1)).  Parmi ces dernières, il existe une exception obligatoire applicable aux </w:t>
      </w:r>
      <w:r w:rsidR="00E3692F" w:rsidRPr="003D0CB7">
        <w:rPr>
          <w:lang w:val="fr-CA"/>
        </w:rPr>
        <w:t>«</w:t>
      </w:r>
      <w:r w:rsidR="00E3692F">
        <w:rPr>
          <w:rFonts w:cs="Times New Roman"/>
          <w:iCs/>
          <w:lang w:val="fr-CA"/>
        </w:rPr>
        <w:t> </w:t>
      </w:r>
      <w:r w:rsidRPr="00FA6F76">
        <w:rPr>
          <w:rFonts w:cs="Times New Roman"/>
          <w:lang w:val="fr-CA"/>
        </w:rPr>
        <w:t>renseignements personnels</w:t>
      </w:r>
      <w:r w:rsidR="00E3692F">
        <w:rPr>
          <w:rFonts w:cs="Times New Roman"/>
          <w:iCs/>
          <w:lang w:val="fr-CA"/>
        </w:rPr>
        <w:t> </w:t>
      </w:r>
      <w:r w:rsidR="00E3692F" w:rsidRPr="003D0CB7">
        <w:rPr>
          <w:lang w:val="fr-CA"/>
        </w:rPr>
        <w:t>»</w:t>
      </w:r>
      <w:r w:rsidRPr="00FA6F76">
        <w:rPr>
          <w:rFonts w:cs="Times New Roman"/>
          <w:lang w:val="fr-CA"/>
        </w:rPr>
        <w:t xml:space="preserve"> de tiers, que la </w:t>
      </w:r>
      <w:r w:rsidRPr="00FA6F76">
        <w:rPr>
          <w:rFonts w:cs="Times New Roman"/>
          <w:i/>
          <w:iCs/>
          <w:lang w:val="fr-CA"/>
        </w:rPr>
        <w:t xml:space="preserve">LAIPVP </w:t>
      </w:r>
      <w:r w:rsidRPr="00FA6F76">
        <w:rPr>
          <w:rFonts w:cs="Times New Roman"/>
          <w:lang w:val="fr-CA"/>
        </w:rPr>
        <w:t xml:space="preserve">définit entre autres comme des </w:t>
      </w:r>
      <w:r w:rsidR="00E3692F" w:rsidRPr="003D0CB7">
        <w:rPr>
          <w:lang w:val="fr-CA"/>
        </w:rPr>
        <w:t>«</w:t>
      </w:r>
      <w:r w:rsidR="00E3692F">
        <w:rPr>
          <w:rFonts w:cs="Times New Roman"/>
          <w:iCs/>
          <w:lang w:val="fr-CA"/>
        </w:rPr>
        <w:t> </w:t>
      </w:r>
      <w:r w:rsidR="0043002B">
        <w:rPr>
          <w:rFonts w:cs="Times New Roman"/>
          <w:iCs/>
          <w:lang w:val="fr-CA"/>
        </w:rPr>
        <w:t>[</w:t>
      </w:r>
      <w:r w:rsidRPr="00FA6F76">
        <w:rPr>
          <w:rFonts w:cs="Times New Roman"/>
          <w:lang w:val="fr-CA"/>
        </w:rPr>
        <w:t>r</w:t>
      </w:r>
      <w:r w:rsidR="0043002B">
        <w:rPr>
          <w:rFonts w:cs="Times New Roman"/>
          <w:lang w:val="fr-CA"/>
        </w:rPr>
        <w:t>]</w:t>
      </w:r>
      <w:r w:rsidRPr="00FA6F76">
        <w:rPr>
          <w:rFonts w:cs="Times New Roman"/>
          <w:lang w:val="fr-CA"/>
        </w:rPr>
        <w:t xml:space="preserve">enseignements consignés ayant trait à </w:t>
      </w:r>
      <w:r w:rsidRPr="00FA6F76">
        <w:rPr>
          <w:rFonts w:cs="Times New Roman"/>
          <w:u w:val="single"/>
          <w:lang w:val="fr-CA"/>
        </w:rPr>
        <w:t>un particulier qui peut être identifié</w:t>
      </w:r>
      <w:r w:rsidR="00E3692F">
        <w:rPr>
          <w:rFonts w:cs="Times New Roman"/>
          <w:iCs/>
          <w:lang w:val="fr-CA"/>
        </w:rPr>
        <w:t> </w:t>
      </w:r>
      <w:r w:rsidR="00E3692F" w:rsidRPr="003D0CB7">
        <w:rPr>
          <w:lang w:val="fr-CA"/>
        </w:rPr>
        <w:t>»</w:t>
      </w:r>
      <w:r w:rsidRPr="00FA6F76">
        <w:rPr>
          <w:rFonts w:cs="Times New Roman"/>
          <w:lang w:val="fr-CA"/>
        </w:rPr>
        <w:t xml:space="preserve"> (par.</w:t>
      </w:r>
      <w:r w:rsidR="00F23967">
        <w:rPr>
          <w:rFonts w:cs="Times New Roman"/>
          <w:lang w:val="fr-CA"/>
        </w:rPr>
        <w:t xml:space="preserve"> </w:t>
      </w:r>
      <w:r w:rsidRPr="00FA6F76">
        <w:rPr>
          <w:rFonts w:cs="Times New Roman"/>
          <w:lang w:val="fr-CA"/>
        </w:rPr>
        <w:t xml:space="preserve">2(1)).  La </w:t>
      </w:r>
      <w:r w:rsidRPr="00FA6F76">
        <w:rPr>
          <w:rFonts w:cs="Times New Roman"/>
          <w:i/>
          <w:iCs/>
          <w:lang w:val="fr-CA"/>
        </w:rPr>
        <w:t xml:space="preserve">LAIPVP </w:t>
      </w:r>
      <w:r w:rsidRPr="00FA6F76">
        <w:rPr>
          <w:rFonts w:cs="Times New Roman"/>
          <w:iCs/>
          <w:lang w:val="fr-CA"/>
        </w:rPr>
        <w:t>prévoit</w:t>
      </w:r>
      <w:r w:rsidRPr="00FA6F76">
        <w:rPr>
          <w:rFonts w:cs="Times New Roman"/>
          <w:lang w:val="fr-CA"/>
        </w:rPr>
        <w:t xml:space="preserve"> également des exceptions discrétionnaires se rapportant à l’application de la loi, notamment lorsqu’il est raisonnable de s’attendre à ce que la divulgation ait pour effet de </w:t>
      </w:r>
      <w:r w:rsidR="00E3692F" w:rsidRPr="003D0CB7">
        <w:rPr>
          <w:lang w:val="fr-CA"/>
        </w:rPr>
        <w:t>«</w:t>
      </w:r>
      <w:r w:rsidR="00E3692F">
        <w:rPr>
          <w:rFonts w:cs="Times New Roman"/>
          <w:iCs/>
          <w:lang w:val="fr-CA"/>
        </w:rPr>
        <w:t> </w:t>
      </w:r>
      <w:r w:rsidRPr="00FA6F76">
        <w:rPr>
          <w:rFonts w:cs="Times New Roman"/>
          <w:lang w:val="fr-CA"/>
        </w:rPr>
        <w:t>constituer une menace à la vie ou à la sécurité physique d’un agent d’exécution de la loi ou d’une autre personne</w:t>
      </w:r>
      <w:r w:rsidR="00E3692F">
        <w:rPr>
          <w:rFonts w:cs="Times New Roman"/>
          <w:iCs/>
          <w:lang w:val="fr-CA"/>
        </w:rPr>
        <w:t> </w:t>
      </w:r>
      <w:r w:rsidR="00E3692F" w:rsidRPr="003D0CB7">
        <w:rPr>
          <w:lang w:val="fr-CA"/>
        </w:rPr>
        <w:t>»</w:t>
      </w:r>
      <w:r w:rsidRPr="00FA6F76">
        <w:rPr>
          <w:rFonts w:cs="Times New Roman"/>
          <w:lang w:val="fr-CA"/>
        </w:rPr>
        <w:t xml:space="preserve"> ou de </w:t>
      </w:r>
      <w:r w:rsidR="00E3692F" w:rsidRPr="003D0CB7">
        <w:rPr>
          <w:lang w:val="fr-CA"/>
        </w:rPr>
        <w:t>«</w:t>
      </w:r>
      <w:r w:rsidR="00E3692F">
        <w:rPr>
          <w:rFonts w:cs="Times New Roman"/>
          <w:iCs/>
          <w:lang w:val="fr-CA"/>
        </w:rPr>
        <w:t> </w:t>
      </w:r>
      <w:r w:rsidRPr="00FA6F76">
        <w:rPr>
          <w:rFonts w:cs="Times New Roman"/>
          <w:lang w:val="fr-CA"/>
        </w:rPr>
        <w:t>faciliter la perpétration d’un acte illégal ou d’entraver la répression du crime</w:t>
      </w:r>
      <w:r w:rsidR="00E3692F">
        <w:rPr>
          <w:rFonts w:cs="Times New Roman"/>
          <w:iCs/>
          <w:lang w:val="fr-CA"/>
        </w:rPr>
        <w:t> </w:t>
      </w:r>
      <w:r w:rsidR="00E3692F" w:rsidRPr="003D0CB7">
        <w:rPr>
          <w:lang w:val="fr-CA"/>
        </w:rPr>
        <w:t>»</w:t>
      </w:r>
      <w:r w:rsidRPr="00FA6F76">
        <w:rPr>
          <w:rFonts w:cs="Times New Roman"/>
          <w:lang w:val="fr-CA"/>
        </w:rPr>
        <w:t xml:space="preserve"> (al.</w:t>
      </w:r>
      <w:r w:rsidR="00F23967">
        <w:rPr>
          <w:rFonts w:cs="Times New Roman"/>
          <w:lang w:val="fr-CA"/>
        </w:rPr>
        <w:t xml:space="preserve"> </w:t>
      </w:r>
      <w:r w:rsidRPr="00FA6F76">
        <w:rPr>
          <w:rFonts w:cs="Times New Roman"/>
          <w:lang w:val="fr-CA"/>
        </w:rPr>
        <w:t>14(1</w:t>
      </w:r>
      <w:proofErr w:type="gramStart"/>
      <w:r w:rsidRPr="00FA6F76">
        <w:rPr>
          <w:rFonts w:cs="Times New Roman"/>
          <w:lang w:val="fr-CA"/>
        </w:rPr>
        <w:t>)</w:t>
      </w:r>
      <w:r w:rsidRPr="00FA6F76">
        <w:rPr>
          <w:rFonts w:cs="Times New Roman"/>
          <w:iCs/>
          <w:lang w:val="fr-CA"/>
        </w:rPr>
        <w:t>e</w:t>
      </w:r>
      <w:proofErr w:type="gramEnd"/>
      <w:r w:rsidRPr="00FA6F76">
        <w:rPr>
          <w:rFonts w:cs="Times New Roman"/>
          <w:lang w:val="fr-CA"/>
        </w:rPr>
        <w:t>) et</w:t>
      </w:r>
      <w:r w:rsidRPr="00FA6F76">
        <w:rPr>
          <w:rFonts w:cs="Times New Roman"/>
          <w:i/>
          <w:iCs/>
          <w:lang w:val="fr-CA"/>
        </w:rPr>
        <w:t xml:space="preserve"> </w:t>
      </w:r>
      <w:r w:rsidR="0043002B" w:rsidRPr="0043002B">
        <w:rPr>
          <w:rFonts w:cs="Times New Roman"/>
          <w:iCs/>
          <w:lang w:val="fr-CA"/>
        </w:rPr>
        <w:t>14</w:t>
      </w:r>
      <w:r w:rsidR="0043002B">
        <w:rPr>
          <w:rFonts w:cs="Times New Roman"/>
          <w:iCs/>
          <w:lang w:val="fr-CA"/>
        </w:rPr>
        <w:t>(1)</w:t>
      </w:r>
      <w:r w:rsidRPr="00FA6F76">
        <w:rPr>
          <w:rFonts w:cs="Times New Roman"/>
          <w:iCs/>
          <w:lang w:val="fr-CA"/>
        </w:rPr>
        <w:t>l</w:t>
      </w:r>
      <w:r w:rsidRPr="00FA6F76">
        <w:rPr>
          <w:rFonts w:cs="Times New Roman"/>
          <w:lang w:val="fr-CA"/>
        </w:rPr>
        <w:t xml:space="preserve">)).  Les exceptions relatives à l’application de la loi ont pour objet de protéger le public et d’assurer l’application efficace de la loi. </w:t>
      </w:r>
    </w:p>
    <w:p w:rsidR="006C6098" w:rsidRPr="00FA6F76" w:rsidRDefault="006C6098" w:rsidP="00021119">
      <w:pPr>
        <w:pStyle w:val="ParaNoNdepar-AltN"/>
        <w:rPr>
          <w:rFonts w:cs="Times New Roman"/>
          <w:lang w:val="fr-CA"/>
        </w:rPr>
      </w:pPr>
      <w:r w:rsidRPr="00FA6F76">
        <w:rPr>
          <w:rFonts w:cs="Times New Roman"/>
          <w:lang w:val="fr-CA"/>
        </w:rPr>
        <w:lastRenderedPageBreak/>
        <w:t>L’article</w:t>
      </w:r>
      <w:r w:rsidR="00F23967">
        <w:rPr>
          <w:rFonts w:cs="Times New Roman"/>
          <w:lang w:val="fr-CA"/>
        </w:rPr>
        <w:t xml:space="preserve"> </w:t>
      </w:r>
      <w:r w:rsidRPr="00FA6F76">
        <w:rPr>
          <w:rFonts w:cs="Times New Roman"/>
          <w:lang w:val="fr-CA"/>
        </w:rPr>
        <w:t xml:space="preserve">67 de la </w:t>
      </w:r>
      <w:r w:rsidRPr="00FA6F76">
        <w:rPr>
          <w:rFonts w:cs="Times New Roman"/>
          <w:i/>
          <w:iCs/>
          <w:lang w:val="fr-CA"/>
        </w:rPr>
        <w:t xml:space="preserve">LAIPVP </w:t>
      </w:r>
      <w:r w:rsidRPr="00FA6F76">
        <w:rPr>
          <w:rFonts w:cs="Times New Roman"/>
          <w:lang w:val="fr-CA"/>
        </w:rPr>
        <w:t>prévoit que celle</w:t>
      </w:r>
      <w:r w:rsidR="00F23967">
        <w:rPr>
          <w:rFonts w:cs="Times New Roman"/>
          <w:lang w:val="fr-CA"/>
        </w:rPr>
        <w:t>-</w:t>
      </w:r>
      <w:r w:rsidRPr="00FA6F76">
        <w:rPr>
          <w:rFonts w:cs="Times New Roman"/>
          <w:lang w:val="fr-CA"/>
        </w:rPr>
        <w:t>ci a généralement priorité sur toute disposition d’une autre loi qui traite du caractère confidentiel</w:t>
      </w:r>
      <w:r w:rsidR="00F23967">
        <w:rPr>
          <w:rFonts w:cs="Times New Roman"/>
          <w:lang w:val="fr-CA"/>
        </w:rPr>
        <w:t xml:space="preserve"> </w:t>
      </w:r>
      <w:r w:rsidRPr="00FA6F76">
        <w:rPr>
          <w:rFonts w:cs="Times New Roman"/>
          <w:lang w:val="fr-CA"/>
        </w:rPr>
        <w:t>:</w:t>
      </w:r>
      <w:r w:rsidR="00E3692F" w:rsidRPr="00E3692F">
        <w:rPr>
          <w:rFonts w:cs="Times New Roman"/>
          <w:iCs/>
          <w:lang w:val="fr-CA"/>
        </w:rPr>
        <w:t xml:space="preserve"> </w:t>
      </w:r>
    </w:p>
    <w:p w:rsidR="006C6098" w:rsidRPr="00FA6F76" w:rsidRDefault="006C6098" w:rsidP="00021119">
      <w:pPr>
        <w:pStyle w:val="Citation-AltC"/>
        <w:ind w:hanging="1166"/>
        <w:contextualSpacing w:val="0"/>
        <w:rPr>
          <w:lang w:val="fr-CA"/>
        </w:rPr>
      </w:pPr>
      <w:r w:rsidRPr="00FA6F76">
        <w:rPr>
          <w:b/>
          <w:bCs/>
          <w:lang w:val="fr-CA"/>
        </w:rPr>
        <w:tab/>
      </w:r>
      <w:r w:rsidRPr="00FA6F76">
        <w:rPr>
          <w:b/>
          <w:bCs/>
          <w:lang w:val="fr-CA"/>
        </w:rPr>
        <w:tab/>
        <w:t>67</w:t>
      </w:r>
      <w:r w:rsidR="00F23967">
        <w:rPr>
          <w:lang w:val="fr-CA"/>
        </w:rPr>
        <w:t xml:space="preserve"> </w:t>
      </w:r>
      <w:r w:rsidR="009E13BD">
        <w:rPr>
          <w:lang w:val="fr-CA"/>
        </w:rPr>
        <w:t xml:space="preserve"> </w:t>
      </w:r>
      <w:r w:rsidRPr="00FA6F76">
        <w:rPr>
          <w:lang w:val="fr-CA"/>
        </w:rPr>
        <w:t>(1)</w:t>
      </w:r>
      <w:r w:rsidR="00F23967">
        <w:rPr>
          <w:lang w:val="fr-CA"/>
        </w:rPr>
        <w:t xml:space="preserve">  </w:t>
      </w:r>
      <w:r w:rsidRPr="00FA6F76">
        <w:rPr>
          <w:lang w:val="fr-CA"/>
        </w:rPr>
        <w:t>Sauf disposition contraire expresse du paragraphe</w:t>
      </w:r>
      <w:r w:rsidR="00F23967">
        <w:rPr>
          <w:lang w:val="fr-CA"/>
        </w:rPr>
        <w:t xml:space="preserve"> </w:t>
      </w:r>
      <w:r w:rsidRPr="00FA6F76">
        <w:rPr>
          <w:lang w:val="fr-CA"/>
        </w:rPr>
        <w:t>(2) ou d’une autre loi, la présente loi l’emporte sur toute disposition d’une autre loi qui traite du caractère confidentiel.</w:t>
      </w:r>
    </w:p>
    <w:p w:rsidR="006C6098" w:rsidRPr="00FA6F76" w:rsidRDefault="006C6098" w:rsidP="00021119">
      <w:pPr>
        <w:pStyle w:val="ParaNoNdepar-AltN"/>
        <w:rPr>
          <w:rFonts w:cs="Times New Roman"/>
          <w:lang w:val="fr-CA"/>
        </w:rPr>
      </w:pPr>
      <w:r w:rsidRPr="00FA6F76">
        <w:rPr>
          <w:rFonts w:cs="Times New Roman"/>
          <w:lang w:val="fr-CA"/>
        </w:rPr>
        <w:t>À la lumière du par.</w:t>
      </w:r>
      <w:r w:rsidR="00F23967">
        <w:rPr>
          <w:rFonts w:cs="Times New Roman"/>
          <w:lang w:val="fr-CA"/>
        </w:rPr>
        <w:t xml:space="preserve"> </w:t>
      </w:r>
      <w:r w:rsidRPr="00FA6F76">
        <w:rPr>
          <w:rFonts w:cs="Times New Roman"/>
          <w:lang w:val="fr-CA"/>
        </w:rPr>
        <w:t xml:space="preserve">67(1), une institution ne peut refuser de communiquer un document demandé en vertu de la </w:t>
      </w:r>
      <w:r w:rsidRPr="00FA6F76">
        <w:rPr>
          <w:rFonts w:cs="Times New Roman"/>
          <w:i/>
          <w:iCs/>
          <w:lang w:val="fr-CA"/>
        </w:rPr>
        <w:t xml:space="preserve">LAIPVP </w:t>
      </w:r>
      <w:r w:rsidRPr="00FA6F76">
        <w:rPr>
          <w:rFonts w:cs="Times New Roman"/>
          <w:iCs/>
          <w:lang w:val="fr-CA"/>
        </w:rPr>
        <w:t>en invoquant le fait</w:t>
      </w:r>
      <w:r w:rsidRPr="00FA6F76">
        <w:rPr>
          <w:rFonts w:cs="Times New Roman"/>
          <w:i/>
          <w:iCs/>
          <w:lang w:val="fr-CA"/>
        </w:rPr>
        <w:t xml:space="preserve"> </w:t>
      </w:r>
      <w:r w:rsidRPr="00FA6F76">
        <w:rPr>
          <w:rFonts w:cs="Times New Roman"/>
          <w:lang w:val="fr-CA"/>
        </w:rPr>
        <w:t>que sa loi constitutive l’oblige à garder confidentiels les renseignements contenus dans le document demandé.  Le paragraphe</w:t>
      </w:r>
      <w:r w:rsidR="00F23967">
        <w:rPr>
          <w:rFonts w:cs="Times New Roman"/>
          <w:lang w:val="fr-CA"/>
        </w:rPr>
        <w:t xml:space="preserve"> </w:t>
      </w:r>
      <w:r w:rsidRPr="00FA6F76">
        <w:rPr>
          <w:rFonts w:cs="Times New Roman"/>
          <w:lang w:val="fr-CA"/>
        </w:rPr>
        <w:t xml:space="preserve">67(2) énumère des dispositions précises traitant du caractère confidentiel qui l’emportent sur la </w:t>
      </w:r>
      <w:r w:rsidRPr="00FA6F76">
        <w:rPr>
          <w:rFonts w:cs="Times New Roman"/>
          <w:i/>
          <w:iCs/>
          <w:lang w:val="fr-CA"/>
        </w:rPr>
        <w:t>LAIPVP</w:t>
      </w:r>
      <w:r w:rsidRPr="00E07C62">
        <w:rPr>
          <w:rFonts w:cs="Times New Roman"/>
          <w:iCs/>
          <w:lang w:val="fr-CA"/>
        </w:rPr>
        <w:t>.</w:t>
      </w:r>
      <w:r w:rsidRPr="00FA6F76">
        <w:rPr>
          <w:rFonts w:cs="Times New Roman"/>
          <w:i/>
          <w:iCs/>
          <w:lang w:val="fr-CA"/>
        </w:rPr>
        <w:t xml:space="preserve">  </w:t>
      </w:r>
      <w:r w:rsidRPr="00FA6F76">
        <w:rPr>
          <w:rFonts w:cs="Times New Roman"/>
          <w:lang w:val="fr-CA"/>
        </w:rPr>
        <w:t xml:space="preserve">On n’y trouve aucune des dispositions de la </w:t>
      </w:r>
      <w:r w:rsidRPr="00FA6F76">
        <w:rPr>
          <w:rFonts w:cs="Times New Roman"/>
          <w:i/>
          <w:iCs/>
          <w:lang w:val="fr-CA"/>
        </w:rPr>
        <w:t>Loi Christopher</w:t>
      </w:r>
      <w:r w:rsidRPr="00FA6F76">
        <w:rPr>
          <w:rFonts w:cs="Times New Roman"/>
          <w:lang w:val="fr-CA"/>
        </w:rPr>
        <w:t xml:space="preserve">. </w:t>
      </w:r>
    </w:p>
    <w:p w:rsidR="006C6098" w:rsidRPr="00FA6F76" w:rsidRDefault="006C6098" w:rsidP="00021119">
      <w:pPr>
        <w:pStyle w:val="Title2LevelTitre2Niveau"/>
        <w:keepNext w:val="0"/>
        <w:rPr>
          <w:rFonts w:cs="Times New Roman"/>
          <w:lang w:val="fr-CA"/>
        </w:rPr>
      </w:pPr>
      <w:r w:rsidRPr="00FA6F76">
        <w:rPr>
          <w:rFonts w:cs="Times New Roman"/>
          <w:lang w:val="fr-CA"/>
        </w:rPr>
        <w:t>Contexte factuel</w:t>
      </w:r>
    </w:p>
    <w:p w:rsidR="006C6098" w:rsidRPr="00FA6F76" w:rsidRDefault="006C6098" w:rsidP="00021119">
      <w:pPr>
        <w:pStyle w:val="ParaNoNdepar-AltN"/>
        <w:rPr>
          <w:rFonts w:cs="Times New Roman"/>
          <w:lang w:val="fr-CA"/>
        </w:rPr>
      </w:pPr>
      <w:r w:rsidRPr="00FA6F76">
        <w:rPr>
          <w:rFonts w:cs="Times New Roman"/>
          <w:lang w:val="fr-CA"/>
        </w:rPr>
        <w:t xml:space="preserve">Une personne a, en vertu de la </w:t>
      </w:r>
      <w:r w:rsidRPr="00FA6F76">
        <w:rPr>
          <w:rFonts w:cs="Times New Roman"/>
          <w:i/>
          <w:iCs/>
          <w:lang w:val="fr-CA"/>
        </w:rPr>
        <w:t>LAIPVP</w:t>
      </w:r>
      <w:r w:rsidRPr="00FA6F76">
        <w:rPr>
          <w:rFonts w:cs="Times New Roman"/>
          <w:iCs/>
          <w:lang w:val="fr-CA"/>
        </w:rPr>
        <w:t>, demandé au Ministère de lui</w:t>
      </w:r>
      <w:r w:rsidRPr="00FA6F76">
        <w:rPr>
          <w:rFonts w:cs="Times New Roman"/>
          <w:i/>
          <w:iCs/>
          <w:lang w:val="fr-CA"/>
        </w:rPr>
        <w:t xml:space="preserve"> </w:t>
      </w:r>
      <w:r w:rsidRPr="00FA6F76">
        <w:rPr>
          <w:rFonts w:cs="Times New Roman"/>
          <w:lang w:val="fr-CA"/>
        </w:rPr>
        <w:t>communiquer la liste des trois premiers caractères des codes postaux de l’Ontario (RTA) ainsi que le nombre correspondant de délinquants sexuels inscrits au registre dans chacune des régions en question.  Chaque RTA couvre un territoire géographique déterminé et le nombre de RTA varie d’une région à l’autre.  À titre d’exemple, la ville d’Ottawa compte 40 RTA, tandis que la ville de Dryden n’en a qu’une.  En Ontario, le nombre d’habitants par RTA varie de moins de 400 à plus de 110</w:t>
      </w:r>
      <w:r w:rsidR="00F23967">
        <w:rPr>
          <w:rFonts w:cs="Times New Roman"/>
          <w:lang w:val="fr-CA"/>
        </w:rPr>
        <w:t xml:space="preserve"> </w:t>
      </w:r>
      <w:r w:rsidRPr="00FA6F76">
        <w:rPr>
          <w:rFonts w:cs="Times New Roman"/>
          <w:lang w:val="fr-CA"/>
        </w:rPr>
        <w:t>000 personnes.  La population moyenne par RTA en Ontario est d’environ 25</w:t>
      </w:r>
      <w:r w:rsidR="00F23967">
        <w:rPr>
          <w:rFonts w:cs="Times New Roman"/>
          <w:lang w:val="fr-CA"/>
        </w:rPr>
        <w:t xml:space="preserve"> </w:t>
      </w:r>
      <w:r w:rsidRPr="00FA6F76">
        <w:rPr>
          <w:rFonts w:cs="Times New Roman"/>
          <w:lang w:val="fr-CA"/>
        </w:rPr>
        <w:t>000</w:t>
      </w:r>
      <w:r w:rsidR="00F23967">
        <w:rPr>
          <w:rFonts w:cs="Times New Roman"/>
          <w:lang w:val="fr-CA"/>
        </w:rPr>
        <w:t xml:space="preserve"> </w:t>
      </w:r>
      <w:r w:rsidRPr="00FA6F76">
        <w:rPr>
          <w:rFonts w:cs="Times New Roman"/>
          <w:lang w:val="fr-CA"/>
        </w:rPr>
        <w:t>habitants.</w:t>
      </w:r>
    </w:p>
    <w:p w:rsidR="006C6098" w:rsidRPr="00FA6F76" w:rsidRDefault="006C6098" w:rsidP="00021119">
      <w:pPr>
        <w:pStyle w:val="ParaNoNdepar-AltN"/>
        <w:rPr>
          <w:rFonts w:cs="Times New Roman"/>
          <w:lang w:val="fr-CA"/>
        </w:rPr>
      </w:pPr>
      <w:r w:rsidRPr="00FA6F76">
        <w:rPr>
          <w:rFonts w:cs="Times New Roman"/>
          <w:lang w:val="fr-CA"/>
        </w:rPr>
        <w:lastRenderedPageBreak/>
        <w:t>Le Ministère a refusé l’accès aux documents demandés en invoquant les exceptions relatives à l’application de la loi et à la protection des renseignements personnels prévues aux al.</w:t>
      </w:r>
      <w:r w:rsidR="00F23967">
        <w:rPr>
          <w:rFonts w:cs="Times New Roman"/>
          <w:lang w:val="fr-CA"/>
        </w:rPr>
        <w:t xml:space="preserve"> </w:t>
      </w:r>
      <w:r w:rsidRPr="00FA6F76">
        <w:rPr>
          <w:rFonts w:cs="Times New Roman"/>
          <w:lang w:val="fr-CA"/>
        </w:rPr>
        <w:t>14(1)</w:t>
      </w:r>
      <w:r w:rsidRPr="00FA6F76">
        <w:rPr>
          <w:rFonts w:cs="Times New Roman"/>
          <w:iCs/>
          <w:lang w:val="fr-CA"/>
        </w:rPr>
        <w:t>e</w:t>
      </w:r>
      <w:r w:rsidRPr="00FA6F76">
        <w:rPr>
          <w:rFonts w:cs="Times New Roman"/>
          <w:lang w:val="fr-CA"/>
        </w:rPr>
        <w:t>) et</w:t>
      </w:r>
      <w:r w:rsidR="00F23967">
        <w:rPr>
          <w:rFonts w:cs="Times New Roman"/>
          <w:lang w:val="fr-CA"/>
        </w:rPr>
        <w:t xml:space="preserve"> </w:t>
      </w:r>
      <w:r w:rsidRPr="00FA6F76">
        <w:rPr>
          <w:rFonts w:cs="Times New Roman"/>
          <w:lang w:val="fr-CA"/>
        </w:rPr>
        <w:t>14(1)</w:t>
      </w:r>
      <w:r w:rsidRPr="00FA6F76">
        <w:rPr>
          <w:rFonts w:cs="Times New Roman"/>
          <w:iCs/>
          <w:lang w:val="fr-CA"/>
        </w:rPr>
        <w:t>l</w:t>
      </w:r>
      <w:r w:rsidRPr="00FA6F76">
        <w:rPr>
          <w:rFonts w:cs="Times New Roman"/>
          <w:lang w:val="fr-CA"/>
        </w:rPr>
        <w:t>), au par.</w:t>
      </w:r>
      <w:r w:rsidR="00F23967">
        <w:rPr>
          <w:rFonts w:cs="Times New Roman"/>
          <w:lang w:val="fr-CA"/>
        </w:rPr>
        <w:t xml:space="preserve"> </w:t>
      </w:r>
      <w:r w:rsidRPr="00FA6F76">
        <w:rPr>
          <w:rFonts w:cs="Times New Roman"/>
          <w:lang w:val="fr-CA"/>
        </w:rPr>
        <w:t>21(1), et aux al.</w:t>
      </w:r>
      <w:r w:rsidR="00F23967">
        <w:rPr>
          <w:rFonts w:cs="Times New Roman"/>
          <w:lang w:val="fr-CA"/>
        </w:rPr>
        <w:t xml:space="preserve"> </w:t>
      </w:r>
      <w:r w:rsidRPr="00FA6F76">
        <w:rPr>
          <w:rFonts w:cs="Times New Roman"/>
          <w:lang w:val="fr-CA"/>
        </w:rPr>
        <w:t>21(2)</w:t>
      </w:r>
      <w:r w:rsidRPr="00FA6F76">
        <w:rPr>
          <w:rFonts w:cs="Times New Roman"/>
          <w:iCs/>
          <w:lang w:val="fr-CA"/>
        </w:rPr>
        <w:t>e</w:t>
      </w:r>
      <w:r w:rsidRPr="00FA6F76">
        <w:rPr>
          <w:rFonts w:cs="Times New Roman"/>
          <w:lang w:val="fr-CA"/>
        </w:rPr>
        <w:t>), 21(2)</w:t>
      </w:r>
      <w:r w:rsidRPr="00FA6F76">
        <w:rPr>
          <w:rFonts w:cs="Times New Roman"/>
          <w:iCs/>
          <w:lang w:val="fr-CA"/>
        </w:rPr>
        <w:t>f</w:t>
      </w:r>
      <w:r w:rsidRPr="00FA6F76">
        <w:rPr>
          <w:rFonts w:cs="Times New Roman"/>
          <w:lang w:val="fr-CA"/>
        </w:rPr>
        <w:t>) et 21(2)</w:t>
      </w:r>
      <w:r w:rsidRPr="00FA6F76">
        <w:rPr>
          <w:rFonts w:cs="Times New Roman"/>
          <w:iCs/>
          <w:lang w:val="fr-CA"/>
        </w:rPr>
        <w:t>h</w:t>
      </w:r>
      <w:r w:rsidRPr="00FA6F76">
        <w:rPr>
          <w:rFonts w:cs="Times New Roman"/>
          <w:lang w:val="fr-CA"/>
        </w:rPr>
        <w:t xml:space="preserve">) de la </w:t>
      </w:r>
      <w:r w:rsidRPr="00FA6F76">
        <w:rPr>
          <w:rFonts w:cs="Times New Roman"/>
          <w:i/>
          <w:iCs/>
          <w:lang w:val="fr-CA"/>
        </w:rPr>
        <w:t xml:space="preserve">LAIPVP. </w:t>
      </w:r>
      <w:r w:rsidRPr="00FA6F76">
        <w:rPr>
          <w:rFonts w:cs="Times New Roman"/>
          <w:lang w:val="fr-CA"/>
        </w:rPr>
        <w:t xml:space="preserve"> L’auteur de la demande a interjeté appel de la décision du Ministère auprès de la Commissaire à l’information et à la protection de la vie privée le 21</w:t>
      </w:r>
      <w:r w:rsidR="00F23967">
        <w:rPr>
          <w:rFonts w:cs="Times New Roman"/>
          <w:lang w:val="fr-CA"/>
        </w:rPr>
        <w:t xml:space="preserve"> </w:t>
      </w:r>
      <w:r w:rsidRPr="00FA6F76">
        <w:rPr>
          <w:rFonts w:cs="Times New Roman"/>
          <w:lang w:val="fr-CA"/>
        </w:rPr>
        <w:t xml:space="preserve">août 2008.  La Commissaire a reçu les observations du Ministère, et notamment un affidavit du surintendant </w:t>
      </w:r>
      <w:proofErr w:type="spellStart"/>
      <w:r w:rsidRPr="00FA6F76">
        <w:rPr>
          <w:rFonts w:cs="Times New Roman"/>
          <w:lang w:val="fr-CA"/>
        </w:rPr>
        <w:t>Truax</w:t>
      </w:r>
      <w:proofErr w:type="spellEnd"/>
      <w:r w:rsidRPr="00FA6F76">
        <w:rPr>
          <w:rFonts w:cs="Times New Roman"/>
          <w:lang w:val="fr-CA"/>
        </w:rPr>
        <w:t xml:space="preserve">, de la Police provinciale de l’Ontario, ainsi que les observations de l’auteur de la demande.  Dans son affidavit, le surintendant </w:t>
      </w:r>
      <w:proofErr w:type="spellStart"/>
      <w:r w:rsidRPr="00FA6F76">
        <w:rPr>
          <w:rFonts w:cs="Times New Roman"/>
          <w:lang w:val="fr-CA"/>
        </w:rPr>
        <w:t>Truax</w:t>
      </w:r>
      <w:proofErr w:type="spellEnd"/>
      <w:r w:rsidRPr="00FA6F76">
        <w:rPr>
          <w:rFonts w:cs="Times New Roman"/>
          <w:lang w:val="fr-CA"/>
        </w:rPr>
        <w:t xml:space="preserve"> a signalé le taux élevé de conformité des délinquants inscrits au registre ontarien (plus de 96</w:t>
      </w:r>
      <w:r w:rsidR="00F23967">
        <w:rPr>
          <w:rFonts w:cs="Times New Roman"/>
          <w:lang w:val="fr-CA"/>
        </w:rPr>
        <w:t xml:space="preserve"> </w:t>
      </w:r>
      <w:r w:rsidRPr="00FA6F76">
        <w:rPr>
          <w:rFonts w:cs="Times New Roman"/>
          <w:lang w:val="fr-CA"/>
        </w:rPr>
        <w:t>p.</w:t>
      </w:r>
      <w:r w:rsidR="00F23967">
        <w:rPr>
          <w:rFonts w:cs="Times New Roman"/>
          <w:lang w:val="fr-CA"/>
        </w:rPr>
        <w:t xml:space="preserve"> </w:t>
      </w:r>
      <w:r w:rsidRPr="00FA6F76">
        <w:rPr>
          <w:rFonts w:cs="Times New Roman"/>
          <w:lang w:val="fr-CA"/>
        </w:rPr>
        <w:t>100) et a dit croire que ce taux élevé était attribuable en partie au caractère confidentiel du registre.  Il a exprimé la crainte que les délinquants sexuels n’entrent [</w:t>
      </w:r>
      <w:r w:rsidRPr="00FA6F76">
        <w:rPr>
          <w:rFonts w:cs="Times New Roman"/>
          <w:smallCaps/>
          <w:lang w:val="fr-CA"/>
        </w:rPr>
        <w:t>traduction</w:t>
      </w:r>
      <w:r w:rsidRPr="00FA6F76">
        <w:rPr>
          <w:rFonts w:cs="Times New Roman"/>
          <w:lang w:val="fr-CA"/>
        </w:rPr>
        <w:t xml:space="preserve">] </w:t>
      </w:r>
      <w:r w:rsidR="00E3692F" w:rsidRPr="003D0CB7">
        <w:rPr>
          <w:lang w:val="fr-CA"/>
        </w:rPr>
        <w:t>«</w:t>
      </w:r>
      <w:r w:rsidR="00E3692F">
        <w:rPr>
          <w:rFonts w:cs="Times New Roman"/>
          <w:iCs/>
          <w:lang w:val="fr-CA"/>
        </w:rPr>
        <w:t> </w:t>
      </w:r>
      <w:r w:rsidRPr="00FA6F76">
        <w:rPr>
          <w:rFonts w:cs="Times New Roman"/>
          <w:lang w:val="fr-CA"/>
        </w:rPr>
        <w:t>dans la clandestinité</w:t>
      </w:r>
      <w:r w:rsidR="00E3692F">
        <w:rPr>
          <w:rFonts w:cs="Times New Roman"/>
          <w:iCs/>
          <w:lang w:val="fr-CA"/>
        </w:rPr>
        <w:t> </w:t>
      </w:r>
      <w:r w:rsidR="00E3692F" w:rsidRPr="003D0CB7">
        <w:rPr>
          <w:lang w:val="fr-CA"/>
        </w:rPr>
        <w:t>»</w:t>
      </w:r>
      <w:r w:rsidRPr="00FA6F76">
        <w:rPr>
          <w:rFonts w:cs="Times New Roman"/>
          <w:lang w:val="fr-CA"/>
        </w:rPr>
        <w:t xml:space="preserve"> par crainte des justiciers et il a également évoqué un certain malaise social général qui nuirait aux rapports entre les délinquants sexu</w:t>
      </w:r>
      <w:r w:rsidR="004A54D7">
        <w:rPr>
          <w:rFonts w:cs="Times New Roman"/>
          <w:lang w:val="fr-CA"/>
        </w:rPr>
        <w:t>els, la police et le public (</w:t>
      </w:r>
      <w:proofErr w:type="gramStart"/>
      <w:r w:rsidR="004A54D7">
        <w:rPr>
          <w:rFonts w:cs="Times New Roman"/>
          <w:lang w:val="fr-CA"/>
        </w:rPr>
        <w:t>m.a</w:t>
      </w:r>
      <w:r w:rsidRPr="00FA6F76">
        <w:rPr>
          <w:rFonts w:cs="Times New Roman"/>
          <w:lang w:val="fr-CA"/>
        </w:rPr>
        <w:t>.,</w:t>
      </w:r>
      <w:proofErr w:type="gramEnd"/>
      <w:r w:rsidRPr="00FA6F76">
        <w:rPr>
          <w:rFonts w:cs="Times New Roman"/>
          <w:lang w:val="fr-CA"/>
        </w:rPr>
        <w:t xml:space="preserve"> par.</w:t>
      </w:r>
      <w:r w:rsidR="00F23967">
        <w:rPr>
          <w:rFonts w:cs="Times New Roman"/>
          <w:lang w:val="fr-CA"/>
        </w:rPr>
        <w:t xml:space="preserve"> </w:t>
      </w:r>
      <w:r w:rsidRPr="00FA6F76">
        <w:rPr>
          <w:rFonts w:cs="Times New Roman"/>
          <w:lang w:val="fr-CA"/>
        </w:rPr>
        <w:t>25).</w:t>
      </w:r>
    </w:p>
    <w:p w:rsidR="006C6098" w:rsidRPr="00FA6F76" w:rsidRDefault="006C6098" w:rsidP="00021119">
      <w:pPr>
        <w:pStyle w:val="Title2LevelTitre2Niveau"/>
        <w:keepNext w:val="0"/>
        <w:rPr>
          <w:rFonts w:cs="Times New Roman"/>
          <w:lang w:val="fr-CA"/>
        </w:rPr>
      </w:pPr>
      <w:proofErr w:type="spellStart"/>
      <w:r w:rsidRPr="00FA6F76">
        <w:rPr>
          <w:rFonts w:cs="Times New Roman"/>
        </w:rPr>
        <w:t>Décisions</w:t>
      </w:r>
      <w:proofErr w:type="spellEnd"/>
      <w:r w:rsidRPr="00FA6F76">
        <w:rPr>
          <w:rFonts w:cs="Times New Roman"/>
          <w:lang w:val="fr-CA"/>
        </w:rPr>
        <w:t xml:space="preserve"> </w:t>
      </w:r>
    </w:p>
    <w:p w:rsidR="006C6098" w:rsidRPr="00FA6F76" w:rsidRDefault="006C6098" w:rsidP="00021119">
      <w:pPr>
        <w:pStyle w:val="Title3LevelTitre3Niveau"/>
        <w:keepNext w:val="0"/>
        <w:rPr>
          <w:rFonts w:cs="Times New Roman"/>
          <w:lang w:val="fr-CA"/>
        </w:rPr>
      </w:pPr>
      <w:r w:rsidRPr="00FA6F76">
        <w:rPr>
          <w:rFonts w:cs="Times New Roman"/>
          <w:lang w:val="fr-CA"/>
        </w:rPr>
        <w:t>Décision de la Commissaire à l’information et à la protection de la vie privée</w:t>
      </w:r>
      <w:r>
        <w:rPr>
          <w:rFonts w:cs="Times New Roman"/>
          <w:lang w:val="fr-CA"/>
        </w:rPr>
        <w:t>, ordonnance PO</w:t>
      </w:r>
      <w:r w:rsidR="00F23967">
        <w:rPr>
          <w:rFonts w:cs="Times New Roman"/>
          <w:lang w:val="fr-CA"/>
        </w:rPr>
        <w:t>-</w:t>
      </w:r>
      <w:r>
        <w:rPr>
          <w:rFonts w:cs="Times New Roman"/>
          <w:lang w:val="fr-CA"/>
        </w:rPr>
        <w:t xml:space="preserve">2811, 2009 </w:t>
      </w:r>
      <w:proofErr w:type="spellStart"/>
      <w:r>
        <w:rPr>
          <w:rFonts w:cs="Times New Roman"/>
          <w:lang w:val="fr-CA"/>
        </w:rPr>
        <w:t>CanLII</w:t>
      </w:r>
      <w:proofErr w:type="spellEnd"/>
      <w:r>
        <w:rPr>
          <w:rFonts w:cs="Times New Roman"/>
          <w:lang w:val="fr-CA"/>
        </w:rPr>
        <w:t xml:space="preserve"> 43354</w:t>
      </w:r>
      <w:r w:rsidRPr="00FA6F76">
        <w:rPr>
          <w:rFonts w:cs="Times New Roman"/>
          <w:lang w:val="fr-CA"/>
        </w:rPr>
        <w:t xml:space="preserve">  </w:t>
      </w:r>
    </w:p>
    <w:p w:rsidR="006C6098" w:rsidRPr="00FA6F76" w:rsidRDefault="006C6098" w:rsidP="00021119">
      <w:pPr>
        <w:pStyle w:val="ParaNoNdepar-AltN"/>
        <w:rPr>
          <w:rFonts w:cs="Times New Roman"/>
          <w:lang w:val="fr-CA"/>
        </w:rPr>
      </w:pPr>
      <w:r w:rsidRPr="00FA6F76">
        <w:rPr>
          <w:rFonts w:cs="Times New Roman"/>
          <w:lang w:val="fr-CA"/>
        </w:rPr>
        <w:t>Le 7</w:t>
      </w:r>
      <w:r w:rsidR="00F23967">
        <w:rPr>
          <w:rFonts w:cs="Times New Roman"/>
          <w:lang w:val="fr-CA"/>
        </w:rPr>
        <w:t xml:space="preserve"> </w:t>
      </w:r>
      <w:r w:rsidRPr="00FA6F76">
        <w:rPr>
          <w:rFonts w:cs="Times New Roman"/>
          <w:lang w:val="fr-CA"/>
        </w:rPr>
        <w:t>août 2009, l’arbitre principal John</w:t>
      </w:r>
      <w:r w:rsidR="00F23967">
        <w:rPr>
          <w:rFonts w:cs="Times New Roman"/>
          <w:lang w:val="fr-CA"/>
        </w:rPr>
        <w:t xml:space="preserve"> </w:t>
      </w:r>
      <w:r w:rsidRPr="00FA6F76">
        <w:rPr>
          <w:rFonts w:cs="Times New Roman"/>
          <w:lang w:val="fr-CA"/>
        </w:rPr>
        <w:t xml:space="preserve">Higgins a ordonné au Ministère de communiquer à l’auteur de la demande le document demandé.  Par souci de clarté, </w:t>
      </w:r>
      <w:r w:rsidR="00E80DBD">
        <w:rPr>
          <w:rFonts w:cs="Times New Roman"/>
          <w:lang w:val="fr-CA"/>
        </w:rPr>
        <w:t>nous appellerons cette décision</w:t>
      </w:r>
      <w:r w:rsidRPr="00FA6F76">
        <w:rPr>
          <w:rFonts w:cs="Times New Roman"/>
          <w:lang w:val="fr-CA"/>
        </w:rPr>
        <w:t xml:space="preserve"> la </w:t>
      </w:r>
      <w:r w:rsidR="00E80DBD">
        <w:rPr>
          <w:rFonts w:cs="Times New Roman"/>
          <w:lang w:val="fr-CA"/>
        </w:rPr>
        <w:t>« </w:t>
      </w:r>
      <w:r w:rsidRPr="00FA6F76">
        <w:rPr>
          <w:rFonts w:cs="Times New Roman"/>
          <w:lang w:val="fr-CA"/>
        </w:rPr>
        <w:t>décision de la Commissaire</w:t>
      </w:r>
      <w:r w:rsidR="00E80DBD">
        <w:rPr>
          <w:rFonts w:cs="Times New Roman"/>
          <w:lang w:val="fr-CA"/>
        </w:rPr>
        <w:t> »</w:t>
      </w:r>
      <w:r w:rsidRPr="00FA6F76">
        <w:rPr>
          <w:rFonts w:cs="Times New Roman"/>
          <w:lang w:val="fr-CA"/>
        </w:rPr>
        <w:t xml:space="preserve">. </w:t>
      </w:r>
    </w:p>
    <w:p w:rsidR="006C6098" w:rsidRPr="00FA6F76" w:rsidRDefault="006C6098" w:rsidP="00021119">
      <w:pPr>
        <w:pStyle w:val="ParaNoNdepar-AltN"/>
        <w:rPr>
          <w:rFonts w:cs="Times New Roman"/>
          <w:lang w:val="fr-CA"/>
        </w:rPr>
      </w:pPr>
      <w:r w:rsidRPr="00FA6F76">
        <w:rPr>
          <w:rFonts w:cs="Times New Roman"/>
          <w:lang w:val="fr-CA"/>
        </w:rPr>
        <w:lastRenderedPageBreak/>
        <w:t xml:space="preserve">La Commissaire s’est d’abord demandé si la </w:t>
      </w:r>
      <w:r w:rsidRPr="00FA6F76">
        <w:rPr>
          <w:rFonts w:cs="Times New Roman"/>
          <w:i/>
          <w:iCs/>
          <w:lang w:val="fr-CA"/>
        </w:rPr>
        <w:t>Loi Christopher</w:t>
      </w:r>
      <w:r w:rsidRPr="00FA6F76">
        <w:rPr>
          <w:rFonts w:cs="Times New Roman"/>
          <w:lang w:val="fr-CA"/>
        </w:rPr>
        <w:t xml:space="preserve"> avait pour effet d’exclure l’application de la </w:t>
      </w:r>
      <w:r w:rsidRPr="00FA6F76">
        <w:rPr>
          <w:rFonts w:cs="Times New Roman"/>
          <w:i/>
          <w:iCs/>
          <w:lang w:val="fr-CA"/>
        </w:rPr>
        <w:t>LAIPVP</w:t>
      </w:r>
      <w:r w:rsidRPr="003A02ED">
        <w:rPr>
          <w:rFonts w:cs="Times New Roman"/>
          <w:iCs/>
          <w:lang w:val="fr-CA"/>
        </w:rPr>
        <w:t>.</w:t>
      </w:r>
      <w:r w:rsidRPr="00FA6F76">
        <w:rPr>
          <w:rFonts w:cs="Times New Roman"/>
          <w:i/>
          <w:iCs/>
          <w:lang w:val="fr-CA"/>
        </w:rPr>
        <w:t xml:space="preserve">  </w:t>
      </w:r>
      <w:r w:rsidRPr="00FA6F76">
        <w:rPr>
          <w:rFonts w:cs="Times New Roman"/>
          <w:lang w:val="fr-CA"/>
        </w:rPr>
        <w:t>L’article</w:t>
      </w:r>
      <w:r w:rsidR="00F23967">
        <w:rPr>
          <w:rFonts w:cs="Times New Roman"/>
          <w:lang w:val="fr-CA"/>
        </w:rPr>
        <w:t xml:space="preserve"> </w:t>
      </w:r>
      <w:r w:rsidRPr="00FA6F76">
        <w:rPr>
          <w:rFonts w:cs="Times New Roman"/>
          <w:lang w:val="fr-CA"/>
        </w:rPr>
        <w:t xml:space="preserve">67 de la </w:t>
      </w:r>
      <w:r w:rsidRPr="00FA6F76">
        <w:rPr>
          <w:rFonts w:cs="Times New Roman"/>
          <w:i/>
          <w:iCs/>
          <w:lang w:val="fr-CA"/>
        </w:rPr>
        <w:t xml:space="preserve">LAIPVP </w:t>
      </w:r>
      <w:r w:rsidRPr="00FA6F76">
        <w:rPr>
          <w:rFonts w:cs="Times New Roman"/>
          <w:lang w:val="fr-CA"/>
        </w:rPr>
        <w:t xml:space="preserve">précise que, sauf disposition contraire expresse d’une autre loi, la </w:t>
      </w:r>
      <w:r w:rsidRPr="00FA6F76">
        <w:rPr>
          <w:rFonts w:cs="Times New Roman"/>
          <w:i/>
          <w:iCs/>
          <w:lang w:val="fr-CA"/>
        </w:rPr>
        <w:t xml:space="preserve">LAIPVP </w:t>
      </w:r>
      <w:r w:rsidRPr="00FA6F76">
        <w:rPr>
          <w:rFonts w:cs="Times New Roman"/>
          <w:lang w:val="fr-CA"/>
        </w:rPr>
        <w:t>l’emporte sur toute disposition d’une autre loi qui traite du caractère confidentiel.  Il s’agissait donc de décider si l’art.</w:t>
      </w:r>
      <w:r w:rsidR="00F23967">
        <w:rPr>
          <w:rFonts w:cs="Times New Roman"/>
          <w:lang w:val="fr-CA"/>
        </w:rPr>
        <w:t xml:space="preserve"> </w:t>
      </w:r>
      <w:r w:rsidRPr="00FA6F76">
        <w:rPr>
          <w:rFonts w:cs="Times New Roman"/>
          <w:lang w:val="fr-CA"/>
        </w:rPr>
        <w:t xml:space="preserve">10 de la </w:t>
      </w:r>
      <w:r w:rsidRPr="00FA6F76">
        <w:rPr>
          <w:rFonts w:cs="Times New Roman"/>
          <w:i/>
          <w:iCs/>
          <w:lang w:val="fr-CA"/>
        </w:rPr>
        <w:t>Loi Christopher</w:t>
      </w:r>
      <w:r w:rsidRPr="00FA6F76">
        <w:rPr>
          <w:rFonts w:cs="Times New Roman"/>
          <w:lang w:val="fr-CA"/>
        </w:rPr>
        <w:t xml:space="preserve"> prévoyait expressément le contraire.  L’article</w:t>
      </w:r>
      <w:r w:rsidR="00F23967">
        <w:rPr>
          <w:rFonts w:cs="Times New Roman"/>
          <w:lang w:val="fr-CA"/>
        </w:rPr>
        <w:t xml:space="preserve"> </w:t>
      </w:r>
      <w:r w:rsidRPr="00FA6F76">
        <w:rPr>
          <w:rFonts w:cs="Times New Roman"/>
          <w:lang w:val="fr-CA"/>
        </w:rPr>
        <w:t xml:space="preserve">10 indique que, sous réserve de la collecte, de la conservation et de l’utilisation des renseignements obtenus du registre pour des fins précises d’application de la loi et pour certains employés, nul ne doit divulguer à quiconque </w:t>
      </w:r>
      <w:r w:rsidR="00E3692F" w:rsidRPr="003D0CB7">
        <w:rPr>
          <w:lang w:val="fr-CA"/>
        </w:rPr>
        <w:t>«</w:t>
      </w:r>
      <w:r w:rsidR="00E3692F">
        <w:rPr>
          <w:rFonts w:cs="Times New Roman"/>
          <w:iCs/>
          <w:lang w:val="fr-CA"/>
        </w:rPr>
        <w:t> </w:t>
      </w:r>
      <w:r w:rsidRPr="00FA6F76">
        <w:rPr>
          <w:rFonts w:cs="Times New Roman"/>
          <w:lang w:val="fr-CA"/>
        </w:rPr>
        <w:t>les renseignements qu’il obtient du registre des délinquants sexuels ou qu’il reçoit dans l’exercice des fonctions que lui confère la présente loi</w:t>
      </w:r>
      <w:r w:rsidR="00E3692F">
        <w:rPr>
          <w:rFonts w:cs="Times New Roman"/>
          <w:iCs/>
          <w:lang w:val="fr-CA"/>
        </w:rPr>
        <w:t> </w:t>
      </w:r>
      <w:r w:rsidR="00E3692F" w:rsidRPr="003D0CB7">
        <w:rPr>
          <w:lang w:val="fr-CA"/>
        </w:rPr>
        <w:t>»</w:t>
      </w:r>
      <w:r w:rsidRPr="00FA6F76">
        <w:rPr>
          <w:rFonts w:cs="Times New Roman"/>
          <w:lang w:val="fr-CA"/>
        </w:rPr>
        <w:t xml:space="preserve">. </w:t>
      </w:r>
    </w:p>
    <w:p w:rsidR="006C6098" w:rsidRPr="00FA6F76" w:rsidRDefault="006C6098" w:rsidP="00021119">
      <w:pPr>
        <w:pStyle w:val="ParaNoNdepar-AltN"/>
        <w:rPr>
          <w:rFonts w:cs="Times New Roman"/>
          <w:lang w:val="fr-CA"/>
        </w:rPr>
      </w:pPr>
      <w:r w:rsidRPr="00FA6F76">
        <w:rPr>
          <w:rFonts w:cs="Times New Roman"/>
          <w:lang w:val="fr-CA"/>
        </w:rPr>
        <w:t>La Commissaire a cité un appel antérieur (ordonnance PO</w:t>
      </w:r>
      <w:r w:rsidR="00F23967">
        <w:rPr>
          <w:rFonts w:cs="Times New Roman"/>
          <w:lang w:val="fr-CA"/>
        </w:rPr>
        <w:t>-</w:t>
      </w:r>
      <w:r w:rsidRPr="00FA6F76">
        <w:rPr>
          <w:rFonts w:cs="Times New Roman"/>
          <w:lang w:val="fr-CA"/>
        </w:rPr>
        <w:t>2312, 2004</w:t>
      </w:r>
      <w:r w:rsidR="00F23967">
        <w:rPr>
          <w:rFonts w:cs="Times New Roman"/>
          <w:lang w:val="fr-CA"/>
        </w:rPr>
        <w:t xml:space="preserve"> </w:t>
      </w:r>
      <w:proofErr w:type="spellStart"/>
      <w:r w:rsidRPr="00FA6F76">
        <w:rPr>
          <w:rFonts w:cs="Times New Roman"/>
          <w:lang w:val="fr-CA"/>
        </w:rPr>
        <w:t>CanLII</w:t>
      </w:r>
      <w:proofErr w:type="spellEnd"/>
      <w:r w:rsidRPr="00FA6F76">
        <w:rPr>
          <w:rFonts w:cs="Times New Roman"/>
          <w:lang w:val="fr-CA"/>
        </w:rPr>
        <w:t xml:space="preserve"> 56430 (</w:t>
      </w:r>
      <w:r w:rsidR="003A02ED">
        <w:rPr>
          <w:rFonts w:cs="Times New Roman"/>
          <w:lang w:val="fr-CA"/>
        </w:rPr>
        <w:t>CIPVP ON</w:t>
      </w:r>
      <w:r w:rsidRPr="00FA6F76">
        <w:rPr>
          <w:rFonts w:cs="Times New Roman"/>
          <w:lang w:val="fr-CA"/>
        </w:rPr>
        <w:t>)) dans lequel l’ancien commissaire adjoint avait décidé que l’art.</w:t>
      </w:r>
      <w:r w:rsidR="00F23967">
        <w:rPr>
          <w:rFonts w:cs="Times New Roman"/>
          <w:lang w:val="fr-CA"/>
        </w:rPr>
        <w:t xml:space="preserve"> </w:t>
      </w:r>
      <w:r w:rsidRPr="00FA6F76">
        <w:rPr>
          <w:rFonts w:cs="Times New Roman"/>
          <w:lang w:val="fr-CA"/>
        </w:rPr>
        <w:t xml:space="preserve">10 de la </w:t>
      </w:r>
      <w:r w:rsidRPr="00FA6F76">
        <w:rPr>
          <w:rFonts w:cs="Times New Roman"/>
          <w:i/>
          <w:iCs/>
          <w:lang w:val="fr-CA"/>
        </w:rPr>
        <w:t>Loi Christopher</w:t>
      </w:r>
      <w:r w:rsidRPr="00FA6F76">
        <w:rPr>
          <w:rFonts w:cs="Times New Roman"/>
          <w:lang w:val="fr-CA"/>
        </w:rPr>
        <w:t xml:space="preserve"> ne constituait pas une disposition en matière de confidentialité qui l’emportait sur la </w:t>
      </w:r>
      <w:r w:rsidRPr="00FA6F76">
        <w:rPr>
          <w:rFonts w:cs="Times New Roman"/>
          <w:i/>
          <w:iCs/>
          <w:lang w:val="fr-CA"/>
        </w:rPr>
        <w:t>LAIPVP</w:t>
      </w:r>
      <w:r w:rsidRPr="00FA6F76">
        <w:rPr>
          <w:rFonts w:cs="Times New Roman"/>
          <w:iCs/>
          <w:lang w:val="fr-CA"/>
        </w:rPr>
        <w:t>, parce</w:t>
      </w:r>
      <w:r w:rsidRPr="00FA6F76">
        <w:rPr>
          <w:rFonts w:cs="Times New Roman"/>
          <w:i/>
          <w:iCs/>
          <w:lang w:val="fr-CA"/>
        </w:rPr>
        <w:t xml:space="preserve"> </w:t>
      </w:r>
      <w:r w:rsidRPr="00FA6F76">
        <w:rPr>
          <w:rFonts w:cs="Times New Roman"/>
          <w:lang w:val="fr-CA"/>
        </w:rPr>
        <w:t xml:space="preserve">que son libellé n’était pas suffisamment précis et qu’il ne portait pas directement sur les demandes présentées en vertu de la </w:t>
      </w:r>
      <w:r w:rsidRPr="00FA6F76">
        <w:rPr>
          <w:rFonts w:cs="Times New Roman"/>
          <w:i/>
          <w:iCs/>
          <w:lang w:val="fr-CA"/>
        </w:rPr>
        <w:t>LAIPVP</w:t>
      </w:r>
      <w:r w:rsidRPr="00FA6F76">
        <w:rPr>
          <w:rFonts w:cs="Times New Roman"/>
          <w:iCs/>
          <w:lang w:val="fr-CA"/>
        </w:rPr>
        <w:t>,</w:t>
      </w:r>
      <w:r w:rsidRPr="00FA6F76">
        <w:rPr>
          <w:rFonts w:cs="Times New Roman"/>
          <w:i/>
          <w:iCs/>
          <w:lang w:val="fr-CA"/>
        </w:rPr>
        <w:t xml:space="preserve"> </w:t>
      </w:r>
      <w:r w:rsidRPr="00FA6F76">
        <w:rPr>
          <w:rFonts w:cs="Times New Roman"/>
          <w:lang w:val="fr-CA"/>
        </w:rPr>
        <w:t xml:space="preserve">mais bien sur la divulgation de renseignements obtenus par la police dans le cadre des fonctions que lui confie la </w:t>
      </w:r>
      <w:r w:rsidRPr="00FA6F76">
        <w:rPr>
          <w:rFonts w:cs="Times New Roman"/>
          <w:i/>
          <w:iCs/>
          <w:lang w:val="fr-CA"/>
        </w:rPr>
        <w:t>Loi Christopher</w:t>
      </w:r>
      <w:r w:rsidRPr="00FA6F76">
        <w:rPr>
          <w:rFonts w:cs="Times New Roman"/>
          <w:lang w:val="fr-CA"/>
        </w:rPr>
        <w:t>.  La Commissaire a souscrit à la conclusion tirée dans l’ordonnance PO</w:t>
      </w:r>
      <w:r w:rsidR="00F23967">
        <w:rPr>
          <w:rFonts w:cs="Times New Roman"/>
          <w:lang w:val="fr-CA"/>
        </w:rPr>
        <w:t>-</w:t>
      </w:r>
      <w:r w:rsidRPr="00FA6F76">
        <w:rPr>
          <w:rFonts w:cs="Times New Roman"/>
          <w:lang w:val="fr-CA"/>
        </w:rPr>
        <w:t>2312 suivant laquelle l’art.</w:t>
      </w:r>
      <w:r w:rsidR="00F23967">
        <w:rPr>
          <w:rFonts w:cs="Times New Roman"/>
          <w:lang w:val="fr-CA"/>
        </w:rPr>
        <w:t xml:space="preserve"> </w:t>
      </w:r>
      <w:r w:rsidRPr="00FA6F76">
        <w:rPr>
          <w:rFonts w:cs="Times New Roman"/>
          <w:lang w:val="fr-CA"/>
        </w:rPr>
        <w:t xml:space="preserve">10 de la </w:t>
      </w:r>
      <w:r w:rsidRPr="00FA6F76">
        <w:rPr>
          <w:rFonts w:cs="Times New Roman"/>
          <w:i/>
          <w:iCs/>
          <w:lang w:val="fr-CA"/>
        </w:rPr>
        <w:t>Loi Christopher</w:t>
      </w:r>
      <w:r w:rsidRPr="00FA6F76">
        <w:rPr>
          <w:rFonts w:cs="Times New Roman"/>
          <w:lang w:val="fr-CA"/>
        </w:rPr>
        <w:t xml:space="preserve"> ne constituait pas une disposition en matière de confidentialité qui l’emportait sur la </w:t>
      </w:r>
      <w:r w:rsidRPr="00FA6F76">
        <w:rPr>
          <w:rFonts w:cs="Times New Roman"/>
          <w:i/>
          <w:iCs/>
          <w:lang w:val="fr-CA"/>
        </w:rPr>
        <w:t xml:space="preserve">LAIPVP.  </w:t>
      </w:r>
      <w:r w:rsidRPr="00FA6F76">
        <w:rPr>
          <w:rFonts w:cs="Times New Roman"/>
          <w:lang w:val="fr-CA"/>
        </w:rPr>
        <w:t xml:space="preserve">La Commissaire a donc conclu que les renseignements demandés étaient assujettis à la </w:t>
      </w:r>
      <w:r w:rsidRPr="00FA6F76">
        <w:rPr>
          <w:rFonts w:cs="Times New Roman"/>
          <w:i/>
          <w:iCs/>
          <w:lang w:val="fr-CA"/>
        </w:rPr>
        <w:t xml:space="preserve">LAIPVP </w:t>
      </w:r>
      <w:r w:rsidRPr="00FA6F76">
        <w:rPr>
          <w:rFonts w:cs="Times New Roman"/>
          <w:lang w:val="fr-CA"/>
        </w:rPr>
        <w:t xml:space="preserve">et que le registre, en tant que document dont le Ministère avait la garde ou le contrôle, était assujetti aux </w:t>
      </w:r>
      <w:r w:rsidRPr="00FA6F76">
        <w:rPr>
          <w:rFonts w:cs="Times New Roman"/>
          <w:lang w:val="fr-CA"/>
        </w:rPr>
        <w:lastRenderedPageBreak/>
        <w:t xml:space="preserve">dispositions en matière d’accès ainsi qu’au régime d’exceptions établi </w:t>
      </w:r>
      <w:proofErr w:type="gramStart"/>
      <w:r w:rsidRPr="00FA6F76">
        <w:rPr>
          <w:rFonts w:cs="Times New Roman"/>
          <w:lang w:val="fr-CA"/>
        </w:rPr>
        <w:t>aux art</w:t>
      </w:r>
      <w:proofErr w:type="gramEnd"/>
      <w:r w:rsidRPr="00FA6F76">
        <w:rPr>
          <w:rFonts w:cs="Times New Roman"/>
          <w:lang w:val="fr-CA"/>
        </w:rPr>
        <w:t>.</w:t>
      </w:r>
      <w:r w:rsidR="00F23967">
        <w:rPr>
          <w:rFonts w:cs="Times New Roman"/>
          <w:lang w:val="fr-CA"/>
        </w:rPr>
        <w:t xml:space="preserve"> </w:t>
      </w:r>
      <w:r w:rsidRPr="00FA6F76">
        <w:rPr>
          <w:rFonts w:cs="Times New Roman"/>
          <w:lang w:val="fr-CA"/>
        </w:rPr>
        <w:t xml:space="preserve">12 à 22 de la </w:t>
      </w:r>
      <w:r w:rsidRPr="00FA6F76">
        <w:rPr>
          <w:rFonts w:cs="Times New Roman"/>
          <w:i/>
          <w:iCs/>
          <w:lang w:val="fr-CA"/>
        </w:rPr>
        <w:t xml:space="preserve">LAIPVP.  </w:t>
      </w:r>
      <w:r w:rsidRPr="00FA6F76">
        <w:rPr>
          <w:rFonts w:cs="Times New Roman"/>
          <w:lang w:val="fr-CA"/>
        </w:rPr>
        <w:t>En conséquence, la question à laquelle la Commissaire devait répondre était de déterminer si le document demandé était soustrait au droit général d’accès prévu à l’art.</w:t>
      </w:r>
      <w:r w:rsidR="00F23967">
        <w:rPr>
          <w:rFonts w:cs="Times New Roman"/>
          <w:lang w:val="fr-CA"/>
        </w:rPr>
        <w:t xml:space="preserve"> </w:t>
      </w:r>
      <w:r w:rsidRPr="00FA6F76">
        <w:rPr>
          <w:rFonts w:cs="Times New Roman"/>
          <w:lang w:val="fr-CA"/>
        </w:rPr>
        <w:t xml:space="preserve">10 de la </w:t>
      </w:r>
      <w:r w:rsidRPr="00FA6F76">
        <w:rPr>
          <w:rFonts w:cs="Times New Roman"/>
          <w:i/>
          <w:iCs/>
          <w:lang w:val="fr-CA"/>
        </w:rPr>
        <w:t xml:space="preserve">LAIPVP </w:t>
      </w:r>
      <w:r w:rsidRPr="00FA6F76">
        <w:rPr>
          <w:rFonts w:cs="Times New Roman"/>
          <w:lang w:val="fr-CA"/>
        </w:rPr>
        <w:t>(p.</w:t>
      </w:r>
      <w:r w:rsidR="00F23967">
        <w:rPr>
          <w:rFonts w:cs="Times New Roman"/>
          <w:lang w:val="fr-CA"/>
        </w:rPr>
        <w:t xml:space="preserve"> </w:t>
      </w:r>
      <w:r w:rsidRPr="00FA6F76">
        <w:rPr>
          <w:rFonts w:cs="Times New Roman"/>
          <w:lang w:val="fr-CA"/>
        </w:rPr>
        <w:t>4</w:t>
      </w:r>
      <w:r w:rsidR="00F23967">
        <w:rPr>
          <w:rFonts w:cs="Times New Roman"/>
          <w:lang w:val="fr-CA"/>
        </w:rPr>
        <w:t>-</w:t>
      </w:r>
      <w:r w:rsidRPr="00FA6F76">
        <w:rPr>
          <w:rFonts w:cs="Times New Roman"/>
          <w:lang w:val="fr-CA"/>
        </w:rPr>
        <w:t xml:space="preserve">5). </w:t>
      </w:r>
    </w:p>
    <w:p w:rsidR="006C6098" w:rsidRPr="00FA6F76" w:rsidRDefault="006C6098" w:rsidP="00021119">
      <w:pPr>
        <w:pStyle w:val="ParaNoNdepar-AltN"/>
        <w:rPr>
          <w:rFonts w:cs="Times New Roman"/>
          <w:lang w:val="fr-CA"/>
        </w:rPr>
      </w:pPr>
      <w:r w:rsidRPr="00FA6F76">
        <w:rPr>
          <w:rFonts w:cs="Times New Roman"/>
          <w:lang w:val="fr-CA"/>
        </w:rPr>
        <w:t xml:space="preserve">La Commissaire a fait observer que l’auteur de la demande </w:t>
      </w:r>
      <w:r w:rsidRPr="00FA6F76">
        <w:rPr>
          <w:rFonts w:cs="Times New Roman"/>
          <w:i/>
          <w:iCs/>
          <w:lang w:val="fr-CA"/>
        </w:rPr>
        <w:t>ne</w:t>
      </w:r>
      <w:r w:rsidRPr="00FA6F76">
        <w:rPr>
          <w:rFonts w:cs="Times New Roman"/>
          <w:lang w:val="fr-CA"/>
        </w:rPr>
        <w:t xml:space="preserve"> réclamait </w:t>
      </w:r>
      <w:r w:rsidRPr="00FA6F76">
        <w:rPr>
          <w:rFonts w:cs="Times New Roman"/>
          <w:i/>
          <w:iCs/>
          <w:lang w:val="fr-CA"/>
        </w:rPr>
        <w:t>pas</w:t>
      </w:r>
      <w:r w:rsidRPr="00FA6F76">
        <w:rPr>
          <w:rFonts w:cs="Times New Roman"/>
          <w:lang w:val="fr-CA"/>
        </w:rPr>
        <w:t xml:space="preserve"> l’accès à toute la base de données, mais uniquement à une liste de RTA et au nombre de délinquants sexuels inscrits habitant dans chacune d’elles.  Elle a donc conclu que les renseignements n’étaient pas des </w:t>
      </w:r>
      <w:r w:rsidR="00E3692F" w:rsidRPr="003D0CB7">
        <w:rPr>
          <w:lang w:val="fr-CA"/>
        </w:rPr>
        <w:t>«</w:t>
      </w:r>
      <w:r w:rsidR="00E3692F">
        <w:rPr>
          <w:rFonts w:cs="Times New Roman"/>
          <w:iCs/>
          <w:lang w:val="fr-CA"/>
        </w:rPr>
        <w:t> </w:t>
      </w:r>
      <w:r w:rsidRPr="00FA6F76">
        <w:rPr>
          <w:rFonts w:cs="Times New Roman"/>
          <w:lang w:val="fr-CA"/>
        </w:rPr>
        <w:t>renseignements personnels</w:t>
      </w:r>
      <w:r w:rsidR="00E3692F">
        <w:rPr>
          <w:rFonts w:cs="Times New Roman"/>
          <w:iCs/>
          <w:lang w:val="fr-CA"/>
        </w:rPr>
        <w:t> </w:t>
      </w:r>
      <w:r w:rsidR="00E3692F" w:rsidRPr="003D0CB7">
        <w:rPr>
          <w:lang w:val="fr-CA"/>
        </w:rPr>
        <w:t>»</w:t>
      </w:r>
      <w:r w:rsidRPr="00FA6F76">
        <w:rPr>
          <w:rFonts w:cs="Times New Roman"/>
          <w:lang w:val="fr-CA"/>
        </w:rPr>
        <w:t xml:space="preserve"> au sens du par.</w:t>
      </w:r>
      <w:r w:rsidR="00F23967">
        <w:rPr>
          <w:rFonts w:cs="Times New Roman"/>
          <w:lang w:val="fr-CA"/>
        </w:rPr>
        <w:t xml:space="preserve"> </w:t>
      </w:r>
      <w:r w:rsidRPr="00FA6F76">
        <w:rPr>
          <w:rFonts w:cs="Times New Roman"/>
          <w:lang w:val="fr-CA"/>
        </w:rPr>
        <w:t xml:space="preserve">2(1) de la </w:t>
      </w:r>
      <w:r w:rsidRPr="00FA6F76">
        <w:rPr>
          <w:rFonts w:cs="Times New Roman"/>
          <w:i/>
          <w:iCs/>
          <w:lang w:val="fr-CA"/>
        </w:rPr>
        <w:t>LAIPVP</w:t>
      </w:r>
      <w:r w:rsidRPr="00FA6F76">
        <w:rPr>
          <w:rFonts w:cs="Times New Roman"/>
          <w:iCs/>
          <w:lang w:val="fr-CA"/>
        </w:rPr>
        <w:t xml:space="preserve">, </w:t>
      </w:r>
      <w:r w:rsidRPr="00FA6F76">
        <w:rPr>
          <w:rFonts w:cs="Times New Roman"/>
          <w:lang w:val="fr-CA"/>
        </w:rPr>
        <w:t>parce qu’ils ne permettaient pas raisonnablement d’identifier des individus inscrits au registre et qu’ils n’étaient donc pas soustraits à la communication pour ce motif en application de l’art.</w:t>
      </w:r>
      <w:r w:rsidR="00F23967">
        <w:rPr>
          <w:rFonts w:cs="Times New Roman"/>
          <w:lang w:val="fr-CA"/>
        </w:rPr>
        <w:t xml:space="preserve"> </w:t>
      </w:r>
      <w:r w:rsidRPr="00FA6F76">
        <w:rPr>
          <w:rFonts w:cs="Times New Roman"/>
          <w:lang w:val="fr-CA"/>
        </w:rPr>
        <w:t xml:space="preserve">21 de la </w:t>
      </w:r>
      <w:r w:rsidRPr="00FA6F76">
        <w:rPr>
          <w:rFonts w:cs="Times New Roman"/>
          <w:i/>
          <w:iCs/>
          <w:lang w:val="fr-CA"/>
        </w:rPr>
        <w:t xml:space="preserve">LAIPVP </w:t>
      </w:r>
      <w:r w:rsidRPr="00FA6F76">
        <w:rPr>
          <w:rFonts w:cs="Times New Roman"/>
          <w:lang w:val="fr-CA"/>
        </w:rPr>
        <w:t>(p.</w:t>
      </w:r>
      <w:r w:rsidR="00F23967">
        <w:rPr>
          <w:rFonts w:cs="Times New Roman"/>
          <w:lang w:val="fr-CA"/>
        </w:rPr>
        <w:t xml:space="preserve"> </w:t>
      </w:r>
      <w:r w:rsidRPr="00FA6F76">
        <w:rPr>
          <w:rFonts w:cs="Times New Roman"/>
          <w:lang w:val="fr-CA"/>
        </w:rPr>
        <w:t>3).</w:t>
      </w:r>
    </w:p>
    <w:p w:rsidR="006C6098" w:rsidRPr="00FA6F76" w:rsidRDefault="006C6098" w:rsidP="00021119">
      <w:pPr>
        <w:pStyle w:val="ParaNoNdepar-AltN"/>
        <w:rPr>
          <w:rFonts w:cs="Times New Roman"/>
          <w:lang w:val="fr-CA"/>
        </w:rPr>
      </w:pPr>
      <w:r w:rsidRPr="00FA6F76">
        <w:rPr>
          <w:rFonts w:cs="Times New Roman"/>
          <w:lang w:val="fr-CA"/>
        </w:rPr>
        <w:t>La Commissaire s’est ensuite penchée sur les exceptions en matière d’application de la loi fondées sur le risque de préjudice qui sont prévues aux al.</w:t>
      </w:r>
      <w:r w:rsidR="00F23967">
        <w:rPr>
          <w:rFonts w:cs="Times New Roman"/>
          <w:lang w:val="fr-CA"/>
        </w:rPr>
        <w:t xml:space="preserve"> </w:t>
      </w:r>
      <w:r w:rsidRPr="00FA6F76">
        <w:rPr>
          <w:rFonts w:cs="Times New Roman"/>
          <w:lang w:val="fr-CA"/>
        </w:rPr>
        <w:t>14(1</w:t>
      </w:r>
      <w:r w:rsidRPr="00FA6F76">
        <w:rPr>
          <w:rFonts w:cs="Times New Roman"/>
          <w:iCs/>
          <w:lang w:val="fr-CA"/>
        </w:rPr>
        <w:t>)e</w:t>
      </w:r>
      <w:r w:rsidRPr="00FA6F76">
        <w:rPr>
          <w:rFonts w:cs="Times New Roman"/>
          <w:lang w:val="fr-CA"/>
        </w:rPr>
        <w:t>) et 14(1)</w:t>
      </w:r>
      <w:r w:rsidRPr="00FA6F76">
        <w:rPr>
          <w:rFonts w:cs="Times New Roman"/>
          <w:iCs/>
          <w:lang w:val="fr-CA"/>
        </w:rPr>
        <w:t>l</w:t>
      </w:r>
      <w:r w:rsidRPr="00FA6F76">
        <w:rPr>
          <w:rFonts w:cs="Times New Roman"/>
          <w:lang w:val="fr-CA"/>
        </w:rPr>
        <w:t xml:space="preserve">) de la </w:t>
      </w:r>
      <w:r w:rsidRPr="00FA6F76">
        <w:rPr>
          <w:rFonts w:cs="Times New Roman"/>
          <w:i/>
          <w:iCs/>
          <w:lang w:val="fr-CA"/>
        </w:rPr>
        <w:t>LAIPVP</w:t>
      </w:r>
      <w:r w:rsidRPr="000C372A">
        <w:rPr>
          <w:rFonts w:cs="Times New Roman"/>
          <w:iCs/>
          <w:lang w:val="fr-CA"/>
        </w:rPr>
        <w:t>.</w:t>
      </w:r>
      <w:r w:rsidRPr="00FA6F76">
        <w:rPr>
          <w:rFonts w:cs="Times New Roman"/>
          <w:i/>
          <w:iCs/>
          <w:lang w:val="fr-CA"/>
        </w:rPr>
        <w:t xml:space="preserve">  </w:t>
      </w:r>
      <w:r w:rsidRPr="00FA6F76">
        <w:rPr>
          <w:rFonts w:cs="Times New Roman"/>
          <w:lang w:val="fr-CA"/>
        </w:rPr>
        <w:t>Ces exceptions s’appliquent dans les cas où l’on démontre qu’il est raisonnable de s’attendre à ce que la divulgation ait pour effet de constituer une menace à la vie ou à la sécurité physique d’un agent chargé de l’application de la loi ou d’une autre personne</w:t>
      </w:r>
      <w:r w:rsidR="00F23967">
        <w:rPr>
          <w:rFonts w:cs="Times New Roman"/>
          <w:lang w:val="fr-CA"/>
        </w:rPr>
        <w:t xml:space="preserve"> </w:t>
      </w:r>
      <w:r w:rsidRPr="00FA6F76">
        <w:rPr>
          <w:rFonts w:cs="Times New Roman"/>
          <w:lang w:val="fr-CA"/>
        </w:rPr>
        <w:t>ou de faciliter la perpétration d’un acte illégal ou d’entraver la répression du crime.</w:t>
      </w:r>
    </w:p>
    <w:p w:rsidR="006C6098" w:rsidRPr="00FA6F76" w:rsidRDefault="006C6098" w:rsidP="00021119">
      <w:pPr>
        <w:pStyle w:val="ParaNoNdepar-AltN"/>
        <w:rPr>
          <w:rFonts w:cs="Times New Roman"/>
          <w:lang w:val="fr-CA"/>
        </w:rPr>
      </w:pPr>
      <w:r w:rsidRPr="00FA6F76">
        <w:rPr>
          <w:rFonts w:cs="Times New Roman"/>
          <w:lang w:val="fr-CA"/>
        </w:rPr>
        <w:t>Dans le cas de l’al.</w:t>
      </w:r>
      <w:r w:rsidR="00F23967">
        <w:rPr>
          <w:rFonts w:cs="Times New Roman"/>
          <w:lang w:val="fr-CA"/>
        </w:rPr>
        <w:t xml:space="preserve"> </w:t>
      </w:r>
      <w:r w:rsidRPr="00FA6F76">
        <w:rPr>
          <w:rFonts w:cs="Times New Roman"/>
          <w:lang w:val="fr-CA"/>
        </w:rPr>
        <w:t>14(1)</w:t>
      </w:r>
      <w:r w:rsidRPr="00FA6F76">
        <w:rPr>
          <w:rFonts w:cs="Times New Roman"/>
          <w:iCs/>
          <w:lang w:val="fr-CA"/>
        </w:rPr>
        <w:t>e</w:t>
      </w:r>
      <w:r w:rsidRPr="00FA6F76">
        <w:rPr>
          <w:rFonts w:cs="Times New Roman"/>
          <w:lang w:val="fr-CA"/>
        </w:rPr>
        <w:t xml:space="preserve">), la Commissaire a conclu que le Ministère n’avait pas démontré l’existence de motifs raisonnables de croire que la divulgation présenterait une menace.  Elle a examiné l’argument du Ministère suivant lequel, en </w:t>
      </w:r>
      <w:r w:rsidRPr="00FA6F76">
        <w:rPr>
          <w:rFonts w:cs="Times New Roman"/>
          <w:lang w:val="fr-CA"/>
        </w:rPr>
        <w:lastRenderedPageBreak/>
        <w:t>recoupant les renseignements demandés avec d’autres renseignements accessibles au public, il était possible de repérer le lieu de résidence du délinquant sexuel, de même que l’argument selon lequel de multiples demandes faisant état de déplacements du délinquant pourraient permettre de l’identifier.  La Commissaire a également examiné les craintes exprimées par le Ministère au sujet du phénomène des justiciers, du harcèlement dont le délinquant sexuel pourrait faire l’objet, de l’éventuelle baisse de la conformité aux exigences en matière de déclaration et, enfin, de la récidive.  La Commissaire a relevé que tous les arguments du Ministère dépendaient de la possibilité d’identifier le délinquant et qu’elle avait déjà conclu que l’on ne pouvait pas raisonnablement s’attendre à ce qu’un individu puisse être identifié si le document était communiqué (p.</w:t>
      </w:r>
      <w:r w:rsidR="00F23967">
        <w:rPr>
          <w:rFonts w:cs="Times New Roman"/>
          <w:lang w:val="fr-CA"/>
        </w:rPr>
        <w:t xml:space="preserve"> </w:t>
      </w:r>
      <w:r w:rsidRPr="00FA6F76">
        <w:rPr>
          <w:rFonts w:cs="Times New Roman"/>
          <w:lang w:val="fr-CA"/>
        </w:rPr>
        <w:t>11</w:t>
      </w:r>
      <w:r w:rsidR="00F23967">
        <w:rPr>
          <w:rFonts w:cs="Times New Roman"/>
          <w:lang w:val="fr-CA"/>
        </w:rPr>
        <w:t>-</w:t>
      </w:r>
      <w:r w:rsidRPr="00FA6F76">
        <w:rPr>
          <w:rFonts w:cs="Times New Roman"/>
          <w:lang w:val="fr-CA"/>
        </w:rPr>
        <w:t>14).  La Commissaire a expressément souligné qu’elle n’obligeait pas le Ministère à démontrer que le préjudice était probable, ajoutant que, dans le cas qui nous occupe, l’on n’avait pas satisfait même au critère moins exigeant de l’existence de motifs raisonnables de croire que la communication causerait un préjudice (p.</w:t>
      </w:r>
      <w:r w:rsidR="00F23967">
        <w:rPr>
          <w:rFonts w:cs="Times New Roman"/>
          <w:lang w:val="fr-CA"/>
        </w:rPr>
        <w:t xml:space="preserve"> </w:t>
      </w:r>
      <w:r w:rsidRPr="00FA6F76">
        <w:rPr>
          <w:rFonts w:cs="Times New Roman"/>
          <w:lang w:val="fr-CA"/>
        </w:rPr>
        <w:t>14</w:t>
      </w:r>
      <w:r w:rsidR="00F23967">
        <w:rPr>
          <w:rFonts w:cs="Times New Roman"/>
          <w:lang w:val="fr-CA"/>
        </w:rPr>
        <w:t>-</w:t>
      </w:r>
      <w:r w:rsidRPr="00FA6F76">
        <w:rPr>
          <w:rFonts w:cs="Times New Roman"/>
          <w:lang w:val="fr-CA"/>
        </w:rPr>
        <w:t>15).</w:t>
      </w:r>
    </w:p>
    <w:p w:rsidR="006C6098" w:rsidRPr="00FA6F76" w:rsidRDefault="006C6098" w:rsidP="00021119">
      <w:pPr>
        <w:pStyle w:val="ParaNoNdepar-AltN"/>
        <w:rPr>
          <w:rFonts w:cs="Times New Roman"/>
          <w:lang w:val="fr-CA"/>
        </w:rPr>
      </w:pPr>
      <w:r w:rsidRPr="00FA6F76">
        <w:rPr>
          <w:rFonts w:cs="Times New Roman"/>
          <w:lang w:val="fr-CA"/>
        </w:rPr>
        <w:t>En ce qui concerne l’exception prévue à l’al.</w:t>
      </w:r>
      <w:r w:rsidR="00F23967">
        <w:rPr>
          <w:rFonts w:cs="Times New Roman"/>
          <w:lang w:val="fr-CA"/>
        </w:rPr>
        <w:t xml:space="preserve"> </w:t>
      </w:r>
      <w:r w:rsidRPr="00FA6F76">
        <w:rPr>
          <w:rFonts w:cs="Times New Roman"/>
          <w:lang w:val="fr-CA"/>
        </w:rPr>
        <w:t>14(1)</w:t>
      </w:r>
      <w:r w:rsidRPr="00FA6F76">
        <w:rPr>
          <w:rFonts w:cs="Times New Roman"/>
          <w:iCs/>
          <w:lang w:val="fr-CA"/>
        </w:rPr>
        <w:t>l</w:t>
      </w:r>
      <w:r w:rsidRPr="00FA6F76">
        <w:rPr>
          <w:rFonts w:cs="Times New Roman"/>
          <w:lang w:val="fr-CA"/>
        </w:rPr>
        <w:t xml:space="preserve">) </w:t>
      </w:r>
      <w:r w:rsidRPr="00FA6F76">
        <w:rPr>
          <w:rFonts w:cs="Times New Roman"/>
          <w:lang w:val="fr-CA"/>
        </w:rPr>
        <w:sym w:font="Symbol" w:char="F0BE"/>
      </w:r>
      <w:r w:rsidRPr="00FA6F76">
        <w:rPr>
          <w:rFonts w:cs="Times New Roman"/>
          <w:lang w:val="fr-CA"/>
        </w:rPr>
        <w:t xml:space="preserve"> faciliter la perpétration d’un acte illégal ou entraver la répression du </w:t>
      </w:r>
      <w:proofErr w:type="gramStart"/>
      <w:r w:rsidRPr="00FA6F76">
        <w:rPr>
          <w:rFonts w:cs="Times New Roman"/>
          <w:lang w:val="fr-CA"/>
        </w:rPr>
        <w:t xml:space="preserve">crime </w:t>
      </w:r>
      <w:proofErr w:type="gramEnd"/>
      <w:r w:rsidRPr="00FA6F76">
        <w:rPr>
          <w:rFonts w:cs="Times New Roman"/>
          <w:lang w:val="fr-CA"/>
        </w:rPr>
        <w:sym w:font="Symbol" w:char="F0BE"/>
      </w:r>
      <w:r w:rsidRPr="00FA6F76">
        <w:rPr>
          <w:rFonts w:cs="Times New Roman"/>
          <w:lang w:val="fr-CA"/>
        </w:rPr>
        <w:t xml:space="preserve">, la Commissaire a mentionné que sa conclusion selon laquelle on ne pouvait raisonnablement s’attendre à ce qu’il soit possible d’identifier un délinquant si le document demandé était communiqué suffisait pour trancher aussi les arguments du Ministère fondés sur cette exception.  La Commissaire n’était pas convaincue qu’il était raisonnable de s’attendre à ce que la divulgation des renseignements demandés ait pour effet de </w:t>
      </w:r>
      <w:r w:rsidRPr="00FA6F76">
        <w:rPr>
          <w:rFonts w:cs="Times New Roman"/>
          <w:lang w:val="fr-CA"/>
        </w:rPr>
        <w:lastRenderedPageBreak/>
        <w:t>faciliter la perpétration d’un acte illégal ou d’entraver la répression du crime (p.</w:t>
      </w:r>
      <w:r w:rsidR="00F23967">
        <w:rPr>
          <w:rFonts w:cs="Times New Roman"/>
          <w:lang w:val="fr-CA"/>
        </w:rPr>
        <w:t xml:space="preserve"> </w:t>
      </w:r>
      <w:r w:rsidRPr="00FA6F76">
        <w:rPr>
          <w:rFonts w:cs="Times New Roman"/>
          <w:lang w:val="fr-CA"/>
        </w:rPr>
        <w:t>15</w:t>
      </w:r>
      <w:r w:rsidR="00F23967">
        <w:rPr>
          <w:rFonts w:cs="Times New Roman"/>
          <w:lang w:val="fr-CA"/>
        </w:rPr>
        <w:t>-</w:t>
      </w:r>
      <w:r w:rsidRPr="00FA6F76">
        <w:rPr>
          <w:rFonts w:cs="Times New Roman"/>
          <w:lang w:val="fr-CA"/>
        </w:rPr>
        <w:t xml:space="preserve">17). </w:t>
      </w:r>
    </w:p>
    <w:p w:rsidR="006C6098" w:rsidRPr="00FA6F76" w:rsidRDefault="006C6098" w:rsidP="00021119">
      <w:pPr>
        <w:pStyle w:val="ParaNoNdepar-AltN"/>
        <w:rPr>
          <w:rFonts w:cs="Times New Roman"/>
          <w:lang w:val="fr-CA"/>
        </w:rPr>
      </w:pPr>
      <w:r w:rsidRPr="00FA6F76">
        <w:rPr>
          <w:rFonts w:cs="Times New Roman"/>
          <w:lang w:val="fr-CA"/>
        </w:rPr>
        <w:t>Comme elle a conclu qu’aucune des exceptions ne s’appliquait, la Commissaire a ordonné la communication du document (p.</w:t>
      </w:r>
      <w:r w:rsidR="00F23967">
        <w:rPr>
          <w:rFonts w:cs="Times New Roman"/>
          <w:lang w:val="fr-CA"/>
        </w:rPr>
        <w:t xml:space="preserve"> </w:t>
      </w:r>
      <w:r w:rsidRPr="00FA6F76">
        <w:rPr>
          <w:rFonts w:cs="Times New Roman"/>
          <w:lang w:val="fr-CA"/>
        </w:rPr>
        <w:t>17).</w:t>
      </w:r>
    </w:p>
    <w:p w:rsidR="006C6098" w:rsidRPr="00FA6F76" w:rsidRDefault="006C6098" w:rsidP="00021119">
      <w:pPr>
        <w:pStyle w:val="Title3LevelTitre3Niveau"/>
        <w:keepNext w:val="0"/>
        <w:rPr>
          <w:rFonts w:cs="Times New Roman"/>
          <w:lang w:val="fr-CA"/>
        </w:rPr>
      </w:pPr>
      <w:r w:rsidRPr="00FA6F76">
        <w:rPr>
          <w:rFonts w:cs="Times New Roman"/>
          <w:lang w:val="fr-CA"/>
        </w:rPr>
        <w:t>Cour divisionnaire, 2011 ONSC 3525, 282 O.A.C. 199</w:t>
      </w:r>
    </w:p>
    <w:p w:rsidR="006C6098" w:rsidRPr="00FA6F76" w:rsidRDefault="006C6098" w:rsidP="00021119">
      <w:pPr>
        <w:pStyle w:val="ParaNoNdepar-AltN"/>
        <w:rPr>
          <w:rFonts w:cs="Times New Roman"/>
          <w:lang w:val="fr-CA"/>
        </w:rPr>
      </w:pPr>
      <w:r w:rsidRPr="00FA6F76">
        <w:rPr>
          <w:rFonts w:cs="Times New Roman"/>
          <w:lang w:val="fr-CA"/>
        </w:rPr>
        <w:t xml:space="preserve">La demande de contrôle judiciaire du Ministère a été rejetée par de brefs motifs prononcés à l’audience.  Le </w:t>
      </w:r>
      <w:r w:rsidR="00CD662E">
        <w:rPr>
          <w:rFonts w:cs="Times New Roman"/>
          <w:lang w:val="fr-CA"/>
        </w:rPr>
        <w:t>Ministère</w:t>
      </w:r>
      <w:r w:rsidRPr="00FA6F76">
        <w:rPr>
          <w:rFonts w:cs="Times New Roman"/>
          <w:lang w:val="fr-CA"/>
        </w:rPr>
        <w:t xml:space="preserve"> ne contestait que les conclusions tirées par la Commissaire en ce qui concerne les exceptions relatives à l’application de la loi prévues aux al.</w:t>
      </w:r>
      <w:r w:rsidR="00F23967">
        <w:rPr>
          <w:rFonts w:cs="Times New Roman"/>
          <w:lang w:val="fr-CA"/>
        </w:rPr>
        <w:t xml:space="preserve"> </w:t>
      </w:r>
      <w:r w:rsidRPr="00FA6F76">
        <w:rPr>
          <w:rFonts w:cs="Times New Roman"/>
          <w:lang w:val="fr-CA"/>
        </w:rPr>
        <w:t>14(1)</w:t>
      </w:r>
      <w:r w:rsidRPr="00FA6F76">
        <w:rPr>
          <w:rFonts w:cs="Times New Roman"/>
          <w:iCs/>
          <w:lang w:val="fr-CA"/>
        </w:rPr>
        <w:t>e</w:t>
      </w:r>
      <w:r w:rsidRPr="00FA6F76">
        <w:rPr>
          <w:rFonts w:cs="Times New Roman"/>
          <w:lang w:val="fr-CA"/>
        </w:rPr>
        <w:t>) et 14(1)</w:t>
      </w:r>
      <w:r w:rsidRPr="00FA6F76">
        <w:rPr>
          <w:rFonts w:cs="Times New Roman"/>
          <w:iCs/>
          <w:lang w:val="fr-CA"/>
        </w:rPr>
        <w:t>l</w:t>
      </w:r>
      <w:r w:rsidRPr="00FA6F76">
        <w:rPr>
          <w:rFonts w:cs="Times New Roman"/>
          <w:lang w:val="fr-CA"/>
        </w:rPr>
        <w:t xml:space="preserve">). </w:t>
      </w:r>
    </w:p>
    <w:p w:rsidR="006C6098" w:rsidRPr="00FA6F76" w:rsidRDefault="006C6098" w:rsidP="00021119">
      <w:pPr>
        <w:pStyle w:val="Title3LevelTitre3Niveau"/>
        <w:keepNext w:val="0"/>
        <w:rPr>
          <w:rFonts w:cs="Times New Roman"/>
          <w:lang w:val="fr-CA"/>
        </w:rPr>
      </w:pPr>
      <w:r w:rsidRPr="00FA6F76">
        <w:rPr>
          <w:rFonts w:cs="Times New Roman"/>
          <w:lang w:val="fr-CA"/>
        </w:rPr>
        <w:t>Cour d’appel, 2012 ONCA 393, 292 O.A.C. 335</w:t>
      </w:r>
    </w:p>
    <w:p w:rsidR="006C6098" w:rsidRPr="00FA6F76" w:rsidRDefault="006C6098" w:rsidP="00021119">
      <w:pPr>
        <w:pStyle w:val="ParaNoNdepar-AltN"/>
        <w:rPr>
          <w:rFonts w:cs="Times New Roman"/>
          <w:lang w:val="fr-CA"/>
        </w:rPr>
      </w:pPr>
      <w:r w:rsidRPr="00FA6F76">
        <w:rPr>
          <w:rFonts w:cs="Times New Roman"/>
          <w:lang w:val="fr-CA"/>
        </w:rPr>
        <w:t xml:space="preserve">Le second appel du Ministère a également été rejeté.  La Cour d’appel s’est dite d’accord avec la Cour divisionnaire pour conclure que la décision de la Commissaire était raisonnable.  Elle a souligné que le Ministère avait présenté peu d’éléments de preuve, sinon aucun, tendant à démontrer que les renseignements demandés pourraient être utilisés pour découvrir où habitent les délinquants sexuels ou susciter chez ces derniers l’impression subjective que cette possibilité existe, ce qui entraînerait une baisse de la conformité aux exigences du registre.  La Cour d’appel a conclu que la Commissaire avait appliqué le bon critère et que la preuve appuyait ses conclusions de fait. </w:t>
      </w:r>
    </w:p>
    <w:p w:rsidR="006C6098" w:rsidRPr="00FA6F76" w:rsidRDefault="006C6098" w:rsidP="00021119">
      <w:pPr>
        <w:pStyle w:val="Title1LevelTitre1Niveau-AltL"/>
        <w:keepNext w:val="0"/>
        <w:rPr>
          <w:rFonts w:cs="Times New Roman"/>
          <w:lang w:val="fr-CA"/>
        </w:rPr>
      </w:pPr>
      <w:r w:rsidRPr="00FA6F76">
        <w:rPr>
          <w:rFonts w:cs="Times New Roman"/>
          <w:lang w:val="fr-CA"/>
        </w:rPr>
        <w:lastRenderedPageBreak/>
        <w:t>Questions en litige</w:t>
      </w:r>
    </w:p>
    <w:p w:rsidR="006C6098" w:rsidRPr="00FA6F76" w:rsidRDefault="006C6098" w:rsidP="00021119">
      <w:pPr>
        <w:pStyle w:val="ParaNoNdepar-AltN"/>
        <w:rPr>
          <w:rFonts w:cs="Times New Roman"/>
          <w:lang w:val="fr-CA"/>
        </w:rPr>
      </w:pPr>
      <w:r w:rsidRPr="00FA6F76">
        <w:rPr>
          <w:rFonts w:cs="Times New Roman"/>
          <w:lang w:val="fr-CA"/>
        </w:rPr>
        <w:t>Le présent pourvoi soulève les questions suivantes</w:t>
      </w:r>
      <w:r w:rsidR="00F23967">
        <w:rPr>
          <w:rFonts w:cs="Times New Roman"/>
          <w:lang w:val="fr-CA"/>
        </w:rPr>
        <w:t xml:space="preserve"> </w:t>
      </w:r>
      <w:r w:rsidRPr="00FA6F76">
        <w:rPr>
          <w:rFonts w:cs="Times New Roman"/>
          <w:lang w:val="fr-CA"/>
        </w:rPr>
        <w:t xml:space="preserve">: </w:t>
      </w:r>
    </w:p>
    <w:p w:rsidR="006C6098" w:rsidRPr="00FA6F76" w:rsidRDefault="00716086" w:rsidP="00716086">
      <w:pPr>
        <w:pStyle w:val="Citation-AltC"/>
        <w:tabs>
          <w:tab w:val="left" w:pos="0"/>
          <w:tab w:val="left" w:pos="1560"/>
        </w:tabs>
        <w:spacing w:after="480" w:line="480" w:lineRule="auto"/>
        <w:ind w:left="0"/>
        <w:contextualSpacing w:val="0"/>
        <w:rPr>
          <w:lang w:val="fr-CA"/>
        </w:rPr>
      </w:pPr>
      <w:r>
        <w:rPr>
          <w:lang w:val="fr-CA"/>
        </w:rPr>
        <w:t xml:space="preserve">A. </w:t>
      </w:r>
      <w:r w:rsidR="000C372A">
        <w:rPr>
          <w:lang w:val="fr-CA"/>
        </w:rPr>
        <w:t xml:space="preserve"> </w:t>
      </w:r>
      <w:r w:rsidR="006C6098" w:rsidRPr="00FA6F76">
        <w:rPr>
          <w:lang w:val="fr-CA"/>
        </w:rPr>
        <w:t>Quelle est la norme de contrôle applicable à la décision de la Commissaire?</w:t>
      </w:r>
    </w:p>
    <w:p w:rsidR="006C6098" w:rsidRPr="00FA6F76" w:rsidRDefault="00716086" w:rsidP="00716086">
      <w:pPr>
        <w:pStyle w:val="Citation-AltC"/>
        <w:tabs>
          <w:tab w:val="left" w:pos="0"/>
          <w:tab w:val="left" w:pos="1560"/>
        </w:tabs>
        <w:spacing w:after="480" w:line="480" w:lineRule="auto"/>
        <w:ind w:left="0"/>
        <w:contextualSpacing w:val="0"/>
        <w:rPr>
          <w:lang w:val="fr-CA"/>
        </w:rPr>
      </w:pPr>
      <w:r>
        <w:rPr>
          <w:lang w:val="fr-CA"/>
        </w:rPr>
        <w:t xml:space="preserve">B. </w:t>
      </w:r>
      <w:r w:rsidR="000C372A">
        <w:rPr>
          <w:lang w:val="fr-CA"/>
        </w:rPr>
        <w:t xml:space="preserve"> </w:t>
      </w:r>
      <w:r w:rsidR="006C6098" w:rsidRPr="00FA6F76">
        <w:rPr>
          <w:lang w:val="fr-CA"/>
        </w:rPr>
        <w:t>La Commissaire a</w:t>
      </w:r>
      <w:r w:rsidR="00F23967">
        <w:rPr>
          <w:lang w:val="fr-CA"/>
        </w:rPr>
        <w:t>-</w:t>
      </w:r>
      <w:r w:rsidR="006C6098" w:rsidRPr="00FA6F76">
        <w:rPr>
          <w:lang w:val="fr-CA"/>
        </w:rPr>
        <w:t>t</w:t>
      </w:r>
      <w:r w:rsidR="00F23967">
        <w:rPr>
          <w:lang w:val="fr-CA"/>
        </w:rPr>
        <w:t>-</w:t>
      </w:r>
      <w:r w:rsidR="006C6098" w:rsidRPr="00FA6F76">
        <w:rPr>
          <w:lang w:val="fr-CA"/>
        </w:rPr>
        <w:t xml:space="preserve">elle commis une erreur susceptible de contrôle judiciaire en accordant un droit d’accès à des fins incompatibles avec la </w:t>
      </w:r>
      <w:r w:rsidR="006C6098" w:rsidRPr="00FA6F76">
        <w:rPr>
          <w:i/>
          <w:iCs/>
          <w:lang w:val="fr-CA"/>
        </w:rPr>
        <w:t>Loi Christopher</w:t>
      </w:r>
      <w:r w:rsidR="006C6098" w:rsidRPr="00FA6F76">
        <w:rPr>
          <w:lang w:val="fr-CA"/>
        </w:rPr>
        <w:t xml:space="preserve"> ou la </w:t>
      </w:r>
      <w:r w:rsidR="006C6098" w:rsidRPr="00FA6F76">
        <w:rPr>
          <w:i/>
          <w:iCs/>
          <w:lang w:val="fr-CA"/>
        </w:rPr>
        <w:t>LAIPVP</w:t>
      </w:r>
      <w:r w:rsidR="006C6098" w:rsidRPr="00FA6F76">
        <w:rPr>
          <w:lang w:val="fr-CA"/>
        </w:rPr>
        <w:t>?</w:t>
      </w:r>
    </w:p>
    <w:p w:rsidR="006C6098" w:rsidRPr="00FA6F76" w:rsidRDefault="00716086" w:rsidP="00716086">
      <w:pPr>
        <w:pStyle w:val="Citation-AltC"/>
        <w:tabs>
          <w:tab w:val="left" w:pos="0"/>
          <w:tab w:val="left" w:pos="1560"/>
        </w:tabs>
        <w:spacing w:after="480" w:line="480" w:lineRule="auto"/>
        <w:ind w:left="0"/>
        <w:contextualSpacing w:val="0"/>
        <w:rPr>
          <w:lang w:val="fr-CA"/>
        </w:rPr>
      </w:pPr>
      <w:r>
        <w:rPr>
          <w:lang w:val="fr-CA"/>
        </w:rPr>
        <w:t xml:space="preserve">C. </w:t>
      </w:r>
      <w:r w:rsidR="000C372A">
        <w:rPr>
          <w:lang w:val="fr-CA"/>
        </w:rPr>
        <w:t xml:space="preserve"> </w:t>
      </w:r>
      <w:r w:rsidR="006C6098" w:rsidRPr="00FA6F76">
        <w:rPr>
          <w:lang w:val="fr-CA"/>
        </w:rPr>
        <w:t>La Commissaire a</w:t>
      </w:r>
      <w:r w:rsidR="00F23967">
        <w:rPr>
          <w:lang w:val="fr-CA"/>
        </w:rPr>
        <w:t>-</w:t>
      </w:r>
      <w:r w:rsidR="006C6098" w:rsidRPr="00FA6F76">
        <w:rPr>
          <w:lang w:val="fr-CA"/>
        </w:rPr>
        <w:t>t</w:t>
      </w:r>
      <w:r w:rsidR="00F23967">
        <w:rPr>
          <w:lang w:val="fr-CA"/>
        </w:rPr>
        <w:t>-</w:t>
      </w:r>
      <w:r w:rsidR="006C6098" w:rsidRPr="00FA6F76">
        <w:rPr>
          <w:lang w:val="fr-CA"/>
        </w:rPr>
        <w:t xml:space="preserve">elle commis une erreur susceptible de contrôle judiciaire dans l’interprétation des exceptions de la </w:t>
      </w:r>
      <w:r w:rsidR="006C6098" w:rsidRPr="00FA6F76">
        <w:rPr>
          <w:i/>
          <w:iCs/>
          <w:lang w:val="fr-CA"/>
        </w:rPr>
        <w:t xml:space="preserve">LAIPVP </w:t>
      </w:r>
      <w:r w:rsidR="006C6098" w:rsidRPr="00FA6F76">
        <w:rPr>
          <w:lang w:val="fr-CA"/>
        </w:rPr>
        <w:t>relatives à l’application de la loi en appliquant une norme élevée à satisfaire pour démontrer qu’on pouvait raisonnablement prévoir qu’il soit porté préjudice dans l’avenir à la sécurité des citoyens et à la capacité de la police de réprimer le crime?</w:t>
      </w:r>
    </w:p>
    <w:p w:rsidR="006C6098" w:rsidRPr="00FA6F76" w:rsidRDefault="006C6098" w:rsidP="00021119">
      <w:pPr>
        <w:pStyle w:val="ParaNoNdepar-AltN"/>
        <w:rPr>
          <w:rFonts w:cs="Times New Roman"/>
          <w:lang w:val="fr-CA"/>
        </w:rPr>
      </w:pPr>
      <w:r w:rsidRPr="00FA6F76">
        <w:rPr>
          <w:rFonts w:cs="Times New Roman"/>
          <w:lang w:val="fr-CA"/>
        </w:rPr>
        <w:t>Nous aborderons ces questions à tour de rôle.</w:t>
      </w:r>
    </w:p>
    <w:p w:rsidR="006C6098" w:rsidRPr="00FA6F76" w:rsidRDefault="006C6098" w:rsidP="00021119">
      <w:pPr>
        <w:pStyle w:val="Title1LevelTitre1Niveau-AltL"/>
        <w:keepNext w:val="0"/>
        <w:rPr>
          <w:rFonts w:cs="Times New Roman"/>
          <w:lang w:val="fr-CA"/>
        </w:rPr>
      </w:pPr>
      <w:r w:rsidRPr="00FA6F76">
        <w:rPr>
          <w:rFonts w:cs="Times New Roman"/>
          <w:lang w:val="fr-CA"/>
        </w:rPr>
        <w:t>Analyse</w:t>
      </w:r>
    </w:p>
    <w:p w:rsidR="006C6098" w:rsidRPr="00FA6F76" w:rsidRDefault="006C6098" w:rsidP="00021119">
      <w:pPr>
        <w:pStyle w:val="Title2LevelTitre2Niveau"/>
        <w:keepNext w:val="0"/>
        <w:rPr>
          <w:rFonts w:cs="Times New Roman"/>
          <w:lang w:val="fr-CA"/>
        </w:rPr>
      </w:pPr>
      <w:r w:rsidRPr="00FA6F76">
        <w:rPr>
          <w:rFonts w:cs="Times New Roman"/>
          <w:lang w:val="fr-CA"/>
        </w:rPr>
        <w:t>Norme de contrôle</w:t>
      </w:r>
    </w:p>
    <w:p w:rsidR="006C6098" w:rsidRPr="00FA6F76" w:rsidRDefault="006C6098" w:rsidP="00021119">
      <w:pPr>
        <w:pStyle w:val="ParaNoNdepar-AltN"/>
        <w:rPr>
          <w:rFonts w:cs="Times New Roman"/>
          <w:lang w:val="fr-CA"/>
        </w:rPr>
      </w:pPr>
      <w:r w:rsidRPr="00FA6F76">
        <w:rPr>
          <w:rFonts w:cs="Times New Roman"/>
          <w:lang w:val="fr-CA"/>
        </w:rPr>
        <w:t xml:space="preserve">La Cour autant que les juridictions ontariennes ont jugé que les décisions du commissaire portant sur l’interprétation et l’application des exceptions à la </w:t>
      </w:r>
      <w:r w:rsidRPr="00FA6F76">
        <w:rPr>
          <w:rFonts w:cs="Times New Roman"/>
          <w:lang w:val="fr-CA"/>
        </w:rPr>
        <w:lastRenderedPageBreak/>
        <w:t xml:space="preserve">divulgation prévues par la </w:t>
      </w:r>
      <w:r w:rsidRPr="00FA6F76">
        <w:rPr>
          <w:rFonts w:cs="Times New Roman"/>
          <w:i/>
          <w:iCs/>
          <w:lang w:val="fr-CA"/>
        </w:rPr>
        <w:t xml:space="preserve">LAIPVP </w:t>
      </w:r>
      <w:r w:rsidRPr="00FA6F76">
        <w:rPr>
          <w:rFonts w:cs="Times New Roman"/>
          <w:lang w:val="fr-CA"/>
        </w:rPr>
        <w:t>étaient, en règle générale, assujetties à la norme de contrôle de la décision raisonnable (voir, p</w:t>
      </w:r>
      <w:r w:rsidR="000974C5">
        <w:rPr>
          <w:rFonts w:cs="Times New Roman"/>
          <w:lang w:val="fr-CA"/>
        </w:rPr>
        <w:t>.</w:t>
      </w:r>
      <w:r w:rsidRPr="00FA6F76">
        <w:rPr>
          <w:rFonts w:cs="Times New Roman"/>
          <w:lang w:val="fr-CA"/>
        </w:rPr>
        <w:t xml:space="preserve"> ex., </w:t>
      </w:r>
      <w:r w:rsidRPr="00FA6F76">
        <w:rPr>
          <w:rFonts w:cs="Times New Roman"/>
          <w:i/>
          <w:iCs/>
          <w:lang w:val="fr-CA"/>
        </w:rPr>
        <w:t xml:space="preserve">Ontario (Sûreté et Sécurité publique) c. </w:t>
      </w:r>
      <w:proofErr w:type="spellStart"/>
      <w:r w:rsidRPr="00FA6F76">
        <w:rPr>
          <w:rFonts w:cs="Times New Roman"/>
          <w:i/>
          <w:iCs/>
          <w:lang w:val="fr-CA"/>
        </w:rPr>
        <w:t>Criminal</w:t>
      </w:r>
      <w:proofErr w:type="spellEnd"/>
      <w:r w:rsidRPr="00FA6F76">
        <w:rPr>
          <w:rFonts w:cs="Times New Roman"/>
          <w:i/>
          <w:iCs/>
          <w:lang w:val="fr-CA"/>
        </w:rPr>
        <w:t xml:space="preserve"> </w:t>
      </w:r>
      <w:proofErr w:type="spellStart"/>
      <w:r w:rsidRPr="00FA6F76">
        <w:rPr>
          <w:rFonts w:cs="Times New Roman"/>
          <w:i/>
          <w:iCs/>
          <w:lang w:val="fr-CA"/>
        </w:rPr>
        <w:t>Lawyers</w:t>
      </w:r>
      <w:proofErr w:type="spellEnd"/>
      <w:r w:rsidRPr="00FA6F76">
        <w:rPr>
          <w:rFonts w:cs="Times New Roman"/>
          <w:i/>
          <w:iCs/>
          <w:lang w:val="fr-CA"/>
        </w:rPr>
        <w:t>’ Association</w:t>
      </w:r>
      <w:r w:rsidRPr="00FA6F76">
        <w:rPr>
          <w:rFonts w:cs="Times New Roman"/>
          <w:lang w:val="fr-CA"/>
        </w:rPr>
        <w:t>, 2010 CSC 23, [2010] 1 R.C.S. 815, par.</w:t>
      </w:r>
      <w:r w:rsidR="00F23967">
        <w:rPr>
          <w:rFonts w:cs="Times New Roman"/>
          <w:lang w:val="fr-CA"/>
        </w:rPr>
        <w:t xml:space="preserve"> </w:t>
      </w:r>
      <w:r w:rsidRPr="00FA6F76">
        <w:rPr>
          <w:rFonts w:cs="Times New Roman"/>
          <w:lang w:val="fr-CA"/>
        </w:rPr>
        <w:t xml:space="preserve">70; </w:t>
      </w:r>
      <w:r w:rsidRPr="00FA6F76">
        <w:rPr>
          <w:rFonts w:cs="Times New Roman"/>
          <w:i/>
          <w:iCs/>
          <w:lang w:val="fr-CA"/>
        </w:rPr>
        <w:t xml:space="preserve">Ontario (Information and </w:t>
      </w:r>
      <w:proofErr w:type="spellStart"/>
      <w:r w:rsidRPr="00FA6F76">
        <w:rPr>
          <w:rFonts w:cs="Times New Roman"/>
          <w:i/>
          <w:iCs/>
          <w:lang w:val="fr-CA"/>
        </w:rPr>
        <w:t>Privacy</w:t>
      </w:r>
      <w:proofErr w:type="spellEnd"/>
      <w:r w:rsidRPr="00FA6F76">
        <w:rPr>
          <w:rFonts w:cs="Times New Roman"/>
          <w:i/>
          <w:iCs/>
          <w:lang w:val="fr-CA"/>
        </w:rPr>
        <w:t xml:space="preserve"> </w:t>
      </w:r>
      <w:proofErr w:type="spellStart"/>
      <w:r w:rsidRPr="00FA6F76">
        <w:rPr>
          <w:rFonts w:cs="Times New Roman"/>
          <w:i/>
          <w:iCs/>
          <w:lang w:val="fr-CA"/>
        </w:rPr>
        <w:t>Commissioner</w:t>
      </w:r>
      <w:proofErr w:type="spellEnd"/>
      <w:r w:rsidRPr="00FA6F76">
        <w:rPr>
          <w:rFonts w:cs="Times New Roman"/>
          <w:i/>
          <w:iCs/>
          <w:lang w:val="fr-CA"/>
        </w:rPr>
        <w:t xml:space="preserve">, Inquiry </w:t>
      </w:r>
      <w:proofErr w:type="spellStart"/>
      <w:r w:rsidRPr="00FA6F76">
        <w:rPr>
          <w:rFonts w:cs="Times New Roman"/>
          <w:i/>
          <w:iCs/>
          <w:lang w:val="fr-CA"/>
        </w:rPr>
        <w:t>Officer</w:t>
      </w:r>
      <w:proofErr w:type="spellEnd"/>
      <w:r w:rsidRPr="00FA6F76">
        <w:rPr>
          <w:rFonts w:cs="Times New Roman"/>
          <w:i/>
          <w:iCs/>
          <w:lang w:val="fr-CA"/>
        </w:rPr>
        <w:t>) c. Ontario (</w:t>
      </w:r>
      <w:proofErr w:type="spellStart"/>
      <w:r w:rsidRPr="00FA6F76">
        <w:rPr>
          <w:rFonts w:cs="Times New Roman"/>
          <w:i/>
          <w:iCs/>
          <w:lang w:val="fr-CA"/>
        </w:rPr>
        <w:t>Minister</w:t>
      </w:r>
      <w:proofErr w:type="spellEnd"/>
      <w:r w:rsidRPr="00FA6F76">
        <w:rPr>
          <w:rFonts w:cs="Times New Roman"/>
          <w:i/>
          <w:iCs/>
          <w:lang w:val="fr-CA"/>
        </w:rPr>
        <w:t xml:space="preserve"> of Labour, Office of the </w:t>
      </w:r>
      <w:proofErr w:type="spellStart"/>
      <w:r w:rsidRPr="00FA6F76">
        <w:rPr>
          <w:rFonts w:cs="Times New Roman"/>
          <w:i/>
          <w:iCs/>
          <w:lang w:val="fr-CA"/>
        </w:rPr>
        <w:t>Worker</w:t>
      </w:r>
      <w:proofErr w:type="spellEnd"/>
      <w:r w:rsidRPr="00FA6F76">
        <w:rPr>
          <w:rFonts w:cs="Times New Roman"/>
          <w:i/>
          <w:iCs/>
          <w:lang w:val="fr-CA"/>
        </w:rPr>
        <w:t xml:space="preserve"> </w:t>
      </w:r>
      <w:proofErr w:type="spellStart"/>
      <w:r w:rsidRPr="00FA6F76">
        <w:rPr>
          <w:rFonts w:cs="Times New Roman"/>
          <w:i/>
          <w:iCs/>
          <w:lang w:val="fr-CA"/>
        </w:rPr>
        <w:t>Advisor</w:t>
      </w:r>
      <w:proofErr w:type="spellEnd"/>
      <w:r w:rsidRPr="00FA6F76">
        <w:rPr>
          <w:rFonts w:cs="Times New Roman"/>
          <w:i/>
          <w:iCs/>
          <w:lang w:val="fr-CA"/>
        </w:rPr>
        <w:t>)</w:t>
      </w:r>
      <w:r w:rsidRPr="00FA6F76">
        <w:rPr>
          <w:rFonts w:cs="Times New Roman"/>
          <w:lang w:val="fr-CA"/>
        </w:rPr>
        <w:t xml:space="preserve"> (1999), 46 O.R. (3d) 395 (C.A.) (</w:t>
      </w:r>
      <w:r w:rsidR="00E3692F" w:rsidRPr="003D0CB7">
        <w:rPr>
          <w:lang w:val="fr-CA"/>
        </w:rPr>
        <w:t>«</w:t>
      </w:r>
      <w:r w:rsidR="00E3692F">
        <w:rPr>
          <w:rFonts w:cs="Times New Roman"/>
          <w:iCs/>
          <w:lang w:val="fr-CA"/>
        </w:rPr>
        <w:t> </w:t>
      </w:r>
      <w:proofErr w:type="spellStart"/>
      <w:r w:rsidRPr="00FA6F76">
        <w:rPr>
          <w:rFonts w:cs="Times New Roman"/>
          <w:i/>
          <w:lang w:val="fr-CA"/>
        </w:rPr>
        <w:t>Worker</w:t>
      </w:r>
      <w:proofErr w:type="spellEnd"/>
      <w:r w:rsidRPr="00FA6F76">
        <w:rPr>
          <w:rFonts w:cs="Times New Roman"/>
          <w:i/>
          <w:lang w:val="fr-CA"/>
        </w:rPr>
        <w:t xml:space="preserve"> </w:t>
      </w:r>
      <w:proofErr w:type="spellStart"/>
      <w:r w:rsidRPr="00FA6F76">
        <w:rPr>
          <w:rFonts w:cs="Times New Roman"/>
          <w:i/>
          <w:lang w:val="fr-CA"/>
        </w:rPr>
        <w:t>Advisor</w:t>
      </w:r>
      <w:proofErr w:type="spellEnd"/>
      <w:r w:rsidR="00E3692F">
        <w:rPr>
          <w:rFonts w:cs="Times New Roman"/>
          <w:iCs/>
          <w:lang w:val="fr-CA"/>
        </w:rPr>
        <w:t> </w:t>
      </w:r>
      <w:r w:rsidR="00E3692F" w:rsidRPr="003D0CB7">
        <w:rPr>
          <w:lang w:val="fr-CA"/>
        </w:rPr>
        <w:t>»</w:t>
      </w:r>
      <w:r w:rsidRPr="00FA6F76">
        <w:rPr>
          <w:rFonts w:cs="Times New Roman"/>
          <w:lang w:val="fr-CA"/>
        </w:rPr>
        <w:t>), par.</w:t>
      </w:r>
      <w:r w:rsidR="00F23967">
        <w:rPr>
          <w:rFonts w:cs="Times New Roman"/>
          <w:lang w:val="fr-CA"/>
        </w:rPr>
        <w:t xml:space="preserve"> </w:t>
      </w:r>
      <w:r w:rsidRPr="00FA6F76">
        <w:rPr>
          <w:rFonts w:cs="Times New Roman"/>
          <w:lang w:val="fr-CA"/>
        </w:rPr>
        <w:t xml:space="preserve">18; </w:t>
      </w:r>
      <w:r w:rsidRPr="00FA6F76">
        <w:rPr>
          <w:rFonts w:cs="Times New Roman"/>
          <w:i/>
          <w:iCs/>
          <w:lang w:val="fr-CA"/>
        </w:rPr>
        <w:t>Ontario (</w:t>
      </w:r>
      <w:proofErr w:type="spellStart"/>
      <w:r w:rsidRPr="00FA6F76">
        <w:rPr>
          <w:rFonts w:cs="Times New Roman"/>
          <w:i/>
          <w:iCs/>
          <w:lang w:val="fr-CA"/>
        </w:rPr>
        <w:t>Minister</w:t>
      </w:r>
      <w:proofErr w:type="spellEnd"/>
      <w:r w:rsidRPr="00FA6F76">
        <w:rPr>
          <w:rFonts w:cs="Times New Roman"/>
          <w:i/>
          <w:iCs/>
          <w:lang w:val="fr-CA"/>
        </w:rPr>
        <w:t xml:space="preserve"> of Transportation) c. </w:t>
      </w:r>
      <w:proofErr w:type="spellStart"/>
      <w:r w:rsidRPr="00FA6F76">
        <w:rPr>
          <w:rFonts w:cs="Times New Roman"/>
          <w:i/>
          <w:iCs/>
          <w:lang w:val="fr-CA"/>
        </w:rPr>
        <w:t>Cropley</w:t>
      </w:r>
      <w:proofErr w:type="spellEnd"/>
      <w:r w:rsidRPr="00FA6F76">
        <w:rPr>
          <w:rFonts w:cs="Times New Roman"/>
          <w:lang w:val="fr-CA"/>
        </w:rPr>
        <w:t xml:space="preserve"> (2005), 202 O.A.C. 379, cité dans l’arrêt </w:t>
      </w:r>
      <w:r w:rsidRPr="00FA6F76">
        <w:rPr>
          <w:rFonts w:cs="Times New Roman"/>
          <w:i/>
          <w:iCs/>
          <w:lang w:val="fr-CA"/>
        </w:rPr>
        <w:t>Ontario (Ministre des Finances) c. Ontario (Bureau du commissaire à l’information et à la protection de la vie privée)</w:t>
      </w:r>
      <w:r w:rsidRPr="00FA6F76">
        <w:rPr>
          <w:rFonts w:cs="Times New Roman"/>
          <w:lang w:val="fr-CA"/>
        </w:rPr>
        <w:t>, 2012 ONCA 125, 109 O.R. (3d) 767, par.</w:t>
      </w:r>
      <w:r w:rsidR="00F23967">
        <w:rPr>
          <w:rFonts w:cs="Times New Roman"/>
          <w:lang w:val="fr-CA"/>
        </w:rPr>
        <w:t xml:space="preserve"> </w:t>
      </w:r>
      <w:r w:rsidRPr="00FA6F76">
        <w:rPr>
          <w:rFonts w:cs="Times New Roman"/>
          <w:lang w:val="fr-CA"/>
        </w:rPr>
        <w:t xml:space="preserve">14; </w:t>
      </w:r>
      <w:r w:rsidRPr="00FA6F76">
        <w:rPr>
          <w:rFonts w:cs="Times New Roman"/>
          <w:i/>
          <w:iCs/>
          <w:lang w:val="fr-CA"/>
        </w:rPr>
        <w:t>Ontario (</w:t>
      </w:r>
      <w:proofErr w:type="spellStart"/>
      <w:r w:rsidRPr="00FA6F76">
        <w:rPr>
          <w:rFonts w:cs="Times New Roman"/>
          <w:i/>
          <w:iCs/>
          <w:lang w:val="fr-CA"/>
        </w:rPr>
        <w:t>Minister</w:t>
      </w:r>
      <w:proofErr w:type="spellEnd"/>
      <w:r w:rsidRPr="00FA6F76">
        <w:rPr>
          <w:rFonts w:cs="Times New Roman"/>
          <w:i/>
          <w:iCs/>
          <w:lang w:val="fr-CA"/>
        </w:rPr>
        <w:t xml:space="preserve"> of </w:t>
      </w:r>
      <w:proofErr w:type="spellStart"/>
      <w:r w:rsidRPr="00FA6F76">
        <w:rPr>
          <w:rFonts w:cs="Times New Roman"/>
          <w:i/>
          <w:iCs/>
          <w:lang w:val="fr-CA"/>
        </w:rPr>
        <w:t>Health</w:t>
      </w:r>
      <w:proofErr w:type="spellEnd"/>
      <w:r w:rsidRPr="00FA6F76">
        <w:rPr>
          <w:rFonts w:cs="Times New Roman"/>
          <w:i/>
          <w:iCs/>
          <w:lang w:val="fr-CA"/>
        </w:rPr>
        <w:t xml:space="preserve"> and Long</w:t>
      </w:r>
      <w:r w:rsidR="00F23967">
        <w:rPr>
          <w:rFonts w:cs="Times New Roman"/>
          <w:i/>
          <w:iCs/>
          <w:lang w:val="fr-CA"/>
        </w:rPr>
        <w:t>-</w:t>
      </w:r>
      <w:proofErr w:type="spellStart"/>
      <w:r w:rsidRPr="00FA6F76">
        <w:rPr>
          <w:rFonts w:cs="Times New Roman"/>
          <w:i/>
          <w:iCs/>
          <w:lang w:val="fr-CA"/>
        </w:rPr>
        <w:t>Term</w:t>
      </w:r>
      <w:proofErr w:type="spellEnd"/>
      <w:r w:rsidRPr="00FA6F76">
        <w:rPr>
          <w:rFonts w:cs="Times New Roman"/>
          <w:i/>
          <w:iCs/>
          <w:lang w:val="fr-CA"/>
        </w:rPr>
        <w:t xml:space="preserve"> Care) c. Ontario (Assistant Information and </w:t>
      </w:r>
      <w:proofErr w:type="spellStart"/>
      <w:r w:rsidRPr="00FA6F76">
        <w:rPr>
          <w:rFonts w:cs="Times New Roman"/>
          <w:i/>
          <w:iCs/>
          <w:lang w:val="fr-CA"/>
        </w:rPr>
        <w:t>Privacy</w:t>
      </w:r>
      <w:proofErr w:type="spellEnd"/>
      <w:r w:rsidRPr="00FA6F76">
        <w:rPr>
          <w:rFonts w:cs="Times New Roman"/>
          <w:i/>
          <w:iCs/>
          <w:lang w:val="fr-CA"/>
        </w:rPr>
        <w:t xml:space="preserve"> </w:t>
      </w:r>
      <w:proofErr w:type="spellStart"/>
      <w:r w:rsidRPr="00FA6F76">
        <w:rPr>
          <w:rFonts w:cs="Times New Roman"/>
          <w:i/>
          <w:iCs/>
          <w:lang w:val="fr-CA"/>
        </w:rPr>
        <w:t>Commissioner</w:t>
      </w:r>
      <w:proofErr w:type="spellEnd"/>
      <w:r w:rsidRPr="00FA6F76">
        <w:rPr>
          <w:rFonts w:cs="Times New Roman"/>
          <w:i/>
          <w:iCs/>
          <w:lang w:val="fr-CA"/>
        </w:rPr>
        <w:t>)</w:t>
      </w:r>
      <w:r w:rsidRPr="00FA6F76">
        <w:rPr>
          <w:rFonts w:cs="Times New Roman"/>
          <w:lang w:val="fr-CA"/>
        </w:rPr>
        <w:t xml:space="preserve"> (2004), 73</w:t>
      </w:r>
      <w:r w:rsidR="00F23967">
        <w:rPr>
          <w:rFonts w:cs="Times New Roman"/>
          <w:lang w:val="fr-CA"/>
        </w:rPr>
        <w:t xml:space="preserve"> </w:t>
      </w:r>
      <w:r w:rsidRPr="00FA6F76">
        <w:rPr>
          <w:rFonts w:cs="Times New Roman"/>
          <w:lang w:val="fr-CA"/>
        </w:rPr>
        <w:t>O.R. (3d) 321 (C.A.), par.</w:t>
      </w:r>
      <w:r w:rsidR="00F23967">
        <w:rPr>
          <w:rFonts w:cs="Times New Roman"/>
          <w:lang w:val="fr-CA"/>
        </w:rPr>
        <w:t xml:space="preserve"> </w:t>
      </w:r>
      <w:r w:rsidRPr="00FA6F76">
        <w:rPr>
          <w:rFonts w:cs="Times New Roman"/>
          <w:lang w:val="fr-CA"/>
        </w:rPr>
        <w:t>26</w:t>
      </w:r>
      <w:r w:rsidR="00F23967">
        <w:rPr>
          <w:rFonts w:cs="Times New Roman"/>
          <w:lang w:val="fr-CA"/>
        </w:rPr>
        <w:t>-</w:t>
      </w:r>
      <w:r w:rsidRPr="00FA6F76">
        <w:rPr>
          <w:rFonts w:cs="Times New Roman"/>
          <w:lang w:val="fr-CA"/>
        </w:rPr>
        <w:t xml:space="preserve">47; </w:t>
      </w:r>
      <w:r w:rsidRPr="00FA6F76">
        <w:rPr>
          <w:rFonts w:cs="Times New Roman"/>
          <w:i/>
          <w:iCs/>
          <w:lang w:val="fr-CA"/>
        </w:rPr>
        <w:t>Ontario (Attorney General) c. Pascoe</w:t>
      </w:r>
      <w:r w:rsidRPr="00FA6F76">
        <w:rPr>
          <w:rFonts w:cs="Times New Roman"/>
          <w:lang w:val="fr-CA"/>
        </w:rPr>
        <w:t xml:space="preserve"> (2002), 166 O.A.C. 88, par.</w:t>
      </w:r>
      <w:r w:rsidR="00F23967">
        <w:rPr>
          <w:rFonts w:cs="Times New Roman"/>
          <w:lang w:val="fr-CA"/>
        </w:rPr>
        <w:t xml:space="preserve"> </w:t>
      </w:r>
      <w:r w:rsidRPr="00FA6F76">
        <w:rPr>
          <w:rFonts w:cs="Times New Roman"/>
          <w:lang w:val="fr-CA"/>
        </w:rPr>
        <w:t>3).  De plus, la Cour a affirmé à maintes reprises que la norme de la décision raisonnable s’applique en général lorsqu’un tribunal administratif interprète sa loi constitutive ou une loi étroitement liée à son mandat (voir, p</w:t>
      </w:r>
      <w:r w:rsidR="00A739AD">
        <w:rPr>
          <w:rFonts w:cs="Times New Roman"/>
          <w:lang w:val="fr-CA"/>
        </w:rPr>
        <w:t>.</w:t>
      </w:r>
      <w:r w:rsidRPr="00FA6F76">
        <w:rPr>
          <w:rFonts w:cs="Times New Roman"/>
          <w:lang w:val="fr-CA"/>
        </w:rPr>
        <w:t xml:space="preserve"> ex., </w:t>
      </w:r>
      <w:proofErr w:type="spellStart"/>
      <w:r w:rsidRPr="00FA6F76">
        <w:rPr>
          <w:rFonts w:cs="Times New Roman"/>
          <w:i/>
          <w:iCs/>
          <w:lang w:val="fr-CA"/>
        </w:rPr>
        <w:t>Dunsmuir</w:t>
      </w:r>
      <w:proofErr w:type="spellEnd"/>
      <w:r w:rsidRPr="00FA6F76">
        <w:rPr>
          <w:rFonts w:cs="Times New Roman"/>
          <w:i/>
          <w:iCs/>
          <w:lang w:val="fr-CA"/>
        </w:rPr>
        <w:t xml:space="preserve"> c. Nouveau</w:t>
      </w:r>
      <w:r w:rsidR="00F23967">
        <w:rPr>
          <w:rFonts w:cs="Times New Roman"/>
          <w:i/>
          <w:iCs/>
          <w:lang w:val="fr-CA"/>
        </w:rPr>
        <w:t>-</w:t>
      </w:r>
      <w:r w:rsidRPr="00FA6F76">
        <w:rPr>
          <w:rFonts w:cs="Times New Roman"/>
          <w:i/>
          <w:iCs/>
          <w:lang w:val="fr-CA"/>
        </w:rPr>
        <w:t>Brunswick</w:t>
      </w:r>
      <w:r w:rsidRPr="00FA6F76">
        <w:rPr>
          <w:rFonts w:cs="Times New Roman"/>
          <w:lang w:val="fr-CA"/>
        </w:rPr>
        <w:t>, 2008 CSC 9, [2008] 1 R.C.S. 190, par.</w:t>
      </w:r>
      <w:r w:rsidR="00F23967">
        <w:rPr>
          <w:rFonts w:cs="Times New Roman"/>
          <w:lang w:val="fr-CA"/>
        </w:rPr>
        <w:t xml:space="preserve"> </w:t>
      </w:r>
      <w:r w:rsidRPr="00FA6F76">
        <w:rPr>
          <w:rFonts w:cs="Times New Roman"/>
          <w:lang w:val="fr-CA"/>
        </w:rPr>
        <w:t xml:space="preserve">54; </w:t>
      </w:r>
      <w:r w:rsidRPr="00FA6F76">
        <w:rPr>
          <w:rFonts w:cs="Times New Roman"/>
          <w:i/>
          <w:iCs/>
          <w:lang w:val="fr-CA"/>
        </w:rPr>
        <w:t>Smith c. Alliance Pipeline Ltd.</w:t>
      </w:r>
      <w:r w:rsidRPr="00FA6F76">
        <w:rPr>
          <w:rFonts w:cs="Times New Roman"/>
          <w:lang w:val="fr-CA"/>
        </w:rPr>
        <w:t>, 2011 CSC 7, [2011] 1 R.C.S. 160, par.</w:t>
      </w:r>
      <w:r w:rsidR="00F23967">
        <w:rPr>
          <w:rFonts w:cs="Times New Roman"/>
          <w:lang w:val="fr-CA"/>
        </w:rPr>
        <w:t xml:space="preserve"> </w:t>
      </w:r>
      <w:r w:rsidRPr="00FA6F76">
        <w:rPr>
          <w:rFonts w:cs="Times New Roman"/>
          <w:lang w:val="fr-CA"/>
        </w:rPr>
        <w:t xml:space="preserve">28).  Le Ministère concède ce point, mais soutient que, comme la Commissaire a également interprété la </w:t>
      </w:r>
      <w:r w:rsidRPr="00FA6F76">
        <w:rPr>
          <w:rFonts w:cs="Times New Roman"/>
          <w:i/>
          <w:iCs/>
          <w:lang w:val="fr-CA"/>
        </w:rPr>
        <w:t>Loi</w:t>
      </w:r>
      <w:r w:rsidR="00F23967">
        <w:rPr>
          <w:rFonts w:cs="Times New Roman"/>
          <w:i/>
          <w:iCs/>
          <w:lang w:val="fr-CA"/>
        </w:rPr>
        <w:t xml:space="preserve"> </w:t>
      </w:r>
      <w:r w:rsidRPr="00FA6F76">
        <w:rPr>
          <w:rFonts w:cs="Times New Roman"/>
          <w:i/>
          <w:iCs/>
          <w:lang w:val="fr-CA"/>
        </w:rPr>
        <w:t>Christopher</w:t>
      </w:r>
      <w:r w:rsidRPr="00FA6F76">
        <w:rPr>
          <w:rFonts w:cs="Times New Roman"/>
          <w:lang w:val="fr-CA"/>
        </w:rPr>
        <w:t xml:space="preserve">, laquelle n’est pas sa loi constitutive, la norme de la décision correcte devrait plutôt s’appliquer. </w:t>
      </w:r>
    </w:p>
    <w:p w:rsidR="006C6098" w:rsidRPr="00FA6F76" w:rsidRDefault="006C6098" w:rsidP="00021119">
      <w:pPr>
        <w:pStyle w:val="ParaNoNdepar-AltN"/>
        <w:rPr>
          <w:rFonts w:cs="Times New Roman"/>
          <w:lang w:val="fr-CA"/>
        </w:rPr>
      </w:pPr>
      <w:r w:rsidRPr="00FA6F76">
        <w:rPr>
          <w:rFonts w:cs="Times New Roman"/>
          <w:lang w:val="fr-CA"/>
        </w:rPr>
        <w:t xml:space="preserve">Nous ne sommes pas de cet avis.  La Commissaire était contrainte d’interpréter la </w:t>
      </w:r>
      <w:r w:rsidRPr="00FA6F76">
        <w:rPr>
          <w:rFonts w:cs="Times New Roman"/>
          <w:i/>
          <w:iCs/>
          <w:lang w:val="fr-CA"/>
        </w:rPr>
        <w:t>Loi</w:t>
      </w:r>
      <w:r w:rsidR="00F23967">
        <w:rPr>
          <w:rFonts w:cs="Times New Roman"/>
          <w:i/>
          <w:iCs/>
          <w:lang w:val="fr-CA"/>
        </w:rPr>
        <w:t xml:space="preserve"> </w:t>
      </w:r>
      <w:r w:rsidRPr="00FA6F76">
        <w:rPr>
          <w:rFonts w:cs="Times New Roman"/>
          <w:i/>
          <w:iCs/>
          <w:lang w:val="fr-CA"/>
        </w:rPr>
        <w:t>Christopher</w:t>
      </w:r>
      <w:r w:rsidRPr="00FA6F76">
        <w:rPr>
          <w:rFonts w:cs="Times New Roman"/>
          <w:lang w:val="fr-CA"/>
        </w:rPr>
        <w:t xml:space="preserve"> afin d’appliquer la </w:t>
      </w:r>
      <w:r w:rsidRPr="00FA6F76">
        <w:rPr>
          <w:rFonts w:cs="Times New Roman"/>
          <w:i/>
          <w:iCs/>
          <w:lang w:val="fr-CA"/>
        </w:rPr>
        <w:t>LAIPVP</w:t>
      </w:r>
      <w:r w:rsidRPr="00053E84">
        <w:rPr>
          <w:rFonts w:cs="Times New Roman"/>
          <w:iCs/>
          <w:lang w:val="fr-CA"/>
        </w:rPr>
        <w:t>.</w:t>
      </w:r>
      <w:r w:rsidRPr="00FA6F76">
        <w:rPr>
          <w:rFonts w:cs="Times New Roman"/>
          <w:i/>
          <w:iCs/>
          <w:lang w:val="fr-CA"/>
        </w:rPr>
        <w:t xml:space="preserve">  </w:t>
      </w:r>
      <w:r w:rsidRPr="00FA6F76">
        <w:rPr>
          <w:rFonts w:cs="Times New Roman"/>
          <w:lang w:val="fr-CA"/>
        </w:rPr>
        <w:t xml:space="preserve">Elle devait interpréter la </w:t>
      </w:r>
      <w:r w:rsidRPr="00FA6F76">
        <w:rPr>
          <w:rFonts w:cs="Times New Roman"/>
          <w:i/>
          <w:iCs/>
          <w:lang w:val="fr-CA"/>
        </w:rPr>
        <w:t>Loi</w:t>
      </w:r>
      <w:r w:rsidR="00F23967">
        <w:rPr>
          <w:rFonts w:cs="Times New Roman"/>
          <w:i/>
          <w:iCs/>
          <w:lang w:val="fr-CA"/>
        </w:rPr>
        <w:t xml:space="preserve"> </w:t>
      </w:r>
      <w:r w:rsidRPr="00FA6F76">
        <w:rPr>
          <w:rFonts w:cs="Times New Roman"/>
          <w:i/>
          <w:iCs/>
          <w:lang w:val="fr-CA"/>
        </w:rPr>
        <w:t>Christopher</w:t>
      </w:r>
      <w:r w:rsidRPr="00FA6F76">
        <w:rPr>
          <w:rFonts w:cs="Times New Roman"/>
          <w:lang w:val="fr-CA"/>
        </w:rPr>
        <w:t xml:space="preserve"> dans le but précis de déterminer si celle</w:t>
      </w:r>
      <w:r w:rsidR="00F23967">
        <w:rPr>
          <w:rFonts w:cs="Times New Roman"/>
          <w:lang w:val="fr-CA"/>
        </w:rPr>
        <w:t>-</w:t>
      </w:r>
      <w:r w:rsidRPr="00FA6F76">
        <w:rPr>
          <w:rFonts w:cs="Times New Roman"/>
          <w:lang w:val="fr-CA"/>
        </w:rPr>
        <w:t xml:space="preserve">ci renferme, aux termes de </w:t>
      </w:r>
      <w:r w:rsidRPr="00FA6F76">
        <w:rPr>
          <w:rFonts w:cs="Times New Roman"/>
          <w:lang w:val="fr-CA"/>
        </w:rPr>
        <w:lastRenderedPageBreak/>
        <w:t>l’art.</w:t>
      </w:r>
      <w:r w:rsidR="00F23967">
        <w:rPr>
          <w:rFonts w:cs="Times New Roman"/>
          <w:lang w:val="fr-CA"/>
        </w:rPr>
        <w:t xml:space="preserve"> </w:t>
      </w:r>
      <w:r w:rsidRPr="00FA6F76">
        <w:rPr>
          <w:rFonts w:cs="Times New Roman"/>
          <w:lang w:val="fr-CA"/>
        </w:rPr>
        <w:t xml:space="preserve">67 de la </w:t>
      </w:r>
      <w:r w:rsidRPr="00FA6F76">
        <w:rPr>
          <w:rFonts w:cs="Times New Roman"/>
          <w:i/>
          <w:iCs/>
          <w:lang w:val="fr-CA"/>
        </w:rPr>
        <w:t>LAIPVP</w:t>
      </w:r>
      <w:r w:rsidRPr="00FA6F76">
        <w:rPr>
          <w:rFonts w:cs="Times New Roman"/>
          <w:lang w:val="fr-CA"/>
        </w:rPr>
        <w:t xml:space="preserve">, une </w:t>
      </w:r>
      <w:r w:rsidR="00E3692F" w:rsidRPr="003D0CB7">
        <w:rPr>
          <w:lang w:val="fr-CA"/>
        </w:rPr>
        <w:t>«</w:t>
      </w:r>
      <w:r w:rsidR="00E3692F">
        <w:rPr>
          <w:rFonts w:cs="Times New Roman"/>
          <w:iCs/>
          <w:lang w:val="fr-CA"/>
        </w:rPr>
        <w:t> </w:t>
      </w:r>
      <w:r w:rsidRPr="00FA6F76">
        <w:rPr>
          <w:rFonts w:cs="Times New Roman"/>
          <w:lang w:val="fr-CA"/>
        </w:rPr>
        <w:t>disposition [.</w:t>
      </w:r>
      <w:r w:rsidR="00F23967">
        <w:rPr>
          <w:rFonts w:cs="Times New Roman"/>
          <w:lang w:val="fr-CA"/>
        </w:rPr>
        <w:t xml:space="preserve"> </w:t>
      </w:r>
      <w:r w:rsidRPr="00FA6F76">
        <w:rPr>
          <w:rFonts w:cs="Times New Roman"/>
          <w:lang w:val="fr-CA"/>
        </w:rPr>
        <w:t>.</w:t>
      </w:r>
      <w:r w:rsidR="00F23967">
        <w:rPr>
          <w:rFonts w:cs="Times New Roman"/>
          <w:lang w:val="fr-CA"/>
        </w:rPr>
        <w:t xml:space="preserve"> </w:t>
      </w:r>
      <w:r w:rsidRPr="00FA6F76">
        <w:rPr>
          <w:rFonts w:cs="Times New Roman"/>
          <w:lang w:val="fr-CA"/>
        </w:rPr>
        <w:t>.] expresse</w:t>
      </w:r>
      <w:r w:rsidR="00E3692F">
        <w:rPr>
          <w:rFonts w:cs="Times New Roman"/>
          <w:iCs/>
          <w:lang w:val="fr-CA"/>
        </w:rPr>
        <w:t> </w:t>
      </w:r>
      <w:r w:rsidR="00E3692F" w:rsidRPr="003D0CB7">
        <w:rPr>
          <w:lang w:val="fr-CA"/>
        </w:rPr>
        <w:t>»</w:t>
      </w:r>
      <w:r w:rsidRPr="00FA6F76">
        <w:rPr>
          <w:rFonts w:cs="Times New Roman"/>
          <w:lang w:val="fr-CA"/>
        </w:rPr>
        <w:t xml:space="preserve"> qui «</w:t>
      </w:r>
      <w:r w:rsidR="00F23967">
        <w:rPr>
          <w:rFonts w:cs="Times New Roman"/>
          <w:lang w:val="fr-CA"/>
        </w:rPr>
        <w:t xml:space="preserve"> </w:t>
      </w:r>
      <w:r w:rsidRPr="00FA6F76">
        <w:rPr>
          <w:rFonts w:cs="Times New Roman"/>
          <w:lang w:val="fr-CA"/>
        </w:rPr>
        <w:t>traite du caractère confidentiel</w:t>
      </w:r>
      <w:r w:rsidR="00E3692F">
        <w:rPr>
          <w:rFonts w:cs="Times New Roman"/>
          <w:iCs/>
          <w:lang w:val="fr-CA"/>
        </w:rPr>
        <w:t> </w:t>
      </w:r>
      <w:r w:rsidR="00E3692F" w:rsidRPr="003D0CB7">
        <w:rPr>
          <w:lang w:val="fr-CA"/>
        </w:rPr>
        <w:t>»</w:t>
      </w:r>
      <w:r w:rsidRPr="00FA6F76">
        <w:rPr>
          <w:rFonts w:cs="Times New Roman"/>
          <w:lang w:val="fr-CA"/>
        </w:rPr>
        <w:t xml:space="preserve"> et qui prévoit qu’elle l’emporte sur la </w:t>
      </w:r>
      <w:r w:rsidRPr="00FA6F76">
        <w:rPr>
          <w:rFonts w:cs="Times New Roman"/>
          <w:i/>
          <w:iCs/>
          <w:lang w:val="fr-CA"/>
        </w:rPr>
        <w:t>LAIPVP</w:t>
      </w:r>
      <w:r w:rsidRPr="00053E84">
        <w:rPr>
          <w:rFonts w:cs="Times New Roman"/>
          <w:iCs/>
          <w:lang w:val="fr-CA"/>
        </w:rPr>
        <w:t>.</w:t>
      </w:r>
      <w:r w:rsidRPr="00FA6F76">
        <w:rPr>
          <w:rFonts w:cs="Times New Roman"/>
          <w:i/>
          <w:iCs/>
          <w:lang w:val="fr-CA"/>
        </w:rPr>
        <w:t xml:space="preserve">  </w:t>
      </w:r>
      <w:r w:rsidRPr="00FA6F76">
        <w:rPr>
          <w:rFonts w:cs="Times New Roman"/>
          <w:lang w:val="fr-CA"/>
        </w:rPr>
        <w:t xml:space="preserve">Cette tâche était intimement liée aux fonctions essentielles que lui conférait la </w:t>
      </w:r>
      <w:r w:rsidRPr="00FA6F76">
        <w:rPr>
          <w:rFonts w:cs="Times New Roman"/>
          <w:i/>
          <w:iCs/>
          <w:lang w:val="fr-CA"/>
        </w:rPr>
        <w:t xml:space="preserve">LAIPVP </w:t>
      </w:r>
      <w:r w:rsidRPr="00FA6F76">
        <w:rPr>
          <w:rFonts w:cs="Times New Roman"/>
          <w:lang w:val="fr-CA"/>
        </w:rPr>
        <w:t xml:space="preserve">en matière d’accès à l’information et de protection de la vie privée et supposait qu’elle interprète des dispositions de la </w:t>
      </w:r>
      <w:r w:rsidRPr="00FA6F76">
        <w:rPr>
          <w:rFonts w:cs="Times New Roman"/>
          <w:i/>
          <w:iCs/>
          <w:lang w:val="fr-CA"/>
        </w:rPr>
        <w:t>Loi Christopher</w:t>
      </w:r>
      <w:r w:rsidRPr="00FA6F76">
        <w:rPr>
          <w:rFonts w:cs="Times New Roman"/>
          <w:lang w:val="fr-CA"/>
        </w:rPr>
        <w:t xml:space="preserve"> </w:t>
      </w:r>
      <w:r w:rsidR="00E3692F" w:rsidRPr="003D0CB7">
        <w:rPr>
          <w:lang w:val="fr-CA"/>
        </w:rPr>
        <w:t>«</w:t>
      </w:r>
      <w:r w:rsidR="00E3692F">
        <w:rPr>
          <w:rFonts w:cs="Times New Roman"/>
          <w:iCs/>
          <w:lang w:val="fr-CA"/>
        </w:rPr>
        <w:t> </w:t>
      </w:r>
      <w:r w:rsidRPr="00FA6F76">
        <w:rPr>
          <w:rFonts w:cs="Times New Roman"/>
          <w:lang w:val="fr-CA"/>
        </w:rPr>
        <w:t>étroitement liées</w:t>
      </w:r>
      <w:r w:rsidR="00E3692F">
        <w:rPr>
          <w:rFonts w:cs="Times New Roman"/>
          <w:iCs/>
          <w:lang w:val="fr-CA"/>
        </w:rPr>
        <w:t> </w:t>
      </w:r>
      <w:r w:rsidR="00E3692F" w:rsidRPr="003D0CB7">
        <w:rPr>
          <w:lang w:val="fr-CA"/>
        </w:rPr>
        <w:t>»</w:t>
      </w:r>
      <w:r w:rsidRPr="00FA6F76">
        <w:rPr>
          <w:rFonts w:cs="Times New Roman"/>
          <w:lang w:val="fr-CA"/>
        </w:rPr>
        <w:t xml:space="preserve"> à ses fonctions.  En conséquence, la norme de la décision raisonnable s’applique. </w:t>
      </w:r>
    </w:p>
    <w:p w:rsidR="006C6098" w:rsidRPr="00FA6F76" w:rsidRDefault="006C6098" w:rsidP="00021119">
      <w:pPr>
        <w:pStyle w:val="Title2LevelTitre2Niveau"/>
        <w:keepNext w:val="0"/>
        <w:rPr>
          <w:rFonts w:cs="Times New Roman"/>
          <w:iCs/>
          <w:lang w:val="fr-CA"/>
        </w:rPr>
      </w:pPr>
      <w:r w:rsidRPr="00FA6F76">
        <w:rPr>
          <w:rFonts w:cs="Times New Roman"/>
          <w:lang w:val="fr-CA"/>
        </w:rPr>
        <w:t>Objets de la LAIPVP et de la Loi Christopher</w:t>
      </w:r>
    </w:p>
    <w:p w:rsidR="006C6098" w:rsidRPr="00FA6F76" w:rsidRDefault="006C6098" w:rsidP="00021119">
      <w:pPr>
        <w:pStyle w:val="ParaNoNdepar-AltN"/>
        <w:rPr>
          <w:rFonts w:cs="Times New Roman"/>
          <w:lang w:val="fr-CA"/>
        </w:rPr>
      </w:pPr>
      <w:r w:rsidRPr="00FA6F76">
        <w:rPr>
          <w:rFonts w:cs="Times New Roman"/>
          <w:lang w:val="fr-CA"/>
        </w:rPr>
        <w:t xml:space="preserve">Le Ministère soutient que la Commissaire a accordé un droit d’accès incompatible avec les objectifs de la </w:t>
      </w:r>
      <w:r w:rsidRPr="00FA6F76">
        <w:rPr>
          <w:rFonts w:cs="Times New Roman"/>
          <w:i/>
          <w:iCs/>
          <w:lang w:val="fr-CA"/>
        </w:rPr>
        <w:t>Loi Christopher</w:t>
      </w:r>
      <w:r w:rsidRPr="00FA6F76">
        <w:rPr>
          <w:rFonts w:cs="Times New Roman"/>
          <w:lang w:val="fr-CA"/>
        </w:rPr>
        <w:t xml:space="preserve"> et du droit d’accès prévu par la </w:t>
      </w:r>
      <w:r w:rsidRPr="00FA6F76">
        <w:rPr>
          <w:rFonts w:cs="Times New Roman"/>
          <w:i/>
          <w:iCs/>
          <w:lang w:val="fr-CA"/>
        </w:rPr>
        <w:t>LAIPVP</w:t>
      </w:r>
      <w:r w:rsidRPr="00053E84">
        <w:rPr>
          <w:rFonts w:cs="Times New Roman"/>
          <w:iCs/>
          <w:lang w:val="fr-CA"/>
        </w:rPr>
        <w:t xml:space="preserve">. </w:t>
      </w:r>
      <w:r w:rsidRPr="00FA6F76">
        <w:rPr>
          <w:rFonts w:cs="Times New Roman"/>
          <w:i/>
          <w:iCs/>
          <w:lang w:val="fr-CA"/>
        </w:rPr>
        <w:t xml:space="preserve"> </w:t>
      </w:r>
      <w:r w:rsidRPr="00FA6F76">
        <w:rPr>
          <w:rFonts w:cs="Times New Roman"/>
          <w:lang w:val="fr-CA"/>
        </w:rPr>
        <w:t xml:space="preserve">Le Ministère fait valoir trois arguments à ce sujet.  Nous les examinerons à tour de rôle. </w:t>
      </w:r>
    </w:p>
    <w:p w:rsidR="006C6098" w:rsidRPr="00FA6F76" w:rsidRDefault="006C6098" w:rsidP="00021119">
      <w:pPr>
        <w:pStyle w:val="Title3LevelTitre3Niveau"/>
        <w:keepNext w:val="0"/>
        <w:rPr>
          <w:rFonts w:cs="Times New Roman"/>
          <w:i/>
          <w:iCs/>
          <w:lang w:val="fr-CA"/>
        </w:rPr>
      </w:pPr>
      <w:r w:rsidRPr="00FA6F76">
        <w:rPr>
          <w:rFonts w:cs="Times New Roman"/>
          <w:lang w:val="fr-CA"/>
        </w:rPr>
        <w:t xml:space="preserve">La </w:t>
      </w:r>
      <w:r w:rsidRPr="00FA6F76">
        <w:rPr>
          <w:rFonts w:cs="Times New Roman"/>
          <w:i/>
          <w:iCs/>
          <w:lang w:val="fr-CA"/>
        </w:rPr>
        <w:t>Loi Christopher</w:t>
      </w:r>
      <w:r w:rsidRPr="00FA6F76">
        <w:rPr>
          <w:rFonts w:cs="Times New Roman"/>
          <w:lang w:val="fr-CA"/>
        </w:rPr>
        <w:t xml:space="preserve"> renferme</w:t>
      </w:r>
      <w:r w:rsidR="00F23967">
        <w:rPr>
          <w:rFonts w:cs="Times New Roman"/>
          <w:lang w:val="fr-CA"/>
        </w:rPr>
        <w:t>-</w:t>
      </w:r>
      <w:r w:rsidRPr="00FA6F76">
        <w:rPr>
          <w:rFonts w:cs="Times New Roman"/>
          <w:lang w:val="fr-CA"/>
        </w:rPr>
        <w:t>t</w:t>
      </w:r>
      <w:r w:rsidR="00F23967">
        <w:rPr>
          <w:rFonts w:cs="Times New Roman"/>
          <w:lang w:val="fr-CA"/>
        </w:rPr>
        <w:t>-</w:t>
      </w:r>
      <w:r w:rsidRPr="00FA6F76">
        <w:rPr>
          <w:rFonts w:cs="Times New Roman"/>
          <w:lang w:val="fr-CA"/>
        </w:rPr>
        <w:t xml:space="preserve">elle une disposition en matière de confidentialité qui l’emporte sur la </w:t>
      </w:r>
      <w:r w:rsidRPr="00FA6F76">
        <w:rPr>
          <w:rFonts w:cs="Times New Roman"/>
          <w:i/>
          <w:iCs/>
          <w:lang w:val="fr-CA"/>
        </w:rPr>
        <w:t>LAIPVP</w:t>
      </w:r>
      <w:r w:rsidRPr="00053E84">
        <w:rPr>
          <w:rFonts w:cs="Times New Roman"/>
          <w:iCs/>
          <w:lang w:val="fr-CA"/>
        </w:rPr>
        <w:t>?</w:t>
      </w:r>
    </w:p>
    <w:p w:rsidR="006C6098" w:rsidRPr="00FA6F76" w:rsidRDefault="006C6098" w:rsidP="00021119">
      <w:pPr>
        <w:pStyle w:val="ParaNoNdepar-AltN"/>
        <w:rPr>
          <w:rFonts w:cs="Times New Roman"/>
          <w:lang w:val="fr-CA"/>
        </w:rPr>
      </w:pPr>
      <w:r w:rsidRPr="00FA6F76">
        <w:rPr>
          <w:rFonts w:cs="Times New Roman"/>
          <w:lang w:val="fr-CA"/>
        </w:rPr>
        <w:t>Comme nous l’avons déjà signalé, l’art.</w:t>
      </w:r>
      <w:r w:rsidR="00F23967">
        <w:rPr>
          <w:rFonts w:cs="Times New Roman"/>
          <w:lang w:val="fr-CA"/>
        </w:rPr>
        <w:t xml:space="preserve"> </w:t>
      </w:r>
      <w:r w:rsidRPr="00FA6F76">
        <w:rPr>
          <w:rFonts w:cs="Times New Roman"/>
          <w:lang w:val="fr-CA"/>
        </w:rPr>
        <w:t xml:space="preserve">67 de la </w:t>
      </w:r>
      <w:r w:rsidRPr="00FA6F76">
        <w:rPr>
          <w:rFonts w:cs="Times New Roman"/>
          <w:i/>
          <w:iCs/>
          <w:lang w:val="fr-CA"/>
        </w:rPr>
        <w:t xml:space="preserve">LAIPVP </w:t>
      </w:r>
      <w:r w:rsidRPr="00FA6F76">
        <w:rPr>
          <w:rFonts w:cs="Times New Roman"/>
          <w:lang w:val="fr-CA"/>
        </w:rPr>
        <w:t xml:space="preserve">prévoit que cette loi l’emporte sur toute disposition d’une autre loi qui </w:t>
      </w:r>
      <w:r w:rsidR="00E3692F" w:rsidRPr="003D0CB7">
        <w:rPr>
          <w:lang w:val="fr-CA"/>
        </w:rPr>
        <w:t>«</w:t>
      </w:r>
      <w:r w:rsidR="00E3692F">
        <w:rPr>
          <w:rFonts w:cs="Times New Roman"/>
          <w:iCs/>
          <w:lang w:val="fr-CA"/>
        </w:rPr>
        <w:t> </w:t>
      </w:r>
      <w:r w:rsidRPr="00FA6F76">
        <w:rPr>
          <w:rFonts w:cs="Times New Roman"/>
          <w:lang w:val="fr-CA"/>
        </w:rPr>
        <w:t>traite du caractère confidentiel</w:t>
      </w:r>
      <w:r w:rsidR="00E3692F">
        <w:rPr>
          <w:rFonts w:cs="Times New Roman"/>
          <w:iCs/>
          <w:lang w:val="fr-CA"/>
        </w:rPr>
        <w:t> </w:t>
      </w:r>
      <w:r w:rsidR="00E3692F" w:rsidRPr="003D0CB7">
        <w:rPr>
          <w:lang w:val="fr-CA"/>
        </w:rPr>
        <w:t>»</w:t>
      </w:r>
      <w:r w:rsidRPr="00FA6F76">
        <w:rPr>
          <w:rFonts w:cs="Times New Roman"/>
          <w:lang w:val="fr-CA"/>
        </w:rPr>
        <w:t>, sauf disposition contraire expresse du par.</w:t>
      </w:r>
      <w:r w:rsidR="00F23967">
        <w:rPr>
          <w:rFonts w:cs="Times New Roman"/>
          <w:lang w:val="fr-CA"/>
        </w:rPr>
        <w:t xml:space="preserve"> </w:t>
      </w:r>
      <w:r w:rsidRPr="00FA6F76">
        <w:rPr>
          <w:rFonts w:cs="Times New Roman"/>
          <w:lang w:val="fr-CA"/>
        </w:rPr>
        <w:t xml:space="preserve">(2) ou d’une autre loi.  Comme la </w:t>
      </w:r>
      <w:r w:rsidRPr="00FA6F76">
        <w:rPr>
          <w:rFonts w:cs="Times New Roman"/>
          <w:i/>
          <w:iCs/>
          <w:lang w:val="fr-CA"/>
        </w:rPr>
        <w:t>Loi Christopher</w:t>
      </w:r>
      <w:r w:rsidRPr="00FA6F76">
        <w:rPr>
          <w:rFonts w:cs="Times New Roman"/>
          <w:lang w:val="fr-CA"/>
        </w:rPr>
        <w:t xml:space="preserve"> n’est pas mentionnée au par.</w:t>
      </w:r>
      <w:r w:rsidR="00F23967">
        <w:rPr>
          <w:rFonts w:cs="Times New Roman"/>
          <w:lang w:val="fr-CA"/>
        </w:rPr>
        <w:t xml:space="preserve"> </w:t>
      </w:r>
      <w:r w:rsidRPr="00FA6F76">
        <w:rPr>
          <w:rFonts w:cs="Times New Roman"/>
          <w:lang w:val="fr-CA"/>
        </w:rPr>
        <w:t xml:space="preserve">67(2), la question qui se pose est de savoir si la </w:t>
      </w:r>
      <w:r w:rsidRPr="00FA6F76">
        <w:rPr>
          <w:rFonts w:cs="Times New Roman"/>
          <w:i/>
          <w:iCs/>
          <w:lang w:val="fr-CA"/>
        </w:rPr>
        <w:t>Loi Christopher</w:t>
      </w:r>
      <w:r w:rsidRPr="00FA6F76">
        <w:rPr>
          <w:rFonts w:cs="Times New Roman"/>
          <w:lang w:val="fr-CA"/>
        </w:rPr>
        <w:t xml:space="preserve"> renferme une </w:t>
      </w:r>
      <w:r w:rsidR="00E3692F" w:rsidRPr="003D0CB7">
        <w:rPr>
          <w:lang w:val="fr-CA"/>
        </w:rPr>
        <w:t>«</w:t>
      </w:r>
      <w:r w:rsidR="00E3692F">
        <w:rPr>
          <w:rFonts w:cs="Times New Roman"/>
          <w:iCs/>
          <w:lang w:val="fr-CA"/>
        </w:rPr>
        <w:t> </w:t>
      </w:r>
      <w:r w:rsidRPr="00FA6F76">
        <w:rPr>
          <w:rFonts w:cs="Times New Roman"/>
          <w:lang w:val="fr-CA"/>
        </w:rPr>
        <w:t>disposition [.</w:t>
      </w:r>
      <w:r w:rsidR="00F23967">
        <w:rPr>
          <w:rFonts w:cs="Times New Roman"/>
          <w:lang w:val="fr-CA"/>
        </w:rPr>
        <w:t xml:space="preserve"> </w:t>
      </w:r>
      <w:r w:rsidRPr="00FA6F76">
        <w:rPr>
          <w:rFonts w:cs="Times New Roman"/>
          <w:lang w:val="fr-CA"/>
        </w:rPr>
        <w:t>.</w:t>
      </w:r>
      <w:r w:rsidR="00F23967">
        <w:rPr>
          <w:rFonts w:cs="Times New Roman"/>
          <w:lang w:val="fr-CA"/>
        </w:rPr>
        <w:t xml:space="preserve"> </w:t>
      </w:r>
      <w:r w:rsidRPr="00FA6F76">
        <w:rPr>
          <w:rFonts w:cs="Times New Roman"/>
          <w:lang w:val="fr-CA"/>
        </w:rPr>
        <w:t>.] expresse</w:t>
      </w:r>
      <w:r w:rsidR="00E3692F">
        <w:rPr>
          <w:rFonts w:cs="Times New Roman"/>
          <w:iCs/>
          <w:lang w:val="fr-CA"/>
        </w:rPr>
        <w:t> </w:t>
      </w:r>
      <w:r w:rsidR="00E3692F" w:rsidRPr="003D0CB7">
        <w:rPr>
          <w:lang w:val="fr-CA"/>
        </w:rPr>
        <w:t>»</w:t>
      </w:r>
      <w:r w:rsidRPr="00FA6F76">
        <w:rPr>
          <w:rFonts w:cs="Times New Roman"/>
          <w:lang w:val="fr-CA"/>
        </w:rPr>
        <w:t xml:space="preserve"> qui traite du caractère confidentiel et qui prévoit qu’elle l’emporte sur la </w:t>
      </w:r>
      <w:r w:rsidRPr="00FA6F76">
        <w:rPr>
          <w:rFonts w:cs="Times New Roman"/>
          <w:i/>
          <w:iCs/>
          <w:lang w:val="fr-CA"/>
        </w:rPr>
        <w:t>LAIPVP</w:t>
      </w:r>
      <w:r w:rsidRPr="00053E84">
        <w:rPr>
          <w:rFonts w:cs="Times New Roman"/>
          <w:iCs/>
          <w:lang w:val="fr-CA"/>
        </w:rPr>
        <w:t>.</w:t>
      </w:r>
      <w:r w:rsidRPr="00FA6F76">
        <w:rPr>
          <w:rFonts w:cs="Times New Roman"/>
          <w:i/>
          <w:iCs/>
          <w:lang w:val="fr-CA"/>
        </w:rPr>
        <w:t xml:space="preserve"> </w:t>
      </w:r>
    </w:p>
    <w:p w:rsidR="006C6098" w:rsidRPr="00FA6F76" w:rsidRDefault="006C6098" w:rsidP="00021119">
      <w:pPr>
        <w:pStyle w:val="ParaNoNdepar-AltN"/>
        <w:rPr>
          <w:rFonts w:cs="Times New Roman"/>
          <w:lang w:val="fr-CA"/>
        </w:rPr>
      </w:pPr>
      <w:r w:rsidRPr="00FA6F76">
        <w:rPr>
          <w:rFonts w:cs="Times New Roman"/>
          <w:lang w:val="fr-CA"/>
        </w:rPr>
        <w:lastRenderedPageBreak/>
        <w:t xml:space="preserve">Le Ministère soutient que la Commissaire s’est </w:t>
      </w:r>
      <w:proofErr w:type="gramStart"/>
      <w:r w:rsidRPr="00FA6F76">
        <w:rPr>
          <w:rFonts w:cs="Times New Roman"/>
          <w:lang w:val="fr-CA"/>
        </w:rPr>
        <w:t>servi</w:t>
      </w:r>
      <w:proofErr w:type="gramEnd"/>
      <w:r w:rsidRPr="00FA6F76">
        <w:rPr>
          <w:rFonts w:cs="Times New Roman"/>
          <w:lang w:val="fr-CA"/>
        </w:rPr>
        <w:t xml:space="preserve"> de l’art.</w:t>
      </w:r>
      <w:r w:rsidR="00F23967">
        <w:rPr>
          <w:rFonts w:cs="Times New Roman"/>
          <w:lang w:val="fr-CA"/>
        </w:rPr>
        <w:t xml:space="preserve"> </w:t>
      </w:r>
      <w:r w:rsidRPr="00FA6F76">
        <w:rPr>
          <w:rFonts w:cs="Times New Roman"/>
          <w:lang w:val="fr-CA"/>
        </w:rPr>
        <w:t xml:space="preserve">67 de la </w:t>
      </w:r>
      <w:r w:rsidRPr="00FA6F76">
        <w:rPr>
          <w:rFonts w:cs="Times New Roman"/>
          <w:i/>
          <w:iCs/>
          <w:lang w:val="fr-CA"/>
        </w:rPr>
        <w:t xml:space="preserve">LAIPVP </w:t>
      </w:r>
      <w:r w:rsidRPr="00FA6F76">
        <w:rPr>
          <w:rFonts w:cs="Times New Roman"/>
          <w:lang w:val="fr-CA"/>
        </w:rPr>
        <w:t xml:space="preserve">pour s’autoriser à faire abstraction de la </w:t>
      </w:r>
      <w:r w:rsidRPr="00FA6F76">
        <w:rPr>
          <w:rFonts w:cs="Times New Roman"/>
          <w:i/>
          <w:iCs/>
          <w:lang w:val="fr-CA"/>
        </w:rPr>
        <w:t>Loi Christopher</w:t>
      </w:r>
      <w:r w:rsidRPr="00FA6F76">
        <w:rPr>
          <w:rFonts w:cs="Times New Roman"/>
          <w:iCs/>
          <w:lang w:val="fr-CA"/>
        </w:rPr>
        <w:t xml:space="preserve">, ajoutant qu’il n’était pas nécessaire de </w:t>
      </w:r>
      <w:r w:rsidRPr="00FA6F76">
        <w:rPr>
          <w:rFonts w:cs="Times New Roman"/>
          <w:lang w:val="fr-CA"/>
        </w:rPr>
        <w:t>recourir à l’art.</w:t>
      </w:r>
      <w:r w:rsidR="00F23967">
        <w:rPr>
          <w:rFonts w:cs="Times New Roman"/>
          <w:lang w:val="fr-CA"/>
        </w:rPr>
        <w:t xml:space="preserve"> </w:t>
      </w:r>
      <w:r w:rsidRPr="00FA6F76">
        <w:rPr>
          <w:rFonts w:cs="Times New Roman"/>
          <w:lang w:val="fr-CA"/>
        </w:rPr>
        <w:t>67, puisque ces deux lois ne sont pas en conflit (</w:t>
      </w:r>
      <w:proofErr w:type="gramStart"/>
      <w:r w:rsidR="00053E84">
        <w:rPr>
          <w:rFonts w:cs="Times New Roman"/>
          <w:lang w:val="fr-CA"/>
        </w:rPr>
        <w:t>m</w:t>
      </w:r>
      <w:r w:rsidRPr="00FA6F76">
        <w:rPr>
          <w:rFonts w:cs="Times New Roman"/>
          <w:lang w:val="fr-CA"/>
        </w:rPr>
        <w:t>.</w:t>
      </w:r>
      <w:r w:rsidR="00053E84">
        <w:rPr>
          <w:rFonts w:cs="Times New Roman"/>
          <w:lang w:val="fr-CA"/>
        </w:rPr>
        <w:t>a</w:t>
      </w:r>
      <w:r w:rsidRPr="00FA6F76">
        <w:rPr>
          <w:rFonts w:cs="Times New Roman"/>
          <w:lang w:val="fr-CA"/>
        </w:rPr>
        <w:t>.,</w:t>
      </w:r>
      <w:proofErr w:type="gramEnd"/>
      <w:r w:rsidRPr="00FA6F76">
        <w:rPr>
          <w:rFonts w:cs="Times New Roman"/>
          <w:lang w:val="fr-CA"/>
        </w:rPr>
        <w:t xml:space="preserve"> par.</w:t>
      </w:r>
      <w:r w:rsidR="00F23967">
        <w:rPr>
          <w:rFonts w:cs="Times New Roman"/>
          <w:lang w:val="fr-CA"/>
        </w:rPr>
        <w:t xml:space="preserve"> </w:t>
      </w:r>
      <w:r w:rsidRPr="00FA6F76">
        <w:rPr>
          <w:rFonts w:cs="Times New Roman"/>
          <w:lang w:val="fr-CA"/>
        </w:rPr>
        <w:t xml:space="preserve">68).  Le Ministère fait par ailleurs valoir que la </w:t>
      </w:r>
      <w:r w:rsidRPr="00FA6F76">
        <w:rPr>
          <w:rFonts w:cs="Times New Roman"/>
          <w:i/>
          <w:iCs/>
          <w:lang w:val="fr-CA"/>
        </w:rPr>
        <w:t>Loi</w:t>
      </w:r>
      <w:r w:rsidR="00F23967">
        <w:rPr>
          <w:rFonts w:cs="Times New Roman"/>
          <w:i/>
          <w:iCs/>
          <w:lang w:val="fr-CA"/>
        </w:rPr>
        <w:t xml:space="preserve"> </w:t>
      </w:r>
      <w:r w:rsidRPr="00FA6F76">
        <w:rPr>
          <w:rFonts w:cs="Times New Roman"/>
          <w:i/>
          <w:iCs/>
          <w:lang w:val="fr-CA"/>
        </w:rPr>
        <w:t xml:space="preserve">Christopher </w:t>
      </w:r>
      <w:r w:rsidRPr="00FA6F76">
        <w:rPr>
          <w:rFonts w:cs="Times New Roman"/>
          <w:iCs/>
          <w:lang w:val="fr-CA"/>
        </w:rPr>
        <w:t xml:space="preserve">renferme effectivement une </w:t>
      </w:r>
      <w:r w:rsidR="00E3692F" w:rsidRPr="003D0CB7">
        <w:rPr>
          <w:lang w:val="fr-CA"/>
        </w:rPr>
        <w:t>«</w:t>
      </w:r>
      <w:r w:rsidR="00E3692F">
        <w:rPr>
          <w:rFonts w:cs="Times New Roman"/>
          <w:iCs/>
          <w:lang w:val="fr-CA"/>
        </w:rPr>
        <w:t> </w:t>
      </w:r>
      <w:r w:rsidRPr="00FA6F76">
        <w:rPr>
          <w:rFonts w:cs="Times New Roman"/>
          <w:lang w:val="fr-CA"/>
        </w:rPr>
        <w:t>disposition [.</w:t>
      </w:r>
      <w:r w:rsidR="00F23967">
        <w:rPr>
          <w:rFonts w:cs="Times New Roman"/>
          <w:lang w:val="fr-CA"/>
        </w:rPr>
        <w:t xml:space="preserve"> </w:t>
      </w:r>
      <w:r w:rsidRPr="00FA6F76">
        <w:rPr>
          <w:rFonts w:cs="Times New Roman"/>
          <w:lang w:val="fr-CA"/>
        </w:rPr>
        <w:t>.</w:t>
      </w:r>
      <w:r w:rsidR="00F23967">
        <w:rPr>
          <w:rFonts w:cs="Times New Roman"/>
          <w:lang w:val="fr-CA"/>
        </w:rPr>
        <w:t xml:space="preserve"> </w:t>
      </w:r>
      <w:r w:rsidRPr="00FA6F76">
        <w:rPr>
          <w:rFonts w:cs="Times New Roman"/>
          <w:lang w:val="fr-CA"/>
        </w:rPr>
        <w:t>.] expresse</w:t>
      </w:r>
      <w:r w:rsidR="00E3692F">
        <w:rPr>
          <w:rFonts w:cs="Times New Roman"/>
          <w:iCs/>
          <w:lang w:val="fr-CA"/>
        </w:rPr>
        <w:t> </w:t>
      </w:r>
      <w:r w:rsidR="00E3692F" w:rsidRPr="003D0CB7">
        <w:rPr>
          <w:lang w:val="fr-CA"/>
        </w:rPr>
        <w:t>»</w:t>
      </w:r>
      <w:r w:rsidRPr="00FA6F76">
        <w:rPr>
          <w:rFonts w:cs="Times New Roman"/>
          <w:lang w:val="fr-CA"/>
        </w:rPr>
        <w:t xml:space="preserve"> prévoyant que la </w:t>
      </w:r>
      <w:r w:rsidRPr="00FA6F76">
        <w:rPr>
          <w:rFonts w:cs="Times New Roman"/>
          <w:i/>
          <w:iCs/>
          <w:lang w:val="fr-CA"/>
        </w:rPr>
        <w:t xml:space="preserve">LAIPVP </w:t>
      </w:r>
      <w:r w:rsidRPr="00FA6F76">
        <w:rPr>
          <w:rFonts w:cs="Times New Roman"/>
          <w:lang w:val="fr-CA"/>
        </w:rPr>
        <w:t>ne l’emporte pas, comme l’exige le par.</w:t>
      </w:r>
      <w:r w:rsidR="00F23967">
        <w:rPr>
          <w:rFonts w:cs="Times New Roman"/>
          <w:lang w:val="fr-CA"/>
        </w:rPr>
        <w:t xml:space="preserve"> </w:t>
      </w:r>
      <w:r w:rsidRPr="00FA6F76">
        <w:rPr>
          <w:rFonts w:cs="Times New Roman"/>
          <w:lang w:val="fr-CA"/>
        </w:rPr>
        <w:t xml:space="preserve">67(1) de la </w:t>
      </w:r>
      <w:r w:rsidRPr="00FA6F76">
        <w:rPr>
          <w:rFonts w:cs="Times New Roman"/>
          <w:i/>
          <w:iCs/>
          <w:lang w:val="fr-CA"/>
        </w:rPr>
        <w:t>LAIPVP</w:t>
      </w:r>
      <w:r w:rsidRPr="00A26DC3">
        <w:rPr>
          <w:rFonts w:cs="Times New Roman"/>
          <w:iCs/>
          <w:lang w:val="fr-CA"/>
        </w:rPr>
        <w:t>.</w:t>
      </w:r>
      <w:r w:rsidRPr="00FA6F76">
        <w:rPr>
          <w:rFonts w:cs="Times New Roman"/>
          <w:i/>
          <w:iCs/>
          <w:lang w:val="fr-CA"/>
        </w:rPr>
        <w:t xml:space="preserve">  </w:t>
      </w:r>
      <w:r w:rsidRPr="00FA6F76">
        <w:rPr>
          <w:rFonts w:cs="Times New Roman"/>
          <w:lang w:val="fr-CA"/>
        </w:rPr>
        <w:t xml:space="preserve">Suivant le Ministère, la </w:t>
      </w:r>
      <w:r w:rsidRPr="00FA6F76">
        <w:rPr>
          <w:rFonts w:cs="Times New Roman"/>
          <w:i/>
          <w:iCs/>
          <w:lang w:val="fr-CA"/>
        </w:rPr>
        <w:t xml:space="preserve">Loi Christopher </w:t>
      </w:r>
      <w:r w:rsidRPr="00FA6F76">
        <w:rPr>
          <w:rFonts w:cs="Times New Roman"/>
          <w:iCs/>
          <w:lang w:val="fr-CA"/>
        </w:rPr>
        <w:t xml:space="preserve">renferme une telle disposition par suite de l’effet combiné </w:t>
      </w:r>
      <w:r w:rsidRPr="00FA6F76">
        <w:rPr>
          <w:rFonts w:cs="Times New Roman"/>
          <w:lang w:val="fr-CA"/>
        </w:rPr>
        <w:t>des par.</w:t>
      </w:r>
      <w:r w:rsidR="00F23967">
        <w:rPr>
          <w:rFonts w:cs="Times New Roman"/>
          <w:lang w:val="fr-CA"/>
        </w:rPr>
        <w:t xml:space="preserve"> </w:t>
      </w:r>
      <w:r w:rsidRPr="00FA6F76">
        <w:rPr>
          <w:rFonts w:cs="Times New Roman"/>
          <w:lang w:val="fr-CA"/>
        </w:rPr>
        <w:t>10(1), 10(2) et 11(2), de l’art.</w:t>
      </w:r>
      <w:r w:rsidR="00F23967">
        <w:rPr>
          <w:rFonts w:cs="Times New Roman"/>
          <w:lang w:val="fr-CA"/>
        </w:rPr>
        <w:t xml:space="preserve"> </w:t>
      </w:r>
      <w:r w:rsidRPr="00FA6F76">
        <w:rPr>
          <w:rFonts w:cs="Times New Roman"/>
          <w:lang w:val="fr-CA"/>
        </w:rPr>
        <w:t>13 et du par.</w:t>
      </w:r>
      <w:r w:rsidR="00F23967">
        <w:rPr>
          <w:rFonts w:cs="Times New Roman"/>
          <w:lang w:val="fr-CA"/>
        </w:rPr>
        <w:t xml:space="preserve"> </w:t>
      </w:r>
      <w:r w:rsidRPr="00FA6F76">
        <w:rPr>
          <w:rFonts w:cs="Times New Roman"/>
          <w:lang w:val="fr-CA"/>
        </w:rPr>
        <w:t xml:space="preserve">41(1.1) de la </w:t>
      </w:r>
      <w:r w:rsidRPr="00FA6F76">
        <w:rPr>
          <w:rFonts w:cs="Times New Roman"/>
          <w:i/>
          <w:iCs/>
          <w:lang w:val="fr-CA"/>
        </w:rPr>
        <w:t>Loi sur les services policiers</w:t>
      </w:r>
      <w:r w:rsidRPr="00FA6F76">
        <w:rPr>
          <w:rFonts w:cs="Times New Roman"/>
          <w:lang w:val="fr-CA"/>
        </w:rPr>
        <w:t>, L.R.O. 1990, ch.</w:t>
      </w:r>
      <w:r w:rsidR="00F23967">
        <w:rPr>
          <w:rFonts w:cs="Times New Roman"/>
          <w:lang w:val="fr-CA"/>
        </w:rPr>
        <w:t xml:space="preserve"> </w:t>
      </w:r>
      <w:r w:rsidRPr="00FA6F76">
        <w:rPr>
          <w:rFonts w:cs="Times New Roman"/>
          <w:lang w:val="fr-CA"/>
        </w:rPr>
        <w:t>P.15.  Ces questions n’ont, semble</w:t>
      </w:r>
      <w:r w:rsidR="00F23967">
        <w:rPr>
          <w:rFonts w:cs="Times New Roman"/>
          <w:lang w:val="fr-CA"/>
        </w:rPr>
        <w:t>-</w:t>
      </w:r>
      <w:r w:rsidRPr="00FA6F76">
        <w:rPr>
          <w:rFonts w:cs="Times New Roman"/>
          <w:lang w:val="fr-CA"/>
        </w:rPr>
        <w:t>t</w:t>
      </w:r>
      <w:r w:rsidR="00F23967">
        <w:rPr>
          <w:rFonts w:cs="Times New Roman"/>
          <w:lang w:val="fr-CA"/>
        </w:rPr>
        <w:t>-</w:t>
      </w:r>
      <w:r w:rsidRPr="00FA6F76">
        <w:rPr>
          <w:rFonts w:cs="Times New Roman"/>
          <w:lang w:val="fr-CA"/>
        </w:rPr>
        <w:t>il, jamais été soulevées clairement jusqu’ici dans le cadre du présent litige.</w:t>
      </w:r>
    </w:p>
    <w:p w:rsidR="006C6098" w:rsidRPr="00FA6F76" w:rsidRDefault="006C6098" w:rsidP="00021119">
      <w:pPr>
        <w:pStyle w:val="ParaNoNdepar-AltN"/>
        <w:rPr>
          <w:rFonts w:cs="Times New Roman"/>
          <w:lang w:val="fr-CA"/>
        </w:rPr>
      </w:pPr>
      <w:r w:rsidRPr="00FA6F76">
        <w:rPr>
          <w:rFonts w:cs="Times New Roman"/>
          <w:lang w:val="fr-CA"/>
        </w:rPr>
        <w:t xml:space="preserve">La Commissaire a toutefois signalé que, dans le cadre d’un appel </w:t>
      </w:r>
      <w:r w:rsidRPr="00FA6F76">
        <w:rPr>
          <w:rFonts w:cs="Times New Roman"/>
          <w:i/>
          <w:lang w:val="fr-CA"/>
        </w:rPr>
        <w:t>antérieur</w:t>
      </w:r>
      <w:r w:rsidRPr="00FA6F76">
        <w:rPr>
          <w:rFonts w:cs="Times New Roman"/>
          <w:lang w:val="fr-CA"/>
        </w:rPr>
        <w:t>, le Ministère avait soutenu que l’art.</w:t>
      </w:r>
      <w:r w:rsidR="00F23967">
        <w:rPr>
          <w:rFonts w:cs="Times New Roman"/>
          <w:lang w:val="fr-CA"/>
        </w:rPr>
        <w:t xml:space="preserve"> </w:t>
      </w:r>
      <w:r w:rsidRPr="00FA6F76">
        <w:rPr>
          <w:rFonts w:cs="Times New Roman"/>
          <w:lang w:val="fr-CA"/>
        </w:rPr>
        <w:t xml:space="preserve">10 de la </w:t>
      </w:r>
      <w:r w:rsidRPr="00FA6F76">
        <w:rPr>
          <w:rFonts w:cs="Times New Roman"/>
          <w:i/>
          <w:iCs/>
          <w:lang w:val="fr-CA"/>
        </w:rPr>
        <w:t xml:space="preserve">Loi Christopher </w:t>
      </w:r>
      <w:r w:rsidRPr="00FA6F76">
        <w:rPr>
          <w:rFonts w:cs="Times New Roman"/>
          <w:iCs/>
          <w:lang w:val="fr-CA"/>
        </w:rPr>
        <w:t>était</w:t>
      </w:r>
      <w:r w:rsidRPr="00FA6F76">
        <w:rPr>
          <w:rFonts w:cs="Times New Roman"/>
          <w:i/>
          <w:iCs/>
          <w:lang w:val="fr-CA"/>
        </w:rPr>
        <w:t xml:space="preserve"> </w:t>
      </w:r>
      <w:r w:rsidRPr="00FA6F76">
        <w:rPr>
          <w:rFonts w:cs="Times New Roman"/>
          <w:lang w:val="fr-CA"/>
        </w:rPr>
        <w:t xml:space="preserve">une disposition qui traitait du caractère confidentiel et qui l’emportait sur la </w:t>
      </w:r>
      <w:r w:rsidRPr="00FA6F76">
        <w:rPr>
          <w:rFonts w:cs="Times New Roman"/>
          <w:i/>
          <w:iCs/>
          <w:lang w:val="fr-CA"/>
        </w:rPr>
        <w:t xml:space="preserve">LAIPVP.  </w:t>
      </w:r>
      <w:r w:rsidRPr="00FA6F76">
        <w:rPr>
          <w:rFonts w:cs="Times New Roman"/>
          <w:lang w:val="fr-CA"/>
        </w:rPr>
        <w:t>Cet argument a été rejeté dans le pourvoi en question au motif que, bien qu’il constitue une disposition traitant de confidentialité, l’art.</w:t>
      </w:r>
      <w:r w:rsidR="00F23967">
        <w:rPr>
          <w:rFonts w:cs="Times New Roman"/>
          <w:lang w:val="fr-CA"/>
        </w:rPr>
        <w:t xml:space="preserve"> </w:t>
      </w:r>
      <w:r w:rsidRPr="00FA6F76">
        <w:rPr>
          <w:rFonts w:cs="Times New Roman"/>
          <w:lang w:val="fr-CA"/>
        </w:rPr>
        <w:t>10 ne prévoit pas expressément</w:t>
      </w:r>
      <w:r w:rsidR="00F23967">
        <w:rPr>
          <w:rFonts w:cs="Times New Roman"/>
          <w:lang w:val="fr-CA"/>
        </w:rPr>
        <w:t xml:space="preserve"> </w:t>
      </w:r>
      <w:r w:rsidRPr="00FA6F76">
        <w:rPr>
          <w:rFonts w:cs="Times New Roman"/>
          <w:lang w:val="fr-CA"/>
        </w:rPr>
        <w:t xml:space="preserve">qu’il l’emporte sur la </w:t>
      </w:r>
      <w:r w:rsidRPr="00FA6F76">
        <w:rPr>
          <w:rFonts w:cs="Times New Roman"/>
          <w:i/>
          <w:iCs/>
          <w:lang w:val="fr-CA"/>
        </w:rPr>
        <w:t>LAIPVP</w:t>
      </w:r>
      <w:r w:rsidRPr="00A26DC3">
        <w:rPr>
          <w:rFonts w:cs="Times New Roman"/>
          <w:iCs/>
          <w:lang w:val="fr-CA"/>
        </w:rPr>
        <w:t>.</w:t>
      </w:r>
      <w:r w:rsidRPr="00FA6F76">
        <w:rPr>
          <w:rFonts w:cs="Times New Roman"/>
          <w:i/>
          <w:iCs/>
          <w:lang w:val="fr-CA"/>
        </w:rPr>
        <w:t xml:space="preserve">  </w:t>
      </w:r>
      <w:r w:rsidRPr="00FA6F76">
        <w:rPr>
          <w:rFonts w:cs="Times New Roman"/>
          <w:lang w:val="fr-CA"/>
        </w:rPr>
        <w:t xml:space="preserve">La Commissaire a souscrit à cette même analyse dans le cas qui nous occupe.  Nous estimons qu’il s’agit là d’une conclusion raisonnable.  </w:t>
      </w:r>
    </w:p>
    <w:p w:rsidR="006C6098" w:rsidRPr="00FA6F76" w:rsidRDefault="006C6098" w:rsidP="00021119">
      <w:pPr>
        <w:pStyle w:val="ParaNoNdepar-AltN"/>
        <w:rPr>
          <w:rFonts w:cs="Times New Roman"/>
          <w:lang w:val="fr-CA"/>
        </w:rPr>
      </w:pPr>
      <w:r w:rsidRPr="00FA6F76">
        <w:rPr>
          <w:rFonts w:cs="Times New Roman"/>
          <w:lang w:val="fr-CA"/>
        </w:rPr>
        <w:t xml:space="preserve">Le législateur ontarien s’est intéressé à l’interaction entre la </w:t>
      </w:r>
      <w:r w:rsidRPr="00FA6F76">
        <w:rPr>
          <w:rFonts w:cs="Times New Roman"/>
          <w:i/>
          <w:iCs/>
          <w:lang w:val="fr-CA"/>
        </w:rPr>
        <w:t xml:space="preserve">LAIPVP </w:t>
      </w:r>
      <w:r w:rsidRPr="00FA6F76">
        <w:rPr>
          <w:rFonts w:cs="Times New Roman"/>
          <w:lang w:val="fr-CA"/>
        </w:rPr>
        <w:t xml:space="preserve">et la </w:t>
      </w:r>
      <w:r w:rsidRPr="00FA6F76">
        <w:rPr>
          <w:rFonts w:cs="Times New Roman"/>
          <w:i/>
          <w:iCs/>
          <w:lang w:val="fr-CA"/>
        </w:rPr>
        <w:t>Loi Christopher</w:t>
      </w:r>
      <w:r w:rsidR="00A26DC3">
        <w:rPr>
          <w:rFonts w:cs="Times New Roman"/>
          <w:lang w:val="fr-CA"/>
        </w:rPr>
        <w:t xml:space="preserve"> (</w:t>
      </w:r>
      <w:proofErr w:type="gramStart"/>
      <w:r w:rsidR="00A26DC3">
        <w:rPr>
          <w:rFonts w:cs="Times New Roman"/>
          <w:lang w:val="fr-CA"/>
        </w:rPr>
        <w:t>m.a</w:t>
      </w:r>
      <w:r w:rsidRPr="00FA6F76">
        <w:rPr>
          <w:rFonts w:cs="Times New Roman"/>
          <w:lang w:val="fr-CA"/>
        </w:rPr>
        <w:t>.,</w:t>
      </w:r>
      <w:proofErr w:type="gramEnd"/>
      <w:r w:rsidRPr="00FA6F76">
        <w:rPr>
          <w:rFonts w:cs="Times New Roman"/>
          <w:lang w:val="fr-CA"/>
        </w:rPr>
        <w:t xml:space="preserve"> par.</w:t>
      </w:r>
      <w:r w:rsidR="00F23967">
        <w:rPr>
          <w:rFonts w:cs="Times New Roman"/>
          <w:lang w:val="fr-CA"/>
        </w:rPr>
        <w:t xml:space="preserve"> </w:t>
      </w:r>
      <w:r w:rsidRPr="00FA6F76">
        <w:rPr>
          <w:rFonts w:cs="Times New Roman"/>
          <w:lang w:val="fr-CA"/>
        </w:rPr>
        <w:t xml:space="preserve">73), comme en fait foi la mention expresse de la </w:t>
      </w:r>
      <w:r w:rsidRPr="00FA6F76">
        <w:rPr>
          <w:rFonts w:cs="Times New Roman"/>
          <w:i/>
          <w:iCs/>
          <w:lang w:val="fr-CA"/>
        </w:rPr>
        <w:t>LAIPVP</w:t>
      </w:r>
      <w:r w:rsidRPr="00FA6F76">
        <w:rPr>
          <w:rFonts w:cs="Times New Roman"/>
          <w:iCs/>
          <w:lang w:val="fr-CA"/>
        </w:rPr>
        <w:t xml:space="preserve"> dans </w:t>
      </w:r>
      <w:r w:rsidRPr="00FA6F76">
        <w:rPr>
          <w:rFonts w:cs="Times New Roman"/>
          <w:lang w:val="fr-CA"/>
        </w:rPr>
        <w:t xml:space="preserve">certaines dispositions de la </w:t>
      </w:r>
      <w:r w:rsidRPr="00FA6F76">
        <w:rPr>
          <w:rFonts w:cs="Times New Roman"/>
          <w:i/>
          <w:iCs/>
          <w:lang w:val="fr-CA"/>
        </w:rPr>
        <w:t>Loi Christopher</w:t>
      </w:r>
      <w:r w:rsidRPr="00FA6F76">
        <w:rPr>
          <w:rFonts w:cs="Times New Roman"/>
          <w:lang w:val="fr-CA"/>
        </w:rPr>
        <w:t>.  À titre d’exemple, le par.</w:t>
      </w:r>
      <w:r w:rsidR="00F23967">
        <w:rPr>
          <w:rFonts w:cs="Times New Roman"/>
          <w:lang w:val="fr-CA"/>
        </w:rPr>
        <w:t xml:space="preserve"> </w:t>
      </w:r>
      <w:r w:rsidRPr="00FA6F76">
        <w:rPr>
          <w:rFonts w:cs="Times New Roman"/>
          <w:lang w:val="fr-CA"/>
        </w:rPr>
        <w:t xml:space="preserve">10(4) prévoit que la divulgation de renseignements personnels faite par la police en vertu </w:t>
      </w:r>
      <w:r w:rsidRPr="00FA6F76">
        <w:rPr>
          <w:rFonts w:cs="Times New Roman"/>
          <w:lang w:val="fr-CA"/>
        </w:rPr>
        <w:lastRenderedPageBreak/>
        <w:t>des par.</w:t>
      </w:r>
      <w:r w:rsidR="00F23967">
        <w:rPr>
          <w:rFonts w:cs="Times New Roman"/>
          <w:lang w:val="fr-CA"/>
        </w:rPr>
        <w:t xml:space="preserve"> </w:t>
      </w:r>
      <w:r w:rsidRPr="00FA6F76">
        <w:rPr>
          <w:rFonts w:cs="Times New Roman"/>
          <w:lang w:val="fr-CA"/>
        </w:rPr>
        <w:t>10(2) et 10(3) est réputée être conforme à l’al.</w:t>
      </w:r>
      <w:r w:rsidR="00F23967">
        <w:rPr>
          <w:rFonts w:cs="Times New Roman"/>
          <w:lang w:val="fr-CA"/>
        </w:rPr>
        <w:t xml:space="preserve"> </w:t>
      </w:r>
      <w:r w:rsidRPr="00FA6F76">
        <w:rPr>
          <w:rFonts w:cs="Times New Roman"/>
          <w:lang w:val="fr-CA"/>
        </w:rPr>
        <w:t>42(1)</w:t>
      </w:r>
      <w:r w:rsidRPr="00FA6F76">
        <w:rPr>
          <w:rFonts w:cs="Times New Roman"/>
          <w:iCs/>
          <w:lang w:val="fr-CA"/>
        </w:rPr>
        <w:t>e</w:t>
      </w:r>
      <w:r w:rsidRPr="00FA6F76">
        <w:rPr>
          <w:rFonts w:cs="Times New Roman"/>
          <w:lang w:val="fr-CA"/>
        </w:rPr>
        <w:t xml:space="preserve">) de la </w:t>
      </w:r>
      <w:r w:rsidRPr="00FA6F76">
        <w:rPr>
          <w:rFonts w:cs="Times New Roman"/>
          <w:i/>
          <w:iCs/>
          <w:lang w:val="fr-CA"/>
        </w:rPr>
        <w:t xml:space="preserve">LAIPVP </w:t>
      </w:r>
      <w:r w:rsidRPr="00FA6F76">
        <w:rPr>
          <w:rFonts w:cs="Times New Roman"/>
          <w:lang w:val="fr-CA"/>
        </w:rPr>
        <w:t xml:space="preserve">(lequel précise à son tour qu’une institution ne doit pas divulguer les renseignements personnels dont elle a la garde, sauf pour se conformer à une loi du législateur).  Il ressort de ces mentions expresses de la </w:t>
      </w:r>
      <w:r w:rsidRPr="00FA6F76">
        <w:rPr>
          <w:rFonts w:cs="Times New Roman"/>
          <w:i/>
          <w:iCs/>
          <w:lang w:val="fr-CA"/>
        </w:rPr>
        <w:t xml:space="preserve">LAIPVP </w:t>
      </w:r>
      <w:r w:rsidRPr="00FA6F76">
        <w:rPr>
          <w:rFonts w:cs="Times New Roman"/>
          <w:lang w:val="fr-CA"/>
        </w:rPr>
        <w:t>que le législateur a tenu compte de la façon dont ces deux lois s’appliqueraient ensemble, ainsi que de la possibilité de conflit.  L’article</w:t>
      </w:r>
      <w:r w:rsidR="00F23967">
        <w:rPr>
          <w:rFonts w:cs="Times New Roman"/>
          <w:lang w:val="fr-CA"/>
        </w:rPr>
        <w:t xml:space="preserve"> </w:t>
      </w:r>
      <w:r w:rsidRPr="00FA6F76">
        <w:rPr>
          <w:rFonts w:cs="Times New Roman"/>
          <w:lang w:val="fr-CA"/>
        </w:rPr>
        <w:t xml:space="preserve">67 de la </w:t>
      </w:r>
      <w:r w:rsidRPr="00FA6F76">
        <w:rPr>
          <w:rFonts w:cs="Times New Roman"/>
          <w:i/>
          <w:iCs/>
          <w:lang w:val="fr-CA"/>
        </w:rPr>
        <w:t xml:space="preserve">LAIPVP </w:t>
      </w:r>
      <w:r w:rsidRPr="00FA6F76">
        <w:rPr>
          <w:rFonts w:cs="Times New Roman"/>
          <w:lang w:val="fr-CA"/>
        </w:rPr>
        <w:t xml:space="preserve">est le mécanisme retenu par le législateur afin de résoudre tout conflit éventuel. </w:t>
      </w:r>
    </w:p>
    <w:p w:rsidR="006C6098" w:rsidRPr="00FA6F76" w:rsidRDefault="006C6098" w:rsidP="00021119">
      <w:pPr>
        <w:pStyle w:val="ParaNoNdepar-AltN"/>
        <w:rPr>
          <w:rFonts w:cs="Times New Roman"/>
          <w:lang w:val="fr-CA"/>
        </w:rPr>
      </w:pPr>
      <w:r w:rsidRPr="00FA6F76">
        <w:rPr>
          <w:rFonts w:cs="Times New Roman"/>
          <w:lang w:val="fr-CA"/>
        </w:rPr>
        <w:t xml:space="preserve">On ne trouve toutefois dans la </w:t>
      </w:r>
      <w:r w:rsidRPr="00FA6F76">
        <w:rPr>
          <w:rFonts w:cs="Times New Roman"/>
          <w:i/>
          <w:iCs/>
          <w:lang w:val="fr-CA"/>
        </w:rPr>
        <w:t>Loi Christopher</w:t>
      </w:r>
      <w:r w:rsidRPr="00FA6F76">
        <w:rPr>
          <w:rFonts w:cs="Times New Roman"/>
          <w:lang w:val="fr-CA"/>
        </w:rPr>
        <w:t xml:space="preserve"> aucune disposition en matière de confidentialité qui prévoit expressément que la </w:t>
      </w:r>
      <w:r w:rsidRPr="00FA6F76">
        <w:rPr>
          <w:rFonts w:cs="Times New Roman"/>
          <w:i/>
          <w:iCs/>
          <w:lang w:val="fr-CA"/>
        </w:rPr>
        <w:t xml:space="preserve">LAIPVP </w:t>
      </w:r>
      <w:r w:rsidRPr="00FA6F76">
        <w:rPr>
          <w:rFonts w:cs="Times New Roman"/>
          <w:lang w:val="fr-CA"/>
        </w:rPr>
        <w:t xml:space="preserve">ne l’emporte pas sur la </w:t>
      </w:r>
      <w:r w:rsidRPr="00FA6F76">
        <w:rPr>
          <w:rFonts w:cs="Times New Roman"/>
          <w:i/>
          <w:iCs/>
          <w:lang w:val="fr-CA"/>
        </w:rPr>
        <w:t>Loi Christopher</w:t>
      </w:r>
      <w:r w:rsidRPr="00FA6F76">
        <w:rPr>
          <w:rFonts w:cs="Times New Roman"/>
          <w:lang w:val="fr-CA"/>
        </w:rPr>
        <w:t>, comme l’exige le par.</w:t>
      </w:r>
      <w:r w:rsidR="00F23967">
        <w:rPr>
          <w:rFonts w:cs="Times New Roman"/>
          <w:lang w:val="fr-CA"/>
        </w:rPr>
        <w:t xml:space="preserve"> </w:t>
      </w:r>
      <w:r w:rsidRPr="00FA6F76">
        <w:rPr>
          <w:rFonts w:cs="Times New Roman"/>
          <w:lang w:val="fr-CA"/>
        </w:rPr>
        <w:t xml:space="preserve">67(1) de la </w:t>
      </w:r>
      <w:r w:rsidRPr="00FA6F76">
        <w:rPr>
          <w:rFonts w:cs="Times New Roman"/>
          <w:i/>
          <w:iCs/>
          <w:lang w:val="fr-CA"/>
        </w:rPr>
        <w:t>LAIPVP</w:t>
      </w:r>
      <w:r w:rsidRPr="007D068A">
        <w:rPr>
          <w:rFonts w:cs="Times New Roman"/>
          <w:iCs/>
          <w:lang w:val="fr-CA"/>
        </w:rPr>
        <w:t>.</w:t>
      </w:r>
      <w:r w:rsidRPr="00FA6F76">
        <w:rPr>
          <w:rFonts w:cs="Times New Roman"/>
          <w:i/>
          <w:iCs/>
          <w:lang w:val="fr-CA"/>
        </w:rPr>
        <w:t xml:space="preserve">  </w:t>
      </w:r>
      <w:r w:rsidRPr="00FA6F76">
        <w:rPr>
          <w:rFonts w:cs="Times New Roman"/>
          <w:lang w:val="fr-CA"/>
        </w:rPr>
        <w:t xml:space="preserve">Voici comment est libellée la disposition de la </w:t>
      </w:r>
      <w:r w:rsidRPr="00FA6F76">
        <w:rPr>
          <w:rFonts w:cs="Times New Roman"/>
          <w:i/>
          <w:iCs/>
          <w:lang w:val="fr-CA"/>
        </w:rPr>
        <w:t>Loi Christopher</w:t>
      </w:r>
      <w:r w:rsidRPr="00FA6F76">
        <w:rPr>
          <w:rFonts w:cs="Times New Roman"/>
          <w:iCs/>
          <w:lang w:val="fr-CA"/>
        </w:rPr>
        <w:t xml:space="preserve"> traitant du caractère confidentiel des renseignements recueillis</w:t>
      </w:r>
      <w:r w:rsidRPr="00FA6F76">
        <w:rPr>
          <w:rFonts w:cs="Times New Roman"/>
          <w:lang w:val="fr-CA"/>
        </w:rPr>
        <w:t>, soit le par.</w:t>
      </w:r>
      <w:r w:rsidR="00F23967">
        <w:rPr>
          <w:rFonts w:cs="Times New Roman"/>
          <w:lang w:val="fr-CA"/>
        </w:rPr>
        <w:t xml:space="preserve"> </w:t>
      </w:r>
      <w:r w:rsidRPr="00FA6F76">
        <w:rPr>
          <w:rFonts w:cs="Times New Roman"/>
          <w:lang w:val="fr-CA"/>
        </w:rPr>
        <w:t>10(1)</w:t>
      </w:r>
      <w:r w:rsidR="00F23967">
        <w:rPr>
          <w:rFonts w:cs="Times New Roman"/>
          <w:lang w:val="fr-CA"/>
        </w:rPr>
        <w:t xml:space="preserve"> </w:t>
      </w:r>
      <w:r w:rsidRPr="00FA6F76">
        <w:rPr>
          <w:rFonts w:cs="Times New Roman"/>
          <w:lang w:val="fr-CA"/>
        </w:rPr>
        <w:t xml:space="preserve">: </w:t>
      </w:r>
    </w:p>
    <w:p w:rsidR="006C6098" w:rsidRPr="00FA6F76" w:rsidRDefault="006C6098" w:rsidP="00021119">
      <w:pPr>
        <w:pStyle w:val="Citation-AltC"/>
        <w:ind w:hanging="1166"/>
        <w:rPr>
          <w:lang w:val="fr-CA"/>
        </w:rPr>
      </w:pPr>
      <w:r w:rsidRPr="00FA6F76">
        <w:rPr>
          <w:b/>
          <w:bCs/>
          <w:lang w:val="fr-CA"/>
        </w:rPr>
        <w:tab/>
      </w:r>
      <w:r w:rsidRPr="00FA6F76">
        <w:rPr>
          <w:b/>
          <w:bCs/>
          <w:lang w:val="fr-CA"/>
        </w:rPr>
        <w:tab/>
        <w:t>10</w:t>
      </w:r>
      <w:r w:rsidRPr="007D068A">
        <w:rPr>
          <w:b/>
          <w:lang w:val="fr-CA"/>
        </w:rPr>
        <w:t>.</w:t>
      </w:r>
      <w:r w:rsidR="00F23967">
        <w:rPr>
          <w:lang w:val="fr-CA"/>
        </w:rPr>
        <w:t xml:space="preserve"> </w:t>
      </w:r>
      <w:r w:rsidRPr="00FA6F76">
        <w:rPr>
          <w:lang w:val="fr-CA"/>
        </w:rPr>
        <w:t>(1)</w:t>
      </w:r>
      <w:r w:rsidR="00F23967">
        <w:rPr>
          <w:lang w:val="fr-CA"/>
        </w:rPr>
        <w:t xml:space="preserve">  </w:t>
      </w:r>
      <w:r w:rsidRPr="00FA6F76">
        <w:rPr>
          <w:lang w:val="fr-CA"/>
        </w:rPr>
        <w:t>Sous réserve des paragraphes</w:t>
      </w:r>
      <w:r w:rsidR="00F23967">
        <w:rPr>
          <w:lang w:val="fr-CA"/>
        </w:rPr>
        <w:t xml:space="preserve"> </w:t>
      </w:r>
      <w:r w:rsidRPr="00FA6F76">
        <w:rPr>
          <w:lang w:val="fr-CA"/>
        </w:rPr>
        <w:t>(2) et (3), nul ne doit divulguer à quiconque les renseignements qu’il obtient du registre des délinquants sexuels ou qu’il reçoit dans l’exercice des fonctions que lui confère la présente loi si ce n’est comme celle</w:t>
      </w:r>
      <w:r w:rsidR="00F23967">
        <w:rPr>
          <w:lang w:val="fr-CA"/>
        </w:rPr>
        <w:t>-</w:t>
      </w:r>
      <w:r w:rsidRPr="00FA6F76">
        <w:rPr>
          <w:lang w:val="fr-CA"/>
        </w:rPr>
        <w:t>ci le prévoit.</w:t>
      </w:r>
    </w:p>
    <w:p w:rsidR="006C6098" w:rsidRPr="00FA6F76" w:rsidRDefault="006C6098" w:rsidP="00021119">
      <w:pPr>
        <w:pStyle w:val="ContinueParaSuitedupar-AltP"/>
        <w:rPr>
          <w:rFonts w:cs="Times New Roman"/>
          <w:lang w:val="fr-CA"/>
        </w:rPr>
      </w:pPr>
      <w:r w:rsidRPr="00FA6F76">
        <w:rPr>
          <w:rFonts w:cs="Times New Roman"/>
          <w:lang w:val="fr-CA"/>
        </w:rPr>
        <w:t xml:space="preserve">Si le législateur avait voulu que la disposition de la </w:t>
      </w:r>
      <w:r w:rsidRPr="00FA6F76">
        <w:rPr>
          <w:rFonts w:cs="Times New Roman"/>
          <w:i/>
          <w:iCs/>
          <w:lang w:val="fr-CA"/>
        </w:rPr>
        <w:t>Loi Christopher</w:t>
      </w:r>
      <w:r w:rsidRPr="00FA6F76">
        <w:rPr>
          <w:rFonts w:cs="Times New Roman"/>
          <w:lang w:val="fr-CA"/>
        </w:rPr>
        <w:t xml:space="preserve"> relative à la confidentialité l’emporte sur la </w:t>
      </w:r>
      <w:r w:rsidRPr="00FA6F76">
        <w:rPr>
          <w:rFonts w:cs="Times New Roman"/>
          <w:i/>
          <w:iCs/>
          <w:lang w:val="fr-CA"/>
        </w:rPr>
        <w:t>LAIPVP</w:t>
      </w:r>
      <w:r w:rsidRPr="00FA6F76">
        <w:rPr>
          <w:rFonts w:cs="Times New Roman"/>
          <w:lang w:val="fr-CA"/>
        </w:rPr>
        <w:t>, il aurait facilement pu employer des termes explicites en ce sens.  Or, on ne trouve au par.</w:t>
      </w:r>
      <w:r w:rsidR="00F23967">
        <w:rPr>
          <w:rFonts w:cs="Times New Roman"/>
          <w:lang w:val="fr-CA"/>
        </w:rPr>
        <w:t xml:space="preserve"> </w:t>
      </w:r>
      <w:proofErr w:type="gramStart"/>
      <w:r w:rsidRPr="00FA6F76">
        <w:rPr>
          <w:rFonts w:cs="Times New Roman"/>
          <w:lang w:val="fr-CA"/>
        </w:rPr>
        <w:t>10(1) aucune</w:t>
      </w:r>
      <w:proofErr w:type="gramEnd"/>
      <w:r w:rsidRPr="00FA6F76">
        <w:rPr>
          <w:rFonts w:cs="Times New Roman"/>
          <w:lang w:val="fr-CA"/>
        </w:rPr>
        <w:t xml:space="preserve"> formule de ce genre.  Le fait que le par.</w:t>
      </w:r>
      <w:r w:rsidR="00F23967">
        <w:rPr>
          <w:rFonts w:cs="Times New Roman"/>
          <w:lang w:val="fr-CA"/>
        </w:rPr>
        <w:t xml:space="preserve"> </w:t>
      </w:r>
      <w:r w:rsidRPr="00FA6F76">
        <w:rPr>
          <w:rFonts w:cs="Times New Roman"/>
          <w:lang w:val="fr-CA"/>
        </w:rPr>
        <w:t xml:space="preserve">11(2) de la </w:t>
      </w:r>
      <w:r w:rsidRPr="00FA6F76">
        <w:rPr>
          <w:rFonts w:cs="Times New Roman"/>
          <w:i/>
          <w:iCs/>
          <w:lang w:val="fr-CA"/>
        </w:rPr>
        <w:t>Loi Christopher</w:t>
      </w:r>
      <w:r w:rsidRPr="00FA6F76">
        <w:rPr>
          <w:rFonts w:cs="Times New Roman"/>
          <w:lang w:val="fr-CA"/>
        </w:rPr>
        <w:t xml:space="preserve"> érige en infraction la contravention à l’art.</w:t>
      </w:r>
      <w:r w:rsidR="00F23967">
        <w:rPr>
          <w:rFonts w:cs="Times New Roman"/>
          <w:lang w:val="fr-CA"/>
        </w:rPr>
        <w:t xml:space="preserve"> </w:t>
      </w:r>
      <w:r w:rsidRPr="00FA6F76">
        <w:rPr>
          <w:rFonts w:cs="Times New Roman"/>
          <w:lang w:val="fr-CA"/>
        </w:rPr>
        <w:t>10 n’offre pas le degré de précision exigé par le par.</w:t>
      </w:r>
      <w:r w:rsidR="00F23967">
        <w:rPr>
          <w:rFonts w:cs="Times New Roman"/>
          <w:lang w:val="fr-CA"/>
        </w:rPr>
        <w:t xml:space="preserve"> </w:t>
      </w:r>
      <w:r w:rsidRPr="00FA6F76">
        <w:rPr>
          <w:rFonts w:cs="Times New Roman"/>
          <w:lang w:val="fr-CA"/>
        </w:rPr>
        <w:t xml:space="preserve">67(1) de la </w:t>
      </w:r>
      <w:r w:rsidRPr="00FA6F76">
        <w:rPr>
          <w:rFonts w:cs="Times New Roman"/>
          <w:i/>
          <w:iCs/>
          <w:lang w:val="fr-CA"/>
        </w:rPr>
        <w:t>LAIPVP</w:t>
      </w:r>
      <w:r w:rsidRPr="007D068A">
        <w:rPr>
          <w:rFonts w:cs="Times New Roman"/>
          <w:iCs/>
          <w:lang w:val="fr-CA"/>
        </w:rPr>
        <w:t xml:space="preserve">. </w:t>
      </w:r>
    </w:p>
    <w:p w:rsidR="006C6098" w:rsidRPr="00FA6F76" w:rsidRDefault="006C6098" w:rsidP="00021119">
      <w:pPr>
        <w:pStyle w:val="ParaNoNdepar-AltN"/>
        <w:rPr>
          <w:rFonts w:cs="Times New Roman"/>
          <w:lang w:val="fr-CA"/>
        </w:rPr>
      </w:pPr>
      <w:r w:rsidRPr="00FA6F76">
        <w:rPr>
          <w:rFonts w:cs="Times New Roman"/>
          <w:lang w:val="fr-CA"/>
        </w:rPr>
        <w:lastRenderedPageBreak/>
        <w:t xml:space="preserve">Lorsque, dans d’autres lois, le législateur souhaitait que la </w:t>
      </w:r>
      <w:r w:rsidRPr="00FA6F76">
        <w:rPr>
          <w:rFonts w:cs="Times New Roman"/>
          <w:i/>
          <w:iCs/>
          <w:lang w:val="fr-CA"/>
        </w:rPr>
        <w:t xml:space="preserve">LAIPVP </w:t>
      </w:r>
      <w:r w:rsidRPr="00FA6F76">
        <w:rPr>
          <w:rFonts w:cs="Times New Roman"/>
          <w:lang w:val="fr-CA"/>
        </w:rPr>
        <w:t>ne l’emporte pas, il a employé des mots précis pour manifester clairement cette intention.  À titre d’exemple, le par.</w:t>
      </w:r>
      <w:r w:rsidR="00F23967">
        <w:rPr>
          <w:rFonts w:cs="Times New Roman"/>
          <w:lang w:val="fr-CA"/>
        </w:rPr>
        <w:t xml:space="preserve"> </w:t>
      </w:r>
      <w:r w:rsidRPr="00FA6F76">
        <w:rPr>
          <w:rFonts w:cs="Times New Roman"/>
          <w:lang w:val="fr-CA"/>
        </w:rPr>
        <w:t xml:space="preserve">29(2) de la </w:t>
      </w:r>
      <w:r w:rsidRPr="00FA6F76">
        <w:rPr>
          <w:rFonts w:cs="Times New Roman"/>
          <w:i/>
          <w:iCs/>
          <w:lang w:val="fr-CA"/>
        </w:rPr>
        <w:t>Loi de 1994 sur l’intégrité des députés</w:t>
      </w:r>
      <w:r w:rsidRPr="00FA6F76">
        <w:rPr>
          <w:rFonts w:cs="Times New Roman"/>
          <w:lang w:val="fr-CA"/>
        </w:rPr>
        <w:t>, L.O. 1994, ch.</w:t>
      </w:r>
      <w:r w:rsidR="00F23967">
        <w:rPr>
          <w:rFonts w:cs="Times New Roman"/>
          <w:lang w:val="fr-CA"/>
        </w:rPr>
        <w:t xml:space="preserve"> </w:t>
      </w:r>
      <w:r w:rsidRPr="00FA6F76">
        <w:rPr>
          <w:rFonts w:cs="Times New Roman"/>
          <w:lang w:val="fr-CA"/>
        </w:rPr>
        <w:t>38, dispose</w:t>
      </w:r>
      <w:r w:rsidR="00F23967">
        <w:rPr>
          <w:rFonts w:cs="Times New Roman"/>
          <w:lang w:val="fr-CA"/>
        </w:rPr>
        <w:t xml:space="preserve"> </w:t>
      </w:r>
      <w:r w:rsidRPr="00FA6F76">
        <w:rPr>
          <w:rFonts w:cs="Times New Roman"/>
          <w:lang w:val="fr-CA"/>
        </w:rPr>
        <w:t xml:space="preserve">: </w:t>
      </w:r>
      <w:r w:rsidR="00E3692F" w:rsidRPr="003D0CB7">
        <w:rPr>
          <w:lang w:val="fr-CA"/>
        </w:rPr>
        <w:t>«</w:t>
      </w:r>
      <w:r w:rsidR="00E3692F">
        <w:rPr>
          <w:rFonts w:cs="Times New Roman"/>
          <w:iCs/>
          <w:lang w:val="fr-CA"/>
        </w:rPr>
        <w:t> </w:t>
      </w:r>
      <w:r w:rsidRPr="00FA6F76">
        <w:rPr>
          <w:rFonts w:cs="Times New Roman"/>
          <w:lang w:val="fr-CA"/>
        </w:rPr>
        <w:t>Le paragraphe</w:t>
      </w:r>
      <w:r w:rsidR="00F23967">
        <w:rPr>
          <w:rFonts w:cs="Times New Roman"/>
          <w:lang w:val="fr-CA"/>
        </w:rPr>
        <w:t xml:space="preserve"> </w:t>
      </w:r>
      <w:r w:rsidRPr="00FA6F76">
        <w:rPr>
          <w:rFonts w:cs="Times New Roman"/>
          <w:lang w:val="fr-CA"/>
        </w:rPr>
        <w:t xml:space="preserve">(1) </w:t>
      </w:r>
      <w:r w:rsidRPr="00FA6F76">
        <w:rPr>
          <w:rFonts w:cs="Times New Roman"/>
          <w:u w:val="single"/>
          <w:lang w:val="fr-CA"/>
        </w:rPr>
        <w:t>l’emporte sur</w:t>
      </w:r>
      <w:r w:rsidRPr="00FA6F76">
        <w:rPr>
          <w:rFonts w:cs="Times New Roman"/>
          <w:lang w:val="fr-CA"/>
        </w:rPr>
        <w:t xml:space="preserve"> la </w:t>
      </w:r>
      <w:r w:rsidRPr="00FA6F76">
        <w:rPr>
          <w:rFonts w:cs="Times New Roman"/>
          <w:i/>
          <w:iCs/>
          <w:lang w:val="fr-CA"/>
        </w:rPr>
        <w:t>Loi sur l’accès à l’information et la protection de la vie privée</w:t>
      </w:r>
      <w:r w:rsidR="00E3692F">
        <w:rPr>
          <w:rFonts w:cs="Times New Roman"/>
          <w:iCs/>
          <w:lang w:val="fr-CA"/>
        </w:rPr>
        <w:t> </w:t>
      </w:r>
      <w:r w:rsidR="00E3692F" w:rsidRPr="003D0CB7">
        <w:rPr>
          <w:lang w:val="fr-CA"/>
        </w:rPr>
        <w:t>»</w:t>
      </w:r>
      <w:r w:rsidRPr="00FA6F76">
        <w:rPr>
          <w:rFonts w:cs="Times New Roman"/>
          <w:lang w:val="fr-CA"/>
        </w:rPr>
        <w:t xml:space="preserve"> (voir également la</w:t>
      </w:r>
      <w:r w:rsidRPr="00FA6F76">
        <w:rPr>
          <w:rFonts w:cs="Times New Roman"/>
          <w:i/>
          <w:iCs/>
          <w:lang w:val="fr-CA"/>
        </w:rPr>
        <w:t xml:space="preserve"> Loi sur les mines</w:t>
      </w:r>
      <w:r w:rsidRPr="00FA6F76">
        <w:rPr>
          <w:rFonts w:cs="Times New Roman"/>
          <w:lang w:val="fr-CA"/>
        </w:rPr>
        <w:t>, L.R.O. 1990, ch.</w:t>
      </w:r>
      <w:r w:rsidR="00F23967">
        <w:rPr>
          <w:rFonts w:cs="Times New Roman"/>
          <w:lang w:val="fr-CA"/>
        </w:rPr>
        <w:t xml:space="preserve"> </w:t>
      </w:r>
      <w:r w:rsidRPr="00FA6F76">
        <w:rPr>
          <w:rFonts w:cs="Times New Roman"/>
          <w:lang w:val="fr-CA"/>
        </w:rPr>
        <w:t>M.14, par.</w:t>
      </w:r>
      <w:r w:rsidR="00F23967">
        <w:rPr>
          <w:rFonts w:cs="Times New Roman"/>
          <w:lang w:val="fr-CA"/>
        </w:rPr>
        <w:t xml:space="preserve"> </w:t>
      </w:r>
      <w:r w:rsidRPr="00FA6F76">
        <w:rPr>
          <w:rFonts w:cs="Times New Roman"/>
          <w:lang w:val="fr-CA"/>
        </w:rPr>
        <w:t xml:space="preserve">145(11); la </w:t>
      </w:r>
      <w:r w:rsidRPr="00FA6F76">
        <w:rPr>
          <w:rFonts w:cs="Times New Roman"/>
          <w:i/>
          <w:iCs/>
          <w:lang w:val="fr-CA"/>
        </w:rPr>
        <w:t>Loi de 1997 sur le Programme ontarien de soutien aux personnes handicapées</w:t>
      </w:r>
      <w:r w:rsidRPr="00FA6F76">
        <w:rPr>
          <w:rFonts w:cs="Times New Roman"/>
          <w:lang w:val="fr-CA"/>
        </w:rPr>
        <w:t>, L.O. 1997, ch.</w:t>
      </w:r>
      <w:r w:rsidR="00F23967">
        <w:rPr>
          <w:rFonts w:cs="Times New Roman"/>
          <w:lang w:val="fr-CA"/>
        </w:rPr>
        <w:t xml:space="preserve"> </w:t>
      </w:r>
      <w:r w:rsidRPr="00FA6F76">
        <w:rPr>
          <w:rFonts w:cs="Times New Roman"/>
          <w:lang w:val="fr-CA"/>
        </w:rPr>
        <w:t xml:space="preserve">25, </w:t>
      </w:r>
      <w:proofErr w:type="spellStart"/>
      <w:r w:rsidRPr="00FA6F76">
        <w:rPr>
          <w:rFonts w:cs="Times New Roman"/>
          <w:lang w:val="fr-CA"/>
        </w:rPr>
        <w:t>ann</w:t>
      </w:r>
      <w:proofErr w:type="spellEnd"/>
      <w:r w:rsidRPr="00FA6F76">
        <w:rPr>
          <w:rFonts w:cs="Times New Roman"/>
          <w:lang w:val="fr-CA"/>
        </w:rPr>
        <w:t>.</w:t>
      </w:r>
      <w:r w:rsidR="00F23967">
        <w:rPr>
          <w:rFonts w:cs="Times New Roman"/>
          <w:lang w:val="fr-CA"/>
        </w:rPr>
        <w:t xml:space="preserve"> </w:t>
      </w:r>
      <w:r w:rsidRPr="00FA6F76">
        <w:rPr>
          <w:rFonts w:cs="Times New Roman"/>
          <w:lang w:val="fr-CA"/>
        </w:rPr>
        <w:t>B, par.</w:t>
      </w:r>
      <w:r w:rsidR="00F23967">
        <w:rPr>
          <w:rFonts w:cs="Times New Roman"/>
          <w:lang w:val="fr-CA"/>
        </w:rPr>
        <w:t xml:space="preserve"> </w:t>
      </w:r>
      <w:r w:rsidRPr="00FA6F76">
        <w:rPr>
          <w:rFonts w:cs="Times New Roman"/>
          <w:lang w:val="fr-CA"/>
        </w:rPr>
        <w:t xml:space="preserve">56(9); la </w:t>
      </w:r>
      <w:r w:rsidRPr="00FA6F76">
        <w:rPr>
          <w:rFonts w:cs="Times New Roman"/>
          <w:i/>
          <w:iCs/>
          <w:lang w:val="fr-CA"/>
        </w:rPr>
        <w:t>Loi de 1997 sur le programme Ontario au travail</w:t>
      </w:r>
      <w:r w:rsidRPr="00FA6F76">
        <w:rPr>
          <w:rFonts w:cs="Times New Roman"/>
          <w:lang w:val="fr-CA"/>
        </w:rPr>
        <w:t>, L.O. 1997, ch.</w:t>
      </w:r>
      <w:r w:rsidR="00F23967">
        <w:rPr>
          <w:rFonts w:cs="Times New Roman"/>
          <w:lang w:val="fr-CA"/>
        </w:rPr>
        <w:t xml:space="preserve"> </w:t>
      </w:r>
      <w:r w:rsidRPr="00FA6F76">
        <w:rPr>
          <w:rFonts w:cs="Times New Roman"/>
          <w:lang w:val="fr-CA"/>
        </w:rPr>
        <w:t xml:space="preserve">25, </w:t>
      </w:r>
      <w:proofErr w:type="spellStart"/>
      <w:r w:rsidRPr="00FA6F76">
        <w:rPr>
          <w:rFonts w:cs="Times New Roman"/>
          <w:lang w:val="fr-CA"/>
        </w:rPr>
        <w:t>ann</w:t>
      </w:r>
      <w:proofErr w:type="spellEnd"/>
      <w:r w:rsidRPr="00FA6F76">
        <w:rPr>
          <w:rFonts w:cs="Times New Roman"/>
          <w:lang w:val="fr-CA"/>
        </w:rPr>
        <w:t>.</w:t>
      </w:r>
      <w:r w:rsidR="00F23967">
        <w:rPr>
          <w:rFonts w:cs="Times New Roman"/>
          <w:lang w:val="fr-CA"/>
        </w:rPr>
        <w:t xml:space="preserve"> </w:t>
      </w:r>
      <w:r w:rsidRPr="00FA6F76">
        <w:rPr>
          <w:rFonts w:cs="Times New Roman"/>
          <w:lang w:val="fr-CA"/>
        </w:rPr>
        <w:t>A, par.</w:t>
      </w:r>
      <w:r w:rsidR="00F23967">
        <w:rPr>
          <w:rFonts w:cs="Times New Roman"/>
          <w:lang w:val="fr-CA"/>
        </w:rPr>
        <w:t xml:space="preserve"> </w:t>
      </w:r>
      <w:r w:rsidRPr="00FA6F76">
        <w:rPr>
          <w:rFonts w:cs="Times New Roman"/>
          <w:lang w:val="fr-CA"/>
        </w:rPr>
        <w:t xml:space="preserve">75(9)).  Un tel libellé ne laisse aucun doute quant à sa signification.  Or, il brille par son absence dans la </w:t>
      </w:r>
      <w:r w:rsidRPr="00FA6F76">
        <w:rPr>
          <w:rFonts w:cs="Times New Roman"/>
          <w:i/>
          <w:lang w:val="fr-CA"/>
        </w:rPr>
        <w:t>Loi Christopher</w:t>
      </w:r>
      <w:r w:rsidRPr="00FA6F76">
        <w:rPr>
          <w:rFonts w:cs="Times New Roman"/>
          <w:lang w:val="fr-CA"/>
        </w:rPr>
        <w:t xml:space="preserve">. </w:t>
      </w:r>
    </w:p>
    <w:p w:rsidR="006C6098" w:rsidRPr="00FA6F76" w:rsidRDefault="006C6098" w:rsidP="00021119">
      <w:pPr>
        <w:pStyle w:val="ParaNoNdepar-AltN"/>
        <w:rPr>
          <w:rFonts w:cs="Times New Roman"/>
          <w:lang w:val="fr-CA"/>
        </w:rPr>
      </w:pPr>
      <w:r w:rsidRPr="00FA6F76">
        <w:rPr>
          <w:rFonts w:cs="Times New Roman"/>
          <w:lang w:val="fr-CA"/>
        </w:rPr>
        <w:t>Le Ministère a par ailleurs soutenu que le par.</w:t>
      </w:r>
      <w:r w:rsidR="00F23967">
        <w:rPr>
          <w:rFonts w:cs="Times New Roman"/>
          <w:lang w:val="fr-CA"/>
        </w:rPr>
        <w:t xml:space="preserve"> </w:t>
      </w:r>
      <w:r w:rsidRPr="00FA6F76">
        <w:rPr>
          <w:rFonts w:cs="Times New Roman"/>
          <w:lang w:val="fr-CA"/>
        </w:rPr>
        <w:t xml:space="preserve">10(2) de la </w:t>
      </w:r>
      <w:r w:rsidRPr="00FA6F76">
        <w:rPr>
          <w:rFonts w:cs="Times New Roman"/>
          <w:i/>
          <w:iCs/>
          <w:lang w:val="fr-CA"/>
        </w:rPr>
        <w:t>Loi</w:t>
      </w:r>
      <w:r w:rsidR="00F23967">
        <w:rPr>
          <w:rFonts w:cs="Times New Roman"/>
          <w:i/>
          <w:iCs/>
          <w:lang w:val="fr-CA"/>
        </w:rPr>
        <w:t xml:space="preserve"> </w:t>
      </w:r>
      <w:r w:rsidRPr="00FA6F76">
        <w:rPr>
          <w:rFonts w:cs="Times New Roman"/>
          <w:i/>
          <w:iCs/>
          <w:lang w:val="fr-CA"/>
        </w:rPr>
        <w:t>Christopher</w:t>
      </w:r>
      <w:r w:rsidRPr="00FA6F76">
        <w:rPr>
          <w:rFonts w:cs="Times New Roman"/>
          <w:lang w:val="fr-CA"/>
        </w:rPr>
        <w:t xml:space="preserve"> et le par.</w:t>
      </w:r>
      <w:r w:rsidR="00F23967">
        <w:rPr>
          <w:rFonts w:cs="Times New Roman"/>
          <w:lang w:val="fr-CA"/>
        </w:rPr>
        <w:t xml:space="preserve"> </w:t>
      </w:r>
      <w:r w:rsidRPr="00FA6F76">
        <w:rPr>
          <w:rFonts w:cs="Times New Roman"/>
          <w:lang w:val="fr-CA"/>
        </w:rPr>
        <w:t xml:space="preserve">41(1.1) de la </w:t>
      </w:r>
      <w:r w:rsidRPr="00FA6F76">
        <w:rPr>
          <w:rFonts w:cs="Times New Roman"/>
          <w:i/>
          <w:iCs/>
          <w:lang w:val="fr-CA"/>
        </w:rPr>
        <w:t>Loi sur les services policiers</w:t>
      </w:r>
      <w:r w:rsidRPr="00FA6F76">
        <w:rPr>
          <w:rFonts w:cs="Times New Roman"/>
          <w:lang w:val="fr-CA"/>
        </w:rPr>
        <w:t xml:space="preserve"> énoncent des règles exhaustives en matière de divulgation (</w:t>
      </w:r>
      <w:proofErr w:type="gramStart"/>
      <w:r w:rsidR="007D068A">
        <w:rPr>
          <w:rFonts w:cs="Times New Roman"/>
          <w:lang w:val="fr-CA"/>
        </w:rPr>
        <w:t>m.a</w:t>
      </w:r>
      <w:r w:rsidRPr="00FA6F76">
        <w:rPr>
          <w:rFonts w:cs="Times New Roman"/>
          <w:lang w:val="fr-CA"/>
        </w:rPr>
        <w:t>.,</w:t>
      </w:r>
      <w:proofErr w:type="gramEnd"/>
      <w:r w:rsidRPr="00FA6F76">
        <w:rPr>
          <w:rFonts w:cs="Times New Roman"/>
          <w:lang w:val="fr-CA"/>
        </w:rPr>
        <w:t xml:space="preserve"> par.</w:t>
      </w:r>
      <w:r w:rsidR="00F23967">
        <w:rPr>
          <w:rFonts w:cs="Times New Roman"/>
          <w:lang w:val="fr-CA"/>
        </w:rPr>
        <w:t xml:space="preserve"> </w:t>
      </w:r>
      <w:r w:rsidRPr="00FA6F76">
        <w:rPr>
          <w:rFonts w:cs="Times New Roman"/>
          <w:lang w:val="fr-CA"/>
        </w:rPr>
        <w:t>70).  Le paragraphe</w:t>
      </w:r>
      <w:r w:rsidR="00F23967">
        <w:rPr>
          <w:rFonts w:cs="Times New Roman"/>
          <w:lang w:val="fr-CA"/>
        </w:rPr>
        <w:t xml:space="preserve"> </w:t>
      </w:r>
      <w:r w:rsidRPr="00FA6F76">
        <w:rPr>
          <w:rFonts w:cs="Times New Roman"/>
          <w:lang w:val="fr-CA"/>
        </w:rPr>
        <w:t xml:space="preserve">10(2) de la </w:t>
      </w:r>
      <w:r w:rsidRPr="00FA6F76">
        <w:rPr>
          <w:rFonts w:cs="Times New Roman"/>
          <w:i/>
          <w:iCs/>
          <w:lang w:val="fr-CA"/>
        </w:rPr>
        <w:t>Loi Christopher</w:t>
      </w:r>
      <w:r w:rsidRPr="00FA6F76">
        <w:rPr>
          <w:rFonts w:cs="Times New Roman"/>
          <w:lang w:val="fr-CA"/>
        </w:rPr>
        <w:t>, qui se veut une exception à la disposition du par.</w:t>
      </w:r>
      <w:r w:rsidR="00F23967">
        <w:rPr>
          <w:rFonts w:cs="Times New Roman"/>
          <w:lang w:val="fr-CA"/>
        </w:rPr>
        <w:t xml:space="preserve"> </w:t>
      </w:r>
      <w:r w:rsidRPr="00FA6F76">
        <w:rPr>
          <w:rFonts w:cs="Times New Roman"/>
          <w:lang w:val="fr-CA"/>
        </w:rPr>
        <w:t>10(1) relative à la confidentialité, prévoit que la police peut recueillir, conserver et utiliser des renseignements obtenus du registre à toute fin prévue par le par.</w:t>
      </w:r>
      <w:r w:rsidR="00F23967">
        <w:rPr>
          <w:rFonts w:cs="Times New Roman"/>
          <w:lang w:val="fr-CA"/>
        </w:rPr>
        <w:t xml:space="preserve"> </w:t>
      </w:r>
      <w:r w:rsidRPr="00FA6F76">
        <w:rPr>
          <w:rFonts w:cs="Times New Roman"/>
          <w:lang w:val="fr-CA"/>
        </w:rPr>
        <w:t xml:space="preserve">41(1.1) de la </w:t>
      </w:r>
      <w:r w:rsidRPr="00FA6F76">
        <w:rPr>
          <w:rFonts w:cs="Times New Roman"/>
          <w:i/>
          <w:iCs/>
          <w:lang w:val="fr-CA"/>
        </w:rPr>
        <w:t>Loi sur les services policiers</w:t>
      </w:r>
      <w:r w:rsidRPr="00FA6F76">
        <w:rPr>
          <w:rFonts w:cs="Times New Roman"/>
          <w:lang w:val="fr-CA"/>
        </w:rPr>
        <w:t>.  Le paragraphe</w:t>
      </w:r>
      <w:r w:rsidR="00F23967">
        <w:rPr>
          <w:rFonts w:cs="Times New Roman"/>
          <w:lang w:val="fr-CA"/>
        </w:rPr>
        <w:t xml:space="preserve"> </w:t>
      </w:r>
      <w:r w:rsidRPr="00FA6F76">
        <w:rPr>
          <w:rFonts w:cs="Times New Roman"/>
          <w:lang w:val="fr-CA"/>
        </w:rPr>
        <w:t xml:space="preserve">41(1.1), quant à lui, précise que </w:t>
      </w:r>
      <w:r w:rsidR="00E3692F" w:rsidRPr="003D0CB7">
        <w:rPr>
          <w:lang w:val="fr-CA"/>
        </w:rPr>
        <w:t>«</w:t>
      </w:r>
      <w:r w:rsidR="00E3692F">
        <w:rPr>
          <w:rFonts w:cs="Times New Roman"/>
          <w:iCs/>
          <w:lang w:val="fr-CA"/>
        </w:rPr>
        <w:t> </w:t>
      </w:r>
      <w:r w:rsidRPr="00FA6F76">
        <w:rPr>
          <w:rFonts w:cs="Times New Roman"/>
          <w:lang w:val="fr-CA"/>
        </w:rPr>
        <w:t>[m]</w:t>
      </w:r>
      <w:proofErr w:type="spellStart"/>
      <w:r w:rsidRPr="00FA6F76">
        <w:rPr>
          <w:rFonts w:cs="Times New Roman"/>
          <w:lang w:val="fr-CA"/>
        </w:rPr>
        <w:t>algré</w:t>
      </w:r>
      <w:proofErr w:type="spellEnd"/>
      <w:r w:rsidRPr="00FA6F76">
        <w:rPr>
          <w:rFonts w:cs="Times New Roman"/>
          <w:lang w:val="fr-CA"/>
        </w:rPr>
        <w:t xml:space="preserve"> toute autre loi, le chef de police [.</w:t>
      </w:r>
      <w:r w:rsidR="00F23967">
        <w:rPr>
          <w:rFonts w:cs="Times New Roman"/>
          <w:lang w:val="fr-CA"/>
        </w:rPr>
        <w:t xml:space="preserve"> </w:t>
      </w:r>
      <w:r w:rsidRPr="00FA6F76">
        <w:rPr>
          <w:rFonts w:cs="Times New Roman"/>
          <w:lang w:val="fr-CA"/>
        </w:rPr>
        <w:t>.</w:t>
      </w:r>
      <w:r w:rsidR="00F23967">
        <w:rPr>
          <w:rFonts w:cs="Times New Roman"/>
          <w:lang w:val="fr-CA"/>
        </w:rPr>
        <w:t xml:space="preserve"> </w:t>
      </w:r>
      <w:r w:rsidRPr="00FA6F76">
        <w:rPr>
          <w:rFonts w:cs="Times New Roman"/>
          <w:lang w:val="fr-CA"/>
        </w:rPr>
        <w:t>.] peut divulguer des renseignements personnels sur des particuliers conformément aux règlements</w:t>
      </w:r>
      <w:r w:rsidR="000843AF">
        <w:rPr>
          <w:rFonts w:cs="Times New Roman"/>
          <w:lang w:val="fr-CA"/>
        </w:rPr>
        <w:t>.</w:t>
      </w:r>
      <w:r w:rsidR="00E3692F">
        <w:rPr>
          <w:rFonts w:cs="Times New Roman"/>
          <w:iCs/>
          <w:lang w:val="fr-CA"/>
        </w:rPr>
        <w:t> </w:t>
      </w:r>
      <w:r w:rsidR="00E3692F" w:rsidRPr="003D0CB7">
        <w:rPr>
          <w:lang w:val="fr-CA"/>
        </w:rPr>
        <w:t>»</w:t>
      </w:r>
      <w:r w:rsidRPr="00FA6F76">
        <w:rPr>
          <w:rFonts w:cs="Times New Roman"/>
          <w:lang w:val="fr-CA"/>
        </w:rPr>
        <w:t xml:space="preserve">  Cette divulgation de renseignements peut être accomplie notamment pour protéger le public ou les victimes d’actes criminels lorsqu’il existe des motifs raisonnables de croire qu’une personne risque fortement de causer un préjudice à autrui (par.</w:t>
      </w:r>
      <w:r w:rsidR="00F23967">
        <w:rPr>
          <w:rFonts w:cs="Times New Roman"/>
          <w:lang w:val="fr-CA"/>
        </w:rPr>
        <w:t xml:space="preserve"> </w:t>
      </w:r>
      <w:r w:rsidR="00150127">
        <w:rPr>
          <w:rFonts w:cs="Times New Roman"/>
          <w:lang w:val="fr-CA"/>
        </w:rPr>
        <w:t>41(1.2</w:t>
      </w:r>
      <w:r w:rsidRPr="00FA6F76">
        <w:rPr>
          <w:rFonts w:cs="Times New Roman"/>
          <w:lang w:val="fr-CA"/>
        </w:rPr>
        <w:t>)</w:t>
      </w:r>
      <w:r w:rsidR="00150127">
        <w:rPr>
          <w:rFonts w:cs="Times New Roman"/>
          <w:lang w:val="fr-CA"/>
        </w:rPr>
        <w:t xml:space="preserve"> de la</w:t>
      </w:r>
      <w:r w:rsidRPr="00FA6F76">
        <w:rPr>
          <w:rFonts w:cs="Times New Roman"/>
          <w:lang w:val="fr-CA"/>
        </w:rPr>
        <w:t xml:space="preserve"> </w:t>
      </w:r>
      <w:r w:rsidRPr="00FA6F76">
        <w:rPr>
          <w:rFonts w:cs="Times New Roman"/>
          <w:i/>
          <w:iCs/>
          <w:lang w:val="fr-CA"/>
        </w:rPr>
        <w:t>Loi sur les services policiers</w:t>
      </w:r>
      <w:r w:rsidRPr="00FA6F76">
        <w:rPr>
          <w:rFonts w:cs="Times New Roman"/>
          <w:lang w:val="fr-CA"/>
        </w:rPr>
        <w:t xml:space="preserve">; </w:t>
      </w:r>
      <w:proofErr w:type="spellStart"/>
      <w:r w:rsidRPr="00FA6F76">
        <w:rPr>
          <w:rFonts w:cs="Times New Roman"/>
          <w:lang w:val="fr-CA"/>
        </w:rPr>
        <w:t>Règl</w:t>
      </w:r>
      <w:proofErr w:type="spellEnd"/>
      <w:r w:rsidRPr="00FA6F76">
        <w:rPr>
          <w:rFonts w:cs="Times New Roman"/>
          <w:lang w:val="fr-CA"/>
        </w:rPr>
        <w:t xml:space="preserve">. de </w:t>
      </w:r>
      <w:r w:rsidRPr="00FA6F76">
        <w:rPr>
          <w:rFonts w:cs="Times New Roman"/>
          <w:lang w:val="fr-CA"/>
        </w:rPr>
        <w:lastRenderedPageBreak/>
        <w:t>l’Ont. 265/98, art.</w:t>
      </w:r>
      <w:r w:rsidR="00F23967">
        <w:rPr>
          <w:rFonts w:cs="Times New Roman"/>
          <w:lang w:val="fr-CA"/>
        </w:rPr>
        <w:t xml:space="preserve"> </w:t>
      </w:r>
      <w:r w:rsidRPr="00FA6F76">
        <w:rPr>
          <w:rFonts w:cs="Times New Roman"/>
          <w:lang w:val="fr-CA"/>
        </w:rPr>
        <w:t xml:space="preserve">2).  Ces dispositions ont pour effet conjugué de permettre à la police de divulguer des </w:t>
      </w:r>
      <w:r w:rsidRPr="00FA6F76">
        <w:rPr>
          <w:rFonts w:cs="Times New Roman"/>
          <w:i/>
          <w:iCs/>
          <w:lang w:val="fr-CA"/>
        </w:rPr>
        <w:t xml:space="preserve">renseignements </w:t>
      </w:r>
      <w:r w:rsidRPr="00FA6F76">
        <w:rPr>
          <w:rFonts w:cs="Times New Roman"/>
          <w:i/>
          <w:lang w:val="fr-CA"/>
        </w:rPr>
        <w:t>personnels</w:t>
      </w:r>
      <w:r w:rsidRPr="00FA6F76">
        <w:rPr>
          <w:rFonts w:cs="Times New Roman"/>
          <w:lang w:val="fr-CA"/>
        </w:rPr>
        <w:t xml:space="preserve"> sur un délinquant sexuel lorsqu’elle croit que ce dernier risque de causer un préjudice à autrui, et ce, malgré les mécanismes de protection des renseignements personnels prévus par </w:t>
      </w:r>
      <w:r w:rsidR="00E3692F" w:rsidRPr="003D0CB7">
        <w:rPr>
          <w:lang w:val="fr-CA"/>
        </w:rPr>
        <w:t>«</w:t>
      </w:r>
      <w:r w:rsidR="00E3692F">
        <w:rPr>
          <w:rFonts w:cs="Times New Roman"/>
          <w:iCs/>
          <w:lang w:val="fr-CA"/>
        </w:rPr>
        <w:t> </w:t>
      </w:r>
      <w:r w:rsidRPr="00FA6F76">
        <w:rPr>
          <w:rFonts w:cs="Times New Roman"/>
          <w:lang w:val="fr-CA"/>
        </w:rPr>
        <w:t>toute autre loi</w:t>
      </w:r>
      <w:r w:rsidR="00E3692F">
        <w:rPr>
          <w:rFonts w:cs="Times New Roman"/>
          <w:iCs/>
          <w:lang w:val="fr-CA"/>
        </w:rPr>
        <w:t> </w:t>
      </w:r>
      <w:r w:rsidR="00E3692F" w:rsidRPr="003D0CB7">
        <w:rPr>
          <w:lang w:val="fr-CA"/>
        </w:rPr>
        <w:t>»</w:t>
      </w:r>
      <w:r w:rsidRPr="00FA6F76">
        <w:rPr>
          <w:rFonts w:cs="Times New Roman"/>
          <w:lang w:val="fr-CA"/>
        </w:rPr>
        <w:t xml:space="preserve">, par exemple la </w:t>
      </w:r>
      <w:r w:rsidRPr="00FA6F76">
        <w:rPr>
          <w:rFonts w:cs="Times New Roman"/>
          <w:i/>
          <w:iCs/>
          <w:lang w:val="fr-CA"/>
        </w:rPr>
        <w:t xml:space="preserve">LAIPVP.  </w:t>
      </w:r>
      <w:r w:rsidRPr="00FA6F76">
        <w:rPr>
          <w:rFonts w:cs="Times New Roman"/>
          <w:lang w:val="fr-CA"/>
        </w:rPr>
        <w:t xml:space="preserve">Les renseignements en litige dans la présente affaire ne sont pas des renseignements personnels.  Ces dispositions conjuguées n’excluent pas expressément l’application de la </w:t>
      </w:r>
      <w:r w:rsidRPr="00FA6F76">
        <w:rPr>
          <w:rFonts w:cs="Times New Roman"/>
          <w:i/>
          <w:iCs/>
          <w:lang w:val="fr-CA"/>
        </w:rPr>
        <w:t>LAIPVP</w:t>
      </w:r>
      <w:r w:rsidRPr="00061B99">
        <w:rPr>
          <w:rFonts w:cs="Times New Roman"/>
          <w:iCs/>
          <w:lang w:val="fr-CA"/>
        </w:rPr>
        <w:t xml:space="preserve">. </w:t>
      </w:r>
    </w:p>
    <w:p w:rsidR="006C6098" w:rsidRPr="00FA6F76" w:rsidRDefault="006C6098" w:rsidP="00021119">
      <w:pPr>
        <w:pStyle w:val="ParaNoNdepar-AltN"/>
        <w:rPr>
          <w:rFonts w:cs="Times New Roman"/>
          <w:lang w:val="fr-CA"/>
        </w:rPr>
      </w:pPr>
      <w:r w:rsidRPr="00FA6F76">
        <w:rPr>
          <w:rFonts w:cs="Times New Roman"/>
          <w:lang w:val="fr-CA"/>
        </w:rPr>
        <w:t xml:space="preserve">Le Ministère soutient en outre </w:t>
      </w:r>
      <w:r w:rsidRPr="00FA6F76">
        <w:rPr>
          <w:rFonts w:cs="Times New Roman"/>
          <w:lang w:val="fr-CA"/>
        </w:rPr>
        <w:sym w:font="Symbol" w:char="F0BE"/>
      </w:r>
      <w:r w:rsidRPr="00FA6F76">
        <w:rPr>
          <w:rFonts w:cs="Times New Roman"/>
          <w:lang w:val="fr-CA"/>
        </w:rPr>
        <w:t xml:space="preserve"> apparemment pour la première fois devant la Cour </w:t>
      </w:r>
      <w:r w:rsidRPr="00FA6F76">
        <w:rPr>
          <w:rFonts w:cs="Times New Roman"/>
          <w:lang w:val="fr-CA"/>
        </w:rPr>
        <w:sym w:font="Symbol" w:char="F0BE"/>
      </w:r>
      <w:r w:rsidRPr="00FA6F76">
        <w:rPr>
          <w:rFonts w:cs="Times New Roman"/>
          <w:lang w:val="fr-CA"/>
        </w:rPr>
        <w:t xml:space="preserve"> que l’art.</w:t>
      </w:r>
      <w:r w:rsidR="00F23967">
        <w:rPr>
          <w:rFonts w:cs="Times New Roman"/>
          <w:lang w:val="fr-CA"/>
        </w:rPr>
        <w:t xml:space="preserve"> </w:t>
      </w:r>
      <w:r w:rsidRPr="00FA6F76">
        <w:rPr>
          <w:rFonts w:cs="Times New Roman"/>
          <w:lang w:val="fr-CA"/>
        </w:rPr>
        <w:t xml:space="preserve">13 de la </w:t>
      </w:r>
      <w:r w:rsidRPr="00FA6F76">
        <w:rPr>
          <w:rFonts w:cs="Times New Roman"/>
          <w:i/>
          <w:iCs/>
          <w:lang w:val="fr-CA"/>
        </w:rPr>
        <w:t>Loi Christopher</w:t>
      </w:r>
      <w:r w:rsidRPr="00FA6F76">
        <w:rPr>
          <w:rFonts w:cs="Times New Roman"/>
          <w:lang w:val="fr-CA"/>
        </w:rPr>
        <w:t xml:space="preserve"> constitue une </w:t>
      </w:r>
      <w:r w:rsidR="00E3692F" w:rsidRPr="003D0CB7">
        <w:rPr>
          <w:lang w:val="fr-CA"/>
        </w:rPr>
        <w:t>«</w:t>
      </w:r>
      <w:r w:rsidR="00E3692F">
        <w:rPr>
          <w:rFonts w:cs="Times New Roman"/>
          <w:iCs/>
          <w:lang w:val="fr-CA"/>
        </w:rPr>
        <w:t> </w:t>
      </w:r>
      <w:r w:rsidRPr="00FA6F76">
        <w:rPr>
          <w:rFonts w:cs="Times New Roman"/>
          <w:lang w:val="fr-CA"/>
        </w:rPr>
        <w:t>disposition contraire expresse</w:t>
      </w:r>
      <w:r w:rsidR="00E3692F">
        <w:rPr>
          <w:rFonts w:cs="Times New Roman"/>
          <w:iCs/>
          <w:lang w:val="fr-CA"/>
        </w:rPr>
        <w:t> </w:t>
      </w:r>
      <w:r w:rsidR="00E3692F" w:rsidRPr="003D0CB7">
        <w:rPr>
          <w:lang w:val="fr-CA"/>
        </w:rPr>
        <w:t>»</w:t>
      </w:r>
      <w:r w:rsidRPr="00FA6F76">
        <w:rPr>
          <w:rFonts w:cs="Times New Roman"/>
          <w:lang w:val="fr-CA"/>
        </w:rPr>
        <w:t xml:space="preserve"> au sens du par.</w:t>
      </w:r>
      <w:r w:rsidR="00F23967">
        <w:rPr>
          <w:rFonts w:cs="Times New Roman"/>
          <w:lang w:val="fr-CA"/>
        </w:rPr>
        <w:t xml:space="preserve"> </w:t>
      </w:r>
      <w:r w:rsidRPr="00FA6F76">
        <w:rPr>
          <w:rFonts w:cs="Times New Roman"/>
          <w:lang w:val="fr-CA"/>
        </w:rPr>
        <w:t xml:space="preserve">67(1) de la </w:t>
      </w:r>
      <w:r w:rsidRPr="00FA6F76">
        <w:rPr>
          <w:rFonts w:cs="Times New Roman"/>
          <w:i/>
          <w:iCs/>
          <w:lang w:val="fr-CA"/>
        </w:rPr>
        <w:t xml:space="preserve">LAIPVP </w:t>
      </w:r>
      <w:r w:rsidR="00061B99">
        <w:rPr>
          <w:rFonts w:cs="Times New Roman"/>
          <w:iCs/>
          <w:lang w:val="fr-CA"/>
        </w:rPr>
        <w:t>(</w:t>
      </w:r>
      <w:proofErr w:type="gramStart"/>
      <w:r w:rsidR="00061B99">
        <w:rPr>
          <w:rFonts w:cs="Times New Roman"/>
          <w:iCs/>
          <w:lang w:val="fr-CA"/>
        </w:rPr>
        <w:t>m</w:t>
      </w:r>
      <w:r w:rsidRPr="00FA6F76">
        <w:rPr>
          <w:rFonts w:cs="Times New Roman"/>
          <w:iCs/>
          <w:lang w:val="fr-CA"/>
        </w:rPr>
        <w:t>.</w:t>
      </w:r>
      <w:r w:rsidR="00061B99">
        <w:rPr>
          <w:rFonts w:cs="Times New Roman"/>
          <w:iCs/>
          <w:lang w:val="fr-CA"/>
        </w:rPr>
        <w:t>a</w:t>
      </w:r>
      <w:r w:rsidRPr="00FA6F76">
        <w:rPr>
          <w:rFonts w:cs="Times New Roman"/>
          <w:iCs/>
          <w:lang w:val="fr-CA"/>
        </w:rPr>
        <w:t>.</w:t>
      </w:r>
      <w:r w:rsidRPr="00FA6F76">
        <w:rPr>
          <w:rFonts w:cs="Times New Roman"/>
          <w:lang w:val="fr-CA"/>
        </w:rPr>
        <w:t>,</w:t>
      </w:r>
      <w:proofErr w:type="gramEnd"/>
      <w:r w:rsidRPr="00FA6F76">
        <w:rPr>
          <w:rFonts w:cs="Times New Roman"/>
          <w:lang w:val="fr-CA"/>
        </w:rPr>
        <w:t xml:space="preserve"> par.</w:t>
      </w:r>
      <w:r w:rsidR="00F23967">
        <w:rPr>
          <w:rFonts w:cs="Times New Roman"/>
          <w:lang w:val="fr-CA"/>
        </w:rPr>
        <w:t xml:space="preserve"> </w:t>
      </w:r>
      <w:r w:rsidRPr="00FA6F76">
        <w:rPr>
          <w:rFonts w:cs="Times New Roman"/>
          <w:lang w:val="fr-CA"/>
        </w:rPr>
        <w:t>72).  Selon nous, cet argument n’est pas fondé</w:t>
      </w:r>
      <w:r w:rsidR="00F23967">
        <w:rPr>
          <w:rFonts w:cs="Times New Roman"/>
          <w:lang w:val="fr-CA"/>
        </w:rPr>
        <w:t xml:space="preserve"> </w:t>
      </w:r>
      <w:r w:rsidRPr="00FA6F76">
        <w:rPr>
          <w:rFonts w:cs="Times New Roman"/>
          <w:lang w:val="fr-CA"/>
        </w:rPr>
        <w:t>: l’art.</w:t>
      </w:r>
      <w:r w:rsidR="00F23967">
        <w:rPr>
          <w:rFonts w:cs="Times New Roman"/>
          <w:lang w:val="fr-CA"/>
        </w:rPr>
        <w:t xml:space="preserve"> </w:t>
      </w:r>
      <w:r w:rsidRPr="00FA6F76">
        <w:rPr>
          <w:rFonts w:cs="Times New Roman"/>
          <w:lang w:val="fr-CA"/>
        </w:rPr>
        <w:t xml:space="preserve">13 mentionne explicitement la </w:t>
      </w:r>
      <w:r w:rsidRPr="00FA6F76">
        <w:rPr>
          <w:rFonts w:cs="Times New Roman"/>
          <w:i/>
          <w:iCs/>
          <w:lang w:val="fr-CA"/>
        </w:rPr>
        <w:t>LAIPVP</w:t>
      </w:r>
      <w:r w:rsidRPr="00FA6F76">
        <w:rPr>
          <w:rFonts w:cs="Times New Roman"/>
          <w:lang w:val="fr-CA"/>
        </w:rPr>
        <w:t xml:space="preserve">, mais non en ce qui concerne les dispositions de la </w:t>
      </w:r>
      <w:r w:rsidRPr="00FA6F76">
        <w:rPr>
          <w:rFonts w:cs="Times New Roman"/>
          <w:i/>
          <w:iCs/>
          <w:lang w:val="fr-CA"/>
        </w:rPr>
        <w:t>Loi</w:t>
      </w:r>
      <w:r w:rsidR="00F23967">
        <w:rPr>
          <w:rFonts w:cs="Times New Roman"/>
          <w:i/>
          <w:iCs/>
          <w:lang w:val="fr-CA"/>
        </w:rPr>
        <w:t xml:space="preserve"> </w:t>
      </w:r>
      <w:r w:rsidRPr="00FA6F76">
        <w:rPr>
          <w:rFonts w:cs="Times New Roman"/>
          <w:i/>
          <w:iCs/>
          <w:lang w:val="fr-CA"/>
        </w:rPr>
        <w:t xml:space="preserve">Christopher </w:t>
      </w:r>
      <w:r w:rsidRPr="00FA6F76">
        <w:rPr>
          <w:rFonts w:cs="Times New Roman"/>
          <w:iCs/>
          <w:lang w:val="fr-CA"/>
        </w:rPr>
        <w:t>qui traitent de</w:t>
      </w:r>
      <w:r w:rsidRPr="00FA6F76">
        <w:rPr>
          <w:rFonts w:cs="Times New Roman"/>
          <w:i/>
          <w:iCs/>
          <w:lang w:val="fr-CA"/>
        </w:rPr>
        <w:t xml:space="preserve"> </w:t>
      </w:r>
      <w:r w:rsidRPr="00FA6F76">
        <w:rPr>
          <w:rFonts w:cs="Times New Roman"/>
          <w:iCs/>
          <w:lang w:val="fr-CA"/>
        </w:rPr>
        <w:t>confidentialité.  Le paragraphe</w:t>
      </w:r>
      <w:r w:rsidR="00F23967">
        <w:rPr>
          <w:rFonts w:cs="Times New Roman"/>
          <w:iCs/>
          <w:lang w:val="fr-CA"/>
        </w:rPr>
        <w:t xml:space="preserve"> </w:t>
      </w:r>
      <w:r w:rsidRPr="00FA6F76">
        <w:rPr>
          <w:rFonts w:cs="Times New Roman"/>
          <w:lang w:val="fr-CA"/>
        </w:rPr>
        <w:t xml:space="preserve">13(1) de la </w:t>
      </w:r>
      <w:r w:rsidRPr="00FA6F76">
        <w:rPr>
          <w:rFonts w:cs="Times New Roman"/>
          <w:i/>
          <w:iCs/>
          <w:lang w:val="fr-CA"/>
        </w:rPr>
        <w:t>Loi Christopher</w:t>
      </w:r>
      <w:r w:rsidRPr="00FA6F76">
        <w:rPr>
          <w:rFonts w:cs="Times New Roman"/>
          <w:lang w:val="fr-CA"/>
        </w:rPr>
        <w:t xml:space="preserve"> est libellé ainsi</w:t>
      </w:r>
      <w:r w:rsidR="00F23967">
        <w:rPr>
          <w:rFonts w:cs="Times New Roman"/>
          <w:lang w:val="fr-CA"/>
        </w:rPr>
        <w:t xml:space="preserve"> </w:t>
      </w:r>
      <w:r w:rsidRPr="00FA6F76">
        <w:rPr>
          <w:rFonts w:cs="Times New Roman"/>
          <w:lang w:val="fr-CA"/>
        </w:rPr>
        <w:t xml:space="preserve">: </w:t>
      </w:r>
    </w:p>
    <w:p w:rsidR="006C6098" w:rsidRPr="00FA6F76" w:rsidRDefault="006C6098" w:rsidP="00021119">
      <w:pPr>
        <w:pStyle w:val="Citation-AltC"/>
        <w:ind w:hanging="1166"/>
        <w:rPr>
          <w:lang w:val="fr-CA"/>
        </w:rPr>
      </w:pPr>
      <w:r w:rsidRPr="00FA6F76">
        <w:rPr>
          <w:b/>
          <w:bCs/>
          <w:lang w:val="fr-CA"/>
        </w:rPr>
        <w:tab/>
      </w:r>
      <w:r w:rsidRPr="00FA6F76">
        <w:rPr>
          <w:b/>
          <w:bCs/>
          <w:lang w:val="fr-CA"/>
        </w:rPr>
        <w:tab/>
        <w:t>13</w:t>
      </w:r>
      <w:r w:rsidRPr="00D65014">
        <w:rPr>
          <w:b/>
          <w:lang w:val="fr-CA"/>
        </w:rPr>
        <w:t>.</w:t>
      </w:r>
      <w:r w:rsidR="00F23967">
        <w:rPr>
          <w:lang w:val="fr-CA"/>
        </w:rPr>
        <w:t xml:space="preserve"> </w:t>
      </w:r>
      <w:r w:rsidRPr="00FA6F76">
        <w:rPr>
          <w:lang w:val="fr-CA"/>
        </w:rPr>
        <w:t>(1)</w:t>
      </w:r>
      <w:r w:rsidR="00F23967">
        <w:rPr>
          <w:lang w:val="fr-CA"/>
        </w:rPr>
        <w:t xml:space="preserve">  </w:t>
      </w:r>
      <w:r w:rsidRPr="00FA6F76">
        <w:rPr>
          <w:lang w:val="fr-CA"/>
        </w:rPr>
        <w:t xml:space="preserve">Des renseignements personnels peuvent être recueillis, conservés, divulgués et utilisés conformément à la présente loi malgré la </w:t>
      </w:r>
      <w:r w:rsidRPr="00FA6F76">
        <w:rPr>
          <w:i/>
          <w:iCs/>
          <w:lang w:val="fr-CA"/>
        </w:rPr>
        <w:t>Loi sur l’accès à l’information et la protection de la vie privée</w:t>
      </w:r>
      <w:r w:rsidRPr="00FA6F76">
        <w:rPr>
          <w:lang w:val="fr-CA"/>
        </w:rPr>
        <w:t xml:space="preserve"> et la </w:t>
      </w:r>
      <w:r w:rsidRPr="00FA6F76">
        <w:rPr>
          <w:i/>
          <w:iCs/>
          <w:lang w:val="fr-CA"/>
        </w:rPr>
        <w:t>Loi sur l’accès à l’information municipale et la protection de la vie privée</w:t>
      </w:r>
      <w:r w:rsidRPr="00FA6F76">
        <w:rPr>
          <w:lang w:val="fr-CA"/>
        </w:rPr>
        <w:t>.</w:t>
      </w:r>
    </w:p>
    <w:p w:rsidR="006C6098" w:rsidRPr="00FA6F76" w:rsidRDefault="006C6098" w:rsidP="00021119">
      <w:pPr>
        <w:pStyle w:val="ContinueParaSuitedupar-AltP"/>
        <w:rPr>
          <w:rFonts w:cs="Times New Roman"/>
          <w:lang w:val="fr-CA"/>
        </w:rPr>
      </w:pPr>
      <w:r w:rsidRPr="00FA6F76">
        <w:rPr>
          <w:rFonts w:cs="Times New Roman"/>
          <w:lang w:val="fr-CA"/>
        </w:rPr>
        <w:t xml:space="preserve">Il est difficile de concevoir en quoi il s’agit d’une </w:t>
      </w:r>
      <w:r w:rsidR="00E3692F" w:rsidRPr="003D0CB7">
        <w:rPr>
          <w:lang w:val="fr-CA"/>
        </w:rPr>
        <w:t>«</w:t>
      </w:r>
      <w:r w:rsidR="00E3692F">
        <w:rPr>
          <w:rFonts w:cs="Times New Roman"/>
          <w:iCs/>
          <w:lang w:val="fr-CA"/>
        </w:rPr>
        <w:t> </w:t>
      </w:r>
      <w:r w:rsidRPr="00FA6F76">
        <w:rPr>
          <w:rFonts w:cs="Times New Roman"/>
          <w:lang w:val="fr-CA"/>
        </w:rPr>
        <w:t>disposition [.</w:t>
      </w:r>
      <w:r w:rsidR="00F23967">
        <w:rPr>
          <w:rFonts w:cs="Times New Roman"/>
          <w:lang w:val="fr-CA"/>
        </w:rPr>
        <w:t xml:space="preserve"> </w:t>
      </w:r>
      <w:r w:rsidRPr="00FA6F76">
        <w:rPr>
          <w:rFonts w:cs="Times New Roman"/>
          <w:lang w:val="fr-CA"/>
        </w:rPr>
        <w:t>.</w:t>
      </w:r>
      <w:r w:rsidR="00F23967">
        <w:rPr>
          <w:rFonts w:cs="Times New Roman"/>
          <w:lang w:val="fr-CA"/>
        </w:rPr>
        <w:t xml:space="preserve"> </w:t>
      </w:r>
      <w:r w:rsidRPr="00FA6F76">
        <w:rPr>
          <w:rFonts w:cs="Times New Roman"/>
          <w:lang w:val="fr-CA"/>
        </w:rPr>
        <w:t>.] qui traite du caractère confidentiel</w:t>
      </w:r>
      <w:r w:rsidR="00E3692F">
        <w:rPr>
          <w:rFonts w:cs="Times New Roman"/>
          <w:iCs/>
          <w:lang w:val="fr-CA"/>
        </w:rPr>
        <w:t> </w:t>
      </w:r>
      <w:r w:rsidR="00E3692F" w:rsidRPr="003D0CB7">
        <w:rPr>
          <w:lang w:val="fr-CA"/>
        </w:rPr>
        <w:t>»</w:t>
      </w:r>
      <w:r w:rsidRPr="00FA6F76">
        <w:rPr>
          <w:rFonts w:cs="Times New Roman"/>
          <w:lang w:val="fr-CA"/>
        </w:rPr>
        <w:t>.  Le paragraphe</w:t>
      </w:r>
      <w:r w:rsidR="00F23967">
        <w:rPr>
          <w:rFonts w:cs="Times New Roman"/>
          <w:lang w:val="fr-CA"/>
        </w:rPr>
        <w:t xml:space="preserve"> </w:t>
      </w:r>
      <w:r w:rsidRPr="00FA6F76">
        <w:rPr>
          <w:rFonts w:cs="Times New Roman"/>
          <w:lang w:val="fr-CA"/>
        </w:rPr>
        <w:t>13(1) autorise la collecte, la conservation, la divulgation et l’utilisation de renseignements plutôt que d’empêcher ces activités.  De plus, rien au par.</w:t>
      </w:r>
      <w:r w:rsidR="00F23967">
        <w:rPr>
          <w:rFonts w:cs="Times New Roman"/>
          <w:lang w:val="fr-CA"/>
        </w:rPr>
        <w:t xml:space="preserve"> </w:t>
      </w:r>
      <w:r w:rsidRPr="00FA6F76">
        <w:rPr>
          <w:rFonts w:cs="Times New Roman"/>
          <w:lang w:val="fr-CA"/>
        </w:rPr>
        <w:t xml:space="preserve">13(1) ne donne à penser que la </w:t>
      </w:r>
      <w:r w:rsidRPr="00FA6F76">
        <w:rPr>
          <w:rFonts w:cs="Times New Roman"/>
          <w:i/>
          <w:iCs/>
          <w:lang w:val="fr-CA"/>
        </w:rPr>
        <w:t xml:space="preserve">LAIPVP </w:t>
      </w:r>
      <w:r w:rsidRPr="00FA6F76">
        <w:rPr>
          <w:rFonts w:cs="Times New Roman"/>
          <w:lang w:val="fr-CA"/>
        </w:rPr>
        <w:t xml:space="preserve">ne l’emporte pas sur les dispositions de la </w:t>
      </w:r>
      <w:r w:rsidRPr="00FA6F76">
        <w:rPr>
          <w:rFonts w:cs="Times New Roman"/>
          <w:i/>
          <w:iCs/>
          <w:lang w:val="fr-CA"/>
        </w:rPr>
        <w:t xml:space="preserve">Loi Christopher </w:t>
      </w:r>
      <w:r w:rsidRPr="00FA6F76">
        <w:rPr>
          <w:rFonts w:cs="Times New Roman"/>
          <w:lang w:val="fr-CA"/>
        </w:rPr>
        <w:t>en matière de confidentialité</w:t>
      </w:r>
      <w:r w:rsidRPr="00FA6F76">
        <w:rPr>
          <w:rFonts w:cs="Times New Roman"/>
          <w:i/>
          <w:iCs/>
          <w:lang w:val="fr-CA"/>
        </w:rPr>
        <w:t xml:space="preserve">.  </w:t>
      </w:r>
      <w:r w:rsidRPr="00FA6F76">
        <w:rPr>
          <w:rFonts w:cs="Times New Roman"/>
          <w:lang w:val="fr-CA"/>
        </w:rPr>
        <w:t>D’ailleurs, le par.</w:t>
      </w:r>
      <w:r w:rsidR="00F23967">
        <w:rPr>
          <w:rFonts w:cs="Times New Roman"/>
          <w:lang w:val="fr-CA"/>
        </w:rPr>
        <w:t xml:space="preserve"> </w:t>
      </w:r>
      <w:r w:rsidRPr="00FA6F76">
        <w:rPr>
          <w:rFonts w:cs="Times New Roman"/>
          <w:lang w:val="fr-CA"/>
        </w:rPr>
        <w:lastRenderedPageBreak/>
        <w:t>13(1) se rapporte à la partie</w:t>
      </w:r>
      <w:r w:rsidR="00F23967">
        <w:rPr>
          <w:rFonts w:cs="Times New Roman"/>
          <w:lang w:val="fr-CA"/>
        </w:rPr>
        <w:t xml:space="preserve"> </w:t>
      </w:r>
      <w:r w:rsidRPr="00FA6F76">
        <w:rPr>
          <w:rFonts w:cs="Times New Roman"/>
          <w:lang w:val="fr-CA"/>
        </w:rPr>
        <w:t xml:space="preserve">III de la </w:t>
      </w:r>
      <w:r w:rsidRPr="00FA6F76">
        <w:rPr>
          <w:rFonts w:cs="Times New Roman"/>
          <w:i/>
          <w:iCs/>
          <w:lang w:val="fr-CA"/>
        </w:rPr>
        <w:t>LAIPVP</w:t>
      </w:r>
      <w:r w:rsidR="00633DCF" w:rsidRPr="00633DCF">
        <w:rPr>
          <w:rFonts w:cs="Times New Roman"/>
          <w:iCs/>
          <w:lang w:val="fr-CA"/>
        </w:rPr>
        <w:t>,</w:t>
      </w:r>
      <w:r w:rsidRPr="00FA6F76">
        <w:rPr>
          <w:rFonts w:cs="Times New Roman"/>
          <w:i/>
          <w:iCs/>
          <w:lang w:val="fr-CA"/>
        </w:rPr>
        <w:t xml:space="preserve"> </w:t>
      </w:r>
      <w:r w:rsidRPr="00FA6F76">
        <w:rPr>
          <w:rFonts w:cs="Times New Roman"/>
          <w:lang w:val="fr-CA"/>
        </w:rPr>
        <w:t xml:space="preserve">qui porte sur la </w:t>
      </w:r>
      <w:r w:rsidRPr="00FA6F76">
        <w:rPr>
          <w:rFonts w:cs="Times New Roman"/>
          <w:i/>
          <w:iCs/>
          <w:lang w:val="fr-CA"/>
        </w:rPr>
        <w:t xml:space="preserve">protection de la vie privée.  </w:t>
      </w:r>
      <w:r w:rsidRPr="00FA6F76">
        <w:rPr>
          <w:rFonts w:cs="Times New Roman"/>
          <w:iCs/>
          <w:lang w:val="fr-CA"/>
        </w:rPr>
        <w:t>En réalité, le</w:t>
      </w:r>
      <w:r w:rsidRPr="00FA6F76">
        <w:rPr>
          <w:rFonts w:cs="Times New Roman"/>
          <w:i/>
          <w:iCs/>
          <w:lang w:val="fr-CA"/>
        </w:rPr>
        <w:t xml:space="preserve"> </w:t>
      </w:r>
      <w:r w:rsidRPr="00FA6F76">
        <w:rPr>
          <w:rFonts w:cs="Times New Roman"/>
          <w:lang w:val="fr-CA"/>
        </w:rPr>
        <w:t>par.</w:t>
      </w:r>
      <w:r w:rsidR="00F23967">
        <w:rPr>
          <w:rFonts w:cs="Times New Roman"/>
          <w:lang w:val="fr-CA"/>
        </w:rPr>
        <w:t xml:space="preserve"> </w:t>
      </w:r>
      <w:r w:rsidRPr="00FA6F76">
        <w:rPr>
          <w:rFonts w:cs="Times New Roman"/>
          <w:lang w:val="fr-CA"/>
        </w:rPr>
        <w:t xml:space="preserve">13(1) </w:t>
      </w:r>
      <w:r w:rsidRPr="00FA6F76">
        <w:rPr>
          <w:rFonts w:cs="Times New Roman"/>
          <w:i/>
          <w:iCs/>
          <w:lang w:val="fr-CA"/>
        </w:rPr>
        <w:t>permet</w:t>
      </w:r>
      <w:r w:rsidRPr="00FA6F76">
        <w:rPr>
          <w:rFonts w:cs="Times New Roman"/>
          <w:lang w:val="fr-CA"/>
        </w:rPr>
        <w:t xml:space="preserve"> la collecte, la conservation, la divulgation et l’utilisation de renseignements personnels concernant les délinquants sexuels </w:t>
      </w:r>
      <w:r w:rsidRPr="00FA6F76">
        <w:rPr>
          <w:rFonts w:cs="Times New Roman"/>
          <w:i/>
          <w:iCs/>
          <w:lang w:val="fr-CA"/>
        </w:rPr>
        <w:t>malgré</w:t>
      </w:r>
      <w:r w:rsidRPr="00FA6F76">
        <w:rPr>
          <w:rFonts w:cs="Times New Roman"/>
          <w:lang w:val="fr-CA"/>
        </w:rPr>
        <w:t xml:space="preserve"> les mécanismes de protection prévus par la </w:t>
      </w:r>
      <w:r w:rsidRPr="00FA6F76">
        <w:rPr>
          <w:rFonts w:cs="Times New Roman"/>
          <w:i/>
          <w:iCs/>
          <w:lang w:val="fr-CA"/>
        </w:rPr>
        <w:t>LAIPVP</w:t>
      </w:r>
      <w:r w:rsidR="00674C2C">
        <w:rPr>
          <w:rFonts w:cs="Times New Roman"/>
          <w:lang w:val="fr-CA"/>
        </w:rPr>
        <w:t xml:space="preserve"> </w:t>
      </w:r>
      <w:r w:rsidRPr="00FA6F76">
        <w:rPr>
          <w:rFonts w:cs="Times New Roman"/>
          <w:lang w:val="fr-CA"/>
        </w:rPr>
        <w:t>dont les délinquants sexuels pourraient autrement se prévaloir.  Non seulement cette exception au mécanisme de protection prévu par la partie</w:t>
      </w:r>
      <w:r w:rsidR="00F23967">
        <w:rPr>
          <w:rFonts w:cs="Times New Roman"/>
          <w:lang w:val="fr-CA"/>
        </w:rPr>
        <w:t xml:space="preserve"> </w:t>
      </w:r>
      <w:r w:rsidRPr="00FA6F76">
        <w:rPr>
          <w:rFonts w:cs="Times New Roman"/>
          <w:lang w:val="fr-CA"/>
        </w:rPr>
        <w:t xml:space="preserve">III de la </w:t>
      </w:r>
      <w:r w:rsidRPr="00FA6F76">
        <w:rPr>
          <w:rFonts w:cs="Times New Roman"/>
          <w:i/>
          <w:lang w:val="fr-CA"/>
        </w:rPr>
        <w:t>LAIPVP</w:t>
      </w:r>
      <w:r w:rsidRPr="00FA6F76">
        <w:rPr>
          <w:rFonts w:cs="Times New Roman"/>
          <w:lang w:val="fr-CA"/>
        </w:rPr>
        <w:t xml:space="preserve"> n’a</w:t>
      </w:r>
      <w:r w:rsidR="00F23967">
        <w:rPr>
          <w:rFonts w:cs="Times New Roman"/>
          <w:lang w:val="fr-CA"/>
        </w:rPr>
        <w:t>-</w:t>
      </w:r>
      <w:r w:rsidRPr="00FA6F76">
        <w:rPr>
          <w:rFonts w:cs="Times New Roman"/>
          <w:lang w:val="fr-CA"/>
        </w:rPr>
        <w:t>t</w:t>
      </w:r>
      <w:r w:rsidR="00F23967">
        <w:rPr>
          <w:rFonts w:cs="Times New Roman"/>
          <w:lang w:val="fr-CA"/>
        </w:rPr>
        <w:t>-</w:t>
      </w:r>
      <w:r w:rsidRPr="00FA6F76">
        <w:rPr>
          <w:rFonts w:cs="Times New Roman"/>
          <w:lang w:val="fr-CA"/>
        </w:rPr>
        <w:t>elle rien à voir avec le présent pourvoi, qui concerne le droit d’accès prévu à la partie</w:t>
      </w:r>
      <w:r w:rsidR="00F23967">
        <w:rPr>
          <w:rFonts w:cs="Times New Roman"/>
          <w:lang w:val="fr-CA"/>
        </w:rPr>
        <w:t xml:space="preserve"> </w:t>
      </w:r>
      <w:r w:rsidRPr="00FA6F76">
        <w:rPr>
          <w:rFonts w:cs="Times New Roman"/>
          <w:lang w:val="fr-CA"/>
        </w:rPr>
        <w:t xml:space="preserve">II de la </w:t>
      </w:r>
      <w:r w:rsidRPr="00FA6F76">
        <w:rPr>
          <w:rFonts w:cs="Times New Roman"/>
          <w:i/>
          <w:lang w:val="fr-CA"/>
        </w:rPr>
        <w:t>LAIPVP</w:t>
      </w:r>
      <w:r w:rsidRPr="00FA6F76">
        <w:rPr>
          <w:rFonts w:cs="Times New Roman"/>
          <w:lang w:val="fr-CA"/>
        </w:rPr>
        <w:t>, mais il est évident que le document demandé en l’espèce ne renferme pas de renseignements personnels.  Le paragraphe</w:t>
      </w:r>
      <w:r w:rsidR="00F23967">
        <w:rPr>
          <w:rFonts w:cs="Times New Roman"/>
          <w:lang w:val="fr-CA"/>
        </w:rPr>
        <w:t xml:space="preserve"> </w:t>
      </w:r>
      <w:r w:rsidRPr="00FA6F76">
        <w:rPr>
          <w:rFonts w:cs="Times New Roman"/>
          <w:lang w:val="fr-CA"/>
        </w:rPr>
        <w:t>13(1) est donc inapplicable dans les circonstances de la présente affaire.</w:t>
      </w:r>
    </w:p>
    <w:p w:rsidR="006C6098" w:rsidRPr="00FA6F76" w:rsidRDefault="006C6098" w:rsidP="00021119">
      <w:pPr>
        <w:pStyle w:val="ParaNoNdepar-AltN"/>
        <w:rPr>
          <w:rFonts w:cs="Times New Roman"/>
          <w:lang w:val="fr-CA"/>
        </w:rPr>
      </w:pPr>
      <w:r w:rsidRPr="00FA6F76">
        <w:rPr>
          <w:rFonts w:cs="Times New Roman"/>
          <w:lang w:val="fr-CA"/>
        </w:rPr>
        <w:t>Le paragraphe</w:t>
      </w:r>
      <w:r w:rsidR="00F23967">
        <w:rPr>
          <w:rFonts w:cs="Times New Roman"/>
          <w:lang w:val="fr-CA"/>
        </w:rPr>
        <w:t xml:space="preserve"> </w:t>
      </w:r>
      <w:r w:rsidRPr="00FA6F76">
        <w:rPr>
          <w:rFonts w:cs="Times New Roman"/>
          <w:lang w:val="fr-CA"/>
        </w:rPr>
        <w:t xml:space="preserve">13(2) de la </w:t>
      </w:r>
      <w:r w:rsidRPr="00FA6F76">
        <w:rPr>
          <w:rFonts w:cs="Times New Roman"/>
          <w:i/>
          <w:iCs/>
          <w:lang w:val="fr-CA"/>
        </w:rPr>
        <w:t>Loi Christopher</w:t>
      </w:r>
      <w:r w:rsidRPr="00FA6F76">
        <w:rPr>
          <w:rFonts w:cs="Times New Roman"/>
          <w:lang w:val="fr-CA"/>
        </w:rPr>
        <w:t xml:space="preserve"> prévoit expressément que le par.</w:t>
      </w:r>
      <w:r w:rsidR="00F23967">
        <w:rPr>
          <w:rFonts w:cs="Times New Roman"/>
          <w:lang w:val="fr-CA"/>
        </w:rPr>
        <w:t xml:space="preserve"> </w:t>
      </w:r>
      <w:r w:rsidRPr="00FA6F76">
        <w:rPr>
          <w:rFonts w:cs="Times New Roman"/>
          <w:lang w:val="fr-CA"/>
        </w:rPr>
        <w:t xml:space="preserve">39(2) de la </w:t>
      </w:r>
      <w:r w:rsidRPr="00FA6F76">
        <w:rPr>
          <w:rFonts w:cs="Times New Roman"/>
          <w:i/>
          <w:iCs/>
          <w:lang w:val="fr-CA"/>
        </w:rPr>
        <w:t>LAIPVP</w:t>
      </w:r>
      <w:r w:rsidRPr="00D65014">
        <w:rPr>
          <w:rFonts w:cs="Times New Roman"/>
          <w:iCs/>
          <w:lang w:val="fr-CA"/>
        </w:rPr>
        <w:t>,</w:t>
      </w:r>
      <w:r w:rsidRPr="00FA6F76">
        <w:rPr>
          <w:rFonts w:cs="Times New Roman"/>
          <w:i/>
          <w:iCs/>
          <w:lang w:val="fr-CA"/>
        </w:rPr>
        <w:t xml:space="preserve"> </w:t>
      </w:r>
      <w:r w:rsidRPr="00FA6F76">
        <w:rPr>
          <w:rFonts w:cs="Times New Roman"/>
          <w:lang w:val="fr-CA"/>
        </w:rPr>
        <w:t xml:space="preserve">qui exige que l’on avise le particulier dont les </w:t>
      </w:r>
      <w:r w:rsidRPr="00FA6F76">
        <w:rPr>
          <w:rFonts w:cs="Times New Roman"/>
          <w:i/>
          <w:iCs/>
          <w:lang w:val="fr-CA"/>
        </w:rPr>
        <w:t xml:space="preserve">renseignements personnels </w:t>
      </w:r>
      <w:r w:rsidRPr="00FA6F76">
        <w:rPr>
          <w:rFonts w:cs="Times New Roman"/>
          <w:lang w:val="fr-CA"/>
        </w:rPr>
        <w:t xml:space="preserve">sont recueillis, ne s’applique pas.  Là encore, comme il concerne des renseignements personnels, ce paragraphe n’est pas pertinent pour les besoins de l’espèce et il n’est d’aucune utilité pour la thèse du Ministère.  De plus, cette mention spécifique et limitée de la </w:t>
      </w:r>
      <w:r w:rsidRPr="00FA6F76">
        <w:rPr>
          <w:rFonts w:cs="Times New Roman"/>
          <w:i/>
          <w:iCs/>
          <w:lang w:val="fr-CA"/>
        </w:rPr>
        <w:t>LAIPVP</w:t>
      </w:r>
      <w:r w:rsidRPr="00FA6F76">
        <w:rPr>
          <w:rFonts w:cs="Times New Roman"/>
          <w:iCs/>
          <w:lang w:val="fr-CA"/>
        </w:rPr>
        <w:t xml:space="preserve"> </w:t>
      </w:r>
      <w:r w:rsidRPr="00FA6F76">
        <w:rPr>
          <w:rFonts w:cs="Times New Roman"/>
          <w:lang w:val="fr-CA"/>
        </w:rPr>
        <w:t xml:space="preserve">tend à indiquer que, dans les cas où la </w:t>
      </w:r>
      <w:r w:rsidRPr="00FA6F76">
        <w:rPr>
          <w:rFonts w:cs="Times New Roman"/>
          <w:i/>
          <w:iCs/>
          <w:lang w:val="fr-CA"/>
        </w:rPr>
        <w:t>Loi Christopher</w:t>
      </w:r>
      <w:r w:rsidRPr="00FA6F76">
        <w:rPr>
          <w:rFonts w:cs="Times New Roman"/>
          <w:lang w:val="fr-CA"/>
        </w:rPr>
        <w:t xml:space="preserve"> est censée l’emporter sur d’autres aspects du régime établi par la </w:t>
      </w:r>
      <w:r w:rsidRPr="00FA6F76">
        <w:rPr>
          <w:rFonts w:cs="Times New Roman"/>
          <w:i/>
          <w:iCs/>
          <w:lang w:val="fr-CA"/>
        </w:rPr>
        <w:t>LAIPVP</w:t>
      </w:r>
      <w:r w:rsidRPr="00FA6F76">
        <w:rPr>
          <w:rFonts w:cs="Times New Roman"/>
          <w:lang w:val="fr-CA"/>
        </w:rPr>
        <w:t>, le législateur a employé des mots précis pour exprimer clairement cette intention.  L’argument que le Ministère tire de l’art.</w:t>
      </w:r>
      <w:r w:rsidR="00F23967">
        <w:rPr>
          <w:rFonts w:cs="Times New Roman"/>
          <w:lang w:val="fr-CA"/>
        </w:rPr>
        <w:t xml:space="preserve"> </w:t>
      </w:r>
      <w:r w:rsidRPr="00FA6F76">
        <w:rPr>
          <w:rFonts w:cs="Times New Roman"/>
          <w:lang w:val="fr-CA"/>
        </w:rPr>
        <w:t xml:space="preserve">13 de la </w:t>
      </w:r>
      <w:r w:rsidRPr="00FA6F76">
        <w:rPr>
          <w:rFonts w:cs="Times New Roman"/>
          <w:i/>
          <w:iCs/>
          <w:lang w:val="fr-CA"/>
        </w:rPr>
        <w:t>Loi Christopher</w:t>
      </w:r>
      <w:r w:rsidRPr="00FA6F76">
        <w:rPr>
          <w:rFonts w:cs="Times New Roman"/>
          <w:lang w:val="fr-CA"/>
        </w:rPr>
        <w:t xml:space="preserve"> doit donc être rejeté. </w:t>
      </w:r>
    </w:p>
    <w:p w:rsidR="006C6098" w:rsidRPr="00FA6F76" w:rsidRDefault="006C6098" w:rsidP="00021119">
      <w:pPr>
        <w:pStyle w:val="ParaNoNdepar-AltN"/>
        <w:rPr>
          <w:rFonts w:cs="Times New Roman"/>
          <w:lang w:val="fr-CA"/>
        </w:rPr>
      </w:pPr>
      <w:r w:rsidRPr="00FA6F76">
        <w:rPr>
          <w:rFonts w:cs="Times New Roman"/>
          <w:lang w:val="fr-CA"/>
        </w:rPr>
        <w:lastRenderedPageBreak/>
        <w:t xml:space="preserve">Nous écartons la thèse du Ministère et sommes d’avis que la Commissaire a raisonnablement conclu que la </w:t>
      </w:r>
      <w:r w:rsidRPr="00FA6F76">
        <w:rPr>
          <w:rFonts w:cs="Times New Roman"/>
          <w:i/>
          <w:iCs/>
          <w:lang w:val="fr-CA"/>
        </w:rPr>
        <w:t>Loi Christopher</w:t>
      </w:r>
      <w:r w:rsidRPr="00FA6F76">
        <w:rPr>
          <w:rFonts w:cs="Times New Roman"/>
          <w:lang w:val="fr-CA"/>
        </w:rPr>
        <w:t xml:space="preserve"> ne renferme aucune disposition en matière de confidentialité prévoyant expressément qu’elle l’emporte sur la </w:t>
      </w:r>
      <w:r w:rsidRPr="00FA6F76">
        <w:rPr>
          <w:rFonts w:cs="Times New Roman"/>
          <w:i/>
          <w:iCs/>
          <w:lang w:val="fr-CA"/>
        </w:rPr>
        <w:t>LAIPVP</w:t>
      </w:r>
      <w:r w:rsidRPr="00D65014">
        <w:rPr>
          <w:rFonts w:cs="Times New Roman"/>
          <w:iCs/>
          <w:lang w:val="fr-CA"/>
        </w:rPr>
        <w:t xml:space="preserve">. </w:t>
      </w:r>
      <w:r w:rsidRPr="00FA6F76">
        <w:rPr>
          <w:rFonts w:cs="Times New Roman"/>
          <w:i/>
          <w:iCs/>
          <w:lang w:val="fr-CA"/>
        </w:rPr>
        <w:t xml:space="preserve"> </w:t>
      </w:r>
      <w:r w:rsidRPr="00FA6F76">
        <w:rPr>
          <w:rFonts w:cs="Times New Roman"/>
          <w:lang w:val="fr-CA"/>
        </w:rPr>
        <w:t xml:space="preserve">En conséquence, le document est assujetti à la </w:t>
      </w:r>
      <w:r w:rsidRPr="00FA6F76">
        <w:rPr>
          <w:rFonts w:cs="Times New Roman"/>
          <w:i/>
          <w:iCs/>
          <w:lang w:val="fr-CA"/>
        </w:rPr>
        <w:t xml:space="preserve">LAIPVP </w:t>
      </w:r>
      <w:r w:rsidRPr="00FA6F76">
        <w:rPr>
          <w:rFonts w:cs="Times New Roman"/>
          <w:lang w:val="fr-CA"/>
        </w:rPr>
        <w:t>et à son régime d’exceptions.</w:t>
      </w:r>
    </w:p>
    <w:p w:rsidR="006C6098" w:rsidRPr="00FA6F76" w:rsidRDefault="006C6098" w:rsidP="00021119">
      <w:pPr>
        <w:pStyle w:val="Title3LevelTitre3Niveau"/>
        <w:keepNext w:val="0"/>
        <w:rPr>
          <w:rFonts w:cs="Times New Roman"/>
          <w:lang w:val="fr-CA"/>
        </w:rPr>
      </w:pPr>
      <w:r w:rsidRPr="00FA6F76">
        <w:rPr>
          <w:rFonts w:cs="Times New Roman"/>
          <w:lang w:val="fr-CA"/>
        </w:rPr>
        <w:t>L’exception relative à l’application de la loi</w:t>
      </w:r>
    </w:p>
    <w:p w:rsidR="006C6098" w:rsidRPr="00FA6F76" w:rsidRDefault="006C6098" w:rsidP="00021119">
      <w:pPr>
        <w:pStyle w:val="ParaNoNdepar-AltN"/>
        <w:rPr>
          <w:rFonts w:cs="Times New Roman"/>
          <w:lang w:val="fr-CA"/>
        </w:rPr>
      </w:pPr>
      <w:r w:rsidRPr="00FA6F76">
        <w:rPr>
          <w:rFonts w:cs="Times New Roman"/>
          <w:lang w:val="fr-CA"/>
        </w:rPr>
        <w:t>Le Ministère affirme que la Commissaire a interprété de façon trop restrictive les exceptions relatives à l’application de la loi et qu’elle a accordé une trop grande importance à la question de savoir si la communication des renseignements demandés permettrait d’identifier des délinquants sexuels inscrits au registre.  Comme l’explique le Ministère, [</w:t>
      </w:r>
      <w:r w:rsidRPr="00FA6F76">
        <w:rPr>
          <w:rFonts w:cs="Times New Roman"/>
          <w:smallCaps/>
          <w:lang w:val="fr-CA"/>
        </w:rPr>
        <w:t>traduction</w:t>
      </w:r>
      <w:r w:rsidRPr="00FA6F76">
        <w:rPr>
          <w:rFonts w:cs="Times New Roman"/>
          <w:lang w:val="fr-CA"/>
        </w:rPr>
        <w:t>]</w:t>
      </w:r>
      <w:r w:rsidR="00F23967">
        <w:rPr>
          <w:rFonts w:cs="Times New Roman"/>
          <w:lang w:val="fr-CA"/>
        </w:rPr>
        <w:t xml:space="preserve"> </w:t>
      </w:r>
      <w:r w:rsidR="00E3692F" w:rsidRPr="003D0CB7">
        <w:rPr>
          <w:lang w:val="fr-CA"/>
        </w:rPr>
        <w:t>«</w:t>
      </w:r>
      <w:r w:rsidR="00E3692F">
        <w:rPr>
          <w:rFonts w:cs="Times New Roman"/>
          <w:iCs/>
          <w:lang w:val="fr-CA"/>
        </w:rPr>
        <w:t> </w:t>
      </w:r>
      <w:r w:rsidRPr="00FA6F76">
        <w:rPr>
          <w:rFonts w:cs="Times New Roman"/>
          <w:lang w:val="fr-CA"/>
        </w:rPr>
        <w:t>[b]</w:t>
      </w:r>
      <w:proofErr w:type="spellStart"/>
      <w:r w:rsidRPr="00FA6F76">
        <w:rPr>
          <w:rFonts w:cs="Times New Roman"/>
          <w:lang w:val="fr-CA"/>
        </w:rPr>
        <w:t>ien</w:t>
      </w:r>
      <w:proofErr w:type="spellEnd"/>
      <w:r w:rsidRPr="00FA6F76">
        <w:rPr>
          <w:rFonts w:cs="Times New Roman"/>
          <w:lang w:val="fr-CA"/>
        </w:rPr>
        <w:t xml:space="preserve"> que l’identification d’un individu puisse causer [les préjudices mentionnés dans les exceptions relatives à l’application de la loi], ces conséquences peuvent se produire même en l’absence de toute identification.  Les inquiétudes que suscite la présence, dans le quartier, d’un délinquant sexuel inscrit au registre peuvent, indépendamment de son identité, créer un malaise au sein de la collectivité et entraîner l’action de justiciers</w:t>
      </w:r>
      <w:r w:rsidR="00E3692F">
        <w:rPr>
          <w:rFonts w:cs="Times New Roman"/>
          <w:iCs/>
          <w:lang w:val="fr-CA"/>
        </w:rPr>
        <w:t> </w:t>
      </w:r>
      <w:r w:rsidR="00E3692F" w:rsidRPr="003D0CB7">
        <w:rPr>
          <w:lang w:val="fr-CA"/>
        </w:rPr>
        <w:t>»</w:t>
      </w:r>
      <w:r w:rsidR="00D65014">
        <w:rPr>
          <w:rFonts w:cs="Times New Roman"/>
          <w:lang w:val="fr-CA"/>
        </w:rPr>
        <w:t xml:space="preserve"> (</w:t>
      </w:r>
      <w:proofErr w:type="gramStart"/>
      <w:r w:rsidR="00D65014">
        <w:rPr>
          <w:rFonts w:cs="Times New Roman"/>
          <w:lang w:val="fr-CA"/>
        </w:rPr>
        <w:t>m.a</w:t>
      </w:r>
      <w:r w:rsidRPr="00FA6F76">
        <w:rPr>
          <w:rFonts w:cs="Times New Roman"/>
          <w:lang w:val="fr-CA"/>
        </w:rPr>
        <w:t>.,</w:t>
      </w:r>
      <w:proofErr w:type="gramEnd"/>
      <w:r w:rsidRPr="00FA6F76">
        <w:rPr>
          <w:rFonts w:cs="Times New Roman"/>
          <w:lang w:val="fr-CA"/>
        </w:rPr>
        <w:t xml:space="preserve"> par.</w:t>
      </w:r>
      <w:r w:rsidR="00F23967">
        <w:rPr>
          <w:rFonts w:cs="Times New Roman"/>
          <w:lang w:val="fr-CA"/>
        </w:rPr>
        <w:t xml:space="preserve"> </w:t>
      </w:r>
      <w:r w:rsidRPr="00FA6F76">
        <w:rPr>
          <w:rFonts w:cs="Times New Roman"/>
          <w:lang w:val="fr-CA"/>
        </w:rPr>
        <w:t xml:space="preserve">44). </w:t>
      </w:r>
    </w:p>
    <w:p w:rsidR="006C6098" w:rsidRPr="00FA6F76" w:rsidRDefault="006C6098" w:rsidP="00021119">
      <w:pPr>
        <w:pStyle w:val="ParaNoNdepar-AltN"/>
        <w:rPr>
          <w:rFonts w:cs="Times New Roman"/>
          <w:lang w:val="fr-CA"/>
        </w:rPr>
      </w:pPr>
      <w:r w:rsidRPr="00FA6F76">
        <w:rPr>
          <w:rFonts w:cs="Times New Roman"/>
          <w:lang w:val="fr-CA"/>
        </w:rPr>
        <w:t xml:space="preserve">La réponse brève mais complète à cette prétention est qu’elle n’est appuyée par aucun des éléments de preuve ou arguments qui ont été soumis à la Commissaire.  Cette dernière a porté son attention sur la question de savoir si la communication risquait de révéler l’identité ou le lieu de résidence de délinquants sexuels parce qu’il s’agissait là de l’élément essentiel des arguments que le Ministère lui avait soumis.  Ces arguments reposaient sur le fait qu’il était raisonnable de </w:t>
      </w:r>
      <w:r w:rsidRPr="00FA6F76">
        <w:rPr>
          <w:rFonts w:cs="Times New Roman"/>
          <w:lang w:val="fr-CA"/>
        </w:rPr>
        <w:lastRenderedPageBreak/>
        <w:t>s’attendre à ce que la communication du document permette d’identifier des délinquants sexuels ou de connaître l’adresse de leur domicile.  Plus précisément, dans ses arguments, le Ministère mentionnait le risque relatif à l’identification par le public, à l’établissement du lieu de résidence du délinquant sexuel et au fait que l’établissement de son lieu de résidence permettrait d’identifier ce dernier.</w:t>
      </w:r>
    </w:p>
    <w:p w:rsidR="006C6098" w:rsidRPr="00FA6F76" w:rsidRDefault="006C6098" w:rsidP="00021119">
      <w:pPr>
        <w:pStyle w:val="ParaNoNdepar-AltN"/>
        <w:rPr>
          <w:rFonts w:cs="Times New Roman"/>
          <w:lang w:val="fr-CA"/>
        </w:rPr>
      </w:pPr>
      <w:r w:rsidRPr="00FA6F76">
        <w:rPr>
          <w:rFonts w:cs="Times New Roman"/>
          <w:lang w:val="fr-CA"/>
        </w:rPr>
        <w:t xml:space="preserve">L’argumentation du Ministère n’était pas axée sur le malaise général que susciterait au sein de la population le défaut d’identification d’un délinquant sexuel donné ou de son lieu de résidence, et elle ne portait pas non plus sur la </w:t>
      </w:r>
      <w:r w:rsidR="00E3692F" w:rsidRPr="003D0CB7">
        <w:rPr>
          <w:lang w:val="fr-CA"/>
        </w:rPr>
        <w:t>«</w:t>
      </w:r>
      <w:r w:rsidR="00E3692F">
        <w:rPr>
          <w:rFonts w:cs="Times New Roman"/>
          <w:iCs/>
          <w:lang w:val="fr-CA"/>
        </w:rPr>
        <w:t> </w:t>
      </w:r>
      <w:r w:rsidRPr="00FA6F76">
        <w:rPr>
          <w:rFonts w:cs="Times New Roman"/>
          <w:lang w:val="fr-CA"/>
        </w:rPr>
        <w:t>crainte subjective</w:t>
      </w:r>
      <w:r w:rsidR="00E3692F">
        <w:rPr>
          <w:rFonts w:cs="Times New Roman"/>
          <w:iCs/>
          <w:lang w:val="fr-CA"/>
        </w:rPr>
        <w:t> </w:t>
      </w:r>
      <w:r w:rsidR="00E3692F" w:rsidRPr="003D0CB7">
        <w:rPr>
          <w:lang w:val="fr-CA"/>
        </w:rPr>
        <w:t>»</w:t>
      </w:r>
      <w:r w:rsidRPr="00FA6F76">
        <w:rPr>
          <w:rFonts w:cs="Times New Roman"/>
          <w:lang w:val="fr-CA"/>
        </w:rPr>
        <w:t xml:space="preserve"> des délinquants sexuels d’être identifiés.  Le Ministère parlait plutôt de la crainte liée à la possibilité objective que le délinquant soit identifié.  Quant au malaise créé au sein de la population, le surintendant </w:t>
      </w:r>
      <w:proofErr w:type="spellStart"/>
      <w:r w:rsidRPr="00FA6F76">
        <w:rPr>
          <w:rFonts w:cs="Times New Roman"/>
          <w:lang w:val="fr-CA"/>
        </w:rPr>
        <w:t>Truax</w:t>
      </w:r>
      <w:proofErr w:type="spellEnd"/>
      <w:r w:rsidRPr="00FA6F76">
        <w:rPr>
          <w:rFonts w:cs="Times New Roman"/>
          <w:lang w:val="fr-CA"/>
        </w:rPr>
        <w:t xml:space="preserve"> n’y fait allusion qu’une seule fois dans son affidavit.</w:t>
      </w:r>
    </w:p>
    <w:p w:rsidR="006C6098" w:rsidRPr="00FA6F76" w:rsidRDefault="006C6098" w:rsidP="00021119">
      <w:pPr>
        <w:pStyle w:val="ParaNoNdepar-AltN"/>
        <w:rPr>
          <w:rFonts w:cs="Times New Roman"/>
          <w:lang w:val="fr-CA"/>
        </w:rPr>
      </w:pPr>
      <w:r w:rsidRPr="00FA6F76">
        <w:rPr>
          <w:rFonts w:cs="Times New Roman"/>
          <w:lang w:val="fr-CA"/>
        </w:rPr>
        <w:t>Dans la mesure où le Ministère affirme également que la Commissaire a commis une erreur en se limitant à déterminer si la communication risquait de dévoiler l’identité du délinquant sexuel plutôt que d’indiquer aussi l’endroit où il se trouve, nous sommes d’avis que cette distinction ne peut se justifier sur le plan logique</w:t>
      </w:r>
      <w:r w:rsidR="00F23967">
        <w:rPr>
          <w:rFonts w:cs="Times New Roman"/>
          <w:lang w:val="fr-CA"/>
        </w:rPr>
        <w:t xml:space="preserve"> </w:t>
      </w:r>
      <w:r w:rsidRPr="00FA6F76">
        <w:rPr>
          <w:rFonts w:cs="Times New Roman"/>
          <w:lang w:val="fr-CA"/>
        </w:rPr>
        <w:t>: le fait de repérer le lieu de résidence d’un délinquant sexuel est intimement lié à la possibilité d’identifier le délinquant sexuel lui</w:t>
      </w:r>
      <w:r w:rsidR="00F23967">
        <w:rPr>
          <w:rFonts w:cs="Times New Roman"/>
          <w:lang w:val="fr-CA"/>
        </w:rPr>
        <w:t>-</w:t>
      </w:r>
      <w:r w:rsidRPr="00FA6F76">
        <w:rPr>
          <w:rFonts w:cs="Times New Roman"/>
          <w:lang w:val="fr-CA"/>
        </w:rPr>
        <w:t xml:space="preserve">même.  En tout état de cause, la Commissaire n’a pas commis pareille erreur.  Elle s’est effectivement demandé si la communication du document permettrait de savoir où habite un délinquant sexuel donné, et de l’identifier ainsi.  La Commissaire a comparé cette demande à un </w:t>
      </w:r>
      <w:r w:rsidRPr="00FA6F76">
        <w:rPr>
          <w:rFonts w:cs="Times New Roman"/>
          <w:lang w:val="fr-CA"/>
        </w:rPr>
        <w:lastRenderedPageBreak/>
        <w:t>pourvoi antérieur (ordonnance PO</w:t>
      </w:r>
      <w:r w:rsidR="00F23967">
        <w:rPr>
          <w:rFonts w:cs="Times New Roman"/>
          <w:lang w:val="fr-CA"/>
        </w:rPr>
        <w:t>-</w:t>
      </w:r>
      <w:r w:rsidRPr="00FA6F76">
        <w:rPr>
          <w:rFonts w:cs="Times New Roman"/>
          <w:lang w:val="fr-CA"/>
        </w:rPr>
        <w:t xml:space="preserve">2518, 2006 </w:t>
      </w:r>
      <w:proofErr w:type="spellStart"/>
      <w:r w:rsidRPr="00FA6F76">
        <w:rPr>
          <w:rFonts w:cs="Times New Roman"/>
          <w:lang w:val="fr-CA"/>
        </w:rPr>
        <w:t>CanLII</w:t>
      </w:r>
      <w:proofErr w:type="spellEnd"/>
      <w:r w:rsidRPr="00FA6F76">
        <w:rPr>
          <w:rFonts w:cs="Times New Roman"/>
          <w:lang w:val="fr-CA"/>
        </w:rPr>
        <w:t xml:space="preserve"> 50861 (</w:t>
      </w:r>
      <w:r w:rsidR="00C21900">
        <w:rPr>
          <w:rFonts w:cs="Times New Roman"/>
          <w:lang w:val="fr-CA"/>
        </w:rPr>
        <w:t>C</w:t>
      </w:r>
      <w:r w:rsidR="0081480D">
        <w:rPr>
          <w:rFonts w:cs="Times New Roman"/>
          <w:lang w:val="fr-CA"/>
        </w:rPr>
        <w:t xml:space="preserve">IPVP </w:t>
      </w:r>
      <w:r>
        <w:rPr>
          <w:rFonts w:cs="Times New Roman"/>
          <w:lang w:val="fr-CA"/>
        </w:rPr>
        <w:t>ON</w:t>
      </w:r>
      <w:r w:rsidRPr="00FA6F76">
        <w:rPr>
          <w:rFonts w:cs="Times New Roman"/>
          <w:lang w:val="fr-CA"/>
        </w:rPr>
        <w:t xml:space="preserve">)) dans lequel elle avait refusé la divulgation des codes postaux </w:t>
      </w:r>
      <w:r w:rsidRPr="00FA6F76">
        <w:rPr>
          <w:rFonts w:cs="Times New Roman"/>
          <w:i/>
          <w:iCs/>
          <w:lang w:val="fr-CA"/>
        </w:rPr>
        <w:t>intégraux</w:t>
      </w:r>
      <w:r w:rsidRPr="00FA6F76">
        <w:rPr>
          <w:rFonts w:cs="Times New Roman"/>
          <w:lang w:val="fr-CA"/>
        </w:rPr>
        <w:t xml:space="preserve"> des délinquants sexuels au motif que cette divulgation aurait permis à la population [</w:t>
      </w:r>
      <w:r w:rsidRPr="00FA6F76">
        <w:rPr>
          <w:rFonts w:cs="Times New Roman"/>
          <w:smallCaps/>
          <w:lang w:val="fr-CA"/>
        </w:rPr>
        <w:t>traduction</w:t>
      </w:r>
      <w:r w:rsidRPr="00FA6F76">
        <w:rPr>
          <w:rFonts w:cs="Times New Roman"/>
          <w:lang w:val="fr-CA"/>
        </w:rPr>
        <w:t>]</w:t>
      </w:r>
      <w:r w:rsidR="00F23967">
        <w:rPr>
          <w:rFonts w:cs="Times New Roman"/>
          <w:lang w:val="fr-CA"/>
        </w:rPr>
        <w:t xml:space="preserve"> </w:t>
      </w:r>
      <w:r w:rsidR="00E3692F" w:rsidRPr="003D0CB7">
        <w:rPr>
          <w:lang w:val="fr-CA"/>
        </w:rPr>
        <w:t>«</w:t>
      </w:r>
      <w:r w:rsidR="00E3692F">
        <w:rPr>
          <w:rFonts w:cs="Times New Roman"/>
          <w:iCs/>
          <w:lang w:val="fr-CA"/>
        </w:rPr>
        <w:t> </w:t>
      </w:r>
      <w:r w:rsidRPr="00FA6F76">
        <w:rPr>
          <w:rFonts w:cs="Times New Roman"/>
          <w:lang w:val="fr-CA"/>
        </w:rPr>
        <w:t>de localiser, à cinq ou six maisons près, le lieu de résidence d’un délinquant</w:t>
      </w:r>
      <w:r w:rsidR="00E3692F">
        <w:rPr>
          <w:rFonts w:cs="Times New Roman"/>
          <w:iCs/>
          <w:lang w:val="fr-CA"/>
        </w:rPr>
        <w:t> </w:t>
      </w:r>
      <w:r w:rsidR="00E3692F" w:rsidRPr="003D0CB7">
        <w:rPr>
          <w:lang w:val="fr-CA"/>
        </w:rPr>
        <w:t>»</w:t>
      </w:r>
      <w:r w:rsidRPr="00FA6F76">
        <w:rPr>
          <w:rFonts w:cs="Times New Roman"/>
          <w:lang w:val="fr-CA"/>
        </w:rPr>
        <w:t>, ce qui permettrait raisonnablement de savoir où se trouve le délinquant sexuel (p.</w:t>
      </w:r>
      <w:r w:rsidR="00F23967">
        <w:rPr>
          <w:rFonts w:cs="Times New Roman"/>
          <w:lang w:val="fr-CA"/>
        </w:rPr>
        <w:t xml:space="preserve"> </w:t>
      </w:r>
      <w:r w:rsidRPr="00FA6F76">
        <w:rPr>
          <w:rFonts w:cs="Times New Roman"/>
          <w:lang w:val="fr-CA"/>
        </w:rPr>
        <w:t>8).  La Commissaire a estimé que la divulgation des RTA n’était pas comparable (p.</w:t>
      </w:r>
      <w:r w:rsidR="00F23967">
        <w:rPr>
          <w:rFonts w:cs="Times New Roman"/>
          <w:lang w:val="fr-CA"/>
        </w:rPr>
        <w:t xml:space="preserve"> </w:t>
      </w:r>
      <w:r w:rsidRPr="00FA6F76">
        <w:rPr>
          <w:rFonts w:cs="Times New Roman"/>
          <w:lang w:val="fr-CA"/>
        </w:rPr>
        <w:t>10).</w:t>
      </w:r>
    </w:p>
    <w:p w:rsidR="006C6098" w:rsidRPr="00FA6F76" w:rsidRDefault="006C6098" w:rsidP="00021119">
      <w:pPr>
        <w:pStyle w:val="ParaNoNdepar-AltN"/>
        <w:rPr>
          <w:rFonts w:cs="Times New Roman"/>
          <w:lang w:val="fr-CA"/>
        </w:rPr>
      </w:pPr>
      <w:r w:rsidRPr="00FA6F76">
        <w:rPr>
          <w:rFonts w:cs="Times New Roman"/>
          <w:lang w:val="fr-CA"/>
        </w:rPr>
        <w:t>La décision de la Commissaire ne nuit pas aux objectifs recherchés par les exceptions relatives à l’application de la loi — protéger le public et assurer l’efficacité des services de police —, et la Commissaire a par ailleurs tenu compte de ces exceptions.  Elle n’a pas restreint de façon déraisonnable la portée des exceptions relatives à l’application de la loi prévues aux al.</w:t>
      </w:r>
      <w:r w:rsidR="00F23967">
        <w:rPr>
          <w:rFonts w:cs="Times New Roman"/>
          <w:lang w:val="fr-CA"/>
        </w:rPr>
        <w:t xml:space="preserve"> </w:t>
      </w:r>
      <w:r w:rsidRPr="00FA6F76">
        <w:rPr>
          <w:rFonts w:cs="Times New Roman"/>
          <w:lang w:val="fr-CA"/>
        </w:rPr>
        <w:t>14(1)</w:t>
      </w:r>
      <w:r w:rsidRPr="00FA6F76">
        <w:rPr>
          <w:rFonts w:cs="Times New Roman"/>
          <w:iCs/>
          <w:lang w:val="fr-CA"/>
        </w:rPr>
        <w:t>e</w:t>
      </w:r>
      <w:r w:rsidRPr="00FA6F76">
        <w:rPr>
          <w:rFonts w:cs="Times New Roman"/>
          <w:lang w:val="fr-CA"/>
        </w:rPr>
        <w:t>) et 14(1)</w:t>
      </w:r>
      <w:r w:rsidRPr="00FA6F76">
        <w:rPr>
          <w:rFonts w:cs="Times New Roman"/>
          <w:iCs/>
          <w:lang w:val="fr-CA"/>
        </w:rPr>
        <w:t>l</w:t>
      </w:r>
      <w:r w:rsidRPr="00FA6F76">
        <w:rPr>
          <w:rFonts w:cs="Times New Roman"/>
          <w:lang w:val="fr-CA"/>
        </w:rPr>
        <w:t xml:space="preserve">). </w:t>
      </w:r>
    </w:p>
    <w:p w:rsidR="006C6098" w:rsidRPr="00FA6F76" w:rsidRDefault="006C6098" w:rsidP="00021119">
      <w:pPr>
        <w:pStyle w:val="Title3LevelTitre3Niveau"/>
        <w:keepNext w:val="0"/>
        <w:rPr>
          <w:rFonts w:cs="Times New Roman"/>
          <w:lang w:val="fr-CA"/>
        </w:rPr>
      </w:pPr>
      <w:r w:rsidRPr="00FA6F76">
        <w:rPr>
          <w:rFonts w:cs="Times New Roman"/>
          <w:lang w:val="fr-CA"/>
        </w:rPr>
        <w:t>Pouvoir discrétionnaire</w:t>
      </w:r>
    </w:p>
    <w:p w:rsidR="006C6098" w:rsidRPr="00FA6F76" w:rsidRDefault="006C6098" w:rsidP="00021119">
      <w:pPr>
        <w:pStyle w:val="ParaNoNdepar-AltN"/>
        <w:rPr>
          <w:rFonts w:cs="Times New Roman"/>
          <w:lang w:val="fr-CA"/>
        </w:rPr>
      </w:pPr>
      <w:r w:rsidRPr="00FA6F76">
        <w:rPr>
          <w:rFonts w:cs="Times New Roman"/>
          <w:lang w:val="fr-CA"/>
        </w:rPr>
        <w:t>Le Ministère affirme également que l’exception prévue à l’art.</w:t>
      </w:r>
      <w:r w:rsidR="00F23967">
        <w:rPr>
          <w:rFonts w:cs="Times New Roman"/>
          <w:lang w:val="fr-CA"/>
        </w:rPr>
        <w:t xml:space="preserve"> </w:t>
      </w:r>
      <w:r w:rsidRPr="00FA6F76">
        <w:rPr>
          <w:rFonts w:cs="Times New Roman"/>
          <w:lang w:val="fr-CA"/>
        </w:rPr>
        <w:t xml:space="preserve">14 de la </w:t>
      </w:r>
      <w:r w:rsidRPr="00FA6F76">
        <w:rPr>
          <w:rFonts w:cs="Times New Roman"/>
          <w:i/>
          <w:iCs/>
          <w:lang w:val="fr-CA"/>
        </w:rPr>
        <w:t xml:space="preserve">LAIPVP </w:t>
      </w:r>
      <w:r w:rsidRPr="00FA6F76">
        <w:rPr>
          <w:rFonts w:cs="Times New Roman"/>
          <w:lang w:val="fr-CA"/>
        </w:rPr>
        <w:t xml:space="preserve">lui confère le pouvoir discrétionnaire de communiquer le document demandé.  L’exercice de ce pouvoir discrétionnaire implique que l’on soupèse les objectifs du droit d’accès prévu par la </w:t>
      </w:r>
      <w:r w:rsidRPr="00FA6F76">
        <w:rPr>
          <w:rFonts w:cs="Times New Roman"/>
          <w:i/>
          <w:iCs/>
          <w:lang w:val="fr-CA"/>
        </w:rPr>
        <w:t>LAIPVP</w:t>
      </w:r>
      <w:r w:rsidRPr="00FA6F76">
        <w:rPr>
          <w:rFonts w:cs="Times New Roman"/>
          <w:lang w:val="fr-CA"/>
        </w:rPr>
        <w:t xml:space="preserve"> (l’information des citoyens et la démocratie) avec ceux que vise l’exception (l’efficacité des services policiers et la sécurité publique) (</w:t>
      </w:r>
      <w:r w:rsidR="0081480D">
        <w:rPr>
          <w:rFonts w:cs="Times New Roman"/>
          <w:lang w:val="fr-CA"/>
        </w:rPr>
        <w:t>m.a</w:t>
      </w:r>
      <w:r w:rsidRPr="00FA6F76">
        <w:rPr>
          <w:rFonts w:cs="Times New Roman"/>
          <w:lang w:val="fr-CA"/>
        </w:rPr>
        <w:t>., par.</w:t>
      </w:r>
      <w:r w:rsidR="00F23967">
        <w:rPr>
          <w:rFonts w:cs="Times New Roman"/>
          <w:lang w:val="fr-CA"/>
        </w:rPr>
        <w:t xml:space="preserve"> </w:t>
      </w:r>
      <w:r w:rsidRPr="00FA6F76">
        <w:rPr>
          <w:rFonts w:cs="Times New Roman"/>
          <w:lang w:val="fr-CA"/>
        </w:rPr>
        <w:t>75</w:t>
      </w:r>
      <w:r w:rsidR="00F23967">
        <w:rPr>
          <w:rFonts w:cs="Times New Roman"/>
          <w:lang w:val="fr-CA"/>
        </w:rPr>
        <w:t>-</w:t>
      </w:r>
      <w:r w:rsidRPr="00FA6F76">
        <w:rPr>
          <w:rFonts w:cs="Times New Roman"/>
          <w:lang w:val="fr-CA"/>
        </w:rPr>
        <w:t>77).  Selon le Ministère, un des facteurs importants dont il y a lieu de tenir compte dans cette pondération est l’objectif visé par l’auteur de la demande, un objectif qui, suivant le Ministère, ne favorise ni la démocratie ni l’efficacité des services policiers ou la sécurité du public (</w:t>
      </w:r>
      <w:proofErr w:type="gramStart"/>
      <w:r w:rsidR="0081480D">
        <w:rPr>
          <w:rFonts w:cs="Times New Roman"/>
          <w:lang w:val="fr-CA"/>
        </w:rPr>
        <w:t>m</w:t>
      </w:r>
      <w:r w:rsidRPr="00FA6F76">
        <w:rPr>
          <w:rFonts w:cs="Times New Roman"/>
          <w:lang w:val="fr-CA"/>
        </w:rPr>
        <w:t>.</w:t>
      </w:r>
      <w:r w:rsidR="0081480D">
        <w:rPr>
          <w:rFonts w:cs="Times New Roman"/>
          <w:lang w:val="fr-CA"/>
        </w:rPr>
        <w:t>a</w:t>
      </w:r>
      <w:r w:rsidRPr="00FA6F76">
        <w:rPr>
          <w:rFonts w:cs="Times New Roman"/>
          <w:lang w:val="fr-CA"/>
        </w:rPr>
        <w:t>.,</w:t>
      </w:r>
      <w:proofErr w:type="gramEnd"/>
      <w:r w:rsidRPr="00FA6F76">
        <w:rPr>
          <w:rFonts w:cs="Times New Roman"/>
          <w:lang w:val="fr-CA"/>
        </w:rPr>
        <w:t xml:space="preserve"> par.</w:t>
      </w:r>
      <w:r w:rsidR="00F23967">
        <w:rPr>
          <w:rFonts w:cs="Times New Roman"/>
          <w:lang w:val="fr-CA"/>
        </w:rPr>
        <w:t xml:space="preserve"> </w:t>
      </w:r>
      <w:r w:rsidRPr="00FA6F76">
        <w:rPr>
          <w:rFonts w:cs="Times New Roman"/>
          <w:lang w:val="fr-CA"/>
        </w:rPr>
        <w:t>80).</w:t>
      </w:r>
    </w:p>
    <w:p w:rsidR="006C6098" w:rsidRPr="00FA6F76" w:rsidRDefault="006C6098" w:rsidP="00021119">
      <w:pPr>
        <w:pStyle w:val="ParaNoNdepar-AltN"/>
        <w:rPr>
          <w:rFonts w:cs="Times New Roman"/>
          <w:lang w:val="fr-CA"/>
        </w:rPr>
      </w:pPr>
      <w:r w:rsidRPr="00FA6F76">
        <w:rPr>
          <w:rFonts w:cs="Times New Roman"/>
          <w:lang w:val="fr-CA"/>
        </w:rPr>
        <w:lastRenderedPageBreak/>
        <w:t xml:space="preserve">Cet argument ne tient pas compte du fait que ce pouvoir discrétionnaire n’existe que lorsque l’exception s’applique et, comme nous le verrons, la Commissaire a raisonnablement conclu qu’elle ne s’appliquait pas.  Ainsi que la Cour l’a expliqué dans l’arrêt </w:t>
      </w:r>
      <w:proofErr w:type="spellStart"/>
      <w:r w:rsidRPr="00FA6F76">
        <w:rPr>
          <w:rFonts w:cs="Times New Roman"/>
          <w:i/>
          <w:iCs/>
          <w:lang w:val="fr-CA"/>
        </w:rPr>
        <w:t>Criminal</w:t>
      </w:r>
      <w:proofErr w:type="spellEnd"/>
      <w:r w:rsidRPr="00FA6F76">
        <w:rPr>
          <w:rFonts w:cs="Times New Roman"/>
          <w:i/>
          <w:iCs/>
          <w:lang w:val="fr-CA"/>
        </w:rPr>
        <w:t xml:space="preserve"> </w:t>
      </w:r>
      <w:proofErr w:type="spellStart"/>
      <w:r w:rsidRPr="00FA6F76">
        <w:rPr>
          <w:rFonts w:cs="Times New Roman"/>
          <w:i/>
          <w:iCs/>
          <w:lang w:val="fr-CA"/>
        </w:rPr>
        <w:t>Lawyers</w:t>
      </w:r>
      <w:proofErr w:type="spellEnd"/>
      <w:r w:rsidRPr="00FA6F76">
        <w:rPr>
          <w:rFonts w:cs="Times New Roman"/>
          <w:i/>
          <w:iCs/>
          <w:lang w:val="fr-CA"/>
        </w:rPr>
        <w:t>’ Association</w:t>
      </w:r>
      <w:r w:rsidRPr="00FA6F76">
        <w:rPr>
          <w:rFonts w:cs="Times New Roman"/>
          <w:lang w:val="fr-CA"/>
        </w:rPr>
        <w:t>, par.</w:t>
      </w:r>
      <w:r w:rsidR="00F23967">
        <w:rPr>
          <w:rFonts w:cs="Times New Roman"/>
          <w:lang w:val="fr-CA"/>
        </w:rPr>
        <w:t xml:space="preserve"> </w:t>
      </w:r>
      <w:r w:rsidRPr="00FA6F76">
        <w:rPr>
          <w:rFonts w:cs="Times New Roman"/>
          <w:lang w:val="fr-CA"/>
        </w:rPr>
        <w:t>48, le pouvoir discrétionnaire du Ministère n’entre en jeu que lorsqu’il a été conclu que l’exception s’applique.  Le Ministère n’avait en fait aucun pouvoir discrétionnaire à exercer en vertu de l’art.</w:t>
      </w:r>
      <w:r w:rsidR="00F23967">
        <w:rPr>
          <w:rFonts w:cs="Times New Roman"/>
          <w:lang w:val="fr-CA"/>
        </w:rPr>
        <w:t xml:space="preserve"> </w:t>
      </w:r>
      <w:r w:rsidRPr="00FA6F76">
        <w:rPr>
          <w:rFonts w:cs="Times New Roman"/>
          <w:lang w:val="fr-CA"/>
        </w:rPr>
        <w:t xml:space="preserve">14 de la </w:t>
      </w:r>
      <w:r w:rsidRPr="00FA6F76">
        <w:rPr>
          <w:rFonts w:cs="Times New Roman"/>
          <w:i/>
          <w:iCs/>
          <w:lang w:val="fr-CA"/>
        </w:rPr>
        <w:t xml:space="preserve">LAIPVP </w:t>
      </w:r>
      <w:r w:rsidRPr="00FA6F76">
        <w:rPr>
          <w:rFonts w:cs="Times New Roman"/>
          <w:lang w:val="fr-CA"/>
        </w:rPr>
        <w:t xml:space="preserve">dans le cas qui nous occupe, parce que, comme nous le verrons sous peu, cette exception ne s’appliquait pas.  L’argument du Ministère suivant lequel la Commissaire a négligé de s’interroger sur l’opportunité d’exercer son pouvoir discrétionnaire est dénué de fondement. </w:t>
      </w:r>
    </w:p>
    <w:p w:rsidR="006C6098" w:rsidRPr="00FA6F76" w:rsidRDefault="006C6098" w:rsidP="00021119">
      <w:pPr>
        <w:pStyle w:val="Title3LevelTitre3Niveau"/>
        <w:keepNext w:val="0"/>
        <w:rPr>
          <w:rFonts w:cs="Times New Roman"/>
          <w:lang w:val="fr-CA"/>
        </w:rPr>
      </w:pPr>
      <w:r w:rsidRPr="00FA6F76">
        <w:rPr>
          <w:rFonts w:cs="Times New Roman"/>
        </w:rPr>
        <w:t>Conclusion</w:t>
      </w:r>
      <w:r w:rsidRPr="00FA6F76">
        <w:rPr>
          <w:rFonts w:cs="Times New Roman"/>
          <w:lang w:val="fr-CA"/>
        </w:rPr>
        <w:t xml:space="preserve"> sur la deuxième question</w:t>
      </w:r>
    </w:p>
    <w:p w:rsidR="006C6098" w:rsidRPr="00FA6F76" w:rsidRDefault="006C6098" w:rsidP="00021119">
      <w:pPr>
        <w:pStyle w:val="ParaNoNdepar-AltN"/>
        <w:rPr>
          <w:rFonts w:cs="Times New Roman"/>
          <w:lang w:val="fr-CA"/>
        </w:rPr>
      </w:pPr>
      <w:r w:rsidRPr="00FA6F76">
        <w:rPr>
          <w:rFonts w:cs="Times New Roman"/>
          <w:lang w:val="fr-CA"/>
        </w:rPr>
        <w:t xml:space="preserve">Les arguments invoqués par le Ministère au sujet de la façon dont la Commissaire a abordé l’interaction entre la </w:t>
      </w:r>
      <w:r w:rsidRPr="00FA6F76">
        <w:rPr>
          <w:rFonts w:cs="Times New Roman"/>
          <w:i/>
          <w:iCs/>
          <w:lang w:val="fr-CA"/>
        </w:rPr>
        <w:t xml:space="preserve">LAIPVP </w:t>
      </w:r>
      <w:r w:rsidRPr="00FA6F76">
        <w:rPr>
          <w:rFonts w:cs="Times New Roman"/>
          <w:lang w:val="fr-CA"/>
        </w:rPr>
        <w:t xml:space="preserve">et la </w:t>
      </w:r>
      <w:r w:rsidRPr="00FA6F76">
        <w:rPr>
          <w:rFonts w:cs="Times New Roman"/>
          <w:i/>
          <w:iCs/>
          <w:lang w:val="fr-CA"/>
        </w:rPr>
        <w:t>Loi Christopher</w:t>
      </w:r>
      <w:r w:rsidRPr="00FA6F76">
        <w:rPr>
          <w:rFonts w:cs="Times New Roman"/>
          <w:lang w:val="fr-CA"/>
        </w:rPr>
        <w:t xml:space="preserve"> doivent être rejetés. </w:t>
      </w:r>
    </w:p>
    <w:p w:rsidR="006C6098" w:rsidRPr="00FA6F76" w:rsidRDefault="006C6098" w:rsidP="00021119">
      <w:pPr>
        <w:pStyle w:val="Title2LevelTitre2Niveau"/>
        <w:keepNext w:val="0"/>
        <w:rPr>
          <w:rFonts w:cs="Times New Roman"/>
          <w:lang w:val="fr-CA"/>
        </w:rPr>
      </w:pPr>
      <w:r w:rsidRPr="00FA6F76">
        <w:rPr>
          <w:rFonts w:cs="Times New Roman"/>
          <w:lang w:val="fr-CA"/>
        </w:rPr>
        <w:t>Norme de preuve applicable aux exceptions de la LAIPVP relatives à l’application de la loi fondées sur le risque de préjudice</w:t>
      </w:r>
    </w:p>
    <w:p w:rsidR="006C6098" w:rsidRPr="00FA6F76" w:rsidRDefault="006C6098" w:rsidP="00021119">
      <w:pPr>
        <w:pStyle w:val="ParaNoNdepar-AltN"/>
        <w:rPr>
          <w:rFonts w:cs="Times New Roman"/>
          <w:lang w:val="fr-CA"/>
        </w:rPr>
      </w:pPr>
      <w:r w:rsidRPr="00FA6F76">
        <w:rPr>
          <w:rFonts w:cs="Times New Roman"/>
          <w:lang w:val="fr-CA"/>
        </w:rPr>
        <w:t xml:space="preserve">Le Ministère soutient que la Commissaire n’a pas appliqué la norme de preuve adéquate en ce qui concerne les exceptions prévues par la </w:t>
      </w:r>
      <w:r w:rsidRPr="00FA6F76">
        <w:rPr>
          <w:rFonts w:cs="Times New Roman"/>
          <w:i/>
          <w:iCs/>
          <w:lang w:val="fr-CA"/>
        </w:rPr>
        <w:t xml:space="preserve">LAIPVP </w:t>
      </w:r>
      <w:r w:rsidRPr="00FA6F76">
        <w:rPr>
          <w:rFonts w:cs="Times New Roman"/>
          <w:iCs/>
          <w:lang w:val="fr-CA"/>
        </w:rPr>
        <w:t>qui reposent sur le risque de préjudice</w:t>
      </w:r>
      <w:r w:rsidRPr="00FA6F76">
        <w:rPr>
          <w:rFonts w:cs="Times New Roman"/>
          <w:lang w:val="fr-CA"/>
        </w:rPr>
        <w:t>.  Le texte de l’art.</w:t>
      </w:r>
      <w:r w:rsidR="00F23967">
        <w:rPr>
          <w:rFonts w:cs="Times New Roman"/>
          <w:lang w:val="fr-CA"/>
        </w:rPr>
        <w:t xml:space="preserve"> </w:t>
      </w:r>
      <w:r w:rsidRPr="00FA6F76">
        <w:rPr>
          <w:rFonts w:cs="Times New Roman"/>
          <w:lang w:val="fr-CA"/>
        </w:rPr>
        <w:t xml:space="preserve">14 de la </w:t>
      </w:r>
      <w:r w:rsidRPr="00FA6F76">
        <w:rPr>
          <w:rFonts w:cs="Times New Roman"/>
          <w:i/>
          <w:iCs/>
          <w:lang w:val="fr-CA"/>
        </w:rPr>
        <w:t>LAIPVP</w:t>
      </w:r>
      <w:r w:rsidR="00F23967">
        <w:rPr>
          <w:rFonts w:cs="Times New Roman"/>
          <w:iCs/>
          <w:lang w:val="fr-CA"/>
        </w:rPr>
        <w:t xml:space="preserve"> </w:t>
      </w:r>
      <w:r w:rsidRPr="00FA6F76">
        <w:rPr>
          <w:rFonts w:cs="Times New Roman"/>
          <w:iCs/>
          <w:lang w:val="fr-CA"/>
        </w:rPr>
        <w:t>dispose ainsi</w:t>
      </w:r>
      <w:r w:rsidR="00F23967">
        <w:rPr>
          <w:rFonts w:cs="Times New Roman"/>
          <w:iCs/>
          <w:lang w:val="fr-CA"/>
        </w:rPr>
        <w:t xml:space="preserve"> </w:t>
      </w:r>
      <w:r w:rsidRPr="00FA6F76">
        <w:rPr>
          <w:rFonts w:cs="Times New Roman"/>
          <w:iCs/>
          <w:lang w:val="fr-CA"/>
        </w:rPr>
        <w:t xml:space="preserve">: </w:t>
      </w:r>
    </w:p>
    <w:p w:rsidR="006C6098" w:rsidRPr="00FA6F76" w:rsidRDefault="006C6098" w:rsidP="00021119">
      <w:pPr>
        <w:pStyle w:val="Citation-AltC"/>
        <w:spacing w:after="240"/>
        <w:ind w:hanging="1166"/>
        <w:contextualSpacing w:val="0"/>
        <w:rPr>
          <w:lang w:val="fr-CA"/>
        </w:rPr>
      </w:pPr>
      <w:r w:rsidRPr="00FA6F76">
        <w:rPr>
          <w:b/>
          <w:lang w:val="fr-CA"/>
        </w:rPr>
        <w:lastRenderedPageBreak/>
        <w:tab/>
      </w:r>
      <w:r w:rsidR="003777F5">
        <w:rPr>
          <w:b/>
          <w:lang w:val="fr-CA"/>
        </w:rPr>
        <w:tab/>
      </w:r>
      <w:r w:rsidRPr="00FA6F76">
        <w:rPr>
          <w:b/>
          <w:lang w:val="fr-CA"/>
        </w:rPr>
        <w:t>14</w:t>
      </w:r>
      <w:r w:rsidR="00F23967">
        <w:rPr>
          <w:lang w:val="fr-CA"/>
        </w:rPr>
        <w:t xml:space="preserve"> </w:t>
      </w:r>
      <w:r w:rsidR="003777F5">
        <w:rPr>
          <w:lang w:val="fr-CA"/>
        </w:rPr>
        <w:t xml:space="preserve"> </w:t>
      </w:r>
      <w:r w:rsidRPr="00FA6F76">
        <w:rPr>
          <w:lang w:val="fr-CA"/>
        </w:rPr>
        <w:t>(1)</w:t>
      </w:r>
      <w:r w:rsidR="00F23967">
        <w:rPr>
          <w:lang w:val="fr-CA"/>
        </w:rPr>
        <w:t xml:space="preserve">  </w:t>
      </w:r>
      <w:r w:rsidRPr="00FA6F76">
        <w:rPr>
          <w:lang w:val="fr-CA"/>
        </w:rPr>
        <w:t xml:space="preserve">La personne responsable peut refuser de divulguer un document </w:t>
      </w:r>
      <w:r w:rsidRPr="00674C2C">
        <w:rPr>
          <w:u w:val="single"/>
          <w:lang w:val="fr-CA"/>
        </w:rPr>
        <w:t>s’</w:t>
      </w:r>
      <w:r w:rsidRPr="00FA6F76">
        <w:rPr>
          <w:u w:val="single"/>
          <w:lang w:val="fr-CA"/>
        </w:rPr>
        <w:t>il est raisonnable de s’attendre à ce que</w:t>
      </w:r>
      <w:r w:rsidRPr="00FA6F76">
        <w:rPr>
          <w:lang w:val="fr-CA"/>
        </w:rPr>
        <w:t xml:space="preserve"> la divulgation ait pour effet, selon le cas</w:t>
      </w:r>
      <w:r w:rsidR="00F23967">
        <w:rPr>
          <w:lang w:val="fr-CA"/>
        </w:rPr>
        <w:t xml:space="preserve"> </w:t>
      </w:r>
      <w:r w:rsidRPr="00FA6F76">
        <w:rPr>
          <w:lang w:val="fr-CA"/>
        </w:rPr>
        <w:t xml:space="preserve">: </w:t>
      </w:r>
    </w:p>
    <w:p w:rsidR="006C6098" w:rsidRPr="00FA6F76" w:rsidRDefault="006C6098" w:rsidP="00132428">
      <w:pPr>
        <w:pStyle w:val="Citation-AltC"/>
        <w:tabs>
          <w:tab w:val="left" w:pos="1440"/>
          <w:tab w:val="left" w:pos="1890"/>
        </w:tabs>
        <w:spacing w:after="240"/>
        <w:ind w:left="1890" w:hanging="1915"/>
        <w:contextualSpacing w:val="0"/>
        <w:rPr>
          <w:lang w:val="fr-CA"/>
        </w:rPr>
      </w:pPr>
      <w:r w:rsidRPr="00FA6F76">
        <w:rPr>
          <w:i/>
          <w:lang w:val="fr-CA"/>
        </w:rPr>
        <w:tab/>
      </w:r>
      <w:r w:rsidRPr="00FA6F76">
        <w:rPr>
          <w:lang w:val="fr-CA"/>
        </w:rPr>
        <w:t>a)</w:t>
      </w:r>
      <w:r w:rsidRPr="00FA6F76">
        <w:rPr>
          <w:lang w:val="fr-CA"/>
        </w:rPr>
        <w:tab/>
        <w:t xml:space="preserve">de faire obstacle à une question qui concerne l’exécution de la loi; </w:t>
      </w:r>
    </w:p>
    <w:p w:rsidR="006C6098" w:rsidRPr="00FA6F76" w:rsidRDefault="006C6098" w:rsidP="00021119">
      <w:pPr>
        <w:pStyle w:val="Citation-AltC"/>
        <w:tabs>
          <w:tab w:val="left" w:pos="2280"/>
        </w:tabs>
        <w:spacing w:after="240"/>
        <w:ind w:left="1915" w:hanging="1915"/>
        <w:contextualSpacing w:val="0"/>
        <w:jc w:val="center"/>
        <w:rPr>
          <w:lang w:val="fr-CA"/>
        </w:rPr>
      </w:pPr>
      <w:r w:rsidRPr="00FA6F76">
        <w:rPr>
          <w:lang w:val="fr-CA"/>
        </w:rPr>
        <w:tab/>
        <w:t>.</w:t>
      </w:r>
      <w:r w:rsidR="00F23967">
        <w:rPr>
          <w:lang w:val="fr-CA"/>
        </w:rPr>
        <w:t xml:space="preserve"> </w:t>
      </w:r>
      <w:r w:rsidRPr="00FA6F76">
        <w:rPr>
          <w:lang w:val="fr-CA"/>
        </w:rPr>
        <w:t>.</w:t>
      </w:r>
      <w:r w:rsidR="00F23967">
        <w:rPr>
          <w:lang w:val="fr-CA"/>
        </w:rPr>
        <w:t xml:space="preserve"> </w:t>
      </w:r>
      <w:r w:rsidRPr="00FA6F76">
        <w:rPr>
          <w:lang w:val="fr-CA"/>
        </w:rPr>
        <w:t>.</w:t>
      </w:r>
    </w:p>
    <w:p w:rsidR="006C6098" w:rsidRPr="00FA6F76" w:rsidRDefault="006C6098" w:rsidP="00132428">
      <w:pPr>
        <w:pStyle w:val="Citation-AltC"/>
        <w:tabs>
          <w:tab w:val="left" w:pos="1440"/>
          <w:tab w:val="left" w:pos="1890"/>
        </w:tabs>
        <w:spacing w:after="240"/>
        <w:ind w:left="1890" w:hanging="1915"/>
        <w:contextualSpacing w:val="0"/>
        <w:rPr>
          <w:lang w:val="fr-CA"/>
        </w:rPr>
      </w:pPr>
      <w:r w:rsidRPr="00FA6F76">
        <w:rPr>
          <w:i/>
          <w:lang w:val="fr-CA"/>
        </w:rPr>
        <w:tab/>
      </w:r>
      <w:r w:rsidRPr="00FA6F76">
        <w:rPr>
          <w:lang w:val="fr-CA"/>
        </w:rPr>
        <w:t>e)</w:t>
      </w:r>
      <w:r w:rsidRPr="00FA6F76">
        <w:rPr>
          <w:lang w:val="fr-CA"/>
        </w:rPr>
        <w:tab/>
        <w:t xml:space="preserve">de constituer une menace à la vie ou à la sécurité physique d’un agent d’exécution de la loi ou d’une autre personne; </w:t>
      </w:r>
    </w:p>
    <w:p w:rsidR="006C6098" w:rsidRPr="00FA6F76" w:rsidRDefault="006C6098" w:rsidP="00021119">
      <w:pPr>
        <w:pStyle w:val="Citation-AltC"/>
        <w:tabs>
          <w:tab w:val="left" w:pos="2280"/>
        </w:tabs>
        <w:spacing w:after="240"/>
        <w:ind w:left="1915" w:hanging="1915"/>
        <w:contextualSpacing w:val="0"/>
        <w:jc w:val="center"/>
        <w:rPr>
          <w:lang w:val="fr-CA"/>
        </w:rPr>
      </w:pPr>
      <w:r w:rsidRPr="00FA6F76">
        <w:rPr>
          <w:lang w:val="fr-CA"/>
        </w:rPr>
        <w:tab/>
        <w:t>.</w:t>
      </w:r>
      <w:r w:rsidR="00F23967">
        <w:rPr>
          <w:lang w:val="fr-CA"/>
        </w:rPr>
        <w:t xml:space="preserve"> </w:t>
      </w:r>
      <w:r w:rsidRPr="00FA6F76">
        <w:rPr>
          <w:lang w:val="fr-CA"/>
        </w:rPr>
        <w:t>.</w:t>
      </w:r>
      <w:r w:rsidR="00F23967">
        <w:rPr>
          <w:lang w:val="fr-CA"/>
        </w:rPr>
        <w:t xml:space="preserve"> </w:t>
      </w:r>
      <w:r w:rsidRPr="00FA6F76">
        <w:rPr>
          <w:lang w:val="fr-CA"/>
        </w:rPr>
        <w:t>.</w:t>
      </w:r>
    </w:p>
    <w:p w:rsidR="006C6098" w:rsidRPr="00FA6F76" w:rsidRDefault="006C6098" w:rsidP="00132428">
      <w:pPr>
        <w:pStyle w:val="Citation-AltC"/>
        <w:tabs>
          <w:tab w:val="left" w:pos="1440"/>
          <w:tab w:val="left" w:pos="1890"/>
        </w:tabs>
        <w:spacing w:after="240"/>
        <w:ind w:left="1890" w:hanging="1915"/>
        <w:contextualSpacing w:val="0"/>
        <w:rPr>
          <w:lang w:val="fr-CA"/>
        </w:rPr>
      </w:pPr>
      <w:r w:rsidRPr="00FA6F76">
        <w:rPr>
          <w:i/>
          <w:lang w:val="fr-CA"/>
        </w:rPr>
        <w:tab/>
      </w:r>
      <w:r w:rsidRPr="00FA6F76">
        <w:rPr>
          <w:lang w:val="fr-CA"/>
        </w:rPr>
        <w:t>l)</w:t>
      </w:r>
      <w:r w:rsidRPr="00FA6F76">
        <w:rPr>
          <w:lang w:val="fr-CA"/>
        </w:rPr>
        <w:tab/>
        <w:t xml:space="preserve">de faciliter la perpétration d’un acte illégal ou d’entraver la répression du crime. </w:t>
      </w:r>
    </w:p>
    <w:p w:rsidR="006C6098" w:rsidRPr="00FA6F76" w:rsidRDefault="006C6098" w:rsidP="00021119">
      <w:pPr>
        <w:pStyle w:val="ParaNoNdepar-AltN"/>
        <w:rPr>
          <w:rFonts w:cs="Times New Roman"/>
          <w:lang w:val="fr-CA"/>
        </w:rPr>
      </w:pPr>
      <w:r w:rsidRPr="00FA6F76">
        <w:rPr>
          <w:rFonts w:cs="Times New Roman"/>
          <w:lang w:val="fr-CA"/>
        </w:rPr>
        <w:t>Relativement à l’exception prévue à l’al.</w:t>
      </w:r>
      <w:r w:rsidR="00F23967">
        <w:rPr>
          <w:rFonts w:cs="Times New Roman"/>
          <w:lang w:val="fr-CA"/>
        </w:rPr>
        <w:t xml:space="preserve"> </w:t>
      </w:r>
      <w:r w:rsidRPr="00FA6F76">
        <w:rPr>
          <w:rFonts w:cs="Times New Roman"/>
          <w:lang w:val="fr-CA"/>
        </w:rPr>
        <w:t>14(1)</w:t>
      </w:r>
      <w:r w:rsidRPr="00FA6F76">
        <w:rPr>
          <w:rFonts w:cs="Times New Roman"/>
          <w:iCs/>
          <w:lang w:val="fr-CA"/>
        </w:rPr>
        <w:t>l</w:t>
      </w:r>
      <w:r w:rsidRPr="00FA6F76">
        <w:rPr>
          <w:rFonts w:cs="Times New Roman"/>
          <w:lang w:val="fr-CA"/>
        </w:rPr>
        <w:t>), qui concerne le fait d’entraver la répression du crime, la Commissaire a jugé que le Ministère doit fournir [</w:t>
      </w:r>
      <w:r w:rsidRPr="00FA6F76">
        <w:rPr>
          <w:rFonts w:cs="Times New Roman"/>
          <w:smallCaps/>
          <w:lang w:val="fr-CA"/>
        </w:rPr>
        <w:t>traduction</w:t>
      </w:r>
      <w:r w:rsidRPr="00FA6F76">
        <w:rPr>
          <w:rFonts w:cs="Times New Roman"/>
          <w:lang w:val="fr-CA"/>
        </w:rPr>
        <w:t>]</w:t>
      </w:r>
      <w:r w:rsidR="00F23967">
        <w:rPr>
          <w:rFonts w:cs="Times New Roman"/>
          <w:lang w:val="fr-CA"/>
        </w:rPr>
        <w:t xml:space="preserve"> </w:t>
      </w:r>
      <w:r w:rsidR="00E3692F" w:rsidRPr="003D0CB7">
        <w:rPr>
          <w:lang w:val="fr-CA"/>
        </w:rPr>
        <w:t>«</w:t>
      </w:r>
      <w:r w:rsidR="00E3692F">
        <w:rPr>
          <w:rFonts w:cs="Times New Roman"/>
          <w:iCs/>
          <w:lang w:val="fr-CA"/>
        </w:rPr>
        <w:t> </w:t>
      </w:r>
      <w:r w:rsidRPr="00FA6F76">
        <w:rPr>
          <w:rFonts w:cs="Times New Roman"/>
          <w:lang w:val="fr-CA"/>
        </w:rPr>
        <w:t xml:space="preserve">des éléments de preuve </w:t>
      </w:r>
      <w:r w:rsidR="00674C2C">
        <w:rPr>
          <w:rFonts w:cs="Times New Roman"/>
          <w:lang w:val="fr-CA"/>
        </w:rPr>
        <w:t>“</w:t>
      </w:r>
      <w:r w:rsidRPr="00FA6F76">
        <w:rPr>
          <w:rFonts w:cs="Times New Roman"/>
          <w:lang w:val="fr-CA"/>
        </w:rPr>
        <w:t>détaillés et convaincants</w:t>
      </w:r>
      <w:r w:rsidR="00CA0CAB">
        <w:rPr>
          <w:rFonts w:cs="Times New Roman"/>
          <w:lang w:val="fr-CA"/>
        </w:rPr>
        <w:t>”</w:t>
      </w:r>
      <w:r w:rsidRPr="00FA6F76">
        <w:rPr>
          <w:rFonts w:cs="Times New Roman"/>
          <w:lang w:val="fr-CA"/>
        </w:rPr>
        <w:t xml:space="preserve"> établissant l’existence d’un </w:t>
      </w:r>
      <w:r w:rsidR="00CA0CAB">
        <w:rPr>
          <w:rFonts w:cs="Times New Roman"/>
          <w:lang w:val="fr-CA"/>
        </w:rPr>
        <w:t>“</w:t>
      </w:r>
      <w:r w:rsidRPr="00FA6F76">
        <w:rPr>
          <w:rFonts w:cs="Times New Roman"/>
          <w:lang w:val="fr-CA"/>
        </w:rPr>
        <w:t>risque vraisemblable de préjudice</w:t>
      </w:r>
      <w:r w:rsidR="00CA0CAB">
        <w:rPr>
          <w:rFonts w:cs="Times New Roman"/>
          <w:lang w:val="fr-CA"/>
        </w:rPr>
        <w:t>”</w:t>
      </w:r>
      <w:r w:rsidR="00E3692F">
        <w:rPr>
          <w:rFonts w:cs="Times New Roman"/>
          <w:iCs/>
          <w:lang w:val="fr-CA"/>
        </w:rPr>
        <w:t> </w:t>
      </w:r>
      <w:r w:rsidR="00E3692F" w:rsidRPr="003D0CB7">
        <w:rPr>
          <w:lang w:val="fr-CA"/>
        </w:rPr>
        <w:t>»</w:t>
      </w:r>
      <w:r w:rsidR="008021FD">
        <w:rPr>
          <w:lang w:val="fr-CA"/>
        </w:rPr>
        <w:t xml:space="preserve"> (p. 11)</w:t>
      </w:r>
      <w:r w:rsidRPr="00FA6F76">
        <w:rPr>
          <w:rFonts w:cs="Times New Roman"/>
          <w:lang w:val="fr-CA"/>
        </w:rPr>
        <w:t>.  La Commissaire a précisé qu’il ne suffirait pas de soumettre des éléments de preuve ne démontrant qu’un risque hypothétique de préjudice.  Passant ensuite à l’al.</w:t>
      </w:r>
      <w:r w:rsidR="00F23967">
        <w:rPr>
          <w:rFonts w:cs="Times New Roman"/>
          <w:lang w:val="fr-CA"/>
        </w:rPr>
        <w:t xml:space="preserve"> </w:t>
      </w:r>
      <w:r w:rsidR="008021FD">
        <w:rPr>
          <w:rFonts w:cs="Times New Roman"/>
          <w:lang w:val="fr-CA"/>
        </w:rPr>
        <w:t>14(1)</w:t>
      </w:r>
      <w:r w:rsidRPr="00FA6F76">
        <w:rPr>
          <w:rFonts w:cs="Times New Roman"/>
          <w:iCs/>
          <w:lang w:val="fr-CA"/>
        </w:rPr>
        <w:t>e</w:t>
      </w:r>
      <w:r w:rsidRPr="00FA6F76">
        <w:rPr>
          <w:rFonts w:cs="Times New Roman"/>
          <w:lang w:val="fr-CA"/>
        </w:rPr>
        <w:t xml:space="preserve">), qui porte sur la menace à la vie d’autrui, la Commissaire a jugé que le Ministère </w:t>
      </w:r>
      <w:r w:rsidR="00E3692F" w:rsidRPr="003D0CB7">
        <w:rPr>
          <w:lang w:val="fr-CA"/>
        </w:rPr>
        <w:t>«</w:t>
      </w:r>
      <w:r w:rsidR="00E3692F">
        <w:rPr>
          <w:rFonts w:cs="Times New Roman"/>
          <w:iCs/>
          <w:lang w:val="fr-CA"/>
        </w:rPr>
        <w:t> </w:t>
      </w:r>
      <w:r w:rsidRPr="00FA6F76">
        <w:rPr>
          <w:rFonts w:cs="Times New Roman"/>
          <w:lang w:val="fr-CA"/>
        </w:rPr>
        <w:t xml:space="preserve">doit fournir des éléments de preuve démontrant qu’il existe </w:t>
      </w:r>
      <w:r w:rsidRPr="00CA0CAB">
        <w:rPr>
          <w:rFonts w:cs="Times New Roman"/>
          <w:u w:val="single"/>
          <w:lang w:val="fr-CA"/>
        </w:rPr>
        <w:t xml:space="preserve">des </w:t>
      </w:r>
      <w:r w:rsidRPr="00FA6F76">
        <w:rPr>
          <w:rFonts w:cs="Times New Roman"/>
          <w:u w:val="single"/>
          <w:lang w:val="fr-CA"/>
        </w:rPr>
        <w:t>motifs raisonnables de croire</w:t>
      </w:r>
      <w:r w:rsidRPr="00FA6F76">
        <w:rPr>
          <w:rFonts w:cs="Times New Roman"/>
          <w:lang w:val="fr-CA"/>
        </w:rPr>
        <w:t xml:space="preserve"> que la divulgation présenterait une menace</w:t>
      </w:r>
      <w:r w:rsidR="00E3692F">
        <w:rPr>
          <w:rFonts w:cs="Times New Roman"/>
          <w:iCs/>
          <w:lang w:val="fr-CA"/>
        </w:rPr>
        <w:t> </w:t>
      </w:r>
      <w:r w:rsidR="00E3692F" w:rsidRPr="003D0CB7">
        <w:rPr>
          <w:lang w:val="fr-CA"/>
        </w:rPr>
        <w:t>»</w:t>
      </w:r>
      <w:r w:rsidRPr="00FA6F76">
        <w:rPr>
          <w:rFonts w:cs="Times New Roman"/>
          <w:lang w:val="fr-CA"/>
        </w:rPr>
        <w:t xml:space="preserve"> (</w:t>
      </w:r>
      <w:r w:rsidRPr="00FA6F76">
        <w:rPr>
          <w:rFonts w:cs="Times New Roman"/>
          <w:i/>
          <w:lang w:val="fr-CA"/>
        </w:rPr>
        <w:t>ibid</w:t>
      </w:r>
      <w:r w:rsidR="00FB64E6">
        <w:rPr>
          <w:rFonts w:cs="Times New Roman"/>
          <w:i/>
          <w:lang w:val="fr-CA"/>
        </w:rPr>
        <w:t xml:space="preserve">. </w:t>
      </w:r>
      <w:r w:rsidR="00FB64E6" w:rsidRPr="00FB64E6">
        <w:rPr>
          <w:rFonts w:cs="Times New Roman"/>
          <w:lang w:val="fr-CA"/>
        </w:rPr>
        <w:t>(</w:t>
      </w:r>
      <w:r w:rsidR="00FB64E6">
        <w:rPr>
          <w:rFonts w:cs="Times New Roman"/>
          <w:lang w:val="fr-CA"/>
        </w:rPr>
        <w:t>nous soulignons)</w:t>
      </w:r>
      <w:r w:rsidRPr="00FA6F76">
        <w:rPr>
          <w:rFonts w:cs="Times New Roman"/>
          <w:lang w:val="fr-CA"/>
        </w:rPr>
        <w:t xml:space="preserve">). </w:t>
      </w:r>
    </w:p>
    <w:p w:rsidR="006C6098" w:rsidRPr="00FA6F76" w:rsidRDefault="006C6098" w:rsidP="00021119">
      <w:pPr>
        <w:pStyle w:val="ParaNoNdepar-AltN"/>
        <w:rPr>
          <w:rFonts w:cs="Times New Roman"/>
          <w:lang w:val="fr-CA"/>
        </w:rPr>
      </w:pPr>
      <w:r w:rsidRPr="00FA6F76">
        <w:rPr>
          <w:rFonts w:cs="Times New Roman"/>
          <w:lang w:val="fr-CA"/>
        </w:rPr>
        <w:t>La Cour divisionnaire et la Cour d’appel ont toutes les deux conclu qu’il n’y avait aucune raison de modifier la décision de la Commissaire.</w:t>
      </w:r>
    </w:p>
    <w:p w:rsidR="006C6098" w:rsidRPr="00FA6F76" w:rsidRDefault="006C6098" w:rsidP="00021119">
      <w:pPr>
        <w:pStyle w:val="ParaNoNdepar-AltN"/>
        <w:rPr>
          <w:rFonts w:cs="Times New Roman"/>
          <w:lang w:val="fr-CA"/>
        </w:rPr>
      </w:pPr>
      <w:r w:rsidRPr="00FA6F76">
        <w:rPr>
          <w:rFonts w:cs="Times New Roman"/>
          <w:lang w:val="fr-CA"/>
        </w:rPr>
        <w:t xml:space="preserve">Le Ministère conteste toutefois la norme de preuve que la Commissaire a retenue.  Il prétend que la Commissaire a mal appliqué la norme de preuve décrite par </w:t>
      </w:r>
      <w:r w:rsidRPr="00FA6F76">
        <w:rPr>
          <w:rFonts w:cs="Times New Roman"/>
          <w:lang w:val="fr-CA"/>
        </w:rPr>
        <w:lastRenderedPageBreak/>
        <w:t xml:space="preserve">la Cour dans l’arrêt </w:t>
      </w:r>
      <w:proofErr w:type="spellStart"/>
      <w:r w:rsidRPr="00FA6F76">
        <w:rPr>
          <w:rFonts w:cs="Times New Roman"/>
          <w:i/>
          <w:iCs/>
          <w:lang w:val="fr-CA"/>
        </w:rPr>
        <w:t>Merck</w:t>
      </w:r>
      <w:proofErr w:type="spellEnd"/>
      <w:r w:rsidRPr="00FA6F76">
        <w:rPr>
          <w:rFonts w:cs="Times New Roman"/>
          <w:i/>
          <w:iCs/>
          <w:lang w:val="fr-CA"/>
        </w:rPr>
        <w:t xml:space="preserve"> </w:t>
      </w:r>
      <w:proofErr w:type="spellStart"/>
      <w:r w:rsidRPr="00FA6F76">
        <w:rPr>
          <w:rFonts w:cs="Times New Roman"/>
          <w:i/>
          <w:iCs/>
          <w:lang w:val="fr-CA"/>
        </w:rPr>
        <w:t>Frosst</w:t>
      </w:r>
      <w:proofErr w:type="spellEnd"/>
      <w:r w:rsidRPr="00FA6F76">
        <w:rPr>
          <w:rFonts w:cs="Times New Roman"/>
          <w:i/>
          <w:iCs/>
          <w:lang w:val="fr-CA"/>
        </w:rPr>
        <w:t xml:space="preserve"> Canada </w:t>
      </w:r>
      <w:proofErr w:type="spellStart"/>
      <w:r w:rsidRPr="00FA6F76">
        <w:rPr>
          <w:rFonts w:cs="Times New Roman"/>
          <w:i/>
          <w:iCs/>
          <w:lang w:val="fr-CA"/>
        </w:rPr>
        <w:t>Lt</w:t>
      </w:r>
      <w:r w:rsidR="00CD3A8A">
        <w:rPr>
          <w:rFonts w:cs="Times New Roman"/>
          <w:i/>
          <w:iCs/>
          <w:lang w:val="fr-CA"/>
        </w:rPr>
        <w:t>ée</w:t>
      </w:r>
      <w:proofErr w:type="spellEnd"/>
      <w:r w:rsidRPr="00FA6F76">
        <w:rPr>
          <w:rFonts w:cs="Times New Roman"/>
          <w:i/>
          <w:iCs/>
          <w:lang w:val="fr-CA"/>
        </w:rPr>
        <w:t xml:space="preserve"> c. Canada (Santé)</w:t>
      </w:r>
      <w:r w:rsidRPr="00FA6F76">
        <w:rPr>
          <w:rFonts w:cs="Times New Roman"/>
          <w:lang w:val="fr-CA"/>
        </w:rPr>
        <w:t>, 2012 CSC 3, [2012] 1 R.C.S. 23.  Dans cette affaire, la Cour était appelée à interpréter l’al.</w:t>
      </w:r>
      <w:r w:rsidR="00F23967">
        <w:rPr>
          <w:rFonts w:cs="Times New Roman"/>
          <w:lang w:val="fr-CA"/>
        </w:rPr>
        <w:t xml:space="preserve"> </w:t>
      </w:r>
      <w:r w:rsidRPr="00FA6F76">
        <w:rPr>
          <w:rFonts w:cs="Times New Roman"/>
          <w:lang w:val="fr-CA"/>
        </w:rPr>
        <w:t>20(1)</w:t>
      </w:r>
      <w:r w:rsidRPr="00FA6F76">
        <w:rPr>
          <w:rFonts w:cs="Times New Roman"/>
          <w:i/>
          <w:iCs/>
          <w:lang w:val="fr-CA"/>
        </w:rPr>
        <w:t>c</w:t>
      </w:r>
      <w:r w:rsidRPr="00FA6F76">
        <w:rPr>
          <w:rFonts w:cs="Times New Roman"/>
          <w:lang w:val="fr-CA"/>
        </w:rPr>
        <w:t xml:space="preserve">) de la </w:t>
      </w:r>
      <w:r w:rsidRPr="00FA6F76">
        <w:rPr>
          <w:rFonts w:cs="Times New Roman"/>
          <w:i/>
          <w:lang w:val="fr-CA"/>
        </w:rPr>
        <w:t>Loi sur l’accès à l’i</w:t>
      </w:r>
      <w:r w:rsidRPr="00FA6F76">
        <w:rPr>
          <w:rFonts w:cs="Times New Roman"/>
          <w:i/>
          <w:iCs/>
          <w:lang w:val="fr-CA"/>
        </w:rPr>
        <w:t>nformation</w:t>
      </w:r>
      <w:r w:rsidRPr="00FA6F76">
        <w:rPr>
          <w:rFonts w:cs="Times New Roman"/>
          <w:lang w:val="fr-CA"/>
        </w:rPr>
        <w:t>, L.R.C. 1985, ch.</w:t>
      </w:r>
      <w:r w:rsidR="00F23967">
        <w:rPr>
          <w:rFonts w:cs="Times New Roman"/>
          <w:lang w:val="fr-CA"/>
        </w:rPr>
        <w:t xml:space="preserve"> </w:t>
      </w:r>
      <w:r w:rsidRPr="00FA6F76">
        <w:rPr>
          <w:rFonts w:cs="Times New Roman"/>
          <w:lang w:val="fr-CA"/>
        </w:rPr>
        <w:t>A</w:t>
      </w:r>
      <w:r w:rsidR="00F23967">
        <w:rPr>
          <w:rFonts w:cs="Times New Roman"/>
          <w:lang w:val="fr-CA"/>
        </w:rPr>
        <w:t>-</w:t>
      </w:r>
      <w:r w:rsidRPr="00FA6F76">
        <w:rPr>
          <w:rFonts w:cs="Times New Roman"/>
          <w:lang w:val="fr-CA"/>
        </w:rPr>
        <w:t xml:space="preserve">1, qui oblige l’institution fédérale concernée à refuser la communication de renseignements </w:t>
      </w:r>
      <w:r w:rsidR="00E3692F" w:rsidRPr="003D0CB7">
        <w:rPr>
          <w:lang w:val="fr-CA"/>
        </w:rPr>
        <w:t>«</w:t>
      </w:r>
      <w:r w:rsidR="00E3692F">
        <w:rPr>
          <w:rFonts w:cs="Times New Roman"/>
          <w:iCs/>
          <w:lang w:val="fr-CA"/>
        </w:rPr>
        <w:t> </w:t>
      </w:r>
      <w:r w:rsidRPr="00FA6F76">
        <w:rPr>
          <w:rFonts w:cs="Times New Roman"/>
          <w:lang w:val="fr-CA"/>
        </w:rPr>
        <w:t xml:space="preserve">dont la divulgation </w:t>
      </w:r>
      <w:r w:rsidRPr="00FA6F76">
        <w:rPr>
          <w:rStyle w:val="highlight"/>
          <w:rFonts w:cs="Times New Roman"/>
          <w:u w:val="single"/>
          <w:lang w:val="fr-CA"/>
        </w:rPr>
        <w:t>risquerait vraisemblablement</w:t>
      </w:r>
      <w:r w:rsidRPr="00FA6F76">
        <w:rPr>
          <w:rStyle w:val="highlight"/>
          <w:rFonts w:cs="Times New Roman"/>
          <w:lang w:val="fr-CA"/>
        </w:rPr>
        <w:t xml:space="preserve"> de causer des pertes ou profits financiers appréciables</w:t>
      </w:r>
      <w:r w:rsidRPr="00FA6F76">
        <w:rPr>
          <w:rFonts w:cs="Times New Roman"/>
          <w:lang w:val="fr-CA"/>
        </w:rPr>
        <w:t xml:space="preserve"> à un tiers ou de nuire à sa compétitivité</w:t>
      </w:r>
      <w:r w:rsidR="00E3692F">
        <w:rPr>
          <w:rFonts w:cs="Times New Roman"/>
          <w:iCs/>
          <w:lang w:val="fr-CA"/>
        </w:rPr>
        <w:t> </w:t>
      </w:r>
      <w:r w:rsidR="00E3692F" w:rsidRPr="003D0CB7">
        <w:rPr>
          <w:lang w:val="fr-CA"/>
        </w:rPr>
        <w:t>»</w:t>
      </w:r>
      <w:r w:rsidRPr="00FA6F76">
        <w:rPr>
          <w:rFonts w:cs="Times New Roman"/>
          <w:lang w:val="fr-CA"/>
        </w:rPr>
        <w:t>.  L’étendue du risque de préjudice était donc formulée en des termes identiques à ceux employés dans la version anglaise de la</w:t>
      </w:r>
      <w:r w:rsidRPr="00FA6F76">
        <w:rPr>
          <w:rFonts w:cs="Times New Roman"/>
          <w:i/>
          <w:iCs/>
          <w:lang w:val="fr-CA"/>
        </w:rPr>
        <w:t xml:space="preserve"> LAIPVP</w:t>
      </w:r>
      <w:r w:rsidRPr="00FA6F76">
        <w:rPr>
          <w:rFonts w:cs="Times New Roman"/>
          <w:lang w:val="fr-CA"/>
        </w:rPr>
        <w:t xml:space="preserve"> (</w:t>
      </w:r>
      <w:r w:rsidR="00E3692F" w:rsidRPr="003D0CB7">
        <w:rPr>
          <w:lang w:val="fr-CA"/>
        </w:rPr>
        <w:t>«</w:t>
      </w:r>
      <w:r w:rsidR="00E3692F">
        <w:rPr>
          <w:rFonts w:cs="Times New Roman"/>
          <w:iCs/>
          <w:lang w:val="fr-CA"/>
        </w:rPr>
        <w:t> </w:t>
      </w:r>
      <w:proofErr w:type="spellStart"/>
      <w:r w:rsidRPr="00FA6F76">
        <w:rPr>
          <w:rFonts w:cs="Times New Roman"/>
          <w:i/>
          <w:lang w:val="fr-CA"/>
        </w:rPr>
        <w:t>could</w:t>
      </w:r>
      <w:proofErr w:type="spellEnd"/>
      <w:r w:rsidRPr="00FA6F76">
        <w:rPr>
          <w:rFonts w:cs="Times New Roman"/>
          <w:i/>
          <w:lang w:val="fr-CA"/>
        </w:rPr>
        <w:t xml:space="preserve"> </w:t>
      </w:r>
      <w:proofErr w:type="spellStart"/>
      <w:r w:rsidRPr="00FA6F76">
        <w:rPr>
          <w:rFonts w:cs="Times New Roman"/>
          <w:i/>
          <w:lang w:val="fr-CA"/>
        </w:rPr>
        <w:t>reasonably</w:t>
      </w:r>
      <w:proofErr w:type="spellEnd"/>
      <w:r w:rsidRPr="00FA6F76">
        <w:rPr>
          <w:rFonts w:cs="Times New Roman"/>
          <w:i/>
          <w:lang w:val="fr-CA"/>
        </w:rPr>
        <w:t xml:space="preserve"> </w:t>
      </w:r>
      <w:proofErr w:type="spellStart"/>
      <w:r w:rsidRPr="00FA6F76">
        <w:rPr>
          <w:rFonts w:cs="Times New Roman"/>
          <w:i/>
          <w:lang w:val="fr-CA"/>
        </w:rPr>
        <w:t>be</w:t>
      </w:r>
      <w:proofErr w:type="spellEnd"/>
      <w:r w:rsidRPr="00FA6F76">
        <w:rPr>
          <w:rFonts w:cs="Times New Roman"/>
          <w:i/>
          <w:lang w:val="fr-CA"/>
        </w:rPr>
        <w:t xml:space="preserve"> </w:t>
      </w:r>
      <w:proofErr w:type="spellStart"/>
      <w:r w:rsidRPr="00FA6F76">
        <w:rPr>
          <w:rFonts w:cs="Times New Roman"/>
          <w:i/>
          <w:lang w:val="fr-CA"/>
        </w:rPr>
        <w:t>expected</w:t>
      </w:r>
      <w:proofErr w:type="spellEnd"/>
      <w:r w:rsidRPr="00FA6F76">
        <w:rPr>
          <w:rFonts w:cs="Times New Roman"/>
          <w:i/>
          <w:lang w:val="fr-CA"/>
        </w:rPr>
        <w:t xml:space="preserve"> to</w:t>
      </w:r>
      <w:r w:rsidR="00E3692F">
        <w:rPr>
          <w:rFonts w:cs="Times New Roman"/>
          <w:iCs/>
          <w:lang w:val="fr-CA"/>
        </w:rPr>
        <w:t> </w:t>
      </w:r>
      <w:r w:rsidR="00E3692F" w:rsidRPr="003D0CB7">
        <w:rPr>
          <w:lang w:val="fr-CA"/>
        </w:rPr>
        <w:t>»</w:t>
      </w:r>
      <w:r w:rsidRPr="00FA6F76">
        <w:rPr>
          <w:rFonts w:cs="Times New Roman"/>
          <w:lang w:val="fr-CA"/>
        </w:rPr>
        <w:t xml:space="preserve">).  Dans un arrêt unanime, la Cour a confirmé la justesse de la formulation du critère, à savoir celle du </w:t>
      </w:r>
      <w:r w:rsidR="00E3692F" w:rsidRPr="003D0CB7">
        <w:rPr>
          <w:lang w:val="fr-CA"/>
        </w:rPr>
        <w:t>«</w:t>
      </w:r>
      <w:r w:rsidR="00E3692F">
        <w:rPr>
          <w:rFonts w:cs="Times New Roman"/>
          <w:iCs/>
          <w:lang w:val="fr-CA"/>
        </w:rPr>
        <w:t> </w:t>
      </w:r>
      <w:r w:rsidRPr="00FA6F76">
        <w:rPr>
          <w:rFonts w:cs="Times New Roman"/>
          <w:lang w:val="fr-CA"/>
        </w:rPr>
        <w:t>risque vraisemblable de préjudice probable</w:t>
      </w:r>
      <w:r w:rsidR="00E3692F">
        <w:rPr>
          <w:rFonts w:cs="Times New Roman"/>
          <w:iCs/>
          <w:lang w:val="fr-CA"/>
        </w:rPr>
        <w:t> </w:t>
      </w:r>
      <w:r w:rsidR="00E3692F" w:rsidRPr="003D0CB7">
        <w:rPr>
          <w:lang w:val="fr-CA"/>
        </w:rPr>
        <w:t>»</w:t>
      </w:r>
      <w:r w:rsidRPr="00FA6F76">
        <w:rPr>
          <w:rFonts w:cs="Times New Roman"/>
          <w:lang w:val="fr-CA"/>
        </w:rPr>
        <w:t>, formulation appliquée depuis longtemps par les cours fédérales (par.</w:t>
      </w:r>
      <w:r w:rsidR="00F23967">
        <w:rPr>
          <w:rFonts w:cs="Times New Roman"/>
          <w:lang w:val="fr-CA"/>
        </w:rPr>
        <w:t xml:space="preserve"> </w:t>
      </w:r>
      <w:r w:rsidRPr="00FA6F76">
        <w:rPr>
          <w:rFonts w:cs="Times New Roman"/>
          <w:lang w:val="fr-CA"/>
        </w:rPr>
        <w:t xml:space="preserve">206).  Le Ministère soutient que la Commissaire aurait plutôt dû appliquer ce qu’il qualifie de norme de preuve moins exigeante, en l’occurrence celle des </w:t>
      </w:r>
      <w:r w:rsidR="00E3692F" w:rsidRPr="003D0CB7">
        <w:rPr>
          <w:lang w:val="fr-CA"/>
        </w:rPr>
        <w:t>«</w:t>
      </w:r>
      <w:r w:rsidR="00E3692F">
        <w:rPr>
          <w:rFonts w:cs="Times New Roman"/>
          <w:iCs/>
          <w:lang w:val="fr-CA"/>
        </w:rPr>
        <w:t> </w:t>
      </w:r>
      <w:r w:rsidRPr="00FA6F76">
        <w:rPr>
          <w:rFonts w:cs="Times New Roman"/>
          <w:lang w:val="fr-CA"/>
        </w:rPr>
        <w:t>motifs raisonnables de croire</w:t>
      </w:r>
      <w:r w:rsidR="00E3692F">
        <w:rPr>
          <w:rFonts w:cs="Times New Roman"/>
          <w:iCs/>
          <w:lang w:val="fr-CA"/>
        </w:rPr>
        <w:t> </w:t>
      </w:r>
      <w:r w:rsidR="00E3692F" w:rsidRPr="003D0CB7">
        <w:rPr>
          <w:lang w:val="fr-CA"/>
        </w:rPr>
        <w:t>»</w:t>
      </w:r>
      <w:r w:rsidRPr="00FA6F76">
        <w:rPr>
          <w:rFonts w:cs="Times New Roman"/>
          <w:lang w:val="fr-CA"/>
        </w:rPr>
        <w:t xml:space="preserve">, que les tribunaux de l’Ontario et d’autres provinces ont généralement appliquée pour interpréter des dispositions législatives analogues. </w:t>
      </w:r>
    </w:p>
    <w:p w:rsidR="006C6098" w:rsidRPr="00FA6F76" w:rsidRDefault="006C6098" w:rsidP="00021119">
      <w:pPr>
        <w:pStyle w:val="ParaNoNdepar-AltN"/>
        <w:rPr>
          <w:rFonts w:cs="Times New Roman"/>
          <w:lang w:val="fr-CA"/>
        </w:rPr>
      </w:pPr>
      <w:r w:rsidRPr="00FA6F76">
        <w:rPr>
          <w:rFonts w:cs="Times New Roman"/>
          <w:lang w:val="fr-CA"/>
        </w:rPr>
        <w:t xml:space="preserve">Le premier problème que pose cet argument est la prémisse sur laquelle il repose.  L’argument du Ministère suppose qu’il existe une différence de fond entre la notion de </w:t>
      </w:r>
      <w:r w:rsidR="00E3692F" w:rsidRPr="003D0CB7">
        <w:rPr>
          <w:lang w:val="fr-CA"/>
        </w:rPr>
        <w:t>«</w:t>
      </w:r>
      <w:r w:rsidR="00E3692F">
        <w:rPr>
          <w:rFonts w:cs="Times New Roman"/>
          <w:iCs/>
          <w:lang w:val="fr-CA"/>
        </w:rPr>
        <w:t> </w:t>
      </w:r>
      <w:r w:rsidRPr="00FA6F76">
        <w:rPr>
          <w:rFonts w:cs="Times New Roman"/>
          <w:lang w:val="fr-CA"/>
        </w:rPr>
        <w:t>risque vraisemblable de préjudice probable</w:t>
      </w:r>
      <w:r w:rsidR="00E3692F">
        <w:rPr>
          <w:rFonts w:cs="Times New Roman"/>
          <w:iCs/>
          <w:lang w:val="fr-CA"/>
        </w:rPr>
        <w:t> </w:t>
      </w:r>
      <w:r w:rsidR="00E3692F" w:rsidRPr="003D0CB7">
        <w:rPr>
          <w:lang w:val="fr-CA"/>
        </w:rPr>
        <w:t>»</w:t>
      </w:r>
      <w:r w:rsidRPr="00FA6F76">
        <w:rPr>
          <w:rFonts w:cs="Times New Roman"/>
          <w:lang w:val="fr-CA"/>
        </w:rPr>
        <w:t xml:space="preserve"> et celle des </w:t>
      </w:r>
      <w:r w:rsidR="00E3692F" w:rsidRPr="003D0CB7">
        <w:rPr>
          <w:lang w:val="fr-CA"/>
        </w:rPr>
        <w:t>«</w:t>
      </w:r>
      <w:r w:rsidR="00E3692F">
        <w:rPr>
          <w:rFonts w:cs="Times New Roman"/>
          <w:iCs/>
          <w:lang w:val="fr-CA"/>
        </w:rPr>
        <w:t> </w:t>
      </w:r>
      <w:r w:rsidRPr="00FA6F76">
        <w:rPr>
          <w:rFonts w:cs="Times New Roman"/>
          <w:lang w:val="fr-CA"/>
        </w:rPr>
        <w:t>motifs raisonnables de croire</w:t>
      </w:r>
      <w:r w:rsidR="00E3692F">
        <w:rPr>
          <w:rFonts w:cs="Times New Roman"/>
          <w:iCs/>
          <w:lang w:val="fr-CA"/>
        </w:rPr>
        <w:t> </w:t>
      </w:r>
      <w:r w:rsidR="00E3692F" w:rsidRPr="003D0CB7">
        <w:rPr>
          <w:lang w:val="fr-CA"/>
        </w:rPr>
        <w:t>»</w:t>
      </w:r>
      <w:r w:rsidRPr="00FA6F76">
        <w:rPr>
          <w:rFonts w:cs="Times New Roman"/>
          <w:lang w:val="fr-CA"/>
        </w:rPr>
        <w:t xml:space="preserve"> qu’un préjudice se produira.  Il s’agit d’une prémisse que nous ne pouvons pas </w:t>
      </w:r>
      <w:proofErr w:type="gramStart"/>
      <w:r w:rsidRPr="00FA6F76">
        <w:rPr>
          <w:rFonts w:cs="Times New Roman"/>
          <w:lang w:val="fr-CA"/>
        </w:rPr>
        <w:t>accepter</w:t>
      </w:r>
      <w:proofErr w:type="gramEnd"/>
      <w:r w:rsidRPr="00FA6F76">
        <w:rPr>
          <w:rFonts w:cs="Times New Roman"/>
          <w:lang w:val="fr-CA"/>
        </w:rPr>
        <w:t xml:space="preserve"> (voir, p</w:t>
      </w:r>
      <w:r w:rsidR="000B1C75">
        <w:rPr>
          <w:rFonts w:cs="Times New Roman"/>
          <w:lang w:val="fr-CA"/>
        </w:rPr>
        <w:t>.</w:t>
      </w:r>
      <w:r w:rsidRPr="00FA6F76">
        <w:rPr>
          <w:rFonts w:cs="Times New Roman"/>
          <w:lang w:val="fr-CA"/>
        </w:rPr>
        <w:t xml:space="preserve"> ex., l’ordonnance PO</w:t>
      </w:r>
      <w:r w:rsidR="00F23967">
        <w:rPr>
          <w:rFonts w:cs="Times New Roman"/>
          <w:lang w:val="fr-CA"/>
        </w:rPr>
        <w:t>-</w:t>
      </w:r>
      <w:r w:rsidRPr="00FA6F76">
        <w:rPr>
          <w:rFonts w:cs="Times New Roman"/>
          <w:lang w:val="fr-CA"/>
        </w:rPr>
        <w:t xml:space="preserve">3157, 2013 </w:t>
      </w:r>
      <w:proofErr w:type="spellStart"/>
      <w:r w:rsidRPr="00FA6F76">
        <w:rPr>
          <w:rFonts w:cs="Times New Roman"/>
          <w:lang w:val="fr-CA"/>
        </w:rPr>
        <w:t>CanLII</w:t>
      </w:r>
      <w:proofErr w:type="spellEnd"/>
      <w:r w:rsidRPr="00FA6F76">
        <w:rPr>
          <w:rFonts w:cs="Times New Roman"/>
          <w:lang w:val="fr-CA"/>
        </w:rPr>
        <w:t xml:space="preserve"> 28809 (</w:t>
      </w:r>
      <w:r w:rsidR="000B1C75">
        <w:rPr>
          <w:rFonts w:cs="Times New Roman"/>
          <w:lang w:val="fr-CA"/>
        </w:rPr>
        <w:t xml:space="preserve">CIPVP </w:t>
      </w:r>
      <w:r>
        <w:rPr>
          <w:rFonts w:cs="Times New Roman"/>
          <w:lang w:val="fr-CA"/>
        </w:rPr>
        <w:t>ON</w:t>
      </w:r>
      <w:r w:rsidRPr="00FA6F76">
        <w:rPr>
          <w:rFonts w:cs="Times New Roman"/>
          <w:lang w:val="fr-CA"/>
        </w:rPr>
        <w:t>), par.</w:t>
      </w:r>
      <w:r w:rsidR="00F23967">
        <w:rPr>
          <w:rFonts w:cs="Times New Roman"/>
          <w:lang w:val="fr-CA"/>
        </w:rPr>
        <w:t xml:space="preserve"> </w:t>
      </w:r>
      <w:r w:rsidRPr="00FA6F76">
        <w:rPr>
          <w:rFonts w:cs="Times New Roman"/>
          <w:lang w:val="fr-CA"/>
        </w:rPr>
        <w:t>48).</w:t>
      </w:r>
    </w:p>
    <w:p w:rsidR="006C6098" w:rsidRPr="00FA6F76" w:rsidRDefault="006C6098" w:rsidP="00021119">
      <w:pPr>
        <w:pStyle w:val="ParaNoNdepar-AltN"/>
        <w:rPr>
          <w:rFonts w:cs="Times New Roman"/>
          <w:lang w:val="fr-CA"/>
        </w:rPr>
      </w:pPr>
      <w:r w:rsidRPr="00FA6F76">
        <w:rPr>
          <w:rFonts w:cs="Times New Roman"/>
          <w:lang w:val="fr-CA"/>
        </w:rPr>
        <w:lastRenderedPageBreak/>
        <w:t xml:space="preserve">Il importe de se rappeler que ces expressions ne sont que de simples tentatives visant à expliquer ou à préciser le sens de dispositions législatives identiques.  Les cours d’appel provinciales qui n’ont pas retenu le critère dit du </w:t>
      </w:r>
      <w:r w:rsidR="00E3692F" w:rsidRPr="003D0CB7">
        <w:rPr>
          <w:lang w:val="fr-CA"/>
        </w:rPr>
        <w:t>«</w:t>
      </w:r>
      <w:r w:rsidR="00E3692F">
        <w:rPr>
          <w:rFonts w:cs="Times New Roman"/>
          <w:iCs/>
          <w:lang w:val="fr-CA"/>
        </w:rPr>
        <w:t> </w:t>
      </w:r>
      <w:r w:rsidRPr="00FA6F76">
        <w:rPr>
          <w:rFonts w:cs="Times New Roman"/>
          <w:lang w:val="fr-CA"/>
        </w:rPr>
        <w:t>risque vraisemblable de préjudice probable</w:t>
      </w:r>
      <w:r w:rsidR="00E3692F">
        <w:rPr>
          <w:rFonts w:cs="Times New Roman"/>
          <w:iCs/>
          <w:lang w:val="fr-CA"/>
        </w:rPr>
        <w:t> </w:t>
      </w:r>
      <w:r w:rsidR="00E3692F" w:rsidRPr="003D0CB7">
        <w:rPr>
          <w:lang w:val="fr-CA"/>
        </w:rPr>
        <w:t>»</w:t>
      </w:r>
      <w:r w:rsidRPr="00FA6F76">
        <w:rPr>
          <w:rFonts w:cs="Times New Roman"/>
          <w:lang w:val="fr-CA"/>
        </w:rPr>
        <w:t xml:space="preserve"> craignaient qu’il donne à penser que le préjudice requis devait être probable (voir, p</w:t>
      </w:r>
      <w:r w:rsidR="000B1C75">
        <w:rPr>
          <w:rFonts w:cs="Times New Roman"/>
          <w:lang w:val="fr-CA"/>
        </w:rPr>
        <w:t>.</w:t>
      </w:r>
      <w:r w:rsidRPr="00FA6F76">
        <w:rPr>
          <w:rFonts w:cs="Times New Roman"/>
          <w:lang w:val="fr-CA"/>
        </w:rPr>
        <w:t xml:space="preserve"> ex., </w:t>
      </w:r>
      <w:proofErr w:type="spellStart"/>
      <w:r w:rsidRPr="00FA6F76">
        <w:rPr>
          <w:rFonts w:cs="Times New Roman"/>
          <w:i/>
          <w:lang w:val="fr-CA"/>
        </w:rPr>
        <w:t>Worker</w:t>
      </w:r>
      <w:proofErr w:type="spellEnd"/>
      <w:r w:rsidRPr="00FA6F76">
        <w:rPr>
          <w:rFonts w:cs="Times New Roman"/>
          <w:i/>
          <w:lang w:val="fr-CA"/>
        </w:rPr>
        <w:t xml:space="preserve"> </w:t>
      </w:r>
      <w:proofErr w:type="spellStart"/>
      <w:r w:rsidRPr="00FA6F76">
        <w:rPr>
          <w:rFonts w:cs="Times New Roman"/>
          <w:i/>
          <w:lang w:val="fr-CA"/>
        </w:rPr>
        <w:t>Advisor</w:t>
      </w:r>
      <w:proofErr w:type="spellEnd"/>
      <w:r w:rsidRPr="00FA6F76">
        <w:rPr>
          <w:rFonts w:cs="Times New Roman"/>
          <w:lang w:val="fr-CA"/>
        </w:rPr>
        <w:t>, par.</w:t>
      </w:r>
      <w:r w:rsidR="00F23967">
        <w:rPr>
          <w:rFonts w:cs="Times New Roman"/>
          <w:lang w:val="fr-CA"/>
        </w:rPr>
        <w:t xml:space="preserve"> </w:t>
      </w:r>
      <w:r w:rsidRPr="00FA6F76">
        <w:rPr>
          <w:rFonts w:cs="Times New Roman"/>
          <w:lang w:val="fr-CA"/>
        </w:rPr>
        <w:t>24</w:t>
      </w:r>
      <w:r w:rsidR="00F23967">
        <w:rPr>
          <w:rFonts w:cs="Times New Roman"/>
          <w:lang w:val="fr-CA"/>
        </w:rPr>
        <w:t>-</w:t>
      </w:r>
      <w:r w:rsidRPr="00FA6F76">
        <w:rPr>
          <w:rFonts w:cs="Times New Roman"/>
          <w:lang w:val="fr-CA"/>
        </w:rPr>
        <w:t xml:space="preserve">25; </w:t>
      </w:r>
      <w:proofErr w:type="spellStart"/>
      <w:r w:rsidRPr="00FA6F76">
        <w:rPr>
          <w:rFonts w:cs="Times New Roman"/>
          <w:i/>
          <w:iCs/>
          <w:lang w:val="fr-CA"/>
        </w:rPr>
        <w:t>Chesal</w:t>
      </w:r>
      <w:proofErr w:type="spellEnd"/>
      <w:r w:rsidRPr="00FA6F76">
        <w:rPr>
          <w:rFonts w:cs="Times New Roman"/>
          <w:i/>
          <w:iCs/>
          <w:lang w:val="fr-CA"/>
        </w:rPr>
        <w:t xml:space="preserve"> c. Nova </w:t>
      </w:r>
      <w:proofErr w:type="spellStart"/>
      <w:r w:rsidRPr="00FA6F76">
        <w:rPr>
          <w:rFonts w:cs="Times New Roman"/>
          <w:i/>
          <w:iCs/>
          <w:lang w:val="fr-CA"/>
        </w:rPr>
        <w:t>Scotia</w:t>
      </w:r>
      <w:proofErr w:type="spellEnd"/>
      <w:r w:rsidRPr="00FA6F76">
        <w:rPr>
          <w:rFonts w:cs="Times New Roman"/>
          <w:i/>
          <w:iCs/>
          <w:lang w:val="fr-CA"/>
        </w:rPr>
        <w:t xml:space="preserve"> (Attorney General)</w:t>
      </w:r>
      <w:r w:rsidRPr="00FA6F76">
        <w:rPr>
          <w:rFonts w:cs="Times New Roman"/>
          <w:lang w:val="fr-CA"/>
        </w:rPr>
        <w:t>, 2003 NSCA 124, 219 N.S.R. (2d) 139, par.</w:t>
      </w:r>
      <w:r w:rsidR="00F23967">
        <w:rPr>
          <w:rFonts w:cs="Times New Roman"/>
          <w:lang w:val="fr-CA"/>
        </w:rPr>
        <w:t xml:space="preserve"> </w:t>
      </w:r>
      <w:r w:rsidRPr="00FA6F76">
        <w:rPr>
          <w:rFonts w:cs="Times New Roman"/>
          <w:lang w:val="fr-CA"/>
        </w:rPr>
        <w:t xml:space="preserve">37).  Comme la Cour l’a affirmé dans </w:t>
      </w:r>
      <w:proofErr w:type="spellStart"/>
      <w:r w:rsidRPr="00FA6F76">
        <w:rPr>
          <w:rFonts w:cs="Times New Roman"/>
          <w:i/>
          <w:iCs/>
          <w:lang w:val="fr-CA"/>
        </w:rPr>
        <w:t>Merck</w:t>
      </w:r>
      <w:proofErr w:type="spellEnd"/>
      <w:r w:rsidRPr="00FA6F76">
        <w:rPr>
          <w:rFonts w:cs="Times New Roman"/>
          <w:i/>
          <w:iCs/>
          <w:lang w:val="fr-CA"/>
        </w:rPr>
        <w:t xml:space="preserve"> </w:t>
      </w:r>
      <w:proofErr w:type="spellStart"/>
      <w:r w:rsidRPr="00FA6F76">
        <w:rPr>
          <w:rFonts w:cs="Times New Roman"/>
          <w:i/>
          <w:iCs/>
          <w:lang w:val="fr-CA"/>
        </w:rPr>
        <w:t>Frosst</w:t>
      </w:r>
      <w:proofErr w:type="spellEnd"/>
      <w:r w:rsidRPr="00FA6F76">
        <w:rPr>
          <w:rFonts w:cs="Times New Roman"/>
          <w:lang w:val="fr-CA"/>
        </w:rPr>
        <w:t xml:space="preserve">, il y a lieu d’interpréter la présence du mot </w:t>
      </w:r>
      <w:r w:rsidR="00E3692F" w:rsidRPr="003D0CB7">
        <w:rPr>
          <w:lang w:val="fr-CA"/>
        </w:rPr>
        <w:t>«</w:t>
      </w:r>
      <w:r w:rsidR="00E3692F">
        <w:rPr>
          <w:rFonts w:cs="Times New Roman"/>
          <w:iCs/>
          <w:lang w:val="fr-CA"/>
        </w:rPr>
        <w:t> </w:t>
      </w:r>
      <w:r w:rsidRPr="00FA6F76">
        <w:rPr>
          <w:rFonts w:cs="Times New Roman"/>
          <w:lang w:val="fr-CA"/>
        </w:rPr>
        <w:t>probable</w:t>
      </w:r>
      <w:r w:rsidR="00E3692F">
        <w:rPr>
          <w:rFonts w:cs="Times New Roman"/>
          <w:iCs/>
          <w:lang w:val="fr-CA"/>
        </w:rPr>
        <w:t> </w:t>
      </w:r>
      <w:r w:rsidR="00E3692F" w:rsidRPr="003D0CB7">
        <w:rPr>
          <w:lang w:val="fr-CA"/>
        </w:rPr>
        <w:t>»</w:t>
      </w:r>
      <w:r w:rsidRPr="00FA6F76">
        <w:rPr>
          <w:rFonts w:cs="Times New Roman"/>
          <w:lang w:val="fr-CA"/>
        </w:rPr>
        <w:t xml:space="preserve"> dans cette expression eu égard au reste de la phrase</w:t>
      </w:r>
      <w:r w:rsidR="00F23967">
        <w:rPr>
          <w:rFonts w:cs="Times New Roman"/>
          <w:lang w:val="fr-CA"/>
        </w:rPr>
        <w:t xml:space="preserve"> </w:t>
      </w:r>
      <w:r w:rsidRPr="00FA6F76">
        <w:rPr>
          <w:rFonts w:cs="Times New Roman"/>
          <w:lang w:val="fr-CA"/>
        </w:rPr>
        <w:t xml:space="preserve">: un </w:t>
      </w:r>
      <w:r w:rsidR="00E3692F" w:rsidRPr="003D0CB7">
        <w:rPr>
          <w:lang w:val="fr-CA"/>
        </w:rPr>
        <w:t>«</w:t>
      </w:r>
      <w:r w:rsidR="00E3692F">
        <w:rPr>
          <w:rFonts w:cs="Times New Roman"/>
          <w:iCs/>
          <w:lang w:val="fr-CA"/>
        </w:rPr>
        <w:t> </w:t>
      </w:r>
      <w:r w:rsidRPr="00FA6F76">
        <w:rPr>
          <w:rFonts w:cs="Times New Roman"/>
          <w:lang w:val="fr-CA"/>
        </w:rPr>
        <w:t>risque vraisemblable</w:t>
      </w:r>
      <w:r w:rsidR="00E3692F">
        <w:rPr>
          <w:rFonts w:cs="Times New Roman"/>
          <w:iCs/>
          <w:lang w:val="fr-CA"/>
        </w:rPr>
        <w:t> </w:t>
      </w:r>
      <w:r w:rsidR="00E3692F" w:rsidRPr="003D0CB7">
        <w:rPr>
          <w:lang w:val="fr-CA"/>
        </w:rPr>
        <w:t>»</w:t>
      </w:r>
      <w:r w:rsidRPr="00FA6F76">
        <w:rPr>
          <w:rFonts w:cs="Times New Roman"/>
          <w:lang w:val="fr-CA"/>
        </w:rPr>
        <w:t xml:space="preserve"> de préjudice probable suffit.  Le critère du </w:t>
      </w:r>
      <w:r w:rsidR="00E3692F" w:rsidRPr="003D0CB7">
        <w:rPr>
          <w:lang w:val="fr-CA"/>
        </w:rPr>
        <w:t>«</w:t>
      </w:r>
      <w:r w:rsidR="00E3692F">
        <w:rPr>
          <w:rFonts w:cs="Times New Roman"/>
          <w:iCs/>
          <w:lang w:val="fr-CA"/>
        </w:rPr>
        <w:t> </w:t>
      </w:r>
      <w:r w:rsidRPr="00FA6F76">
        <w:rPr>
          <w:rFonts w:cs="Times New Roman"/>
          <w:lang w:val="fr-CA"/>
        </w:rPr>
        <w:t>risque vraisemblable de préjudice probable</w:t>
      </w:r>
      <w:r w:rsidR="00E3692F">
        <w:rPr>
          <w:rFonts w:cs="Times New Roman"/>
          <w:iCs/>
          <w:lang w:val="fr-CA"/>
        </w:rPr>
        <w:t> </w:t>
      </w:r>
      <w:r w:rsidR="00E3692F" w:rsidRPr="003D0CB7">
        <w:rPr>
          <w:lang w:val="fr-CA"/>
        </w:rPr>
        <w:t>»</w:t>
      </w:r>
      <w:r w:rsidRPr="00FA6F76">
        <w:rPr>
          <w:rFonts w:cs="Times New Roman"/>
          <w:lang w:val="fr-CA"/>
        </w:rPr>
        <w:t xml:space="preserve"> ne fait qu’</w:t>
      </w:r>
      <w:r w:rsidR="00E3692F" w:rsidRPr="003D0CB7">
        <w:rPr>
          <w:lang w:val="fr-CA"/>
        </w:rPr>
        <w:t>«</w:t>
      </w:r>
      <w:r w:rsidR="00E3692F">
        <w:rPr>
          <w:rFonts w:cs="Times New Roman"/>
          <w:iCs/>
          <w:lang w:val="fr-CA"/>
        </w:rPr>
        <w:t> </w:t>
      </w:r>
      <w:r w:rsidRPr="00FA6F76">
        <w:rPr>
          <w:rFonts w:cs="Times New Roman"/>
          <w:lang w:val="fr-CA"/>
        </w:rPr>
        <w:t>exprime[r] la nécessité d’établir que la divulgation occasionnera un risque de préjudice selon une norme qui est beaucoup plus exigeante que la simple possibilité ou conjecture, mais qui n’atteint cependant pas celle d’établir, selon la prépondérance des probabilités, que la divulgation occasionnera effectivement un tel préjudice</w:t>
      </w:r>
      <w:r w:rsidR="00E3692F">
        <w:rPr>
          <w:rFonts w:cs="Times New Roman"/>
          <w:iCs/>
          <w:lang w:val="fr-CA"/>
        </w:rPr>
        <w:t> </w:t>
      </w:r>
      <w:r w:rsidR="00E3692F" w:rsidRPr="003D0CB7">
        <w:rPr>
          <w:lang w:val="fr-CA"/>
        </w:rPr>
        <w:t>»</w:t>
      </w:r>
      <w:r w:rsidRPr="00FA6F76">
        <w:rPr>
          <w:rFonts w:cs="Times New Roman"/>
          <w:lang w:val="fr-CA"/>
        </w:rPr>
        <w:t xml:space="preserve"> (par.</w:t>
      </w:r>
      <w:r w:rsidR="00F23967">
        <w:rPr>
          <w:rFonts w:cs="Times New Roman"/>
          <w:lang w:val="fr-CA"/>
        </w:rPr>
        <w:t xml:space="preserve"> </w:t>
      </w:r>
      <w:r w:rsidRPr="00FA6F76">
        <w:rPr>
          <w:rFonts w:cs="Times New Roman"/>
          <w:lang w:val="fr-CA"/>
        </w:rPr>
        <w:t xml:space="preserve">206). </w:t>
      </w:r>
    </w:p>
    <w:p w:rsidR="006C6098" w:rsidRPr="00FA6F76" w:rsidRDefault="006C6098" w:rsidP="00021119">
      <w:pPr>
        <w:pStyle w:val="ParaNoNdepar-AltN"/>
        <w:rPr>
          <w:rFonts w:cs="Times New Roman"/>
          <w:lang w:val="fr-CA"/>
        </w:rPr>
      </w:pPr>
      <w:r w:rsidRPr="00FA6F76">
        <w:rPr>
          <w:rFonts w:cs="Times New Roman"/>
          <w:lang w:val="fr-CA"/>
        </w:rPr>
        <w:t xml:space="preserve">Lorsqu’on envisage la question sous cet angle, on constate qu’il n’existe en pratique aucune différence en ce qui a trait à la norme évoquée par ces deux nouvelles formulations du critère prévu par la loi ou par les précisions sur ce critère.  Puisque les critères prévus par la loi sont exprimés en des termes semblables dans </w:t>
      </w:r>
      <w:proofErr w:type="gramStart"/>
      <w:r w:rsidRPr="00FA6F76">
        <w:rPr>
          <w:rFonts w:cs="Times New Roman"/>
          <w:lang w:val="fr-CA"/>
        </w:rPr>
        <w:t>les lois fédérale et provinciales</w:t>
      </w:r>
      <w:proofErr w:type="gramEnd"/>
      <w:r w:rsidRPr="00FA6F76">
        <w:rPr>
          <w:rFonts w:cs="Times New Roman"/>
          <w:lang w:val="fr-CA"/>
        </w:rPr>
        <w:t xml:space="preserve"> sur l’accès à l’information, il est préférable de ne donner qu’une seule interprétation à ces termes (</w:t>
      </w:r>
      <w:proofErr w:type="spellStart"/>
      <w:r w:rsidRPr="00FA6F76">
        <w:rPr>
          <w:rFonts w:cs="Times New Roman"/>
          <w:i/>
          <w:iCs/>
          <w:lang w:val="fr-CA"/>
        </w:rPr>
        <w:t>Merck</w:t>
      </w:r>
      <w:proofErr w:type="spellEnd"/>
      <w:r w:rsidRPr="00FA6F76">
        <w:rPr>
          <w:rFonts w:cs="Times New Roman"/>
          <w:i/>
          <w:iCs/>
          <w:lang w:val="fr-CA"/>
        </w:rPr>
        <w:t xml:space="preserve"> </w:t>
      </w:r>
      <w:proofErr w:type="spellStart"/>
      <w:r w:rsidRPr="00FA6F76">
        <w:rPr>
          <w:rFonts w:cs="Times New Roman"/>
          <w:i/>
          <w:iCs/>
          <w:lang w:val="fr-CA"/>
        </w:rPr>
        <w:t>Frosst</w:t>
      </w:r>
      <w:proofErr w:type="spellEnd"/>
      <w:r w:rsidRPr="00FA6F76">
        <w:rPr>
          <w:rFonts w:cs="Times New Roman"/>
          <w:lang w:val="fr-CA"/>
        </w:rPr>
        <w:t>, par.</w:t>
      </w:r>
      <w:r w:rsidR="00F23967">
        <w:rPr>
          <w:rFonts w:cs="Times New Roman"/>
          <w:lang w:val="fr-CA"/>
        </w:rPr>
        <w:t xml:space="preserve"> </w:t>
      </w:r>
      <w:r w:rsidRPr="00FA6F76">
        <w:rPr>
          <w:rFonts w:cs="Times New Roman"/>
          <w:lang w:val="fr-CA"/>
        </w:rPr>
        <w:t>195)</w:t>
      </w:r>
      <w:r w:rsidR="00F23967">
        <w:rPr>
          <w:rFonts w:cs="Times New Roman"/>
          <w:lang w:val="fr-CA"/>
        </w:rPr>
        <w:t xml:space="preserve"> </w:t>
      </w:r>
      <w:r w:rsidRPr="00FA6F76">
        <w:rPr>
          <w:rFonts w:cs="Times New Roman"/>
          <w:lang w:val="fr-CA"/>
        </w:rPr>
        <w:t xml:space="preserve">: </w:t>
      </w:r>
    </w:p>
    <w:p w:rsidR="006C6098" w:rsidRPr="00FA6F76" w:rsidRDefault="006C6098" w:rsidP="00021119">
      <w:pPr>
        <w:pStyle w:val="Citation-AltC"/>
        <w:ind w:hanging="1166"/>
        <w:contextualSpacing w:val="0"/>
        <w:rPr>
          <w:lang w:val="fr-CA"/>
        </w:rPr>
      </w:pPr>
      <w:r w:rsidRPr="00FA6F76">
        <w:rPr>
          <w:lang w:val="fr-CA"/>
        </w:rPr>
        <w:tab/>
      </w:r>
      <w:r w:rsidRPr="00FA6F76">
        <w:rPr>
          <w:lang w:val="fr-CA"/>
        </w:rPr>
        <w:tab/>
        <w:t xml:space="preserve">Je ne suis pas convaincu que nous devrions modifier la façon dont les cours fédérales formulent ce critère depuis si longtemps.  En effet, une </w:t>
      </w:r>
      <w:r w:rsidRPr="00FA6F76">
        <w:rPr>
          <w:lang w:val="fr-CA"/>
        </w:rPr>
        <w:lastRenderedPageBreak/>
        <w:t>telle modification aurait également une incidence sur d’autres dispositions, car plusieurs autres exceptions prévues par la Loi sont formulées d’une façon semblable à l’al.</w:t>
      </w:r>
      <w:r w:rsidR="00F23967">
        <w:rPr>
          <w:lang w:val="fr-CA"/>
        </w:rPr>
        <w:t xml:space="preserve"> </w:t>
      </w:r>
      <w:r w:rsidRPr="00FA6F76">
        <w:rPr>
          <w:lang w:val="fr-CA"/>
        </w:rPr>
        <w:t>20(1)</w:t>
      </w:r>
      <w:r w:rsidRPr="00FA6F76">
        <w:rPr>
          <w:i/>
          <w:iCs/>
          <w:lang w:val="fr-CA"/>
        </w:rPr>
        <w:t>c</w:t>
      </w:r>
      <w:r w:rsidRPr="00FA6F76">
        <w:rPr>
          <w:lang w:val="fr-CA"/>
        </w:rPr>
        <w:t xml:space="preserve">), notamment celles relatives à la conduite des affaires </w:t>
      </w:r>
      <w:proofErr w:type="spellStart"/>
      <w:r w:rsidRPr="00FA6F76">
        <w:rPr>
          <w:lang w:val="fr-CA"/>
        </w:rPr>
        <w:t>fédéro</w:t>
      </w:r>
      <w:proofErr w:type="spellEnd"/>
      <w:r w:rsidR="00F23967">
        <w:rPr>
          <w:lang w:val="fr-CA"/>
        </w:rPr>
        <w:t>-</w:t>
      </w:r>
      <w:r w:rsidRPr="00FA6F76">
        <w:rPr>
          <w:lang w:val="fr-CA"/>
        </w:rPr>
        <w:t>provinciales (art.</w:t>
      </w:r>
      <w:r w:rsidR="00F23967">
        <w:rPr>
          <w:lang w:val="fr-CA"/>
        </w:rPr>
        <w:t xml:space="preserve"> </w:t>
      </w:r>
      <w:r w:rsidRPr="00FA6F76">
        <w:rPr>
          <w:lang w:val="fr-CA"/>
        </w:rPr>
        <w:t>14), à la conduite des affaires internationales et à la défense du Canada (art.</w:t>
      </w:r>
      <w:r w:rsidR="00F23967">
        <w:rPr>
          <w:lang w:val="fr-CA"/>
        </w:rPr>
        <w:t xml:space="preserve"> </w:t>
      </w:r>
      <w:r w:rsidRPr="00FA6F76">
        <w:rPr>
          <w:lang w:val="fr-CA"/>
        </w:rPr>
        <w:t>15), aux enquêtes (art.</w:t>
      </w:r>
      <w:r w:rsidR="00F23967">
        <w:rPr>
          <w:lang w:val="fr-CA"/>
        </w:rPr>
        <w:t xml:space="preserve"> </w:t>
      </w:r>
      <w:r w:rsidRPr="00FA6F76">
        <w:rPr>
          <w:lang w:val="fr-CA"/>
        </w:rPr>
        <w:t>16), à la sécurité des individus (art.</w:t>
      </w:r>
      <w:r w:rsidR="00F23967">
        <w:rPr>
          <w:lang w:val="fr-CA"/>
        </w:rPr>
        <w:t xml:space="preserve"> </w:t>
      </w:r>
      <w:r w:rsidRPr="00FA6F76">
        <w:rPr>
          <w:lang w:val="fr-CA"/>
        </w:rPr>
        <w:t>17), et aux intérêts économiques du Canada (art.</w:t>
      </w:r>
      <w:r w:rsidR="00F23967">
        <w:rPr>
          <w:lang w:val="fr-CA"/>
        </w:rPr>
        <w:t xml:space="preserve"> </w:t>
      </w:r>
      <w:r w:rsidRPr="00FA6F76">
        <w:rPr>
          <w:lang w:val="fr-CA"/>
        </w:rPr>
        <w:t xml:space="preserve">18).  De plus, comme le souligne l’intimé, le critère du </w:t>
      </w:r>
      <w:r w:rsidR="00E3692F" w:rsidRPr="003D0CB7">
        <w:rPr>
          <w:lang w:val="fr-CA"/>
        </w:rPr>
        <w:t>«</w:t>
      </w:r>
      <w:r w:rsidR="00E3692F">
        <w:rPr>
          <w:iCs/>
          <w:lang w:val="fr-CA"/>
        </w:rPr>
        <w:t> </w:t>
      </w:r>
      <w:r w:rsidRPr="00FA6F76">
        <w:rPr>
          <w:lang w:val="fr-CA"/>
        </w:rPr>
        <w:t>risque vraisemblable de préjudice probable</w:t>
      </w:r>
      <w:r w:rsidR="00E3692F">
        <w:rPr>
          <w:iCs/>
          <w:lang w:val="fr-CA"/>
        </w:rPr>
        <w:t> </w:t>
      </w:r>
      <w:r w:rsidR="00E3692F" w:rsidRPr="003D0CB7">
        <w:rPr>
          <w:lang w:val="fr-CA"/>
        </w:rPr>
        <w:t>»</w:t>
      </w:r>
      <w:r w:rsidRPr="00FA6F76">
        <w:rPr>
          <w:lang w:val="fr-CA"/>
        </w:rPr>
        <w:t xml:space="preserve"> a été appliqué relativement à un certain nombre de lois provinciales en matière d’accès à l’information libellées en des termes similaires.  </w:t>
      </w:r>
      <w:r w:rsidR="00CB5509">
        <w:rPr>
          <w:u w:val="single"/>
          <w:lang w:val="fr-CA"/>
        </w:rPr>
        <w:t>Par conséquent</w:t>
      </w:r>
      <w:r w:rsidRPr="00FA6F76">
        <w:rPr>
          <w:u w:val="single"/>
          <w:lang w:val="fr-CA"/>
        </w:rPr>
        <w:t>, l’interprétation législative de ce critère est importante tant en ce qui concerne l’application de nombreuses exceptions prévues dans la Loi fédérale que celle de diverses lois provinciales libellées en des termes similaires</w:t>
      </w:r>
      <w:r w:rsidRPr="00B53292">
        <w:rPr>
          <w:u w:val="single"/>
          <w:lang w:val="fr-CA"/>
        </w:rPr>
        <w:t>.</w:t>
      </w:r>
      <w:r w:rsidRPr="00FA6F76">
        <w:rPr>
          <w:lang w:val="fr-CA"/>
        </w:rPr>
        <w:t xml:space="preserve">  [No</w:t>
      </w:r>
      <w:r w:rsidR="00F22A34">
        <w:rPr>
          <w:lang w:val="fr-CA"/>
        </w:rPr>
        <w:t>us soulignons</w:t>
      </w:r>
      <w:r w:rsidRPr="00FA6F76">
        <w:rPr>
          <w:lang w:val="fr-CA"/>
        </w:rPr>
        <w:t>.]</w:t>
      </w:r>
    </w:p>
    <w:p w:rsidR="006C6098" w:rsidRPr="00FA6F76" w:rsidRDefault="006C6098" w:rsidP="00021119">
      <w:pPr>
        <w:pStyle w:val="ParaNoNdepar-AltN"/>
        <w:rPr>
          <w:rFonts w:cs="Times New Roman"/>
          <w:lang w:val="fr-CA"/>
        </w:rPr>
      </w:pPr>
      <w:r w:rsidRPr="00FA6F76">
        <w:rPr>
          <w:rFonts w:cs="Times New Roman"/>
          <w:lang w:val="fr-CA"/>
        </w:rPr>
        <w:t xml:space="preserve">Dans l’arrêt </w:t>
      </w:r>
      <w:proofErr w:type="spellStart"/>
      <w:r w:rsidRPr="00FA6F76">
        <w:rPr>
          <w:rFonts w:cs="Times New Roman"/>
          <w:i/>
          <w:iCs/>
          <w:lang w:val="fr-CA"/>
        </w:rPr>
        <w:t>Merck</w:t>
      </w:r>
      <w:proofErr w:type="spellEnd"/>
      <w:r w:rsidRPr="00FA6F76">
        <w:rPr>
          <w:rFonts w:cs="Times New Roman"/>
          <w:i/>
          <w:iCs/>
          <w:lang w:val="fr-CA"/>
        </w:rPr>
        <w:t xml:space="preserve"> </w:t>
      </w:r>
      <w:proofErr w:type="spellStart"/>
      <w:r w:rsidRPr="00FA6F76">
        <w:rPr>
          <w:rFonts w:cs="Times New Roman"/>
          <w:i/>
          <w:iCs/>
          <w:lang w:val="fr-CA"/>
        </w:rPr>
        <w:t>Frosst</w:t>
      </w:r>
      <w:proofErr w:type="spellEnd"/>
      <w:r w:rsidRPr="00FA6F76">
        <w:rPr>
          <w:rFonts w:cs="Times New Roman"/>
          <w:lang w:val="fr-CA"/>
        </w:rPr>
        <w:t xml:space="preserve">, la Cour a adopté le critère du </w:t>
      </w:r>
      <w:r w:rsidR="00E3692F" w:rsidRPr="003D0CB7">
        <w:rPr>
          <w:lang w:val="fr-CA"/>
        </w:rPr>
        <w:t>«</w:t>
      </w:r>
      <w:r w:rsidR="00E3692F">
        <w:rPr>
          <w:rFonts w:cs="Times New Roman"/>
          <w:iCs/>
          <w:lang w:val="fr-CA"/>
        </w:rPr>
        <w:t> </w:t>
      </w:r>
      <w:r w:rsidRPr="00FA6F76">
        <w:rPr>
          <w:rFonts w:cs="Times New Roman"/>
          <w:lang w:val="fr-CA"/>
        </w:rPr>
        <w:t>risque vraisemblable de préjudice probable</w:t>
      </w:r>
      <w:r w:rsidR="00E3692F">
        <w:rPr>
          <w:rFonts w:cs="Times New Roman"/>
          <w:iCs/>
          <w:lang w:val="fr-CA"/>
        </w:rPr>
        <w:t> </w:t>
      </w:r>
      <w:r w:rsidR="00E3692F" w:rsidRPr="003D0CB7">
        <w:rPr>
          <w:lang w:val="fr-CA"/>
        </w:rPr>
        <w:t>»</w:t>
      </w:r>
      <w:r w:rsidRPr="00FA6F76">
        <w:rPr>
          <w:rFonts w:cs="Times New Roman"/>
          <w:lang w:val="fr-CA"/>
        </w:rPr>
        <w:t xml:space="preserve">, et c’est celui que l’on devrait utiliser chaque fois que le législateur emploie la formule </w:t>
      </w:r>
      <w:r w:rsidR="00E3692F" w:rsidRPr="003D0CB7">
        <w:rPr>
          <w:lang w:val="fr-CA"/>
        </w:rPr>
        <w:t>«</w:t>
      </w:r>
      <w:r w:rsidR="00E3692F">
        <w:rPr>
          <w:rFonts w:cs="Times New Roman"/>
          <w:iCs/>
          <w:lang w:val="fr-CA"/>
        </w:rPr>
        <w:t> </w:t>
      </w:r>
      <w:r w:rsidRPr="00FA6F76">
        <w:rPr>
          <w:rFonts w:cs="Times New Roman"/>
          <w:lang w:val="fr-CA"/>
        </w:rPr>
        <w:t>risquerait vraisemblablement de</w:t>
      </w:r>
      <w:r w:rsidR="00E3692F">
        <w:rPr>
          <w:rFonts w:cs="Times New Roman"/>
          <w:iCs/>
          <w:lang w:val="fr-CA"/>
        </w:rPr>
        <w:t> </w:t>
      </w:r>
      <w:r w:rsidR="00E3692F" w:rsidRPr="003D0CB7">
        <w:rPr>
          <w:lang w:val="fr-CA"/>
        </w:rPr>
        <w:t>»</w:t>
      </w:r>
      <w:r w:rsidRPr="00FA6F76">
        <w:rPr>
          <w:rFonts w:cs="Times New Roman"/>
          <w:lang w:val="fr-CA"/>
        </w:rPr>
        <w:t xml:space="preserve"> dans une loi sur l’accès à l’information.  Ainsi que la Cour l’a souligné dans </w:t>
      </w:r>
      <w:proofErr w:type="spellStart"/>
      <w:r w:rsidRPr="00FA6F76">
        <w:rPr>
          <w:rFonts w:cs="Times New Roman"/>
          <w:i/>
          <w:iCs/>
          <w:lang w:val="fr-CA"/>
        </w:rPr>
        <w:t>Merck</w:t>
      </w:r>
      <w:proofErr w:type="spellEnd"/>
      <w:r w:rsidRPr="00FA6F76">
        <w:rPr>
          <w:rFonts w:cs="Times New Roman"/>
          <w:i/>
          <w:iCs/>
          <w:lang w:val="fr-CA"/>
        </w:rPr>
        <w:t xml:space="preserve"> </w:t>
      </w:r>
      <w:proofErr w:type="spellStart"/>
      <w:r w:rsidRPr="00FA6F76">
        <w:rPr>
          <w:rFonts w:cs="Times New Roman"/>
          <w:i/>
          <w:iCs/>
          <w:lang w:val="fr-CA"/>
        </w:rPr>
        <w:t>Frosst</w:t>
      </w:r>
      <w:proofErr w:type="spellEnd"/>
      <w:r w:rsidRPr="00FA6F76">
        <w:rPr>
          <w:rFonts w:cs="Times New Roman"/>
          <w:lang w:val="fr-CA"/>
        </w:rPr>
        <w:t xml:space="preserve">, la loi vise à trouver un juste milieu entre ce qui est probable et ce qui est simplement possible.  Une institution doit démontrer qu’il existe </w:t>
      </w:r>
      <w:r w:rsidR="00E3692F" w:rsidRPr="003D0CB7">
        <w:rPr>
          <w:lang w:val="fr-CA"/>
        </w:rPr>
        <w:t>«</w:t>
      </w:r>
      <w:r w:rsidR="00E3692F">
        <w:rPr>
          <w:rFonts w:cs="Times New Roman"/>
          <w:iCs/>
          <w:lang w:val="fr-CA"/>
        </w:rPr>
        <w:t> </w:t>
      </w:r>
      <w:r w:rsidRPr="00FA6F76">
        <w:rPr>
          <w:rFonts w:cs="Times New Roman"/>
          <w:lang w:val="fr-CA"/>
        </w:rPr>
        <w:t>davantage</w:t>
      </w:r>
      <w:r w:rsidR="00E3692F">
        <w:rPr>
          <w:rFonts w:cs="Times New Roman"/>
          <w:iCs/>
          <w:lang w:val="fr-CA"/>
        </w:rPr>
        <w:t> </w:t>
      </w:r>
      <w:r w:rsidR="00E3692F" w:rsidRPr="003D0CB7">
        <w:rPr>
          <w:lang w:val="fr-CA"/>
        </w:rPr>
        <w:t>»</w:t>
      </w:r>
      <w:r w:rsidRPr="00FA6F76">
        <w:rPr>
          <w:rFonts w:cs="Times New Roman"/>
          <w:lang w:val="fr-CA"/>
        </w:rPr>
        <w:t xml:space="preserve"> ou </w:t>
      </w:r>
      <w:r w:rsidR="00E3692F" w:rsidRPr="003D0CB7">
        <w:rPr>
          <w:lang w:val="fr-CA"/>
        </w:rPr>
        <w:t>«</w:t>
      </w:r>
      <w:r w:rsidR="00E3692F">
        <w:rPr>
          <w:rFonts w:cs="Times New Roman"/>
          <w:iCs/>
          <w:lang w:val="fr-CA"/>
        </w:rPr>
        <w:t> </w:t>
      </w:r>
      <w:r w:rsidRPr="00FA6F76">
        <w:rPr>
          <w:rFonts w:cs="Times New Roman"/>
          <w:lang w:val="fr-CA"/>
        </w:rPr>
        <w:t>beaucoup plus</w:t>
      </w:r>
      <w:r w:rsidR="00E3692F">
        <w:rPr>
          <w:rFonts w:cs="Times New Roman"/>
          <w:iCs/>
          <w:lang w:val="fr-CA"/>
        </w:rPr>
        <w:t> </w:t>
      </w:r>
      <w:r w:rsidR="00E3692F" w:rsidRPr="003D0CB7">
        <w:rPr>
          <w:lang w:val="fr-CA"/>
        </w:rPr>
        <w:t>»</w:t>
      </w:r>
      <w:r w:rsidRPr="00FA6F76">
        <w:rPr>
          <w:rFonts w:cs="Times New Roman"/>
          <w:lang w:val="fr-CA"/>
        </w:rPr>
        <w:t xml:space="preserve"> qu’une simple possibilité de préjudice pour atteindre ce juste milieu (par.</w:t>
      </w:r>
      <w:r w:rsidR="00F23967">
        <w:rPr>
          <w:rFonts w:cs="Times New Roman"/>
          <w:lang w:val="fr-CA"/>
        </w:rPr>
        <w:t xml:space="preserve"> </w:t>
      </w:r>
      <w:r w:rsidRPr="00FA6F76">
        <w:rPr>
          <w:rFonts w:cs="Times New Roman"/>
          <w:lang w:val="fr-CA"/>
        </w:rPr>
        <w:t xml:space="preserve">197 et 199).  Cette analyse est évidemment contextuelle et la quantité et la qualité des éléments de preuve à produire pour satisfaire à cette norme dépendent en dernier ressort de la nature de la question en cause, ainsi que de la </w:t>
      </w:r>
      <w:r w:rsidR="00E3692F" w:rsidRPr="003D0CB7">
        <w:rPr>
          <w:lang w:val="fr-CA"/>
        </w:rPr>
        <w:t>«</w:t>
      </w:r>
      <w:r w:rsidR="00E3692F">
        <w:rPr>
          <w:rFonts w:cs="Times New Roman"/>
          <w:iCs/>
          <w:lang w:val="fr-CA"/>
        </w:rPr>
        <w:t> </w:t>
      </w:r>
      <w:r w:rsidRPr="00FA6F76">
        <w:rPr>
          <w:rFonts w:cs="Times New Roman"/>
          <w:lang w:val="fr-CA"/>
        </w:rPr>
        <w:t>probabilité ou de l’improbabilité intrinsèque des faits allégués [et] de la gravité des allégations ou de leurs conséquences</w:t>
      </w:r>
      <w:r w:rsidR="00E3692F">
        <w:rPr>
          <w:rFonts w:cs="Times New Roman"/>
          <w:iCs/>
          <w:lang w:val="fr-CA"/>
        </w:rPr>
        <w:t> </w:t>
      </w:r>
      <w:r w:rsidR="00E3692F" w:rsidRPr="003D0CB7">
        <w:rPr>
          <w:lang w:val="fr-CA"/>
        </w:rPr>
        <w:t>»</w:t>
      </w:r>
      <w:r w:rsidRPr="00FA6F76">
        <w:rPr>
          <w:rFonts w:cs="Times New Roman"/>
          <w:lang w:val="fr-CA"/>
        </w:rPr>
        <w:t xml:space="preserve"> (</w:t>
      </w:r>
      <w:proofErr w:type="spellStart"/>
      <w:r w:rsidRPr="00FA6F76">
        <w:rPr>
          <w:rFonts w:cs="Times New Roman"/>
          <w:i/>
          <w:iCs/>
          <w:lang w:val="fr-CA"/>
        </w:rPr>
        <w:t>Merck</w:t>
      </w:r>
      <w:proofErr w:type="spellEnd"/>
      <w:r w:rsidR="00F23967">
        <w:rPr>
          <w:rFonts w:cs="Times New Roman"/>
          <w:i/>
          <w:iCs/>
          <w:lang w:val="fr-CA"/>
        </w:rPr>
        <w:t xml:space="preserve"> </w:t>
      </w:r>
      <w:proofErr w:type="spellStart"/>
      <w:r w:rsidRPr="00FA6F76">
        <w:rPr>
          <w:rFonts w:cs="Times New Roman"/>
          <w:i/>
          <w:iCs/>
          <w:lang w:val="fr-CA"/>
        </w:rPr>
        <w:t>Frosst</w:t>
      </w:r>
      <w:proofErr w:type="spellEnd"/>
      <w:r w:rsidRPr="00FA6F76">
        <w:rPr>
          <w:rFonts w:cs="Times New Roman"/>
          <w:lang w:val="fr-CA"/>
        </w:rPr>
        <w:t>,</w:t>
      </w:r>
      <w:r w:rsidRPr="00FA6F76">
        <w:rPr>
          <w:rFonts w:cs="Times New Roman"/>
          <w:i/>
          <w:iCs/>
          <w:lang w:val="fr-CA"/>
        </w:rPr>
        <w:t xml:space="preserve"> </w:t>
      </w:r>
      <w:r w:rsidRPr="00FA6F76">
        <w:rPr>
          <w:rFonts w:cs="Times New Roman"/>
          <w:lang w:val="fr-CA"/>
        </w:rPr>
        <w:t>par.</w:t>
      </w:r>
      <w:r w:rsidR="00F23967">
        <w:rPr>
          <w:rFonts w:cs="Times New Roman"/>
          <w:lang w:val="fr-CA"/>
        </w:rPr>
        <w:t xml:space="preserve"> </w:t>
      </w:r>
      <w:r w:rsidRPr="00FA6F76">
        <w:rPr>
          <w:rFonts w:cs="Times New Roman"/>
          <w:lang w:val="fr-CA"/>
        </w:rPr>
        <w:t xml:space="preserve">94, citant l’arrêt </w:t>
      </w:r>
      <w:r w:rsidRPr="00FA6F76">
        <w:rPr>
          <w:rFonts w:cs="Times New Roman"/>
          <w:i/>
          <w:iCs/>
          <w:lang w:val="fr-CA"/>
        </w:rPr>
        <w:t>F.H. c. McDougall</w:t>
      </w:r>
      <w:r w:rsidRPr="00FA6F76">
        <w:rPr>
          <w:rFonts w:cs="Times New Roman"/>
          <w:lang w:val="fr-CA"/>
        </w:rPr>
        <w:t>, 2008 CSC 53, [2008] 3 R.C.S. 41, par.</w:t>
      </w:r>
      <w:r w:rsidR="00F23967">
        <w:rPr>
          <w:rFonts w:cs="Times New Roman"/>
          <w:lang w:val="fr-CA"/>
        </w:rPr>
        <w:t xml:space="preserve"> </w:t>
      </w:r>
      <w:r w:rsidRPr="00FA6F76">
        <w:rPr>
          <w:rFonts w:cs="Times New Roman"/>
          <w:lang w:val="fr-CA"/>
        </w:rPr>
        <w:t>40).</w:t>
      </w:r>
    </w:p>
    <w:p w:rsidR="006C6098" w:rsidRPr="00FA6F76" w:rsidRDefault="006C6098" w:rsidP="00021119">
      <w:pPr>
        <w:pStyle w:val="ParaNoNdepar-AltN"/>
        <w:rPr>
          <w:rFonts w:cs="Times New Roman"/>
          <w:lang w:val="fr-CA"/>
        </w:rPr>
      </w:pPr>
      <w:r w:rsidRPr="00FA6F76">
        <w:rPr>
          <w:rFonts w:cs="Times New Roman"/>
          <w:lang w:val="fr-CA"/>
        </w:rPr>
        <w:lastRenderedPageBreak/>
        <w:t xml:space="preserve">Aucun des arguments invoqués par le Ministère pour justifier une approche différente ne nous paraît </w:t>
      </w:r>
      <w:proofErr w:type="gramStart"/>
      <w:r w:rsidRPr="00FA6F76">
        <w:rPr>
          <w:rFonts w:cs="Times New Roman"/>
          <w:lang w:val="fr-CA"/>
        </w:rPr>
        <w:t>convaincant</w:t>
      </w:r>
      <w:proofErr w:type="gramEnd"/>
      <w:r w:rsidRPr="00FA6F76">
        <w:rPr>
          <w:rFonts w:cs="Times New Roman"/>
          <w:lang w:val="fr-CA"/>
        </w:rPr>
        <w:t xml:space="preserve">.  À titre d’exemple, le Ministère affirme que, bien qu’il convienne de mettre en balance le critère du </w:t>
      </w:r>
      <w:r w:rsidR="00E3692F" w:rsidRPr="003D0CB7">
        <w:rPr>
          <w:lang w:val="fr-CA"/>
        </w:rPr>
        <w:t>«</w:t>
      </w:r>
      <w:r w:rsidR="00E3692F">
        <w:rPr>
          <w:rFonts w:cs="Times New Roman"/>
          <w:iCs/>
          <w:lang w:val="fr-CA"/>
        </w:rPr>
        <w:t> </w:t>
      </w:r>
      <w:r w:rsidRPr="00FA6F76">
        <w:rPr>
          <w:rFonts w:cs="Times New Roman"/>
          <w:lang w:val="fr-CA"/>
        </w:rPr>
        <w:t>risque vraisemblable de préjudice probable</w:t>
      </w:r>
      <w:r w:rsidR="00E3692F">
        <w:rPr>
          <w:rFonts w:cs="Times New Roman"/>
          <w:iCs/>
          <w:lang w:val="fr-CA"/>
        </w:rPr>
        <w:t> </w:t>
      </w:r>
      <w:r w:rsidR="00E3692F" w:rsidRPr="003D0CB7">
        <w:rPr>
          <w:lang w:val="fr-CA"/>
        </w:rPr>
        <w:t>»</w:t>
      </w:r>
      <w:r w:rsidRPr="00FA6F76">
        <w:rPr>
          <w:rFonts w:cs="Times New Roman"/>
          <w:lang w:val="fr-CA"/>
        </w:rPr>
        <w:t xml:space="preserve"> avec les intérêts des tiers, le critère moins exigeant proposé par la </w:t>
      </w:r>
      <w:r w:rsidRPr="00FA6F76">
        <w:rPr>
          <w:rFonts w:cs="Times New Roman"/>
          <w:i/>
          <w:iCs/>
          <w:lang w:val="fr-CA"/>
        </w:rPr>
        <w:t xml:space="preserve">LAIPVP </w:t>
      </w:r>
      <w:r w:rsidRPr="00FA6F76">
        <w:rPr>
          <w:rFonts w:cs="Times New Roman"/>
          <w:iCs/>
          <w:lang w:val="fr-CA"/>
        </w:rPr>
        <w:t xml:space="preserve">traduit </w:t>
      </w:r>
      <w:r w:rsidRPr="00FA6F76">
        <w:rPr>
          <w:rFonts w:cs="Times New Roman"/>
          <w:lang w:val="fr-CA"/>
        </w:rPr>
        <w:t>la nécessité plus grande d’assurer la sécurité de la personne, un des intérêts en jeu énumérés à l’art.</w:t>
      </w:r>
      <w:r w:rsidR="00F23967">
        <w:rPr>
          <w:rFonts w:cs="Times New Roman"/>
          <w:lang w:val="fr-CA"/>
        </w:rPr>
        <w:t xml:space="preserve"> </w:t>
      </w:r>
      <w:r w:rsidR="00B53292">
        <w:rPr>
          <w:rFonts w:cs="Times New Roman"/>
          <w:lang w:val="fr-CA"/>
        </w:rPr>
        <w:t>14 (</w:t>
      </w:r>
      <w:proofErr w:type="gramStart"/>
      <w:r w:rsidR="00B53292">
        <w:rPr>
          <w:rFonts w:cs="Times New Roman"/>
          <w:lang w:val="fr-CA"/>
        </w:rPr>
        <w:t>m.a</w:t>
      </w:r>
      <w:r w:rsidRPr="00FA6F76">
        <w:rPr>
          <w:rFonts w:cs="Times New Roman"/>
          <w:lang w:val="fr-CA"/>
        </w:rPr>
        <w:t>.,</w:t>
      </w:r>
      <w:proofErr w:type="gramEnd"/>
      <w:r w:rsidRPr="00FA6F76">
        <w:rPr>
          <w:rFonts w:cs="Times New Roman"/>
          <w:lang w:val="fr-CA"/>
        </w:rPr>
        <w:t xml:space="preserve"> par.</w:t>
      </w:r>
      <w:r w:rsidR="00F23967">
        <w:rPr>
          <w:rFonts w:cs="Times New Roman"/>
          <w:lang w:val="fr-CA"/>
        </w:rPr>
        <w:t xml:space="preserve"> </w:t>
      </w:r>
      <w:r w:rsidRPr="00FA6F76">
        <w:rPr>
          <w:rFonts w:cs="Times New Roman"/>
          <w:lang w:val="fr-CA"/>
        </w:rPr>
        <w:t>88).  Cet argument suppose toutefois qu’il existe en pratique une certaine différence entre les deux formulations, une hypothèse que nous avons déjà écartée.</w:t>
      </w:r>
    </w:p>
    <w:p w:rsidR="006C6098" w:rsidRPr="00FA6F76" w:rsidRDefault="006C6098" w:rsidP="00021119">
      <w:pPr>
        <w:pStyle w:val="ParaNoNdepar-AltN"/>
        <w:rPr>
          <w:rFonts w:cs="Times New Roman"/>
          <w:lang w:val="fr-CA"/>
        </w:rPr>
      </w:pPr>
      <w:r w:rsidRPr="00FA6F76">
        <w:rPr>
          <w:rFonts w:cs="Times New Roman"/>
          <w:lang w:val="fr-CA"/>
        </w:rPr>
        <w:t>Le Ministère se fonde également sur la différence qui existe entre la version française de la loi ontarienne et celle de la loi fédérale.  Cet argument ne nous paraît toutefois pas convaincant.  À l’article</w:t>
      </w:r>
      <w:r w:rsidR="00F23967">
        <w:rPr>
          <w:rFonts w:cs="Times New Roman"/>
          <w:lang w:val="fr-CA"/>
        </w:rPr>
        <w:t xml:space="preserve"> </w:t>
      </w:r>
      <w:r w:rsidRPr="00FA6F76">
        <w:rPr>
          <w:rFonts w:cs="Times New Roman"/>
          <w:lang w:val="fr-CA"/>
        </w:rPr>
        <w:t xml:space="preserve">14 de la </w:t>
      </w:r>
      <w:r w:rsidRPr="00FA6F76">
        <w:rPr>
          <w:rFonts w:cs="Times New Roman"/>
          <w:i/>
          <w:iCs/>
          <w:lang w:val="fr-CA"/>
        </w:rPr>
        <w:t>LAIPVP</w:t>
      </w:r>
      <w:r w:rsidRPr="00FA6F76">
        <w:rPr>
          <w:rFonts w:cs="Times New Roman"/>
          <w:lang w:val="fr-CA"/>
        </w:rPr>
        <w:t xml:space="preserve">, les mots </w:t>
      </w:r>
      <w:r w:rsidR="00E3692F" w:rsidRPr="003D0CB7">
        <w:rPr>
          <w:lang w:val="fr-CA"/>
        </w:rPr>
        <w:t>«</w:t>
      </w:r>
      <w:r w:rsidR="00E3692F">
        <w:rPr>
          <w:rFonts w:cs="Times New Roman"/>
          <w:iCs/>
          <w:lang w:val="fr-CA"/>
        </w:rPr>
        <w:t> </w:t>
      </w:r>
      <w:r w:rsidRPr="00FA6F76">
        <w:rPr>
          <w:rFonts w:cs="Times New Roman"/>
          <w:lang w:val="fr-CA"/>
        </w:rPr>
        <w:t>s’il est raisonnable de s’attendre à</w:t>
      </w:r>
      <w:r w:rsidR="00E3692F">
        <w:rPr>
          <w:rFonts w:cs="Times New Roman"/>
          <w:iCs/>
          <w:lang w:val="fr-CA"/>
        </w:rPr>
        <w:t> </w:t>
      </w:r>
      <w:r w:rsidR="00E3692F" w:rsidRPr="003D0CB7">
        <w:rPr>
          <w:lang w:val="fr-CA"/>
        </w:rPr>
        <w:t>»</w:t>
      </w:r>
      <w:r w:rsidRPr="00FA6F76">
        <w:rPr>
          <w:rFonts w:cs="Times New Roman"/>
          <w:lang w:val="fr-CA"/>
        </w:rPr>
        <w:t xml:space="preserve"> de la version française correspondent aux mots</w:t>
      </w:r>
      <w:r w:rsidRPr="00FA6F76">
        <w:rPr>
          <w:rFonts w:cs="Times New Roman"/>
          <w:i/>
          <w:iCs/>
          <w:lang w:val="fr-CA"/>
        </w:rPr>
        <w:t xml:space="preserve"> </w:t>
      </w:r>
      <w:r w:rsidR="00E3692F" w:rsidRPr="003D0CB7">
        <w:rPr>
          <w:lang w:val="fr-CA"/>
        </w:rPr>
        <w:t>«</w:t>
      </w:r>
      <w:r w:rsidR="00E3692F">
        <w:rPr>
          <w:rFonts w:cs="Times New Roman"/>
          <w:iCs/>
          <w:lang w:val="fr-CA"/>
        </w:rPr>
        <w:t> </w:t>
      </w:r>
      <w:proofErr w:type="spellStart"/>
      <w:r w:rsidRPr="00FA6F76">
        <w:rPr>
          <w:rFonts w:cs="Times New Roman"/>
          <w:i/>
          <w:lang w:val="fr-CA"/>
        </w:rPr>
        <w:t>could</w:t>
      </w:r>
      <w:proofErr w:type="spellEnd"/>
      <w:r w:rsidRPr="00FA6F76">
        <w:rPr>
          <w:rFonts w:cs="Times New Roman"/>
          <w:i/>
          <w:lang w:val="fr-CA"/>
        </w:rPr>
        <w:t xml:space="preserve"> </w:t>
      </w:r>
      <w:proofErr w:type="spellStart"/>
      <w:r w:rsidRPr="00FA6F76">
        <w:rPr>
          <w:rFonts w:cs="Times New Roman"/>
          <w:i/>
          <w:lang w:val="fr-CA"/>
        </w:rPr>
        <w:t>reasonably</w:t>
      </w:r>
      <w:proofErr w:type="spellEnd"/>
      <w:r w:rsidRPr="00FA6F76">
        <w:rPr>
          <w:rFonts w:cs="Times New Roman"/>
          <w:i/>
          <w:lang w:val="fr-CA"/>
        </w:rPr>
        <w:t xml:space="preserve"> </w:t>
      </w:r>
      <w:proofErr w:type="spellStart"/>
      <w:r w:rsidRPr="00FA6F76">
        <w:rPr>
          <w:rFonts w:cs="Times New Roman"/>
          <w:i/>
          <w:lang w:val="fr-CA"/>
        </w:rPr>
        <w:t>be</w:t>
      </w:r>
      <w:proofErr w:type="spellEnd"/>
      <w:r w:rsidRPr="00FA6F76">
        <w:rPr>
          <w:rFonts w:cs="Times New Roman"/>
          <w:i/>
          <w:lang w:val="fr-CA"/>
        </w:rPr>
        <w:t xml:space="preserve"> </w:t>
      </w:r>
      <w:proofErr w:type="spellStart"/>
      <w:r w:rsidRPr="00FA6F76">
        <w:rPr>
          <w:rFonts w:cs="Times New Roman"/>
          <w:i/>
          <w:lang w:val="fr-CA"/>
        </w:rPr>
        <w:t>expected</w:t>
      </w:r>
      <w:proofErr w:type="spellEnd"/>
      <w:r w:rsidRPr="00FA6F76">
        <w:rPr>
          <w:rFonts w:cs="Times New Roman"/>
          <w:i/>
          <w:lang w:val="fr-CA"/>
        </w:rPr>
        <w:t xml:space="preserve"> to</w:t>
      </w:r>
      <w:r w:rsidR="00E3692F">
        <w:rPr>
          <w:rFonts w:cs="Times New Roman"/>
          <w:iCs/>
          <w:lang w:val="fr-CA"/>
        </w:rPr>
        <w:t> </w:t>
      </w:r>
      <w:r w:rsidR="00E3692F" w:rsidRPr="003D0CB7">
        <w:rPr>
          <w:lang w:val="fr-CA"/>
        </w:rPr>
        <w:t>»</w:t>
      </w:r>
      <w:r w:rsidRPr="00FA6F76">
        <w:rPr>
          <w:rFonts w:cs="Times New Roman"/>
          <w:lang w:val="fr-CA"/>
        </w:rPr>
        <w:t xml:space="preserve"> de la version anglaise.  On peut comparer cette formulation avec celle que l’on trouve dans la version française de l’al.</w:t>
      </w:r>
      <w:r w:rsidR="00F23967">
        <w:rPr>
          <w:rFonts w:cs="Times New Roman"/>
          <w:lang w:val="fr-CA"/>
        </w:rPr>
        <w:t xml:space="preserve"> </w:t>
      </w:r>
      <w:r w:rsidRPr="00FA6F76">
        <w:rPr>
          <w:rFonts w:cs="Times New Roman"/>
          <w:lang w:val="fr-CA"/>
        </w:rPr>
        <w:t>20(1)</w:t>
      </w:r>
      <w:r w:rsidRPr="00FA6F76">
        <w:rPr>
          <w:rFonts w:cs="Times New Roman"/>
          <w:i/>
          <w:iCs/>
          <w:lang w:val="fr-CA"/>
        </w:rPr>
        <w:t>c</w:t>
      </w:r>
      <w:r w:rsidRPr="00FA6F76">
        <w:rPr>
          <w:rFonts w:cs="Times New Roman"/>
          <w:lang w:val="fr-CA"/>
        </w:rPr>
        <w:t xml:space="preserve">) de la </w:t>
      </w:r>
      <w:r w:rsidRPr="00FA6F76">
        <w:rPr>
          <w:rFonts w:cs="Times New Roman"/>
          <w:i/>
          <w:iCs/>
          <w:lang w:val="fr-CA"/>
        </w:rPr>
        <w:t xml:space="preserve">Loi sur l’accès à l’information </w:t>
      </w:r>
      <w:r w:rsidRPr="00FA6F76">
        <w:rPr>
          <w:rFonts w:cs="Times New Roman"/>
          <w:iCs/>
          <w:lang w:val="fr-CA"/>
        </w:rPr>
        <w:t>fédérale,</w:t>
      </w:r>
      <w:r w:rsidRPr="00FA6F76">
        <w:rPr>
          <w:rFonts w:cs="Times New Roman"/>
          <w:i/>
          <w:iCs/>
          <w:lang w:val="fr-CA"/>
        </w:rPr>
        <w:t xml:space="preserve"> </w:t>
      </w:r>
      <w:r w:rsidRPr="00FA6F76">
        <w:rPr>
          <w:rFonts w:cs="Times New Roman"/>
          <w:lang w:val="fr-CA"/>
        </w:rPr>
        <w:t>qui emploie les mots suivants pour exprimer le même texte anglais</w:t>
      </w:r>
      <w:r w:rsidR="00F23967">
        <w:rPr>
          <w:rFonts w:cs="Times New Roman"/>
          <w:lang w:val="fr-CA"/>
        </w:rPr>
        <w:t xml:space="preserve"> </w:t>
      </w:r>
      <w:r w:rsidRPr="00FA6F76">
        <w:rPr>
          <w:rFonts w:cs="Times New Roman"/>
          <w:lang w:val="fr-CA"/>
        </w:rPr>
        <w:t xml:space="preserve">: </w:t>
      </w:r>
      <w:r w:rsidR="00E3692F" w:rsidRPr="003D0CB7">
        <w:rPr>
          <w:lang w:val="fr-CA"/>
        </w:rPr>
        <w:t>«</w:t>
      </w:r>
      <w:r w:rsidR="00E3692F">
        <w:rPr>
          <w:rFonts w:cs="Times New Roman"/>
          <w:iCs/>
          <w:lang w:val="fr-CA"/>
        </w:rPr>
        <w:t> </w:t>
      </w:r>
      <w:r w:rsidRPr="00FA6F76">
        <w:rPr>
          <w:rFonts w:cs="Times New Roman"/>
          <w:lang w:val="fr-CA"/>
        </w:rPr>
        <w:t xml:space="preserve">des renseignements </w:t>
      </w:r>
      <w:r w:rsidRPr="00FA6F76">
        <w:rPr>
          <w:rFonts w:cs="Times New Roman"/>
          <w:u w:val="single"/>
          <w:lang w:val="fr-CA"/>
        </w:rPr>
        <w:t>dont la divulgation risquerait vraisemblablement</w:t>
      </w:r>
      <w:r w:rsidR="00E3523D">
        <w:rPr>
          <w:rFonts w:cs="Times New Roman"/>
          <w:lang w:val="fr-CA"/>
        </w:rPr>
        <w:t xml:space="preserve"> de causer des pertes </w:t>
      </w:r>
      <w:r w:rsidRPr="00FA6F76">
        <w:rPr>
          <w:rFonts w:cs="Times New Roman"/>
          <w:lang w:val="fr-CA"/>
        </w:rPr>
        <w:t>.</w:t>
      </w:r>
      <w:r w:rsidR="00F23967">
        <w:rPr>
          <w:rFonts w:cs="Times New Roman"/>
          <w:lang w:val="fr-CA"/>
        </w:rPr>
        <w:t xml:space="preserve"> </w:t>
      </w:r>
      <w:r w:rsidRPr="00FA6F76">
        <w:rPr>
          <w:rFonts w:cs="Times New Roman"/>
          <w:lang w:val="fr-CA"/>
        </w:rPr>
        <w:t>.</w:t>
      </w:r>
      <w:r w:rsidR="00F23967">
        <w:rPr>
          <w:rFonts w:cs="Times New Roman"/>
          <w:lang w:val="fr-CA"/>
        </w:rPr>
        <w:t xml:space="preserve"> </w:t>
      </w:r>
      <w:r w:rsidRPr="00FA6F76">
        <w:rPr>
          <w:rFonts w:cs="Times New Roman"/>
          <w:lang w:val="fr-CA"/>
        </w:rPr>
        <w:t>.</w:t>
      </w:r>
      <w:r w:rsidR="00E3692F">
        <w:rPr>
          <w:rFonts w:cs="Times New Roman"/>
          <w:iCs/>
          <w:lang w:val="fr-CA"/>
        </w:rPr>
        <w:t> </w:t>
      </w:r>
      <w:r w:rsidR="00E3692F" w:rsidRPr="003D0CB7">
        <w:rPr>
          <w:lang w:val="fr-CA"/>
        </w:rPr>
        <w:t>»</w:t>
      </w:r>
    </w:p>
    <w:p w:rsidR="006C6098" w:rsidRPr="00FA6F76" w:rsidRDefault="006C6098" w:rsidP="00021119">
      <w:pPr>
        <w:pStyle w:val="ParaNoNdepar-AltN"/>
        <w:rPr>
          <w:rFonts w:cs="Times New Roman"/>
          <w:lang w:val="fr-CA"/>
        </w:rPr>
      </w:pPr>
      <w:r w:rsidRPr="00FA6F76">
        <w:rPr>
          <w:rFonts w:cs="Times New Roman"/>
          <w:lang w:val="fr-CA"/>
        </w:rPr>
        <w:t xml:space="preserve">Cette divergence entre la version française de la loi ontarienne et celle de la loi fédérale n’appuie toutefois pas la thèse du Ministère suivant laquelle le législateur entendait utiliser une norme différente.  La formule </w:t>
      </w:r>
      <w:r w:rsidR="00E3692F" w:rsidRPr="003D0CB7">
        <w:rPr>
          <w:lang w:val="fr-CA"/>
        </w:rPr>
        <w:t>«</w:t>
      </w:r>
      <w:r w:rsidR="00E3692F">
        <w:rPr>
          <w:rFonts w:cs="Times New Roman"/>
          <w:iCs/>
          <w:lang w:val="fr-CA"/>
        </w:rPr>
        <w:t> </w:t>
      </w:r>
      <w:r w:rsidRPr="00FA6F76">
        <w:rPr>
          <w:rFonts w:cs="Times New Roman"/>
          <w:lang w:val="fr-CA"/>
        </w:rPr>
        <w:t>s’il est raisonnable de s’attendre</w:t>
      </w:r>
      <w:r w:rsidR="002E1E2E">
        <w:rPr>
          <w:rFonts w:cs="Times New Roman"/>
          <w:lang w:val="fr-CA"/>
        </w:rPr>
        <w:t xml:space="preserve"> à</w:t>
      </w:r>
      <w:r w:rsidR="00E3692F">
        <w:rPr>
          <w:rFonts w:cs="Times New Roman"/>
          <w:iCs/>
          <w:lang w:val="fr-CA"/>
        </w:rPr>
        <w:t> </w:t>
      </w:r>
      <w:r w:rsidR="00E3692F" w:rsidRPr="003D0CB7">
        <w:rPr>
          <w:lang w:val="fr-CA"/>
        </w:rPr>
        <w:t>»</w:t>
      </w:r>
      <w:r w:rsidRPr="00FA6F76">
        <w:rPr>
          <w:rFonts w:cs="Times New Roman"/>
          <w:lang w:val="fr-CA"/>
        </w:rPr>
        <w:t xml:space="preserve"> est une traduction directe de l’expression </w:t>
      </w:r>
      <w:r w:rsidR="00E3692F" w:rsidRPr="003D0CB7">
        <w:rPr>
          <w:lang w:val="fr-CA"/>
        </w:rPr>
        <w:t>«</w:t>
      </w:r>
      <w:r w:rsidR="00E3692F">
        <w:rPr>
          <w:rFonts w:cs="Times New Roman"/>
          <w:iCs/>
          <w:lang w:val="fr-CA"/>
        </w:rPr>
        <w:t> </w:t>
      </w:r>
      <w:proofErr w:type="spellStart"/>
      <w:r w:rsidRPr="00FA6F76">
        <w:rPr>
          <w:rFonts w:cs="Times New Roman"/>
          <w:i/>
          <w:lang w:val="fr-CA"/>
        </w:rPr>
        <w:t>could</w:t>
      </w:r>
      <w:proofErr w:type="spellEnd"/>
      <w:r w:rsidRPr="00FA6F76">
        <w:rPr>
          <w:rFonts w:cs="Times New Roman"/>
          <w:i/>
          <w:lang w:val="fr-CA"/>
        </w:rPr>
        <w:t xml:space="preserve"> </w:t>
      </w:r>
      <w:proofErr w:type="spellStart"/>
      <w:r w:rsidRPr="00FA6F76">
        <w:rPr>
          <w:rFonts w:cs="Times New Roman"/>
          <w:i/>
          <w:lang w:val="fr-CA"/>
        </w:rPr>
        <w:t>reasonably</w:t>
      </w:r>
      <w:proofErr w:type="spellEnd"/>
      <w:r w:rsidRPr="00FA6F76">
        <w:rPr>
          <w:rFonts w:cs="Times New Roman"/>
          <w:i/>
          <w:lang w:val="fr-CA"/>
        </w:rPr>
        <w:t xml:space="preserve"> </w:t>
      </w:r>
      <w:proofErr w:type="spellStart"/>
      <w:r w:rsidRPr="00FA6F76">
        <w:rPr>
          <w:rFonts w:cs="Times New Roman"/>
          <w:i/>
          <w:lang w:val="fr-CA"/>
        </w:rPr>
        <w:t>be</w:t>
      </w:r>
      <w:proofErr w:type="spellEnd"/>
      <w:r w:rsidRPr="00FA6F76">
        <w:rPr>
          <w:rFonts w:cs="Times New Roman"/>
          <w:i/>
          <w:lang w:val="fr-CA"/>
        </w:rPr>
        <w:t xml:space="preserve"> </w:t>
      </w:r>
      <w:proofErr w:type="spellStart"/>
      <w:r w:rsidRPr="00FA6F76">
        <w:rPr>
          <w:rFonts w:cs="Times New Roman"/>
          <w:i/>
          <w:lang w:val="fr-CA"/>
        </w:rPr>
        <w:lastRenderedPageBreak/>
        <w:t>expected</w:t>
      </w:r>
      <w:proofErr w:type="spellEnd"/>
      <w:r w:rsidRPr="00FA6F76">
        <w:rPr>
          <w:rFonts w:cs="Times New Roman"/>
          <w:i/>
          <w:lang w:val="fr-CA"/>
        </w:rPr>
        <w:t xml:space="preserve"> to</w:t>
      </w:r>
      <w:r w:rsidR="00716086">
        <w:rPr>
          <w:rFonts w:cs="Times New Roman"/>
          <w:iCs/>
          <w:lang w:val="fr-CA"/>
        </w:rPr>
        <w:t> </w:t>
      </w:r>
      <w:r w:rsidR="00716086" w:rsidRPr="003D0CB7">
        <w:rPr>
          <w:lang w:val="fr-CA"/>
        </w:rPr>
        <w:t>»</w:t>
      </w:r>
      <w:r w:rsidR="00716086">
        <w:rPr>
          <w:lang w:val="fr-CA"/>
        </w:rPr>
        <w:t xml:space="preserve"> </w:t>
      </w:r>
      <w:r w:rsidRPr="00FA6F76">
        <w:rPr>
          <w:rFonts w:cs="Times New Roman"/>
          <w:lang w:val="fr-CA"/>
        </w:rPr>
        <w:t>de la version anglaise.  On voit donc mal comment une traduction aussi proche du texte anglais pourrait exprimer un sens différent de celui</w:t>
      </w:r>
      <w:r w:rsidR="00AF7DFB">
        <w:rPr>
          <w:rFonts w:cs="Times New Roman"/>
          <w:lang w:val="fr-CA"/>
        </w:rPr>
        <w:t>-ci</w:t>
      </w:r>
      <w:r w:rsidRPr="00FA6F76">
        <w:rPr>
          <w:rFonts w:cs="Times New Roman"/>
          <w:lang w:val="fr-CA"/>
        </w:rPr>
        <w:t>.  Les modifications apportées en 2002 à la version française de la loi ontarienne confirment cette position, car elles précisaient bien qu’il n’était pas nécessaire de faire la preuve d’un risque de préjudice probable (dans sa version antérieure, l’art.</w:t>
      </w:r>
      <w:r w:rsidR="00F23967">
        <w:rPr>
          <w:rFonts w:cs="Times New Roman"/>
          <w:lang w:val="fr-CA"/>
        </w:rPr>
        <w:t xml:space="preserve"> </w:t>
      </w:r>
      <w:r w:rsidRPr="00FA6F76">
        <w:rPr>
          <w:rFonts w:cs="Times New Roman"/>
          <w:lang w:val="fr-CA"/>
        </w:rPr>
        <w:t>14 était ainsi libellé</w:t>
      </w:r>
      <w:r w:rsidR="00F23967">
        <w:rPr>
          <w:rFonts w:cs="Times New Roman"/>
          <w:lang w:val="fr-CA"/>
        </w:rPr>
        <w:t xml:space="preserve"> </w:t>
      </w:r>
      <w:r w:rsidRPr="00FA6F76">
        <w:rPr>
          <w:rFonts w:cs="Times New Roman"/>
          <w:lang w:val="fr-CA"/>
        </w:rPr>
        <w:t xml:space="preserve">: </w:t>
      </w:r>
      <w:r w:rsidR="00E3692F" w:rsidRPr="003D0CB7">
        <w:rPr>
          <w:lang w:val="fr-CA"/>
        </w:rPr>
        <w:t>«</w:t>
      </w:r>
      <w:r w:rsidR="00E3692F">
        <w:rPr>
          <w:rFonts w:cs="Times New Roman"/>
          <w:iCs/>
          <w:lang w:val="fr-CA"/>
        </w:rPr>
        <w:t> </w:t>
      </w:r>
      <w:r w:rsidR="00AF7DFB">
        <w:rPr>
          <w:rFonts w:cs="Times New Roman"/>
          <w:iCs/>
          <w:lang w:val="fr-CA"/>
        </w:rPr>
        <w:t xml:space="preserve">. . . </w:t>
      </w:r>
      <w:r w:rsidRPr="00FA6F76">
        <w:rPr>
          <w:rFonts w:cs="Times New Roman"/>
          <w:lang w:val="fr-CA"/>
        </w:rPr>
        <w:t xml:space="preserve">si la divulgation </w:t>
      </w:r>
      <w:r w:rsidRPr="00FA6F76">
        <w:rPr>
          <w:rFonts w:cs="Times New Roman"/>
          <w:u w:val="single"/>
          <w:lang w:val="fr-CA"/>
        </w:rPr>
        <w:t>devait avoir pour effet probable</w:t>
      </w:r>
      <w:r w:rsidR="00F23967">
        <w:rPr>
          <w:rFonts w:cs="Times New Roman"/>
          <w:lang w:val="fr-CA"/>
        </w:rPr>
        <w:t xml:space="preserve"> </w:t>
      </w:r>
      <w:r w:rsidR="00AF7DFB">
        <w:rPr>
          <w:rFonts w:cs="Times New Roman"/>
          <w:lang w:val="fr-CA"/>
        </w:rPr>
        <w:t>. . . </w:t>
      </w:r>
      <w:r w:rsidRPr="00FA6F76">
        <w:rPr>
          <w:rFonts w:cs="Times New Roman"/>
          <w:lang w:val="fr-CA"/>
        </w:rPr>
        <w:t>»).  La version française actuelle de l’art.</w:t>
      </w:r>
      <w:r w:rsidR="00F23967">
        <w:rPr>
          <w:rFonts w:cs="Times New Roman"/>
          <w:lang w:val="fr-CA"/>
        </w:rPr>
        <w:t xml:space="preserve"> </w:t>
      </w:r>
      <w:r w:rsidRPr="00FA6F76">
        <w:rPr>
          <w:rFonts w:cs="Times New Roman"/>
          <w:lang w:val="fr-CA"/>
        </w:rPr>
        <w:t xml:space="preserve">14 de la </w:t>
      </w:r>
      <w:r w:rsidRPr="00FA6F76">
        <w:rPr>
          <w:rFonts w:cs="Times New Roman"/>
          <w:i/>
          <w:iCs/>
          <w:lang w:val="fr-CA"/>
        </w:rPr>
        <w:t xml:space="preserve">LAIPVP </w:t>
      </w:r>
      <w:r w:rsidRPr="00FA6F76">
        <w:rPr>
          <w:rFonts w:cs="Times New Roman"/>
          <w:lang w:val="fr-CA"/>
        </w:rPr>
        <w:t xml:space="preserve">confirme amplement le critère du </w:t>
      </w:r>
      <w:r w:rsidR="00E3692F" w:rsidRPr="003D0CB7">
        <w:rPr>
          <w:lang w:val="fr-CA"/>
        </w:rPr>
        <w:t>«</w:t>
      </w:r>
      <w:r w:rsidR="00E3692F">
        <w:rPr>
          <w:rFonts w:cs="Times New Roman"/>
          <w:iCs/>
          <w:lang w:val="fr-CA"/>
        </w:rPr>
        <w:t> </w:t>
      </w:r>
      <w:r w:rsidRPr="00FA6F76">
        <w:rPr>
          <w:rFonts w:cs="Times New Roman"/>
          <w:lang w:val="fr-CA"/>
        </w:rPr>
        <w:t>risque vraisemblable de préjudice probable</w:t>
      </w:r>
      <w:r w:rsidR="00F23967">
        <w:rPr>
          <w:rFonts w:cs="Times New Roman"/>
          <w:lang w:val="fr-CA"/>
        </w:rPr>
        <w:t xml:space="preserve"> </w:t>
      </w:r>
      <w:r w:rsidRPr="00FA6F76">
        <w:rPr>
          <w:rFonts w:cs="Times New Roman"/>
          <w:lang w:val="fr-CA"/>
        </w:rPr>
        <w:t xml:space="preserve">». </w:t>
      </w:r>
    </w:p>
    <w:p w:rsidR="006C6098" w:rsidRPr="00FA6F76" w:rsidRDefault="006C6098" w:rsidP="00021119">
      <w:pPr>
        <w:pStyle w:val="ParaNoNdepar-AltN"/>
        <w:rPr>
          <w:rFonts w:cs="Times New Roman"/>
          <w:lang w:val="fr-CA"/>
        </w:rPr>
      </w:pPr>
      <w:r w:rsidRPr="00FA6F76">
        <w:rPr>
          <w:rFonts w:cs="Times New Roman"/>
          <w:lang w:val="fr-CA"/>
        </w:rPr>
        <w:t xml:space="preserve">Le Ministère soutient également que l’expression </w:t>
      </w:r>
      <w:r w:rsidR="00E3692F" w:rsidRPr="003D0CB7">
        <w:rPr>
          <w:lang w:val="fr-CA"/>
        </w:rPr>
        <w:t>«</w:t>
      </w:r>
      <w:r w:rsidR="00E3692F">
        <w:rPr>
          <w:rFonts w:cs="Times New Roman"/>
          <w:iCs/>
          <w:lang w:val="fr-CA"/>
        </w:rPr>
        <w:t> </w:t>
      </w:r>
      <w:r w:rsidRPr="00FA6F76">
        <w:rPr>
          <w:rFonts w:cs="Times New Roman"/>
          <w:lang w:val="fr-CA"/>
        </w:rPr>
        <w:t>motifs raisonnables de croire</w:t>
      </w:r>
      <w:r w:rsidR="00716086">
        <w:rPr>
          <w:rFonts w:cs="Times New Roman"/>
          <w:iCs/>
          <w:lang w:val="fr-CA"/>
        </w:rPr>
        <w:t> </w:t>
      </w:r>
      <w:r w:rsidR="00716086" w:rsidRPr="003D0CB7">
        <w:rPr>
          <w:lang w:val="fr-CA"/>
        </w:rPr>
        <w:t>»</w:t>
      </w:r>
      <w:r w:rsidRPr="00FA6F76">
        <w:rPr>
          <w:rFonts w:cs="Times New Roman"/>
          <w:lang w:val="fr-CA"/>
        </w:rPr>
        <w:t xml:space="preserve"> adoptée en Ontario correspond bel et bien au critère de l’</w:t>
      </w:r>
      <w:r w:rsidR="00E3692F" w:rsidRPr="003D0CB7">
        <w:rPr>
          <w:lang w:val="fr-CA"/>
        </w:rPr>
        <w:t>«</w:t>
      </w:r>
      <w:r w:rsidR="00E3692F">
        <w:rPr>
          <w:rFonts w:cs="Times New Roman"/>
          <w:iCs/>
          <w:lang w:val="fr-CA"/>
        </w:rPr>
        <w:t> </w:t>
      </w:r>
      <w:r w:rsidRPr="00FA6F76">
        <w:rPr>
          <w:rFonts w:cs="Times New Roman"/>
          <w:lang w:val="fr-CA"/>
        </w:rPr>
        <w:t>appréhension raisonnée de préjudice</w:t>
      </w:r>
      <w:r w:rsidR="00716086">
        <w:rPr>
          <w:rFonts w:cs="Times New Roman"/>
          <w:iCs/>
          <w:lang w:val="fr-CA"/>
        </w:rPr>
        <w:t> </w:t>
      </w:r>
      <w:r w:rsidR="00716086" w:rsidRPr="003D0CB7">
        <w:rPr>
          <w:lang w:val="fr-CA"/>
        </w:rPr>
        <w:t>»</w:t>
      </w:r>
      <w:r w:rsidRPr="00FA6F76">
        <w:rPr>
          <w:rFonts w:cs="Times New Roman"/>
          <w:lang w:val="fr-CA"/>
        </w:rPr>
        <w:t xml:space="preserve"> qui est appliqué dans le cadre de l’analyse fondée sur l’article</w:t>
      </w:r>
      <w:r w:rsidR="00F23967">
        <w:rPr>
          <w:rFonts w:cs="Times New Roman"/>
          <w:lang w:val="fr-CA"/>
        </w:rPr>
        <w:t xml:space="preserve"> </w:t>
      </w:r>
      <w:r w:rsidRPr="00FA6F76">
        <w:rPr>
          <w:rFonts w:cs="Times New Roman"/>
          <w:lang w:val="fr-CA"/>
        </w:rPr>
        <w:t xml:space="preserve">premier de la </w:t>
      </w:r>
      <w:r w:rsidRPr="00FA6F76">
        <w:rPr>
          <w:rFonts w:cs="Times New Roman"/>
          <w:i/>
          <w:iCs/>
          <w:lang w:val="fr-CA"/>
        </w:rPr>
        <w:t>Charte canadienne</w:t>
      </w:r>
      <w:r w:rsidR="00234001">
        <w:rPr>
          <w:rFonts w:cs="Times New Roman"/>
          <w:i/>
          <w:iCs/>
          <w:lang w:val="fr-CA"/>
        </w:rPr>
        <w:t xml:space="preserve"> des droits et libertés</w:t>
      </w:r>
      <w:r w:rsidRPr="00FA6F76">
        <w:rPr>
          <w:rFonts w:cs="Times New Roman"/>
          <w:i/>
          <w:iCs/>
          <w:lang w:val="fr-CA"/>
        </w:rPr>
        <w:t xml:space="preserve">.  </w:t>
      </w:r>
      <w:r w:rsidRPr="00FA6F76">
        <w:rPr>
          <w:rFonts w:cs="Times New Roman"/>
          <w:lang w:val="fr-CA"/>
        </w:rPr>
        <w:t>Suivant le Ministère, cette similitude serait cohérente, étant donné que l’art.</w:t>
      </w:r>
      <w:r w:rsidR="00F23967">
        <w:rPr>
          <w:rFonts w:cs="Times New Roman"/>
          <w:lang w:val="fr-CA"/>
        </w:rPr>
        <w:t xml:space="preserve"> </w:t>
      </w:r>
      <w:r w:rsidRPr="00FA6F76">
        <w:rPr>
          <w:rFonts w:cs="Times New Roman"/>
          <w:lang w:val="fr-CA"/>
        </w:rPr>
        <w:t xml:space="preserve">14 et l’article premier visent les mêmes types de préjudices causés à la société.  En toute déférence, nous estimons que l’analogie que le Ministère fait avec la </w:t>
      </w:r>
      <w:r w:rsidRPr="00FA6F76">
        <w:rPr>
          <w:rFonts w:cs="Times New Roman"/>
          <w:i/>
          <w:lang w:val="fr-CA"/>
        </w:rPr>
        <w:t>Charte</w:t>
      </w:r>
      <w:r w:rsidRPr="00FA6F76">
        <w:rPr>
          <w:rFonts w:cs="Times New Roman"/>
          <w:lang w:val="fr-CA"/>
        </w:rPr>
        <w:t xml:space="preserve"> ne convient pas dans le présent contexte.  Ainsi que le souligne la Commissaire, lorsque le Ministère interprète les exceptions prévues par la </w:t>
      </w:r>
      <w:r w:rsidRPr="00FA6F76">
        <w:rPr>
          <w:rFonts w:cs="Times New Roman"/>
          <w:i/>
          <w:iCs/>
          <w:lang w:val="fr-CA"/>
        </w:rPr>
        <w:t>LAIPVP</w:t>
      </w:r>
      <w:r w:rsidRPr="00FA6F76">
        <w:rPr>
          <w:rFonts w:cs="Times New Roman"/>
          <w:lang w:val="fr-CA"/>
        </w:rPr>
        <w:t>, il ne joue pas un rôle en matière de politiques analogue à celui que joue le législateur lorsque ce dernier adopte des lois.  De plus, comme nous l’avons déjà décidé, l’interprétation que les responsables d’institution font des exceptions ne commande aucune déférence (voir, p</w:t>
      </w:r>
      <w:r w:rsidR="00234001">
        <w:rPr>
          <w:rFonts w:cs="Times New Roman"/>
          <w:lang w:val="fr-CA"/>
        </w:rPr>
        <w:t xml:space="preserve">. </w:t>
      </w:r>
      <w:r w:rsidRPr="00FA6F76">
        <w:rPr>
          <w:rFonts w:cs="Times New Roman"/>
          <w:lang w:val="fr-CA"/>
        </w:rPr>
        <w:t xml:space="preserve">ex., </w:t>
      </w:r>
      <w:r w:rsidRPr="00FA6F76">
        <w:rPr>
          <w:rFonts w:cs="Times New Roman"/>
          <w:i/>
          <w:iCs/>
          <w:lang w:val="fr-CA"/>
        </w:rPr>
        <w:t>Canada (Commissaire à l’information) c. Canada (Commissaire de la Gendarmerie royale du Canada)</w:t>
      </w:r>
      <w:r w:rsidRPr="00FA6F76">
        <w:rPr>
          <w:rFonts w:cs="Times New Roman"/>
          <w:lang w:val="fr-CA"/>
        </w:rPr>
        <w:t>, 2003 CSC 8, [2003] 1 R.C.S. 66, par.</w:t>
      </w:r>
      <w:r w:rsidR="00F23967">
        <w:rPr>
          <w:rFonts w:cs="Times New Roman"/>
          <w:lang w:val="fr-CA"/>
        </w:rPr>
        <w:t xml:space="preserve"> </w:t>
      </w:r>
      <w:r w:rsidRPr="00FA6F76">
        <w:rPr>
          <w:rFonts w:cs="Times New Roman"/>
          <w:lang w:val="fr-CA"/>
        </w:rPr>
        <w:t xml:space="preserve">17). </w:t>
      </w:r>
    </w:p>
    <w:p w:rsidR="006C6098" w:rsidRPr="00FA6F76" w:rsidRDefault="006C6098" w:rsidP="00021119">
      <w:pPr>
        <w:pStyle w:val="ParaNoNdepar-AltN"/>
        <w:rPr>
          <w:rFonts w:cs="Times New Roman"/>
          <w:lang w:val="fr-CA"/>
        </w:rPr>
      </w:pPr>
      <w:r w:rsidRPr="00FA6F76">
        <w:rPr>
          <w:rFonts w:cs="Times New Roman"/>
          <w:lang w:val="fr-CA"/>
        </w:rPr>
        <w:lastRenderedPageBreak/>
        <w:t xml:space="preserve">La Commissaire a expressément mentionné que le Ministère devait uniquement démontrer qu’il avait des </w:t>
      </w:r>
      <w:r w:rsidR="00E3692F" w:rsidRPr="003D0CB7">
        <w:rPr>
          <w:lang w:val="fr-CA"/>
        </w:rPr>
        <w:t>«</w:t>
      </w:r>
      <w:r w:rsidR="00E3692F">
        <w:rPr>
          <w:rFonts w:cs="Times New Roman"/>
          <w:iCs/>
          <w:lang w:val="fr-CA"/>
        </w:rPr>
        <w:t> </w:t>
      </w:r>
      <w:r w:rsidRPr="00FA6F76">
        <w:rPr>
          <w:rFonts w:cs="Times New Roman"/>
          <w:lang w:val="fr-CA"/>
        </w:rPr>
        <w:t>motifs raisonnables de croire</w:t>
      </w:r>
      <w:r w:rsidR="00E3692F">
        <w:rPr>
          <w:rFonts w:cs="Times New Roman"/>
          <w:iCs/>
          <w:lang w:val="fr-CA"/>
        </w:rPr>
        <w:t> </w:t>
      </w:r>
      <w:r w:rsidR="00E3692F" w:rsidRPr="003D0CB7">
        <w:rPr>
          <w:lang w:val="fr-CA"/>
        </w:rPr>
        <w:t>»</w:t>
      </w:r>
      <w:r w:rsidRPr="00FA6F76">
        <w:rPr>
          <w:rFonts w:cs="Times New Roman"/>
          <w:lang w:val="fr-CA"/>
        </w:rPr>
        <w:t xml:space="preserve"> pour appliquer l’exception se rapportant à la menace à la vie.  Toujours selon la Commissaire, il faut présenter des [</w:t>
      </w:r>
      <w:r w:rsidRPr="00FA6F76">
        <w:rPr>
          <w:rFonts w:cs="Times New Roman"/>
          <w:smallCaps/>
          <w:lang w:val="fr-CA"/>
        </w:rPr>
        <w:t>traduction]</w:t>
      </w:r>
      <w:r w:rsidRPr="00FA6F76">
        <w:rPr>
          <w:rFonts w:cs="Times New Roman"/>
          <w:lang w:val="fr-CA"/>
        </w:rPr>
        <w:t xml:space="preserve"> </w:t>
      </w:r>
      <w:r w:rsidR="00E3692F" w:rsidRPr="003D0CB7">
        <w:rPr>
          <w:lang w:val="fr-CA"/>
        </w:rPr>
        <w:t>«</w:t>
      </w:r>
      <w:r w:rsidR="00E3692F">
        <w:rPr>
          <w:rFonts w:cs="Times New Roman"/>
          <w:iCs/>
          <w:lang w:val="fr-CA"/>
        </w:rPr>
        <w:t> </w:t>
      </w:r>
      <w:r w:rsidRPr="00FA6F76">
        <w:rPr>
          <w:rFonts w:cs="Times New Roman"/>
          <w:lang w:val="fr-CA"/>
        </w:rPr>
        <w:t>éléments de preuve détaillés et convaincants</w:t>
      </w:r>
      <w:r w:rsidR="00E3692F">
        <w:rPr>
          <w:rFonts w:cs="Times New Roman"/>
          <w:iCs/>
          <w:lang w:val="fr-CA"/>
        </w:rPr>
        <w:t> </w:t>
      </w:r>
      <w:r w:rsidR="00E3692F" w:rsidRPr="003D0CB7">
        <w:rPr>
          <w:lang w:val="fr-CA"/>
        </w:rPr>
        <w:t>»</w:t>
      </w:r>
      <w:r w:rsidRPr="00FA6F76">
        <w:rPr>
          <w:rFonts w:cs="Times New Roman"/>
          <w:lang w:val="fr-CA"/>
        </w:rPr>
        <w:t xml:space="preserve"> pour démontrer l’existence d’un </w:t>
      </w:r>
      <w:r w:rsidR="00E3692F" w:rsidRPr="003D0CB7">
        <w:rPr>
          <w:lang w:val="fr-CA"/>
        </w:rPr>
        <w:t>«</w:t>
      </w:r>
      <w:r w:rsidR="00E3692F">
        <w:rPr>
          <w:rFonts w:cs="Times New Roman"/>
          <w:iCs/>
          <w:lang w:val="fr-CA"/>
        </w:rPr>
        <w:t> </w:t>
      </w:r>
      <w:r w:rsidRPr="00FA6F76">
        <w:rPr>
          <w:rFonts w:cs="Times New Roman"/>
          <w:lang w:val="fr-CA"/>
        </w:rPr>
        <w:t>risque vraisemblable de préjudice</w:t>
      </w:r>
      <w:r w:rsidR="00E3692F">
        <w:rPr>
          <w:rFonts w:cs="Times New Roman"/>
          <w:iCs/>
          <w:lang w:val="fr-CA"/>
        </w:rPr>
        <w:t> </w:t>
      </w:r>
      <w:r w:rsidR="00E3692F" w:rsidRPr="003D0CB7">
        <w:rPr>
          <w:lang w:val="fr-CA"/>
        </w:rPr>
        <w:t>»</w:t>
      </w:r>
      <w:r w:rsidRPr="00FA6F76">
        <w:rPr>
          <w:rFonts w:cs="Times New Roman"/>
          <w:lang w:val="fr-CA"/>
        </w:rPr>
        <w:t xml:space="preserve"> dans le cas de l’exception relative à la répression du crime.  La Commissaire a jugé que des </w:t>
      </w:r>
      <w:r w:rsidR="00E3692F" w:rsidRPr="003D0CB7">
        <w:rPr>
          <w:lang w:val="fr-CA"/>
        </w:rPr>
        <w:t>«</w:t>
      </w:r>
      <w:r w:rsidR="00E3692F">
        <w:rPr>
          <w:rFonts w:cs="Times New Roman"/>
          <w:iCs/>
          <w:lang w:val="fr-CA"/>
        </w:rPr>
        <w:t> </w:t>
      </w:r>
      <w:r w:rsidRPr="00FA6F76">
        <w:rPr>
          <w:rFonts w:cs="Times New Roman"/>
          <w:lang w:val="fr-CA"/>
        </w:rPr>
        <w:t>conjectures quant à un préjudice possible</w:t>
      </w:r>
      <w:r w:rsidR="00E3692F">
        <w:rPr>
          <w:rFonts w:cs="Times New Roman"/>
          <w:iCs/>
          <w:lang w:val="fr-CA"/>
        </w:rPr>
        <w:t> </w:t>
      </w:r>
      <w:r w:rsidR="00E3692F" w:rsidRPr="003D0CB7">
        <w:rPr>
          <w:lang w:val="fr-CA"/>
        </w:rPr>
        <w:t>»</w:t>
      </w:r>
      <w:r w:rsidRPr="00FA6F76">
        <w:rPr>
          <w:rFonts w:cs="Times New Roman"/>
          <w:lang w:val="fr-CA"/>
        </w:rPr>
        <w:t xml:space="preserve"> ne </w:t>
      </w:r>
      <w:proofErr w:type="gramStart"/>
      <w:r w:rsidRPr="00FA6F76">
        <w:rPr>
          <w:rFonts w:cs="Times New Roman"/>
          <w:lang w:val="fr-CA"/>
        </w:rPr>
        <w:t>suffiraient</w:t>
      </w:r>
      <w:proofErr w:type="gramEnd"/>
      <w:r w:rsidRPr="00FA6F76">
        <w:rPr>
          <w:rFonts w:cs="Times New Roman"/>
          <w:lang w:val="fr-CA"/>
        </w:rPr>
        <w:t xml:space="preserve"> pas (p.</w:t>
      </w:r>
      <w:r w:rsidR="00F23967">
        <w:rPr>
          <w:rFonts w:cs="Times New Roman"/>
          <w:lang w:val="fr-CA"/>
        </w:rPr>
        <w:t xml:space="preserve"> </w:t>
      </w:r>
      <w:r w:rsidRPr="00FA6F76">
        <w:rPr>
          <w:rFonts w:cs="Times New Roman"/>
          <w:lang w:val="fr-CA"/>
        </w:rPr>
        <w:t xml:space="preserve">11).  Après avoir examiné les arguments du Ministère, la Commissaire a conclu que </w:t>
      </w:r>
      <w:r w:rsidR="00E3692F" w:rsidRPr="003D0CB7">
        <w:rPr>
          <w:lang w:val="fr-CA"/>
        </w:rPr>
        <w:t>«</w:t>
      </w:r>
      <w:r w:rsidR="00E3692F">
        <w:rPr>
          <w:rFonts w:cs="Times New Roman"/>
          <w:iCs/>
          <w:lang w:val="fr-CA"/>
        </w:rPr>
        <w:t> </w:t>
      </w:r>
      <w:r w:rsidRPr="00FA6F76">
        <w:rPr>
          <w:rFonts w:cs="Times New Roman"/>
          <w:lang w:val="fr-CA"/>
        </w:rPr>
        <w:t xml:space="preserve">les observations du Ministère, y compris l’affidavit qui a été souscrit, ne </w:t>
      </w:r>
      <w:proofErr w:type="spellStart"/>
      <w:proofErr w:type="gramStart"/>
      <w:r w:rsidRPr="00FA6F76">
        <w:rPr>
          <w:rFonts w:cs="Times New Roman"/>
          <w:lang w:val="fr-CA"/>
        </w:rPr>
        <w:t>permett</w:t>
      </w:r>
      <w:proofErr w:type="spellEnd"/>
      <w:r w:rsidRPr="00FA6F76">
        <w:rPr>
          <w:rFonts w:cs="Times New Roman"/>
          <w:lang w:val="fr-CA"/>
        </w:rPr>
        <w:t>[</w:t>
      </w:r>
      <w:proofErr w:type="gramEnd"/>
      <w:r w:rsidRPr="00FA6F76">
        <w:rPr>
          <w:rFonts w:cs="Times New Roman"/>
          <w:lang w:val="fr-CA"/>
        </w:rPr>
        <w:t>ai]</w:t>
      </w:r>
      <w:proofErr w:type="spellStart"/>
      <w:r w:rsidRPr="00FA6F76">
        <w:rPr>
          <w:rFonts w:cs="Times New Roman"/>
          <w:lang w:val="fr-CA"/>
        </w:rPr>
        <w:t>ent</w:t>
      </w:r>
      <w:proofErr w:type="spellEnd"/>
      <w:r w:rsidRPr="00FA6F76">
        <w:rPr>
          <w:rFonts w:cs="Times New Roman"/>
          <w:lang w:val="fr-CA"/>
        </w:rPr>
        <w:t xml:space="preserve"> pas raisonnablement de croire que la divulgation présente</w:t>
      </w:r>
      <w:r w:rsidR="00AF7DFB">
        <w:rPr>
          <w:rFonts w:cs="Times New Roman"/>
          <w:lang w:val="fr-CA"/>
        </w:rPr>
        <w:t>[</w:t>
      </w:r>
      <w:r w:rsidRPr="00FA6F76">
        <w:rPr>
          <w:rFonts w:cs="Times New Roman"/>
          <w:lang w:val="fr-CA"/>
        </w:rPr>
        <w:t>rait</w:t>
      </w:r>
      <w:r w:rsidR="00AF7DFB">
        <w:rPr>
          <w:rFonts w:cs="Times New Roman"/>
          <w:lang w:val="fr-CA"/>
        </w:rPr>
        <w:t>]</w:t>
      </w:r>
      <w:r w:rsidRPr="00FA6F76">
        <w:rPr>
          <w:rFonts w:cs="Times New Roman"/>
          <w:lang w:val="fr-CA"/>
        </w:rPr>
        <w:t xml:space="preserve"> une menace</w:t>
      </w:r>
      <w:r w:rsidR="00E3692F">
        <w:rPr>
          <w:rFonts w:cs="Times New Roman"/>
          <w:iCs/>
          <w:lang w:val="fr-CA"/>
        </w:rPr>
        <w:t> </w:t>
      </w:r>
      <w:r w:rsidR="00E3692F" w:rsidRPr="003D0CB7">
        <w:rPr>
          <w:lang w:val="fr-CA"/>
        </w:rPr>
        <w:t>»</w:t>
      </w:r>
      <w:r w:rsidRPr="00FA6F76">
        <w:rPr>
          <w:rFonts w:cs="Times New Roman"/>
          <w:lang w:val="fr-CA"/>
        </w:rPr>
        <w:t xml:space="preserve"> (p.</w:t>
      </w:r>
      <w:r w:rsidR="00F23967">
        <w:rPr>
          <w:rFonts w:cs="Times New Roman"/>
          <w:lang w:val="fr-CA"/>
        </w:rPr>
        <w:t xml:space="preserve"> </w:t>
      </w:r>
      <w:r w:rsidRPr="00FA6F76">
        <w:rPr>
          <w:rFonts w:cs="Times New Roman"/>
          <w:lang w:val="fr-CA"/>
        </w:rPr>
        <w:t xml:space="preserve">14).  Elle a ajouté que la possibilité d’identification </w:t>
      </w:r>
      <w:r w:rsidRPr="00FA6F76">
        <w:rPr>
          <w:rFonts w:cs="Times New Roman"/>
          <w:lang w:val="fr-CA"/>
        </w:rPr>
        <w:sym w:font="Symbol" w:char="F0BE"/>
      </w:r>
      <w:r w:rsidRPr="00FA6F76">
        <w:rPr>
          <w:rFonts w:cs="Times New Roman"/>
          <w:lang w:val="fr-CA"/>
        </w:rPr>
        <w:t xml:space="preserve"> et même de présumée identification </w:t>
      </w:r>
      <w:r w:rsidRPr="00FA6F76">
        <w:rPr>
          <w:rFonts w:cs="Times New Roman"/>
          <w:lang w:val="fr-CA"/>
        </w:rPr>
        <w:sym w:font="Symbol" w:char="F0BE"/>
      </w:r>
      <w:r w:rsidRPr="00FA6F76">
        <w:rPr>
          <w:rFonts w:cs="Times New Roman"/>
          <w:lang w:val="fr-CA"/>
        </w:rPr>
        <w:t xml:space="preserve"> du</w:t>
      </w:r>
      <w:r w:rsidR="00F23967">
        <w:rPr>
          <w:rFonts w:cs="Times New Roman"/>
          <w:lang w:val="fr-CA"/>
        </w:rPr>
        <w:t xml:space="preserve"> </w:t>
      </w:r>
      <w:r w:rsidRPr="00FA6F76">
        <w:rPr>
          <w:rFonts w:cs="Times New Roman"/>
          <w:lang w:val="fr-CA"/>
        </w:rPr>
        <w:t>délinquant</w:t>
      </w:r>
      <w:r w:rsidR="00F23967">
        <w:rPr>
          <w:rFonts w:cs="Times New Roman"/>
          <w:lang w:val="fr-CA"/>
        </w:rPr>
        <w:t xml:space="preserve"> </w:t>
      </w:r>
      <w:r w:rsidRPr="00FA6F76">
        <w:rPr>
          <w:rFonts w:cs="Times New Roman"/>
          <w:lang w:val="fr-CA"/>
        </w:rPr>
        <w:t xml:space="preserve">était </w:t>
      </w:r>
      <w:r w:rsidR="00E3692F" w:rsidRPr="003D0CB7">
        <w:rPr>
          <w:lang w:val="fr-CA"/>
        </w:rPr>
        <w:t>«</w:t>
      </w:r>
      <w:r w:rsidR="00E3692F">
        <w:rPr>
          <w:rFonts w:cs="Times New Roman"/>
          <w:iCs/>
          <w:lang w:val="fr-CA"/>
        </w:rPr>
        <w:t> </w:t>
      </w:r>
      <w:r w:rsidRPr="00FA6F76">
        <w:rPr>
          <w:rFonts w:cs="Times New Roman"/>
          <w:lang w:val="fr-CA"/>
        </w:rPr>
        <w:t xml:space="preserve">trop faible pour satisfaire même à la norme de preuve moins exigeante établie dans l’arrêt </w:t>
      </w:r>
      <w:r w:rsidRPr="00FA6F76">
        <w:rPr>
          <w:rFonts w:cs="Times New Roman"/>
          <w:i/>
          <w:iCs/>
          <w:lang w:val="fr-CA"/>
        </w:rPr>
        <w:t xml:space="preserve">Office of the </w:t>
      </w:r>
      <w:proofErr w:type="spellStart"/>
      <w:r w:rsidRPr="00FA6F76">
        <w:rPr>
          <w:rFonts w:cs="Times New Roman"/>
          <w:i/>
          <w:iCs/>
          <w:lang w:val="fr-CA"/>
        </w:rPr>
        <w:t>Worker</w:t>
      </w:r>
      <w:proofErr w:type="spellEnd"/>
      <w:r w:rsidRPr="00FA6F76">
        <w:rPr>
          <w:rFonts w:cs="Times New Roman"/>
          <w:i/>
          <w:iCs/>
          <w:lang w:val="fr-CA"/>
        </w:rPr>
        <w:t xml:space="preserve"> </w:t>
      </w:r>
      <w:proofErr w:type="spellStart"/>
      <w:r w:rsidRPr="00FA6F76">
        <w:rPr>
          <w:rFonts w:cs="Times New Roman"/>
          <w:i/>
          <w:iCs/>
          <w:lang w:val="fr-CA"/>
        </w:rPr>
        <w:t>Advisor</w:t>
      </w:r>
      <w:proofErr w:type="spellEnd"/>
      <w:r w:rsidRPr="00FA6F76">
        <w:rPr>
          <w:rFonts w:cs="Times New Roman"/>
          <w:iCs/>
          <w:lang w:val="fr-CA"/>
        </w:rPr>
        <w:t>,</w:t>
      </w:r>
      <w:r w:rsidRPr="00FA6F76">
        <w:rPr>
          <w:rFonts w:cs="Times New Roman"/>
          <w:i/>
          <w:iCs/>
          <w:lang w:val="fr-CA"/>
        </w:rPr>
        <w:t xml:space="preserve"> </w:t>
      </w:r>
      <w:r w:rsidRPr="00FA6F76">
        <w:rPr>
          <w:rFonts w:cs="Times New Roman"/>
          <w:lang w:val="fr-CA"/>
        </w:rPr>
        <w:t>précité, en ce qui concerne l’alinéa</w:t>
      </w:r>
      <w:r w:rsidR="00F23967">
        <w:rPr>
          <w:rFonts w:cs="Times New Roman"/>
          <w:lang w:val="fr-CA"/>
        </w:rPr>
        <w:t xml:space="preserve"> </w:t>
      </w:r>
      <w:r w:rsidRPr="00FA6F76">
        <w:rPr>
          <w:rFonts w:cs="Times New Roman"/>
          <w:lang w:val="fr-CA"/>
        </w:rPr>
        <w:t>14(1)</w:t>
      </w:r>
      <w:r w:rsidRPr="00FA6F76">
        <w:rPr>
          <w:rFonts w:cs="Times New Roman"/>
          <w:iCs/>
          <w:lang w:val="fr-CA"/>
        </w:rPr>
        <w:t>e</w:t>
      </w:r>
      <w:r w:rsidRPr="00FA6F76">
        <w:rPr>
          <w:rFonts w:cs="Times New Roman"/>
          <w:lang w:val="fr-CA"/>
        </w:rPr>
        <w:t>)</w:t>
      </w:r>
      <w:r w:rsidR="00E3692F">
        <w:rPr>
          <w:rFonts w:cs="Times New Roman"/>
          <w:iCs/>
          <w:lang w:val="fr-CA"/>
        </w:rPr>
        <w:t> </w:t>
      </w:r>
      <w:r w:rsidR="00E3692F" w:rsidRPr="003D0CB7">
        <w:rPr>
          <w:lang w:val="fr-CA"/>
        </w:rPr>
        <w:t>»</w:t>
      </w:r>
      <w:r w:rsidRPr="00FA6F76">
        <w:rPr>
          <w:rFonts w:cs="Times New Roman"/>
          <w:lang w:val="fr-CA"/>
        </w:rPr>
        <w:t xml:space="preserve"> (p.</w:t>
      </w:r>
      <w:r w:rsidR="00F23967">
        <w:rPr>
          <w:rFonts w:cs="Times New Roman"/>
          <w:lang w:val="fr-CA"/>
        </w:rPr>
        <w:t xml:space="preserve"> </w:t>
      </w:r>
      <w:r w:rsidRPr="00FA6F76">
        <w:rPr>
          <w:rFonts w:cs="Times New Roman"/>
          <w:lang w:val="fr-CA"/>
        </w:rPr>
        <w:t xml:space="preserve">15).  Évidemment, comme nous l’avons déjà signalé, cette </w:t>
      </w:r>
      <w:r w:rsidR="00E3692F" w:rsidRPr="003D0CB7">
        <w:rPr>
          <w:lang w:val="fr-CA"/>
        </w:rPr>
        <w:t>«</w:t>
      </w:r>
      <w:r w:rsidR="00E3692F">
        <w:rPr>
          <w:rFonts w:cs="Times New Roman"/>
          <w:iCs/>
          <w:lang w:val="fr-CA"/>
        </w:rPr>
        <w:t> </w:t>
      </w:r>
      <w:r w:rsidRPr="00FA6F76">
        <w:rPr>
          <w:rFonts w:cs="Times New Roman"/>
          <w:lang w:val="fr-CA"/>
        </w:rPr>
        <w:t>norme de preuve moins exigeante</w:t>
      </w:r>
      <w:r w:rsidR="00E3692F">
        <w:rPr>
          <w:rFonts w:cs="Times New Roman"/>
          <w:iCs/>
          <w:lang w:val="fr-CA"/>
        </w:rPr>
        <w:t> </w:t>
      </w:r>
      <w:r w:rsidR="00E3692F" w:rsidRPr="003D0CB7">
        <w:rPr>
          <w:lang w:val="fr-CA"/>
        </w:rPr>
        <w:t>»</w:t>
      </w:r>
      <w:r w:rsidRPr="00FA6F76">
        <w:rPr>
          <w:rFonts w:cs="Times New Roman"/>
          <w:lang w:val="fr-CA"/>
        </w:rPr>
        <w:t xml:space="preserve"> n’existe pas et la Commissaire voulait simplement dire qu’il n’était pas nécessaire qu’on lui démontre la probabilité qu’un préjudice soit causé.  De fait, la Commissaire a ensuite souligné qu’il n’était pas nécessaire </w:t>
      </w:r>
      <w:r w:rsidR="00E3692F" w:rsidRPr="003D0CB7">
        <w:rPr>
          <w:lang w:val="fr-CA"/>
        </w:rPr>
        <w:t>«</w:t>
      </w:r>
      <w:r w:rsidR="00E3692F">
        <w:rPr>
          <w:rFonts w:cs="Times New Roman"/>
          <w:iCs/>
          <w:lang w:val="fr-CA"/>
        </w:rPr>
        <w:t> </w:t>
      </w:r>
      <w:r w:rsidRPr="00FA6F76">
        <w:rPr>
          <w:rFonts w:cs="Times New Roman"/>
          <w:lang w:val="fr-CA"/>
        </w:rPr>
        <w:t>que le Ministère fasse la preuve de la probabilité d’un préjudice; il lui suffit de démontrer l’existence de motifs raisonnables de croire qu’un préjudice sera causé, ce qui n’a pas été établi en l’espèce</w:t>
      </w:r>
      <w:r w:rsidR="00E3692F">
        <w:rPr>
          <w:rFonts w:cs="Times New Roman"/>
          <w:iCs/>
          <w:lang w:val="fr-CA"/>
        </w:rPr>
        <w:t> </w:t>
      </w:r>
      <w:r w:rsidR="00E3692F" w:rsidRPr="003D0CB7">
        <w:rPr>
          <w:lang w:val="fr-CA"/>
        </w:rPr>
        <w:t>»</w:t>
      </w:r>
      <w:r w:rsidRPr="00FA6F76">
        <w:rPr>
          <w:rFonts w:cs="Times New Roman"/>
          <w:lang w:val="fr-CA"/>
        </w:rPr>
        <w:t xml:space="preserve"> (</w:t>
      </w:r>
      <w:r w:rsidRPr="00FA6F76">
        <w:rPr>
          <w:rFonts w:cs="Times New Roman"/>
          <w:i/>
          <w:lang w:val="fr-CA"/>
        </w:rPr>
        <w:t>ibid.</w:t>
      </w:r>
      <w:r w:rsidRPr="00FA6F76">
        <w:rPr>
          <w:rFonts w:cs="Times New Roman"/>
          <w:lang w:val="fr-CA"/>
        </w:rPr>
        <w:t xml:space="preserve">).  Considérées globalement, ces affirmations décrivent correctement la norme de preuve applicable. </w:t>
      </w:r>
    </w:p>
    <w:p w:rsidR="006C6098" w:rsidRPr="00FA6F76" w:rsidRDefault="006C6098" w:rsidP="00021119">
      <w:pPr>
        <w:pStyle w:val="ParaNoNdepar-AltN"/>
        <w:rPr>
          <w:rFonts w:cs="Times New Roman"/>
          <w:lang w:val="fr-CA"/>
        </w:rPr>
      </w:pPr>
      <w:r w:rsidRPr="00FA6F76">
        <w:rPr>
          <w:rFonts w:cs="Times New Roman"/>
          <w:lang w:val="fr-CA"/>
        </w:rPr>
        <w:lastRenderedPageBreak/>
        <w:t>Pour ce qui est de l’application de la norme en question, la Commissaire a conclu que le Ministère n’avait pas soumis d’éléments de preuve précis pour expliquer comment on pourrait identifier des délinquants sexuels en recoupant les renseignements contenus dans le document demandé avec d’autres renseignements.  Nous estimons qu’il s’agit là d’une conclusion raisonnable.  L’examen de la preuve du Ministère démontre que le dossier n’appuie guère ses prétentions.  Le Ministère a fourni à la Commissaire plusieurs articles de journaux relatant des incidents violents, mais tous ces articles portaient sur des situations dans lesquelles des délinquants sexuels avaient effectivement été identifiés à l’aide de renseignements personnels accessibles au public (</w:t>
      </w:r>
      <w:r w:rsidR="00AF7DFB">
        <w:rPr>
          <w:rFonts w:cs="Times New Roman"/>
          <w:lang w:val="fr-CA"/>
        </w:rPr>
        <w:t>p. ex.,</w:t>
      </w:r>
      <w:r w:rsidRPr="00FA6F76">
        <w:rPr>
          <w:rFonts w:cs="Times New Roman"/>
          <w:lang w:val="fr-CA"/>
        </w:rPr>
        <w:t xml:space="preserve"> par la consultation en ligne de registres détaillés qui existent ailleurs qu’en Ontario).  Le Ministère a également fourni des études générales peu convaincantes au sujet de </w:t>
      </w:r>
      <w:r w:rsidR="00E3692F" w:rsidRPr="003D0CB7">
        <w:rPr>
          <w:lang w:val="fr-CA"/>
        </w:rPr>
        <w:t>«</w:t>
      </w:r>
      <w:r w:rsidR="00E3692F">
        <w:rPr>
          <w:rFonts w:cs="Times New Roman"/>
          <w:iCs/>
          <w:lang w:val="fr-CA"/>
        </w:rPr>
        <w:t> </w:t>
      </w:r>
      <w:r w:rsidRPr="00FA6F76">
        <w:rPr>
          <w:rFonts w:cs="Times New Roman"/>
          <w:lang w:val="fr-CA"/>
        </w:rPr>
        <w:t>l’</w:t>
      </w:r>
      <w:proofErr w:type="spellStart"/>
      <w:r w:rsidRPr="00FA6F76">
        <w:rPr>
          <w:rFonts w:cs="Times New Roman"/>
          <w:lang w:val="fr-CA"/>
        </w:rPr>
        <w:t>identifiabilité</w:t>
      </w:r>
      <w:proofErr w:type="spellEnd"/>
      <w:r w:rsidR="00E3692F">
        <w:rPr>
          <w:rFonts w:cs="Times New Roman"/>
          <w:iCs/>
          <w:lang w:val="fr-CA"/>
        </w:rPr>
        <w:t> </w:t>
      </w:r>
      <w:r w:rsidR="00E3692F" w:rsidRPr="003D0CB7">
        <w:rPr>
          <w:lang w:val="fr-CA"/>
        </w:rPr>
        <w:t>»</w:t>
      </w:r>
      <w:r w:rsidRPr="00FA6F76">
        <w:rPr>
          <w:rFonts w:cs="Times New Roman"/>
          <w:lang w:val="fr-CA"/>
        </w:rPr>
        <w:t xml:space="preserve">.  Ces études ne traitaient pas des faits propres à la présente affaire.  </w:t>
      </w:r>
    </w:p>
    <w:p w:rsidR="006C6098" w:rsidRPr="00FA6F76" w:rsidRDefault="006C6098" w:rsidP="00021119">
      <w:pPr>
        <w:pStyle w:val="ParaNoNdepar-AltN"/>
        <w:rPr>
          <w:rFonts w:cs="Times New Roman"/>
          <w:lang w:val="fr-CA"/>
        </w:rPr>
      </w:pPr>
      <w:r w:rsidRPr="00FA6F76">
        <w:rPr>
          <w:rFonts w:cs="Times New Roman"/>
          <w:lang w:val="fr-CA"/>
        </w:rPr>
        <w:t>En ce qui concerne l’imprévisibilité des renseignements que l’on pourrait obtenir à l’avenir sur Internet, la Commissaire a, malgré les prétentions du Ministère, expressément conclu que l’identification des délinquants sexuels ne serait [</w:t>
      </w:r>
      <w:r w:rsidRPr="00FA6F76">
        <w:rPr>
          <w:rFonts w:cs="Times New Roman"/>
          <w:smallCaps/>
          <w:lang w:val="fr-CA"/>
        </w:rPr>
        <w:t>traduction</w:t>
      </w:r>
      <w:r w:rsidRPr="00FA6F76">
        <w:rPr>
          <w:rFonts w:cs="Times New Roman"/>
          <w:lang w:val="fr-CA"/>
        </w:rPr>
        <w:t>]</w:t>
      </w:r>
      <w:r w:rsidR="00F23967">
        <w:rPr>
          <w:rFonts w:cs="Times New Roman"/>
          <w:lang w:val="fr-CA"/>
        </w:rPr>
        <w:t xml:space="preserve"> </w:t>
      </w:r>
      <w:r w:rsidR="00E3692F" w:rsidRPr="003D0CB7">
        <w:rPr>
          <w:lang w:val="fr-CA"/>
        </w:rPr>
        <w:t>«</w:t>
      </w:r>
      <w:r w:rsidR="00E3692F">
        <w:rPr>
          <w:rFonts w:cs="Times New Roman"/>
          <w:iCs/>
          <w:lang w:val="fr-CA"/>
        </w:rPr>
        <w:t> </w:t>
      </w:r>
      <w:r w:rsidRPr="00FA6F76">
        <w:rPr>
          <w:rFonts w:cs="Times New Roman"/>
          <w:lang w:val="fr-CA"/>
        </w:rPr>
        <w:t>nullement</w:t>
      </w:r>
      <w:r w:rsidR="00E3692F">
        <w:rPr>
          <w:rFonts w:cs="Times New Roman"/>
          <w:iCs/>
          <w:lang w:val="fr-CA"/>
        </w:rPr>
        <w:t> </w:t>
      </w:r>
      <w:r w:rsidR="00E3692F" w:rsidRPr="003D0CB7">
        <w:rPr>
          <w:lang w:val="fr-CA"/>
        </w:rPr>
        <w:t>»</w:t>
      </w:r>
      <w:r w:rsidRPr="00FA6F76">
        <w:rPr>
          <w:rFonts w:cs="Times New Roman"/>
          <w:lang w:val="fr-CA"/>
        </w:rPr>
        <w:t xml:space="preserve"> facilitée par les recoupements que l’on pourrait faire entre le nombre de délinquants habitant dans une RTA déterminée et tout autre renseignement accessible au public (p.</w:t>
      </w:r>
      <w:r w:rsidR="00F23967">
        <w:rPr>
          <w:rFonts w:cs="Times New Roman"/>
          <w:lang w:val="fr-CA"/>
        </w:rPr>
        <w:t xml:space="preserve"> </w:t>
      </w:r>
      <w:r w:rsidRPr="00FA6F76">
        <w:rPr>
          <w:rFonts w:cs="Times New Roman"/>
          <w:lang w:val="fr-CA"/>
        </w:rPr>
        <w:t xml:space="preserve">8 (soulignement omis)).  Il convient par ailleurs de souligner que le Ministère n’a fait que vaguement allusion à l’imprévisibilité résultant de l’évolution de l’Internet et qu’il n’a fourni aucun détail </w:t>
      </w:r>
      <w:r w:rsidRPr="00FA6F76">
        <w:rPr>
          <w:rFonts w:cs="Times New Roman"/>
          <w:lang w:val="fr-CA"/>
        </w:rPr>
        <w:lastRenderedPageBreak/>
        <w:t>sur la façon dont pareille identification pourrait se réaliser.  Compte tenu de la nature du dossier dont la Commissaire était saisie, ses conclusions étaient raisonnables.</w:t>
      </w:r>
    </w:p>
    <w:p w:rsidR="006C6098" w:rsidRPr="00FA6F76" w:rsidRDefault="006C6098" w:rsidP="00021119">
      <w:pPr>
        <w:pStyle w:val="ParaNoNdepar-AltN"/>
        <w:rPr>
          <w:rFonts w:cs="Times New Roman"/>
          <w:lang w:val="fr-CA"/>
        </w:rPr>
      </w:pPr>
      <w:r w:rsidRPr="00FA6F76">
        <w:rPr>
          <w:rFonts w:cs="Times New Roman"/>
          <w:lang w:val="fr-CA"/>
        </w:rPr>
        <w:t>La Commissaire a également dit ne pas croire que [</w:t>
      </w:r>
      <w:r w:rsidRPr="00FA6F76">
        <w:rPr>
          <w:rFonts w:cs="Times New Roman"/>
          <w:smallCaps/>
          <w:lang w:val="fr-CA"/>
        </w:rPr>
        <w:t>traduction</w:t>
      </w:r>
      <w:r w:rsidRPr="00FA6F76">
        <w:rPr>
          <w:rFonts w:cs="Times New Roman"/>
          <w:lang w:val="fr-CA"/>
        </w:rPr>
        <w:t>]</w:t>
      </w:r>
      <w:r w:rsidR="00F23967">
        <w:rPr>
          <w:rFonts w:cs="Times New Roman"/>
          <w:lang w:val="fr-CA"/>
        </w:rPr>
        <w:t xml:space="preserve"> </w:t>
      </w:r>
      <w:r w:rsidR="00E3692F" w:rsidRPr="003D0CB7">
        <w:rPr>
          <w:lang w:val="fr-CA"/>
        </w:rPr>
        <w:t>«</w:t>
      </w:r>
      <w:r w:rsidR="00E3692F">
        <w:rPr>
          <w:rFonts w:cs="Times New Roman"/>
          <w:iCs/>
          <w:lang w:val="fr-CA"/>
        </w:rPr>
        <w:t> </w:t>
      </w:r>
      <w:r w:rsidRPr="00FA6F76">
        <w:rPr>
          <w:rFonts w:cs="Times New Roman"/>
          <w:lang w:val="fr-CA"/>
        </w:rPr>
        <w:t>même de multiples demandes visant à connaître le nombre de délinquants dans chaque RTA pourrait entraîner la possibilité raisonnable qu’un délinquant soit identifié</w:t>
      </w:r>
      <w:r w:rsidR="00E3692F">
        <w:rPr>
          <w:rFonts w:cs="Times New Roman"/>
          <w:iCs/>
          <w:lang w:val="fr-CA"/>
        </w:rPr>
        <w:t> </w:t>
      </w:r>
      <w:r w:rsidR="00E3692F" w:rsidRPr="003D0CB7">
        <w:rPr>
          <w:lang w:val="fr-CA"/>
        </w:rPr>
        <w:t>»</w:t>
      </w:r>
      <w:r w:rsidRPr="00FA6F76">
        <w:rPr>
          <w:rFonts w:cs="Times New Roman"/>
          <w:lang w:val="fr-CA"/>
        </w:rPr>
        <w:t xml:space="preserve"> (p.</w:t>
      </w:r>
      <w:r w:rsidR="00F23967">
        <w:rPr>
          <w:rFonts w:cs="Times New Roman"/>
          <w:lang w:val="fr-CA"/>
        </w:rPr>
        <w:t xml:space="preserve"> </w:t>
      </w:r>
      <w:r w:rsidRPr="00FA6F76">
        <w:rPr>
          <w:rFonts w:cs="Times New Roman"/>
          <w:lang w:val="fr-CA"/>
        </w:rPr>
        <w:t>8). Elle a signalé qu’en tout état de cause, elle ne traitait pas de demandes multiples et qu’elle n’était pas au courant de l’existence d’une série de telles demandes (</w:t>
      </w:r>
      <w:r w:rsidRPr="00FA6F76">
        <w:rPr>
          <w:rFonts w:cs="Times New Roman"/>
          <w:i/>
          <w:lang w:val="fr-CA"/>
        </w:rPr>
        <w:t>ibid.</w:t>
      </w:r>
      <w:r w:rsidRPr="00FA6F76">
        <w:rPr>
          <w:rFonts w:cs="Times New Roman"/>
          <w:lang w:val="fr-CA"/>
        </w:rPr>
        <w:t>).  Là encore, il s’agit d’une conclusion qu’il lui était raisonnablement loisible de tirer au vu du dossier.</w:t>
      </w:r>
    </w:p>
    <w:p w:rsidR="006C6098" w:rsidRPr="00FA6F76" w:rsidRDefault="006C6098" w:rsidP="00021119">
      <w:pPr>
        <w:pStyle w:val="ParaNoNdepar-AltN"/>
        <w:rPr>
          <w:rFonts w:cs="Times New Roman"/>
          <w:lang w:val="fr-CA"/>
        </w:rPr>
      </w:pPr>
      <w:r w:rsidRPr="00FA6F76">
        <w:rPr>
          <w:rFonts w:cs="Times New Roman"/>
          <w:lang w:val="fr-CA"/>
        </w:rPr>
        <w:t>Le Ministère a affirmé que la divulgation du dossier susciterait chez les délinquants sexuels la [</w:t>
      </w:r>
      <w:r w:rsidRPr="00FA6F76">
        <w:rPr>
          <w:rFonts w:cs="Times New Roman"/>
          <w:smallCaps/>
          <w:lang w:val="fr-CA"/>
        </w:rPr>
        <w:t>traduction</w:t>
      </w:r>
      <w:r w:rsidRPr="00FA6F76">
        <w:rPr>
          <w:rFonts w:cs="Times New Roman"/>
          <w:lang w:val="fr-CA"/>
        </w:rPr>
        <w:t>] «</w:t>
      </w:r>
      <w:r w:rsidR="00F23967">
        <w:rPr>
          <w:rFonts w:cs="Times New Roman"/>
          <w:lang w:val="fr-CA"/>
        </w:rPr>
        <w:t xml:space="preserve"> </w:t>
      </w:r>
      <w:r w:rsidRPr="00FA6F76">
        <w:rPr>
          <w:rFonts w:cs="Times New Roman"/>
          <w:lang w:val="fr-CA"/>
        </w:rPr>
        <w:t>crainte subjective</w:t>
      </w:r>
      <w:r w:rsidR="00E3692F">
        <w:rPr>
          <w:rFonts w:cs="Times New Roman"/>
          <w:iCs/>
          <w:lang w:val="fr-CA"/>
        </w:rPr>
        <w:t> </w:t>
      </w:r>
      <w:r w:rsidR="00E3692F" w:rsidRPr="003D0CB7">
        <w:rPr>
          <w:lang w:val="fr-CA"/>
        </w:rPr>
        <w:t>»</w:t>
      </w:r>
      <w:r w:rsidRPr="00FA6F76">
        <w:rPr>
          <w:rFonts w:cs="Times New Roman"/>
          <w:lang w:val="fr-CA"/>
        </w:rPr>
        <w:t xml:space="preserve"> d’être identifiés et que cette crainte entraînerait à son tour une diminution du taux de conformité.  Comme nous l’avons déjà expliqué, l’argument relatif à la «</w:t>
      </w:r>
      <w:r w:rsidR="00F23967">
        <w:rPr>
          <w:rFonts w:cs="Times New Roman"/>
          <w:lang w:val="fr-CA"/>
        </w:rPr>
        <w:t xml:space="preserve"> </w:t>
      </w:r>
      <w:r w:rsidRPr="00FA6F76">
        <w:rPr>
          <w:rFonts w:cs="Times New Roman"/>
          <w:lang w:val="fr-CA"/>
        </w:rPr>
        <w:t>crainte su</w:t>
      </w:r>
      <w:r w:rsidR="008F7F87">
        <w:rPr>
          <w:rFonts w:cs="Times New Roman"/>
          <w:lang w:val="fr-CA"/>
        </w:rPr>
        <w:t>bjec</w:t>
      </w:r>
      <w:r w:rsidRPr="00FA6F76">
        <w:rPr>
          <w:rFonts w:cs="Times New Roman"/>
          <w:lang w:val="fr-CA"/>
        </w:rPr>
        <w:t>tive</w:t>
      </w:r>
      <w:r w:rsidR="00E3692F">
        <w:rPr>
          <w:rFonts w:cs="Times New Roman"/>
          <w:iCs/>
          <w:lang w:val="fr-CA"/>
        </w:rPr>
        <w:t> </w:t>
      </w:r>
      <w:r w:rsidR="00E3692F" w:rsidRPr="003D0CB7">
        <w:rPr>
          <w:lang w:val="fr-CA"/>
        </w:rPr>
        <w:t>»</w:t>
      </w:r>
      <w:r w:rsidRPr="00FA6F76">
        <w:rPr>
          <w:rFonts w:cs="Times New Roman"/>
          <w:lang w:val="fr-CA"/>
        </w:rPr>
        <w:t xml:space="preserve"> ne semble pas avoir été avancé devant la Commissaire.  Le Ministère a effectivement soumis à la Commissaire un affidavit du surintendant </w:t>
      </w:r>
      <w:proofErr w:type="spellStart"/>
      <w:r w:rsidRPr="00FA6F76">
        <w:rPr>
          <w:rFonts w:cs="Times New Roman"/>
          <w:lang w:val="fr-CA"/>
        </w:rPr>
        <w:t>Truax</w:t>
      </w:r>
      <w:proofErr w:type="spellEnd"/>
      <w:r w:rsidRPr="00FA6F76">
        <w:rPr>
          <w:rFonts w:cs="Times New Roman"/>
          <w:lang w:val="fr-CA"/>
        </w:rPr>
        <w:t>, qui établissait un lien entre la croyance des délinquants que les renseignements personnels les concernant soient divulgués au public et leur dé</w:t>
      </w:r>
      <w:r w:rsidR="006B6361">
        <w:rPr>
          <w:rFonts w:cs="Times New Roman"/>
          <w:lang w:val="fr-CA"/>
        </w:rPr>
        <w:t>sir qui en découlerait d’entrer</w:t>
      </w:r>
      <w:r w:rsidRPr="00FA6F76">
        <w:rPr>
          <w:rFonts w:cs="Times New Roman"/>
          <w:lang w:val="fr-CA"/>
        </w:rPr>
        <w:t xml:space="preserve"> </w:t>
      </w:r>
      <w:r w:rsidR="00E3692F" w:rsidRPr="003D0CB7">
        <w:rPr>
          <w:lang w:val="fr-CA"/>
        </w:rPr>
        <w:t>«</w:t>
      </w:r>
      <w:r w:rsidR="00E3692F">
        <w:rPr>
          <w:rFonts w:cs="Times New Roman"/>
          <w:iCs/>
          <w:lang w:val="fr-CA"/>
        </w:rPr>
        <w:t> </w:t>
      </w:r>
      <w:r w:rsidRPr="00FA6F76">
        <w:rPr>
          <w:rFonts w:cs="Times New Roman"/>
          <w:lang w:val="fr-CA"/>
        </w:rPr>
        <w:t>dans la clandestinité</w:t>
      </w:r>
      <w:r w:rsidR="00E3692F">
        <w:rPr>
          <w:rFonts w:cs="Times New Roman"/>
          <w:iCs/>
          <w:lang w:val="fr-CA"/>
        </w:rPr>
        <w:t> </w:t>
      </w:r>
      <w:r w:rsidR="00E3692F" w:rsidRPr="003D0CB7">
        <w:rPr>
          <w:lang w:val="fr-CA"/>
        </w:rPr>
        <w:t>»</w:t>
      </w:r>
      <w:r w:rsidRPr="00FA6F76">
        <w:rPr>
          <w:rFonts w:cs="Times New Roman"/>
          <w:lang w:val="fr-CA"/>
        </w:rPr>
        <w:t xml:space="preserve"> sous l’effet de la peur, ce qui irait à l’encontre des objectifs importants de l’instauration du registre.  Le point de vue d’un délinquant quant à ce risque, qu’il soit raisonnable ou non, pourrait donc fort bien être pertinent pour décider si les </w:t>
      </w:r>
      <w:r w:rsidRPr="00FA6F76">
        <w:rPr>
          <w:rFonts w:cs="Times New Roman"/>
          <w:lang w:val="fr-CA"/>
        </w:rPr>
        <w:lastRenderedPageBreak/>
        <w:t xml:space="preserve">exceptions relatives à l’application de la loi fondées sur le risque de préjudice s’appliquent. </w:t>
      </w:r>
    </w:p>
    <w:p w:rsidR="006C6098" w:rsidRPr="00FA6F76" w:rsidRDefault="006C6098" w:rsidP="00021119">
      <w:pPr>
        <w:pStyle w:val="ParaNoNdepar-AltN"/>
        <w:rPr>
          <w:rFonts w:cs="Times New Roman"/>
          <w:lang w:val="fr-CA"/>
        </w:rPr>
      </w:pPr>
      <w:r w:rsidRPr="00FA6F76">
        <w:rPr>
          <w:rFonts w:cs="Times New Roman"/>
          <w:lang w:val="fr-CA"/>
        </w:rPr>
        <w:t xml:space="preserve">La preuve présentée par le Ministère ne permet cependant pas de croire que la divulgation des renseignements demandés en l’espèce pourrait avoir pour effet de susciter une crainte subjective de ce genre.  Dans son affidavit, le surintendant </w:t>
      </w:r>
      <w:proofErr w:type="spellStart"/>
      <w:r w:rsidRPr="00FA6F76">
        <w:rPr>
          <w:rFonts w:cs="Times New Roman"/>
          <w:lang w:val="fr-CA"/>
        </w:rPr>
        <w:t>Truax</w:t>
      </w:r>
      <w:proofErr w:type="spellEnd"/>
      <w:r w:rsidRPr="00FA6F76">
        <w:rPr>
          <w:rFonts w:cs="Times New Roman"/>
          <w:lang w:val="fr-CA"/>
        </w:rPr>
        <w:t xml:space="preserve"> parle de la crainte que risque d’engendrer la publication de renseignements personnels contenus dans le registre.  Or, les renseignements en cause ici ne sont pas des </w:t>
      </w:r>
      <w:r w:rsidR="00E3692F" w:rsidRPr="003D0CB7">
        <w:rPr>
          <w:lang w:val="fr-CA"/>
        </w:rPr>
        <w:t>«</w:t>
      </w:r>
      <w:r w:rsidR="00E3692F">
        <w:rPr>
          <w:rFonts w:cs="Times New Roman"/>
          <w:iCs/>
          <w:lang w:val="fr-CA"/>
        </w:rPr>
        <w:t> </w:t>
      </w:r>
      <w:r w:rsidRPr="00FA6F76">
        <w:rPr>
          <w:rFonts w:cs="Times New Roman"/>
          <w:lang w:val="fr-CA"/>
        </w:rPr>
        <w:t>renseignements personnels</w:t>
      </w:r>
      <w:r w:rsidR="00E3692F">
        <w:rPr>
          <w:rFonts w:cs="Times New Roman"/>
          <w:iCs/>
          <w:lang w:val="fr-CA"/>
        </w:rPr>
        <w:t> </w:t>
      </w:r>
      <w:r w:rsidR="00E3692F" w:rsidRPr="003D0CB7">
        <w:rPr>
          <w:lang w:val="fr-CA"/>
        </w:rPr>
        <w:t>»</w:t>
      </w:r>
      <w:r w:rsidRPr="00FA6F76">
        <w:rPr>
          <w:rFonts w:cs="Times New Roman"/>
          <w:lang w:val="fr-CA"/>
        </w:rPr>
        <w:t>.  Si le Ministère entend se fonder sur l’argument selon lequel la divulgation de renseignements non personnels peut susciter une crainte subjective risquant vraisemblablement d’entraîner l’inobservation des exigences du registre — une crainte qui, pourrait</w:t>
      </w:r>
      <w:r w:rsidR="00F23967">
        <w:rPr>
          <w:rFonts w:cs="Times New Roman"/>
          <w:lang w:val="fr-CA"/>
        </w:rPr>
        <w:t>-</w:t>
      </w:r>
      <w:r w:rsidRPr="00FA6F76">
        <w:rPr>
          <w:rFonts w:cs="Times New Roman"/>
          <w:lang w:val="fr-CA"/>
        </w:rPr>
        <w:t>on soutenir, relève de l’exception relative à l’application de la loi —, il doit présenter des éléments de preuve étayant cette thèse.  Il ne l’a pas fait et, vu l’insuffisance d’éléments au dossier appuyant cette thèse, la conclusion à laquelle est parvenue la Commissaire sur ce point était raisonnable.</w:t>
      </w:r>
    </w:p>
    <w:p w:rsidR="006C6098" w:rsidRPr="00FA6F76" w:rsidRDefault="006C6098" w:rsidP="00021119">
      <w:pPr>
        <w:pStyle w:val="ParaNoNdepar-AltN"/>
        <w:rPr>
          <w:rFonts w:cs="Times New Roman"/>
          <w:lang w:val="fr-CA"/>
        </w:rPr>
      </w:pPr>
      <w:r w:rsidRPr="00FA6F76">
        <w:rPr>
          <w:rFonts w:cs="Times New Roman"/>
          <w:lang w:val="fr-CA"/>
        </w:rPr>
        <w:t>Nous sommes d’accord avec les tribunau</w:t>
      </w:r>
      <w:r w:rsidR="005D4624">
        <w:rPr>
          <w:rFonts w:cs="Times New Roman"/>
          <w:lang w:val="fr-CA"/>
        </w:rPr>
        <w:t>x ontariens pour affirmer que la</w:t>
      </w:r>
      <w:r w:rsidRPr="00FA6F76">
        <w:rPr>
          <w:rFonts w:cs="Times New Roman"/>
          <w:lang w:val="fr-CA"/>
        </w:rPr>
        <w:t xml:space="preserve"> Commissaire n’a pas commis d’erreur susceptible de contrôle judiciaire en appliquant la norme de preuve adéquate aux exceptions relatives à l’application de la loi sur laquelle se fondait le Ministère. </w:t>
      </w:r>
    </w:p>
    <w:p w:rsidR="006C6098" w:rsidRPr="00FA6F76" w:rsidRDefault="006C6098" w:rsidP="00021119">
      <w:pPr>
        <w:pStyle w:val="ParaNoNdepar-AltN"/>
        <w:rPr>
          <w:rFonts w:cs="Times New Roman"/>
          <w:lang w:val="fr-CA"/>
        </w:rPr>
      </w:pPr>
      <w:r w:rsidRPr="00FA6F76">
        <w:rPr>
          <w:rFonts w:cs="Times New Roman"/>
          <w:lang w:val="fr-CA"/>
        </w:rPr>
        <w:t xml:space="preserve">En résumé, la Commissaire a appliqué de façon raisonnable la norme de preuve appropriée dans sa décision.  Elle a tenu compte du fait que l’efficacité du registre dépend de son caractère confidentiel.  Il lui fallait toutefois pondérer ce </w:t>
      </w:r>
      <w:r w:rsidRPr="00FA6F76">
        <w:rPr>
          <w:rFonts w:cs="Times New Roman"/>
          <w:lang w:val="fr-CA"/>
        </w:rPr>
        <w:lastRenderedPageBreak/>
        <w:t>facteur avec l’intérêt du public à maintenir des institutions gouvernementales transparentes.  En recherchant un équilibre entre ces deux intérêts opposés, la Commissaire a décidé que les risques évoqués par le Ministère étaient trop faibles et qu’ils n’étaient pas suffisamment étayés par la preuve pour permettre de conclure à l’existence d’un risque vraisemblable de préjudice probable.  Cette conclusion était raisonnable.</w:t>
      </w:r>
    </w:p>
    <w:p w:rsidR="006C6098" w:rsidRPr="00FA6F76" w:rsidRDefault="006C6098" w:rsidP="00021119">
      <w:pPr>
        <w:pStyle w:val="ParaNoNdepar-AltN"/>
        <w:rPr>
          <w:rFonts w:cs="Times New Roman"/>
          <w:lang w:val="fr-CA"/>
        </w:rPr>
      </w:pPr>
      <w:r w:rsidRPr="00FA6F76">
        <w:rPr>
          <w:rFonts w:cs="Times New Roman"/>
          <w:lang w:val="fr-CA"/>
        </w:rPr>
        <w:t>En fait, la décision de 17</w:t>
      </w:r>
      <w:r w:rsidR="00F23967">
        <w:rPr>
          <w:rFonts w:cs="Times New Roman"/>
          <w:lang w:val="fr-CA"/>
        </w:rPr>
        <w:t xml:space="preserve"> </w:t>
      </w:r>
      <w:r w:rsidRPr="00FA6F76">
        <w:rPr>
          <w:rFonts w:cs="Times New Roman"/>
          <w:lang w:val="fr-CA"/>
        </w:rPr>
        <w:t xml:space="preserve">pages de la Commissaire était bien motivée, en plus d’être transparente et intelligible.  La Commissaire y expose longuement les arguments du Ministère et elle les examine d’une manière équitable.  Puisque la Commissaire est une experte en matière de protection de la vie privée et de demandes d’accès à l’information, ses décisions commandent la déférence en l’absence d’une conclusion déraisonnable n’appartenant pas aux issues possibles et acceptables.  Or, le Ministère n’a pas réussi à démontrer qu’une telle erreur avait été commise. </w:t>
      </w:r>
    </w:p>
    <w:p w:rsidR="006C6098" w:rsidRPr="00FA6F76" w:rsidRDefault="006C6098" w:rsidP="00021119">
      <w:pPr>
        <w:pStyle w:val="Title1LevelTitre1Niveau-AltL"/>
        <w:keepNext w:val="0"/>
        <w:rPr>
          <w:rFonts w:cs="Times New Roman"/>
          <w:lang w:val="fr-CA"/>
        </w:rPr>
      </w:pPr>
      <w:proofErr w:type="spellStart"/>
      <w:r w:rsidRPr="00FA6F76">
        <w:rPr>
          <w:rFonts w:cs="Times New Roman"/>
        </w:rPr>
        <w:t>Dispositif</w:t>
      </w:r>
      <w:proofErr w:type="spellEnd"/>
    </w:p>
    <w:p w:rsidR="006C6098" w:rsidRPr="00FA6F76" w:rsidRDefault="006C6098" w:rsidP="00021119">
      <w:pPr>
        <w:pStyle w:val="ParaNoNdepar-AltN"/>
        <w:rPr>
          <w:rFonts w:cs="Times New Roman"/>
          <w:lang w:val="fr-CA"/>
        </w:rPr>
      </w:pPr>
      <w:r w:rsidRPr="00FA6F76">
        <w:rPr>
          <w:rFonts w:cs="Times New Roman"/>
          <w:lang w:val="fr-CA"/>
        </w:rPr>
        <w:t xml:space="preserve">Nous sommes d’avis de rejeter le pourvoi, mais, comme la Commissaire l’a demandé, le tout sans dépens. </w:t>
      </w:r>
    </w:p>
    <w:p w:rsidR="0069673B" w:rsidRPr="003D0CB7" w:rsidRDefault="0069673B" w:rsidP="00021119">
      <w:pPr>
        <w:pStyle w:val="SCCNormalDoubleSpacing"/>
        <w:spacing w:after="480"/>
        <w:rPr>
          <w:i/>
          <w:lang w:val="fr-CA"/>
        </w:rPr>
      </w:pPr>
      <w:r w:rsidRPr="003D0CB7">
        <w:rPr>
          <w:lang w:val="fr-CA"/>
        </w:rPr>
        <w:tab/>
      </w:r>
      <w:r w:rsidR="0085524D" w:rsidRPr="003D0CB7">
        <w:rPr>
          <w:i/>
          <w:lang w:val="fr-CA"/>
        </w:rPr>
        <w:t>Pourvoi rejeté sans dépens</w:t>
      </w:r>
      <w:r w:rsidRPr="003D0CB7">
        <w:rPr>
          <w:i/>
          <w:lang w:val="fr-CA"/>
        </w:rPr>
        <w:t>.</w:t>
      </w:r>
    </w:p>
    <w:p w:rsidR="0069673B" w:rsidRPr="003D0CB7" w:rsidRDefault="0069673B" w:rsidP="00021119">
      <w:pPr>
        <w:pStyle w:val="SCCLawFirm"/>
        <w:spacing w:after="480"/>
        <w:rPr>
          <w:lang w:val="fr-CA"/>
        </w:rPr>
      </w:pPr>
      <w:r w:rsidRPr="003D0CB7">
        <w:rPr>
          <w:lang w:val="fr-CA"/>
        </w:rPr>
        <w:tab/>
        <w:t>Procureur de l</w:t>
      </w:r>
      <w:r w:rsidR="009F7134" w:rsidRPr="003D0CB7">
        <w:rPr>
          <w:lang w:val="fr-CA"/>
        </w:rPr>
        <w:t>’</w:t>
      </w:r>
      <w:r w:rsidRPr="003D0CB7">
        <w:rPr>
          <w:lang w:val="fr-CA"/>
        </w:rPr>
        <w:t>appelant</w:t>
      </w:r>
      <w:r w:rsidR="00F23967">
        <w:rPr>
          <w:lang w:val="fr-CA"/>
        </w:rPr>
        <w:t xml:space="preserve"> </w:t>
      </w:r>
      <w:r w:rsidR="00AA4099" w:rsidRPr="003D0CB7">
        <w:rPr>
          <w:lang w:val="fr-CA"/>
        </w:rPr>
        <w:t>:</w:t>
      </w:r>
      <w:r w:rsidR="00F23967">
        <w:rPr>
          <w:lang w:val="fr-CA"/>
        </w:rPr>
        <w:t xml:space="preserve"> </w:t>
      </w:r>
      <w:r w:rsidRPr="003D0CB7">
        <w:rPr>
          <w:lang w:val="fr-CA"/>
        </w:rPr>
        <w:t>Procureur général de l</w:t>
      </w:r>
      <w:r w:rsidR="009F7134" w:rsidRPr="003D0CB7">
        <w:rPr>
          <w:lang w:val="fr-CA"/>
        </w:rPr>
        <w:t>’</w:t>
      </w:r>
      <w:r w:rsidRPr="003D0CB7">
        <w:rPr>
          <w:lang w:val="fr-CA"/>
        </w:rPr>
        <w:t>Ontario, Toronto.</w:t>
      </w:r>
    </w:p>
    <w:p w:rsidR="0069673B" w:rsidRPr="003D0CB7" w:rsidRDefault="0069673B" w:rsidP="00021119">
      <w:pPr>
        <w:pStyle w:val="SCCLawFirm"/>
        <w:spacing w:after="480"/>
        <w:rPr>
          <w:lang w:val="fr-CA"/>
        </w:rPr>
      </w:pPr>
      <w:r w:rsidRPr="003D0CB7">
        <w:rPr>
          <w:lang w:val="fr-CA"/>
        </w:rPr>
        <w:lastRenderedPageBreak/>
        <w:tab/>
        <w:t>Procureur de l</w:t>
      </w:r>
      <w:r w:rsidR="009F7134" w:rsidRPr="003D0CB7">
        <w:rPr>
          <w:lang w:val="fr-CA"/>
        </w:rPr>
        <w:t>’</w:t>
      </w:r>
      <w:r w:rsidRPr="003D0CB7">
        <w:rPr>
          <w:lang w:val="fr-CA"/>
        </w:rPr>
        <w:t>intimé</w:t>
      </w:r>
      <w:r w:rsidR="0049465F" w:rsidRPr="003D0CB7">
        <w:rPr>
          <w:lang w:val="fr-CA"/>
        </w:rPr>
        <w:t>e</w:t>
      </w:r>
      <w:r w:rsidR="00F23967">
        <w:rPr>
          <w:lang w:val="fr-CA"/>
        </w:rPr>
        <w:t xml:space="preserve"> </w:t>
      </w:r>
      <w:r w:rsidR="006A27D6" w:rsidRPr="003D0CB7">
        <w:rPr>
          <w:lang w:val="fr-CA"/>
        </w:rPr>
        <w:t>:</w:t>
      </w:r>
      <w:r w:rsidR="00F23967">
        <w:rPr>
          <w:lang w:val="fr-CA"/>
        </w:rPr>
        <w:t xml:space="preserve"> </w:t>
      </w:r>
      <w:r w:rsidRPr="003D0CB7">
        <w:rPr>
          <w:lang w:val="fr-CA"/>
        </w:rPr>
        <w:t>Commissaire à l</w:t>
      </w:r>
      <w:r w:rsidR="009F7134" w:rsidRPr="003D0CB7">
        <w:rPr>
          <w:lang w:val="fr-CA"/>
        </w:rPr>
        <w:t>’</w:t>
      </w:r>
      <w:r w:rsidRPr="003D0CB7">
        <w:rPr>
          <w:lang w:val="fr-CA"/>
        </w:rPr>
        <w:t>information et à la protection de la vie privée de l</w:t>
      </w:r>
      <w:r w:rsidR="009F7134" w:rsidRPr="003D0CB7">
        <w:rPr>
          <w:lang w:val="fr-CA"/>
        </w:rPr>
        <w:t>’</w:t>
      </w:r>
      <w:r w:rsidRPr="003D0CB7">
        <w:rPr>
          <w:lang w:val="fr-CA"/>
        </w:rPr>
        <w:t>Ontario, Toronto.</w:t>
      </w:r>
    </w:p>
    <w:p w:rsidR="0069673B" w:rsidRPr="003D0CB7" w:rsidRDefault="0069673B" w:rsidP="00021119">
      <w:pPr>
        <w:pStyle w:val="SCCLawFirm"/>
        <w:spacing w:after="480"/>
        <w:rPr>
          <w:lang w:val="fr-CA"/>
        </w:rPr>
      </w:pPr>
      <w:r w:rsidRPr="003D0CB7">
        <w:rPr>
          <w:lang w:val="fr-CA"/>
        </w:rPr>
        <w:tab/>
        <w:t>Procureur de l</w:t>
      </w:r>
      <w:r w:rsidR="009F7134" w:rsidRPr="003D0CB7">
        <w:rPr>
          <w:lang w:val="fr-CA"/>
        </w:rPr>
        <w:t>’</w:t>
      </w:r>
      <w:r w:rsidRPr="003D0CB7">
        <w:rPr>
          <w:lang w:val="fr-CA"/>
        </w:rPr>
        <w:t>intervenant le procureur général du Canada</w:t>
      </w:r>
      <w:r w:rsidR="00F23967">
        <w:rPr>
          <w:lang w:val="fr-CA"/>
        </w:rPr>
        <w:t xml:space="preserve"> </w:t>
      </w:r>
      <w:r w:rsidR="00AA4099" w:rsidRPr="003D0CB7">
        <w:rPr>
          <w:lang w:val="fr-CA"/>
        </w:rPr>
        <w:t>:</w:t>
      </w:r>
      <w:r w:rsidR="00F23967">
        <w:rPr>
          <w:lang w:val="fr-CA"/>
        </w:rPr>
        <w:t xml:space="preserve"> </w:t>
      </w:r>
      <w:r w:rsidRPr="003D0CB7">
        <w:rPr>
          <w:lang w:val="fr-CA"/>
        </w:rPr>
        <w:t>Procureur général du Canada, Toronto.</w:t>
      </w:r>
    </w:p>
    <w:p w:rsidR="0069673B" w:rsidRPr="003D0CB7" w:rsidRDefault="0069673B" w:rsidP="00021119">
      <w:pPr>
        <w:pStyle w:val="SCCLawFirm"/>
        <w:rPr>
          <w:lang w:val="fr-CA"/>
        </w:rPr>
      </w:pPr>
      <w:r w:rsidRPr="003D0CB7">
        <w:rPr>
          <w:lang w:val="fr-CA"/>
        </w:rPr>
        <w:tab/>
        <w:t>Procureurs de l</w:t>
      </w:r>
      <w:r w:rsidR="009F7134" w:rsidRPr="003D0CB7">
        <w:rPr>
          <w:lang w:val="fr-CA"/>
        </w:rPr>
        <w:t>’</w:t>
      </w:r>
      <w:r w:rsidR="008A5ED5" w:rsidRPr="003D0CB7">
        <w:rPr>
          <w:lang w:val="fr-CA"/>
        </w:rPr>
        <w:t>intervenante la</w:t>
      </w:r>
      <w:r w:rsidRPr="003D0CB7">
        <w:rPr>
          <w:lang w:val="fr-CA"/>
        </w:rPr>
        <w:t xml:space="preserve"> Commissaire à l</w:t>
      </w:r>
      <w:r w:rsidR="009F7134" w:rsidRPr="003D0CB7">
        <w:rPr>
          <w:lang w:val="fr-CA"/>
        </w:rPr>
        <w:t>’</w:t>
      </w:r>
      <w:r w:rsidRPr="003D0CB7">
        <w:rPr>
          <w:lang w:val="fr-CA"/>
        </w:rPr>
        <w:t>information du Canada</w:t>
      </w:r>
      <w:r w:rsidR="00F23967">
        <w:rPr>
          <w:lang w:val="fr-CA"/>
        </w:rPr>
        <w:t xml:space="preserve"> </w:t>
      </w:r>
      <w:r w:rsidR="00AA4099" w:rsidRPr="003D0CB7">
        <w:rPr>
          <w:lang w:val="fr-CA"/>
        </w:rPr>
        <w:t>:</w:t>
      </w:r>
      <w:r w:rsidR="00F23967">
        <w:rPr>
          <w:lang w:val="fr-CA"/>
        </w:rPr>
        <w:t xml:space="preserve"> </w:t>
      </w:r>
      <w:proofErr w:type="spellStart"/>
      <w:r w:rsidRPr="003D0CB7">
        <w:rPr>
          <w:lang w:val="fr-CA"/>
        </w:rPr>
        <w:t>Gowling</w:t>
      </w:r>
      <w:proofErr w:type="spellEnd"/>
      <w:r w:rsidRPr="003D0CB7">
        <w:rPr>
          <w:lang w:val="fr-CA"/>
        </w:rPr>
        <w:t xml:space="preserve"> Lafleur Henderson, Ottawa.</w:t>
      </w:r>
      <w:r w:rsidR="00B45D09">
        <w:rPr>
          <w:lang w:val="fr-CA"/>
        </w:rPr>
        <w:t xml:space="preserve"> </w:t>
      </w:r>
    </w:p>
    <w:sectPr w:rsidR="0069673B" w:rsidRPr="003D0CB7"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C2C" w:rsidRDefault="00674C2C">
      <w:r>
        <w:separator/>
      </w:r>
    </w:p>
  </w:endnote>
  <w:endnote w:type="continuationSeparator" w:id="0">
    <w:p w:rsidR="00674C2C" w:rsidRDefault="00674C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2C" w:rsidRDefault="00674C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2C" w:rsidRDefault="00674C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2C" w:rsidRDefault="00674C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C2C" w:rsidRDefault="00674C2C">
      <w:r>
        <w:separator/>
      </w:r>
    </w:p>
  </w:footnote>
  <w:footnote w:type="continuationSeparator" w:id="0">
    <w:p w:rsidR="00674C2C" w:rsidRDefault="00674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2C" w:rsidRDefault="00674C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2C" w:rsidRPr="00450352" w:rsidRDefault="00674C2C"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2C" w:rsidRDefault="00674C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4">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1"/>
  </w:num>
  <w:num w:numId="3">
    <w:abstractNumId w:val="10"/>
  </w:num>
  <w:num w:numId="4">
    <w:abstractNumId w:val="15"/>
  </w:num>
  <w:num w:numId="5">
    <w:abstractNumId w:val="16"/>
  </w:num>
  <w:num w:numId="6">
    <w:abstractNumId w:val="17"/>
  </w:num>
  <w:num w:numId="7">
    <w:abstractNumId w:val="13"/>
  </w:num>
  <w:num w:numId="8">
    <w:abstractNumId w:val="9"/>
  </w:num>
  <w:num w:numId="9">
    <w:abstractNumId w:val="14"/>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3"/>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7457"/>
  </w:hdrShapeDefaults>
  <w:footnotePr>
    <w:footnote w:id="-1"/>
    <w:footnote w:id="0"/>
  </w:footnotePr>
  <w:endnotePr>
    <w:endnote w:id="-1"/>
    <w:endnote w:id="0"/>
  </w:endnotePr>
  <w:compat/>
  <w:rsids>
    <w:rsidRoot w:val="0031414C"/>
    <w:rsid w:val="00000ED4"/>
    <w:rsid w:val="00021119"/>
    <w:rsid w:val="00023FC7"/>
    <w:rsid w:val="000247B2"/>
    <w:rsid w:val="00025198"/>
    <w:rsid w:val="00030EE3"/>
    <w:rsid w:val="00053E84"/>
    <w:rsid w:val="000578A3"/>
    <w:rsid w:val="00061B99"/>
    <w:rsid w:val="000648CC"/>
    <w:rsid w:val="0007202B"/>
    <w:rsid w:val="000843AF"/>
    <w:rsid w:val="00096798"/>
    <w:rsid w:val="000974C5"/>
    <w:rsid w:val="000B1C75"/>
    <w:rsid w:val="000B59AE"/>
    <w:rsid w:val="000C372A"/>
    <w:rsid w:val="000C59B8"/>
    <w:rsid w:val="000C6AF0"/>
    <w:rsid w:val="000D0A77"/>
    <w:rsid w:val="000E2B6F"/>
    <w:rsid w:val="000F4CF4"/>
    <w:rsid w:val="000F7993"/>
    <w:rsid w:val="001011BE"/>
    <w:rsid w:val="00104F33"/>
    <w:rsid w:val="00111DE2"/>
    <w:rsid w:val="00116B38"/>
    <w:rsid w:val="00131ED6"/>
    <w:rsid w:val="00132428"/>
    <w:rsid w:val="00135406"/>
    <w:rsid w:val="00135972"/>
    <w:rsid w:val="00142487"/>
    <w:rsid w:val="001426A9"/>
    <w:rsid w:val="001459BB"/>
    <w:rsid w:val="00150127"/>
    <w:rsid w:val="00154D7C"/>
    <w:rsid w:val="001570B0"/>
    <w:rsid w:val="0015752C"/>
    <w:rsid w:val="00157737"/>
    <w:rsid w:val="00165277"/>
    <w:rsid w:val="00170592"/>
    <w:rsid w:val="001720F7"/>
    <w:rsid w:val="00181911"/>
    <w:rsid w:val="00195D83"/>
    <w:rsid w:val="001A00C1"/>
    <w:rsid w:val="001B33E0"/>
    <w:rsid w:val="001B4573"/>
    <w:rsid w:val="001C138E"/>
    <w:rsid w:val="001C779F"/>
    <w:rsid w:val="001D2AC1"/>
    <w:rsid w:val="001D4E88"/>
    <w:rsid w:val="001D503D"/>
    <w:rsid w:val="001E03A1"/>
    <w:rsid w:val="001E7A01"/>
    <w:rsid w:val="00203B64"/>
    <w:rsid w:val="00220FC2"/>
    <w:rsid w:val="00221BD4"/>
    <w:rsid w:val="002222F4"/>
    <w:rsid w:val="00224FC0"/>
    <w:rsid w:val="00225EA4"/>
    <w:rsid w:val="00226EAF"/>
    <w:rsid w:val="00231F3A"/>
    <w:rsid w:val="00234001"/>
    <w:rsid w:val="002406EE"/>
    <w:rsid w:val="00243EC8"/>
    <w:rsid w:val="0024449B"/>
    <w:rsid w:val="002473E1"/>
    <w:rsid w:val="00270D93"/>
    <w:rsid w:val="002745CC"/>
    <w:rsid w:val="0027667F"/>
    <w:rsid w:val="002849CD"/>
    <w:rsid w:val="002877D0"/>
    <w:rsid w:val="002B6FBE"/>
    <w:rsid w:val="002B7924"/>
    <w:rsid w:val="002C10A6"/>
    <w:rsid w:val="002C49BD"/>
    <w:rsid w:val="002D1064"/>
    <w:rsid w:val="002D28C3"/>
    <w:rsid w:val="002D39A4"/>
    <w:rsid w:val="002E1E2E"/>
    <w:rsid w:val="002E6705"/>
    <w:rsid w:val="00300C82"/>
    <w:rsid w:val="0030329A"/>
    <w:rsid w:val="00305475"/>
    <w:rsid w:val="0031086F"/>
    <w:rsid w:val="0031414C"/>
    <w:rsid w:val="00314E01"/>
    <w:rsid w:val="0032089D"/>
    <w:rsid w:val="003310DE"/>
    <w:rsid w:val="003323B0"/>
    <w:rsid w:val="00340A49"/>
    <w:rsid w:val="0035169A"/>
    <w:rsid w:val="0035259D"/>
    <w:rsid w:val="00364B18"/>
    <w:rsid w:val="003777F5"/>
    <w:rsid w:val="003A02ED"/>
    <w:rsid w:val="003A125D"/>
    <w:rsid w:val="003A4C70"/>
    <w:rsid w:val="003B127C"/>
    <w:rsid w:val="003B215F"/>
    <w:rsid w:val="003B56F5"/>
    <w:rsid w:val="003B6BD8"/>
    <w:rsid w:val="003C799C"/>
    <w:rsid w:val="003D0399"/>
    <w:rsid w:val="003D0CB7"/>
    <w:rsid w:val="003E1B4E"/>
    <w:rsid w:val="003E1C71"/>
    <w:rsid w:val="003F327B"/>
    <w:rsid w:val="00406166"/>
    <w:rsid w:val="0040704B"/>
    <w:rsid w:val="00410A55"/>
    <w:rsid w:val="00411300"/>
    <w:rsid w:val="00413F17"/>
    <w:rsid w:val="00415417"/>
    <w:rsid w:val="00426659"/>
    <w:rsid w:val="0043002B"/>
    <w:rsid w:val="00450352"/>
    <w:rsid w:val="00454729"/>
    <w:rsid w:val="00454BDB"/>
    <w:rsid w:val="00465132"/>
    <w:rsid w:val="0047470C"/>
    <w:rsid w:val="00480C90"/>
    <w:rsid w:val="0048396F"/>
    <w:rsid w:val="00490594"/>
    <w:rsid w:val="00493C18"/>
    <w:rsid w:val="0049465F"/>
    <w:rsid w:val="00497C62"/>
    <w:rsid w:val="004A54D7"/>
    <w:rsid w:val="004A600C"/>
    <w:rsid w:val="004A6118"/>
    <w:rsid w:val="004C4439"/>
    <w:rsid w:val="004C478D"/>
    <w:rsid w:val="004C76CA"/>
    <w:rsid w:val="004D70E6"/>
    <w:rsid w:val="004D7D95"/>
    <w:rsid w:val="004E2C26"/>
    <w:rsid w:val="004F38F4"/>
    <w:rsid w:val="005125A8"/>
    <w:rsid w:val="00514266"/>
    <w:rsid w:val="00514B72"/>
    <w:rsid w:val="00517549"/>
    <w:rsid w:val="00520ABC"/>
    <w:rsid w:val="00521AE8"/>
    <w:rsid w:val="00527180"/>
    <w:rsid w:val="00530D72"/>
    <w:rsid w:val="0054135B"/>
    <w:rsid w:val="005475BA"/>
    <w:rsid w:val="00555291"/>
    <w:rsid w:val="00563F0F"/>
    <w:rsid w:val="00566AD1"/>
    <w:rsid w:val="00576F0C"/>
    <w:rsid w:val="00583EDE"/>
    <w:rsid w:val="005A6079"/>
    <w:rsid w:val="005B1770"/>
    <w:rsid w:val="005D3389"/>
    <w:rsid w:val="005D4624"/>
    <w:rsid w:val="005E4698"/>
    <w:rsid w:val="005F3F5D"/>
    <w:rsid w:val="00600D22"/>
    <w:rsid w:val="00603924"/>
    <w:rsid w:val="00610539"/>
    <w:rsid w:val="00613969"/>
    <w:rsid w:val="00625C35"/>
    <w:rsid w:val="00633DCF"/>
    <w:rsid w:val="006369A8"/>
    <w:rsid w:val="006372B9"/>
    <w:rsid w:val="00647E49"/>
    <w:rsid w:val="00656313"/>
    <w:rsid w:val="006565F4"/>
    <w:rsid w:val="00674C2C"/>
    <w:rsid w:val="00684EEA"/>
    <w:rsid w:val="0069673B"/>
    <w:rsid w:val="0069689B"/>
    <w:rsid w:val="006A206D"/>
    <w:rsid w:val="006A27D6"/>
    <w:rsid w:val="006A3004"/>
    <w:rsid w:val="006A709A"/>
    <w:rsid w:val="006B5FF5"/>
    <w:rsid w:val="006B6361"/>
    <w:rsid w:val="006C0B90"/>
    <w:rsid w:val="006C6098"/>
    <w:rsid w:val="006D1CD4"/>
    <w:rsid w:val="006E2F9F"/>
    <w:rsid w:val="006F30AF"/>
    <w:rsid w:val="006F38F0"/>
    <w:rsid w:val="00701759"/>
    <w:rsid w:val="00705C15"/>
    <w:rsid w:val="007110F6"/>
    <w:rsid w:val="00711780"/>
    <w:rsid w:val="00716086"/>
    <w:rsid w:val="007208D1"/>
    <w:rsid w:val="00744518"/>
    <w:rsid w:val="00747288"/>
    <w:rsid w:val="00747DD3"/>
    <w:rsid w:val="007549C8"/>
    <w:rsid w:val="00754F16"/>
    <w:rsid w:val="00766D14"/>
    <w:rsid w:val="00767A0F"/>
    <w:rsid w:val="00775AAB"/>
    <w:rsid w:val="00785595"/>
    <w:rsid w:val="00791272"/>
    <w:rsid w:val="007A05F6"/>
    <w:rsid w:val="007B368E"/>
    <w:rsid w:val="007B6E84"/>
    <w:rsid w:val="007B6F4A"/>
    <w:rsid w:val="007D068A"/>
    <w:rsid w:val="007E1C47"/>
    <w:rsid w:val="007E337A"/>
    <w:rsid w:val="007E5C70"/>
    <w:rsid w:val="007F2FF5"/>
    <w:rsid w:val="007F3F08"/>
    <w:rsid w:val="008021FD"/>
    <w:rsid w:val="00803090"/>
    <w:rsid w:val="00804CC6"/>
    <w:rsid w:val="00807506"/>
    <w:rsid w:val="0081480D"/>
    <w:rsid w:val="00817190"/>
    <w:rsid w:val="008260E2"/>
    <w:rsid w:val="008322BD"/>
    <w:rsid w:val="00834F73"/>
    <w:rsid w:val="00850641"/>
    <w:rsid w:val="0085524D"/>
    <w:rsid w:val="00857F9B"/>
    <w:rsid w:val="00864C8A"/>
    <w:rsid w:val="00864CF8"/>
    <w:rsid w:val="0087367B"/>
    <w:rsid w:val="00874914"/>
    <w:rsid w:val="00887A87"/>
    <w:rsid w:val="00891422"/>
    <w:rsid w:val="00892E1A"/>
    <w:rsid w:val="008A5ED5"/>
    <w:rsid w:val="008B422B"/>
    <w:rsid w:val="008B660A"/>
    <w:rsid w:val="008B6B7A"/>
    <w:rsid w:val="008C01DA"/>
    <w:rsid w:val="008D6CD5"/>
    <w:rsid w:val="008F092B"/>
    <w:rsid w:val="008F2674"/>
    <w:rsid w:val="008F78E9"/>
    <w:rsid w:val="008F7F87"/>
    <w:rsid w:val="009158F6"/>
    <w:rsid w:val="009179F9"/>
    <w:rsid w:val="00917C7A"/>
    <w:rsid w:val="00933E5E"/>
    <w:rsid w:val="009344AD"/>
    <w:rsid w:val="00935218"/>
    <w:rsid w:val="00937C52"/>
    <w:rsid w:val="009403F3"/>
    <w:rsid w:val="009555B7"/>
    <w:rsid w:val="009567AA"/>
    <w:rsid w:val="009602C9"/>
    <w:rsid w:val="0096161E"/>
    <w:rsid w:val="00962166"/>
    <w:rsid w:val="00967374"/>
    <w:rsid w:val="00977949"/>
    <w:rsid w:val="009A343A"/>
    <w:rsid w:val="009A6BA5"/>
    <w:rsid w:val="009A787F"/>
    <w:rsid w:val="009B2F23"/>
    <w:rsid w:val="009B57B3"/>
    <w:rsid w:val="009D2920"/>
    <w:rsid w:val="009D5AEB"/>
    <w:rsid w:val="009E0386"/>
    <w:rsid w:val="009E13BD"/>
    <w:rsid w:val="009F0E33"/>
    <w:rsid w:val="009F7134"/>
    <w:rsid w:val="00A00FB6"/>
    <w:rsid w:val="00A149DF"/>
    <w:rsid w:val="00A1755C"/>
    <w:rsid w:val="00A21B90"/>
    <w:rsid w:val="00A22AAC"/>
    <w:rsid w:val="00A26DC3"/>
    <w:rsid w:val="00A41805"/>
    <w:rsid w:val="00A41C9A"/>
    <w:rsid w:val="00A46110"/>
    <w:rsid w:val="00A46484"/>
    <w:rsid w:val="00A51882"/>
    <w:rsid w:val="00A52AFB"/>
    <w:rsid w:val="00A548CB"/>
    <w:rsid w:val="00A5521C"/>
    <w:rsid w:val="00A643E7"/>
    <w:rsid w:val="00A739AD"/>
    <w:rsid w:val="00A73C38"/>
    <w:rsid w:val="00A8294F"/>
    <w:rsid w:val="00A85B0B"/>
    <w:rsid w:val="00A92211"/>
    <w:rsid w:val="00AA4099"/>
    <w:rsid w:val="00AB670D"/>
    <w:rsid w:val="00AB7012"/>
    <w:rsid w:val="00AF03C5"/>
    <w:rsid w:val="00AF7DFB"/>
    <w:rsid w:val="00B000D8"/>
    <w:rsid w:val="00B00F75"/>
    <w:rsid w:val="00B078CF"/>
    <w:rsid w:val="00B145B6"/>
    <w:rsid w:val="00B160D3"/>
    <w:rsid w:val="00B22F59"/>
    <w:rsid w:val="00B279EB"/>
    <w:rsid w:val="00B27FAE"/>
    <w:rsid w:val="00B36163"/>
    <w:rsid w:val="00B45D09"/>
    <w:rsid w:val="00B50C81"/>
    <w:rsid w:val="00B53292"/>
    <w:rsid w:val="00B557F8"/>
    <w:rsid w:val="00B80869"/>
    <w:rsid w:val="00B815FC"/>
    <w:rsid w:val="00B93FBC"/>
    <w:rsid w:val="00BA7DA0"/>
    <w:rsid w:val="00BB2EE4"/>
    <w:rsid w:val="00BB36A5"/>
    <w:rsid w:val="00BB4C92"/>
    <w:rsid w:val="00BC2108"/>
    <w:rsid w:val="00BD0E9E"/>
    <w:rsid w:val="00BD1BEC"/>
    <w:rsid w:val="00BD32FF"/>
    <w:rsid w:val="00BF6FE9"/>
    <w:rsid w:val="00BF71AE"/>
    <w:rsid w:val="00C02092"/>
    <w:rsid w:val="00C21900"/>
    <w:rsid w:val="00C21906"/>
    <w:rsid w:val="00C24D91"/>
    <w:rsid w:val="00C267D5"/>
    <w:rsid w:val="00C26DB2"/>
    <w:rsid w:val="00C32664"/>
    <w:rsid w:val="00C441DA"/>
    <w:rsid w:val="00C53F14"/>
    <w:rsid w:val="00C600CF"/>
    <w:rsid w:val="00C6084F"/>
    <w:rsid w:val="00C62A66"/>
    <w:rsid w:val="00C66359"/>
    <w:rsid w:val="00C67BEA"/>
    <w:rsid w:val="00C71458"/>
    <w:rsid w:val="00C77613"/>
    <w:rsid w:val="00C828E7"/>
    <w:rsid w:val="00C86719"/>
    <w:rsid w:val="00C91487"/>
    <w:rsid w:val="00C921DD"/>
    <w:rsid w:val="00C9593F"/>
    <w:rsid w:val="00CA0CAB"/>
    <w:rsid w:val="00CA4A38"/>
    <w:rsid w:val="00CA6391"/>
    <w:rsid w:val="00CB5509"/>
    <w:rsid w:val="00CB6CFF"/>
    <w:rsid w:val="00CB7742"/>
    <w:rsid w:val="00CD23F7"/>
    <w:rsid w:val="00CD3A8A"/>
    <w:rsid w:val="00CD40CA"/>
    <w:rsid w:val="00CD662E"/>
    <w:rsid w:val="00CE036E"/>
    <w:rsid w:val="00CE3171"/>
    <w:rsid w:val="00CF1601"/>
    <w:rsid w:val="00D0172F"/>
    <w:rsid w:val="00D01E33"/>
    <w:rsid w:val="00D068A7"/>
    <w:rsid w:val="00D17476"/>
    <w:rsid w:val="00D32086"/>
    <w:rsid w:val="00D36181"/>
    <w:rsid w:val="00D37A3F"/>
    <w:rsid w:val="00D4046B"/>
    <w:rsid w:val="00D4431D"/>
    <w:rsid w:val="00D4667A"/>
    <w:rsid w:val="00D51F78"/>
    <w:rsid w:val="00D525A0"/>
    <w:rsid w:val="00D63A1C"/>
    <w:rsid w:val="00D63B0E"/>
    <w:rsid w:val="00D65014"/>
    <w:rsid w:val="00D7516F"/>
    <w:rsid w:val="00D93AE4"/>
    <w:rsid w:val="00D948C6"/>
    <w:rsid w:val="00D94D32"/>
    <w:rsid w:val="00D95F8E"/>
    <w:rsid w:val="00DA0590"/>
    <w:rsid w:val="00DA4DF0"/>
    <w:rsid w:val="00DC1739"/>
    <w:rsid w:val="00DC1788"/>
    <w:rsid w:val="00DC740F"/>
    <w:rsid w:val="00DD152A"/>
    <w:rsid w:val="00DE319C"/>
    <w:rsid w:val="00DF0CA8"/>
    <w:rsid w:val="00DF29FD"/>
    <w:rsid w:val="00DF2B48"/>
    <w:rsid w:val="00DF49A7"/>
    <w:rsid w:val="00DF54DC"/>
    <w:rsid w:val="00DF66B2"/>
    <w:rsid w:val="00E047F7"/>
    <w:rsid w:val="00E07C62"/>
    <w:rsid w:val="00E07EE2"/>
    <w:rsid w:val="00E07FD1"/>
    <w:rsid w:val="00E24573"/>
    <w:rsid w:val="00E25E1E"/>
    <w:rsid w:val="00E27837"/>
    <w:rsid w:val="00E27EE7"/>
    <w:rsid w:val="00E3523D"/>
    <w:rsid w:val="00E35404"/>
    <w:rsid w:val="00E3692F"/>
    <w:rsid w:val="00E45109"/>
    <w:rsid w:val="00E47B7A"/>
    <w:rsid w:val="00E53F89"/>
    <w:rsid w:val="00E56A44"/>
    <w:rsid w:val="00E60269"/>
    <w:rsid w:val="00E60CE7"/>
    <w:rsid w:val="00E6660D"/>
    <w:rsid w:val="00E71DC5"/>
    <w:rsid w:val="00E80DBD"/>
    <w:rsid w:val="00E831D1"/>
    <w:rsid w:val="00E83F08"/>
    <w:rsid w:val="00E909DA"/>
    <w:rsid w:val="00E96F02"/>
    <w:rsid w:val="00E97830"/>
    <w:rsid w:val="00EE0830"/>
    <w:rsid w:val="00EE6CB8"/>
    <w:rsid w:val="00EF0683"/>
    <w:rsid w:val="00EF3192"/>
    <w:rsid w:val="00F0070C"/>
    <w:rsid w:val="00F00EB7"/>
    <w:rsid w:val="00F22A34"/>
    <w:rsid w:val="00F23967"/>
    <w:rsid w:val="00F23EE2"/>
    <w:rsid w:val="00F36AB6"/>
    <w:rsid w:val="00F37A09"/>
    <w:rsid w:val="00F37B90"/>
    <w:rsid w:val="00F409CE"/>
    <w:rsid w:val="00F4379D"/>
    <w:rsid w:val="00F45034"/>
    <w:rsid w:val="00F50D2D"/>
    <w:rsid w:val="00F547E7"/>
    <w:rsid w:val="00F54FF4"/>
    <w:rsid w:val="00F56C8B"/>
    <w:rsid w:val="00F62639"/>
    <w:rsid w:val="00F66810"/>
    <w:rsid w:val="00F7113F"/>
    <w:rsid w:val="00F84DF4"/>
    <w:rsid w:val="00F85C97"/>
    <w:rsid w:val="00F928D5"/>
    <w:rsid w:val="00F96386"/>
    <w:rsid w:val="00FB37D2"/>
    <w:rsid w:val="00FB64E6"/>
    <w:rsid w:val="00FC4EFB"/>
    <w:rsid w:val="00FD068D"/>
    <w:rsid w:val="00FD4F28"/>
    <w:rsid w:val="00FD55A3"/>
    <w:rsid w:val="00FE4A63"/>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6098"/>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6C6098"/>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6C6098"/>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6C6098"/>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6C6098"/>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6C6098"/>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6C6098"/>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character" w:customStyle="1" w:styleId="Heading3Char">
    <w:name w:val="Heading 3 Char"/>
    <w:basedOn w:val="DefaultParagraphFont"/>
    <w:link w:val="Heading3"/>
    <w:uiPriority w:val="9"/>
    <w:semiHidden/>
    <w:rsid w:val="006C6098"/>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6C6098"/>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6C6098"/>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6C6098"/>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6C6098"/>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6C6098"/>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6C6098"/>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6C6098"/>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6C6098"/>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6C6098"/>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6C6098"/>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6C6098"/>
    <w:rPr>
      <w:b/>
      <w:sz w:val="24"/>
    </w:rPr>
  </w:style>
  <w:style w:type="table" w:styleId="TableGrid">
    <w:name w:val="Table Grid"/>
    <w:basedOn w:val="TableNormal"/>
    <w:uiPriority w:val="59"/>
    <w:rsid w:val="006C60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6C609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6C6098"/>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6C6098"/>
    <w:pPr>
      <w:tabs>
        <w:tab w:val="left" w:pos="1260"/>
      </w:tabs>
      <w:spacing w:after="480" w:line="480" w:lineRule="auto"/>
    </w:pPr>
    <w:rPr>
      <w:smallCaps/>
      <w:sz w:val="24"/>
    </w:rPr>
  </w:style>
  <w:style w:type="paragraph" w:customStyle="1" w:styleId="ParaNoNdepar-AltN">
    <w:name w:val="Para. No. / Nº de par. - Alt N"/>
    <w:qFormat/>
    <w:rsid w:val="006C6098"/>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6C6098"/>
    <w:pPr>
      <w:keepNext/>
      <w:numPr>
        <w:numId w:val="7"/>
      </w:numPr>
      <w:tabs>
        <w:tab w:val="left" w:pos="432"/>
      </w:tabs>
      <w:spacing w:after="720"/>
      <w:ind w:left="431" w:hanging="431"/>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C6098"/>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6C6098"/>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6C6098"/>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6C6098"/>
    <w:pPr>
      <w:numPr>
        <w:ilvl w:val="4"/>
      </w:numPr>
      <w:tabs>
        <w:tab w:val="clear" w:pos="432"/>
        <w:tab w:val="clear" w:pos="1728"/>
        <w:tab w:val="num" w:pos="1440"/>
      </w:tabs>
      <w:ind w:left="1440" w:hanging="540"/>
    </w:pPr>
  </w:style>
  <w:style w:type="paragraph" w:styleId="TOC1">
    <w:name w:val="toc 1"/>
    <w:basedOn w:val="Normal"/>
    <w:next w:val="Normal"/>
    <w:autoRedefine/>
    <w:uiPriority w:val="99"/>
    <w:semiHidden/>
    <w:rsid w:val="006C6098"/>
    <w:pPr>
      <w:tabs>
        <w:tab w:val="left" w:pos="360"/>
        <w:tab w:val="right" w:leader="dot" w:pos="8270"/>
      </w:tabs>
      <w:spacing w:before="120" w:after="120"/>
    </w:pPr>
    <w:rPr>
      <w:rFonts w:eastAsiaTheme="minorHAnsi" w:cstheme="minorBidi"/>
      <w:noProof/>
      <w:szCs w:val="22"/>
      <w:u w:val="single"/>
      <w:lang w:val="en-US" w:eastAsia="en-US" w:bidi="en-US"/>
    </w:rPr>
  </w:style>
  <w:style w:type="paragraph" w:styleId="TOC2">
    <w:name w:val="toc 2"/>
    <w:basedOn w:val="Normal"/>
    <w:next w:val="Normal"/>
    <w:autoRedefine/>
    <w:uiPriority w:val="99"/>
    <w:semiHidden/>
    <w:rsid w:val="006C6098"/>
    <w:pPr>
      <w:tabs>
        <w:tab w:val="left" w:pos="720"/>
        <w:tab w:val="right" w:leader="dot" w:pos="8270"/>
      </w:tabs>
      <w:spacing w:before="120" w:after="120"/>
      <w:ind w:left="432" w:hanging="432"/>
    </w:pPr>
    <w:rPr>
      <w:rFonts w:eastAsiaTheme="minorHAnsi" w:cstheme="minorBidi"/>
      <w:i/>
      <w:iCs/>
      <w:szCs w:val="22"/>
      <w:lang w:val="en-US" w:eastAsia="en-US" w:bidi="en-US"/>
    </w:rPr>
  </w:style>
  <w:style w:type="paragraph" w:styleId="TOC3">
    <w:name w:val="toc 3"/>
    <w:basedOn w:val="Normal"/>
    <w:next w:val="Normal"/>
    <w:autoRedefine/>
    <w:uiPriority w:val="99"/>
    <w:semiHidden/>
    <w:rsid w:val="006C6098"/>
    <w:pPr>
      <w:tabs>
        <w:tab w:val="left" w:pos="1080"/>
        <w:tab w:val="right" w:leader="dot" w:pos="8270"/>
      </w:tabs>
      <w:spacing w:before="120" w:after="120"/>
      <w:ind w:left="864" w:hanging="432"/>
    </w:pPr>
    <w:rPr>
      <w:rFonts w:eastAsiaTheme="minorHAnsi" w:cstheme="minorBidi"/>
      <w:noProof/>
      <w:szCs w:val="22"/>
      <w:u w:val="single"/>
      <w:lang w:val="en-US" w:eastAsia="en-US" w:bidi="en-US"/>
    </w:rPr>
  </w:style>
  <w:style w:type="paragraph" w:styleId="TOC4">
    <w:name w:val="toc 4"/>
    <w:basedOn w:val="Normal"/>
    <w:next w:val="Normal"/>
    <w:autoRedefine/>
    <w:uiPriority w:val="99"/>
    <w:semiHidden/>
    <w:rsid w:val="006C6098"/>
    <w:pPr>
      <w:tabs>
        <w:tab w:val="left" w:pos="900"/>
        <w:tab w:val="right" w:leader="dot" w:pos="8270"/>
      </w:tabs>
      <w:spacing w:before="120" w:after="120"/>
      <w:ind w:left="900" w:hanging="450"/>
    </w:pPr>
    <w:rPr>
      <w:rFonts w:eastAsiaTheme="minorHAnsi" w:cstheme="minorBidi"/>
      <w:i/>
      <w:iCs/>
      <w:noProof/>
      <w:szCs w:val="22"/>
      <w:lang w:val="en-US" w:eastAsia="en-US" w:bidi="en-US"/>
    </w:rPr>
  </w:style>
  <w:style w:type="paragraph" w:styleId="TOC5">
    <w:name w:val="toc 5"/>
    <w:basedOn w:val="Normal"/>
    <w:next w:val="Normal"/>
    <w:autoRedefine/>
    <w:uiPriority w:val="99"/>
    <w:semiHidden/>
    <w:rsid w:val="006C6098"/>
    <w:pPr>
      <w:tabs>
        <w:tab w:val="left" w:pos="1440"/>
        <w:tab w:val="right" w:leader="dot" w:pos="8270"/>
      </w:tabs>
      <w:spacing w:before="120" w:after="120"/>
      <w:ind w:left="1454" w:hanging="547"/>
    </w:pPr>
    <w:rPr>
      <w:rFonts w:eastAsiaTheme="minorHAnsi" w:cstheme="minorBidi"/>
      <w:noProof/>
      <w:szCs w:val="22"/>
      <w:u w:val="single"/>
      <w:lang w:val="en-US" w:eastAsia="en-US" w:bidi="en-US"/>
    </w:rPr>
  </w:style>
  <w:style w:type="paragraph" w:styleId="TOC6">
    <w:name w:val="toc 6"/>
    <w:basedOn w:val="Normal"/>
    <w:next w:val="Normal"/>
    <w:autoRedefine/>
    <w:uiPriority w:val="99"/>
    <w:semiHidden/>
    <w:rsid w:val="006C6098"/>
    <w:pPr>
      <w:tabs>
        <w:tab w:val="left" w:pos="2160"/>
        <w:tab w:val="right" w:leader="dot" w:pos="8270"/>
      </w:tabs>
      <w:spacing w:after="100"/>
      <w:ind w:left="1800"/>
    </w:pPr>
    <w:rPr>
      <w:rFonts w:eastAsiaTheme="minorHAnsi" w:cstheme="minorBidi"/>
      <w:noProof/>
      <w:szCs w:val="22"/>
      <w:lang w:val="en-US" w:eastAsia="en-US" w:bidi="en-US"/>
    </w:rPr>
  </w:style>
  <w:style w:type="table" w:customStyle="1" w:styleId="TableGrid1">
    <w:name w:val="Table Grid1"/>
    <w:uiPriority w:val="99"/>
    <w:rsid w:val="006C6098"/>
    <w:rPr>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6C6098"/>
    <w:pPr>
      <w:keepNext/>
      <w:tabs>
        <w:tab w:val="left" w:pos="360"/>
      </w:tabs>
      <w:spacing w:after="720"/>
      <w:ind w:left="357" w:hanging="357"/>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6C6098"/>
    <w:rPr>
      <w:sz w:val="16"/>
      <w:szCs w:val="16"/>
    </w:rPr>
  </w:style>
  <w:style w:type="paragraph" w:styleId="CommentText">
    <w:name w:val="annotation text"/>
    <w:basedOn w:val="Normal"/>
    <w:link w:val="CommentTextChar"/>
    <w:uiPriority w:val="99"/>
    <w:semiHidden/>
    <w:unhideWhenUsed/>
    <w:rsid w:val="006C6098"/>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6C6098"/>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6C6098"/>
    <w:rPr>
      <w:b/>
      <w:bCs/>
    </w:rPr>
  </w:style>
  <w:style w:type="character" w:customStyle="1" w:styleId="CommentSubjectChar">
    <w:name w:val="Comment Subject Char"/>
    <w:basedOn w:val="CommentTextChar"/>
    <w:link w:val="CommentSubject"/>
    <w:uiPriority w:val="99"/>
    <w:semiHidden/>
    <w:rsid w:val="006C6098"/>
    <w:rPr>
      <w:b/>
      <w:bCs/>
    </w:rPr>
  </w:style>
  <w:style w:type="character" w:styleId="Hyperlink">
    <w:name w:val="Hyperlink"/>
    <w:basedOn w:val="DefaultParagraphFont"/>
    <w:uiPriority w:val="99"/>
    <w:unhideWhenUsed/>
    <w:rsid w:val="006C6098"/>
    <w:rPr>
      <w:color w:val="0000FF" w:themeColor="hyperlink"/>
      <w:u w:val="single"/>
    </w:rPr>
  </w:style>
  <w:style w:type="character" w:customStyle="1" w:styleId="apple-converted-space">
    <w:name w:val="apple-converted-space"/>
    <w:basedOn w:val="DefaultParagraphFont"/>
    <w:uiPriority w:val="99"/>
    <w:rsid w:val="006C6098"/>
  </w:style>
  <w:style w:type="character" w:customStyle="1" w:styleId="highlight">
    <w:name w:val="highlight"/>
    <w:basedOn w:val="DefaultParagraphFont"/>
    <w:uiPriority w:val="99"/>
    <w:rsid w:val="006C6098"/>
  </w:style>
  <w:style w:type="paragraph" w:styleId="ListBullet">
    <w:name w:val="List Bullet"/>
    <w:basedOn w:val="Normal"/>
    <w:uiPriority w:val="99"/>
    <w:unhideWhenUsed/>
    <w:rsid w:val="006C6098"/>
    <w:pPr>
      <w:numPr>
        <w:numId w:val="8"/>
      </w:numPr>
      <w:contextualSpacing/>
    </w:pPr>
    <w:rPr>
      <w:rFonts w:eastAsiaTheme="minorHAnsi" w:cstheme="minorBidi"/>
      <w:szCs w:val="22"/>
      <w:lang w:val="en-US" w:eastAsia="en-US" w:bidi="en-US"/>
    </w:rPr>
  </w:style>
  <w:style w:type="character" w:customStyle="1" w:styleId="JudgeJugeChar">
    <w:name w:val="Judge / Juge Char"/>
    <w:basedOn w:val="DefaultParagraphFont"/>
    <w:link w:val="JudgeJuge"/>
    <w:uiPriority w:val="3"/>
    <w:rsid w:val="006C6098"/>
    <w:rPr>
      <w:smallCaps/>
      <w:sz w:val="24"/>
    </w:rPr>
  </w:style>
  <w:style w:type="paragraph" w:styleId="NoSpacing">
    <w:name w:val="No Spacing"/>
    <w:uiPriority w:val="1"/>
    <w:rsid w:val="006C6098"/>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6C6098"/>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6C6098"/>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6C60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6C609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6C6098"/>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6C6098"/>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6C6098"/>
    <w:rPr>
      <w:i/>
      <w:iCs/>
    </w:rPr>
  </w:style>
  <w:style w:type="paragraph" w:styleId="ListParagraph">
    <w:name w:val="List Paragraph"/>
    <w:basedOn w:val="Normal"/>
    <w:uiPriority w:val="34"/>
    <w:rsid w:val="006C6098"/>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6C6098"/>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6C6098"/>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6C6098"/>
    <w:rPr>
      <w:i/>
      <w:iCs/>
      <w:color w:val="808080" w:themeColor="text1" w:themeTint="7F"/>
    </w:rPr>
  </w:style>
  <w:style w:type="character" w:styleId="IntenseEmphasis">
    <w:name w:val="Intense Emphasis"/>
    <w:basedOn w:val="DefaultParagraphFont"/>
    <w:uiPriority w:val="21"/>
    <w:rsid w:val="006C6098"/>
    <w:rPr>
      <w:b/>
      <w:bCs/>
      <w:i/>
      <w:iCs/>
      <w:color w:val="4F81BD" w:themeColor="accent1"/>
    </w:rPr>
  </w:style>
  <w:style w:type="character" w:styleId="SubtleReference">
    <w:name w:val="Subtle Reference"/>
    <w:basedOn w:val="DefaultParagraphFont"/>
    <w:uiPriority w:val="31"/>
    <w:rsid w:val="006C6098"/>
    <w:rPr>
      <w:smallCaps/>
      <w:color w:val="C0504D" w:themeColor="accent2"/>
      <w:u w:val="single"/>
    </w:rPr>
  </w:style>
  <w:style w:type="character" w:styleId="IntenseReference">
    <w:name w:val="Intense Reference"/>
    <w:basedOn w:val="DefaultParagraphFont"/>
    <w:uiPriority w:val="32"/>
    <w:rsid w:val="006C6098"/>
    <w:rPr>
      <w:b/>
      <w:bCs/>
      <w:smallCaps/>
      <w:color w:val="C0504D" w:themeColor="accent2"/>
      <w:spacing w:val="5"/>
      <w:u w:val="single"/>
    </w:rPr>
  </w:style>
  <w:style w:type="character" w:styleId="BookTitle">
    <w:name w:val="Book Title"/>
    <w:basedOn w:val="DefaultParagraphFont"/>
    <w:uiPriority w:val="33"/>
    <w:rsid w:val="006C6098"/>
    <w:rPr>
      <w:b/>
      <w:bCs/>
      <w:smallCaps/>
      <w:spacing w:val="5"/>
    </w:rPr>
  </w:style>
  <w:style w:type="paragraph" w:styleId="Revision">
    <w:name w:val="Revision"/>
    <w:hidden/>
    <w:uiPriority w:val="99"/>
    <w:semiHidden/>
    <w:rsid w:val="006C6098"/>
    <w:rPr>
      <w:rFonts w:eastAsiaTheme="minorHAnsi" w:cstheme="minorBidi"/>
      <w:sz w:val="24"/>
      <w:szCs w:val="22"/>
      <w:lang w:val="en-US" w:eastAsia="en-US" w:bidi="en-US"/>
    </w:rPr>
  </w:style>
  <w:style w:type="table" w:customStyle="1" w:styleId="TableGrid2">
    <w:name w:val="Table Grid2"/>
    <w:basedOn w:val="TableNormal"/>
    <w:next w:val="TableGrid"/>
    <w:uiPriority w:val="59"/>
    <w:rsid w:val="006C609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530D72"/>
    <w:rPr>
      <w:lang w:val="fr-CA"/>
    </w:rPr>
  </w:style>
  <w:style w:type="paragraph" w:customStyle="1" w:styleId="SCCLsocPrefix">
    <w:name w:val="SCC.Lsoc.Prefix"/>
    <w:basedOn w:val="Normal"/>
    <w:next w:val="Normal"/>
    <w:link w:val="SCCLsocPrefixChar"/>
    <w:rsid w:val="00530D72"/>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530D72"/>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79314-7532-40A0-A160-B1F0EC80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10368</Words>
  <Characters>54940</Characters>
  <Application>Microsoft Office Word</Application>
  <DocSecurity>0</DocSecurity>
  <Lines>457</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2014-04-24T18:29:00Z</dcterms:created>
  <dcterms:modified xsi:type="dcterms:W3CDTF">2014-09-19T15:10:00Z</dcterms:modified>
</cp:coreProperties>
</file>