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2" w:rsidRDefault="001B7342" w:rsidP="001B7342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5pt" o:ole="">
            <v:imagedata r:id="rId7" o:title=""/>
          </v:shape>
          <o:OLEObject Type="Embed" ProgID="Presentations.Drawing.13" ShapeID="_x0000_i1025" DrawAspect="Content" ObjectID="_1487139980" r:id="rId8"/>
        </w:object>
      </w:r>
    </w:p>
    <w:p w:rsidR="001B7342" w:rsidRDefault="001B7342" w:rsidP="001B7342">
      <w:pPr>
        <w:pStyle w:val="Header"/>
      </w:pPr>
    </w:p>
    <w:p w:rsidR="001B7342" w:rsidRPr="001E12E2" w:rsidRDefault="001B7342" w:rsidP="001B7342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1B7342" w:rsidRDefault="001B7342" w:rsidP="001B7342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1B7342" w:rsidRPr="001E12E2" w:rsidTr="001852E9">
        <w:trPr>
          <w:cantSplit/>
        </w:trPr>
        <w:tc>
          <w:tcPr>
            <w:tcW w:w="6768" w:type="dxa"/>
          </w:tcPr>
          <w:p w:rsidR="001B7342" w:rsidRPr="0099639B" w:rsidRDefault="001B7342" w:rsidP="001852E9">
            <w:pPr>
              <w:rPr>
                <w:lang w:val="fr-CA"/>
              </w:rPr>
            </w:pPr>
            <w:r w:rsidRPr="001B7342">
              <w:rPr>
                <w:b/>
                <w:smallCaps/>
                <w:lang w:val="fr-CA"/>
              </w:rPr>
              <w:t>Référence :</w:t>
            </w:r>
            <w:r w:rsidRPr="001B7342">
              <w:rPr>
                <w:lang w:val="fr-CA"/>
              </w:rPr>
              <w:t xml:space="preserve"> R.</w:t>
            </w:r>
            <w:r w:rsidRPr="001B7342">
              <w:rPr>
                <w:i/>
                <w:lang w:val="fr-CA"/>
              </w:rPr>
              <w:t xml:space="preserve"> c. </w:t>
            </w:r>
            <w:r w:rsidRPr="001B7342">
              <w:rPr>
                <w:lang w:val="fr-CA"/>
              </w:rPr>
              <w:t xml:space="preserve">Lépine, </w:t>
            </w:r>
            <w:r w:rsidRPr="0099639B">
              <w:rPr>
                <w:lang w:val="fr-CA"/>
              </w:rPr>
              <w:t>2014 CSC 65, [2014] 3 R.C.S. 285</w:t>
            </w:r>
          </w:p>
        </w:tc>
        <w:tc>
          <w:tcPr>
            <w:tcW w:w="2808" w:type="dxa"/>
          </w:tcPr>
          <w:p w:rsidR="001B7342" w:rsidRPr="001E12E2" w:rsidRDefault="001B7342" w:rsidP="001852E9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20141016</w:t>
            </w:r>
          </w:p>
          <w:p w:rsidR="001B7342" w:rsidRPr="001E12E2" w:rsidRDefault="001B7342" w:rsidP="001852E9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35665</w:t>
            </w:r>
          </w:p>
        </w:tc>
      </w:tr>
    </w:tbl>
    <w:p w:rsidR="001B7342" w:rsidRPr="001E12E2" w:rsidRDefault="001B7342" w:rsidP="001B7342"/>
    <w:p w:rsidR="001B7342" w:rsidRDefault="001B7342" w:rsidP="001B7342">
      <w:pPr>
        <w:pStyle w:val="SCCLsocPrefix"/>
      </w:pPr>
      <w:r>
        <w:t>Entre :</w:t>
      </w:r>
    </w:p>
    <w:p w:rsidR="001B7342" w:rsidRDefault="001B7342" w:rsidP="001B7342">
      <w:pPr>
        <w:pStyle w:val="SCCLsocParty"/>
        <w:jc w:val="center"/>
      </w:pPr>
      <w:r w:rsidRPr="00BE1A5F">
        <w:rPr>
          <w:lang w:val="fr-CA"/>
        </w:rPr>
        <w:t xml:space="preserve">Vernon </w:t>
      </w:r>
      <w:proofErr w:type="spellStart"/>
      <w:r w:rsidRPr="00BE1A5F">
        <w:rPr>
          <w:lang w:val="fr-CA"/>
        </w:rPr>
        <w:t>Lepine</w:t>
      </w:r>
      <w:proofErr w:type="spellEnd"/>
    </w:p>
    <w:p w:rsidR="001B7342" w:rsidRDefault="001B7342" w:rsidP="001B7342">
      <w:pPr>
        <w:jc w:val="center"/>
      </w:pPr>
      <w:proofErr w:type="spellStart"/>
      <w:r>
        <w:t>Appelant</w:t>
      </w:r>
      <w:proofErr w:type="spellEnd"/>
    </w:p>
    <w:p w:rsidR="001B7342" w:rsidRPr="001B7342" w:rsidRDefault="001B7342" w:rsidP="001B7342">
      <w:pPr>
        <w:pStyle w:val="SCCLsocVersus"/>
        <w:spacing w:after="0"/>
        <w:jc w:val="center"/>
        <w:rPr>
          <w:i w:val="0"/>
        </w:rPr>
      </w:pPr>
      <w:proofErr w:type="gramStart"/>
      <w:r w:rsidRPr="001B7342">
        <w:rPr>
          <w:i w:val="0"/>
        </w:rPr>
        <w:t>et</w:t>
      </w:r>
      <w:proofErr w:type="gramEnd"/>
    </w:p>
    <w:p w:rsidR="001B7342" w:rsidRDefault="001B7342" w:rsidP="001B7342">
      <w:pPr>
        <w:pStyle w:val="SCCLsocParty"/>
        <w:jc w:val="center"/>
      </w:pPr>
      <w:r w:rsidRPr="00BE1A5F">
        <w:rPr>
          <w:lang w:val="fr-CA"/>
        </w:rPr>
        <w:t>Sa Majesté la Reine</w:t>
      </w:r>
    </w:p>
    <w:p w:rsidR="001B7342" w:rsidRDefault="001B7342" w:rsidP="001B7342">
      <w:pPr>
        <w:jc w:val="center"/>
      </w:pPr>
      <w:proofErr w:type="spellStart"/>
      <w:r>
        <w:t>Intimé</w:t>
      </w:r>
      <w:r w:rsidR="000B4810">
        <w:t>e</w:t>
      </w:r>
      <w:proofErr w:type="spellEnd"/>
    </w:p>
    <w:p w:rsidR="001B7342" w:rsidRPr="001E12E2" w:rsidRDefault="001B7342" w:rsidP="001B7342">
      <w:pPr>
        <w:jc w:val="center"/>
      </w:pPr>
    </w:p>
    <w:p w:rsidR="001B7342" w:rsidRPr="001E12E2" w:rsidRDefault="001B7342" w:rsidP="001B7342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1B7342" w:rsidRPr="001E12E2" w:rsidRDefault="001B7342" w:rsidP="001B7342"/>
    <w:p w:rsidR="001B7342" w:rsidRPr="001B7342" w:rsidRDefault="001B7342" w:rsidP="001B7342">
      <w:pPr>
        <w:rPr>
          <w:lang w:val="fr-CA"/>
        </w:rPr>
      </w:pPr>
      <w:r w:rsidRPr="001B7342">
        <w:rPr>
          <w:b/>
          <w:smallCaps/>
          <w:lang w:val="fr-CA"/>
        </w:rPr>
        <w:t>Coram :</w:t>
      </w:r>
      <w:r w:rsidRPr="001B7342">
        <w:rPr>
          <w:lang w:val="fr-CA"/>
        </w:rPr>
        <w:t xml:space="preserve"> Les juges Abella, Cromwell, </w:t>
      </w:r>
      <w:proofErr w:type="spellStart"/>
      <w:r w:rsidRPr="001B7342">
        <w:rPr>
          <w:lang w:val="fr-CA"/>
        </w:rPr>
        <w:t>Moldaver</w:t>
      </w:r>
      <w:proofErr w:type="spellEnd"/>
      <w:r w:rsidRPr="001B7342">
        <w:rPr>
          <w:lang w:val="fr-CA"/>
        </w:rPr>
        <w:t>, Wagner et Gascon.</w:t>
      </w:r>
    </w:p>
    <w:p w:rsidR="001B7342" w:rsidRPr="001B7342" w:rsidRDefault="001B7342" w:rsidP="001B7342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1B7342" w:rsidRPr="000B4810" w:rsidTr="001852E9">
        <w:trPr>
          <w:cantSplit/>
        </w:trPr>
        <w:tc>
          <w:tcPr>
            <w:tcW w:w="3618" w:type="dxa"/>
          </w:tcPr>
          <w:p w:rsidR="001B7342" w:rsidRPr="001B7342" w:rsidRDefault="001B7342" w:rsidP="001852E9">
            <w:pPr>
              <w:rPr>
                <w:b/>
                <w:smallCaps/>
                <w:lang w:val="fr-CA"/>
              </w:rPr>
            </w:pPr>
            <w:r w:rsidRPr="001B7342">
              <w:rPr>
                <w:b/>
                <w:smallCaps/>
                <w:lang w:val="fr-CA"/>
              </w:rPr>
              <w:t>Motifs de jugement :</w:t>
            </w:r>
          </w:p>
          <w:p w:rsidR="001B7342" w:rsidRPr="001B7342" w:rsidRDefault="001B7342" w:rsidP="001852E9">
            <w:pPr>
              <w:rPr>
                <w:lang w:val="fr-CA"/>
              </w:rPr>
            </w:pPr>
            <w:r w:rsidRPr="001B7342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1B7342" w:rsidRPr="001B7342" w:rsidRDefault="001B7342" w:rsidP="001852E9">
            <w:pPr>
              <w:jc w:val="both"/>
              <w:rPr>
                <w:lang w:val="fr-CA"/>
              </w:rPr>
            </w:pPr>
            <w:r w:rsidRPr="001B7342">
              <w:rPr>
                <w:lang w:val="fr-CA"/>
              </w:rPr>
              <w:t xml:space="preserve">Le juge Cromwell (avec l’accord des juges Abella, </w:t>
            </w:r>
            <w:proofErr w:type="spellStart"/>
            <w:r w:rsidRPr="001B7342">
              <w:rPr>
                <w:lang w:val="fr-CA"/>
              </w:rPr>
              <w:t>Moldaver</w:t>
            </w:r>
            <w:proofErr w:type="spellEnd"/>
            <w:r w:rsidRPr="001B7342">
              <w:rPr>
                <w:lang w:val="fr-CA"/>
              </w:rPr>
              <w:t>, Wagner et Gascon)</w:t>
            </w:r>
          </w:p>
        </w:tc>
      </w:tr>
    </w:tbl>
    <w:p w:rsidR="001B7342" w:rsidRPr="001B7342" w:rsidRDefault="001B7342" w:rsidP="001B7342">
      <w:pPr>
        <w:rPr>
          <w:lang w:val="fr-CA"/>
        </w:rPr>
      </w:pPr>
    </w:p>
    <w:p w:rsidR="001B7342" w:rsidRPr="001B7342" w:rsidRDefault="00966B7F" w:rsidP="001B7342">
      <w:pPr>
        <w:rPr>
          <w:lang w:val="fr-CA"/>
        </w:rPr>
      </w:pPr>
      <w:r w:rsidRPr="00966B7F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1B7342" w:rsidRPr="001B7342" w:rsidRDefault="001B7342" w:rsidP="001B7342">
      <w:pPr>
        <w:rPr>
          <w:lang w:val="fr-CA"/>
        </w:rPr>
      </w:pPr>
    </w:p>
    <w:p w:rsidR="001B7342" w:rsidRDefault="001B7342" w:rsidP="004D7D95">
      <w:pPr>
        <w:spacing w:line="480" w:lineRule="auto"/>
        <w:jc w:val="both"/>
        <w:rPr>
          <w:smallCaps/>
          <w:lang w:val="fr-CA"/>
        </w:rPr>
      </w:pPr>
    </w:p>
    <w:p w:rsidR="004D7D95" w:rsidRPr="001B7342" w:rsidRDefault="00BE1A5F" w:rsidP="004D7D95">
      <w:pPr>
        <w:spacing w:line="480" w:lineRule="auto"/>
        <w:jc w:val="both"/>
        <w:rPr>
          <w:rStyle w:val="SCCRespondentForRunningHeadChar"/>
          <w:lang w:val="en-US"/>
        </w:rPr>
      </w:pPr>
      <w:r w:rsidRPr="001B7342">
        <w:rPr>
          <w:smallCaps/>
          <w:lang w:val="en-US"/>
        </w:rPr>
        <w:t>r.</w:t>
      </w:r>
      <w:r w:rsidRPr="001B7342">
        <w:rPr>
          <w:lang w:val="en-US"/>
        </w:rPr>
        <w:t xml:space="preserve"> </w:t>
      </w:r>
      <w:r w:rsidR="004D7D95" w:rsidRPr="001B7342">
        <w:rPr>
          <w:i/>
          <w:lang w:val="en-US"/>
        </w:rPr>
        <w:t>c.</w:t>
      </w:r>
      <w:r w:rsidR="004D7D95" w:rsidRPr="001B7342">
        <w:rPr>
          <w:lang w:val="en-US"/>
        </w:rPr>
        <w:t xml:space="preserve"> </w:t>
      </w:r>
      <w:r w:rsidRPr="001B7342">
        <w:rPr>
          <w:rStyle w:val="SCCRespondentForRunningHeadChar"/>
          <w:lang w:val="en-US"/>
        </w:rPr>
        <w:t>lepine</w:t>
      </w:r>
      <w:r w:rsidR="00922E1A" w:rsidRPr="001B7342">
        <w:rPr>
          <w:rStyle w:val="SCCRespondentForRunningHeadChar"/>
          <w:lang w:val="en-US"/>
        </w:rPr>
        <w:t xml:space="preserve">, </w:t>
      </w:r>
      <w:r w:rsidR="00922E1A" w:rsidRPr="001B7342">
        <w:rPr>
          <w:lang w:val="en-US"/>
        </w:rPr>
        <w:t>2014 CSC 65, [2014] 3 R.C.S. 285</w:t>
      </w:r>
    </w:p>
    <w:p w:rsidR="008545E0" w:rsidRPr="001B7342" w:rsidRDefault="008545E0" w:rsidP="004D7D95">
      <w:pPr>
        <w:spacing w:line="480" w:lineRule="auto"/>
        <w:jc w:val="both"/>
        <w:rPr>
          <w:lang w:val="en-US"/>
        </w:rPr>
      </w:pPr>
    </w:p>
    <w:p w:rsidR="00842A82" w:rsidRPr="00BE1A5F" w:rsidRDefault="00393EDC">
      <w:pPr>
        <w:pStyle w:val="SCCLsocLastPartyInRole"/>
        <w:rPr>
          <w:lang w:val="fr-CA"/>
        </w:rPr>
      </w:pPr>
      <w:r w:rsidRPr="00BE1A5F">
        <w:rPr>
          <w:lang w:val="fr-CA"/>
        </w:rPr>
        <w:t xml:space="preserve">Vernon </w:t>
      </w:r>
      <w:proofErr w:type="spellStart"/>
      <w:r w:rsidRPr="00BE1A5F">
        <w:rPr>
          <w:lang w:val="fr-CA"/>
        </w:rPr>
        <w:t>Lepine</w:t>
      </w:r>
      <w:proofErr w:type="spellEnd"/>
      <w:r w:rsidRPr="00BE1A5F">
        <w:rPr>
          <w:rStyle w:val="SCCLsocPartyRole"/>
          <w:lang w:val="fr-CA"/>
        </w:rPr>
        <w:tab/>
      </w:r>
      <w:r w:rsidR="00A01856">
        <w:rPr>
          <w:rStyle w:val="SCCLsocPartyRole"/>
          <w:lang w:val="fr-CA"/>
        </w:rPr>
        <w:t>Appelant</w:t>
      </w:r>
    </w:p>
    <w:p w:rsidR="00842A82" w:rsidRPr="00BE1A5F" w:rsidRDefault="00393EDC">
      <w:pPr>
        <w:pStyle w:val="SCCLsocVersus"/>
        <w:rPr>
          <w:lang w:val="fr-CA"/>
        </w:rPr>
      </w:pPr>
      <w:proofErr w:type="gramStart"/>
      <w:r w:rsidRPr="00BE1A5F">
        <w:rPr>
          <w:lang w:val="fr-CA"/>
        </w:rPr>
        <w:t>c</w:t>
      </w:r>
      <w:proofErr w:type="gramEnd"/>
      <w:r w:rsidRPr="00BE1A5F">
        <w:rPr>
          <w:lang w:val="fr-CA"/>
        </w:rPr>
        <w:t>.</w:t>
      </w:r>
    </w:p>
    <w:p w:rsidR="00842A82" w:rsidRPr="00BE1A5F" w:rsidRDefault="00393EDC">
      <w:pPr>
        <w:pStyle w:val="SCCLsocLastPartyInRole"/>
        <w:rPr>
          <w:lang w:val="fr-CA"/>
        </w:rPr>
      </w:pPr>
      <w:r w:rsidRPr="00BE1A5F">
        <w:rPr>
          <w:lang w:val="fr-CA"/>
        </w:rPr>
        <w:t>Sa Majesté la Reine</w:t>
      </w:r>
      <w:r w:rsidR="00A01856">
        <w:rPr>
          <w:rStyle w:val="SCCLsocPartyRole"/>
          <w:lang w:val="fr-CA"/>
        </w:rPr>
        <w:tab/>
        <w:t>Intimée</w:t>
      </w:r>
    </w:p>
    <w:p w:rsidR="004D7D95" w:rsidRPr="00BE1A5F" w:rsidRDefault="004D7D95" w:rsidP="004D7D95">
      <w:pPr>
        <w:jc w:val="both"/>
        <w:rPr>
          <w:lang w:val="fr-CA"/>
        </w:rPr>
      </w:pPr>
    </w:p>
    <w:p w:rsidR="004D7D95" w:rsidRPr="00BE1A5F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lastRenderedPageBreak/>
        <w:t>Répertorié :</w:t>
      </w:r>
      <w:r w:rsidR="008545E0">
        <w:rPr>
          <w:b/>
          <w:lang w:val="fr-CA"/>
        </w:rPr>
        <w:t xml:space="preserve"> </w:t>
      </w:r>
      <w:r w:rsidR="00A01856">
        <w:rPr>
          <w:b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="00A01856">
        <w:rPr>
          <w:b/>
          <w:lang w:val="fr-CA"/>
        </w:rPr>
        <w:t>Lepine</w:t>
      </w:r>
    </w:p>
    <w:p w:rsidR="004D7D95" w:rsidRPr="00BE1A5F" w:rsidRDefault="004D7D95" w:rsidP="004D7D95">
      <w:pPr>
        <w:jc w:val="both"/>
        <w:rPr>
          <w:lang w:val="fr-CA"/>
        </w:rPr>
      </w:pPr>
    </w:p>
    <w:p w:rsidR="004D7D95" w:rsidRPr="00BE1A5F" w:rsidRDefault="00F62639" w:rsidP="004D7D95">
      <w:pPr>
        <w:pStyle w:val="SCCSystemYear"/>
        <w:jc w:val="both"/>
        <w:rPr>
          <w:lang w:val="fr-CA"/>
        </w:rPr>
      </w:pPr>
      <w:r w:rsidRPr="00BE1A5F">
        <w:rPr>
          <w:lang w:val="fr-CA"/>
        </w:rPr>
        <w:t>2014</w:t>
      </w:r>
      <w:r w:rsidR="004D7D95" w:rsidRPr="00BE1A5F">
        <w:rPr>
          <w:lang w:val="fr-CA"/>
        </w:rPr>
        <w:t xml:space="preserve"> CSC</w:t>
      </w:r>
      <w:r w:rsidR="008545E0">
        <w:rPr>
          <w:lang w:val="fr-CA"/>
        </w:rPr>
        <w:t xml:space="preserve"> </w:t>
      </w:r>
      <w:r w:rsidR="00A01856">
        <w:rPr>
          <w:lang w:val="fr-CA"/>
        </w:rPr>
        <w:t>65</w:t>
      </w:r>
    </w:p>
    <w:p w:rsidR="004D7D95" w:rsidRPr="00BE1A5F" w:rsidRDefault="004D7D95" w:rsidP="004D7D95">
      <w:pPr>
        <w:jc w:val="both"/>
        <w:rPr>
          <w:lang w:val="fr-CA"/>
        </w:rPr>
      </w:pPr>
    </w:p>
    <w:p w:rsidR="004D7D95" w:rsidRPr="00BE1A5F" w:rsidRDefault="004D7D95" w:rsidP="004D7D95">
      <w:pPr>
        <w:jc w:val="both"/>
        <w:rPr>
          <w:lang w:val="fr-CA"/>
        </w:rPr>
      </w:pPr>
      <w:r w:rsidRPr="00BE1A5F">
        <w:rPr>
          <w:lang w:val="fr-CA"/>
        </w:rPr>
        <w:t>N</w:t>
      </w:r>
      <w:r w:rsidRPr="00BE1A5F">
        <w:rPr>
          <w:vertAlign w:val="superscript"/>
          <w:lang w:val="fr-CA"/>
        </w:rPr>
        <w:t>o</w:t>
      </w:r>
      <w:r w:rsidRPr="00BE1A5F">
        <w:rPr>
          <w:lang w:val="fr-CA"/>
        </w:rPr>
        <w:t xml:space="preserve"> du greffe :</w:t>
      </w:r>
      <w:r w:rsidR="008545E0">
        <w:rPr>
          <w:lang w:val="fr-CA"/>
        </w:rPr>
        <w:t xml:space="preserve"> </w:t>
      </w:r>
      <w:r w:rsidRPr="00BE1A5F">
        <w:rPr>
          <w:lang w:val="fr-CA"/>
        </w:rPr>
        <w:t>35665.</w:t>
      </w:r>
    </w:p>
    <w:p w:rsidR="004D7D95" w:rsidRPr="00BE1A5F" w:rsidRDefault="004D7D95" w:rsidP="004D7D95">
      <w:pPr>
        <w:jc w:val="both"/>
        <w:rPr>
          <w:lang w:val="fr-CA"/>
        </w:rPr>
      </w:pPr>
    </w:p>
    <w:p w:rsidR="004D7D95" w:rsidRPr="00BE1A5F" w:rsidRDefault="00F62639" w:rsidP="004D7D95">
      <w:pPr>
        <w:jc w:val="both"/>
        <w:rPr>
          <w:lang w:val="fr-CA"/>
        </w:rPr>
      </w:pPr>
      <w:r w:rsidRPr="00BE1A5F">
        <w:rPr>
          <w:lang w:val="fr-CA"/>
        </w:rPr>
        <w:t>2014 : 16 octobre</w:t>
      </w:r>
      <w:r w:rsidR="004D7D95" w:rsidRPr="00BE1A5F">
        <w:rPr>
          <w:lang w:val="fr-CA"/>
        </w:rPr>
        <w:t>.</w:t>
      </w:r>
    </w:p>
    <w:p w:rsidR="004D7D95" w:rsidRPr="00BE1A5F" w:rsidRDefault="004D7D95" w:rsidP="004D7D95">
      <w:pPr>
        <w:jc w:val="both"/>
        <w:rPr>
          <w:lang w:val="fr-CA"/>
        </w:rPr>
      </w:pPr>
    </w:p>
    <w:p w:rsidR="004D7D95" w:rsidRPr="00393EDC" w:rsidRDefault="004D7D95" w:rsidP="004D7D95">
      <w:pPr>
        <w:jc w:val="both"/>
        <w:rPr>
          <w:lang w:val="fr-CA"/>
        </w:rPr>
      </w:pPr>
      <w:r w:rsidRPr="00393EDC">
        <w:rPr>
          <w:lang w:val="fr-CA"/>
        </w:rPr>
        <w:t>Présents :</w:t>
      </w:r>
      <w:r w:rsidR="008545E0">
        <w:rPr>
          <w:lang w:val="fr-CA"/>
        </w:rPr>
        <w:t xml:space="preserve"> </w:t>
      </w:r>
      <w:r w:rsidRPr="00393EDC">
        <w:rPr>
          <w:lang w:val="fr-CA"/>
        </w:rPr>
        <w:t>Les juges Abella, Cromwell, Moldaver, Wagner et Gascon.</w:t>
      </w:r>
    </w:p>
    <w:p w:rsidR="004D7D95" w:rsidRPr="00393EDC" w:rsidRDefault="004D7D95" w:rsidP="004D7D95">
      <w:pPr>
        <w:jc w:val="both"/>
        <w:rPr>
          <w:lang w:val="fr-CA"/>
        </w:rPr>
      </w:pPr>
    </w:p>
    <w:p w:rsidR="00842A82" w:rsidRPr="00393EDC" w:rsidRDefault="00842A82">
      <w:pPr>
        <w:rPr>
          <w:lang w:val="fr-CA"/>
        </w:rPr>
      </w:pPr>
    </w:p>
    <w:p w:rsidR="004D7D95" w:rsidRPr="003C1035" w:rsidRDefault="004D7D95" w:rsidP="000F7993">
      <w:pPr>
        <w:jc w:val="both"/>
        <w:rPr>
          <w:smallCaps/>
          <w:lang w:val="fr-CA"/>
        </w:rPr>
      </w:pPr>
      <w:r w:rsidRPr="003C1035">
        <w:rPr>
          <w:smallCaps/>
          <w:lang w:val="fr-CA"/>
        </w:rPr>
        <w:t>en appel de la cour d’appel des territoires du nord-ouest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6859A3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6859A3" w:rsidRPr="006859A3">
        <w:rPr>
          <w:rStyle w:val="QuoteChar"/>
          <w:color w:val="auto"/>
          <w:lang w:val="fr-CA"/>
        </w:rPr>
        <w:t>Droit criminel</w:t>
      </w:r>
      <w:r w:rsidR="00460C07" w:rsidRPr="006859A3">
        <w:rPr>
          <w:rStyle w:val="QuoteChar"/>
          <w:color w:val="auto"/>
          <w:lang w:val="fr-CA"/>
        </w:rPr>
        <w:t xml:space="preserve"> </w:t>
      </w:r>
      <w:r w:rsidR="001B0939">
        <w:rPr>
          <w:rStyle w:val="QuoteChar"/>
          <w:color w:val="auto"/>
          <w:lang w:val="fr-CA"/>
        </w:rPr>
        <w:t>—</w:t>
      </w:r>
      <w:r w:rsidR="00460C07" w:rsidRPr="006859A3">
        <w:rPr>
          <w:rStyle w:val="QuoteChar"/>
          <w:color w:val="auto"/>
          <w:lang w:val="fr-CA"/>
        </w:rPr>
        <w:t xml:space="preserve"> Jur</w:t>
      </w:r>
      <w:r w:rsidR="006859A3" w:rsidRPr="006859A3">
        <w:rPr>
          <w:rStyle w:val="QuoteChar"/>
          <w:color w:val="auto"/>
          <w:lang w:val="fr-CA"/>
        </w:rPr>
        <w:t>és</w:t>
      </w:r>
      <w:r w:rsidR="00460C07" w:rsidRPr="006859A3">
        <w:rPr>
          <w:rStyle w:val="QuoteChar"/>
          <w:color w:val="auto"/>
          <w:lang w:val="fr-CA"/>
        </w:rPr>
        <w:t xml:space="preserve"> </w:t>
      </w:r>
      <w:r w:rsidR="001B0939">
        <w:rPr>
          <w:rStyle w:val="QuoteChar"/>
          <w:color w:val="auto"/>
          <w:lang w:val="fr-CA"/>
        </w:rPr>
        <w:t>—</w:t>
      </w:r>
      <w:r w:rsidR="00460C07" w:rsidRPr="006859A3">
        <w:rPr>
          <w:rStyle w:val="QuoteChar"/>
          <w:color w:val="auto"/>
          <w:lang w:val="fr-CA"/>
        </w:rPr>
        <w:t xml:space="preserve"> </w:t>
      </w:r>
      <w:r w:rsidR="006859A3" w:rsidRPr="006859A3">
        <w:rPr>
          <w:rStyle w:val="QuoteChar"/>
          <w:color w:val="auto"/>
          <w:lang w:val="fr-CA"/>
        </w:rPr>
        <w:t xml:space="preserve">Exposé au jury </w:t>
      </w:r>
      <w:r w:rsidR="001B0939">
        <w:rPr>
          <w:rStyle w:val="QuoteChar"/>
          <w:color w:val="auto"/>
          <w:lang w:val="fr-CA"/>
        </w:rPr>
        <w:t>—</w:t>
      </w:r>
      <w:r w:rsidR="006859A3" w:rsidRPr="006859A3">
        <w:rPr>
          <w:rStyle w:val="QuoteChar"/>
          <w:color w:val="auto"/>
          <w:lang w:val="fr-CA"/>
        </w:rPr>
        <w:t xml:space="preserve"> Envoi </w:t>
      </w:r>
      <w:r w:rsidR="00DC5F85">
        <w:rPr>
          <w:rStyle w:val="QuoteChar"/>
          <w:color w:val="auto"/>
          <w:lang w:val="fr-CA"/>
        </w:rPr>
        <w:t xml:space="preserve">à la juge </w:t>
      </w:r>
      <w:r w:rsidR="006859A3" w:rsidRPr="006859A3">
        <w:rPr>
          <w:rStyle w:val="QuoteChar"/>
          <w:color w:val="auto"/>
          <w:lang w:val="fr-CA"/>
        </w:rPr>
        <w:t>du procès par le jury d’une question concernant la crédibilité et le doute raisonnable après la clôture de la preuve mais avant les plaidoiries finales des avocats et l’exposé final d</w:t>
      </w:r>
      <w:r w:rsidR="00DC5F85">
        <w:rPr>
          <w:rStyle w:val="QuoteChar"/>
          <w:color w:val="auto"/>
          <w:lang w:val="fr-CA"/>
        </w:rPr>
        <w:t>e la juge</w:t>
      </w:r>
      <w:r w:rsidR="001B0939">
        <w:rPr>
          <w:rStyle w:val="QuoteChar"/>
          <w:color w:val="auto"/>
          <w:lang w:val="fr-CA"/>
        </w:rPr>
        <w:t xml:space="preserve"> —</w:t>
      </w:r>
      <w:r w:rsidR="00460C07" w:rsidRPr="006859A3">
        <w:rPr>
          <w:rStyle w:val="QuoteChar"/>
          <w:color w:val="auto"/>
          <w:lang w:val="fr-CA"/>
        </w:rPr>
        <w:t xml:space="preserve"> </w:t>
      </w:r>
      <w:r w:rsidR="006859A3" w:rsidRPr="006859A3">
        <w:rPr>
          <w:rStyle w:val="QuoteChar"/>
          <w:color w:val="auto"/>
          <w:lang w:val="fr-CA"/>
        </w:rPr>
        <w:t>Refus d</w:t>
      </w:r>
      <w:r w:rsidR="00DC5F85">
        <w:rPr>
          <w:rStyle w:val="QuoteChar"/>
          <w:color w:val="auto"/>
          <w:lang w:val="fr-CA"/>
        </w:rPr>
        <w:t xml:space="preserve">e la juge du procès </w:t>
      </w:r>
      <w:r w:rsidR="006859A3" w:rsidRPr="006859A3">
        <w:rPr>
          <w:rStyle w:val="QuoteChar"/>
          <w:color w:val="auto"/>
          <w:lang w:val="fr-CA"/>
        </w:rPr>
        <w:t>de répondre à la question à ce moment-là</w:t>
      </w:r>
      <w:r w:rsidR="006859A3">
        <w:rPr>
          <w:rStyle w:val="QuoteChar"/>
          <w:color w:val="auto"/>
          <w:lang w:val="fr-CA"/>
        </w:rPr>
        <w:t xml:space="preserve">, </w:t>
      </w:r>
      <w:r w:rsidR="006859A3" w:rsidRPr="006859A3">
        <w:rPr>
          <w:rStyle w:val="QuoteChar"/>
          <w:color w:val="auto"/>
          <w:lang w:val="fr-CA"/>
        </w:rPr>
        <w:t xml:space="preserve"> rappel par ce</w:t>
      </w:r>
      <w:r w:rsidR="00DC5F85">
        <w:rPr>
          <w:rStyle w:val="QuoteChar"/>
          <w:color w:val="auto"/>
          <w:lang w:val="fr-CA"/>
        </w:rPr>
        <w:t xml:space="preserve">tte </w:t>
      </w:r>
      <w:r w:rsidR="006859A3" w:rsidRPr="006859A3">
        <w:rPr>
          <w:rStyle w:val="QuoteChar"/>
          <w:color w:val="auto"/>
          <w:lang w:val="fr-CA"/>
        </w:rPr>
        <w:t>derni</w:t>
      </w:r>
      <w:r w:rsidR="00DC5F85">
        <w:rPr>
          <w:rStyle w:val="QuoteChar"/>
          <w:color w:val="auto"/>
          <w:lang w:val="fr-CA"/>
        </w:rPr>
        <w:t>ère</w:t>
      </w:r>
      <w:r w:rsidR="006859A3" w:rsidRPr="006859A3">
        <w:rPr>
          <w:rStyle w:val="QuoteChar"/>
          <w:color w:val="auto"/>
          <w:lang w:val="fr-CA"/>
        </w:rPr>
        <w:t xml:space="preserve"> aux jurés de l’importance de la </w:t>
      </w:r>
      <w:r w:rsidR="006859A3">
        <w:rPr>
          <w:rStyle w:val="QuoteChar"/>
          <w:color w:val="auto"/>
          <w:lang w:val="fr-CA"/>
        </w:rPr>
        <w:t>préso</w:t>
      </w:r>
      <w:r w:rsidR="006859A3" w:rsidRPr="006859A3">
        <w:rPr>
          <w:rStyle w:val="QuoteChar"/>
          <w:color w:val="auto"/>
          <w:lang w:val="fr-CA"/>
        </w:rPr>
        <w:t>mption d’innocence</w:t>
      </w:r>
      <w:r w:rsidR="006859A3">
        <w:rPr>
          <w:rStyle w:val="QuoteChar"/>
          <w:color w:val="auto"/>
          <w:lang w:val="fr-CA"/>
        </w:rPr>
        <w:t xml:space="preserve"> et </w:t>
      </w:r>
      <w:r w:rsidR="006859A3" w:rsidRPr="006859A3">
        <w:rPr>
          <w:rStyle w:val="QuoteChar"/>
          <w:color w:val="auto"/>
          <w:lang w:val="fr-CA"/>
        </w:rPr>
        <w:t>de leur obligation</w:t>
      </w:r>
      <w:r w:rsidR="006859A3">
        <w:rPr>
          <w:rStyle w:val="QuoteChar"/>
          <w:color w:val="auto"/>
          <w:lang w:val="fr-CA"/>
        </w:rPr>
        <w:t xml:space="preserve"> de garder un esprit ouvert</w:t>
      </w:r>
      <w:r w:rsidR="00442AC5">
        <w:rPr>
          <w:rStyle w:val="QuoteChar"/>
          <w:color w:val="auto"/>
          <w:lang w:val="fr-CA"/>
        </w:rPr>
        <w:t>,</w:t>
      </w:r>
      <w:r w:rsidR="00E04F51">
        <w:rPr>
          <w:rStyle w:val="QuoteChar"/>
          <w:color w:val="auto"/>
          <w:lang w:val="fr-CA"/>
        </w:rPr>
        <w:t xml:space="preserve"> et mention du fait qu’</w:t>
      </w:r>
      <w:r w:rsidR="00DC5F85">
        <w:rPr>
          <w:rStyle w:val="QuoteChar"/>
          <w:color w:val="auto"/>
          <w:lang w:val="fr-CA"/>
        </w:rPr>
        <w:t>elle</w:t>
      </w:r>
      <w:r w:rsidR="00E04F51">
        <w:rPr>
          <w:rStyle w:val="QuoteChar"/>
          <w:color w:val="auto"/>
          <w:lang w:val="fr-CA"/>
        </w:rPr>
        <w:t xml:space="preserve"> traiterait des questions touchant </w:t>
      </w:r>
      <w:r w:rsidR="00136951">
        <w:rPr>
          <w:rStyle w:val="QuoteChar"/>
          <w:color w:val="auto"/>
          <w:lang w:val="fr-CA"/>
        </w:rPr>
        <w:t xml:space="preserve">à </w:t>
      </w:r>
      <w:r w:rsidR="00E04F51">
        <w:rPr>
          <w:rStyle w:val="QuoteChar"/>
          <w:color w:val="auto"/>
          <w:lang w:val="fr-CA"/>
        </w:rPr>
        <w:t>la crédibilité dans son exposé final</w:t>
      </w:r>
      <w:r w:rsidR="00136951">
        <w:rPr>
          <w:rStyle w:val="QuoteChar"/>
          <w:color w:val="auto"/>
          <w:lang w:val="fr-CA"/>
        </w:rPr>
        <w:t xml:space="preserve"> </w:t>
      </w:r>
      <w:r w:rsidR="001B0939">
        <w:rPr>
          <w:rStyle w:val="QuoteChar"/>
          <w:color w:val="auto"/>
          <w:lang w:val="fr-CA"/>
        </w:rPr>
        <w:t>—</w:t>
      </w:r>
      <w:r w:rsidR="00136951">
        <w:rPr>
          <w:rStyle w:val="QuoteChar"/>
          <w:color w:val="auto"/>
          <w:lang w:val="fr-CA"/>
        </w:rPr>
        <w:t xml:space="preserve"> Présentation par l’accusé </w:t>
      </w:r>
      <w:r w:rsidR="00DC5F85">
        <w:rPr>
          <w:rStyle w:val="QuoteChar"/>
          <w:color w:val="auto"/>
          <w:lang w:val="fr-CA"/>
        </w:rPr>
        <w:t xml:space="preserve">en appel </w:t>
      </w:r>
      <w:r w:rsidR="00136951">
        <w:rPr>
          <w:rStyle w:val="QuoteChar"/>
          <w:color w:val="auto"/>
          <w:lang w:val="fr-CA"/>
        </w:rPr>
        <w:t xml:space="preserve">d’arguments </w:t>
      </w:r>
      <w:r w:rsidR="00DC5F85">
        <w:rPr>
          <w:rStyle w:val="QuoteChar"/>
          <w:color w:val="auto"/>
          <w:lang w:val="fr-CA"/>
        </w:rPr>
        <w:t xml:space="preserve">portant que la juge </w:t>
      </w:r>
      <w:r w:rsidR="00171043">
        <w:rPr>
          <w:rStyle w:val="QuoteChar"/>
          <w:color w:val="auto"/>
          <w:lang w:val="fr-CA"/>
        </w:rPr>
        <w:t xml:space="preserve">a commis une erreur en omettant </w:t>
      </w:r>
      <w:r w:rsidR="0048345F">
        <w:rPr>
          <w:rStyle w:val="QuoteChar"/>
          <w:color w:val="auto"/>
          <w:lang w:val="fr-CA"/>
        </w:rPr>
        <w:t xml:space="preserve">de répondre </w:t>
      </w:r>
      <w:r w:rsidR="00DC5F85">
        <w:rPr>
          <w:rStyle w:val="QuoteChar"/>
          <w:color w:val="auto"/>
          <w:lang w:val="fr-CA"/>
        </w:rPr>
        <w:t>exhaustivement à la question le jour où elle a été posée</w:t>
      </w:r>
      <w:r w:rsidR="0048345F">
        <w:rPr>
          <w:rStyle w:val="QuoteChar"/>
          <w:color w:val="auto"/>
          <w:lang w:val="fr-CA"/>
        </w:rPr>
        <w:t xml:space="preserve"> </w:t>
      </w:r>
      <w:r w:rsidR="00DC5F85">
        <w:rPr>
          <w:rStyle w:val="QuoteChar"/>
          <w:color w:val="auto"/>
          <w:lang w:val="fr-CA"/>
        </w:rPr>
        <w:t xml:space="preserve">et </w:t>
      </w:r>
      <w:r w:rsidR="0048345F">
        <w:rPr>
          <w:rStyle w:val="QuoteChar"/>
          <w:color w:val="auto"/>
          <w:lang w:val="fr-CA"/>
        </w:rPr>
        <w:t xml:space="preserve">que </w:t>
      </w:r>
      <w:r w:rsidR="00171043">
        <w:rPr>
          <w:rStyle w:val="QuoteChar"/>
          <w:color w:val="auto"/>
          <w:lang w:val="fr-CA"/>
        </w:rPr>
        <w:t>s</w:t>
      </w:r>
      <w:r w:rsidR="0048345F">
        <w:rPr>
          <w:rStyle w:val="QuoteChar"/>
          <w:color w:val="auto"/>
          <w:lang w:val="fr-CA"/>
        </w:rPr>
        <w:t xml:space="preserve">es réponses  </w:t>
      </w:r>
      <w:r w:rsidR="00442AC5">
        <w:rPr>
          <w:rStyle w:val="QuoteChar"/>
          <w:color w:val="auto"/>
          <w:lang w:val="fr-CA"/>
        </w:rPr>
        <w:t xml:space="preserve">à cette question </w:t>
      </w:r>
      <w:r w:rsidR="0048345F">
        <w:rPr>
          <w:rStyle w:val="QuoteChar"/>
          <w:color w:val="auto"/>
          <w:lang w:val="fr-CA"/>
        </w:rPr>
        <w:t>dans son exposé final étaient incomplètes</w:t>
      </w:r>
      <w:r w:rsidR="001B0939">
        <w:rPr>
          <w:rStyle w:val="QuoteChar"/>
          <w:color w:val="auto"/>
          <w:lang w:val="fr-CA"/>
        </w:rPr>
        <w:t xml:space="preserve"> — </w:t>
      </w:r>
      <w:r w:rsidR="00442AC5">
        <w:rPr>
          <w:rStyle w:val="QuoteChar"/>
          <w:color w:val="auto"/>
          <w:lang w:val="fr-CA"/>
        </w:rPr>
        <w:t>Absence d’erreur de la part de la juge du procès dans sa réponse initiale aux juré</w:t>
      </w:r>
      <w:r w:rsidR="00442AC5" w:rsidRPr="00D076FD">
        <w:rPr>
          <w:rStyle w:val="QuoteChar"/>
          <w:color w:val="auto"/>
          <w:lang w:val="fr-CA"/>
        </w:rPr>
        <w:t xml:space="preserve">s </w:t>
      </w:r>
      <w:r w:rsidR="00171043" w:rsidRPr="00D076FD">
        <w:rPr>
          <w:rStyle w:val="QuoteChar"/>
          <w:color w:val="auto"/>
          <w:lang w:val="fr-CA"/>
        </w:rPr>
        <w:t xml:space="preserve">ainsi que </w:t>
      </w:r>
      <w:r w:rsidR="00442AC5" w:rsidRPr="00D076FD">
        <w:rPr>
          <w:rStyle w:val="QuoteChar"/>
          <w:color w:val="auto"/>
          <w:lang w:val="fr-CA"/>
        </w:rPr>
        <w:t>dans</w:t>
      </w:r>
      <w:r w:rsidR="00442AC5">
        <w:rPr>
          <w:rStyle w:val="QuoteChar"/>
          <w:color w:val="auto"/>
          <w:lang w:val="fr-CA"/>
        </w:rPr>
        <w:t xml:space="preserve"> son exposé final à ceux-ci</w:t>
      </w:r>
      <w:r w:rsidR="00460C07" w:rsidRPr="006859A3">
        <w:rPr>
          <w:rStyle w:val="QuoteChar"/>
          <w:color w:val="auto"/>
          <w:lang w:val="fr-CA"/>
        </w:rPr>
        <w:t>.</w:t>
      </w:r>
      <w:r w:rsidR="00460C07" w:rsidRPr="006859A3">
        <w:rPr>
          <w:lang w:val="fr-CA"/>
        </w:rPr>
        <w:t xml:space="preserve"> </w:t>
      </w:r>
    </w:p>
    <w:p w:rsidR="004D7D95" w:rsidRPr="006859A3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3D73F5" w:rsidRDefault="003C1035" w:rsidP="004D7D95">
      <w:pPr>
        <w:pStyle w:val="SCCNormalDoubleSpacing"/>
        <w:rPr>
          <w:lang w:val="fr-CA"/>
        </w:rPr>
      </w:pPr>
      <w:r w:rsidRPr="006859A3"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BE1A5F">
        <w:rPr>
          <w:lang w:val="fr-CA"/>
        </w:rPr>
        <w:t>Cour d’appel des Territoires du Nord-Ouest</w:t>
      </w:r>
      <w:r>
        <w:rPr>
          <w:lang w:val="fr-CA"/>
        </w:rPr>
        <w:t xml:space="preserve"> (les juges Côté, </w:t>
      </w:r>
      <w:proofErr w:type="spellStart"/>
      <w:r>
        <w:rPr>
          <w:lang w:val="fr-CA"/>
        </w:rPr>
        <w:t>Bielby</w:t>
      </w:r>
      <w:proofErr w:type="spellEnd"/>
      <w:r>
        <w:rPr>
          <w:lang w:val="fr-CA"/>
        </w:rPr>
        <w:t xml:space="preserve"> et Veldhuis), </w:t>
      </w:r>
      <w:r w:rsidR="003D73F5">
        <w:rPr>
          <w:lang w:val="fr-CA"/>
        </w:rPr>
        <w:t xml:space="preserve">2013 NWTCA 8, 304 C.C.C. (3d) 143, </w:t>
      </w:r>
      <w:r w:rsidR="003D73F5" w:rsidRPr="003D73F5">
        <w:rPr>
          <w:lang w:val="fr-CA"/>
        </w:rPr>
        <w:t>[2014] 5 W.W.R. 459,</w:t>
      </w:r>
      <w:r w:rsidR="003D73F5">
        <w:rPr>
          <w:lang w:val="fr-CA"/>
        </w:rPr>
        <w:t xml:space="preserve"> 566 A.R. 35, </w:t>
      </w:r>
      <w:r w:rsidR="003D73F5" w:rsidRPr="003D73F5">
        <w:rPr>
          <w:lang w:val="fr-CA"/>
        </w:rPr>
        <w:t>[2013] N.W.T.J. No. 104</w:t>
      </w:r>
      <w:r w:rsidR="00E2507F">
        <w:rPr>
          <w:lang w:val="fr-CA"/>
        </w:rPr>
        <w:t xml:space="preserve"> (QL)</w:t>
      </w:r>
      <w:r w:rsidR="003D73F5" w:rsidRPr="003D73F5">
        <w:rPr>
          <w:lang w:val="fr-CA"/>
        </w:rPr>
        <w:t>,</w:t>
      </w:r>
      <w:r w:rsidR="003D73F5">
        <w:rPr>
          <w:lang w:val="fr-CA"/>
        </w:rPr>
        <w:t xml:space="preserve"> 2013 </w:t>
      </w:r>
      <w:proofErr w:type="spellStart"/>
      <w:r w:rsidR="003D73F5">
        <w:rPr>
          <w:lang w:val="fr-CA"/>
        </w:rPr>
        <w:lastRenderedPageBreak/>
        <w:t>CarswellNWT</w:t>
      </w:r>
      <w:proofErr w:type="spellEnd"/>
      <w:r w:rsidR="003D73F5">
        <w:rPr>
          <w:lang w:val="fr-CA"/>
        </w:rPr>
        <w:t xml:space="preserve"> 105, </w:t>
      </w:r>
      <w:r w:rsidR="00E466D3" w:rsidRPr="004A3341">
        <w:rPr>
          <w:lang w:val="fr-CA"/>
        </w:rPr>
        <w:t>qui a confirmé la déclaration de culpabilité</w:t>
      </w:r>
      <w:r w:rsidR="004A3341">
        <w:rPr>
          <w:lang w:val="fr-CA"/>
        </w:rPr>
        <w:t xml:space="preserve"> </w:t>
      </w:r>
      <w:r w:rsidR="0048345F">
        <w:rPr>
          <w:lang w:val="fr-CA"/>
        </w:rPr>
        <w:t xml:space="preserve">pour </w:t>
      </w:r>
      <w:r w:rsidR="004A3341">
        <w:rPr>
          <w:lang w:val="fr-CA"/>
        </w:rPr>
        <w:t>agression sexuelle</w:t>
      </w:r>
      <w:r w:rsidR="00E466D3" w:rsidRPr="004A3341">
        <w:rPr>
          <w:lang w:val="fr-CA"/>
        </w:rPr>
        <w:t xml:space="preserve"> </w:t>
      </w:r>
      <w:r w:rsidR="00226FD7" w:rsidRPr="004A3341">
        <w:rPr>
          <w:lang w:val="fr-CA"/>
        </w:rPr>
        <w:t xml:space="preserve">prononcée contre </w:t>
      </w:r>
      <w:r w:rsidR="00E466D3" w:rsidRPr="004A3341">
        <w:rPr>
          <w:lang w:val="fr-CA"/>
        </w:rPr>
        <w:t>l’accusé.</w:t>
      </w:r>
      <w:r w:rsidR="00E466D3">
        <w:rPr>
          <w:lang w:val="fr-CA"/>
        </w:rPr>
        <w:t xml:space="preserve">  Pourvoi rejeté.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842A82" w:rsidRPr="00BE1A5F" w:rsidRDefault="00393EDC">
      <w:pPr>
        <w:pStyle w:val="SCCNormalDoubleSpacing"/>
        <w:rPr>
          <w:lang w:val="fr-CA"/>
        </w:rPr>
      </w:pPr>
      <w:r w:rsidRPr="00BE1A5F">
        <w:rPr>
          <w:rStyle w:val="SCCCounselNameChar"/>
          <w:lang w:val="fr-CA"/>
        </w:rPr>
        <w:tab/>
        <w:t xml:space="preserve">Adam Y. </w:t>
      </w:r>
      <w:proofErr w:type="spellStart"/>
      <w:r w:rsidRPr="00BE1A5F">
        <w:rPr>
          <w:rStyle w:val="SCCCounselNameChar"/>
          <w:lang w:val="fr-CA"/>
        </w:rPr>
        <w:t>Karbani</w:t>
      </w:r>
      <w:proofErr w:type="spellEnd"/>
      <w:r w:rsidRPr="00BE1A5F">
        <w:rPr>
          <w:rStyle w:val="SCCCounselPartyRoleChar"/>
          <w:lang w:val="fr-CA"/>
        </w:rPr>
        <w:t xml:space="preserve">, pour </w:t>
      </w:r>
      <w:r w:rsidR="00D939BD">
        <w:rPr>
          <w:rStyle w:val="SCCCounselPartyRoleChar"/>
          <w:lang w:val="fr-CA"/>
        </w:rPr>
        <w:t>l’appelant</w:t>
      </w:r>
      <w:r w:rsidRPr="00BE1A5F">
        <w:rPr>
          <w:rStyle w:val="SCCCounselPartyRoleChar"/>
          <w:lang w:val="fr-CA"/>
        </w:rPr>
        <w:t>.</w:t>
      </w:r>
    </w:p>
    <w:p w:rsidR="00842A82" w:rsidRPr="00BE1A5F" w:rsidRDefault="00842A82">
      <w:pPr>
        <w:pStyle w:val="SCCNormalDoubleSpacing"/>
        <w:rPr>
          <w:lang w:val="fr-CA"/>
        </w:rPr>
      </w:pPr>
    </w:p>
    <w:p w:rsidR="00842A82" w:rsidRPr="00BE1A5F" w:rsidRDefault="00393EDC">
      <w:pPr>
        <w:pStyle w:val="SCCNormalDoubleSpacing"/>
        <w:rPr>
          <w:lang w:val="fr-CA"/>
        </w:rPr>
      </w:pPr>
      <w:r w:rsidRPr="00BE1A5F">
        <w:rPr>
          <w:rStyle w:val="SCCCounselNameChar"/>
          <w:lang w:val="fr-CA"/>
        </w:rPr>
        <w:tab/>
        <w:t xml:space="preserve">Nicholas E. </w:t>
      </w:r>
      <w:proofErr w:type="spellStart"/>
      <w:r w:rsidRPr="00BE1A5F">
        <w:rPr>
          <w:rStyle w:val="SCCCounselNameChar"/>
          <w:lang w:val="fr-CA"/>
        </w:rPr>
        <w:t>Devlin</w:t>
      </w:r>
      <w:proofErr w:type="spellEnd"/>
      <w:r w:rsidR="00364EC0">
        <w:rPr>
          <w:rStyle w:val="SCCCounselSeparatorChar"/>
          <w:lang w:val="fr-CA"/>
        </w:rPr>
        <w:t xml:space="preserve"> et </w:t>
      </w:r>
      <w:r w:rsidRPr="00BE1A5F">
        <w:rPr>
          <w:rStyle w:val="SCCCounselNameChar"/>
          <w:lang w:val="fr-CA"/>
        </w:rPr>
        <w:t xml:space="preserve">Blair </w:t>
      </w:r>
      <w:proofErr w:type="spellStart"/>
      <w:r w:rsidRPr="00BE1A5F">
        <w:rPr>
          <w:rStyle w:val="SCCCounselNameChar"/>
          <w:lang w:val="fr-CA"/>
        </w:rPr>
        <w:t>MacPherson</w:t>
      </w:r>
      <w:proofErr w:type="spellEnd"/>
      <w:r w:rsidR="00364EC0">
        <w:rPr>
          <w:rStyle w:val="SCCCounselPartyRoleChar"/>
          <w:lang w:val="fr-CA"/>
        </w:rPr>
        <w:t>, pour l’intimée</w:t>
      </w:r>
      <w:r w:rsidRPr="00BE1A5F">
        <w:rPr>
          <w:rStyle w:val="SCCCounselPartyRoleChar"/>
          <w:lang w:val="fr-CA"/>
        </w:rPr>
        <w:t>.</w:t>
      </w:r>
    </w:p>
    <w:p w:rsidR="00842A82" w:rsidRDefault="00842A82">
      <w:pPr>
        <w:pStyle w:val="SCCNormalDoubleSpacing"/>
        <w:rPr>
          <w:lang w:val="fr-CA"/>
        </w:rPr>
      </w:pPr>
    </w:p>
    <w:p w:rsidR="00246CCD" w:rsidRDefault="00246CCD" w:rsidP="00246CCD">
      <w:pPr>
        <w:pStyle w:val="SCCNormalDoubleSpacing"/>
        <w:rPr>
          <w:lang w:val="fr-CA"/>
        </w:rPr>
      </w:pPr>
      <w:r w:rsidRPr="00F911F7">
        <w:rPr>
          <w:lang w:val="fr-CA"/>
        </w:rPr>
        <w:tab/>
        <w:t>Version française du jugement de la Cour rendu oralement par</w:t>
      </w:r>
    </w:p>
    <w:p w:rsidR="00246CCD" w:rsidRDefault="00246CCD" w:rsidP="00246CCD">
      <w:pPr>
        <w:pStyle w:val="ParaNoNdepar-AltN"/>
        <w:rPr>
          <w:rFonts w:cs="Times New Roman"/>
          <w:lang w:val="fr-CA"/>
        </w:rPr>
      </w:pPr>
      <w:r w:rsidRPr="00DF0B9B">
        <w:rPr>
          <w:smallCaps/>
          <w:lang w:val="fr-CA"/>
        </w:rPr>
        <w:t xml:space="preserve">Le juge </w:t>
      </w:r>
      <w:r>
        <w:rPr>
          <w:smallCaps/>
          <w:lang w:val="fr-CA"/>
        </w:rPr>
        <w:t>Cromwell</w:t>
      </w:r>
      <w:r w:rsidRPr="00C01C51">
        <w:rPr>
          <w:lang w:val="fr-CA"/>
        </w:rPr>
        <w:t xml:space="preserve"> </w:t>
      </w:r>
      <w:r w:rsidRPr="00C01C51">
        <w:rPr>
          <w:rFonts w:cs="Times New Roman"/>
          <w:lang w:val="fr-CA"/>
        </w:rPr>
        <w:t>―</w:t>
      </w:r>
      <w:r>
        <w:rPr>
          <w:rFonts w:cs="Times New Roman"/>
          <w:lang w:val="fr-CA"/>
        </w:rPr>
        <w:t xml:space="preserve"> La Cour est saisie d’un appel interjeté de plein droit sur le fondement de la dissidence de la </w:t>
      </w:r>
      <w:r w:rsidRPr="00226FD7">
        <w:rPr>
          <w:rFonts w:cs="Times New Roman"/>
          <w:lang w:val="fr-CA"/>
        </w:rPr>
        <w:t>juge</w:t>
      </w:r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Bielby</w:t>
      </w:r>
      <w:proofErr w:type="spellEnd"/>
      <w:r>
        <w:rPr>
          <w:rFonts w:cs="Times New Roman"/>
          <w:lang w:val="fr-CA"/>
        </w:rPr>
        <w:t xml:space="preserve"> de la Cour d’appel des Territoires du </w:t>
      </w:r>
      <w:proofErr w:type="spellStart"/>
      <w:r>
        <w:rPr>
          <w:rFonts w:cs="Times New Roman"/>
          <w:lang w:val="fr-CA"/>
        </w:rPr>
        <w:t>Nord</w:t>
      </w:r>
      <w:r>
        <w:rPr>
          <w:rFonts w:cs="Times New Roman"/>
          <w:lang w:val="fr-CA"/>
        </w:rPr>
        <w:noBreakHyphen/>
        <w:t>Ouest</w:t>
      </w:r>
      <w:proofErr w:type="spellEnd"/>
      <w:r>
        <w:rPr>
          <w:rFonts w:cs="Times New Roman"/>
          <w:lang w:val="fr-CA"/>
        </w:rPr>
        <w:t>.</w:t>
      </w:r>
    </w:p>
    <w:p w:rsidR="00246CCD" w:rsidRDefault="00246CCD" w:rsidP="00246CCD">
      <w:pPr>
        <w:pStyle w:val="ParaNoNdepar-AltN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Contrairement aux juges </w:t>
      </w:r>
      <w:r w:rsidRPr="00246CCD">
        <w:rPr>
          <w:rFonts w:cs="Times New Roman"/>
          <w:lang w:val="fr-CA"/>
        </w:rPr>
        <w:t>majoritaires</w:t>
      </w:r>
      <w:r>
        <w:rPr>
          <w:rFonts w:cs="Times New Roman"/>
          <w:lang w:val="fr-CA"/>
        </w:rPr>
        <w:t xml:space="preserve"> de la Cour d’appel, nous ne voyons aucune raison de formuler quelque critique à l’endroit du comportement de l’avocat de la défense au procès.  Nous ne sommes toutefois pas persuadés que la réponse de la juge à la question des jurés, qu’il s’agisse du moment où elle est intervenue ou de sa teneur, constituait une erreur de droit ou a donné lieu à une erreur judiciaire.  La juge a immédiatement rappelé aux jurés qu’ils ne devaient pas entreprendre leurs délibérations avant d’avoir entendu les plaidoiries des avocats et elle leur a communiqué des directives complètes et appropriées sur le droit applicable qui répondaient à leur question.</w:t>
      </w:r>
    </w:p>
    <w:p w:rsidR="00246CCD" w:rsidRDefault="00246CCD" w:rsidP="00246CCD">
      <w:pPr>
        <w:pStyle w:val="ParaNoNdepar-AltN"/>
        <w:rPr>
          <w:lang w:val="fr-CA"/>
        </w:rPr>
      </w:pPr>
      <w:r>
        <w:rPr>
          <w:lang w:val="fr-CA"/>
        </w:rPr>
        <w:t>L</w:t>
      </w:r>
      <w:r w:rsidR="001B0939">
        <w:rPr>
          <w:lang w:val="fr-CA"/>
        </w:rPr>
        <w:t>e</w:t>
      </w:r>
      <w:r>
        <w:rPr>
          <w:lang w:val="fr-CA"/>
        </w:rPr>
        <w:t xml:space="preserve"> pourvoi est </w:t>
      </w:r>
      <w:r w:rsidRPr="00246CCD">
        <w:rPr>
          <w:rFonts w:cs="Times New Roman"/>
          <w:lang w:val="en-US"/>
        </w:rPr>
        <w:t>rejeté</w:t>
      </w:r>
      <w:r>
        <w:rPr>
          <w:lang w:val="fr-CA"/>
        </w:rPr>
        <w:t>.</w:t>
      </w:r>
    </w:p>
    <w:p w:rsidR="004D7D95" w:rsidRPr="00364EC0" w:rsidRDefault="004D7D95" w:rsidP="004D7D95">
      <w:pPr>
        <w:pStyle w:val="SCCNormalDoubleSpacing"/>
        <w:rPr>
          <w:i/>
          <w:lang w:val="fr-CA"/>
        </w:rPr>
      </w:pPr>
      <w:r w:rsidRPr="00BE1A5F">
        <w:rPr>
          <w:lang w:val="fr-CA"/>
        </w:rPr>
        <w:lastRenderedPageBreak/>
        <w:tab/>
      </w:r>
      <w:r w:rsidR="00364EC0" w:rsidRPr="00364EC0">
        <w:rPr>
          <w:i/>
          <w:lang w:val="fr-CA"/>
        </w:rPr>
        <w:t>Jugement en conséquence.</w:t>
      </w:r>
    </w:p>
    <w:p w:rsidR="004D7D95" w:rsidRPr="00364EC0" w:rsidRDefault="004D7D95" w:rsidP="004D7D95">
      <w:pPr>
        <w:pStyle w:val="SCCNormalDoubleSpacing"/>
        <w:rPr>
          <w:i/>
          <w:lang w:val="fr-CA"/>
        </w:rPr>
      </w:pPr>
    </w:p>
    <w:p w:rsidR="00842A82" w:rsidRPr="00BE1A5F" w:rsidRDefault="00393EDC">
      <w:pPr>
        <w:pStyle w:val="SCCLawFirm"/>
        <w:rPr>
          <w:lang w:val="fr-CA"/>
        </w:rPr>
      </w:pPr>
      <w:r w:rsidRPr="00BE1A5F">
        <w:rPr>
          <w:lang w:val="fr-CA"/>
        </w:rPr>
        <w:tab/>
        <w:t>Procureur</w:t>
      </w:r>
      <w:r w:rsidR="00E2507F">
        <w:rPr>
          <w:lang w:val="fr-CA"/>
        </w:rPr>
        <w:t xml:space="preserve">s </w:t>
      </w:r>
      <w:r w:rsidRPr="00BE1A5F">
        <w:rPr>
          <w:lang w:val="fr-CA"/>
        </w:rPr>
        <w:t xml:space="preserve">de </w:t>
      </w:r>
      <w:r w:rsidR="00E2507F">
        <w:rPr>
          <w:lang w:val="fr-CA"/>
        </w:rPr>
        <w:t>l’appelant</w:t>
      </w:r>
      <w:r w:rsidRPr="00BE1A5F">
        <w:rPr>
          <w:lang w:val="fr-CA"/>
        </w:rPr>
        <w:t xml:space="preserve"> : Davidson Gregory </w:t>
      </w:r>
      <w:proofErr w:type="spellStart"/>
      <w:r w:rsidRPr="00BE1A5F">
        <w:rPr>
          <w:lang w:val="fr-CA"/>
        </w:rPr>
        <w:t>Danyluik</w:t>
      </w:r>
      <w:proofErr w:type="spellEnd"/>
      <w:r w:rsidRPr="00BE1A5F">
        <w:rPr>
          <w:lang w:val="fr-CA"/>
        </w:rPr>
        <w:t>, Edmonton.</w:t>
      </w:r>
    </w:p>
    <w:p w:rsidR="00842A82" w:rsidRPr="00BE1A5F" w:rsidRDefault="00842A82">
      <w:pPr>
        <w:pStyle w:val="SCCLawFirm"/>
        <w:rPr>
          <w:lang w:val="fr-CA"/>
        </w:rPr>
      </w:pPr>
    </w:p>
    <w:p w:rsidR="00842A82" w:rsidRPr="00E2507F" w:rsidRDefault="00393EDC">
      <w:pPr>
        <w:pStyle w:val="SCCLawFirm"/>
        <w:rPr>
          <w:lang w:val="fr-CA"/>
        </w:rPr>
      </w:pPr>
      <w:r w:rsidRPr="00BE1A5F">
        <w:rPr>
          <w:lang w:val="fr-CA"/>
        </w:rPr>
        <w:tab/>
      </w:r>
      <w:r w:rsidRPr="00E2507F">
        <w:rPr>
          <w:lang w:val="fr-CA"/>
        </w:rPr>
        <w:t>Procureur</w:t>
      </w:r>
      <w:r w:rsidR="00E2507F" w:rsidRPr="00E2507F">
        <w:rPr>
          <w:lang w:val="fr-CA"/>
        </w:rPr>
        <w:t xml:space="preserve"> de l’intimée</w:t>
      </w:r>
      <w:r w:rsidRPr="00E2507F">
        <w:rPr>
          <w:lang w:val="fr-CA"/>
        </w:rPr>
        <w:t xml:space="preserve"> : </w:t>
      </w:r>
      <w:r w:rsidR="00E2507F" w:rsidRPr="00E2507F">
        <w:rPr>
          <w:lang w:val="fr-CA"/>
        </w:rPr>
        <w:t>Service des poursuites pénales du</w:t>
      </w:r>
      <w:r w:rsidRPr="00E2507F">
        <w:rPr>
          <w:lang w:val="fr-CA"/>
        </w:rPr>
        <w:t xml:space="preserve"> Canada, Toronto.</w:t>
      </w:r>
    </w:p>
    <w:p w:rsidR="00842A82" w:rsidRPr="00E2507F" w:rsidRDefault="00842A82">
      <w:pPr>
        <w:pStyle w:val="SCCLawFirm"/>
        <w:rPr>
          <w:lang w:val="fr-CA"/>
        </w:rPr>
      </w:pPr>
    </w:p>
    <w:sectPr w:rsidR="00842A82" w:rsidRPr="00E2507F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1B" w:rsidRDefault="0086221B">
      <w:r>
        <w:separator/>
      </w:r>
    </w:p>
  </w:endnote>
  <w:endnote w:type="continuationSeparator" w:id="0">
    <w:p w:rsidR="0086221B" w:rsidRDefault="0086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1B" w:rsidRDefault="0086221B">
      <w:r>
        <w:separator/>
      </w:r>
    </w:p>
  </w:footnote>
  <w:footnote w:type="continuationSeparator" w:id="0">
    <w:p w:rsidR="0086221B" w:rsidRDefault="0086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B" w:rsidRDefault="00862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578A3"/>
    <w:rsid w:val="000648CC"/>
    <w:rsid w:val="000B4810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36951"/>
    <w:rsid w:val="001426A9"/>
    <w:rsid w:val="00154D7C"/>
    <w:rsid w:val="001570B0"/>
    <w:rsid w:val="0015752C"/>
    <w:rsid w:val="00157737"/>
    <w:rsid w:val="00157D20"/>
    <w:rsid w:val="00165277"/>
    <w:rsid w:val="00170592"/>
    <w:rsid w:val="00171043"/>
    <w:rsid w:val="001720F7"/>
    <w:rsid w:val="00195D83"/>
    <w:rsid w:val="001A00C1"/>
    <w:rsid w:val="001B0939"/>
    <w:rsid w:val="001B33E0"/>
    <w:rsid w:val="001B4573"/>
    <w:rsid w:val="001B7342"/>
    <w:rsid w:val="001C779F"/>
    <w:rsid w:val="001D0831"/>
    <w:rsid w:val="001D2AC1"/>
    <w:rsid w:val="001D4E88"/>
    <w:rsid w:val="00220FC2"/>
    <w:rsid w:val="002222F4"/>
    <w:rsid w:val="00224FC0"/>
    <w:rsid w:val="00225EA4"/>
    <w:rsid w:val="00226EAF"/>
    <w:rsid w:val="00226FD7"/>
    <w:rsid w:val="00231F3A"/>
    <w:rsid w:val="002406EE"/>
    <w:rsid w:val="00243EC8"/>
    <w:rsid w:val="00246CCD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2ACF"/>
    <w:rsid w:val="00364B18"/>
    <w:rsid w:val="00364EC0"/>
    <w:rsid w:val="00393EDC"/>
    <w:rsid w:val="003A125D"/>
    <w:rsid w:val="003A4C70"/>
    <w:rsid w:val="003B215F"/>
    <w:rsid w:val="003C0228"/>
    <w:rsid w:val="003C1035"/>
    <w:rsid w:val="003C799C"/>
    <w:rsid w:val="003D0399"/>
    <w:rsid w:val="003D73F5"/>
    <w:rsid w:val="003E1C71"/>
    <w:rsid w:val="003F327B"/>
    <w:rsid w:val="00406166"/>
    <w:rsid w:val="0040704B"/>
    <w:rsid w:val="00410A55"/>
    <w:rsid w:val="00411300"/>
    <w:rsid w:val="00413F17"/>
    <w:rsid w:val="00415417"/>
    <w:rsid w:val="004254FE"/>
    <w:rsid w:val="00426659"/>
    <w:rsid w:val="00442AC5"/>
    <w:rsid w:val="00450352"/>
    <w:rsid w:val="00454BDB"/>
    <w:rsid w:val="00460C07"/>
    <w:rsid w:val="00465132"/>
    <w:rsid w:val="00480C90"/>
    <w:rsid w:val="0048345F"/>
    <w:rsid w:val="0048396F"/>
    <w:rsid w:val="00493C18"/>
    <w:rsid w:val="004A3341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1598"/>
    <w:rsid w:val="00555291"/>
    <w:rsid w:val="00566AD1"/>
    <w:rsid w:val="00583EDE"/>
    <w:rsid w:val="005A6079"/>
    <w:rsid w:val="005E4698"/>
    <w:rsid w:val="00603924"/>
    <w:rsid w:val="00610539"/>
    <w:rsid w:val="00612DA5"/>
    <w:rsid w:val="00613969"/>
    <w:rsid w:val="00625C35"/>
    <w:rsid w:val="00647E49"/>
    <w:rsid w:val="00656313"/>
    <w:rsid w:val="006565F4"/>
    <w:rsid w:val="00684EEA"/>
    <w:rsid w:val="006859A3"/>
    <w:rsid w:val="0069689B"/>
    <w:rsid w:val="006B5FF5"/>
    <w:rsid w:val="006F30AF"/>
    <w:rsid w:val="006F6B02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42A82"/>
    <w:rsid w:val="008545E0"/>
    <w:rsid w:val="0086221B"/>
    <w:rsid w:val="00864C8A"/>
    <w:rsid w:val="00864CF8"/>
    <w:rsid w:val="00874914"/>
    <w:rsid w:val="00891422"/>
    <w:rsid w:val="00892E1A"/>
    <w:rsid w:val="00895F9C"/>
    <w:rsid w:val="008B660A"/>
    <w:rsid w:val="008C01DA"/>
    <w:rsid w:val="008F2674"/>
    <w:rsid w:val="008F78E9"/>
    <w:rsid w:val="009179F9"/>
    <w:rsid w:val="00917C7A"/>
    <w:rsid w:val="00922E1A"/>
    <w:rsid w:val="00933E5E"/>
    <w:rsid w:val="00935218"/>
    <w:rsid w:val="00937C52"/>
    <w:rsid w:val="009403F3"/>
    <w:rsid w:val="009555B7"/>
    <w:rsid w:val="009567AA"/>
    <w:rsid w:val="009602C9"/>
    <w:rsid w:val="00966B7F"/>
    <w:rsid w:val="00967374"/>
    <w:rsid w:val="009840E1"/>
    <w:rsid w:val="009A343A"/>
    <w:rsid w:val="009B2F23"/>
    <w:rsid w:val="009B57B3"/>
    <w:rsid w:val="009D2920"/>
    <w:rsid w:val="009D5AEB"/>
    <w:rsid w:val="009F0E33"/>
    <w:rsid w:val="00A01856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B670D"/>
    <w:rsid w:val="00AF03C5"/>
    <w:rsid w:val="00B000D8"/>
    <w:rsid w:val="00B00F75"/>
    <w:rsid w:val="00B043B1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1A5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076FD"/>
    <w:rsid w:val="00D17476"/>
    <w:rsid w:val="00D32086"/>
    <w:rsid w:val="00D37A3F"/>
    <w:rsid w:val="00D4431D"/>
    <w:rsid w:val="00D4667A"/>
    <w:rsid w:val="00D63A1C"/>
    <w:rsid w:val="00D7516F"/>
    <w:rsid w:val="00D939BD"/>
    <w:rsid w:val="00D95F8E"/>
    <w:rsid w:val="00DA0590"/>
    <w:rsid w:val="00DC1739"/>
    <w:rsid w:val="00DC1788"/>
    <w:rsid w:val="00DC5F85"/>
    <w:rsid w:val="00DE319C"/>
    <w:rsid w:val="00DF0CA8"/>
    <w:rsid w:val="00DF2B48"/>
    <w:rsid w:val="00DF49A7"/>
    <w:rsid w:val="00E04F51"/>
    <w:rsid w:val="00E07EE2"/>
    <w:rsid w:val="00E07FD1"/>
    <w:rsid w:val="00E24573"/>
    <w:rsid w:val="00E2507F"/>
    <w:rsid w:val="00E25E1E"/>
    <w:rsid w:val="00E27EE7"/>
    <w:rsid w:val="00E35404"/>
    <w:rsid w:val="00E45109"/>
    <w:rsid w:val="00E466D3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12A64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paragraph" w:customStyle="1" w:styleId="ParaNoNdepar-AltN">
    <w:name w:val="Para. No. / Nº de par. - Alt N"/>
    <w:qFormat/>
    <w:rsid w:val="00246CCD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B7342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1B7342"/>
    <w:rPr>
      <w:rFonts w:eastAsiaTheme="minorHAnsi" w:cstheme="minorBidi"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1B7342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1B7342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2014-10-21T12:25:00Z</dcterms:created>
  <dcterms:modified xsi:type="dcterms:W3CDTF">2015-03-06T14:40:00Z</dcterms:modified>
</cp:coreProperties>
</file>