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F35" w:rsidRDefault="00177F35" w:rsidP="00177F35">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5pt" o:ole="">
            <v:imagedata r:id="rId7" o:title=""/>
          </v:shape>
          <o:OLEObject Type="Embed" ProgID="Presentations.Drawing.13" ShapeID="_x0000_i1025" DrawAspect="Content" ObjectID="_1487161025" r:id="rId8"/>
        </w:object>
      </w:r>
    </w:p>
    <w:p w:rsidR="00177F35" w:rsidRDefault="00177F35" w:rsidP="00177F35">
      <w:pPr>
        <w:pStyle w:val="Header"/>
      </w:pPr>
    </w:p>
    <w:p w:rsidR="00177F35" w:rsidRPr="001E12E2" w:rsidRDefault="00177F35" w:rsidP="00177F35">
      <w:pPr>
        <w:jc w:val="center"/>
        <w:rPr>
          <w:b/>
        </w:rPr>
      </w:pPr>
      <w:r w:rsidRPr="001E12E2">
        <w:rPr>
          <w:b/>
        </w:rPr>
        <w:t>COUR SUPRÊME DU CANADA</w:t>
      </w:r>
    </w:p>
    <w:p w:rsidR="00177F35" w:rsidRDefault="00177F35" w:rsidP="00177F3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77F35" w:rsidRPr="001E12E2" w:rsidTr="00407445">
        <w:trPr>
          <w:cantSplit/>
        </w:trPr>
        <w:tc>
          <w:tcPr>
            <w:tcW w:w="6768" w:type="dxa"/>
          </w:tcPr>
          <w:p w:rsidR="00177F35" w:rsidRPr="00177F35" w:rsidRDefault="00177F35" w:rsidP="00407445">
            <w:pPr>
              <w:rPr>
                <w:lang w:val="fr-CA"/>
              </w:rPr>
            </w:pPr>
            <w:r w:rsidRPr="00177F35">
              <w:rPr>
                <w:b/>
                <w:smallCaps/>
                <w:lang w:val="fr-CA"/>
              </w:rPr>
              <w:t>Référence :</w:t>
            </w:r>
            <w:r w:rsidRPr="00177F35">
              <w:rPr>
                <w:lang w:val="fr-CA"/>
              </w:rPr>
              <w:t xml:space="preserve"> R.</w:t>
            </w:r>
            <w:r w:rsidRPr="00177F35">
              <w:rPr>
                <w:i/>
                <w:lang w:val="fr-CA"/>
              </w:rPr>
              <w:t xml:space="preserve"> c. </w:t>
            </w:r>
            <w:proofErr w:type="spellStart"/>
            <w:r w:rsidRPr="00177F35">
              <w:rPr>
                <w:lang w:val="fr-CA"/>
              </w:rPr>
              <w:t>MacLeod</w:t>
            </w:r>
            <w:proofErr w:type="spellEnd"/>
            <w:r w:rsidRPr="00177F35">
              <w:rPr>
                <w:lang w:val="fr-CA"/>
              </w:rPr>
              <w:t>, 2014 CSC 76, [2014] 3 R.C.S. 619</w:t>
            </w:r>
          </w:p>
        </w:tc>
        <w:tc>
          <w:tcPr>
            <w:tcW w:w="2808" w:type="dxa"/>
          </w:tcPr>
          <w:p w:rsidR="00177F35" w:rsidRPr="001E12E2" w:rsidRDefault="00177F35" w:rsidP="00407445">
            <w:r w:rsidRPr="001E12E2">
              <w:rPr>
                <w:b/>
                <w:smallCaps/>
              </w:rPr>
              <w:t>Date</w:t>
            </w:r>
            <w:r>
              <w:rPr>
                <w:b/>
                <w:smallCaps/>
              </w:rPr>
              <w:t> :</w:t>
            </w:r>
            <w:r w:rsidRPr="001E12E2">
              <w:t xml:space="preserve"> </w:t>
            </w:r>
            <w:r>
              <w:t>20141210</w:t>
            </w:r>
          </w:p>
          <w:p w:rsidR="00177F35" w:rsidRPr="001E12E2" w:rsidRDefault="00177F35" w:rsidP="00407445">
            <w:r w:rsidRPr="001E12E2">
              <w:rPr>
                <w:b/>
                <w:smallCaps/>
              </w:rPr>
              <w:t>Do</w:t>
            </w:r>
            <w:r>
              <w:rPr>
                <w:b/>
                <w:smallCaps/>
              </w:rPr>
              <w:t>ssier :</w:t>
            </w:r>
            <w:r w:rsidRPr="001E12E2">
              <w:t xml:space="preserve"> </w:t>
            </w:r>
            <w:r w:rsidRPr="00D6527A">
              <w:t>35957</w:t>
            </w:r>
          </w:p>
        </w:tc>
      </w:tr>
    </w:tbl>
    <w:p w:rsidR="00177F35" w:rsidRPr="001E12E2" w:rsidRDefault="00177F35" w:rsidP="00177F35"/>
    <w:p w:rsidR="00177F35" w:rsidRDefault="00177F35" w:rsidP="00177F35">
      <w:pPr>
        <w:pStyle w:val="SCCLsocPrefix"/>
      </w:pPr>
      <w:r>
        <w:t>Entre :</w:t>
      </w:r>
    </w:p>
    <w:p w:rsidR="00177F35" w:rsidRDefault="00177F35" w:rsidP="00177F35">
      <w:pPr>
        <w:pStyle w:val="SCCLsocParty"/>
        <w:jc w:val="center"/>
      </w:pPr>
      <w:r w:rsidRPr="00D6527A">
        <w:t xml:space="preserve">Sa </w:t>
      </w:r>
      <w:proofErr w:type="spellStart"/>
      <w:r w:rsidRPr="00D6527A">
        <w:t>Majesté</w:t>
      </w:r>
      <w:proofErr w:type="spellEnd"/>
      <w:r w:rsidRPr="00D6527A">
        <w:t xml:space="preserve"> la </w:t>
      </w:r>
      <w:proofErr w:type="spellStart"/>
      <w:r w:rsidRPr="00D6527A">
        <w:t>Reine</w:t>
      </w:r>
      <w:proofErr w:type="spellEnd"/>
    </w:p>
    <w:p w:rsidR="00177F35" w:rsidRDefault="00177F35" w:rsidP="00177F35">
      <w:pPr>
        <w:jc w:val="center"/>
      </w:pPr>
      <w:proofErr w:type="spellStart"/>
      <w:r>
        <w:t>Appelant</w:t>
      </w:r>
      <w:proofErr w:type="spellEnd"/>
    </w:p>
    <w:p w:rsidR="00177F35" w:rsidRPr="00177F35" w:rsidRDefault="00177F35" w:rsidP="00177F35">
      <w:pPr>
        <w:pStyle w:val="SCCLsocVersus"/>
        <w:spacing w:after="0"/>
        <w:jc w:val="center"/>
        <w:rPr>
          <w:i w:val="0"/>
        </w:rPr>
      </w:pPr>
      <w:proofErr w:type="gramStart"/>
      <w:r w:rsidRPr="00177F35">
        <w:rPr>
          <w:i w:val="0"/>
        </w:rPr>
        <w:t>et</w:t>
      </w:r>
      <w:proofErr w:type="gramEnd"/>
    </w:p>
    <w:p w:rsidR="00177F35" w:rsidRDefault="00177F35" w:rsidP="00177F35">
      <w:pPr>
        <w:pStyle w:val="SCCLsocParty"/>
        <w:jc w:val="center"/>
      </w:pPr>
      <w:r w:rsidRPr="00D6527A">
        <w:t>Clarence Michael MacLeod</w:t>
      </w:r>
    </w:p>
    <w:p w:rsidR="00177F35" w:rsidRDefault="00177F35" w:rsidP="00177F35">
      <w:pPr>
        <w:jc w:val="center"/>
      </w:pPr>
      <w:proofErr w:type="spellStart"/>
      <w:r>
        <w:t>Intimé</w:t>
      </w:r>
      <w:proofErr w:type="spellEnd"/>
    </w:p>
    <w:p w:rsidR="00177F35" w:rsidRPr="001E12E2" w:rsidRDefault="00177F35" w:rsidP="00177F35">
      <w:pPr>
        <w:jc w:val="center"/>
      </w:pPr>
    </w:p>
    <w:p w:rsidR="00177F35" w:rsidRPr="001E12E2" w:rsidRDefault="00177F35" w:rsidP="00177F35">
      <w:pPr>
        <w:jc w:val="center"/>
        <w:rPr>
          <w:b/>
          <w:smallCaps/>
        </w:rPr>
      </w:pPr>
      <w:proofErr w:type="spellStart"/>
      <w:r>
        <w:rPr>
          <w:b/>
          <w:smallCaps/>
        </w:rPr>
        <w:t>Traduction</w:t>
      </w:r>
      <w:proofErr w:type="spellEnd"/>
      <w:r>
        <w:rPr>
          <w:b/>
          <w:smallCaps/>
        </w:rPr>
        <w:t xml:space="preserve"> </w:t>
      </w:r>
      <w:proofErr w:type="spellStart"/>
      <w:r>
        <w:rPr>
          <w:b/>
          <w:smallCaps/>
        </w:rPr>
        <w:t>française</w:t>
      </w:r>
      <w:proofErr w:type="spellEnd"/>
      <w:r>
        <w:rPr>
          <w:b/>
          <w:smallCaps/>
        </w:rPr>
        <w:t xml:space="preserve"> </w:t>
      </w:r>
      <w:proofErr w:type="spellStart"/>
      <w:r>
        <w:rPr>
          <w:b/>
          <w:smallCaps/>
        </w:rPr>
        <w:t>o</w:t>
      </w:r>
      <w:r w:rsidRPr="001E12E2">
        <w:rPr>
          <w:b/>
          <w:smallCaps/>
        </w:rPr>
        <w:t>ffici</w:t>
      </w:r>
      <w:r>
        <w:rPr>
          <w:b/>
          <w:smallCaps/>
        </w:rPr>
        <w:t>elle</w:t>
      </w:r>
      <w:proofErr w:type="spellEnd"/>
    </w:p>
    <w:p w:rsidR="00177F35" w:rsidRPr="001E12E2" w:rsidRDefault="00177F35" w:rsidP="00177F35"/>
    <w:p w:rsidR="00177F35" w:rsidRPr="00177F35" w:rsidRDefault="00177F35" w:rsidP="00177F35">
      <w:pPr>
        <w:jc w:val="both"/>
        <w:rPr>
          <w:lang w:val="fr-CA"/>
        </w:rPr>
      </w:pPr>
      <w:r w:rsidRPr="00177F35">
        <w:rPr>
          <w:b/>
          <w:smallCaps/>
          <w:lang w:val="fr-CA"/>
        </w:rPr>
        <w:t>Coram :</w:t>
      </w:r>
      <w:r w:rsidRPr="00177F35">
        <w:rPr>
          <w:lang w:val="fr-CA"/>
        </w:rPr>
        <w:t xml:space="preserve"> Les juges Abella, Cromwell, </w:t>
      </w:r>
      <w:proofErr w:type="spellStart"/>
      <w:r w:rsidRPr="00177F35">
        <w:rPr>
          <w:lang w:val="fr-CA"/>
        </w:rPr>
        <w:t>Moldaver</w:t>
      </w:r>
      <w:proofErr w:type="spellEnd"/>
      <w:r w:rsidRPr="00177F35">
        <w:rPr>
          <w:lang w:val="fr-CA"/>
        </w:rPr>
        <w:t>, Wagner et Gascon</w:t>
      </w:r>
    </w:p>
    <w:p w:rsidR="00177F35" w:rsidRPr="00177F35" w:rsidRDefault="00177F35" w:rsidP="00177F3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77F35" w:rsidRPr="00177F35" w:rsidTr="00407445">
        <w:trPr>
          <w:cantSplit/>
        </w:trPr>
        <w:tc>
          <w:tcPr>
            <w:tcW w:w="3618" w:type="dxa"/>
          </w:tcPr>
          <w:p w:rsidR="00177F35" w:rsidRDefault="00177F35" w:rsidP="00407445">
            <w:pPr>
              <w:rPr>
                <w:b/>
                <w:smallCaps/>
              </w:rPr>
            </w:pPr>
            <w:r>
              <w:rPr>
                <w:b/>
                <w:smallCaps/>
              </w:rPr>
              <w:t>Motifs</w:t>
            </w:r>
            <w:r w:rsidRPr="001E12E2">
              <w:rPr>
                <w:b/>
                <w:smallCaps/>
              </w:rPr>
              <w:t xml:space="preserve"> </w:t>
            </w:r>
            <w:r>
              <w:rPr>
                <w:b/>
                <w:smallCaps/>
              </w:rPr>
              <w:t>de</w:t>
            </w:r>
            <w:r w:rsidRPr="001E12E2">
              <w:rPr>
                <w:b/>
                <w:smallCaps/>
              </w:rPr>
              <w:t xml:space="preserve"> </w:t>
            </w:r>
            <w:proofErr w:type="spellStart"/>
            <w:r>
              <w:rPr>
                <w:b/>
                <w:smallCaps/>
              </w:rPr>
              <w:t>j</w:t>
            </w:r>
            <w:r w:rsidRPr="001E12E2">
              <w:rPr>
                <w:b/>
                <w:smallCaps/>
              </w:rPr>
              <w:t>ug</w:t>
            </w:r>
            <w:r>
              <w:rPr>
                <w:b/>
                <w:smallCaps/>
              </w:rPr>
              <w:t>e</w:t>
            </w:r>
            <w:r w:rsidRPr="001E12E2">
              <w:rPr>
                <w:b/>
                <w:smallCaps/>
              </w:rPr>
              <w:t>ment</w:t>
            </w:r>
            <w:proofErr w:type="spellEnd"/>
            <w:r>
              <w:rPr>
                <w:b/>
                <w:smallCaps/>
              </w:rPr>
              <w:t> :</w:t>
            </w:r>
          </w:p>
          <w:p w:rsidR="00177F35" w:rsidRPr="001E12E2" w:rsidRDefault="00177F35" w:rsidP="00407445">
            <w:r>
              <w:t>(par. 1)</w:t>
            </w:r>
          </w:p>
        </w:tc>
        <w:tc>
          <w:tcPr>
            <w:tcW w:w="5958" w:type="dxa"/>
          </w:tcPr>
          <w:p w:rsidR="00177F35" w:rsidRPr="00177F35" w:rsidRDefault="00177F35" w:rsidP="00407445">
            <w:pPr>
              <w:jc w:val="both"/>
              <w:rPr>
                <w:lang w:val="fr-CA"/>
              </w:rPr>
            </w:pPr>
            <w:r w:rsidRPr="00177F35">
              <w:rPr>
                <w:lang w:val="fr-CA"/>
              </w:rPr>
              <w:t xml:space="preserve">Le juge Cromwell (avec l’accord des juges Abella, Cromwell, </w:t>
            </w:r>
            <w:proofErr w:type="spellStart"/>
            <w:r w:rsidRPr="00177F35">
              <w:rPr>
                <w:lang w:val="fr-CA"/>
              </w:rPr>
              <w:t>Moldaver</w:t>
            </w:r>
            <w:proofErr w:type="spellEnd"/>
            <w:r w:rsidRPr="00177F35">
              <w:rPr>
                <w:lang w:val="fr-CA"/>
              </w:rPr>
              <w:t>, Wagner et Gascon)</w:t>
            </w:r>
          </w:p>
        </w:tc>
      </w:tr>
    </w:tbl>
    <w:p w:rsidR="00177F35" w:rsidRPr="00177F35" w:rsidRDefault="00177F35" w:rsidP="00177F35">
      <w:pPr>
        <w:rPr>
          <w:lang w:val="fr-CA"/>
        </w:rPr>
      </w:pPr>
    </w:p>
    <w:p w:rsidR="00177F35" w:rsidRPr="00177F35" w:rsidRDefault="00177F35" w:rsidP="00177F35">
      <w:pPr>
        <w:rPr>
          <w:lang w:val="fr-CA"/>
        </w:rPr>
      </w:pPr>
      <w:r w:rsidRPr="00A24106">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177F35" w:rsidRPr="00177F35" w:rsidRDefault="00177F35" w:rsidP="00177F35">
      <w:pPr>
        <w:rPr>
          <w:lang w:val="fr-CA"/>
        </w:rPr>
      </w:pPr>
    </w:p>
    <w:p w:rsidR="00177F35" w:rsidRPr="00177F35" w:rsidRDefault="00177F35" w:rsidP="00177F35">
      <w:pPr>
        <w:rPr>
          <w:lang w:val="fr-CA"/>
        </w:rPr>
      </w:pPr>
    </w:p>
    <w:p w:rsidR="004D7D95" w:rsidRPr="00177F35" w:rsidRDefault="004D7D95" w:rsidP="004D7D95">
      <w:pPr>
        <w:spacing w:line="480" w:lineRule="auto"/>
        <w:jc w:val="both"/>
        <w:rPr>
          <w:lang w:val="en-US"/>
        </w:rPr>
      </w:pPr>
      <w:r w:rsidRPr="00177F35">
        <w:rPr>
          <w:rStyle w:val="SCCAppellantForRunningHeadChar"/>
          <w:lang w:val="en-US"/>
        </w:rPr>
        <w:t>R.</w:t>
      </w:r>
      <w:r w:rsidRPr="00177F35">
        <w:rPr>
          <w:lang w:val="en-US"/>
        </w:rPr>
        <w:t xml:space="preserve"> </w:t>
      </w:r>
      <w:r w:rsidRPr="00177F35">
        <w:rPr>
          <w:i/>
          <w:lang w:val="en-US"/>
        </w:rPr>
        <w:t>c.</w:t>
      </w:r>
      <w:r w:rsidRPr="00177F35">
        <w:rPr>
          <w:lang w:val="en-US"/>
        </w:rPr>
        <w:t xml:space="preserve"> </w:t>
      </w:r>
      <w:proofErr w:type="spellStart"/>
      <w:r w:rsidRPr="00177F35">
        <w:rPr>
          <w:rStyle w:val="SCCRespondentForRunningHeadChar"/>
          <w:lang w:val="en-US"/>
        </w:rPr>
        <w:t>MacL</w:t>
      </w:r>
      <w:r w:rsidR="00283E80" w:rsidRPr="00177F35">
        <w:rPr>
          <w:rStyle w:val="SCCRespondentForRunningHeadChar"/>
          <w:smallCaps w:val="0"/>
          <w:lang w:val="en-US"/>
        </w:rPr>
        <w:t>EOD</w:t>
      </w:r>
      <w:proofErr w:type="spellEnd"/>
      <w:r w:rsidR="00120D57" w:rsidRPr="00177F35">
        <w:rPr>
          <w:rStyle w:val="SCCRespondentForRunningHeadChar"/>
          <w:smallCaps w:val="0"/>
          <w:lang w:val="en-US"/>
        </w:rPr>
        <w:t xml:space="preserve">, </w:t>
      </w:r>
      <w:r w:rsidR="00120D57" w:rsidRPr="00177F35">
        <w:rPr>
          <w:lang w:val="en-US"/>
        </w:rPr>
        <w:t>2014 CSC 76, [2014] 3 R.C.S. 619</w:t>
      </w:r>
    </w:p>
    <w:p w:rsidR="004D7D95" w:rsidRPr="00177F35" w:rsidRDefault="004D7D95" w:rsidP="004D7D95">
      <w:pPr>
        <w:jc w:val="both"/>
        <w:rPr>
          <w:lang w:val="en-US"/>
        </w:rPr>
      </w:pPr>
    </w:p>
    <w:p w:rsidR="00A0263C" w:rsidRPr="00D6527A" w:rsidRDefault="004E270E">
      <w:pPr>
        <w:pStyle w:val="SCCLsocLastPartyInRole"/>
        <w:rPr>
          <w:lang w:val="fr-CA"/>
        </w:rPr>
      </w:pPr>
      <w:r w:rsidRPr="00D6527A">
        <w:rPr>
          <w:lang w:val="fr-CA"/>
        </w:rPr>
        <w:t>Sa Majesté la Reine</w:t>
      </w:r>
      <w:r w:rsidR="00D6527A">
        <w:rPr>
          <w:rStyle w:val="SCCLsocPartyRole"/>
          <w:lang w:val="fr-CA"/>
        </w:rPr>
        <w:tab/>
        <w:t>Appelante</w:t>
      </w:r>
    </w:p>
    <w:p w:rsidR="00A0263C" w:rsidRPr="00D6527A" w:rsidRDefault="004E270E">
      <w:pPr>
        <w:pStyle w:val="SCCLsocVersus"/>
        <w:rPr>
          <w:lang w:val="fr-CA"/>
        </w:rPr>
      </w:pPr>
      <w:proofErr w:type="gramStart"/>
      <w:r w:rsidRPr="00D6527A">
        <w:rPr>
          <w:lang w:val="fr-CA"/>
        </w:rPr>
        <w:t>c</w:t>
      </w:r>
      <w:proofErr w:type="gramEnd"/>
      <w:r w:rsidRPr="00D6527A">
        <w:rPr>
          <w:lang w:val="fr-CA"/>
        </w:rPr>
        <w:t>.</w:t>
      </w:r>
    </w:p>
    <w:p w:rsidR="00A0263C" w:rsidRPr="00D6527A" w:rsidRDefault="004E270E">
      <w:pPr>
        <w:pStyle w:val="SCCLsocLastPartyInRole"/>
        <w:rPr>
          <w:lang w:val="fr-CA"/>
        </w:rPr>
      </w:pPr>
      <w:r w:rsidRPr="00D6527A">
        <w:rPr>
          <w:lang w:val="fr-CA"/>
        </w:rPr>
        <w:t xml:space="preserve">Clarence Michael </w:t>
      </w:r>
      <w:proofErr w:type="spellStart"/>
      <w:r w:rsidRPr="00D6527A">
        <w:rPr>
          <w:lang w:val="fr-CA"/>
        </w:rPr>
        <w:t>MacLeod</w:t>
      </w:r>
      <w:proofErr w:type="spellEnd"/>
      <w:r w:rsidRPr="00D6527A">
        <w:rPr>
          <w:rStyle w:val="SCCLsocPartyRole"/>
          <w:lang w:val="fr-CA"/>
        </w:rPr>
        <w:tab/>
        <w:t>Intimé</w:t>
      </w:r>
    </w:p>
    <w:p w:rsidR="004D7D95" w:rsidRPr="00D6527A" w:rsidRDefault="004D7D95" w:rsidP="004D7D95">
      <w:pPr>
        <w:jc w:val="both"/>
        <w:rPr>
          <w:b/>
          <w:lang w:val="fr-CA"/>
        </w:rPr>
      </w:pPr>
      <w:r w:rsidRPr="00BB4C92">
        <w:rPr>
          <w:b/>
          <w:lang w:val="fr-CA"/>
        </w:rPr>
        <w:t>Répertorié :</w:t>
      </w:r>
      <w:r w:rsidR="005063B3">
        <w:rPr>
          <w:b/>
          <w:lang w:val="fr-CA"/>
        </w:rPr>
        <w:t xml:space="preserve"> </w:t>
      </w:r>
      <w:r w:rsidRPr="00D6527A">
        <w:rPr>
          <w:rStyle w:val="SCCAppellantForIndexChar"/>
          <w:lang w:val="fr-CA"/>
        </w:rPr>
        <w:t>R.</w:t>
      </w:r>
      <w:r w:rsidRPr="00BB4C92">
        <w:rPr>
          <w:b/>
          <w:lang w:val="fr-CA"/>
        </w:rPr>
        <w:t xml:space="preserve"> </w:t>
      </w:r>
      <w:r w:rsidRPr="00BB4C92">
        <w:rPr>
          <w:b/>
          <w:i/>
          <w:lang w:val="fr-CA"/>
        </w:rPr>
        <w:t>c.</w:t>
      </w:r>
      <w:r w:rsidRPr="00BB4C92">
        <w:rPr>
          <w:b/>
          <w:lang w:val="fr-CA"/>
        </w:rPr>
        <w:t xml:space="preserve"> </w:t>
      </w:r>
      <w:proofErr w:type="spellStart"/>
      <w:r w:rsidRPr="00D6527A">
        <w:rPr>
          <w:rStyle w:val="SCCRespondentForIndexChar"/>
          <w:lang w:val="fr-CA"/>
        </w:rPr>
        <w:t>MacLeod</w:t>
      </w:r>
      <w:proofErr w:type="spellEnd"/>
    </w:p>
    <w:p w:rsidR="004D7D95" w:rsidRPr="00D6527A" w:rsidRDefault="004D7D95" w:rsidP="00120D57">
      <w:pPr>
        <w:ind w:firstLine="720"/>
        <w:jc w:val="both"/>
        <w:rPr>
          <w:lang w:val="fr-CA"/>
        </w:rPr>
      </w:pPr>
    </w:p>
    <w:p w:rsidR="004D7D95" w:rsidRPr="00D6527A" w:rsidRDefault="00F62639" w:rsidP="004D7D95">
      <w:pPr>
        <w:pStyle w:val="SCCSystemYear"/>
        <w:jc w:val="both"/>
        <w:rPr>
          <w:lang w:val="fr-CA"/>
        </w:rPr>
      </w:pPr>
      <w:r w:rsidRPr="00D6527A">
        <w:rPr>
          <w:lang w:val="fr-CA"/>
        </w:rPr>
        <w:t>2014</w:t>
      </w:r>
      <w:r w:rsidR="00AB45AD">
        <w:rPr>
          <w:lang w:val="fr-CA"/>
        </w:rPr>
        <w:t xml:space="preserve"> CSC</w:t>
      </w:r>
      <w:r w:rsidR="005063B3">
        <w:rPr>
          <w:lang w:val="fr-CA"/>
        </w:rPr>
        <w:t xml:space="preserve"> </w:t>
      </w:r>
      <w:r w:rsidR="00AB45AD">
        <w:rPr>
          <w:lang w:val="fr-CA"/>
        </w:rPr>
        <w:t>76</w:t>
      </w:r>
    </w:p>
    <w:p w:rsidR="004D7D95" w:rsidRPr="00D6527A" w:rsidRDefault="004D7D95" w:rsidP="004D7D95">
      <w:pPr>
        <w:jc w:val="both"/>
        <w:rPr>
          <w:lang w:val="fr-CA"/>
        </w:rPr>
      </w:pPr>
    </w:p>
    <w:p w:rsidR="004D7D95" w:rsidRPr="00D6527A" w:rsidRDefault="004D7D95" w:rsidP="004D7D95">
      <w:pPr>
        <w:jc w:val="both"/>
        <w:rPr>
          <w:lang w:val="fr-CA"/>
        </w:rPr>
      </w:pPr>
      <w:r w:rsidRPr="00D6527A">
        <w:rPr>
          <w:lang w:val="fr-CA"/>
        </w:rPr>
        <w:lastRenderedPageBreak/>
        <w:t>N</w:t>
      </w:r>
      <w:r w:rsidRPr="00D6527A">
        <w:rPr>
          <w:vertAlign w:val="superscript"/>
          <w:lang w:val="fr-CA"/>
        </w:rPr>
        <w:t>o</w:t>
      </w:r>
      <w:r w:rsidR="009972C3">
        <w:rPr>
          <w:lang w:val="fr-CA"/>
        </w:rPr>
        <w:t xml:space="preserve"> du greffe : </w:t>
      </w:r>
      <w:r w:rsidRPr="00D6527A">
        <w:rPr>
          <w:lang w:val="fr-CA"/>
        </w:rPr>
        <w:t>35957.</w:t>
      </w:r>
    </w:p>
    <w:p w:rsidR="004D7D95" w:rsidRPr="00D6527A" w:rsidRDefault="004D7D95" w:rsidP="004D7D95">
      <w:pPr>
        <w:jc w:val="both"/>
        <w:rPr>
          <w:lang w:val="fr-CA"/>
        </w:rPr>
      </w:pPr>
    </w:p>
    <w:p w:rsidR="004D7D95" w:rsidRPr="00D6527A" w:rsidRDefault="00F62639" w:rsidP="004D7D95">
      <w:pPr>
        <w:jc w:val="both"/>
        <w:rPr>
          <w:lang w:val="fr-CA"/>
        </w:rPr>
      </w:pPr>
      <w:r w:rsidRPr="00D6527A">
        <w:rPr>
          <w:lang w:val="fr-CA"/>
        </w:rPr>
        <w:t>2014</w:t>
      </w:r>
      <w:r w:rsidR="005063B3" w:rsidRPr="00E52F78">
        <w:rPr>
          <w:lang w:val="fr-CA"/>
        </w:rPr>
        <w:t> </w:t>
      </w:r>
      <w:r w:rsidRPr="00D6527A">
        <w:rPr>
          <w:lang w:val="fr-CA"/>
        </w:rPr>
        <w:t>: 10 décembre</w:t>
      </w:r>
      <w:r w:rsidR="009C7AD1">
        <w:rPr>
          <w:lang w:val="fr-CA"/>
        </w:rPr>
        <w:t>.</w:t>
      </w:r>
    </w:p>
    <w:p w:rsidR="004D7D95" w:rsidRPr="00D6527A" w:rsidRDefault="004D7D95" w:rsidP="004D7D95">
      <w:pPr>
        <w:jc w:val="both"/>
        <w:rPr>
          <w:lang w:val="fr-CA"/>
        </w:rPr>
      </w:pPr>
    </w:p>
    <w:p w:rsidR="004D7D95" w:rsidRPr="00E52F78" w:rsidRDefault="004D7D95" w:rsidP="004D7D95">
      <w:pPr>
        <w:jc w:val="both"/>
        <w:rPr>
          <w:lang w:val="fr-CA"/>
        </w:rPr>
      </w:pPr>
      <w:r w:rsidRPr="00E52F78">
        <w:rPr>
          <w:lang w:val="fr-CA"/>
        </w:rPr>
        <w:t>Présents :</w:t>
      </w:r>
      <w:r w:rsidR="005063B3" w:rsidRPr="00E52F78">
        <w:rPr>
          <w:lang w:val="fr-CA"/>
        </w:rPr>
        <w:t xml:space="preserve"> </w:t>
      </w:r>
      <w:r w:rsidRPr="00E52F78">
        <w:rPr>
          <w:lang w:val="fr-CA"/>
        </w:rPr>
        <w:t xml:space="preserve">Les juges Abella, Cromwell, </w:t>
      </w:r>
      <w:proofErr w:type="spellStart"/>
      <w:r w:rsidRPr="00E52F78">
        <w:rPr>
          <w:lang w:val="fr-CA"/>
        </w:rPr>
        <w:t>Moldaver</w:t>
      </w:r>
      <w:proofErr w:type="spellEnd"/>
      <w:r w:rsidRPr="00E52F78">
        <w:rPr>
          <w:lang w:val="fr-CA"/>
        </w:rPr>
        <w:t>, Wagner et Gascon.</w:t>
      </w:r>
    </w:p>
    <w:p w:rsidR="004D7D95" w:rsidRPr="00E52F78" w:rsidRDefault="004D7D95" w:rsidP="004D7D95">
      <w:pPr>
        <w:jc w:val="both"/>
        <w:rPr>
          <w:lang w:val="fr-CA"/>
        </w:rPr>
      </w:pPr>
    </w:p>
    <w:p w:rsidR="004D7D95" w:rsidRDefault="004D7D95" w:rsidP="000F7993">
      <w:pPr>
        <w:jc w:val="both"/>
        <w:rPr>
          <w:smallCaps/>
          <w:lang w:val="fr-CA"/>
        </w:rPr>
      </w:pPr>
      <w:r w:rsidRPr="00AB45AD">
        <w:rPr>
          <w:smallCaps/>
          <w:lang w:val="fr-CA"/>
        </w:rPr>
        <w:t xml:space="preserve">en appel de la cour d’appel de la </w:t>
      </w:r>
      <w:proofErr w:type="spellStart"/>
      <w:r w:rsidRPr="00AB45AD">
        <w:rPr>
          <w:smallCaps/>
          <w:lang w:val="fr-CA"/>
        </w:rPr>
        <w:t>nouvelle-écosse</w:t>
      </w:r>
      <w:proofErr w:type="spellEnd"/>
    </w:p>
    <w:p w:rsidR="00522053" w:rsidRDefault="00522053" w:rsidP="000F7993">
      <w:pPr>
        <w:jc w:val="both"/>
        <w:rPr>
          <w:smallCaps/>
          <w:lang w:val="fr-CA"/>
        </w:rPr>
      </w:pPr>
    </w:p>
    <w:p w:rsidR="00522053" w:rsidRDefault="00522053" w:rsidP="000F7993">
      <w:pPr>
        <w:jc w:val="both"/>
        <w:rPr>
          <w:smallCaps/>
          <w:lang w:val="fr-CA"/>
        </w:rPr>
      </w:pPr>
    </w:p>
    <w:p w:rsidR="00522053" w:rsidRPr="004D78A4" w:rsidRDefault="00522053" w:rsidP="005C6643">
      <w:pPr>
        <w:spacing w:line="480" w:lineRule="auto"/>
        <w:jc w:val="both"/>
        <w:rPr>
          <w:i/>
          <w:lang w:val="fr-CA"/>
        </w:rPr>
      </w:pPr>
      <w:r>
        <w:rPr>
          <w:smallCaps/>
          <w:lang w:val="fr-CA"/>
        </w:rPr>
        <w:tab/>
      </w:r>
      <w:r w:rsidRPr="004D78A4">
        <w:rPr>
          <w:i/>
          <w:lang w:val="fr-CA"/>
        </w:rPr>
        <w:t>Droit criminel — Meurtre au second degré — Exposé au jury —</w:t>
      </w:r>
      <w:r w:rsidR="009F608F" w:rsidRPr="004D78A4">
        <w:rPr>
          <w:i/>
          <w:lang w:val="fr-CA"/>
        </w:rPr>
        <w:t xml:space="preserve"> Verdict de culpabilité à l’égard de l’infraction moindre d’homicide involontaire coupable</w:t>
      </w:r>
      <w:r w:rsidR="005C6643" w:rsidRPr="004D78A4">
        <w:rPr>
          <w:i/>
          <w:lang w:val="fr-CA"/>
        </w:rPr>
        <w:t xml:space="preserve"> — </w:t>
      </w:r>
      <w:r w:rsidR="004D78A4" w:rsidRPr="004D78A4">
        <w:rPr>
          <w:i/>
          <w:lang w:val="fr-CA"/>
        </w:rPr>
        <w:t>Vraisemblance</w:t>
      </w:r>
      <w:r w:rsidR="00C47BEE">
        <w:rPr>
          <w:i/>
          <w:lang w:val="fr-CA"/>
        </w:rPr>
        <w:t xml:space="preserve"> — Présentation par l’avocat de la défense au procès d’un argument fondé sur l’incompatibilité du verdict d’homicide involontaire coupable et de la thèse principale de la défense — </w:t>
      </w:r>
      <w:r w:rsidR="00B358AE">
        <w:rPr>
          <w:i/>
          <w:lang w:val="fr-CA"/>
        </w:rPr>
        <w:t>L’omission du juge du procès de donner des directives au jury sur l’homicide involontaire coupable a constitué une erreur</w:t>
      </w:r>
      <w:r w:rsidR="005C6643" w:rsidRPr="004D78A4">
        <w:rPr>
          <w:i/>
          <w:lang w:val="fr-CA"/>
        </w:rPr>
        <w:t>.</w:t>
      </w:r>
    </w:p>
    <w:p w:rsidR="00522053" w:rsidRPr="004D78A4" w:rsidRDefault="00522053" w:rsidP="000F7993">
      <w:pPr>
        <w:jc w:val="both"/>
        <w:rPr>
          <w:i/>
          <w:lang w:val="fr-CA"/>
        </w:rPr>
      </w:pPr>
    </w:p>
    <w:p w:rsidR="00522053" w:rsidRPr="004D78A4" w:rsidRDefault="00522053" w:rsidP="000F7993">
      <w:pPr>
        <w:jc w:val="both"/>
        <w:rPr>
          <w:i/>
          <w:lang w:val="fr-CA"/>
        </w:rPr>
      </w:pPr>
    </w:p>
    <w:p w:rsidR="004D7D95" w:rsidRPr="004D78A4" w:rsidRDefault="004D7D95" w:rsidP="004D7D95">
      <w:pPr>
        <w:pStyle w:val="SCCNormalDoubleSpacing"/>
        <w:spacing w:line="240" w:lineRule="auto"/>
        <w:ind w:left="540" w:hanging="540"/>
        <w:rPr>
          <w:lang w:val="fr-CA"/>
        </w:rPr>
      </w:pPr>
    </w:p>
    <w:p w:rsidR="00C14009" w:rsidRPr="00C14009" w:rsidRDefault="00AB45AD" w:rsidP="00C14009">
      <w:pPr>
        <w:pStyle w:val="SCCNormalDoubleSpacing"/>
        <w:rPr>
          <w:lang w:val="fr-CA"/>
        </w:rPr>
      </w:pPr>
      <w:r w:rsidRPr="004D78A4">
        <w:rPr>
          <w:lang w:val="fr-CA"/>
        </w:rPr>
        <w:tab/>
      </w:r>
      <w:r w:rsidR="004D7D95" w:rsidRPr="004D7D95">
        <w:rPr>
          <w:lang w:val="fr-CA"/>
        </w:rPr>
        <w:t xml:space="preserve">POURVOI contre un arrêt de la </w:t>
      </w:r>
      <w:r w:rsidR="004D7D95" w:rsidRPr="00D6527A">
        <w:rPr>
          <w:lang w:val="fr-CA"/>
        </w:rPr>
        <w:t>Cour d’appel de la Nouvelle-Écosse</w:t>
      </w:r>
      <w:r w:rsidR="001903B2">
        <w:rPr>
          <w:lang w:val="fr-CA"/>
        </w:rPr>
        <w:t xml:space="preserve"> (les juges </w:t>
      </w:r>
      <w:proofErr w:type="spellStart"/>
      <w:r w:rsidR="001903B2">
        <w:rPr>
          <w:lang w:val="fr-CA"/>
        </w:rPr>
        <w:t>Saunders</w:t>
      </w:r>
      <w:proofErr w:type="spellEnd"/>
      <w:r w:rsidR="001903B2">
        <w:rPr>
          <w:lang w:val="fr-CA"/>
        </w:rPr>
        <w:t xml:space="preserve">, Beveridge et </w:t>
      </w:r>
      <w:proofErr w:type="spellStart"/>
      <w:r w:rsidR="001903B2">
        <w:rPr>
          <w:lang w:val="fr-CA"/>
        </w:rPr>
        <w:t>Farrar</w:t>
      </w:r>
      <w:proofErr w:type="spellEnd"/>
      <w:r w:rsidR="001903B2">
        <w:rPr>
          <w:lang w:val="fr-CA"/>
        </w:rPr>
        <w:t>)</w:t>
      </w:r>
      <w:r w:rsidR="00C14009">
        <w:rPr>
          <w:lang w:val="fr-CA"/>
        </w:rPr>
        <w:t>,</w:t>
      </w:r>
      <w:r w:rsidR="00C14009" w:rsidRPr="00C14009">
        <w:rPr>
          <w:lang w:val="fr-CA"/>
        </w:rPr>
        <w:t xml:space="preserve"> 2014 NSCA 63, 346 N.S.R. (2d) 222, </w:t>
      </w:r>
      <w:r w:rsidR="00D67022" w:rsidRPr="00283E80">
        <w:rPr>
          <w:lang w:val="fr-CA"/>
        </w:rPr>
        <w:t>311 C.C.C. (3d) 300,</w:t>
      </w:r>
      <w:r w:rsidR="00D67022" w:rsidRPr="00D67022">
        <w:rPr>
          <w:lang w:val="fr-CA"/>
        </w:rPr>
        <w:t xml:space="preserve"> </w:t>
      </w:r>
      <w:r w:rsidR="00C14009" w:rsidRPr="00C14009">
        <w:rPr>
          <w:lang w:val="fr-CA"/>
        </w:rPr>
        <w:t xml:space="preserve">[2014] N.S.J. No. 294 (QL), 2014 </w:t>
      </w:r>
      <w:proofErr w:type="spellStart"/>
      <w:r w:rsidR="00C14009" w:rsidRPr="00C14009">
        <w:rPr>
          <w:lang w:val="fr-CA"/>
        </w:rPr>
        <w:t>CarswellNS</w:t>
      </w:r>
      <w:proofErr w:type="spellEnd"/>
      <w:r w:rsidR="00C14009" w:rsidRPr="00C14009">
        <w:rPr>
          <w:lang w:val="fr-CA"/>
        </w:rPr>
        <w:t xml:space="preserve"> 425</w:t>
      </w:r>
      <w:r w:rsidR="00C14009">
        <w:rPr>
          <w:lang w:val="fr-CA"/>
        </w:rPr>
        <w:t xml:space="preserve">, </w:t>
      </w:r>
      <w:r w:rsidR="005063B3" w:rsidRPr="005063B3">
        <w:rPr>
          <w:lang w:val="fr-CA"/>
        </w:rPr>
        <w:t xml:space="preserve">qui </w:t>
      </w:r>
      <w:r w:rsidR="007753DB">
        <w:rPr>
          <w:lang w:val="fr-CA"/>
        </w:rPr>
        <w:t xml:space="preserve">a </w:t>
      </w:r>
      <w:r w:rsidR="005063B3">
        <w:rPr>
          <w:lang w:val="fr-FR"/>
        </w:rPr>
        <w:t xml:space="preserve">annulé la déclaration de culpabilité </w:t>
      </w:r>
      <w:r w:rsidR="00B358AE">
        <w:rPr>
          <w:lang w:val="fr-FR"/>
        </w:rPr>
        <w:t xml:space="preserve">de l’accusé pour meurtre au second degré </w:t>
      </w:r>
      <w:r w:rsidR="005063B3" w:rsidRPr="005063B3">
        <w:rPr>
          <w:lang w:val="fr-CA"/>
        </w:rPr>
        <w:t xml:space="preserve">et </w:t>
      </w:r>
      <w:r w:rsidR="007753DB">
        <w:rPr>
          <w:lang w:val="fr-CA"/>
        </w:rPr>
        <w:t xml:space="preserve">a </w:t>
      </w:r>
      <w:r w:rsidR="005063B3" w:rsidRPr="005063B3">
        <w:rPr>
          <w:lang w:val="fr-CA"/>
        </w:rPr>
        <w:t>ordonné la tenue d’un nouveau procès.</w:t>
      </w:r>
      <w:r w:rsidR="005063B3">
        <w:rPr>
          <w:lang w:val="fr-CA"/>
        </w:rPr>
        <w:t xml:space="preserve">  </w:t>
      </w:r>
      <w:r w:rsidR="00C14009">
        <w:rPr>
          <w:lang w:val="fr-CA"/>
        </w:rPr>
        <w:t>Pourvoi rejeté.</w:t>
      </w:r>
    </w:p>
    <w:p w:rsidR="004D7D95" w:rsidRPr="004D7D95" w:rsidRDefault="004D7D95" w:rsidP="004D7D95">
      <w:pPr>
        <w:pStyle w:val="SCCNormalDoubleSpacing"/>
        <w:rPr>
          <w:lang w:val="fr-CA"/>
        </w:rPr>
      </w:pPr>
    </w:p>
    <w:p w:rsidR="00A0263C" w:rsidRPr="00D6527A" w:rsidRDefault="004E270E">
      <w:pPr>
        <w:pStyle w:val="SCCNormalDoubleSpacing"/>
        <w:rPr>
          <w:lang w:val="fr-CA"/>
        </w:rPr>
      </w:pPr>
      <w:r w:rsidRPr="00D6527A">
        <w:rPr>
          <w:rStyle w:val="SCCCounselNameChar"/>
          <w:lang w:val="fr-CA"/>
        </w:rPr>
        <w:tab/>
        <w:t>Mark A. Scott</w:t>
      </w:r>
      <w:r w:rsidRPr="00D6527A">
        <w:rPr>
          <w:rStyle w:val="SCCCounselSeparatorChar"/>
          <w:lang w:val="fr-CA"/>
        </w:rPr>
        <w:t xml:space="preserve"> et </w:t>
      </w:r>
      <w:r w:rsidRPr="00D6527A">
        <w:rPr>
          <w:rStyle w:val="SCCCounselNameChar"/>
          <w:lang w:val="fr-CA"/>
        </w:rPr>
        <w:t>Marian Fortune-Stone</w:t>
      </w:r>
      <w:r w:rsidRPr="00DB29CA">
        <w:rPr>
          <w:rStyle w:val="SCCCounselNameChar"/>
          <w:i w:val="0"/>
          <w:lang w:val="fr-CA"/>
        </w:rPr>
        <w:t>,</w:t>
      </w:r>
      <w:r w:rsidRPr="00D6527A">
        <w:rPr>
          <w:rStyle w:val="SCCCounselNameChar"/>
          <w:lang w:val="fr-CA"/>
        </w:rPr>
        <w:t xml:space="preserve"> </w:t>
      </w:r>
      <w:proofErr w:type="gramStart"/>
      <w:r w:rsidR="00DB29CA">
        <w:rPr>
          <w:rStyle w:val="SCCCounselNameChar"/>
          <w:lang w:val="fr-CA"/>
        </w:rPr>
        <w:t>c.r.</w:t>
      </w:r>
      <w:r w:rsidR="00DB29CA">
        <w:rPr>
          <w:rStyle w:val="SCCCounselPartyRoleChar"/>
          <w:lang w:val="fr-CA"/>
        </w:rPr>
        <w:t>,</w:t>
      </w:r>
      <w:proofErr w:type="gramEnd"/>
      <w:r w:rsidR="00DB29CA">
        <w:rPr>
          <w:rStyle w:val="SCCCounselPartyRoleChar"/>
          <w:lang w:val="fr-CA"/>
        </w:rPr>
        <w:t xml:space="preserve"> pour l’</w:t>
      </w:r>
      <w:r w:rsidRPr="00D6527A">
        <w:rPr>
          <w:rStyle w:val="SCCCounselPartyRoleChar"/>
          <w:lang w:val="fr-CA"/>
        </w:rPr>
        <w:t>appelant</w:t>
      </w:r>
      <w:r w:rsidR="00DB29CA">
        <w:rPr>
          <w:rStyle w:val="SCCCounselPartyRoleChar"/>
          <w:lang w:val="fr-CA"/>
        </w:rPr>
        <w:t>e.</w:t>
      </w:r>
    </w:p>
    <w:p w:rsidR="00A0263C" w:rsidRPr="00D6527A" w:rsidRDefault="00A0263C">
      <w:pPr>
        <w:pStyle w:val="SCCNormalDoubleSpacing"/>
        <w:rPr>
          <w:lang w:val="fr-CA"/>
        </w:rPr>
      </w:pPr>
    </w:p>
    <w:p w:rsidR="00A0263C" w:rsidRPr="00D6527A" w:rsidRDefault="004E270E">
      <w:pPr>
        <w:pStyle w:val="SCCNormalDoubleSpacing"/>
        <w:rPr>
          <w:lang w:val="fr-CA"/>
        </w:rPr>
      </w:pPr>
      <w:r w:rsidRPr="00D6527A">
        <w:rPr>
          <w:rStyle w:val="SCCCounselNameChar"/>
          <w:lang w:val="fr-CA"/>
        </w:rPr>
        <w:tab/>
        <w:t xml:space="preserve">Roger A. </w:t>
      </w:r>
      <w:proofErr w:type="spellStart"/>
      <w:r w:rsidRPr="00D6527A">
        <w:rPr>
          <w:rStyle w:val="SCCCounselNameChar"/>
          <w:lang w:val="fr-CA"/>
        </w:rPr>
        <w:t>Burrill</w:t>
      </w:r>
      <w:proofErr w:type="spellEnd"/>
      <w:r w:rsidR="00DB29CA">
        <w:rPr>
          <w:rStyle w:val="SCCCounselPartyRoleChar"/>
          <w:lang w:val="fr-CA"/>
        </w:rPr>
        <w:t>, pour l’intimé</w:t>
      </w:r>
      <w:r w:rsidRPr="00D6527A">
        <w:rPr>
          <w:rStyle w:val="SCCCounselPartyRoleChar"/>
          <w:lang w:val="fr-CA"/>
        </w:rPr>
        <w:t>.</w:t>
      </w:r>
    </w:p>
    <w:p w:rsidR="00A0263C" w:rsidRDefault="00A0263C">
      <w:pPr>
        <w:pStyle w:val="SCCNormalDoubleSpacing"/>
        <w:rPr>
          <w:lang w:val="fr-CA"/>
        </w:rPr>
      </w:pPr>
    </w:p>
    <w:p w:rsidR="00E976F0" w:rsidRDefault="00E976F0" w:rsidP="00E976F0">
      <w:pPr>
        <w:pStyle w:val="SCCNormalDoubleSpacing"/>
        <w:rPr>
          <w:lang w:val="fr-CA"/>
        </w:rPr>
      </w:pPr>
      <w:r w:rsidRPr="001903B2">
        <w:rPr>
          <w:lang w:val="fr-CA"/>
        </w:rPr>
        <w:tab/>
      </w:r>
      <w:r w:rsidRPr="00F853C2">
        <w:rPr>
          <w:lang w:val="fr-CA"/>
        </w:rPr>
        <w:t xml:space="preserve">Version française du jugement </w:t>
      </w:r>
      <w:r w:rsidRPr="001903B2">
        <w:rPr>
          <w:rStyle w:val="SCCCounselPartyRoleChar"/>
          <w:lang w:val="fr-CA"/>
        </w:rPr>
        <w:t>de</w:t>
      </w:r>
      <w:r w:rsidRPr="00F853C2">
        <w:rPr>
          <w:lang w:val="fr-CA"/>
        </w:rPr>
        <w:t xml:space="preserve"> la Cour rendu oralement par</w:t>
      </w:r>
    </w:p>
    <w:p w:rsidR="00DB29CA" w:rsidRDefault="004E270E" w:rsidP="00E976F0">
      <w:pPr>
        <w:pStyle w:val="ParaNoNdepar-AltN"/>
      </w:pPr>
      <w:r w:rsidRPr="009E332C">
        <w:rPr>
          <w:smallCaps/>
        </w:rPr>
        <w:lastRenderedPageBreak/>
        <w:t>Le juge Cromwell</w:t>
      </w:r>
      <w:r w:rsidRPr="009E332C">
        <w:t xml:space="preserve"> ― Nous sommes d’avis que le fait de ne pas laisser le jury considérer l’homicide involontaire coupable, en dépit de la thèse de la défense au procès, constituait une erreur de droit.  L’appel est rejeté.</w:t>
      </w:r>
    </w:p>
    <w:p w:rsidR="004D7D95" w:rsidRPr="004E270E" w:rsidRDefault="004D7D95" w:rsidP="004D7D95">
      <w:pPr>
        <w:pStyle w:val="SCCNormalDoubleSpacing"/>
        <w:rPr>
          <w:i/>
          <w:lang w:val="fr-CA"/>
        </w:rPr>
      </w:pPr>
      <w:r w:rsidRPr="004E270E">
        <w:rPr>
          <w:i/>
          <w:lang w:val="fr-CA"/>
        </w:rPr>
        <w:tab/>
      </w:r>
      <w:r w:rsidR="004E270E" w:rsidRPr="004E270E">
        <w:rPr>
          <w:i/>
          <w:lang w:val="fr-CA"/>
        </w:rPr>
        <w:t>Jugement en conséquence.</w:t>
      </w:r>
    </w:p>
    <w:p w:rsidR="00E976F0" w:rsidRDefault="00E976F0">
      <w:pPr>
        <w:pStyle w:val="SCCLawFirm"/>
        <w:rPr>
          <w:lang w:val="fr-CA"/>
        </w:rPr>
      </w:pPr>
    </w:p>
    <w:p w:rsidR="00A0263C" w:rsidRPr="00D6527A" w:rsidRDefault="004E270E">
      <w:pPr>
        <w:pStyle w:val="SCCLawFirm"/>
        <w:rPr>
          <w:lang w:val="fr-CA"/>
        </w:rPr>
      </w:pPr>
      <w:r w:rsidRPr="00D6527A">
        <w:rPr>
          <w:lang w:val="fr-CA"/>
        </w:rPr>
        <w:tab/>
        <w:t>Procureur</w:t>
      </w:r>
      <w:r w:rsidR="00E976F0">
        <w:rPr>
          <w:lang w:val="fr-CA"/>
        </w:rPr>
        <w:t xml:space="preserve"> </w:t>
      </w:r>
      <w:r w:rsidR="004C0EC9">
        <w:rPr>
          <w:lang w:val="fr-CA"/>
        </w:rPr>
        <w:t>de l’</w:t>
      </w:r>
      <w:r>
        <w:rPr>
          <w:lang w:val="fr-CA"/>
        </w:rPr>
        <w:t>appelante</w:t>
      </w:r>
      <w:r w:rsidRPr="00D6527A">
        <w:rPr>
          <w:lang w:val="fr-CA"/>
        </w:rPr>
        <w:t xml:space="preserve"> : Public </w:t>
      </w:r>
      <w:proofErr w:type="spellStart"/>
      <w:r w:rsidRPr="00D6527A">
        <w:rPr>
          <w:lang w:val="fr-CA"/>
        </w:rPr>
        <w:t>Prosecution</w:t>
      </w:r>
      <w:proofErr w:type="spellEnd"/>
      <w:r w:rsidRPr="00D6527A">
        <w:rPr>
          <w:lang w:val="fr-CA"/>
        </w:rPr>
        <w:t xml:space="preserve"> Service of Nova </w:t>
      </w:r>
      <w:proofErr w:type="spellStart"/>
      <w:r w:rsidRPr="00D6527A">
        <w:rPr>
          <w:lang w:val="fr-CA"/>
        </w:rPr>
        <w:t>Scotia</w:t>
      </w:r>
      <w:proofErr w:type="spellEnd"/>
      <w:r w:rsidRPr="00D6527A">
        <w:rPr>
          <w:lang w:val="fr-CA"/>
        </w:rPr>
        <w:t>, Halifax.</w:t>
      </w:r>
    </w:p>
    <w:p w:rsidR="00A0263C" w:rsidRPr="00D6527A" w:rsidRDefault="00A0263C">
      <w:pPr>
        <w:pStyle w:val="SCCLawFirm"/>
        <w:rPr>
          <w:lang w:val="fr-CA"/>
        </w:rPr>
      </w:pPr>
    </w:p>
    <w:p w:rsidR="009B57B3" w:rsidRPr="00E976F0" w:rsidRDefault="004C0EC9" w:rsidP="00E976F0">
      <w:pPr>
        <w:pStyle w:val="SCCLawFirm"/>
        <w:rPr>
          <w:lang w:val="fr-CA"/>
        </w:rPr>
      </w:pPr>
      <w:r>
        <w:rPr>
          <w:lang w:val="fr-CA"/>
        </w:rPr>
        <w:tab/>
        <w:t>Procureur de l’</w:t>
      </w:r>
      <w:r w:rsidR="004E270E">
        <w:rPr>
          <w:lang w:val="fr-CA"/>
        </w:rPr>
        <w:t>intimé</w:t>
      </w:r>
      <w:r w:rsidR="004E270E" w:rsidRPr="00D6527A">
        <w:rPr>
          <w:lang w:val="fr-CA"/>
        </w:rPr>
        <w:t xml:space="preserve"> : Nova </w:t>
      </w:r>
      <w:proofErr w:type="spellStart"/>
      <w:r w:rsidR="004E270E" w:rsidRPr="00D6527A">
        <w:rPr>
          <w:lang w:val="fr-CA"/>
        </w:rPr>
        <w:t>Scotia</w:t>
      </w:r>
      <w:proofErr w:type="spellEnd"/>
      <w:r w:rsidR="004E270E" w:rsidRPr="00D6527A">
        <w:rPr>
          <w:lang w:val="fr-CA"/>
        </w:rPr>
        <w:t xml:space="preserve"> </w:t>
      </w:r>
      <w:proofErr w:type="spellStart"/>
      <w:r w:rsidR="004E270E" w:rsidRPr="00D6527A">
        <w:rPr>
          <w:lang w:val="fr-CA"/>
        </w:rPr>
        <w:t>Legal</w:t>
      </w:r>
      <w:proofErr w:type="spellEnd"/>
      <w:r w:rsidR="004E270E" w:rsidRPr="00D6527A">
        <w:rPr>
          <w:lang w:val="fr-CA"/>
        </w:rPr>
        <w:t xml:space="preserve"> </w:t>
      </w:r>
      <w:proofErr w:type="spellStart"/>
      <w:r w:rsidR="004E270E" w:rsidRPr="00D6527A">
        <w:rPr>
          <w:lang w:val="fr-CA"/>
        </w:rPr>
        <w:t>Aid</w:t>
      </w:r>
      <w:proofErr w:type="spellEnd"/>
      <w:r w:rsidR="004E270E" w:rsidRPr="00D6527A">
        <w:rPr>
          <w:lang w:val="fr-CA"/>
        </w:rPr>
        <w:t>, Halifax.</w:t>
      </w:r>
      <w:r w:rsidR="00E976F0" w:rsidRPr="00E976F0">
        <w:rPr>
          <w:lang w:val="fr-CA"/>
        </w:rPr>
        <w:t xml:space="preserve"> </w:t>
      </w:r>
    </w:p>
    <w:sectPr w:rsidR="009B57B3" w:rsidRPr="00E976F0"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EE" w:rsidRDefault="00C47BEE">
      <w:r>
        <w:separator/>
      </w:r>
    </w:p>
  </w:endnote>
  <w:endnote w:type="continuationSeparator" w:id="0">
    <w:p w:rsidR="00C47BEE" w:rsidRDefault="00C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EE" w:rsidRDefault="00C47BEE">
      <w:r>
        <w:separator/>
      </w:r>
    </w:p>
  </w:footnote>
  <w:footnote w:type="continuationSeparator" w:id="0">
    <w:p w:rsidR="00C47BEE" w:rsidRDefault="00C47B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EE" w:rsidRPr="00450352" w:rsidRDefault="00C47BEE"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85FA64BA"/>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rsids>
    <w:rsidRoot w:val="0031414C"/>
    <w:rsid w:val="00000ED4"/>
    <w:rsid w:val="0001771D"/>
    <w:rsid w:val="00023FC7"/>
    <w:rsid w:val="00025198"/>
    <w:rsid w:val="000578A3"/>
    <w:rsid w:val="000648CC"/>
    <w:rsid w:val="000C59B8"/>
    <w:rsid w:val="000C6AF0"/>
    <w:rsid w:val="000D0A77"/>
    <w:rsid w:val="000E10CD"/>
    <w:rsid w:val="000F7993"/>
    <w:rsid w:val="00104F33"/>
    <w:rsid w:val="00111DE2"/>
    <w:rsid w:val="00116B38"/>
    <w:rsid w:val="00120D57"/>
    <w:rsid w:val="00135406"/>
    <w:rsid w:val="00135972"/>
    <w:rsid w:val="001426A9"/>
    <w:rsid w:val="00154D7C"/>
    <w:rsid w:val="001570B0"/>
    <w:rsid w:val="0015752C"/>
    <w:rsid w:val="00157737"/>
    <w:rsid w:val="00165277"/>
    <w:rsid w:val="00170592"/>
    <w:rsid w:val="001720F7"/>
    <w:rsid w:val="00177F35"/>
    <w:rsid w:val="001903B2"/>
    <w:rsid w:val="00195D83"/>
    <w:rsid w:val="001A00C1"/>
    <w:rsid w:val="001B33E0"/>
    <w:rsid w:val="001B4573"/>
    <w:rsid w:val="001C779F"/>
    <w:rsid w:val="001D2AC1"/>
    <w:rsid w:val="001D4E88"/>
    <w:rsid w:val="00220FC2"/>
    <w:rsid w:val="002222F4"/>
    <w:rsid w:val="00224FC0"/>
    <w:rsid w:val="00225EA4"/>
    <w:rsid w:val="00226EAF"/>
    <w:rsid w:val="00231F3A"/>
    <w:rsid w:val="002406EE"/>
    <w:rsid w:val="00243EC8"/>
    <w:rsid w:val="00270D93"/>
    <w:rsid w:val="002745CC"/>
    <w:rsid w:val="00283E80"/>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C0EC9"/>
    <w:rsid w:val="004C478D"/>
    <w:rsid w:val="004D78A4"/>
    <w:rsid w:val="004D7D95"/>
    <w:rsid w:val="004E270E"/>
    <w:rsid w:val="004E2C26"/>
    <w:rsid w:val="005063B3"/>
    <w:rsid w:val="005125A8"/>
    <w:rsid w:val="00517549"/>
    <w:rsid w:val="00520ABC"/>
    <w:rsid w:val="00521AE8"/>
    <w:rsid w:val="00522053"/>
    <w:rsid w:val="00527180"/>
    <w:rsid w:val="00555291"/>
    <w:rsid w:val="00566AD1"/>
    <w:rsid w:val="00583EDE"/>
    <w:rsid w:val="005A6079"/>
    <w:rsid w:val="005C6643"/>
    <w:rsid w:val="005E4698"/>
    <w:rsid w:val="00603924"/>
    <w:rsid w:val="00610539"/>
    <w:rsid w:val="00613969"/>
    <w:rsid w:val="00625C35"/>
    <w:rsid w:val="00647E49"/>
    <w:rsid w:val="00656313"/>
    <w:rsid w:val="006565F4"/>
    <w:rsid w:val="00684EEA"/>
    <w:rsid w:val="0069689B"/>
    <w:rsid w:val="006B5FF5"/>
    <w:rsid w:val="006F30AF"/>
    <w:rsid w:val="00701759"/>
    <w:rsid w:val="00705C15"/>
    <w:rsid w:val="007110F6"/>
    <w:rsid w:val="007208D1"/>
    <w:rsid w:val="00744518"/>
    <w:rsid w:val="00747288"/>
    <w:rsid w:val="00747DD3"/>
    <w:rsid w:val="007549C8"/>
    <w:rsid w:val="00766D14"/>
    <w:rsid w:val="00767A0F"/>
    <w:rsid w:val="007753DB"/>
    <w:rsid w:val="00791272"/>
    <w:rsid w:val="007A05F6"/>
    <w:rsid w:val="007B6F4A"/>
    <w:rsid w:val="007E1C47"/>
    <w:rsid w:val="007E337A"/>
    <w:rsid w:val="007E5C70"/>
    <w:rsid w:val="007F2FF5"/>
    <w:rsid w:val="007F3F08"/>
    <w:rsid w:val="00804CC6"/>
    <w:rsid w:val="00817190"/>
    <w:rsid w:val="008260E2"/>
    <w:rsid w:val="008322BD"/>
    <w:rsid w:val="00834F73"/>
    <w:rsid w:val="00864C8A"/>
    <w:rsid w:val="00864CF8"/>
    <w:rsid w:val="008726AF"/>
    <w:rsid w:val="00874914"/>
    <w:rsid w:val="00875E93"/>
    <w:rsid w:val="00891422"/>
    <w:rsid w:val="00892E1A"/>
    <w:rsid w:val="00893E57"/>
    <w:rsid w:val="008B660A"/>
    <w:rsid w:val="008C01DA"/>
    <w:rsid w:val="008F2674"/>
    <w:rsid w:val="008F78E9"/>
    <w:rsid w:val="009179F9"/>
    <w:rsid w:val="00917C7A"/>
    <w:rsid w:val="00933E5E"/>
    <w:rsid w:val="00935218"/>
    <w:rsid w:val="00937C52"/>
    <w:rsid w:val="009403F3"/>
    <w:rsid w:val="009555B7"/>
    <w:rsid w:val="009567AA"/>
    <w:rsid w:val="009602C9"/>
    <w:rsid w:val="00967374"/>
    <w:rsid w:val="0097058B"/>
    <w:rsid w:val="009972C3"/>
    <w:rsid w:val="009A2EBA"/>
    <w:rsid w:val="009A343A"/>
    <w:rsid w:val="009B2F23"/>
    <w:rsid w:val="009B57B3"/>
    <w:rsid w:val="009C7AD1"/>
    <w:rsid w:val="009D2920"/>
    <w:rsid w:val="009D5AEB"/>
    <w:rsid w:val="009F0E33"/>
    <w:rsid w:val="009F608F"/>
    <w:rsid w:val="00A0263C"/>
    <w:rsid w:val="00A149DF"/>
    <w:rsid w:val="00A1755C"/>
    <w:rsid w:val="00A21B90"/>
    <w:rsid w:val="00A22AAC"/>
    <w:rsid w:val="00A41805"/>
    <w:rsid w:val="00A41E3A"/>
    <w:rsid w:val="00A51882"/>
    <w:rsid w:val="00A52AFB"/>
    <w:rsid w:val="00A548CB"/>
    <w:rsid w:val="00A5521C"/>
    <w:rsid w:val="00A643E7"/>
    <w:rsid w:val="00A73C38"/>
    <w:rsid w:val="00AB45AD"/>
    <w:rsid w:val="00AB670D"/>
    <w:rsid w:val="00AF03C5"/>
    <w:rsid w:val="00B000D8"/>
    <w:rsid w:val="00B00F75"/>
    <w:rsid w:val="00B145B6"/>
    <w:rsid w:val="00B279EB"/>
    <w:rsid w:val="00B358AE"/>
    <w:rsid w:val="00B50C81"/>
    <w:rsid w:val="00B557F8"/>
    <w:rsid w:val="00B57A3E"/>
    <w:rsid w:val="00B815FC"/>
    <w:rsid w:val="00B93FBC"/>
    <w:rsid w:val="00BA7DA0"/>
    <w:rsid w:val="00BB2EE4"/>
    <w:rsid w:val="00BB4C92"/>
    <w:rsid w:val="00BC2108"/>
    <w:rsid w:val="00BD0E9E"/>
    <w:rsid w:val="00BD1BEC"/>
    <w:rsid w:val="00BD32FF"/>
    <w:rsid w:val="00BF6FE9"/>
    <w:rsid w:val="00C02092"/>
    <w:rsid w:val="00C14009"/>
    <w:rsid w:val="00C15D31"/>
    <w:rsid w:val="00C24D91"/>
    <w:rsid w:val="00C26DB2"/>
    <w:rsid w:val="00C47BEE"/>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32086"/>
    <w:rsid w:val="00D37A3F"/>
    <w:rsid w:val="00D4431D"/>
    <w:rsid w:val="00D4667A"/>
    <w:rsid w:val="00D63A1C"/>
    <w:rsid w:val="00D6527A"/>
    <w:rsid w:val="00D67022"/>
    <w:rsid w:val="00D7516F"/>
    <w:rsid w:val="00D95F8E"/>
    <w:rsid w:val="00DA0590"/>
    <w:rsid w:val="00DB29CA"/>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2F78"/>
    <w:rsid w:val="00E56A44"/>
    <w:rsid w:val="00E60269"/>
    <w:rsid w:val="00E976F0"/>
    <w:rsid w:val="00E97830"/>
    <w:rsid w:val="00EE0830"/>
    <w:rsid w:val="00EE0BB9"/>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B37D2"/>
    <w:rsid w:val="00FC4EFB"/>
    <w:rsid w:val="00FD068D"/>
    <w:rsid w:val="00FD4F28"/>
    <w:rsid w:val="00FE6784"/>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E976F0"/>
    <w:pPr>
      <w:numPr>
        <w:numId w:val="1"/>
      </w:numPr>
      <w:spacing w:before="480" w:after="480" w:line="480" w:lineRule="auto"/>
      <w:jc w:val="both"/>
    </w:pPr>
    <w:rPr>
      <w:rFonts w:eastAsiaTheme="minorEastAsia" w:cstheme="minorBidi"/>
      <w:sz w:val="24"/>
      <w:szCs w:val="22"/>
      <w:lang w:val="fr-CA" w:eastAsia="en-US"/>
    </w:rPr>
  </w:style>
  <w:style w:type="table" w:styleId="TableGrid">
    <w:name w:val="Table Grid"/>
    <w:basedOn w:val="TableNormal"/>
    <w:uiPriority w:val="59"/>
    <w:rsid w:val="00177F35"/>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PartyRoleChar">
    <w:name w:val="SCC.Lsoc.PartyRole Char"/>
    <w:basedOn w:val="DefaultParagraphFont"/>
    <w:rsid w:val="00177F35"/>
    <w:rPr>
      <w:rFonts w:eastAsiaTheme="minorHAnsi" w:cstheme="minorBidi"/>
      <w:sz w:val="24"/>
      <w:szCs w:val="24"/>
      <w:lang w:val="fr-CA" w:eastAsia="en-US"/>
    </w:rPr>
  </w:style>
  <w:style w:type="paragraph" w:customStyle="1" w:styleId="SCCLsocPrefix">
    <w:name w:val="SCC.Lsoc.Prefix"/>
    <w:basedOn w:val="Normal"/>
    <w:next w:val="Normal"/>
    <w:link w:val="SCCLsocPrefixChar"/>
    <w:rsid w:val="00177F35"/>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177F35"/>
    <w:rPr>
      <w:rFonts w:eastAsiaTheme="minorHAnsi" w:cstheme="minorBidi"/>
      <w:b/>
      <w:smallCaps/>
      <w:sz w:val="24"/>
      <w:szCs w:val="24"/>
      <w:lang w:val="fr-CA"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1816</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2015-01-08T19:54:00Z</dcterms:created>
  <dcterms:modified xsi:type="dcterms:W3CDTF">2015-03-06T20:28:00Z</dcterms:modified>
</cp:coreProperties>
</file>