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62" w:rsidRDefault="00537762" w:rsidP="00537762">
      <w:pPr>
        <w:pStyle w:val="Header"/>
      </w:pPr>
      <w:r>
        <w:ptab w:relativeTo="margin" w:alignment="center" w:leader="none"/>
      </w:r>
      <w:r w:rsidRPr="00F72014">
        <w:t xml:space="preserve"> </w:t>
      </w:r>
      <w:r>
        <w:object w:dxaOrig="1365" w:dyaOrig="1440">
          <v:shape id="_x0000_i1028" type="#_x0000_t75" style="width:60.85pt;height:65.15pt" o:ole="">
            <v:imagedata r:id="rId8" o:title=""/>
          </v:shape>
          <o:OLEObject Type="Embed" ProgID="Presentations.Drawing.13" ShapeID="_x0000_i1028" DrawAspect="Content" ObjectID="_1495871172" r:id="rId9"/>
        </w:object>
      </w:r>
      <w:r>
        <w:t xml:space="preserve"> </w:t>
      </w:r>
      <w:r>
        <w:ptab w:relativeTo="margin" w:alignment="right" w:leader="none"/>
      </w:r>
    </w:p>
    <w:p w:rsidR="00537762" w:rsidRDefault="00537762" w:rsidP="00537762">
      <w:pPr>
        <w:pStyle w:val="Header"/>
      </w:pPr>
    </w:p>
    <w:p w:rsidR="00537762" w:rsidRPr="001E12E2" w:rsidRDefault="00537762" w:rsidP="00537762">
      <w:pPr>
        <w:jc w:val="center"/>
        <w:rPr>
          <w:b/>
        </w:rPr>
      </w:pPr>
      <w:r w:rsidRPr="001E12E2">
        <w:rPr>
          <w:b/>
        </w:rPr>
        <w:t>COUR SUPRÊME DU CANADA</w:t>
      </w:r>
    </w:p>
    <w:p w:rsidR="00537762" w:rsidRDefault="00537762" w:rsidP="0053776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37762" w:rsidRPr="001E12E2" w:rsidTr="007D0A03">
        <w:trPr>
          <w:cantSplit/>
        </w:trPr>
        <w:tc>
          <w:tcPr>
            <w:tcW w:w="6768" w:type="dxa"/>
          </w:tcPr>
          <w:p w:rsidR="00537762" w:rsidRPr="001E12E2" w:rsidRDefault="00537762" w:rsidP="007D0A03">
            <w:r>
              <w:rPr>
                <w:b/>
                <w:smallCaps/>
              </w:rPr>
              <w:t>Référence :</w:t>
            </w:r>
            <w:r w:rsidRPr="001E12E2">
              <w:t xml:space="preserve"> </w:t>
            </w:r>
            <w:r w:rsidRPr="006B5A3A">
              <w:t>Canada (</w:t>
            </w:r>
            <w:proofErr w:type="spellStart"/>
            <w:r w:rsidRPr="006B5A3A">
              <w:t>Procureur</w:t>
            </w:r>
            <w:proofErr w:type="spellEnd"/>
            <w:r w:rsidRPr="006B5A3A">
              <w:t xml:space="preserve"> </w:t>
            </w:r>
            <w:proofErr w:type="spellStart"/>
            <w:r w:rsidRPr="006B5A3A">
              <w:t>général</w:t>
            </w:r>
            <w:proofErr w:type="spellEnd"/>
            <w:r w:rsidRPr="006B5A3A">
              <w:t xml:space="preserve">) </w:t>
            </w:r>
            <w:r w:rsidRPr="006B5A3A">
              <w:rPr>
                <w:i/>
              </w:rPr>
              <w:t>c.</w:t>
            </w:r>
            <w:r w:rsidRPr="006B5A3A">
              <w:t xml:space="preserve"> </w:t>
            </w:r>
            <w:proofErr w:type="spellStart"/>
            <w:r w:rsidRPr="006B5A3A">
              <w:t>Fédération</w:t>
            </w:r>
            <w:proofErr w:type="spellEnd"/>
            <w:r w:rsidRPr="006B5A3A">
              <w:t xml:space="preserve"> des </w:t>
            </w:r>
            <w:proofErr w:type="spellStart"/>
            <w:r w:rsidRPr="006B5A3A">
              <w:t>ordres</w:t>
            </w:r>
            <w:proofErr w:type="spellEnd"/>
            <w:r w:rsidRPr="006B5A3A">
              <w:t xml:space="preserve"> </w:t>
            </w:r>
            <w:proofErr w:type="spellStart"/>
            <w:r w:rsidRPr="006B5A3A">
              <w:t>professionnels</w:t>
            </w:r>
            <w:proofErr w:type="spellEnd"/>
            <w:r w:rsidRPr="006B5A3A">
              <w:t xml:space="preserve"> de </w:t>
            </w:r>
            <w:proofErr w:type="spellStart"/>
            <w:r w:rsidRPr="006B5A3A">
              <w:t>juristes</w:t>
            </w:r>
            <w:proofErr w:type="spellEnd"/>
            <w:r w:rsidRPr="006B5A3A">
              <w:t xml:space="preserve"> du Canada</w:t>
            </w:r>
            <w:r>
              <w:t xml:space="preserve">, 2015 </w:t>
            </w:r>
            <w:r w:rsidRPr="000E74A9">
              <w:t>CSC 7</w:t>
            </w:r>
            <w:r>
              <w:t>, [2015] 1 R.C.S. 401</w:t>
            </w:r>
          </w:p>
        </w:tc>
        <w:tc>
          <w:tcPr>
            <w:tcW w:w="2808" w:type="dxa"/>
          </w:tcPr>
          <w:p w:rsidR="00537762" w:rsidRPr="001E12E2" w:rsidRDefault="00537762" w:rsidP="007D0A03">
            <w:r w:rsidRPr="001E12E2">
              <w:rPr>
                <w:b/>
                <w:smallCaps/>
              </w:rPr>
              <w:t>Date</w:t>
            </w:r>
            <w:r>
              <w:rPr>
                <w:b/>
                <w:smallCaps/>
              </w:rPr>
              <w:t> :</w:t>
            </w:r>
            <w:r w:rsidRPr="001E12E2">
              <w:t xml:space="preserve"> </w:t>
            </w:r>
            <w:r>
              <w:t>20150213</w:t>
            </w:r>
          </w:p>
          <w:p w:rsidR="00537762" w:rsidRPr="001E12E2" w:rsidRDefault="00537762" w:rsidP="007D0A03">
            <w:r w:rsidRPr="001E12E2">
              <w:rPr>
                <w:b/>
                <w:smallCaps/>
              </w:rPr>
              <w:t>Do</w:t>
            </w:r>
            <w:r>
              <w:rPr>
                <w:b/>
                <w:smallCaps/>
              </w:rPr>
              <w:t>ssier :</w:t>
            </w:r>
            <w:r w:rsidRPr="001E12E2">
              <w:t xml:space="preserve"> </w:t>
            </w:r>
            <w:r>
              <w:t>35399</w:t>
            </w:r>
          </w:p>
        </w:tc>
      </w:tr>
    </w:tbl>
    <w:p w:rsidR="00537762" w:rsidRPr="001E12E2" w:rsidRDefault="00537762" w:rsidP="00537762"/>
    <w:p w:rsidR="00537762" w:rsidRDefault="00537762" w:rsidP="00537762">
      <w:pPr>
        <w:pStyle w:val="SCCLsocPrefix"/>
      </w:pPr>
      <w:r>
        <w:t>Entre :</w:t>
      </w:r>
    </w:p>
    <w:p w:rsidR="00537762" w:rsidRDefault="00537762" w:rsidP="00537762">
      <w:pPr>
        <w:pStyle w:val="SCCLsocParty"/>
        <w:jc w:val="center"/>
      </w:pPr>
      <w:proofErr w:type="spellStart"/>
      <w:r>
        <w:t>Procureur</w:t>
      </w:r>
      <w:proofErr w:type="spellEnd"/>
      <w:r>
        <w:t xml:space="preserve"> </w:t>
      </w:r>
      <w:proofErr w:type="spellStart"/>
      <w:r>
        <w:t>général</w:t>
      </w:r>
      <w:proofErr w:type="spellEnd"/>
      <w:r>
        <w:t xml:space="preserve"> du Canada</w:t>
      </w:r>
    </w:p>
    <w:p w:rsidR="00537762" w:rsidRDefault="00537762" w:rsidP="00537762">
      <w:pPr>
        <w:jc w:val="center"/>
      </w:pPr>
      <w:proofErr w:type="spellStart"/>
      <w:r>
        <w:t>Appelant</w:t>
      </w:r>
      <w:proofErr w:type="spellEnd"/>
    </w:p>
    <w:p w:rsidR="00537762" w:rsidRPr="00537762" w:rsidRDefault="00537762" w:rsidP="00537762">
      <w:pPr>
        <w:pStyle w:val="SCCLsocVersus"/>
        <w:spacing w:after="0"/>
        <w:jc w:val="center"/>
        <w:rPr>
          <w:i w:val="0"/>
        </w:rPr>
      </w:pPr>
      <w:proofErr w:type="gramStart"/>
      <w:r w:rsidRPr="00537762">
        <w:rPr>
          <w:i w:val="0"/>
        </w:rPr>
        <w:t>et</w:t>
      </w:r>
      <w:proofErr w:type="gramEnd"/>
    </w:p>
    <w:p w:rsidR="00537762" w:rsidRDefault="00537762" w:rsidP="00537762">
      <w:pPr>
        <w:pStyle w:val="SCCLsocParty"/>
        <w:jc w:val="center"/>
      </w:pPr>
      <w:proofErr w:type="spellStart"/>
      <w:r>
        <w:t>Fédération</w:t>
      </w:r>
      <w:proofErr w:type="spellEnd"/>
      <w:r>
        <w:t xml:space="preserve"> des </w:t>
      </w:r>
      <w:proofErr w:type="spellStart"/>
      <w:r>
        <w:t>ordres</w:t>
      </w:r>
      <w:proofErr w:type="spellEnd"/>
      <w:r>
        <w:t xml:space="preserve"> </w:t>
      </w:r>
      <w:proofErr w:type="spellStart"/>
      <w:r>
        <w:t>professionnels</w:t>
      </w:r>
      <w:proofErr w:type="spellEnd"/>
      <w:r>
        <w:t xml:space="preserve"> de </w:t>
      </w:r>
      <w:proofErr w:type="spellStart"/>
      <w:r>
        <w:t>juristes</w:t>
      </w:r>
      <w:proofErr w:type="spellEnd"/>
      <w:r>
        <w:t xml:space="preserve"> du Canada</w:t>
      </w:r>
    </w:p>
    <w:p w:rsidR="00537762" w:rsidRDefault="00537762" w:rsidP="00537762">
      <w:pPr>
        <w:jc w:val="center"/>
      </w:pPr>
      <w:proofErr w:type="spellStart"/>
      <w:r>
        <w:t>Intimée</w:t>
      </w:r>
      <w:proofErr w:type="spellEnd"/>
    </w:p>
    <w:p w:rsidR="00537762" w:rsidRDefault="00537762" w:rsidP="00537762">
      <w:pPr>
        <w:pStyle w:val="SCCLsocOtherPartySeparator"/>
        <w:spacing w:after="0"/>
        <w:jc w:val="center"/>
      </w:pPr>
      <w:r>
        <w:t xml:space="preserve">- </w:t>
      </w:r>
      <w:proofErr w:type="gramStart"/>
      <w:r>
        <w:t>et</w:t>
      </w:r>
      <w:proofErr w:type="gramEnd"/>
      <w:r>
        <w:t xml:space="preserve"> -</w:t>
      </w:r>
    </w:p>
    <w:p w:rsidR="00537762" w:rsidRDefault="00537762" w:rsidP="00537762">
      <w:pPr>
        <w:pStyle w:val="SCCLsocParty"/>
        <w:jc w:val="center"/>
      </w:pPr>
      <w:r>
        <w:t xml:space="preserve">Criminal Lawyers’ Association (Ontario), Association </w:t>
      </w:r>
      <w:proofErr w:type="spellStart"/>
      <w:r>
        <w:t>canadienne</w:t>
      </w:r>
      <w:proofErr w:type="spellEnd"/>
      <w:r>
        <w:t xml:space="preserve"> des </w:t>
      </w:r>
      <w:proofErr w:type="spellStart"/>
      <w:r>
        <w:t>libertés</w:t>
      </w:r>
      <w:proofErr w:type="spellEnd"/>
      <w:r>
        <w:t xml:space="preserve"> </w:t>
      </w:r>
      <w:proofErr w:type="spellStart"/>
      <w:r>
        <w:t>civiles</w:t>
      </w:r>
      <w:proofErr w:type="spellEnd"/>
      <w:r>
        <w:t>,</w:t>
      </w:r>
    </w:p>
    <w:p w:rsidR="00537762" w:rsidRDefault="00537762" w:rsidP="00537762">
      <w:pPr>
        <w:pStyle w:val="SCCLsocParty"/>
        <w:jc w:val="center"/>
      </w:pPr>
      <w:r>
        <w:t xml:space="preserve">Law Society of British Columbia, Association du </w:t>
      </w:r>
      <w:proofErr w:type="spellStart"/>
      <w:r>
        <w:t>Barreau</w:t>
      </w:r>
      <w:proofErr w:type="spellEnd"/>
      <w:r>
        <w:t xml:space="preserve"> </w:t>
      </w:r>
      <w:proofErr w:type="spellStart"/>
      <w:r>
        <w:t>canadien</w:t>
      </w:r>
      <w:proofErr w:type="spellEnd"/>
      <w:r>
        <w:t xml:space="preserve">, </w:t>
      </w:r>
      <w:proofErr w:type="gramStart"/>
      <w:r>
        <w:t xml:space="preserve">Advocates’ Society, </w:t>
      </w:r>
      <w:proofErr w:type="spellStart"/>
      <w:r>
        <w:t>Barreau</w:t>
      </w:r>
      <w:proofErr w:type="spellEnd"/>
      <w:r>
        <w:t xml:space="preserve"> du Québec et</w:t>
      </w:r>
      <w:proofErr w:type="gramEnd"/>
      <w:r>
        <w:t xml:space="preserve"> </w:t>
      </w:r>
      <w:proofErr w:type="spellStart"/>
      <w:r>
        <w:t>Chambre</w:t>
      </w:r>
      <w:proofErr w:type="spellEnd"/>
      <w:r>
        <w:t xml:space="preserve"> des </w:t>
      </w:r>
      <w:proofErr w:type="spellStart"/>
      <w:r>
        <w:t>notaires</w:t>
      </w:r>
      <w:proofErr w:type="spellEnd"/>
      <w:r>
        <w:t xml:space="preserve"> du Québec</w:t>
      </w:r>
    </w:p>
    <w:p w:rsidR="00537762" w:rsidRDefault="00537762" w:rsidP="00537762">
      <w:pPr>
        <w:jc w:val="center"/>
      </w:pPr>
      <w:proofErr w:type="spellStart"/>
      <w:r>
        <w:t>Intervenants</w:t>
      </w:r>
      <w:proofErr w:type="spellEnd"/>
    </w:p>
    <w:p w:rsidR="00537762" w:rsidRDefault="00537762" w:rsidP="00537762"/>
    <w:p w:rsidR="00537762" w:rsidRPr="001E12E2" w:rsidRDefault="00537762" w:rsidP="00537762">
      <w:pPr>
        <w:jc w:val="center"/>
        <w:rPr>
          <w:b/>
          <w:smallCaps/>
        </w:rPr>
      </w:pPr>
      <w:proofErr w:type="spellStart"/>
      <w:r>
        <w:rPr>
          <w:b/>
          <w:smallCaps/>
        </w:rPr>
        <w:t>Traduction</w:t>
      </w:r>
      <w:proofErr w:type="spellEnd"/>
      <w:r>
        <w:rPr>
          <w:b/>
          <w:smallCaps/>
        </w:rPr>
        <w:t xml:space="preserve"> </w:t>
      </w:r>
      <w:proofErr w:type="spellStart"/>
      <w:r>
        <w:rPr>
          <w:b/>
          <w:smallCaps/>
        </w:rPr>
        <w:t>française</w:t>
      </w:r>
      <w:proofErr w:type="spellEnd"/>
      <w:r>
        <w:rPr>
          <w:b/>
          <w:smallCaps/>
        </w:rPr>
        <w:t xml:space="preserve"> </w:t>
      </w:r>
      <w:proofErr w:type="spellStart"/>
      <w:r>
        <w:rPr>
          <w:b/>
          <w:smallCaps/>
        </w:rPr>
        <w:t>o</w:t>
      </w:r>
      <w:r w:rsidRPr="001E12E2">
        <w:rPr>
          <w:b/>
          <w:smallCaps/>
        </w:rPr>
        <w:t>ffici</w:t>
      </w:r>
      <w:r>
        <w:rPr>
          <w:b/>
          <w:smallCaps/>
        </w:rPr>
        <w:t>elle</w:t>
      </w:r>
      <w:proofErr w:type="spellEnd"/>
    </w:p>
    <w:p w:rsidR="00537762" w:rsidRPr="001E12E2" w:rsidRDefault="00537762" w:rsidP="00537762"/>
    <w:p w:rsidR="00537762" w:rsidRPr="001E12E2" w:rsidRDefault="00537762" w:rsidP="00537762">
      <w:proofErr w:type="gramStart"/>
      <w:r w:rsidRPr="001E12E2">
        <w:rPr>
          <w:b/>
          <w:smallCaps/>
        </w:rPr>
        <w:t>Coram</w:t>
      </w:r>
      <w:r>
        <w:rPr>
          <w:b/>
          <w:smallCaps/>
        </w:rPr>
        <w:t> :</w:t>
      </w:r>
      <w:proofErr w:type="gramEnd"/>
      <w:r w:rsidRPr="001E12E2">
        <w:t xml:space="preserve"> </w:t>
      </w:r>
      <w:r>
        <w:t xml:space="preserve">La </w:t>
      </w:r>
      <w:proofErr w:type="spellStart"/>
      <w:r>
        <w:t>juge</w:t>
      </w:r>
      <w:proofErr w:type="spellEnd"/>
      <w:r>
        <w:t xml:space="preserve"> en chef </w:t>
      </w:r>
      <w:proofErr w:type="spellStart"/>
      <w:r>
        <w:t>McLachlin</w:t>
      </w:r>
      <w:proofErr w:type="spellEnd"/>
      <w:r>
        <w:t xml:space="preserve"> et les </w:t>
      </w:r>
      <w:proofErr w:type="spellStart"/>
      <w:r>
        <w:t>juges</w:t>
      </w:r>
      <w:proofErr w:type="spellEnd"/>
      <w:r>
        <w:t xml:space="preserve"> </w:t>
      </w:r>
      <w:proofErr w:type="spellStart"/>
      <w:r>
        <w:t>LeBel</w:t>
      </w:r>
      <w:proofErr w:type="spellEnd"/>
      <w:r>
        <w:t xml:space="preserve">,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et </w:t>
      </w:r>
      <w:r w:rsidRPr="00F24B06">
        <w:t>Wagner</w:t>
      </w:r>
    </w:p>
    <w:p w:rsidR="00537762" w:rsidRPr="001E12E2" w:rsidRDefault="00537762" w:rsidP="005377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37762" w:rsidRPr="001E12E2" w:rsidTr="007D0A03">
        <w:trPr>
          <w:cantSplit/>
        </w:trPr>
        <w:tc>
          <w:tcPr>
            <w:tcW w:w="3618" w:type="dxa"/>
          </w:tcPr>
          <w:p w:rsidR="00537762" w:rsidRDefault="00537762" w:rsidP="007D0A03">
            <w:pPr>
              <w:rPr>
                <w:b/>
                <w:smallCaps/>
              </w:rPr>
            </w:pPr>
            <w:r>
              <w:rPr>
                <w:b/>
                <w:smallCaps/>
              </w:rPr>
              <w:t>Motifs</w:t>
            </w:r>
            <w:r w:rsidRPr="001E12E2">
              <w:rPr>
                <w:b/>
                <w:smallCaps/>
              </w:rPr>
              <w:t xml:space="preserve"> </w:t>
            </w:r>
            <w:r>
              <w:rPr>
                <w:b/>
                <w:smallCaps/>
              </w:rPr>
              <w:t>de</w:t>
            </w:r>
            <w:r w:rsidRPr="001E12E2">
              <w:rPr>
                <w:b/>
                <w:smallCaps/>
              </w:rPr>
              <w:t xml:space="preserve"> </w:t>
            </w:r>
            <w:proofErr w:type="spellStart"/>
            <w:r>
              <w:rPr>
                <w:b/>
                <w:smallCaps/>
              </w:rPr>
              <w:t>j</w:t>
            </w:r>
            <w:r w:rsidRPr="001E12E2">
              <w:rPr>
                <w:b/>
                <w:smallCaps/>
              </w:rPr>
              <w:t>ug</w:t>
            </w:r>
            <w:r>
              <w:rPr>
                <w:b/>
                <w:smallCaps/>
              </w:rPr>
              <w:t>e</w:t>
            </w:r>
            <w:r w:rsidRPr="001E12E2">
              <w:rPr>
                <w:b/>
                <w:smallCaps/>
              </w:rPr>
              <w:t>ment</w:t>
            </w:r>
            <w:proofErr w:type="spellEnd"/>
            <w:r>
              <w:rPr>
                <w:b/>
                <w:smallCaps/>
              </w:rPr>
              <w:t> :</w:t>
            </w:r>
          </w:p>
          <w:p w:rsidR="00537762" w:rsidRPr="006B5A3A" w:rsidRDefault="00537762" w:rsidP="007D0A03">
            <w:pPr>
              <w:rPr>
                <w:smallCaps/>
              </w:rPr>
            </w:pPr>
            <w:r>
              <w:t>(par. 1 à 117)</w:t>
            </w:r>
          </w:p>
          <w:p w:rsidR="00537762" w:rsidRPr="00AE75A7" w:rsidRDefault="00537762" w:rsidP="007D0A03"/>
          <w:p w:rsidR="00537762" w:rsidRDefault="00537762" w:rsidP="007D0A03">
            <w:pPr>
              <w:rPr>
                <w:b/>
                <w:smallCaps/>
              </w:rPr>
            </w:pPr>
            <w:r w:rsidRPr="00AE75A7">
              <w:rPr>
                <w:b/>
                <w:smallCaps/>
              </w:rPr>
              <w:t xml:space="preserve">Motifs </w:t>
            </w:r>
            <w:proofErr w:type="spellStart"/>
            <w:r w:rsidRPr="00AE75A7">
              <w:rPr>
                <w:b/>
                <w:smallCaps/>
              </w:rPr>
              <w:t>conjoints</w:t>
            </w:r>
            <w:proofErr w:type="spellEnd"/>
            <w:r w:rsidRPr="00AE75A7">
              <w:rPr>
                <w:b/>
                <w:smallCaps/>
              </w:rPr>
              <w:t xml:space="preserve"> </w:t>
            </w:r>
          </w:p>
          <w:p w:rsidR="00537762" w:rsidRPr="00AE75A7" w:rsidRDefault="00537762" w:rsidP="007D0A03">
            <w:pPr>
              <w:rPr>
                <w:b/>
                <w:smallCaps/>
              </w:rPr>
            </w:pPr>
            <w:proofErr w:type="spellStart"/>
            <w:r>
              <w:rPr>
                <w:b/>
                <w:smallCaps/>
              </w:rPr>
              <w:t>concordants</w:t>
            </w:r>
            <w:proofErr w:type="spellEnd"/>
            <w:r>
              <w:rPr>
                <w:b/>
                <w:smallCaps/>
              </w:rPr>
              <w:t xml:space="preserve"> en </w:t>
            </w:r>
            <w:proofErr w:type="spellStart"/>
            <w:r>
              <w:rPr>
                <w:b/>
                <w:smallCaps/>
              </w:rPr>
              <w:t>partie</w:t>
            </w:r>
            <w:proofErr w:type="spellEnd"/>
            <w:r w:rsidRPr="00AE75A7">
              <w:rPr>
                <w:b/>
                <w:smallCaps/>
              </w:rPr>
              <w:t> :</w:t>
            </w:r>
          </w:p>
          <w:p w:rsidR="00537762" w:rsidRPr="00AE75A7" w:rsidRDefault="00537762" w:rsidP="007D0A03">
            <w:r>
              <w:t>(par. 118</w:t>
            </w:r>
            <w:r w:rsidRPr="00AE75A7">
              <w:t xml:space="preserve"> à </w:t>
            </w:r>
            <w:r>
              <w:t>121</w:t>
            </w:r>
            <w:r w:rsidRPr="00AE75A7">
              <w:t>)</w:t>
            </w:r>
          </w:p>
          <w:p w:rsidR="00537762" w:rsidRPr="001E12E2" w:rsidRDefault="00537762" w:rsidP="007D0A03"/>
        </w:tc>
        <w:tc>
          <w:tcPr>
            <w:tcW w:w="5958" w:type="dxa"/>
          </w:tcPr>
          <w:p w:rsidR="00537762" w:rsidRDefault="00537762" w:rsidP="007D0A03">
            <w:r>
              <w:t xml:space="preserve">Le </w:t>
            </w:r>
            <w:proofErr w:type="spellStart"/>
            <w:r>
              <w:t>juge</w:t>
            </w:r>
            <w:proofErr w:type="spellEnd"/>
            <w:r>
              <w:t xml:space="preserve"> Cromwell (avec </w:t>
            </w:r>
            <w:proofErr w:type="spellStart"/>
            <w:r>
              <w:t>l’accord</w:t>
            </w:r>
            <w:proofErr w:type="spellEnd"/>
            <w:r>
              <w:t xml:space="preserve"> des </w:t>
            </w:r>
            <w:proofErr w:type="spellStart"/>
            <w:r>
              <w:t>juges</w:t>
            </w:r>
            <w:proofErr w:type="spellEnd"/>
            <w:r>
              <w:t xml:space="preserve"> </w:t>
            </w:r>
            <w:proofErr w:type="spellStart"/>
            <w:r>
              <w:t>LeBel</w:t>
            </w:r>
            <w:proofErr w:type="spellEnd"/>
            <w:r>
              <w:t xml:space="preserve">, </w:t>
            </w:r>
            <w:proofErr w:type="spellStart"/>
            <w:r>
              <w:t>Abella</w:t>
            </w:r>
            <w:proofErr w:type="spellEnd"/>
            <w:r>
              <w:t xml:space="preserve">, </w:t>
            </w:r>
            <w:proofErr w:type="spellStart"/>
            <w:r>
              <w:t>Karakatsanis</w:t>
            </w:r>
            <w:proofErr w:type="spellEnd"/>
            <w:r>
              <w:t xml:space="preserve"> et Wagner)</w:t>
            </w:r>
          </w:p>
          <w:p w:rsidR="00537762" w:rsidRDefault="00537762" w:rsidP="007D0A03"/>
          <w:p w:rsidR="00537762" w:rsidRPr="001E12E2" w:rsidRDefault="00537762" w:rsidP="007D0A03">
            <w:r>
              <w:t xml:space="preserve">La </w:t>
            </w:r>
            <w:proofErr w:type="spellStart"/>
            <w:r>
              <w:t>juge</w:t>
            </w:r>
            <w:proofErr w:type="spellEnd"/>
            <w:r>
              <w:t xml:space="preserve"> en chef </w:t>
            </w:r>
            <w:proofErr w:type="spellStart"/>
            <w:r>
              <w:t>McLachlin</w:t>
            </w:r>
            <w:proofErr w:type="spellEnd"/>
            <w:r>
              <w:t xml:space="preserve"> et le </w:t>
            </w:r>
            <w:proofErr w:type="spellStart"/>
            <w:r>
              <w:t>juge</w:t>
            </w:r>
            <w:proofErr w:type="spellEnd"/>
            <w:r>
              <w:t xml:space="preserve"> </w:t>
            </w:r>
            <w:proofErr w:type="spellStart"/>
            <w:r>
              <w:t>Moldaver</w:t>
            </w:r>
            <w:proofErr w:type="spellEnd"/>
          </w:p>
        </w:tc>
      </w:tr>
    </w:tbl>
    <w:p w:rsidR="00537762" w:rsidRDefault="00537762" w:rsidP="00537762"/>
    <w:p w:rsidR="00537762" w:rsidRPr="001E12E2" w:rsidRDefault="00537762" w:rsidP="00537762">
      <w:r w:rsidRPr="00AC072C">
        <w:rPr>
          <w:noProof/>
          <w:lang w:val="fr-CA"/>
        </w:rPr>
        <w:pict>
          <v:shapetype id="_x0000_t32" coordsize="21600,21600" o:spt="32" o:oned="t" path="m,l21600,21600e" filled="f">
            <v:path arrowok="t" fillok="f" o:connecttype="none"/>
            <o:lock v:ext="edit" shapetype="t"/>
          </v:shapetype>
          <v:shape id="_x0000_s1029" type="#_x0000_t32" style="position:absolute;margin-left:126.75pt;margin-top:14.5pt;width:197.25pt;height:0;z-index:251660288" o:connectortype="straight"/>
        </w:pict>
      </w:r>
    </w:p>
    <w:p w:rsidR="00537762" w:rsidRDefault="00537762" w:rsidP="00707CB2">
      <w:pPr>
        <w:spacing w:after="720"/>
        <w:jc w:val="both"/>
        <w:rPr>
          <w:smallCaps/>
          <w:lang w:val="fr-CA"/>
        </w:rPr>
      </w:pPr>
    </w:p>
    <w:p w:rsidR="00707CB2" w:rsidRPr="00915CB8" w:rsidRDefault="00707CB2" w:rsidP="00707CB2">
      <w:pPr>
        <w:spacing w:after="720"/>
        <w:jc w:val="both"/>
        <w:rPr>
          <w:lang w:val="fr-CA"/>
        </w:rPr>
      </w:pPr>
      <w:r w:rsidRPr="00915CB8">
        <w:rPr>
          <w:smallCaps/>
          <w:lang w:val="fr-CA"/>
        </w:rPr>
        <w:t>canada (</w:t>
      </w:r>
      <w:proofErr w:type="spellStart"/>
      <w:r w:rsidRPr="00915CB8">
        <w:rPr>
          <w:smallCaps/>
          <w:lang w:val="fr-CA"/>
        </w:rPr>
        <w:t>p.g</w:t>
      </w:r>
      <w:proofErr w:type="spellEnd"/>
      <w:r w:rsidRPr="00915CB8">
        <w:rPr>
          <w:smallCaps/>
          <w:lang w:val="fr-CA"/>
        </w:rPr>
        <w:t>.)</w:t>
      </w:r>
      <w:r w:rsidRPr="00915CB8">
        <w:rPr>
          <w:lang w:val="fr-CA"/>
        </w:rPr>
        <w:t xml:space="preserve"> </w:t>
      </w:r>
      <w:r w:rsidRPr="00915CB8">
        <w:rPr>
          <w:i/>
          <w:lang w:val="fr-CA"/>
        </w:rPr>
        <w:t>c.</w:t>
      </w:r>
      <w:r w:rsidRPr="00915CB8">
        <w:rPr>
          <w:lang w:val="fr-CA"/>
        </w:rPr>
        <w:t xml:space="preserve"> </w:t>
      </w:r>
      <w:proofErr w:type="spellStart"/>
      <w:r w:rsidRPr="00915CB8">
        <w:rPr>
          <w:smallCaps/>
          <w:lang w:val="fr-CA"/>
        </w:rPr>
        <w:t>féd</w:t>
      </w:r>
      <w:proofErr w:type="spellEnd"/>
      <w:r w:rsidR="004F0412">
        <w:rPr>
          <w:smallCaps/>
          <w:lang w:val="fr-CA"/>
        </w:rPr>
        <w:t>.</w:t>
      </w:r>
      <w:r w:rsidRPr="00915CB8">
        <w:rPr>
          <w:smallCaps/>
          <w:lang w:val="fr-CA"/>
        </w:rPr>
        <w:t xml:space="preserve"> </w:t>
      </w:r>
      <w:r w:rsidR="00FC681A">
        <w:rPr>
          <w:smallCaps/>
          <w:lang w:val="fr-CA"/>
        </w:rPr>
        <w:t xml:space="preserve">des </w:t>
      </w:r>
      <w:r w:rsidRPr="00915CB8">
        <w:rPr>
          <w:smallCaps/>
          <w:lang w:val="fr-CA"/>
        </w:rPr>
        <w:t>ordres prof</w:t>
      </w:r>
      <w:r w:rsidR="00004388">
        <w:rPr>
          <w:smallCaps/>
          <w:lang w:val="fr-CA"/>
        </w:rPr>
        <w:t>.</w:t>
      </w:r>
      <w:r w:rsidRPr="00915CB8">
        <w:rPr>
          <w:smallCaps/>
          <w:lang w:val="fr-CA"/>
        </w:rPr>
        <w:t xml:space="preserve"> </w:t>
      </w:r>
      <w:r w:rsidR="00FC681A">
        <w:rPr>
          <w:smallCaps/>
          <w:lang w:val="fr-CA"/>
        </w:rPr>
        <w:t xml:space="preserve">de </w:t>
      </w:r>
      <w:r w:rsidRPr="00915CB8">
        <w:rPr>
          <w:smallCaps/>
          <w:lang w:val="fr-CA"/>
        </w:rPr>
        <w:t>juristes</w:t>
      </w:r>
      <w:r w:rsidR="0089545F">
        <w:rPr>
          <w:smallCaps/>
          <w:lang w:val="fr-CA"/>
        </w:rPr>
        <w:t xml:space="preserve">, </w:t>
      </w:r>
      <w:r w:rsidR="0089545F" w:rsidRPr="00915CB8">
        <w:rPr>
          <w:lang w:val="fr-CA"/>
        </w:rPr>
        <w:t>2015 CSC</w:t>
      </w:r>
      <w:r w:rsidR="0089545F">
        <w:rPr>
          <w:lang w:val="fr-CA"/>
        </w:rPr>
        <w:t xml:space="preserve"> </w:t>
      </w:r>
      <w:r w:rsidR="0089545F" w:rsidRPr="00915CB8">
        <w:rPr>
          <w:lang w:val="fr-CA"/>
        </w:rPr>
        <w:t>7</w:t>
      </w:r>
      <w:r w:rsidR="0089545F">
        <w:rPr>
          <w:lang w:val="fr-CA"/>
        </w:rPr>
        <w:t>, [2015] 1 R.C.S. 401</w:t>
      </w:r>
    </w:p>
    <w:p w:rsidR="00707CB2" w:rsidRPr="00CA3D49" w:rsidRDefault="00707CB2" w:rsidP="00707CB2">
      <w:pPr>
        <w:pStyle w:val="SCCLsocLastPartyInRole"/>
        <w:rPr>
          <w:b w:val="0"/>
          <w:lang w:val="fr-CA"/>
        </w:rPr>
      </w:pPr>
      <w:r w:rsidRPr="00915CB8">
        <w:rPr>
          <w:lang w:val="fr-CA"/>
        </w:rPr>
        <w:lastRenderedPageBreak/>
        <w:t>Procureur général du Canada</w:t>
      </w:r>
      <w:r w:rsidRPr="00915CB8">
        <w:rPr>
          <w:rStyle w:val="SCCLsocPartyRole"/>
          <w:lang w:val="fr-CA"/>
        </w:rPr>
        <w:tab/>
      </w:r>
      <w:r w:rsidRPr="00CA3D49">
        <w:rPr>
          <w:rStyle w:val="SCCLsocPartyRole"/>
          <w:lang w:val="fr-CA"/>
        </w:rPr>
        <w:t>Appelant</w:t>
      </w:r>
    </w:p>
    <w:p w:rsidR="00707CB2" w:rsidRPr="00915CB8" w:rsidRDefault="00707CB2" w:rsidP="00707CB2">
      <w:pPr>
        <w:pStyle w:val="SCCLsocVersus"/>
        <w:rPr>
          <w:lang w:val="fr-CA"/>
        </w:rPr>
      </w:pPr>
      <w:proofErr w:type="gramStart"/>
      <w:r w:rsidRPr="00915CB8">
        <w:rPr>
          <w:lang w:val="fr-CA"/>
        </w:rPr>
        <w:t>c</w:t>
      </w:r>
      <w:proofErr w:type="gramEnd"/>
      <w:r w:rsidRPr="00915CB8">
        <w:rPr>
          <w:lang w:val="fr-CA"/>
        </w:rPr>
        <w:t>.</w:t>
      </w:r>
    </w:p>
    <w:p w:rsidR="00707CB2" w:rsidRPr="00CA3D49" w:rsidRDefault="00707CB2" w:rsidP="00707CB2">
      <w:pPr>
        <w:pStyle w:val="SCCLsocLastPartyInRole"/>
        <w:rPr>
          <w:b w:val="0"/>
          <w:lang w:val="fr-CA"/>
        </w:rPr>
      </w:pPr>
      <w:r w:rsidRPr="00915CB8">
        <w:rPr>
          <w:lang w:val="fr-CA"/>
        </w:rPr>
        <w:t>Fédération des ordres professionnels de juristes du Canada</w:t>
      </w:r>
      <w:r w:rsidRPr="00915CB8">
        <w:rPr>
          <w:rStyle w:val="SCCLsocPartyRole"/>
          <w:lang w:val="fr-CA"/>
        </w:rPr>
        <w:tab/>
      </w:r>
      <w:r w:rsidRPr="00CA3D49">
        <w:rPr>
          <w:rStyle w:val="SCCLsocPartyRole"/>
          <w:lang w:val="fr-CA"/>
        </w:rPr>
        <w:t>Intimée</w:t>
      </w:r>
    </w:p>
    <w:p w:rsidR="00707CB2" w:rsidRPr="00915CB8" w:rsidRDefault="00707CB2" w:rsidP="00707CB2">
      <w:pPr>
        <w:pStyle w:val="SCCLsocOtherPartySeparator"/>
        <w:rPr>
          <w:lang w:val="fr-CA"/>
        </w:rPr>
      </w:pPr>
      <w:proofErr w:type="gramStart"/>
      <w:r w:rsidRPr="00915CB8">
        <w:rPr>
          <w:lang w:val="fr-CA"/>
        </w:rPr>
        <w:t>et</w:t>
      </w:r>
      <w:proofErr w:type="gramEnd"/>
    </w:p>
    <w:p w:rsidR="00707CB2" w:rsidRPr="00915CB8" w:rsidRDefault="00707CB2" w:rsidP="00707CB2">
      <w:pPr>
        <w:pStyle w:val="SCCLsocParty"/>
        <w:rPr>
          <w:lang w:val="fr-CA"/>
        </w:rPr>
      </w:pPr>
      <w:proofErr w:type="spellStart"/>
      <w:r w:rsidRPr="00915CB8">
        <w:rPr>
          <w:lang w:val="fr-CA"/>
        </w:rPr>
        <w:t>Criminal</w:t>
      </w:r>
      <w:proofErr w:type="spellEnd"/>
      <w:r w:rsidRPr="00915CB8">
        <w:rPr>
          <w:lang w:val="fr-CA"/>
        </w:rPr>
        <w:t xml:space="preserve"> </w:t>
      </w:r>
      <w:proofErr w:type="spellStart"/>
      <w:r w:rsidRPr="00915CB8">
        <w:rPr>
          <w:lang w:val="fr-CA"/>
        </w:rPr>
        <w:t>Lawyers</w:t>
      </w:r>
      <w:proofErr w:type="spellEnd"/>
      <w:r w:rsidRPr="00915CB8">
        <w:rPr>
          <w:lang w:val="fr-CA"/>
        </w:rPr>
        <w:t>’ Association (Ontario),</w:t>
      </w:r>
    </w:p>
    <w:p w:rsidR="00707CB2" w:rsidRPr="00915CB8" w:rsidRDefault="00707CB2" w:rsidP="00707CB2">
      <w:pPr>
        <w:pStyle w:val="SCCLsocParty"/>
        <w:rPr>
          <w:lang w:val="fr-CA"/>
        </w:rPr>
      </w:pPr>
      <w:r w:rsidRPr="00915CB8">
        <w:rPr>
          <w:lang w:val="fr-CA"/>
        </w:rPr>
        <w:t>Association canadienne des libertés civiles,</w:t>
      </w:r>
    </w:p>
    <w:p w:rsidR="00707CB2" w:rsidRPr="00915CB8" w:rsidRDefault="00707CB2" w:rsidP="00707CB2">
      <w:pPr>
        <w:pStyle w:val="SCCLsocParty"/>
      </w:pPr>
      <w:r w:rsidRPr="00915CB8">
        <w:t>Law Society of British Columbia,</w:t>
      </w:r>
    </w:p>
    <w:p w:rsidR="00707CB2" w:rsidRPr="00915CB8" w:rsidRDefault="00707CB2" w:rsidP="00707CB2">
      <w:pPr>
        <w:pStyle w:val="SCCLsocParty"/>
        <w:rPr>
          <w:lang w:val="fr-CA"/>
        </w:rPr>
      </w:pPr>
      <w:r w:rsidRPr="00915CB8">
        <w:rPr>
          <w:lang w:val="fr-CA"/>
        </w:rPr>
        <w:t>Association du Barreau canadien,</w:t>
      </w:r>
    </w:p>
    <w:p w:rsidR="00707CB2" w:rsidRPr="00915CB8" w:rsidRDefault="00707CB2" w:rsidP="00707CB2">
      <w:pPr>
        <w:pStyle w:val="SCCLsocParty"/>
        <w:rPr>
          <w:lang w:val="fr-CA"/>
        </w:rPr>
      </w:pPr>
      <w:proofErr w:type="spellStart"/>
      <w:r w:rsidRPr="00915CB8">
        <w:rPr>
          <w:lang w:val="fr-CA"/>
        </w:rPr>
        <w:t>Advocates</w:t>
      </w:r>
      <w:proofErr w:type="spellEnd"/>
      <w:r w:rsidRPr="00915CB8">
        <w:rPr>
          <w:lang w:val="fr-CA"/>
        </w:rPr>
        <w:t>’ Society,</w:t>
      </w:r>
    </w:p>
    <w:p w:rsidR="00707CB2" w:rsidRPr="00915CB8" w:rsidRDefault="00707CB2" w:rsidP="00707CB2">
      <w:pPr>
        <w:pStyle w:val="SCCLsocParty"/>
        <w:rPr>
          <w:lang w:val="fr-CA"/>
        </w:rPr>
      </w:pPr>
      <w:r w:rsidRPr="00915CB8">
        <w:rPr>
          <w:lang w:val="fr-CA"/>
        </w:rPr>
        <w:t>Barreau du Québec et</w:t>
      </w:r>
    </w:p>
    <w:p w:rsidR="00707CB2" w:rsidRPr="00CA3D49" w:rsidRDefault="00707CB2" w:rsidP="00707CB2">
      <w:pPr>
        <w:pStyle w:val="SCCLsocLastPartyInRole"/>
        <w:rPr>
          <w:b w:val="0"/>
          <w:lang w:val="fr-CA"/>
        </w:rPr>
      </w:pPr>
      <w:r w:rsidRPr="00915CB8">
        <w:rPr>
          <w:lang w:val="fr-CA"/>
        </w:rPr>
        <w:t>Chambre des notaires du Québec</w:t>
      </w:r>
      <w:r w:rsidRPr="00915CB8">
        <w:rPr>
          <w:rStyle w:val="SCCLsocPartyRole"/>
          <w:lang w:val="fr-CA"/>
        </w:rPr>
        <w:tab/>
      </w:r>
      <w:r w:rsidRPr="00CA3D49">
        <w:rPr>
          <w:rStyle w:val="SCCLsocPartyRole"/>
          <w:lang w:val="fr-CA"/>
        </w:rPr>
        <w:t>Intervenants</w:t>
      </w:r>
    </w:p>
    <w:p w:rsidR="00707CB2" w:rsidRPr="00915CB8" w:rsidRDefault="00707CB2" w:rsidP="00707CB2">
      <w:pPr>
        <w:spacing w:after="720"/>
        <w:jc w:val="both"/>
        <w:rPr>
          <w:b/>
          <w:lang w:val="fr-CA"/>
        </w:rPr>
      </w:pPr>
      <w:r w:rsidRPr="00915CB8">
        <w:rPr>
          <w:b/>
          <w:lang w:val="fr-CA"/>
        </w:rPr>
        <w:t>Répertorié</w:t>
      </w:r>
      <w:r w:rsidR="00601B6E">
        <w:rPr>
          <w:b/>
          <w:lang w:val="fr-CA"/>
        </w:rPr>
        <w:t xml:space="preserve"> : </w:t>
      </w:r>
      <w:r w:rsidRPr="00915CB8">
        <w:rPr>
          <w:b/>
          <w:lang w:val="fr-CA"/>
        </w:rPr>
        <w:t xml:space="preserve">Canada (Procureur général) </w:t>
      </w:r>
      <w:r w:rsidRPr="00915CB8">
        <w:rPr>
          <w:b/>
          <w:i/>
          <w:lang w:val="fr-CA"/>
        </w:rPr>
        <w:t>c.</w:t>
      </w:r>
      <w:r w:rsidRPr="00915CB8">
        <w:rPr>
          <w:b/>
          <w:lang w:val="fr-CA"/>
        </w:rPr>
        <w:t xml:space="preserve"> Fédération des ordres professionnels de juristes du Canada</w:t>
      </w:r>
    </w:p>
    <w:p w:rsidR="00707CB2" w:rsidRPr="00915CB8" w:rsidRDefault="00707CB2" w:rsidP="00707CB2">
      <w:pPr>
        <w:pStyle w:val="SCCSystemYear"/>
        <w:spacing w:after="720"/>
        <w:jc w:val="both"/>
        <w:rPr>
          <w:lang w:val="fr-CA"/>
        </w:rPr>
      </w:pPr>
      <w:r w:rsidRPr="00915CB8">
        <w:rPr>
          <w:lang w:val="fr-CA"/>
        </w:rPr>
        <w:t>2015 CSC</w:t>
      </w:r>
      <w:r w:rsidR="00601B6E">
        <w:rPr>
          <w:lang w:val="fr-CA"/>
        </w:rPr>
        <w:t xml:space="preserve"> </w:t>
      </w:r>
      <w:r w:rsidRPr="00915CB8">
        <w:rPr>
          <w:lang w:val="fr-CA"/>
        </w:rPr>
        <w:t>7</w:t>
      </w:r>
    </w:p>
    <w:p w:rsidR="00707CB2" w:rsidRPr="00915CB8" w:rsidRDefault="00707CB2" w:rsidP="00707CB2">
      <w:pPr>
        <w:spacing w:after="720"/>
        <w:jc w:val="both"/>
        <w:rPr>
          <w:lang w:val="fr-CA"/>
        </w:rPr>
      </w:pPr>
      <w:r w:rsidRPr="00915CB8">
        <w:rPr>
          <w:lang w:val="fr-CA"/>
        </w:rPr>
        <w:t>N</w:t>
      </w:r>
      <w:r w:rsidRPr="00915CB8">
        <w:rPr>
          <w:vertAlign w:val="superscript"/>
          <w:lang w:val="fr-CA"/>
        </w:rPr>
        <w:t>o</w:t>
      </w:r>
      <w:r w:rsidRPr="00915CB8">
        <w:rPr>
          <w:lang w:val="fr-CA"/>
        </w:rPr>
        <w:t xml:space="preserve"> du greffe</w:t>
      </w:r>
      <w:r w:rsidR="00601B6E">
        <w:rPr>
          <w:lang w:val="fr-CA"/>
        </w:rPr>
        <w:t xml:space="preserve"> : </w:t>
      </w:r>
      <w:r w:rsidRPr="00915CB8">
        <w:rPr>
          <w:lang w:val="fr-CA"/>
        </w:rPr>
        <w:t>35399.</w:t>
      </w:r>
    </w:p>
    <w:p w:rsidR="00707CB2" w:rsidRPr="00915CB8" w:rsidRDefault="00707CB2" w:rsidP="00707CB2">
      <w:pPr>
        <w:spacing w:after="720"/>
        <w:jc w:val="both"/>
        <w:rPr>
          <w:lang w:val="fr-CA"/>
        </w:rPr>
      </w:pPr>
      <w:r w:rsidRPr="00915CB8">
        <w:rPr>
          <w:lang w:val="fr-CA"/>
        </w:rPr>
        <w:t>2014</w:t>
      </w:r>
      <w:r w:rsidR="00601B6E">
        <w:rPr>
          <w:lang w:val="fr-CA"/>
        </w:rPr>
        <w:t xml:space="preserve"> : </w:t>
      </w:r>
      <w:r w:rsidRPr="00915CB8">
        <w:rPr>
          <w:lang w:val="fr-CA"/>
        </w:rPr>
        <w:t>13 mai; 2015</w:t>
      </w:r>
      <w:r w:rsidR="00601B6E">
        <w:rPr>
          <w:lang w:val="fr-CA"/>
        </w:rPr>
        <w:t xml:space="preserve"> : </w:t>
      </w:r>
      <w:r w:rsidRPr="00915CB8">
        <w:rPr>
          <w:lang w:val="fr-CA"/>
        </w:rPr>
        <w:t>13</w:t>
      </w:r>
      <w:r w:rsidR="00601B6E">
        <w:rPr>
          <w:lang w:val="fr-CA"/>
        </w:rPr>
        <w:t xml:space="preserve"> </w:t>
      </w:r>
      <w:r w:rsidRPr="00915CB8">
        <w:rPr>
          <w:lang w:val="fr-CA"/>
        </w:rPr>
        <w:t>février.</w:t>
      </w:r>
    </w:p>
    <w:p w:rsidR="00707CB2" w:rsidRPr="00915CB8" w:rsidRDefault="00707CB2" w:rsidP="00707CB2">
      <w:pPr>
        <w:spacing w:after="720"/>
        <w:jc w:val="both"/>
        <w:rPr>
          <w:lang w:val="fr-CA"/>
        </w:rPr>
      </w:pPr>
      <w:r w:rsidRPr="00915CB8">
        <w:rPr>
          <w:lang w:val="fr-CA"/>
        </w:rPr>
        <w:t>Présents</w:t>
      </w:r>
      <w:r w:rsidR="00601B6E">
        <w:rPr>
          <w:lang w:val="fr-CA"/>
        </w:rPr>
        <w:t xml:space="preserve"> : </w:t>
      </w:r>
      <w:r w:rsidRPr="00915CB8">
        <w:rPr>
          <w:lang w:val="fr-CA"/>
        </w:rPr>
        <w:t xml:space="preserve">La juge en chef </w:t>
      </w:r>
      <w:proofErr w:type="spellStart"/>
      <w:r w:rsidRPr="00915CB8">
        <w:rPr>
          <w:lang w:val="fr-CA"/>
        </w:rPr>
        <w:t>McLachlin</w:t>
      </w:r>
      <w:proofErr w:type="spellEnd"/>
      <w:r w:rsidRPr="00915CB8">
        <w:rPr>
          <w:lang w:val="fr-CA"/>
        </w:rPr>
        <w:t xml:space="preserve"> et les juges </w:t>
      </w:r>
      <w:proofErr w:type="spellStart"/>
      <w:r w:rsidRPr="00915CB8">
        <w:rPr>
          <w:lang w:val="fr-CA"/>
        </w:rPr>
        <w:t>LeBel</w:t>
      </w:r>
      <w:proofErr w:type="spellEnd"/>
      <w:r w:rsidRPr="00915CB8">
        <w:rPr>
          <w:lang w:val="fr-CA"/>
        </w:rPr>
        <w:t xml:space="preserve">, Abella, Cromwell, </w:t>
      </w:r>
      <w:proofErr w:type="spellStart"/>
      <w:r w:rsidRPr="00915CB8">
        <w:rPr>
          <w:lang w:val="fr-CA"/>
        </w:rPr>
        <w:t>Moldaver</w:t>
      </w:r>
      <w:proofErr w:type="spellEnd"/>
      <w:r w:rsidRPr="00915CB8">
        <w:rPr>
          <w:lang w:val="fr-CA"/>
        </w:rPr>
        <w:t xml:space="preserve">, </w:t>
      </w:r>
      <w:proofErr w:type="spellStart"/>
      <w:r w:rsidRPr="00915CB8">
        <w:rPr>
          <w:lang w:val="fr-CA"/>
        </w:rPr>
        <w:t>Karakatsanis</w:t>
      </w:r>
      <w:proofErr w:type="spellEnd"/>
      <w:r w:rsidRPr="00915CB8">
        <w:rPr>
          <w:lang w:val="fr-CA"/>
        </w:rPr>
        <w:t xml:space="preserve"> et Wagner.</w:t>
      </w:r>
    </w:p>
    <w:p w:rsidR="00707CB2" w:rsidRPr="00915CB8" w:rsidRDefault="00707CB2" w:rsidP="00707CB2">
      <w:pPr>
        <w:spacing w:after="720"/>
        <w:jc w:val="both"/>
        <w:rPr>
          <w:smallCaps/>
          <w:lang w:val="fr-CA"/>
        </w:rPr>
      </w:pPr>
      <w:r w:rsidRPr="00915CB8">
        <w:rPr>
          <w:smallCaps/>
          <w:lang w:val="fr-CA"/>
        </w:rPr>
        <w:t xml:space="preserve">en appel de la cour d’appel de la </w:t>
      </w:r>
      <w:proofErr w:type="spellStart"/>
      <w:r w:rsidRPr="00915CB8">
        <w:rPr>
          <w:smallCaps/>
          <w:lang w:val="fr-CA"/>
        </w:rPr>
        <w:t>colombie</w:t>
      </w:r>
      <w:r w:rsidR="00601B6E">
        <w:rPr>
          <w:smallCaps/>
          <w:lang w:val="fr-CA"/>
        </w:rPr>
        <w:t>-</w:t>
      </w:r>
      <w:r w:rsidRPr="00915CB8">
        <w:rPr>
          <w:smallCaps/>
          <w:lang w:val="fr-CA"/>
        </w:rPr>
        <w:t>britannique</w:t>
      </w:r>
      <w:proofErr w:type="spellEnd"/>
    </w:p>
    <w:p w:rsidR="00707CB2" w:rsidRPr="00915CB8" w:rsidRDefault="00707CB2" w:rsidP="00707CB2">
      <w:pPr>
        <w:pStyle w:val="SCCNormalDoubleSpacing"/>
        <w:spacing w:before="480" w:after="480"/>
        <w:rPr>
          <w:lang w:val="fr-CA"/>
        </w:rPr>
      </w:pPr>
      <w:r w:rsidRPr="00915CB8">
        <w:rPr>
          <w:lang w:val="fr-CA"/>
        </w:rPr>
        <w:lastRenderedPageBreak/>
        <w:tab/>
      </w:r>
      <w:r w:rsidRPr="00915CB8">
        <w:rPr>
          <w:i/>
          <w:lang w:val="fr-CA"/>
        </w:rPr>
        <w:t>Droit constitutionnel — Charte des droits — Droit à la liberté — Justice fondamentale — Fouilles, perquisitions et saisies — Secret professionnel de l’avocat — Devoir de l’avocat de se dévouer à la cause du client — Les dispositions de la législation canadienne visant à lutter contre le recyclage des produits de la criminalité et le financement des activités terroristes</w:t>
      </w:r>
      <w:r w:rsidRPr="00915CB8">
        <w:rPr>
          <w:lang w:val="fr-CA"/>
        </w:rPr>
        <w:t xml:space="preserve"> </w:t>
      </w:r>
      <w:r w:rsidRPr="00915CB8">
        <w:rPr>
          <w:i/>
          <w:lang w:val="fr-CA"/>
        </w:rPr>
        <w:t>qui s’appliquent aux avocats portent</w:t>
      </w:r>
      <w:r w:rsidR="00601B6E">
        <w:rPr>
          <w:i/>
          <w:lang w:val="fr-CA"/>
        </w:rPr>
        <w:t>-</w:t>
      </w:r>
      <w:r w:rsidRPr="00915CB8">
        <w:rPr>
          <w:i/>
          <w:lang w:val="fr-CA"/>
        </w:rPr>
        <w:t xml:space="preserve">elles atteinte au droit à la protection contre les </w:t>
      </w:r>
      <w:r w:rsidRPr="00915CB8">
        <w:rPr>
          <w:rStyle w:val="complet"/>
          <w:i/>
          <w:lang w:val="fr-CA"/>
        </w:rPr>
        <w:t>fouilles, les perquisitions et</w:t>
      </w:r>
      <w:r w:rsidRPr="00915CB8">
        <w:rPr>
          <w:rStyle w:val="complet"/>
          <w:lang w:val="fr-CA"/>
        </w:rPr>
        <w:t xml:space="preserve"> </w:t>
      </w:r>
      <w:r w:rsidRPr="00915CB8">
        <w:rPr>
          <w:rStyle w:val="complet"/>
          <w:i/>
          <w:lang w:val="fr-CA"/>
        </w:rPr>
        <w:t>les saisies abusives?</w:t>
      </w:r>
      <w:r w:rsidRPr="00915CB8">
        <w:rPr>
          <w:rStyle w:val="complet"/>
          <w:lang w:val="fr-CA"/>
        </w:rPr>
        <w:t xml:space="preserve"> </w:t>
      </w:r>
      <w:r w:rsidRPr="00915CB8">
        <w:rPr>
          <w:i/>
          <w:lang w:val="fr-CA"/>
        </w:rPr>
        <w:t>— La législation porte</w:t>
      </w:r>
      <w:r w:rsidR="00601B6E">
        <w:rPr>
          <w:i/>
          <w:lang w:val="fr-CA"/>
        </w:rPr>
        <w:t>-</w:t>
      </w:r>
      <w:r w:rsidRPr="00915CB8">
        <w:rPr>
          <w:i/>
          <w:lang w:val="fr-CA"/>
        </w:rPr>
        <w:t>t</w:t>
      </w:r>
      <w:r w:rsidR="00601B6E">
        <w:rPr>
          <w:i/>
          <w:lang w:val="fr-CA"/>
        </w:rPr>
        <w:t>-</w:t>
      </w:r>
      <w:r w:rsidRPr="00915CB8">
        <w:rPr>
          <w:i/>
          <w:lang w:val="fr-CA"/>
        </w:rPr>
        <w:t>elle atteinte au droit de ne pas être privé de sa liberté, sauf en conformité avec les principes de justice fondamentale? — Dans l’affirmative, les atteintes sont</w:t>
      </w:r>
      <w:r w:rsidR="00601B6E">
        <w:rPr>
          <w:i/>
          <w:lang w:val="fr-CA"/>
        </w:rPr>
        <w:t>-</w:t>
      </w:r>
      <w:r w:rsidRPr="00915CB8">
        <w:rPr>
          <w:i/>
          <w:lang w:val="fr-CA"/>
        </w:rPr>
        <w:t>elles justifiables? — Charte canadienne des droits et libertés, art.</w:t>
      </w:r>
      <w:r w:rsidR="00601B6E">
        <w:rPr>
          <w:i/>
          <w:lang w:val="fr-CA"/>
        </w:rPr>
        <w:t xml:space="preserve"> </w:t>
      </w:r>
      <w:r w:rsidRPr="00915CB8">
        <w:rPr>
          <w:i/>
          <w:lang w:val="fr-CA"/>
        </w:rPr>
        <w:t>1, 7, 8 — Loi sur le recyclage des produits de la criminalité et le financement des activités terroristes</w:t>
      </w:r>
      <w:r w:rsidRPr="00915CB8">
        <w:rPr>
          <w:lang w:val="fr-CA"/>
        </w:rPr>
        <w:t xml:space="preserve">, </w:t>
      </w:r>
      <w:r w:rsidRPr="00915CB8">
        <w:rPr>
          <w:i/>
          <w:lang w:val="fr-CA"/>
        </w:rPr>
        <w:t>L.C. 2000, c.</w:t>
      </w:r>
      <w:r w:rsidR="00601B6E">
        <w:rPr>
          <w:i/>
          <w:lang w:val="fr-CA"/>
        </w:rPr>
        <w:t xml:space="preserve"> </w:t>
      </w:r>
      <w:r w:rsidRPr="00915CB8">
        <w:rPr>
          <w:i/>
          <w:lang w:val="fr-CA"/>
        </w:rPr>
        <w:t>17, art.</w:t>
      </w:r>
      <w:r w:rsidR="00601B6E">
        <w:rPr>
          <w:i/>
          <w:lang w:val="fr-CA"/>
        </w:rPr>
        <w:t xml:space="preserve"> </w:t>
      </w:r>
      <w:r w:rsidRPr="00915CB8">
        <w:rPr>
          <w:i/>
          <w:lang w:val="fr-CA"/>
        </w:rPr>
        <w:t>5i), 5j), 62, 63, 63.1, 64 — Règlement sur le recyclage des produits de la criminalité et le financement des activités terroristes, DORS/2002</w:t>
      </w:r>
      <w:r w:rsidR="00601B6E">
        <w:rPr>
          <w:i/>
          <w:lang w:val="fr-CA"/>
        </w:rPr>
        <w:t>-</w:t>
      </w:r>
      <w:r w:rsidRPr="00915CB8">
        <w:rPr>
          <w:i/>
          <w:lang w:val="fr-CA"/>
        </w:rPr>
        <w:t>184</w:t>
      </w:r>
      <w:r w:rsidRPr="00915CB8">
        <w:rPr>
          <w:lang w:val="fr-CA"/>
        </w:rPr>
        <w:t xml:space="preserve">, </w:t>
      </w:r>
      <w:r w:rsidRPr="00915CB8">
        <w:rPr>
          <w:i/>
          <w:lang w:val="fr-CA"/>
        </w:rPr>
        <w:t>art.</w:t>
      </w:r>
      <w:r w:rsidR="00601B6E">
        <w:rPr>
          <w:i/>
          <w:lang w:val="fr-CA"/>
        </w:rPr>
        <w:t xml:space="preserve"> </w:t>
      </w:r>
      <w:r w:rsidRPr="00915CB8">
        <w:rPr>
          <w:i/>
          <w:lang w:val="fr-CA"/>
        </w:rPr>
        <w:t>11.1, 33.3, 33.4, 33.5, 59.4.</w:t>
      </w:r>
    </w:p>
    <w:p w:rsidR="00707CB2" w:rsidRPr="00915CB8" w:rsidRDefault="00707CB2" w:rsidP="00707CB2">
      <w:pPr>
        <w:pStyle w:val="SCCNormalDoubleSpacing"/>
        <w:spacing w:before="480" w:after="480"/>
        <w:rPr>
          <w:lang w:val="fr-CA"/>
        </w:rPr>
      </w:pPr>
      <w:r w:rsidRPr="00915CB8">
        <w:rPr>
          <w:lang w:val="fr-CA"/>
        </w:rPr>
        <w:tab/>
        <w:t xml:space="preserve">Pour réduire le risque que les intermédiaires financiers facilitent le recyclage des produits de la criminalité ou le financement des activités terroristes, la </w:t>
      </w:r>
      <w:r w:rsidRPr="00915CB8">
        <w:rPr>
          <w:i/>
          <w:lang w:val="fr-CA"/>
        </w:rPr>
        <w:t>Loi sur le recyclage des produits de la criminalité et le financement des activités terroristes</w:t>
      </w:r>
      <w:r w:rsidRPr="00915CB8">
        <w:rPr>
          <w:lang w:val="fr-CA"/>
        </w:rPr>
        <w:t>, L.C. 2000, c.</w:t>
      </w:r>
      <w:r w:rsidR="00601B6E">
        <w:rPr>
          <w:lang w:val="fr-CA"/>
        </w:rPr>
        <w:t xml:space="preserve"> </w:t>
      </w:r>
      <w:r w:rsidRPr="00915CB8">
        <w:rPr>
          <w:lang w:val="fr-CA"/>
        </w:rPr>
        <w:t xml:space="preserve">17, et le </w:t>
      </w:r>
      <w:r w:rsidRPr="00915CB8">
        <w:rPr>
          <w:i/>
          <w:lang w:val="fr-CA"/>
        </w:rPr>
        <w:t>Règlement sur le recyclage des produits de la criminalité et le financement des activités terroristes</w:t>
      </w:r>
      <w:r w:rsidRPr="00915CB8">
        <w:rPr>
          <w:lang w:val="fr-CA"/>
        </w:rPr>
        <w:t>, DORS/2002</w:t>
      </w:r>
      <w:r w:rsidR="00601B6E">
        <w:rPr>
          <w:lang w:val="fr-CA"/>
        </w:rPr>
        <w:t>-</w:t>
      </w:r>
      <w:r w:rsidRPr="00915CB8">
        <w:rPr>
          <w:lang w:val="fr-CA"/>
        </w:rPr>
        <w:t xml:space="preserve">184, imposent des obligations aux intermédiaires financiers, notamment aux avocats et aux notaires du Québec et aux avocats de toutes les autres provinces. Selon la législation, les intermédiaires financiers doivent recueillir et conserver des documents et des renseignements afin de vérifier l’identité des personnes pour le compte desquelles ils paient ou reçoivent de l’argent. La législation constitue un organisme chargé de </w:t>
      </w:r>
      <w:r w:rsidRPr="00915CB8">
        <w:rPr>
          <w:lang w:val="fr-CA"/>
        </w:rPr>
        <w:lastRenderedPageBreak/>
        <w:t xml:space="preserve">contrôler le respect de la </w:t>
      </w:r>
      <w:r w:rsidRPr="004F0412">
        <w:rPr>
          <w:iCs/>
          <w:lang w:val="fr-CA"/>
        </w:rPr>
        <w:t>Loi</w:t>
      </w:r>
      <w:r w:rsidRPr="00915CB8">
        <w:rPr>
          <w:lang w:val="fr-CA"/>
        </w:rPr>
        <w:t>, en l’occurrence le Centre d’analyse des opérations et déclarations financières du Canada, et lui permet de chercher ces documents et de les saisir. Elle impose des amendes et des sanctions pénales en cas de non</w:t>
      </w:r>
      <w:r w:rsidR="00601B6E">
        <w:rPr>
          <w:lang w:val="fr-CA"/>
        </w:rPr>
        <w:t>-</w:t>
      </w:r>
      <w:r>
        <w:rPr>
          <w:lang w:val="fr-CA"/>
        </w:rPr>
        <w:t>respect de la loi. Les alinéas</w:t>
      </w:r>
      <w:r w:rsidR="00601B6E">
        <w:rPr>
          <w:lang w:val="fr-CA"/>
        </w:rPr>
        <w:t xml:space="preserve"> </w:t>
      </w:r>
      <w:r w:rsidRPr="00915CB8">
        <w:rPr>
          <w:lang w:val="fr-CA"/>
        </w:rPr>
        <w:t>5</w:t>
      </w:r>
      <w:r w:rsidRPr="00915CB8">
        <w:rPr>
          <w:i/>
          <w:lang w:val="fr-CA"/>
        </w:rPr>
        <w:t>i</w:t>
      </w:r>
      <w:r w:rsidRPr="00915CB8">
        <w:rPr>
          <w:lang w:val="fr-CA"/>
        </w:rPr>
        <w:t>) et 5</w:t>
      </w:r>
      <w:r w:rsidRPr="00915CB8">
        <w:rPr>
          <w:i/>
          <w:lang w:val="fr-CA"/>
        </w:rPr>
        <w:t>j</w:t>
      </w:r>
      <w:r w:rsidRPr="00915CB8">
        <w:rPr>
          <w:lang w:val="fr-CA"/>
        </w:rPr>
        <w:t xml:space="preserve">) soumettent les professions mentionnées dans le </w:t>
      </w:r>
      <w:r w:rsidRPr="004F0412">
        <w:rPr>
          <w:iCs/>
          <w:lang w:val="fr-CA"/>
        </w:rPr>
        <w:t>Règlement</w:t>
      </w:r>
      <w:r w:rsidRPr="00915CB8">
        <w:rPr>
          <w:lang w:val="fr-CA"/>
        </w:rPr>
        <w:t xml:space="preserve"> aux obligations de tenue de documents et de vérification. L’article</w:t>
      </w:r>
      <w:r w:rsidR="00601B6E">
        <w:rPr>
          <w:lang w:val="fr-CA"/>
        </w:rPr>
        <w:t xml:space="preserve"> </w:t>
      </w:r>
      <w:r w:rsidRPr="00915CB8">
        <w:rPr>
          <w:lang w:val="fr-CA"/>
        </w:rPr>
        <w:t xml:space="preserve">33.3 du </w:t>
      </w:r>
      <w:r w:rsidRPr="004F0412">
        <w:rPr>
          <w:lang w:val="fr-CA"/>
        </w:rPr>
        <w:t xml:space="preserve">Règlement </w:t>
      </w:r>
      <w:r w:rsidRPr="00915CB8">
        <w:rPr>
          <w:lang w:val="fr-CA"/>
        </w:rPr>
        <w:t xml:space="preserve">assujettit les conseillers juridiques à la </w:t>
      </w:r>
      <w:r w:rsidRPr="004F0412">
        <w:rPr>
          <w:iCs/>
          <w:lang w:val="fr-CA"/>
        </w:rPr>
        <w:t>Loi</w:t>
      </w:r>
      <w:r w:rsidRPr="00915CB8">
        <w:rPr>
          <w:i/>
          <w:iCs/>
          <w:lang w:val="fr-CA"/>
        </w:rPr>
        <w:t xml:space="preserve"> </w:t>
      </w:r>
      <w:r w:rsidRPr="00915CB8">
        <w:rPr>
          <w:lang w:val="fr-CA"/>
        </w:rPr>
        <w:t>lorsqu’ils reçoivent ou paient des fonds ou donnent des instructions pour le paiement de fonds (autres que ceux reçus ou payés à titre d’honoraires, de débours, de dépenses ou de cautionnement ou lorsque le conseiller juridique exerce une de ces activités pour le compte de son employeur). Les articles</w:t>
      </w:r>
      <w:r w:rsidR="00601B6E">
        <w:rPr>
          <w:lang w:val="fr-CA"/>
        </w:rPr>
        <w:t xml:space="preserve"> </w:t>
      </w:r>
      <w:r w:rsidRPr="00915CB8">
        <w:rPr>
          <w:lang w:val="fr-CA"/>
        </w:rPr>
        <w:t xml:space="preserve">33.4 et 33.5 du </w:t>
      </w:r>
      <w:r w:rsidRPr="004F0412">
        <w:rPr>
          <w:lang w:val="fr-CA"/>
        </w:rPr>
        <w:t>Règlement</w:t>
      </w:r>
      <w:r w:rsidRPr="00915CB8">
        <w:rPr>
          <w:lang w:val="fr-CA"/>
        </w:rPr>
        <w:t xml:space="preserve"> imposent des obligations en matière de tenue de documents. L’article</w:t>
      </w:r>
      <w:r w:rsidR="00601B6E">
        <w:rPr>
          <w:lang w:val="fr-CA"/>
        </w:rPr>
        <w:t xml:space="preserve"> </w:t>
      </w:r>
      <w:r w:rsidRPr="00915CB8">
        <w:rPr>
          <w:lang w:val="fr-CA"/>
        </w:rPr>
        <w:t xml:space="preserve">59.4 du </w:t>
      </w:r>
      <w:r w:rsidRPr="004F0412">
        <w:rPr>
          <w:lang w:val="fr-CA"/>
        </w:rPr>
        <w:t>Règlement</w:t>
      </w:r>
      <w:r w:rsidRPr="00915CB8">
        <w:rPr>
          <w:i/>
          <w:lang w:val="fr-CA"/>
        </w:rPr>
        <w:t xml:space="preserve"> </w:t>
      </w:r>
      <w:r w:rsidRPr="00915CB8">
        <w:rPr>
          <w:lang w:val="fr-CA"/>
        </w:rPr>
        <w:t>impose des obligations d’identification. L’article</w:t>
      </w:r>
      <w:r w:rsidR="00601B6E">
        <w:rPr>
          <w:lang w:val="fr-CA"/>
        </w:rPr>
        <w:t xml:space="preserve"> </w:t>
      </w:r>
      <w:r w:rsidRPr="00915CB8">
        <w:rPr>
          <w:lang w:val="fr-CA"/>
        </w:rPr>
        <w:t xml:space="preserve">11.1 du </w:t>
      </w:r>
      <w:r w:rsidRPr="004F0412">
        <w:rPr>
          <w:lang w:val="fr-CA"/>
        </w:rPr>
        <w:t>Règlement</w:t>
      </w:r>
      <w:r w:rsidRPr="00915CB8">
        <w:rPr>
          <w:i/>
          <w:lang w:val="fr-CA"/>
        </w:rPr>
        <w:t xml:space="preserve"> </w:t>
      </w:r>
      <w:r w:rsidRPr="00915CB8">
        <w:rPr>
          <w:lang w:val="fr-CA"/>
        </w:rPr>
        <w:t>énumère les renseignements qui doivent être recueillis et conservés au cours de la vérification de l’identité. Les articles</w:t>
      </w:r>
      <w:r w:rsidR="00601B6E">
        <w:rPr>
          <w:lang w:val="fr-CA"/>
        </w:rPr>
        <w:t xml:space="preserve"> </w:t>
      </w:r>
      <w:r w:rsidRPr="00915CB8">
        <w:rPr>
          <w:lang w:val="fr-CA"/>
        </w:rPr>
        <w:t xml:space="preserve">62, 63 et 63.1 de la </w:t>
      </w:r>
      <w:r w:rsidRPr="004F0412">
        <w:rPr>
          <w:lang w:val="fr-CA"/>
        </w:rPr>
        <w:t>Loi</w:t>
      </w:r>
      <w:r w:rsidRPr="00915CB8">
        <w:rPr>
          <w:lang w:val="fr-CA"/>
        </w:rPr>
        <w:t xml:space="preserve"> confèrent des pouvoirs de fouille, de perquisition et de saisie. L’article</w:t>
      </w:r>
      <w:r w:rsidR="00601B6E">
        <w:rPr>
          <w:lang w:val="fr-CA"/>
        </w:rPr>
        <w:t xml:space="preserve"> </w:t>
      </w:r>
      <w:r w:rsidRPr="00915CB8">
        <w:rPr>
          <w:lang w:val="fr-CA"/>
        </w:rPr>
        <w:t>64, quant à lui, prévoit certaines restrictions à ces pouvoirs dans le cas de documents à l’égard desquels le secret professionnel de l’avocat est revendiqué.</w:t>
      </w:r>
    </w:p>
    <w:p w:rsidR="00707CB2" w:rsidRPr="00915CB8" w:rsidRDefault="00707CB2" w:rsidP="00707CB2">
      <w:pPr>
        <w:pStyle w:val="SCCNormalDoubleSpacing"/>
        <w:spacing w:before="480" w:after="480"/>
        <w:rPr>
          <w:i/>
          <w:lang w:val="fr-CA"/>
        </w:rPr>
      </w:pPr>
      <w:r w:rsidRPr="00915CB8">
        <w:rPr>
          <w:lang w:val="fr-CA"/>
        </w:rPr>
        <w:tab/>
        <w:t>La Fédération des ordres professionnels de juristes a attaqué la constitutionnalité des dispositions de la législation qui s’appliquent aux avocats. La juge de première instance de la Cour suprême de la Colombie</w:t>
      </w:r>
      <w:r w:rsidR="00601B6E">
        <w:rPr>
          <w:lang w:val="fr-CA"/>
        </w:rPr>
        <w:t>-</w:t>
      </w:r>
      <w:r w:rsidRPr="00915CB8">
        <w:rPr>
          <w:lang w:val="fr-CA"/>
        </w:rPr>
        <w:t>Britannique a conclu que les dispositions contestées violent l’art.</w:t>
      </w:r>
      <w:r w:rsidR="00601B6E">
        <w:rPr>
          <w:lang w:val="fr-CA"/>
        </w:rPr>
        <w:t xml:space="preserve"> </w:t>
      </w:r>
      <w:r w:rsidRPr="00915CB8">
        <w:rPr>
          <w:lang w:val="fr-CA"/>
        </w:rPr>
        <w:t xml:space="preserve">7 de la </w:t>
      </w:r>
      <w:r w:rsidRPr="00915CB8">
        <w:rPr>
          <w:i/>
          <w:lang w:val="fr-CA"/>
        </w:rPr>
        <w:t>Charte</w:t>
      </w:r>
      <w:r w:rsidRPr="00915CB8">
        <w:rPr>
          <w:lang w:val="fr-CA"/>
        </w:rPr>
        <w:t xml:space="preserve"> et que cette violation n’est pas sauvegardée par l’article premier de la </w:t>
      </w:r>
      <w:r w:rsidRPr="00915CB8">
        <w:rPr>
          <w:i/>
          <w:lang w:val="fr-CA"/>
        </w:rPr>
        <w:t>Charte</w:t>
      </w:r>
      <w:r w:rsidRPr="00915CB8">
        <w:rPr>
          <w:lang w:val="fr-CA"/>
        </w:rPr>
        <w:t>. Elle n’a pas décidé si les dispositions contreviennent à l’art.</w:t>
      </w:r>
      <w:r w:rsidR="00601B6E">
        <w:rPr>
          <w:lang w:val="fr-CA"/>
        </w:rPr>
        <w:t xml:space="preserve"> </w:t>
      </w:r>
      <w:r w:rsidRPr="00915CB8">
        <w:rPr>
          <w:lang w:val="fr-CA"/>
        </w:rPr>
        <w:t xml:space="preserve">8 de la </w:t>
      </w:r>
      <w:r w:rsidRPr="00915CB8">
        <w:rPr>
          <w:i/>
          <w:lang w:val="fr-CA"/>
        </w:rPr>
        <w:t>Charte</w:t>
      </w:r>
      <w:r w:rsidRPr="00915CB8">
        <w:rPr>
          <w:lang w:val="fr-CA"/>
        </w:rPr>
        <w:t>. Elle a donné une interprétation atténuée des al.</w:t>
      </w:r>
      <w:r w:rsidR="00601B6E">
        <w:rPr>
          <w:lang w:val="fr-CA"/>
        </w:rPr>
        <w:t xml:space="preserve"> </w:t>
      </w:r>
      <w:r w:rsidRPr="00915CB8">
        <w:rPr>
          <w:lang w:val="fr-CA"/>
        </w:rPr>
        <w:t>5</w:t>
      </w:r>
      <w:r w:rsidRPr="00915CB8">
        <w:rPr>
          <w:i/>
          <w:lang w:val="fr-CA"/>
        </w:rPr>
        <w:t>i</w:t>
      </w:r>
      <w:r w:rsidRPr="00915CB8">
        <w:rPr>
          <w:lang w:val="fr-CA"/>
        </w:rPr>
        <w:t>) et 5</w:t>
      </w:r>
      <w:r w:rsidRPr="00915CB8">
        <w:rPr>
          <w:i/>
          <w:lang w:val="fr-CA"/>
        </w:rPr>
        <w:t>j</w:t>
      </w:r>
      <w:r w:rsidRPr="00915CB8">
        <w:rPr>
          <w:lang w:val="fr-CA"/>
        </w:rPr>
        <w:t xml:space="preserve">) et des </w:t>
      </w:r>
      <w:proofErr w:type="gramStart"/>
      <w:r w:rsidRPr="00915CB8">
        <w:rPr>
          <w:lang w:val="fr-CA"/>
        </w:rPr>
        <w:t>art</w:t>
      </w:r>
      <w:proofErr w:type="gramEnd"/>
      <w:r w:rsidRPr="00915CB8">
        <w:rPr>
          <w:lang w:val="fr-CA"/>
        </w:rPr>
        <w:t>.</w:t>
      </w:r>
      <w:r w:rsidR="00601B6E">
        <w:rPr>
          <w:lang w:val="fr-CA"/>
        </w:rPr>
        <w:t xml:space="preserve"> </w:t>
      </w:r>
      <w:r w:rsidRPr="00915CB8">
        <w:rPr>
          <w:lang w:val="fr-CA"/>
        </w:rPr>
        <w:t xml:space="preserve">62, 63 et 63.1 de la </w:t>
      </w:r>
      <w:r w:rsidRPr="004F0412">
        <w:rPr>
          <w:iCs/>
          <w:lang w:val="fr-CA"/>
        </w:rPr>
        <w:t>Loi</w:t>
      </w:r>
      <w:r w:rsidRPr="00915CB8">
        <w:rPr>
          <w:lang w:val="fr-CA"/>
        </w:rPr>
        <w:t xml:space="preserve"> ainsi que de l’art.</w:t>
      </w:r>
      <w:r w:rsidR="00601B6E">
        <w:rPr>
          <w:lang w:val="fr-CA"/>
        </w:rPr>
        <w:t xml:space="preserve"> </w:t>
      </w:r>
      <w:r w:rsidRPr="00915CB8">
        <w:rPr>
          <w:lang w:val="fr-CA"/>
        </w:rPr>
        <w:t xml:space="preserve">11.1 </w:t>
      </w:r>
      <w:proofErr w:type="gramStart"/>
      <w:r w:rsidRPr="00915CB8">
        <w:rPr>
          <w:lang w:val="fr-CA"/>
        </w:rPr>
        <w:t>du</w:t>
      </w:r>
      <w:proofErr w:type="gramEnd"/>
      <w:r w:rsidRPr="00915CB8">
        <w:rPr>
          <w:lang w:val="fr-CA"/>
        </w:rPr>
        <w:t xml:space="preserve"> </w:t>
      </w:r>
      <w:r w:rsidRPr="004F0412">
        <w:rPr>
          <w:iCs/>
          <w:lang w:val="fr-CA"/>
        </w:rPr>
        <w:lastRenderedPageBreak/>
        <w:t>Règlement</w:t>
      </w:r>
      <w:r w:rsidRPr="004F0412">
        <w:rPr>
          <w:lang w:val="fr-CA"/>
        </w:rPr>
        <w:t xml:space="preserve"> </w:t>
      </w:r>
      <w:r w:rsidRPr="00915CB8">
        <w:rPr>
          <w:lang w:val="fr-CA"/>
        </w:rPr>
        <w:t>pour exclure les conseillers juridiques et les cabinets d’avocats. Elle a invalidé l’art.</w:t>
      </w:r>
      <w:r w:rsidR="00601B6E">
        <w:rPr>
          <w:lang w:val="fr-CA"/>
        </w:rPr>
        <w:t xml:space="preserve"> </w:t>
      </w:r>
      <w:r w:rsidRPr="00915CB8">
        <w:rPr>
          <w:lang w:val="fr-CA"/>
        </w:rPr>
        <w:t xml:space="preserve">64 de la </w:t>
      </w:r>
      <w:r w:rsidRPr="004F0412">
        <w:rPr>
          <w:iCs/>
          <w:lang w:val="fr-CA"/>
        </w:rPr>
        <w:t>Loi</w:t>
      </w:r>
      <w:r w:rsidRPr="004F0412">
        <w:rPr>
          <w:lang w:val="fr-CA"/>
        </w:rPr>
        <w:t xml:space="preserve"> </w:t>
      </w:r>
      <w:r w:rsidRPr="00915CB8">
        <w:rPr>
          <w:lang w:val="fr-CA"/>
        </w:rPr>
        <w:t xml:space="preserve">de même que </w:t>
      </w:r>
      <w:proofErr w:type="gramStart"/>
      <w:r w:rsidRPr="00915CB8">
        <w:rPr>
          <w:lang w:val="fr-CA"/>
        </w:rPr>
        <w:t>les art</w:t>
      </w:r>
      <w:proofErr w:type="gramEnd"/>
      <w:r w:rsidRPr="00915CB8">
        <w:rPr>
          <w:lang w:val="fr-CA"/>
        </w:rPr>
        <w:t>.</w:t>
      </w:r>
      <w:r w:rsidR="00601B6E">
        <w:rPr>
          <w:lang w:val="fr-CA"/>
        </w:rPr>
        <w:t xml:space="preserve"> </w:t>
      </w:r>
      <w:r w:rsidRPr="00915CB8">
        <w:rPr>
          <w:lang w:val="fr-CA"/>
        </w:rPr>
        <w:t>33.3, 33.4, 33.5 et</w:t>
      </w:r>
      <w:r w:rsidR="00601B6E">
        <w:rPr>
          <w:lang w:val="fr-CA"/>
        </w:rPr>
        <w:t xml:space="preserve"> </w:t>
      </w:r>
      <w:r w:rsidRPr="00915CB8">
        <w:rPr>
          <w:lang w:val="fr-CA"/>
        </w:rPr>
        <w:t xml:space="preserve">59.4 du </w:t>
      </w:r>
      <w:r w:rsidRPr="004F0412">
        <w:rPr>
          <w:iCs/>
          <w:lang w:val="fr-CA"/>
        </w:rPr>
        <w:t>Règlement</w:t>
      </w:r>
      <w:r w:rsidRPr="004F0412">
        <w:rPr>
          <w:lang w:val="fr-CA"/>
        </w:rPr>
        <w:t>.</w:t>
      </w:r>
      <w:r w:rsidRPr="00915CB8">
        <w:rPr>
          <w:lang w:val="fr-CA"/>
        </w:rPr>
        <w:t xml:space="preserve"> La Cour d’appel de la Colombie</w:t>
      </w:r>
      <w:r w:rsidR="00601B6E">
        <w:rPr>
          <w:lang w:val="fr-CA"/>
        </w:rPr>
        <w:t>-</w:t>
      </w:r>
      <w:r w:rsidRPr="00915CB8">
        <w:rPr>
          <w:lang w:val="fr-CA"/>
        </w:rPr>
        <w:t xml:space="preserve">Britannique a rejeté l’appel.  </w:t>
      </w:r>
    </w:p>
    <w:p w:rsidR="00707CB2" w:rsidRPr="00915CB8" w:rsidRDefault="00707CB2" w:rsidP="00707CB2">
      <w:pPr>
        <w:pStyle w:val="SCCNormalDoubleSpacing"/>
        <w:spacing w:before="480" w:after="480"/>
        <w:rPr>
          <w:lang w:val="fr-CA"/>
        </w:rPr>
      </w:pPr>
      <w:r w:rsidRPr="00915CB8">
        <w:rPr>
          <w:lang w:val="fr-CA"/>
        </w:rPr>
        <w:tab/>
      </w:r>
      <w:r w:rsidRPr="00915CB8">
        <w:rPr>
          <w:i/>
          <w:lang w:val="fr-CA"/>
        </w:rPr>
        <w:t>Arrêt</w:t>
      </w:r>
      <w:r w:rsidR="00601B6E">
        <w:rPr>
          <w:lang w:val="fr-CA"/>
        </w:rPr>
        <w:t> :</w:t>
      </w:r>
      <w:r w:rsidRPr="00915CB8">
        <w:rPr>
          <w:lang w:val="fr-CA"/>
        </w:rPr>
        <w:t xml:space="preserve"> Le pourvoi est accueilli en partie. Est annulée la partie de l’ordonnance où la juge de première instance déclare les al.</w:t>
      </w:r>
      <w:r w:rsidR="00601B6E">
        <w:rPr>
          <w:lang w:val="fr-CA"/>
        </w:rPr>
        <w:t xml:space="preserve"> </w:t>
      </w:r>
      <w:r w:rsidRPr="00915CB8">
        <w:rPr>
          <w:lang w:val="fr-CA"/>
        </w:rPr>
        <w:t>5</w:t>
      </w:r>
      <w:r w:rsidRPr="00915CB8">
        <w:rPr>
          <w:i/>
          <w:iCs/>
          <w:lang w:val="fr-CA"/>
        </w:rPr>
        <w:t>i</w:t>
      </w:r>
      <w:r w:rsidRPr="00915CB8">
        <w:rPr>
          <w:lang w:val="fr-CA"/>
        </w:rPr>
        <w:t>) et 5</w:t>
      </w:r>
      <w:r w:rsidRPr="00915CB8">
        <w:rPr>
          <w:i/>
          <w:iCs/>
          <w:lang w:val="fr-CA"/>
        </w:rPr>
        <w:t>j</w:t>
      </w:r>
      <w:r w:rsidRPr="00915CB8">
        <w:rPr>
          <w:lang w:val="fr-CA"/>
        </w:rPr>
        <w:t xml:space="preserve">) de la </w:t>
      </w:r>
      <w:r w:rsidRPr="004F0412">
        <w:rPr>
          <w:iCs/>
          <w:lang w:val="fr-CA"/>
        </w:rPr>
        <w:t>Loi</w:t>
      </w:r>
      <w:r w:rsidRPr="00915CB8">
        <w:rPr>
          <w:i/>
          <w:iCs/>
          <w:lang w:val="fr-CA"/>
        </w:rPr>
        <w:t xml:space="preserve"> </w:t>
      </w:r>
      <w:r w:rsidRPr="00915CB8">
        <w:rPr>
          <w:lang w:val="fr-CA"/>
        </w:rPr>
        <w:t xml:space="preserve">incompatibles avec la Constitution du Canada et inopérants dans la mesure où les </w:t>
      </w:r>
      <w:r w:rsidR="00601B6E">
        <w:rPr>
          <w:lang w:val="fr-CA"/>
        </w:rPr>
        <w:t>« </w:t>
      </w:r>
      <w:r w:rsidRPr="00915CB8">
        <w:rPr>
          <w:lang w:val="fr-CA"/>
        </w:rPr>
        <w:t>personnes et les entités</w:t>
      </w:r>
      <w:r w:rsidR="00601B6E">
        <w:rPr>
          <w:lang w:val="fr-CA"/>
        </w:rPr>
        <w:t> »</w:t>
      </w:r>
      <w:r w:rsidRPr="00915CB8">
        <w:rPr>
          <w:lang w:val="fr-CA"/>
        </w:rPr>
        <w:t xml:space="preserve"> mentionnées à ces alinéas comprennent les conseillers juridiques et les </w:t>
      </w:r>
      <w:r>
        <w:rPr>
          <w:lang w:val="fr-CA"/>
        </w:rPr>
        <w:t>cabinets d’avocats. Les alinéas</w:t>
      </w:r>
      <w:r w:rsidR="00601B6E">
        <w:rPr>
          <w:lang w:val="fr-CA"/>
        </w:rPr>
        <w:t xml:space="preserve"> </w:t>
      </w:r>
      <w:r w:rsidRPr="00915CB8">
        <w:rPr>
          <w:lang w:val="fr-CA"/>
        </w:rPr>
        <w:t>5</w:t>
      </w:r>
      <w:r w:rsidRPr="00915CB8">
        <w:rPr>
          <w:i/>
          <w:iCs/>
          <w:lang w:val="fr-CA"/>
        </w:rPr>
        <w:t>i</w:t>
      </w:r>
      <w:r w:rsidRPr="00915CB8">
        <w:rPr>
          <w:lang w:val="fr-CA"/>
        </w:rPr>
        <w:t>) et 5</w:t>
      </w:r>
      <w:r w:rsidRPr="00915CB8">
        <w:rPr>
          <w:i/>
          <w:iCs/>
          <w:lang w:val="fr-CA"/>
        </w:rPr>
        <w:t>j</w:t>
      </w:r>
      <w:r w:rsidRPr="00915CB8">
        <w:rPr>
          <w:lang w:val="fr-CA"/>
        </w:rPr>
        <w:t xml:space="preserve">) sont supprimés de la partie de l’ordonnance donnant à </w:t>
      </w:r>
      <w:r>
        <w:rPr>
          <w:lang w:val="fr-CA"/>
        </w:rPr>
        <w:t xml:space="preserve">ces alinéas de même </w:t>
      </w:r>
      <w:proofErr w:type="gramStart"/>
      <w:r>
        <w:rPr>
          <w:lang w:val="fr-CA"/>
        </w:rPr>
        <w:t>qu’aux art</w:t>
      </w:r>
      <w:proofErr w:type="gramEnd"/>
      <w:r>
        <w:rPr>
          <w:lang w:val="fr-CA"/>
        </w:rPr>
        <w:t>.</w:t>
      </w:r>
      <w:r w:rsidR="00601B6E">
        <w:rPr>
          <w:lang w:val="fr-CA"/>
        </w:rPr>
        <w:t xml:space="preserve"> </w:t>
      </w:r>
      <w:r w:rsidRPr="00915CB8">
        <w:rPr>
          <w:lang w:val="fr-CA"/>
        </w:rPr>
        <w:t xml:space="preserve">62, 63 et 63.1 de la </w:t>
      </w:r>
      <w:r w:rsidRPr="004F0412">
        <w:rPr>
          <w:lang w:val="fr-CA"/>
        </w:rPr>
        <w:t>Loi</w:t>
      </w:r>
      <w:r w:rsidRPr="00915CB8">
        <w:rPr>
          <w:lang w:val="fr-CA"/>
        </w:rPr>
        <w:t xml:space="preserve"> une interprétation atténuée pour soustraire à leur application les conseillers juridiques et les cabinets d’avocats. Pour le reste, le pourvoi est rejeté. </w:t>
      </w:r>
    </w:p>
    <w:p w:rsidR="00707CB2" w:rsidRPr="00915CB8" w:rsidRDefault="00707CB2" w:rsidP="00707CB2">
      <w:pPr>
        <w:pStyle w:val="SCCNormalDoubleSpacing"/>
        <w:spacing w:before="480" w:after="480"/>
        <w:rPr>
          <w:lang w:val="fr-CA"/>
        </w:rPr>
      </w:pPr>
      <w:r w:rsidRPr="00915CB8">
        <w:rPr>
          <w:i/>
          <w:lang w:val="fr-CA"/>
        </w:rPr>
        <w:tab/>
        <w:t xml:space="preserve">Les </w:t>
      </w:r>
      <w:r w:rsidRPr="00915CB8">
        <w:rPr>
          <w:lang w:val="fr-CA"/>
        </w:rPr>
        <w:t xml:space="preserve">juges </w:t>
      </w:r>
      <w:proofErr w:type="spellStart"/>
      <w:r w:rsidRPr="00915CB8">
        <w:rPr>
          <w:lang w:val="fr-CA"/>
        </w:rPr>
        <w:t>LeBel</w:t>
      </w:r>
      <w:proofErr w:type="spellEnd"/>
      <w:r w:rsidRPr="00915CB8">
        <w:rPr>
          <w:lang w:val="fr-CA"/>
        </w:rPr>
        <w:t>, Abella,</w:t>
      </w:r>
      <w:r w:rsidRPr="00915CB8">
        <w:rPr>
          <w:b/>
          <w:lang w:val="fr-CA"/>
        </w:rPr>
        <w:t xml:space="preserve"> </w:t>
      </w:r>
      <w:r w:rsidRPr="004F0412">
        <w:rPr>
          <w:lang w:val="fr-CA"/>
        </w:rPr>
        <w:t>Cromwell</w:t>
      </w:r>
      <w:r w:rsidRPr="00915CB8">
        <w:rPr>
          <w:lang w:val="fr-CA"/>
        </w:rPr>
        <w:t xml:space="preserve">, </w:t>
      </w:r>
      <w:proofErr w:type="spellStart"/>
      <w:r w:rsidRPr="00915CB8">
        <w:rPr>
          <w:lang w:val="fr-CA"/>
        </w:rPr>
        <w:t>Karakatsanis</w:t>
      </w:r>
      <w:proofErr w:type="spellEnd"/>
      <w:r w:rsidRPr="00915CB8">
        <w:rPr>
          <w:lang w:val="fr-CA"/>
        </w:rPr>
        <w:t xml:space="preserve"> et Wagner</w:t>
      </w:r>
      <w:r w:rsidR="00601B6E">
        <w:rPr>
          <w:lang w:val="fr-CA"/>
        </w:rPr>
        <w:t> :</w:t>
      </w:r>
      <w:r w:rsidRPr="00915CB8">
        <w:rPr>
          <w:lang w:val="fr-CA"/>
        </w:rPr>
        <w:t xml:space="preserve"> Les alinéas</w:t>
      </w:r>
      <w:r w:rsidR="00601B6E">
        <w:rPr>
          <w:lang w:val="fr-CA"/>
        </w:rPr>
        <w:t xml:space="preserve"> </w:t>
      </w:r>
      <w:r w:rsidRPr="00915CB8">
        <w:rPr>
          <w:lang w:val="fr-CA"/>
        </w:rPr>
        <w:t>5</w:t>
      </w:r>
      <w:r w:rsidRPr="00915CB8">
        <w:rPr>
          <w:i/>
          <w:iCs/>
          <w:lang w:val="fr-CA"/>
        </w:rPr>
        <w:t>i</w:t>
      </w:r>
      <w:r w:rsidRPr="00915CB8">
        <w:rPr>
          <w:lang w:val="fr-CA"/>
        </w:rPr>
        <w:t>) et 5</w:t>
      </w:r>
      <w:r w:rsidRPr="00915CB8">
        <w:rPr>
          <w:i/>
          <w:iCs/>
          <w:lang w:val="fr-CA"/>
        </w:rPr>
        <w:t>j</w:t>
      </w:r>
      <w:r w:rsidRPr="00915CB8">
        <w:rPr>
          <w:lang w:val="fr-CA"/>
        </w:rPr>
        <w:t xml:space="preserve">) de la </w:t>
      </w:r>
      <w:r w:rsidRPr="004F0412">
        <w:rPr>
          <w:iCs/>
          <w:lang w:val="fr-CA"/>
        </w:rPr>
        <w:t>Loi</w:t>
      </w:r>
      <w:r w:rsidRPr="00915CB8">
        <w:rPr>
          <w:i/>
          <w:iCs/>
          <w:lang w:val="fr-CA"/>
        </w:rPr>
        <w:t xml:space="preserve"> </w:t>
      </w:r>
      <w:r w:rsidRPr="00915CB8">
        <w:rPr>
          <w:iCs/>
          <w:lang w:val="fr-CA"/>
        </w:rPr>
        <w:t xml:space="preserve">ne font qu’autoriser la prise de règlements </w:t>
      </w:r>
      <w:r w:rsidRPr="00915CB8">
        <w:rPr>
          <w:lang w:val="fr-CA"/>
        </w:rPr>
        <w:t xml:space="preserve">et ne violent pas à eux seuls la </w:t>
      </w:r>
      <w:r w:rsidRPr="00915CB8">
        <w:rPr>
          <w:i/>
          <w:iCs/>
          <w:lang w:val="fr-CA"/>
        </w:rPr>
        <w:t>Charte</w:t>
      </w:r>
      <w:r w:rsidRPr="00915CB8">
        <w:rPr>
          <w:lang w:val="fr-CA"/>
        </w:rPr>
        <w:t>.</w:t>
      </w:r>
    </w:p>
    <w:p w:rsidR="00707CB2" w:rsidRPr="00915CB8" w:rsidRDefault="00707CB2" w:rsidP="00707CB2">
      <w:pPr>
        <w:pStyle w:val="SCCNormalDoubleSpacing"/>
        <w:spacing w:before="480" w:after="480"/>
        <w:rPr>
          <w:lang w:val="fr-CA"/>
        </w:rPr>
      </w:pPr>
      <w:r w:rsidRPr="00915CB8">
        <w:rPr>
          <w:lang w:val="fr-CA"/>
        </w:rPr>
        <w:tab/>
        <w:t>Les articles</w:t>
      </w:r>
      <w:r w:rsidR="00601B6E">
        <w:rPr>
          <w:lang w:val="fr-CA"/>
        </w:rPr>
        <w:t xml:space="preserve"> </w:t>
      </w:r>
      <w:r w:rsidRPr="00915CB8">
        <w:rPr>
          <w:lang w:val="fr-CA"/>
        </w:rPr>
        <w:t xml:space="preserve">62, 63 et 63.1 de la </w:t>
      </w:r>
      <w:r w:rsidRPr="004F0412">
        <w:rPr>
          <w:lang w:val="fr-CA"/>
        </w:rPr>
        <w:t>Loi</w:t>
      </w:r>
      <w:r w:rsidRPr="00915CB8">
        <w:rPr>
          <w:lang w:val="fr-CA"/>
        </w:rPr>
        <w:t>, dans la mesure où ils s’appliquent aux documents en la possession d’un conseiller juridique ou d’un cabinet d’avocats, et l’art.</w:t>
      </w:r>
      <w:r w:rsidR="00601B6E">
        <w:rPr>
          <w:lang w:val="fr-CA"/>
        </w:rPr>
        <w:t xml:space="preserve"> </w:t>
      </w:r>
      <w:r w:rsidRPr="00915CB8">
        <w:rPr>
          <w:lang w:val="fr-CA"/>
        </w:rPr>
        <w:t xml:space="preserve">64 de la </w:t>
      </w:r>
      <w:r w:rsidRPr="004F0412">
        <w:rPr>
          <w:lang w:val="fr-CA"/>
        </w:rPr>
        <w:t>Loi</w:t>
      </w:r>
      <w:r w:rsidRPr="00915CB8">
        <w:rPr>
          <w:i/>
          <w:lang w:val="fr-CA"/>
        </w:rPr>
        <w:t xml:space="preserve"> </w:t>
      </w:r>
      <w:r w:rsidRPr="00915CB8">
        <w:rPr>
          <w:lang w:val="fr-CA"/>
        </w:rPr>
        <w:t>contreviennent à l’art.</w:t>
      </w:r>
      <w:r w:rsidR="00601B6E">
        <w:rPr>
          <w:lang w:val="fr-CA"/>
        </w:rPr>
        <w:t xml:space="preserve"> </w:t>
      </w:r>
      <w:r w:rsidRPr="00915CB8">
        <w:rPr>
          <w:lang w:val="fr-CA"/>
        </w:rPr>
        <w:t xml:space="preserve">8 de la </w:t>
      </w:r>
      <w:r w:rsidRPr="00915CB8">
        <w:rPr>
          <w:i/>
          <w:lang w:val="fr-CA"/>
        </w:rPr>
        <w:t>Charte</w:t>
      </w:r>
      <w:r w:rsidRPr="00915CB8">
        <w:rPr>
          <w:lang w:val="fr-CA"/>
        </w:rPr>
        <w:t>. Ces dispositions ont un caractère principalement pénal plutôt qu’administratif. Elles aident à détecter et à décourager les infractions criminelles et facilitent les enquêtes et les poursuites relatives à ces infractions. Des sanctions pénales sont imposées en cas de non</w:t>
      </w:r>
      <w:r w:rsidR="00601B6E">
        <w:rPr>
          <w:lang w:val="fr-CA"/>
        </w:rPr>
        <w:t>-</w:t>
      </w:r>
      <w:r w:rsidRPr="00915CB8">
        <w:rPr>
          <w:lang w:val="fr-CA"/>
        </w:rPr>
        <w:t xml:space="preserve">respect de la loi. Ces dispositions autorisent une perquisition approfondie du cabinet </w:t>
      </w:r>
      <w:r w:rsidRPr="00915CB8">
        <w:rPr>
          <w:lang w:val="fr-CA"/>
        </w:rPr>
        <w:lastRenderedPageBreak/>
        <w:t xml:space="preserve">d’avocats qui risque, de par sa nature, de violer le secret professionnel de l’avocat. L’attente à l’égard de la confidentialité des communications protégées par le secret professionnel de l’avocat est invariablement élevée, peu importe le contexte, et aucun élément du contexte réglementaire de la </w:t>
      </w:r>
      <w:r w:rsidRPr="004F0412">
        <w:rPr>
          <w:lang w:val="fr-CA"/>
        </w:rPr>
        <w:t>Loi</w:t>
      </w:r>
      <w:r w:rsidRPr="00915CB8">
        <w:rPr>
          <w:lang w:val="fr-CA"/>
        </w:rPr>
        <w:t xml:space="preserve"> ni le fait qu’un organisme de réglementation procède aux perquisitions n’a pour effet de diminuer cette attente. Les principes en matière de perquisition d’un cabinet d’avocats qui sont énoncés dans </w:t>
      </w:r>
      <w:proofErr w:type="spellStart"/>
      <w:r w:rsidRPr="00915CB8">
        <w:rPr>
          <w:i/>
          <w:lang w:val="fr-CA"/>
        </w:rPr>
        <w:t>Lavallee</w:t>
      </w:r>
      <w:proofErr w:type="spellEnd"/>
      <w:r w:rsidRPr="00915CB8">
        <w:rPr>
          <w:i/>
          <w:lang w:val="fr-CA"/>
        </w:rPr>
        <w:t xml:space="preserve">, </w:t>
      </w:r>
      <w:proofErr w:type="spellStart"/>
      <w:r w:rsidRPr="00915CB8">
        <w:rPr>
          <w:i/>
          <w:lang w:val="fr-CA"/>
        </w:rPr>
        <w:t>Rackel</w:t>
      </w:r>
      <w:proofErr w:type="spellEnd"/>
      <w:r w:rsidRPr="00915CB8">
        <w:rPr>
          <w:i/>
          <w:lang w:val="fr-CA"/>
        </w:rPr>
        <w:t xml:space="preserve"> &amp; </w:t>
      </w:r>
      <w:proofErr w:type="spellStart"/>
      <w:r w:rsidRPr="00915CB8">
        <w:rPr>
          <w:i/>
          <w:lang w:val="fr-CA"/>
        </w:rPr>
        <w:t>Heintz</w:t>
      </w:r>
      <w:proofErr w:type="spellEnd"/>
      <w:r w:rsidRPr="00915CB8">
        <w:rPr>
          <w:i/>
          <w:lang w:val="fr-CA"/>
        </w:rPr>
        <w:t xml:space="preserve"> c. Canada (Procureur général)</w:t>
      </w:r>
      <w:r w:rsidRPr="00915CB8">
        <w:rPr>
          <w:lang w:val="fr-CA"/>
        </w:rPr>
        <w:t>, 2002 CSC 61, [2002] 3 R.C.S. 209, s’appliquent et les dispositions en cause ne respectent pas ces normes. Le secret professionnel de l’avocat doit demeurer aussi absolu que possible. Il doit exister une norme rigoureuse pour assurer sa protection et les dispositions législatives ne doivent pas porter atteinte au secret professionnel plus que ce qui est absolument nécessaire. Ces dispositions déplacent à tort aux avocats le fardeau de protéger le privilège. Rien n’exige qu’un avis soit donné au client et il est possible que le client ne sache même pas que son privilège est menacé. Aucun protocole n’est prévu pour permettre une intervention légale indépendante lorsqu’il est impossible d’aviser le client. Le juge n’a pas le pouvoir discrétionnaire d’apprécier de son propre chef le secret professionnel revendiqué. Rien n’exige qu’on obtienne une autorisation judiciaire avant de perquisitionner, sauf si la perquisition a lieu dans un cabinet à domicile. Les perquisitions ne sont pas subordonnées à la preuve qu’il n’existe aucune solution de rechange raisonnable. Les dispositions autorisent les perquisitions sans mandat, qui sont présumée</w:t>
      </w:r>
      <w:r w:rsidR="004F0412">
        <w:rPr>
          <w:lang w:val="fr-CA"/>
        </w:rPr>
        <w:t>s</w:t>
      </w:r>
      <w:r w:rsidRPr="00915CB8">
        <w:rPr>
          <w:lang w:val="fr-CA"/>
        </w:rPr>
        <w:t xml:space="preserve"> abusives. L’examen et la reproduction des documents se poursuivent jusqu’à ce que le secret professionnel soit invoqué, ce qui augmente considérablement le risque que le secret professionnel soit violé. Pour revendiquer le secret professionnel, il faut révéler les nom et adresse du client même </w:t>
      </w:r>
      <w:r w:rsidRPr="00915CB8">
        <w:rPr>
          <w:lang w:val="fr-CA"/>
        </w:rPr>
        <w:lastRenderedPageBreak/>
        <w:t xml:space="preserve">s’il se peut que ces renseignements soient protégés par le secret professionnel. Les pouvoirs de perquisition et de fouille qui sont prévus </w:t>
      </w:r>
      <w:proofErr w:type="gramStart"/>
      <w:r w:rsidRPr="00915CB8">
        <w:rPr>
          <w:lang w:val="fr-CA"/>
        </w:rPr>
        <w:t>aux art</w:t>
      </w:r>
      <w:proofErr w:type="gramEnd"/>
      <w:r w:rsidRPr="00915CB8">
        <w:rPr>
          <w:lang w:val="fr-CA"/>
        </w:rPr>
        <w:t>.</w:t>
      </w:r>
      <w:r w:rsidR="00601B6E">
        <w:rPr>
          <w:lang w:val="fr-CA"/>
        </w:rPr>
        <w:t xml:space="preserve"> </w:t>
      </w:r>
      <w:r w:rsidRPr="00915CB8">
        <w:rPr>
          <w:lang w:val="fr-CA"/>
        </w:rPr>
        <w:t>62, 63 et 63.1 et qui sont exercés à l’endroit des avocats, conjugués à la protection insuffisante que l’art.</w:t>
      </w:r>
      <w:r w:rsidR="00601B6E">
        <w:rPr>
          <w:lang w:val="fr-CA"/>
        </w:rPr>
        <w:t xml:space="preserve"> </w:t>
      </w:r>
      <w:r w:rsidRPr="00915CB8">
        <w:rPr>
          <w:lang w:val="fr-CA"/>
        </w:rPr>
        <w:t xml:space="preserve">64 accorde au secret professionnel de l’avocat, constituent une restriction considérable du droit d’être protégé </w:t>
      </w:r>
      <w:r w:rsidRPr="00915CB8">
        <w:rPr>
          <w:rStyle w:val="complet"/>
          <w:lang w:val="fr-CA"/>
        </w:rPr>
        <w:t xml:space="preserve">contre les fouilles, les perquisitions et les saisies abusives. </w:t>
      </w:r>
    </w:p>
    <w:p w:rsidR="00707CB2" w:rsidRPr="00915CB8" w:rsidRDefault="00707CB2" w:rsidP="00707CB2">
      <w:pPr>
        <w:pStyle w:val="SCCNormalDoubleSpacing"/>
        <w:spacing w:before="480" w:after="480"/>
        <w:rPr>
          <w:lang w:val="fr-CA"/>
        </w:rPr>
      </w:pPr>
      <w:r w:rsidRPr="00915CB8">
        <w:rPr>
          <w:lang w:val="fr-CA"/>
        </w:rPr>
        <w:tab/>
        <w:t>L</w:t>
      </w:r>
      <w:r w:rsidRPr="00915CB8">
        <w:rPr>
          <w:lang w:val="fr-CA" w:eastAsia="fr-CA"/>
        </w:rPr>
        <w:t>’article</w:t>
      </w:r>
      <w:r w:rsidR="00601B6E">
        <w:rPr>
          <w:lang w:val="fr-CA" w:eastAsia="fr-CA"/>
        </w:rPr>
        <w:t xml:space="preserve"> </w:t>
      </w:r>
      <w:r w:rsidRPr="00915CB8">
        <w:rPr>
          <w:lang w:val="fr-CA" w:eastAsia="fr-CA"/>
        </w:rPr>
        <w:t xml:space="preserve">11.1 du </w:t>
      </w:r>
      <w:r w:rsidRPr="004F0412">
        <w:rPr>
          <w:iCs/>
          <w:lang w:val="fr-CA" w:eastAsia="fr-CA"/>
        </w:rPr>
        <w:t>Règlement</w:t>
      </w:r>
      <w:r w:rsidRPr="00915CB8">
        <w:rPr>
          <w:lang w:val="fr-CA" w:eastAsia="fr-CA"/>
        </w:rPr>
        <w:t xml:space="preserve">, dans la mesure où il s’applique aux conseillers juridiques et aux cabinets d’avocats, ainsi que les autres dispositions du </w:t>
      </w:r>
      <w:r w:rsidRPr="004F0412">
        <w:rPr>
          <w:lang w:val="fr-CA" w:eastAsia="fr-CA"/>
        </w:rPr>
        <w:t xml:space="preserve">Règlement </w:t>
      </w:r>
      <w:r w:rsidRPr="00915CB8">
        <w:rPr>
          <w:lang w:val="fr-CA" w:eastAsia="fr-CA"/>
        </w:rPr>
        <w:t xml:space="preserve">en litige dans le présent pourvoi </w:t>
      </w:r>
      <w:r>
        <w:rPr>
          <w:lang w:val="fr-CA" w:eastAsia="fr-CA"/>
        </w:rPr>
        <w:t>violent l’art.</w:t>
      </w:r>
      <w:r w:rsidR="00601B6E">
        <w:rPr>
          <w:lang w:val="fr-CA" w:eastAsia="fr-CA"/>
        </w:rPr>
        <w:t xml:space="preserve"> </w:t>
      </w:r>
      <w:r w:rsidRPr="00915CB8">
        <w:rPr>
          <w:lang w:val="fr-CA" w:eastAsia="fr-CA"/>
        </w:rPr>
        <w:t xml:space="preserve">7 de la </w:t>
      </w:r>
      <w:r w:rsidRPr="00915CB8">
        <w:rPr>
          <w:i/>
          <w:lang w:val="fr-CA"/>
        </w:rPr>
        <w:t>Charte</w:t>
      </w:r>
      <w:r w:rsidRPr="00915CB8">
        <w:rPr>
          <w:lang w:val="fr-CA"/>
        </w:rPr>
        <w:t xml:space="preserve">. Il y a atteinte au droit à la liberté de l’avocat parce que ce dernier s’expose à l’emprisonnement s’il ne se conforme pas aux exigences de la </w:t>
      </w:r>
      <w:r w:rsidRPr="004F0412">
        <w:rPr>
          <w:lang w:val="fr-CA"/>
        </w:rPr>
        <w:t>Loi</w:t>
      </w:r>
      <w:r w:rsidRPr="00915CB8">
        <w:rPr>
          <w:lang w:val="fr-CA"/>
        </w:rPr>
        <w:t xml:space="preserve"> et du </w:t>
      </w:r>
      <w:r w:rsidRPr="004F0412">
        <w:rPr>
          <w:lang w:val="fr-CA"/>
        </w:rPr>
        <w:t>Règlement.</w:t>
      </w:r>
      <w:r w:rsidRPr="00915CB8">
        <w:rPr>
          <w:lang w:val="fr-CA"/>
        </w:rPr>
        <w:t xml:space="preserve"> Point n’est besoin de décider s’il y a atteinte au droit à la liberté des clients. </w:t>
      </w:r>
    </w:p>
    <w:p w:rsidR="00707CB2" w:rsidRPr="00915CB8" w:rsidRDefault="00707CB2" w:rsidP="00707CB2">
      <w:pPr>
        <w:pStyle w:val="SCCNormalDoubleSpacing"/>
        <w:spacing w:before="480" w:after="480"/>
        <w:rPr>
          <w:lang w:val="fr-CA"/>
        </w:rPr>
      </w:pPr>
      <w:r w:rsidRPr="00915CB8">
        <w:rPr>
          <w:lang w:val="fr-CA"/>
        </w:rPr>
        <w:tab/>
        <w:t xml:space="preserve">L’impossibilité pour l’État d’imposer aux avocats des obligations qui minent leur devoir de se dévouer à la cause de leurs clients devrait être reconnue comme principe de justice fondamentale. </w:t>
      </w:r>
      <w:r w:rsidRPr="00915CB8">
        <w:rPr>
          <w:lang w:val="fr-CA" w:eastAsia="fr-CA"/>
        </w:rPr>
        <w:t>Le principe de justice fondamentale présente trois caractéristiques. Il doit s’agir d’un principe juridique à l’égard duquel il existe un consensus substantiel dans la société</w:t>
      </w:r>
      <w:r>
        <w:rPr>
          <w:lang w:val="fr-CA" w:eastAsia="fr-CA"/>
        </w:rPr>
        <w:t xml:space="preserve"> </w:t>
      </w:r>
      <w:r w:rsidRPr="00915CB8">
        <w:rPr>
          <w:lang w:val="fr-CA" w:eastAsia="fr-CA"/>
        </w:rPr>
        <w:t>sur le fait que ce principe est essentiel au bon fonctionnement du système de justice, et ce principe doit être suffisamment précis pour constituer une norme fonctionnelle permettant d’évaluer l’atteinte à la vie, à la liberté ou à la sécurité de la personne.</w:t>
      </w:r>
      <w:r>
        <w:rPr>
          <w:lang w:val="fr-CA" w:eastAsia="fr-CA"/>
        </w:rPr>
        <w:t xml:space="preserve"> </w:t>
      </w:r>
      <w:r w:rsidRPr="00915CB8">
        <w:rPr>
          <w:lang w:val="fr-CA" w:eastAsia="fr-CA"/>
        </w:rPr>
        <w:t xml:space="preserve">Le devoir de l’avocat de se dévouer à la cause du client satisfait à ce critère. Premièrement, c’est un principe juridique normatif et un précepte fondamental de notre système juridique. Il a été </w:t>
      </w:r>
      <w:r w:rsidRPr="00915CB8">
        <w:rPr>
          <w:lang w:val="fr-CA"/>
        </w:rPr>
        <w:t xml:space="preserve">reconnu comme un élément distinct du devoir général de loyauté incombant à l’avocat en </w:t>
      </w:r>
      <w:proofErr w:type="spellStart"/>
      <w:r w:rsidRPr="00915CB8">
        <w:rPr>
          <w:lang w:val="fr-CA"/>
        </w:rPr>
        <w:lastRenderedPageBreak/>
        <w:t>common</w:t>
      </w:r>
      <w:proofErr w:type="spellEnd"/>
      <w:r w:rsidRPr="00915CB8">
        <w:rPr>
          <w:lang w:val="fr-CA"/>
        </w:rPr>
        <w:t xml:space="preserve"> </w:t>
      </w:r>
      <w:proofErr w:type="spellStart"/>
      <w:r w:rsidRPr="00915CB8">
        <w:rPr>
          <w:lang w:val="fr-CA"/>
        </w:rPr>
        <w:t>law</w:t>
      </w:r>
      <w:proofErr w:type="spellEnd"/>
      <w:r w:rsidRPr="00915CB8">
        <w:rPr>
          <w:lang w:val="fr-CA"/>
        </w:rPr>
        <w:t xml:space="preserve">. Deuxièmement, la jurisprudence démontre que ce principe est assez précis pour constituer une norme pratique. Il ne permet pas à l’avocat de participer à des activités illégales ou de les faciliter et il s’accorde parfaitement avec la prise, par l’avocat, des mesures qui s’imposent pour éviter que ses services soient utilisés à des fins illégitimes. Troisièmement, une preuve abondante établit l’existence d’un vaste et solide consensus au sujet de l’importance fondamentale, dans les États démocratiques, d’empêcher que l’État nuise au dévouement de l’avocat à la cause de son client. Ce devoir est un aspect fondamental de la relation avocat-client et de l’interaction entre l’État et le citoyen dans des dossiers juridiques. Le devoir de l’avocat de se dévouer à la cause du client est nécessaire pour préserver la confiance dans l’intégrité de l’administration de la justice. </w:t>
      </w:r>
    </w:p>
    <w:p w:rsidR="00707CB2" w:rsidRPr="00915CB8" w:rsidRDefault="00707CB2" w:rsidP="00707CB2">
      <w:pPr>
        <w:pStyle w:val="SCCNormalDoubleSpacing"/>
        <w:spacing w:before="480" w:after="480"/>
        <w:rPr>
          <w:lang w:val="fr-CA"/>
        </w:rPr>
      </w:pPr>
      <w:r w:rsidRPr="00915CB8">
        <w:rPr>
          <w:lang w:val="fr-CA"/>
        </w:rPr>
        <w:tab/>
        <w:t xml:space="preserve">L’État ne peut, sous réserve d’une justification, imposer aux avocats des obligations qui entravent leur respect de ce devoir, soit dans les faits, soit aux yeux d’une personne raisonnable. La profession juridique a établi des normes de pratique plus restreintes relativement aux thèmes visés par la </w:t>
      </w:r>
      <w:r w:rsidRPr="004F0412">
        <w:rPr>
          <w:lang w:val="fr-CA"/>
        </w:rPr>
        <w:t>Loi</w:t>
      </w:r>
      <w:r w:rsidRPr="00915CB8">
        <w:rPr>
          <w:i/>
          <w:lang w:val="fr-CA"/>
        </w:rPr>
        <w:t xml:space="preserve"> </w:t>
      </w:r>
      <w:r w:rsidRPr="00915CB8">
        <w:rPr>
          <w:lang w:val="fr-CA"/>
        </w:rPr>
        <w:t xml:space="preserve">et le </w:t>
      </w:r>
      <w:r w:rsidRPr="004F0412">
        <w:rPr>
          <w:lang w:val="fr-CA"/>
        </w:rPr>
        <w:t>Règlement</w:t>
      </w:r>
      <w:r w:rsidRPr="00915CB8">
        <w:rPr>
          <w:lang w:val="fr-CA"/>
        </w:rPr>
        <w:t xml:space="preserve">. Ces normes ne sauraient fixer les paramètres constitutionnels d’une loi, mais elles témoignent d’un solide consensus au sein de la profession en ce qui a trait aux normes déontologiques que commandent ces enjeux. Vue sous cet angle, la législation oblige les avocats à recueillir et à conserver beaucoup plus de renseignements que ce que la profession estime nécessaire pour la représentation éthique et efficace du client. Ce fait, conjugué à la protection insuffisante du secret professionnel de l’avocat, mine la capacité de ce dernier à respecter son devoir de se dévouer à la cause du client. L’avocat est tenu de créer et de conserver des documents qui ne sont pas nécessaires à </w:t>
      </w:r>
      <w:r w:rsidRPr="00915CB8">
        <w:rPr>
          <w:lang w:val="fr-CA"/>
        </w:rPr>
        <w:lastRenderedPageBreak/>
        <w:t xml:space="preserve">une représentation éthique et efficace tout en sachant que les renseignements visés par son secret professionnel qui figurent dans ces documents ne bénéficient pas d’une protection convenable contre les perquisitions et saisies autorisées par la législation. La personne raisonnable et bien informée examinant la question en profondeur estimerait que ces dispositions sont incompatibles avec le devoir de l’avocat de se dévouer à la cause du client. Pris dans son ensemble, le régime restreint la liberté des avocats d’une manière qui n’est pas conforme au principe de justice fondamentale concernant le devoir de représentation dévouée de l’avocat. </w:t>
      </w:r>
    </w:p>
    <w:p w:rsidR="00707CB2" w:rsidRPr="00915CB8" w:rsidRDefault="00707CB2" w:rsidP="004F0412">
      <w:pPr>
        <w:pStyle w:val="SCCNormalDoubleSpacing"/>
        <w:tabs>
          <w:tab w:val="left" w:pos="810"/>
        </w:tabs>
        <w:spacing w:before="480" w:after="480"/>
        <w:rPr>
          <w:lang w:val="fr-CA"/>
        </w:rPr>
      </w:pPr>
      <w:r w:rsidRPr="00915CB8">
        <w:rPr>
          <w:lang w:val="fr-CA"/>
        </w:rPr>
        <w:tab/>
        <w:t xml:space="preserve">Les atteintes </w:t>
      </w:r>
      <w:proofErr w:type="gramStart"/>
      <w:r w:rsidRPr="00915CB8">
        <w:rPr>
          <w:lang w:val="fr-CA"/>
        </w:rPr>
        <w:t>aux art</w:t>
      </w:r>
      <w:proofErr w:type="gramEnd"/>
      <w:r w:rsidRPr="00915CB8">
        <w:rPr>
          <w:lang w:val="fr-CA"/>
        </w:rPr>
        <w:t>.</w:t>
      </w:r>
      <w:r w:rsidR="00601B6E">
        <w:rPr>
          <w:lang w:val="fr-CA"/>
        </w:rPr>
        <w:t xml:space="preserve"> </w:t>
      </w:r>
      <w:r w:rsidRPr="00915CB8">
        <w:rPr>
          <w:lang w:val="fr-CA"/>
        </w:rPr>
        <w:t xml:space="preserve">7 et 8 de la </w:t>
      </w:r>
      <w:r w:rsidRPr="00915CB8">
        <w:rPr>
          <w:i/>
          <w:lang w:val="fr-CA"/>
        </w:rPr>
        <w:t>Charte</w:t>
      </w:r>
      <w:r w:rsidRPr="00915CB8">
        <w:rPr>
          <w:lang w:val="fr-CA"/>
        </w:rPr>
        <w:t xml:space="preserve"> ne sont pas justifiées au sens de l’article premier de la </w:t>
      </w:r>
      <w:r w:rsidRPr="00915CB8">
        <w:rPr>
          <w:i/>
          <w:lang w:val="fr-CA"/>
        </w:rPr>
        <w:t>Charte</w:t>
      </w:r>
      <w:r w:rsidRPr="00915CB8">
        <w:rPr>
          <w:lang w:val="fr-CA"/>
        </w:rPr>
        <w:t>. Les articles</w:t>
      </w:r>
      <w:r w:rsidR="00601B6E">
        <w:rPr>
          <w:lang w:val="fr-CA"/>
        </w:rPr>
        <w:t xml:space="preserve"> </w:t>
      </w:r>
      <w:r w:rsidRPr="00915CB8">
        <w:rPr>
          <w:lang w:val="fr-CA"/>
        </w:rPr>
        <w:t xml:space="preserve">62, 63, 63.1 et 64 de la </w:t>
      </w:r>
      <w:r w:rsidRPr="004F0412">
        <w:rPr>
          <w:lang w:val="fr-CA"/>
        </w:rPr>
        <w:t>Loi</w:t>
      </w:r>
      <w:r w:rsidRPr="00915CB8">
        <w:rPr>
          <w:lang w:val="fr-CA"/>
        </w:rPr>
        <w:t xml:space="preserve"> ne satisfont pas au critère de l’atteinte minimale. Il existe d’autres moyens moins radicaux de poursuivre les objectifs de la lutte contre le recyclage des produits de la criminalité et le financement des activités terroristes. Les dispositions du </w:t>
      </w:r>
      <w:r w:rsidRPr="004F0412">
        <w:rPr>
          <w:lang w:val="fr-CA"/>
        </w:rPr>
        <w:t>Règlement</w:t>
      </w:r>
      <w:r w:rsidRPr="00915CB8">
        <w:rPr>
          <w:lang w:val="fr-CA"/>
        </w:rPr>
        <w:t xml:space="preserve"> en litige dans le présent pourvoi ne satisfont pas au critère de proportionnalité.  </w:t>
      </w:r>
    </w:p>
    <w:p w:rsidR="00707CB2" w:rsidRPr="00915CB8" w:rsidRDefault="00707CB2" w:rsidP="00707CB2">
      <w:pPr>
        <w:pStyle w:val="SCCNormalDoubleSpacing"/>
        <w:spacing w:before="480" w:after="480"/>
        <w:rPr>
          <w:lang w:val="fr-CA"/>
        </w:rPr>
      </w:pPr>
      <w:r w:rsidRPr="00915CB8">
        <w:rPr>
          <w:i/>
          <w:lang w:val="fr-CA"/>
        </w:rPr>
        <w:tab/>
        <w:t xml:space="preserve">La </w:t>
      </w:r>
      <w:r w:rsidRPr="00915CB8">
        <w:rPr>
          <w:lang w:val="fr-CA"/>
        </w:rPr>
        <w:t>juge en chef</w:t>
      </w:r>
      <w:r w:rsidRPr="00915CB8">
        <w:rPr>
          <w:b/>
          <w:lang w:val="fr-CA"/>
        </w:rPr>
        <w:t xml:space="preserve"> </w:t>
      </w:r>
      <w:proofErr w:type="spellStart"/>
      <w:r w:rsidRPr="004F0412">
        <w:rPr>
          <w:lang w:val="fr-CA"/>
        </w:rPr>
        <w:t>McLachlin</w:t>
      </w:r>
      <w:proofErr w:type="spellEnd"/>
      <w:r w:rsidRPr="00915CB8">
        <w:rPr>
          <w:lang w:val="fr-CA"/>
        </w:rPr>
        <w:t xml:space="preserve"> et le juge </w:t>
      </w:r>
      <w:proofErr w:type="spellStart"/>
      <w:r w:rsidRPr="004F0412">
        <w:rPr>
          <w:lang w:val="fr-CA"/>
        </w:rPr>
        <w:t>Moldaver</w:t>
      </w:r>
      <w:proofErr w:type="spellEnd"/>
      <w:r w:rsidR="00601B6E">
        <w:rPr>
          <w:lang w:val="fr-CA"/>
        </w:rPr>
        <w:t> :</w:t>
      </w:r>
      <w:r w:rsidRPr="00915CB8">
        <w:rPr>
          <w:lang w:val="fr-CA"/>
        </w:rPr>
        <w:t xml:space="preserve"> Il y a accord avec les motifs du juge Cromwell portant sur l’art.</w:t>
      </w:r>
      <w:r w:rsidR="00601B6E">
        <w:rPr>
          <w:lang w:val="fr-CA"/>
        </w:rPr>
        <w:t xml:space="preserve"> </w:t>
      </w:r>
      <w:r w:rsidRPr="00915CB8">
        <w:rPr>
          <w:lang w:val="fr-CA"/>
        </w:rPr>
        <w:t xml:space="preserve">8 de la </w:t>
      </w:r>
      <w:r w:rsidRPr="00915CB8">
        <w:rPr>
          <w:i/>
          <w:lang w:val="fr-CA"/>
        </w:rPr>
        <w:t>Charte</w:t>
      </w:r>
      <w:r w:rsidRPr="00915CB8">
        <w:rPr>
          <w:lang w:val="fr-CA"/>
        </w:rPr>
        <w:t>. Toutefois, dans la mesure où les droits garantis à l’avocat par l’art.</w:t>
      </w:r>
      <w:r w:rsidR="00601B6E">
        <w:rPr>
          <w:lang w:val="fr-CA"/>
        </w:rPr>
        <w:t xml:space="preserve"> </w:t>
      </w:r>
      <w:r w:rsidRPr="00915CB8">
        <w:rPr>
          <w:lang w:val="fr-CA"/>
        </w:rPr>
        <w:t xml:space="preserve">7 entrent en jeu, le devoir de l’avocat de se dévouer à la cause du client n’est pas suffisamment certain pour constituer un principe de justice fondamentale. Le dévouement de l’avocat ne fournit pas une norme constitutionnelle pratique parce qu’il varie selon la nature du mandat ainsi que d’autres facteurs. Le secret professionnel de l’avocat a déjà été reconnu comme une </w:t>
      </w:r>
      <w:r w:rsidRPr="00915CB8">
        <w:rPr>
          <w:lang w:val="fr-CA"/>
        </w:rPr>
        <w:lastRenderedPageBreak/>
        <w:t>norme constitutionnelle et la transgression de ce principe de justice fondamentale suffit pour établir la privation potentielle de liberté qui viole l’art.</w:t>
      </w:r>
      <w:r w:rsidR="00601B6E">
        <w:rPr>
          <w:lang w:val="fr-CA"/>
        </w:rPr>
        <w:t xml:space="preserve"> </w:t>
      </w:r>
      <w:r w:rsidRPr="00915CB8">
        <w:rPr>
          <w:lang w:val="fr-CA"/>
        </w:rPr>
        <w:t xml:space="preserve">7 de la </w:t>
      </w:r>
      <w:r w:rsidRPr="00915CB8">
        <w:rPr>
          <w:i/>
          <w:lang w:val="fr-CA"/>
        </w:rPr>
        <w:t>Charte</w:t>
      </w:r>
      <w:r w:rsidRPr="00915CB8">
        <w:rPr>
          <w:lang w:val="fr-CA"/>
        </w:rPr>
        <w:t>.</w:t>
      </w:r>
    </w:p>
    <w:p w:rsidR="00707CB2" w:rsidRPr="00915CB8" w:rsidRDefault="00707CB2" w:rsidP="00707CB2">
      <w:pPr>
        <w:pStyle w:val="SCCNormalDoubleSpacing"/>
        <w:spacing w:before="480" w:after="480"/>
        <w:rPr>
          <w:b/>
          <w:lang w:val="fr-CA"/>
        </w:rPr>
      </w:pPr>
      <w:r w:rsidRPr="00915CB8">
        <w:rPr>
          <w:b/>
          <w:lang w:val="fr-CA"/>
        </w:rPr>
        <w:t>Jurisprudence</w:t>
      </w:r>
    </w:p>
    <w:p w:rsidR="00707CB2" w:rsidRPr="00915CB8" w:rsidRDefault="00707CB2" w:rsidP="00707CB2">
      <w:pPr>
        <w:pStyle w:val="SCCNormalDoubleSpacing"/>
        <w:spacing w:after="720" w:line="240" w:lineRule="auto"/>
        <w:rPr>
          <w:lang w:val="fr-CA"/>
        </w:rPr>
      </w:pPr>
      <w:r w:rsidRPr="00915CB8">
        <w:rPr>
          <w:lang w:val="fr-CA"/>
        </w:rPr>
        <w:t>Citée par le juge Cromwell</w:t>
      </w:r>
    </w:p>
    <w:p w:rsidR="00707CB2" w:rsidRPr="00915CB8" w:rsidRDefault="00707CB2" w:rsidP="00707CB2">
      <w:pPr>
        <w:pStyle w:val="SCCNormalDoubleSpacing"/>
        <w:spacing w:after="480"/>
        <w:rPr>
          <w:lang w:val="fr-CA"/>
        </w:rPr>
      </w:pPr>
      <w:r w:rsidRPr="00915CB8">
        <w:rPr>
          <w:lang w:val="fr-CA"/>
        </w:rPr>
        <w:tab/>
      </w:r>
      <w:r w:rsidRPr="00915CB8">
        <w:rPr>
          <w:b/>
          <w:lang w:val="fr-CA"/>
        </w:rPr>
        <w:t>Arrêt appliqué</w:t>
      </w:r>
      <w:r w:rsidR="00601B6E">
        <w:rPr>
          <w:b/>
          <w:lang w:val="fr-CA"/>
        </w:rPr>
        <w:t> :</w:t>
      </w:r>
      <w:r w:rsidRPr="00915CB8">
        <w:rPr>
          <w:lang w:val="fr-CA"/>
        </w:rPr>
        <w:t xml:space="preserve"> </w:t>
      </w:r>
      <w:proofErr w:type="spellStart"/>
      <w:r w:rsidRPr="00915CB8">
        <w:rPr>
          <w:i/>
          <w:lang w:val="fr-CA"/>
        </w:rPr>
        <w:t>Lavallee</w:t>
      </w:r>
      <w:proofErr w:type="spellEnd"/>
      <w:r w:rsidRPr="00915CB8">
        <w:rPr>
          <w:i/>
          <w:lang w:val="fr-CA"/>
        </w:rPr>
        <w:t xml:space="preserve">, </w:t>
      </w:r>
      <w:proofErr w:type="spellStart"/>
      <w:r w:rsidRPr="00915CB8">
        <w:rPr>
          <w:i/>
          <w:lang w:val="fr-CA"/>
        </w:rPr>
        <w:t>Rackel</w:t>
      </w:r>
      <w:proofErr w:type="spellEnd"/>
      <w:r w:rsidRPr="00915CB8">
        <w:rPr>
          <w:i/>
          <w:lang w:val="fr-CA"/>
        </w:rPr>
        <w:t xml:space="preserve"> &amp; </w:t>
      </w:r>
      <w:proofErr w:type="spellStart"/>
      <w:r w:rsidRPr="00915CB8">
        <w:rPr>
          <w:i/>
          <w:lang w:val="fr-CA"/>
        </w:rPr>
        <w:t>Heintz</w:t>
      </w:r>
      <w:proofErr w:type="spellEnd"/>
      <w:r w:rsidRPr="00915CB8">
        <w:rPr>
          <w:i/>
          <w:lang w:val="fr-CA"/>
        </w:rPr>
        <w:t xml:space="preserve"> c. Canada (Procureur général)</w:t>
      </w:r>
      <w:r w:rsidRPr="00915CB8">
        <w:rPr>
          <w:lang w:val="fr-CA"/>
        </w:rPr>
        <w:t xml:space="preserve">, 2002 CSC 61, [2002] 3 R.C.S. 209; </w:t>
      </w:r>
      <w:r w:rsidRPr="00915CB8">
        <w:rPr>
          <w:b/>
          <w:lang w:val="fr-CA"/>
        </w:rPr>
        <w:t>arrêts mentionnés</w:t>
      </w:r>
      <w:r w:rsidR="00601B6E">
        <w:rPr>
          <w:b/>
          <w:lang w:val="fr-CA"/>
        </w:rPr>
        <w:t> :</w:t>
      </w:r>
      <w:r w:rsidRPr="00915CB8">
        <w:rPr>
          <w:lang w:val="fr-CA"/>
        </w:rPr>
        <w:t xml:space="preserve"> </w:t>
      </w:r>
      <w:r w:rsidR="00AB64EE" w:rsidRPr="00915CB8">
        <w:rPr>
          <w:i/>
          <w:lang w:val="fr-CA"/>
        </w:rPr>
        <w:t xml:space="preserve">R. c. </w:t>
      </w:r>
      <w:proofErr w:type="spellStart"/>
      <w:r w:rsidR="00AB64EE" w:rsidRPr="00915CB8">
        <w:rPr>
          <w:i/>
          <w:lang w:val="fr-CA"/>
        </w:rPr>
        <w:t>Malmo</w:t>
      </w:r>
      <w:proofErr w:type="spellEnd"/>
      <w:r w:rsidR="00AB64EE">
        <w:rPr>
          <w:i/>
          <w:lang w:val="fr-CA"/>
        </w:rPr>
        <w:t>-</w:t>
      </w:r>
      <w:proofErr w:type="spellStart"/>
      <w:r w:rsidR="00AB64EE" w:rsidRPr="00915CB8">
        <w:rPr>
          <w:i/>
          <w:lang w:val="fr-CA"/>
        </w:rPr>
        <w:t>Levine</w:t>
      </w:r>
      <w:proofErr w:type="spellEnd"/>
      <w:r w:rsidR="00AB64EE" w:rsidRPr="00915CB8">
        <w:rPr>
          <w:lang w:val="fr-CA"/>
        </w:rPr>
        <w:t>, 2003 CSC 74, [2003] 3 R.C.S. 571;</w:t>
      </w:r>
      <w:r w:rsidR="00AB64EE">
        <w:rPr>
          <w:lang w:val="fr-CA"/>
        </w:rPr>
        <w:t xml:space="preserve"> </w:t>
      </w:r>
      <w:proofErr w:type="spellStart"/>
      <w:r w:rsidR="00AB64EE" w:rsidRPr="00915CB8">
        <w:rPr>
          <w:i/>
          <w:lang w:val="fr-CA"/>
        </w:rPr>
        <w:t>Schachter</w:t>
      </w:r>
      <w:proofErr w:type="spellEnd"/>
      <w:r w:rsidR="00AB64EE" w:rsidRPr="00915CB8">
        <w:rPr>
          <w:i/>
          <w:lang w:val="fr-CA"/>
        </w:rPr>
        <w:t xml:space="preserve"> c. Canada</w:t>
      </w:r>
      <w:r w:rsidR="00AB64EE" w:rsidRPr="00915CB8">
        <w:rPr>
          <w:lang w:val="fr-CA"/>
        </w:rPr>
        <w:t xml:space="preserve">, [1992] 2 R.C.S. 679; </w:t>
      </w:r>
      <w:r w:rsidRPr="00915CB8">
        <w:rPr>
          <w:i/>
          <w:lang w:val="fr-CA"/>
        </w:rPr>
        <w:t xml:space="preserve">Thomson </w:t>
      </w:r>
      <w:proofErr w:type="spellStart"/>
      <w:r w:rsidRPr="00915CB8">
        <w:rPr>
          <w:i/>
          <w:lang w:val="fr-CA"/>
        </w:rPr>
        <w:t>Newspapers</w:t>
      </w:r>
      <w:proofErr w:type="spellEnd"/>
      <w:r w:rsidRPr="00915CB8">
        <w:rPr>
          <w:i/>
          <w:lang w:val="fr-CA"/>
        </w:rPr>
        <w:t xml:space="preserve"> Ltd. c. Canada (Directeur des enquêtes et recherches, Commission sur les pratiques restrictives du commerce)</w:t>
      </w:r>
      <w:r w:rsidRPr="00915CB8">
        <w:rPr>
          <w:lang w:val="fr-CA"/>
        </w:rPr>
        <w:t xml:space="preserve">, [1990] 1 R.C.S. 425; </w:t>
      </w:r>
      <w:r w:rsidRPr="00915CB8">
        <w:rPr>
          <w:i/>
          <w:lang w:val="fr-CA"/>
        </w:rPr>
        <w:t xml:space="preserve">R. c. </w:t>
      </w:r>
      <w:proofErr w:type="spellStart"/>
      <w:r w:rsidRPr="00915CB8">
        <w:rPr>
          <w:i/>
          <w:lang w:val="fr-CA"/>
        </w:rPr>
        <w:t>Fitzpatrick</w:t>
      </w:r>
      <w:proofErr w:type="spellEnd"/>
      <w:r w:rsidRPr="00915CB8">
        <w:rPr>
          <w:lang w:val="fr-CA"/>
        </w:rPr>
        <w:t xml:space="preserve">, [1995] 4 R.C.S. 154; </w:t>
      </w:r>
      <w:r w:rsidRPr="00915CB8">
        <w:rPr>
          <w:i/>
          <w:lang w:val="fr-CA"/>
        </w:rPr>
        <w:t xml:space="preserve">R. c. </w:t>
      </w:r>
      <w:proofErr w:type="spellStart"/>
      <w:r w:rsidRPr="00915CB8">
        <w:rPr>
          <w:i/>
          <w:lang w:val="fr-CA"/>
        </w:rPr>
        <w:t>Oakes</w:t>
      </w:r>
      <w:proofErr w:type="spellEnd"/>
      <w:r w:rsidRPr="00915CB8">
        <w:rPr>
          <w:lang w:val="fr-CA"/>
        </w:rPr>
        <w:t xml:space="preserve">, [1986] 1 R.C.S. 103; </w:t>
      </w:r>
      <w:r w:rsidRPr="00915CB8">
        <w:rPr>
          <w:i/>
          <w:lang w:val="fr-CA"/>
        </w:rPr>
        <w:t xml:space="preserve">R. c. </w:t>
      </w:r>
      <w:proofErr w:type="spellStart"/>
      <w:r w:rsidRPr="00915CB8">
        <w:rPr>
          <w:i/>
          <w:lang w:val="fr-CA"/>
        </w:rPr>
        <w:t>Kokesch</w:t>
      </w:r>
      <w:proofErr w:type="spellEnd"/>
      <w:r w:rsidRPr="00915CB8">
        <w:rPr>
          <w:lang w:val="fr-CA"/>
        </w:rPr>
        <w:t xml:space="preserve">, [1990] 3 R.C.S. 3; </w:t>
      </w:r>
      <w:proofErr w:type="spellStart"/>
      <w:r w:rsidRPr="00915CB8">
        <w:rPr>
          <w:i/>
          <w:lang w:val="fr-CA"/>
        </w:rPr>
        <w:t>Little</w:t>
      </w:r>
      <w:proofErr w:type="spellEnd"/>
      <w:r w:rsidRPr="00915CB8">
        <w:rPr>
          <w:i/>
          <w:lang w:val="fr-CA"/>
        </w:rPr>
        <w:t xml:space="preserve"> </w:t>
      </w:r>
      <w:proofErr w:type="spellStart"/>
      <w:r w:rsidRPr="00915CB8">
        <w:rPr>
          <w:i/>
          <w:lang w:val="fr-CA"/>
        </w:rPr>
        <w:t>Sisters</w:t>
      </w:r>
      <w:proofErr w:type="spellEnd"/>
      <w:r w:rsidRPr="00915CB8">
        <w:rPr>
          <w:i/>
          <w:lang w:val="fr-CA"/>
        </w:rPr>
        <w:t xml:space="preserve"> Book and Art Emporium c. Canada (Ministre de la Justice)</w:t>
      </w:r>
      <w:r w:rsidRPr="00915CB8">
        <w:rPr>
          <w:lang w:val="fr-CA"/>
        </w:rPr>
        <w:t>, 2000 CSC 69, [2000] 2 R.C.S. 1120;</w:t>
      </w:r>
      <w:r w:rsidR="00A67158">
        <w:rPr>
          <w:lang w:val="fr-CA"/>
        </w:rPr>
        <w:t xml:space="preserve"> </w:t>
      </w:r>
      <w:r w:rsidRPr="00915CB8">
        <w:rPr>
          <w:i/>
          <w:lang w:val="fr-CA"/>
        </w:rPr>
        <w:t>Canada (Procureur général) c. Bedford</w:t>
      </w:r>
      <w:r w:rsidRPr="00915CB8">
        <w:rPr>
          <w:lang w:val="fr-CA"/>
        </w:rPr>
        <w:t xml:space="preserve">, 2013 CSC 72, [2013] 3 R.C.S. 1101; </w:t>
      </w:r>
      <w:proofErr w:type="spellStart"/>
      <w:r w:rsidRPr="00915CB8">
        <w:rPr>
          <w:i/>
          <w:lang w:val="fr-CA"/>
        </w:rPr>
        <w:t>Blencoe</w:t>
      </w:r>
      <w:proofErr w:type="spellEnd"/>
      <w:r w:rsidRPr="00915CB8">
        <w:rPr>
          <w:i/>
          <w:lang w:val="fr-CA"/>
        </w:rPr>
        <w:t xml:space="preserve"> c. Colombie</w:t>
      </w:r>
      <w:r w:rsidR="00601B6E">
        <w:rPr>
          <w:i/>
          <w:lang w:val="fr-CA"/>
        </w:rPr>
        <w:t>-</w:t>
      </w:r>
      <w:r w:rsidRPr="00915CB8">
        <w:rPr>
          <w:i/>
          <w:lang w:val="fr-CA"/>
        </w:rPr>
        <w:t>Britannique (Human Rights Commission)</w:t>
      </w:r>
      <w:r w:rsidRPr="00915CB8">
        <w:rPr>
          <w:lang w:val="fr-CA"/>
        </w:rPr>
        <w:t xml:space="preserve">, 2000 CSC 44, [2000] 2 R.C.S. 307; </w:t>
      </w:r>
      <w:r w:rsidRPr="00915CB8">
        <w:rPr>
          <w:i/>
          <w:lang w:val="fr-CA"/>
        </w:rPr>
        <w:t>R. c. Rodgers</w:t>
      </w:r>
      <w:r w:rsidRPr="00915CB8">
        <w:rPr>
          <w:lang w:val="fr-CA"/>
        </w:rPr>
        <w:t xml:space="preserve">, 2006 CSC 15, [2006] 1 R.C.S. 554; </w:t>
      </w:r>
      <w:r w:rsidRPr="00915CB8">
        <w:rPr>
          <w:i/>
          <w:lang w:val="fr-CA"/>
        </w:rPr>
        <w:t>R. c. Mills</w:t>
      </w:r>
      <w:r w:rsidRPr="00915CB8">
        <w:rPr>
          <w:lang w:val="fr-CA"/>
        </w:rPr>
        <w:t xml:space="preserve">, [1999] 3 R.C.S. 668; </w:t>
      </w:r>
      <w:r w:rsidRPr="00915CB8">
        <w:rPr>
          <w:i/>
          <w:lang w:val="fr-CA"/>
        </w:rPr>
        <w:t xml:space="preserve">Compagnie des chemins de fer nationaux du Canada c. </w:t>
      </w:r>
      <w:proofErr w:type="spellStart"/>
      <w:r w:rsidRPr="00915CB8">
        <w:rPr>
          <w:i/>
          <w:lang w:val="fr-CA"/>
        </w:rPr>
        <w:t>McKercher</w:t>
      </w:r>
      <w:proofErr w:type="spellEnd"/>
      <w:r w:rsidRPr="00915CB8">
        <w:rPr>
          <w:i/>
          <w:lang w:val="fr-CA"/>
        </w:rPr>
        <w:t xml:space="preserve"> LLP</w:t>
      </w:r>
      <w:r w:rsidRPr="00915CB8">
        <w:rPr>
          <w:lang w:val="fr-CA"/>
        </w:rPr>
        <w:t xml:space="preserve">, 2013 CSC 39, [2013] 2 R.C.S. 649; </w:t>
      </w:r>
      <w:r w:rsidRPr="00915CB8">
        <w:rPr>
          <w:i/>
          <w:lang w:val="fr-CA"/>
        </w:rPr>
        <w:t xml:space="preserve">R. c. </w:t>
      </w:r>
      <w:proofErr w:type="spellStart"/>
      <w:r w:rsidRPr="00915CB8">
        <w:rPr>
          <w:i/>
          <w:lang w:val="fr-CA"/>
        </w:rPr>
        <w:t>Gruenke</w:t>
      </w:r>
      <w:proofErr w:type="spellEnd"/>
      <w:r w:rsidRPr="00915CB8">
        <w:rPr>
          <w:lang w:val="fr-CA"/>
        </w:rPr>
        <w:t xml:space="preserve">, [1991] 3 R.C.S. 263; </w:t>
      </w:r>
      <w:r w:rsidRPr="00915CB8">
        <w:rPr>
          <w:i/>
          <w:lang w:val="fr-CA"/>
        </w:rPr>
        <w:t>R. c. McClure</w:t>
      </w:r>
      <w:r w:rsidRPr="00915CB8">
        <w:rPr>
          <w:lang w:val="fr-CA"/>
        </w:rPr>
        <w:t xml:space="preserve">, 2001 CSC 14, [2001] 1 R.C.S. 445; </w:t>
      </w:r>
      <w:r w:rsidRPr="00915CB8">
        <w:rPr>
          <w:i/>
          <w:lang w:val="fr-CA"/>
        </w:rPr>
        <w:t>Smith c. Jones</w:t>
      </w:r>
      <w:r w:rsidRPr="00915CB8">
        <w:rPr>
          <w:lang w:val="fr-CA"/>
        </w:rPr>
        <w:t xml:space="preserve">, [1999] 1 R.C.S. 455; </w:t>
      </w:r>
      <w:r w:rsidRPr="00915CB8">
        <w:rPr>
          <w:i/>
          <w:lang w:val="fr-CA"/>
        </w:rPr>
        <w:t>Anderson c. Bank of British Columbia</w:t>
      </w:r>
      <w:r w:rsidRPr="00915CB8">
        <w:rPr>
          <w:lang w:val="fr-CA"/>
        </w:rPr>
        <w:t xml:space="preserve"> (1876), 2 Ch.</w:t>
      </w:r>
      <w:r w:rsidR="00601B6E">
        <w:rPr>
          <w:lang w:val="fr-CA"/>
        </w:rPr>
        <w:t xml:space="preserve"> </w:t>
      </w:r>
      <w:r w:rsidRPr="00915CB8">
        <w:rPr>
          <w:lang w:val="fr-CA"/>
        </w:rPr>
        <w:t xml:space="preserve">D. 644; </w:t>
      </w:r>
      <w:proofErr w:type="spellStart"/>
      <w:r w:rsidRPr="00915CB8">
        <w:rPr>
          <w:i/>
          <w:lang w:val="fr-CA"/>
        </w:rPr>
        <w:t>Finney</w:t>
      </w:r>
      <w:proofErr w:type="spellEnd"/>
      <w:r w:rsidRPr="00915CB8">
        <w:rPr>
          <w:i/>
          <w:lang w:val="fr-CA"/>
        </w:rPr>
        <w:t xml:space="preserve"> c. Barreau du Québec</w:t>
      </w:r>
      <w:r w:rsidRPr="00915CB8">
        <w:rPr>
          <w:lang w:val="fr-CA"/>
        </w:rPr>
        <w:t xml:space="preserve">, 2004 CSC 36, [2004] 2 R.C.S. 17; </w:t>
      </w:r>
      <w:r w:rsidRPr="00915CB8">
        <w:rPr>
          <w:i/>
          <w:lang w:val="fr-CA"/>
        </w:rPr>
        <w:t>R. c. D.B.</w:t>
      </w:r>
      <w:r w:rsidRPr="00915CB8">
        <w:rPr>
          <w:lang w:val="fr-CA"/>
        </w:rPr>
        <w:t xml:space="preserve">, 2008 CSC 25, [2008] 2 R.C.S. 3; </w:t>
      </w:r>
      <w:r w:rsidRPr="00915CB8">
        <w:rPr>
          <w:i/>
          <w:lang w:val="fr-CA"/>
        </w:rPr>
        <w:t>R. c. Anderson</w:t>
      </w:r>
      <w:r w:rsidRPr="00915CB8">
        <w:rPr>
          <w:lang w:val="fr-CA"/>
        </w:rPr>
        <w:t xml:space="preserve">, 2014 CSC 41, [2014] 2 R.C.S. 167; </w:t>
      </w:r>
      <w:r w:rsidRPr="00915CB8">
        <w:rPr>
          <w:i/>
          <w:lang w:val="fr-CA"/>
        </w:rPr>
        <w:t xml:space="preserve">Renvoi sur la </w:t>
      </w:r>
      <w:proofErr w:type="spellStart"/>
      <w:r w:rsidRPr="00915CB8">
        <w:rPr>
          <w:i/>
          <w:lang w:val="fr-CA"/>
        </w:rPr>
        <w:t>Motor</w:t>
      </w:r>
      <w:proofErr w:type="spellEnd"/>
      <w:r w:rsidRPr="00915CB8">
        <w:rPr>
          <w:i/>
          <w:lang w:val="fr-CA"/>
        </w:rPr>
        <w:t xml:space="preserve"> </w:t>
      </w:r>
      <w:proofErr w:type="spellStart"/>
      <w:r w:rsidRPr="00915CB8">
        <w:rPr>
          <w:i/>
          <w:lang w:val="fr-CA"/>
        </w:rPr>
        <w:t>Vehicle</w:t>
      </w:r>
      <w:proofErr w:type="spellEnd"/>
      <w:r w:rsidRPr="00915CB8">
        <w:rPr>
          <w:i/>
          <w:lang w:val="fr-CA"/>
        </w:rPr>
        <w:t xml:space="preserve"> </w:t>
      </w:r>
      <w:proofErr w:type="spellStart"/>
      <w:r w:rsidRPr="00915CB8">
        <w:rPr>
          <w:i/>
          <w:lang w:val="fr-CA"/>
        </w:rPr>
        <w:t>Act</w:t>
      </w:r>
      <w:proofErr w:type="spellEnd"/>
      <w:r w:rsidRPr="00915CB8">
        <w:rPr>
          <w:i/>
          <w:lang w:val="fr-CA"/>
        </w:rPr>
        <w:t xml:space="preserve"> (C.</w:t>
      </w:r>
      <w:r w:rsidR="00601B6E">
        <w:rPr>
          <w:i/>
          <w:lang w:val="fr-CA"/>
        </w:rPr>
        <w:t>-</w:t>
      </w:r>
      <w:r w:rsidRPr="00915CB8">
        <w:rPr>
          <w:i/>
          <w:lang w:val="fr-CA"/>
        </w:rPr>
        <w:t>B.)</w:t>
      </w:r>
      <w:r w:rsidRPr="00915CB8">
        <w:rPr>
          <w:lang w:val="fr-CA"/>
        </w:rPr>
        <w:t xml:space="preserve">, [1985] 2 R.C.S. </w:t>
      </w:r>
      <w:r w:rsidRPr="00915CB8">
        <w:rPr>
          <w:lang w:val="fr-CA"/>
        </w:rPr>
        <w:lastRenderedPageBreak/>
        <w:t xml:space="preserve">486; </w:t>
      </w:r>
      <w:r w:rsidRPr="00915CB8">
        <w:rPr>
          <w:i/>
          <w:lang w:val="fr-CA"/>
        </w:rPr>
        <w:t xml:space="preserve">Canadian </w:t>
      </w:r>
      <w:proofErr w:type="spellStart"/>
      <w:r w:rsidRPr="00915CB8">
        <w:rPr>
          <w:i/>
          <w:lang w:val="fr-CA"/>
        </w:rPr>
        <w:t>Foundation</w:t>
      </w:r>
      <w:proofErr w:type="spellEnd"/>
      <w:r w:rsidRPr="00915CB8">
        <w:rPr>
          <w:i/>
          <w:lang w:val="fr-CA"/>
        </w:rPr>
        <w:t xml:space="preserve"> for </w:t>
      </w:r>
      <w:proofErr w:type="spellStart"/>
      <w:r w:rsidRPr="00915CB8">
        <w:rPr>
          <w:i/>
          <w:lang w:val="fr-CA"/>
        </w:rPr>
        <w:t>Children</w:t>
      </w:r>
      <w:proofErr w:type="spellEnd"/>
      <w:r w:rsidRPr="00915CB8">
        <w:rPr>
          <w:i/>
          <w:lang w:val="fr-CA"/>
        </w:rPr>
        <w:t xml:space="preserve">, </w:t>
      </w:r>
      <w:proofErr w:type="spellStart"/>
      <w:r w:rsidRPr="00915CB8">
        <w:rPr>
          <w:i/>
          <w:lang w:val="fr-CA"/>
        </w:rPr>
        <w:t>Youth</w:t>
      </w:r>
      <w:proofErr w:type="spellEnd"/>
      <w:r w:rsidRPr="00915CB8">
        <w:rPr>
          <w:i/>
          <w:lang w:val="fr-CA"/>
        </w:rPr>
        <w:t xml:space="preserve"> and the Law c. Canada (Procureur général)</w:t>
      </w:r>
      <w:r w:rsidRPr="00915CB8">
        <w:rPr>
          <w:lang w:val="fr-CA"/>
        </w:rPr>
        <w:t xml:space="preserve">, 2004 CSC 4, [2004] 1 R.C.S. 76; </w:t>
      </w:r>
      <w:r w:rsidRPr="00915CB8">
        <w:rPr>
          <w:i/>
          <w:lang w:val="fr-CA"/>
        </w:rPr>
        <w:t>R. c. Neil</w:t>
      </w:r>
      <w:r w:rsidRPr="00915CB8">
        <w:rPr>
          <w:lang w:val="fr-CA"/>
        </w:rPr>
        <w:t xml:space="preserve">, 2002 CSC 70, [2002] 3 R.C.S. 631; </w:t>
      </w:r>
      <w:r w:rsidRPr="00915CB8">
        <w:rPr>
          <w:i/>
          <w:lang w:val="fr-CA"/>
        </w:rPr>
        <w:t>Rodriguez c. Colombie</w:t>
      </w:r>
      <w:r w:rsidR="00601B6E">
        <w:rPr>
          <w:i/>
          <w:lang w:val="fr-CA"/>
        </w:rPr>
        <w:t>-</w:t>
      </w:r>
      <w:r w:rsidRPr="00915CB8">
        <w:rPr>
          <w:i/>
          <w:lang w:val="fr-CA"/>
        </w:rPr>
        <w:t>Britannique (Procureur général)</w:t>
      </w:r>
      <w:r w:rsidRPr="00915CB8">
        <w:rPr>
          <w:lang w:val="fr-CA"/>
        </w:rPr>
        <w:t xml:space="preserve">, [1993] 3 R.C.S. 519; </w:t>
      </w:r>
      <w:r w:rsidRPr="00915CB8">
        <w:rPr>
          <w:i/>
          <w:lang w:val="fr-CA"/>
        </w:rPr>
        <w:t>Andrews c. Law Society of British Columbia</w:t>
      </w:r>
      <w:r w:rsidRPr="00915CB8">
        <w:rPr>
          <w:lang w:val="fr-CA"/>
        </w:rPr>
        <w:t xml:space="preserve">, [1989] 1 R.C.S. 143; </w:t>
      </w:r>
      <w:r w:rsidRPr="00915CB8">
        <w:rPr>
          <w:i/>
          <w:lang w:val="fr-CA"/>
        </w:rPr>
        <w:t>Procureur général du Canada c. Law Society of British Columbia</w:t>
      </w:r>
      <w:r w:rsidRPr="00915CB8">
        <w:rPr>
          <w:lang w:val="fr-CA"/>
        </w:rPr>
        <w:t xml:space="preserve">, [1982] 2 R.C.S. 307; </w:t>
      </w:r>
      <w:proofErr w:type="spellStart"/>
      <w:r w:rsidR="00A67158">
        <w:rPr>
          <w:i/>
          <w:lang w:val="fr-CA"/>
        </w:rPr>
        <w:t>Pearlman</w:t>
      </w:r>
      <w:proofErr w:type="spellEnd"/>
      <w:r w:rsidR="00A67158">
        <w:rPr>
          <w:i/>
          <w:lang w:val="fr-CA"/>
        </w:rPr>
        <w:t xml:space="preserve"> c. Comité j</w:t>
      </w:r>
      <w:r w:rsidRPr="00915CB8">
        <w:rPr>
          <w:i/>
          <w:lang w:val="fr-CA"/>
        </w:rPr>
        <w:t>udiciaire de la Société du Barreau du Manitoba</w:t>
      </w:r>
      <w:r w:rsidRPr="00915CB8">
        <w:rPr>
          <w:lang w:val="fr-CA"/>
        </w:rPr>
        <w:t>, [1991] 2 R.C.S. 869.</w:t>
      </w:r>
    </w:p>
    <w:p w:rsidR="00707CB2" w:rsidRPr="00915CB8" w:rsidRDefault="00707CB2" w:rsidP="00707CB2">
      <w:pPr>
        <w:pStyle w:val="SCCNormalDoubleSpacing"/>
        <w:spacing w:after="480"/>
        <w:rPr>
          <w:lang w:val="fr-CA"/>
        </w:rPr>
      </w:pPr>
      <w:r w:rsidRPr="00915CB8">
        <w:rPr>
          <w:lang w:val="fr-CA"/>
        </w:rPr>
        <w:t xml:space="preserve">Citée par la juge en chef </w:t>
      </w:r>
      <w:proofErr w:type="spellStart"/>
      <w:r w:rsidRPr="00915CB8">
        <w:rPr>
          <w:lang w:val="fr-CA"/>
        </w:rPr>
        <w:t>McLachlin</w:t>
      </w:r>
      <w:proofErr w:type="spellEnd"/>
      <w:r w:rsidRPr="00915CB8">
        <w:rPr>
          <w:lang w:val="fr-CA"/>
        </w:rPr>
        <w:t xml:space="preserve"> et le juge </w:t>
      </w:r>
      <w:proofErr w:type="spellStart"/>
      <w:r w:rsidRPr="00915CB8">
        <w:rPr>
          <w:lang w:val="fr-CA"/>
        </w:rPr>
        <w:t>Moldaver</w:t>
      </w:r>
      <w:proofErr w:type="spellEnd"/>
    </w:p>
    <w:p w:rsidR="00707CB2" w:rsidRPr="00915CB8" w:rsidRDefault="00707CB2" w:rsidP="00707CB2">
      <w:pPr>
        <w:pStyle w:val="SCCNormalDoubleSpacing"/>
        <w:spacing w:after="480"/>
        <w:rPr>
          <w:lang w:val="fr-CA"/>
        </w:rPr>
      </w:pPr>
      <w:r w:rsidRPr="00915CB8">
        <w:rPr>
          <w:lang w:val="fr-CA"/>
        </w:rPr>
        <w:tab/>
      </w:r>
      <w:r w:rsidRPr="00915CB8">
        <w:rPr>
          <w:b/>
          <w:lang w:val="fr-CA"/>
        </w:rPr>
        <w:t>Arrêt mentionné</w:t>
      </w:r>
      <w:r w:rsidR="00601B6E">
        <w:rPr>
          <w:b/>
          <w:lang w:val="fr-CA"/>
        </w:rPr>
        <w:t> :</w:t>
      </w:r>
      <w:r w:rsidRPr="00915CB8">
        <w:rPr>
          <w:b/>
          <w:lang w:val="fr-CA"/>
        </w:rPr>
        <w:t xml:space="preserve"> </w:t>
      </w:r>
      <w:r w:rsidRPr="00915CB8">
        <w:rPr>
          <w:i/>
          <w:lang w:val="fr-CA"/>
        </w:rPr>
        <w:t xml:space="preserve">R. c. </w:t>
      </w:r>
      <w:proofErr w:type="spellStart"/>
      <w:r w:rsidRPr="00915CB8">
        <w:rPr>
          <w:i/>
          <w:lang w:val="fr-CA"/>
        </w:rPr>
        <w:t>Malmo</w:t>
      </w:r>
      <w:proofErr w:type="spellEnd"/>
      <w:r w:rsidR="00601B6E">
        <w:rPr>
          <w:i/>
          <w:lang w:val="fr-CA"/>
        </w:rPr>
        <w:t>-</w:t>
      </w:r>
      <w:proofErr w:type="spellStart"/>
      <w:r w:rsidRPr="00915CB8">
        <w:rPr>
          <w:i/>
          <w:lang w:val="fr-CA"/>
        </w:rPr>
        <w:t>Levine</w:t>
      </w:r>
      <w:proofErr w:type="spellEnd"/>
      <w:r w:rsidRPr="00915CB8">
        <w:rPr>
          <w:lang w:val="fr-CA"/>
        </w:rPr>
        <w:t>, 2003 CSC 74, [2003] 3 R.C.S. 571.</w:t>
      </w:r>
    </w:p>
    <w:p w:rsidR="00707CB2" w:rsidRPr="00915CB8" w:rsidRDefault="00707CB2" w:rsidP="00707CB2">
      <w:pPr>
        <w:pStyle w:val="SCCNormalDoubleSpacing"/>
        <w:spacing w:after="720" w:line="240" w:lineRule="auto"/>
        <w:rPr>
          <w:b/>
          <w:lang w:val="fr-CA"/>
        </w:rPr>
      </w:pPr>
      <w:r w:rsidRPr="00915CB8">
        <w:rPr>
          <w:b/>
          <w:lang w:val="fr-CA"/>
        </w:rPr>
        <w:t>Lois et règlements cités</w:t>
      </w:r>
    </w:p>
    <w:p w:rsidR="00707CB2" w:rsidRPr="00915CB8" w:rsidRDefault="00707CB2" w:rsidP="00707CB2">
      <w:pPr>
        <w:pStyle w:val="SCCNormalDoubleSpacing"/>
        <w:spacing w:after="240" w:line="240" w:lineRule="auto"/>
        <w:ind w:left="547" w:hanging="547"/>
        <w:rPr>
          <w:lang w:val="fr-CA"/>
        </w:rPr>
      </w:pPr>
      <w:r w:rsidRPr="00915CB8">
        <w:rPr>
          <w:i/>
          <w:lang w:val="fr-CA"/>
        </w:rPr>
        <w:t>Charte canadienne des droits et libertés</w:t>
      </w:r>
      <w:r w:rsidRPr="00915CB8">
        <w:rPr>
          <w:lang w:val="fr-CA"/>
        </w:rPr>
        <w:t>, art.</w:t>
      </w:r>
      <w:r w:rsidR="00601B6E">
        <w:rPr>
          <w:lang w:val="fr-CA"/>
        </w:rPr>
        <w:t xml:space="preserve"> </w:t>
      </w:r>
      <w:r w:rsidRPr="00915CB8">
        <w:rPr>
          <w:lang w:val="fr-CA"/>
        </w:rPr>
        <w:t>1, 7, 8.</w:t>
      </w:r>
    </w:p>
    <w:p w:rsidR="00707CB2" w:rsidRPr="00915CB8" w:rsidRDefault="00707CB2" w:rsidP="00707CB2">
      <w:pPr>
        <w:pStyle w:val="SCCNormalDoubleSpacing"/>
        <w:spacing w:after="240" w:line="240" w:lineRule="auto"/>
        <w:ind w:left="547" w:hanging="547"/>
        <w:rPr>
          <w:lang w:val="fr-CA"/>
        </w:rPr>
      </w:pPr>
      <w:r w:rsidRPr="00915CB8">
        <w:rPr>
          <w:i/>
          <w:lang w:val="fr-CA"/>
        </w:rPr>
        <w:t>Code criminel</w:t>
      </w:r>
      <w:r w:rsidRPr="00915CB8">
        <w:rPr>
          <w:lang w:val="fr-CA"/>
        </w:rPr>
        <w:t>, L.R.C. 1985, c.</w:t>
      </w:r>
      <w:r w:rsidR="00601B6E">
        <w:rPr>
          <w:lang w:val="fr-CA"/>
        </w:rPr>
        <w:t xml:space="preserve"> </w:t>
      </w:r>
      <w:r w:rsidRPr="00915CB8">
        <w:rPr>
          <w:lang w:val="fr-CA"/>
        </w:rPr>
        <w:t>C</w:t>
      </w:r>
      <w:r w:rsidR="00601B6E">
        <w:rPr>
          <w:lang w:val="fr-CA"/>
        </w:rPr>
        <w:t>-</w:t>
      </w:r>
      <w:r w:rsidRPr="00915CB8">
        <w:rPr>
          <w:lang w:val="fr-CA"/>
        </w:rPr>
        <w:t>46, art.</w:t>
      </w:r>
      <w:r w:rsidR="00601B6E">
        <w:rPr>
          <w:lang w:val="fr-CA"/>
        </w:rPr>
        <w:t xml:space="preserve"> </w:t>
      </w:r>
      <w:r w:rsidRPr="00915CB8">
        <w:rPr>
          <w:lang w:val="fr-CA"/>
        </w:rPr>
        <w:t>83.02, 83.03, 462.31, 488.1.</w:t>
      </w:r>
    </w:p>
    <w:p w:rsidR="00707CB2" w:rsidRPr="00915CB8" w:rsidRDefault="00707CB2" w:rsidP="00707CB2">
      <w:pPr>
        <w:pStyle w:val="SCCNormalDoubleSpacing"/>
        <w:spacing w:after="240" w:line="240" w:lineRule="auto"/>
        <w:ind w:left="547" w:hanging="547"/>
        <w:rPr>
          <w:lang w:val="fr-CA"/>
        </w:rPr>
      </w:pPr>
      <w:r w:rsidRPr="00915CB8">
        <w:rPr>
          <w:i/>
          <w:lang w:val="fr-CA"/>
        </w:rPr>
        <w:t>Loi sur le recyclage des produits de la criminalité et le financement des activités terroristes</w:t>
      </w:r>
      <w:r w:rsidRPr="00915CB8">
        <w:rPr>
          <w:lang w:val="fr-CA"/>
        </w:rPr>
        <w:t>, L.C. 2000, c.</w:t>
      </w:r>
      <w:r w:rsidR="00601B6E">
        <w:rPr>
          <w:lang w:val="fr-CA"/>
        </w:rPr>
        <w:t xml:space="preserve"> </w:t>
      </w:r>
      <w:r w:rsidRPr="00915CB8">
        <w:rPr>
          <w:lang w:val="fr-CA"/>
        </w:rPr>
        <w:t>17, art.</w:t>
      </w:r>
      <w:r w:rsidR="00601B6E">
        <w:rPr>
          <w:lang w:val="fr-CA"/>
        </w:rPr>
        <w:t xml:space="preserve"> </w:t>
      </w:r>
      <w:r w:rsidRPr="00915CB8">
        <w:rPr>
          <w:lang w:val="fr-CA"/>
        </w:rPr>
        <w:t xml:space="preserve">2 </w:t>
      </w:r>
      <w:r w:rsidR="00601B6E">
        <w:rPr>
          <w:lang w:val="fr-CA"/>
        </w:rPr>
        <w:t>« </w:t>
      </w:r>
      <w:proofErr w:type="gramStart"/>
      <w:r w:rsidRPr="00915CB8">
        <w:rPr>
          <w:lang w:val="fr-CA"/>
        </w:rPr>
        <w:t>conseiller</w:t>
      </w:r>
      <w:proofErr w:type="gramEnd"/>
      <w:r w:rsidRPr="00915CB8">
        <w:rPr>
          <w:lang w:val="fr-CA"/>
        </w:rPr>
        <w:t xml:space="preserve"> juridique</w:t>
      </w:r>
      <w:r w:rsidR="00601B6E">
        <w:rPr>
          <w:lang w:val="fr-CA"/>
        </w:rPr>
        <w:t> »</w:t>
      </w:r>
      <w:r w:rsidRPr="00915CB8">
        <w:rPr>
          <w:lang w:val="fr-CA"/>
        </w:rPr>
        <w:t>, 3, partie</w:t>
      </w:r>
      <w:r w:rsidR="00601B6E">
        <w:rPr>
          <w:lang w:val="fr-CA"/>
        </w:rPr>
        <w:t xml:space="preserve"> </w:t>
      </w:r>
      <w:r w:rsidRPr="00915CB8">
        <w:rPr>
          <w:lang w:val="fr-CA"/>
        </w:rPr>
        <w:t>1, 5</w:t>
      </w:r>
      <w:r w:rsidRPr="00915CB8">
        <w:rPr>
          <w:i/>
          <w:lang w:val="fr-CA"/>
        </w:rPr>
        <w:t>i</w:t>
      </w:r>
      <w:r w:rsidRPr="00915CB8">
        <w:rPr>
          <w:lang w:val="fr-CA"/>
        </w:rPr>
        <w:t xml:space="preserve">), </w:t>
      </w:r>
      <w:r w:rsidRPr="00915CB8">
        <w:rPr>
          <w:i/>
          <w:lang w:val="fr-CA"/>
        </w:rPr>
        <w:t>j</w:t>
      </w:r>
      <w:r w:rsidRPr="00915CB8">
        <w:rPr>
          <w:lang w:val="fr-CA"/>
        </w:rPr>
        <w:t>), 6, 6.1, 7, 9, 9.1, 9.6, 10.1, 11, 62, 63, 63.1, 64, 65, 65.1, 74.</w:t>
      </w:r>
    </w:p>
    <w:p w:rsidR="00707CB2" w:rsidRPr="00915CB8" w:rsidRDefault="00707CB2" w:rsidP="00707CB2">
      <w:pPr>
        <w:pStyle w:val="SCCNormalDoubleSpacing"/>
        <w:spacing w:after="720" w:line="240" w:lineRule="auto"/>
        <w:ind w:left="547" w:hanging="547"/>
        <w:rPr>
          <w:lang w:val="fr-CA"/>
        </w:rPr>
      </w:pPr>
      <w:r w:rsidRPr="00915CB8">
        <w:rPr>
          <w:i/>
          <w:lang w:val="fr-CA"/>
        </w:rPr>
        <w:t>Règlement sur le recyclage des produits de la criminalité et le financement des activités terroristes</w:t>
      </w:r>
      <w:r w:rsidRPr="00915CB8">
        <w:rPr>
          <w:lang w:val="fr-CA"/>
        </w:rPr>
        <w:t>, DORS/2002</w:t>
      </w:r>
      <w:r w:rsidR="00601B6E">
        <w:rPr>
          <w:lang w:val="fr-CA"/>
        </w:rPr>
        <w:t>-</w:t>
      </w:r>
      <w:r w:rsidRPr="00915CB8">
        <w:rPr>
          <w:lang w:val="fr-CA"/>
        </w:rPr>
        <w:t>184, art.</w:t>
      </w:r>
      <w:r w:rsidR="00601B6E">
        <w:rPr>
          <w:lang w:val="fr-CA"/>
        </w:rPr>
        <w:t xml:space="preserve"> </w:t>
      </w:r>
      <w:r w:rsidRPr="00915CB8">
        <w:rPr>
          <w:lang w:val="fr-CA"/>
        </w:rPr>
        <w:t xml:space="preserve">1(2) </w:t>
      </w:r>
      <w:r w:rsidR="00601B6E">
        <w:rPr>
          <w:lang w:val="fr-CA"/>
        </w:rPr>
        <w:t>« </w:t>
      </w:r>
      <w:r w:rsidRPr="00915CB8">
        <w:rPr>
          <w:lang w:val="fr-CA"/>
        </w:rPr>
        <w:t>fonds</w:t>
      </w:r>
      <w:r w:rsidR="00601B6E">
        <w:rPr>
          <w:lang w:val="fr-CA"/>
        </w:rPr>
        <w:t> »</w:t>
      </w:r>
      <w:r w:rsidRPr="00915CB8">
        <w:rPr>
          <w:lang w:val="fr-CA"/>
        </w:rPr>
        <w:t xml:space="preserve">, </w:t>
      </w:r>
      <w:r w:rsidR="00601B6E">
        <w:rPr>
          <w:lang w:val="fr-CA"/>
        </w:rPr>
        <w:t>« </w:t>
      </w:r>
      <w:r w:rsidRPr="00915CB8">
        <w:rPr>
          <w:lang w:val="fr-CA"/>
        </w:rPr>
        <w:t>relevé de réception de fonds</w:t>
      </w:r>
      <w:r w:rsidR="00601B6E">
        <w:rPr>
          <w:lang w:val="fr-CA"/>
        </w:rPr>
        <w:t> »</w:t>
      </w:r>
      <w:r w:rsidRPr="00915CB8">
        <w:rPr>
          <w:lang w:val="fr-CA"/>
        </w:rPr>
        <w:t>, 11.1, 33.3, 33.4, 33.5, 59.4, 64</w:t>
      </w:r>
      <w:r w:rsidR="004F0412">
        <w:rPr>
          <w:lang w:val="fr-CA"/>
        </w:rPr>
        <w:t xml:space="preserve"> à </w:t>
      </w:r>
      <w:r w:rsidRPr="00915CB8">
        <w:rPr>
          <w:lang w:val="fr-CA"/>
        </w:rPr>
        <w:t>67, 68, 69, 70.</w:t>
      </w:r>
    </w:p>
    <w:p w:rsidR="00707CB2" w:rsidRPr="00915CB8" w:rsidRDefault="00707CB2" w:rsidP="00707CB2">
      <w:pPr>
        <w:pStyle w:val="SCCNormalDoubleSpacing"/>
        <w:spacing w:after="720" w:line="240" w:lineRule="auto"/>
        <w:rPr>
          <w:b/>
          <w:lang w:val="fr-CA"/>
        </w:rPr>
      </w:pPr>
      <w:r w:rsidRPr="00915CB8">
        <w:rPr>
          <w:b/>
          <w:lang w:val="fr-CA"/>
        </w:rPr>
        <w:t>Doctrine et autres documents cités</w:t>
      </w:r>
    </w:p>
    <w:p w:rsidR="00707CB2" w:rsidRDefault="00707CB2" w:rsidP="00707CB2">
      <w:pPr>
        <w:pStyle w:val="SCCNormalDoubleSpacing"/>
        <w:spacing w:line="240" w:lineRule="auto"/>
        <w:ind w:left="547" w:hanging="547"/>
        <w:rPr>
          <w:lang w:val="fr-CA"/>
        </w:rPr>
      </w:pPr>
      <w:r w:rsidRPr="00915CB8">
        <w:rPr>
          <w:lang w:val="fr-CA"/>
        </w:rPr>
        <w:t xml:space="preserve">Association internationale du barreau. </w:t>
      </w:r>
      <w:r w:rsidRPr="00915CB8">
        <w:rPr>
          <w:i/>
          <w:lang w:val="fr-CA"/>
        </w:rPr>
        <w:t>Les principes internationaux de déontologie de la profession juridique</w:t>
      </w:r>
      <w:r w:rsidRPr="00915CB8">
        <w:rPr>
          <w:lang w:val="fr-CA"/>
        </w:rPr>
        <w:t>, adoptés le 28</w:t>
      </w:r>
      <w:r w:rsidR="00601B6E">
        <w:rPr>
          <w:lang w:val="fr-CA"/>
        </w:rPr>
        <w:t xml:space="preserve"> </w:t>
      </w:r>
      <w:r w:rsidRPr="00915CB8">
        <w:rPr>
          <w:lang w:val="fr-CA"/>
        </w:rPr>
        <w:t>mai 2011 (en ligne</w:t>
      </w:r>
      <w:r w:rsidR="00601B6E">
        <w:rPr>
          <w:lang w:val="fr-CA"/>
        </w:rPr>
        <w:t> :</w:t>
      </w:r>
      <w:r w:rsidRPr="00915CB8">
        <w:rPr>
          <w:lang w:val="fr-CA"/>
        </w:rPr>
        <w:t xml:space="preserve"> http://www.ibanet.org/Publications/publications_IBA_guides_and_free_</w:t>
      </w:r>
    </w:p>
    <w:p w:rsidR="00707CB2" w:rsidRPr="00915CB8" w:rsidRDefault="00707CB2" w:rsidP="00707CB2">
      <w:pPr>
        <w:pStyle w:val="SCCNormalDoubleSpacing"/>
        <w:spacing w:after="240" w:line="240" w:lineRule="auto"/>
        <w:ind w:left="547" w:hanging="547"/>
        <w:rPr>
          <w:lang w:val="fr-CA"/>
        </w:rPr>
      </w:pPr>
      <w:r>
        <w:rPr>
          <w:lang w:val="fr-CA"/>
        </w:rPr>
        <w:lastRenderedPageBreak/>
        <w:tab/>
      </w:r>
      <w:proofErr w:type="gramStart"/>
      <w:r w:rsidRPr="00915CB8">
        <w:rPr>
          <w:lang w:val="fr-CA"/>
        </w:rPr>
        <w:t>materials.aspx</w:t>
      </w:r>
      <w:proofErr w:type="gramEnd"/>
      <w:r w:rsidRPr="00915CB8">
        <w:rPr>
          <w:lang w:val="fr-CA"/>
        </w:rPr>
        <w:t>).</w:t>
      </w:r>
    </w:p>
    <w:p w:rsidR="00707CB2" w:rsidRPr="00915CB8" w:rsidRDefault="00707CB2" w:rsidP="00707CB2">
      <w:pPr>
        <w:pStyle w:val="SCCNormalDoubleSpacing"/>
        <w:spacing w:after="240" w:line="240" w:lineRule="auto"/>
        <w:ind w:left="547" w:hanging="540"/>
        <w:rPr>
          <w:lang w:val="fr-CA"/>
        </w:rPr>
      </w:pPr>
      <w:r w:rsidRPr="00915CB8">
        <w:rPr>
          <w:lang w:val="fr-CA"/>
        </w:rPr>
        <w:t xml:space="preserve">Conseil des barreaux européens. </w:t>
      </w:r>
      <w:r w:rsidRPr="00915CB8">
        <w:rPr>
          <w:i/>
          <w:lang w:val="fr-CA"/>
        </w:rPr>
        <w:t>Charte des principes essentiels de l’avocat européen</w:t>
      </w:r>
      <w:r w:rsidRPr="00915CB8">
        <w:rPr>
          <w:lang w:val="fr-CA"/>
        </w:rPr>
        <w:t xml:space="preserve">, dans </w:t>
      </w:r>
      <w:r w:rsidRPr="00915CB8">
        <w:rPr>
          <w:i/>
          <w:lang w:val="fr-CA"/>
        </w:rPr>
        <w:t>Charte des principes essentiels de l’avocat européen et Code de déontologie des avocats européens</w:t>
      </w:r>
      <w:r w:rsidRPr="00915CB8">
        <w:rPr>
          <w:lang w:val="fr-CA"/>
        </w:rPr>
        <w:t>, édition 2013, 5 (en ligne</w:t>
      </w:r>
      <w:r w:rsidR="001E686B">
        <w:rPr>
          <w:lang w:val="fr-CA"/>
        </w:rPr>
        <w:t> :</w:t>
      </w:r>
      <w:r w:rsidR="00C53526">
        <w:rPr>
          <w:lang w:val="fr-CA"/>
        </w:rPr>
        <w:t> </w:t>
      </w:r>
      <w:r w:rsidR="001E686B">
        <w:rPr>
          <w:lang w:val="fr-CA"/>
        </w:rPr>
        <w:t>http</w:t>
      </w:r>
      <w:r w:rsidR="00C53526">
        <w:rPr>
          <w:lang w:val="fr-CA"/>
        </w:rPr>
        <w:t>:/</w:t>
      </w:r>
      <w:r w:rsidR="001E686B">
        <w:rPr>
          <w:lang w:val="fr-CA"/>
        </w:rPr>
        <w:t>/www.ccbe.eu/index.php?id=32&amp;L=1</w:t>
      </w:r>
      <w:r w:rsidRPr="00915CB8">
        <w:rPr>
          <w:lang w:val="fr-CA"/>
        </w:rPr>
        <w:t>).</w:t>
      </w:r>
    </w:p>
    <w:p w:rsidR="00707CB2" w:rsidRDefault="00707CB2" w:rsidP="00AB64EE">
      <w:pPr>
        <w:pStyle w:val="SCCNormalDoubleSpacing"/>
        <w:spacing w:line="240" w:lineRule="auto"/>
        <w:ind w:left="547" w:hanging="547"/>
        <w:rPr>
          <w:lang w:val="en-US"/>
        </w:rPr>
      </w:pPr>
      <w:r w:rsidRPr="00915CB8">
        <w:rPr>
          <w:lang w:val="fr-CA"/>
        </w:rPr>
        <w:t xml:space="preserve">Fédération des ordres professionnels de juristes du Canada. </w:t>
      </w:r>
      <w:r w:rsidRPr="00915CB8">
        <w:rPr>
          <w:i/>
          <w:lang w:val="fr-CA"/>
        </w:rPr>
        <w:t>Règlement type sur les exigences d’identification et de vérification de l’identité des clients</w:t>
      </w:r>
      <w:r w:rsidRPr="00915CB8">
        <w:rPr>
          <w:lang w:val="fr-CA"/>
        </w:rPr>
        <w:t>, adopté le 20</w:t>
      </w:r>
      <w:r w:rsidR="00601B6E">
        <w:rPr>
          <w:lang w:val="fr-CA"/>
        </w:rPr>
        <w:t xml:space="preserve"> </w:t>
      </w:r>
      <w:r w:rsidRPr="00915CB8">
        <w:rPr>
          <w:lang w:val="fr-CA"/>
        </w:rPr>
        <w:t>mars 2008 et modifié le 12</w:t>
      </w:r>
      <w:r w:rsidR="00601B6E">
        <w:rPr>
          <w:lang w:val="fr-CA"/>
        </w:rPr>
        <w:t xml:space="preserve"> </w:t>
      </w:r>
      <w:r w:rsidRPr="00915CB8">
        <w:rPr>
          <w:lang w:val="fr-CA"/>
        </w:rPr>
        <w:t>décembre 2008 (en ligne</w:t>
      </w:r>
      <w:r w:rsidRPr="00915CB8">
        <w:rPr>
          <w:lang w:val="en-US"/>
        </w:rPr>
        <w:t>).</w:t>
      </w:r>
    </w:p>
    <w:p w:rsidR="00AB64EE" w:rsidRPr="00915CB8" w:rsidRDefault="00AB64EE" w:rsidP="00AB64EE">
      <w:pPr>
        <w:pStyle w:val="SCCNormalDoubleSpacing"/>
        <w:spacing w:line="240" w:lineRule="auto"/>
        <w:ind w:left="547" w:hanging="547"/>
        <w:rPr>
          <w:lang w:val="en-US"/>
        </w:rPr>
      </w:pPr>
    </w:p>
    <w:p w:rsidR="00707CB2" w:rsidRPr="00915CB8" w:rsidRDefault="00707CB2" w:rsidP="00707CB2">
      <w:pPr>
        <w:pStyle w:val="SCCNormalDoubleSpacing"/>
        <w:spacing w:after="240" w:line="240" w:lineRule="auto"/>
        <w:ind w:left="547" w:hanging="540"/>
      </w:pPr>
      <w:r w:rsidRPr="00915CB8">
        <w:t>Mill, J.</w:t>
      </w:r>
      <w:r w:rsidR="00601B6E">
        <w:t xml:space="preserve"> </w:t>
      </w:r>
      <w:r w:rsidRPr="00915CB8">
        <w:t xml:space="preserve">S. </w:t>
      </w:r>
      <w:proofErr w:type="gramStart"/>
      <w:r w:rsidRPr="00915CB8">
        <w:rPr>
          <w:i/>
        </w:rPr>
        <w:t>On Liberty and Considerations on Representative Government</w:t>
      </w:r>
      <w:r w:rsidRPr="00915CB8">
        <w:t>, by R.</w:t>
      </w:r>
      <w:r w:rsidR="00601B6E">
        <w:t xml:space="preserve"> </w:t>
      </w:r>
      <w:r w:rsidRPr="00915CB8">
        <w:t>B. McCallum, ed., Oxford, Basil Blackwell, 1946.</w:t>
      </w:r>
      <w:proofErr w:type="gramEnd"/>
    </w:p>
    <w:p w:rsidR="00707CB2" w:rsidRPr="00915CB8" w:rsidRDefault="00707CB2" w:rsidP="00707CB2">
      <w:pPr>
        <w:pStyle w:val="SCCNormalDoubleSpacing"/>
        <w:spacing w:after="240" w:line="240" w:lineRule="auto"/>
        <w:ind w:left="547" w:hanging="540"/>
        <w:rPr>
          <w:lang w:val="fr-CA"/>
        </w:rPr>
      </w:pPr>
      <w:r w:rsidRPr="00915CB8">
        <w:rPr>
          <w:lang w:val="fr-CA"/>
        </w:rPr>
        <w:t xml:space="preserve">Nations Unies. </w:t>
      </w:r>
      <w:r w:rsidRPr="00915CB8">
        <w:rPr>
          <w:i/>
          <w:lang w:val="fr-CA"/>
        </w:rPr>
        <w:t>Principes de base relatifs au rôle du barreau</w:t>
      </w:r>
      <w:r w:rsidRPr="00915CB8">
        <w:rPr>
          <w:lang w:val="fr-CA"/>
        </w:rPr>
        <w:t xml:space="preserve">, dans </w:t>
      </w:r>
      <w:r w:rsidRPr="00F95A7F">
        <w:rPr>
          <w:lang w:val="fr-CA"/>
        </w:rPr>
        <w:t>Huitième Congrès des Nations Unies pour la prévention du crime et le traitement des délinquants</w:t>
      </w:r>
      <w:r w:rsidR="00601B6E">
        <w:rPr>
          <w:lang w:val="fr-CA"/>
        </w:rPr>
        <w:t> :</w:t>
      </w:r>
      <w:r w:rsidRPr="00F95A7F">
        <w:rPr>
          <w:lang w:val="fr-CA"/>
        </w:rPr>
        <w:t xml:space="preserve"> La Havane, 27</w:t>
      </w:r>
      <w:r w:rsidR="00601B6E">
        <w:rPr>
          <w:lang w:val="fr-CA"/>
        </w:rPr>
        <w:t xml:space="preserve"> </w:t>
      </w:r>
      <w:r w:rsidRPr="00F95A7F">
        <w:rPr>
          <w:lang w:val="fr-CA"/>
        </w:rPr>
        <w:t>août — 7</w:t>
      </w:r>
      <w:r w:rsidR="00601B6E">
        <w:rPr>
          <w:lang w:val="fr-CA"/>
        </w:rPr>
        <w:t xml:space="preserve"> </w:t>
      </w:r>
      <w:r w:rsidRPr="00F95A7F">
        <w:rPr>
          <w:lang w:val="fr-CA"/>
        </w:rPr>
        <w:t>septembre 1990,</w:t>
      </w:r>
      <w:r w:rsidRPr="00915CB8">
        <w:rPr>
          <w:lang w:val="fr-CA"/>
        </w:rPr>
        <w:t xml:space="preserve"> Doc. N.U. A/CONF.144/28/</w:t>
      </w:r>
      <w:proofErr w:type="spellStart"/>
      <w:r w:rsidRPr="00915CB8">
        <w:rPr>
          <w:lang w:val="fr-CA"/>
        </w:rPr>
        <w:t>Rév</w:t>
      </w:r>
      <w:proofErr w:type="spellEnd"/>
      <w:r w:rsidRPr="00915CB8">
        <w:rPr>
          <w:lang w:val="fr-CA"/>
        </w:rPr>
        <w:t>.1, New York, Nations Unies, 1991, 126.</w:t>
      </w:r>
    </w:p>
    <w:p w:rsidR="00707CB2" w:rsidRPr="00915CB8" w:rsidRDefault="00707CB2" w:rsidP="00707CB2">
      <w:pPr>
        <w:pStyle w:val="SCCNormalDoubleSpacing"/>
        <w:spacing w:after="720" w:line="240" w:lineRule="auto"/>
        <w:ind w:left="547" w:hanging="547"/>
      </w:pPr>
      <w:r w:rsidRPr="00915CB8">
        <w:t xml:space="preserve">Stewart, Hamish. </w:t>
      </w:r>
      <w:r w:rsidRPr="00915CB8">
        <w:rPr>
          <w:i/>
        </w:rPr>
        <w:t xml:space="preserve">Fundamental </w:t>
      </w:r>
      <w:proofErr w:type="gramStart"/>
      <w:r w:rsidRPr="00915CB8">
        <w:rPr>
          <w:i/>
        </w:rPr>
        <w:t>Justice</w:t>
      </w:r>
      <w:r w:rsidR="00601B6E">
        <w:rPr>
          <w:i/>
        </w:rPr>
        <w:t> :</w:t>
      </w:r>
      <w:proofErr w:type="gramEnd"/>
      <w:r w:rsidRPr="00915CB8">
        <w:rPr>
          <w:i/>
        </w:rPr>
        <w:t xml:space="preserve"> Section</w:t>
      </w:r>
      <w:r w:rsidR="00601B6E">
        <w:rPr>
          <w:i/>
        </w:rPr>
        <w:t xml:space="preserve"> </w:t>
      </w:r>
      <w:r w:rsidRPr="00915CB8">
        <w:rPr>
          <w:i/>
        </w:rPr>
        <w:t>7 of the Canadian Charter of Rights and Freedoms</w:t>
      </w:r>
      <w:r w:rsidRPr="00915CB8">
        <w:t>, Toronto, Irwin Law, 2012.</w:t>
      </w:r>
    </w:p>
    <w:p w:rsidR="00707CB2" w:rsidRPr="00915CB8" w:rsidRDefault="00707CB2" w:rsidP="00707CB2">
      <w:pPr>
        <w:pStyle w:val="SCCNormalDoubleSpacing"/>
        <w:spacing w:before="480" w:after="480"/>
        <w:rPr>
          <w:lang w:val="fr-CA"/>
        </w:rPr>
      </w:pPr>
      <w:r w:rsidRPr="00915CB8">
        <w:tab/>
      </w:r>
      <w:r w:rsidRPr="00915CB8">
        <w:rPr>
          <w:lang w:val="fr-CA"/>
        </w:rPr>
        <w:t>POURVOI contre un arrêt de la Cour d’appel de la Colombie</w:t>
      </w:r>
      <w:r w:rsidR="00601B6E">
        <w:rPr>
          <w:lang w:val="fr-CA"/>
        </w:rPr>
        <w:t>-</w:t>
      </w:r>
      <w:r w:rsidRPr="00915CB8">
        <w:rPr>
          <w:lang w:val="fr-CA"/>
        </w:rPr>
        <w:t xml:space="preserve">Britannique (le juge en chef </w:t>
      </w:r>
      <w:proofErr w:type="spellStart"/>
      <w:r w:rsidRPr="00915CB8">
        <w:rPr>
          <w:lang w:val="fr-CA"/>
        </w:rPr>
        <w:t>Finch</w:t>
      </w:r>
      <w:proofErr w:type="spellEnd"/>
      <w:r w:rsidRPr="00915CB8">
        <w:rPr>
          <w:lang w:val="fr-CA"/>
        </w:rPr>
        <w:t xml:space="preserve"> et les juges </w:t>
      </w:r>
      <w:proofErr w:type="spellStart"/>
      <w:r w:rsidRPr="00915CB8">
        <w:rPr>
          <w:lang w:val="fr-CA"/>
        </w:rPr>
        <w:t>Frankel</w:t>
      </w:r>
      <w:proofErr w:type="spellEnd"/>
      <w:r w:rsidRPr="00915CB8">
        <w:rPr>
          <w:lang w:val="fr-CA"/>
        </w:rPr>
        <w:t xml:space="preserve">, </w:t>
      </w:r>
      <w:proofErr w:type="spellStart"/>
      <w:r w:rsidRPr="00915CB8">
        <w:rPr>
          <w:lang w:val="fr-CA"/>
        </w:rPr>
        <w:t>Neilson</w:t>
      </w:r>
      <w:proofErr w:type="spellEnd"/>
      <w:r w:rsidRPr="00915CB8">
        <w:rPr>
          <w:lang w:val="fr-CA"/>
        </w:rPr>
        <w:t xml:space="preserve">, </w:t>
      </w:r>
      <w:proofErr w:type="spellStart"/>
      <w:r w:rsidRPr="00915CB8">
        <w:rPr>
          <w:lang w:val="fr-CA"/>
        </w:rPr>
        <w:t>Garson</w:t>
      </w:r>
      <w:proofErr w:type="spellEnd"/>
      <w:r w:rsidRPr="00915CB8">
        <w:rPr>
          <w:lang w:val="fr-CA"/>
        </w:rPr>
        <w:t xml:space="preserve"> et </w:t>
      </w:r>
      <w:proofErr w:type="spellStart"/>
      <w:r w:rsidRPr="00915CB8">
        <w:rPr>
          <w:lang w:val="fr-CA"/>
        </w:rPr>
        <w:t>Hinkson</w:t>
      </w:r>
      <w:proofErr w:type="spellEnd"/>
      <w:r w:rsidRPr="00915CB8">
        <w:rPr>
          <w:lang w:val="fr-CA"/>
        </w:rPr>
        <w:t xml:space="preserve">), 2013 BCCA 147, 41 B.C.L.R. (5th) 283, 335 B.C.A.C. 243, 573 W.A.C. 243, 359 D.L.R. (4th) 1, 48 </w:t>
      </w:r>
      <w:proofErr w:type="spellStart"/>
      <w:r w:rsidRPr="00915CB8">
        <w:rPr>
          <w:lang w:val="fr-CA"/>
        </w:rPr>
        <w:t>Admin</w:t>
      </w:r>
      <w:proofErr w:type="spellEnd"/>
      <w:r w:rsidRPr="00915CB8">
        <w:rPr>
          <w:lang w:val="fr-CA"/>
        </w:rPr>
        <w:t>. L.R. (5th) 181, 297 C.C.C. (3d) 429, 2 C.R. (7th) 324, 278 C.R.R. (2d) 273, [2013] 5 W.W.R. 1, [2013] B.C.J. No.</w:t>
      </w:r>
      <w:r w:rsidR="00601B6E">
        <w:rPr>
          <w:lang w:val="fr-CA"/>
        </w:rPr>
        <w:t xml:space="preserve"> </w:t>
      </w:r>
      <w:r w:rsidRPr="00915CB8">
        <w:rPr>
          <w:lang w:val="fr-CA"/>
        </w:rPr>
        <w:t xml:space="preserve">632 (QL), 2013 </w:t>
      </w:r>
      <w:proofErr w:type="spellStart"/>
      <w:r w:rsidRPr="00915CB8">
        <w:rPr>
          <w:lang w:val="fr-CA"/>
        </w:rPr>
        <w:t>CarswellBC</w:t>
      </w:r>
      <w:proofErr w:type="spellEnd"/>
      <w:r w:rsidRPr="00915CB8">
        <w:rPr>
          <w:lang w:val="fr-CA"/>
        </w:rPr>
        <w:t xml:space="preserve"> 812 (WL Can.), qui a confirmé une décision de la juge </w:t>
      </w:r>
      <w:proofErr w:type="spellStart"/>
      <w:r w:rsidRPr="00915CB8">
        <w:rPr>
          <w:lang w:val="fr-CA"/>
        </w:rPr>
        <w:t>Gerow</w:t>
      </w:r>
      <w:proofErr w:type="spellEnd"/>
      <w:r w:rsidRPr="00915CB8">
        <w:rPr>
          <w:lang w:val="fr-CA"/>
        </w:rPr>
        <w:t xml:space="preserve">, 2011 BCSC 1270, 25 B.C.L.R. (5th) 265, 339 D.L.R. (4th) 48, 48 </w:t>
      </w:r>
      <w:proofErr w:type="spellStart"/>
      <w:r w:rsidRPr="00915CB8">
        <w:rPr>
          <w:lang w:val="fr-CA"/>
        </w:rPr>
        <w:t>Admin</w:t>
      </w:r>
      <w:proofErr w:type="spellEnd"/>
      <w:r w:rsidRPr="00915CB8">
        <w:rPr>
          <w:lang w:val="fr-CA"/>
        </w:rPr>
        <w:t xml:space="preserve">. </w:t>
      </w:r>
      <w:r w:rsidRPr="00915CB8">
        <w:t>L.R. (5th) 285, 89 C.R. (6th) 80, 244 C.R.R. (2d) 129, [2012] 2 W.W.R. 758, [2011] B.C.J. No.</w:t>
      </w:r>
      <w:r w:rsidR="00601B6E">
        <w:t xml:space="preserve"> </w:t>
      </w:r>
      <w:proofErr w:type="gramStart"/>
      <w:r w:rsidRPr="00915CB8">
        <w:t xml:space="preserve">1779 (QL), 2011 </w:t>
      </w:r>
      <w:proofErr w:type="spellStart"/>
      <w:r w:rsidRPr="00915CB8">
        <w:t>CarswellBC</w:t>
      </w:r>
      <w:proofErr w:type="spellEnd"/>
      <w:r w:rsidRPr="00915CB8">
        <w:t xml:space="preserve"> 2436 (WL Can.).</w:t>
      </w:r>
      <w:proofErr w:type="gramEnd"/>
      <w:r w:rsidRPr="00915CB8">
        <w:t xml:space="preserve"> </w:t>
      </w:r>
      <w:r w:rsidRPr="00915CB8">
        <w:rPr>
          <w:lang w:val="fr-CA"/>
        </w:rPr>
        <w:t>Pourvoi accueilli en partie.</w:t>
      </w:r>
    </w:p>
    <w:p w:rsidR="00707CB2" w:rsidRPr="00915CB8" w:rsidRDefault="00707CB2" w:rsidP="00707CB2">
      <w:pPr>
        <w:pStyle w:val="SCCNormalDoubleSpacing"/>
        <w:spacing w:before="480" w:after="480"/>
        <w:rPr>
          <w:lang w:val="fr-CA"/>
        </w:rPr>
      </w:pPr>
      <w:r w:rsidRPr="00915CB8">
        <w:rPr>
          <w:i/>
          <w:lang w:val="fr-CA"/>
        </w:rPr>
        <w:tab/>
        <w:t xml:space="preserve">Christopher </w:t>
      </w:r>
      <w:proofErr w:type="spellStart"/>
      <w:r w:rsidRPr="00915CB8">
        <w:rPr>
          <w:i/>
          <w:lang w:val="fr-CA"/>
        </w:rPr>
        <w:t>Rupar</w:t>
      </w:r>
      <w:proofErr w:type="spellEnd"/>
      <w:r w:rsidRPr="00915CB8">
        <w:rPr>
          <w:lang w:val="fr-CA"/>
        </w:rPr>
        <w:t xml:space="preserve"> et </w:t>
      </w:r>
      <w:r w:rsidRPr="00915CB8">
        <w:rPr>
          <w:i/>
          <w:lang w:val="fr-CA"/>
        </w:rPr>
        <w:t xml:space="preserve">Jan </w:t>
      </w:r>
      <w:proofErr w:type="spellStart"/>
      <w:r w:rsidRPr="00915CB8">
        <w:rPr>
          <w:i/>
          <w:lang w:val="fr-CA"/>
        </w:rPr>
        <w:t>Brongers</w:t>
      </w:r>
      <w:proofErr w:type="spellEnd"/>
      <w:r w:rsidRPr="00915CB8">
        <w:rPr>
          <w:lang w:val="fr-CA"/>
        </w:rPr>
        <w:t>, pour l’appelant.</w:t>
      </w:r>
    </w:p>
    <w:p w:rsidR="00707CB2" w:rsidRPr="00915CB8" w:rsidRDefault="00707CB2" w:rsidP="00707CB2">
      <w:pPr>
        <w:pStyle w:val="SCCNormalDoubleSpacing"/>
        <w:spacing w:before="480" w:after="480"/>
        <w:rPr>
          <w:lang w:val="fr-CA"/>
        </w:rPr>
      </w:pPr>
      <w:r w:rsidRPr="00915CB8">
        <w:rPr>
          <w:i/>
          <w:lang w:val="fr-CA"/>
        </w:rPr>
        <w:lastRenderedPageBreak/>
        <w:tab/>
        <w:t>John</w:t>
      </w:r>
      <w:r w:rsidR="00601B6E">
        <w:rPr>
          <w:i/>
          <w:lang w:val="fr-CA"/>
        </w:rPr>
        <w:t xml:space="preserve"> </w:t>
      </w:r>
      <w:r w:rsidRPr="00915CB8">
        <w:rPr>
          <w:i/>
          <w:lang w:val="fr-CA"/>
        </w:rPr>
        <w:t>J.</w:t>
      </w:r>
      <w:r w:rsidR="00601B6E">
        <w:rPr>
          <w:i/>
          <w:lang w:val="fr-CA"/>
        </w:rPr>
        <w:t xml:space="preserve"> </w:t>
      </w:r>
      <w:r w:rsidRPr="00915CB8">
        <w:rPr>
          <w:i/>
          <w:lang w:val="fr-CA"/>
        </w:rPr>
        <w:t>L. Hunter</w:t>
      </w:r>
      <w:r w:rsidRPr="009B4EA2">
        <w:rPr>
          <w:lang w:val="fr-CA"/>
        </w:rPr>
        <w:t xml:space="preserve">, </w:t>
      </w:r>
      <w:proofErr w:type="gramStart"/>
      <w:r w:rsidRPr="00915CB8">
        <w:rPr>
          <w:i/>
          <w:lang w:val="fr-CA"/>
        </w:rPr>
        <w:t>c.r.</w:t>
      </w:r>
      <w:r w:rsidRPr="00915CB8">
        <w:rPr>
          <w:lang w:val="fr-CA"/>
        </w:rPr>
        <w:t>,</w:t>
      </w:r>
      <w:proofErr w:type="gramEnd"/>
      <w:r w:rsidRPr="00915CB8">
        <w:rPr>
          <w:lang w:val="fr-CA"/>
        </w:rPr>
        <w:t xml:space="preserve"> et </w:t>
      </w:r>
      <w:r w:rsidRPr="00915CB8">
        <w:rPr>
          <w:i/>
          <w:lang w:val="fr-CA"/>
        </w:rPr>
        <w:t>Roy</w:t>
      </w:r>
      <w:r w:rsidR="00601B6E">
        <w:rPr>
          <w:i/>
          <w:lang w:val="fr-CA"/>
        </w:rPr>
        <w:t xml:space="preserve"> </w:t>
      </w:r>
      <w:r w:rsidRPr="00915CB8">
        <w:rPr>
          <w:i/>
          <w:lang w:val="fr-CA"/>
        </w:rPr>
        <w:t xml:space="preserve">W. </w:t>
      </w:r>
      <w:proofErr w:type="spellStart"/>
      <w:r w:rsidRPr="00915CB8">
        <w:rPr>
          <w:i/>
          <w:lang w:val="fr-CA"/>
        </w:rPr>
        <w:t>Millen</w:t>
      </w:r>
      <w:proofErr w:type="spellEnd"/>
      <w:r w:rsidRPr="00915CB8">
        <w:rPr>
          <w:lang w:val="fr-CA"/>
        </w:rPr>
        <w:t>, pour l’intimée.</w:t>
      </w:r>
    </w:p>
    <w:p w:rsidR="00707CB2" w:rsidRPr="00915CB8" w:rsidRDefault="00707CB2" w:rsidP="00707CB2">
      <w:pPr>
        <w:pStyle w:val="SCCNormalDoubleSpacing"/>
        <w:spacing w:before="480" w:after="480"/>
        <w:rPr>
          <w:lang w:val="fr-CA"/>
        </w:rPr>
      </w:pPr>
      <w:r w:rsidRPr="00915CB8">
        <w:rPr>
          <w:i/>
          <w:lang w:val="fr-CA"/>
        </w:rPr>
        <w:tab/>
        <w:t xml:space="preserve">Michal </w:t>
      </w:r>
      <w:proofErr w:type="spellStart"/>
      <w:r w:rsidRPr="00915CB8">
        <w:rPr>
          <w:i/>
          <w:lang w:val="fr-CA"/>
        </w:rPr>
        <w:t>Fairburn</w:t>
      </w:r>
      <w:proofErr w:type="spellEnd"/>
      <w:r w:rsidRPr="00915CB8">
        <w:rPr>
          <w:lang w:val="fr-CA"/>
        </w:rPr>
        <w:t xml:space="preserve"> et </w:t>
      </w:r>
      <w:r w:rsidRPr="00915CB8">
        <w:rPr>
          <w:i/>
          <w:lang w:val="fr-CA"/>
        </w:rPr>
        <w:t xml:space="preserve">Justin </w:t>
      </w:r>
      <w:proofErr w:type="spellStart"/>
      <w:r w:rsidRPr="00915CB8">
        <w:rPr>
          <w:i/>
          <w:lang w:val="fr-CA"/>
        </w:rPr>
        <w:t>Safayeni</w:t>
      </w:r>
      <w:proofErr w:type="spellEnd"/>
      <w:r w:rsidRPr="00915CB8">
        <w:rPr>
          <w:lang w:val="fr-CA"/>
        </w:rPr>
        <w:t xml:space="preserve">, pour l’intervenante </w:t>
      </w:r>
      <w:proofErr w:type="spellStart"/>
      <w:r w:rsidRPr="00915CB8">
        <w:rPr>
          <w:lang w:val="fr-CA"/>
        </w:rPr>
        <w:t>Criminal</w:t>
      </w:r>
      <w:proofErr w:type="spellEnd"/>
      <w:r w:rsidRPr="00915CB8">
        <w:rPr>
          <w:lang w:val="fr-CA"/>
        </w:rPr>
        <w:t xml:space="preserve"> </w:t>
      </w:r>
      <w:proofErr w:type="spellStart"/>
      <w:r w:rsidRPr="00915CB8">
        <w:rPr>
          <w:lang w:val="fr-CA"/>
        </w:rPr>
        <w:t>Lawyers</w:t>
      </w:r>
      <w:proofErr w:type="spellEnd"/>
      <w:r w:rsidRPr="00915CB8">
        <w:rPr>
          <w:lang w:val="fr-CA"/>
        </w:rPr>
        <w:t>’ Association (Ontario).</w:t>
      </w:r>
    </w:p>
    <w:p w:rsidR="00707CB2" w:rsidRPr="00915CB8" w:rsidRDefault="00707CB2" w:rsidP="00707CB2">
      <w:pPr>
        <w:pStyle w:val="SCCNormalDoubleSpacing"/>
        <w:spacing w:before="480" w:after="480"/>
        <w:rPr>
          <w:lang w:val="fr-CA"/>
        </w:rPr>
      </w:pPr>
      <w:r w:rsidRPr="00915CB8">
        <w:rPr>
          <w:i/>
          <w:lang w:val="fr-CA"/>
        </w:rPr>
        <w:tab/>
        <w:t>Mahmud Jamal</w:t>
      </w:r>
      <w:r w:rsidRPr="00915CB8">
        <w:rPr>
          <w:lang w:val="fr-CA"/>
        </w:rPr>
        <w:t xml:space="preserve">, </w:t>
      </w:r>
      <w:r w:rsidRPr="00915CB8">
        <w:rPr>
          <w:i/>
          <w:lang w:val="fr-CA"/>
        </w:rPr>
        <w:t xml:space="preserve">David </w:t>
      </w:r>
      <w:proofErr w:type="spellStart"/>
      <w:r w:rsidRPr="00915CB8">
        <w:rPr>
          <w:i/>
          <w:lang w:val="fr-CA"/>
        </w:rPr>
        <w:t>Rankin</w:t>
      </w:r>
      <w:proofErr w:type="spellEnd"/>
      <w:r w:rsidRPr="00915CB8">
        <w:rPr>
          <w:lang w:val="fr-CA"/>
        </w:rPr>
        <w:t xml:space="preserve"> et </w:t>
      </w:r>
      <w:r w:rsidRPr="00915CB8">
        <w:rPr>
          <w:i/>
          <w:lang w:val="fr-CA"/>
        </w:rPr>
        <w:t>Pierre</w:t>
      </w:r>
      <w:r w:rsidR="00601B6E">
        <w:rPr>
          <w:i/>
          <w:lang w:val="fr-CA"/>
        </w:rPr>
        <w:t>-</w:t>
      </w:r>
      <w:r w:rsidRPr="00915CB8">
        <w:rPr>
          <w:i/>
          <w:lang w:val="fr-CA"/>
        </w:rPr>
        <w:t>Alexandre Henri</w:t>
      </w:r>
      <w:r w:rsidRPr="00915CB8">
        <w:rPr>
          <w:lang w:val="fr-CA"/>
        </w:rPr>
        <w:t>, pour l’intervenante l’Association canadienne des libertés civiles.</w:t>
      </w:r>
    </w:p>
    <w:p w:rsidR="00707CB2" w:rsidRPr="00915CB8" w:rsidRDefault="00707CB2" w:rsidP="00707CB2">
      <w:pPr>
        <w:pStyle w:val="SCCNormalDoubleSpacing"/>
        <w:spacing w:before="480" w:after="480"/>
      </w:pPr>
      <w:r w:rsidRPr="00915CB8">
        <w:rPr>
          <w:i/>
          <w:lang w:val="fr-CA"/>
        </w:rPr>
        <w:tab/>
      </w:r>
      <w:r w:rsidRPr="00915CB8">
        <w:rPr>
          <w:i/>
        </w:rPr>
        <w:t>Leonard</w:t>
      </w:r>
      <w:r w:rsidR="00601B6E">
        <w:rPr>
          <w:i/>
        </w:rPr>
        <w:t xml:space="preserve"> </w:t>
      </w:r>
      <w:r w:rsidRPr="00915CB8">
        <w:rPr>
          <w:i/>
        </w:rPr>
        <w:t xml:space="preserve">T. </w:t>
      </w:r>
      <w:proofErr w:type="spellStart"/>
      <w:r w:rsidRPr="00915CB8">
        <w:rPr>
          <w:i/>
        </w:rPr>
        <w:t>Doust</w:t>
      </w:r>
      <w:proofErr w:type="spellEnd"/>
      <w:r w:rsidRPr="009B4EA2">
        <w:t xml:space="preserve">, </w:t>
      </w:r>
      <w:proofErr w:type="spellStart"/>
      <w:proofErr w:type="gramStart"/>
      <w:r w:rsidRPr="00915CB8">
        <w:rPr>
          <w:i/>
        </w:rPr>
        <w:t>c.r</w:t>
      </w:r>
      <w:proofErr w:type="spellEnd"/>
      <w:proofErr w:type="gramEnd"/>
      <w:r w:rsidRPr="00915CB8">
        <w:rPr>
          <w:i/>
        </w:rPr>
        <w:t>.</w:t>
      </w:r>
      <w:r w:rsidRPr="00915CB8">
        <w:t xml:space="preserve">, et </w:t>
      </w:r>
      <w:r w:rsidRPr="00915CB8">
        <w:rPr>
          <w:i/>
        </w:rPr>
        <w:t>Michael</w:t>
      </w:r>
      <w:r w:rsidR="00601B6E">
        <w:rPr>
          <w:i/>
        </w:rPr>
        <w:t xml:space="preserve"> </w:t>
      </w:r>
      <w:r w:rsidRPr="00915CB8">
        <w:rPr>
          <w:i/>
        </w:rPr>
        <w:t xml:space="preserve">A. </w:t>
      </w:r>
      <w:proofErr w:type="spellStart"/>
      <w:r w:rsidRPr="00915CB8">
        <w:rPr>
          <w:i/>
        </w:rPr>
        <w:t>Feder</w:t>
      </w:r>
      <w:proofErr w:type="spellEnd"/>
      <w:r w:rsidRPr="00915CB8">
        <w:t xml:space="preserve">, pour </w:t>
      </w:r>
      <w:proofErr w:type="spellStart"/>
      <w:r w:rsidRPr="00915CB8">
        <w:t>l’intervenante</w:t>
      </w:r>
      <w:proofErr w:type="spellEnd"/>
      <w:r w:rsidRPr="00915CB8">
        <w:t xml:space="preserve"> Law Society of British Columbia.</w:t>
      </w:r>
    </w:p>
    <w:p w:rsidR="00707CB2" w:rsidRPr="00915CB8" w:rsidRDefault="00707CB2" w:rsidP="00707CB2">
      <w:pPr>
        <w:pStyle w:val="SCCNormalDoubleSpacing"/>
        <w:spacing w:before="480" w:after="480"/>
        <w:rPr>
          <w:lang w:val="fr-CA"/>
        </w:rPr>
      </w:pPr>
      <w:r w:rsidRPr="00915CB8">
        <w:rPr>
          <w:i/>
        </w:rPr>
        <w:tab/>
      </w:r>
      <w:r w:rsidRPr="00915CB8">
        <w:rPr>
          <w:i/>
          <w:lang w:val="fr-CA"/>
        </w:rPr>
        <w:t>Craig</w:t>
      </w:r>
      <w:r w:rsidR="00601B6E">
        <w:rPr>
          <w:i/>
          <w:lang w:val="fr-CA"/>
        </w:rPr>
        <w:t xml:space="preserve"> </w:t>
      </w:r>
      <w:r w:rsidRPr="00915CB8">
        <w:rPr>
          <w:i/>
          <w:lang w:val="fr-CA"/>
        </w:rPr>
        <w:t>A.</w:t>
      </w:r>
      <w:r w:rsidR="00601B6E">
        <w:rPr>
          <w:i/>
          <w:lang w:val="fr-CA"/>
        </w:rPr>
        <w:t xml:space="preserve"> </w:t>
      </w:r>
      <w:r w:rsidRPr="00915CB8">
        <w:rPr>
          <w:i/>
          <w:lang w:val="fr-CA"/>
        </w:rPr>
        <w:t>B. Ferris</w:t>
      </w:r>
      <w:r w:rsidRPr="00915CB8">
        <w:rPr>
          <w:lang w:val="fr-CA"/>
        </w:rPr>
        <w:t xml:space="preserve"> et </w:t>
      </w:r>
      <w:r w:rsidRPr="00915CB8">
        <w:rPr>
          <w:i/>
          <w:lang w:val="fr-CA"/>
        </w:rPr>
        <w:t>Laura Bevan</w:t>
      </w:r>
      <w:r w:rsidRPr="00915CB8">
        <w:rPr>
          <w:lang w:val="fr-CA"/>
        </w:rPr>
        <w:t>, pour l’intervenante l’Association du Barreau canadien.</w:t>
      </w:r>
    </w:p>
    <w:p w:rsidR="00707CB2" w:rsidRPr="00915CB8" w:rsidRDefault="00707CB2" w:rsidP="00707CB2">
      <w:pPr>
        <w:pStyle w:val="SCCNormalDoubleSpacing"/>
        <w:spacing w:before="480" w:after="480"/>
        <w:rPr>
          <w:lang w:val="fr-CA"/>
        </w:rPr>
      </w:pPr>
      <w:r w:rsidRPr="00915CB8">
        <w:rPr>
          <w:i/>
          <w:lang w:val="fr-CA"/>
        </w:rPr>
        <w:tab/>
        <w:t>Paul</w:t>
      </w:r>
      <w:r w:rsidR="00601B6E">
        <w:rPr>
          <w:i/>
          <w:lang w:val="fr-CA"/>
        </w:rPr>
        <w:t xml:space="preserve"> </w:t>
      </w:r>
      <w:r w:rsidRPr="00915CB8">
        <w:rPr>
          <w:i/>
          <w:lang w:val="fr-CA"/>
        </w:rPr>
        <w:t>D. Stern</w:t>
      </w:r>
      <w:r w:rsidRPr="00915CB8">
        <w:rPr>
          <w:lang w:val="fr-CA"/>
        </w:rPr>
        <w:t xml:space="preserve"> et </w:t>
      </w:r>
      <w:r w:rsidRPr="00915CB8">
        <w:rPr>
          <w:i/>
          <w:lang w:val="fr-CA"/>
        </w:rPr>
        <w:t>Robert</w:t>
      </w:r>
      <w:r w:rsidR="00601B6E">
        <w:rPr>
          <w:i/>
          <w:lang w:val="fr-CA"/>
        </w:rPr>
        <w:t xml:space="preserve"> </w:t>
      </w:r>
      <w:r w:rsidRPr="00915CB8">
        <w:rPr>
          <w:i/>
          <w:lang w:val="fr-CA"/>
        </w:rPr>
        <w:t xml:space="preserve">A. </w:t>
      </w:r>
      <w:proofErr w:type="spellStart"/>
      <w:r w:rsidRPr="00915CB8">
        <w:rPr>
          <w:i/>
          <w:lang w:val="fr-CA"/>
        </w:rPr>
        <w:t>Centa</w:t>
      </w:r>
      <w:proofErr w:type="spellEnd"/>
      <w:r w:rsidRPr="00915CB8">
        <w:rPr>
          <w:lang w:val="fr-CA"/>
        </w:rPr>
        <w:t xml:space="preserve">, pour l’intervenante </w:t>
      </w:r>
      <w:proofErr w:type="spellStart"/>
      <w:r w:rsidRPr="00915CB8">
        <w:rPr>
          <w:lang w:val="fr-CA"/>
        </w:rPr>
        <w:t>Advocates</w:t>
      </w:r>
      <w:proofErr w:type="spellEnd"/>
      <w:r w:rsidRPr="00915CB8">
        <w:rPr>
          <w:lang w:val="fr-CA"/>
        </w:rPr>
        <w:t>’ Society.</w:t>
      </w:r>
    </w:p>
    <w:p w:rsidR="00707CB2" w:rsidRDefault="00707CB2" w:rsidP="00707CB2">
      <w:pPr>
        <w:pStyle w:val="SCCNormalDoubleSpacing"/>
        <w:spacing w:before="480" w:after="480"/>
        <w:rPr>
          <w:lang w:val="fr-CA"/>
        </w:rPr>
      </w:pPr>
      <w:r w:rsidRPr="00915CB8">
        <w:rPr>
          <w:i/>
          <w:lang w:val="fr-CA"/>
        </w:rPr>
        <w:tab/>
        <w:t xml:space="preserve">Raymond </w:t>
      </w:r>
      <w:proofErr w:type="spellStart"/>
      <w:r w:rsidRPr="00915CB8">
        <w:rPr>
          <w:i/>
          <w:lang w:val="fr-CA"/>
        </w:rPr>
        <w:t>Doray</w:t>
      </w:r>
      <w:proofErr w:type="spellEnd"/>
      <w:r w:rsidRPr="00915CB8">
        <w:rPr>
          <w:lang w:val="fr-CA"/>
        </w:rPr>
        <w:t xml:space="preserve"> et </w:t>
      </w:r>
      <w:r w:rsidRPr="00915CB8">
        <w:rPr>
          <w:i/>
          <w:lang w:val="fr-CA"/>
        </w:rPr>
        <w:t xml:space="preserve">Loïc </w:t>
      </w:r>
      <w:proofErr w:type="spellStart"/>
      <w:r w:rsidRPr="00915CB8">
        <w:rPr>
          <w:i/>
          <w:lang w:val="fr-CA"/>
        </w:rPr>
        <w:t>Berdnikoff</w:t>
      </w:r>
      <w:proofErr w:type="spellEnd"/>
      <w:r w:rsidRPr="00915CB8">
        <w:rPr>
          <w:lang w:val="fr-CA"/>
        </w:rPr>
        <w:t>, pour les intervenants le Barreau du Québec et la Chambre des notaires du Québec.</w:t>
      </w:r>
    </w:p>
    <w:p w:rsidR="00CA3D49" w:rsidRPr="00915CB8" w:rsidRDefault="00F95A7F" w:rsidP="00707CB2">
      <w:pPr>
        <w:pStyle w:val="SCCNormalDoubleSpacing"/>
        <w:spacing w:before="480" w:after="480"/>
        <w:rPr>
          <w:lang w:val="fr-CA"/>
        </w:rPr>
      </w:pPr>
      <w:r>
        <w:rPr>
          <w:lang w:val="fr-CA"/>
        </w:rPr>
        <w:tab/>
        <w:t xml:space="preserve">Version française du jugement des juges </w:t>
      </w:r>
      <w:proofErr w:type="spellStart"/>
      <w:r>
        <w:rPr>
          <w:lang w:val="fr-CA"/>
        </w:rPr>
        <w:t>LeBel</w:t>
      </w:r>
      <w:proofErr w:type="spellEnd"/>
      <w:r>
        <w:rPr>
          <w:lang w:val="fr-CA"/>
        </w:rPr>
        <w:t xml:space="preserve">, Abella, Cromwell, </w:t>
      </w:r>
      <w:proofErr w:type="spellStart"/>
      <w:r>
        <w:rPr>
          <w:lang w:val="fr-CA"/>
        </w:rPr>
        <w:t>Karakatsanis</w:t>
      </w:r>
      <w:proofErr w:type="spellEnd"/>
      <w:r>
        <w:rPr>
          <w:lang w:val="fr-CA"/>
        </w:rPr>
        <w:t xml:space="preserve"> et Wagner rendu par</w:t>
      </w:r>
    </w:p>
    <w:p w:rsidR="00CA3D49" w:rsidRPr="00990245" w:rsidRDefault="00CA3D49" w:rsidP="00CA3D49">
      <w:pPr>
        <w:pStyle w:val="JudgeJuge"/>
        <w:spacing w:before="480"/>
        <w:rPr>
          <w:lang w:val="fr-CA"/>
        </w:rPr>
      </w:pPr>
      <w:r w:rsidRPr="00990245">
        <w:rPr>
          <w:lang w:val="fr-CA"/>
        </w:rPr>
        <w:tab/>
        <w:t xml:space="preserve">Le juge Cromwell — </w:t>
      </w:r>
    </w:p>
    <w:p w:rsidR="00CA3D49" w:rsidRPr="00990245" w:rsidRDefault="00CA3D49" w:rsidP="00CA3D49">
      <w:pPr>
        <w:pStyle w:val="Title1LevelTitre1Niveau-AltL"/>
        <w:rPr>
          <w:rFonts w:cs="Times New Roman"/>
          <w:lang w:val="fr-CA"/>
        </w:rPr>
      </w:pPr>
      <w:r w:rsidRPr="00990245">
        <w:rPr>
          <w:rFonts w:cs="Times New Roman"/>
        </w:rPr>
        <w:t>Introduction</w:t>
      </w:r>
    </w:p>
    <w:p w:rsidR="00CA3D49" w:rsidRPr="00990245" w:rsidRDefault="00CA3D49" w:rsidP="00CA3D49">
      <w:pPr>
        <w:pStyle w:val="ParaNoNdepar-AltN"/>
        <w:rPr>
          <w:rFonts w:cs="Times New Roman"/>
          <w:u w:val="single"/>
          <w:lang w:val="fr-CA"/>
        </w:rPr>
      </w:pPr>
      <w:r w:rsidRPr="00990245">
        <w:rPr>
          <w:rFonts w:cs="Times New Roman"/>
          <w:lang w:val="fr-CA"/>
        </w:rPr>
        <w:lastRenderedPageBreak/>
        <w:t>Les avocats doivent garder secrètes les confidences de leurs clients et se dévouer au service et à la défense de leurs intérêts légitimes. Ces deux obligations sont essentielles à la bonne administration de la justice. Toutefois, certaines dispositions de la législation canadienne visant à lutter contre le recyclage des produits de la criminalité et le financement des activités terroristes sont incompatibles avec ces obligations. Elles obligent les avocats, sous peine d</w:t>
      </w:r>
      <w:r>
        <w:rPr>
          <w:rFonts w:cs="Times New Roman"/>
          <w:lang w:val="fr-CA"/>
        </w:rPr>
        <w:t>’</w:t>
      </w:r>
      <w:r w:rsidRPr="00990245">
        <w:rPr>
          <w:rFonts w:cs="Times New Roman"/>
          <w:lang w:val="fr-CA"/>
        </w:rPr>
        <w:t xml:space="preserve">emprisonnement, à recueillir et à conserver des renseignements qui ne sont pas nécessaires à la représentation éthique de leur client et </w:t>
      </w:r>
      <w:r w:rsidR="00BB058A">
        <w:rPr>
          <w:rFonts w:cs="Times New Roman"/>
          <w:lang w:val="fr-CA"/>
        </w:rPr>
        <w:t>elles</w:t>
      </w:r>
      <w:r w:rsidRPr="00990245">
        <w:rPr>
          <w:rFonts w:cs="Times New Roman"/>
          <w:lang w:val="fr-CA"/>
        </w:rPr>
        <w:t xml:space="preserve"> ne protègent pas suffisamment ses confidences visées par le secret professionnel. Je souscris à l</w:t>
      </w:r>
      <w:r>
        <w:rPr>
          <w:rFonts w:cs="Times New Roman"/>
          <w:lang w:val="fr-CA"/>
        </w:rPr>
        <w:t>’</w:t>
      </w:r>
      <w:r w:rsidRPr="00990245">
        <w:rPr>
          <w:rFonts w:cs="Times New Roman"/>
          <w:lang w:val="fr-CA"/>
        </w:rPr>
        <w:t>opinion des tribunaux de la Colombie</w:t>
      </w:r>
      <w:r w:rsidR="00601B6E">
        <w:rPr>
          <w:rFonts w:cs="Times New Roman"/>
          <w:lang w:val="fr-CA"/>
        </w:rPr>
        <w:t>-</w:t>
      </w:r>
      <w:r w:rsidRPr="00990245">
        <w:rPr>
          <w:rFonts w:cs="Times New Roman"/>
          <w:lang w:val="fr-CA"/>
        </w:rPr>
        <w:t>Britannique que ces dispositions sont de ce fait inconstitutionnelles. Elles limitent de façon injustifiable le droit à la protection contre les fouilles, les perquisitions et les saisies abusives garanti par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8 de la </w:t>
      </w:r>
      <w:r w:rsidRPr="00990245">
        <w:rPr>
          <w:rFonts w:cs="Times New Roman"/>
          <w:i/>
          <w:lang w:val="fr-CA"/>
        </w:rPr>
        <w:t>Charte canadienne des</w:t>
      </w:r>
      <w:r w:rsidRPr="00990245">
        <w:rPr>
          <w:rFonts w:cs="Times New Roman"/>
          <w:lang w:val="fr-CA"/>
        </w:rPr>
        <w:t xml:space="preserve"> </w:t>
      </w:r>
      <w:r w:rsidRPr="00990245">
        <w:rPr>
          <w:rFonts w:cs="Times New Roman"/>
          <w:i/>
          <w:lang w:val="fr-CA"/>
        </w:rPr>
        <w:t>droits et libertés</w:t>
      </w:r>
      <w:r w:rsidRPr="00990245">
        <w:rPr>
          <w:rFonts w:cs="Times New Roman"/>
          <w:lang w:val="fr-CA"/>
        </w:rPr>
        <w:t xml:space="preserve"> ainsi que le droit, reconnu à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7 de la </w:t>
      </w:r>
      <w:r w:rsidRPr="00990245">
        <w:rPr>
          <w:rFonts w:cs="Times New Roman"/>
          <w:i/>
          <w:lang w:val="fr-CA"/>
        </w:rPr>
        <w:t>Charte</w:t>
      </w:r>
      <w:r w:rsidRPr="00990245">
        <w:rPr>
          <w:rFonts w:cs="Times New Roman"/>
          <w:lang w:val="fr-CA"/>
        </w:rPr>
        <w:t xml:space="preserve">, de ne pas être privé de sa liberté, sauf en conformité avec les principes de justice fondamentale. </w:t>
      </w:r>
    </w:p>
    <w:p w:rsidR="00CA3D49" w:rsidRPr="00990245" w:rsidRDefault="00CA3D49" w:rsidP="00CA3D49">
      <w:pPr>
        <w:pStyle w:val="Title1LevelTitre1Niveau-AltL"/>
        <w:rPr>
          <w:rFonts w:cs="Times New Roman"/>
          <w:lang w:val="fr-CA"/>
        </w:rPr>
      </w:pPr>
      <w:proofErr w:type="spellStart"/>
      <w:r w:rsidRPr="00990245">
        <w:rPr>
          <w:rFonts w:cs="Times New Roman"/>
        </w:rPr>
        <w:t>Survol</w:t>
      </w:r>
      <w:proofErr w:type="spellEnd"/>
      <w:r w:rsidRPr="00990245">
        <w:rPr>
          <w:rFonts w:cs="Times New Roman"/>
          <w:lang w:val="fr-CA"/>
        </w:rPr>
        <w:t xml:space="preserve"> et contexte</w:t>
      </w:r>
    </w:p>
    <w:p w:rsidR="00CA3D49" w:rsidRPr="00990245" w:rsidRDefault="00CA3D49" w:rsidP="00CA3D49">
      <w:pPr>
        <w:pStyle w:val="Title2LevelTitre2Niveau"/>
        <w:rPr>
          <w:rFonts w:cs="Times New Roman"/>
          <w:lang w:val="fr-CA"/>
        </w:rPr>
      </w:pPr>
      <w:r w:rsidRPr="00990245">
        <w:rPr>
          <w:rFonts w:cs="Times New Roman"/>
          <w:lang w:val="fr-CA"/>
        </w:rPr>
        <w:t>Survol</w:t>
      </w:r>
    </w:p>
    <w:p w:rsidR="00CA3D49" w:rsidRPr="00990245" w:rsidRDefault="00CA3D49" w:rsidP="00CA3D49">
      <w:pPr>
        <w:pStyle w:val="ParaNoNdepar-AltN"/>
        <w:rPr>
          <w:rFonts w:cs="Times New Roman"/>
          <w:lang w:val="fr-CA"/>
        </w:rPr>
      </w:pPr>
      <w:r w:rsidRPr="00990245">
        <w:rPr>
          <w:rFonts w:cs="Times New Roman"/>
          <w:lang w:val="fr-CA"/>
        </w:rPr>
        <w:t>Il existe un risque que les intermédiaires financiers — ceux qui manipulent des fonds pour le compte d</w:t>
      </w:r>
      <w:r>
        <w:rPr>
          <w:rFonts w:cs="Times New Roman"/>
          <w:lang w:val="fr-CA"/>
        </w:rPr>
        <w:t>’</w:t>
      </w:r>
      <w:r w:rsidRPr="00990245">
        <w:rPr>
          <w:rFonts w:cs="Times New Roman"/>
          <w:lang w:val="fr-CA"/>
        </w:rPr>
        <w:t xml:space="preserve">autrui — facilitent le recyclage des produits de la criminalité ou le financement des activités terroristes. Pour réduire ce risque, la législation canadienne visant à lutter contre le recyclage des produits de la criminalité et le financement des activités terroristes impose des obligations aux intermédiaires </w:t>
      </w:r>
      <w:r w:rsidRPr="00990245">
        <w:rPr>
          <w:rFonts w:cs="Times New Roman"/>
          <w:lang w:val="fr-CA"/>
        </w:rPr>
        <w:lastRenderedPageBreak/>
        <w:t>financiers, notamment aux avocats, comptables, courtiers d</w:t>
      </w:r>
      <w:r>
        <w:rPr>
          <w:rFonts w:cs="Times New Roman"/>
          <w:lang w:val="fr-CA"/>
        </w:rPr>
        <w:t>’</w:t>
      </w:r>
      <w:r w:rsidRPr="00990245">
        <w:rPr>
          <w:rFonts w:cs="Times New Roman"/>
          <w:lang w:val="fr-CA"/>
        </w:rPr>
        <w:t>assurance</w:t>
      </w:r>
      <w:r w:rsidR="00601B6E">
        <w:rPr>
          <w:rFonts w:cs="Times New Roman"/>
          <w:lang w:val="fr-CA"/>
        </w:rPr>
        <w:t>-</w:t>
      </w:r>
      <w:r w:rsidRPr="00990245">
        <w:rPr>
          <w:rFonts w:cs="Times New Roman"/>
          <w:lang w:val="fr-CA"/>
        </w:rPr>
        <w:t>vie et courtiers en valeurs mobilières. Ils doivent recueillir des renseignements afin de vérifier l</w:t>
      </w:r>
      <w:r>
        <w:rPr>
          <w:rFonts w:cs="Times New Roman"/>
          <w:lang w:val="fr-CA"/>
        </w:rPr>
        <w:t>’</w:t>
      </w:r>
      <w:r w:rsidRPr="00990245">
        <w:rPr>
          <w:rFonts w:cs="Times New Roman"/>
          <w:lang w:val="fr-CA"/>
        </w:rPr>
        <w:t>identité des personnes pour le compte desquelles ils paient ou reçoivent de l</w:t>
      </w:r>
      <w:r>
        <w:rPr>
          <w:rFonts w:cs="Times New Roman"/>
          <w:lang w:val="fr-CA"/>
        </w:rPr>
        <w:t>’</w:t>
      </w:r>
      <w:r w:rsidRPr="00990245">
        <w:rPr>
          <w:rFonts w:cs="Times New Roman"/>
          <w:lang w:val="fr-CA"/>
        </w:rPr>
        <w:t>argent, tenir des relevés des opérations et établir des programmes internes pour assurer le respect de la loi. La législation assujettit également les intermédiaires financiers, y compris les avocats, à la perquisition et à la saisie des documents qu</w:t>
      </w:r>
      <w:r>
        <w:rPr>
          <w:rFonts w:cs="Times New Roman"/>
          <w:lang w:val="fr-CA"/>
        </w:rPr>
        <w:t>’</w:t>
      </w:r>
      <w:r w:rsidRPr="00990245">
        <w:rPr>
          <w:rFonts w:cs="Times New Roman"/>
          <w:lang w:val="fr-CA"/>
        </w:rPr>
        <w:t>ils sont tenus de recueillir et de conserver.</w:t>
      </w:r>
    </w:p>
    <w:p w:rsidR="00CA3D49" w:rsidRPr="00990245" w:rsidRDefault="00CA3D49" w:rsidP="00CA3D49">
      <w:pPr>
        <w:pStyle w:val="ParaNoNdepar-AltN"/>
        <w:rPr>
          <w:rFonts w:cs="Times New Roman"/>
          <w:lang w:val="fr-CA"/>
        </w:rPr>
      </w:pPr>
      <w:r w:rsidRPr="00990245">
        <w:rPr>
          <w:rFonts w:cs="Times New Roman"/>
          <w:lang w:val="fr-CA"/>
        </w:rPr>
        <w:t>Les avocats s</w:t>
      </w:r>
      <w:r>
        <w:rPr>
          <w:rFonts w:cs="Times New Roman"/>
          <w:lang w:val="fr-CA"/>
        </w:rPr>
        <w:t>’</w:t>
      </w:r>
      <w:r w:rsidRPr="00990245">
        <w:rPr>
          <w:rFonts w:cs="Times New Roman"/>
          <w:lang w:val="fr-CA"/>
        </w:rPr>
        <w:t>opposent à ces dispositions et la Fédération des ordres professionnels de juristes du Canada</w:t>
      </w:r>
      <w:r w:rsidR="00F95A7F">
        <w:rPr>
          <w:rFonts w:cs="Times New Roman"/>
          <w:lang w:val="fr-CA"/>
        </w:rPr>
        <w:t xml:space="preserve"> (</w:t>
      </w:r>
      <w:r w:rsidR="00601B6E">
        <w:rPr>
          <w:rFonts w:cs="Times New Roman"/>
          <w:lang w:val="fr-CA"/>
        </w:rPr>
        <w:t>« </w:t>
      </w:r>
      <w:r w:rsidR="00F95A7F">
        <w:rPr>
          <w:rFonts w:cs="Times New Roman"/>
          <w:lang w:val="fr-CA"/>
        </w:rPr>
        <w:t>Fédération</w:t>
      </w:r>
      <w:r w:rsidR="00601B6E">
        <w:rPr>
          <w:rFonts w:cs="Times New Roman"/>
          <w:lang w:val="fr-CA"/>
        </w:rPr>
        <w:t> »</w:t>
      </w:r>
      <w:r w:rsidR="00F95A7F">
        <w:rPr>
          <w:rFonts w:cs="Times New Roman"/>
          <w:lang w:val="fr-CA"/>
        </w:rPr>
        <w:t>)</w:t>
      </w:r>
      <w:r w:rsidRPr="00990245">
        <w:rPr>
          <w:rFonts w:cs="Times New Roman"/>
          <w:lang w:val="fr-CA"/>
        </w:rPr>
        <w:t>, avec l</w:t>
      </w:r>
      <w:r>
        <w:rPr>
          <w:rFonts w:cs="Times New Roman"/>
          <w:lang w:val="fr-CA"/>
        </w:rPr>
        <w:t>’</w:t>
      </w:r>
      <w:r w:rsidRPr="00990245">
        <w:rPr>
          <w:rFonts w:cs="Times New Roman"/>
          <w:lang w:val="fr-CA"/>
        </w:rPr>
        <w:t xml:space="preserve">appui de plusieurs intervenants, </w:t>
      </w:r>
      <w:proofErr w:type="gramStart"/>
      <w:r w:rsidRPr="00990245">
        <w:rPr>
          <w:rFonts w:cs="Times New Roman"/>
          <w:lang w:val="fr-CA"/>
        </w:rPr>
        <w:t>les attaque</w:t>
      </w:r>
      <w:proofErr w:type="gramEnd"/>
      <w:r w:rsidRPr="00990245">
        <w:rPr>
          <w:rFonts w:cs="Times New Roman"/>
          <w:lang w:val="fr-CA"/>
        </w:rPr>
        <w:t xml:space="preserve"> en invoquant des motifs d</w:t>
      </w:r>
      <w:r>
        <w:rPr>
          <w:rFonts w:cs="Times New Roman"/>
          <w:lang w:val="fr-CA"/>
        </w:rPr>
        <w:t>’</w:t>
      </w:r>
      <w:r w:rsidRPr="00990245">
        <w:rPr>
          <w:rFonts w:cs="Times New Roman"/>
          <w:lang w:val="fr-CA"/>
        </w:rPr>
        <w:t>ordre constitutionnel. La Fédération affirme que le régime fait des avocats des agents de l</w:t>
      </w:r>
      <w:r>
        <w:rPr>
          <w:rFonts w:cs="Times New Roman"/>
          <w:lang w:val="fr-CA"/>
        </w:rPr>
        <w:t>’</w:t>
      </w:r>
      <w:r w:rsidRPr="00990245">
        <w:rPr>
          <w:rFonts w:cs="Times New Roman"/>
          <w:lang w:val="fr-CA"/>
        </w:rPr>
        <w:t>État contre leur gré. Ils sont tenus de recueillir et de conserver des renseignements sur leurs clients, et ce, dans le cadre d</w:t>
      </w:r>
      <w:r>
        <w:rPr>
          <w:rFonts w:cs="Times New Roman"/>
          <w:lang w:val="fr-CA"/>
        </w:rPr>
        <w:t>’</w:t>
      </w:r>
      <w:r w:rsidRPr="00990245">
        <w:rPr>
          <w:rFonts w:cs="Times New Roman"/>
          <w:lang w:val="fr-CA"/>
        </w:rPr>
        <w:t>un régime qui autorise des fouilles, perquisitions et saisies abusives et qui ne protège pas suffisamment le secret professionnel de l</w:t>
      </w:r>
      <w:r>
        <w:rPr>
          <w:rFonts w:cs="Times New Roman"/>
          <w:lang w:val="fr-CA"/>
        </w:rPr>
        <w:t>’</w:t>
      </w:r>
      <w:r w:rsidRPr="00990245">
        <w:rPr>
          <w:rFonts w:cs="Times New Roman"/>
          <w:lang w:val="fr-CA"/>
        </w:rPr>
        <w:t>avocat. Selon la Fédération, les cabinets d</w:t>
      </w:r>
      <w:r>
        <w:rPr>
          <w:rFonts w:cs="Times New Roman"/>
          <w:lang w:val="fr-CA"/>
        </w:rPr>
        <w:t>’</w:t>
      </w:r>
      <w:r w:rsidRPr="00990245">
        <w:rPr>
          <w:rFonts w:cs="Times New Roman"/>
          <w:lang w:val="fr-CA"/>
        </w:rPr>
        <w:t>avocats deviennent ainsi des dépôts d</w:t>
      </w:r>
      <w:r>
        <w:rPr>
          <w:rFonts w:cs="Times New Roman"/>
          <w:lang w:val="fr-CA"/>
        </w:rPr>
        <w:t>’</w:t>
      </w:r>
      <w:r w:rsidRPr="00990245">
        <w:rPr>
          <w:rFonts w:cs="Times New Roman"/>
          <w:lang w:val="fr-CA"/>
        </w:rPr>
        <w:t>archives à la disposition de la police et de la poursuite. Les dispositions en cause violent donc à la fois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7 et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8 de la </w:t>
      </w:r>
      <w:r w:rsidRPr="00990245">
        <w:rPr>
          <w:rFonts w:cs="Times New Roman"/>
          <w:i/>
          <w:lang w:val="fr-CA"/>
        </w:rPr>
        <w:t>Charte</w:t>
      </w:r>
      <w:r w:rsidRPr="00990245">
        <w:rPr>
          <w:rFonts w:cs="Times New Roman"/>
          <w:lang w:val="fr-CA"/>
        </w:rPr>
        <w:t>.</w:t>
      </w:r>
    </w:p>
    <w:p w:rsidR="00CA3D49" w:rsidRPr="00990245" w:rsidRDefault="00CA3D49" w:rsidP="00CA3D49">
      <w:pPr>
        <w:pStyle w:val="ParaNoNdepar-AltN"/>
        <w:rPr>
          <w:rFonts w:cs="Times New Roman"/>
          <w:lang w:val="fr-CA"/>
        </w:rPr>
      </w:pPr>
      <w:r w:rsidRPr="00990245">
        <w:rPr>
          <w:rFonts w:cs="Times New Roman"/>
          <w:lang w:val="fr-CA"/>
        </w:rPr>
        <w:t>Les tribunaux de la Colombie</w:t>
      </w:r>
      <w:r w:rsidR="00601B6E">
        <w:rPr>
          <w:rFonts w:cs="Times New Roman"/>
          <w:lang w:val="fr-CA"/>
        </w:rPr>
        <w:t>-</w:t>
      </w:r>
      <w:r w:rsidRPr="00990245">
        <w:rPr>
          <w:rFonts w:cs="Times New Roman"/>
          <w:lang w:val="fr-CA"/>
        </w:rPr>
        <w:t xml:space="preserve">Britannique ont convenu avec la Fédération que </w:t>
      </w:r>
      <w:proofErr w:type="gramStart"/>
      <w:r w:rsidRPr="00990245">
        <w:rPr>
          <w:rFonts w:cs="Times New Roman"/>
          <w:lang w:val="fr-CA"/>
        </w:rPr>
        <w:t>les dispositions violent</w:t>
      </w:r>
      <w:proofErr w:type="gramEnd"/>
      <w:r w:rsidRPr="00990245">
        <w:rPr>
          <w:rFonts w:cs="Times New Roman"/>
          <w:lang w:val="fr-CA"/>
        </w:rPr>
        <w:t xml:space="preserv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7 de la </w:t>
      </w:r>
      <w:r w:rsidRPr="00990245">
        <w:rPr>
          <w:rFonts w:cs="Times New Roman"/>
          <w:i/>
          <w:iCs/>
          <w:lang w:val="fr-CA"/>
        </w:rPr>
        <w:t>Charte</w:t>
      </w:r>
      <w:r w:rsidRPr="00990245">
        <w:rPr>
          <w:rFonts w:cs="Times New Roman"/>
          <w:lang w:val="fr-CA"/>
        </w:rPr>
        <w:t>, mais ils n</w:t>
      </w:r>
      <w:r>
        <w:rPr>
          <w:rFonts w:cs="Times New Roman"/>
          <w:lang w:val="fr-CA"/>
        </w:rPr>
        <w:t>’</w:t>
      </w:r>
      <w:r w:rsidRPr="00990245">
        <w:rPr>
          <w:rFonts w:cs="Times New Roman"/>
          <w:lang w:val="fr-CA"/>
        </w:rPr>
        <w:t>ont pas tranché la contestation fondée sur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8. </w:t>
      </w:r>
    </w:p>
    <w:p w:rsidR="00CA3D49" w:rsidRPr="00990245" w:rsidRDefault="00CA3D49" w:rsidP="00CA3D49">
      <w:pPr>
        <w:pStyle w:val="ParaNoNdepar-AltN"/>
        <w:rPr>
          <w:rFonts w:cs="Times New Roman"/>
          <w:lang w:val="fr-CA"/>
        </w:rPr>
      </w:pPr>
      <w:r w:rsidRPr="00990245">
        <w:rPr>
          <w:rFonts w:cs="Times New Roman"/>
          <w:lang w:val="fr-CA"/>
        </w:rPr>
        <w:lastRenderedPageBreak/>
        <w:t>Le procureur général du Canada a formé le présent pourvoi et la Juge en chef a formulé une liste de questions constitutionnelles que j</w:t>
      </w:r>
      <w:r>
        <w:rPr>
          <w:rFonts w:cs="Times New Roman"/>
          <w:lang w:val="fr-CA"/>
        </w:rPr>
        <w:t>’</w:t>
      </w:r>
      <w:r w:rsidRPr="00990245">
        <w:rPr>
          <w:rFonts w:cs="Times New Roman"/>
          <w:lang w:val="fr-CA"/>
        </w:rPr>
        <w:t>ai reproduites à la fin de mes motifs. Voici les questions soulevées par le pourvoi et mes réponses à ces questions</w:t>
      </w:r>
      <w:r w:rsidR="00601B6E">
        <w:rPr>
          <w:rFonts w:cs="Times New Roman"/>
          <w:lang w:val="fr-CA"/>
        </w:rPr>
        <w:t> :</w:t>
      </w:r>
    </w:p>
    <w:p w:rsidR="00CA3D49" w:rsidRPr="00990245" w:rsidRDefault="00CA3D49" w:rsidP="00351180">
      <w:pPr>
        <w:pStyle w:val="ParaNoNdepar-AltN"/>
        <w:numPr>
          <w:ilvl w:val="0"/>
          <w:numId w:val="0"/>
        </w:numPr>
        <w:ind w:left="720" w:hanging="720"/>
        <w:rPr>
          <w:lang w:val="fr-CA"/>
        </w:rPr>
      </w:pPr>
      <w:r w:rsidRPr="00990245">
        <w:rPr>
          <w:lang w:val="fr-CA"/>
        </w:rPr>
        <w:t>1.</w:t>
      </w:r>
      <w:r w:rsidRPr="00990245">
        <w:rPr>
          <w:lang w:val="fr-CA"/>
        </w:rPr>
        <w:tab/>
        <w:t>Les dispositions portent</w:t>
      </w:r>
      <w:r w:rsidR="00601B6E">
        <w:rPr>
          <w:lang w:val="fr-CA"/>
        </w:rPr>
        <w:t>-</w:t>
      </w:r>
      <w:r w:rsidRPr="00990245">
        <w:rPr>
          <w:lang w:val="fr-CA"/>
        </w:rPr>
        <w:t xml:space="preserve">elles atteinte au droit à la </w:t>
      </w:r>
      <w:r w:rsidRPr="00990245">
        <w:rPr>
          <w:rStyle w:val="complet"/>
          <w:lang w:val="fr-CA"/>
        </w:rPr>
        <w:t>protection contre les fouilles, les perquisitions et les saisies abusives garanti par l</w:t>
      </w:r>
      <w:r>
        <w:rPr>
          <w:rStyle w:val="complet"/>
          <w:lang w:val="fr-CA"/>
        </w:rPr>
        <w:t>’</w:t>
      </w:r>
      <w:r w:rsidRPr="00990245">
        <w:rPr>
          <w:rStyle w:val="complet"/>
          <w:lang w:val="fr-CA"/>
        </w:rPr>
        <w:t>art.</w:t>
      </w:r>
      <w:r w:rsidR="00601B6E">
        <w:rPr>
          <w:rStyle w:val="complet"/>
          <w:lang w:val="fr-CA"/>
        </w:rPr>
        <w:t xml:space="preserve"> </w:t>
      </w:r>
      <w:r w:rsidRPr="00990245">
        <w:rPr>
          <w:rStyle w:val="complet"/>
          <w:lang w:val="fr-CA"/>
        </w:rPr>
        <w:t xml:space="preserve">8 de la </w:t>
      </w:r>
      <w:r w:rsidRPr="00990245">
        <w:rPr>
          <w:i/>
          <w:iCs/>
          <w:lang w:val="fr-CA"/>
        </w:rPr>
        <w:t>Charte</w:t>
      </w:r>
      <w:r w:rsidRPr="00990245">
        <w:rPr>
          <w:lang w:val="fr-CA"/>
        </w:rPr>
        <w:t>?</w:t>
      </w:r>
    </w:p>
    <w:p w:rsidR="00CA3D49" w:rsidRPr="00990245" w:rsidRDefault="00CA3D49" w:rsidP="00CA3D49">
      <w:pPr>
        <w:pStyle w:val="ParaNoNdepar-AltN"/>
        <w:rPr>
          <w:rFonts w:cs="Times New Roman"/>
          <w:lang w:val="fr-CA"/>
        </w:rPr>
      </w:pPr>
      <w:r w:rsidRPr="00990245">
        <w:rPr>
          <w:rFonts w:cs="Times New Roman"/>
          <w:lang w:val="fr-CA"/>
        </w:rPr>
        <w:t>À mon avis, les dispositions de la législation relatives aux fouilles et aux perquisitions n</w:t>
      </w:r>
      <w:r>
        <w:rPr>
          <w:rFonts w:cs="Times New Roman"/>
          <w:lang w:val="fr-CA"/>
        </w:rPr>
        <w:t>’</w:t>
      </w:r>
      <w:r w:rsidRPr="00990245">
        <w:rPr>
          <w:rFonts w:cs="Times New Roman"/>
          <w:lang w:val="fr-CA"/>
        </w:rPr>
        <w:t>assurent pas la protection exigée par la Constitution en ce qui concerne le secret professionnel de l</w:t>
      </w:r>
      <w:r>
        <w:rPr>
          <w:rFonts w:cs="Times New Roman"/>
          <w:lang w:val="fr-CA"/>
        </w:rPr>
        <w:t>’</w:t>
      </w:r>
      <w:r w:rsidRPr="00990245">
        <w:rPr>
          <w:rFonts w:cs="Times New Roman"/>
          <w:lang w:val="fr-CA"/>
        </w:rPr>
        <w:t xml:space="preserve">avocat et, par conséquent, elles portent atteinte au droit à la protection </w:t>
      </w:r>
      <w:r w:rsidRPr="00990245">
        <w:rPr>
          <w:rStyle w:val="complet"/>
          <w:rFonts w:cs="Times New Roman"/>
          <w:lang w:val="fr-CA"/>
        </w:rPr>
        <w:t>contre les fouilles, les perquisitions et les saisies abusives garanti par l</w:t>
      </w:r>
      <w:r>
        <w:rPr>
          <w:rStyle w:val="complet"/>
          <w:rFonts w:cs="Times New Roman"/>
          <w:lang w:val="fr-CA"/>
        </w:rPr>
        <w:t>’</w:t>
      </w:r>
      <w:r w:rsidRPr="00990245">
        <w:rPr>
          <w:rStyle w:val="complet"/>
          <w:rFonts w:cs="Times New Roman"/>
          <w:lang w:val="fr-CA"/>
        </w:rPr>
        <w:t>art.</w:t>
      </w:r>
      <w:r w:rsidR="00601B6E">
        <w:rPr>
          <w:rStyle w:val="complet"/>
          <w:rFonts w:cs="Times New Roman"/>
          <w:lang w:val="fr-CA"/>
        </w:rPr>
        <w:t xml:space="preserve"> </w:t>
      </w:r>
      <w:r w:rsidRPr="00990245">
        <w:rPr>
          <w:rStyle w:val="complet"/>
          <w:rFonts w:cs="Times New Roman"/>
          <w:lang w:val="fr-CA"/>
        </w:rPr>
        <w:t xml:space="preserve">8 </w:t>
      </w:r>
      <w:r w:rsidRPr="00990245">
        <w:rPr>
          <w:rFonts w:cs="Times New Roman"/>
          <w:lang w:val="fr-CA"/>
        </w:rPr>
        <w:t xml:space="preserve">de la </w:t>
      </w:r>
      <w:r w:rsidRPr="00990245">
        <w:rPr>
          <w:rFonts w:cs="Times New Roman"/>
          <w:i/>
          <w:iCs/>
          <w:lang w:val="fr-CA"/>
        </w:rPr>
        <w:t>Charte</w:t>
      </w:r>
      <w:r w:rsidRPr="00990245">
        <w:rPr>
          <w:rFonts w:cs="Times New Roman"/>
          <w:lang w:val="fr-CA"/>
        </w:rPr>
        <w:t>.</w:t>
      </w:r>
    </w:p>
    <w:p w:rsidR="00CA3D49" w:rsidRPr="00990245" w:rsidRDefault="00CA3D49" w:rsidP="00351180">
      <w:pPr>
        <w:pStyle w:val="ParaNoNdepar-AltN"/>
        <w:numPr>
          <w:ilvl w:val="0"/>
          <w:numId w:val="0"/>
        </w:numPr>
        <w:ind w:left="720" w:hanging="720"/>
        <w:rPr>
          <w:lang w:val="fr-CA"/>
        </w:rPr>
      </w:pPr>
      <w:r w:rsidRPr="00990245">
        <w:rPr>
          <w:lang w:val="fr-CA"/>
        </w:rPr>
        <w:t>2</w:t>
      </w:r>
      <w:r w:rsidRPr="00637528">
        <w:rPr>
          <w:iCs/>
          <w:lang w:val="fr-CA"/>
        </w:rPr>
        <w:t>a</w:t>
      </w:r>
      <w:r w:rsidRPr="00990245">
        <w:rPr>
          <w:lang w:val="fr-CA"/>
        </w:rPr>
        <w:t>).</w:t>
      </w:r>
      <w:r w:rsidRPr="00990245">
        <w:rPr>
          <w:lang w:val="fr-CA"/>
        </w:rPr>
        <w:tab/>
        <w:t>En ce qui concerne l</w:t>
      </w:r>
      <w:r>
        <w:rPr>
          <w:lang w:val="fr-CA"/>
        </w:rPr>
        <w:t>’</w:t>
      </w:r>
      <w:r w:rsidRPr="00990245">
        <w:rPr>
          <w:lang w:val="fr-CA"/>
        </w:rPr>
        <w:t>art.</w:t>
      </w:r>
      <w:r w:rsidR="00601B6E">
        <w:rPr>
          <w:lang w:val="fr-CA"/>
        </w:rPr>
        <w:t xml:space="preserve"> </w:t>
      </w:r>
      <w:r w:rsidRPr="00990245">
        <w:rPr>
          <w:lang w:val="fr-CA"/>
        </w:rPr>
        <w:t xml:space="preserve">7 de la </w:t>
      </w:r>
      <w:r w:rsidRPr="00990245">
        <w:rPr>
          <w:i/>
          <w:iCs/>
          <w:lang w:val="fr-CA"/>
        </w:rPr>
        <w:t>Charte</w:t>
      </w:r>
      <w:r w:rsidRPr="00990245">
        <w:rPr>
          <w:lang w:val="fr-CA"/>
        </w:rPr>
        <w:t>, les dispositions limitent</w:t>
      </w:r>
      <w:r w:rsidR="00601B6E">
        <w:rPr>
          <w:lang w:val="fr-CA"/>
        </w:rPr>
        <w:t>-</w:t>
      </w:r>
      <w:r w:rsidRPr="00990245">
        <w:rPr>
          <w:lang w:val="fr-CA"/>
        </w:rPr>
        <w:t>elles le droit à la liberté des avocats et</w:t>
      </w:r>
      <w:r w:rsidRPr="00990245">
        <w:rPr>
          <w:rStyle w:val="Strong"/>
          <w:sz w:val="19"/>
          <w:szCs w:val="19"/>
          <w:lang w:val="fr-FR"/>
        </w:rPr>
        <w:t>/</w:t>
      </w:r>
      <w:r w:rsidRPr="00990245">
        <w:rPr>
          <w:lang w:val="fr-CA"/>
        </w:rPr>
        <w:t>ou des clients?</w:t>
      </w:r>
    </w:p>
    <w:p w:rsidR="00CA3D49" w:rsidRPr="00990245" w:rsidRDefault="00CA3D49" w:rsidP="00CA3D49">
      <w:pPr>
        <w:pStyle w:val="ParaNoNdepar-AltN"/>
        <w:rPr>
          <w:rFonts w:cs="Times New Roman"/>
          <w:lang w:val="fr-CA"/>
        </w:rPr>
      </w:pPr>
      <w:r w:rsidRPr="00990245">
        <w:rPr>
          <w:rFonts w:cs="Times New Roman"/>
          <w:lang w:val="fr-CA"/>
        </w:rPr>
        <w:t>Les dispositions limitent le droit à la liberté des avocats. Il n</w:t>
      </w:r>
      <w:r>
        <w:rPr>
          <w:rFonts w:cs="Times New Roman"/>
          <w:lang w:val="fr-CA"/>
        </w:rPr>
        <w:t>’</w:t>
      </w:r>
      <w:r w:rsidRPr="00990245">
        <w:rPr>
          <w:rFonts w:cs="Times New Roman"/>
          <w:lang w:val="fr-CA"/>
        </w:rPr>
        <w:t xml:space="preserve">est pas nécessaire de décider si celui des clients entre aussi en jeu. </w:t>
      </w:r>
    </w:p>
    <w:p w:rsidR="00CA3D49" w:rsidRPr="00990245" w:rsidRDefault="00CA3D49" w:rsidP="00351180">
      <w:pPr>
        <w:pStyle w:val="ParaNoNdepar-AltN"/>
        <w:numPr>
          <w:ilvl w:val="0"/>
          <w:numId w:val="0"/>
        </w:numPr>
        <w:ind w:left="720" w:hanging="720"/>
        <w:rPr>
          <w:lang w:val="fr-CA"/>
        </w:rPr>
      </w:pPr>
      <w:r w:rsidRPr="00990245">
        <w:rPr>
          <w:lang w:val="fr-CA"/>
        </w:rPr>
        <w:t>2</w:t>
      </w:r>
      <w:r w:rsidRPr="00637528">
        <w:rPr>
          <w:iCs/>
          <w:lang w:val="fr-CA"/>
        </w:rPr>
        <w:t>b</w:t>
      </w:r>
      <w:r w:rsidRPr="00990245">
        <w:rPr>
          <w:lang w:val="fr-CA"/>
        </w:rPr>
        <w:t>).</w:t>
      </w:r>
      <w:r w:rsidRPr="00990245">
        <w:rPr>
          <w:lang w:val="fr-CA"/>
        </w:rPr>
        <w:tab/>
        <w:t>Cette restriction est</w:t>
      </w:r>
      <w:r w:rsidR="00601B6E">
        <w:rPr>
          <w:lang w:val="fr-CA"/>
        </w:rPr>
        <w:t>-</w:t>
      </w:r>
      <w:r w:rsidRPr="00990245">
        <w:rPr>
          <w:lang w:val="fr-CA"/>
        </w:rPr>
        <w:t>elle conforme aux principes de justice fondamentale en ce qui concerne (i)</w:t>
      </w:r>
      <w:r w:rsidR="00601B6E">
        <w:rPr>
          <w:lang w:val="fr-CA"/>
        </w:rPr>
        <w:t xml:space="preserve"> </w:t>
      </w:r>
      <w:r w:rsidRPr="00990245">
        <w:rPr>
          <w:lang w:val="fr-CA"/>
        </w:rPr>
        <w:t>le secret professionnel de l</w:t>
      </w:r>
      <w:r>
        <w:rPr>
          <w:lang w:val="fr-CA"/>
        </w:rPr>
        <w:t>’</w:t>
      </w:r>
      <w:r w:rsidRPr="00990245">
        <w:rPr>
          <w:lang w:val="fr-CA"/>
        </w:rPr>
        <w:t>avocat ou (ii)</w:t>
      </w:r>
      <w:r w:rsidR="00601B6E">
        <w:rPr>
          <w:lang w:val="fr-CA"/>
        </w:rPr>
        <w:t xml:space="preserve"> </w:t>
      </w:r>
      <w:r w:rsidRPr="00990245">
        <w:rPr>
          <w:lang w:val="fr-CA"/>
        </w:rPr>
        <w:t>l</w:t>
      </w:r>
      <w:r>
        <w:rPr>
          <w:lang w:val="fr-CA"/>
        </w:rPr>
        <w:t>’</w:t>
      </w:r>
      <w:r w:rsidRPr="00990245">
        <w:rPr>
          <w:lang w:val="fr-CA"/>
        </w:rPr>
        <w:t>indépendance du barreau?</w:t>
      </w:r>
    </w:p>
    <w:p w:rsidR="00CA3D49" w:rsidRPr="00990245" w:rsidRDefault="00CA3D49" w:rsidP="00CA3D49">
      <w:pPr>
        <w:pStyle w:val="ParaNoNdepar-AltN"/>
        <w:rPr>
          <w:rFonts w:cs="Times New Roman"/>
          <w:lang w:val="fr-CA"/>
        </w:rPr>
      </w:pPr>
      <w:r w:rsidRPr="00990245">
        <w:rPr>
          <w:rFonts w:cs="Times New Roman"/>
          <w:lang w:val="fr-CA"/>
        </w:rPr>
        <w:lastRenderedPageBreak/>
        <w:t>Considérées dans leur ensemble, ces dispositions nuisent à l</w:t>
      </w:r>
      <w:r>
        <w:rPr>
          <w:rFonts w:cs="Times New Roman"/>
          <w:lang w:val="fr-CA"/>
        </w:rPr>
        <w:t>’</w:t>
      </w:r>
      <w:r w:rsidRPr="00990245">
        <w:rPr>
          <w:rFonts w:cs="Times New Roman"/>
          <w:lang w:val="fr-CA"/>
        </w:rPr>
        <w:t>accomplissement du devoir de l</w:t>
      </w:r>
      <w:r>
        <w:rPr>
          <w:rFonts w:cs="Times New Roman"/>
          <w:lang w:val="fr-CA"/>
        </w:rPr>
        <w:t>’</w:t>
      </w:r>
      <w:r w:rsidRPr="00990245">
        <w:rPr>
          <w:rFonts w:cs="Times New Roman"/>
          <w:lang w:val="fr-CA"/>
        </w:rPr>
        <w:t>avocat de se dévouer à la cause du client, devoir qui, à mon sens, constitue un principe de justice fondamentale. Vu ma conclusion concernant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8, point n</w:t>
      </w:r>
      <w:r>
        <w:rPr>
          <w:rFonts w:cs="Times New Roman"/>
          <w:lang w:val="fr-CA"/>
        </w:rPr>
        <w:t>’</w:t>
      </w:r>
      <w:r w:rsidRPr="00990245">
        <w:rPr>
          <w:rFonts w:cs="Times New Roman"/>
          <w:lang w:val="fr-CA"/>
        </w:rPr>
        <w:t>est besoin d</w:t>
      </w:r>
      <w:r>
        <w:rPr>
          <w:rFonts w:cs="Times New Roman"/>
          <w:lang w:val="fr-CA"/>
        </w:rPr>
        <w:t>’</w:t>
      </w:r>
      <w:r w:rsidRPr="00990245">
        <w:rPr>
          <w:rFonts w:cs="Times New Roman"/>
          <w:lang w:val="fr-CA"/>
        </w:rPr>
        <w:t>analyser séparément le principe proposé de justice fondamentale qui a trait au secret professionnel de l</w:t>
      </w:r>
      <w:r>
        <w:rPr>
          <w:rFonts w:cs="Times New Roman"/>
          <w:lang w:val="fr-CA"/>
        </w:rPr>
        <w:t>’</w:t>
      </w:r>
      <w:r w:rsidRPr="00990245">
        <w:rPr>
          <w:rFonts w:cs="Times New Roman"/>
          <w:lang w:val="fr-CA"/>
        </w:rPr>
        <w:t>avocat.</w:t>
      </w:r>
    </w:p>
    <w:p w:rsidR="00CA3D49" w:rsidRPr="00990245" w:rsidRDefault="00CA3D49" w:rsidP="00351180">
      <w:pPr>
        <w:pStyle w:val="ParaNoNdepar-AltN"/>
        <w:numPr>
          <w:ilvl w:val="0"/>
          <w:numId w:val="0"/>
        </w:numPr>
        <w:ind w:left="720" w:hanging="720"/>
        <w:rPr>
          <w:lang w:val="fr-CA"/>
        </w:rPr>
      </w:pPr>
      <w:r w:rsidRPr="00990245">
        <w:rPr>
          <w:lang w:val="fr-CA"/>
        </w:rPr>
        <w:t>3.</w:t>
      </w:r>
      <w:r w:rsidRPr="00990245">
        <w:rPr>
          <w:lang w:val="fr-CA"/>
        </w:rPr>
        <w:tab/>
        <w:t>Peut</w:t>
      </w:r>
      <w:r w:rsidR="00601B6E">
        <w:rPr>
          <w:lang w:val="fr-CA"/>
        </w:rPr>
        <w:t>-</w:t>
      </w:r>
      <w:r w:rsidRPr="00990245">
        <w:rPr>
          <w:lang w:val="fr-CA"/>
        </w:rPr>
        <w:t xml:space="preserve">on démontrer la justification de restrictions aux droits reconnus par </w:t>
      </w:r>
      <w:proofErr w:type="gramStart"/>
      <w:r w:rsidRPr="00990245">
        <w:rPr>
          <w:lang w:val="fr-CA"/>
        </w:rPr>
        <w:t>les art</w:t>
      </w:r>
      <w:proofErr w:type="gramEnd"/>
      <w:r w:rsidRPr="00990245">
        <w:rPr>
          <w:lang w:val="fr-CA"/>
        </w:rPr>
        <w:t>.</w:t>
      </w:r>
      <w:r w:rsidR="00601B6E">
        <w:rPr>
          <w:lang w:val="fr-CA"/>
        </w:rPr>
        <w:t xml:space="preserve"> </w:t>
      </w:r>
      <w:r w:rsidRPr="00990245">
        <w:rPr>
          <w:lang w:val="fr-CA"/>
        </w:rPr>
        <w:t>7 ou 8, comme l</w:t>
      </w:r>
      <w:r>
        <w:rPr>
          <w:lang w:val="fr-CA"/>
        </w:rPr>
        <w:t>’</w:t>
      </w:r>
      <w:r w:rsidRPr="00990245">
        <w:rPr>
          <w:lang w:val="fr-CA"/>
        </w:rPr>
        <w:t>exige l</w:t>
      </w:r>
      <w:r>
        <w:rPr>
          <w:lang w:val="fr-CA"/>
        </w:rPr>
        <w:t>’</w:t>
      </w:r>
      <w:r w:rsidRPr="00990245">
        <w:rPr>
          <w:lang w:val="fr-CA"/>
        </w:rPr>
        <w:t xml:space="preserve">article premier de la </w:t>
      </w:r>
      <w:r w:rsidRPr="00990245">
        <w:rPr>
          <w:i/>
          <w:iCs/>
          <w:lang w:val="fr-CA"/>
        </w:rPr>
        <w:t>Charte</w:t>
      </w:r>
      <w:r w:rsidRPr="00990245">
        <w:rPr>
          <w:lang w:val="fr-CA"/>
        </w:rPr>
        <w:t>?</w:t>
      </w:r>
    </w:p>
    <w:p w:rsidR="00CA3D49" w:rsidRPr="00990245" w:rsidRDefault="00CA3D49" w:rsidP="00CA3D49">
      <w:pPr>
        <w:pStyle w:val="ParaNoNdepar-AltN"/>
        <w:rPr>
          <w:rFonts w:cs="Times New Roman"/>
          <w:lang w:val="fr-CA"/>
        </w:rPr>
      </w:pPr>
      <w:r w:rsidRPr="00990245">
        <w:rPr>
          <w:rFonts w:cs="Times New Roman"/>
          <w:lang w:val="fr-CA"/>
        </w:rPr>
        <w:t>Le procureur général n</w:t>
      </w:r>
      <w:r>
        <w:rPr>
          <w:rFonts w:cs="Times New Roman"/>
          <w:lang w:val="fr-CA"/>
        </w:rPr>
        <w:t>’</w:t>
      </w:r>
      <w:r w:rsidRPr="00990245">
        <w:rPr>
          <w:rFonts w:cs="Times New Roman"/>
          <w:lang w:val="fr-CA"/>
        </w:rPr>
        <w:t xml:space="preserve">a pas démontré la justification des restrictions ainsi apportées à des droits garantis par la </w:t>
      </w:r>
      <w:r w:rsidRPr="00990245">
        <w:rPr>
          <w:rFonts w:cs="Times New Roman"/>
          <w:i/>
          <w:iCs/>
          <w:lang w:val="fr-CA"/>
        </w:rPr>
        <w:t xml:space="preserve">Charte </w:t>
      </w:r>
      <w:r w:rsidRPr="00990245">
        <w:rPr>
          <w:rFonts w:cs="Times New Roman"/>
          <w:lang w:val="fr-CA"/>
        </w:rPr>
        <w:t>dans le cadre d</w:t>
      </w:r>
      <w:r>
        <w:rPr>
          <w:rFonts w:cs="Times New Roman"/>
          <w:lang w:val="fr-CA"/>
        </w:rPr>
        <w:t>’</w:t>
      </w:r>
      <w:r w:rsidRPr="00990245">
        <w:rPr>
          <w:rFonts w:cs="Times New Roman"/>
          <w:lang w:val="fr-CA"/>
        </w:rPr>
        <w:t>une société libre et démocratique, et elles ne sont donc pas sauvegardées par l</w:t>
      </w:r>
      <w:r>
        <w:rPr>
          <w:rFonts w:cs="Times New Roman"/>
          <w:lang w:val="fr-CA"/>
        </w:rPr>
        <w:t>’</w:t>
      </w:r>
      <w:r w:rsidRPr="00990245">
        <w:rPr>
          <w:rFonts w:cs="Times New Roman"/>
          <w:lang w:val="fr-CA"/>
        </w:rPr>
        <w:t xml:space="preserve">article premier de la </w:t>
      </w:r>
      <w:r w:rsidRPr="00990245">
        <w:rPr>
          <w:rFonts w:cs="Times New Roman"/>
          <w:i/>
          <w:iCs/>
          <w:lang w:val="fr-CA"/>
        </w:rPr>
        <w:t>Charte</w:t>
      </w:r>
      <w:r w:rsidRPr="00990245">
        <w:rPr>
          <w:rFonts w:cs="Times New Roman"/>
          <w:lang w:val="fr-CA"/>
        </w:rPr>
        <w:t>.</w:t>
      </w:r>
    </w:p>
    <w:p w:rsidR="00CA3D49" w:rsidRPr="00990245" w:rsidRDefault="00CA3D49" w:rsidP="00CA3D49">
      <w:pPr>
        <w:pStyle w:val="Title2LevelTitre2Niveau"/>
        <w:keepNext/>
        <w:rPr>
          <w:rFonts w:cs="Times New Roman"/>
          <w:lang w:val="fr-CA"/>
        </w:rPr>
      </w:pPr>
      <w:r w:rsidRPr="00990245">
        <w:rPr>
          <w:rFonts w:cs="Times New Roman"/>
          <w:lang w:val="fr-CA"/>
        </w:rPr>
        <w:t>La législation</w:t>
      </w:r>
    </w:p>
    <w:p w:rsidR="00CA3D49" w:rsidRPr="00990245" w:rsidRDefault="00CA3D49" w:rsidP="00CA3D49">
      <w:pPr>
        <w:pStyle w:val="ParaNoNdepar-AltN"/>
        <w:rPr>
          <w:rFonts w:cs="Times New Roman"/>
          <w:lang w:val="fr-CA"/>
        </w:rPr>
      </w:pPr>
      <w:r w:rsidRPr="00990245">
        <w:rPr>
          <w:rFonts w:cs="Times New Roman"/>
          <w:lang w:val="fr-CA"/>
        </w:rPr>
        <w:t>Le régime législatif à l</w:t>
      </w:r>
      <w:r>
        <w:rPr>
          <w:rFonts w:cs="Times New Roman"/>
          <w:lang w:val="fr-CA"/>
        </w:rPr>
        <w:t>’</w:t>
      </w:r>
      <w:r w:rsidRPr="00990245">
        <w:rPr>
          <w:rFonts w:cs="Times New Roman"/>
          <w:lang w:val="fr-CA"/>
        </w:rPr>
        <w:t>origine du présent pourvoi est complexe et il faut bien saisir l</w:t>
      </w:r>
      <w:r>
        <w:rPr>
          <w:rFonts w:cs="Times New Roman"/>
          <w:lang w:val="fr-CA"/>
        </w:rPr>
        <w:t>’</w:t>
      </w:r>
      <w:r w:rsidRPr="00990245">
        <w:rPr>
          <w:rFonts w:cs="Times New Roman"/>
          <w:lang w:val="fr-CA"/>
        </w:rPr>
        <w:t>incidence de ses dispositions sur les avocats et les clients pour comprendre les questions portées en appel.</w:t>
      </w:r>
    </w:p>
    <w:p w:rsidR="00CA3D49" w:rsidRPr="00990245" w:rsidRDefault="00CA3D49" w:rsidP="00CA3D49">
      <w:pPr>
        <w:pStyle w:val="ParaNoNdepar-AltN"/>
        <w:rPr>
          <w:rFonts w:cs="Times New Roman"/>
          <w:lang w:val="fr-CA"/>
        </w:rPr>
      </w:pPr>
      <w:r w:rsidRPr="00990245">
        <w:rPr>
          <w:rFonts w:cs="Times New Roman"/>
          <w:lang w:val="fr-CA"/>
        </w:rPr>
        <w:t>Le recyclage des produits de la criminalité et le financement des activités terroristes sont des crimes graves (</w:t>
      </w:r>
      <w:r w:rsidRPr="00990245">
        <w:rPr>
          <w:rFonts w:cs="Times New Roman"/>
          <w:i/>
          <w:lang w:val="fr-CA"/>
        </w:rPr>
        <w:t>Code criminel</w:t>
      </w:r>
      <w:r w:rsidRPr="00990245">
        <w:rPr>
          <w:rFonts w:cs="Times New Roman"/>
          <w:lang w:val="fr-CA"/>
        </w:rPr>
        <w:t>, L.R.C. 1985, c.</w:t>
      </w:r>
      <w:r w:rsidR="00601B6E">
        <w:rPr>
          <w:rFonts w:cs="Times New Roman"/>
          <w:lang w:val="fr-CA"/>
        </w:rPr>
        <w:t xml:space="preserve"> </w:t>
      </w:r>
      <w:r w:rsidRPr="00990245">
        <w:rPr>
          <w:rFonts w:cs="Times New Roman"/>
          <w:lang w:val="fr-CA"/>
        </w:rPr>
        <w:t>C</w:t>
      </w:r>
      <w:r w:rsidR="00601B6E">
        <w:rPr>
          <w:rFonts w:cs="Times New Roman"/>
          <w:lang w:val="fr-CA"/>
        </w:rPr>
        <w:t>-</w:t>
      </w:r>
      <w:r w:rsidRPr="00990245">
        <w:rPr>
          <w:rFonts w:cs="Times New Roman"/>
          <w:lang w:val="fr-CA"/>
        </w:rPr>
        <w:t>46, art.</w:t>
      </w:r>
      <w:r w:rsidR="00601B6E">
        <w:rPr>
          <w:rFonts w:cs="Times New Roman"/>
          <w:lang w:val="fr-CA"/>
        </w:rPr>
        <w:t xml:space="preserve"> </w:t>
      </w:r>
      <w:r w:rsidRPr="00990245">
        <w:rPr>
          <w:rFonts w:cs="Times New Roman"/>
          <w:lang w:val="fr-CA"/>
        </w:rPr>
        <w:t xml:space="preserve">462.31, 83.02 et 83.03). La </w:t>
      </w:r>
      <w:r w:rsidRPr="00990245">
        <w:rPr>
          <w:rFonts w:cs="Times New Roman"/>
          <w:i/>
          <w:iCs/>
          <w:lang w:val="fr-CA"/>
        </w:rPr>
        <w:t>Loi sur le recyclage des produits de la criminalité et le financement des activités terroristes</w:t>
      </w:r>
      <w:r w:rsidRPr="00990245">
        <w:rPr>
          <w:rFonts w:cs="Times New Roman"/>
          <w:iCs/>
          <w:lang w:val="fr-CA"/>
        </w:rPr>
        <w:t>, L.C. 2000, c.</w:t>
      </w:r>
      <w:r w:rsidR="00601B6E">
        <w:rPr>
          <w:rFonts w:cs="Times New Roman"/>
          <w:iCs/>
          <w:lang w:val="fr-CA"/>
        </w:rPr>
        <w:t xml:space="preserve"> </w:t>
      </w:r>
      <w:r w:rsidRPr="00990245">
        <w:rPr>
          <w:rFonts w:cs="Times New Roman"/>
          <w:iCs/>
          <w:lang w:val="fr-CA"/>
        </w:rPr>
        <w:t>17,</w:t>
      </w:r>
      <w:r w:rsidRPr="00990245">
        <w:rPr>
          <w:rFonts w:cs="Times New Roman"/>
          <w:i/>
          <w:iCs/>
          <w:lang w:val="fr-CA"/>
        </w:rPr>
        <w:t xml:space="preserve"> </w:t>
      </w:r>
      <w:r w:rsidRPr="00990245">
        <w:rPr>
          <w:rFonts w:cs="Times New Roman"/>
          <w:lang w:val="fr-CA"/>
        </w:rPr>
        <w:t xml:space="preserve">a pour objet de détecter et de </w:t>
      </w:r>
      <w:r w:rsidRPr="00990245">
        <w:rPr>
          <w:rFonts w:cs="Times New Roman"/>
          <w:lang w:val="fr-CA"/>
        </w:rPr>
        <w:lastRenderedPageBreak/>
        <w:t>décourager ces crimes en plus de faciliter les enquêtes et les poursuites relatives à ceux</w:t>
      </w:r>
      <w:r w:rsidR="00601B6E">
        <w:rPr>
          <w:rFonts w:cs="Times New Roman"/>
          <w:lang w:val="fr-CA"/>
        </w:rPr>
        <w:t>-</w:t>
      </w:r>
      <w:r w:rsidRPr="00990245">
        <w:rPr>
          <w:rFonts w:cs="Times New Roman"/>
          <w:lang w:val="fr-CA"/>
        </w:rPr>
        <w:t>ci (art.</w:t>
      </w:r>
      <w:r w:rsidR="00601B6E">
        <w:rPr>
          <w:rFonts w:cs="Times New Roman"/>
          <w:lang w:val="fr-CA"/>
        </w:rPr>
        <w:t xml:space="preserve"> </w:t>
      </w:r>
      <w:r w:rsidRPr="00990245">
        <w:rPr>
          <w:rFonts w:cs="Times New Roman"/>
          <w:lang w:val="fr-CA"/>
        </w:rPr>
        <w:t xml:space="preserve">3). La </w:t>
      </w:r>
      <w:r w:rsidRPr="00351180">
        <w:rPr>
          <w:rFonts w:cs="Times New Roman"/>
          <w:lang w:val="fr-CA"/>
        </w:rPr>
        <w:t xml:space="preserve">Loi </w:t>
      </w:r>
      <w:r w:rsidRPr="00990245">
        <w:rPr>
          <w:rFonts w:cs="Times New Roman"/>
          <w:lang w:val="fr-CA"/>
        </w:rPr>
        <w:t>poursuit ces objectifs de trois principales manières</w:t>
      </w:r>
      <w:r w:rsidR="00601B6E">
        <w:rPr>
          <w:rFonts w:cs="Times New Roman"/>
          <w:lang w:val="fr-CA"/>
        </w:rPr>
        <w:t> :</w:t>
      </w:r>
      <w:r w:rsidRPr="00990245">
        <w:rPr>
          <w:rFonts w:cs="Times New Roman"/>
          <w:lang w:val="fr-CA"/>
        </w:rPr>
        <w:t xml:space="preserve"> en fixant des normes de tenue de documents et d</w:t>
      </w:r>
      <w:r>
        <w:rPr>
          <w:rFonts w:cs="Times New Roman"/>
          <w:lang w:val="fr-CA"/>
        </w:rPr>
        <w:t>’</w:t>
      </w:r>
      <w:r w:rsidRPr="00990245">
        <w:rPr>
          <w:rFonts w:cs="Times New Roman"/>
          <w:lang w:val="fr-CA"/>
        </w:rPr>
        <w:t xml:space="preserve">identification des clients, en soumettant les intermédiaires financiers à des obligations de déclaration et en constituant un organisme chargé de contrôler le respect de la </w:t>
      </w:r>
      <w:r w:rsidRPr="00351180">
        <w:rPr>
          <w:rFonts w:cs="Times New Roman"/>
          <w:iCs/>
          <w:lang w:val="fr-CA"/>
        </w:rPr>
        <w:t>Loi</w:t>
      </w:r>
      <w:r w:rsidRPr="00990245">
        <w:rPr>
          <w:rFonts w:cs="Times New Roman"/>
          <w:lang w:val="fr-CA"/>
        </w:rPr>
        <w:t>, en l</w:t>
      </w:r>
      <w:r>
        <w:rPr>
          <w:rFonts w:cs="Times New Roman"/>
          <w:lang w:val="fr-CA"/>
        </w:rPr>
        <w:t>’</w:t>
      </w:r>
      <w:r w:rsidRPr="00990245">
        <w:rPr>
          <w:rFonts w:cs="Times New Roman"/>
          <w:lang w:val="fr-CA"/>
        </w:rPr>
        <w:t>occurrence le Centre d</w:t>
      </w:r>
      <w:r>
        <w:rPr>
          <w:rFonts w:cs="Times New Roman"/>
          <w:lang w:val="fr-CA"/>
        </w:rPr>
        <w:t>’</w:t>
      </w:r>
      <w:r w:rsidRPr="00990245">
        <w:rPr>
          <w:rFonts w:cs="Times New Roman"/>
          <w:lang w:val="fr-CA"/>
        </w:rPr>
        <w:t>analyse des opérations et déclarations financières du Canada (</w:t>
      </w:r>
      <w:r w:rsidR="00601B6E">
        <w:rPr>
          <w:rFonts w:cs="Times New Roman"/>
          <w:lang w:val="fr-CA"/>
        </w:rPr>
        <w:t>« </w:t>
      </w:r>
      <w:r w:rsidRPr="00990245">
        <w:rPr>
          <w:rFonts w:cs="Times New Roman"/>
          <w:lang w:val="fr-CA"/>
        </w:rPr>
        <w:t>CANAFE</w:t>
      </w:r>
      <w:r w:rsidR="00601B6E">
        <w:rPr>
          <w:rFonts w:cs="Times New Roman"/>
          <w:lang w:val="fr-CA"/>
        </w:rPr>
        <w:t> »</w:t>
      </w:r>
      <w:r w:rsidRPr="00990245">
        <w:rPr>
          <w:rFonts w:cs="Times New Roman"/>
          <w:lang w:val="fr-CA"/>
        </w:rPr>
        <w:t xml:space="preserve">). </w:t>
      </w:r>
    </w:p>
    <w:p w:rsidR="00CA3D49" w:rsidRPr="00990245" w:rsidRDefault="00CA3D49" w:rsidP="00CA3D49">
      <w:pPr>
        <w:pStyle w:val="ParaNoNdepar-AltN"/>
        <w:rPr>
          <w:rFonts w:cs="Times New Roman"/>
          <w:lang w:val="fr-CA"/>
        </w:rPr>
      </w:pPr>
      <w:r w:rsidRPr="00990245">
        <w:rPr>
          <w:rFonts w:cs="Times New Roman"/>
          <w:lang w:val="fr-CA"/>
        </w:rPr>
        <w:t xml:space="preserve">Les règlements pris en application de la </w:t>
      </w:r>
      <w:r w:rsidRPr="00351180">
        <w:rPr>
          <w:rFonts w:cs="Times New Roman"/>
          <w:iCs/>
          <w:lang w:val="fr-CA"/>
        </w:rPr>
        <w:t>Loi</w:t>
      </w:r>
      <w:r w:rsidRPr="00990245">
        <w:rPr>
          <w:rFonts w:cs="Times New Roman"/>
          <w:i/>
          <w:iCs/>
          <w:lang w:val="fr-CA"/>
        </w:rPr>
        <w:t xml:space="preserve"> </w:t>
      </w:r>
      <w:r w:rsidRPr="00990245">
        <w:rPr>
          <w:rFonts w:cs="Times New Roman"/>
          <w:lang w:val="fr-CA"/>
        </w:rPr>
        <w:t>exposent en détail la façon dont le régime législatif s</w:t>
      </w:r>
      <w:r>
        <w:rPr>
          <w:rFonts w:cs="Times New Roman"/>
          <w:lang w:val="fr-CA"/>
        </w:rPr>
        <w:t>’</w:t>
      </w:r>
      <w:r w:rsidRPr="00990245">
        <w:rPr>
          <w:rFonts w:cs="Times New Roman"/>
          <w:lang w:val="fr-CA"/>
        </w:rPr>
        <w:t>applique aux conseillers juridiques (</w:t>
      </w:r>
      <w:r w:rsidRPr="00990245">
        <w:rPr>
          <w:rFonts w:cs="Times New Roman"/>
          <w:i/>
          <w:iCs/>
          <w:lang w:val="fr-CA"/>
        </w:rPr>
        <w:t>Règlement sur le recyclage des produits de la criminalité et le financement des activités terroristes</w:t>
      </w:r>
      <w:r w:rsidRPr="00990245">
        <w:rPr>
          <w:rFonts w:cs="Times New Roman"/>
          <w:iCs/>
          <w:lang w:val="fr-CA"/>
        </w:rPr>
        <w:t>, DORS/2002</w:t>
      </w:r>
      <w:r w:rsidR="00601B6E">
        <w:rPr>
          <w:rFonts w:cs="Times New Roman"/>
          <w:iCs/>
          <w:lang w:val="fr-CA"/>
        </w:rPr>
        <w:t>-</w:t>
      </w:r>
      <w:r>
        <w:rPr>
          <w:rFonts w:cs="Times New Roman"/>
          <w:iCs/>
          <w:lang w:val="fr-CA"/>
        </w:rPr>
        <w:t>1</w:t>
      </w:r>
      <w:r w:rsidRPr="00990245">
        <w:rPr>
          <w:rFonts w:cs="Times New Roman"/>
          <w:iCs/>
          <w:lang w:val="fr-CA"/>
        </w:rPr>
        <w:t>84</w:t>
      </w:r>
      <w:r w:rsidRPr="00990245">
        <w:rPr>
          <w:rFonts w:cs="Times New Roman"/>
          <w:lang w:val="fr-CA"/>
        </w:rPr>
        <w:t xml:space="preserve">). La </w:t>
      </w:r>
      <w:r w:rsidRPr="00351180">
        <w:rPr>
          <w:rFonts w:cs="Times New Roman"/>
          <w:iCs/>
          <w:lang w:val="fr-CA"/>
        </w:rPr>
        <w:t>Loi</w:t>
      </w:r>
      <w:r w:rsidRPr="00351180">
        <w:rPr>
          <w:rFonts w:cs="Times New Roman"/>
          <w:lang w:val="fr-CA"/>
        </w:rPr>
        <w:t xml:space="preserve"> </w:t>
      </w:r>
      <w:r w:rsidRPr="00990245">
        <w:rPr>
          <w:rFonts w:cs="Times New Roman"/>
          <w:lang w:val="fr-CA"/>
        </w:rPr>
        <w:t xml:space="preserve">définit comme suit le </w:t>
      </w:r>
      <w:r w:rsidR="00601B6E">
        <w:rPr>
          <w:rFonts w:cs="Times New Roman"/>
          <w:lang w:val="fr-CA"/>
        </w:rPr>
        <w:t>« </w:t>
      </w:r>
      <w:r w:rsidRPr="00990245">
        <w:rPr>
          <w:rFonts w:cs="Times New Roman"/>
          <w:lang w:val="fr-CA"/>
        </w:rPr>
        <w:t>conseiller juridique</w:t>
      </w:r>
      <w:r w:rsidR="00601B6E">
        <w:rPr>
          <w:rFonts w:cs="Times New Roman"/>
          <w:lang w:val="fr-CA"/>
        </w:rPr>
        <w:t> » :</w:t>
      </w:r>
      <w:r w:rsidRPr="00990245">
        <w:rPr>
          <w:rFonts w:cs="Times New Roman"/>
          <w:lang w:val="fr-CA"/>
        </w:rPr>
        <w:t xml:space="preserve"> dans la province de Québec, un avocat ou un notaire et, dans les autres provinces, un </w:t>
      </w:r>
      <w:proofErr w:type="spellStart"/>
      <w:r w:rsidRPr="00990245">
        <w:rPr>
          <w:rFonts w:cs="Times New Roman"/>
          <w:i/>
          <w:iCs/>
          <w:lang w:val="fr-CA"/>
        </w:rPr>
        <w:t>barrister</w:t>
      </w:r>
      <w:proofErr w:type="spellEnd"/>
      <w:r w:rsidRPr="00990245">
        <w:rPr>
          <w:rFonts w:cs="Times New Roman"/>
          <w:lang w:val="fr-CA"/>
        </w:rPr>
        <w:t xml:space="preserve"> ou un </w:t>
      </w:r>
      <w:r w:rsidRPr="00990245">
        <w:rPr>
          <w:rFonts w:cs="Times New Roman"/>
          <w:i/>
          <w:iCs/>
          <w:lang w:val="fr-CA"/>
        </w:rPr>
        <w:t xml:space="preserve">solicitor </w:t>
      </w:r>
      <w:r w:rsidRPr="00990245">
        <w:rPr>
          <w:rFonts w:cs="Times New Roman"/>
          <w:lang w:val="fr-CA"/>
        </w:rPr>
        <w:t>(art.</w:t>
      </w:r>
      <w:r w:rsidR="00601B6E">
        <w:rPr>
          <w:rFonts w:cs="Times New Roman"/>
          <w:lang w:val="fr-CA"/>
        </w:rPr>
        <w:t xml:space="preserve"> </w:t>
      </w:r>
      <w:r w:rsidRPr="00990245">
        <w:rPr>
          <w:rFonts w:cs="Times New Roman"/>
          <w:lang w:val="fr-CA"/>
        </w:rPr>
        <w:t xml:space="preserve">2). Je vais employer le mot </w:t>
      </w:r>
      <w:r w:rsidR="00601B6E">
        <w:rPr>
          <w:rFonts w:cs="Times New Roman"/>
          <w:lang w:val="fr-CA"/>
        </w:rPr>
        <w:t>« </w:t>
      </w:r>
      <w:r w:rsidRPr="00990245">
        <w:rPr>
          <w:rFonts w:cs="Times New Roman"/>
          <w:lang w:val="fr-CA"/>
        </w:rPr>
        <w:t>avocat</w:t>
      </w:r>
      <w:r w:rsidR="00601B6E">
        <w:rPr>
          <w:rFonts w:cs="Times New Roman"/>
          <w:lang w:val="fr-CA"/>
        </w:rPr>
        <w:t> »</w:t>
      </w:r>
      <w:r w:rsidRPr="00990245">
        <w:rPr>
          <w:rFonts w:cs="Times New Roman"/>
          <w:lang w:val="fr-CA"/>
        </w:rPr>
        <w:t xml:space="preserve"> pour désigner tous les professionnels du droit assujettis à ce régime. Les dispositions applicables de la </w:t>
      </w:r>
      <w:r w:rsidRPr="00351180">
        <w:rPr>
          <w:rFonts w:cs="Times New Roman"/>
          <w:iCs/>
          <w:lang w:val="fr-CA"/>
        </w:rPr>
        <w:t>Loi</w:t>
      </w:r>
      <w:r w:rsidRPr="00990245">
        <w:rPr>
          <w:rFonts w:cs="Times New Roman"/>
          <w:i/>
          <w:iCs/>
          <w:lang w:val="fr-CA"/>
        </w:rPr>
        <w:t xml:space="preserve"> </w:t>
      </w:r>
      <w:r w:rsidRPr="00990245">
        <w:rPr>
          <w:rFonts w:cs="Times New Roman"/>
          <w:lang w:val="fr-CA"/>
        </w:rPr>
        <w:t>et du</w:t>
      </w:r>
      <w:r w:rsidRPr="00990245">
        <w:rPr>
          <w:rFonts w:cs="Times New Roman"/>
          <w:i/>
          <w:iCs/>
          <w:lang w:val="fr-CA"/>
        </w:rPr>
        <w:t xml:space="preserve"> </w:t>
      </w:r>
      <w:r w:rsidRPr="00351180">
        <w:rPr>
          <w:rFonts w:cs="Times New Roman"/>
          <w:iCs/>
          <w:lang w:val="fr-CA"/>
        </w:rPr>
        <w:t>Règlement</w:t>
      </w:r>
      <w:r w:rsidRPr="00990245">
        <w:rPr>
          <w:rFonts w:cs="Times New Roman"/>
          <w:i/>
          <w:iCs/>
          <w:lang w:val="fr-CA"/>
        </w:rPr>
        <w:t xml:space="preserve"> </w:t>
      </w:r>
      <w:r w:rsidRPr="00990245">
        <w:rPr>
          <w:rFonts w:cs="Times New Roman"/>
          <w:lang w:val="fr-CA"/>
        </w:rPr>
        <w:t>sont reproduites en annexe. D</w:t>
      </w:r>
      <w:r>
        <w:rPr>
          <w:rFonts w:cs="Times New Roman"/>
          <w:lang w:val="fr-CA"/>
        </w:rPr>
        <w:t>’</w:t>
      </w:r>
      <w:r w:rsidRPr="00990245">
        <w:rPr>
          <w:rFonts w:cs="Times New Roman"/>
          <w:lang w:val="fr-CA"/>
        </w:rPr>
        <w:t>après les observations du procureur général, on exige des avocats qu</w:t>
      </w:r>
      <w:r>
        <w:rPr>
          <w:rFonts w:cs="Times New Roman"/>
          <w:lang w:val="fr-CA"/>
        </w:rPr>
        <w:t>’</w:t>
      </w:r>
      <w:r w:rsidRPr="00990245">
        <w:rPr>
          <w:rFonts w:cs="Times New Roman"/>
          <w:lang w:val="fr-CA"/>
        </w:rPr>
        <w:t>ils se conforment aux obligations d</w:t>
      </w:r>
      <w:r>
        <w:rPr>
          <w:rFonts w:cs="Times New Roman"/>
          <w:lang w:val="fr-CA"/>
        </w:rPr>
        <w:t>’</w:t>
      </w:r>
      <w:r w:rsidRPr="00990245">
        <w:rPr>
          <w:rFonts w:cs="Times New Roman"/>
          <w:lang w:val="fr-CA"/>
        </w:rPr>
        <w:t>identifier leur client et de tenir des documents pour décourager les opérations illicites et, si une telle opération a lieu, pour aider à créer une piste documentaire à laquelle auraient accès les forces de l</w:t>
      </w:r>
      <w:r>
        <w:rPr>
          <w:rFonts w:cs="Times New Roman"/>
          <w:lang w:val="fr-CA"/>
        </w:rPr>
        <w:t>’</w:t>
      </w:r>
      <w:r w:rsidRPr="00990245">
        <w:rPr>
          <w:rFonts w:cs="Times New Roman"/>
          <w:lang w:val="fr-CA"/>
        </w:rPr>
        <w:t>ordre après avoir obtenu en bonne et due forme l</w:t>
      </w:r>
      <w:r>
        <w:rPr>
          <w:rFonts w:cs="Times New Roman"/>
          <w:lang w:val="fr-CA"/>
        </w:rPr>
        <w:t>’</w:t>
      </w:r>
      <w:r w:rsidRPr="00990245">
        <w:rPr>
          <w:rFonts w:cs="Times New Roman"/>
          <w:lang w:val="fr-CA"/>
        </w:rPr>
        <w:t>autorisation d</w:t>
      </w:r>
      <w:r>
        <w:rPr>
          <w:rFonts w:cs="Times New Roman"/>
          <w:lang w:val="fr-CA"/>
        </w:rPr>
        <w:t>’</w:t>
      </w:r>
      <w:r w:rsidRPr="00990245">
        <w:rPr>
          <w:rFonts w:cs="Times New Roman"/>
          <w:lang w:val="fr-CA"/>
        </w:rPr>
        <w:t>un juge (</w:t>
      </w:r>
      <w:proofErr w:type="gramStart"/>
      <w:r w:rsidRPr="00990245">
        <w:rPr>
          <w:rFonts w:cs="Times New Roman"/>
          <w:lang w:val="fr-CA"/>
        </w:rPr>
        <w:t>m.a.,</w:t>
      </w:r>
      <w:proofErr w:type="gramEnd"/>
      <w:r w:rsidRPr="00990245">
        <w:rPr>
          <w:rFonts w:cs="Times New Roman"/>
          <w:lang w:val="fr-CA"/>
        </w:rPr>
        <w:t xml:space="preserve"> par.</w:t>
      </w:r>
      <w:r w:rsidR="00601B6E">
        <w:rPr>
          <w:rFonts w:cs="Times New Roman"/>
          <w:lang w:val="fr-CA"/>
        </w:rPr>
        <w:t xml:space="preserve"> </w:t>
      </w:r>
      <w:r w:rsidRPr="00990245">
        <w:rPr>
          <w:rFonts w:cs="Times New Roman"/>
          <w:lang w:val="fr-CA"/>
        </w:rPr>
        <w:t>17). Les obligations de tenue de documents découragent les opérations illicites d</w:t>
      </w:r>
      <w:r>
        <w:rPr>
          <w:rFonts w:cs="Times New Roman"/>
          <w:lang w:val="fr-CA"/>
        </w:rPr>
        <w:t>’</w:t>
      </w:r>
      <w:r w:rsidRPr="00990245">
        <w:rPr>
          <w:rFonts w:cs="Times New Roman"/>
          <w:lang w:val="fr-CA"/>
        </w:rPr>
        <w:t>au moins deux façons</w:t>
      </w:r>
      <w:r w:rsidR="00601B6E">
        <w:rPr>
          <w:rFonts w:cs="Times New Roman"/>
          <w:lang w:val="fr-CA"/>
        </w:rPr>
        <w:t> :</w:t>
      </w:r>
      <w:r w:rsidRPr="00990245">
        <w:rPr>
          <w:rFonts w:cs="Times New Roman"/>
          <w:lang w:val="fr-CA"/>
        </w:rPr>
        <w:t xml:space="preserve"> elles contribuent à empêcher que les avocats ne soient dupés par des clients qui veulent se servir d</w:t>
      </w:r>
      <w:r>
        <w:rPr>
          <w:rFonts w:cs="Times New Roman"/>
          <w:lang w:val="fr-CA"/>
        </w:rPr>
        <w:t>’</w:t>
      </w:r>
      <w:r w:rsidRPr="00990245">
        <w:rPr>
          <w:rFonts w:cs="Times New Roman"/>
          <w:lang w:val="fr-CA"/>
        </w:rPr>
        <w:t>eux pour faciliter ces opérations et font en sorte qu</w:t>
      </w:r>
      <w:r>
        <w:rPr>
          <w:rFonts w:cs="Times New Roman"/>
          <w:lang w:val="fr-CA"/>
        </w:rPr>
        <w:t>’</w:t>
      </w:r>
      <w:r w:rsidRPr="00990245">
        <w:rPr>
          <w:rFonts w:cs="Times New Roman"/>
          <w:lang w:val="fr-CA"/>
        </w:rPr>
        <w:t>il est plus difficile pour les clients de se livrer à pareilles activités par l</w:t>
      </w:r>
      <w:r>
        <w:rPr>
          <w:rFonts w:cs="Times New Roman"/>
          <w:lang w:val="fr-CA"/>
        </w:rPr>
        <w:t>’</w:t>
      </w:r>
      <w:r w:rsidRPr="00990245">
        <w:rPr>
          <w:rFonts w:cs="Times New Roman"/>
          <w:lang w:val="fr-CA"/>
        </w:rPr>
        <w:t xml:space="preserve">entremise de leurs avocats. </w:t>
      </w:r>
    </w:p>
    <w:p w:rsidR="00CA3D49" w:rsidRPr="00990245" w:rsidRDefault="00CA3D49" w:rsidP="00CA3D49">
      <w:pPr>
        <w:pStyle w:val="ParaNoNdepar-AltN"/>
        <w:rPr>
          <w:rFonts w:cs="Times New Roman"/>
          <w:u w:val="single"/>
          <w:lang w:val="fr-CA"/>
        </w:rPr>
      </w:pPr>
      <w:r w:rsidRPr="00990245">
        <w:rPr>
          <w:rFonts w:cs="Times New Roman"/>
          <w:lang w:val="fr-CA"/>
        </w:rPr>
        <w:lastRenderedPageBreak/>
        <w:t xml:space="preserve">Voici un survol des dispositions les plus pertinentes de la </w:t>
      </w:r>
      <w:r w:rsidRPr="00351180">
        <w:rPr>
          <w:rFonts w:cs="Times New Roman"/>
          <w:iCs/>
          <w:lang w:val="fr-CA"/>
        </w:rPr>
        <w:t>Loi</w:t>
      </w:r>
      <w:r w:rsidRPr="00990245">
        <w:rPr>
          <w:rFonts w:cs="Times New Roman"/>
          <w:i/>
          <w:iCs/>
          <w:lang w:val="fr-CA"/>
        </w:rPr>
        <w:t xml:space="preserve"> </w:t>
      </w:r>
      <w:r w:rsidRPr="00990245">
        <w:rPr>
          <w:rFonts w:cs="Times New Roman"/>
          <w:lang w:val="fr-CA"/>
        </w:rPr>
        <w:t xml:space="preserve">et du </w:t>
      </w:r>
      <w:r w:rsidRPr="00351180">
        <w:rPr>
          <w:rFonts w:cs="Times New Roman"/>
          <w:iCs/>
          <w:lang w:val="fr-CA"/>
        </w:rPr>
        <w:t xml:space="preserve">Règlement </w:t>
      </w:r>
      <w:r w:rsidRPr="00990245">
        <w:rPr>
          <w:rFonts w:cs="Times New Roman"/>
          <w:lang w:val="fr-CA"/>
        </w:rPr>
        <w:t>qui touchent les avocats.</w:t>
      </w:r>
    </w:p>
    <w:p w:rsidR="00CA3D49" w:rsidRPr="00990245" w:rsidRDefault="00CA3D49" w:rsidP="00CA3D49">
      <w:pPr>
        <w:pStyle w:val="Title3LevelTitre3Niveau"/>
        <w:rPr>
          <w:rFonts w:cs="Times New Roman"/>
          <w:lang w:val="fr-CA"/>
        </w:rPr>
      </w:pPr>
      <w:r w:rsidRPr="00990245">
        <w:rPr>
          <w:rFonts w:cs="Times New Roman"/>
          <w:lang w:val="fr-CA"/>
        </w:rPr>
        <w:t>Cueillette de renseignements en vue de vérifier l</w:t>
      </w:r>
      <w:r>
        <w:rPr>
          <w:rFonts w:cs="Times New Roman"/>
          <w:lang w:val="fr-CA"/>
        </w:rPr>
        <w:t>’</w:t>
      </w:r>
      <w:r w:rsidRPr="00990245">
        <w:rPr>
          <w:rFonts w:cs="Times New Roman"/>
          <w:lang w:val="fr-CA"/>
        </w:rPr>
        <w:t xml:space="preserve">identité </w:t>
      </w:r>
    </w:p>
    <w:p w:rsidR="00CA3D49" w:rsidRPr="00990245" w:rsidRDefault="00CA3D49" w:rsidP="00CA3D49">
      <w:pPr>
        <w:pStyle w:val="ParaNoNdepar-AltN"/>
        <w:rPr>
          <w:rFonts w:cs="Times New Roman"/>
          <w:lang w:val="fr-CA"/>
        </w:rPr>
      </w:pPr>
      <w:r w:rsidRPr="00990245">
        <w:rPr>
          <w:rFonts w:cs="Times New Roman"/>
          <w:lang w:val="fr-CA"/>
        </w:rPr>
        <w:t>En ce qui concerne tout d</w:t>
      </w:r>
      <w:r>
        <w:rPr>
          <w:rFonts w:cs="Times New Roman"/>
          <w:lang w:val="fr-CA"/>
        </w:rPr>
        <w:t>’</w:t>
      </w:r>
      <w:r w:rsidRPr="00990245">
        <w:rPr>
          <w:rFonts w:cs="Times New Roman"/>
          <w:lang w:val="fr-CA"/>
        </w:rPr>
        <w:t xml:space="preserve">abord la vérification, la </w:t>
      </w:r>
      <w:r w:rsidRPr="00351180">
        <w:rPr>
          <w:rFonts w:cs="Times New Roman"/>
          <w:iCs/>
          <w:lang w:val="fr-CA"/>
        </w:rPr>
        <w:t>Loi</w:t>
      </w:r>
      <w:r w:rsidRPr="00351180">
        <w:rPr>
          <w:rFonts w:cs="Times New Roman"/>
          <w:lang w:val="fr-CA"/>
        </w:rPr>
        <w:t xml:space="preserve"> </w:t>
      </w:r>
      <w:r w:rsidRPr="00990245">
        <w:rPr>
          <w:rFonts w:cs="Times New Roman"/>
          <w:lang w:val="fr-CA"/>
        </w:rPr>
        <w:t>oblige les avocats à identifier les personnes ou entités pour le compte desquelles ils agissent à titre d</w:t>
      </w:r>
      <w:r>
        <w:rPr>
          <w:rFonts w:cs="Times New Roman"/>
          <w:lang w:val="fr-CA"/>
        </w:rPr>
        <w:t>’</w:t>
      </w:r>
      <w:r w:rsidRPr="00990245">
        <w:rPr>
          <w:rFonts w:cs="Times New Roman"/>
          <w:lang w:val="fr-CA"/>
        </w:rPr>
        <w:t>intermédiaires financiers (art.</w:t>
      </w:r>
      <w:r w:rsidR="00601B6E">
        <w:rPr>
          <w:rFonts w:cs="Times New Roman"/>
          <w:lang w:val="fr-CA"/>
        </w:rPr>
        <w:t xml:space="preserve"> </w:t>
      </w:r>
      <w:r w:rsidRPr="00990245">
        <w:rPr>
          <w:rFonts w:cs="Times New Roman"/>
          <w:lang w:val="fr-CA"/>
        </w:rPr>
        <w:t xml:space="preserve">6.1; </w:t>
      </w:r>
      <w:r w:rsidRPr="00351180">
        <w:rPr>
          <w:rFonts w:cs="Times New Roman"/>
          <w:iCs/>
          <w:lang w:val="fr-CA"/>
        </w:rPr>
        <w:t>Règlement</w:t>
      </w:r>
      <w:r w:rsidRPr="00990245">
        <w:rPr>
          <w:rFonts w:cs="Times New Roman"/>
          <w:lang w:val="fr-CA"/>
        </w:rPr>
        <w:t>,</w:t>
      </w:r>
      <w:r w:rsidRPr="00990245">
        <w:rPr>
          <w:rFonts w:cs="Times New Roman"/>
          <w:iCs/>
          <w:lang w:val="fr-CA"/>
        </w:rPr>
        <w:t xml:space="preserve"> art.</w:t>
      </w:r>
      <w:r w:rsidR="00601B6E">
        <w:rPr>
          <w:rFonts w:cs="Times New Roman"/>
          <w:iCs/>
          <w:lang w:val="fr-CA"/>
        </w:rPr>
        <w:t xml:space="preserve"> </w:t>
      </w:r>
      <w:r w:rsidRPr="00990245">
        <w:rPr>
          <w:rFonts w:cs="Times New Roman"/>
          <w:lang w:val="fr-CA"/>
        </w:rPr>
        <w:t>33.3). En résumé, l</w:t>
      </w:r>
      <w:r>
        <w:rPr>
          <w:rFonts w:cs="Times New Roman"/>
          <w:lang w:val="fr-CA"/>
        </w:rPr>
        <w:t>’</w:t>
      </w:r>
      <w:r w:rsidRPr="00990245">
        <w:rPr>
          <w:rFonts w:cs="Times New Roman"/>
          <w:lang w:val="fr-CA"/>
        </w:rPr>
        <w:t>avocat doit vérifier l</w:t>
      </w:r>
      <w:r>
        <w:rPr>
          <w:rFonts w:cs="Times New Roman"/>
          <w:lang w:val="fr-CA"/>
        </w:rPr>
        <w:t>’</w:t>
      </w:r>
      <w:r w:rsidRPr="00990245">
        <w:rPr>
          <w:rFonts w:cs="Times New Roman"/>
          <w:lang w:val="fr-CA"/>
        </w:rPr>
        <w:t>identité des personnes ou des entités pour lesquelles il reçoit ou paie des fonds qui ne sont pas des honoraires, des débours, des dépenses ou un cautionnement.  Des règles détaillées prévoient la façon de procéder à cette vérification lorsque l</w:t>
      </w:r>
      <w:r>
        <w:rPr>
          <w:rFonts w:cs="Times New Roman"/>
          <w:lang w:val="fr-CA"/>
        </w:rPr>
        <w:t>’</w:t>
      </w:r>
      <w:r w:rsidRPr="00990245">
        <w:rPr>
          <w:rFonts w:cs="Times New Roman"/>
          <w:lang w:val="fr-CA"/>
        </w:rPr>
        <w:t>avocat reçoit 3</w:t>
      </w:r>
      <w:r w:rsidR="00601B6E">
        <w:rPr>
          <w:rFonts w:cs="Times New Roman"/>
          <w:lang w:val="fr-CA"/>
        </w:rPr>
        <w:t xml:space="preserve"> </w:t>
      </w:r>
      <w:r w:rsidRPr="00990245">
        <w:rPr>
          <w:rFonts w:cs="Times New Roman"/>
          <w:lang w:val="fr-CA"/>
        </w:rPr>
        <w:t>000</w:t>
      </w:r>
      <w:r w:rsidR="00601B6E">
        <w:rPr>
          <w:rFonts w:cs="Times New Roman"/>
          <w:lang w:val="fr-CA"/>
        </w:rPr>
        <w:t xml:space="preserve"> </w:t>
      </w:r>
      <w:r w:rsidRPr="00990245">
        <w:rPr>
          <w:rFonts w:cs="Times New Roman"/>
          <w:lang w:val="fr-CA"/>
        </w:rPr>
        <w:t>$ ou plus. En bref, la vérification implique la présentation de documents délivrés par un gouvernement. Les personnes physiques doivent présenter une pièce d</w:t>
      </w:r>
      <w:r>
        <w:rPr>
          <w:rFonts w:cs="Times New Roman"/>
          <w:lang w:val="fr-CA"/>
        </w:rPr>
        <w:t>’</w:t>
      </w:r>
      <w:r w:rsidRPr="00990245">
        <w:rPr>
          <w:rFonts w:cs="Times New Roman"/>
          <w:lang w:val="fr-CA"/>
        </w:rPr>
        <w:t>identité comme leur passeport ou leur permis de conduire. Dans le cas des personnes morales, l</w:t>
      </w:r>
      <w:r>
        <w:rPr>
          <w:rFonts w:cs="Times New Roman"/>
          <w:lang w:val="fr-CA"/>
        </w:rPr>
        <w:t>’</w:t>
      </w:r>
      <w:r w:rsidRPr="00990245">
        <w:rPr>
          <w:rFonts w:cs="Times New Roman"/>
          <w:lang w:val="fr-CA"/>
        </w:rPr>
        <w:t>avocat doit obtenir leur dénomination sociale et leur adresse ainsi que le nom de leurs administrateurs au moyen d</w:t>
      </w:r>
      <w:r>
        <w:rPr>
          <w:rFonts w:cs="Times New Roman"/>
          <w:lang w:val="fr-CA"/>
        </w:rPr>
        <w:t>’</w:t>
      </w:r>
      <w:r w:rsidRPr="00990245">
        <w:rPr>
          <w:rFonts w:cs="Times New Roman"/>
          <w:lang w:val="fr-CA"/>
        </w:rPr>
        <w:t>un document attestant l</w:t>
      </w:r>
      <w:r>
        <w:rPr>
          <w:rFonts w:cs="Times New Roman"/>
          <w:lang w:val="fr-CA"/>
        </w:rPr>
        <w:t>’</w:t>
      </w:r>
      <w:r w:rsidRPr="00990245">
        <w:rPr>
          <w:rFonts w:cs="Times New Roman"/>
          <w:lang w:val="fr-CA"/>
        </w:rPr>
        <w:t>existence de ces personnes morales (</w:t>
      </w:r>
      <w:r w:rsidRPr="00351180">
        <w:rPr>
          <w:rFonts w:cs="Times New Roman"/>
          <w:iCs/>
          <w:lang w:val="fr-CA"/>
        </w:rPr>
        <w:t>Règlement</w:t>
      </w:r>
      <w:r w:rsidRPr="00990245">
        <w:rPr>
          <w:rFonts w:cs="Times New Roman"/>
          <w:lang w:val="fr-CA"/>
        </w:rPr>
        <w:t>, art.</w:t>
      </w:r>
      <w:r w:rsidR="00601B6E">
        <w:rPr>
          <w:rFonts w:cs="Times New Roman"/>
          <w:lang w:val="fr-CA"/>
        </w:rPr>
        <w:t xml:space="preserve"> </w:t>
      </w:r>
      <w:r w:rsidRPr="00990245">
        <w:rPr>
          <w:rFonts w:cs="Times New Roman"/>
          <w:lang w:val="fr-CA"/>
        </w:rPr>
        <w:t>65). L</w:t>
      </w:r>
      <w:r>
        <w:rPr>
          <w:rFonts w:cs="Times New Roman"/>
          <w:lang w:val="fr-CA"/>
        </w:rPr>
        <w:t>’</w:t>
      </w:r>
      <w:r w:rsidRPr="00990245">
        <w:rPr>
          <w:rFonts w:cs="Times New Roman"/>
          <w:lang w:val="fr-CA"/>
        </w:rPr>
        <w:t>identité des autres entités, telles que les sociétés de personnes, est établie par tout document attestant leur existence (</w:t>
      </w:r>
      <w:r w:rsidRPr="00351180">
        <w:rPr>
          <w:rFonts w:cs="Times New Roman"/>
          <w:iCs/>
          <w:lang w:val="fr-CA"/>
        </w:rPr>
        <w:t>Règlement</w:t>
      </w:r>
      <w:r w:rsidRPr="00990245">
        <w:rPr>
          <w:rFonts w:cs="Times New Roman"/>
          <w:lang w:val="fr-CA"/>
        </w:rPr>
        <w:t>,</w:t>
      </w:r>
      <w:r w:rsidRPr="00990245">
        <w:rPr>
          <w:rFonts w:cs="Times New Roman"/>
          <w:i/>
          <w:iCs/>
          <w:lang w:val="fr-CA"/>
        </w:rPr>
        <w:t xml:space="preserve"> </w:t>
      </w:r>
      <w:r w:rsidRPr="00990245">
        <w:rPr>
          <w:rFonts w:cs="Times New Roman"/>
          <w:lang w:val="fr-CA"/>
        </w:rPr>
        <w:t>art.</w:t>
      </w:r>
      <w:r w:rsidR="00601B6E">
        <w:rPr>
          <w:rFonts w:cs="Times New Roman"/>
          <w:lang w:val="fr-CA"/>
        </w:rPr>
        <w:t xml:space="preserve"> </w:t>
      </w:r>
      <w:r w:rsidRPr="00990245">
        <w:rPr>
          <w:rFonts w:cs="Times New Roman"/>
          <w:lang w:val="fr-CA"/>
        </w:rPr>
        <w:t>33.3, 33.4, 59.4 et 64</w:t>
      </w:r>
      <w:r w:rsidR="00351180">
        <w:rPr>
          <w:rFonts w:cs="Times New Roman"/>
          <w:lang w:val="fr-CA"/>
        </w:rPr>
        <w:t xml:space="preserve"> à </w:t>
      </w:r>
      <w:r w:rsidRPr="00990245">
        <w:rPr>
          <w:rFonts w:cs="Times New Roman"/>
          <w:lang w:val="fr-CA"/>
        </w:rPr>
        <w:t xml:space="preserve">67). </w:t>
      </w:r>
    </w:p>
    <w:p w:rsidR="00CA3D49" w:rsidRPr="00990245" w:rsidRDefault="00CA3D49" w:rsidP="00CA3D49">
      <w:pPr>
        <w:pStyle w:val="ParaNoNdepar-AltN"/>
        <w:rPr>
          <w:rFonts w:cs="Times New Roman"/>
          <w:sz w:val="22"/>
          <w:lang w:val="fr-CA" w:eastAsia="fr-CA"/>
        </w:rPr>
      </w:pPr>
      <w:r w:rsidRPr="00990245">
        <w:rPr>
          <w:rFonts w:cs="Times New Roman"/>
          <w:lang w:val="fr-CA"/>
        </w:rPr>
        <w:t>Ce système de vérification oblige également les avocats à recueillir des renseignements qui varient selon que l</w:t>
      </w:r>
      <w:r>
        <w:rPr>
          <w:rFonts w:cs="Times New Roman"/>
          <w:lang w:val="fr-CA"/>
        </w:rPr>
        <w:t>’</w:t>
      </w:r>
      <w:r w:rsidRPr="00990245">
        <w:rPr>
          <w:rFonts w:cs="Times New Roman"/>
          <w:lang w:val="fr-CA"/>
        </w:rPr>
        <w:t>opération est effectuée au nom d</w:t>
      </w:r>
      <w:r>
        <w:rPr>
          <w:rFonts w:cs="Times New Roman"/>
          <w:lang w:val="fr-CA"/>
        </w:rPr>
        <w:t>’</w:t>
      </w:r>
      <w:r w:rsidRPr="00990245">
        <w:rPr>
          <w:rFonts w:cs="Times New Roman"/>
          <w:lang w:val="fr-CA"/>
        </w:rPr>
        <w:t>une personne physique, d</w:t>
      </w:r>
      <w:r>
        <w:rPr>
          <w:rFonts w:cs="Times New Roman"/>
          <w:lang w:val="fr-CA"/>
        </w:rPr>
        <w:t>’</w:t>
      </w:r>
      <w:r w:rsidRPr="00990245">
        <w:rPr>
          <w:rFonts w:cs="Times New Roman"/>
          <w:lang w:val="fr-CA"/>
        </w:rPr>
        <w:t>une personne morale ou d</w:t>
      </w:r>
      <w:r>
        <w:rPr>
          <w:rFonts w:cs="Times New Roman"/>
          <w:lang w:val="fr-CA"/>
        </w:rPr>
        <w:t>’</w:t>
      </w:r>
      <w:r w:rsidRPr="00990245">
        <w:rPr>
          <w:rFonts w:cs="Times New Roman"/>
          <w:lang w:val="fr-CA"/>
        </w:rPr>
        <w:t>une autre entité (</w:t>
      </w:r>
      <w:r w:rsidRPr="00351180">
        <w:rPr>
          <w:rFonts w:cs="Times New Roman"/>
          <w:iCs/>
          <w:lang w:val="fr-CA"/>
        </w:rPr>
        <w:t>Règlement</w:t>
      </w:r>
      <w:r w:rsidRPr="00990245">
        <w:rPr>
          <w:rFonts w:cs="Times New Roman"/>
          <w:lang w:val="fr-CA"/>
        </w:rPr>
        <w:t>,</w:t>
      </w:r>
      <w:r w:rsidRPr="00990245">
        <w:rPr>
          <w:rFonts w:cs="Times New Roman"/>
          <w:i/>
          <w:iCs/>
          <w:lang w:val="fr-CA"/>
        </w:rPr>
        <w:t xml:space="preserve"> </w:t>
      </w:r>
      <w:r w:rsidRPr="00990245">
        <w:rPr>
          <w:rFonts w:cs="Times New Roman"/>
          <w:lang w:val="fr-CA"/>
        </w:rPr>
        <w:t>art.</w:t>
      </w:r>
      <w:r w:rsidR="00601B6E">
        <w:rPr>
          <w:rFonts w:cs="Times New Roman"/>
          <w:lang w:val="fr-CA"/>
        </w:rPr>
        <w:t xml:space="preserve"> </w:t>
      </w:r>
      <w:r w:rsidRPr="00990245">
        <w:rPr>
          <w:rFonts w:cs="Times New Roman"/>
          <w:lang w:val="fr-CA"/>
        </w:rPr>
        <w:t>11.1). Dans le cas d</w:t>
      </w:r>
      <w:r>
        <w:rPr>
          <w:rFonts w:cs="Times New Roman"/>
          <w:lang w:val="fr-CA"/>
        </w:rPr>
        <w:t>’</w:t>
      </w:r>
      <w:r w:rsidRPr="00990245">
        <w:rPr>
          <w:rFonts w:cs="Times New Roman"/>
          <w:lang w:val="fr-CA"/>
        </w:rPr>
        <w:t xml:space="preserve">une personne morale, le nom de tous ses administrateurs, de même que le nom </w:t>
      </w:r>
      <w:r w:rsidRPr="00990245">
        <w:rPr>
          <w:rFonts w:cs="Times New Roman"/>
          <w:lang w:val="fr-CA"/>
        </w:rPr>
        <w:lastRenderedPageBreak/>
        <w:t>et l</w:t>
      </w:r>
      <w:r>
        <w:rPr>
          <w:rFonts w:cs="Times New Roman"/>
          <w:lang w:val="fr-CA"/>
        </w:rPr>
        <w:t>’</w:t>
      </w:r>
      <w:r w:rsidRPr="00990245">
        <w:rPr>
          <w:rFonts w:cs="Times New Roman"/>
          <w:lang w:val="fr-CA"/>
        </w:rPr>
        <w:t>adresse de certains de ses actionnaires, doivent être communiqués (</w:t>
      </w:r>
      <w:r w:rsidRPr="00351180">
        <w:rPr>
          <w:rFonts w:cs="Times New Roman"/>
          <w:iCs/>
          <w:lang w:val="fr-CA"/>
        </w:rPr>
        <w:t>Règlement</w:t>
      </w:r>
      <w:r w:rsidRPr="00990245">
        <w:rPr>
          <w:rFonts w:cs="Times New Roman"/>
          <w:lang w:val="fr-CA"/>
        </w:rPr>
        <w:t>, al.</w:t>
      </w:r>
      <w:r w:rsidR="00601B6E">
        <w:rPr>
          <w:rFonts w:cs="Times New Roman"/>
          <w:lang w:val="fr-CA"/>
        </w:rPr>
        <w:t xml:space="preserve"> </w:t>
      </w:r>
      <w:r w:rsidRPr="00990245">
        <w:rPr>
          <w:rFonts w:cs="Times New Roman"/>
          <w:lang w:val="fr-CA"/>
        </w:rPr>
        <w:t>11.1(1</w:t>
      </w:r>
      <w:proofErr w:type="gramStart"/>
      <w:r w:rsidRPr="00990245">
        <w:rPr>
          <w:rFonts w:cs="Times New Roman"/>
          <w:lang w:val="fr-CA"/>
        </w:rPr>
        <w:t>)</w:t>
      </w:r>
      <w:r w:rsidRPr="00990245">
        <w:rPr>
          <w:rFonts w:cs="Times New Roman"/>
          <w:i/>
          <w:iCs/>
          <w:lang w:val="fr-CA"/>
        </w:rPr>
        <w:t>a</w:t>
      </w:r>
      <w:proofErr w:type="gramEnd"/>
      <w:r w:rsidRPr="00990245">
        <w:rPr>
          <w:rFonts w:cs="Times New Roman"/>
          <w:lang w:val="fr-CA"/>
        </w:rPr>
        <w:t>)). S</w:t>
      </w:r>
      <w:r>
        <w:rPr>
          <w:rFonts w:cs="Times New Roman"/>
          <w:lang w:val="fr-CA"/>
        </w:rPr>
        <w:t>’</w:t>
      </w:r>
      <w:r w:rsidRPr="00990245">
        <w:rPr>
          <w:rFonts w:cs="Times New Roman"/>
          <w:lang w:val="fr-CA"/>
        </w:rPr>
        <w:t>il s</w:t>
      </w:r>
      <w:r>
        <w:rPr>
          <w:rFonts w:cs="Times New Roman"/>
          <w:lang w:val="fr-CA"/>
        </w:rPr>
        <w:t>’</w:t>
      </w:r>
      <w:r w:rsidRPr="00990245">
        <w:rPr>
          <w:rFonts w:cs="Times New Roman"/>
          <w:lang w:val="fr-CA"/>
        </w:rPr>
        <w:t>agit d</w:t>
      </w:r>
      <w:r>
        <w:rPr>
          <w:rFonts w:cs="Times New Roman"/>
          <w:lang w:val="fr-CA"/>
        </w:rPr>
        <w:t>’</w:t>
      </w:r>
      <w:r w:rsidRPr="00990245">
        <w:rPr>
          <w:rFonts w:cs="Times New Roman"/>
          <w:lang w:val="fr-CA"/>
        </w:rPr>
        <w:t>une fiducie, le nom et l</w:t>
      </w:r>
      <w:r>
        <w:rPr>
          <w:rFonts w:cs="Times New Roman"/>
          <w:lang w:val="fr-CA"/>
        </w:rPr>
        <w:t>’</w:t>
      </w:r>
      <w:r w:rsidRPr="00990245">
        <w:rPr>
          <w:rFonts w:cs="Times New Roman"/>
          <w:lang w:val="fr-CA"/>
        </w:rPr>
        <w:t>adresse de tous ses fiduciaires, bénéficiaires et constituants doivent être communiqués (</w:t>
      </w:r>
      <w:r w:rsidRPr="00351180">
        <w:rPr>
          <w:rFonts w:cs="Times New Roman"/>
          <w:iCs/>
          <w:lang w:val="fr-CA"/>
        </w:rPr>
        <w:t>Règlement</w:t>
      </w:r>
      <w:r w:rsidRPr="00990245">
        <w:rPr>
          <w:rFonts w:cs="Times New Roman"/>
          <w:lang w:val="fr-CA"/>
        </w:rPr>
        <w:t>, al.</w:t>
      </w:r>
      <w:r w:rsidR="00601B6E">
        <w:rPr>
          <w:rFonts w:cs="Times New Roman"/>
          <w:lang w:val="fr-CA"/>
        </w:rPr>
        <w:t xml:space="preserve"> </w:t>
      </w:r>
      <w:r w:rsidRPr="00990245">
        <w:rPr>
          <w:rFonts w:cs="Times New Roman"/>
          <w:lang w:val="fr-CA"/>
        </w:rPr>
        <w:t>11.1(1</w:t>
      </w:r>
      <w:proofErr w:type="gramStart"/>
      <w:r w:rsidRPr="00990245">
        <w:rPr>
          <w:rFonts w:cs="Times New Roman"/>
          <w:lang w:val="fr-CA"/>
        </w:rPr>
        <w:t>)</w:t>
      </w:r>
      <w:r w:rsidRPr="00990245">
        <w:rPr>
          <w:rFonts w:cs="Times New Roman"/>
          <w:i/>
          <w:iCs/>
          <w:lang w:val="fr-CA"/>
        </w:rPr>
        <w:t>b</w:t>
      </w:r>
      <w:proofErr w:type="gramEnd"/>
      <w:r w:rsidRPr="00990245">
        <w:rPr>
          <w:rFonts w:cs="Times New Roman"/>
          <w:lang w:val="fr-CA"/>
        </w:rPr>
        <w:t>)). L</w:t>
      </w:r>
      <w:r>
        <w:rPr>
          <w:rFonts w:cs="Times New Roman"/>
          <w:lang w:val="fr-CA"/>
        </w:rPr>
        <w:t>’</w:t>
      </w:r>
      <w:r w:rsidRPr="00990245">
        <w:rPr>
          <w:rFonts w:cs="Times New Roman"/>
          <w:lang w:val="fr-CA"/>
        </w:rPr>
        <w:t xml:space="preserve">avocat doit obtenir </w:t>
      </w:r>
      <w:r w:rsidR="00601B6E">
        <w:rPr>
          <w:rFonts w:cs="Times New Roman"/>
          <w:lang w:val="fr-CA"/>
        </w:rPr>
        <w:t>« </w:t>
      </w:r>
      <w:r w:rsidRPr="00990245">
        <w:rPr>
          <w:rFonts w:cs="Times New Roman"/>
          <w:lang w:val="fr-CA"/>
        </w:rPr>
        <w:t>les renseignements permettant d</w:t>
      </w:r>
      <w:r>
        <w:rPr>
          <w:rFonts w:cs="Times New Roman"/>
          <w:lang w:val="fr-CA"/>
        </w:rPr>
        <w:t>’</w:t>
      </w:r>
      <w:r w:rsidRPr="00990245">
        <w:rPr>
          <w:rFonts w:cs="Times New Roman"/>
          <w:lang w:val="fr-CA"/>
        </w:rPr>
        <w:t>établir la propriété, le contrôle et la structure de l</w:t>
      </w:r>
      <w:r>
        <w:rPr>
          <w:rFonts w:cs="Times New Roman"/>
          <w:lang w:val="fr-CA"/>
        </w:rPr>
        <w:t>’</w:t>
      </w:r>
      <w:r w:rsidRPr="00990245">
        <w:rPr>
          <w:rFonts w:cs="Times New Roman"/>
          <w:lang w:val="fr-CA"/>
        </w:rPr>
        <w:t>entité</w:t>
      </w:r>
      <w:r w:rsidR="00601B6E">
        <w:rPr>
          <w:rFonts w:cs="Times New Roman"/>
          <w:lang w:val="fr-CA"/>
        </w:rPr>
        <w:t> »</w:t>
      </w:r>
      <w:r w:rsidRPr="00990245">
        <w:rPr>
          <w:rFonts w:cs="Times New Roman"/>
          <w:lang w:val="fr-CA"/>
        </w:rPr>
        <w:t xml:space="preserve"> (</w:t>
      </w:r>
      <w:r w:rsidRPr="00351180">
        <w:rPr>
          <w:rFonts w:cs="Times New Roman"/>
          <w:iCs/>
          <w:lang w:val="fr-CA"/>
        </w:rPr>
        <w:t>Règlement</w:t>
      </w:r>
      <w:r w:rsidRPr="00990245">
        <w:rPr>
          <w:rFonts w:cs="Times New Roman"/>
          <w:lang w:val="fr-CA"/>
        </w:rPr>
        <w:t>, al.</w:t>
      </w:r>
      <w:r w:rsidR="00601B6E">
        <w:rPr>
          <w:rFonts w:cs="Times New Roman"/>
          <w:lang w:val="fr-CA"/>
        </w:rPr>
        <w:t xml:space="preserve"> </w:t>
      </w:r>
      <w:r w:rsidRPr="00990245">
        <w:rPr>
          <w:rFonts w:cs="Times New Roman"/>
          <w:lang w:val="fr-CA"/>
        </w:rPr>
        <w:t>11.1(1</w:t>
      </w:r>
      <w:proofErr w:type="gramStart"/>
      <w:r w:rsidRPr="00990245">
        <w:rPr>
          <w:rFonts w:cs="Times New Roman"/>
          <w:lang w:val="fr-CA"/>
        </w:rPr>
        <w:t>)</w:t>
      </w:r>
      <w:r w:rsidRPr="00990245">
        <w:rPr>
          <w:rFonts w:cs="Times New Roman"/>
          <w:i/>
          <w:iCs/>
          <w:lang w:val="fr-CA"/>
        </w:rPr>
        <w:t>d</w:t>
      </w:r>
      <w:proofErr w:type="gramEnd"/>
      <w:r w:rsidRPr="00990245">
        <w:rPr>
          <w:rFonts w:cs="Times New Roman"/>
          <w:lang w:val="fr-CA"/>
        </w:rPr>
        <w:t>)). L</w:t>
      </w:r>
      <w:r>
        <w:rPr>
          <w:rFonts w:cs="Times New Roman"/>
          <w:lang w:val="fr-CA"/>
        </w:rPr>
        <w:t>’</w:t>
      </w:r>
      <w:r w:rsidRPr="00990245">
        <w:rPr>
          <w:rFonts w:cs="Times New Roman"/>
          <w:lang w:val="fr-CA"/>
        </w:rPr>
        <w:t>avocat est tenu de veiller à l</w:t>
      </w:r>
      <w:r>
        <w:rPr>
          <w:rFonts w:cs="Times New Roman"/>
          <w:lang w:val="fr-CA"/>
        </w:rPr>
        <w:t>’</w:t>
      </w:r>
      <w:r w:rsidRPr="00990245">
        <w:rPr>
          <w:rFonts w:cs="Times New Roman"/>
          <w:lang w:val="fr-CA"/>
        </w:rPr>
        <w:t>exactitude des renseignements obtenus (</w:t>
      </w:r>
      <w:r w:rsidRPr="00351180">
        <w:rPr>
          <w:rFonts w:cs="Times New Roman"/>
          <w:iCs/>
          <w:lang w:val="fr-CA"/>
        </w:rPr>
        <w:t>Règlement</w:t>
      </w:r>
      <w:r w:rsidRPr="00990245">
        <w:rPr>
          <w:rFonts w:cs="Times New Roman"/>
          <w:lang w:val="fr-CA"/>
        </w:rPr>
        <w:t>, par.</w:t>
      </w:r>
      <w:r w:rsidR="00601B6E">
        <w:rPr>
          <w:rFonts w:cs="Times New Roman"/>
          <w:lang w:val="fr-CA"/>
        </w:rPr>
        <w:t xml:space="preserve"> </w:t>
      </w:r>
      <w:r w:rsidRPr="00990245">
        <w:rPr>
          <w:rFonts w:cs="Times New Roman"/>
          <w:lang w:val="fr-CA"/>
        </w:rPr>
        <w:t>11.1(3)), et, s</w:t>
      </w:r>
      <w:r>
        <w:rPr>
          <w:rFonts w:cs="Times New Roman"/>
          <w:lang w:val="fr-CA"/>
        </w:rPr>
        <w:t>’</w:t>
      </w:r>
      <w:r w:rsidRPr="00990245">
        <w:rPr>
          <w:rFonts w:cs="Times New Roman"/>
          <w:lang w:val="fr-CA"/>
        </w:rPr>
        <w:t>il n</w:t>
      </w:r>
      <w:r>
        <w:rPr>
          <w:rFonts w:cs="Times New Roman"/>
          <w:lang w:val="fr-CA"/>
        </w:rPr>
        <w:t>’</w:t>
      </w:r>
      <w:r w:rsidRPr="00990245">
        <w:rPr>
          <w:rFonts w:cs="Times New Roman"/>
          <w:lang w:val="fr-CA"/>
        </w:rPr>
        <w:t>est pas en mesure d</w:t>
      </w:r>
      <w:r>
        <w:rPr>
          <w:rFonts w:cs="Times New Roman"/>
          <w:lang w:val="fr-CA"/>
        </w:rPr>
        <w:t>’</w:t>
      </w:r>
      <w:r w:rsidRPr="00990245">
        <w:rPr>
          <w:rFonts w:cs="Times New Roman"/>
          <w:lang w:val="fr-CA"/>
        </w:rPr>
        <w:t>obtenir les renseignements demandés ou d</w:t>
      </w:r>
      <w:r>
        <w:rPr>
          <w:rFonts w:cs="Times New Roman"/>
          <w:lang w:val="fr-CA"/>
        </w:rPr>
        <w:t>’</w:t>
      </w:r>
      <w:r w:rsidRPr="00990245">
        <w:rPr>
          <w:rFonts w:cs="Times New Roman"/>
          <w:lang w:val="fr-CA"/>
        </w:rPr>
        <w:t>en confirmer l</w:t>
      </w:r>
      <w:r>
        <w:rPr>
          <w:rFonts w:cs="Times New Roman"/>
          <w:lang w:val="fr-CA"/>
        </w:rPr>
        <w:t>’</w:t>
      </w:r>
      <w:r w:rsidRPr="00990245">
        <w:rPr>
          <w:rFonts w:cs="Times New Roman"/>
          <w:lang w:val="fr-CA"/>
        </w:rPr>
        <w:t>exactitude, il est assujetti à d</w:t>
      </w:r>
      <w:r>
        <w:rPr>
          <w:rFonts w:cs="Times New Roman"/>
          <w:lang w:val="fr-CA"/>
        </w:rPr>
        <w:t>’</w:t>
      </w:r>
      <w:r w:rsidRPr="00990245">
        <w:rPr>
          <w:rFonts w:cs="Times New Roman"/>
          <w:lang w:val="fr-CA"/>
        </w:rPr>
        <w:t>autres obligations (</w:t>
      </w:r>
      <w:r w:rsidRPr="00351180">
        <w:rPr>
          <w:rFonts w:cs="Times New Roman"/>
          <w:iCs/>
          <w:lang w:val="fr-CA"/>
        </w:rPr>
        <w:t>Règlement</w:t>
      </w:r>
      <w:r w:rsidRPr="00990245">
        <w:rPr>
          <w:rFonts w:cs="Times New Roman"/>
          <w:lang w:val="fr-CA"/>
        </w:rPr>
        <w:t>,</w:t>
      </w:r>
      <w:r w:rsidRPr="00990245">
        <w:rPr>
          <w:rFonts w:cs="Times New Roman"/>
          <w:i/>
          <w:iCs/>
          <w:lang w:val="fr-CA"/>
        </w:rPr>
        <w:t xml:space="preserve"> </w:t>
      </w:r>
      <w:r w:rsidRPr="00990245">
        <w:rPr>
          <w:rFonts w:cs="Times New Roman"/>
          <w:lang w:val="fr-CA"/>
        </w:rPr>
        <w:t>par.</w:t>
      </w:r>
      <w:r w:rsidR="00601B6E">
        <w:rPr>
          <w:rFonts w:cs="Times New Roman"/>
          <w:lang w:val="fr-CA"/>
        </w:rPr>
        <w:t xml:space="preserve"> </w:t>
      </w:r>
      <w:r w:rsidRPr="00990245">
        <w:rPr>
          <w:rFonts w:cs="Times New Roman"/>
          <w:lang w:val="fr-CA"/>
        </w:rPr>
        <w:t>11.1(4)).</w:t>
      </w:r>
    </w:p>
    <w:p w:rsidR="00CA3D49" w:rsidRPr="00990245" w:rsidRDefault="00CA3D49" w:rsidP="00CA3D49">
      <w:pPr>
        <w:pStyle w:val="Title3LevelTitre3Niveau"/>
        <w:rPr>
          <w:rFonts w:cs="Times New Roman"/>
        </w:rPr>
      </w:pPr>
      <w:proofErr w:type="spellStart"/>
      <w:r w:rsidRPr="00990245">
        <w:rPr>
          <w:rFonts w:cs="Times New Roman"/>
        </w:rPr>
        <w:t>Tenue</w:t>
      </w:r>
      <w:proofErr w:type="spellEnd"/>
      <w:r w:rsidRPr="00990245">
        <w:rPr>
          <w:rFonts w:cs="Times New Roman"/>
        </w:rPr>
        <w:t xml:space="preserve"> de documents</w:t>
      </w:r>
    </w:p>
    <w:p w:rsidR="00CA3D49" w:rsidRPr="00990245" w:rsidRDefault="00CA3D49" w:rsidP="00CA3D49">
      <w:pPr>
        <w:pStyle w:val="ParaNoNdepar-AltN"/>
        <w:rPr>
          <w:rFonts w:cs="Times New Roman"/>
          <w:lang w:val="fr-CA"/>
        </w:rPr>
      </w:pPr>
      <w:r w:rsidRPr="00990245">
        <w:rPr>
          <w:rFonts w:cs="Times New Roman"/>
          <w:lang w:val="fr-CA"/>
        </w:rPr>
        <w:t>Selon l</w:t>
      </w:r>
      <w:r>
        <w:rPr>
          <w:rFonts w:cs="Times New Roman"/>
          <w:lang w:val="fr-CA"/>
        </w:rPr>
        <w:t>’</w:t>
      </w:r>
      <w:r w:rsidRPr="00990245">
        <w:rPr>
          <w:rFonts w:cs="Times New Roman"/>
          <w:lang w:val="fr-CA"/>
        </w:rPr>
        <w:t>art</w:t>
      </w:r>
      <w:r w:rsidR="00351180">
        <w:rPr>
          <w:rFonts w:cs="Times New Roman"/>
          <w:lang w:val="fr-CA"/>
        </w:rPr>
        <w:t>.</w:t>
      </w:r>
      <w:r w:rsidR="00601B6E">
        <w:rPr>
          <w:rFonts w:cs="Times New Roman"/>
          <w:lang w:val="fr-CA"/>
        </w:rPr>
        <w:t xml:space="preserve"> </w:t>
      </w:r>
      <w:r w:rsidRPr="00990245">
        <w:rPr>
          <w:rFonts w:cs="Times New Roman"/>
          <w:lang w:val="fr-CA"/>
        </w:rPr>
        <w:t xml:space="preserve">33.4 du </w:t>
      </w:r>
      <w:r w:rsidRPr="00351180">
        <w:rPr>
          <w:rFonts w:cs="Times New Roman"/>
          <w:iCs/>
          <w:lang w:val="fr-CA"/>
        </w:rPr>
        <w:t>Règlement</w:t>
      </w:r>
      <w:r w:rsidRPr="00990245">
        <w:rPr>
          <w:rFonts w:cs="Times New Roman"/>
          <w:iCs/>
          <w:lang w:val="fr-CA"/>
        </w:rPr>
        <w:t xml:space="preserve">, </w:t>
      </w:r>
      <w:r w:rsidRPr="00990245">
        <w:rPr>
          <w:rFonts w:cs="Times New Roman"/>
          <w:lang w:val="fr-CA"/>
        </w:rPr>
        <w:t>l</w:t>
      </w:r>
      <w:r>
        <w:rPr>
          <w:rFonts w:cs="Times New Roman"/>
          <w:lang w:val="fr-CA"/>
        </w:rPr>
        <w:t>’</w:t>
      </w:r>
      <w:r w:rsidRPr="00990245">
        <w:rPr>
          <w:rFonts w:cs="Times New Roman"/>
          <w:lang w:val="fr-CA"/>
        </w:rPr>
        <w:t xml:space="preserve">avocat doit établir un </w:t>
      </w:r>
      <w:r w:rsidR="00601B6E">
        <w:rPr>
          <w:rFonts w:cs="Times New Roman"/>
          <w:lang w:val="fr-CA"/>
        </w:rPr>
        <w:t>« </w:t>
      </w:r>
      <w:r w:rsidRPr="00990245">
        <w:rPr>
          <w:rFonts w:cs="Times New Roman"/>
          <w:lang w:val="fr-CA"/>
        </w:rPr>
        <w:t>relevé de réception de fonds</w:t>
      </w:r>
      <w:r w:rsidR="00601B6E">
        <w:rPr>
          <w:rFonts w:cs="Times New Roman"/>
          <w:lang w:val="fr-CA"/>
        </w:rPr>
        <w:t> »</w:t>
      </w:r>
      <w:r w:rsidRPr="00990245">
        <w:rPr>
          <w:rFonts w:cs="Times New Roman"/>
          <w:lang w:val="fr-CA"/>
        </w:rPr>
        <w:t xml:space="preserve"> à l</w:t>
      </w:r>
      <w:r>
        <w:rPr>
          <w:rFonts w:cs="Times New Roman"/>
          <w:lang w:val="fr-CA"/>
        </w:rPr>
        <w:t>’</w:t>
      </w:r>
      <w:r w:rsidRPr="00990245">
        <w:rPr>
          <w:rFonts w:cs="Times New Roman"/>
          <w:lang w:val="fr-CA"/>
        </w:rPr>
        <w:t>égard de chaque somme de 3</w:t>
      </w:r>
      <w:r w:rsidR="00601B6E">
        <w:rPr>
          <w:rFonts w:cs="Times New Roman"/>
          <w:lang w:val="fr-CA"/>
        </w:rPr>
        <w:t xml:space="preserve"> </w:t>
      </w:r>
      <w:r w:rsidRPr="00990245">
        <w:rPr>
          <w:rFonts w:cs="Times New Roman"/>
          <w:lang w:val="fr-CA"/>
        </w:rPr>
        <w:t>000</w:t>
      </w:r>
      <w:r w:rsidR="00601B6E">
        <w:rPr>
          <w:rFonts w:cs="Times New Roman"/>
          <w:lang w:val="fr-CA"/>
        </w:rPr>
        <w:t xml:space="preserve"> </w:t>
      </w:r>
      <w:r w:rsidRPr="00990245">
        <w:rPr>
          <w:rFonts w:cs="Times New Roman"/>
          <w:lang w:val="fr-CA"/>
        </w:rPr>
        <w:t>$ ou plus qu</w:t>
      </w:r>
      <w:r>
        <w:rPr>
          <w:rFonts w:cs="Times New Roman"/>
          <w:lang w:val="fr-CA"/>
        </w:rPr>
        <w:t>’</w:t>
      </w:r>
      <w:r w:rsidRPr="00990245">
        <w:rPr>
          <w:rFonts w:cs="Times New Roman"/>
          <w:lang w:val="fr-CA"/>
        </w:rPr>
        <w:t>il reçoit au cours d</w:t>
      </w:r>
      <w:r>
        <w:rPr>
          <w:rFonts w:cs="Times New Roman"/>
          <w:lang w:val="fr-CA"/>
        </w:rPr>
        <w:t>’</w:t>
      </w:r>
      <w:r w:rsidRPr="00990245">
        <w:rPr>
          <w:rFonts w:cs="Times New Roman"/>
          <w:lang w:val="fr-CA"/>
        </w:rPr>
        <w:t>une opération, à moins que cette somme ne soit reçue d</w:t>
      </w:r>
      <w:r>
        <w:rPr>
          <w:rFonts w:cs="Times New Roman"/>
          <w:lang w:val="fr-CA"/>
        </w:rPr>
        <w:t>’</w:t>
      </w:r>
      <w:r w:rsidRPr="00990245">
        <w:rPr>
          <w:rFonts w:cs="Times New Roman"/>
          <w:lang w:val="fr-CA"/>
        </w:rPr>
        <w:t>une entité financière ou d</w:t>
      </w:r>
      <w:r>
        <w:rPr>
          <w:rFonts w:cs="Times New Roman"/>
          <w:lang w:val="fr-CA"/>
        </w:rPr>
        <w:t>’</w:t>
      </w:r>
      <w:r w:rsidRPr="00990245">
        <w:rPr>
          <w:rFonts w:cs="Times New Roman"/>
          <w:lang w:val="fr-CA"/>
        </w:rPr>
        <w:t xml:space="preserve">un organisme public. (Les </w:t>
      </w:r>
      <w:r w:rsidR="00601B6E">
        <w:rPr>
          <w:rFonts w:cs="Times New Roman"/>
          <w:lang w:val="fr-CA"/>
        </w:rPr>
        <w:t>« </w:t>
      </w:r>
      <w:r w:rsidRPr="00990245">
        <w:rPr>
          <w:rFonts w:cs="Times New Roman"/>
          <w:lang w:val="fr-CA"/>
        </w:rPr>
        <w:t>fonds</w:t>
      </w:r>
      <w:r w:rsidR="00601B6E">
        <w:rPr>
          <w:rFonts w:cs="Times New Roman"/>
          <w:lang w:val="fr-CA"/>
        </w:rPr>
        <w:t> »</w:t>
      </w:r>
      <w:r w:rsidRPr="00990245">
        <w:rPr>
          <w:rFonts w:cs="Times New Roman"/>
          <w:lang w:val="fr-CA"/>
        </w:rPr>
        <w:t xml:space="preserve"> s</w:t>
      </w:r>
      <w:r>
        <w:rPr>
          <w:rFonts w:cs="Times New Roman"/>
          <w:lang w:val="fr-CA"/>
        </w:rPr>
        <w:t>’</w:t>
      </w:r>
      <w:r w:rsidRPr="00990245">
        <w:rPr>
          <w:rFonts w:cs="Times New Roman"/>
          <w:lang w:val="fr-CA"/>
        </w:rPr>
        <w:t>entendent notamment des espèces, devises ou valeurs mobilières, ou titres négociables ou autres instruments financiers, quelle que soit leur forme (</w:t>
      </w:r>
      <w:r w:rsidRPr="00351180">
        <w:rPr>
          <w:rFonts w:cs="Times New Roman"/>
          <w:iCs/>
          <w:lang w:val="fr-CA"/>
        </w:rPr>
        <w:t>Règlement</w:t>
      </w:r>
      <w:r w:rsidRPr="00990245">
        <w:rPr>
          <w:rFonts w:cs="Times New Roman"/>
          <w:lang w:val="fr-CA"/>
        </w:rPr>
        <w:t>, par.</w:t>
      </w:r>
      <w:r w:rsidR="00601B6E">
        <w:rPr>
          <w:rFonts w:cs="Times New Roman"/>
          <w:lang w:val="fr-CA"/>
        </w:rPr>
        <w:t xml:space="preserve"> </w:t>
      </w:r>
      <w:r w:rsidRPr="00990245">
        <w:rPr>
          <w:rFonts w:cs="Times New Roman"/>
          <w:lang w:val="fr-CA"/>
        </w:rPr>
        <w:t>1(2)</w:t>
      </w:r>
      <w:r w:rsidR="00637528">
        <w:rPr>
          <w:rFonts w:cs="Times New Roman"/>
          <w:lang w:val="fr-CA"/>
        </w:rPr>
        <w:t>)</w:t>
      </w:r>
      <w:r w:rsidR="00351180">
        <w:rPr>
          <w:rFonts w:cs="Times New Roman"/>
          <w:lang w:val="fr-CA"/>
        </w:rPr>
        <w:t>.</w:t>
      </w:r>
      <w:r w:rsidR="00637528">
        <w:rPr>
          <w:rFonts w:cs="Times New Roman"/>
          <w:lang w:val="fr-CA"/>
        </w:rPr>
        <w:t>)</w:t>
      </w:r>
      <w:r w:rsidRPr="00990245">
        <w:rPr>
          <w:rFonts w:cs="Times New Roman"/>
          <w:lang w:val="fr-CA"/>
        </w:rPr>
        <w:t xml:space="preserve"> Parmi les renseignements qui doivent être consignés dans le </w:t>
      </w:r>
      <w:r w:rsidR="00601B6E">
        <w:rPr>
          <w:rFonts w:cs="Times New Roman"/>
          <w:lang w:val="fr-CA"/>
        </w:rPr>
        <w:t>« </w:t>
      </w:r>
      <w:r w:rsidRPr="00990245">
        <w:rPr>
          <w:rFonts w:cs="Times New Roman"/>
          <w:lang w:val="fr-CA"/>
        </w:rPr>
        <w:t>relevé de réception de fonds</w:t>
      </w:r>
      <w:r w:rsidR="00601B6E">
        <w:rPr>
          <w:rFonts w:cs="Times New Roman"/>
          <w:lang w:val="fr-CA"/>
        </w:rPr>
        <w:t> »</w:t>
      </w:r>
      <w:r w:rsidRPr="00990245">
        <w:rPr>
          <w:rFonts w:cs="Times New Roman"/>
          <w:lang w:val="fr-CA"/>
        </w:rPr>
        <w:t>, mentionnons</w:t>
      </w:r>
      <w:r w:rsidR="00601B6E">
        <w:rPr>
          <w:rFonts w:cs="Times New Roman"/>
          <w:lang w:val="fr-CA"/>
        </w:rPr>
        <w:t> :</w:t>
      </w:r>
      <w:r w:rsidRPr="00990245">
        <w:rPr>
          <w:rFonts w:cs="Times New Roman"/>
          <w:lang w:val="fr-CA"/>
        </w:rPr>
        <w:t xml:space="preserve"> le nom, l</w:t>
      </w:r>
      <w:r>
        <w:rPr>
          <w:rFonts w:cs="Times New Roman"/>
          <w:lang w:val="fr-CA"/>
        </w:rPr>
        <w:t>’</w:t>
      </w:r>
      <w:r w:rsidRPr="00990245">
        <w:rPr>
          <w:rFonts w:cs="Times New Roman"/>
          <w:lang w:val="fr-CA" w:eastAsia="fr-CA"/>
        </w:rPr>
        <w:t>adresse, la date de naissance et la nature de l</w:t>
      </w:r>
      <w:r>
        <w:rPr>
          <w:rFonts w:cs="Times New Roman"/>
          <w:lang w:val="fr-CA" w:eastAsia="fr-CA"/>
        </w:rPr>
        <w:t>’</w:t>
      </w:r>
      <w:r w:rsidRPr="00990245">
        <w:rPr>
          <w:rFonts w:cs="Times New Roman"/>
          <w:lang w:val="fr-CA" w:eastAsia="fr-CA"/>
        </w:rPr>
        <w:t>entreprise principale ou de la profession de la personne ou de l</w:t>
      </w:r>
      <w:r>
        <w:rPr>
          <w:rFonts w:cs="Times New Roman"/>
          <w:lang w:val="fr-CA" w:eastAsia="fr-CA"/>
        </w:rPr>
        <w:t>’</w:t>
      </w:r>
      <w:r w:rsidRPr="00990245">
        <w:rPr>
          <w:rFonts w:cs="Times New Roman"/>
          <w:lang w:val="fr-CA" w:eastAsia="fr-CA"/>
        </w:rPr>
        <w:t xml:space="preserve">entité qui remet la somme; </w:t>
      </w:r>
      <w:r w:rsidRPr="00990245">
        <w:rPr>
          <w:rFonts w:cs="Times New Roman"/>
          <w:lang w:val="fr-CA"/>
        </w:rPr>
        <w:t>la date de l</w:t>
      </w:r>
      <w:r>
        <w:rPr>
          <w:rFonts w:cs="Times New Roman"/>
          <w:lang w:val="fr-CA"/>
        </w:rPr>
        <w:t>’</w:t>
      </w:r>
      <w:r w:rsidRPr="00990245">
        <w:rPr>
          <w:rFonts w:cs="Times New Roman"/>
          <w:lang w:val="fr-CA"/>
        </w:rPr>
        <w:t>opération; le numéro de chaque compte touché par l</w:t>
      </w:r>
      <w:r>
        <w:rPr>
          <w:rFonts w:cs="Times New Roman"/>
          <w:lang w:val="fr-CA"/>
        </w:rPr>
        <w:t>’</w:t>
      </w:r>
      <w:r w:rsidRPr="00990245">
        <w:rPr>
          <w:rFonts w:cs="Times New Roman"/>
          <w:lang w:val="fr-CA"/>
        </w:rPr>
        <w:t>opération; le type de ce compte; le nom du titulaire du compte et la devise dans laquelle l</w:t>
      </w:r>
      <w:r>
        <w:rPr>
          <w:rFonts w:cs="Times New Roman"/>
          <w:lang w:val="fr-CA"/>
        </w:rPr>
        <w:t>’</w:t>
      </w:r>
      <w:r w:rsidRPr="00990245">
        <w:rPr>
          <w:rFonts w:cs="Times New Roman"/>
          <w:lang w:val="fr-CA"/>
        </w:rPr>
        <w:t>opération est effectuée; le détail de l</w:t>
      </w:r>
      <w:r>
        <w:rPr>
          <w:rFonts w:cs="Times New Roman"/>
          <w:lang w:val="fr-CA"/>
        </w:rPr>
        <w:t>’</w:t>
      </w:r>
      <w:r w:rsidRPr="00990245">
        <w:rPr>
          <w:rFonts w:cs="Times New Roman"/>
          <w:lang w:val="fr-CA"/>
        </w:rPr>
        <w:t>opération et son objet; la manière dont les fonds ont été reçus s</w:t>
      </w:r>
      <w:r>
        <w:rPr>
          <w:rFonts w:cs="Times New Roman"/>
          <w:lang w:val="fr-CA"/>
        </w:rPr>
        <w:t>’</w:t>
      </w:r>
      <w:r w:rsidRPr="00990245">
        <w:rPr>
          <w:rFonts w:cs="Times New Roman"/>
          <w:lang w:val="fr-CA"/>
        </w:rPr>
        <w:t>il s</w:t>
      </w:r>
      <w:r>
        <w:rPr>
          <w:rFonts w:cs="Times New Roman"/>
          <w:lang w:val="fr-CA"/>
        </w:rPr>
        <w:t>’</w:t>
      </w:r>
      <w:r w:rsidRPr="00990245">
        <w:rPr>
          <w:rFonts w:cs="Times New Roman"/>
          <w:lang w:val="fr-CA"/>
        </w:rPr>
        <w:t xml:space="preserve">agit de fonds reçus en espèces (véhicule blindé, en personne, par courrier, etc.); la somme reçue et la devise en cause </w:t>
      </w:r>
      <w:r w:rsidRPr="00990245">
        <w:rPr>
          <w:rFonts w:cs="Times New Roman"/>
          <w:lang w:val="fr-CA"/>
        </w:rPr>
        <w:lastRenderedPageBreak/>
        <w:t>(</w:t>
      </w:r>
      <w:r w:rsidRPr="00351180">
        <w:rPr>
          <w:rFonts w:cs="Times New Roman"/>
          <w:iCs/>
          <w:lang w:val="fr-CA"/>
        </w:rPr>
        <w:t>Règlement</w:t>
      </w:r>
      <w:r w:rsidRPr="00990245">
        <w:rPr>
          <w:rFonts w:cs="Times New Roman"/>
          <w:lang w:val="fr-CA"/>
        </w:rPr>
        <w:t>, par.</w:t>
      </w:r>
      <w:r w:rsidR="00601B6E">
        <w:rPr>
          <w:rFonts w:cs="Times New Roman"/>
          <w:lang w:val="fr-CA"/>
        </w:rPr>
        <w:t xml:space="preserve"> </w:t>
      </w:r>
      <w:r w:rsidRPr="00990245">
        <w:rPr>
          <w:rFonts w:cs="Times New Roman"/>
          <w:lang w:val="fr-CA"/>
        </w:rPr>
        <w:t>1(2)). Certains renseignements n</w:t>
      </w:r>
      <w:r>
        <w:rPr>
          <w:rFonts w:cs="Times New Roman"/>
          <w:lang w:val="fr-CA"/>
        </w:rPr>
        <w:t>’</w:t>
      </w:r>
      <w:r w:rsidRPr="00990245">
        <w:rPr>
          <w:rFonts w:cs="Times New Roman"/>
          <w:lang w:val="fr-CA"/>
        </w:rPr>
        <w:t>ont pas à être consignés dans ce relevé lorsque les fonds proviennent du compte en fiducie d</w:t>
      </w:r>
      <w:r>
        <w:rPr>
          <w:rFonts w:cs="Times New Roman"/>
          <w:lang w:val="fr-CA"/>
        </w:rPr>
        <w:t>’</w:t>
      </w:r>
      <w:r w:rsidRPr="00990245">
        <w:rPr>
          <w:rFonts w:cs="Times New Roman"/>
          <w:lang w:val="fr-CA"/>
        </w:rPr>
        <w:t>un autre avocat (</w:t>
      </w:r>
      <w:r w:rsidRPr="00351180">
        <w:rPr>
          <w:rFonts w:cs="Times New Roman"/>
          <w:lang w:val="fr-CA"/>
        </w:rPr>
        <w:t>Règlement</w:t>
      </w:r>
      <w:r w:rsidRPr="00990245">
        <w:rPr>
          <w:rFonts w:cs="Times New Roman"/>
          <w:lang w:val="fr-CA"/>
        </w:rPr>
        <w:t>,</w:t>
      </w:r>
      <w:r w:rsidRPr="00990245">
        <w:rPr>
          <w:rFonts w:cs="Times New Roman"/>
          <w:i/>
          <w:lang w:val="fr-CA"/>
        </w:rPr>
        <w:t xml:space="preserve"> </w:t>
      </w:r>
      <w:r w:rsidRPr="00990245">
        <w:rPr>
          <w:rFonts w:cs="Times New Roman"/>
          <w:lang w:val="fr-CA"/>
        </w:rPr>
        <w:t>art.</w:t>
      </w:r>
      <w:r w:rsidR="00601B6E">
        <w:rPr>
          <w:rFonts w:cs="Times New Roman"/>
          <w:lang w:val="fr-CA"/>
        </w:rPr>
        <w:t xml:space="preserve"> </w:t>
      </w:r>
      <w:r w:rsidRPr="00990245">
        <w:rPr>
          <w:rFonts w:cs="Times New Roman"/>
          <w:lang w:val="fr-CA"/>
        </w:rPr>
        <w:t>33.5). L</w:t>
      </w:r>
      <w:r>
        <w:rPr>
          <w:rFonts w:cs="Times New Roman"/>
          <w:lang w:val="fr-CA"/>
        </w:rPr>
        <w:t>’</w:t>
      </w:r>
      <w:r w:rsidRPr="00990245">
        <w:rPr>
          <w:rFonts w:cs="Times New Roman"/>
          <w:lang w:val="fr-CA"/>
        </w:rPr>
        <w:t>article</w:t>
      </w:r>
      <w:r w:rsidR="00601B6E">
        <w:rPr>
          <w:rFonts w:cs="Times New Roman"/>
          <w:lang w:val="fr-CA"/>
        </w:rPr>
        <w:t xml:space="preserve"> </w:t>
      </w:r>
      <w:r w:rsidRPr="00990245">
        <w:rPr>
          <w:rFonts w:cs="Times New Roman"/>
          <w:lang w:val="fr-CA"/>
        </w:rPr>
        <w:t>33.4 exige également, dans le cas d</w:t>
      </w:r>
      <w:r>
        <w:rPr>
          <w:rFonts w:cs="Times New Roman"/>
          <w:lang w:val="fr-CA"/>
        </w:rPr>
        <w:t>’</w:t>
      </w:r>
      <w:r w:rsidRPr="00990245">
        <w:rPr>
          <w:rFonts w:cs="Times New Roman"/>
          <w:lang w:val="fr-CA"/>
        </w:rPr>
        <w:t>une personne morale, que l</w:t>
      </w:r>
      <w:r>
        <w:rPr>
          <w:rFonts w:cs="Times New Roman"/>
          <w:lang w:val="fr-CA"/>
        </w:rPr>
        <w:t>’</w:t>
      </w:r>
      <w:r w:rsidRPr="00990245">
        <w:rPr>
          <w:rFonts w:cs="Times New Roman"/>
          <w:lang w:val="fr-CA"/>
        </w:rPr>
        <w:t>avocat conserve une copie de l</w:t>
      </w:r>
      <w:r>
        <w:rPr>
          <w:rFonts w:cs="Times New Roman"/>
          <w:lang w:val="fr-CA"/>
        </w:rPr>
        <w:t>’</w:t>
      </w:r>
      <w:r w:rsidRPr="00990245">
        <w:rPr>
          <w:rFonts w:cs="Times New Roman"/>
          <w:lang w:val="fr-CA"/>
        </w:rPr>
        <w:t>extrait des registres officiels portant sur le pouvoir de lier la personne morale quant aux opérations effectuées avec l</w:t>
      </w:r>
      <w:r>
        <w:rPr>
          <w:rFonts w:cs="Times New Roman"/>
          <w:lang w:val="fr-CA"/>
        </w:rPr>
        <w:t>’</w:t>
      </w:r>
      <w:r w:rsidRPr="00990245">
        <w:rPr>
          <w:rFonts w:cs="Times New Roman"/>
          <w:lang w:val="fr-CA"/>
        </w:rPr>
        <w:t>avocat.</w:t>
      </w:r>
    </w:p>
    <w:p w:rsidR="00CA3D49" w:rsidRPr="00990245" w:rsidRDefault="00CA3D49" w:rsidP="00CA3D49">
      <w:pPr>
        <w:pStyle w:val="ParaNoNdepar-AltN"/>
        <w:rPr>
          <w:rFonts w:cs="Times New Roman"/>
          <w:lang w:val="fr-CA"/>
        </w:rPr>
      </w:pPr>
      <w:r w:rsidRPr="00990245">
        <w:rPr>
          <w:rFonts w:cs="Times New Roman"/>
          <w:lang w:val="fr-CA"/>
        </w:rPr>
        <w:t>Les documents doivent être conservés pendant au moins cinq ans suivant la conclusion de l</w:t>
      </w:r>
      <w:r>
        <w:rPr>
          <w:rFonts w:cs="Times New Roman"/>
          <w:lang w:val="fr-CA"/>
        </w:rPr>
        <w:t>’</w:t>
      </w:r>
      <w:r w:rsidRPr="00990245">
        <w:rPr>
          <w:rFonts w:cs="Times New Roman"/>
          <w:lang w:val="fr-CA"/>
        </w:rPr>
        <w:t>opération (</w:t>
      </w:r>
      <w:r w:rsidRPr="00351180">
        <w:rPr>
          <w:rFonts w:cs="Times New Roman"/>
          <w:iCs/>
          <w:lang w:val="fr-CA"/>
        </w:rPr>
        <w:t>Règlement</w:t>
      </w:r>
      <w:r w:rsidRPr="00990245">
        <w:rPr>
          <w:rFonts w:cs="Times New Roman"/>
          <w:lang w:val="fr-CA"/>
        </w:rPr>
        <w:t>, art.</w:t>
      </w:r>
      <w:r w:rsidR="00601B6E">
        <w:rPr>
          <w:rFonts w:cs="Times New Roman"/>
          <w:lang w:val="fr-CA"/>
        </w:rPr>
        <w:t xml:space="preserve"> </w:t>
      </w:r>
      <w:r w:rsidRPr="00990245">
        <w:rPr>
          <w:rFonts w:cs="Times New Roman"/>
          <w:lang w:val="fr-CA"/>
        </w:rPr>
        <w:t>68</w:t>
      </w:r>
      <w:r w:rsidR="00351180">
        <w:rPr>
          <w:rFonts w:cs="Times New Roman"/>
          <w:lang w:val="fr-CA"/>
        </w:rPr>
        <w:t xml:space="preserve"> et </w:t>
      </w:r>
      <w:r w:rsidRPr="00990245">
        <w:rPr>
          <w:rFonts w:cs="Times New Roman"/>
          <w:lang w:val="fr-CA"/>
        </w:rPr>
        <w:t xml:space="preserve">69) et, selon le </w:t>
      </w:r>
      <w:r w:rsidRPr="00351180">
        <w:rPr>
          <w:rFonts w:cs="Times New Roman"/>
          <w:lang w:val="fr-CA"/>
        </w:rPr>
        <w:t>Règlement</w:t>
      </w:r>
      <w:r w:rsidRPr="00990245">
        <w:rPr>
          <w:rFonts w:cs="Times New Roman"/>
          <w:lang w:val="fr-CA"/>
        </w:rPr>
        <w:t>, ils doivent l</w:t>
      </w:r>
      <w:r>
        <w:rPr>
          <w:rFonts w:cs="Times New Roman"/>
          <w:lang w:val="fr-CA"/>
        </w:rPr>
        <w:t>’</w:t>
      </w:r>
      <w:r w:rsidRPr="00990245">
        <w:rPr>
          <w:rFonts w:cs="Times New Roman"/>
          <w:lang w:val="fr-CA"/>
        </w:rPr>
        <w:t>être de manière à pouvoir être remis au CANAFE dans les 30</w:t>
      </w:r>
      <w:r w:rsidR="00601B6E">
        <w:rPr>
          <w:rFonts w:cs="Times New Roman"/>
          <w:lang w:val="fr-CA"/>
        </w:rPr>
        <w:t xml:space="preserve"> </w:t>
      </w:r>
      <w:r w:rsidRPr="00990245">
        <w:rPr>
          <w:rFonts w:cs="Times New Roman"/>
          <w:lang w:val="fr-CA"/>
        </w:rPr>
        <w:t>jours d</w:t>
      </w:r>
      <w:r>
        <w:rPr>
          <w:rFonts w:cs="Times New Roman"/>
          <w:lang w:val="fr-CA"/>
        </w:rPr>
        <w:t>’</w:t>
      </w:r>
      <w:r w:rsidRPr="00990245">
        <w:rPr>
          <w:rFonts w:cs="Times New Roman"/>
          <w:lang w:val="fr-CA"/>
        </w:rPr>
        <w:t>une demande à cet effet (art.</w:t>
      </w:r>
      <w:r w:rsidR="00601B6E">
        <w:rPr>
          <w:rFonts w:cs="Times New Roman"/>
          <w:lang w:val="fr-CA"/>
        </w:rPr>
        <w:t xml:space="preserve"> </w:t>
      </w:r>
      <w:r w:rsidRPr="00990245">
        <w:rPr>
          <w:rFonts w:cs="Times New Roman"/>
          <w:lang w:val="fr-CA"/>
        </w:rPr>
        <w:t>70).</w:t>
      </w:r>
    </w:p>
    <w:p w:rsidR="00CA3D49" w:rsidRPr="00990245" w:rsidRDefault="00CA3D49" w:rsidP="00004388">
      <w:pPr>
        <w:pStyle w:val="Title3LevelTitre3Niveau"/>
        <w:numPr>
          <w:ilvl w:val="3"/>
          <w:numId w:val="13"/>
        </w:numPr>
        <w:ind w:left="900" w:hanging="450"/>
        <w:rPr>
          <w:rFonts w:cs="Times New Roman"/>
          <w:lang w:val="fr-CA"/>
        </w:rPr>
      </w:pPr>
      <w:r w:rsidRPr="00990245">
        <w:rPr>
          <w:rFonts w:cs="Times New Roman"/>
          <w:lang w:val="fr-CA"/>
        </w:rPr>
        <w:t>Fouilles, perquisitions et saisies</w:t>
      </w:r>
    </w:p>
    <w:p w:rsidR="00CA3D49" w:rsidRPr="00990245" w:rsidRDefault="00CA3D49" w:rsidP="00CA3D49">
      <w:pPr>
        <w:pStyle w:val="ParaNoNdepar-AltN"/>
        <w:rPr>
          <w:rFonts w:cs="Times New Roman"/>
          <w:lang w:val="fr-CA"/>
        </w:rPr>
      </w:pPr>
      <w:r w:rsidRPr="00990245">
        <w:rPr>
          <w:rFonts w:cs="Times New Roman"/>
          <w:lang w:val="fr-CA"/>
        </w:rPr>
        <w:t>Le CANAFE jouit d</w:t>
      </w:r>
      <w:r>
        <w:rPr>
          <w:rFonts w:cs="Times New Roman"/>
          <w:lang w:val="fr-CA"/>
        </w:rPr>
        <w:t>’</w:t>
      </w:r>
      <w:r w:rsidRPr="00990245">
        <w:rPr>
          <w:rFonts w:cs="Times New Roman"/>
          <w:lang w:val="fr-CA"/>
        </w:rPr>
        <w:t>un accès étendu aux renseignements que les avocats (et d</w:t>
      </w:r>
      <w:r>
        <w:rPr>
          <w:rFonts w:cs="Times New Roman"/>
          <w:lang w:val="fr-CA"/>
        </w:rPr>
        <w:t>’</w:t>
      </w:r>
      <w:r w:rsidRPr="00990245">
        <w:rPr>
          <w:rFonts w:cs="Times New Roman"/>
          <w:lang w:val="fr-CA"/>
        </w:rPr>
        <w:t>autres personnes) ont l</w:t>
      </w:r>
      <w:r>
        <w:rPr>
          <w:rFonts w:cs="Times New Roman"/>
          <w:lang w:val="fr-CA"/>
        </w:rPr>
        <w:t>’</w:t>
      </w:r>
      <w:r w:rsidRPr="00990245">
        <w:rPr>
          <w:rFonts w:cs="Times New Roman"/>
          <w:lang w:val="fr-CA"/>
        </w:rPr>
        <w:t>obligation de recueillir, de consigner et de conserver. Le paragraphe</w:t>
      </w:r>
      <w:r w:rsidR="00601B6E">
        <w:rPr>
          <w:rFonts w:cs="Times New Roman"/>
          <w:lang w:val="fr-CA"/>
        </w:rPr>
        <w:t xml:space="preserve"> </w:t>
      </w:r>
      <w:r w:rsidRPr="00990245">
        <w:rPr>
          <w:rFonts w:cs="Times New Roman"/>
          <w:lang w:val="fr-CA"/>
        </w:rPr>
        <w:t xml:space="preserve">62(1) de la </w:t>
      </w:r>
      <w:r w:rsidRPr="00351180">
        <w:rPr>
          <w:rFonts w:cs="Times New Roman"/>
          <w:iCs/>
          <w:lang w:val="fr-CA"/>
        </w:rPr>
        <w:t>Loi</w:t>
      </w:r>
      <w:r w:rsidRPr="00990245">
        <w:rPr>
          <w:rFonts w:cs="Times New Roman"/>
          <w:lang w:val="fr-CA"/>
        </w:rPr>
        <w:t xml:space="preserve"> autorise le CANAFE à </w:t>
      </w:r>
      <w:r w:rsidR="00601B6E">
        <w:rPr>
          <w:rFonts w:cs="Times New Roman"/>
          <w:lang w:val="fr-CA"/>
        </w:rPr>
        <w:t>« </w:t>
      </w:r>
      <w:r w:rsidRPr="00990245">
        <w:rPr>
          <w:rFonts w:cs="Times New Roman"/>
          <w:lang w:val="fr-CA"/>
        </w:rPr>
        <w:t>examiner les documents et les activités</w:t>
      </w:r>
      <w:r w:rsidR="00601B6E">
        <w:rPr>
          <w:rFonts w:cs="Times New Roman"/>
          <w:lang w:val="fr-CA"/>
        </w:rPr>
        <w:t> »</w:t>
      </w:r>
      <w:r w:rsidRPr="00990245">
        <w:rPr>
          <w:rFonts w:cs="Times New Roman"/>
          <w:lang w:val="fr-CA"/>
        </w:rPr>
        <w:t xml:space="preserve"> de tout avocat, ce qui lui permet notamment de vérifier le contenu des ordinateurs (al.</w:t>
      </w:r>
      <w:r w:rsidR="00601B6E">
        <w:rPr>
          <w:rFonts w:cs="Times New Roman"/>
          <w:lang w:val="fr-CA"/>
        </w:rPr>
        <w:t xml:space="preserve"> </w:t>
      </w:r>
      <w:r w:rsidRPr="00990245">
        <w:rPr>
          <w:rFonts w:cs="Times New Roman"/>
          <w:lang w:val="fr-CA"/>
        </w:rPr>
        <w:t>62(1</w:t>
      </w:r>
      <w:proofErr w:type="gramStart"/>
      <w:r w:rsidRPr="00990245">
        <w:rPr>
          <w:rFonts w:cs="Times New Roman"/>
          <w:lang w:val="fr-CA"/>
        </w:rPr>
        <w:t>)</w:t>
      </w:r>
      <w:r w:rsidRPr="00990245">
        <w:rPr>
          <w:rFonts w:cs="Times New Roman"/>
          <w:i/>
          <w:iCs/>
          <w:lang w:val="fr-CA"/>
        </w:rPr>
        <w:t>b</w:t>
      </w:r>
      <w:proofErr w:type="gramEnd"/>
      <w:r w:rsidRPr="00990245">
        <w:rPr>
          <w:rFonts w:cs="Times New Roman"/>
          <w:lang w:val="fr-CA"/>
        </w:rPr>
        <w:t>)) et d</w:t>
      </w:r>
      <w:r>
        <w:rPr>
          <w:rFonts w:cs="Times New Roman"/>
          <w:lang w:val="fr-CA"/>
        </w:rPr>
        <w:t>’</w:t>
      </w:r>
      <w:r w:rsidRPr="00990245">
        <w:rPr>
          <w:rFonts w:cs="Times New Roman"/>
          <w:lang w:val="fr-CA"/>
        </w:rPr>
        <w:t>imprimer ou de reproduire des documents (al.</w:t>
      </w:r>
      <w:r w:rsidR="00601B6E">
        <w:rPr>
          <w:rFonts w:cs="Times New Roman"/>
          <w:lang w:val="fr-CA"/>
        </w:rPr>
        <w:t xml:space="preserve"> </w:t>
      </w:r>
      <w:r w:rsidRPr="00990245">
        <w:rPr>
          <w:rFonts w:cs="Times New Roman"/>
          <w:lang w:val="fr-CA"/>
        </w:rPr>
        <w:t>62(1)</w:t>
      </w:r>
      <w:r w:rsidRPr="00990245">
        <w:rPr>
          <w:rFonts w:cs="Times New Roman"/>
          <w:i/>
          <w:iCs/>
          <w:lang w:val="fr-CA"/>
        </w:rPr>
        <w:t>c</w:t>
      </w:r>
      <w:r w:rsidRPr="00990245">
        <w:rPr>
          <w:rFonts w:cs="Times New Roman"/>
          <w:lang w:val="fr-CA"/>
        </w:rPr>
        <w:t>)). L</w:t>
      </w:r>
      <w:r>
        <w:rPr>
          <w:rFonts w:cs="Times New Roman"/>
          <w:lang w:val="fr-CA"/>
        </w:rPr>
        <w:t>’</w:t>
      </w:r>
      <w:r w:rsidRPr="00990245">
        <w:rPr>
          <w:rFonts w:cs="Times New Roman"/>
          <w:lang w:val="fr-CA"/>
        </w:rPr>
        <w:t>article</w:t>
      </w:r>
      <w:r w:rsidR="00601B6E">
        <w:rPr>
          <w:rFonts w:cs="Times New Roman"/>
          <w:lang w:val="fr-CA"/>
        </w:rPr>
        <w:t xml:space="preserve"> </w:t>
      </w:r>
      <w:r w:rsidRPr="00990245">
        <w:rPr>
          <w:rFonts w:cs="Times New Roman"/>
          <w:lang w:val="fr-CA"/>
        </w:rPr>
        <w:t xml:space="preserve">63.1 habilite le CANAFE à demander aux avocats de lui fournir des renseignements et il oblige les avocats à obtempérer à cette demande. </w:t>
      </w:r>
    </w:p>
    <w:p w:rsidR="00CA3D49" w:rsidRPr="00990245" w:rsidRDefault="00CA3D49" w:rsidP="00CA3D49">
      <w:pPr>
        <w:pStyle w:val="ParaNoNdepar-AltN"/>
        <w:rPr>
          <w:rFonts w:cs="Times New Roman"/>
          <w:lang w:val="fr-CA"/>
        </w:rPr>
      </w:pPr>
      <w:r w:rsidRPr="00990245">
        <w:rPr>
          <w:rFonts w:cs="Times New Roman"/>
          <w:lang w:val="fr-CA"/>
        </w:rPr>
        <w:t>Le secret professionnel de l</w:t>
      </w:r>
      <w:r>
        <w:rPr>
          <w:rFonts w:cs="Times New Roman"/>
          <w:lang w:val="fr-CA"/>
        </w:rPr>
        <w:t>’</w:t>
      </w:r>
      <w:r w:rsidRPr="00990245">
        <w:rPr>
          <w:rFonts w:cs="Times New Roman"/>
          <w:lang w:val="fr-CA"/>
        </w:rPr>
        <w:t>avocat bénéficie de certaines protections. Lorsqu</w:t>
      </w:r>
      <w:r>
        <w:rPr>
          <w:rFonts w:cs="Times New Roman"/>
          <w:lang w:val="fr-CA"/>
        </w:rPr>
        <w:t>’</w:t>
      </w:r>
      <w:r w:rsidRPr="00990245">
        <w:rPr>
          <w:rFonts w:cs="Times New Roman"/>
          <w:lang w:val="fr-CA"/>
        </w:rPr>
        <w:t>ils fournissent des services juridiques, les avocats ne sont pas assujettis aux obligations de déclaration applicables aux autres professions (</w:t>
      </w:r>
      <w:r w:rsidRPr="00351180">
        <w:rPr>
          <w:rFonts w:cs="Times New Roman"/>
          <w:iCs/>
          <w:lang w:val="fr-CA"/>
        </w:rPr>
        <w:t>Loi</w:t>
      </w:r>
      <w:r w:rsidRPr="00990245">
        <w:rPr>
          <w:rFonts w:cs="Times New Roman"/>
          <w:lang w:val="fr-CA"/>
        </w:rPr>
        <w:t>, art.</w:t>
      </w:r>
      <w:r w:rsidR="00601B6E">
        <w:rPr>
          <w:rFonts w:cs="Times New Roman"/>
          <w:lang w:val="fr-CA"/>
        </w:rPr>
        <w:t xml:space="preserve"> </w:t>
      </w:r>
      <w:r w:rsidRPr="00990245">
        <w:rPr>
          <w:rFonts w:cs="Times New Roman"/>
          <w:lang w:val="fr-CA"/>
        </w:rPr>
        <w:t xml:space="preserve">10.1). La </w:t>
      </w:r>
      <w:r w:rsidRPr="00351180">
        <w:rPr>
          <w:rFonts w:cs="Times New Roman"/>
          <w:iCs/>
          <w:lang w:val="fr-CA"/>
        </w:rPr>
        <w:t>Loi</w:t>
      </w:r>
      <w:r w:rsidRPr="00990245">
        <w:rPr>
          <w:rFonts w:cs="Times New Roman"/>
          <w:lang w:val="fr-CA"/>
        </w:rPr>
        <w:t xml:space="preserve"> </w:t>
      </w:r>
      <w:r w:rsidRPr="00990245">
        <w:rPr>
          <w:rFonts w:cs="Times New Roman"/>
          <w:lang w:val="fr-CA"/>
        </w:rPr>
        <w:lastRenderedPageBreak/>
        <w:t>n</w:t>
      </w:r>
      <w:r>
        <w:rPr>
          <w:rFonts w:cs="Times New Roman"/>
          <w:lang w:val="fr-CA"/>
        </w:rPr>
        <w:t>’</w:t>
      </w:r>
      <w:r w:rsidRPr="00990245">
        <w:rPr>
          <w:rFonts w:cs="Times New Roman"/>
          <w:lang w:val="fr-CA"/>
        </w:rPr>
        <w:t>exige aucunement du conseiller juridique qu</w:t>
      </w:r>
      <w:r>
        <w:rPr>
          <w:rFonts w:cs="Times New Roman"/>
          <w:lang w:val="fr-CA"/>
        </w:rPr>
        <w:t>’</w:t>
      </w:r>
      <w:r w:rsidRPr="00990245">
        <w:rPr>
          <w:rFonts w:cs="Times New Roman"/>
          <w:lang w:val="fr-CA"/>
        </w:rPr>
        <w:t>il divulgue une communication protégée par le secret professionnel de l</w:t>
      </w:r>
      <w:r>
        <w:rPr>
          <w:rFonts w:cs="Times New Roman"/>
          <w:lang w:val="fr-CA"/>
        </w:rPr>
        <w:t>’</w:t>
      </w:r>
      <w:r w:rsidRPr="00990245">
        <w:rPr>
          <w:rFonts w:cs="Times New Roman"/>
          <w:lang w:val="fr-CA"/>
        </w:rPr>
        <w:t>avocat (art.</w:t>
      </w:r>
      <w:r w:rsidR="00601B6E">
        <w:rPr>
          <w:rFonts w:cs="Times New Roman"/>
          <w:lang w:val="fr-CA"/>
        </w:rPr>
        <w:t xml:space="preserve"> </w:t>
      </w:r>
      <w:r w:rsidRPr="00990245">
        <w:rPr>
          <w:rFonts w:cs="Times New Roman"/>
          <w:lang w:val="fr-CA"/>
        </w:rPr>
        <w:t>11). Mais surtout,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64 de la </w:t>
      </w:r>
      <w:r w:rsidRPr="00351180">
        <w:rPr>
          <w:rFonts w:cs="Times New Roman"/>
          <w:iCs/>
          <w:lang w:val="fr-CA"/>
        </w:rPr>
        <w:t>Loi</w:t>
      </w:r>
      <w:r w:rsidRPr="00990245">
        <w:rPr>
          <w:rFonts w:cs="Times New Roman"/>
          <w:i/>
          <w:iCs/>
          <w:lang w:val="fr-CA"/>
        </w:rPr>
        <w:t xml:space="preserve"> </w:t>
      </w:r>
      <w:r w:rsidRPr="00990245">
        <w:rPr>
          <w:rFonts w:cs="Times New Roman"/>
          <w:lang w:val="fr-CA"/>
        </w:rPr>
        <w:t>prévoit un mécanisme empêchant la divulgation de documents protégés au cours d</w:t>
      </w:r>
      <w:r>
        <w:rPr>
          <w:rFonts w:cs="Times New Roman"/>
          <w:lang w:val="fr-CA"/>
        </w:rPr>
        <w:t>’</w:t>
      </w:r>
      <w:r w:rsidRPr="00990245">
        <w:rPr>
          <w:rFonts w:cs="Times New Roman"/>
          <w:lang w:val="fr-CA"/>
        </w:rPr>
        <w:t>une fouille ou d</w:t>
      </w:r>
      <w:r>
        <w:rPr>
          <w:rFonts w:cs="Times New Roman"/>
          <w:lang w:val="fr-CA"/>
        </w:rPr>
        <w:t>’</w:t>
      </w:r>
      <w:r w:rsidRPr="00990245">
        <w:rPr>
          <w:rFonts w:cs="Times New Roman"/>
          <w:lang w:val="fr-CA"/>
        </w:rPr>
        <w:t>une perquisition. Il interdit d</w:t>
      </w:r>
      <w:r>
        <w:rPr>
          <w:rFonts w:cs="Times New Roman"/>
          <w:lang w:val="fr-CA"/>
        </w:rPr>
        <w:t>’</w:t>
      </w:r>
      <w:r w:rsidRPr="00990245">
        <w:rPr>
          <w:rFonts w:cs="Times New Roman"/>
          <w:lang w:val="fr-CA"/>
        </w:rPr>
        <w:t>examiner ou de reproduire un document à l</w:t>
      </w:r>
      <w:r>
        <w:rPr>
          <w:rFonts w:cs="Times New Roman"/>
          <w:lang w:val="fr-CA"/>
        </w:rPr>
        <w:t>’</w:t>
      </w:r>
      <w:r w:rsidRPr="00990245">
        <w:rPr>
          <w:rFonts w:cs="Times New Roman"/>
          <w:lang w:val="fr-CA"/>
        </w:rPr>
        <w:t>égard duquel l</w:t>
      </w:r>
      <w:r>
        <w:rPr>
          <w:rFonts w:cs="Times New Roman"/>
          <w:lang w:val="fr-CA"/>
        </w:rPr>
        <w:t>’</w:t>
      </w:r>
      <w:r w:rsidRPr="00990245">
        <w:rPr>
          <w:rFonts w:cs="Times New Roman"/>
          <w:lang w:val="fr-CA"/>
        </w:rPr>
        <w:t>avocat qui en a possession fait valoir le secret professionnel. Cette disposition oblige toutefois l</w:t>
      </w:r>
      <w:r>
        <w:rPr>
          <w:rFonts w:cs="Times New Roman"/>
          <w:lang w:val="fr-CA"/>
        </w:rPr>
        <w:t>’</w:t>
      </w:r>
      <w:r w:rsidRPr="00990245">
        <w:rPr>
          <w:rFonts w:cs="Times New Roman"/>
          <w:lang w:val="fr-CA"/>
        </w:rPr>
        <w:t>avocat à mettre ce document sous scellés, à le marquer, à le conserver et à revendiquer le secret professionnel devant le tribunal dans un délai de 14</w:t>
      </w:r>
      <w:r w:rsidR="00601B6E">
        <w:rPr>
          <w:rFonts w:cs="Times New Roman"/>
          <w:lang w:val="fr-CA"/>
        </w:rPr>
        <w:t xml:space="preserve"> </w:t>
      </w:r>
      <w:r w:rsidRPr="00990245">
        <w:rPr>
          <w:rFonts w:cs="Times New Roman"/>
          <w:lang w:val="fr-CA"/>
        </w:rPr>
        <w:t>jours. Le CANAFE est habilité par le régime à communiquer aux forces de l</w:t>
      </w:r>
      <w:r>
        <w:rPr>
          <w:rFonts w:cs="Times New Roman"/>
          <w:lang w:val="fr-CA"/>
        </w:rPr>
        <w:t>’</w:t>
      </w:r>
      <w:r w:rsidRPr="00990245">
        <w:rPr>
          <w:rFonts w:cs="Times New Roman"/>
          <w:lang w:val="fr-CA"/>
        </w:rPr>
        <w:t>ordre tout renseignement dont il prend connaissance en vertu des dispositions relatives aux fouilles et aux perquisitions s</w:t>
      </w:r>
      <w:r>
        <w:rPr>
          <w:rFonts w:cs="Times New Roman"/>
          <w:lang w:val="fr-CA"/>
        </w:rPr>
        <w:t>’</w:t>
      </w:r>
      <w:r w:rsidRPr="00990245">
        <w:rPr>
          <w:rFonts w:cs="Times New Roman"/>
          <w:lang w:val="fr-CA"/>
        </w:rPr>
        <w:t>il soupçonne que ces renseignements pourraient être utiles aux fins d</w:t>
      </w:r>
      <w:r>
        <w:rPr>
          <w:rFonts w:cs="Times New Roman"/>
          <w:lang w:val="fr-CA"/>
        </w:rPr>
        <w:t>’</w:t>
      </w:r>
      <w:r w:rsidRPr="00990245">
        <w:rPr>
          <w:rFonts w:cs="Times New Roman"/>
          <w:lang w:val="fr-CA"/>
        </w:rPr>
        <w:t>enquête ou de poursuite relativement à une infraction découlant d</w:t>
      </w:r>
      <w:r>
        <w:rPr>
          <w:rFonts w:cs="Times New Roman"/>
          <w:lang w:val="fr-CA"/>
        </w:rPr>
        <w:t>’</w:t>
      </w:r>
      <w:r w:rsidRPr="00990245">
        <w:rPr>
          <w:rFonts w:cs="Times New Roman"/>
          <w:lang w:val="fr-CA"/>
        </w:rPr>
        <w:t>un manquement aux obligations de vérification ou de tenue de documents (</w:t>
      </w:r>
      <w:r w:rsidRPr="00351180">
        <w:rPr>
          <w:rFonts w:cs="Times New Roman"/>
          <w:iCs/>
          <w:lang w:val="fr-CA"/>
        </w:rPr>
        <w:t>Loi</w:t>
      </w:r>
      <w:r w:rsidRPr="00990245">
        <w:rPr>
          <w:rFonts w:cs="Times New Roman"/>
          <w:iCs/>
          <w:lang w:val="fr-CA"/>
        </w:rPr>
        <w:t>, art.</w:t>
      </w:r>
      <w:r w:rsidR="00601B6E">
        <w:rPr>
          <w:rFonts w:cs="Times New Roman"/>
          <w:iCs/>
          <w:lang w:val="fr-CA"/>
        </w:rPr>
        <w:t xml:space="preserve"> </w:t>
      </w:r>
      <w:r w:rsidRPr="00990245">
        <w:rPr>
          <w:rFonts w:cs="Times New Roman"/>
          <w:iCs/>
          <w:lang w:val="fr-CA"/>
        </w:rPr>
        <w:t>65</w:t>
      </w:r>
      <w:r w:rsidRPr="00990245">
        <w:rPr>
          <w:rFonts w:cs="Times New Roman"/>
          <w:lang w:val="fr-CA"/>
        </w:rPr>
        <w:t>). Aux termes de dispositions modifiées tout récemment, les forces de l</w:t>
      </w:r>
      <w:r>
        <w:rPr>
          <w:rFonts w:cs="Times New Roman"/>
          <w:lang w:val="fr-CA"/>
        </w:rPr>
        <w:t>’</w:t>
      </w:r>
      <w:r w:rsidRPr="00990245">
        <w:rPr>
          <w:rFonts w:cs="Times New Roman"/>
          <w:lang w:val="fr-CA"/>
        </w:rPr>
        <w:t>ordre ne peuvent utiliser ces renseignements que comme preuve d</w:t>
      </w:r>
      <w:r>
        <w:rPr>
          <w:rFonts w:cs="Times New Roman"/>
          <w:lang w:val="fr-CA"/>
        </w:rPr>
        <w:t>’</w:t>
      </w:r>
      <w:r w:rsidRPr="00990245">
        <w:rPr>
          <w:rFonts w:cs="Times New Roman"/>
          <w:lang w:val="fr-CA"/>
        </w:rPr>
        <w:t>un manquement aux obligations de vérification, de conservation et de déclaration prévues à la partie</w:t>
      </w:r>
      <w:r w:rsidR="00601B6E">
        <w:rPr>
          <w:rFonts w:cs="Times New Roman"/>
          <w:lang w:val="fr-CA"/>
        </w:rPr>
        <w:t xml:space="preserve"> </w:t>
      </w:r>
      <w:r w:rsidR="00351180">
        <w:rPr>
          <w:rFonts w:cs="Times New Roman"/>
          <w:lang w:val="fr-CA"/>
        </w:rPr>
        <w:t>1</w:t>
      </w:r>
      <w:r w:rsidRPr="00990245">
        <w:rPr>
          <w:rFonts w:cs="Times New Roman"/>
          <w:lang w:val="fr-CA"/>
        </w:rPr>
        <w:t xml:space="preserve"> de la </w:t>
      </w:r>
      <w:r w:rsidRPr="00351180">
        <w:rPr>
          <w:rFonts w:cs="Times New Roman"/>
          <w:iCs/>
          <w:lang w:val="fr-CA"/>
        </w:rPr>
        <w:t>Loi</w:t>
      </w:r>
      <w:r w:rsidRPr="00990245">
        <w:rPr>
          <w:rFonts w:cs="Times New Roman"/>
          <w:i/>
          <w:iCs/>
          <w:lang w:val="fr-CA"/>
        </w:rPr>
        <w:t xml:space="preserve"> </w:t>
      </w:r>
      <w:r w:rsidRPr="00990245">
        <w:rPr>
          <w:rFonts w:cs="Times New Roman"/>
          <w:lang w:val="fr-CA"/>
        </w:rPr>
        <w:t>ou pour des fins relatives à l</w:t>
      </w:r>
      <w:r>
        <w:rPr>
          <w:rFonts w:cs="Times New Roman"/>
          <w:lang w:val="fr-CA"/>
        </w:rPr>
        <w:t>’</w:t>
      </w:r>
      <w:r w:rsidRPr="00990245">
        <w:rPr>
          <w:rFonts w:cs="Times New Roman"/>
          <w:lang w:val="fr-CA"/>
        </w:rPr>
        <w:t>observation de ces dispositions (par.</w:t>
      </w:r>
      <w:r w:rsidR="00601B6E">
        <w:rPr>
          <w:rFonts w:cs="Times New Roman"/>
          <w:lang w:val="fr-CA"/>
        </w:rPr>
        <w:t xml:space="preserve"> </w:t>
      </w:r>
      <w:r w:rsidRPr="00990245">
        <w:rPr>
          <w:rFonts w:cs="Times New Roman"/>
          <w:lang w:val="fr-CA"/>
        </w:rPr>
        <w:t>65(3)). Enfin,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65.1 de la </w:t>
      </w:r>
      <w:r w:rsidRPr="00351180">
        <w:rPr>
          <w:rFonts w:cs="Times New Roman"/>
          <w:iCs/>
          <w:lang w:val="fr-CA"/>
        </w:rPr>
        <w:t>Loi</w:t>
      </w:r>
      <w:r w:rsidRPr="00990245">
        <w:rPr>
          <w:rFonts w:cs="Times New Roman"/>
          <w:i/>
          <w:iCs/>
          <w:lang w:val="fr-CA"/>
        </w:rPr>
        <w:t xml:space="preserve"> </w:t>
      </w:r>
      <w:r w:rsidRPr="00990245">
        <w:rPr>
          <w:rFonts w:cs="Times New Roman"/>
          <w:lang w:val="fr-CA"/>
        </w:rPr>
        <w:t>permet au CANAFE de divulguer à l</w:t>
      </w:r>
      <w:r>
        <w:rPr>
          <w:rFonts w:cs="Times New Roman"/>
          <w:lang w:val="fr-CA"/>
        </w:rPr>
        <w:t>’</w:t>
      </w:r>
      <w:r w:rsidRPr="00990245">
        <w:rPr>
          <w:rFonts w:cs="Times New Roman"/>
          <w:lang w:val="fr-CA"/>
        </w:rPr>
        <w:t>organisme d</w:t>
      </w:r>
      <w:r>
        <w:rPr>
          <w:rFonts w:cs="Times New Roman"/>
          <w:lang w:val="fr-CA"/>
        </w:rPr>
        <w:t>’</w:t>
      </w:r>
      <w:r w:rsidRPr="00990245">
        <w:rPr>
          <w:rFonts w:cs="Times New Roman"/>
          <w:lang w:val="fr-CA"/>
        </w:rPr>
        <w:t>un État étranger semblable au CANAFE des renseignements permettant d</w:t>
      </w:r>
      <w:r>
        <w:rPr>
          <w:rFonts w:cs="Times New Roman"/>
          <w:lang w:val="fr-CA"/>
        </w:rPr>
        <w:t>’</w:t>
      </w:r>
      <w:r w:rsidRPr="00990245">
        <w:rPr>
          <w:rFonts w:cs="Times New Roman"/>
          <w:lang w:val="fr-CA"/>
        </w:rPr>
        <w:t>assurer la conformité aux obligations de tenue de documents et de vérification.</w:t>
      </w:r>
    </w:p>
    <w:p w:rsidR="00CA3D49" w:rsidRPr="00990245" w:rsidRDefault="00CA3D49" w:rsidP="00004388">
      <w:pPr>
        <w:pStyle w:val="Title3LevelTitre3Niveau"/>
        <w:keepNext/>
        <w:numPr>
          <w:ilvl w:val="3"/>
          <w:numId w:val="14"/>
        </w:numPr>
        <w:ind w:left="900" w:hanging="450"/>
        <w:rPr>
          <w:rFonts w:cs="Times New Roman"/>
          <w:lang w:val="fr-CA"/>
        </w:rPr>
      </w:pPr>
      <w:r w:rsidRPr="00990245">
        <w:rPr>
          <w:rFonts w:cs="Times New Roman"/>
          <w:lang w:val="fr-CA"/>
        </w:rPr>
        <w:lastRenderedPageBreak/>
        <w:t>Les dispositions contestées</w:t>
      </w:r>
    </w:p>
    <w:p w:rsidR="00CA3D49" w:rsidRPr="00990245" w:rsidRDefault="00CA3D49" w:rsidP="00CA3D49">
      <w:pPr>
        <w:pStyle w:val="ParaNoNdepar-AltN"/>
        <w:rPr>
          <w:rFonts w:cs="Times New Roman"/>
          <w:lang w:val="fr-CA"/>
        </w:rPr>
      </w:pPr>
      <w:r w:rsidRPr="00990245">
        <w:rPr>
          <w:rFonts w:cs="Times New Roman"/>
          <w:lang w:val="fr-CA"/>
        </w:rPr>
        <w:t>Il sera utile d</w:t>
      </w:r>
      <w:r>
        <w:rPr>
          <w:rFonts w:cs="Times New Roman"/>
          <w:lang w:val="fr-CA"/>
        </w:rPr>
        <w:t>’</w:t>
      </w:r>
      <w:r w:rsidRPr="00990245">
        <w:rPr>
          <w:rFonts w:cs="Times New Roman"/>
          <w:lang w:val="fr-CA"/>
        </w:rPr>
        <w:t xml:space="preserve">énumérer et de décrire les dispositions contestées. Elles se divisent en deux catégories, </w:t>
      </w:r>
      <w:proofErr w:type="gramStart"/>
      <w:r w:rsidRPr="00990245">
        <w:rPr>
          <w:rFonts w:cs="Times New Roman"/>
          <w:lang w:val="fr-CA"/>
        </w:rPr>
        <w:t>la première</w:t>
      </w:r>
      <w:proofErr w:type="gramEnd"/>
      <w:r w:rsidRPr="00990245">
        <w:rPr>
          <w:rFonts w:cs="Times New Roman"/>
          <w:lang w:val="fr-CA"/>
        </w:rPr>
        <w:t xml:space="preserve"> portant sur la vérification de l</w:t>
      </w:r>
      <w:r>
        <w:rPr>
          <w:rFonts w:cs="Times New Roman"/>
          <w:lang w:val="fr-CA"/>
        </w:rPr>
        <w:t>’</w:t>
      </w:r>
      <w:r w:rsidRPr="00990245">
        <w:rPr>
          <w:rFonts w:cs="Times New Roman"/>
          <w:lang w:val="fr-CA"/>
        </w:rPr>
        <w:t>identité et la tenue de documents et la seconde, sur les fouilles, les perquisitions et les saisies.</w:t>
      </w:r>
    </w:p>
    <w:p w:rsidR="00CA3D49" w:rsidRPr="00990245" w:rsidRDefault="00CA3D49" w:rsidP="00CA3D49">
      <w:pPr>
        <w:pStyle w:val="ParaNoNdepar-AltN"/>
        <w:rPr>
          <w:rFonts w:cs="Times New Roman"/>
          <w:lang w:val="fr-CA"/>
        </w:rPr>
      </w:pPr>
      <w:r w:rsidRPr="00990245">
        <w:rPr>
          <w:rFonts w:cs="Times New Roman"/>
          <w:lang w:val="fr-CA"/>
        </w:rPr>
        <w:t>Les</w:t>
      </w:r>
      <w:r w:rsidRPr="00990245">
        <w:rPr>
          <w:rFonts w:cs="Times New Roman"/>
          <w:i/>
          <w:lang w:val="fr-CA"/>
        </w:rPr>
        <w:t xml:space="preserve"> </w:t>
      </w:r>
      <w:r w:rsidRPr="00990245">
        <w:rPr>
          <w:rFonts w:cs="Times New Roman"/>
          <w:lang w:val="fr-CA"/>
        </w:rPr>
        <w:t>alinéas</w:t>
      </w:r>
      <w:r w:rsidR="00601B6E">
        <w:rPr>
          <w:rFonts w:cs="Times New Roman"/>
          <w:lang w:val="fr-CA"/>
        </w:rPr>
        <w:t xml:space="preserve"> </w:t>
      </w:r>
      <w:r w:rsidRPr="00990245">
        <w:rPr>
          <w:rFonts w:cs="Times New Roman"/>
          <w:lang w:val="fr-CA"/>
        </w:rPr>
        <w:t>5</w:t>
      </w:r>
      <w:r w:rsidRPr="00990245">
        <w:rPr>
          <w:rFonts w:cs="Times New Roman"/>
          <w:i/>
          <w:iCs/>
          <w:lang w:val="fr-CA"/>
        </w:rPr>
        <w:t>i</w:t>
      </w:r>
      <w:r w:rsidRPr="00990245">
        <w:rPr>
          <w:rFonts w:cs="Times New Roman"/>
          <w:lang w:val="fr-CA"/>
        </w:rPr>
        <w:t>)</w:t>
      </w:r>
      <w:r w:rsidRPr="00990245">
        <w:rPr>
          <w:rFonts w:cs="Times New Roman"/>
          <w:i/>
          <w:lang w:val="fr-CA"/>
        </w:rPr>
        <w:t xml:space="preserve"> </w:t>
      </w:r>
      <w:r w:rsidRPr="00990245">
        <w:rPr>
          <w:rFonts w:cs="Times New Roman"/>
          <w:lang w:val="fr-CA"/>
        </w:rPr>
        <w:t>et</w:t>
      </w:r>
      <w:r w:rsidRPr="00990245">
        <w:rPr>
          <w:rFonts w:cs="Times New Roman"/>
          <w:i/>
          <w:lang w:val="fr-CA"/>
        </w:rPr>
        <w:t xml:space="preserve"> </w:t>
      </w:r>
      <w:r w:rsidRPr="00990245">
        <w:rPr>
          <w:rFonts w:cs="Times New Roman"/>
          <w:lang w:val="fr-CA"/>
        </w:rPr>
        <w:t>5</w:t>
      </w:r>
      <w:r w:rsidRPr="00990245">
        <w:rPr>
          <w:rFonts w:cs="Times New Roman"/>
          <w:i/>
          <w:iCs/>
          <w:lang w:val="fr-CA"/>
        </w:rPr>
        <w:t>j</w:t>
      </w:r>
      <w:r w:rsidRPr="00990245">
        <w:rPr>
          <w:rFonts w:cs="Times New Roman"/>
          <w:lang w:val="fr-CA"/>
        </w:rPr>
        <w:t>)</w:t>
      </w:r>
      <w:r w:rsidRPr="00990245">
        <w:rPr>
          <w:rFonts w:cs="Times New Roman"/>
          <w:i/>
          <w:lang w:val="fr-CA"/>
        </w:rPr>
        <w:t xml:space="preserve"> </w:t>
      </w:r>
      <w:r w:rsidRPr="00990245">
        <w:rPr>
          <w:rFonts w:cs="Times New Roman"/>
          <w:lang w:val="fr-CA"/>
        </w:rPr>
        <w:t xml:space="preserve">de la </w:t>
      </w:r>
      <w:r w:rsidRPr="00351180">
        <w:rPr>
          <w:rFonts w:cs="Times New Roman"/>
          <w:iCs/>
          <w:lang w:val="fr-CA"/>
        </w:rPr>
        <w:t>Loi</w:t>
      </w:r>
      <w:r w:rsidRPr="00990245">
        <w:rPr>
          <w:rFonts w:cs="Times New Roman"/>
          <w:iCs/>
          <w:lang w:val="fr-CA"/>
        </w:rPr>
        <w:t xml:space="preserve"> </w:t>
      </w:r>
      <w:r w:rsidRPr="00990245">
        <w:rPr>
          <w:rFonts w:cs="Times New Roman"/>
          <w:lang w:val="fr-CA"/>
        </w:rPr>
        <w:t xml:space="preserve">soumettent les professions mentionnées dans le </w:t>
      </w:r>
      <w:r w:rsidRPr="00351180">
        <w:rPr>
          <w:rFonts w:cs="Times New Roman"/>
          <w:iCs/>
          <w:lang w:val="fr-CA"/>
        </w:rPr>
        <w:t>Règlement</w:t>
      </w:r>
      <w:r w:rsidRPr="00990245">
        <w:rPr>
          <w:rFonts w:cs="Times New Roman"/>
          <w:lang w:val="fr-CA"/>
        </w:rPr>
        <w:t xml:space="preserve"> aux obligations de tenue de documents et de vérification prévues à la partie</w:t>
      </w:r>
      <w:r w:rsidR="00601B6E">
        <w:rPr>
          <w:rFonts w:cs="Times New Roman"/>
          <w:lang w:val="fr-CA"/>
        </w:rPr>
        <w:t xml:space="preserve"> </w:t>
      </w:r>
      <w:r w:rsidR="00351180">
        <w:rPr>
          <w:rFonts w:cs="Times New Roman"/>
          <w:lang w:val="fr-CA"/>
        </w:rPr>
        <w:t>1</w:t>
      </w:r>
      <w:r w:rsidRPr="00990245">
        <w:rPr>
          <w:rFonts w:cs="Times New Roman"/>
          <w:lang w:val="fr-CA"/>
        </w:rPr>
        <w:t xml:space="preserve"> de la </w:t>
      </w:r>
      <w:r w:rsidRPr="00351180">
        <w:rPr>
          <w:rFonts w:cs="Times New Roman"/>
          <w:iCs/>
          <w:lang w:val="fr-CA"/>
        </w:rPr>
        <w:t>Loi</w:t>
      </w:r>
      <w:r w:rsidRPr="00990245">
        <w:rPr>
          <w:rFonts w:cs="Times New Roman"/>
          <w:i/>
          <w:iCs/>
          <w:lang w:val="fr-CA"/>
        </w:rPr>
        <w:t xml:space="preserve">. </w:t>
      </w:r>
      <w:r w:rsidRPr="00990245">
        <w:rPr>
          <w:rFonts w:cs="Times New Roman"/>
          <w:lang w:val="fr-CA"/>
        </w:rPr>
        <w:t>L</w:t>
      </w:r>
      <w:r>
        <w:rPr>
          <w:rFonts w:cs="Times New Roman"/>
          <w:lang w:val="fr-CA"/>
        </w:rPr>
        <w:t>’</w:t>
      </w:r>
      <w:r w:rsidRPr="00990245">
        <w:rPr>
          <w:rFonts w:cs="Times New Roman"/>
          <w:lang w:val="fr-CA"/>
        </w:rPr>
        <w:t>article</w:t>
      </w:r>
      <w:r w:rsidR="00601B6E">
        <w:rPr>
          <w:rFonts w:cs="Times New Roman"/>
          <w:lang w:val="fr-CA"/>
        </w:rPr>
        <w:t xml:space="preserve"> </w:t>
      </w:r>
      <w:r w:rsidRPr="00990245">
        <w:rPr>
          <w:rFonts w:cs="Times New Roman"/>
          <w:lang w:val="fr-CA"/>
        </w:rPr>
        <w:t xml:space="preserve">33.3 du </w:t>
      </w:r>
      <w:r w:rsidRPr="00351180">
        <w:rPr>
          <w:rFonts w:cs="Times New Roman"/>
          <w:iCs/>
          <w:lang w:val="fr-CA"/>
        </w:rPr>
        <w:t>Règlement</w:t>
      </w:r>
      <w:r w:rsidRPr="00990245">
        <w:rPr>
          <w:rFonts w:cs="Times New Roman"/>
          <w:i/>
          <w:iCs/>
          <w:lang w:val="fr-CA"/>
        </w:rPr>
        <w:t xml:space="preserve"> </w:t>
      </w:r>
      <w:r w:rsidRPr="00990245">
        <w:rPr>
          <w:rFonts w:cs="Times New Roman"/>
          <w:lang w:val="fr-CA"/>
        </w:rPr>
        <w:t>assujettit les conseillers juridiques à la partie</w:t>
      </w:r>
      <w:r w:rsidR="00601B6E">
        <w:rPr>
          <w:rFonts w:cs="Times New Roman"/>
          <w:lang w:val="fr-CA"/>
        </w:rPr>
        <w:t xml:space="preserve"> </w:t>
      </w:r>
      <w:r w:rsidR="00351180">
        <w:rPr>
          <w:rFonts w:cs="Times New Roman"/>
          <w:lang w:val="fr-CA"/>
        </w:rPr>
        <w:t>1</w:t>
      </w:r>
      <w:r w:rsidRPr="00990245">
        <w:rPr>
          <w:rFonts w:cs="Times New Roman"/>
          <w:lang w:val="fr-CA"/>
        </w:rPr>
        <w:t xml:space="preserve"> de la </w:t>
      </w:r>
      <w:r w:rsidRPr="00351180">
        <w:rPr>
          <w:rFonts w:cs="Times New Roman"/>
          <w:iCs/>
          <w:lang w:val="fr-CA"/>
        </w:rPr>
        <w:t>Loi</w:t>
      </w:r>
      <w:r w:rsidRPr="00990245">
        <w:rPr>
          <w:rFonts w:cs="Times New Roman"/>
          <w:i/>
          <w:iCs/>
          <w:lang w:val="fr-CA"/>
        </w:rPr>
        <w:t xml:space="preserve"> </w:t>
      </w:r>
      <w:r w:rsidRPr="00990245">
        <w:rPr>
          <w:rFonts w:cs="Times New Roman"/>
          <w:lang w:val="fr-CA"/>
        </w:rPr>
        <w:t>lorsqu</w:t>
      </w:r>
      <w:r>
        <w:rPr>
          <w:rFonts w:cs="Times New Roman"/>
          <w:lang w:val="fr-CA"/>
        </w:rPr>
        <w:t>’</w:t>
      </w:r>
      <w:r w:rsidRPr="00990245">
        <w:rPr>
          <w:rFonts w:cs="Times New Roman"/>
          <w:lang w:val="fr-CA"/>
        </w:rPr>
        <w:t>ils reçoivent ou paient des fonds ou donnent des instructions pour le paiement de fonds (autres que ceux reçus ou payés à titre d</w:t>
      </w:r>
      <w:r>
        <w:rPr>
          <w:rFonts w:cs="Times New Roman"/>
          <w:lang w:val="fr-CA"/>
        </w:rPr>
        <w:t>’</w:t>
      </w:r>
      <w:r w:rsidRPr="00990245">
        <w:rPr>
          <w:rFonts w:cs="Times New Roman"/>
          <w:lang w:val="fr-CA"/>
        </w:rPr>
        <w:t>honoraires, de débours, de dépenses ou de cautionnement ou lorsque le conseiller juridique exerce une de ces activités pour le compte de son employeur). L</w:t>
      </w:r>
      <w:r>
        <w:rPr>
          <w:rFonts w:cs="Times New Roman"/>
          <w:lang w:val="fr-CA"/>
        </w:rPr>
        <w:t>’</w:t>
      </w:r>
      <w:r w:rsidRPr="00990245">
        <w:rPr>
          <w:rFonts w:cs="Times New Roman"/>
          <w:lang w:val="fr-CA"/>
        </w:rPr>
        <w:t>article</w:t>
      </w:r>
      <w:r w:rsidR="00601B6E">
        <w:rPr>
          <w:rFonts w:cs="Times New Roman"/>
          <w:lang w:val="fr-CA"/>
        </w:rPr>
        <w:t xml:space="preserve"> </w:t>
      </w:r>
      <w:r w:rsidRPr="00990245">
        <w:rPr>
          <w:rFonts w:cs="Times New Roman"/>
          <w:lang w:val="fr-CA"/>
        </w:rPr>
        <w:t xml:space="preserve">33.4 du </w:t>
      </w:r>
      <w:r w:rsidRPr="00351180">
        <w:rPr>
          <w:rFonts w:cs="Times New Roman"/>
          <w:iCs/>
          <w:lang w:val="fr-CA"/>
        </w:rPr>
        <w:t>Règlement</w:t>
      </w:r>
      <w:r w:rsidRPr="00990245">
        <w:rPr>
          <w:rFonts w:cs="Times New Roman"/>
          <w:i/>
          <w:iCs/>
          <w:lang w:val="fr-CA"/>
        </w:rPr>
        <w:t xml:space="preserve"> </w:t>
      </w:r>
      <w:r w:rsidRPr="00990245">
        <w:rPr>
          <w:rFonts w:cs="Times New Roman"/>
          <w:lang w:val="fr-CA"/>
        </w:rPr>
        <w:t>précise les obligations en matière de tenue de documents. L</w:t>
      </w:r>
      <w:r>
        <w:rPr>
          <w:rFonts w:cs="Times New Roman"/>
          <w:lang w:val="fr-CA"/>
        </w:rPr>
        <w:t>’</w:t>
      </w:r>
      <w:r w:rsidRPr="00990245">
        <w:rPr>
          <w:rFonts w:cs="Times New Roman"/>
          <w:lang w:val="fr-CA"/>
        </w:rPr>
        <w:t>article 33.5 du Règlement assouplit ces obligations lorsque les fonds proviennent du compte en fiducie d</w:t>
      </w:r>
      <w:r>
        <w:rPr>
          <w:rFonts w:cs="Times New Roman"/>
          <w:lang w:val="fr-CA"/>
        </w:rPr>
        <w:t>’</w:t>
      </w:r>
      <w:r w:rsidRPr="00990245">
        <w:rPr>
          <w:rFonts w:cs="Times New Roman"/>
          <w:lang w:val="fr-CA"/>
        </w:rPr>
        <w:t>un cabinet d</w:t>
      </w:r>
      <w:r>
        <w:rPr>
          <w:rFonts w:cs="Times New Roman"/>
          <w:lang w:val="fr-CA"/>
        </w:rPr>
        <w:t>’</w:t>
      </w:r>
      <w:r w:rsidRPr="00990245">
        <w:rPr>
          <w:rFonts w:cs="Times New Roman"/>
          <w:lang w:val="fr-CA"/>
        </w:rPr>
        <w:t>avocats ou d</w:t>
      </w:r>
      <w:r>
        <w:rPr>
          <w:rFonts w:cs="Times New Roman"/>
          <w:lang w:val="fr-CA"/>
        </w:rPr>
        <w:t>’</w:t>
      </w:r>
      <w:r w:rsidRPr="00990245">
        <w:rPr>
          <w:rFonts w:cs="Times New Roman"/>
          <w:lang w:val="fr-CA"/>
        </w:rPr>
        <w:t>un conseiller juridique. L</w:t>
      </w:r>
      <w:r>
        <w:rPr>
          <w:rFonts w:cs="Times New Roman"/>
          <w:lang w:val="fr-CA"/>
        </w:rPr>
        <w:t>’</w:t>
      </w:r>
      <w:r w:rsidRPr="00990245">
        <w:rPr>
          <w:rFonts w:cs="Times New Roman"/>
          <w:lang w:val="fr-CA"/>
        </w:rPr>
        <w:t>article</w:t>
      </w:r>
      <w:r w:rsidR="00601B6E">
        <w:rPr>
          <w:rFonts w:cs="Times New Roman"/>
          <w:lang w:val="fr-CA"/>
        </w:rPr>
        <w:t xml:space="preserve"> </w:t>
      </w:r>
      <w:r w:rsidRPr="00990245">
        <w:rPr>
          <w:rFonts w:cs="Times New Roman"/>
          <w:lang w:val="fr-CA"/>
        </w:rPr>
        <w:t xml:space="preserve">59.4 du </w:t>
      </w:r>
      <w:r w:rsidRPr="009F4A60">
        <w:rPr>
          <w:rFonts w:cs="Times New Roman"/>
          <w:lang w:val="fr-CA"/>
        </w:rPr>
        <w:t>Règlement</w:t>
      </w:r>
      <w:r w:rsidRPr="00990245">
        <w:rPr>
          <w:rFonts w:cs="Times New Roman"/>
          <w:lang w:val="fr-CA"/>
        </w:rPr>
        <w:t xml:space="preserve"> impose les obligations d</w:t>
      </w:r>
      <w:r>
        <w:rPr>
          <w:rFonts w:cs="Times New Roman"/>
          <w:lang w:val="fr-CA"/>
        </w:rPr>
        <w:t>’</w:t>
      </w:r>
      <w:r w:rsidRPr="00990245">
        <w:rPr>
          <w:rFonts w:cs="Times New Roman"/>
          <w:lang w:val="fr-CA"/>
        </w:rPr>
        <w:t>identification. L</w:t>
      </w:r>
      <w:r>
        <w:rPr>
          <w:rFonts w:cs="Times New Roman"/>
          <w:lang w:val="fr-CA"/>
        </w:rPr>
        <w:t>’</w:t>
      </w:r>
      <w:r w:rsidRPr="00990245">
        <w:rPr>
          <w:rFonts w:cs="Times New Roman"/>
          <w:lang w:val="fr-CA"/>
        </w:rPr>
        <w:t>article</w:t>
      </w:r>
      <w:r w:rsidR="00601B6E">
        <w:rPr>
          <w:rFonts w:cs="Times New Roman"/>
          <w:lang w:val="fr-CA"/>
        </w:rPr>
        <w:t xml:space="preserve"> </w:t>
      </w:r>
      <w:r w:rsidRPr="00990245">
        <w:rPr>
          <w:rFonts w:cs="Times New Roman"/>
          <w:lang w:val="fr-CA"/>
        </w:rPr>
        <w:t xml:space="preserve">11.1 du </w:t>
      </w:r>
      <w:r w:rsidRPr="009F4A60">
        <w:rPr>
          <w:rFonts w:cs="Times New Roman"/>
          <w:iCs/>
          <w:lang w:val="fr-CA"/>
        </w:rPr>
        <w:t>Règlement</w:t>
      </w:r>
      <w:r w:rsidRPr="00990245">
        <w:rPr>
          <w:rFonts w:cs="Times New Roman"/>
          <w:i/>
          <w:iCs/>
          <w:lang w:val="fr-CA"/>
        </w:rPr>
        <w:t xml:space="preserve"> </w:t>
      </w:r>
      <w:r w:rsidRPr="00990245">
        <w:rPr>
          <w:rFonts w:cs="Times New Roman"/>
          <w:lang w:val="fr-CA"/>
        </w:rPr>
        <w:t>énumère les renseignements qui doivent être recueillis et conservés au cours de la vérification de l</w:t>
      </w:r>
      <w:r>
        <w:rPr>
          <w:rFonts w:cs="Times New Roman"/>
          <w:lang w:val="fr-CA"/>
        </w:rPr>
        <w:t>’</w:t>
      </w:r>
      <w:r w:rsidRPr="00990245">
        <w:rPr>
          <w:rFonts w:cs="Times New Roman"/>
          <w:lang w:val="fr-CA"/>
        </w:rPr>
        <w:t xml:space="preserve">identité. </w:t>
      </w:r>
    </w:p>
    <w:p w:rsidR="00CA3D49" w:rsidRPr="00990245" w:rsidRDefault="00CA3D49" w:rsidP="00CA3D49">
      <w:pPr>
        <w:pStyle w:val="ParaNoNdepar-AltN"/>
        <w:rPr>
          <w:rFonts w:cs="Times New Roman"/>
          <w:lang w:val="fr-CA"/>
        </w:rPr>
      </w:pPr>
      <w:r w:rsidRPr="00990245">
        <w:rPr>
          <w:rFonts w:cs="Times New Roman"/>
          <w:lang w:val="fr-CA"/>
        </w:rPr>
        <w:t>Les articles</w:t>
      </w:r>
      <w:r w:rsidR="00601B6E">
        <w:rPr>
          <w:rFonts w:cs="Times New Roman"/>
          <w:lang w:val="fr-CA"/>
        </w:rPr>
        <w:t xml:space="preserve"> </w:t>
      </w:r>
      <w:r w:rsidRPr="00990245">
        <w:rPr>
          <w:rFonts w:cs="Times New Roman"/>
          <w:lang w:val="fr-CA"/>
        </w:rPr>
        <w:t xml:space="preserve">62, 63 et 63.1 de la </w:t>
      </w:r>
      <w:r w:rsidRPr="009F4A60">
        <w:rPr>
          <w:rFonts w:cs="Times New Roman"/>
          <w:iCs/>
          <w:lang w:val="fr-CA"/>
        </w:rPr>
        <w:t>Loi</w:t>
      </w:r>
      <w:r w:rsidRPr="00990245">
        <w:rPr>
          <w:rFonts w:cs="Times New Roman"/>
          <w:lang w:val="fr-CA"/>
        </w:rPr>
        <w:t xml:space="preserve"> confèrent des pouvoirs de fouille, de perquisition et de saisie. L</w:t>
      </w:r>
      <w:r>
        <w:rPr>
          <w:rFonts w:cs="Times New Roman"/>
          <w:lang w:val="fr-CA"/>
        </w:rPr>
        <w:t>’</w:t>
      </w:r>
      <w:r w:rsidRPr="00990245">
        <w:rPr>
          <w:rFonts w:cs="Times New Roman"/>
          <w:lang w:val="fr-CA"/>
        </w:rPr>
        <w:t>article</w:t>
      </w:r>
      <w:r w:rsidR="00601B6E">
        <w:rPr>
          <w:rFonts w:cs="Times New Roman"/>
          <w:lang w:val="fr-CA"/>
        </w:rPr>
        <w:t xml:space="preserve"> </w:t>
      </w:r>
      <w:r w:rsidRPr="00990245">
        <w:rPr>
          <w:rFonts w:cs="Times New Roman"/>
          <w:lang w:val="fr-CA"/>
        </w:rPr>
        <w:t>64, quant à lui, prévoit certaines restrictions à ces pouvoirs dans le cas de documents à l</w:t>
      </w:r>
      <w:r>
        <w:rPr>
          <w:rFonts w:cs="Times New Roman"/>
          <w:lang w:val="fr-CA"/>
        </w:rPr>
        <w:t>’</w:t>
      </w:r>
      <w:r w:rsidRPr="00990245">
        <w:rPr>
          <w:rFonts w:cs="Times New Roman"/>
          <w:lang w:val="fr-CA"/>
        </w:rPr>
        <w:t>égard desquels le secret professionnel de l</w:t>
      </w:r>
      <w:r>
        <w:rPr>
          <w:rFonts w:cs="Times New Roman"/>
          <w:lang w:val="fr-CA"/>
        </w:rPr>
        <w:t>’</w:t>
      </w:r>
      <w:r w:rsidRPr="00990245">
        <w:rPr>
          <w:rFonts w:cs="Times New Roman"/>
          <w:lang w:val="fr-CA"/>
        </w:rPr>
        <w:t>avocat est revendiqué.</w:t>
      </w:r>
    </w:p>
    <w:p w:rsidR="00CA3D49" w:rsidRPr="00990245" w:rsidRDefault="00CA3D49" w:rsidP="00CA3D49">
      <w:pPr>
        <w:pStyle w:val="Title2LevelTitre2Niveau"/>
        <w:rPr>
          <w:rFonts w:cs="Times New Roman"/>
          <w:lang w:val="fr-CA"/>
        </w:rPr>
      </w:pPr>
      <w:r w:rsidRPr="00990245">
        <w:rPr>
          <w:rFonts w:cs="Times New Roman"/>
          <w:lang w:val="fr-CA"/>
        </w:rPr>
        <w:lastRenderedPageBreak/>
        <w:t xml:space="preserve">Historique judiciaire </w:t>
      </w:r>
    </w:p>
    <w:p w:rsidR="00CA3D49" w:rsidRPr="00990245" w:rsidRDefault="00CA3D49" w:rsidP="00CA3D49">
      <w:pPr>
        <w:pStyle w:val="Title3LevelTitre3Niveau"/>
        <w:rPr>
          <w:rFonts w:cs="Times New Roman"/>
          <w:lang w:val="fr-CA"/>
        </w:rPr>
      </w:pPr>
      <w:r w:rsidRPr="00990245">
        <w:rPr>
          <w:rFonts w:cs="Times New Roman"/>
          <w:lang w:val="fr-CA"/>
        </w:rPr>
        <w:t xml:space="preserve">La </w:t>
      </w:r>
      <w:proofErr w:type="spellStart"/>
      <w:r w:rsidRPr="00990245">
        <w:rPr>
          <w:rFonts w:cs="Times New Roman"/>
        </w:rPr>
        <w:t>procédure</w:t>
      </w:r>
      <w:proofErr w:type="spellEnd"/>
    </w:p>
    <w:p w:rsidR="00CA3D49" w:rsidRPr="00990245" w:rsidRDefault="00CA3D49" w:rsidP="00A8558F">
      <w:pPr>
        <w:pStyle w:val="Title4LevelTitre4Niveau"/>
        <w:tabs>
          <w:tab w:val="clear" w:pos="1296"/>
          <w:tab w:val="num" w:pos="900"/>
        </w:tabs>
        <w:ind w:left="900" w:hanging="450"/>
        <w:rPr>
          <w:lang w:val="fr-CA"/>
        </w:rPr>
      </w:pPr>
      <w:proofErr w:type="spellStart"/>
      <w:r w:rsidRPr="00990245">
        <w:t>Contexte</w:t>
      </w:r>
      <w:proofErr w:type="spellEnd"/>
    </w:p>
    <w:p w:rsidR="00CA3D49" w:rsidRPr="00990245" w:rsidRDefault="00CA3D49" w:rsidP="00EC7A35">
      <w:pPr>
        <w:pStyle w:val="ParaNoNdepar-AltN"/>
        <w:tabs>
          <w:tab w:val="left" w:pos="6660"/>
        </w:tabs>
        <w:rPr>
          <w:rFonts w:cs="Times New Roman"/>
          <w:lang w:val="fr-CA"/>
        </w:rPr>
      </w:pPr>
      <w:r w:rsidRPr="00990245">
        <w:rPr>
          <w:rFonts w:cs="Times New Roman"/>
          <w:lang w:val="fr-CA"/>
        </w:rPr>
        <w:t xml:space="preserve">Les avocats sont assujettis à la </w:t>
      </w:r>
      <w:r w:rsidRPr="009F4A60">
        <w:rPr>
          <w:rFonts w:cs="Times New Roman"/>
          <w:iCs/>
          <w:lang w:val="fr-CA"/>
        </w:rPr>
        <w:t>Loi</w:t>
      </w:r>
      <w:r w:rsidRPr="00990245">
        <w:rPr>
          <w:rFonts w:cs="Times New Roman"/>
          <w:lang w:val="fr-CA"/>
        </w:rPr>
        <w:t xml:space="preserve"> depuis 2001, lorsqu</w:t>
      </w:r>
      <w:r>
        <w:rPr>
          <w:rFonts w:cs="Times New Roman"/>
          <w:lang w:val="fr-CA"/>
        </w:rPr>
        <w:t>’</w:t>
      </w:r>
      <w:r w:rsidRPr="00990245">
        <w:rPr>
          <w:rFonts w:cs="Times New Roman"/>
          <w:lang w:val="fr-CA"/>
        </w:rPr>
        <w:t>on leur a imposé l</w:t>
      </w:r>
      <w:r>
        <w:rPr>
          <w:rFonts w:cs="Times New Roman"/>
          <w:lang w:val="fr-CA"/>
        </w:rPr>
        <w:t>’</w:t>
      </w:r>
      <w:r w:rsidRPr="00990245">
        <w:rPr>
          <w:rFonts w:cs="Times New Roman"/>
          <w:lang w:val="fr-CA"/>
        </w:rPr>
        <w:t xml:space="preserve">obligation de déclarer au CANAFE toute </w:t>
      </w:r>
      <w:r w:rsidR="00601B6E">
        <w:rPr>
          <w:rFonts w:cs="Times New Roman"/>
          <w:lang w:val="fr-CA"/>
        </w:rPr>
        <w:t>« </w:t>
      </w:r>
      <w:r w:rsidRPr="00990245">
        <w:rPr>
          <w:rFonts w:cs="Times New Roman"/>
          <w:iCs/>
          <w:lang w:val="fr-CA"/>
        </w:rPr>
        <w:t>opération douteuse</w:t>
      </w:r>
      <w:r w:rsidR="00601B6E">
        <w:rPr>
          <w:rFonts w:cs="Times New Roman"/>
          <w:iCs/>
          <w:lang w:val="fr-CA"/>
        </w:rPr>
        <w:t> »</w:t>
      </w:r>
      <w:r w:rsidRPr="00990245">
        <w:rPr>
          <w:rFonts w:cs="Times New Roman"/>
          <w:i/>
          <w:iCs/>
          <w:lang w:val="fr-CA"/>
        </w:rPr>
        <w:t xml:space="preserve"> </w:t>
      </w:r>
      <w:r w:rsidRPr="00990245">
        <w:rPr>
          <w:rFonts w:cs="Times New Roman"/>
          <w:lang w:val="fr-CA"/>
        </w:rPr>
        <w:t>impliquant leurs clients (art.</w:t>
      </w:r>
      <w:r w:rsidR="00601B6E">
        <w:rPr>
          <w:rFonts w:cs="Times New Roman"/>
          <w:lang w:val="fr-CA"/>
        </w:rPr>
        <w:t xml:space="preserve"> </w:t>
      </w:r>
      <w:r w:rsidRPr="00990245">
        <w:rPr>
          <w:rFonts w:cs="Times New Roman"/>
          <w:lang w:val="fr-CA"/>
        </w:rPr>
        <w:t>7). La Fédération</w:t>
      </w:r>
      <w:r w:rsidR="00DB291F">
        <w:rPr>
          <w:rFonts w:cs="Times New Roman"/>
          <w:lang w:val="fr-CA"/>
        </w:rPr>
        <w:t xml:space="preserve"> de même que plusieurs barreaux</w:t>
      </w:r>
      <w:r w:rsidRPr="00990245">
        <w:rPr>
          <w:rFonts w:cs="Times New Roman"/>
          <w:lang w:val="fr-CA"/>
        </w:rPr>
        <w:t xml:space="preserve"> ont donc attaqué la constitutionnalité de la </w:t>
      </w:r>
      <w:r w:rsidRPr="009F4A60">
        <w:rPr>
          <w:rFonts w:cs="Times New Roman"/>
          <w:iCs/>
          <w:lang w:val="fr-CA"/>
        </w:rPr>
        <w:t>Loi</w:t>
      </w:r>
      <w:r w:rsidRPr="00990245">
        <w:rPr>
          <w:rFonts w:cs="Times New Roman"/>
          <w:i/>
          <w:iCs/>
          <w:lang w:val="fr-CA"/>
        </w:rPr>
        <w:t xml:space="preserve">. </w:t>
      </w:r>
      <w:r w:rsidRPr="00990245">
        <w:rPr>
          <w:rFonts w:cs="Times New Roman"/>
          <w:lang w:val="fr-CA"/>
        </w:rPr>
        <w:t>En 2002, le procureur général a conclu avec la Fédération une entente facilitant les contestations constitutionnelles au moyen d</w:t>
      </w:r>
      <w:r>
        <w:rPr>
          <w:rFonts w:cs="Times New Roman"/>
          <w:lang w:val="fr-CA"/>
        </w:rPr>
        <w:t>’</w:t>
      </w:r>
      <w:r w:rsidRPr="00990245">
        <w:rPr>
          <w:rFonts w:cs="Times New Roman"/>
          <w:lang w:val="fr-CA"/>
        </w:rPr>
        <w:t xml:space="preserve">une </w:t>
      </w:r>
      <w:r w:rsidR="00EC7A35">
        <w:rPr>
          <w:rFonts w:cs="Times New Roman"/>
          <w:lang w:val="fr-CA"/>
        </w:rPr>
        <w:t>[</w:t>
      </w:r>
      <w:r w:rsidR="00EC7A35" w:rsidRPr="00EC7A35">
        <w:rPr>
          <w:rFonts w:cs="Times New Roman"/>
          <w:smallCaps/>
          <w:lang w:val="fr-CA"/>
        </w:rPr>
        <w:t>traduction</w:t>
      </w:r>
      <w:r w:rsidR="00EC7A35">
        <w:rPr>
          <w:rFonts w:cs="Times New Roman"/>
          <w:lang w:val="fr-CA"/>
        </w:rPr>
        <w:t xml:space="preserve">] </w:t>
      </w:r>
      <w:r w:rsidR="00601B6E">
        <w:rPr>
          <w:rFonts w:cs="Times New Roman"/>
          <w:lang w:val="fr-CA"/>
        </w:rPr>
        <w:t>« </w:t>
      </w:r>
      <w:r w:rsidRPr="00990245">
        <w:rPr>
          <w:rFonts w:cs="Times New Roman"/>
          <w:lang w:val="fr-CA"/>
        </w:rPr>
        <w:t>cause type [nationale] devant avoir force obligatoire</w:t>
      </w:r>
      <w:r w:rsidR="00601B6E">
        <w:rPr>
          <w:rFonts w:cs="Times New Roman"/>
          <w:lang w:val="fr-CA"/>
        </w:rPr>
        <w:t> »</w:t>
      </w:r>
      <w:r w:rsidRPr="00990245">
        <w:rPr>
          <w:rFonts w:cs="Times New Roman"/>
          <w:lang w:val="fr-CA"/>
        </w:rPr>
        <w:t xml:space="preserve"> devant les tribunaux de la Colombie</w:t>
      </w:r>
      <w:r w:rsidR="00601B6E">
        <w:rPr>
          <w:rFonts w:cs="Times New Roman"/>
          <w:lang w:val="fr-CA"/>
        </w:rPr>
        <w:t>-</w:t>
      </w:r>
      <w:r w:rsidRPr="00990245">
        <w:rPr>
          <w:rFonts w:cs="Times New Roman"/>
          <w:lang w:val="fr-CA"/>
        </w:rPr>
        <w:t xml:space="preserve">Britannique. Des injonctions interlocutoires empêchent présentement la </w:t>
      </w:r>
      <w:r w:rsidRPr="00EC7A35">
        <w:rPr>
          <w:rFonts w:cs="Times New Roman"/>
          <w:iCs/>
          <w:lang w:val="fr-CA"/>
        </w:rPr>
        <w:t>Loi</w:t>
      </w:r>
      <w:r w:rsidRPr="00990245">
        <w:rPr>
          <w:rFonts w:cs="Times New Roman"/>
          <w:i/>
          <w:iCs/>
          <w:lang w:val="fr-CA"/>
        </w:rPr>
        <w:t xml:space="preserve"> </w:t>
      </w:r>
      <w:r w:rsidRPr="00990245">
        <w:rPr>
          <w:rFonts w:cs="Times New Roman"/>
          <w:lang w:val="fr-CA"/>
        </w:rPr>
        <w:t>de s</w:t>
      </w:r>
      <w:r>
        <w:rPr>
          <w:rFonts w:cs="Times New Roman"/>
          <w:lang w:val="fr-CA"/>
        </w:rPr>
        <w:t>’</w:t>
      </w:r>
      <w:r w:rsidRPr="00990245">
        <w:rPr>
          <w:rFonts w:cs="Times New Roman"/>
          <w:lang w:val="fr-CA"/>
        </w:rPr>
        <w:t>appliquer aux avocats. Par conséquent, en attendant l</w:t>
      </w:r>
      <w:r>
        <w:rPr>
          <w:rFonts w:cs="Times New Roman"/>
          <w:lang w:val="fr-CA"/>
        </w:rPr>
        <w:t>’</w:t>
      </w:r>
      <w:r w:rsidRPr="00990245">
        <w:rPr>
          <w:rFonts w:cs="Times New Roman"/>
          <w:lang w:val="fr-CA"/>
        </w:rPr>
        <w:t>issue de l</w:t>
      </w:r>
      <w:r>
        <w:rPr>
          <w:rFonts w:cs="Times New Roman"/>
          <w:lang w:val="fr-CA"/>
        </w:rPr>
        <w:t>’</w:t>
      </w:r>
      <w:r w:rsidRPr="00990245">
        <w:rPr>
          <w:rFonts w:cs="Times New Roman"/>
          <w:lang w:val="fr-CA"/>
        </w:rPr>
        <w:t>affaire, aucune des dispositions du régime réprimant le recyclage des produits de la criminalité n</w:t>
      </w:r>
      <w:r>
        <w:rPr>
          <w:rFonts w:cs="Times New Roman"/>
          <w:lang w:val="fr-CA"/>
        </w:rPr>
        <w:t>’</w:t>
      </w:r>
      <w:r w:rsidRPr="00990245">
        <w:rPr>
          <w:rFonts w:cs="Times New Roman"/>
          <w:lang w:val="fr-CA"/>
        </w:rPr>
        <w:t xml:space="preserve">a été </w:t>
      </w:r>
      <w:proofErr w:type="gramStart"/>
      <w:r w:rsidRPr="00990245">
        <w:rPr>
          <w:rFonts w:cs="Times New Roman"/>
          <w:lang w:val="fr-CA"/>
        </w:rPr>
        <w:t>appliquée</w:t>
      </w:r>
      <w:proofErr w:type="gramEnd"/>
      <w:r w:rsidRPr="00990245">
        <w:rPr>
          <w:rFonts w:cs="Times New Roman"/>
          <w:lang w:val="fr-CA"/>
        </w:rPr>
        <w:t xml:space="preserve"> à l</w:t>
      </w:r>
      <w:r>
        <w:rPr>
          <w:rFonts w:cs="Times New Roman"/>
          <w:lang w:val="fr-CA"/>
        </w:rPr>
        <w:t>’</w:t>
      </w:r>
      <w:r w:rsidRPr="00990245">
        <w:rPr>
          <w:rFonts w:cs="Times New Roman"/>
          <w:lang w:val="fr-CA"/>
        </w:rPr>
        <w:t>encontre des avocats. Dans l</w:t>
      </w:r>
      <w:r>
        <w:rPr>
          <w:rFonts w:cs="Times New Roman"/>
          <w:lang w:val="fr-CA"/>
        </w:rPr>
        <w:t>’</w:t>
      </w:r>
      <w:r w:rsidRPr="00990245">
        <w:rPr>
          <w:rFonts w:cs="Times New Roman"/>
          <w:lang w:val="fr-CA"/>
        </w:rPr>
        <w:t>intervalle, la Fédération a encouragé les barreaux des provinces et des territoires canadiens à adopter des règles interdisant aux avocats de procéder à des opérations impliquant d</w:t>
      </w:r>
      <w:r>
        <w:rPr>
          <w:rFonts w:cs="Times New Roman"/>
          <w:lang w:val="fr-CA"/>
        </w:rPr>
        <w:t>’</w:t>
      </w:r>
      <w:r w:rsidRPr="00990245">
        <w:rPr>
          <w:rFonts w:cs="Times New Roman"/>
          <w:lang w:val="fr-CA"/>
        </w:rPr>
        <w:t>importantes sommes d</w:t>
      </w:r>
      <w:r>
        <w:rPr>
          <w:rFonts w:cs="Times New Roman"/>
          <w:lang w:val="fr-CA"/>
        </w:rPr>
        <w:t>’</w:t>
      </w:r>
      <w:r w:rsidRPr="00990245">
        <w:rPr>
          <w:rFonts w:cs="Times New Roman"/>
          <w:lang w:val="fr-CA"/>
        </w:rPr>
        <w:t>argent et les obligeant à prendre des mesures pour identifier leurs clients, vérifier leur identité et tenir des documents lorsqu</w:t>
      </w:r>
      <w:r>
        <w:rPr>
          <w:rFonts w:cs="Times New Roman"/>
          <w:lang w:val="fr-CA"/>
        </w:rPr>
        <w:t>’</w:t>
      </w:r>
      <w:r w:rsidRPr="00990245">
        <w:rPr>
          <w:rFonts w:cs="Times New Roman"/>
          <w:lang w:val="fr-CA"/>
        </w:rPr>
        <w:t xml:space="preserve">ils effectuent certaines opérations financières pour le compte de leurs clients. </w:t>
      </w:r>
    </w:p>
    <w:p w:rsidR="00CA3D49" w:rsidRPr="00990245" w:rsidRDefault="00CA3D49" w:rsidP="00CA3D49">
      <w:pPr>
        <w:pStyle w:val="ParaNoNdepar-AltN"/>
        <w:rPr>
          <w:rFonts w:cs="Times New Roman"/>
          <w:lang w:val="fr-CA"/>
        </w:rPr>
      </w:pPr>
      <w:r w:rsidRPr="00990245">
        <w:rPr>
          <w:rFonts w:cs="Times New Roman"/>
          <w:lang w:val="fr-CA"/>
        </w:rPr>
        <w:t xml:space="preserve">Le procureur général affirme que ces mesures sont insuffisantes pour contrer le recyclage des produits de la criminalité et le financement des activités </w:t>
      </w:r>
      <w:r w:rsidRPr="00990245">
        <w:rPr>
          <w:rFonts w:cs="Times New Roman"/>
          <w:lang w:val="fr-CA"/>
        </w:rPr>
        <w:lastRenderedPageBreak/>
        <w:t>terroristes. Selon lui, il est nécessaire de prévoir des sanctions criminelles pour renforcer ces exigences en cas de non</w:t>
      </w:r>
      <w:r w:rsidR="00601B6E">
        <w:rPr>
          <w:rFonts w:cs="Times New Roman"/>
          <w:lang w:val="fr-CA"/>
        </w:rPr>
        <w:t>-</w:t>
      </w:r>
      <w:r w:rsidRPr="00990245">
        <w:rPr>
          <w:rFonts w:cs="Times New Roman"/>
          <w:lang w:val="fr-CA"/>
        </w:rPr>
        <w:t>conformité et il risque d</w:t>
      </w:r>
      <w:r>
        <w:rPr>
          <w:rFonts w:cs="Times New Roman"/>
          <w:lang w:val="fr-CA"/>
        </w:rPr>
        <w:t>’</w:t>
      </w:r>
      <w:r w:rsidRPr="00990245">
        <w:rPr>
          <w:rFonts w:cs="Times New Roman"/>
          <w:lang w:val="fr-CA"/>
        </w:rPr>
        <w:t>y avoir un manque d</w:t>
      </w:r>
      <w:r>
        <w:rPr>
          <w:rFonts w:cs="Times New Roman"/>
          <w:lang w:val="fr-CA"/>
        </w:rPr>
        <w:t>’</w:t>
      </w:r>
      <w:r w:rsidRPr="00990245">
        <w:rPr>
          <w:rFonts w:cs="Times New Roman"/>
          <w:lang w:val="fr-CA"/>
        </w:rPr>
        <w:t xml:space="preserve">uniformité si on laisse aux barreaux le soin de les faire respecter. </w:t>
      </w:r>
    </w:p>
    <w:p w:rsidR="00CA3D49" w:rsidRPr="00990245" w:rsidRDefault="00CA3D49" w:rsidP="00A8558F">
      <w:pPr>
        <w:pStyle w:val="Title4LevelTitre4Niveau"/>
        <w:tabs>
          <w:tab w:val="clear" w:pos="1296"/>
          <w:tab w:val="num" w:pos="900"/>
        </w:tabs>
        <w:ind w:left="900" w:hanging="450"/>
        <w:rPr>
          <w:rFonts w:cs="Times New Roman"/>
          <w:lang w:val="fr-CA"/>
        </w:rPr>
      </w:pPr>
      <w:r w:rsidRPr="00990245">
        <w:rPr>
          <w:rFonts w:cs="Times New Roman"/>
          <w:lang w:val="fr-CA"/>
        </w:rPr>
        <w:t>Cour suprême de la Colombie</w:t>
      </w:r>
      <w:r w:rsidR="00601B6E">
        <w:rPr>
          <w:rFonts w:cs="Times New Roman"/>
          <w:lang w:val="fr-CA"/>
        </w:rPr>
        <w:t>-</w:t>
      </w:r>
      <w:r w:rsidRPr="00990245">
        <w:rPr>
          <w:rFonts w:cs="Times New Roman"/>
          <w:lang w:val="fr-CA"/>
        </w:rPr>
        <w:t xml:space="preserve">Britannique, 2011 BCSC 1270, 25 B.C.L.R. (5th) 265 (la juge </w:t>
      </w:r>
      <w:proofErr w:type="spellStart"/>
      <w:r w:rsidRPr="00990245">
        <w:rPr>
          <w:rFonts w:cs="Times New Roman"/>
          <w:lang w:val="fr-CA"/>
        </w:rPr>
        <w:t>Gerow</w:t>
      </w:r>
      <w:proofErr w:type="spellEnd"/>
      <w:r w:rsidRPr="00990245">
        <w:rPr>
          <w:rFonts w:cs="Times New Roman"/>
          <w:lang w:val="fr-CA"/>
        </w:rPr>
        <w:t>)</w:t>
      </w:r>
    </w:p>
    <w:p w:rsidR="00CA3D49" w:rsidRPr="00990245" w:rsidRDefault="00CA3D49" w:rsidP="00CA3D49">
      <w:pPr>
        <w:pStyle w:val="ParaNoNdepar-AltN"/>
        <w:rPr>
          <w:rFonts w:cs="Times New Roman"/>
          <w:lang w:val="fr-CA"/>
        </w:rPr>
      </w:pPr>
      <w:r w:rsidRPr="00990245">
        <w:rPr>
          <w:rFonts w:cs="Times New Roman"/>
          <w:lang w:val="fr-CA"/>
        </w:rPr>
        <w:t>La juge de première instance a décidé que les dispositions contestées étaient contraires à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7 de la </w:t>
      </w:r>
      <w:r w:rsidRPr="00990245">
        <w:rPr>
          <w:rFonts w:cs="Times New Roman"/>
          <w:i/>
          <w:iCs/>
          <w:lang w:val="fr-CA"/>
        </w:rPr>
        <w:t>Charte</w:t>
      </w:r>
      <w:r w:rsidRPr="00825622">
        <w:rPr>
          <w:rFonts w:cs="Times New Roman"/>
          <w:iCs/>
          <w:lang w:val="fr-CA"/>
        </w:rPr>
        <w:t>.</w:t>
      </w:r>
      <w:r w:rsidRPr="00990245">
        <w:rPr>
          <w:rFonts w:cs="Times New Roman"/>
          <w:i/>
          <w:iCs/>
          <w:lang w:val="fr-CA"/>
        </w:rPr>
        <w:t xml:space="preserve"> </w:t>
      </w:r>
      <w:r w:rsidRPr="00990245">
        <w:rPr>
          <w:rFonts w:cs="Times New Roman"/>
          <w:iCs/>
          <w:lang w:val="fr-CA"/>
        </w:rPr>
        <w:t xml:space="preserve">Selon elle, </w:t>
      </w:r>
      <w:r w:rsidRPr="00990245">
        <w:rPr>
          <w:rFonts w:cs="Times New Roman"/>
          <w:lang w:val="fr-CA"/>
        </w:rPr>
        <w:t xml:space="preserve">la </w:t>
      </w:r>
      <w:r w:rsidRPr="00825622">
        <w:rPr>
          <w:rFonts w:cs="Times New Roman"/>
          <w:iCs/>
          <w:lang w:val="fr-CA"/>
        </w:rPr>
        <w:t>Loi</w:t>
      </w:r>
      <w:r w:rsidRPr="00990245">
        <w:rPr>
          <w:rFonts w:cs="Times New Roman"/>
          <w:i/>
          <w:iCs/>
          <w:lang w:val="fr-CA"/>
        </w:rPr>
        <w:t xml:space="preserve"> </w:t>
      </w:r>
      <w:r w:rsidRPr="00990245">
        <w:rPr>
          <w:rFonts w:cs="Times New Roman"/>
          <w:lang w:val="fr-CA"/>
        </w:rPr>
        <w:t>met en jeu tant le droit à la liberté des avocats que celui de leurs clients car elle fait courir tant aux uns qu</w:t>
      </w:r>
      <w:r>
        <w:rPr>
          <w:rFonts w:cs="Times New Roman"/>
          <w:lang w:val="fr-CA"/>
        </w:rPr>
        <w:t>’</w:t>
      </w:r>
      <w:r w:rsidRPr="00990245">
        <w:rPr>
          <w:rFonts w:cs="Times New Roman"/>
          <w:lang w:val="fr-CA"/>
        </w:rPr>
        <w:t>aux autres le risque d</w:t>
      </w:r>
      <w:r>
        <w:rPr>
          <w:rFonts w:cs="Times New Roman"/>
          <w:lang w:val="fr-CA"/>
        </w:rPr>
        <w:t>’</w:t>
      </w:r>
      <w:r w:rsidRPr="00990245">
        <w:rPr>
          <w:rFonts w:cs="Times New Roman"/>
          <w:lang w:val="fr-CA"/>
        </w:rPr>
        <w:t>être incarcérés. À son avis, le secret professionnel de l</w:t>
      </w:r>
      <w:r>
        <w:rPr>
          <w:rFonts w:cs="Times New Roman"/>
          <w:lang w:val="fr-CA"/>
        </w:rPr>
        <w:t>’</w:t>
      </w:r>
      <w:r w:rsidRPr="00990245">
        <w:rPr>
          <w:rFonts w:cs="Times New Roman"/>
          <w:lang w:val="fr-CA"/>
        </w:rPr>
        <w:t>avocat est un principe de justice fondamentale, et les obligations de consignation et de conservation de renseignements sont contraires à ce principe parce qu</w:t>
      </w:r>
      <w:r>
        <w:rPr>
          <w:rFonts w:cs="Times New Roman"/>
          <w:lang w:val="fr-CA"/>
        </w:rPr>
        <w:t>’</w:t>
      </w:r>
      <w:r w:rsidRPr="00990245">
        <w:rPr>
          <w:rFonts w:cs="Times New Roman"/>
          <w:lang w:val="fr-CA"/>
        </w:rPr>
        <w:t>elles [</w:t>
      </w:r>
      <w:r w:rsidRPr="00990245">
        <w:rPr>
          <w:rFonts w:cs="Times New Roman"/>
          <w:smallCaps/>
          <w:lang w:val="fr-CA"/>
        </w:rPr>
        <w:t>traduction</w:t>
      </w:r>
      <w:r w:rsidRPr="00990245">
        <w:rPr>
          <w:rFonts w:cs="Times New Roman"/>
          <w:lang w:val="fr-CA"/>
        </w:rPr>
        <w:t xml:space="preserve">] </w:t>
      </w:r>
      <w:r w:rsidR="00601B6E">
        <w:rPr>
          <w:rFonts w:cs="Times New Roman"/>
          <w:lang w:val="fr-CA"/>
        </w:rPr>
        <w:t>« </w:t>
      </w:r>
      <w:r w:rsidRPr="00990245">
        <w:rPr>
          <w:rFonts w:cs="Times New Roman"/>
          <w:lang w:val="fr-CA"/>
        </w:rPr>
        <w:t>ont pour effet de</w:t>
      </w:r>
      <w:r w:rsidR="00601B6E">
        <w:rPr>
          <w:rFonts w:cs="Times New Roman"/>
          <w:lang w:val="fr-CA"/>
        </w:rPr>
        <w:t xml:space="preserve"> </w:t>
      </w:r>
      <w:r w:rsidRPr="00990245">
        <w:rPr>
          <w:rFonts w:cs="Times New Roman"/>
          <w:lang w:val="fr-CA"/>
        </w:rPr>
        <w:t>transformer les cabinets d</w:t>
      </w:r>
      <w:r>
        <w:rPr>
          <w:rFonts w:cs="Times New Roman"/>
          <w:lang w:val="fr-CA"/>
        </w:rPr>
        <w:t>’</w:t>
      </w:r>
      <w:r w:rsidRPr="00990245">
        <w:rPr>
          <w:rFonts w:cs="Times New Roman"/>
          <w:lang w:val="fr-CA"/>
        </w:rPr>
        <w:t>avocats en dépôts d</w:t>
      </w:r>
      <w:r>
        <w:rPr>
          <w:rFonts w:cs="Times New Roman"/>
          <w:lang w:val="fr-CA"/>
        </w:rPr>
        <w:t>’</w:t>
      </w:r>
      <w:r w:rsidRPr="00990245">
        <w:rPr>
          <w:rFonts w:cs="Times New Roman"/>
          <w:lang w:val="fr-CA"/>
        </w:rPr>
        <w:t>archives à la disposition de la poursuite</w:t>
      </w:r>
      <w:r w:rsidR="00601B6E">
        <w:rPr>
          <w:rFonts w:cs="Times New Roman"/>
          <w:lang w:val="fr-CA"/>
        </w:rPr>
        <w:t> »</w:t>
      </w:r>
      <w:r w:rsidRPr="00990245">
        <w:rPr>
          <w:rFonts w:cs="Times New Roman"/>
          <w:lang w:val="fr-CA"/>
        </w:rPr>
        <w:t xml:space="preserve"> (par.</w:t>
      </w:r>
      <w:r w:rsidR="00601B6E">
        <w:rPr>
          <w:rFonts w:cs="Times New Roman"/>
          <w:lang w:val="fr-CA"/>
        </w:rPr>
        <w:t xml:space="preserve"> </w:t>
      </w:r>
      <w:r w:rsidRPr="00990245">
        <w:rPr>
          <w:rFonts w:cs="Times New Roman"/>
          <w:lang w:val="fr-CA"/>
        </w:rPr>
        <w:t>144).</w:t>
      </w:r>
    </w:p>
    <w:p w:rsidR="00CA3D49" w:rsidRPr="00990245" w:rsidRDefault="00CA3D49" w:rsidP="00CA3D49">
      <w:pPr>
        <w:pStyle w:val="ParaNoNdepar-AltN"/>
        <w:rPr>
          <w:rFonts w:cs="Times New Roman"/>
          <w:lang w:val="fr-CA"/>
        </w:rPr>
      </w:pPr>
      <w:r w:rsidRPr="00990245">
        <w:rPr>
          <w:rFonts w:cs="Times New Roman"/>
          <w:lang w:val="fr-CA"/>
        </w:rPr>
        <w:t>S</w:t>
      </w:r>
      <w:r>
        <w:rPr>
          <w:rFonts w:cs="Times New Roman"/>
          <w:lang w:val="fr-CA"/>
        </w:rPr>
        <w:t>’</w:t>
      </w:r>
      <w:r w:rsidRPr="00990245">
        <w:rPr>
          <w:rFonts w:cs="Times New Roman"/>
          <w:lang w:val="fr-CA"/>
        </w:rPr>
        <w:t xml:space="preserve">agissant de savoir si cette violation de la </w:t>
      </w:r>
      <w:r w:rsidRPr="00990245">
        <w:rPr>
          <w:rFonts w:cs="Times New Roman"/>
          <w:i/>
          <w:iCs/>
          <w:lang w:val="fr-CA"/>
        </w:rPr>
        <w:t>Charte</w:t>
      </w:r>
      <w:r w:rsidRPr="00990245">
        <w:rPr>
          <w:rFonts w:cs="Times New Roman"/>
          <w:lang w:val="fr-CA"/>
        </w:rPr>
        <w:t xml:space="preserve"> pouvait se justifier en vertu de l</w:t>
      </w:r>
      <w:r>
        <w:rPr>
          <w:rFonts w:cs="Times New Roman"/>
          <w:lang w:val="fr-CA"/>
        </w:rPr>
        <w:t>’</w:t>
      </w:r>
      <w:r w:rsidRPr="00990245">
        <w:rPr>
          <w:rFonts w:cs="Times New Roman"/>
          <w:lang w:val="fr-CA"/>
        </w:rPr>
        <w:t>article premier, la juge a conclu que les moyens choisis n</w:t>
      </w:r>
      <w:r>
        <w:rPr>
          <w:rFonts w:cs="Times New Roman"/>
          <w:lang w:val="fr-CA"/>
        </w:rPr>
        <w:t>’</w:t>
      </w:r>
      <w:r w:rsidRPr="00990245">
        <w:rPr>
          <w:rFonts w:cs="Times New Roman"/>
          <w:lang w:val="fr-CA"/>
        </w:rPr>
        <w:t>étaient pas proportionnés aux objectifs visés, étant donné que la réglementation des avocats par les barreaux prévoyait déjà des régimes efficaces et constitutionnels de lutte contre le recyclage des produits de criminalité et le financement des activités terroristes. D</w:t>
      </w:r>
      <w:r>
        <w:rPr>
          <w:rFonts w:cs="Times New Roman"/>
          <w:lang w:val="fr-CA"/>
        </w:rPr>
        <w:t>’</w:t>
      </w:r>
      <w:r w:rsidRPr="00990245">
        <w:rPr>
          <w:rFonts w:cs="Times New Roman"/>
          <w:lang w:val="fr-CA"/>
        </w:rPr>
        <w:t>après elle, rien ne prouve qu</w:t>
      </w:r>
      <w:r>
        <w:rPr>
          <w:rFonts w:cs="Times New Roman"/>
          <w:lang w:val="fr-CA"/>
        </w:rPr>
        <w:t>’</w:t>
      </w:r>
      <w:r w:rsidRPr="00990245">
        <w:rPr>
          <w:rFonts w:cs="Times New Roman"/>
          <w:lang w:val="fr-CA"/>
        </w:rPr>
        <w:t>il existe un lien rationnel entre l</w:t>
      </w:r>
      <w:r>
        <w:rPr>
          <w:rFonts w:cs="Times New Roman"/>
          <w:lang w:val="fr-CA"/>
        </w:rPr>
        <w:t>’</w:t>
      </w:r>
      <w:r w:rsidRPr="00990245">
        <w:rPr>
          <w:rFonts w:cs="Times New Roman"/>
          <w:lang w:val="fr-CA"/>
        </w:rPr>
        <w:t>objectif poursuivi par le législateur et la violation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7, que le régime législatif porte le moins possible atteinte aux droits prévus à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7 et que les effets bénéfiques des mesures en question l</w:t>
      </w:r>
      <w:r>
        <w:rPr>
          <w:rFonts w:cs="Times New Roman"/>
          <w:lang w:val="fr-CA"/>
        </w:rPr>
        <w:t>’</w:t>
      </w:r>
      <w:r w:rsidRPr="00990245">
        <w:rPr>
          <w:rFonts w:cs="Times New Roman"/>
          <w:lang w:val="fr-CA"/>
        </w:rPr>
        <w:t xml:space="preserve">emportent sur leurs effets préjudiciables. </w:t>
      </w:r>
    </w:p>
    <w:p w:rsidR="00CA3D49" w:rsidRPr="00990245" w:rsidRDefault="00CA3D49" w:rsidP="00CA3D49">
      <w:pPr>
        <w:pStyle w:val="ParaNoNdepar-AltN"/>
        <w:rPr>
          <w:rFonts w:cs="Times New Roman"/>
          <w:lang w:val="fr-CA"/>
        </w:rPr>
      </w:pPr>
      <w:r w:rsidRPr="00990245">
        <w:rPr>
          <w:rFonts w:cs="Times New Roman"/>
          <w:lang w:val="fr-CA"/>
        </w:rPr>
        <w:lastRenderedPageBreak/>
        <w:t>En guise de réparation, la juge de première instance a donné une interprétation atténuée des al.</w:t>
      </w:r>
      <w:r w:rsidR="00601B6E">
        <w:rPr>
          <w:rFonts w:cs="Times New Roman"/>
          <w:lang w:val="fr-CA"/>
        </w:rPr>
        <w:t xml:space="preserve"> </w:t>
      </w:r>
      <w:r w:rsidRPr="00990245">
        <w:rPr>
          <w:rFonts w:cs="Times New Roman"/>
          <w:lang w:val="fr-CA"/>
        </w:rPr>
        <w:t>5</w:t>
      </w:r>
      <w:r w:rsidRPr="00990245">
        <w:rPr>
          <w:rFonts w:cs="Times New Roman"/>
          <w:i/>
          <w:iCs/>
          <w:lang w:val="fr-CA"/>
        </w:rPr>
        <w:t>i</w:t>
      </w:r>
      <w:r w:rsidRPr="00990245">
        <w:rPr>
          <w:rFonts w:cs="Times New Roman"/>
          <w:lang w:val="fr-CA"/>
        </w:rPr>
        <w:t>) et 5</w:t>
      </w:r>
      <w:r w:rsidRPr="00990245">
        <w:rPr>
          <w:rFonts w:cs="Times New Roman"/>
          <w:i/>
          <w:iCs/>
          <w:lang w:val="fr-CA"/>
        </w:rPr>
        <w:t>j</w:t>
      </w:r>
      <w:r w:rsidRPr="00990245">
        <w:rPr>
          <w:rFonts w:cs="Times New Roman"/>
          <w:lang w:val="fr-CA"/>
        </w:rPr>
        <w:t xml:space="preserve">) et des </w:t>
      </w:r>
      <w:proofErr w:type="gramStart"/>
      <w:r w:rsidRPr="00990245">
        <w:rPr>
          <w:rFonts w:cs="Times New Roman"/>
          <w:lang w:val="fr-CA"/>
        </w:rPr>
        <w:t>art</w:t>
      </w:r>
      <w:proofErr w:type="gramEnd"/>
      <w:r w:rsidRPr="00990245">
        <w:rPr>
          <w:rFonts w:cs="Times New Roman"/>
          <w:lang w:val="fr-CA"/>
        </w:rPr>
        <w:t>.</w:t>
      </w:r>
      <w:r w:rsidR="00601B6E">
        <w:rPr>
          <w:rFonts w:cs="Times New Roman"/>
          <w:lang w:val="fr-CA"/>
        </w:rPr>
        <w:t xml:space="preserve"> </w:t>
      </w:r>
      <w:r w:rsidRPr="00990245">
        <w:rPr>
          <w:rFonts w:cs="Times New Roman"/>
          <w:lang w:val="fr-CA"/>
        </w:rPr>
        <w:t xml:space="preserve">62, 63 et 63.1 de la </w:t>
      </w:r>
      <w:r w:rsidRPr="00825622">
        <w:rPr>
          <w:rFonts w:cs="Times New Roman"/>
          <w:iCs/>
          <w:lang w:val="fr-CA"/>
        </w:rPr>
        <w:t>Loi</w:t>
      </w:r>
      <w:r w:rsidRPr="00990245">
        <w:rPr>
          <w:rFonts w:cs="Times New Roman"/>
          <w:lang w:val="fr-CA"/>
        </w:rPr>
        <w:t xml:space="preserve"> ainsi que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11.1 du </w:t>
      </w:r>
      <w:r w:rsidRPr="00825622">
        <w:rPr>
          <w:rFonts w:cs="Times New Roman"/>
          <w:iCs/>
          <w:lang w:val="fr-CA"/>
        </w:rPr>
        <w:t>Règlement</w:t>
      </w:r>
      <w:r w:rsidRPr="00990245">
        <w:rPr>
          <w:rFonts w:cs="Times New Roman"/>
          <w:lang w:val="fr-CA"/>
        </w:rPr>
        <w:t xml:space="preserve"> pour exclure les conseillers juridiques et les cabinets d</w:t>
      </w:r>
      <w:r>
        <w:rPr>
          <w:rFonts w:cs="Times New Roman"/>
          <w:lang w:val="fr-CA"/>
        </w:rPr>
        <w:t>’</w:t>
      </w:r>
      <w:r w:rsidRPr="00990245">
        <w:rPr>
          <w:rFonts w:cs="Times New Roman"/>
          <w:lang w:val="fr-CA"/>
        </w:rPr>
        <w:t>avocats, et invalidé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64 de la </w:t>
      </w:r>
      <w:r w:rsidRPr="001764BC">
        <w:rPr>
          <w:rFonts w:cs="Times New Roman"/>
          <w:iCs/>
          <w:lang w:val="fr-CA"/>
        </w:rPr>
        <w:t>Loi</w:t>
      </w:r>
      <w:r w:rsidRPr="00990245">
        <w:rPr>
          <w:rFonts w:cs="Times New Roman"/>
          <w:lang w:val="fr-CA"/>
        </w:rPr>
        <w:t xml:space="preserve"> et </w:t>
      </w:r>
      <w:proofErr w:type="gramStart"/>
      <w:r w:rsidRPr="00990245">
        <w:rPr>
          <w:rFonts w:cs="Times New Roman"/>
          <w:lang w:val="fr-CA"/>
        </w:rPr>
        <w:t>les art</w:t>
      </w:r>
      <w:proofErr w:type="gramEnd"/>
      <w:r w:rsidRPr="00990245">
        <w:rPr>
          <w:rFonts w:cs="Times New Roman"/>
          <w:lang w:val="fr-CA"/>
        </w:rPr>
        <w:t>.</w:t>
      </w:r>
      <w:r w:rsidR="00601B6E">
        <w:rPr>
          <w:rFonts w:cs="Times New Roman"/>
          <w:lang w:val="fr-CA"/>
        </w:rPr>
        <w:t xml:space="preserve"> </w:t>
      </w:r>
      <w:r w:rsidRPr="00990245">
        <w:rPr>
          <w:rFonts w:cs="Times New Roman"/>
          <w:lang w:val="fr-CA"/>
        </w:rPr>
        <w:t>33.3, 33.4, 33.5 de même que le par.</w:t>
      </w:r>
      <w:r w:rsidR="00601B6E">
        <w:rPr>
          <w:rFonts w:cs="Times New Roman"/>
          <w:lang w:val="fr-CA"/>
        </w:rPr>
        <w:t xml:space="preserve"> </w:t>
      </w:r>
      <w:r w:rsidRPr="00990245">
        <w:rPr>
          <w:rFonts w:cs="Times New Roman"/>
          <w:lang w:val="fr-CA"/>
        </w:rPr>
        <w:t xml:space="preserve">59.4(1) du </w:t>
      </w:r>
      <w:r w:rsidRPr="00825622">
        <w:rPr>
          <w:rFonts w:cs="Times New Roman"/>
          <w:iCs/>
          <w:lang w:val="fr-CA"/>
        </w:rPr>
        <w:t>Règlement</w:t>
      </w:r>
      <w:r w:rsidRPr="00990245">
        <w:rPr>
          <w:rFonts w:cs="Times New Roman"/>
          <w:lang w:val="fr-CA"/>
        </w:rPr>
        <w:t>.</w:t>
      </w:r>
    </w:p>
    <w:p w:rsidR="00CA3D49" w:rsidRPr="00990245" w:rsidRDefault="00CA3D49" w:rsidP="00A8558F">
      <w:pPr>
        <w:pStyle w:val="Title4LevelTitre4Niveau"/>
        <w:tabs>
          <w:tab w:val="clear" w:pos="1296"/>
          <w:tab w:val="num" w:pos="900"/>
        </w:tabs>
        <w:ind w:left="900" w:hanging="450"/>
        <w:rPr>
          <w:rFonts w:cs="Times New Roman"/>
          <w:lang w:val="fr-CA"/>
        </w:rPr>
      </w:pPr>
      <w:r w:rsidRPr="00990245">
        <w:rPr>
          <w:rFonts w:cs="Times New Roman"/>
          <w:lang w:val="fr-CA"/>
        </w:rPr>
        <w:t>Cour d</w:t>
      </w:r>
      <w:r>
        <w:rPr>
          <w:rFonts w:cs="Times New Roman"/>
          <w:lang w:val="fr-CA"/>
        </w:rPr>
        <w:t>’</w:t>
      </w:r>
      <w:r w:rsidRPr="00990245">
        <w:rPr>
          <w:rFonts w:cs="Times New Roman"/>
          <w:lang w:val="fr-CA"/>
        </w:rPr>
        <w:t>appel de la Colombie</w:t>
      </w:r>
      <w:r w:rsidR="00601B6E">
        <w:rPr>
          <w:rFonts w:cs="Times New Roman"/>
          <w:lang w:val="fr-CA"/>
        </w:rPr>
        <w:t>-</w:t>
      </w:r>
      <w:r w:rsidRPr="00990245">
        <w:rPr>
          <w:rFonts w:cs="Times New Roman"/>
          <w:lang w:val="fr-CA"/>
        </w:rPr>
        <w:t xml:space="preserve">Britannique, 2013 BCCA 147, 41 B.C.L.R. (5th) 283 (le juge </w:t>
      </w:r>
      <w:proofErr w:type="spellStart"/>
      <w:r w:rsidRPr="00990245">
        <w:rPr>
          <w:rFonts w:cs="Times New Roman"/>
          <w:lang w:val="fr-CA"/>
        </w:rPr>
        <w:t>Hinkson</w:t>
      </w:r>
      <w:proofErr w:type="spellEnd"/>
      <w:r w:rsidRPr="00990245">
        <w:rPr>
          <w:rFonts w:cs="Times New Roman"/>
          <w:lang w:val="fr-CA"/>
        </w:rPr>
        <w:t>, avec l</w:t>
      </w:r>
      <w:r>
        <w:rPr>
          <w:rFonts w:cs="Times New Roman"/>
          <w:lang w:val="fr-CA"/>
        </w:rPr>
        <w:t>’</w:t>
      </w:r>
      <w:r w:rsidRPr="00990245">
        <w:rPr>
          <w:rFonts w:cs="Times New Roman"/>
          <w:lang w:val="fr-CA"/>
        </w:rPr>
        <w:t xml:space="preserve">appui du juge en chef </w:t>
      </w:r>
      <w:proofErr w:type="spellStart"/>
      <w:r w:rsidRPr="00990245">
        <w:rPr>
          <w:rFonts w:cs="Times New Roman"/>
          <w:lang w:val="fr-CA"/>
        </w:rPr>
        <w:t>Finch</w:t>
      </w:r>
      <w:proofErr w:type="spellEnd"/>
      <w:r w:rsidRPr="00990245">
        <w:rPr>
          <w:rFonts w:cs="Times New Roman"/>
          <w:lang w:val="fr-CA"/>
        </w:rPr>
        <w:t xml:space="preserve"> et de la juge </w:t>
      </w:r>
      <w:proofErr w:type="spellStart"/>
      <w:r w:rsidRPr="00990245">
        <w:rPr>
          <w:rFonts w:cs="Times New Roman"/>
          <w:lang w:val="fr-CA"/>
        </w:rPr>
        <w:t>Neilson</w:t>
      </w:r>
      <w:proofErr w:type="spellEnd"/>
      <w:r w:rsidRPr="00990245">
        <w:rPr>
          <w:rFonts w:cs="Times New Roman"/>
          <w:lang w:val="fr-CA"/>
        </w:rPr>
        <w:t xml:space="preserve">; le juge </w:t>
      </w:r>
      <w:proofErr w:type="spellStart"/>
      <w:r w:rsidRPr="00990245">
        <w:rPr>
          <w:rFonts w:cs="Times New Roman"/>
          <w:lang w:val="fr-CA"/>
        </w:rPr>
        <w:t>Frankel</w:t>
      </w:r>
      <w:proofErr w:type="spellEnd"/>
      <w:r w:rsidRPr="00990245">
        <w:rPr>
          <w:rFonts w:cs="Times New Roman"/>
          <w:lang w:val="fr-CA"/>
        </w:rPr>
        <w:t>, souscrivant au résultat, avec l</w:t>
      </w:r>
      <w:r>
        <w:rPr>
          <w:rFonts w:cs="Times New Roman"/>
          <w:lang w:val="fr-CA"/>
        </w:rPr>
        <w:t>’</w:t>
      </w:r>
      <w:r w:rsidRPr="00990245">
        <w:rPr>
          <w:rFonts w:cs="Times New Roman"/>
          <w:lang w:val="fr-CA"/>
        </w:rPr>
        <w:t xml:space="preserve">appui de la juge </w:t>
      </w:r>
      <w:proofErr w:type="spellStart"/>
      <w:r w:rsidRPr="00990245">
        <w:rPr>
          <w:rFonts w:cs="Times New Roman"/>
          <w:lang w:val="fr-CA"/>
        </w:rPr>
        <w:t>Garson</w:t>
      </w:r>
      <w:proofErr w:type="spellEnd"/>
      <w:r w:rsidRPr="00990245">
        <w:rPr>
          <w:rFonts w:cs="Times New Roman"/>
          <w:lang w:val="fr-CA"/>
        </w:rPr>
        <w:t xml:space="preserve">) </w:t>
      </w:r>
    </w:p>
    <w:p w:rsidR="00CA3D49" w:rsidRPr="00990245" w:rsidRDefault="00CA3D49" w:rsidP="00CA3D49">
      <w:pPr>
        <w:pStyle w:val="ParaNoNdepar-AltN"/>
        <w:rPr>
          <w:rFonts w:cs="Times New Roman"/>
          <w:lang w:val="fr-CA"/>
        </w:rPr>
      </w:pPr>
      <w:r w:rsidRPr="00990245">
        <w:rPr>
          <w:rFonts w:cs="Times New Roman"/>
          <w:lang w:val="fr-CA"/>
        </w:rPr>
        <w:t>La Cour d</w:t>
      </w:r>
      <w:r>
        <w:rPr>
          <w:rFonts w:cs="Times New Roman"/>
          <w:lang w:val="fr-CA"/>
        </w:rPr>
        <w:t>’</w:t>
      </w:r>
      <w:r w:rsidRPr="00990245">
        <w:rPr>
          <w:rFonts w:cs="Times New Roman"/>
          <w:lang w:val="fr-CA"/>
        </w:rPr>
        <w:t>appel a jugé à l</w:t>
      </w:r>
      <w:r>
        <w:rPr>
          <w:rFonts w:cs="Times New Roman"/>
          <w:lang w:val="fr-CA"/>
        </w:rPr>
        <w:t>’</w:t>
      </w:r>
      <w:r w:rsidRPr="00990245">
        <w:rPr>
          <w:rFonts w:cs="Times New Roman"/>
          <w:lang w:val="fr-CA"/>
        </w:rPr>
        <w:t>unanimité que les obligations imposées aux avocats par les dispositions en cause violaient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7 de la </w:t>
      </w:r>
      <w:r w:rsidRPr="00990245">
        <w:rPr>
          <w:rFonts w:cs="Times New Roman"/>
          <w:i/>
          <w:iCs/>
          <w:lang w:val="fr-CA"/>
        </w:rPr>
        <w:t>Charte</w:t>
      </w:r>
      <w:r w:rsidRPr="00990245">
        <w:rPr>
          <w:rFonts w:cs="Times New Roman"/>
          <w:lang w:val="fr-CA"/>
        </w:rPr>
        <w:t xml:space="preserve"> et qu</w:t>
      </w:r>
      <w:r>
        <w:rPr>
          <w:rFonts w:cs="Times New Roman"/>
          <w:lang w:val="fr-CA"/>
        </w:rPr>
        <w:t>’</w:t>
      </w:r>
      <w:r w:rsidRPr="00990245">
        <w:rPr>
          <w:rFonts w:cs="Times New Roman"/>
          <w:lang w:val="fr-CA"/>
        </w:rPr>
        <w:t>elles n</w:t>
      </w:r>
      <w:r>
        <w:rPr>
          <w:rFonts w:cs="Times New Roman"/>
          <w:lang w:val="fr-CA"/>
        </w:rPr>
        <w:t>’</w:t>
      </w:r>
      <w:r w:rsidRPr="00990245">
        <w:rPr>
          <w:rFonts w:cs="Times New Roman"/>
          <w:lang w:val="fr-CA"/>
        </w:rPr>
        <w:t>étaient pas sauvegardées par l</w:t>
      </w:r>
      <w:r>
        <w:rPr>
          <w:rFonts w:cs="Times New Roman"/>
          <w:lang w:val="fr-CA"/>
        </w:rPr>
        <w:t>’</w:t>
      </w:r>
      <w:r w:rsidRPr="00990245">
        <w:rPr>
          <w:rFonts w:cs="Times New Roman"/>
          <w:lang w:val="fr-CA"/>
        </w:rPr>
        <w:t>article premier. Bien que la Cour d</w:t>
      </w:r>
      <w:r>
        <w:rPr>
          <w:rFonts w:cs="Times New Roman"/>
          <w:lang w:val="fr-CA"/>
        </w:rPr>
        <w:t>’</w:t>
      </w:r>
      <w:r w:rsidRPr="00990245">
        <w:rPr>
          <w:rFonts w:cs="Times New Roman"/>
          <w:lang w:val="fr-CA"/>
        </w:rPr>
        <w:t>appel ait conclu que les dispositions protégeaient suffisamment le secret professionnel de l</w:t>
      </w:r>
      <w:r>
        <w:rPr>
          <w:rFonts w:cs="Times New Roman"/>
          <w:lang w:val="fr-CA"/>
        </w:rPr>
        <w:t>’</w:t>
      </w:r>
      <w:r w:rsidRPr="00990245">
        <w:rPr>
          <w:rFonts w:cs="Times New Roman"/>
          <w:lang w:val="fr-CA"/>
        </w:rPr>
        <w:t>avocat, elle a estimé que [</w:t>
      </w:r>
      <w:r w:rsidRPr="00990245">
        <w:rPr>
          <w:rFonts w:cs="Times New Roman"/>
          <w:smallCaps/>
          <w:lang w:val="fr-CA"/>
        </w:rPr>
        <w:t>traduction</w:t>
      </w:r>
      <w:r w:rsidRPr="00990245">
        <w:rPr>
          <w:rFonts w:cs="Times New Roman"/>
          <w:lang w:val="fr-CA"/>
        </w:rPr>
        <w:t xml:space="preserve">] </w:t>
      </w:r>
      <w:r w:rsidR="00601B6E">
        <w:rPr>
          <w:rFonts w:cs="Times New Roman"/>
          <w:lang w:val="fr-CA"/>
        </w:rPr>
        <w:t>« </w:t>
      </w:r>
      <w:r w:rsidRPr="00990245">
        <w:rPr>
          <w:rFonts w:cs="Times New Roman"/>
          <w:lang w:val="fr-CA"/>
        </w:rPr>
        <w:t>l</w:t>
      </w:r>
      <w:r>
        <w:rPr>
          <w:rFonts w:cs="Times New Roman"/>
          <w:lang w:val="fr-CA"/>
        </w:rPr>
        <w:t>’</w:t>
      </w:r>
      <w:r w:rsidRPr="00990245">
        <w:rPr>
          <w:rFonts w:cs="Times New Roman"/>
          <w:lang w:val="fr-CA"/>
        </w:rPr>
        <w:t>indépendance du barreau</w:t>
      </w:r>
      <w:r w:rsidR="00601B6E">
        <w:rPr>
          <w:rFonts w:cs="Times New Roman"/>
          <w:lang w:val="fr-CA"/>
        </w:rPr>
        <w:t> »</w:t>
      </w:r>
      <w:r w:rsidRPr="00990245">
        <w:rPr>
          <w:rFonts w:cs="Times New Roman"/>
          <w:lang w:val="fr-CA"/>
        </w:rPr>
        <w:t xml:space="preserve"> était un principe de justice fondamentale et que les dispositions en question étaient incompatibles avec ce principe. Toujours selon la Cour d</w:t>
      </w:r>
      <w:r>
        <w:rPr>
          <w:rFonts w:cs="Times New Roman"/>
          <w:lang w:val="fr-CA"/>
        </w:rPr>
        <w:t>’</w:t>
      </w:r>
      <w:r w:rsidRPr="00990245">
        <w:rPr>
          <w:rFonts w:cs="Times New Roman"/>
          <w:lang w:val="fr-CA"/>
        </w:rPr>
        <w:t>appel, les conseillers juridiques sont placés dans une situation inacceptable de conflit d</w:t>
      </w:r>
      <w:r>
        <w:rPr>
          <w:rFonts w:cs="Times New Roman"/>
          <w:lang w:val="fr-CA"/>
        </w:rPr>
        <w:t>’</w:t>
      </w:r>
      <w:r w:rsidRPr="00990245">
        <w:rPr>
          <w:rFonts w:cs="Times New Roman"/>
          <w:lang w:val="fr-CA"/>
        </w:rPr>
        <w:t>intérêts puisqu</w:t>
      </w:r>
      <w:r>
        <w:rPr>
          <w:rFonts w:cs="Times New Roman"/>
          <w:lang w:val="fr-CA"/>
        </w:rPr>
        <w:t>’</w:t>
      </w:r>
      <w:r w:rsidRPr="00990245">
        <w:rPr>
          <w:rFonts w:cs="Times New Roman"/>
          <w:lang w:val="fr-CA"/>
        </w:rPr>
        <w:t>ils doivent choisir entre les intérêts de leurs clients, ceux de l</w:t>
      </w:r>
      <w:r>
        <w:rPr>
          <w:rFonts w:cs="Times New Roman"/>
          <w:lang w:val="fr-CA"/>
        </w:rPr>
        <w:t>’</w:t>
      </w:r>
      <w:r w:rsidRPr="00990245">
        <w:rPr>
          <w:rFonts w:cs="Times New Roman"/>
          <w:lang w:val="fr-CA"/>
        </w:rPr>
        <w:t>État et leur propre droit à la liberté, et les dispositions font de certains avocats des agents de l</w:t>
      </w:r>
      <w:r>
        <w:rPr>
          <w:rFonts w:cs="Times New Roman"/>
          <w:lang w:val="fr-CA"/>
        </w:rPr>
        <w:t>’</w:t>
      </w:r>
      <w:r w:rsidRPr="00990245">
        <w:rPr>
          <w:rFonts w:cs="Times New Roman"/>
          <w:lang w:val="fr-CA"/>
        </w:rPr>
        <w:t xml:space="preserve">État. </w:t>
      </w:r>
    </w:p>
    <w:p w:rsidR="00CA3D49" w:rsidRPr="00990245" w:rsidRDefault="00CA3D49" w:rsidP="00CA3D49">
      <w:pPr>
        <w:pStyle w:val="ParaNoNdepar-AltN"/>
        <w:rPr>
          <w:rFonts w:cs="Times New Roman"/>
          <w:lang w:val="fr-CA"/>
        </w:rPr>
      </w:pPr>
      <w:r w:rsidRPr="00990245">
        <w:rPr>
          <w:rFonts w:cs="Times New Roman"/>
          <w:lang w:val="fr-CA"/>
        </w:rPr>
        <w:t>La Cour d</w:t>
      </w:r>
      <w:r>
        <w:rPr>
          <w:rFonts w:cs="Times New Roman"/>
          <w:lang w:val="fr-CA"/>
        </w:rPr>
        <w:t>’</w:t>
      </w:r>
      <w:r w:rsidRPr="00990245">
        <w:rPr>
          <w:rFonts w:cs="Times New Roman"/>
          <w:lang w:val="fr-CA"/>
        </w:rPr>
        <w:t xml:space="preserve">appel était partagée sur la question de savoir si les dispositions en question mettaient en jeu le droit à la liberté des clients. Le juge </w:t>
      </w:r>
      <w:proofErr w:type="spellStart"/>
      <w:r w:rsidRPr="00990245">
        <w:rPr>
          <w:rFonts w:cs="Times New Roman"/>
          <w:lang w:val="fr-CA"/>
        </w:rPr>
        <w:t>Hinkson</w:t>
      </w:r>
      <w:proofErr w:type="spellEnd"/>
      <w:r w:rsidRPr="00990245">
        <w:rPr>
          <w:rFonts w:cs="Times New Roman"/>
          <w:lang w:val="fr-CA"/>
        </w:rPr>
        <w:t xml:space="preserve"> (maintenant Juge en chef) (s</w:t>
      </w:r>
      <w:r>
        <w:rPr>
          <w:rFonts w:cs="Times New Roman"/>
          <w:lang w:val="fr-CA"/>
        </w:rPr>
        <w:t>’</w:t>
      </w:r>
      <w:r w:rsidRPr="00990245">
        <w:rPr>
          <w:rFonts w:cs="Times New Roman"/>
          <w:lang w:val="fr-CA"/>
        </w:rPr>
        <w:t xml:space="preserve">exprimant sur ce point au nom des juges majoritaires) a estimé que le droit à la liberté des clients était en jeu, puisque les dispositions </w:t>
      </w:r>
      <w:r w:rsidRPr="00990245">
        <w:rPr>
          <w:rFonts w:cs="Times New Roman"/>
          <w:lang w:val="fr-CA"/>
        </w:rPr>
        <w:lastRenderedPageBreak/>
        <w:t>facilitaient l</w:t>
      </w:r>
      <w:r>
        <w:rPr>
          <w:rFonts w:cs="Times New Roman"/>
          <w:lang w:val="fr-CA"/>
        </w:rPr>
        <w:t>’</w:t>
      </w:r>
      <w:r w:rsidRPr="00990245">
        <w:rPr>
          <w:rFonts w:cs="Times New Roman"/>
          <w:lang w:val="fr-CA"/>
        </w:rPr>
        <w:t>accès à des renseignements confidentiels qui pouvaient être communiqués aux forces de l</w:t>
      </w:r>
      <w:r>
        <w:rPr>
          <w:rFonts w:cs="Times New Roman"/>
          <w:lang w:val="fr-CA"/>
        </w:rPr>
        <w:t>’</w:t>
      </w:r>
      <w:r w:rsidRPr="00990245">
        <w:rPr>
          <w:rFonts w:cs="Times New Roman"/>
          <w:lang w:val="fr-CA"/>
        </w:rPr>
        <w:t>ordre pour n</w:t>
      </w:r>
      <w:r>
        <w:rPr>
          <w:rFonts w:cs="Times New Roman"/>
          <w:lang w:val="fr-CA"/>
        </w:rPr>
        <w:t>’</w:t>
      </w:r>
      <w:r w:rsidRPr="00990245">
        <w:rPr>
          <w:rFonts w:cs="Times New Roman"/>
          <w:lang w:val="fr-CA"/>
        </w:rPr>
        <w:t>importe quelle fin, notamment le dépôt d</w:t>
      </w:r>
      <w:r>
        <w:rPr>
          <w:rFonts w:cs="Times New Roman"/>
          <w:lang w:val="fr-CA"/>
        </w:rPr>
        <w:t>’</w:t>
      </w:r>
      <w:r w:rsidRPr="00990245">
        <w:rPr>
          <w:rFonts w:cs="Times New Roman"/>
          <w:lang w:val="fr-CA"/>
        </w:rPr>
        <w:t xml:space="preserve">accusations criminelles. Le juge </w:t>
      </w:r>
      <w:proofErr w:type="spellStart"/>
      <w:r w:rsidRPr="00990245">
        <w:rPr>
          <w:rFonts w:cs="Times New Roman"/>
          <w:lang w:val="fr-CA"/>
        </w:rPr>
        <w:t>Frankel</w:t>
      </w:r>
      <w:proofErr w:type="spellEnd"/>
      <w:r w:rsidRPr="00990245">
        <w:rPr>
          <w:rFonts w:cs="Times New Roman"/>
          <w:lang w:val="fr-CA"/>
        </w:rPr>
        <w:t xml:space="preserve"> (avec l</w:t>
      </w:r>
      <w:r>
        <w:rPr>
          <w:rFonts w:cs="Times New Roman"/>
          <w:lang w:val="fr-CA"/>
        </w:rPr>
        <w:t>’</w:t>
      </w:r>
      <w:r w:rsidRPr="00990245">
        <w:rPr>
          <w:rFonts w:cs="Times New Roman"/>
          <w:lang w:val="fr-CA"/>
        </w:rPr>
        <w:t xml:space="preserve">appui de la juge </w:t>
      </w:r>
      <w:proofErr w:type="spellStart"/>
      <w:r w:rsidRPr="00990245">
        <w:rPr>
          <w:rFonts w:cs="Times New Roman"/>
          <w:lang w:val="fr-CA"/>
        </w:rPr>
        <w:t>Garson</w:t>
      </w:r>
      <w:proofErr w:type="spellEnd"/>
      <w:r w:rsidRPr="00990245">
        <w:rPr>
          <w:rFonts w:cs="Times New Roman"/>
          <w:lang w:val="fr-CA"/>
        </w:rPr>
        <w:t xml:space="preserve">) a estimé que ces dispositions ne mettaient pas en jeu le droit à la liberté des clients parce que le lien de causalité entre les dispositions et toute perte possible de liberté des clients était trop ténu. </w:t>
      </w:r>
    </w:p>
    <w:p w:rsidR="00CA3D49" w:rsidRPr="00990245" w:rsidRDefault="00CA3D49" w:rsidP="00CA3D49">
      <w:pPr>
        <w:pStyle w:val="ParaNoNdepar-AltN"/>
        <w:rPr>
          <w:rFonts w:cs="Times New Roman"/>
          <w:lang w:val="fr-CA"/>
        </w:rPr>
      </w:pPr>
      <w:r w:rsidRPr="00990245">
        <w:rPr>
          <w:rFonts w:cs="Times New Roman"/>
          <w:lang w:val="fr-CA"/>
        </w:rPr>
        <w:t>La Cour d</w:t>
      </w:r>
      <w:r>
        <w:rPr>
          <w:rFonts w:cs="Times New Roman"/>
          <w:lang w:val="fr-CA"/>
        </w:rPr>
        <w:t>’</w:t>
      </w:r>
      <w:r w:rsidRPr="00990245">
        <w:rPr>
          <w:rFonts w:cs="Times New Roman"/>
          <w:lang w:val="fr-CA"/>
        </w:rPr>
        <w:t>appel a jugé à l</w:t>
      </w:r>
      <w:r>
        <w:rPr>
          <w:rFonts w:cs="Times New Roman"/>
          <w:lang w:val="fr-CA"/>
        </w:rPr>
        <w:t>’</w:t>
      </w:r>
      <w:r w:rsidRPr="00990245">
        <w:rPr>
          <w:rFonts w:cs="Times New Roman"/>
          <w:lang w:val="fr-CA"/>
        </w:rPr>
        <w:t>unanimité que la restriction des droits prévus à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7 n</w:t>
      </w:r>
      <w:r>
        <w:rPr>
          <w:rFonts w:cs="Times New Roman"/>
          <w:lang w:val="fr-CA"/>
        </w:rPr>
        <w:t>’</w:t>
      </w:r>
      <w:r w:rsidRPr="00990245">
        <w:rPr>
          <w:rFonts w:cs="Times New Roman"/>
          <w:lang w:val="fr-CA"/>
        </w:rPr>
        <w:t>était pas justifiée au sens de l</w:t>
      </w:r>
      <w:r>
        <w:rPr>
          <w:rFonts w:cs="Times New Roman"/>
          <w:lang w:val="fr-CA"/>
        </w:rPr>
        <w:t>’</w:t>
      </w:r>
      <w:r w:rsidRPr="00990245">
        <w:rPr>
          <w:rFonts w:cs="Times New Roman"/>
          <w:lang w:val="fr-CA"/>
        </w:rPr>
        <w:t xml:space="preserve">article premier de la </w:t>
      </w:r>
      <w:r w:rsidRPr="00990245">
        <w:rPr>
          <w:rFonts w:cs="Times New Roman"/>
          <w:i/>
          <w:lang w:val="fr-CA"/>
        </w:rPr>
        <w:t>Charte</w:t>
      </w:r>
      <w:r w:rsidRPr="00990245">
        <w:rPr>
          <w:rFonts w:cs="Times New Roman"/>
          <w:lang w:val="fr-CA"/>
        </w:rPr>
        <w:t xml:space="preserve"> car le procureur général n</w:t>
      </w:r>
      <w:r>
        <w:rPr>
          <w:rFonts w:cs="Times New Roman"/>
          <w:lang w:val="fr-CA"/>
        </w:rPr>
        <w:t>’</w:t>
      </w:r>
      <w:r w:rsidRPr="00990245">
        <w:rPr>
          <w:rFonts w:cs="Times New Roman"/>
          <w:lang w:val="fr-CA"/>
        </w:rPr>
        <w:t>avait pas démontré que l</w:t>
      </w:r>
      <w:r>
        <w:rPr>
          <w:rFonts w:cs="Times New Roman"/>
          <w:lang w:val="fr-CA"/>
        </w:rPr>
        <w:t>’</w:t>
      </w:r>
      <w:r w:rsidRPr="00990245">
        <w:rPr>
          <w:rFonts w:cs="Times New Roman"/>
          <w:lang w:val="fr-CA"/>
        </w:rPr>
        <w:t>atteinte causée par les dispositions en question était minimale. Les règles des ordres professionnels prévoient déjà des régimes efficaces et constitutionnels de lutte contre le recyclage des produits de la criminalité et le financement des activités terroristes dans le cas des avocats, des cabinets d</w:t>
      </w:r>
      <w:r>
        <w:rPr>
          <w:rFonts w:cs="Times New Roman"/>
          <w:lang w:val="fr-CA"/>
        </w:rPr>
        <w:t>’</w:t>
      </w:r>
      <w:r w:rsidRPr="00990245">
        <w:rPr>
          <w:rFonts w:cs="Times New Roman"/>
          <w:lang w:val="fr-CA"/>
        </w:rPr>
        <w:t xml:space="preserve">avocats et des notaires, et ce, partout au Canada. </w:t>
      </w:r>
    </w:p>
    <w:p w:rsidR="00CA3D49" w:rsidRPr="00990245" w:rsidRDefault="00CA3D49" w:rsidP="00CA3D49">
      <w:pPr>
        <w:pStyle w:val="Title1LevelTitre1Niveau-AltL"/>
        <w:rPr>
          <w:rFonts w:cs="Times New Roman"/>
        </w:rPr>
      </w:pPr>
      <w:r w:rsidRPr="00990245">
        <w:rPr>
          <w:rFonts w:cs="Times New Roman"/>
        </w:rPr>
        <w:t>Analyse</w:t>
      </w:r>
    </w:p>
    <w:p w:rsidR="00CA3D49" w:rsidRPr="00990245" w:rsidRDefault="00CA3D49" w:rsidP="00CA3D49">
      <w:pPr>
        <w:pStyle w:val="Title2LevelTitre2Niveau"/>
        <w:rPr>
          <w:rFonts w:cs="Times New Roman"/>
          <w:lang w:val="fr-CA"/>
        </w:rPr>
      </w:pPr>
      <w:r w:rsidRPr="00990245">
        <w:rPr>
          <w:rFonts w:cs="Times New Roman"/>
          <w:lang w:val="fr-CA"/>
        </w:rPr>
        <w:t>Les dispositions violent</w:t>
      </w:r>
      <w:r w:rsidR="00601B6E">
        <w:rPr>
          <w:rFonts w:cs="Times New Roman"/>
          <w:lang w:val="fr-CA"/>
        </w:rPr>
        <w:t>-</w:t>
      </w:r>
      <w:r w:rsidRPr="00990245">
        <w:rPr>
          <w:rFonts w:cs="Times New Roman"/>
          <w:lang w:val="fr-CA"/>
        </w:rPr>
        <w:t>elles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8 de la Charte?</w:t>
      </w:r>
    </w:p>
    <w:p w:rsidR="00CA3D49" w:rsidRPr="00990245" w:rsidRDefault="00CA3D49" w:rsidP="00A8558F">
      <w:pPr>
        <w:pStyle w:val="Title3LevelTitre3Niveau"/>
        <w:tabs>
          <w:tab w:val="clear" w:pos="864"/>
        </w:tabs>
        <w:ind w:left="900" w:hanging="450"/>
        <w:rPr>
          <w:rFonts w:cs="Times New Roman"/>
          <w:lang w:val="fr-CA"/>
        </w:rPr>
      </w:pPr>
      <w:r w:rsidRPr="00990245">
        <w:rPr>
          <w:rFonts w:cs="Times New Roman"/>
          <w:lang w:val="fr-CA"/>
        </w:rPr>
        <w:t xml:space="preserve">Introduction </w:t>
      </w:r>
    </w:p>
    <w:p w:rsidR="00CA3D49" w:rsidRPr="00990245" w:rsidRDefault="00CA3D49" w:rsidP="00CA3D49">
      <w:pPr>
        <w:pStyle w:val="ParaNoNdepar-AltN"/>
        <w:rPr>
          <w:rFonts w:cs="Times New Roman"/>
          <w:lang w:val="fr-CA"/>
        </w:rPr>
      </w:pPr>
      <w:r w:rsidRPr="00990245">
        <w:rPr>
          <w:rFonts w:cs="Times New Roman"/>
          <w:lang w:val="fr-CA"/>
        </w:rPr>
        <w:t xml:space="preserve">La question qui se pose ici est de savoir si les dispositions du régime relatives à la perquisition et à la production de documents portent atteinte au droit à la </w:t>
      </w:r>
      <w:r w:rsidRPr="00990245">
        <w:rPr>
          <w:rStyle w:val="complet"/>
          <w:rFonts w:cs="Times New Roman"/>
          <w:lang w:val="fr-CA"/>
        </w:rPr>
        <w:t>protection contre les fouilles, les perquisitions et les saisies abusives garanti par l</w:t>
      </w:r>
      <w:r>
        <w:rPr>
          <w:rStyle w:val="complet"/>
          <w:rFonts w:cs="Times New Roman"/>
          <w:lang w:val="fr-CA"/>
        </w:rPr>
        <w:t>’</w:t>
      </w:r>
      <w:r w:rsidRPr="00990245">
        <w:rPr>
          <w:rStyle w:val="complet"/>
          <w:rFonts w:cs="Times New Roman"/>
          <w:lang w:val="fr-CA"/>
        </w:rPr>
        <w:t>art.</w:t>
      </w:r>
      <w:r w:rsidR="00601B6E">
        <w:rPr>
          <w:rStyle w:val="complet"/>
          <w:rFonts w:cs="Times New Roman"/>
          <w:lang w:val="fr-CA"/>
        </w:rPr>
        <w:t xml:space="preserve"> </w:t>
      </w:r>
      <w:r w:rsidRPr="00990245">
        <w:rPr>
          <w:rStyle w:val="complet"/>
          <w:rFonts w:cs="Times New Roman"/>
          <w:lang w:val="fr-CA"/>
        </w:rPr>
        <w:lastRenderedPageBreak/>
        <w:t xml:space="preserve">8 de la </w:t>
      </w:r>
      <w:r w:rsidRPr="00990245">
        <w:rPr>
          <w:rFonts w:cs="Times New Roman"/>
          <w:i/>
          <w:iCs/>
          <w:lang w:val="fr-CA"/>
        </w:rPr>
        <w:t>Charte</w:t>
      </w:r>
      <w:r w:rsidRPr="00990245">
        <w:rPr>
          <w:rFonts w:cs="Times New Roman"/>
          <w:lang w:val="fr-CA"/>
        </w:rPr>
        <w:t>. Les dispositions pertinentes sont les suivantes. Selon l</w:t>
      </w:r>
      <w:r>
        <w:rPr>
          <w:rFonts w:cs="Times New Roman"/>
          <w:lang w:val="fr-CA"/>
        </w:rPr>
        <w:t>’</w:t>
      </w:r>
      <w:r w:rsidRPr="00990245">
        <w:rPr>
          <w:rFonts w:cs="Times New Roman"/>
          <w:lang w:val="fr-CA"/>
        </w:rPr>
        <w:t>art</w:t>
      </w:r>
      <w:r w:rsidR="00825622">
        <w:rPr>
          <w:rFonts w:cs="Times New Roman"/>
          <w:lang w:val="fr-CA"/>
        </w:rPr>
        <w:t>.</w:t>
      </w:r>
      <w:r w:rsidR="00601B6E">
        <w:rPr>
          <w:rFonts w:cs="Times New Roman"/>
          <w:lang w:val="fr-CA"/>
        </w:rPr>
        <w:t xml:space="preserve"> </w:t>
      </w:r>
      <w:r w:rsidRPr="00990245">
        <w:rPr>
          <w:rFonts w:cs="Times New Roman"/>
          <w:lang w:val="fr-CA"/>
        </w:rPr>
        <w:t>62, la personne autorisée par le directeur du CANAFE peut pénétrer dans tout local autre qu</w:t>
      </w:r>
      <w:r>
        <w:rPr>
          <w:rFonts w:cs="Times New Roman"/>
          <w:lang w:val="fr-CA"/>
        </w:rPr>
        <w:t>’</w:t>
      </w:r>
      <w:r w:rsidRPr="00990245">
        <w:rPr>
          <w:rFonts w:cs="Times New Roman"/>
          <w:lang w:val="fr-CA"/>
        </w:rPr>
        <w:t xml:space="preserve">une habitation pour examiner les documents exigés par la </w:t>
      </w:r>
      <w:r w:rsidRPr="00825622">
        <w:rPr>
          <w:rFonts w:cs="Times New Roman"/>
          <w:iCs/>
          <w:lang w:val="fr-CA"/>
        </w:rPr>
        <w:t>Loi</w:t>
      </w:r>
      <w:r w:rsidRPr="00990245">
        <w:rPr>
          <w:rFonts w:cs="Times New Roman"/>
          <w:i/>
          <w:iCs/>
          <w:lang w:val="fr-CA"/>
        </w:rPr>
        <w:t xml:space="preserve"> </w:t>
      </w:r>
      <w:r w:rsidRPr="00990245">
        <w:rPr>
          <w:rFonts w:cs="Times New Roman"/>
          <w:lang w:val="fr-CA"/>
        </w:rPr>
        <w:t>et, à cette fin, avoir recours à tout système informatique et reproduire tout document. Il n</w:t>
      </w:r>
      <w:r>
        <w:rPr>
          <w:rFonts w:cs="Times New Roman"/>
          <w:lang w:val="fr-CA"/>
        </w:rPr>
        <w:t>’</w:t>
      </w:r>
      <w:r w:rsidRPr="00990245">
        <w:rPr>
          <w:rFonts w:cs="Times New Roman"/>
          <w:lang w:val="fr-CA"/>
        </w:rPr>
        <w:t>est pas nécessaire d</w:t>
      </w:r>
      <w:r>
        <w:rPr>
          <w:rFonts w:cs="Times New Roman"/>
          <w:lang w:val="fr-CA"/>
        </w:rPr>
        <w:t>’</w:t>
      </w:r>
      <w:r w:rsidRPr="00990245">
        <w:rPr>
          <w:rFonts w:cs="Times New Roman"/>
          <w:lang w:val="fr-CA"/>
        </w:rPr>
        <w:t>obtenir un mandat pour ce faire. L</w:t>
      </w:r>
      <w:r>
        <w:rPr>
          <w:rFonts w:cs="Times New Roman"/>
          <w:lang w:val="fr-CA"/>
        </w:rPr>
        <w:t>’</w:t>
      </w:r>
      <w:r w:rsidRPr="00990245">
        <w:rPr>
          <w:rFonts w:cs="Times New Roman"/>
          <w:lang w:val="fr-CA"/>
        </w:rPr>
        <w:t>article</w:t>
      </w:r>
      <w:r w:rsidR="00601B6E">
        <w:rPr>
          <w:rFonts w:cs="Times New Roman"/>
          <w:lang w:val="fr-CA"/>
        </w:rPr>
        <w:t xml:space="preserve"> </w:t>
      </w:r>
      <w:r w:rsidRPr="00990245">
        <w:rPr>
          <w:rFonts w:cs="Times New Roman"/>
          <w:lang w:val="fr-CA"/>
        </w:rPr>
        <w:t>63 confère les mêmes pouvoirs en ce qui concerne les pièces d</w:t>
      </w:r>
      <w:r>
        <w:rPr>
          <w:rFonts w:cs="Times New Roman"/>
          <w:lang w:val="fr-CA"/>
        </w:rPr>
        <w:t>’</w:t>
      </w:r>
      <w:r w:rsidRPr="00990245">
        <w:rPr>
          <w:rFonts w:cs="Times New Roman"/>
          <w:lang w:val="fr-CA"/>
        </w:rPr>
        <w:t>une habitation dont la personne autorisée a des motifs raisonnables de croire qu</w:t>
      </w:r>
      <w:r>
        <w:rPr>
          <w:rFonts w:cs="Times New Roman"/>
          <w:lang w:val="fr-CA"/>
        </w:rPr>
        <w:t>’</w:t>
      </w:r>
      <w:r w:rsidRPr="00990245">
        <w:rPr>
          <w:rFonts w:cs="Times New Roman"/>
          <w:lang w:val="fr-CA"/>
        </w:rPr>
        <w:t xml:space="preserve">elles servent à exploiter une entreprise ou à exercer une profession ou une activité visée par la </w:t>
      </w:r>
      <w:r w:rsidRPr="00825622">
        <w:rPr>
          <w:rFonts w:cs="Times New Roman"/>
          <w:iCs/>
          <w:lang w:val="fr-CA"/>
        </w:rPr>
        <w:t>Loi</w:t>
      </w:r>
      <w:r w:rsidRPr="00990245">
        <w:rPr>
          <w:rFonts w:cs="Times New Roman"/>
          <w:iCs/>
          <w:lang w:val="fr-CA"/>
        </w:rPr>
        <w:t xml:space="preserve">, mais il faut alors </w:t>
      </w:r>
      <w:r w:rsidRPr="00990245">
        <w:rPr>
          <w:rFonts w:cs="Times New Roman"/>
          <w:lang w:val="fr-CA"/>
        </w:rPr>
        <w:t>obtenir un mandat. Cette disposition vise les avocats qui exercent à domicile. L</w:t>
      </w:r>
      <w:r>
        <w:rPr>
          <w:rFonts w:cs="Times New Roman"/>
          <w:lang w:val="fr-CA"/>
        </w:rPr>
        <w:t>’</w:t>
      </w:r>
      <w:r w:rsidRPr="00990245">
        <w:rPr>
          <w:rFonts w:cs="Times New Roman"/>
          <w:lang w:val="fr-CA"/>
        </w:rPr>
        <w:t>article</w:t>
      </w:r>
      <w:r w:rsidR="00601B6E">
        <w:rPr>
          <w:rFonts w:cs="Times New Roman"/>
          <w:lang w:val="fr-CA"/>
        </w:rPr>
        <w:t xml:space="preserve"> </w:t>
      </w:r>
      <w:r w:rsidRPr="00990245">
        <w:rPr>
          <w:rFonts w:cs="Times New Roman"/>
          <w:lang w:val="fr-CA"/>
        </w:rPr>
        <w:t>63.1 permet à la personne autorisée de signifier un avis qui oblige la personne ou l</w:t>
      </w:r>
      <w:r>
        <w:rPr>
          <w:rFonts w:cs="Times New Roman"/>
          <w:lang w:val="fr-CA"/>
        </w:rPr>
        <w:t>’</w:t>
      </w:r>
      <w:r w:rsidRPr="00990245">
        <w:rPr>
          <w:rFonts w:cs="Times New Roman"/>
          <w:lang w:val="fr-CA"/>
        </w:rPr>
        <w:t>entité faisant l</w:t>
      </w:r>
      <w:r>
        <w:rPr>
          <w:rFonts w:cs="Times New Roman"/>
          <w:lang w:val="fr-CA"/>
        </w:rPr>
        <w:t>’</w:t>
      </w:r>
      <w:r w:rsidRPr="00990245">
        <w:rPr>
          <w:rFonts w:cs="Times New Roman"/>
          <w:lang w:val="fr-CA"/>
        </w:rPr>
        <w:t>objet de l</w:t>
      </w:r>
      <w:r>
        <w:rPr>
          <w:rFonts w:cs="Times New Roman"/>
          <w:lang w:val="fr-CA"/>
        </w:rPr>
        <w:t>’</w:t>
      </w:r>
      <w:r w:rsidRPr="00990245">
        <w:rPr>
          <w:rFonts w:cs="Times New Roman"/>
          <w:lang w:val="fr-CA"/>
        </w:rPr>
        <w:t>inspection à fournir toute information utile à l</w:t>
      </w:r>
      <w:r>
        <w:rPr>
          <w:rFonts w:cs="Times New Roman"/>
          <w:lang w:val="fr-CA"/>
        </w:rPr>
        <w:t>’</w:t>
      </w:r>
      <w:r w:rsidRPr="00990245">
        <w:rPr>
          <w:rFonts w:cs="Times New Roman"/>
          <w:lang w:val="fr-CA"/>
        </w:rPr>
        <w:t xml:space="preserve">application de la </w:t>
      </w:r>
      <w:r w:rsidRPr="00825622">
        <w:rPr>
          <w:rFonts w:cs="Times New Roman"/>
          <w:iCs/>
          <w:lang w:val="fr-CA"/>
        </w:rPr>
        <w:t>Loi</w:t>
      </w:r>
      <w:r w:rsidRPr="00990245">
        <w:rPr>
          <w:rFonts w:cs="Times New Roman"/>
          <w:lang w:val="fr-CA"/>
        </w:rPr>
        <w:t xml:space="preserve"> sous forme de données électroniques ou d</w:t>
      </w:r>
      <w:r>
        <w:rPr>
          <w:rFonts w:cs="Times New Roman"/>
          <w:lang w:val="fr-CA"/>
        </w:rPr>
        <w:t>’</w:t>
      </w:r>
      <w:r w:rsidRPr="00990245">
        <w:rPr>
          <w:rFonts w:cs="Times New Roman"/>
          <w:lang w:val="fr-CA"/>
        </w:rPr>
        <w:t>imprimé, ou sous toute autre forme intelligible. Enfin,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64 offre une certaine protection au secret professionnel de l</w:t>
      </w:r>
      <w:r>
        <w:rPr>
          <w:rFonts w:cs="Times New Roman"/>
          <w:lang w:val="fr-CA"/>
        </w:rPr>
        <w:t>’</w:t>
      </w:r>
      <w:r w:rsidRPr="00990245">
        <w:rPr>
          <w:rFonts w:cs="Times New Roman"/>
          <w:lang w:val="fr-CA"/>
        </w:rPr>
        <w:t>avocat durant l</w:t>
      </w:r>
      <w:r>
        <w:rPr>
          <w:rFonts w:cs="Times New Roman"/>
          <w:lang w:val="fr-CA"/>
        </w:rPr>
        <w:t>’</w:t>
      </w:r>
      <w:r w:rsidRPr="00990245">
        <w:rPr>
          <w:rFonts w:cs="Times New Roman"/>
          <w:lang w:val="fr-CA"/>
        </w:rPr>
        <w:t xml:space="preserve">exercice de ces pouvoirs. </w:t>
      </w:r>
    </w:p>
    <w:p w:rsidR="00CA3D49" w:rsidRPr="00990245" w:rsidRDefault="00CA3D49" w:rsidP="00CA3D49">
      <w:pPr>
        <w:pStyle w:val="ParaNoNdepar-AltN"/>
        <w:rPr>
          <w:rFonts w:cs="Times New Roman"/>
          <w:lang w:val="fr-CA"/>
        </w:rPr>
      </w:pPr>
      <w:r w:rsidRPr="00990245">
        <w:rPr>
          <w:rFonts w:cs="Times New Roman"/>
          <w:lang w:val="fr-CA"/>
        </w:rPr>
        <w:t xml:space="preserve">Le procureur général admet que </w:t>
      </w:r>
      <w:proofErr w:type="gramStart"/>
      <w:r w:rsidRPr="00990245">
        <w:rPr>
          <w:rFonts w:cs="Times New Roman"/>
          <w:lang w:val="fr-CA"/>
        </w:rPr>
        <w:t>les art</w:t>
      </w:r>
      <w:proofErr w:type="gramEnd"/>
      <w:r w:rsidRPr="00990245">
        <w:rPr>
          <w:rFonts w:cs="Times New Roman"/>
          <w:lang w:val="fr-CA"/>
        </w:rPr>
        <w:t>.</w:t>
      </w:r>
      <w:r w:rsidR="00601B6E">
        <w:rPr>
          <w:rFonts w:cs="Times New Roman"/>
          <w:lang w:val="fr-CA"/>
        </w:rPr>
        <w:t xml:space="preserve"> </w:t>
      </w:r>
      <w:r w:rsidRPr="00990245">
        <w:rPr>
          <w:rFonts w:cs="Times New Roman"/>
          <w:lang w:val="fr-CA"/>
        </w:rPr>
        <w:t>62 et 63.1 autorisent les fouilles, les perquisitions et les saisies au sens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8. De toute évidence, il en va de même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63. Ces dispositions n</w:t>
      </w:r>
      <w:r>
        <w:rPr>
          <w:rFonts w:cs="Times New Roman"/>
          <w:lang w:val="fr-CA"/>
        </w:rPr>
        <w:t>’</w:t>
      </w:r>
      <w:r w:rsidRPr="00990245">
        <w:rPr>
          <w:rFonts w:cs="Times New Roman"/>
          <w:lang w:val="fr-CA"/>
        </w:rPr>
        <w:t>exigent pas seulement que l</w:t>
      </w:r>
      <w:r>
        <w:rPr>
          <w:rFonts w:cs="Times New Roman"/>
          <w:lang w:val="fr-CA"/>
        </w:rPr>
        <w:t>’</w:t>
      </w:r>
      <w:r w:rsidRPr="00990245">
        <w:rPr>
          <w:rFonts w:cs="Times New Roman"/>
          <w:lang w:val="fr-CA"/>
        </w:rPr>
        <w:t>on produise un type de document en particulier</w:t>
      </w:r>
      <w:r w:rsidR="00601B6E">
        <w:rPr>
          <w:rFonts w:cs="Times New Roman"/>
          <w:lang w:val="fr-CA"/>
        </w:rPr>
        <w:t> :</w:t>
      </w:r>
      <w:r w:rsidRPr="00990245">
        <w:rPr>
          <w:rFonts w:cs="Times New Roman"/>
          <w:lang w:val="fr-CA"/>
        </w:rPr>
        <w:t xml:space="preserve"> elles permettent à la personne autorisée d</w:t>
      </w:r>
      <w:r>
        <w:rPr>
          <w:rFonts w:cs="Times New Roman"/>
          <w:lang w:val="fr-CA"/>
        </w:rPr>
        <w:t>’</w:t>
      </w:r>
      <w:r w:rsidR="00601B6E">
        <w:rPr>
          <w:rFonts w:cs="Times New Roman"/>
          <w:lang w:val="fr-CA"/>
        </w:rPr>
        <w:t>« </w:t>
      </w:r>
      <w:r w:rsidRPr="00990245">
        <w:rPr>
          <w:rFonts w:cs="Times New Roman"/>
          <w:lang w:val="fr-CA"/>
        </w:rPr>
        <w:t xml:space="preserve">examiner les documents et les activités des personnes ou entités [assujetties à la </w:t>
      </w:r>
      <w:r w:rsidRPr="00825622">
        <w:rPr>
          <w:rFonts w:cs="Times New Roman"/>
          <w:iCs/>
          <w:lang w:val="fr-CA"/>
        </w:rPr>
        <w:t>Loi</w:t>
      </w:r>
      <w:r w:rsidRPr="00990245">
        <w:rPr>
          <w:rFonts w:cs="Times New Roman"/>
          <w:lang w:val="fr-CA"/>
        </w:rPr>
        <w:t>] afin de procéder à des contrôles d</w:t>
      </w:r>
      <w:r>
        <w:rPr>
          <w:rFonts w:cs="Times New Roman"/>
          <w:lang w:val="fr-CA"/>
        </w:rPr>
        <w:t>’</w:t>
      </w:r>
      <w:r w:rsidRPr="00990245">
        <w:rPr>
          <w:rFonts w:cs="Times New Roman"/>
          <w:lang w:val="fr-CA"/>
        </w:rPr>
        <w:t>application de la partie</w:t>
      </w:r>
      <w:r w:rsidR="00601B6E">
        <w:rPr>
          <w:rFonts w:cs="Times New Roman"/>
          <w:lang w:val="fr-CA"/>
        </w:rPr>
        <w:t xml:space="preserve"> </w:t>
      </w:r>
      <w:r w:rsidR="00825622">
        <w:rPr>
          <w:rFonts w:cs="Times New Roman"/>
          <w:lang w:val="fr-CA"/>
        </w:rPr>
        <w:t>1</w:t>
      </w:r>
      <w:r w:rsidR="00601B6E">
        <w:rPr>
          <w:rFonts w:cs="Times New Roman"/>
          <w:lang w:val="fr-CA"/>
        </w:rPr>
        <w:t> »</w:t>
      </w:r>
      <w:r w:rsidRPr="00990245">
        <w:rPr>
          <w:rFonts w:cs="Times New Roman"/>
          <w:lang w:val="fr-CA"/>
        </w:rPr>
        <w:t xml:space="preserve"> (par.</w:t>
      </w:r>
      <w:r w:rsidR="00601B6E">
        <w:rPr>
          <w:rFonts w:cs="Times New Roman"/>
          <w:lang w:val="fr-CA"/>
        </w:rPr>
        <w:t xml:space="preserve"> </w:t>
      </w:r>
      <w:r w:rsidRPr="00990245">
        <w:rPr>
          <w:rFonts w:cs="Times New Roman"/>
          <w:lang w:val="fr-CA"/>
        </w:rPr>
        <w:t>62(1)), en plus de leur permettre de faire des copies des documents en question et de les emporter (al.</w:t>
      </w:r>
      <w:r w:rsidR="00601B6E">
        <w:rPr>
          <w:rFonts w:cs="Times New Roman"/>
          <w:lang w:val="fr-CA"/>
        </w:rPr>
        <w:t xml:space="preserve"> </w:t>
      </w:r>
      <w:r w:rsidRPr="00990245">
        <w:rPr>
          <w:rFonts w:cs="Times New Roman"/>
          <w:lang w:val="fr-CA"/>
        </w:rPr>
        <w:t>62(1</w:t>
      </w:r>
      <w:proofErr w:type="gramStart"/>
      <w:r w:rsidRPr="00990245">
        <w:rPr>
          <w:rFonts w:cs="Times New Roman"/>
          <w:lang w:val="fr-CA"/>
        </w:rPr>
        <w:t>)</w:t>
      </w:r>
      <w:r w:rsidRPr="00990245">
        <w:rPr>
          <w:rFonts w:cs="Times New Roman"/>
          <w:i/>
          <w:lang w:val="fr-CA"/>
        </w:rPr>
        <w:t>c</w:t>
      </w:r>
      <w:proofErr w:type="gramEnd"/>
      <w:r w:rsidRPr="00990245">
        <w:rPr>
          <w:rFonts w:cs="Times New Roman"/>
          <w:lang w:val="fr-CA"/>
        </w:rPr>
        <w:t xml:space="preserve">)). </w:t>
      </w:r>
    </w:p>
    <w:p w:rsidR="00CA3D49" w:rsidRPr="00990245" w:rsidRDefault="00CA3D49" w:rsidP="00CA3D49">
      <w:pPr>
        <w:pStyle w:val="ParaNoNdepar-AltN"/>
        <w:rPr>
          <w:rFonts w:cs="Times New Roman"/>
          <w:lang w:val="fr-CA"/>
        </w:rPr>
      </w:pPr>
      <w:r w:rsidRPr="00990245">
        <w:rPr>
          <w:rFonts w:cs="Times New Roman"/>
          <w:lang w:val="fr-CA"/>
        </w:rPr>
        <w:lastRenderedPageBreak/>
        <w:t>Ni l</w:t>
      </w:r>
      <w:r>
        <w:rPr>
          <w:rFonts w:cs="Times New Roman"/>
          <w:lang w:val="fr-CA"/>
        </w:rPr>
        <w:t>’</w:t>
      </w:r>
      <w:r w:rsidRPr="00990245">
        <w:rPr>
          <w:rFonts w:cs="Times New Roman"/>
          <w:lang w:val="fr-CA"/>
        </w:rPr>
        <w:t>un ni l</w:t>
      </w:r>
      <w:r>
        <w:rPr>
          <w:rFonts w:cs="Times New Roman"/>
          <w:lang w:val="fr-CA"/>
        </w:rPr>
        <w:t>’</w:t>
      </w:r>
      <w:r w:rsidRPr="00990245">
        <w:rPr>
          <w:rFonts w:cs="Times New Roman"/>
          <w:lang w:val="fr-CA"/>
        </w:rPr>
        <w:t>autre des tribunaux de la Colombie</w:t>
      </w:r>
      <w:r w:rsidR="00601B6E">
        <w:rPr>
          <w:rFonts w:cs="Times New Roman"/>
          <w:lang w:val="fr-CA"/>
        </w:rPr>
        <w:t>-</w:t>
      </w:r>
      <w:r w:rsidRPr="00990245">
        <w:rPr>
          <w:rFonts w:cs="Times New Roman"/>
          <w:lang w:val="fr-CA"/>
        </w:rPr>
        <w:t>Britannique n</w:t>
      </w:r>
      <w:r>
        <w:rPr>
          <w:rFonts w:cs="Times New Roman"/>
          <w:lang w:val="fr-CA"/>
        </w:rPr>
        <w:t>’</w:t>
      </w:r>
      <w:r w:rsidRPr="00990245">
        <w:rPr>
          <w:rFonts w:cs="Times New Roman"/>
          <w:lang w:val="fr-CA"/>
        </w:rPr>
        <w:t>a examiné la question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8, mais j</w:t>
      </w:r>
      <w:r>
        <w:rPr>
          <w:rFonts w:cs="Times New Roman"/>
          <w:lang w:val="fr-CA"/>
        </w:rPr>
        <w:t>’</w:t>
      </w:r>
      <w:r w:rsidRPr="00990245">
        <w:rPr>
          <w:rFonts w:cs="Times New Roman"/>
          <w:lang w:val="fr-CA"/>
        </w:rPr>
        <w:t>ai trouvé utile de l</w:t>
      </w:r>
      <w:r>
        <w:rPr>
          <w:rFonts w:cs="Times New Roman"/>
          <w:lang w:val="fr-CA"/>
        </w:rPr>
        <w:t>’</w:t>
      </w:r>
      <w:r w:rsidRPr="00990245">
        <w:rPr>
          <w:rFonts w:cs="Times New Roman"/>
          <w:lang w:val="fr-CA"/>
        </w:rPr>
        <w:t>aborder en premier. Cela me paraît la meilleure façon d</w:t>
      </w:r>
      <w:r>
        <w:rPr>
          <w:rFonts w:cs="Times New Roman"/>
          <w:lang w:val="fr-CA"/>
        </w:rPr>
        <w:t>’</w:t>
      </w:r>
      <w:r w:rsidRPr="00990245">
        <w:rPr>
          <w:rFonts w:cs="Times New Roman"/>
          <w:lang w:val="fr-CA"/>
        </w:rPr>
        <w:t>analyser la constitutionnalité des dispositions relatives à l</w:t>
      </w:r>
      <w:r>
        <w:rPr>
          <w:rFonts w:cs="Times New Roman"/>
          <w:lang w:val="fr-CA"/>
        </w:rPr>
        <w:t>’</w:t>
      </w:r>
      <w:r w:rsidRPr="00990245">
        <w:rPr>
          <w:rFonts w:cs="Times New Roman"/>
          <w:lang w:val="fr-CA"/>
        </w:rPr>
        <w:t>inspection des cabinets d</w:t>
      </w:r>
      <w:r>
        <w:rPr>
          <w:rFonts w:cs="Times New Roman"/>
          <w:lang w:val="fr-CA"/>
        </w:rPr>
        <w:t>’</w:t>
      </w:r>
      <w:r w:rsidRPr="00990245">
        <w:rPr>
          <w:rFonts w:cs="Times New Roman"/>
          <w:lang w:val="fr-CA"/>
        </w:rPr>
        <w:t>avocats. Dès lors que les mesures en question constituent des fouilles, des perquisitions ou des saisies injustifiées et abusives, elles sont inconstitutionnelles par application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8 et il n</w:t>
      </w:r>
      <w:r>
        <w:rPr>
          <w:rFonts w:cs="Times New Roman"/>
          <w:lang w:val="fr-CA"/>
        </w:rPr>
        <w:t>’</w:t>
      </w:r>
      <w:r w:rsidRPr="00990245">
        <w:rPr>
          <w:rFonts w:cs="Times New Roman"/>
          <w:lang w:val="fr-CA"/>
        </w:rPr>
        <w:t>est pas nécessaire de procéder à une analyse distincte sur la base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7 selon un principe proposé de justice fondamentale qui se rapporte au secret professionnel de l</w:t>
      </w:r>
      <w:r>
        <w:rPr>
          <w:rFonts w:cs="Times New Roman"/>
          <w:lang w:val="fr-CA"/>
        </w:rPr>
        <w:t>’</w:t>
      </w:r>
      <w:r w:rsidRPr="00990245">
        <w:rPr>
          <w:rFonts w:cs="Times New Roman"/>
          <w:lang w:val="fr-CA"/>
        </w:rPr>
        <w:t>avocat (</w:t>
      </w:r>
      <w:proofErr w:type="spellStart"/>
      <w:r w:rsidRPr="00990245">
        <w:rPr>
          <w:rFonts w:cs="Times New Roman"/>
          <w:i/>
          <w:iCs/>
          <w:lang w:val="fr-CA"/>
        </w:rPr>
        <w:t>Lavallee</w:t>
      </w:r>
      <w:proofErr w:type="spellEnd"/>
      <w:r w:rsidRPr="00990245">
        <w:rPr>
          <w:rFonts w:cs="Times New Roman"/>
          <w:i/>
          <w:iCs/>
          <w:lang w:val="fr-CA"/>
        </w:rPr>
        <w:t xml:space="preserve">, </w:t>
      </w:r>
      <w:proofErr w:type="spellStart"/>
      <w:r w:rsidRPr="00990245">
        <w:rPr>
          <w:rFonts w:cs="Times New Roman"/>
          <w:i/>
          <w:iCs/>
          <w:lang w:val="fr-CA"/>
        </w:rPr>
        <w:t>Rackel</w:t>
      </w:r>
      <w:proofErr w:type="spellEnd"/>
      <w:r w:rsidRPr="00990245">
        <w:rPr>
          <w:rFonts w:cs="Times New Roman"/>
          <w:i/>
          <w:iCs/>
          <w:lang w:val="fr-CA"/>
        </w:rPr>
        <w:t xml:space="preserve"> &amp; </w:t>
      </w:r>
      <w:proofErr w:type="spellStart"/>
      <w:r w:rsidRPr="00990245">
        <w:rPr>
          <w:rFonts w:cs="Times New Roman"/>
          <w:i/>
          <w:iCs/>
          <w:lang w:val="fr-CA"/>
        </w:rPr>
        <w:t>Heintz</w:t>
      </w:r>
      <w:proofErr w:type="spellEnd"/>
      <w:r w:rsidRPr="00990245">
        <w:rPr>
          <w:rFonts w:cs="Times New Roman"/>
          <w:i/>
          <w:iCs/>
          <w:lang w:val="fr-CA"/>
        </w:rPr>
        <w:t xml:space="preserve"> c. Canada (Procureur général)</w:t>
      </w:r>
      <w:r w:rsidRPr="00990245">
        <w:rPr>
          <w:rFonts w:cs="Times New Roman"/>
          <w:lang w:val="fr-CA"/>
        </w:rPr>
        <w:t>, 2002 CSC 61, [2002] 3 R.C.S. 209, par.</w:t>
      </w:r>
      <w:r w:rsidR="00601B6E">
        <w:rPr>
          <w:rFonts w:cs="Times New Roman"/>
          <w:lang w:val="fr-CA"/>
        </w:rPr>
        <w:t xml:space="preserve"> </w:t>
      </w:r>
      <w:r w:rsidRPr="00990245">
        <w:rPr>
          <w:rFonts w:cs="Times New Roman"/>
          <w:lang w:val="fr-CA"/>
        </w:rPr>
        <w:t>34</w:t>
      </w:r>
      <w:r w:rsidR="00601B6E">
        <w:rPr>
          <w:rFonts w:cs="Times New Roman"/>
          <w:lang w:val="fr-CA"/>
        </w:rPr>
        <w:t>-</w:t>
      </w:r>
      <w:r w:rsidRPr="00990245">
        <w:rPr>
          <w:rFonts w:cs="Times New Roman"/>
          <w:lang w:val="fr-CA"/>
        </w:rPr>
        <w:t xml:space="preserve">35). </w:t>
      </w:r>
    </w:p>
    <w:p w:rsidR="00CA3D49" w:rsidRPr="00990245" w:rsidRDefault="00CA3D49" w:rsidP="00CA3D49">
      <w:pPr>
        <w:pStyle w:val="ParaNoNdepar-AltN"/>
        <w:rPr>
          <w:rFonts w:cs="Times New Roman"/>
          <w:lang w:val="fr-CA"/>
        </w:rPr>
      </w:pPr>
      <w:r w:rsidRPr="00990245">
        <w:rPr>
          <w:rFonts w:cs="Times New Roman"/>
          <w:lang w:val="fr-CA"/>
        </w:rPr>
        <w:t>La Fédération affirme que ces dispositions violent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8 de la </w:t>
      </w:r>
      <w:r w:rsidRPr="00990245">
        <w:rPr>
          <w:rFonts w:cs="Times New Roman"/>
          <w:i/>
          <w:iCs/>
          <w:lang w:val="fr-CA"/>
        </w:rPr>
        <w:t>Charte</w:t>
      </w:r>
      <w:r w:rsidRPr="00990245">
        <w:rPr>
          <w:rFonts w:cs="Times New Roman"/>
          <w:lang w:val="fr-CA"/>
        </w:rPr>
        <w:t>, surtout parce qu</w:t>
      </w:r>
      <w:r>
        <w:rPr>
          <w:rFonts w:cs="Times New Roman"/>
          <w:lang w:val="fr-CA"/>
        </w:rPr>
        <w:t>’</w:t>
      </w:r>
      <w:r w:rsidRPr="00990245">
        <w:rPr>
          <w:rFonts w:cs="Times New Roman"/>
          <w:lang w:val="fr-CA"/>
        </w:rPr>
        <w:t>elles permettent de perquisitionner dans des cabinets d</w:t>
      </w:r>
      <w:r>
        <w:rPr>
          <w:rFonts w:cs="Times New Roman"/>
          <w:lang w:val="fr-CA"/>
        </w:rPr>
        <w:t>’</w:t>
      </w:r>
      <w:r w:rsidRPr="00990245">
        <w:rPr>
          <w:rFonts w:cs="Times New Roman"/>
          <w:lang w:val="fr-CA"/>
        </w:rPr>
        <w:t>avocats d</w:t>
      </w:r>
      <w:r>
        <w:rPr>
          <w:rFonts w:cs="Times New Roman"/>
          <w:lang w:val="fr-CA"/>
        </w:rPr>
        <w:t>’</w:t>
      </w:r>
      <w:r w:rsidRPr="00990245">
        <w:rPr>
          <w:rFonts w:cs="Times New Roman"/>
          <w:lang w:val="fr-CA"/>
        </w:rPr>
        <w:t>une façon incompatible avec les principes énoncés par la Cour dans l</w:t>
      </w:r>
      <w:r>
        <w:rPr>
          <w:rFonts w:cs="Times New Roman"/>
          <w:lang w:val="fr-CA"/>
        </w:rPr>
        <w:t>’</w:t>
      </w:r>
      <w:r w:rsidRPr="00990245">
        <w:rPr>
          <w:rFonts w:cs="Times New Roman"/>
          <w:lang w:val="fr-CA"/>
        </w:rPr>
        <w:t xml:space="preserve">arrêt </w:t>
      </w:r>
      <w:proofErr w:type="spellStart"/>
      <w:r w:rsidRPr="00990245">
        <w:rPr>
          <w:rFonts w:cs="Times New Roman"/>
          <w:i/>
          <w:iCs/>
          <w:lang w:val="fr-CA"/>
        </w:rPr>
        <w:t>Lavallee</w:t>
      </w:r>
      <w:proofErr w:type="spellEnd"/>
      <w:r w:rsidRPr="00990245">
        <w:rPr>
          <w:rFonts w:cs="Times New Roman"/>
          <w:lang w:val="fr-CA"/>
        </w:rPr>
        <w:t>. Le procureur général prétend pour sa part que les fouilles, les perquisitions et les saisies autorisées par le régime sont raisonnables</w:t>
      </w:r>
      <w:r w:rsidR="00601B6E">
        <w:rPr>
          <w:rFonts w:cs="Times New Roman"/>
          <w:lang w:val="fr-CA"/>
        </w:rPr>
        <w:t> :</w:t>
      </w:r>
      <w:r w:rsidRPr="00990245">
        <w:rPr>
          <w:rFonts w:cs="Times New Roman"/>
          <w:lang w:val="fr-CA"/>
        </w:rPr>
        <w:t xml:space="preserve"> elles concernent une catégorie restreinte de documents et ne visent qu</w:t>
      </w:r>
      <w:r>
        <w:rPr>
          <w:rFonts w:cs="Times New Roman"/>
          <w:lang w:val="fr-CA"/>
        </w:rPr>
        <w:t>’</w:t>
      </w:r>
      <w:r w:rsidRPr="00990245">
        <w:rPr>
          <w:rFonts w:cs="Times New Roman"/>
          <w:lang w:val="fr-CA"/>
        </w:rPr>
        <w:t>un objectif réglementaire précis, et des garanties appropriées protègent le secret professionnel de l</w:t>
      </w:r>
      <w:r>
        <w:rPr>
          <w:rFonts w:cs="Times New Roman"/>
          <w:lang w:val="fr-CA"/>
        </w:rPr>
        <w:t>’</w:t>
      </w:r>
      <w:r w:rsidRPr="00990245">
        <w:rPr>
          <w:rFonts w:cs="Times New Roman"/>
          <w:lang w:val="fr-CA"/>
        </w:rPr>
        <w:t>avocat.</w:t>
      </w:r>
    </w:p>
    <w:p w:rsidR="00CA3D49" w:rsidRPr="00990245" w:rsidRDefault="00CA3D49" w:rsidP="00CA3D49">
      <w:pPr>
        <w:pStyle w:val="ParaNoNdepar-AltN"/>
        <w:rPr>
          <w:rFonts w:cs="Times New Roman"/>
          <w:u w:val="single"/>
          <w:lang w:val="fr-CA"/>
        </w:rPr>
      </w:pPr>
      <w:r w:rsidRPr="00990245">
        <w:rPr>
          <w:rFonts w:cs="Times New Roman"/>
          <w:lang w:val="fr-CA"/>
        </w:rPr>
        <w:t>Avec égards, je ne retiens pas la thèse du procureur général.</w:t>
      </w:r>
      <w:r w:rsidR="00601B6E">
        <w:rPr>
          <w:rFonts w:cs="Times New Roman"/>
          <w:lang w:val="fr-CA"/>
        </w:rPr>
        <w:t xml:space="preserve"> </w:t>
      </w:r>
      <w:r w:rsidRPr="00990245">
        <w:rPr>
          <w:rFonts w:cs="Times New Roman"/>
          <w:lang w:val="fr-CA"/>
        </w:rPr>
        <w:t>Le régime autorise une perquisition approfondie du cabinet d</w:t>
      </w:r>
      <w:r>
        <w:rPr>
          <w:rFonts w:cs="Times New Roman"/>
          <w:lang w:val="fr-CA"/>
        </w:rPr>
        <w:t>’</w:t>
      </w:r>
      <w:r w:rsidRPr="00990245">
        <w:rPr>
          <w:rFonts w:cs="Times New Roman"/>
          <w:lang w:val="fr-CA"/>
        </w:rPr>
        <w:t>avocats qui risque, de par sa nature, de violer le secret professionnel de l</w:t>
      </w:r>
      <w:r>
        <w:rPr>
          <w:rFonts w:cs="Times New Roman"/>
          <w:lang w:val="fr-CA"/>
        </w:rPr>
        <w:t>’</w:t>
      </w:r>
      <w:r w:rsidRPr="00990245">
        <w:rPr>
          <w:rFonts w:cs="Times New Roman"/>
          <w:lang w:val="fr-CA"/>
        </w:rPr>
        <w:t>avocat. Le régime le fait dans un contexte de droit criminel et aux fins d</w:t>
      </w:r>
      <w:r>
        <w:rPr>
          <w:rFonts w:cs="Times New Roman"/>
          <w:lang w:val="fr-CA"/>
        </w:rPr>
        <w:t>’</w:t>
      </w:r>
      <w:r w:rsidRPr="00990245">
        <w:rPr>
          <w:rFonts w:cs="Times New Roman"/>
          <w:lang w:val="fr-CA"/>
        </w:rPr>
        <w:t xml:space="preserve">application du droit criminel. À mon avis, les principes </w:t>
      </w:r>
      <w:r w:rsidRPr="00990245">
        <w:rPr>
          <w:rFonts w:cs="Times New Roman"/>
          <w:lang w:val="fr-CA"/>
        </w:rPr>
        <w:lastRenderedPageBreak/>
        <w:t>constitutionnels qui régissent cette perquisition sont exposés dans l</w:t>
      </w:r>
      <w:r>
        <w:rPr>
          <w:rFonts w:cs="Times New Roman"/>
          <w:lang w:val="fr-CA"/>
        </w:rPr>
        <w:t>’</w:t>
      </w:r>
      <w:r w:rsidRPr="00990245">
        <w:rPr>
          <w:rFonts w:cs="Times New Roman"/>
          <w:lang w:val="fr-CA"/>
        </w:rPr>
        <w:t xml:space="preserve">arrêt </w:t>
      </w:r>
      <w:proofErr w:type="spellStart"/>
      <w:r w:rsidRPr="00990245">
        <w:rPr>
          <w:rFonts w:cs="Times New Roman"/>
          <w:i/>
          <w:lang w:val="fr-CA"/>
        </w:rPr>
        <w:t>Lavallee</w:t>
      </w:r>
      <w:proofErr w:type="spellEnd"/>
      <w:r w:rsidRPr="00990245">
        <w:rPr>
          <w:rFonts w:cs="Times New Roman"/>
          <w:i/>
          <w:lang w:val="fr-CA"/>
        </w:rPr>
        <w:t xml:space="preserve"> </w:t>
      </w:r>
      <w:r w:rsidRPr="00990245">
        <w:rPr>
          <w:rFonts w:cs="Times New Roman"/>
          <w:lang w:val="fr-CA"/>
        </w:rPr>
        <w:t xml:space="preserve">de la Cour et le régime en cause ne les respecte pas. </w:t>
      </w:r>
    </w:p>
    <w:p w:rsidR="00CA3D49" w:rsidRPr="00990245" w:rsidRDefault="00CA3D49" w:rsidP="00A8558F">
      <w:pPr>
        <w:pStyle w:val="Title3LevelTitre3Niveau"/>
        <w:keepNext/>
        <w:tabs>
          <w:tab w:val="clear" w:pos="864"/>
        </w:tabs>
        <w:ind w:left="900" w:hanging="450"/>
        <w:rPr>
          <w:rFonts w:cs="Times New Roman"/>
          <w:lang w:val="fr-CA"/>
        </w:rPr>
      </w:pPr>
      <w:r w:rsidRPr="00990245">
        <w:rPr>
          <w:rFonts w:cs="Times New Roman"/>
          <w:lang w:val="fr-CA"/>
        </w:rPr>
        <w:t>Protection du secret professionnel de l</w:t>
      </w:r>
      <w:r>
        <w:rPr>
          <w:rFonts w:cs="Times New Roman"/>
          <w:lang w:val="fr-CA"/>
        </w:rPr>
        <w:t>’</w:t>
      </w:r>
      <w:r w:rsidRPr="00990245">
        <w:rPr>
          <w:rFonts w:cs="Times New Roman"/>
          <w:lang w:val="fr-CA"/>
        </w:rPr>
        <w:t>avocat</w:t>
      </w:r>
    </w:p>
    <w:p w:rsidR="00CA3D49" w:rsidRPr="00990245" w:rsidRDefault="00CA3D49" w:rsidP="00CA3D49">
      <w:pPr>
        <w:pStyle w:val="ParaNoNdepar-AltN"/>
        <w:rPr>
          <w:rFonts w:cs="Times New Roman"/>
          <w:lang w:val="fr-CA"/>
        </w:rPr>
      </w:pPr>
      <w:r w:rsidRPr="00990245">
        <w:rPr>
          <w:rFonts w:cs="Times New Roman"/>
          <w:lang w:val="fr-CA"/>
        </w:rPr>
        <w:t>Le pouvoir de perquisitionner dans un cabinet d</w:t>
      </w:r>
      <w:r>
        <w:rPr>
          <w:rFonts w:cs="Times New Roman"/>
          <w:lang w:val="fr-CA"/>
        </w:rPr>
        <w:t>’</w:t>
      </w:r>
      <w:r w:rsidRPr="00990245">
        <w:rPr>
          <w:rFonts w:cs="Times New Roman"/>
          <w:lang w:val="fr-CA"/>
        </w:rPr>
        <w:t>avocats est abusif, sauf s</w:t>
      </w:r>
      <w:r>
        <w:rPr>
          <w:rFonts w:cs="Times New Roman"/>
          <w:lang w:val="fr-CA"/>
        </w:rPr>
        <w:t>’</w:t>
      </w:r>
      <w:r w:rsidRPr="00990245">
        <w:rPr>
          <w:rFonts w:cs="Times New Roman"/>
          <w:lang w:val="fr-CA"/>
        </w:rPr>
        <w:t>il accorde une grande protection au document visé par le secret professionnel de l</w:t>
      </w:r>
      <w:r>
        <w:rPr>
          <w:rFonts w:cs="Times New Roman"/>
          <w:lang w:val="fr-CA"/>
        </w:rPr>
        <w:t>’</w:t>
      </w:r>
      <w:r w:rsidRPr="00990245">
        <w:rPr>
          <w:rFonts w:cs="Times New Roman"/>
          <w:lang w:val="fr-CA"/>
        </w:rPr>
        <w:t>avocat (</w:t>
      </w:r>
      <w:proofErr w:type="spellStart"/>
      <w:r w:rsidRPr="00990245">
        <w:rPr>
          <w:rFonts w:cs="Times New Roman"/>
          <w:i/>
          <w:iCs/>
          <w:lang w:val="fr-CA"/>
        </w:rPr>
        <w:t>Lavallee</w:t>
      </w:r>
      <w:proofErr w:type="spellEnd"/>
      <w:r w:rsidRPr="00990245">
        <w:rPr>
          <w:rFonts w:cs="Times New Roman"/>
          <w:lang w:val="fr-CA"/>
        </w:rPr>
        <w:t>)</w:t>
      </w:r>
      <w:r w:rsidRPr="00825622">
        <w:rPr>
          <w:rFonts w:cs="Times New Roman"/>
          <w:iCs/>
          <w:lang w:val="fr-CA"/>
        </w:rPr>
        <w:t>.</w:t>
      </w:r>
      <w:r w:rsidRPr="00990245">
        <w:rPr>
          <w:rFonts w:cs="Times New Roman"/>
          <w:i/>
          <w:iCs/>
          <w:lang w:val="fr-CA"/>
        </w:rPr>
        <w:t xml:space="preserve"> </w:t>
      </w:r>
      <w:r w:rsidRPr="00990245">
        <w:rPr>
          <w:rFonts w:cs="Times New Roman"/>
          <w:lang w:val="fr-CA"/>
        </w:rPr>
        <w:t>Le procureur général soutient toutefois que l</w:t>
      </w:r>
      <w:r>
        <w:rPr>
          <w:rFonts w:cs="Times New Roman"/>
          <w:lang w:val="fr-CA"/>
        </w:rPr>
        <w:t>’</w:t>
      </w:r>
      <w:r w:rsidRPr="00990245">
        <w:rPr>
          <w:rFonts w:cs="Times New Roman"/>
          <w:lang w:val="fr-CA"/>
        </w:rPr>
        <w:t xml:space="preserve">arrêt </w:t>
      </w:r>
      <w:proofErr w:type="spellStart"/>
      <w:r w:rsidRPr="00990245">
        <w:rPr>
          <w:rFonts w:cs="Times New Roman"/>
          <w:i/>
          <w:iCs/>
          <w:lang w:val="fr-CA"/>
        </w:rPr>
        <w:t>Lavallee</w:t>
      </w:r>
      <w:proofErr w:type="spellEnd"/>
      <w:r w:rsidRPr="00990245">
        <w:rPr>
          <w:rFonts w:cs="Times New Roman"/>
          <w:i/>
          <w:iCs/>
          <w:lang w:val="fr-CA"/>
        </w:rPr>
        <w:t xml:space="preserve"> </w:t>
      </w:r>
      <w:r w:rsidRPr="00990245">
        <w:rPr>
          <w:rFonts w:cs="Times New Roman"/>
          <w:lang w:val="fr-CA"/>
        </w:rPr>
        <w:t>ne dicte pas l</w:t>
      </w:r>
      <w:r>
        <w:rPr>
          <w:rFonts w:cs="Times New Roman"/>
          <w:lang w:val="fr-CA"/>
        </w:rPr>
        <w:t>’</w:t>
      </w:r>
      <w:r w:rsidRPr="00990245">
        <w:rPr>
          <w:rFonts w:cs="Times New Roman"/>
          <w:lang w:val="fr-CA"/>
        </w:rPr>
        <w:t>issue du présent pourvoi</w:t>
      </w:r>
      <w:r w:rsidR="00601B6E">
        <w:rPr>
          <w:rFonts w:cs="Times New Roman"/>
          <w:lang w:val="fr-CA"/>
        </w:rPr>
        <w:t> :</w:t>
      </w:r>
      <w:r w:rsidRPr="00990245">
        <w:rPr>
          <w:rFonts w:cs="Times New Roman"/>
          <w:lang w:val="fr-CA"/>
        </w:rPr>
        <w:t xml:space="preserve"> dans cette affaire, la Cour examinait seulement la question des garanties exigées par la Constitution lorsque les responsables de l</w:t>
      </w:r>
      <w:r>
        <w:rPr>
          <w:rFonts w:cs="Times New Roman"/>
          <w:lang w:val="fr-CA"/>
        </w:rPr>
        <w:t>’</w:t>
      </w:r>
      <w:r w:rsidRPr="00990245">
        <w:rPr>
          <w:rFonts w:cs="Times New Roman"/>
          <w:lang w:val="fr-CA"/>
        </w:rPr>
        <w:t>application de la loi recherchent la preuve d</w:t>
      </w:r>
      <w:r>
        <w:rPr>
          <w:rFonts w:cs="Times New Roman"/>
          <w:lang w:val="fr-CA"/>
        </w:rPr>
        <w:t>’</w:t>
      </w:r>
      <w:r w:rsidRPr="00990245">
        <w:rPr>
          <w:rFonts w:cs="Times New Roman"/>
          <w:lang w:val="fr-CA"/>
        </w:rPr>
        <w:t>agissements criminels, ce qui n</w:t>
      </w:r>
      <w:r>
        <w:rPr>
          <w:rFonts w:cs="Times New Roman"/>
          <w:lang w:val="fr-CA"/>
        </w:rPr>
        <w:t>’</w:t>
      </w:r>
      <w:r w:rsidRPr="00990245">
        <w:rPr>
          <w:rFonts w:cs="Times New Roman"/>
          <w:lang w:val="fr-CA"/>
        </w:rPr>
        <w:t>est pas le cas en l</w:t>
      </w:r>
      <w:r>
        <w:rPr>
          <w:rFonts w:cs="Times New Roman"/>
          <w:lang w:val="fr-CA"/>
        </w:rPr>
        <w:t>’</w:t>
      </w:r>
      <w:r w:rsidRPr="00990245">
        <w:rPr>
          <w:rFonts w:cs="Times New Roman"/>
          <w:lang w:val="fr-CA"/>
        </w:rPr>
        <w:t>espèce, à l</w:t>
      </w:r>
      <w:r>
        <w:rPr>
          <w:rFonts w:cs="Times New Roman"/>
          <w:lang w:val="fr-CA"/>
        </w:rPr>
        <w:t>’</w:t>
      </w:r>
      <w:r w:rsidRPr="00990245">
        <w:rPr>
          <w:rFonts w:cs="Times New Roman"/>
          <w:lang w:val="fr-CA"/>
        </w:rPr>
        <w:t>égard d</w:t>
      </w:r>
      <w:r>
        <w:rPr>
          <w:rFonts w:cs="Times New Roman"/>
          <w:lang w:val="fr-CA"/>
        </w:rPr>
        <w:t>’</w:t>
      </w:r>
      <w:r w:rsidRPr="00990245">
        <w:rPr>
          <w:rFonts w:cs="Times New Roman"/>
          <w:lang w:val="fr-CA"/>
        </w:rPr>
        <w:t>un régime visant à assurer le respect d</w:t>
      </w:r>
      <w:r>
        <w:rPr>
          <w:rFonts w:cs="Times New Roman"/>
          <w:lang w:val="fr-CA"/>
        </w:rPr>
        <w:t>’</w:t>
      </w:r>
      <w:r w:rsidRPr="00990245">
        <w:rPr>
          <w:rFonts w:cs="Times New Roman"/>
          <w:lang w:val="fr-CA"/>
        </w:rPr>
        <w:t>une réglementation administrative.</w:t>
      </w:r>
    </w:p>
    <w:p w:rsidR="00CA3D49" w:rsidRPr="00990245" w:rsidRDefault="00CA3D49" w:rsidP="00CA3D49">
      <w:pPr>
        <w:pStyle w:val="ParaNoNdepar-AltN"/>
        <w:rPr>
          <w:rFonts w:cs="Times New Roman"/>
          <w:lang w:val="fr-CA"/>
        </w:rPr>
      </w:pPr>
      <w:r w:rsidRPr="00990245">
        <w:rPr>
          <w:rFonts w:cs="Times New Roman"/>
          <w:lang w:val="fr-CA"/>
        </w:rPr>
        <w:t>Je reconnais évidemment que, lorsqu</w:t>
      </w:r>
      <w:r>
        <w:rPr>
          <w:rFonts w:cs="Times New Roman"/>
          <w:lang w:val="fr-CA"/>
        </w:rPr>
        <w:t>’</w:t>
      </w:r>
      <w:r w:rsidRPr="00990245">
        <w:rPr>
          <w:rFonts w:cs="Times New Roman"/>
          <w:lang w:val="fr-CA"/>
        </w:rPr>
        <w:t>une disposition en matière de fouille ou de perquisition fait partie d</w:t>
      </w:r>
      <w:r>
        <w:rPr>
          <w:rFonts w:cs="Times New Roman"/>
          <w:lang w:val="fr-CA"/>
        </w:rPr>
        <w:t>’</w:t>
      </w:r>
      <w:r w:rsidRPr="00990245">
        <w:rPr>
          <w:rFonts w:cs="Times New Roman"/>
          <w:lang w:val="fr-CA"/>
        </w:rPr>
        <w:t>un régime réglementaire, l</w:t>
      </w:r>
      <w:r>
        <w:rPr>
          <w:rFonts w:cs="Times New Roman"/>
          <w:lang w:val="fr-CA"/>
        </w:rPr>
        <w:t>’</w:t>
      </w:r>
      <w:r w:rsidRPr="00990245">
        <w:rPr>
          <w:rFonts w:cs="Times New Roman"/>
          <w:lang w:val="fr-CA"/>
        </w:rPr>
        <w:t>attente raisonnable de l</w:t>
      </w:r>
      <w:r>
        <w:rPr>
          <w:rFonts w:cs="Times New Roman"/>
          <w:lang w:val="fr-CA"/>
        </w:rPr>
        <w:t>’</w:t>
      </w:r>
      <w:r w:rsidRPr="00990245">
        <w:rPr>
          <w:rFonts w:cs="Times New Roman"/>
          <w:lang w:val="fr-CA"/>
        </w:rPr>
        <w:t>intéressé au respect de sa vie privée peut être moindre (</w:t>
      </w:r>
      <w:r w:rsidRPr="00990245">
        <w:rPr>
          <w:rFonts w:cs="Times New Roman"/>
          <w:i/>
          <w:lang w:val="fr-CA"/>
        </w:rPr>
        <w:t xml:space="preserve">Thomson </w:t>
      </w:r>
      <w:proofErr w:type="spellStart"/>
      <w:r w:rsidRPr="00990245">
        <w:rPr>
          <w:rFonts w:cs="Times New Roman"/>
          <w:i/>
          <w:lang w:val="fr-CA"/>
        </w:rPr>
        <w:t>Newspapers</w:t>
      </w:r>
      <w:proofErr w:type="spellEnd"/>
      <w:r w:rsidRPr="00990245">
        <w:rPr>
          <w:rFonts w:cs="Times New Roman"/>
          <w:i/>
          <w:lang w:val="fr-CA"/>
        </w:rPr>
        <w:t xml:space="preserve"> Ltd. c. Canada (Directeur des enquêtes et recherches</w:t>
      </w:r>
      <w:r w:rsidRPr="00990245">
        <w:rPr>
          <w:rFonts w:cs="Times New Roman"/>
          <w:lang w:val="fr-CA"/>
        </w:rPr>
        <w:t xml:space="preserve">, </w:t>
      </w:r>
      <w:r w:rsidRPr="00990245">
        <w:rPr>
          <w:rFonts w:cs="Times New Roman"/>
          <w:i/>
          <w:lang w:val="fr-CA"/>
        </w:rPr>
        <w:t>Commission sur les pratiques restrictives du commerce)</w:t>
      </w:r>
      <w:r w:rsidRPr="00990245">
        <w:rPr>
          <w:rFonts w:cs="Times New Roman"/>
          <w:lang w:val="fr-CA"/>
        </w:rPr>
        <w:t>, [1990] 1 R.C.S. 425, p.</w:t>
      </w:r>
      <w:r w:rsidR="00601B6E">
        <w:rPr>
          <w:rFonts w:cs="Times New Roman"/>
          <w:lang w:val="fr-CA"/>
        </w:rPr>
        <w:t xml:space="preserve"> </w:t>
      </w:r>
      <w:r w:rsidRPr="00990245">
        <w:rPr>
          <w:rFonts w:cs="Times New Roman"/>
          <w:lang w:val="fr-CA"/>
        </w:rPr>
        <w:t xml:space="preserve">507; </w:t>
      </w:r>
      <w:r w:rsidRPr="00990245">
        <w:rPr>
          <w:rFonts w:cs="Times New Roman"/>
          <w:i/>
          <w:lang w:val="fr-CA"/>
        </w:rPr>
        <w:t xml:space="preserve">R. c. </w:t>
      </w:r>
      <w:proofErr w:type="spellStart"/>
      <w:r w:rsidRPr="00990245">
        <w:rPr>
          <w:rFonts w:cs="Times New Roman"/>
          <w:i/>
          <w:lang w:val="fr-CA"/>
        </w:rPr>
        <w:t>Fitzpatrick</w:t>
      </w:r>
      <w:proofErr w:type="spellEnd"/>
      <w:r w:rsidRPr="00990245">
        <w:rPr>
          <w:rFonts w:cs="Times New Roman"/>
          <w:lang w:val="fr-CA"/>
        </w:rPr>
        <w:t>, [1995] 4 R.C.S. 154, par.</w:t>
      </w:r>
      <w:r w:rsidR="00601B6E">
        <w:rPr>
          <w:rFonts w:cs="Times New Roman"/>
          <w:lang w:val="fr-CA"/>
        </w:rPr>
        <w:t xml:space="preserve"> </w:t>
      </w:r>
      <w:r w:rsidRPr="00990245">
        <w:rPr>
          <w:rFonts w:cs="Times New Roman"/>
          <w:lang w:val="fr-CA"/>
        </w:rPr>
        <w:t>49). Je n</w:t>
      </w:r>
      <w:r>
        <w:rPr>
          <w:rFonts w:cs="Times New Roman"/>
          <w:lang w:val="fr-CA"/>
        </w:rPr>
        <w:t>’</w:t>
      </w:r>
      <w:r w:rsidRPr="00990245">
        <w:rPr>
          <w:rFonts w:cs="Times New Roman"/>
          <w:lang w:val="fr-CA"/>
        </w:rPr>
        <w:t xml:space="preserve">accepte cependant pas la prétention du procureur général voulant que le présent régime puisse être qualifié à bon droit de </w:t>
      </w:r>
      <w:r w:rsidRPr="00990245">
        <w:rPr>
          <w:rFonts w:cs="Times New Roman"/>
          <w:smallCaps/>
          <w:lang w:val="fr-CA"/>
        </w:rPr>
        <w:t>[traduction]</w:t>
      </w:r>
      <w:r w:rsidRPr="00990245">
        <w:rPr>
          <w:rFonts w:cs="Times New Roman"/>
          <w:lang w:val="fr-CA"/>
        </w:rPr>
        <w:t xml:space="preserve"> </w:t>
      </w:r>
      <w:r w:rsidR="00601B6E">
        <w:rPr>
          <w:rFonts w:cs="Times New Roman"/>
          <w:lang w:val="fr-CA"/>
        </w:rPr>
        <w:t>« </w:t>
      </w:r>
      <w:r w:rsidRPr="00990245">
        <w:rPr>
          <w:rFonts w:cs="Times New Roman"/>
          <w:lang w:val="fr-CA"/>
        </w:rPr>
        <w:t>régime visant à assurer le respect d</w:t>
      </w:r>
      <w:r>
        <w:rPr>
          <w:rFonts w:cs="Times New Roman"/>
          <w:lang w:val="fr-CA"/>
        </w:rPr>
        <w:t>’</w:t>
      </w:r>
      <w:r w:rsidRPr="00990245">
        <w:rPr>
          <w:rFonts w:cs="Times New Roman"/>
          <w:lang w:val="fr-CA"/>
        </w:rPr>
        <w:t>une réglementation administrative</w:t>
      </w:r>
      <w:r w:rsidR="00601B6E">
        <w:rPr>
          <w:rFonts w:cs="Times New Roman"/>
          <w:lang w:val="fr-CA"/>
        </w:rPr>
        <w:t> »</w:t>
      </w:r>
      <w:r w:rsidRPr="00990245">
        <w:rPr>
          <w:rFonts w:cs="Times New Roman"/>
          <w:lang w:val="fr-CA"/>
        </w:rPr>
        <w:t xml:space="preserve"> (</w:t>
      </w:r>
      <w:proofErr w:type="gramStart"/>
      <w:r w:rsidRPr="00990245">
        <w:rPr>
          <w:rFonts w:cs="Times New Roman"/>
          <w:lang w:val="fr-CA"/>
        </w:rPr>
        <w:t>m.a.,</w:t>
      </w:r>
      <w:proofErr w:type="gramEnd"/>
      <w:r w:rsidRPr="00990245">
        <w:rPr>
          <w:rFonts w:cs="Times New Roman"/>
          <w:lang w:val="fr-CA"/>
        </w:rPr>
        <w:t xml:space="preserve"> par.</w:t>
      </w:r>
      <w:r w:rsidR="00601B6E">
        <w:rPr>
          <w:rFonts w:cs="Times New Roman"/>
          <w:lang w:val="fr-CA"/>
        </w:rPr>
        <w:t xml:space="preserve"> </w:t>
      </w:r>
      <w:r w:rsidRPr="00990245">
        <w:rPr>
          <w:rFonts w:cs="Times New Roman"/>
          <w:lang w:val="fr-CA"/>
        </w:rPr>
        <w:t>111). Tel que l</w:t>
      </w:r>
      <w:r>
        <w:rPr>
          <w:rFonts w:cs="Times New Roman"/>
          <w:lang w:val="fr-CA"/>
        </w:rPr>
        <w:t>’</w:t>
      </w:r>
      <w:r w:rsidRPr="00990245">
        <w:rPr>
          <w:rFonts w:cs="Times New Roman"/>
          <w:lang w:val="fr-CA"/>
        </w:rPr>
        <w:t xml:space="preserve">indique la </w:t>
      </w:r>
      <w:r w:rsidRPr="00825622">
        <w:rPr>
          <w:rFonts w:cs="Times New Roman"/>
          <w:lang w:val="fr-CA"/>
        </w:rPr>
        <w:t>Loi</w:t>
      </w:r>
      <w:r w:rsidRPr="00990245">
        <w:rPr>
          <w:rFonts w:cs="Times New Roman"/>
          <w:lang w:val="fr-CA"/>
        </w:rPr>
        <w:t xml:space="preserve"> et, de fait, comme l</w:t>
      </w:r>
      <w:r>
        <w:rPr>
          <w:rFonts w:cs="Times New Roman"/>
          <w:lang w:val="fr-CA"/>
        </w:rPr>
        <w:t>’</w:t>
      </w:r>
      <w:r w:rsidRPr="00990245">
        <w:rPr>
          <w:rFonts w:cs="Times New Roman"/>
          <w:lang w:val="fr-CA"/>
        </w:rPr>
        <w:t xml:space="preserve">explique le procureur général dans ses observations, le régime a pour objet de détecter et de décourager les infractions </w:t>
      </w:r>
      <w:r w:rsidRPr="00990245">
        <w:rPr>
          <w:rFonts w:cs="Times New Roman"/>
          <w:lang w:val="fr-CA"/>
        </w:rPr>
        <w:lastRenderedPageBreak/>
        <w:t>criminelles de recyclage des produits de la criminalité et de financement des activités terroristes, et de faciliter les enquêtes et les poursuites relatives à ces infractions graves (al.</w:t>
      </w:r>
      <w:r w:rsidR="00601B6E">
        <w:rPr>
          <w:rFonts w:cs="Times New Roman"/>
          <w:lang w:val="fr-CA"/>
        </w:rPr>
        <w:t xml:space="preserve"> </w:t>
      </w:r>
      <w:r w:rsidRPr="00990245">
        <w:rPr>
          <w:rFonts w:cs="Times New Roman"/>
          <w:lang w:val="fr-CA"/>
        </w:rPr>
        <w:t>3</w:t>
      </w:r>
      <w:r w:rsidRPr="00990245">
        <w:rPr>
          <w:rFonts w:cs="Times New Roman"/>
          <w:i/>
          <w:lang w:val="fr-CA"/>
        </w:rPr>
        <w:t>a</w:t>
      </w:r>
      <w:r w:rsidRPr="00990245">
        <w:rPr>
          <w:rFonts w:cs="Times New Roman"/>
          <w:lang w:val="fr-CA"/>
        </w:rPr>
        <w:t>)). Le régime impose des sanctions pénales aux avocats en cas de non</w:t>
      </w:r>
      <w:r w:rsidR="00601B6E">
        <w:rPr>
          <w:rFonts w:cs="Times New Roman"/>
          <w:lang w:val="fr-CA"/>
        </w:rPr>
        <w:t>-</w:t>
      </w:r>
      <w:r w:rsidRPr="00990245">
        <w:rPr>
          <w:rFonts w:cs="Times New Roman"/>
          <w:lang w:val="fr-CA"/>
        </w:rPr>
        <w:t xml:space="preserve">respect de la loi. Par conséquent, il a un caractère principalement pénal et ses éléments réglementaires visent des objectifs du droit criminel. </w:t>
      </w:r>
    </w:p>
    <w:p w:rsidR="00CA3D49" w:rsidRPr="00990245" w:rsidRDefault="00CA3D49" w:rsidP="00CA3D49">
      <w:pPr>
        <w:pStyle w:val="ParaNoNdepar-AltN"/>
        <w:rPr>
          <w:rFonts w:cs="Times New Roman"/>
          <w:lang w:val="fr-CA"/>
        </w:rPr>
      </w:pPr>
      <w:r w:rsidRPr="00990245">
        <w:rPr>
          <w:rFonts w:cs="Times New Roman"/>
          <w:lang w:val="fr-CA"/>
        </w:rPr>
        <w:t>Je reconnais en outre que, comme l</w:t>
      </w:r>
      <w:r>
        <w:rPr>
          <w:rFonts w:cs="Times New Roman"/>
          <w:lang w:val="fr-CA"/>
        </w:rPr>
        <w:t>’</w:t>
      </w:r>
      <w:r w:rsidRPr="00990245">
        <w:rPr>
          <w:rFonts w:cs="Times New Roman"/>
          <w:lang w:val="fr-CA"/>
        </w:rPr>
        <w:t xml:space="preserve">a fait observer la juge </w:t>
      </w:r>
      <w:proofErr w:type="spellStart"/>
      <w:r w:rsidRPr="00990245">
        <w:rPr>
          <w:rFonts w:cs="Times New Roman"/>
          <w:lang w:val="fr-CA"/>
        </w:rPr>
        <w:t>Arbour</w:t>
      </w:r>
      <w:proofErr w:type="spellEnd"/>
      <w:r w:rsidRPr="00990245">
        <w:rPr>
          <w:rFonts w:cs="Times New Roman"/>
          <w:lang w:val="fr-CA"/>
        </w:rPr>
        <w:t xml:space="preserve"> dans </w:t>
      </w:r>
      <w:proofErr w:type="spellStart"/>
      <w:r w:rsidRPr="00990245">
        <w:rPr>
          <w:rFonts w:cs="Times New Roman"/>
          <w:i/>
          <w:iCs/>
          <w:lang w:val="fr-CA"/>
        </w:rPr>
        <w:t>Lavallee</w:t>
      </w:r>
      <w:proofErr w:type="spellEnd"/>
      <w:r w:rsidRPr="00990245">
        <w:rPr>
          <w:rFonts w:cs="Times New Roman"/>
          <w:lang w:val="fr-CA"/>
        </w:rPr>
        <w:t xml:space="preserve">, </w:t>
      </w:r>
      <w:r w:rsidR="00601B6E">
        <w:rPr>
          <w:rFonts w:cs="Times New Roman"/>
          <w:lang w:val="fr-CA"/>
        </w:rPr>
        <w:t>« </w:t>
      </w:r>
      <w:r w:rsidRPr="00990245">
        <w:rPr>
          <w:rFonts w:cs="Times New Roman"/>
          <w:lang w:val="fr-CA"/>
        </w:rPr>
        <w:t>le besoin de la protection entière du privilège se fait sentir</w:t>
      </w:r>
      <w:r w:rsidR="00601B6E">
        <w:rPr>
          <w:rFonts w:cs="Times New Roman"/>
          <w:lang w:val="fr-CA"/>
        </w:rPr>
        <w:t> »</w:t>
      </w:r>
      <w:r w:rsidRPr="00990245">
        <w:rPr>
          <w:rFonts w:cs="Times New Roman"/>
          <w:lang w:val="fr-CA"/>
        </w:rPr>
        <w:t xml:space="preserve"> dans le cadre d</w:t>
      </w:r>
      <w:r>
        <w:rPr>
          <w:rFonts w:cs="Times New Roman"/>
          <w:lang w:val="fr-CA"/>
        </w:rPr>
        <w:t>’</w:t>
      </w:r>
      <w:r w:rsidRPr="00990245">
        <w:rPr>
          <w:rFonts w:cs="Times New Roman"/>
          <w:lang w:val="fr-CA"/>
        </w:rPr>
        <w:t>une enquête criminelle (par.</w:t>
      </w:r>
      <w:r w:rsidR="00601B6E">
        <w:rPr>
          <w:rFonts w:cs="Times New Roman"/>
          <w:lang w:val="fr-CA"/>
        </w:rPr>
        <w:t xml:space="preserve"> </w:t>
      </w:r>
      <w:r w:rsidRPr="00990245">
        <w:rPr>
          <w:rFonts w:cs="Times New Roman"/>
          <w:lang w:val="fr-CA"/>
        </w:rPr>
        <w:t>23). Toutefois, l</w:t>
      </w:r>
      <w:r>
        <w:rPr>
          <w:rFonts w:cs="Times New Roman"/>
          <w:lang w:val="fr-CA"/>
        </w:rPr>
        <w:t>’</w:t>
      </w:r>
      <w:r w:rsidRPr="00990245">
        <w:rPr>
          <w:rFonts w:cs="Times New Roman"/>
          <w:lang w:val="fr-CA"/>
        </w:rPr>
        <w:t>attente raisonnable à l</w:t>
      </w:r>
      <w:r>
        <w:rPr>
          <w:rFonts w:cs="Times New Roman"/>
          <w:lang w:val="fr-CA"/>
        </w:rPr>
        <w:t>’</w:t>
      </w:r>
      <w:r w:rsidRPr="00990245">
        <w:rPr>
          <w:rFonts w:cs="Times New Roman"/>
          <w:lang w:val="fr-CA"/>
        </w:rPr>
        <w:t>égard de la confidentialité des communications protégées par le secret professionnel de l</w:t>
      </w:r>
      <w:r>
        <w:rPr>
          <w:rFonts w:cs="Times New Roman"/>
          <w:lang w:val="fr-CA"/>
        </w:rPr>
        <w:t>’</w:t>
      </w:r>
      <w:r w:rsidRPr="00990245">
        <w:rPr>
          <w:rFonts w:cs="Times New Roman"/>
          <w:lang w:val="fr-CA"/>
        </w:rPr>
        <w:t>avocat est invariablement élevée, peu importe le contexte. Le principal élément moteur de cette attente élevée en matière de respect de la vie privée est la nature particulièrement protégée de la relation avocat</w:t>
      </w:r>
      <w:r w:rsidR="00601B6E">
        <w:rPr>
          <w:rFonts w:cs="Times New Roman"/>
          <w:lang w:val="fr-CA"/>
        </w:rPr>
        <w:t>-</w:t>
      </w:r>
      <w:r w:rsidRPr="00990245">
        <w:rPr>
          <w:rFonts w:cs="Times New Roman"/>
          <w:lang w:val="fr-CA"/>
        </w:rPr>
        <w:t>client, et non le contexte dans lequel l</w:t>
      </w:r>
      <w:r>
        <w:rPr>
          <w:rFonts w:cs="Times New Roman"/>
          <w:lang w:val="fr-CA"/>
        </w:rPr>
        <w:t>’</w:t>
      </w:r>
      <w:r w:rsidRPr="00990245">
        <w:rPr>
          <w:rFonts w:cs="Times New Roman"/>
          <w:lang w:val="fr-CA"/>
        </w:rPr>
        <w:t>État cherche à s</w:t>
      </w:r>
      <w:r>
        <w:rPr>
          <w:rFonts w:cs="Times New Roman"/>
          <w:lang w:val="fr-CA"/>
        </w:rPr>
        <w:t>’</w:t>
      </w:r>
      <w:r w:rsidRPr="00990245">
        <w:rPr>
          <w:rFonts w:cs="Times New Roman"/>
          <w:lang w:val="fr-CA"/>
        </w:rPr>
        <w:t>ingérer dans cette zone particulièrement protégée. Je n</w:t>
      </w:r>
      <w:r>
        <w:rPr>
          <w:rFonts w:cs="Times New Roman"/>
          <w:lang w:val="fr-CA"/>
        </w:rPr>
        <w:t>’</w:t>
      </w:r>
      <w:r w:rsidRPr="00990245">
        <w:rPr>
          <w:rFonts w:cs="Times New Roman"/>
          <w:lang w:val="fr-CA"/>
        </w:rPr>
        <w:t>accepte pas la proposition selon laquelle l</w:t>
      </w:r>
      <w:r>
        <w:rPr>
          <w:rFonts w:cs="Times New Roman"/>
          <w:lang w:val="fr-CA"/>
        </w:rPr>
        <w:t>’</w:t>
      </w:r>
      <w:r w:rsidRPr="00990245">
        <w:rPr>
          <w:rFonts w:cs="Times New Roman"/>
          <w:lang w:val="fr-CA"/>
        </w:rPr>
        <w:t>attente est moins élevée dans le cas des communications protégées par le secret professionnel de l</w:t>
      </w:r>
      <w:r>
        <w:rPr>
          <w:rFonts w:cs="Times New Roman"/>
          <w:lang w:val="fr-CA"/>
        </w:rPr>
        <w:t>’</w:t>
      </w:r>
      <w:r w:rsidRPr="00990245">
        <w:rPr>
          <w:rFonts w:cs="Times New Roman"/>
          <w:lang w:val="fr-CA"/>
        </w:rPr>
        <w:t>avocat lorsqu</w:t>
      </w:r>
      <w:r>
        <w:rPr>
          <w:rFonts w:cs="Times New Roman"/>
          <w:lang w:val="fr-CA"/>
        </w:rPr>
        <w:t>’</w:t>
      </w:r>
      <w:r w:rsidRPr="00990245">
        <w:rPr>
          <w:rFonts w:cs="Times New Roman"/>
          <w:lang w:val="fr-CA"/>
        </w:rPr>
        <w:t>un fonctionnaire du CANAFE perquisitionne dans un cabinet d</w:t>
      </w:r>
      <w:r>
        <w:rPr>
          <w:rFonts w:cs="Times New Roman"/>
          <w:lang w:val="fr-CA"/>
        </w:rPr>
        <w:t>’</w:t>
      </w:r>
      <w:r w:rsidRPr="00990245">
        <w:rPr>
          <w:rFonts w:cs="Times New Roman"/>
          <w:lang w:val="fr-CA"/>
        </w:rPr>
        <w:t>avocats que lorsqu</w:t>
      </w:r>
      <w:r>
        <w:rPr>
          <w:rFonts w:cs="Times New Roman"/>
          <w:lang w:val="fr-CA"/>
        </w:rPr>
        <w:t>’</w:t>
      </w:r>
      <w:r w:rsidRPr="00990245">
        <w:rPr>
          <w:rFonts w:cs="Times New Roman"/>
          <w:lang w:val="fr-CA"/>
        </w:rPr>
        <w:t>un policier perquisitionne au cours d</w:t>
      </w:r>
      <w:r>
        <w:rPr>
          <w:rFonts w:cs="Times New Roman"/>
          <w:lang w:val="fr-CA"/>
        </w:rPr>
        <w:t>’</w:t>
      </w:r>
      <w:r w:rsidRPr="00990245">
        <w:rPr>
          <w:rFonts w:cs="Times New Roman"/>
          <w:lang w:val="fr-CA"/>
        </w:rPr>
        <w:t xml:space="preserve">une enquête sur une éventuelle infraction criminelle. Bien que la juge </w:t>
      </w:r>
      <w:proofErr w:type="spellStart"/>
      <w:r w:rsidRPr="00990245">
        <w:rPr>
          <w:rFonts w:cs="Times New Roman"/>
          <w:lang w:val="fr-CA"/>
        </w:rPr>
        <w:t>Arbour</w:t>
      </w:r>
      <w:proofErr w:type="spellEnd"/>
      <w:r w:rsidRPr="00990245">
        <w:rPr>
          <w:rFonts w:cs="Times New Roman"/>
          <w:lang w:val="fr-CA"/>
        </w:rPr>
        <w:t xml:space="preserve"> ait situé son analyse dans le contexte des enquêtes criminelles (voir, p</w:t>
      </w:r>
      <w:r w:rsidR="00825622">
        <w:rPr>
          <w:rFonts w:cs="Times New Roman"/>
          <w:lang w:val="fr-CA"/>
        </w:rPr>
        <w:t>.</w:t>
      </w:r>
      <w:r w:rsidRPr="00990245">
        <w:rPr>
          <w:rFonts w:cs="Times New Roman"/>
          <w:lang w:val="fr-CA"/>
        </w:rPr>
        <w:t xml:space="preserve"> ex., par.</w:t>
      </w:r>
      <w:r w:rsidR="00601B6E">
        <w:rPr>
          <w:rFonts w:cs="Times New Roman"/>
          <w:lang w:val="fr-CA"/>
        </w:rPr>
        <w:t xml:space="preserve"> </w:t>
      </w:r>
      <w:r w:rsidRPr="00990245">
        <w:rPr>
          <w:rFonts w:cs="Times New Roman"/>
          <w:lang w:val="fr-CA"/>
        </w:rPr>
        <w:t>25 et 49), elle a, comme beaucoup d</w:t>
      </w:r>
      <w:r>
        <w:rPr>
          <w:rFonts w:cs="Times New Roman"/>
          <w:lang w:val="fr-CA"/>
        </w:rPr>
        <w:t>’</w:t>
      </w:r>
      <w:r w:rsidRPr="00990245">
        <w:rPr>
          <w:rFonts w:cs="Times New Roman"/>
          <w:lang w:val="fr-CA"/>
        </w:rPr>
        <w:t>autres l</w:t>
      </w:r>
      <w:r>
        <w:rPr>
          <w:rFonts w:cs="Times New Roman"/>
          <w:lang w:val="fr-CA"/>
        </w:rPr>
        <w:t>’</w:t>
      </w:r>
      <w:r w:rsidRPr="00990245">
        <w:rPr>
          <w:rFonts w:cs="Times New Roman"/>
          <w:lang w:val="fr-CA"/>
        </w:rPr>
        <w:t>ont fait avant et après elle, confirmé avec vigueur l</w:t>
      </w:r>
      <w:r>
        <w:rPr>
          <w:rFonts w:cs="Times New Roman"/>
          <w:lang w:val="fr-CA"/>
        </w:rPr>
        <w:t>’</w:t>
      </w:r>
      <w:r w:rsidRPr="00990245">
        <w:rPr>
          <w:rFonts w:cs="Times New Roman"/>
          <w:lang w:val="fr-CA"/>
        </w:rPr>
        <w:t>importance fondamentale du secret professionnel de l</w:t>
      </w:r>
      <w:r>
        <w:rPr>
          <w:rFonts w:cs="Times New Roman"/>
          <w:lang w:val="fr-CA"/>
        </w:rPr>
        <w:t>’</w:t>
      </w:r>
      <w:r w:rsidRPr="00990245">
        <w:rPr>
          <w:rFonts w:cs="Times New Roman"/>
          <w:lang w:val="fr-CA"/>
        </w:rPr>
        <w:t>avocat. Comme elle l</w:t>
      </w:r>
      <w:r>
        <w:rPr>
          <w:rFonts w:cs="Times New Roman"/>
          <w:lang w:val="fr-CA"/>
        </w:rPr>
        <w:t>’</w:t>
      </w:r>
      <w:r w:rsidRPr="00990245">
        <w:rPr>
          <w:rFonts w:cs="Times New Roman"/>
          <w:lang w:val="fr-CA"/>
        </w:rPr>
        <w:t>a dit</w:t>
      </w:r>
      <w:r w:rsidR="00601B6E">
        <w:rPr>
          <w:rFonts w:cs="Times New Roman"/>
          <w:lang w:val="fr-CA"/>
        </w:rPr>
        <w:t> :</w:t>
      </w:r>
      <w:r w:rsidRPr="00990245">
        <w:rPr>
          <w:rFonts w:cs="Times New Roman"/>
          <w:lang w:val="fr-CA"/>
        </w:rPr>
        <w:t xml:space="preserve"> </w:t>
      </w:r>
    </w:p>
    <w:p w:rsidR="00CA3D49" w:rsidRPr="00990245" w:rsidRDefault="00CA3D49" w:rsidP="00CA3D49">
      <w:pPr>
        <w:pStyle w:val="Citation-AltC"/>
        <w:ind w:hanging="1166"/>
        <w:contextualSpacing w:val="0"/>
        <w:rPr>
          <w:lang w:val="fr-CA"/>
        </w:rPr>
      </w:pPr>
      <w:r w:rsidRPr="00990245">
        <w:rPr>
          <w:rStyle w:val="highlight"/>
          <w:lang w:val="fr-CA"/>
        </w:rPr>
        <w:lastRenderedPageBreak/>
        <w:tab/>
      </w:r>
      <w:r w:rsidR="00825622">
        <w:rPr>
          <w:rStyle w:val="highlight"/>
          <w:lang w:val="fr-CA"/>
        </w:rPr>
        <w:tab/>
      </w:r>
      <w:r w:rsidRPr="00990245">
        <w:rPr>
          <w:rStyle w:val="highlight"/>
          <w:lang w:val="fr-CA"/>
        </w:rPr>
        <w:t xml:space="preserve">Il est essentiel de souligner ici que </w:t>
      </w:r>
      <w:r w:rsidRPr="00990245">
        <w:rPr>
          <w:rStyle w:val="highlight"/>
          <w:u w:val="single"/>
          <w:lang w:val="fr-CA"/>
        </w:rPr>
        <w:t>l</w:t>
      </w:r>
      <w:r>
        <w:rPr>
          <w:rStyle w:val="highlight"/>
          <w:u w:val="single"/>
          <w:lang w:val="fr-CA"/>
        </w:rPr>
        <w:t>’</w:t>
      </w:r>
      <w:r w:rsidRPr="00990245">
        <w:rPr>
          <w:rStyle w:val="highlight"/>
          <w:u w:val="single"/>
          <w:lang w:val="fr-CA"/>
        </w:rPr>
        <w:t>État ne peut avoir accès aux renseignements protégés par le secret professionnel de l</w:t>
      </w:r>
      <w:r>
        <w:rPr>
          <w:rStyle w:val="highlight"/>
          <w:u w:val="single"/>
          <w:lang w:val="fr-CA"/>
        </w:rPr>
        <w:t>’</w:t>
      </w:r>
      <w:r w:rsidRPr="00990245">
        <w:rPr>
          <w:rStyle w:val="highlight"/>
          <w:u w:val="single"/>
          <w:lang w:val="fr-CA"/>
        </w:rPr>
        <w:t>avocat</w:t>
      </w:r>
      <w:r w:rsidR="00825622">
        <w:rPr>
          <w:rStyle w:val="highlight"/>
          <w:lang w:val="fr-CA"/>
        </w:rPr>
        <w:t>.</w:t>
      </w:r>
      <w:r w:rsidRPr="00990245">
        <w:rPr>
          <w:rStyle w:val="highlight"/>
          <w:lang w:val="fr-CA"/>
        </w:rPr>
        <w:t xml:space="preserve"> [</w:t>
      </w:r>
      <w:r w:rsidR="00601B6E">
        <w:rPr>
          <w:rStyle w:val="highlight"/>
          <w:lang w:val="fr-CA"/>
        </w:rPr>
        <w:t>. . .</w:t>
      </w:r>
      <w:r w:rsidRPr="00990245">
        <w:rPr>
          <w:rStyle w:val="highlight"/>
          <w:lang w:val="fr-CA"/>
        </w:rPr>
        <w:t xml:space="preserve">] </w:t>
      </w:r>
      <w:r w:rsidR="00825622">
        <w:rPr>
          <w:rStyle w:val="highlight"/>
          <w:lang w:val="fr-CA"/>
        </w:rPr>
        <w:t>[</w:t>
      </w:r>
      <w:r w:rsidR="001764BC">
        <w:rPr>
          <w:lang w:val="fr-CA"/>
        </w:rPr>
        <w:t>I</w:t>
      </w:r>
      <w:r w:rsidR="00825622">
        <w:rPr>
          <w:lang w:val="fr-CA"/>
        </w:rPr>
        <w:t>]</w:t>
      </w:r>
      <w:r w:rsidRPr="00990245">
        <w:rPr>
          <w:lang w:val="fr-CA"/>
        </w:rPr>
        <w:t xml:space="preserve">l y </w:t>
      </w:r>
      <w:r w:rsidRPr="00990245">
        <w:rPr>
          <w:rStyle w:val="highlight"/>
          <w:lang w:val="fr-CA"/>
        </w:rPr>
        <w:t>a une règle de justice fondamentale voulant que tout renseignement privilégié obtenu par l</w:t>
      </w:r>
      <w:r>
        <w:rPr>
          <w:rStyle w:val="highlight"/>
          <w:lang w:val="fr-CA"/>
        </w:rPr>
        <w:t>’</w:t>
      </w:r>
      <w:r w:rsidRPr="00990245">
        <w:rPr>
          <w:rStyle w:val="highlight"/>
          <w:lang w:val="fr-CA"/>
        </w:rPr>
        <w:t xml:space="preserve">État sans le consentement de son détenteur est un renseignement </w:t>
      </w:r>
      <w:r w:rsidRPr="00990245">
        <w:rPr>
          <w:rStyle w:val="highlight"/>
          <w:u w:val="single"/>
          <w:lang w:val="fr-CA"/>
        </w:rPr>
        <w:t>auquel l</w:t>
      </w:r>
      <w:r>
        <w:rPr>
          <w:rStyle w:val="highlight"/>
          <w:u w:val="single"/>
          <w:lang w:val="fr-CA"/>
        </w:rPr>
        <w:t>’</w:t>
      </w:r>
      <w:r w:rsidRPr="00990245">
        <w:rPr>
          <w:rStyle w:val="highlight"/>
          <w:u w:val="single"/>
          <w:lang w:val="fr-CA"/>
        </w:rPr>
        <w:t>État n</w:t>
      </w:r>
      <w:r>
        <w:rPr>
          <w:rStyle w:val="highlight"/>
          <w:u w:val="single"/>
          <w:lang w:val="fr-CA"/>
        </w:rPr>
        <w:t>’</w:t>
      </w:r>
      <w:r w:rsidRPr="00990245">
        <w:rPr>
          <w:rStyle w:val="highlight"/>
          <w:u w:val="single"/>
          <w:lang w:val="fr-CA"/>
        </w:rPr>
        <w:t>a pas droit</w:t>
      </w:r>
      <w:r>
        <w:rPr>
          <w:rStyle w:val="highlight"/>
          <w:lang w:val="fr-CA"/>
        </w:rPr>
        <w:t>.</w:t>
      </w:r>
      <w:r w:rsidRPr="00990245">
        <w:rPr>
          <w:rStyle w:val="highlight"/>
          <w:lang w:val="fr-CA"/>
        </w:rPr>
        <w:t xml:space="preserve"> </w:t>
      </w:r>
      <w:r w:rsidRPr="00990245">
        <w:rPr>
          <w:lang w:val="fr-CA"/>
        </w:rPr>
        <w:t>[Je souligne; par.</w:t>
      </w:r>
      <w:r w:rsidR="00601B6E">
        <w:rPr>
          <w:lang w:val="fr-CA"/>
        </w:rPr>
        <w:t xml:space="preserve"> </w:t>
      </w:r>
      <w:r w:rsidRPr="00990245">
        <w:rPr>
          <w:lang w:val="fr-CA"/>
        </w:rPr>
        <w:t>24.]</w:t>
      </w:r>
    </w:p>
    <w:p w:rsidR="00CA3D49" w:rsidRPr="00990245" w:rsidRDefault="00CA3D49" w:rsidP="00CA3D49">
      <w:pPr>
        <w:pStyle w:val="ParaNoNdepar-AltN"/>
        <w:rPr>
          <w:rFonts w:cs="Times New Roman"/>
          <w:lang w:val="fr-CA"/>
        </w:rPr>
      </w:pPr>
      <w:r w:rsidRPr="00990245">
        <w:rPr>
          <w:rFonts w:cs="Times New Roman"/>
          <w:lang w:val="fr-CA"/>
        </w:rPr>
        <w:t>Je ne vois aucune raison de penser que les communications entre l</w:t>
      </w:r>
      <w:r>
        <w:rPr>
          <w:rFonts w:cs="Times New Roman"/>
          <w:lang w:val="fr-CA"/>
        </w:rPr>
        <w:t>’</w:t>
      </w:r>
      <w:r w:rsidRPr="00990245">
        <w:rPr>
          <w:rFonts w:cs="Times New Roman"/>
          <w:lang w:val="fr-CA"/>
        </w:rPr>
        <w:t>avocat et son client devraient être plus vulnérables à une divulgation non consensuelle au cours d</w:t>
      </w:r>
      <w:r>
        <w:rPr>
          <w:rFonts w:cs="Times New Roman"/>
          <w:lang w:val="fr-CA"/>
        </w:rPr>
        <w:t>’</w:t>
      </w:r>
      <w:r w:rsidRPr="00990245">
        <w:rPr>
          <w:rFonts w:cs="Times New Roman"/>
          <w:lang w:val="fr-CA"/>
        </w:rPr>
        <w:t>une fouille, d</w:t>
      </w:r>
      <w:r>
        <w:rPr>
          <w:rFonts w:cs="Times New Roman"/>
          <w:lang w:val="fr-CA"/>
        </w:rPr>
        <w:t>’</w:t>
      </w:r>
      <w:r w:rsidRPr="00990245">
        <w:rPr>
          <w:rFonts w:cs="Times New Roman"/>
          <w:lang w:val="fr-CA"/>
        </w:rPr>
        <w:t>une perquisition ou d</w:t>
      </w:r>
      <w:r>
        <w:rPr>
          <w:rFonts w:cs="Times New Roman"/>
          <w:lang w:val="fr-CA"/>
        </w:rPr>
        <w:t>’</w:t>
      </w:r>
      <w:r w:rsidRPr="00990245">
        <w:rPr>
          <w:rFonts w:cs="Times New Roman"/>
          <w:lang w:val="fr-CA"/>
        </w:rPr>
        <w:t>une saisie effectuée par des fonctionnaires du CANAFE qu</w:t>
      </w:r>
      <w:r>
        <w:rPr>
          <w:rFonts w:cs="Times New Roman"/>
          <w:lang w:val="fr-CA"/>
        </w:rPr>
        <w:t>’</w:t>
      </w:r>
      <w:r w:rsidRPr="00990245">
        <w:rPr>
          <w:rFonts w:cs="Times New Roman"/>
          <w:lang w:val="fr-CA"/>
        </w:rPr>
        <w:t>elles le seraient lors de toute autre perquisition effectuée par d</w:t>
      </w:r>
      <w:r>
        <w:rPr>
          <w:rFonts w:cs="Times New Roman"/>
          <w:lang w:val="fr-CA"/>
        </w:rPr>
        <w:t>’</w:t>
      </w:r>
      <w:r w:rsidRPr="00990245">
        <w:rPr>
          <w:rFonts w:cs="Times New Roman"/>
          <w:lang w:val="fr-CA"/>
        </w:rPr>
        <w:t>autres autorités chargées d</w:t>
      </w:r>
      <w:r>
        <w:rPr>
          <w:rFonts w:cs="Times New Roman"/>
          <w:lang w:val="fr-CA"/>
        </w:rPr>
        <w:t>’</w:t>
      </w:r>
      <w:r w:rsidRPr="00990245">
        <w:rPr>
          <w:rFonts w:cs="Times New Roman"/>
          <w:lang w:val="fr-CA"/>
        </w:rPr>
        <w:t>appliquer la loi.</w:t>
      </w:r>
    </w:p>
    <w:p w:rsidR="00CA3D49" w:rsidRPr="00990245" w:rsidRDefault="00CA3D49" w:rsidP="00CA3D49">
      <w:pPr>
        <w:pStyle w:val="ParaNoNdepar-AltN"/>
        <w:rPr>
          <w:rFonts w:cs="Times New Roman"/>
          <w:lang w:val="fr-CA"/>
        </w:rPr>
      </w:pPr>
      <w:r w:rsidRPr="00990245">
        <w:rPr>
          <w:rFonts w:cs="Times New Roman"/>
          <w:lang w:val="fr-CA"/>
        </w:rPr>
        <w:t>Le procureur général affirme que les renseignements recherchés en l</w:t>
      </w:r>
      <w:r>
        <w:rPr>
          <w:rFonts w:cs="Times New Roman"/>
          <w:lang w:val="fr-CA"/>
        </w:rPr>
        <w:t>’</w:t>
      </w:r>
      <w:r w:rsidRPr="00990245">
        <w:rPr>
          <w:rFonts w:cs="Times New Roman"/>
          <w:lang w:val="fr-CA"/>
        </w:rPr>
        <w:t>espèce visent à faciliter la surveillance des activités de l</w:t>
      </w:r>
      <w:r>
        <w:rPr>
          <w:rFonts w:cs="Times New Roman"/>
          <w:lang w:val="fr-CA"/>
        </w:rPr>
        <w:t>’</w:t>
      </w:r>
      <w:r w:rsidRPr="00990245">
        <w:rPr>
          <w:rFonts w:cs="Times New Roman"/>
          <w:lang w:val="fr-CA"/>
        </w:rPr>
        <w:t>avocat et non de celles de son client, et qu</w:t>
      </w:r>
      <w:r>
        <w:rPr>
          <w:rFonts w:cs="Times New Roman"/>
          <w:lang w:val="fr-CA"/>
        </w:rPr>
        <w:t>’</w:t>
      </w:r>
      <w:r w:rsidRPr="00990245">
        <w:rPr>
          <w:rFonts w:cs="Times New Roman"/>
          <w:lang w:val="fr-CA"/>
        </w:rPr>
        <w:t>il existe une protection contre les utilisations dérivées. Mais il faut accorder peu de poids à ces facteurs dans le cas qui nous occupe. Comme nous l</w:t>
      </w:r>
      <w:r>
        <w:rPr>
          <w:rFonts w:cs="Times New Roman"/>
          <w:lang w:val="fr-CA"/>
        </w:rPr>
        <w:t>’</w:t>
      </w:r>
      <w:r w:rsidRPr="00990245">
        <w:rPr>
          <w:rFonts w:cs="Times New Roman"/>
          <w:lang w:val="fr-CA"/>
        </w:rPr>
        <w:t>avons déjà vu, les objectifs primordiaux du présent régime sont la prévention et la détection d</w:t>
      </w:r>
      <w:r>
        <w:rPr>
          <w:rFonts w:cs="Times New Roman"/>
          <w:lang w:val="fr-CA"/>
        </w:rPr>
        <w:t>’</w:t>
      </w:r>
      <w:r w:rsidRPr="00990245">
        <w:rPr>
          <w:rFonts w:cs="Times New Roman"/>
          <w:lang w:val="fr-CA"/>
        </w:rPr>
        <w:t xml:space="preserve">infractions criminelles graves. Le régime a donc peu de points en commun avec, par exemple, la législation sur la concurrence qui était en litige dans </w:t>
      </w:r>
      <w:r w:rsidRPr="00990245">
        <w:rPr>
          <w:rFonts w:cs="Times New Roman"/>
          <w:i/>
          <w:iCs/>
          <w:lang w:val="fr-CA"/>
        </w:rPr>
        <w:t xml:space="preserve">Thomson </w:t>
      </w:r>
      <w:proofErr w:type="spellStart"/>
      <w:r w:rsidRPr="00990245">
        <w:rPr>
          <w:rFonts w:cs="Times New Roman"/>
          <w:i/>
          <w:iCs/>
          <w:lang w:val="fr-CA"/>
        </w:rPr>
        <w:t>Newspapers</w:t>
      </w:r>
      <w:proofErr w:type="spellEnd"/>
      <w:r w:rsidRPr="00990245">
        <w:rPr>
          <w:rFonts w:cs="Times New Roman"/>
          <w:i/>
          <w:iCs/>
          <w:lang w:val="fr-CA"/>
        </w:rPr>
        <w:t xml:space="preserve"> </w:t>
      </w:r>
      <w:r w:rsidRPr="00990245">
        <w:rPr>
          <w:rFonts w:cs="Times New Roman"/>
          <w:lang w:val="fr-CA"/>
        </w:rPr>
        <w:t xml:space="preserve">ou avec la législation sur les pêches dont il était question dans </w:t>
      </w:r>
      <w:proofErr w:type="spellStart"/>
      <w:r w:rsidRPr="00990245">
        <w:rPr>
          <w:rFonts w:cs="Times New Roman"/>
          <w:i/>
          <w:iCs/>
          <w:lang w:val="fr-CA"/>
        </w:rPr>
        <w:t>Fitzpatrick</w:t>
      </w:r>
      <w:proofErr w:type="spellEnd"/>
      <w:r w:rsidRPr="00990245">
        <w:rPr>
          <w:rFonts w:cs="Times New Roman"/>
          <w:i/>
          <w:iCs/>
          <w:lang w:val="fr-CA"/>
        </w:rPr>
        <w:t xml:space="preserve">. </w:t>
      </w:r>
      <w:r w:rsidRPr="00990245">
        <w:rPr>
          <w:rFonts w:cs="Times New Roman"/>
          <w:iCs/>
          <w:lang w:val="fr-CA"/>
        </w:rPr>
        <w:t>De plus, j</w:t>
      </w:r>
      <w:r w:rsidRPr="00990245">
        <w:rPr>
          <w:rFonts w:cs="Times New Roman"/>
          <w:lang w:val="fr-CA"/>
        </w:rPr>
        <w:t>e rejette l</w:t>
      </w:r>
      <w:r>
        <w:rPr>
          <w:rFonts w:cs="Times New Roman"/>
          <w:lang w:val="fr-CA"/>
        </w:rPr>
        <w:t>’</w:t>
      </w:r>
      <w:r w:rsidRPr="00990245">
        <w:rPr>
          <w:rFonts w:cs="Times New Roman"/>
          <w:lang w:val="fr-CA"/>
        </w:rPr>
        <w:t>argument du procureur général que la vaste portée de ce pouvoir de fouille et de perquisition est restreinte d</w:t>
      </w:r>
      <w:r>
        <w:rPr>
          <w:rFonts w:cs="Times New Roman"/>
          <w:lang w:val="fr-CA"/>
        </w:rPr>
        <w:t>’</w:t>
      </w:r>
      <w:r w:rsidRPr="00990245">
        <w:rPr>
          <w:rFonts w:cs="Times New Roman"/>
          <w:lang w:val="fr-CA"/>
        </w:rPr>
        <w:t>une quelconque façon par ce que [</w:t>
      </w:r>
      <w:r w:rsidRPr="00990245">
        <w:rPr>
          <w:rFonts w:cs="Times New Roman"/>
          <w:smallCaps/>
          <w:lang w:val="fr-CA"/>
        </w:rPr>
        <w:t>traduction</w:t>
      </w:r>
      <w:r w:rsidRPr="00990245">
        <w:rPr>
          <w:rFonts w:cs="Times New Roman"/>
          <w:lang w:val="fr-CA"/>
        </w:rPr>
        <w:t xml:space="preserve">] </w:t>
      </w:r>
      <w:r w:rsidR="00601B6E">
        <w:rPr>
          <w:rFonts w:cs="Times New Roman"/>
          <w:lang w:val="fr-CA"/>
        </w:rPr>
        <w:t>« </w:t>
      </w:r>
      <w:r w:rsidR="0074644A" w:rsidRPr="00990245">
        <w:rPr>
          <w:rFonts w:cs="Times New Roman"/>
          <w:lang w:val="fr-CA"/>
        </w:rPr>
        <w:t>l</w:t>
      </w:r>
      <w:r w:rsidR="0074644A">
        <w:rPr>
          <w:rFonts w:cs="Times New Roman"/>
          <w:lang w:val="fr-CA"/>
        </w:rPr>
        <w:t>’</w:t>
      </w:r>
      <w:r w:rsidRPr="00990245">
        <w:rPr>
          <w:rFonts w:cs="Times New Roman"/>
          <w:lang w:val="fr-CA"/>
        </w:rPr>
        <w:t>organisme de réglementation souhaite examiner</w:t>
      </w:r>
      <w:r w:rsidR="00601B6E">
        <w:rPr>
          <w:rFonts w:cs="Times New Roman"/>
          <w:lang w:val="fr-CA"/>
        </w:rPr>
        <w:t> »</w:t>
      </w:r>
      <w:r w:rsidRPr="00990245">
        <w:rPr>
          <w:rFonts w:cs="Times New Roman"/>
          <w:lang w:val="fr-CA"/>
        </w:rPr>
        <w:t xml:space="preserve"> (</w:t>
      </w:r>
      <w:proofErr w:type="gramStart"/>
      <w:r w:rsidRPr="00990245">
        <w:rPr>
          <w:rFonts w:cs="Times New Roman"/>
          <w:lang w:val="fr-CA"/>
        </w:rPr>
        <w:t>m.a.,</w:t>
      </w:r>
      <w:proofErr w:type="gramEnd"/>
      <w:r w:rsidRPr="00990245">
        <w:rPr>
          <w:rFonts w:cs="Times New Roman"/>
          <w:lang w:val="fr-CA"/>
        </w:rPr>
        <w:t xml:space="preserve"> par.</w:t>
      </w:r>
      <w:r w:rsidR="00601B6E">
        <w:rPr>
          <w:rFonts w:cs="Times New Roman"/>
          <w:lang w:val="fr-CA"/>
        </w:rPr>
        <w:t xml:space="preserve"> </w:t>
      </w:r>
      <w:r w:rsidRPr="00990245">
        <w:rPr>
          <w:rFonts w:cs="Times New Roman"/>
          <w:lang w:val="fr-CA"/>
        </w:rPr>
        <w:t xml:space="preserve">107). La </w:t>
      </w:r>
      <w:r w:rsidRPr="00825622">
        <w:rPr>
          <w:rFonts w:cs="Times New Roman"/>
          <w:lang w:val="fr-CA"/>
        </w:rPr>
        <w:t>Loi</w:t>
      </w:r>
      <w:r w:rsidRPr="00990245">
        <w:rPr>
          <w:rFonts w:cs="Times New Roman"/>
          <w:i/>
          <w:lang w:val="fr-CA"/>
        </w:rPr>
        <w:t xml:space="preserve"> </w:t>
      </w:r>
      <w:r w:rsidRPr="00990245">
        <w:rPr>
          <w:rFonts w:cs="Times New Roman"/>
          <w:lang w:val="fr-CA"/>
        </w:rPr>
        <w:t>vise à première vue à permettre à la personne autorisée de fouiller dans la masse de renseignements en la possession des avocats. Comme l</w:t>
      </w:r>
      <w:r>
        <w:rPr>
          <w:rFonts w:cs="Times New Roman"/>
          <w:lang w:val="fr-CA"/>
        </w:rPr>
        <w:t>’</w:t>
      </w:r>
      <w:r w:rsidRPr="00990245">
        <w:rPr>
          <w:rFonts w:cs="Times New Roman"/>
          <w:lang w:val="fr-CA"/>
        </w:rPr>
        <w:t>a dit avec justesse l</w:t>
      </w:r>
      <w:r>
        <w:rPr>
          <w:rFonts w:cs="Times New Roman"/>
          <w:lang w:val="fr-CA"/>
        </w:rPr>
        <w:t>’</w:t>
      </w:r>
      <w:r w:rsidRPr="00990245">
        <w:rPr>
          <w:rFonts w:cs="Times New Roman"/>
          <w:lang w:val="fr-CA"/>
        </w:rPr>
        <w:t xml:space="preserve">intervenante </w:t>
      </w:r>
      <w:proofErr w:type="spellStart"/>
      <w:r w:rsidRPr="00990245">
        <w:rPr>
          <w:rFonts w:cs="Times New Roman"/>
          <w:lang w:val="fr-CA"/>
        </w:rPr>
        <w:t>Criminal</w:t>
      </w:r>
      <w:proofErr w:type="spellEnd"/>
      <w:r w:rsidRPr="00990245">
        <w:rPr>
          <w:rFonts w:cs="Times New Roman"/>
          <w:lang w:val="fr-CA"/>
        </w:rPr>
        <w:t xml:space="preserve"> </w:t>
      </w:r>
      <w:proofErr w:type="spellStart"/>
      <w:r w:rsidRPr="00990245">
        <w:rPr>
          <w:rFonts w:cs="Times New Roman"/>
          <w:lang w:val="fr-CA"/>
        </w:rPr>
        <w:t>Lawyers</w:t>
      </w:r>
      <w:proofErr w:type="spellEnd"/>
      <w:r>
        <w:rPr>
          <w:rFonts w:cs="Times New Roman"/>
          <w:lang w:val="fr-CA"/>
        </w:rPr>
        <w:t>’</w:t>
      </w:r>
      <w:r w:rsidRPr="00990245">
        <w:rPr>
          <w:rFonts w:cs="Times New Roman"/>
          <w:lang w:val="fr-CA"/>
        </w:rPr>
        <w:t xml:space="preserve"> Association, la </w:t>
      </w:r>
      <w:r w:rsidRPr="00825622">
        <w:rPr>
          <w:rFonts w:cs="Times New Roman"/>
          <w:iCs/>
          <w:lang w:val="fr-CA"/>
        </w:rPr>
        <w:t>Loi</w:t>
      </w:r>
      <w:r w:rsidRPr="00990245">
        <w:rPr>
          <w:rFonts w:cs="Times New Roman"/>
          <w:lang w:val="fr-CA"/>
        </w:rPr>
        <w:t xml:space="preserve"> confère aux personnes </w:t>
      </w:r>
      <w:r w:rsidRPr="00990245">
        <w:rPr>
          <w:rFonts w:cs="Times New Roman"/>
          <w:lang w:val="fr-CA"/>
        </w:rPr>
        <w:lastRenderedPageBreak/>
        <w:t>autorisées le pouvoir [</w:t>
      </w:r>
      <w:r w:rsidRPr="00990245">
        <w:rPr>
          <w:rFonts w:cs="Times New Roman"/>
          <w:smallCaps/>
          <w:lang w:val="fr-CA"/>
        </w:rPr>
        <w:t>traduction</w:t>
      </w:r>
      <w:r w:rsidRPr="00990245">
        <w:rPr>
          <w:rFonts w:cs="Times New Roman"/>
          <w:lang w:val="fr-CA"/>
        </w:rPr>
        <w:t xml:space="preserve">] </w:t>
      </w:r>
      <w:r w:rsidR="00601B6E">
        <w:rPr>
          <w:rFonts w:cs="Times New Roman"/>
          <w:lang w:val="fr-CA"/>
        </w:rPr>
        <w:t>« </w:t>
      </w:r>
      <w:r w:rsidRPr="00990245">
        <w:rPr>
          <w:rFonts w:cs="Times New Roman"/>
          <w:lang w:val="fr-CA"/>
        </w:rPr>
        <w:t>de fouiller partout dans les cabinets d</w:t>
      </w:r>
      <w:r>
        <w:rPr>
          <w:rFonts w:cs="Times New Roman"/>
          <w:lang w:val="fr-CA"/>
        </w:rPr>
        <w:t>’</w:t>
      </w:r>
      <w:r w:rsidRPr="00990245">
        <w:rPr>
          <w:rFonts w:cs="Times New Roman"/>
          <w:lang w:val="fr-CA"/>
        </w:rPr>
        <w:t>avocats et [</w:t>
      </w:r>
      <w:r w:rsidR="00601B6E">
        <w:rPr>
          <w:rFonts w:cs="Times New Roman"/>
          <w:lang w:val="fr-CA"/>
        </w:rPr>
        <w:t>. . .</w:t>
      </w:r>
      <w:r w:rsidRPr="00990245">
        <w:rPr>
          <w:rFonts w:cs="Times New Roman"/>
          <w:lang w:val="fr-CA"/>
        </w:rPr>
        <w:t>] d</w:t>
      </w:r>
      <w:r>
        <w:rPr>
          <w:rFonts w:cs="Times New Roman"/>
          <w:lang w:val="fr-CA"/>
        </w:rPr>
        <w:t>’</w:t>
      </w:r>
      <w:r w:rsidRPr="00990245">
        <w:rPr>
          <w:rFonts w:cs="Times New Roman"/>
          <w:lang w:val="fr-CA"/>
        </w:rPr>
        <w:t>examiner et de saisir tout do</w:t>
      </w:r>
      <w:r>
        <w:rPr>
          <w:rFonts w:cs="Times New Roman"/>
          <w:lang w:val="fr-CA"/>
        </w:rPr>
        <w:t>cument</w:t>
      </w:r>
      <w:r w:rsidRPr="00990245">
        <w:rPr>
          <w:rFonts w:cs="Times New Roman"/>
          <w:lang w:val="fr-CA"/>
        </w:rPr>
        <w:t xml:space="preserve"> ou toute donnée qu</w:t>
      </w:r>
      <w:r>
        <w:rPr>
          <w:rFonts w:cs="Times New Roman"/>
          <w:lang w:val="fr-CA"/>
        </w:rPr>
        <w:t>’</w:t>
      </w:r>
      <w:r w:rsidR="00825622">
        <w:rPr>
          <w:rFonts w:cs="Times New Roman"/>
          <w:lang w:val="fr-CA"/>
        </w:rPr>
        <w:t>elles y trouvent</w:t>
      </w:r>
      <w:r w:rsidR="00601B6E">
        <w:rPr>
          <w:rFonts w:cs="Times New Roman"/>
          <w:lang w:val="fr-CA"/>
        </w:rPr>
        <w:t> »</w:t>
      </w:r>
      <w:r w:rsidR="00825622">
        <w:rPr>
          <w:rFonts w:cs="Times New Roman"/>
          <w:lang w:val="fr-CA"/>
        </w:rPr>
        <w:t xml:space="preserve"> (</w:t>
      </w:r>
      <w:r w:rsidRPr="00990245">
        <w:rPr>
          <w:rFonts w:cs="Times New Roman"/>
          <w:lang w:val="fr-CA"/>
        </w:rPr>
        <w:t>mémoire, par.</w:t>
      </w:r>
      <w:r w:rsidR="00601B6E">
        <w:rPr>
          <w:rFonts w:cs="Times New Roman"/>
          <w:lang w:val="fr-CA"/>
        </w:rPr>
        <w:t xml:space="preserve"> </w:t>
      </w:r>
      <w:r w:rsidRPr="00990245">
        <w:rPr>
          <w:rFonts w:cs="Times New Roman"/>
          <w:lang w:val="fr-CA"/>
        </w:rPr>
        <w:t>23</w:t>
      </w:r>
      <w:r w:rsidR="00825622">
        <w:rPr>
          <w:rFonts w:cs="Times New Roman"/>
          <w:lang w:val="fr-CA"/>
        </w:rPr>
        <w:t>)</w:t>
      </w:r>
      <w:r w:rsidRPr="00990245">
        <w:rPr>
          <w:rFonts w:cs="Times New Roman"/>
          <w:lang w:val="fr-CA"/>
        </w:rPr>
        <w:t>. L</w:t>
      </w:r>
      <w:r>
        <w:rPr>
          <w:rFonts w:cs="Times New Roman"/>
          <w:lang w:val="fr-CA"/>
        </w:rPr>
        <w:t>’</w:t>
      </w:r>
      <w:r w:rsidRPr="00990245">
        <w:rPr>
          <w:rFonts w:cs="Times New Roman"/>
          <w:lang w:val="fr-CA"/>
        </w:rPr>
        <w:t>exercice de ces pouvoirs à l</w:t>
      </w:r>
      <w:r>
        <w:rPr>
          <w:rFonts w:cs="Times New Roman"/>
          <w:lang w:val="fr-CA"/>
        </w:rPr>
        <w:t>’</w:t>
      </w:r>
      <w:r w:rsidRPr="00990245">
        <w:rPr>
          <w:rFonts w:cs="Times New Roman"/>
          <w:lang w:val="fr-CA"/>
        </w:rPr>
        <w:t>égard de documents se trouvant en la possession des avocats risque fortement d</w:t>
      </w:r>
      <w:r>
        <w:rPr>
          <w:rFonts w:cs="Times New Roman"/>
          <w:lang w:val="fr-CA"/>
        </w:rPr>
        <w:t>’</w:t>
      </w:r>
      <w:r w:rsidRPr="00990245">
        <w:rPr>
          <w:rFonts w:cs="Times New Roman"/>
          <w:lang w:val="fr-CA"/>
        </w:rPr>
        <w:t>entraîner la perte du secret professionnel.</w:t>
      </w:r>
      <w:r w:rsidRPr="00990245">
        <w:rPr>
          <w:rFonts w:cs="Times New Roman"/>
          <w:iCs/>
          <w:lang w:val="fr-CA"/>
        </w:rPr>
        <w:t xml:space="preserve"> </w:t>
      </w:r>
    </w:p>
    <w:p w:rsidR="00CA3D49" w:rsidRPr="00990245" w:rsidRDefault="00CA3D49" w:rsidP="00CA3D49">
      <w:pPr>
        <w:pStyle w:val="ParaNoNdepar-AltN"/>
        <w:rPr>
          <w:rFonts w:cs="Times New Roman"/>
          <w:lang w:val="fr-CA"/>
        </w:rPr>
      </w:pPr>
      <w:r w:rsidRPr="00990245">
        <w:rPr>
          <w:rFonts w:cs="Times New Roman"/>
          <w:lang w:val="fr-CA"/>
        </w:rPr>
        <w:t>Bref, aucun élément du contexte réglementaire en cause ou des intérêts de l</w:t>
      </w:r>
      <w:r>
        <w:rPr>
          <w:rFonts w:cs="Times New Roman"/>
          <w:lang w:val="fr-CA"/>
        </w:rPr>
        <w:t>’</w:t>
      </w:r>
      <w:r w:rsidRPr="00990245">
        <w:rPr>
          <w:rFonts w:cs="Times New Roman"/>
          <w:lang w:val="fr-CA"/>
        </w:rPr>
        <w:t>organisme de réglementation n</w:t>
      </w:r>
      <w:r>
        <w:rPr>
          <w:rFonts w:cs="Times New Roman"/>
          <w:lang w:val="fr-CA"/>
        </w:rPr>
        <w:t>’</w:t>
      </w:r>
      <w:r w:rsidRPr="00990245">
        <w:rPr>
          <w:rFonts w:cs="Times New Roman"/>
          <w:lang w:val="fr-CA"/>
        </w:rPr>
        <w:t>a pour effet d</w:t>
      </w:r>
      <w:r>
        <w:rPr>
          <w:rFonts w:cs="Times New Roman"/>
          <w:lang w:val="fr-CA"/>
        </w:rPr>
        <w:t>’</w:t>
      </w:r>
      <w:r w:rsidRPr="00990245">
        <w:rPr>
          <w:rFonts w:cs="Times New Roman"/>
          <w:lang w:val="fr-CA"/>
        </w:rPr>
        <w:t>exclure d</w:t>
      </w:r>
      <w:r>
        <w:rPr>
          <w:rFonts w:cs="Times New Roman"/>
          <w:lang w:val="fr-CA"/>
        </w:rPr>
        <w:t>’</w:t>
      </w:r>
      <w:r w:rsidRPr="00990245">
        <w:rPr>
          <w:rFonts w:cs="Times New Roman"/>
          <w:lang w:val="fr-CA"/>
        </w:rPr>
        <w:t>une quelconque façon ce régime du domaine du droit criminel ou de diminuer de quelque manière que ce soit l</w:t>
      </w:r>
      <w:r>
        <w:rPr>
          <w:rFonts w:cs="Times New Roman"/>
          <w:lang w:val="fr-CA"/>
        </w:rPr>
        <w:t>’</w:t>
      </w:r>
      <w:r w:rsidRPr="00990245">
        <w:rPr>
          <w:rFonts w:cs="Times New Roman"/>
          <w:lang w:val="fr-CA"/>
        </w:rPr>
        <w:t>attente raisonnable très élevée quant au caractère confidentiel des documents protégés par le secret professionnel de l</w:t>
      </w:r>
      <w:r>
        <w:rPr>
          <w:rFonts w:cs="Times New Roman"/>
          <w:lang w:val="fr-CA"/>
        </w:rPr>
        <w:t>’</w:t>
      </w:r>
      <w:r w:rsidRPr="00990245">
        <w:rPr>
          <w:rFonts w:cs="Times New Roman"/>
          <w:lang w:val="fr-CA"/>
        </w:rPr>
        <w:t xml:space="preserve">avocat. </w:t>
      </w:r>
      <w:proofErr w:type="gramStart"/>
      <w:r w:rsidRPr="00990245">
        <w:rPr>
          <w:rFonts w:cs="Times New Roman"/>
          <w:lang w:val="fr-CA"/>
        </w:rPr>
        <w:t>J</w:t>
      </w:r>
      <w:r>
        <w:rPr>
          <w:rFonts w:cs="Times New Roman"/>
          <w:lang w:val="fr-CA"/>
        </w:rPr>
        <w:t>’</w:t>
      </w:r>
      <w:r w:rsidRPr="00990245">
        <w:rPr>
          <w:rFonts w:cs="Times New Roman"/>
          <w:lang w:val="fr-CA"/>
        </w:rPr>
        <w:t>estime</w:t>
      </w:r>
      <w:proofErr w:type="gramEnd"/>
      <w:r w:rsidRPr="00990245">
        <w:rPr>
          <w:rFonts w:cs="Times New Roman"/>
          <w:lang w:val="fr-CA"/>
        </w:rPr>
        <w:t xml:space="preserve"> que la norme établie dans </w:t>
      </w:r>
      <w:proofErr w:type="spellStart"/>
      <w:r w:rsidRPr="00990245">
        <w:rPr>
          <w:rFonts w:cs="Times New Roman"/>
          <w:i/>
          <w:lang w:val="fr-CA"/>
        </w:rPr>
        <w:t>Lavallee</w:t>
      </w:r>
      <w:proofErr w:type="spellEnd"/>
      <w:r w:rsidRPr="00990245">
        <w:rPr>
          <w:rFonts w:cs="Times New Roman"/>
          <w:lang w:val="fr-CA"/>
        </w:rPr>
        <w:t xml:space="preserve"> s</w:t>
      </w:r>
      <w:r>
        <w:rPr>
          <w:rFonts w:cs="Times New Roman"/>
          <w:lang w:val="fr-CA"/>
        </w:rPr>
        <w:t>’</w:t>
      </w:r>
      <w:r w:rsidRPr="00990245">
        <w:rPr>
          <w:rFonts w:cs="Times New Roman"/>
          <w:lang w:val="fr-CA"/>
        </w:rPr>
        <w:t>applique à ce régime.</w:t>
      </w:r>
    </w:p>
    <w:p w:rsidR="00CA3D49" w:rsidRPr="00990245" w:rsidRDefault="00CA3D49" w:rsidP="00CA3D49">
      <w:pPr>
        <w:pStyle w:val="ParaNoNdepar-AltN"/>
        <w:rPr>
          <w:rFonts w:cs="Times New Roman"/>
          <w:lang w:val="fr-CA"/>
        </w:rPr>
      </w:pPr>
      <w:r w:rsidRPr="00990245">
        <w:rPr>
          <w:rFonts w:cs="Times New Roman"/>
          <w:lang w:val="fr-CA"/>
        </w:rPr>
        <w:t>L</w:t>
      </w:r>
      <w:r>
        <w:rPr>
          <w:rFonts w:cs="Times New Roman"/>
          <w:lang w:val="fr-CA"/>
        </w:rPr>
        <w:t>’</w:t>
      </w:r>
      <w:r w:rsidRPr="00990245">
        <w:rPr>
          <w:rFonts w:cs="Times New Roman"/>
          <w:lang w:val="fr-CA"/>
        </w:rPr>
        <w:t>analyse formulée dans l</w:t>
      </w:r>
      <w:r>
        <w:rPr>
          <w:rFonts w:cs="Times New Roman"/>
          <w:lang w:val="fr-CA"/>
        </w:rPr>
        <w:t>’</w:t>
      </w:r>
      <w:r w:rsidRPr="00990245">
        <w:rPr>
          <w:rFonts w:cs="Times New Roman"/>
          <w:lang w:val="fr-CA"/>
        </w:rPr>
        <w:t xml:space="preserve">arrêt </w:t>
      </w:r>
      <w:proofErr w:type="spellStart"/>
      <w:r w:rsidRPr="00990245">
        <w:rPr>
          <w:rFonts w:cs="Times New Roman"/>
          <w:i/>
          <w:iCs/>
          <w:lang w:val="fr-CA"/>
        </w:rPr>
        <w:t>Lavallee</w:t>
      </w:r>
      <w:proofErr w:type="spellEnd"/>
      <w:r w:rsidRPr="00990245">
        <w:rPr>
          <w:rFonts w:cs="Times New Roman"/>
          <w:lang w:val="fr-CA"/>
        </w:rPr>
        <w:t xml:space="preserve"> ne présume pas, évidemment, que tous les do</w:t>
      </w:r>
      <w:r>
        <w:rPr>
          <w:rFonts w:cs="Times New Roman"/>
          <w:lang w:val="fr-CA"/>
        </w:rPr>
        <w:t>cuments</w:t>
      </w:r>
      <w:r w:rsidRPr="00990245">
        <w:rPr>
          <w:rFonts w:cs="Times New Roman"/>
          <w:lang w:val="fr-CA"/>
        </w:rPr>
        <w:t xml:space="preserve"> en la possession d</w:t>
      </w:r>
      <w:r>
        <w:rPr>
          <w:rFonts w:cs="Times New Roman"/>
          <w:lang w:val="fr-CA"/>
        </w:rPr>
        <w:t>’</w:t>
      </w:r>
      <w:r w:rsidRPr="00990245">
        <w:rPr>
          <w:rFonts w:cs="Times New Roman"/>
          <w:lang w:val="fr-CA"/>
        </w:rPr>
        <w:t>un avocat sont visés par le secret professionnel et, en l</w:t>
      </w:r>
      <w:r>
        <w:rPr>
          <w:rFonts w:cs="Times New Roman"/>
          <w:lang w:val="fr-CA"/>
        </w:rPr>
        <w:t>’</w:t>
      </w:r>
      <w:r w:rsidRPr="00990245">
        <w:rPr>
          <w:rFonts w:cs="Times New Roman"/>
          <w:lang w:val="fr-CA"/>
        </w:rPr>
        <w:t xml:space="preserve">espèce, je ne pars pas du postulat que tous les documents que les avocats sont tenus de recueillir et de conserver aux termes de la </w:t>
      </w:r>
      <w:r w:rsidRPr="00825622">
        <w:rPr>
          <w:rFonts w:cs="Times New Roman"/>
          <w:iCs/>
          <w:lang w:val="fr-CA"/>
        </w:rPr>
        <w:t>Loi</w:t>
      </w:r>
      <w:r w:rsidRPr="00990245">
        <w:rPr>
          <w:rFonts w:cs="Times New Roman"/>
          <w:i/>
          <w:iCs/>
          <w:lang w:val="fr-CA"/>
        </w:rPr>
        <w:t xml:space="preserve"> </w:t>
      </w:r>
      <w:r w:rsidRPr="00990245">
        <w:rPr>
          <w:rFonts w:cs="Times New Roman"/>
          <w:lang w:val="fr-CA"/>
        </w:rPr>
        <w:t xml:space="preserve">sont protégés. La norme énoncée dans </w:t>
      </w:r>
      <w:proofErr w:type="spellStart"/>
      <w:r w:rsidRPr="00990245">
        <w:rPr>
          <w:rFonts w:cs="Times New Roman"/>
          <w:i/>
          <w:iCs/>
          <w:lang w:val="fr-CA"/>
        </w:rPr>
        <w:t>Lavallee</w:t>
      </w:r>
      <w:proofErr w:type="spellEnd"/>
      <w:r w:rsidRPr="00990245">
        <w:rPr>
          <w:rFonts w:cs="Times New Roman"/>
          <w:i/>
          <w:iCs/>
          <w:lang w:val="fr-CA"/>
        </w:rPr>
        <w:t xml:space="preserve"> </w:t>
      </w:r>
      <w:r w:rsidRPr="00990245">
        <w:rPr>
          <w:rFonts w:cs="Times New Roman"/>
          <w:lang w:val="fr-CA"/>
        </w:rPr>
        <w:t>vise à prévenir le risque important que certains documents protégés se retrouvent parmi ceux d</w:t>
      </w:r>
      <w:r>
        <w:rPr>
          <w:rFonts w:cs="Times New Roman"/>
          <w:lang w:val="fr-CA"/>
        </w:rPr>
        <w:t>’</w:t>
      </w:r>
      <w:r w:rsidRPr="00990245">
        <w:rPr>
          <w:rFonts w:cs="Times New Roman"/>
          <w:lang w:val="fr-CA"/>
        </w:rPr>
        <w:t>un cabinet d</w:t>
      </w:r>
      <w:r>
        <w:rPr>
          <w:rFonts w:cs="Times New Roman"/>
          <w:lang w:val="fr-CA"/>
        </w:rPr>
        <w:t>’</w:t>
      </w:r>
      <w:r w:rsidRPr="00990245">
        <w:rPr>
          <w:rFonts w:cs="Times New Roman"/>
          <w:lang w:val="fr-CA"/>
        </w:rPr>
        <w:t>avocats qui sont examinés et saisis en vertu d</w:t>
      </w:r>
      <w:r>
        <w:rPr>
          <w:rFonts w:cs="Times New Roman"/>
          <w:lang w:val="fr-CA"/>
        </w:rPr>
        <w:t>’</w:t>
      </w:r>
      <w:r w:rsidRPr="00990245">
        <w:rPr>
          <w:rFonts w:cs="Times New Roman"/>
          <w:lang w:val="fr-CA"/>
        </w:rPr>
        <w:t xml:space="preserve">un mandat de perquisition. De même, dans le cas qui nous occupe, on risque fort de retrouver au moins certains documents protégés parmi ceux visés par les pouvoirs de fouille et de perquisition prévus par la </w:t>
      </w:r>
      <w:r w:rsidRPr="00825622">
        <w:rPr>
          <w:rFonts w:cs="Times New Roman"/>
          <w:iCs/>
          <w:lang w:val="fr-CA"/>
        </w:rPr>
        <w:t>Loi</w:t>
      </w:r>
      <w:r w:rsidRPr="00990245">
        <w:rPr>
          <w:rFonts w:cs="Times New Roman"/>
          <w:i/>
          <w:iCs/>
          <w:lang w:val="fr-CA"/>
        </w:rPr>
        <w:t xml:space="preserve">. </w:t>
      </w:r>
    </w:p>
    <w:p w:rsidR="00CA3D49" w:rsidRPr="00990245" w:rsidRDefault="00CA3D49" w:rsidP="00A8558F">
      <w:pPr>
        <w:pStyle w:val="Title3LevelTitre3Niveau"/>
        <w:tabs>
          <w:tab w:val="clear" w:pos="864"/>
        </w:tabs>
        <w:ind w:left="900" w:hanging="468"/>
        <w:rPr>
          <w:rFonts w:cs="Times New Roman"/>
          <w:lang w:val="fr-CA"/>
        </w:rPr>
      </w:pPr>
      <w:r w:rsidRPr="00990245">
        <w:rPr>
          <w:rFonts w:cs="Times New Roman"/>
          <w:lang w:val="fr-CA"/>
        </w:rPr>
        <w:t>Les principes de l</w:t>
      </w:r>
      <w:r>
        <w:rPr>
          <w:rFonts w:cs="Times New Roman"/>
          <w:lang w:val="fr-CA"/>
        </w:rPr>
        <w:t>’</w:t>
      </w:r>
      <w:r w:rsidRPr="00990245">
        <w:rPr>
          <w:rFonts w:cs="Times New Roman"/>
          <w:lang w:val="fr-CA"/>
        </w:rPr>
        <w:t xml:space="preserve">arrêt </w:t>
      </w:r>
      <w:proofErr w:type="spellStart"/>
      <w:r w:rsidRPr="00990245">
        <w:rPr>
          <w:rFonts w:cs="Times New Roman"/>
          <w:i/>
          <w:lang w:val="fr-CA"/>
        </w:rPr>
        <w:t>Lavallee</w:t>
      </w:r>
      <w:proofErr w:type="spellEnd"/>
    </w:p>
    <w:p w:rsidR="00CA3D49" w:rsidRPr="00990245" w:rsidRDefault="00CA3D49" w:rsidP="00CA3D49">
      <w:pPr>
        <w:pStyle w:val="ParaNoNdepar-AltN"/>
        <w:rPr>
          <w:rFonts w:cs="Times New Roman"/>
          <w:lang w:val="fr-CA"/>
        </w:rPr>
      </w:pPr>
      <w:r w:rsidRPr="00990245">
        <w:rPr>
          <w:rFonts w:cs="Times New Roman"/>
          <w:lang w:val="fr-CA"/>
        </w:rPr>
        <w:lastRenderedPageBreak/>
        <w:t>L</w:t>
      </w:r>
      <w:r>
        <w:rPr>
          <w:rFonts w:cs="Times New Roman"/>
          <w:lang w:val="fr-CA"/>
        </w:rPr>
        <w:t>’</w:t>
      </w:r>
      <w:r w:rsidRPr="00990245">
        <w:rPr>
          <w:rFonts w:cs="Times New Roman"/>
          <w:lang w:val="fr-CA"/>
        </w:rPr>
        <w:t xml:space="preserve">affaire </w:t>
      </w:r>
      <w:proofErr w:type="spellStart"/>
      <w:r w:rsidRPr="00990245">
        <w:rPr>
          <w:rFonts w:cs="Times New Roman"/>
          <w:i/>
          <w:iCs/>
          <w:lang w:val="fr-CA"/>
        </w:rPr>
        <w:t>Lavallee</w:t>
      </w:r>
      <w:proofErr w:type="spellEnd"/>
      <w:r w:rsidRPr="00990245">
        <w:rPr>
          <w:rFonts w:cs="Times New Roman"/>
          <w:lang w:val="fr-CA"/>
        </w:rPr>
        <w:t xml:space="preserve"> et ses deux pourvois connexes portaient sur la constitutionnalité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488.1 du </w:t>
      </w:r>
      <w:r w:rsidRPr="00990245">
        <w:rPr>
          <w:rFonts w:cs="Times New Roman"/>
          <w:i/>
          <w:iCs/>
          <w:lang w:val="fr-CA"/>
        </w:rPr>
        <w:t>Code criminel</w:t>
      </w:r>
      <w:r w:rsidRPr="00825622">
        <w:rPr>
          <w:rFonts w:cs="Times New Roman"/>
          <w:iCs/>
          <w:lang w:val="fr-CA"/>
        </w:rPr>
        <w:t>.</w:t>
      </w:r>
      <w:r w:rsidRPr="00990245">
        <w:rPr>
          <w:rFonts w:cs="Times New Roman"/>
          <w:i/>
          <w:iCs/>
          <w:lang w:val="fr-CA"/>
        </w:rPr>
        <w:t xml:space="preserve"> </w:t>
      </w:r>
      <w:r w:rsidRPr="00990245">
        <w:rPr>
          <w:rFonts w:cs="Times New Roman"/>
          <w:lang w:val="fr-CA"/>
        </w:rPr>
        <w:t>Cet article prévoit la procédure à suivre lorsqu</w:t>
      </w:r>
      <w:r>
        <w:rPr>
          <w:rFonts w:cs="Times New Roman"/>
          <w:lang w:val="fr-CA"/>
        </w:rPr>
        <w:t>’</w:t>
      </w:r>
      <w:r w:rsidRPr="00990245">
        <w:rPr>
          <w:rFonts w:cs="Times New Roman"/>
          <w:lang w:val="fr-CA"/>
        </w:rPr>
        <w:t>un fonctionnaire agissant sous le régime d</w:t>
      </w:r>
      <w:r>
        <w:rPr>
          <w:rFonts w:cs="Times New Roman"/>
          <w:lang w:val="fr-CA"/>
        </w:rPr>
        <w:t>’</w:t>
      </w:r>
      <w:r w:rsidRPr="00990245">
        <w:rPr>
          <w:rFonts w:cs="Times New Roman"/>
          <w:lang w:val="fr-CA"/>
        </w:rPr>
        <w:t xml:space="preserve">une loi fédérale est </w:t>
      </w:r>
      <w:r w:rsidR="00601B6E">
        <w:rPr>
          <w:rFonts w:cs="Times New Roman"/>
          <w:lang w:val="fr-CA"/>
        </w:rPr>
        <w:t>« </w:t>
      </w:r>
      <w:r w:rsidRPr="00990245">
        <w:rPr>
          <w:rFonts w:cs="Times New Roman"/>
          <w:lang w:val="fr-CA"/>
        </w:rPr>
        <w:t>sur le point d</w:t>
      </w:r>
      <w:r>
        <w:rPr>
          <w:rFonts w:cs="Times New Roman"/>
          <w:lang w:val="fr-CA"/>
        </w:rPr>
        <w:t>’</w:t>
      </w:r>
      <w:r w:rsidRPr="00990245">
        <w:rPr>
          <w:rFonts w:cs="Times New Roman"/>
          <w:lang w:val="fr-CA"/>
        </w:rPr>
        <w:t>examiner, de copier ou de saisir un document en la possession d</w:t>
      </w:r>
      <w:r>
        <w:rPr>
          <w:rFonts w:cs="Times New Roman"/>
          <w:lang w:val="fr-CA"/>
        </w:rPr>
        <w:t>’</w:t>
      </w:r>
      <w:r w:rsidRPr="00990245">
        <w:rPr>
          <w:rFonts w:cs="Times New Roman"/>
          <w:lang w:val="fr-CA"/>
        </w:rPr>
        <w:t>un avocat qui prétend qu</w:t>
      </w:r>
      <w:r>
        <w:rPr>
          <w:rFonts w:cs="Times New Roman"/>
          <w:lang w:val="fr-CA"/>
        </w:rPr>
        <w:t>’</w:t>
      </w:r>
      <w:r w:rsidRPr="00990245">
        <w:rPr>
          <w:rFonts w:cs="Times New Roman"/>
          <w:lang w:val="fr-CA"/>
        </w:rPr>
        <w:t>un de ses clients, nommément désigné, jouit du privilège des communications entre client et avocat</w:t>
      </w:r>
      <w:r w:rsidR="00601B6E">
        <w:rPr>
          <w:rFonts w:cs="Times New Roman"/>
          <w:lang w:val="fr-CA"/>
        </w:rPr>
        <w:t> »</w:t>
      </w:r>
      <w:r w:rsidRPr="00990245">
        <w:rPr>
          <w:rFonts w:cs="Times New Roman"/>
          <w:lang w:val="fr-CA"/>
        </w:rPr>
        <w:t xml:space="preserve"> à l</w:t>
      </w:r>
      <w:r>
        <w:rPr>
          <w:rFonts w:cs="Times New Roman"/>
          <w:lang w:val="fr-CA"/>
        </w:rPr>
        <w:t>’</w:t>
      </w:r>
      <w:r w:rsidRPr="00990245">
        <w:rPr>
          <w:rFonts w:cs="Times New Roman"/>
          <w:lang w:val="fr-CA"/>
        </w:rPr>
        <w:t>égard de ce document. La Cour a conclu que cet article était inconstitutionnel parce qu</w:t>
      </w:r>
      <w:r>
        <w:rPr>
          <w:rFonts w:cs="Times New Roman"/>
          <w:lang w:val="fr-CA"/>
        </w:rPr>
        <w:t>’</w:t>
      </w:r>
      <w:r w:rsidRPr="00990245">
        <w:rPr>
          <w:rFonts w:cs="Times New Roman"/>
          <w:lang w:val="fr-CA"/>
        </w:rPr>
        <w:t>il comportait plusieurs lacunes touchant à la protection constitutionnelle exigée par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8 relativement au secret professionnel de l</w:t>
      </w:r>
      <w:r>
        <w:rPr>
          <w:rFonts w:cs="Times New Roman"/>
          <w:lang w:val="fr-CA"/>
        </w:rPr>
        <w:t>’</w:t>
      </w:r>
      <w:r w:rsidRPr="00990245">
        <w:rPr>
          <w:rFonts w:cs="Times New Roman"/>
          <w:lang w:val="fr-CA"/>
        </w:rPr>
        <w:t xml:space="preserve">avocat. </w:t>
      </w:r>
    </w:p>
    <w:p w:rsidR="00CA3D49" w:rsidRPr="00990245" w:rsidRDefault="00CA3D49" w:rsidP="00CA3D49">
      <w:pPr>
        <w:pStyle w:val="ParaNoNdepar-AltN"/>
        <w:rPr>
          <w:rFonts w:cs="Times New Roman"/>
          <w:lang w:val="fr-CA"/>
        </w:rPr>
      </w:pPr>
      <w:r w:rsidRPr="00990245">
        <w:rPr>
          <w:rFonts w:cs="Times New Roman"/>
          <w:lang w:val="fr-CA"/>
        </w:rPr>
        <w:t>Le principe fondamental de cet arrêt est que le secret professionnel de l</w:t>
      </w:r>
      <w:r>
        <w:rPr>
          <w:rFonts w:cs="Times New Roman"/>
          <w:lang w:val="fr-CA"/>
        </w:rPr>
        <w:t>’</w:t>
      </w:r>
      <w:r w:rsidRPr="00990245">
        <w:rPr>
          <w:rFonts w:cs="Times New Roman"/>
          <w:lang w:val="fr-CA"/>
        </w:rPr>
        <w:t xml:space="preserve">avocat </w:t>
      </w:r>
      <w:r w:rsidR="00601B6E">
        <w:rPr>
          <w:rFonts w:cs="Times New Roman"/>
          <w:lang w:val="fr-CA"/>
        </w:rPr>
        <w:t>« </w:t>
      </w:r>
      <w:r w:rsidRPr="00990245">
        <w:rPr>
          <w:rFonts w:cs="Times New Roman"/>
          <w:lang w:val="fr-CA"/>
        </w:rPr>
        <w:t>doit demeurer aussi absolu que possible pour conserver sa pertinence</w:t>
      </w:r>
      <w:r w:rsidR="00601B6E">
        <w:rPr>
          <w:rFonts w:cs="Times New Roman"/>
          <w:lang w:val="fr-CA"/>
        </w:rPr>
        <w:t> »</w:t>
      </w:r>
      <w:r w:rsidRPr="00990245">
        <w:rPr>
          <w:rFonts w:cs="Times New Roman"/>
          <w:lang w:val="fr-CA"/>
        </w:rPr>
        <w:t xml:space="preserve"> (</w:t>
      </w:r>
      <w:proofErr w:type="spellStart"/>
      <w:r w:rsidRPr="00990245">
        <w:rPr>
          <w:rFonts w:cs="Times New Roman"/>
          <w:i/>
          <w:lang w:val="fr-CA"/>
        </w:rPr>
        <w:t>Lavallee</w:t>
      </w:r>
      <w:proofErr w:type="spellEnd"/>
      <w:r w:rsidRPr="00990245">
        <w:rPr>
          <w:rFonts w:cs="Times New Roman"/>
          <w:lang w:val="fr-CA"/>
        </w:rPr>
        <w:t>, par.</w:t>
      </w:r>
      <w:r w:rsidR="00601B6E">
        <w:rPr>
          <w:rFonts w:cs="Times New Roman"/>
          <w:lang w:val="fr-CA"/>
        </w:rPr>
        <w:t xml:space="preserve"> </w:t>
      </w:r>
      <w:r w:rsidRPr="00990245">
        <w:rPr>
          <w:rFonts w:cs="Times New Roman"/>
          <w:lang w:val="fr-CA"/>
        </w:rPr>
        <w:t xml:space="preserve">36). Par conséquent, il doit exister une norme </w:t>
      </w:r>
      <w:r w:rsidR="00601B6E">
        <w:rPr>
          <w:rFonts w:cs="Times New Roman"/>
          <w:lang w:val="fr-CA"/>
        </w:rPr>
        <w:t>« </w:t>
      </w:r>
      <w:r w:rsidRPr="00990245">
        <w:rPr>
          <w:rFonts w:cs="Times New Roman"/>
          <w:lang w:val="fr-CA"/>
        </w:rPr>
        <w:t>rigoureuse</w:t>
      </w:r>
      <w:r w:rsidR="00601B6E">
        <w:rPr>
          <w:rFonts w:cs="Times New Roman"/>
          <w:lang w:val="fr-CA"/>
        </w:rPr>
        <w:t> »</w:t>
      </w:r>
      <w:r w:rsidRPr="00990245">
        <w:rPr>
          <w:rFonts w:cs="Times New Roman"/>
          <w:lang w:val="fr-CA"/>
        </w:rPr>
        <w:t xml:space="preserve"> pour assurer sa protection, de sorte que toute disposition législative qui porte atteinte au secret professionnel plus que ce qui est </w:t>
      </w:r>
      <w:r w:rsidR="00601B6E">
        <w:rPr>
          <w:rFonts w:cs="Times New Roman"/>
          <w:lang w:val="fr-CA"/>
        </w:rPr>
        <w:t>« </w:t>
      </w:r>
      <w:r w:rsidRPr="00990245">
        <w:rPr>
          <w:rFonts w:cs="Times New Roman"/>
          <w:lang w:val="fr-CA"/>
        </w:rPr>
        <w:t>absolument nécessaire</w:t>
      </w:r>
      <w:r w:rsidR="00601B6E">
        <w:rPr>
          <w:rFonts w:cs="Times New Roman"/>
          <w:lang w:val="fr-CA"/>
        </w:rPr>
        <w:t> »</w:t>
      </w:r>
      <w:r w:rsidRPr="00990245">
        <w:rPr>
          <w:rFonts w:cs="Times New Roman"/>
          <w:lang w:val="fr-CA"/>
        </w:rPr>
        <w:t xml:space="preserve"> sera qualifiée d</w:t>
      </w:r>
      <w:r>
        <w:rPr>
          <w:rFonts w:cs="Times New Roman"/>
          <w:lang w:val="fr-CA"/>
        </w:rPr>
        <w:t>’</w:t>
      </w:r>
      <w:r w:rsidRPr="00990245">
        <w:rPr>
          <w:rFonts w:cs="Times New Roman"/>
          <w:lang w:val="fr-CA"/>
        </w:rPr>
        <w:t>abusive (par.</w:t>
      </w:r>
      <w:r w:rsidR="00601B6E">
        <w:rPr>
          <w:rFonts w:cs="Times New Roman"/>
          <w:lang w:val="fr-CA"/>
        </w:rPr>
        <w:t xml:space="preserve"> </w:t>
      </w:r>
      <w:r w:rsidRPr="00990245">
        <w:rPr>
          <w:rFonts w:cs="Times New Roman"/>
          <w:lang w:val="fr-CA"/>
        </w:rPr>
        <w:t>36).</w:t>
      </w:r>
    </w:p>
    <w:p w:rsidR="00CA3D49" w:rsidRPr="00990245" w:rsidRDefault="00CA3D49" w:rsidP="00CA3D49">
      <w:pPr>
        <w:pStyle w:val="ParaNoNdepar-AltN"/>
        <w:rPr>
          <w:rFonts w:cs="Times New Roman"/>
          <w:lang w:val="fr-CA"/>
        </w:rPr>
      </w:pPr>
      <w:r w:rsidRPr="00990245">
        <w:rPr>
          <w:rFonts w:cs="Times New Roman"/>
          <w:lang w:val="fr-CA"/>
        </w:rPr>
        <w:t>L</w:t>
      </w:r>
      <w:r>
        <w:rPr>
          <w:rFonts w:cs="Times New Roman"/>
          <w:lang w:val="fr-CA"/>
        </w:rPr>
        <w:t>’</w:t>
      </w:r>
      <w:r w:rsidRPr="00990245">
        <w:rPr>
          <w:rFonts w:cs="Times New Roman"/>
          <w:lang w:val="fr-CA"/>
        </w:rPr>
        <w:t xml:space="preserve">arrêt </w:t>
      </w:r>
      <w:proofErr w:type="spellStart"/>
      <w:r w:rsidRPr="00990245">
        <w:rPr>
          <w:rFonts w:cs="Times New Roman"/>
          <w:i/>
          <w:iCs/>
          <w:lang w:val="fr-CA"/>
        </w:rPr>
        <w:t>Lavallee</w:t>
      </w:r>
      <w:proofErr w:type="spellEnd"/>
      <w:r w:rsidRPr="00990245">
        <w:rPr>
          <w:rFonts w:cs="Times New Roman"/>
          <w:i/>
          <w:iCs/>
          <w:lang w:val="fr-CA"/>
        </w:rPr>
        <w:t xml:space="preserve"> </w:t>
      </w:r>
      <w:r w:rsidRPr="00990245">
        <w:rPr>
          <w:rFonts w:cs="Times New Roman"/>
          <w:lang w:val="fr-CA"/>
        </w:rPr>
        <w:t>est un précédent important en raison de la similitude entre le régime de protection du secret professionnel de l</w:t>
      </w:r>
      <w:r>
        <w:rPr>
          <w:rFonts w:cs="Times New Roman"/>
          <w:lang w:val="fr-CA"/>
        </w:rPr>
        <w:t>’</w:t>
      </w:r>
      <w:r w:rsidRPr="00990245">
        <w:rPr>
          <w:rFonts w:cs="Times New Roman"/>
          <w:lang w:val="fr-CA"/>
        </w:rPr>
        <w:t>avocat prévu à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488.1 du </w:t>
      </w:r>
      <w:r w:rsidRPr="00990245">
        <w:rPr>
          <w:rFonts w:cs="Times New Roman"/>
          <w:i/>
          <w:iCs/>
          <w:lang w:val="fr-CA"/>
        </w:rPr>
        <w:t xml:space="preserve">Code </w:t>
      </w:r>
      <w:r w:rsidRPr="00990245">
        <w:rPr>
          <w:rFonts w:cs="Times New Roman"/>
          <w:lang w:val="fr-CA"/>
        </w:rPr>
        <w:t>qui était en cause dans cette affaire et celui établi à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64 de la </w:t>
      </w:r>
      <w:r w:rsidRPr="00825622">
        <w:rPr>
          <w:rFonts w:cs="Times New Roman"/>
          <w:iCs/>
          <w:lang w:val="fr-CA"/>
        </w:rPr>
        <w:t>Loi</w:t>
      </w:r>
      <w:r w:rsidRPr="00990245">
        <w:rPr>
          <w:rFonts w:cs="Times New Roman"/>
          <w:i/>
          <w:iCs/>
          <w:lang w:val="fr-CA"/>
        </w:rPr>
        <w:t xml:space="preserve"> </w:t>
      </w:r>
      <w:r w:rsidRPr="00990245">
        <w:rPr>
          <w:rFonts w:cs="Times New Roman"/>
          <w:iCs/>
          <w:lang w:val="fr-CA"/>
        </w:rPr>
        <w:t>qui est en cause dans le cas présent</w:t>
      </w:r>
      <w:r w:rsidRPr="00990245">
        <w:rPr>
          <w:rFonts w:cs="Times New Roman"/>
          <w:lang w:val="fr-CA"/>
        </w:rPr>
        <w:t>. À l</w:t>
      </w:r>
      <w:r>
        <w:rPr>
          <w:rFonts w:cs="Times New Roman"/>
          <w:lang w:val="fr-CA"/>
        </w:rPr>
        <w:t>’</w:t>
      </w:r>
      <w:r w:rsidRPr="00990245">
        <w:rPr>
          <w:rFonts w:cs="Times New Roman"/>
          <w:lang w:val="fr-CA"/>
        </w:rPr>
        <w:t>instar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488.1,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64 de la </w:t>
      </w:r>
      <w:r w:rsidRPr="00825622">
        <w:rPr>
          <w:rFonts w:cs="Times New Roman"/>
          <w:lang w:val="fr-CA"/>
        </w:rPr>
        <w:t>Loi</w:t>
      </w:r>
      <w:r w:rsidRPr="00990245">
        <w:rPr>
          <w:rFonts w:cs="Times New Roman"/>
          <w:lang w:val="fr-CA"/>
        </w:rPr>
        <w:t xml:space="preserve"> entre en jeu au moment où le fonctionnaire est </w:t>
      </w:r>
      <w:r w:rsidR="00601B6E">
        <w:rPr>
          <w:rFonts w:cs="Times New Roman"/>
          <w:lang w:val="fr-CA"/>
        </w:rPr>
        <w:t>« </w:t>
      </w:r>
      <w:r w:rsidRPr="00990245">
        <w:rPr>
          <w:rFonts w:cs="Times New Roman"/>
          <w:lang w:val="fr-CA"/>
        </w:rPr>
        <w:t>sur le point d</w:t>
      </w:r>
      <w:r>
        <w:rPr>
          <w:rFonts w:cs="Times New Roman"/>
          <w:lang w:val="fr-CA"/>
        </w:rPr>
        <w:t>’</w:t>
      </w:r>
      <w:r w:rsidRPr="00990245">
        <w:rPr>
          <w:rFonts w:cs="Times New Roman"/>
          <w:lang w:val="fr-CA"/>
        </w:rPr>
        <w:t>examiner</w:t>
      </w:r>
      <w:r w:rsidR="00601B6E">
        <w:rPr>
          <w:rFonts w:cs="Times New Roman"/>
          <w:lang w:val="fr-CA"/>
        </w:rPr>
        <w:t> »</w:t>
      </w:r>
      <w:r w:rsidRPr="00990245">
        <w:rPr>
          <w:rFonts w:cs="Times New Roman"/>
          <w:lang w:val="fr-CA"/>
        </w:rPr>
        <w:t xml:space="preserve"> des documents </w:t>
      </w:r>
      <w:r w:rsidR="00601B6E">
        <w:rPr>
          <w:rFonts w:cs="Times New Roman"/>
          <w:lang w:val="fr-CA"/>
        </w:rPr>
        <w:t>« </w:t>
      </w:r>
      <w:r w:rsidRPr="00990245">
        <w:rPr>
          <w:rFonts w:cs="Times New Roman"/>
          <w:lang w:val="fr-CA"/>
        </w:rPr>
        <w:t>en la possession</w:t>
      </w:r>
      <w:r w:rsidR="00601B6E">
        <w:rPr>
          <w:rFonts w:cs="Times New Roman"/>
          <w:lang w:val="fr-CA"/>
        </w:rPr>
        <w:t> »</w:t>
      </w:r>
      <w:r w:rsidRPr="00990245">
        <w:rPr>
          <w:rFonts w:cs="Times New Roman"/>
          <w:lang w:val="fr-CA"/>
        </w:rPr>
        <w:t xml:space="preserve"> d</w:t>
      </w:r>
      <w:r>
        <w:rPr>
          <w:rFonts w:cs="Times New Roman"/>
          <w:lang w:val="fr-CA"/>
        </w:rPr>
        <w:t>’</w:t>
      </w:r>
      <w:r w:rsidRPr="00990245">
        <w:rPr>
          <w:rFonts w:cs="Times New Roman"/>
          <w:lang w:val="fr-CA"/>
        </w:rPr>
        <w:t>un avocat. Suivant ces deux dispositions, le régime de protection s</w:t>
      </w:r>
      <w:r>
        <w:rPr>
          <w:rFonts w:cs="Times New Roman"/>
          <w:lang w:val="fr-CA"/>
        </w:rPr>
        <w:t>’</w:t>
      </w:r>
      <w:r w:rsidRPr="00990245">
        <w:rPr>
          <w:rFonts w:cs="Times New Roman"/>
          <w:lang w:val="fr-CA"/>
        </w:rPr>
        <w:t>applique au moment où l</w:t>
      </w:r>
      <w:r>
        <w:rPr>
          <w:rFonts w:cs="Times New Roman"/>
          <w:lang w:val="fr-CA"/>
        </w:rPr>
        <w:t>’</w:t>
      </w:r>
      <w:r w:rsidRPr="00990245">
        <w:rPr>
          <w:rFonts w:cs="Times New Roman"/>
          <w:lang w:val="fr-CA"/>
        </w:rPr>
        <w:t>avocat fait valoir au nom d</w:t>
      </w:r>
      <w:r>
        <w:rPr>
          <w:rFonts w:cs="Times New Roman"/>
          <w:lang w:val="fr-CA"/>
        </w:rPr>
        <w:t>’</w:t>
      </w:r>
      <w:r w:rsidR="00601B6E">
        <w:rPr>
          <w:rFonts w:cs="Times New Roman"/>
          <w:lang w:val="fr-CA"/>
        </w:rPr>
        <w:t>« </w:t>
      </w:r>
      <w:r w:rsidRPr="00990245">
        <w:rPr>
          <w:rFonts w:cs="Times New Roman"/>
          <w:lang w:val="fr-CA"/>
        </w:rPr>
        <w:t>un client [</w:t>
      </w:r>
      <w:r w:rsidR="00601B6E">
        <w:rPr>
          <w:rFonts w:cs="Times New Roman"/>
          <w:lang w:val="fr-CA"/>
        </w:rPr>
        <w:t>. . .</w:t>
      </w:r>
      <w:r w:rsidRPr="00990245">
        <w:rPr>
          <w:rFonts w:cs="Times New Roman"/>
          <w:lang w:val="fr-CA"/>
        </w:rPr>
        <w:t xml:space="preserve">] nommément </w:t>
      </w:r>
      <w:r w:rsidRPr="00990245">
        <w:rPr>
          <w:rFonts w:cs="Times New Roman"/>
          <w:lang w:val="fr-CA"/>
        </w:rPr>
        <w:lastRenderedPageBreak/>
        <w:t>désigné</w:t>
      </w:r>
      <w:r w:rsidR="00601B6E">
        <w:rPr>
          <w:rFonts w:cs="Times New Roman"/>
          <w:lang w:val="fr-CA"/>
        </w:rPr>
        <w:t> »</w:t>
      </w:r>
      <w:r w:rsidRPr="00990245">
        <w:rPr>
          <w:rFonts w:cs="Times New Roman"/>
          <w:lang w:val="fr-CA"/>
        </w:rPr>
        <w:t xml:space="preserve"> (ou, dans le cas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64, un </w:t>
      </w:r>
      <w:r w:rsidR="00601B6E">
        <w:rPr>
          <w:rFonts w:cs="Times New Roman"/>
          <w:lang w:val="fr-CA"/>
        </w:rPr>
        <w:t>« </w:t>
      </w:r>
      <w:r w:rsidRPr="00990245">
        <w:rPr>
          <w:rFonts w:cs="Times New Roman"/>
          <w:lang w:val="fr-CA"/>
        </w:rPr>
        <w:t>client actuel ou antérieur, nommément désigné</w:t>
      </w:r>
      <w:r w:rsidR="00601B6E">
        <w:rPr>
          <w:rFonts w:cs="Times New Roman"/>
          <w:lang w:val="fr-CA"/>
        </w:rPr>
        <w:t> »</w:t>
      </w:r>
      <w:r w:rsidRPr="00990245">
        <w:rPr>
          <w:rFonts w:cs="Times New Roman"/>
          <w:lang w:val="fr-CA"/>
        </w:rPr>
        <w:t xml:space="preserve">) le </w:t>
      </w:r>
      <w:r w:rsidR="00601B6E">
        <w:rPr>
          <w:rFonts w:cs="Times New Roman"/>
          <w:lang w:val="fr-CA"/>
        </w:rPr>
        <w:t>« </w:t>
      </w:r>
      <w:r w:rsidRPr="00990245">
        <w:rPr>
          <w:rFonts w:cs="Times New Roman"/>
          <w:lang w:val="fr-CA"/>
        </w:rPr>
        <w:t>secret profes</w:t>
      </w:r>
      <w:r>
        <w:rPr>
          <w:rFonts w:cs="Times New Roman"/>
          <w:lang w:val="fr-CA"/>
        </w:rPr>
        <w:t>sionnel</w:t>
      </w:r>
      <w:r w:rsidR="00601B6E">
        <w:rPr>
          <w:rFonts w:cs="Times New Roman"/>
          <w:lang w:val="fr-CA"/>
        </w:rPr>
        <w:t> »</w:t>
      </w:r>
      <w:r w:rsidRPr="00990245">
        <w:rPr>
          <w:rFonts w:cs="Times New Roman"/>
          <w:lang w:val="fr-CA"/>
        </w:rPr>
        <w:t xml:space="preserve"> en ce qui concerne le document demandé. Dès lors que le secret professionnel est revendiqué, le document est mis sous scellés et conservé. (Les modalités de ce volet des deux régimes sont différentes</w:t>
      </w:r>
      <w:r w:rsidR="00601B6E">
        <w:rPr>
          <w:rFonts w:cs="Times New Roman"/>
          <w:lang w:val="fr-CA"/>
        </w:rPr>
        <w:t> :</w:t>
      </w:r>
      <w:r w:rsidRPr="00990245">
        <w:rPr>
          <w:rFonts w:cs="Times New Roman"/>
          <w:lang w:val="fr-CA"/>
        </w:rPr>
        <w:t xml:space="preserve"> suivant le </w:t>
      </w:r>
      <w:r w:rsidRPr="00990245">
        <w:rPr>
          <w:rFonts w:cs="Times New Roman"/>
          <w:i/>
          <w:iCs/>
          <w:lang w:val="fr-CA"/>
        </w:rPr>
        <w:t>Code</w:t>
      </w:r>
      <w:r w:rsidRPr="00990245">
        <w:rPr>
          <w:rFonts w:cs="Times New Roman"/>
          <w:lang w:val="fr-CA"/>
        </w:rPr>
        <w:t xml:space="preserve">, le fonctionnaire met sous scellés le document dont il confie la garde au shérif, tandis que, selon la </w:t>
      </w:r>
      <w:r w:rsidRPr="00825622">
        <w:rPr>
          <w:rFonts w:cs="Times New Roman"/>
          <w:iCs/>
          <w:lang w:val="fr-CA"/>
        </w:rPr>
        <w:t>Loi</w:t>
      </w:r>
      <w:r w:rsidRPr="00990245">
        <w:rPr>
          <w:rFonts w:cs="Times New Roman"/>
          <w:iCs/>
          <w:lang w:val="fr-CA"/>
        </w:rPr>
        <w:t>,</w:t>
      </w:r>
      <w:r w:rsidRPr="00990245">
        <w:rPr>
          <w:rFonts w:cs="Times New Roman"/>
          <w:lang w:val="fr-CA"/>
        </w:rPr>
        <w:t xml:space="preserve"> c</w:t>
      </w:r>
      <w:r>
        <w:rPr>
          <w:rFonts w:cs="Times New Roman"/>
          <w:lang w:val="fr-CA"/>
        </w:rPr>
        <w:t>’</w:t>
      </w:r>
      <w:r w:rsidRPr="00990245">
        <w:rPr>
          <w:rFonts w:cs="Times New Roman"/>
          <w:lang w:val="fr-CA"/>
        </w:rPr>
        <w:t>est l</w:t>
      </w:r>
      <w:r>
        <w:rPr>
          <w:rFonts w:cs="Times New Roman"/>
          <w:lang w:val="fr-CA"/>
        </w:rPr>
        <w:t>’</w:t>
      </w:r>
      <w:r w:rsidRPr="00990245">
        <w:rPr>
          <w:rFonts w:cs="Times New Roman"/>
          <w:lang w:val="fr-CA"/>
        </w:rPr>
        <w:t>avocat qui s</w:t>
      </w:r>
      <w:r>
        <w:rPr>
          <w:rFonts w:cs="Times New Roman"/>
          <w:lang w:val="fr-CA"/>
        </w:rPr>
        <w:t>’</w:t>
      </w:r>
      <w:r w:rsidRPr="00990245">
        <w:rPr>
          <w:rFonts w:cs="Times New Roman"/>
          <w:lang w:val="fr-CA"/>
        </w:rPr>
        <w:t xml:space="preserve">occupe de la mise sous scellés et de la garde des documents.) </w:t>
      </w:r>
    </w:p>
    <w:p w:rsidR="00CA3D49" w:rsidRPr="00990245" w:rsidRDefault="00CA3D49" w:rsidP="00CA3D49">
      <w:pPr>
        <w:pStyle w:val="ParaNoNdepar-AltN"/>
        <w:rPr>
          <w:rFonts w:cs="Times New Roman"/>
          <w:lang w:val="fr-CA"/>
        </w:rPr>
      </w:pPr>
      <w:r w:rsidRPr="00990245">
        <w:rPr>
          <w:rFonts w:cs="Times New Roman"/>
          <w:lang w:val="fr-CA"/>
        </w:rPr>
        <w:t>Les deux régimes exigent du fonctionnaire qu</w:t>
      </w:r>
      <w:r>
        <w:rPr>
          <w:rFonts w:cs="Times New Roman"/>
          <w:lang w:val="fr-CA"/>
        </w:rPr>
        <w:t>’</w:t>
      </w:r>
      <w:r w:rsidRPr="00990245">
        <w:rPr>
          <w:rFonts w:cs="Times New Roman"/>
          <w:lang w:val="fr-CA"/>
        </w:rPr>
        <w:t>il permette raisonnablement la revendication du secret professionnel de l</w:t>
      </w:r>
      <w:r>
        <w:rPr>
          <w:rFonts w:cs="Times New Roman"/>
          <w:lang w:val="fr-CA"/>
        </w:rPr>
        <w:t>’</w:t>
      </w:r>
      <w:r w:rsidRPr="00990245">
        <w:rPr>
          <w:rFonts w:cs="Times New Roman"/>
          <w:lang w:val="fr-CA"/>
        </w:rPr>
        <w:t>avocat avant d</w:t>
      </w:r>
      <w:r>
        <w:rPr>
          <w:rFonts w:cs="Times New Roman"/>
          <w:lang w:val="fr-CA"/>
        </w:rPr>
        <w:t>’</w:t>
      </w:r>
      <w:r w:rsidRPr="00990245">
        <w:rPr>
          <w:rFonts w:cs="Times New Roman"/>
          <w:lang w:val="fr-CA"/>
        </w:rPr>
        <w:t>examiner ou de reproduire le document. Le paragraphe</w:t>
      </w:r>
      <w:r w:rsidR="00601B6E">
        <w:rPr>
          <w:rFonts w:cs="Times New Roman"/>
          <w:lang w:val="fr-CA"/>
        </w:rPr>
        <w:t xml:space="preserve"> </w:t>
      </w:r>
      <w:r w:rsidRPr="00990245">
        <w:rPr>
          <w:rFonts w:cs="Times New Roman"/>
          <w:lang w:val="fr-CA"/>
        </w:rPr>
        <w:t xml:space="preserve">64(9.1) de la </w:t>
      </w:r>
      <w:r w:rsidRPr="00825622">
        <w:rPr>
          <w:rFonts w:cs="Times New Roman"/>
          <w:lang w:val="fr-CA"/>
        </w:rPr>
        <w:t>Loi</w:t>
      </w:r>
      <w:r w:rsidRPr="00990245">
        <w:rPr>
          <w:rFonts w:cs="Times New Roman"/>
          <w:lang w:val="fr-CA"/>
        </w:rPr>
        <w:t xml:space="preserve"> renforce quelque peu cette protection en interdisant au fonctionnaire d</w:t>
      </w:r>
      <w:r>
        <w:rPr>
          <w:rFonts w:cs="Times New Roman"/>
          <w:lang w:val="fr-CA"/>
        </w:rPr>
        <w:t>’</w:t>
      </w:r>
      <w:r w:rsidRPr="00990245">
        <w:rPr>
          <w:rFonts w:cs="Times New Roman"/>
          <w:lang w:val="fr-CA"/>
        </w:rPr>
        <w:t>examiner ou de reproduire un document en la possession d</w:t>
      </w:r>
      <w:r>
        <w:rPr>
          <w:rFonts w:cs="Times New Roman"/>
          <w:lang w:val="fr-CA"/>
        </w:rPr>
        <w:t>’</w:t>
      </w:r>
      <w:r w:rsidRPr="00990245">
        <w:rPr>
          <w:rFonts w:cs="Times New Roman"/>
          <w:lang w:val="fr-CA"/>
        </w:rPr>
        <w:t>une personne qui n</w:t>
      </w:r>
      <w:r>
        <w:rPr>
          <w:rFonts w:cs="Times New Roman"/>
          <w:lang w:val="fr-CA"/>
        </w:rPr>
        <w:t>’</w:t>
      </w:r>
      <w:r w:rsidRPr="00990245">
        <w:rPr>
          <w:rFonts w:cs="Times New Roman"/>
          <w:lang w:val="fr-CA"/>
        </w:rPr>
        <w:t xml:space="preserve">est pas un avocat mais qui soutient que le secret professionnel pourrait être revendiqué par un avocat sans donner à cette personne une occasion raisonnable de communiquer avec cet avocat. </w:t>
      </w:r>
    </w:p>
    <w:p w:rsidR="00CA3D49" w:rsidRPr="00990245" w:rsidRDefault="00CA3D49" w:rsidP="00CA3D49">
      <w:pPr>
        <w:pStyle w:val="ParaNoNdepar-AltN"/>
        <w:rPr>
          <w:rFonts w:cs="Times New Roman"/>
          <w:lang w:val="fr-CA"/>
        </w:rPr>
      </w:pPr>
      <w:r w:rsidRPr="00990245">
        <w:rPr>
          <w:rFonts w:cs="Times New Roman"/>
          <w:lang w:val="fr-CA"/>
        </w:rPr>
        <w:t>La procédure prévue par les deux régimes pour ce qui est de la décision que le tribunal doit rendre au sujet de l</w:t>
      </w:r>
      <w:r>
        <w:rPr>
          <w:rFonts w:cs="Times New Roman"/>
          <w:lang w:val="fr-CA"/>
        </w:rPr>
        <w:t>’</w:t>
      </w:r>
      <w:r w:rsidRPr="00990245">
        <w:rPr>
          <w:rFonts w:cs="Times New Roman"/>
          <w:lang w:val="fr-CA"/>
        </w:rPr>
        <w:t>existence du privilège est également semblable. Suivant les deux régimes, l</w:t>
      </w:r>
      <w:r>
        <w:rPr>
          <w:rFonts w:cs="Times New Roman"/>
          <w:lang w:val="fr-CA"/>
        </w:rPr>
        <w:t>’</w:t>
      </w:r>
      <w:r w:rsidRPr="00990245">
        <w:rPr>
          <w:rFonts w:cs="Times New Roman"/>
          <w:lang w:val="fr-CA"/>
        </w:rPr>
        <w:t>avocat peut, dans un délai de 14</w:t>
      </w:r>
      <w:r w:rsidR="00601B6E">
        <w:rPr>
          <w:rFonts w:cs="Times New Roman"/>
          <w:lang w:val="fr-CA"/>
        </w:rPr>
        <w:t xml:space="preserve"> </w:t>
      </w:r>
      <w:r w:rsidRPr="00990245">
        <w:rPr>
          <w:rFonts w:cs="Times New Roman"/>
          <w:lang w:val="fr-CA"/>
        </w:rPr>
        <w:t>jours, demander à un juge de décider si le document est protégé. À défaut de demande, le procureur général peut demander à un juge de rendre une ordonnance enjoignant à la personne qui a la garde du document de le remettre au fonctionnaire. Toujours selon les deux régimes, le document qui, de l</w:t>
      </w:r>
      <w:r>
        <w:rPr>
          <w:rFonts w:cs="Times New Roman"/>
          <w:lang w:val="fr-CA"/>
        </w:rPr>
        <w:t>’</w:t>
      </w:r>
      <w:r w:rsidRPr="00990245">
        <w:rPr>
          <w:rFonts w:cs="Times New Roman"/>
          <w:lang w:val="fr-CA"/>
        </w:rPr>
        <w:t xml:space="preserve">avis du juge, est visé par le secret </w:t>
      </w:r>
      <w:r w:rsidRPr="00990245">
        <w:rPr>
          <w:rFonts w:cs="Times New Roman"/>
          <w:lang w:val="fr-CA"/>
        </w:rPr>
        <w:lastRenderedPageBreak/>
        <w:t>professionnel de l</w:t>
      </w:r>
      <w:r>
        <w:rPr>
          <w:rFonts w:cs="Times New Roman"/>
          <w:lang w:val="fr-CA"/>
        </w:rPr>
        <w:t>’</w:t>
      </w:r>
      <w:r w:rsidRPr="00990245">
        <w:rPr>
          <w:rFonts w:cs="Times New Roman"/>
          <w:lang w:val="fr-CA"/>
        </w:rPr>
        <w:t>avocat le demeure. À défaut de demande, toutefois, le juge est obligé d</w:t>
      </w:r>
      <w:r>
        <w:rPr>
          <w:rFonts w:cs="Times New Roman"/>
          <w:lang w:val="fr-CA"/>
        </w:rPr>
        <w:t>’</w:t>
      </w:r>
      <w:r w:rsidRPr="00990245">
        <w:rPr>
          <w:rFonts w:cs="Times New Roman"/>
          <w:lang w:val="fr-CA"/>
        </w:rPr>
        <w:t>ordonner la remise du document au fonctionnaire.</w:t>
      </w:r>
    </w:p>
    <w:p w:rsidR="00CA3D49" w:rsidRPr="00990245" w:rsidRDefault="00CA3D49" w:rsidP="00CA3D49">
      <w:pPr>
        <w:pStyle w:val="ParaNoNdepar-AltN"/>
        <w:rPr>
          <w:rFonts w:cs="Times New Roman"/>
          <w:lang w:val="fr-CA"/>
        </w:rPr>
      </w:pPr>
      <w:r w:rsidRPr="00990245">
        <w:rPr>
          <w:rFonts w:cs="Times New Roman"/>
          <w:lang w:val="fr-CA"/>
        </w:rPr>
        <w:t>Pour revenir à l</w:t>
      </w:r>
      <w:r>
        <w:rPr>
          <w:rFonts w:cs="Times New Roman"/>
          <w:lang w:val="fr-CA"/>
        </w:rPr>
        <w:t>’</w:t>
      </w:r>
      <w:r w:rsidRPr="00990245">
        <w:rPr>
          <w:rFonts w:cs="Times New Roman"/>
          <w:lang w:val="fr-CA"/>
        </w:rPr>
        <w:t xml:space="preserve">arrêt </w:t>
      </w:r>
      <w:proofErr w:type="spellStart"/>
      <w:r w:rsidRPr="00990245">
        <w:rPr>
          <w:rFonts w:cs="Times New Roman"/>
          <w:i/>
          <w:iCs/>
          <w:lang w:val="fr-CA"/>
        </w:rPr>
        <w:t>Lavallee</w:t>
      </w:r>
      <w:proofErr w:type="spellEnd"/>
      <w:r w:rsidRPr="00990245">
        <w:rPr>
          <w:rFonts w:cs="Times New Roman"/>
          <w:lang w:val="fr-CA"/>
        </w:rPr>
        <w:t>, rappelons que la Cour a décelé dans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488.1 certaines déficiences constitutionnelles qui découlaient toutes du fait que cette disposition ne traitait pas directement du droit que le détenteur du privilège, en l</w:t>
      </w:r>
      <w:r>
        <w:rPr>
          <w:rFonts w:cs="Times New Roman"/>
          <w:lang w:val="fr-CA"/>
        </w:rPr>
        <w:t>’</w:t>
      </w:r>
      <w:r w:rsidRPr="00990245">
        <w:rPr>
          <w:rFonts w:cs="Times New Roman"/>
          <w:lang w:val="fr-CA"/>
        </w:rPr>
        <w:t>occurrence le client, devrait avoir pour protéger celui</w:t>
      </w:r>
      <w:r w:rsidR="00601B6E">
        <w:rPr>
          <w:rFonts w:cs="Times New Roman"/>
          <w:lang w:val="fr-CA"/>
        </w:rPr>
        <w:t>-</w:t>
      </w:r>
      <w:r w:rsidRPr="00990245">
        <w:rPr>
          <w:rFonts w:cs="Times New Roman"/>
          <w:lang w:val="fr-CA"/>
        </w:rPr>
        <w:t>ci. Vu l</w:t>
      </w:r>
      <w:r>
        <w:rPr>
          <w:rFonts w:cs="Times New Roman"/>
          <w:lang w:val="fr-CA"/>
        </w:rPr>
        <w:t>’</w:t>
      </w:r>
      <w:r w:rsidRPr="00990245">
        <w:rPr>
          <w:rFonts w:cs="Times New Roman"/>
          <w:lang w:val="fr-CA"/>
        </w:rPr>
        <w:t>absence de disposition exigeant qu</w:t>
      </w:r>
      <w:r>
        <w:rPr>
          <w:rFonts w:cs="Times New Roman"/>
          <w:lang w:val="fr-CA"/>
        </w:rPr>
        <w:t>’</w:t>
      </w:r>
      <w:r w:rsidRPr="00990245">
        <w:rPr>
          <w:rFonts w:cs="Times New Roman"/>
          <w:lang w:val="fr-CA"/>
        </w:rPr>
        <w:t>un avis soit donné au titulaire du privilège, il était possible que le client ne sache même pas que son privilège était menacé (par.</w:t>
      </w:r>
      <w:r w:rsidR="00601B6E">
        <w:rPr>
          <w:rFonts w:cs="Times New Roman"/>
          <w:lang w:val="fr-CA"/>
        </w:rPr>
        <w:t xml:space="preserve"> </w:t>
      </w:r>
      <w:r w:rsidRPr="00990245">
        <w:rPr>
          <w:rFonts w:cs="Times New Roman"/>
          <w:lang w:val="fr-CA"/>
        </w:rPr>
        <w:t>40). Ce problème fondamental relevé à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488.1 par la Cour dans </w:t>
      </w:r>
      <w:proofErr w:type="spellStart"/>
      <w:r w:rsidRPr="00990245">
        <w:rPr>
          <w:rFonts w:cs="Times New Roman"/>
          <w:i/>
          <w:iCs/>
          <w:lang w:val="fr-CA"/>
        </w:rPr>
        <w:t>Lavallee</w:t>
      </w:r>
      <w:proofErr w:type="spellEnd"/>
      <w:r w:rsidRPr="00990245">
        <w:rPr>
          <w:rFonts w:cs="Times New Roman"/>
          <w:i/>
          <w:iCs/>
          <w:lang w:val="fr-CA"/>
        </w:rPr>
        <w:t xml:space="preserve"> </w:t>
      </w:r>
      <w:r w:rsidRPr="00990245">
        <w:rPr>
          <w:rFonts w:cs="Times New Roman"/>
          <w:lang w:val="fr-CA"/>
        </w:rPr>
        <w:t>n</w:t>
      </w:r>
      <w:r>
        <w:rPr>
          <w:rFonts w:cs="Times New Roman"/>
          <w:lang w:val="fr-CA"/>
        </w:rPr>
        <w:t>’</w:t>
      </w:r>
      <w:r w:rsidRPr="00990245">
        <w:rPr>
          <w:rFonts w:cs="Times New Roman"/>
          <w:lang w:val="fr-CA"/>
        </w:rPr>
        <w:t>est pas véritablement abordé à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64 de la </w:t>
      </w:r>
      <w:r w:rsidRPr="00825622">
        <w:rPr>
          <w:rFonts w:cs="Times New Roman"/>
          <w:lang w:val="fr-CA"/>
        </w:rPr>
        <w:t>Loi</w:t>
      </w:r>
      <w:r w:rsidRPr="00990245">
        <w:rPr>
          <w:rFonts w:cs="Times New Roman"/>
          <w:lang w:val="fr-CA"/>
        </w:rPr>
        <w:t xml:space="preserve">. </w:t>
      </w:r>
    </w:p>
    <w:p w:rsidR="00CA3D49" w:rsidRPr="00990245" w:rsidRDefault="00CA3D49" w:rsidP="00CA3D49">
      <w:pPr>
        <w:pStyle w:val="ParaNoNdepar-AltN"/>
        <w:rPr>
          <w:rFonts w:cs="Times New Roman"/>
          <w:lang w:val="fr-CA"/>
        </w:rPr>
      </w:pPr>
      <w:r w:rsidRPr="00990245">
        <w:rPr>
          <w:rFonts w:cs="Times New Roman"/>
          <w:lang w:val="fr-CA"/>
        </w:rPr>
        <w:t>Dans l</w:t>
      </w:r>
      <w:r>
        <w:rPr>
          <w:rFonts w:cs="Times New Roman"/>
          <w:lang w:val="fr-CA"/>
        </w:rPr>
        <w:t>’</w:t>
      </w:r>
      <w:r w:rsidRPr="00990245">
        <w:rPr>
          <w:rFonts w:cs="Times New Roman"/>
          <w:lang w:val="fr-CA"/>
        </w:rPr>
        <w:t xml:space="preserve">arrêt </w:t>
      </w:r>
      <w:proofErr w:type="spellStart"/>
      <w:r w:rsidRPr="00990245">
        <w:rPr>
          <w:rFonts w:cs="Times New Roman"/>
          <w:i/>
          <w:iCs/>
          <w:lang w:val="fr-CA"/>
        </w:rPr>
        <w:t>Lavallee</w:t>
      </w:r>
      <w:proofErr w:type="spellEnd"/>
      <w:r w:rsidRPr="00990245">
        <w:rPr>
          <w:rFonts w:cs="Times New Roman"/>
          <w:lang w:val="fr-CA"/>
        </w:rPr>
        <w:t>, la Cour a estimé qu</w:t>
      </w:r>
      <w:r>
        <w:rPr>
          <w:rFonts w:cs="Times New Roman"/>
          <w:lang w:val="fr-CA"/>
        </w:rPr>
        <w:t>’</w:t>
      </w:r>
      <w:r w:rsidRPr="00990245">
        <w:rPr>
          <w:rFonts w:cs="Times New Roman"/>
          <w:lang w:val="fr-CA"/>
        </w:rPr>
        <w:t>il en résultait deux autres déficiences constitutionnelles. En premier lieu, le fardeau de protéger le privilège était déplacé à tort de l</w:t>
      </w:r>
      <w:r>
        <w:rPr>
          <w:rFonts w:cs="Times New Roman"/>
          <w:lang w:val="fr-CA"/>
        </w:rPr>
        <w:t>’</w:t>
      </w:r>
      <w:r w:rsidRPr="00990245">
        <w:rPr>
          <w:rFonts w:cs="Times New Roman"/>
          <w:lang w:val="fr-CA"/>
        </w:rPr>
        <w:t>État à l</w:t>
      </w:r>
      <w:r>
        <w:rPr>
          <w:rFonts w:cs="Times New Roman"/>
          <w:lang w:val="fr-CA"/>
        </w:rPr>
        <w:t>’</w:t>
      </w:r>
      <w:r w:rsidRPr="00990245">
        <w:rPr>
          <w:rFonts w:cs="Times New Roman"/>
          <w:lang w:val="fr-CA"/>
        </w:rPr>
        <w:t>avocat parce que, suivant le régime, seul l</w:t>
      </w:r>
      <w:r>
        <w:rPr>
          <w:rFonts w:cs="Times New Roman"/>
          <w:lang w:val="fr-CA"/>
        </w:rPr>
        <w:t>’</w:t>
      </w:r>
      <w:r w:rsidRPr="00990245">
        <w:rPr>
          <w:rFonts w:cs="Times New Roman"/>
          <w:lang w:val="fr-CA"/>
        </w:rPr>
        <w:t>avocat pouvait revendiquer le privilège et qu</w:t>
      </w:r>
      <w:r>
        <w:rPr>
          <w:rFonts w:cs="Times New Roman"/>
          <w:lang w:val="fr-CA"/>
        </w:rPr>
        <w:t>’</w:t>
      </w:r>
      <w:r w:rsidRPr="00990245">
        <w:rPr>
          <w:rFonts w:cs="Times New Roman"/>
          <w:lang w:val="fr-CA"/>
        </w:rPr>
        <w:t>il n</w:t>
      </w:r>
      <w:r>
        <w:rPr>
          <w:rFonts w:cs="Times New Roman"/>
          <w:lang w:val="fr-CA"/>
        </w:rPr>
        <w:t>’</w:t>
      </w:r>
      <w:r w:rsidRPr="00990245">
        <w:rPr>
          <w:rFonts w:cs="Times New Roman"/>
          <w:lang w:val="fr-CA"/>
        </w:rPr>
        <w:t>était pas nécessaire d</w:t>
      </w:r>
      <w:r>
        <w:rPr>
          <w:rFonts w:cs="Times New Roman"/>
          <w:lang w:val="fr-CA"/>
        </w:rPr>
        <w:t>’</w:t>
      </w:r>
      <w:r w:rsidRPr="00990245">
        <w:rPr>
          <w:rFonts w:cs="Times New Roman"/>
          <w:lang w:val="fr-CA"/>
        </w:rPr>
        <w:t>aviser le client (par.</w:t>
      </w:r>
      <w:r w:rsidR="00601B6E">
        <w:rPr>
          <w:rFonts w:cs="Times New Roman"/>
          <w:lang w:val="fr-CA"/>
        </w:rPr>
        <w:t xml:space="preserve"> </w:t>
      </w:r>
      <w:r w:rsidRPr="00990245">
        <w:rPr>
          <w:rFonts w:cs="Times New Roman"/>
          <w:lang w:val="fr-CA"/>
        </w:rPr>
        <w:t>40). Dans les cas où il n</w:t>
      </w:r>
      <w:r>
        <w:rPr>
          <w:rFonts w:cs="Times New Roman"/>
          <w:lang w:val="fr-CA"/>
        </w:rPr>
        <w:t>’</w:t>
      </w:r>
      <w:r w:rsidRPr="00990245">
        <w:rPr>
          <w:rFonts w:cs="Times New Roman"/>
          <w:lang w:val="fr-CA"/>
        </w:rPr>
        <w:t>est pas possible d</w:t>
      </w:r>
      <w:r>
        <w:rPr>
          <w:rFonts w:cs="Times New Roman"/>
          <w:lang w:val="fr-CA"/>
        </w:rPr>
        <w:t>’</w:t>
      </w:r>
      <w:r w:rsidRPr="00990245">
        <w:rPr>
          <w:rFonts w:cs="Times New Roman"/>
          <w:lang w:val="fr-CA"/>
        </w:rPr>
        <w:t>aviser le détenteur du privilège, il devrait à tout le moins y avoir une intervention légale indépendante, par exemple sous forme d</w:t>
      </w:r>
      <w:r>
        <w:rPr>
          <w:rFonts w:cs="Times New Roman"/>
          <w:lang w:val="fr-CA"/>
        </w:rPr>
        <w:t>’</w:t>
      </w:r>
      <w:r w:rsidRPr="00990245">
        <w:rPr>
          <w:rFonts w:cs="Times New Roman"/>
          <w:lang w:val="fr-CA"/>
        </w:rPr>
        <w:t>avis et de participation du barreau compétent (par.</w:t>
      </w:r>
      <w:r w:rsidR="00601B6E">
        <w:rPr>
          <w:rFonts w:cs="Times New Roman"/>
          <w:lang w:val="fr-CA"/>
        </w:rPr>
        <w:t xml:space="preserve"> </w:t>
      </w:r>
      <w:r w:rsidRPr="00990245">
        <w:rPr>
          <w:rFonts w:cs="Times New Roman"/>
          <w:lang w:val="fr-CA"/>
        </w:rPr>
        <w:t>41). Ainsi que l</w:t>
      </w:r>
      <w:r>
        <w:rPr>
          <w:rFonts w:cs="Times New Roman"/>
          <w:lang w:val="fr-CA"/>
        </w:rPr>
        <w:t>’</w:t>
      </w:r>
      <w:r w:rsidRPr="00990245">
        <w:rPr>
          <w:rFonts w:cs="Times New Roman"/>
          <w:lang w:val="fr-CA"/>
        </w:rPr>
        <w:t xml:space="preserve">a expliqué la juge </w:t>
      </w:r>
      <w:proofErr w:type="spellStart"/>
      <w:r w:rsidRPr="00990245">
        <w:rPr>
          <w:rFonts w:cs="Times New Roman"/>
          <w:lang w:val="fr-CA"/>
        </w:rPr>
        <w:t>Arbour</w:t>
      </w:r>
      <w:proofErr w:type="spellEnd"/>
      <w:r w:rsidR="00601B6E">
        <w:rPr>
          <w:rFonts w:cs="Times New Roman"/>
          <w:lang w:val="fr-CA"/>
        </w:rPr>
        <w:t> :</w:t>
      </w:r>
    </w:p>
    <w:p w:rsidR="00CA3D49" w:rsidRPr="00990245" w:rsidRDefault="00CA3D49" w:rsidP="00CA3D49">
      <w:pPr>
        <w:pStyle w:val="Citation-AltC"/>
        <w:ind w:hanging="1166"/>
        <w:contextualSpacing w:val="0"/>
        <w:rPr>
          <w:lang w:val="fr-CA"/>
        </w:rPr>
      </w:pPr>
      <w:r w:rsidRPr="00990245">
        <w:rPr>
          <w:lang w:val="fr-CA"/>
        </w:rPr>
        <w:tab/>
      </w:r>
      <w:r w:rsidR="00601B6E">
        <w:rPr>
          <w:lang w:val="fr-CA"/>
        </w:rPr>
        <w:t>. . .</w:t>
      </w:r>
      <w:r w:rsidR="00825622">
        <w:rPr>
          <w:lang w:val="fr-CA"/>
        </w:rPr>
        <w:t xml:space="preserve"> </w:t>
      </w:r>
      <w:r w:rsidRPr="00990245">
        <w:rPr>
          <w:rStyle w:val="highlight"/>
          <w:lang w:val="fr-CA"/>
        </w:rPr>
        <w:t>comme le droit de l</w:t>
      </w:r>
      <w:r>
        <w:rPr>
          <w:rStyle w:val="highlight"/>
          <w:lang w:val="fr-CA"/>
        </w:rPr>
        <w:t>’</w:t>
      </w:r>
      <w:r w:rsidRPr="00990245">
        <w:rPr>
          <w:rStyle w:val="highlight"/>
          <w:lang w:val="fr-CA"/>
        </w:rPr>
        <w:t>État d</w:t>
      </w:r>
      <w:r>
        <w:rPr>
          <w:rStyle w:val="highlight"/>
          <w:lang w:val="fr-CA"/>
        </w:rPr>
        <w:t>’</w:t>
      </w:r>
      <w:r w:rsidRPr="00990245">
        <w:rPr>
          <w:rStyle w:val="highlight"/>
          <w:lang w:val="fr-CA"/>
        </w:rPr>
        <w:t>obtenir ces renseignements est, en droit</w:t>
      </w:r>
      <w:r w:rsidRPr="00990245">
        <w:rPr>
          <w:lang w:val="fr-CA"/>
        </w:rPr>
        <w:t>, conditionnel au consentement du détenteur du privilège, il faut que toutes les mesures nécessaires à la notification de cette personne ou d</w:t>
      </w:r>
      <w:r>
        <w:rPr>
          <w:lang w:val="fr-CA"/>
        </w:rPr>
        <w:t>’</w:t>
      </w:r>
      <w:r w:rsidRPr="00990245">
        <w:rPr>
          <w:lang w:val="fr-CA"/>
        </w:rPr>
        <w:t>un substitut convenable comme le Barreau soient mises en place pour que la disposition soit conforme à l</w:t>
      </w:r>
      <w:r>
        <w:rPr>
          <w:lang w:val="fr-CA"/>
        </w:rPr>
        <w:t>’</w:t>
      </w:r>
      <w:r w:rsidRPr="00990245">
        <w:rPr>
          <w:lang w:val="fr-CA"/>
        </w:rPr>
        <w:t>art.</w:t>
      </w:r>
      <w:r w:rsidR="00601B6E">
        <w:rPr>
          <w:lang w:val="fr-CA"/>
        </w:rPr>
        <w:t xml:space="preserve"> </w:t>
      </w:r>
      <w:r w:rsidRPr="00990245">
        <w:rPr>
          <w:lang w:val="fr-CA"/>
        </w:rPr>
        <w:t xml:space="preserve">8 de la </w:t>
      </w:r>
      <w:r w:rsidRPr="00990245">
        <w:rPr>
          <w:i/>
          <w:iCs/>
          <w:lang w:val="fr-CA"/>
        </w:rPr>
        <w:t>Charte</w:t>
      </w:r>
      <w:r>
        <w:rPr>
          <w:iCs/>
          <w:lang w:val="fr-CA"/>
        </w:rPr>
        <w:t>.</w:t>
      </w:r>
      <w:r w:rsidRPr="00990245">
        <w:rPr>
          <w:lang w:val="fr-CA"/>
        </w:rPr>
        <w:t xml:space="preserve"> [</w:t>
      </w:r>
      <w:proofErr w:type="gramStart"/>
      <w:r w:rsidRPr="00990245">
        <w:rPr>
          <w:lang w:val="fr-CA"/>
        </w:rPr>
        <w:t>par</w:t>
      </w:r>
      <w:proofErr w:type="gramEnd"/>
      <w:r w:rsidRPr="00990245">
        <w:rPr>
          <w:lang w:val="fr-CA"/>
        </w:rPr>
        <w:t>.</w:t>
      </w:r>
      <w:r w:rsidR="00601B6E">
        <w:rPr>
          <w:lang w:val="fr-CA"/>
        </w:rPr>
        <w:t xml:space="preserve"> </w:t>
      </w:r>
      <w:r w:rsidRPr="00990245">
        <w:rPr>
          <w:lang w:val="fr-CA"/>
        </w:rPr>
        <w:t>42]</w:t>
      </w:r>
    </w:p>
    <w:p w:rsidR="00CA3D49" w:rsidRPr="00990245" w:rsidRDefault="00CA3D49" w:rsidP="00CA3D49">
      <w:pPr>
        <w:pStyle w:val="ParaNoNdepar-AltN"/>
        <w:rPr>
          <w:rFonts w:cs="Times New Roman"/>
          <w:lang w:val="fr-CA"/>
        </w:rPr>
      </w:pPr>
      <w:r w:rsidRPr="00990245">
        <w:rPr>
          <w:rFonts w:cs="Times New Roman"/>
          <w:lang w:val="fr-CA"/>
        </w:rPr>
        <w:lastRenderedPageBreak/>
        <w:t>L</w:t>
      </w:r>
      <w:r>
        <w:rPr>
          <w:rFonts w:cs="Times New Roman"/>
          <w:lang w:val="fr-CA"/>
        </w:rPr>
        <w:t>’</w:t>
      </w:r>
      <w:r w:rsidRPr="00990245">
        <w:rPr>
          <w:rFonts w:cs="Times New Roman"/>
          <w:lang w:val="fr-CA"/>
        </w:rPr>
        <w:t>article</w:t>
      </w:r>
      <w:r w:rsidR="00601B6E">
        <w:rPr>
          <w:rFonts w:cs="Times New Roman"/>
          <w:lang w:val="fr-CA"/>
        </w:rPr>
        <w:t xml:space="preserve"> </w:t>
      </w:r>
      <w:r w:rsidRPr="00990245">
        <w:rPr>
          <w:rFonts w:cs="Times New Roman"/>
          <w:lang w:val="fr-CA"/>
        </w:rPr>
        <w:t>64 souffre de lacunes semblables. Le privilège ne peut être revendiqué dans un premier temps que par un conseiller juridique, tout comme le prévoyait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488.1. Bien que, suivant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64, le conseiller juridique ait l</w:t>
      </w:r>
      <w:r>
        <w:rPr>
          <w:rFonts w:cs="Times New Roman"/>
          <w:lang w:val="fr-CA"/>
        </w:rPr>
        <w:t>’</w:t>
      </w:r>
      <w:r w:rsidRPr="00990245">
        <w:rPr>
          <w:rFonts w:cs="Times New Roman"/>
          <w:lang w:val="fr-CA"/>
        </w:rPr>
        <w:t xml:space="preserve">obligation de communiquer la dernière adresse connue du client au fonctionnaire pour permettre à ce dernier de </w:t>
      </w:r>
      <w:r w:rsidR="00601B6E">
        <w:rPr>
          <w:rFonts w:cs="Times New Roman"/>
          <w:lang w:val="fr-CA"/>
        </w:rPr>
        <w:t>« </w:t>
      </w:r>
      <w:r w:rsidRPr="00990245">
        <w:rPr>
          <w:rFonts w:cs="Times New Roman"/>
          <w:lang w:val="fr-CA"/>
        </w:rPr>
        <w:t>chercher à informer le client du secret professionnel</w:t>
      </w:r>
      <w:r w:rsidR="00601B6E">
        <w:rPr>
          <w:rFonts w:cs="Times New Roman"/>
          <w:lang w:val="fr-CA"/>
        </w:rPr>
        <w:t> »</w:t>
      </w:r>
      <w:r w:rsidRPr="00990245">
        <w:rPr>
          <w:rFonts w:cs="Times New Roman"/>
          <w:lang w:val="fr-CA"/>
        </w:rPr>
        <w:t xml:space="preserve"> qui est invoqué en son nom, la </w:t>
      </w:r>
      <w:r w:rsidRPr="00825622">
        <w:rPr>
          <w:rFonts w:cs="Times New Roman"/>
          <w:iCs/>
          <w:lang w:val="fr-CA"/>
        </w:rPr>
        <w:t>Loi</w:t>
      </w:r>
      <w:r w:rsidRPr="00990245">
        <w:rPr>
          <w:rFonts w:cs="Times New Roman"/>
          <w:i/>
          <w:iCs/>
          <w:lang w:val="fr-CA"/>
        </w:rPr>
        <w:t xml:space="preserve"> </w:t>
      </w:r>
      <w:r w:rsidRPr="00990245">
        <w:rPr>
          <w:rFonts w:cs="Times New Roman"/>
          <w:lang w:val="fr-CA"/>
        </w:rPr>
        <w:t>n</w:t>
      </w:r>
      <w:r>
        <w:rPr>
          <w:rFonts w:cs="Times New Roman"/>
          <w:lang w:val="fr-CA"/>
        </w:rPr>
        <w:t>’</w:t>
      </w:r>
      <w:r w:rsidRPr="00990245">
        <w:rPr>
          <w:rFonts w:cs="Times New Roman"/>
          <w:lang w:val="fr-CA"/>
        </w:rPr>
        <w:t>exige pas que l</w:t>
      </w:r>
      <w:r>
        <w:rPr>
          <w:rFonts w:cs="Times New Roman"/>
          <w:lang w:val="fr-CA"/>
        </w:rPr>
        <w:t>’</w:t>
      </w:r>
      <w:r w:rsidRPr="00990245">
        <w:rPr>
          <w:rFonts w:cs="Times New Roman"/>
          <w:lang w:val="fr-CA"/>
        </w:rPr>
        <w:t>on avise le client</w:t>
      </w:r>
      <w:r w:rsidR="0074644A">
        <w:rPr>
          <w:rFonts w:cs="Times New Roman"/>
          <w:lang w:val="fr-CA"/>
        </w:rPr>
        <w:t>,</w:t>
      </w:r>
      <w:r w:rsidRPr="00990245">
        <w:rPr>
          <w:rFonts w:cs="Times New Roman"/>
          <w:lang w:val="fr-CA"/>
        </w:rPr>
        <w:t xml:space="preserve"> qui détient le privilège, et aucun protocole n</w:t>
      </w:r>
      <w:r>
        <w:rPr>
          <w:rFonts w:cs="Times New Roman"/>
          <w:lang w:val="fr-CA"/>
        </w:rPr>
        <w:t>’</w:t>
      </w:r>
      <w:r w:rsidRPr="00990245">
        <w:rPr>
          <w:rFonts w:cs="Times New Roman"/>
          <w:lang w:val="fr-CA"/>
        </w:rPr>
        <w:t>est prévu pour permettre une intervention légale indépendante lorsqu</w:t>
      </w:r>
      <w:r>
        <w:rPr>
          <w:rFonts w:cs="Times New Roman"/>
          <w:lang w:val="fr-CA"/>
        </w:rPr>
        <w:t>’</w:t>
      </w:r>
      <w:r w:rsidRPr="00990245">
        <w:rPr>
          <w:rFonts w:cs="Times New Roman"/>
          <w:lang w:val="fr-CA"/>
        </w:rPr>
        <w:t>il est impossible d</w:t>
      </w:r>
      <w:r>
        <w:rPr>
          <w:rFonts w:cs="Times New Roman"/>
          <w:lang w:val="fr-CA"/>
        </w:rPr>
        <w:t>’</w:t>
      </w:r>
      <w:r w:rsidRPr="00990245">
        <w:rPr>
          <w:rFonts w:cs="Times New Roman"/>
          <w:lang w:val="fr-CA"/>
        </w:rPr>
        <w:t>aviser le client. De plus, comme nous le verrons, l</w:t>
      </w:r>
      <w:r>
        <w:rPr>
          <w:rFonts w:cs="Times New Roman"/>
          <w:lang w:val="fr-CA"/>
        </w:rPr>
        <w:t>’</w:t>
      </w:r>
      <w:r w:rsidRPr="00990245">
        <w:rPr>
          <w:rFonts w:cs="Times New Roman"/>
          <w:lang w:val="fr-CA"/>
        </w:rPr>
        <w:t>obligation de l</w:t>
      </w:r>
      <w:r>
        <w:rPr>
          <w:rFonts w:cs="Times New Roman"/>
          <w:lang w:val="fr-CA"/>
        </w:rPr>
        <w:t>’</w:t>
      </w:r>
      <w:r w:rsidRPr="00990245">
        <w:rPr>
          <w:rFonts w:cs="Times New Roman"/>
          <w:lang w:val="fr-CA"/>
        </w:rPr>
        <w:t>avocat d</w:t>
      </w:r>
      <w:r>
        <w:rPr>
          <w:rFonts w:cs="Times New Roman"/>
          <w:lang w:val="fr-CA"/>
        </w:rPr>
        <w:t>’</w:t>
      </w:r>
      <w:r w:rsidRPr="00990245">
        <w:rPr>
          <w:rFonts w:cs="Times New Roman"/>
          <w:lang w:val="fr-CA"/>
        </w:rPr>
        <w:t>identifier le client pour pouvoir revendiquer le privilège pose également problème.</w:t>
      </w:r>
    </w:p>
    <w:p w:rsidR="00CA3D49" w:rsidRPr="00990245" w:rsidRDefault="00CA3D49" w:rsidP="00CA3D49">
      <w:pPr>
        <w:pStyle w:val="ParaNoNdepar-AltN"/>
        <w:rPr>
          <w:rFonts w:cs="Times New Roman"/>
          <w:lang w:val="fr-CA"/>
        </w:rPr>
      </w:pPr>
      <w:r w:rsidRPr="00990245">
        <w:rPr>
          <w:rFonts w:cs="Times New Roman"/>
          <w:lang w:val="fr-CA"/>
        </w:rPr>
        <w:t>Une autre faille constitutionnelle signalée dans l</w:t>
      </w:r>
      <w:r>
        <w:rPr>
          <w:rFonts w:cs="Times New Roman"/>
          <w:lang w:val="fr-CA"/>
        </w:rPr>
        <w:t>’</w:t>
      </w:r>
      <w:r w:rsidRPr="00990245">
        <w:rPr>
          <w:rFonts w:cs="Times New Roman"/>
          <w:lang w:val="fr-CA"/>
        </w:rPr>
        <w:t xml:space="preserve">arrêt </w:t>
      </w:r>
      <w:proofErr w:type="spellStart"/>
      <w:r w:rsidRPr="00990245">
        <w:rPr>
          <w:rFonts w:cs="Times New Roman"/>
          <w:i/>
          <w:iCs/>
          <w:lang w:val="fr-CA"/>
        </w:rPr>
        <w:t>Lavallee</w:t>
      </w:r>
      <w:proofErr w:type="spellEnd"/>
      <w:r w:rsidRPr="00990245">
        <w:rPr>
          <w:rFonts w:cs="Times New Roman"/>
          <w:i/>
          <w:iCs/>
          <w:lang w:val="fr-CA"/>
        </w:rPr>
        <w:t xml:space="preserve"> </w:t>
      </w:r>
      <w:r w:rsidRPr="00990245">
        <w:rPr>
          <w:rFonts w:cs="Times New Roman"/>
          <w:lang w:val="fr-CA"/>
        </w:rPr>
        <w:t>concerne le sort réservé à la revendication du secret professionnel qui a été faite au fonctionnaire sans que le client ou son avocat n</w:t>
      </w:r>
      <w:r>
        <w:rPr>
          <w:rFonts w:cs="Times New Roman"/>
          <w:lang w:val="fr-CA"/>
        </w:rPr>
        <w:t>’</w:t>
      </w:r>
      <w:r w:rsidRPr="00990245">
        <w:rPr>
          <w:rFonts w:cs="Times New Roman"/>
          <w:lang w:val="fr-CA"/>
        </w:rPr>
        <w:t>ait présenté de demande à la cour. Dans ces circonstances, le juge doit, à la demande du procureur général, ordonner à l</w:t>
      </w:r>
      <w:r>
        <w:rPr>
          <w:rFonts w:cs="Times New Roman"/>
          <w:lang w:val="fr-CA"/>
        </w:rPr>
        <w:t>’</w:t>
      </w:r>
      <w:r w:rsidRPr="00990245">
        <w:rPr>
          <w:rFonts w:cs="Times New Roman"/>
          <w:lang w:val="fr-CA"/>
        </w:rPr>
        <w:t>avocat de mettre les documents à la disposition du fonctionnaire. Ainsi que l</w:t>
      </w:r>
      <w:r>
        <w:rPr>
          <w:rFonts w:cs="Times New Roman"/>
          <w:lang w:val="fr-CA"/>
        </w:rPr>
        <w:t>’</w:t>
      </w:r>
      <w:r w:rsidRPr="00990245">
        <w:rPr>
          <w:rFonts w:cs="Times New Roman"/>
          <w:lang w:val="fr-CA"/>
        </w:rPr>
        <w:t xml:space="preserve">a expliqué la juge </w:t>
      </w:r>
      <w:proofErr w:type="spellStart"/>
      <w:r w:rsidRPr="00990245">
        <w:rPr>
          <w:rFonts w:cs="Times New Roman"/>
          <w:lang w:val="fr-CA"/>
        </w:rPr>
        <w:t>Arbour</w:t>
      </w:r>
      <w:proofErr w:type="spellEnd"/>
      <w:r w:rsidR="00601B6E">
        <w:rPr>
          <w:rFonts w:cs="Times New Roman"/>
          <w:lang w:val="fr-CA"/>
        </w:rPr>
        <w:t> :</w:t>
      </w:r>
    </w:p>
    <w:p w:rsidR="00CA3D49" w:rsidRPr="00990245" w:rsidRDefault="00CA3D49" w:rsidP="00CA3D49">
      <w:pPr>
        <w:pStyle w:val="Citation-AltC"/>
        <w:ind w:hanging="1166"/>
        <w:contextualSpacing w:val="0"/>
        <w:rPr>
          <w:lang w:val="fr-CA"/>
        </w:rPr>
      </w:pPr>
      <w:r w:rsidRPr="00990245">
        <w:rPr>
          <w:lang w:val="fr-CA"/>
        </w:rPr>
        <w:tab/>
      </w:r>
      <w:r w:rsidR="00601B6E">
        <w:rPr>
          <w:lang w:val="fr-CA"/>
        </w:rPr>
        <w:t>. . .</w:t>
      </w:r>
      <w:r w:rsidR="00825622">
        <w:rPr>
          <w:lang w:val="fr-CA"/>
        </w:rPr>
        <w:t xml:space="preserve"> </w:t>
      </w:r>
      <w:r w:rsidRPr="00990245">
        <w:rPr>
          <w:lang w:val="fr-CA"/>
        </w:rPr>
        <w:t>on ne peut pas dire que cette communication obligatoire de renseignements potentiellement privilégiés porte atteinte le moins possible au privilège dans un cas où la cour a été mise au courant de la possibilité de l</w:t>
      </w:r>
      <w:r>
        <w:rPr>
          <w:lang w:val="fr-CA"/>
        </w:rPr>
        <w:t>’</w:t>
      </w:r>
      <w:r w:rsidRPr="00990245">
        <w:rPr>
          <w:lang w:val="fr-CA"/>
        </w:rPr>
        <w:t>existence de celui</w:t>
      </w:r>
      <w:r w:rsidR="00601B6E">
        <w:rPr>
          <w:lang w:val="fr-CA"/>
        </w:rPr>
        <w:t>-</w:t>
      </w:r>
      <w:r w:rsidRPr="00990245">
        <w:rPr>
          <w:lang w:val="fr-CA"/>
        </w:rPr>
        <w:t>ci par la mise sous scellés des documents au moment de la perquisition. Cette communication obligatoire revient à faire prédominer de façon injustifiable la forme sur le fond et crée la possibilité réelle que l</w:t>
      </w:r>
      <w:r>
        <w:rPr>
          <w:lang w:val="fr-CA"/>
        </w:rPr>
        <w:t>’</w:t>
      </w:r>
      <w:r w:rsidRPr="00990245">
        <w:rPr>
          <w:lang w:val="fr-CA"/>
        </w:rPr>
        <w:t>État obtienne des renseignements qu</w:t>
      </w:r>
      <w:r>
        <w:rPr>
          <w:lang w:val="fr-CA"/>
        </w:rPr>
        <w:t>’</w:t>
      </w:r>
      <w:r w:rsidRPr="00990245">
        <w:rPr>
          <w:lang w:val="fr-CA"/>
        </w:rPr>
        <w:t>un tribunal peut fort bien reconnaître comme étant privilégiés. [</w:t>
      </w:r>
      <w:proofErr w:type="gramStart"/>
      <w:r>
        <w:rPr>
          <w:lang w:val="fr-CA"/>
        </w:rPr>
        <w:t>p</w:t>
      </w:r>
      <w:r w:rsidRPr="00990245">
        <w:rPr>
          <w:lang w:val="fr-CA"/>
        </w:rPr>
        <w:t>ar</w:t>
      </w:r>
      <w:proofErr w:type="gramEnd"/>
      <w:r w:rsidRPr="00990245">
        <w:rPr>
          <w:lang w:val="fr-CA"/>
        </w:rPr>
        <w:t>.</w:t>
      </w:r>
      <w:r w:rsidR="00601B6E">
        <w:rPr>
          <w:lang w:val="fr-CA"/>
        </w:rPr>
        <w:t xml:space="preserve"> </w:t>
      </w:r>
      <w:r w:rsidRPr="00990245">
        <w:rPr>
          <w:lang w:val="fr-CA"/>
        </w:rPr>
        <w:t>43]</w:t>
      </w:r>
    </w:p>
    <w:p w:rsidR="00CA3D49" w:rsidRPr="00990245" w:rsidRDefault="00CA3D49" w:rsidP="00CA3D49">
      <w:pPr>
        <w:pStyle w:val="ParaNoNdepar-AltN"/>
        <w:rPr>
          <w:rFonts w:cs="Times New Roman"/>
          <w:lang w:val="fr-CA"/>
        </w:rPr>
      </w:pPr>
      <w:r w:rsidRPr="00990245">
        <w:rPr>
          <w:rFonts w:cs="Times New Roman"/>
          <w:lang w:val="fr-CA"/>
        </w:rPr>
        <w:lastRenderedPageBreak/>
        <w:t>Le par</w:t>
      </w:r>
      <w:r w:rsidR="00825622">
        <w:rPr>
          <w:rFonts w:cs="Times New Roman"/>
          <w:lang w:val="fr-CA"/>
        </w:rPr>
        <w:t>agraphe</w:t>
      </w:r>
      <w:r w:rsidR="00601B6E">
        <w:rPr>
          <w:rFonts w:cs="Times New Roman"/>
          <w:lang w:val="fr-CA"/>
        </w:rPr>
        <w:t xml:space="preserve"> </w:t>
      </w:r>
      <w:r w:rsidRPr="00990245">
        <w:rPr>
          <w:rFonts w:cs="Times New Roman"/>
          <w:lang w:val="fr-CA"/>
        </w:rPr>
        <w:t>64(6) nie pareillement au juge le pouvoir discrétionnaire d</w:t>
      </w:r>
      <w:r>
        <w:rPr>
          <w:rFonts w:cs="Times New Roman"/>
          <w:lang w:val="fr-CA"/>
        </w:rPr>
        <w:t>’</w:t>
      </w:r>
      <w:r w:rsidRPr="00990245">
        <w:rPr>
          <w:rFonts w:cs="Times New Roman"/>
          <w:lang w:val="fr-CA"/>
        </w:rPr>
        <w:t>apprécier de son propre chef le secret professionnel revendiqué, et il comporte donc la même faille constitutionnelle.</w:t>
      </w:r>
    </w:p>
    <w:p w:rsidR="00CA3D49" w:rsidRPr="00990245" w:rsidRDefault="00CA3D49" w:rsidP="00CA3D49">
      <w:pPr>
        <w:pStyle w:val="ParaNoNdepar-AltN"/>
        <w:rPr>
          <w:rFonts w:cs="Times New Roman"/>
          <w:lang w:val="fr-CA"/>
        </w:rPr>
      </w:pPr>
      <w:r w:rsidRPr="00990245">
        <w:rPr>
          <w:rFonts w:cs="Times New Roman"/>
          <w:lang w:val="fr-CA"/>
        </w:rPr>
        <w:t>Dans l</w:t>
      </w:r>
      <w:r>
        <w:rPr>
          <w:rFonts w:cs="Times New Roman"/>
          <w:lang w:val="fr-CA"/>
        </w:rPr>
        <w:t>’</w:t>
      </w:r>
      <w:r w:rsidRPr="00990245">
        <w:rPr>
          <w:rFonts w:cs="Times New Roman"/>
          <w:lang w:val="fr-CA"/>
        </w:rPr>
        <w:t xml:space="preserve">arrêt </w:t>
      </w:r>
      <w:proofErr w:type="spellStart"/>
      <w:r w:rsidRPr="00990245">
        <w:rPr>
          <w:rFonts w:cs="Times New Roman"/>
          <w:i/>
          <w:iCs/>
          <w:lang w:val="fr-CA"/>
        </w:rPr>
        <w:t>Lavallee</w:t>
      </w:r>
      <w:proofErr w:type="spellEnd"/>
      <w:r w:rsidRPr="00990245">
        <w:rPr>
          <w:rFonts w:cs="Times New Roman"/>
          <w:lang w:val="fr-CA"/>
        </w:rPr>
        <w:t>, la Cour a également formulé un certain nombre de principes généraux régissant la légalité des perquisitions effectuées dans des cabinets d</w:t>
      </w:r>
      <w:r>
        <w:rPr>
          <w:rFonts w:cs="Times New Roman"/>
          <w:lang w:val="fr-CA"/>
        </w:rPr>
        <w:t>’</w:t>
      </w:r>
      <w:r w:rsidRPr="00990245">
        <w:rPr>
          <w:rFonts w:cs="Times New Roman"/>
          <w:lang w:val="fr-CA"/>
        </w:rPr>
        <w:t xml:space="preserve">avocats, en partie pour guider les choix législatifs que le législateur peut vouloir examiner à cet égard. Sans être une liste de contrôle, ces principes généraux visent </w:t>
      </w:r>
      <w:r w:rsidR="00601B6E">
        <w:rPr>
          <w:rFonts w:cs="Times New Roman"/>
          <w:lang w:val="fr-CA"/>
        </w:rPr>
        <w:t>« </w:t>
      </w:r>
      <w:r w:rsidRPr="00990245">
        <w:rPr>
          <w:rFonts w:cs="Times New Roman"/>
          <w:lang w:val="fr-CA"/>
        </w:rPr>
        <w:t>à refléter les impératifs constitutionnels actuels en matière de protection du secret professionnel de l</w:t>
      </w:r>
      <w:r>
        <w:rPr>
          <w:rFonts w:cs="Times New Roman"/>
          <w:lang w:val="fr-CA"/>
        </w:rPr>
        <w:t>’</w:t>
      </w:r>
      <w:r w:rsidRPr="00990245">
        <w:rPr>
          <w:rFonts w:cs="Times New Roman"/>
          <w:lang w:val="fr-CA"/>
        </w:rPr>
        <w:t>avocat</w:t>
      </w:r>
      <w:r w:rsidR="00601B6E">
        <w:rPr>
          <w:rFonts w:cs="Times New Roman"/>
          <w:lang w:val="fr-CA"/>
        </w:rPr>
        <w:t> »</w:t>
      </w:r>
      <w:r w:rsidRPr="00990245">
        <w:rPr>
          <w:rFonts w:cs="Times New Roman"/>
          <w:lang w:val="fr-CA"/>
        </w:rPr>
        <w:t xml:space="preserve"> (par.</w:t>
      </w:r>
      <w:r w:rsidR="00601B6E">
        <w:rPr>
          <w:rFonts w:cs="Times New Roman"/>
          <w:lang w:val="fr-CA"/>
        </w:rPr>
        <w:t xml:space="preserve"> </w:t>
      </w:r>
      <w:r w:rsidRPr="00990245">
        <w:rPr>
          <w:rFonts w:cs="Times New Roman"/>
          <w:lang w:val="fr-CA"/>
        </w:rPr>
        <w:t>49). Deux de ces principes sont particulièrement à propos en l</w:t>
      </w:r>
      <w:r>
        <w:rPr>
          <w:rFonts w:cs="Times New Roman"/>
          <w:lang w:val="fr-CA"/>
        </w:rPr>
        <w:t>’</w:t>
      </w:r>
      <w:r w:rsidRPr="00990245">
        <w:rPr>
          <w:rFonts w:cs="Times New Roman"/>
          <w:lang w:val="fr-CA"/>
        </w:rPr>
        <w:t xml:space="preserve">espèce. </w:t>
      </w:r>
    </w:p>
    <w:p w:rsidR="00CA3D49" w:rsidRPr="00A8558F" w:rsidRDefault="00CA3D49" w:rsidP="00CA3D49">
      <w:pPr>
        <w:pStyle w:val="ParaNoNdepar-AltN"/>
        <w:rPr>
          <w:rFonts w:cs="Times New Roman"/>
          <w:lang w:val="fr-CA"/>
        </w:rPr>
      </w:pPr>
      <w:r w:rsidRPr="00990245">
        <w:rPr>
          <w:rFonts w:cs="Times New Roman"/>
          <w:lang w:val="fr-CA"/>
        </w:rPr>
        <w:t>L</w:t>
      </w:r>
      <w:r>
        <w:rPr>
          <w:rFonts w:cs="Times New Roman"/>
          <w:lang w:val="fr-CA"/>
        </w:rPr>
        <w:t>’</w:t>
      </w:r>
      <w:r w:rsidRPr="00990245">
        <w:rPr>
          <w:rFonts w:cs="Times New Roman"/>
          <w:lang w:val="fr-CA"/>
        </w:rPr>
        <w:t>un de ces principes veut qu</w:t>
      </w:r>
      <w:r>
        <w:rPr>
          <w:rFonts w:cs="Times New Roman"/>
          <w:lang w:val="fr-CA"/>
        </w:rPr>
        <w:t>’</w:t>
      </w:r>
      <w:r w:rsidRPr="00990245">
        <w:rPr>
          <w:rFonts w:cs="Times New Roman"/>
          <w:lang w:val="fr-CA"/>
        </w:rPr>
        <w:t>avant de perquisitionner dans un cabinet d</w:t>
      </w:r>
      <w:r>
        <w:rPr>
          <w:rFonts w:cs="Times New Roman"/>
          <w:lang w:val="fr-CA"/>
        </w:rPr>
        <w:t>’</w:t>
      </w:r>
      <w:r w:rsidRPr="00990245">
        <w:rPr>
          <w:rFonts w:cs="Times New Roman"/>
          <w:lang w:val="fr-CA"/>
        </w:rPr>
        <w:t>avocats, les autorités chargées de l</w:t>
      </w:r>
      <w:r>
        <w:rPr>
          <w:rFonts w:cs="Times New Roman"/>
          <w:lang w:val="fr-CA"/>
        </w:rPr>
        <w:t>’</w:t>
      </w:r>
      <w:r w:rsidRPr="00990245">
        <w:rPr>
          <w:rFonts w:cs="Times New Roman"/>
          <w:lang w:val="fr-CA"/>
        </w:rPr>
        <w:t>enquête doivent convaincre un officier de justice qu</w:t>
      </w:r>
      <w:r>
        <w:rPr>
          <w:rFonts w:cs="Times New Roman"/>
          <w:lang w:val="fr-CA"/>
        </w:rPr>
        <w:t>’</w:t>
      </w:r>
      <w:r w:rsidRPr="00990245">
        <w:rPr>
          <w:rFonts w:cs="Times New Roman"/>
          <w:lang w:val="fr-CA"/>
        </w:rPr>
        <w:t>il n</w:t>
      </w:r>
      <w:r>
        <w:rPr>
          <w:rFonts w:cs="Times New Roman"/>
          <w:lang w:val="fr-CA"/>
        </w:rPr>
        <w:t>’</w:t>
      </w:r>
      <w:r w:rsidRPr="00990245">
        <w:rPr>
          <w:rFonts w:cs="Times New Roman"/>
          <w:lang w:val="fr-CA"/>
        </w:rPr>
        <w:t>existe aucune solution de rechange raisonnable. Les articles</w:t>
      </w:r>
      <w:r w:rsidR="00601B6E">
        <w:rPr>
          <w:rFonts w:cs="Times New Roman"/>
          <w:lang w:val="fr-CA"/>
        </w:rPr>
        <w:t xml:space="preserve"> </w:t>
      </w:r>
      <w:r w:rsidRPr="00990245">
        <w:rPr>
          <w:rFonts w:cs="Times New Roman"/>
          <w:lang w:val="fr-CA"/>
        </w:rPr>
        <w:t>62 et 63.1 n</w:t>
      </w:r>
      <w:r>
        <w:rPr>
          <w:rFonts w:cs="Times New Roman"/>
          <w:lang w:val="fr-CA"/>
        </w:rPr>
        <w:t>’</w:t>
      </w:r>
      <w:r w:rsidRPr="00990245">
        <w:rPr>
          <w:rFonts w:cs="Times New Roman"/>
          <w:lang w:val="fr-CA"/>
        </w:rPr>
        <w:t>exigent pas d</w:t>
      </w:r>
      <w:r>
        <w:rPr>
          <w:rFonts w:cs="Times New Roman"/>
          <w:lang w:val="fr-CA"/>
        </w:rPr>
        <w:t>’</w:t>
      </w:r>
      <w:r w:rsidRPr="00990245">
        <w:rPr>
          <w:rFonts w:cs="Times New Roman"/>
          <w:lang w:val="fr-CA"/>
        </w:rPr>
        <w:t>autorisation judiciaire préalable, et requièrent encore moins l</w:t>
      </w:r>
      <w:r>
        <w:rPr>
          <w:rFonts w:cs="Times New Roman"/>
          <w:lang w:val="fr-CA"/>
        </w:rPr>
        <w:t>’</w:t>
      </w:r>
      <w:r w:rsidRPr="00990245">
        <w:rPr>
          <w:rFonts w:cs="Times New Roman"/>
          <w:lang w:val="fr-CA"/>
        </w:rPr>
        <w:t>absence de solution de rechange raisonnable. Toutefois,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63 est moins problématique à cet égard. Selon cet article, il faut obtenir une autorisation judiciaire avant de perquisitionner dans un cabinet à domicile, notamment par la démonstration que la visite de l</w:t>
      </w:r>
      <w:r>
        <w:rPr>
          <w:rFonts w:cs="Times New Roman"/>
          <w:lang w:val="fr-CA"/>
        </w:rPr>
        <w:t>’</w:t>
      </w:r>
      <w:r w:rsidRPr="00990245">
        <w:rPr>
          <w:rFonts w:cs="Times New Roman"/>
          <w:lang w:val="fr-CA"/>
        </w:rPr>
        <w:t>habitation en cause est nécessaire pour toute fin visant à faire respecter la partie</w:t>
      </w:r>
      <w:r w:rsidR="00601B6E">
        <w:rPr>
          <w:rFonts w:cs="Times New Roman"/>
          <w:lang w:val="fr-CA"/>
        </w:rPr>
        <w:t xml:space="preserve"> </w:t>
      </w:r>
      <w:r w:rsidR="00825622">
        <w:rPr>
          <w:rFonts w:cs="Times New Roman"/>
          <w:lang w:val="fr-CA"/>
        </w:rPr>
        <w:t>1</w:t>
      </w:r>
      <w:r w:rsidRPr="00990245">
        <w:rPr>
          <w:rFonts w:cs="Times New Roman"/>
          <w:lang w:val="fr-CA"/>
        </w:rPr>
        <w:t xml:space="preserve"> de la </w:t>
      </w:r>
      <w:r w:rsidRPr="00825622">
        <w:rPr>
          <w:rFonts w:cs="Times New Roman"/>
          <w:iCs/>
          <w:lang w:val="fr-CA"/>
        </w:rPr>
        <w:t>Loi</w:t>
      </w:r>
      <w:r w:rsidRPr="00A8558F">
        <w:rPr>
          <w:rFonts w:cs="Times New Roman"/>
          <w:iCs/>
          <w:lang w:val="fr-CA"/>
        </w:rPr>
        <w:t>.</w:t>
      </w:r>
    </w:p>
    <w:p w:rsidR="00CA3D49" w:rsidRPr="00990245" w:rsidRDefault="00CA3D49" w:rsidP="00CA3D49">
      <w:pPr>
        <w:pStyle w:val="ParaNoNdepar-AltN"/>
        <w:rPr>
          <w:rFonts w:cs="Times New Roman"/>
          <w:lang w:val="fr-CA"/>
        </w:rPr>
      </w:pPr>
      <w:r w:rsidRPr="00990245">
        <w:rPr>
          <w:rFonts w:cs="Times New Roman"/>
          <w:lang w:val="fr-CA"/>
        </w:rPr>
        <w:t>Selon un autre principe général formulé dans l</w:t>
      </w:r>
      <w:r>
        <w:rPr>
          <w:rFonts w:cs="Times New Roman"/>
          <w:lang w:val="fr-CA"/>
        </w:rPr>
        <w:t>’</w:t>
      </w:r>
      <w:r w:rsidRPr="00990245">
        <w:rPr>
          <w:rFonts w:cs="Times New Roman"/>
          <w:lang w:val="fr-CA"/>
        </w:rPr>
        <w:t xml:space="preserve">arrêt </w:t>
      </w:r>
      <w:proofErr w:type="spellStart"/>
      <w:r w:rsidRPr="00990245">
        <w:rPr>
          <w:rFonts w:cs="Times New Roman"/>
          <w:i/>
          <w:iCs/>
          <w:lang w:val="fr-CA"/>
        </w:rPr>
        <w:t>Lavallee</w:t>
      </w:r>
      <w:proofErr w:type="spellEnd"/>
      <w:r w:rsidRPr="00990245">
        <w:rPr>
          <w:rFonts w:cs="Times New Roman"/>
          <w:iCs/>
          <w:lang w:val="fr-CA"/>
        </w:rPr>
        <w:t xml:space="preserve">, </w:t>
      </w:r>
      <w:r w:rsidR="00601B6E">
        <w:rPr>
          <w:rFonts w:cs="Times New Roman"/>
          <w:lang w:val="fr-CA"/>
        </w:rPr>
        <w:t>« </w:t>
      </w:r>
      <w:r w:rsidRPr="00990245">
        <w:rPr>
          <w:rFonts w:cs="Times New Roman"/>
          <w:lang w:val="fr-CA"/>
        </w:rPr>
        <w:t>tous les documents en la possession d</w:t>
      </w:r>
      <w:r>
        <w:rPr>
          <w:rFonts w:cs="Times New Roman"/>
          <w:lang w:val="fr-CA"/>
        </w:rPr>
        <w:t>’</w:t>
      </w:r>
      <w:r w:rsidRPr="00990245">
        <w:rPr>
          <w:rFonts w:cs="Times New Roman"/>
          <w:lang w:val="fr-CA"/>
        </w:rPr>
        <w:t>un avocat doivent être scellés avant d</w:t>
      </w:r>
      <w:r>
        <w:rPr>
          <w:rFonts w:cs="Times New Roman"/>
          <w:lang w:val="fr-CA"/>
        </w:rPr>
        <w:t>’</w:t>
      </w:r>
      <w:r w:rsidRPr="00990245">
        <w:rPr>
          <w:rFonts w:cs="Times New Roman"/>
          <w:lang w:val="fr-CA"/>
        </w:rPr>
        <w:t xml:space="preserve">être examinés ou </w:t>
      </w:r>
      <w:r w:rsidRPr="00990245">
        <w:rPr>
          <w:rFonts w:cs="Times New Roman"/>
          <w:lang w:val="fr-CA"/>
        </w:rPr>
        <w:lastRenderedPageBreak/>
        <w:t>de le lui être enlevés</w:t>
      </w:r>
      <w:r w:rsidR="00601B6E">
        <w:rPr>
          <w:rFonts w:cs="Times New Roman"/>
          <w:lang w:val="fr-CA"/>
        </w:rPr>
        <w:t> »</w:t>
      </w:r>
      <w:r w:rsidRPr="00990245">
        <w:rPr>
          <w:rFonts w:cs="Times New Roman"/>
          <w:lang w:val="fr-CA"/>
        </w:rPr>
        <w:t>, sauf si un mandat l</w:t>
      </w:r>
      <w:r>
        <w:rPr>
          <w:rFonts w:cs="Times New Roman"/>
          <w:lang w:val="fr-CA"/>
        </w:rPr>
        <w:t>’</w:t>
      </w:r>
      <w:r w:rsidRPr="00990245">
        <w:rPr>
          <w:rFonts w:cs="Times New Roman"/>
          <w:lang w:val="fr-CA"/>
        </w:rPr>
        <w:t>autorise expressément (par.</w:t>
      </w:r>
      <w:r w:rsidR="00601B6E">
        <w:rPr>
          <w:rFonts w:cs="Times New Roman"/>
          <w:lang w:val="fr-CA"/>
        </w:rPr>
        <w:t xml:space="preserve"> </w:t>
      </w:r>
      <w:r w:rsidRPr="00990245">
        <w:rPr>
          <w:rFonts w:cs="Times New Roman"/>
          <w:lang w:val="fr-CA"/>
        </w:rPr>
        <w:t>49). En revanche, aux termes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64, l</w:t>
      </w:r>
      <w:r>
        <w:rPr>
          <w:rFonts w:cs="Times New Roman"/>
          <w:lang w:val="fr-CA"/>
        </w:rPr>
        <w:t>’</w:t>
      </w:r>
      <w:r w:rsidRPr="00990245">
        <w:rPr>
          <w:rFonts w:cs="Times New Roman"/>
          <w:lang w:val="fr-CA"/>
        </w:rPr>
        <w:t>examen et la reproduction de documents dans un cabinet d</w:t>
      </w:r>
      <w:r>
        <w:rPr>
          <w:rFonts w:cs="Times New Roman"/>
          <w:lang w:val="fr-CA"/>
        </w:rPr>
        <w:t>’</w:t>
      </w:r>
      <w:r w:rsidRPr="00990245">
        <w:rPr>
          <w:rFonts w:cs="Times New Roman"/>
          <w:lang w:val="fr-CA"/>
        </w:rPr>
        <w:t>avocats par le fonctionnaire ne cessent qu</w:t>
      </w:r>
      <w:r>
        <w:rPr>
          <w:rFonts w:cs="Times New Roman"/>
          <w:lang w:val="fr-CA"/>
        </w:rPr>
        <w:t>’</w:t>
      </w:r>
      <w:r w:rsidRPr="00990245">
        <w:rPr>
          <w:rFonts w:cs="Times New Roman"/>
          <w:lang w:val="fr-CA"/>
        </w:rPr>
        <w:t>au moment où l</w:t>
      </w:r>
      <w:r>
        <w:rPr>
          <w:rFonts w:cs="Times New Roman"/>
          <w:lang w:val="fr-CA"/>
        </w:rPr>
        <w:t>’</w:t>
      </w:r>
      <w:r w:rsidRPr="00990245">
        <w:rPr>
          <w:rFonts w:cs="Times New Roman"/>
          <w:lang w:val="fr-CA"/>
        </w:rPr>
        <w:t>avocat revendique le secret professionnel pour le compte d</w:t>
      </w:r>
      <w:r>
        <w:rPr>
          <w:rFonts w:cs="Times New Roman"/>
          <w:lang w:val="fr-CA"/>
        </w:rPr>
        <w:t>’</w:t>
      </w:r>
      <w:r w:rsidRPr="00990245">
        <w:rPr>
          <w:rFonts w:cs="Times New Roman"/>
          <w:lang w:val="fr-CA"/>
        </w:rPr>
        <w:t>un client nommément désigné. Ainsi, l</w:t>
      </w:r>
      <w:r>
        <w:rPr>
          <w:rFonts w:cs="Times New Roman"/>
          <w:lang w:val="fr-CA"/>
        </w:rPr>
        <w:t>’</w:t>
      </w:r>
      <w:r w:rsidRPr="00990245">
        <w:rPr>
          <w:rFonts w:cs="Times New Roman"/>
          <w:lang w:val="fr-CA"/>
        </w:rPr>
        <w:t>examen et la reproduction des documents se poursuivent jusqu</w:t>
      </w:r>
      <w:r>
        <w:rPr>
          <w:rFonts w:cs="Times New Roman"/>
          <w:lang w:val="fr-CA"/>
        </w:rPr>
        <w:t>’</w:t>
      </w:r>
      <w:r w:rsidRPr="00990245">
        <w:rPr>
          <w:rFonts w:cs="Times New Roman"/>
          <w:lang w:val="fr-CA"/>
        </w:rPr>
        <w:t>à ce que le secret professionnel soit expressément invoqué, ce qui augmente considérablement le risque que des documents protégés soient examinés. De plus, il se peut que le nom du client soit protégé par le secret professionnel de l</w:t>
      </w:r>
      <w:r>
        <w:rPr>
          <w:rFonts w:cs="Times New Roman"/>
          <w:lang w:val="fr-CA"/>
        </w:rPr>
        <w:t>’</w:t>
      </w:r>
      <w:r w:rsidRPr="00990245">
        <w:rPr>
          <w:rFonts w:cs="Times New Roman"/>
          <w:lang w:val="fr-CA"/>
        </w:rPr>
        <w:t>avocat (bien que cela ne soit pas toujours le cas) (par.</w:t>
      </w:r>
      <w:r w:rsidR="00601B6E">
        <w:rPr>
          <w:rFonts w:cs="Times New Roman"/>
          <w:lang w:val="fr-CA"/>
        </w:rPr>
        <w:t xml:space="preserve"> </w:t>
      </w:r>
      <w:r w:rsidRPr="00990245">
        <w:rPr>
          <w:rFonts w:cs="Times New Roman"/>
          <w:lang w:val="fr-CA"/>
        </w:rPr>
        <w:t xml:space="preserve">28). La </w:t>
      </w:r>
      <w:r w:rsidRPr="00825622">
        <w:rPr>
          <w:rFonts w:cs="Times New Roman"/>
          <w:iCs/>
          <w:lang w:val="fr-CA"/>
        </w:rPr>
        <w:t>Loi</w:t>
      </w:r>
      <w:r w:rsidRPr="00990245">
        <w:rPr>
          <w:rFonts w:cs="Times New Roman"/>
          <w:i/>
          <w:iCs/>
          <w:lang w:val="fr-CA"/>
        </w:rPr>
        <w:t xml:space="preserve"> </w:t>
      </w:r>
      <w:r w:rsidRPr="00990245">
        <w:rPr>
          <w:rFonts w:cs="Times New Roman"/>
          <w:lang w:val="fr-CA"/>
        </w:rPr>
        <w:t>oblige alors l</w:t>
      </w:r>
      <w:r>
        <w:rPr>
          <w:rFonts w:cs="Times New Roman"/>
          <w:lang w:val="fr-CA"/>
        </w:rPr>
        <w:t>’</w:t>
      </w:r>
      <w:r w:rsidRPr="00990245">
        <w:rPr>
          <w:rFonts w:cs="Times New Roman"/>
          <w:lang w:val="fr-CA"/>
        </w:rPr>
        <w:t>avocat à violer le secret professionnel pour revendiquer celui qui vise les documents réclamés par le fonctionnaire. À mon avis, cela vaut également pour l</w:t>
      </w:r>
      <w:r>
        <w:rPr>
          <w:rFonts w:cs="Times New Roman"/>
          <w:lang w:val="fr-CA"/>
        </w:rPr>
        <w:t>’</w:t>
      </w:r>
      <w:r w:rsidRPr="00990245">
        <w:rPr>
          <w:rFonts w:cs="Times New Roman"/>
          <w:lang w:val="fr-CA"/>
        </w:rPr>
        <w:t>obligation, imposée à l</w:t>
      </w:r>
      <w:r>
        <w:rPr>
          <w:rFonts w:cs="Times New Roman"/>
          <w:lang w:val="fr-CA"/>
        </w:rPr>
        <w:t>’</w:t>
      </w:r>
      <w:r w:rsidRPr="00990245">
        <w:rPr>
          <w:rFonts w:cs="Times New Roman"/>
          <w:lang w:val="fr-CA"/>
        </w:rPr>
        <w:t>avocat par le par.</w:t>
      </w:r>
      <w:r w:rsidR="00601B6E">
        <w:rPr>
          <w:rFonts w:cs="Times New Roman"/>
          <w:lang w:val="fr-CA"/>
        </w:rPr>
        <w:t xml:space="preserve"> </w:t>
      </w:r>
      <w:r w:rsidRPr="00990245">
        <w:rPr>
          <w:rFonts w:cs="Times New Roman"/>
          <w:lang w:val="fr-CA"/>
        </w:rPr>
        <w:t>64(10), de fournir aux autorités la dernière adresse connue du client.</w:t>
      </w:r>
    </w:p>
    <w:p w:rsidR="00CA3D49" w:rsidRPr="00990245" w:rsidRDefault="00CA3D49" w:rsidP="00CA3D49">
      <w:pPr>
        <w:pStyle w:val="ParaNoNdepar-AltN"/>
        <w:rPr>
          <w:rFonts w:cs="Times New Roman"/>
          <w:lang w:val="fr-CA"/>
        </w:rPr>
      </w:pPr>
      <w:r w:rsidRPr="00990245">
        <w:rPr>
          <w:rFonts w:cs="Times New Roman"/>
          <w:lang w:val="fr-CA"/>
        </w:rPr>
        <w:t>L</w:t>
      </w:r>
      <w:r>
        <w:rPr>
          <w:rFonts w:cs="Times New Roman"/>
          <w:lang w:val="fr-CA"/>
        </w:rPr>
        <w:t>’</w:t>
      </w:r>
      <w:r w:rsidRPr="00990245">
        <w:rPr>
          <w:rFonts w:cs="Times New Roman"/>
          <w:lang w:val="fr-CA"/>
        </w:rPr>
        <w:t xml:space="preserve">affaire </w:t>
      </w:r>
      <w:proofErr w:type="spellStart"/>
      <w:r w:rsidRPr="00990245">
        <w:rPr>
          <w:rFonts w:cs="Times New Roman"/>
          <w:i/>
          <w:lang w:val="fr-CA"/>
        </w:rPr>
        <w:t>Lavallee</w:t>
      </w:r>
      <w:proofErr w:type="spellEnd"/>
      <w:r w:rsidRPr="00990245">
        <w:rPr>
          <w:rFonts w:cs="Times New Roman"/>
          <w:i/>
          <w:lang w:val="fr-CA"/>
        </w:rPr>
        <w:t xml:space="preserve"> </w:t>
      </w:r>
      <w:r w:rsidRPr="00990245">
        <w:rPr>
          <w:rFonts w:cs="Times New Roman"/>
          <w:lang w:val="fr-CA"/>
        </w:rPr>
        <w:t>concernait des perquisitions de cabinets d</w:t>
      </w:r>
      <w:r>
        <w:rPr>
          <w:rFonts w:cs="Times New Roman"/>
          <w:lang w:val="fr-CA"/>
        </w:rPr>
        <w:t>’</w:t>
      </w:r>
      <w:r w:rsidRPr="00990245">
        <w:rPr>
          <w:rFonts w:cs="Times New Roman"/>
          <w:lang w:val="fr-CA"/>
        </w:rPr>
        <w:t>avocats autorisées au préalable par un juge et portait donc sur un régime qui différait à cet égard de celui ici en cause. Les perquisitions sans mandat, comme celles autorisées par ce régime, sont présumées abusives. En outre, l</w:t>
      </w:r>
      <w:r>
        <w:rPr>
          <w:rFonts w:cs="Times New Roman"/>
          <w:lang w:val="fr-CA"/>
        </w:rPr>
        <w:t>’</w:t>
      </w:r>
      <w:r w:rsidRPr="00990245">
        <w:rPr>
          <w:rFonts w:cs="Times New Roman"/>
          <w:lang w:val="fr-CA"/>
        </w:rPr>
        <w:t>exigence d</w:t>
      </w:r>
      <w:r>
        <w:rPr>
          <w:rFonts w:cs="Times New Roman"/>
          <w:lang w:val="fr-CA"/>
        </w:rPr>
        <w:t>’</w:t>
      </w:r>
      <w:r w:rsidRPr="00990245">
        <w:rPr>
          <w:rFonts w:cs="Times New Roman"/>
          <w:lang w:val="fr-CA"/>
        </w:rPr>
        <w:t>autorisation judiciaire préalable constitue en soi une protection importante contre la perquisition et la saisie irrégulière de documents protégés. Je n</w:t>
      </w:r>
      <w:r>
        <w:rPr>
          <w:rFonts w:cs="Times New Roman"/>
          <w:lang w:val="fr-CA"/>
        </w:rPr>
        <w:t>’</w:t>
      </w:r>
      <w:r w:rsidRPr="00990245">
        <w:rPr>
          <w:rFonts w:cs="Times New Roman"/>
          <w:lang w:val="fr-CA"/>
        </w:rPr>
        <w:t>écarte cependant pas la possibilité que le législateur conçoive un régime d</w:t>
      </w:r>
      <w:r>
        <w:rPr>
          <w:rFonts w:cs="Times New Roman"/>
          <w:lang w:val="fr-CA"/>
        </w:rPr>
        <w:t>’</w:t>
      </w:r>
      <w:r w:rsidRPr="00990245">
        <w:rPr>
          <w:rFonts w:cs="Times New Roman"/>
          <w:lang w:val="fr-CA"/>
        </w:rPr>
        <w:t>inspection conforme à la Constitution qui n</w:t>
      </w:r>
      <w:r>
        <w:rPr>
          <w:rFonts w:cs="Times New Roman"/>
          <w:lang w:val="fr-CA"/>
        </w:rPr>
        <w:t>’</w:t>
      </w:r>
      <w:r w:rsidRPr="00990245">
        <w:rPr>
          <w:rFonts w:cs="Times New Roman"/>
          <w:lang w:val="fr-CA"/>
        </w:rPr>
        <w:t>exige pas d</w:t>
      </w:r>
      <w:r>
        <w:rPr>
          <w:rFonts w:cs="Times New Roman"/>
          <w:lang w:val="fr-CA"/>
        </w:rPr>
        <w:t>’</w:t>
      </w:r>
      <w:r w:rsidRPr="00990245">
        <w:rPr>
          <w:rFonts w:cs="Times New Roman"/>
          <w:lang w:val="fr-CA"/>
        </w:rPr>
        <w:t xml:space="preserve">autorisation judiciaire préalable. </w:t>
      </w:r>
    </w:p>
    <w:p w:rsidR="00CA3D49" w:rsidRPr="00990245" w:rsidRDefault="00CA3D49" w:rsidP="00A8558F">
      <w:pPr>
        <w:pStyle w:val="Title3LevelTitre3Niveau"/>
        <w:tabs>
          <w:tab w:val="clear" w:pos="864"/>
        </w:tabs>
        <w:ind w:left="900" w:hanging="450"/>
        <w:rPr>
          <w:rFonts w:cs="Times New Roman"/>
          <w:lang w:val="fr-CA"/>
        </w:rPr>
      </w:pPr>
      <w:r w:rsidRPr="00990245">
        <w:rPr>
          <w:rFonts w:cs="Times New Roman"/>
          <w:lang w:val="fr-CA"/>
        </w:rPr>
        <w:t>Résumé</w:t>
      </w:r>
    </w:p>
    <w:p w:rsidR="00CA3D49" w:rsidRPr="00990245" w:rsidRDefault="00CA3D49" w:rsidP="00CA3D49">
      <w:pPr>
        <w:pStyle w:val="ParaNoNdepar-AltN"/>
        <w:rPr>
          <w:rFonts w:cs="Times New Roman"/>
          <w:u w:val="single"/>
          <w:lang w:val="fr-CA"/>
        </w:rPr>
      </w:pPr>
      <w:r w:rsidRPr="00990245">
        <w:rPr>
          <w:rFonts w:cs="Times New Roman"/>
          <w:lang w:val="fr-CA"/>
        </w:rPr>
        <w:lastRenderedPageBreak/>
        <w:t xml:space="preserve">À mon avis, les pouvoirs de perquisition et de fouille qui sont prévus </w:t>
      </w:r>
      <w:proofErr w:type="gramStart"/>
      <w:r w:rsidRPr="00990245">
        <w:rPr>
          <w:rFonts w:cs="Times New Roman"/>
          <w:lang w:val="fr-CA"/>
        </w:rPr>
        <w:t>aux art</w:t>
      </w:r>
      <w:proofErr w:type="gramEnd"/>
      <w:r w:rsidRPr="00990245">
        <w:rPr>
          <w:rFonts w:cs="Times New Roman"/>
          <w:lang w:val="fr-CA"/>
        </w:rPr>
        <w:t>.</w:t>
      </w:r>
      <w:r w:rsidR="00601B6E">
        <w:rPr>
          <w:rFonts w:cs="Times New Roman"/>
          <w:lang w:val="fr-CA"/>
        </w:rPr>
        <w:t xml:space="preserve"> </w:t>
      </w:r>
      <w:r w:rsidRPr="00990245">
        <w:rPr>
          <w:rFonts w:cs="Times New Roman"/>
          <w:lang w:val="fr-CA"/>
        </w:rPr>
        <w:t>62, 63 et 63.1 et qui sont exercés à l</w:t>
      </w:r>
      <w:r>
        <w:rPr>
          <w:rFonts w:cs="Times New Roman"/>
          <w:lang w:val="fr-CA"/>
        </w:rPr>
        <w:t>’</w:t>
      </w:r>
      <w:r w:rsidRPr="00990245">
        <w:rPr>
          <w:rFonts w:cs="Times New Roman"/>
          <w:lang w:val="fr-CA"/>
        </w:rPr>
        <w:t>endroit des avocats, conjugués à la protection insuffisante que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64 accorde au secret professionnel de l</w:t>
      </w:r>
      <w:r>
        <w:rPr>
          <w:rFonts w:cs="Times New Roman"/>
          <w:lang w:val="fr-CA"/>
        </w:rPr>
        <w:t>’</w:t>
      </w:r>
      <w:r w:rsidRPr="00990245">
        <w:rPr>
          <w:rFonts w:cs="Times New Roman"/>
          <w:lang w:val="fr-CA"/>
        </w:rPr>
        <w:t>avocat, constituent une restriction considérable du droit d</w:t>
      </w:r>
      <w:r>
        <w:rPr>
          <w:rFonts w:cs="Times New Roman"/>
          <w:lang w:val="fr-CA"/>
        </w:rPr>
        <w:t>’</w:t>
      </w:r>
      <w:r w:rsidRPr="00990245">
        <w:rPr>
          <w:rFonts w:cs="Times New Roman"/>
          <w:lang w:val="fr-CA"/>
        </w:rPr>
        <w:t xml:space="preserve">être protégé </w:t>
      </w:r>
      <w:r w:rsidRPr="00990245">
        <w:rPr>
          <w:rStyle w:val="complet"/>
          <w:rFonts w:cs="Times New Roman"/>
          <w:lang w:val="fr-CA"/>
        </w:rPr>
        <w:t>contre les fouilles, les perquisitions et les saisies abusives garanti par l</w:t>
      </w:r>
      <w:r>
        <w:rPr>
          <w:rStyle w:val="complet"/>
          <w:rFonts w:cs="Times New Roman"/>
          <w:lang w:val="fr-CA"/>
        </w:rPr>
        <w:t>’</w:t>
      </w:r>
      <w:r w:rsidRPr="00990245">
        <w:rPr>
          <w:rStyle w:val="complet"/>
          <w:rFonts w:cs="Times New Roman"/>
          <w:lang w:val="fr-CA"/>
        </w:rPr>
        <w:t>art.</w:t>
      </w:r>
      <w:r w:rsidR="00601B6E">
        <w:rPr>
          <w:rStyle w:val="complet"/>
          <w:rFonts w:cs="Times New Roman"/>
          <w:lang w:val="fr-CA"/>
        </w:rPr>
        <w:t xml:space="preserve"> </w:t>
      </w:r>
      <w:r w:rsidRPr="00990245">
        <w:rPr>
          <w:rStyle w:val="complet"/>
          <w:rFonts w:cs="Times New Roman"/>
          <w:lang w:val="fr-CA"/>
        </w:rPr>
        <w:t xml:space="preserve">8 de la </w:t>
      </w:r>
      <w:r w:rsidRPr="00990245">
        <w:rPr>
          <w:rFonts w:cs="Times New Roman"/>
          <w:i/>
          <w:iCs/>
          <w:lang w:val="fr-CA"/>
        </w:rPr>
        <w:t>Charte</w:t>
      </w:r>
      <w:r w:rsidRPr="00990245">
        <w:rPr>
          <w:rFonts w:cs="Times New Roman"/>
          <w:lang w:val="fr-CA"/>
        </w:rPr>
        <w:t>.</w:t>
      </w:r>
    </w:p>
    <w:p w:rsidR="00CA3D49" w:rsidRPr="00990245" w:rsidRDefault="00CA3D49" w:rsidP="00FC477C">
      <w:pPr>
        <w:pStyle w:val="Title3LevelTitre3Niveau"/>
        <w:tabs>
          <w:tab w:val="clear" w:pos="864"/>
        </w:tabs>
        <w:ind w:left="900" w:hanging="450"/>
        <w:rPr>
          <w:rFonts w:cs="Times New Roman"/>
          <w:lang w:val="fr-CA"/>
        </w:rPr>
      </w:pPr>
      <w:r w:rsidRPr="00990245">
        <w:rPr>
          <w:rFonts w:cs="Times New Roman"/>
          <w:lang w:val="fr-CA"/>
        </w:rPr>
        <w:t>La restriction est</w:t>
      </w:r>
      <w:r w:rsidR="00601B6E">
        <w:rPr>
          <w:rFonts w:cs="Times New Roman"/>
          <w:lang w:val="fr-CA"/>
        </w:rPr>
        <w:t>-</w:t>
      </w:r>
      <w:r w:rsidRPr="00990245">
        <w:rPr>
          <w:rFonts w:cs="Times New Roman"/>
          <w:lang w:val="fr-CA"/>
        </w:rPr>
        <w:t>elle justifiée au sens de l</w:t>
      </w:r>
      <w:r>
        <w:rPr>
          <w:rFonts w:cs="Times New Roman"/>
          <w:lang w:val="fr-CA"/>
        </w:rPr>
        <w:t>’</w:t>
      </w:r>
      <w:r w:rsidRPr="00990245">
        <w:rPr>
          <w:rFonts w:cs="Times New Roman"/>
          <w:lang w:val="fr-CA"/>
        </w:rPr>
        <w:t>article premier?</w:t>
      </w:r>
    </w:p>
    <w:p w:rsidR="00CA3D49" w:rsidRPr="00990245" w:rsidRDefault="00CA3D49" w:rsidP="00CA3D49">
      <w:pPr>
        <w:pStyle w:val="ParaNoNdepar-AltN"/>
        <w:rPr>
          <w:rFonts w:cs="Times New Roman"/>
          <w:lang w:val="fr-CA"/>
        </w:rPr>
      </w:pPr>
      <w:r w:rsidRPr="00990245">
        <w:rPr>
          <w:rFonts w:cs="Times New Roman"/>
          <w:lang w:val="fr-CA"/>
        </w:rPr>
        <w:t>L</w:t>
      </w:r>
      <w:r>
        <w:rPr>
          <w:rFonts w:cs="Times New Roman"/>
          <w:lang w:val="fr-CA"/>
        </w:rPr>
        <w:t>’</w:t>
      </w:r>
      <w:r w:rsidRPr="00990245">
        <w:rPr>
          <w:rFonts w:cs="Times New Roman"/>
          <w:lang w:val="fr-CA"/>
        </w:rPr>
        <w:t xml:space="preserve">article premier de la </w:t>
      </w:r>
      <w:r w:rsidRPr="00990245">
        <w:rPr>
          <w:rFonts w:cs="Times New Roman"/>
          <w:i/>
          <w:iCs/>
          <w:lang w:val="fr-CA"/>
        </w:rPr>
        <w:t>Charte</w:t>
      </w:r>
      <w:r w:rsidRPr="00990245">
        <w:rPr>
          <w:rFonts w:cs="Times New Roman"/>
          <w:lang w:val="fr-CA"/>
        </w:rPr>
        <w:t xml:space="preserve"> </w:t>
      </w:r>
      <w:r w:rsidR="00601B6E">
        <w:rPr>
          <w:rFonts w:cs="Times New Roman"/>
          <w:lang w:val="fr-CA"/>
        </w:rPr>
        <w:t>« </w:t>
      </w:r>
      <w:r w:rsidRPr="00990245">
        <w:rPr>
          <w:rStyle w:val="highlight"/>
          <w:rFonts w:cs="Times New Roman"/>
          <w:lang w:val="fr-CA"/>
        </w:rPr>
        <w:t>garantit les droits et libertés qui [</w:t>
      </w:r>
      <w:r w:rsidR="00601B6E">
        <w:rPr>
          <w:rStyle w:val="highlight"/>
          <w:rFonts w:cs="Times New Roman"/>
          <w:lang w:val="fr-CA"/>
        </w:rPr>
        <w:t>. . .</w:t>
      </w:r>
      <w:r w:rsidRPr="00990245">
        <w:rPr>
          <w:rStyle w:val="highlight"/>
          <w:rFonts w:cs="Times New Roman"/>
          <w:lang w:val="fr-CA"/>
        </w:rPr>
        <w:t xml:space="preserve">] sont énoncés [dans la </w:t>
      </w:r>
      <w:r w:rsidRPr="00990245">
        <w:rPr>
          <w:rStyle w:val="highlight"/>
          <w:rFonts w:cs="Times New Roman"/>
          <w:i/>
          <w:iCs/>
          <w:lang w:val="fr-CA"/>
        </w:rPr>
        <w:t>Charte</w:t>
      </w:r>
      <w:r w:rsidRPr="00990245">
        <w:rPr>
          <w:rStyle w:val="highlight"/>
          <w:rFonts w:cs="Times New Roman"/>
          <w:lang w:val="fr-CA"/>
        </w:rPr>
        <w:t>]. Ils ne peuvent être restreints que par une règle de droit, dans des limites qui soient raisonnables et dont la justification puisse se démontrer dans le cadre d</w:t>
      </w:r>
      <w:r>
        <w:rPr>
          <w:rStyle w:val="highlight"/>
          <w:rFonts w:cs="Times New Roman"/>
          <w:lang w:val="fr-CA"/>
        </w:rPr>
        <w:t>’</w:t>
      </w:r>
      <w:r w:rsidRPr="00990245">
        <w:rPr>
          <w:rStyle w:val="highlight"/>
          <w:rFonts w:cs="Times New Roman"/>
          <w:lang w:val="fr-CA"/>
        </w:rPr>
        <w:t>une société libre et démocratique</w:t>
      </w:r>
      <w:r w:rsidR="00601B6E">
        <w:rPr>
          <w:rStyle w:val="highlight"/>
          <w:rFonts w:cs="Times New Roman"/>
          <w:lang w:val="fr-CA"/>
        </w:rPr>
        <w:t> »</w:t>
      </w:r>
      <w:r w:rsidRPr="00990245">
        <w:rPr>
          <w:rStyle w:val="highlight"/>
          <w:rFonts w:cs="Times New Roman"/>
          <w:lang w:val="fr-CA"/>
        </w:rPr>
        <w:t xml:space="preserve">. Pour être justifiée, une restriction doit viser un </w:t>
      </w:r>
      <w:r w:rsidRPr="00990245">
        <w:rPr>
          <w:rFonts w:cs="Times New Roman"/>
          <w:lang w:val="fr-CA"/>
        </w:rPr>
        <w:t>objectif urgent et réel et être une réponse proportionnée à cet objectif (</w:t>
      </w:r>
      <w:r w:rsidRPr="00990245">
        <w:rPr>
          <w:rFonts w:cs="Times New Roman"/>
          <w:i/>
          <w:iCs/>
          <w:lang w:val="fr-CA"/>
        </w:rPr>
        <w:t xml:space="preserve">R. c. </w:t>
      </w:r>
      <w:proofErr w:type="spellStart"/>
      <w:r w:rsidRPr="00990245">
        <w:rPr>
          <w:rFonts w:cs="Times New Roman"/>
          <w:i/>
          <w:iCs/>
          <w:lang w:val="fr-CA"/>
        </w:rPr>
        <w:t>Oakes</w:t>
      </w:r>
      <w:proofErr w:type="spellEnd"/>
      <w:r w:rsidRPr="00990245">
        <w:rPr>
          <w:rFonts w:cs="Times New Roman"/>
          <w:lang w:val="fr-CA"/>
        </w:rPr>
        <w:t>, [1986] 1 R.C.S. 103, p.</w:t>
      </w:r>
      <w:r w:rsidR="00601B6E">
        <w:rPr>
          <w:rFonts w:cs="Times New Roman"/>
          <w:lang w:val="fr-CA"/>
        </w:rPr>
        <w:t xml:space="preserve"> </w:t>
      </w:r>
      <w:r w:rsidRPr="00990245">
        <w:rPr>
          <w:rFonts w:cs="Times New Roman"/>
          <w:lang w:val="fr-CA"/>
        </w:rPr>
        <w:t>138</w:t>
      </w:r>
      <w:r w:rsidR="00601B6E">
        <w:rPr>
          <w:rFonts w:cs="Times New Roman"/>
          <w:lang w:val="fr-CA"/>
        </w:rPr>
        <w:t>-</w:t>
      </w:r>
      <w:r w:rsidRPr="00990245">
        <w:rPr>
          <w:rFonts w:cs="Times New Roman"/>
          <w:lang w:val="fr-CA"/>
        </w:rPr>
        <w:t>139). L</w:t>
      </w:r>
      <w:r>
        <w:rPr>
          <w:rFonts w:cs="Times New Roman"/>
          <w:lang w:val="fr-CA"/>
        </w:rPr>
        <w:t>’</w:t>
      </w:r>
      <w:r w:rsidRPr="00990245">
        <w:rPr>
          <w:rFonts w:cs="Times New Roman"/>
          <w:lang w:val="fr-CA"/>
        </w:rPr>
        <w:t xml:space="preserve">État a la tâche difficile de chercher à faire déclarer valides pour cause de </w:t>
      </w:r>
      <w:proofErr w:type="spellStart"/>
      <w:r w:rsidRPr="00990245">
        <w:rPr>
          <w:rFonts w:cs="Times New Roman"/>
          <w:lang w:val="fr-CA"/>
        </w:rPr>
        <w:t>raisonnabilité</w:t>
      </w:r>
      <w:proofErr w:type="spellEnd"/>
      <w:r w:rsidRPr="00990245">
        <w:rPr>
          <w:rFonts w:cs="Times New Roman"/>
          <w:lang w:val="fr-CA"/>
        </w:rPr>
        <w:t xml:space="preserve"> des dispositions, comme celles qui nous intéressent en l</w:t>
      </w:r>
      <w:r>
        <w:rPr>
          <w:rFonts w:cs="Times New Roman"/>
          <w:lang w:val="fr-CA"/>
        </w:rPr>
        <w:t>’</w:t>
      </w:r>
      <w:r w:rsidRPr="00990245">
        <w:rPr>
          <w:rFonts w:cs="Times New Roman"/>
          <w:lang w:val="fr-CA"/>
        </w:rPr>
        <w:t>espèce, dont il a été jugé qu</w:t>
      </w:r>
      <w:r>
        <w:rPr>
          <w:rFonts w:cs="Times New Roman"/>
          <w:lang w:val="fr-CA"/>
        </w:rPr>
        <w:t>’</w:t>
      </w:r>
      <w:r w:rsidRPr="00990245">
        <w:rPr>
          <w:rFonts w:cs="Times New Roman"/>
          <w:lang w:val="fr-CA"/>
        </w:rPr>
        <w:t>elles autorisent des fouilles et des perquisitions abusives (</w:t>
      </w:r>
      <w:proofErr w:type="spellStart"/>
      <w:r w:rsidRPr="00990245">
        <w:rPr>
          <w:rFonts w:cs="Times New Roman"/>
          <w:i/>
          <w:iCs/>
          <w:lang w:val="fr-CA"/>
        </w:rPr>
        <w:t>Lavallee</w:t>
      </w:r>
      <w:proofErr w:type="spellEnd"/>
      <w:r w:rsidRPr="00990245">
        <w:rPr>
          <w:rFonts w:cs="Times New Roman"/>
          <w:lang w:val="fr-CA"/>
        </w:rPr>
        <w:t>, par.</w:t>
      </w:r>
      <w:r w:rsidR="00601B6E">
        <w:rPr>
          <w:rFonts w:cs="Times New Roman"/>
          <w:lang w:val="fr-CA"/>
        </w:rPr>
        <w:t xml:space="preserve"> </w:t>
      </w:r>
      <w:r w:rsidRPr="00990245">
        <w:rPr>
          <w:rFonts w:cs="Times New Roman"/>
          <w:lang w:val="fr-CA"/>
        </w:rPr>
        <w:t xml:space="preserve">46; </w:t>
      </w:r>
      <w:r w:rsidRPr="00990245">
        <w:rPr>
          <w:rFonts w:cs="Times New Roman"/>
          <w:i/>
          <w:iCs/>
          <w:lang w:val="fr-CA"/>
        </w:rPr>
        <w:t xml:space="preserve">R. c. </w:t>
      </w:r>
      <w:proofErr w:type="spellStart"/>
      <w:r w:rsidRPr="00990245">
        <w:rPr>
          <w:rFonts w:cs="Times New Roman"/>
          <w:i/>
          <w:iCs/>
          <w:lang w:val="fr-CA"/>
        </w:rPr>
        <w:t>Kokesch</w:t>
      </w:r>
      <w:proofErr w:type="spellEnd"/>
      <w:r w:rsidRPr="00990245">
        <w:rPr>
          <w:rFonts w:cs="Times New Roman"/>
          <w:lang w:val="fr-CA"/>
        </w:rPr>
        <w:t>, [1990] 3 R.C.S. 3, p.</w:t>
      </w:r>
      <w:r w:rsidR="00601B6E">
        <w:rPr>
          <w:rFonts w:cs="Times New Roman"/>
          <w:lang w:val="fr-CA"/>
        </w:rPr>
        <w:t xml:space="preserve"> </w:t>
      </w:r>
      <w:r w:rsidRPr="00990245">
        <w:rPr>
          <w:rFonts w:cs="Times New Roman"/>
          <w:lang w:val="fr-CA"/>
        </w:rPr>
        <w:t>18</w:t>
      </w:r>
      <w:r w:rsidR="00601B6E">
        <w:rPr>
          <w:rFonts w:cs="Times New Roman"/>
          <w:lang w:val="fr-CA"/>
        </w:rPr>
        <w:t>-</w:t>
      </w:r>
      <w:r w:rsidRPr="00990245">
        <w:rPr>
          <w:rFonts w:cs="Times New Roman"/>
          <w:lang w:val="fr-CA"/>
        </w:rPr>
        <w:t xml:space="preserve">19). </w:t>
      </w:r>
    </w:p>
    <w:p w:rsidR="00CA3D49" w:rsidRPr="00990245" w:rsidRDefault="00CA3D49" w:rsidP="00CA3D49">
      <w:pPr>
        <w:pStyle w:val="ParaNoNdepar-AltN"/>
        <w:rPr>
          <w:rFonts w:cs="Times New Roman"/>
          <w:lang w:val="fr-CA"/>
        </w:rPr>
      </w:pPr>
      <w:r w:rsidRPr="00990245">
        <w:rPr>
          <w:rFonts w:cs="Times New Roman"/>
          <w:lang w:val="fr-CA"/>
        </w:rPr>
        <w:t>Je reconnais évidemment que les objectifs de la lutte contre le recyclage des produits de la criminalité et le financement des activités terroristes sont des objectifs urgents et réels, ainsi que l</w:t>
      </w:r>
      <w:r>
        <w:rPr>
          <w:rFonts w:cs="Times New Roman"/>
          <w:lang w:val="fr-CA"/>
        </w:rPr>
        <w:t>’</w:t>
      </w:r>
      <w:r w:rsidRPr="00990245">
        <w:rPr>
          <w:rFonts w:cs="Times New Roman"/>
          <w:lang w:val="fr-CA"/>
        </w:rPr>
        <w:t>ont conclu la juge de première instance et la Cour d</w:t>
      </w:r>
      <w:r>
        <w:rPr>
          <w:rFonts w:cs="Times New Roman"/>
          <w:lang w:val="fr-CA"/>
        </w:rPr>
        <w:t>’</w:t>
      </w:r>
      <w:r w:rsidRPr="00990245">
        <w:rPr>
          <w:rFonts w:cs="Times New Roman"/>
          <w:lang w:val="fr-CA"/>
        </w:rPr>
        <w:t>appel.</w:t>
      </w:r>
    </w:p>
    <w:p w:rsidR="00CA3D49" w:rsidRPr="00990245" w:rsidRDefault="00CA3D49" w:rsidP="00CA3D49">
      <w:pPr>
        <w:pStyle w:val="ParaNoNdepar-AltN"/>
        <w:rPr>
          <w:rFonts w:cs="Times New Roman"/>
          <w:lang w:val="fr-CA"/>
        </w:rPr>
      </w:pPr>
      <w:r w:rsidRPr="00990245">
        <w:rPr>
          <w:rFonts w:cs="Times New Roman"/>
          <w:lang w:val="fr-CA"/>
        </w:rPr>
        <w:lastRenderedPageBreak/>
        <w:t>En ce qui concerne l</w:t>
      </w:r>
      <w:r>
        <w:rPr>
          <w:rFonts w:cs="Times New Roman"/>
          <w:lang w:val="fr-CA"/>
        </w:rPr>
        <w:t>’</w:t>
      </w:r>
      <w:r w:rsidRPr="00990245">
        <w:rPr>
          <w:rFonts w:cs="Times New Roman"/>
          <w:lang w:val="fr-CA"/>
        </w:rPr>
        <w:t>analyse de la proportionnalité, il incombe à l</w:t>
      </w:r>
      <w:r>
        <w:rPr>
          <w:rFonts w:cs="Times New Roman"/>
          <w:lang w:val="fr-CA"/>
        </w:rPr>
        <w:t>’</w:t>
      </w:r>
      <w:r w:rsidRPr="00990245">
        <w:rPr>
          <w:rFonts w:cs="Times New Roman"/>
          <w:lang w:val="fr-CA"/>
        </w:rPr>
        <w:t>appelant de démontrer</w:t>
      </w:r>
      <w:r w:rsidR="00601B6E">
        <w:rPr>
          <w:rFonts w:cs="Times New Roman"/>
          <w:lang w:val="fr-CA"/>
        </w:rPr>
        <w:t> :</w:t>
      </w:r>
      <w:r w:rsidRPr="00990245">
        <w:rPr>
          <w:rFonts w:cs="Times New Roman"/>
          <w:lang w:val="fr-CA"/>
        </w:rPr>
        <w:t xml:space="preserve"> (i)</w:t>
      </w:r>
      <w:r w:rsidR="00601B6E">
        <w:rPr>
          <w:rFonts w:cs="Times New Roman"/>
          <w:lang w:val="fr-CA"/>
        </w:rPr>
        <w:t xml:space="preserve"> </w:t>
      </w:r>
      <w:r w:rsidRPr="00990245">
        <w:rPr>
          <w:rFonts w:cs="Times New Roman"/>
          <w:lang w:val="fr-CA"/>
        </w:rPr>
        <w:t>qu</w:t>
      </w:r>
      <w:r>
        <w:rPr>
          <w:rFonts w:cs="Times New Roman"/>
          <w:lang w:val="fr-CA"/>
        </w:rPr>
        <w:t>’</w:t>
      </w:r>
      <w:r w:rsidRPr="00990245">
        <w:rPr>
          <w:rFonts w:cs="Times New Roman"/>
          <w:lang w:val="fr-CA"/>
        </w:rPr>
        <w:t xml:space="preserve">il existe </w:t>
      </w:r>
      <w:r w:rsidRPr="00990245">
        <w:rPr>
          <w:rStyle w:val="highlight"/>
          <w:rFonts w:cs="Times New Roman"/>
          <w:lang w:val="fr-CA"/>
        </w:rPr>
        <w:t>un lien rationnel entre</w:t>
      </w:r>
      <w:r w:rsidRPr="00990245">
        <w:rPr>
          <w:rFonts w:cs="Times New Roman"/>
          <w:lang w:val="fr-CA"/>
        </w:rPr>
        <w:t xml:space="preserve"> l</w:t>
      </w:r>
      <w:r>
        <w:rPr>
          <w:rFonts w:cs="Times New Roman"/>
          <w:lang w:val="fr-CA"/>
        </w:rPr>
        <w:t>’</w:t>
      </w:r>
      <w:r w:rsidRPr="00990245">
        <w:rPr>
          <w:rFonts w:cs="Times New Roman"/>
          <w:lang w:val="fr-CA"/>
        </w:rPr>
        <w:t>objectif et la restriction; (ii)</w:t>
      </w:r>
      <w:r w:rsidR="00601B6E">
        <w:rPr>
          <w:rFonts w:cs="Times New Roman"/>
          <w:lang w:val="fr-CA"/>
        </w:rPr>
        <w:t xml:space="preserve"> </w:t>
      </w:r>
      <w:r w:rsidRPr="00990245">
        <w:rPr>
          <w:rFonts w:cs="Times New Roman"/>
          <w:lang w:val="fr-CA"/>
        </w:rPr>
        <w:t xml:space="preserve">que la restriction </w:t>
      </w:r>
      <w:r w:rsidRPr="00990245">
        <w:rPr>
          <w:rFonts w:cs="Times New Roman"/>
          <w:lang w:val="fr-CA" w:eastAsia="en-CA"/>
        </w:rPr>
        <w:t xml:space="preserve">porte le moins possible atteinte au droit en question; </w:t>
      </w:r>
      <w:r w:rsidRPr="00990245">
        <w:rPr>
          <w:rFonts w:cs="Times New Roman"/>
          <w:lang w:val="fr-CA"/>
        </w:rPr>
        <w:t>(iii)</w:t>
      </w:r>
      <w:r w:rsidR="00601B6E">
        <w:rPr>
          <w:rFonts w:cs="Times New Roman"/>
          <w:lang w:val="fr-CA"/>
        </w:rPr>
        <w:t xml:space="preserve"> </w:t>
      </w:r>
      <w:r w:rsidRPr="00990245">
        <w:rPr>
          <w:rFonts w:cs="Times New Roman"/>
          <w:lang w:val="fr-CA"/>
        </w:rPr>
        <w:t>qu</w:t>
      </w:r>
      <w:r>
        <w:rPr>
          <w:rFonts w:cs="Times New Roman"/>
          <w:lang w:val="fr-CA"/>
        </w:rPr>
        <w:t>’</w:t>
      </w:r>
      <w:r w:rsidRPr="00990245">
        <w:rPr>
          <w:rFonts w:cs="Times New Roman"/>
          <w:lang w:val="fr-CA"/>
        </w:rPr>
        <w:t xml:space="preserve">il y a </w:t>
      </w:r>
      <w:r w:rsidRPr="00990245">
        <w:rPr>
          <w:rStyle w:val="highlight"/>
          <w:rFonts w:cs="Times New Roman"/>
          <w:lang w:val="fr-CA"/>
        </w:rPr>
        <w:t>proportionnalité entre les effets</w:t>
      </w:r>
      <w:r w:rsidRPr="00990245">
        <w:rPr>
          <w:rFonts w:cs="Times New Roman"/>
          <w:lang w:val="fr-CA"/>
        </w:rPr>
        <w:t xml:space="preserve"> de la restriction apportée au droit garanti par la </w:t>
      </w:r>
      <w:r w:rsidRPr="00990245">
        <w:rPr>
          <w:rFonts w:cs="Times New Roman"/>
          <w:i/>
          <w:lang w:val="fr-CA"/>
        </w:rPr>
        <w:t>Charte</w:t>
      </w:r>
      <w:r w:rsidRPr="00990245">
        <w:rPr>
          <w:rFonts w:cs="Times New Roman"/>
          <w:lang w:val="fr-CA"/>
        </w:rPr>
        <w:t xml:space="preserve"> et l</w:t>
      </w:r>
      <w:r>
        <w:rPr>
          <w:rFonts w:cs="Times New Roman"/>
          <w:lang w:val="fr-CA"/>
        </w:rPr>
        <w:t>’</w:t>
      </w:r>
      <w:r w:rsidRPr="00990245">
        <w:rPr>
          <w:rFonts w:cs="Times New Roman"/>
          <w:lang w:val="fr-CA"/>
        </w:rPr>
        <w:t>objectif visé</w:t>
      </w:r>
      <w:r w:rsidRPr="00990245">
        <w:rPr>
          <w:rFonts w:cs="Times New Roman"/>
          <w:spacing w:val="-3"/>
          <w:lang w:val="fr-CA"/>
        </w:rPr>
        <w:t>. Pour démontrer l</w:t>
      </w:r>
      <w:r>
        <w:rPr>
          <w:rFonts w:cs="Times New Roman"/>
          <w:spacing w:val="-3"/>
          <w:lang w:val="fr-CA"/>
        </w:rPr>
        <w:t>’</w:t>
      </w:r>
      <w:r w:rsidRPr="00990245">
        <w:rPr>
          <w:rFonts w:cs="Times New Roman"/>
          <w:spacing w:val="-3"/>
          <w:lang w:val="fr-CA"/>
        </w:rPr>
        <w:t>existence d</w:t>
      </w:r>
      <w:r>
        <w:rPr>
          <w:rFonts w:cs="Times New Roman"/>
          <w:spacing w:val="-3"/>
          <w:lang w:val="fr-CA"/>
        </w:rPr>
        <w:t>’</w:t>
      </w:r>
      <w:r w:rsidRPr="00990245">
        <w:rPr>
          <w:rFonts w:cs="Times New Roman"/>
          <w:spacing w:val="-3"/>
          <w:lang w:val="fr-CA"/>
        </w:rPr>
        <w:t>un lien rationnel, il n</w:t>
      </w:r>
      <w:r>
        <w:rPr>
          <w:rFonts w:cs="Times New Roman"/>
          <w:spacing w:val="-3"/>
          <w:lang w:val="fr-CA"/>
        </w:rPr>
        <w:t>’</w:t>
      </w:r>
      <w:r w:rsidRPr="00990245">
        <w:rPr>
          <w:rFonts w:cs="Times New Roman"/>
          <w:spacing w:val="-3"/>
          <w:lang w:val="fr-CA"/>
        </w:rPr>
        <w:t>est pas nécessaire de répondre à une norme particulièrement exigeante (</w:t>
      </w:r>
      <w:proofErr w:type="spellStart"/>
      <w:r w:rsidRPr="00990245">
        <w:rPr>
          <w:rFonts w:cs="Times New Roman"/>
          <w:i/>
          <w:iCs/>
          <w:spacing w:val="-3"/>
          <w:lang w:val="fr-CA"/>
        </w:rPr>
        <w:t>Little</w:t>
      </w:r>
      <w:proofErr w:type="spellEnd"/>
      <w:r w:rsidRPr="00990245">
        <w:rPr>
          <w:rFonts w:cs="Times New Roman"/>
          <w:i/>
          <w:iCs/>
          <w:spacing w:val="-3"/>
          <w:lang w:val="fr-CA"/>
        </w:rPr>
        <w:t xml:space="preserve"> </w:t>
      </w:r>
      <w:proofErr w:type="spellStart"/>
      <w:r w:rsidRPr="00990245">
        <w:rPr>
          <w:rFonts w:cs="Times New Roman"/>
          <w:i/>
          <w:iCs/>
          <w:spacing w:val="-3"/>
          <w:lang w:val="fr-CA"/>
        </w:rPr>
        <w:t>Sisters</w:t>
      </w:r>
      <w:proofErr w:type="spellEnd"/>
      <w:r w:rsidRPr="00990245">
        <w:rPr>
          <w:rFonts w:cs="Times New Roman"/>
          <w:i/>
          <w:iCs/>
          <w:spacing w:val="-3"/>
          <w:lang w:val="fr-CA"/>
        </w:rPr>
        <w:t xml:space="preserve"> Book and Art Emporium c. Canada (Ministre de la Justice)</w:t>
      </w:r>
      <w:r w:rsidRPr="00990245">
        <w:rPr>
          <w:rFonts w:cs="Times New Roman"/>
          <w:spacing w:val="-3"/>
          <w:lang w:val="fr-CA"/>
        </w:rPr>
        <w:t>, 2000 CSC 69, [2000] 2 R.C.S. 1120, par.</w:t>
      </w:r>
      <w:r w:rsidR="00601B6E">
        <w:rPr>
          <w:rFonts w:cs="Times New Roman"/>
          <w:spacing w:val="-3"/>
          <w:lang w:val="fr-CA"/>
        </w:rPr>
        <w:t xml:space="preserve"> </w:t>
      </w:r>
      <w:r w:rsidRPr="00990245">
        <w:rPr>
          <w:rFonts w:cs="Times New Roman"/>
          <w:spacing w:val="-3"/>
          <w:lang w:val="fr-CA"/>
        </w:rPr>
        <w:t>228). Il existe un lien logique et direct entre, d</w:t>
      </w:r>
      <w:r>
        <w:rPr>
          <w:rFonts w:cs="Times New Roman"/>
          <w:spacing w:val="-3"/>
          <w:lang w:val="fr-CA"/>
        </w:rPr>
        <w:t>’</w:t>
      </w:r>
      <w:r w:rsidRPr="00990245">
        <w:rPr>
          <w:rFonts w:cs="Times New Roman"/>
          <w:spacing w:val="-3"/>
          <w:lang w:val="fr-CA"/>
        </w:rPr>
        <w:t>une part, la lutte contre le recyclage des produits de criminalité et le financement des activités terroristes (auxquels les avocats peuvent participer à leur insu) et, d</w:t>
      </w:r>
      <w:r>
        <w:rPr>
          <w:rFonts w:cs="Times New Roman"/>
          <w:spacing w:val="-3"/>
          <w:lang w:val="fr-CA"/>
        </w:rPr>
        <w:t>’</w:t>
      </w:r>
      <w:r w:rsidRPr="00990245">
        <w:rPr>
          <w:rFonts w:cs="Times New Roman"/>
          <w:spacing w:val="-3"/>
          <w:lang w:val="fr-CA"/>
        </w:rPr>
        <w:t>autre part, le contrôle qu</w:t>
      </w:r>
      <w:r>
        <w:rPr>
          <w:rFonts w:cs="Times New Roman"/>
          <w:spacing w:val="-3"/>
          <w:lang w:val="fr-CA"/>
        </w:rPr>
        <w:t>’</w:t>
      </w:r>
      <w:r w:rsidRPr="00990245">
        <w:rPr>
          <w:rFonts w:cs="Times New Roman"/>
          <w:spacing w:val="-3"/>
          <w:lang w:val="fr-CA"/>
        </w:rPr>
        <w:t>exerce l</w:t>
      </w:r>
      <w:r>
        <w:rPr>
          <w:rFonts w:cs="Times New Roman"/>
          <w:spacing w:val="-3"/>
          <w:lang w:val="fr-CA"/>
        </w:rPr>
        <w:t>’</w:t>
      </w:r>
      <w:r w:rsidRPr="00990245">
        <w:rPr>
          <w:rFonts w:cs="Times New Roman"/>
          <w:spacing w:val="-3"/>
          <w:lang w:val="fr-CA"/>
        </w:rPr>
        <w:t>État au moyen de perquisitions effectuées dans des cabinets d</w:t>
      </w:r>
      <w:r>
        <w:rPr>
          <w:rFonts w:cs="Times New Roman"/>
          <w:spacing w:val="-3"/>
          <w:lang w:val="fr-CA"/>
        </w:rPr>
        <w:t>’</w:t>
      </w:r>
      <w:r w:rsidRPr="00990245">
        <w:rPr>
          <w:rFonts w:cs="Times New Roman"/>
          <w:spacing w:val="-3"/>
          <w:lang w:val="fr-CA"/>
        </w:rPr>
        <w:t xml:space="preserve">avocats. </w:t>
      </w:r>
    </w:p>
    <w:p w:rsidR="00CA3D49" w:rsidRPr="00990245" w:rsidRDefault="00CA3D49" w:rsidP="00CA3D49">
      <w:pPr>
        <w:pStyle w:val="ParaNoNdepar-AltN"/>
        <w:rPr>
          <w:rFonts w:cs="Times New Roman"/>
          <w:lang w:val="fr-CA"/>
        </w:rPr>
      </w:pPr>
      <w:r w:rsidRPr="00990245">
        <w:rPr>
          <w:rFonts w:cs="Times New Roman"/>
          <w:lang w:val="fr-CA"/>
        </w:rPr>
        <w:t>J</w:t>
      </w:r>
      <w:r>
        <w:rPr>
          <w:rFonts w:cs="Times New Roman"/>
          <w:lang w:val="fr-CA"/>
        </w:rPr>
        <w:t>’</w:t>
      </w:r>
      <w:r w:rsidRPr="00990245">
        <w:rPr>
          <w:rFonts w:cs="Times New Roman"/>
          <w:lang w:val="fr-CA"/>
        </w:rPr>
        <w:t xml:space="preserve">estime toutefois que la justification ne </w:t>
      </w:r>
      <w:r w:rsidRPr="00990245">
        <w:rPr>
          <w:rFonts w:cs="Times New Roman"/>
          <w:lang w:val="fr-CA" w:eastAsia="en-CA"/>
        </w:rPr>
        <w:t>satisfait pas au critère de l</w:t>
      </w:r>
      <w:r>
        <w:rPr>
          <w:rFonts w:cs="Times New Roman"/>
          <w:lang w:val="fr-CA" w:eastAsia="en-CA"/>
        </w:rPr>
        <w:t>’</w:t>
      </w:r>
      <w:r w:rsidRPr="00990245">
        <w:rPr>
          <w:rFonts w:cs="Times New Roman"/>
          <w:lang w:val="fr-CA" w:eastAsia="en-CA"/>
        </w:rPr>
        <w:t>atteinte minimale</w:t>
      </w:r>
      <w:r w:rsidRPr="00990245">
        <w:rPr>
          <w:rFonts w:cs="Times New Roman"/>
          <w:lang w:val="fr-CA"/>
        </w:rPr>
        <w:t>. Il existe d</w:t>
      </w:r>
      <w:r>
        <w:rPr>
          <w:rFonts w:cs="Times New Roman"/>
          <w:lang w:val="fr-CA"/>
        </w:rPr>
        <w:t>’</w:t>
      </w:r>
      <w:r w:rsidRPr="00990245">
        <w:rPr>
          <w:rFonts w:cs="Times New Roman"/>
          <w:lang w:val="fr-CA"/>
        </w:rPr>
        <w:t>autres moyens moins radicaux de poursuivre les mêmes objectifs. La Cour a déjà défini le type de protection nécessaire pour satisfaire à la norme constitutionnelle de protection du secret professionnel de l</w:t>
      </w:r>
      <w:r>
        <w:rPr>
          <w:rFonts w:cs="Times New Roman"/>
          <w:lang w:val="fr-CA"/>
        </w:rPr>
        <w:t>’</w:t>
      </w:r>
      <w:r w:rsidRPr="00990245">
        <w:rPr>
          <w:rFonts w:cs="Times New Roman"/>
          <w:lang w:val="fr-CA"/>
        </w:rPr>
        <w:t>avocat (</w:t>
      </w:r>
      <w:proofErr w:type="spellStart"/>
      <w:r w:rsidRPr="00990245">
        <w:rPr>
          <w:rFonts w:cs="Times New Roman"/>
          <w:i/>
          <w:lang w:val="fr-CA"/>
        </w:rPr>
        <w:t>Lavallee</w:t>
      </w:r>
      <w:proofErr w:type="spellEnd"/>
      <w:r w:rsidRPr="00990245">
        <w:rPr>
          <w:rFonts w:cs="Times New Roman"/>
          <w:lang w:val="fr-CA"/>
        </w:rPr>
        <w:t xml:space="preserve">). </w:t>
      </w:r>
    </w:p>
    <w:p w:rsidR="00CA3D49" w:rsidRPr="00990245" w:rsidRDefault="00CA3D49" w:rsidP="00CA3D49">
      <w:pPr>
        <w:pStyle w:val="ParaNoNdepar-AltN"/>
        <w:rPr>
          <w:rFonts w:cs="Times New Roman"/>
          <w:lang w:val="fr-CA"/>
        </w:rPr>
      </w:pPr>
      <w:r w:rsidRPr="00990245">
        <w:rPr>
          <w:rFonts w:cs="Times New Roman"/>
          <w:lang w:val="fr-CA"/>
        </w:rPr>
        <w:t>Je suis par conséquent d</w:t>
      </w:r>
      <w:r>
        <w:rPr>
          <w:rFonts w:cs="Times New Roman"/>
          <w:lang w:val="fr-CA"/>
        </w:rPr>
        <w:t>’</w:t>
      </w:r>
      <w:r w:rsidRPr="00990245">
        <w:rPr>
          <w:rFonts w:cs="Times New Roman"/>
          <w:lang w:val="fr-CA"/>
        </w:rPr>
        <w:t>avis que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64 et, dans la mesure où ils s</w:t>
      </w:r>
      <w:r>
        <w:rPr>
          <w:rFonts w:cs="Times New Roman"/>
          <w:lang w:val="fr-CA"/>
        </w:rPr>
        <w:t>’</w:t>
      </w:r>
      <w:r w:rsidRPr="00990245">
        <w:rPr>
          <w:rFonts w:cs="Times New Roman"/>
          <w:lang w:val="fr-CA"/>
        </w:rPr>
        <w:t>appliquent aux cabinets d</w:t>
      </w:r>
      <w:r>
        <w:rPr>
          <w:rFonts w:cs="Times New Roman"/>
          <w:lang w:val="fr-CA"/>
        </w:rPr>
        <w:t>’</w:t>
      </w:r>
      <w:r w:rsidRPr="00990245">
        <w:rPr>
          <w:rFonts w:cs="Times New Roman"/>
          <w:lang w:val="fr-CA"/>
        </w:rPr>
        <w:t xml:space="preserve">avocats, </w:t>
      </w:r>
      <w:proofErr w:type="gramStart"/>
      <w:r w:rsidRPr="00990245">
        <w:rPr>
          <w:rFonts w:cs="Times New Roman"/>
          <w:lang w:val="fr-CA"/>
        </w:rPr>
        <w:t>les art</w:t>
      </w:r>
      <w:proofErr w:type="gramEnd"/>
      <w:r w:rsidRPr="00990245">
        <w:rPr>
          <w:rFonts w:cs="Times New Roman"/>
          <w:lang w:val="fr-CA"/>
        </w:rPr>
        <w:t>.</w:t>
      </w:r>
      <w:r w:rsidR="00601B6E">
        <w:rPr>
          <w:rFonts w:cs="Times New Roman"/>
          <w:lang w:val="fr-CA"/>
        </w:rPr>
        <w:t xml:space="preserve"> </w:t>
      </w:r>
      <w:r w:rsidRPr="00990245">
        <w:rPr>
          <w:rFonts w:cs="Times New Roman"/>
          <w:lang w:val="fr-CA"/>
        </w:rPr>
        <w:t xml:space="preserve">62, 63 et 63.1 de la </w:t>
      </w:r>
      <w:r w:rsidRPr="00825622">
        <w:rPr>
          <w:rFonts w:cs="Times New Roman"/>
          <w:iCs/>
          <w:lang w:val="fr-CA"/>
        </w:rPr>
        <w:t>Loi</w:t>
      </w:r>
      <w:r w:rsidRPr="00990245">
        <w:rPr>
          <w:rFonts w:cs="Times New Roman"/>
          <w:lang w:val="fr-CA"/>
        </w:rPr>
        <w:t xml:space="preserve"> ne peuvent se justifier.</w:t>
      </w:r>
    </w:p>
    <w:p w:rsidR="00CA3D49" w:rsidRPr="00990245" w:rsidRDefault="00CA3D49" w:rsidP="00FC477C">
      <w:pPr>
        <w:pStyle w:val="Title3LevelTitre3Niveau"/>
        <w:tabs>
          <w:tab w:val="clear" w:pos="864"/>
        </w:tabs>
        <w:ind w:left="900" w:hanging="450"/>
        <w:rPr>
          <w:rFonts w:cs="Times New Roman"/>
          <w:lang w:val="fr-CA"/>
        </w:rPr>
      </w:pPr>
      <w:r w:rsidRPr="00990245">
        <w:rPr>
          <w:rFonts w:cs="Times New Roman"/>
          <w:lang w:val="fr-CA"/>
        </w:rPr>
        <w:t>Réparation</w:t>
      </w:r>
    </w:p>
    <w:p w:rsidR="00CA3D49" w:rsidRPr="00990245" w:rsidRDefault="00CA3D49" w:rsidP="00CA3D49">
      <w:pPr>
        <w:pStyle w:val="ParaNoNdepar-AltN"/>
        <w:rPr>
          <w:rFonts w:cs="Times New Roman"/>
          <w:lang w:val="fr-CA"/>
        </w:rPr>
      </w:pPr>
      <w:r w:rsidRPr="00990245">
        <w:rPr>
          <w:rFonts w:cs="Times New Roman"/>
          <w:lang w:val="fr-CA"/>
        </w:rPr>
        <w:lastRenderedPageBreak/>
        <w:t xml:space="preserve">En ce qui concerne </w:t>
      </w:r>
      <w:proofErr w:type="gramStart"/>
      <w:r w:rsidRPr="00990245">
        <w:rPr>
          <w:rFonts w:cs="Times New Roman"/>
          <w:lang w:val="fr-CA"/>
        </w:rPr>
        <w:t>les art</w:t>
      </w:r>
      <w:proofErr w:type="gramEnd"/>
      <w:r w:rsidRPr="00990245">
        <w:rPr>
          <w:rFonts w:cs="Times New Roman"/>
          <w:lang w:val="fr-CA"/>
        </w:rPr>
        <w:t>.</w:t>
      </w:r>
      <w:r w:rsidR="00601B6E">
        <w:rPr>
          <w:rFonts w:cs="Times New Roman"/>
          <w:lang w:val="fr-CA"/>
        </w:rPr>
        <w:t xml:space="preserve"> </w:t>
      </w:r>
      <w:r w:rsidRPr="00990245">
        <w:rPr>
          <w:rFonts w:cs="Times New Roman"/>
          <w:lang w:val="fr-CA"/>
        </w:rPr>
        <w:t>62, 63 et 63.1, je suis d</w:t>
      </w:r>
      <w:r>
        <w:rPr>
          <w:rFonts w:cs="Times New Roman"/>
          <w:lang w:val="fr-CA"/>
        </w:rPr>
        <w:t>’</w:t>
      </w:r>
      <w:r w:rsidRPr="00990245">
        <w:rPr>
          <w:rFonts w:cs="Times New Roman"/>
          <w:lang w:val="fr-CA"/>
        </w:rPr>
        <w:t>avis de suivre l</w:t>
      </w:r>
      <w:r>
        <w:rPr>
          <w:rFonts w:cs="Times New Roman"/>
          <w:lang w:val="fr-CA"/>
        </w:rPr>
        <w:t>’</w:t>
      </w:r>
      <w:r w:rsidRPr="00990245">
        <w:rPr>
          <w:rFonts w:cs="Times New Roman"/>
          <w:lang w:val="fr-CA"/>
        </w:rPr>
        <w:t>exemple de la juge de première instance et de donner une interprétation atténuée de ces dispositions pour exclure les conseillers juridiques et les cabinets d</w:t>
      </w:r>
      <w:r>
        <w:rPr>
          <w:rFonts w:cs="Times New Roman"/>
          <w:lang w:val="fr-CA"/>
        </w:rPr>
        <w:t>’</w:t>
      </w:r>
      <w:r w:rsidRPr="00990245">
        <w:rPr>
          <w:rFonts w:cs="Times New Roman"/>
          <w:lang w:val="fr-CA"/>
        </w:rPr>
        <w:t>avocats de leur champ d</w:t>
      </w:r>
      <w:r>
        <w:rPr>
          <w:rFonts w:cs="Times New Roman"/>
          <w:lang w:val="fr-CA"/>
        </w:rPr>
        <w:t>’</w:t>
      </w:r>
      <w:r w:rsidRPr="00990245">
        <w:rPr>
          <w:rFonts w:cs="Times New Roman"/>
          <w:lang w:val="fr-CA"/>
        </w:rPr>
        <w:t>application.</w:t>
      </w:r>
    </w:p>
    <w:p w:rsidR="00CA3D49" w:rsidRPr="00990245" w:rsidRDefault="00CA3D49" w:rsidP="00CA3D49">
      <w:pPr>
        <w:pStyle w:val="ParaNoNdepar-AltN"/>
        <w:rPr>
          <w:rFonts w:cs="Times New Roman"/>
          <w:lang w:val="fr-CA"/>
        </w:rPr>
      </w:pPr>
      <w:r w:rsidRPr="00990245">
        <w:rPr>
          <w:rFonts w:cs="Times New Roman"/>
          <w:lang w:val="fr-CA"/>
        </w:rPr>
        <w:t>La méthode qu</w:t>
      </w:r>
      <w:r>
        <w:rPr>
          <w:rFonts w:cs="Times New Roman"/>
          <w:lang w:val="fr-CA"/>
        </w:rPr>
        <w:t>’</w:t>
      </w:r>
      <w:r w:rsidRPr="00990245">
        <w:rPr>
          <w:rFonts w:cs="Times New Roman"/>
          <w:lang w:val="fr-CA"/>
        </w:rPr>
        <w:t>il convient d</w:t>
      </w:r>
      <w:r>
        <w:rPr>
          <w:rFonts w:cs="Times New Roman"/>
          <w:lang w:val="fr-CA"/>
        </w:rPr>
        <w:t>’</w:t>
      </w:r>
      <w:r w:rsidRPr="00990245">
        <w:rPr>
          <w:rFonts w:cs="Times New Roman"/>
          <w:lang w:val="fr-CA"/>
        </w:rPr>
        <w:t>utiliser dans le cas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64 </w:t>
      </w:r>
      <w:proofErr w:type="gramStart"/>
      <w:r w:rsidRPr="00990245">
        <w:rPr>
          <w:rFonts w:cs="Times New Roman"/>
          <w:lang w:val="fr-CA"/>
        </w:rPr>
        <w:t>fait</w:t>
      </w:r>
      <w:proofErr w:type="gramEnd"/>
      <w:r w:rsidRPr="00990245">
        <w:rPr>
          <w:rFonts w:cs="Times New Roman"/>
          <w:lang w:val="fr-CA"/>
        </w:rPr>
        <w:t xml:space="preserve"> moins l</w:t>
      </w:r>
      <w:r>
        <w:rPr>
          <w:rFonts w:cs="Times New Roman"/>
          <w:lang w:val="fr-CA"/>
        </w:rPr>
        <w:t>’</w:t>
      </w:r>
      <w:r w:rsidRPr="00990245">
        <w:rPr>
          <w:rFonts w:cs="Times New Roman"/>
          <w:lang w:val="fr-CA"/>
        </w:rPr>
        <w:t>unanimité. D</w:t>
      </w:r>
      <w:r>
        <w:rPr>
          <w:rFonts w:cs="Times New Roman"/>
          <w:lang w:val="fr-CA"/>
        </w:rPr>
        <w:t>’</w:t>
      </w:r>
      <w:r w:rsidRPr="00990245">
        <w:rPr>
          <w:rFonts w:cs="Times New Roman"/>
          <w:lang w:val="fr-CA"/>
        </w:rPr>
        <w:t>après le procureur général, la réparation appropriée consiste à ajouter par interprétation à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64 des exigences qui rendraient ces dispositions constitutionnelles. Je ne puis toutefois souscrire à cette approche. </w:t>
      </w:r>
    </w:p>
    <w:p w:rsidR="00CA3D49" w:rsidRPr="00990245" w:rsidRDefault="00CA3D49" w:rsidP="00CA3D49">
      <w:pPr>
        <w:pStyle w:val="ParaNoNdepar-AltN"/>
        <w:rPr>
          <w:rFonts w:cs="Times New Roman"/>
          <w:lang w:val="fr-CA"/>
        </w:rPr>
      </w:pPr>
      <w:r w:rsidRPr="00990245">
        <w:rPr>
          <w:rFonts w:cs="Times New Roman"/>
          <w:lang w:val="fr-CA"/>
        </w:rPr>
        <w:t>L</w:t>
      </w:r>
      <w:r>
        <w:rPr>
          <w:rFonts w:cs="Times New Roman"/>
          <w:lang w:val="fr-CA"/>
        </w:rPr>
        <w:t>’</w:t>
      </w:r>
      <w:r w:rsidRPr="00990245">
        <w:rPr>
          <w:rFonts w:cs="Times New Roman"/>
          <w:lang w:val="fr-CA"/>
        </w:rPr>
        <w:t>argument du procureur général repose sur la prémisse que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64 (dans sa forme actuelle) ne peut violer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8 que de [</w:t>
      </w:r>
      <w:r w:rsidRPr="00990245">
        <w:rPr>
          <w:rFonts w:cs="Times New Roman"/>
          <w:smallCaps/>
          <w:lang w:val="fr-CA"/>
        </w:rPr>
        <w:t>traduction</w:t>
      </w:r>
      <w:r w:rsidRPr="00990245">
        <w:rPr>
          <w:rFonts w:cs="Times New Roman"/>
          <w:lang w:val="fr-CA"/>
        </w:rPr>
        <w:t xml:space="preserve">] </w:t>
      </w:r>
      <w:r w:rsidR="00601B6E">
        <w:rPr>
          <w:rFonts w:cs="Times New Roman"/>
          <w:lang w:val="fr-CA"/>
        </w:rPr>
        <w:t>« </w:t>
      </w:r>
      <w:r w:rsidRPr="00990245">
        <w:rPr>
          <w:rFonts w:cs="Times New Roman"/>
          <w:lang w:val="fr-CA"/>
        </w:rPr>
        <w:t>façon très limitée</w:t>
      </w:r>
      <w:r w:rsidR="00601B6E">
        <w:rPr>
          <w:rFonts w:cs="Times New Roman"/>
          <w:lang w:val="fr-CA"/>
        </w:rPr>
        <w:t> »</w:t>
      </w:r>
      <w:r w:rsidRPr="00990245">
        <w:rPr>
          <w:rFonts w:cs="Times New Roman"/>
          <w:lang w:val="fr-CA"/>
        </w:rPr>
        <w:t xml:space="preserve"> </w:t>
      </w:r>
      <w:r w:rsidR="00825622">
        <w:rPr>
          <w:rFonts w:cs="Times New Roman"/>
          <w:lang w:val="fr-CA"/>
        </w:rPr>
        <w:t>(</w:t>
      </w:r>
      <w:proofErr w:type="gramStart"/>
      <w:r w:rsidRPr="00990245">
        <w:rPr>
          <w:rFonts w:cs="Times New Roman"/>
          <w:lang w:val="fr-CA"/>
        </w:rPr>
        <w:t>m.a.,</w:t>
      </w:r>
      <w:proofErr w:type="gramEnd"/>
      <w:r w:rsidRPr="00990245">
        <w:rPr>
          <w:rFonts w:cs="Times New Roman"/>
          <w:lang w:val="fr-CA"/>
        </w:rPr>
        <w:t xml:space="preserve"> par.</w:t>
      </w:r>
      <w:r w:rsidR="00601B6E">
        <w:rPr>
          <w:rFonts w:cs="Times New Roman"/>
          <w:lang w:val="fr-CA"/>
        </w:rPr>
        <w:t xml:space="preserve"> </w:t>
      </w:r>
      <w:r w:rsidRPr="00990245">
        <w:rPr>
          <w:rFonts w:cs="Times New Roman"/>
          <w:lang w:val="fr-CA"/>
        </w:rPr>
        <w:t>116</w:t>
      </w:r>
      <w:r w:rsidR="00825622">
        <w:rPr>
          <w:rFonts w:cs="Times New Roman"/>
          <w:lang w:val="fr-CA"/>
        </w:rPr>
        <w:t>)</w:t>
      </w:r>
      <w:r w:rsidRPr="00990245">
        <w:rPr>
          <w:rFonts w:cs="Times New Roman"/>
          <w:lang w:val="fr-CA"/>
        </w:rPr>
        <w:t>. Avec égards, j</w:t>
      </w:r>
      <w:r>
        <w:rPr>
          <w:rFonts w:cs="Times New Roman"/>
          <w:lang w:val="fr-CA"/>
        </w:rPr>
        <w:t>’</w:t>
      </w:r>
      <w:r w:rsidRPr="00990245">
        <w:rPr>
          <w:rFonts w:cs="Times New Roman"/>
          <w:lang w:val="fr-CA"/>
        </w:rPr>
        <w:t>estime que ce n</w:t>
      </w:r>
      <w:r>
        <w:rPr>
          <w:rFonts w:cs="Times New Roman"/>
          <w:lang w:val="fr-CA"/>
        </w:rPr>
        <w:t>’</w:t>
      </w:r>
      <w:r w:rsidRPr="00990245">
        <w:rPr>
          <w:rFonts w:cs="Times New Roman"/>
          <w:lang w:val="fr-CA"/>
        </w:rPr>
        <w:t>est pas le cas, et ce, pour les raisons que j</w:t>
      </w:r>
      <w:r>
        <w:rPr>
          <w:rFonts w:cs="Times New Roman"/>
          <w:lang w:val="fr-CA"/>
        </w:rPr>
        <w:t>’</w:t>
      </w:r>
      <w:r w:rsidRPr="00990245">
        <w:rPr>
          <w:rFonts w:cs="Times New Roman"/>
          <w:lang w:val="fr-CA"/>
        </w:rPr>
        <w:t>ai déjà longuement exposées. Qui plus est, l</w:t>
      </w:r>
      <w:r w:rsidRPr="00990245">
        <w:rPr>
          <w:rFonts w:cs="Times New Roman"/>
          <w:lang w:val="fr-CA" w:eastAsia="en-CA"/>
        </w:rPr>
        <w:t xml:space="preserve">e recours à une </w:t>
      </w:r>
      <w:r w:rsidR="00601B6E">
        <w:rPr>
          <w:rFonts w:cs="Times New Roman"/>
          <w:lang w:val="fr-CA" w:eastAsia="en-CA"/>
        </w:rPr>
        <w:t>« </w:t>
      </w:r>
      <w:r w:rsidRPr="00990245">
        <w:rPr>
          <w:rFonts w:cs="Times New Roman"/>
          <w:lang w:val="fr-CA" w:eastAsia="en-CA"/>
        </w:rPr>
        <w:t>interprétation large</w:t>
      </w:r>
      <w:r w:rsidR="00601B6E">
        <w:rPr>
          <w:rFonts w:cs="Times New Roman"/>
          <w:lang w:val="fr-CA" w:eastAsia="en-CA"/>
        </w:rPr>
        <w:t> »</w:t>
      </w:r>
      <w:r w:rsidRPr="00990245">
        <w:rPr>
          <w:rFonts w:cs="Times New Roman"/>
          <w:lang w:val="fr-CA" w:eastAsia="en-CA"/>
        </w:rPr>
        <w:t xml:space="preserve"> en tant que réparation constitutionnelle ne convient généralement pas lorsque plusieurs solutions permettent de rendre la disposition </w:t>
      </w:r>
      <w:r w:rsidRPr="00990245">
        <w:rPr>
          <w:rFonts w:cs="Times New Roman"/>
          <w:lang w:val="fr-CA"/>
        </w:rPr>
        <w:t xml:space="preserve">constitutionnelle (voir </w:t>
      </w:r>
      <w:proofErr w:type="spellStart"/>
      <w:r w:rsidRPr="00990245">
        <w:rPr>
          <w:rFonts w:cs="Times New Roman"/>
          <w:i/>
          <w:iCs/>
          <w:lang w:val="fr-CA"/>
        </w:rPr>
        <w:t>Schachter</w:t>
      </w:r>
      <w:proofErr w:type="spellEnd"/>
      <w:r w:rsidRPr="00990245">
        <w:rPr>
          <w:rFonts w:cs="Times New Roman"/>
          <w:i/>
          <w:iCs/>
          <w:lang w:val="fr-CA"/>
        </w:rPr>
        <w:t xml:space="preserve"> c. Canada</w:t>
      </w:r>
      <w:r w:rsidRPr="00990245">
        <w:rPr>
          <w:rFonts w:cs="Times New Roman"/>
          <w:lang w:val="fr-CA"/>
        </w:rPr>
        <w:t>, [1992] 2 R.C.S. 679, p.</w:t>
      </w:r>
      <w:r w:rsidR="00601B6E">
        <w:rPr>
          <w:rFonts w:cs="Times New Roman"/>
          <w:lang w:val="fr-CA"/>
        </w:rPr>
        <w:t xml:space="preserve"> </w:t>
      </w:r>
      <w:r w:rsidRPr="00990245">
        <w:rPr>
          <w:rFonts w:cs="Times New Roman"/>
          <w:lang w:val="fr-CA"/>
        </w:rPr>
        <w:t>705</w:t>
      </w:r>
      <w:r w:rsidR="00601B6E">
        <w:rPr>
          <w:rFonts w:cs="Times New Roman"/>
          <w:lang w:val="fr-CA"/>
        </w:rPr>
        <w:t>-</w:t>
      </w:r>
      <w:r w:rsidRPr="00990245">
        <w:rPr>
          <w:rFonts w:cs="Times New Roman"/>
          <w:lang w:val="fr-CA"/>
        </w:rPr>
        <w:t>707). En l</w:t>
      </w:r>
      <w:r>
        <w:rPr>
          <w:rFonts w:cs="Times New Roman"/>
          <w:lang w:val="fr-CA"/>
        </w:rPr>
        <w:t>’</w:t>
      </w:r>
      <w:r w:rsidRPr="00990245">
        <w:rPr>
          <w:rFonts w:cs="Times New Roman"/>
          <w:lang w:val="fr-CA"/>
        </w:rPr>
        <w:t xml:space="preserve">espèce, un large éventail de solutions </w:t>
      </w:r>
      <w:proofErr w:type="gramStart"/>
      <w:r w:rsidRPr="00990245">
        <w:rPr>
          <w:rFonts w:cs="Times New Roman"/>
          <w:lang w:val="fr-CA"/>
        </w:rPr>
        <w:t>s</w:t>
      </w:r>
      <w:r>
        <w:rPr>
          <w:rFonts w:cs="Times New Roman"/>
          <w:lang w:val="fr-CA"/>
        </w:rPr>
        <w:t>’</w:t>
      </w:r>
      <w:r w:rsidRPr="00990245">
        <w:rPr>
          <w:rFonts w:cs="Times New Roman"/>
          <w:lang w:val="fr-CA"/>
        </w:rPr>
        <w:t>offrent</w:t>
      </w:r>
      <w:proofErr w:type="gramEnd"/>
      <w:r w:rsidRPr="00990245">
        <w:rPr>
          <w:rFonts w:cs="Times New Roman"/>
          <w:lang w:val="fr-CA"/>
        </w:rPr>
        <w:t xml:space="preserve"> au législateur. Comme l</w:t>
      </w:r>
      <w:r>
        <w:rPr>
          <w:rFonts w:cs="Times New Roman"/>
          <w:lang w:val="fr-CA"/>
        </w:rPr>
        <w:t>’</w:t>
      </w:r>
      <w:r w:rsidRPr="00990245">
        <w:rPr>
          <w:rFonts w:cs="Times New Roman"/>
          <w:lang w:val="fr-CA"/>
        </w:rPr>
        <w:t xml:space="preserve">a dit la juge </w:t>
      </w:r>
      <w:proofErr w:type="spellStart"/>
      <w:r w:rsidRPr="00990245">
        <w:rPr>
          <w:rFonts w:cs="Times New Roman"/>
          <w:lang w:val="fr-CA"/>
        </w:rPr>
        <w:t>Arbour</w:t>
      </w:r>
      <w:proofErr w:type="spellEnd"/>
      <w:r w:rsidRPr="00990245">
        <w:rPr>
          <w:rFonts w:cs="Times New Roman"/>
          <w:lang w:val="fr-CA"/>
        </w:rPr>
        <w:t xml:space="preserve"> dans </w:t>
      </w:r>
      <w:proofErr w:type="spellStart"/>
      <w:r w:rsidRPr="00990245">
        <w:rPr>
          <w:rFonts w:cs="Times New Roman"/>
          <w:i/>
          <w:iCs/>
          <w:lang w:val="fr-CA"/>
        </w:rPr>
        <w:t>Lavallee</w:t>
      </w:r>
      <w:proofErr w:type="spellEnd"/>
      <w:r w:rsidRPr="00990245">
        <w:rPr>
          <w:rFonts w:cs="Times New Roman"/>
          <w:lang w:val="fr-CA"/>
        </w:rPr>
        <w:t>,</w:t>
      </w:r>
      <w:r w:rsidRPr="00990245">
        <w:rPr>
          <w:rFonts w:cs="Times New Roman"/>
          <w:i/>
          <w:iCs/>
          <w:lang w:val="fr-CA"/>
        </w:rPr>
        <w:t xml:space="preserve"> </w:t>
      </w:r>
      <w:r w:rsidRPr="00990245">
        <w:rPr>
          <w:rFonts w:cs="Times New Roman"/>
          <w:lang w:val="fr-CA"/>
        </w:rPr>
        <w:t>par.</w:t>
      </w:r>
      <w:r w:rsidR="00601B6E">
        <w:rPr>
          <w:rFonts w:cs="Times New Roman"/>
          <w:lang w:val="fr-CA"/>
        </w:rPr>
        <w:t xml:space="preserve"> </w:t>
      </w:r>
      <w:r w:rsidRPr="00990245">
        <w:rPr>
          <w:rFonts w:cs="Times New Roman"/>
          <w:lang w:val="fr-CA"/>
        </w:rPr>
        <w:t>48</w:t>
      </w:r>
      <w:r w:rsidR="00601B6E">
        <w:rPr>
          <w:rFonts w:cs="Times New Roman"/>
          <w:lang w:val="fr-CA"/>
        </w:rPr>
        <w:t> :</w:t>
      </w:r>
    </w:p>
    <w:p w:rsidR="00CA3D49" w:rsidRPr="00990245" w:rsidRDefault="00CA3D49" w:rsidP="00CA3D49">
      <w:pPr>
        <w:pStyle w:val="Citation-AltC"/>
        <w:ind w:hanging="1166"/>
        <w:contextualSpacing w:val="0"/>
        <w:rPr>
          <w:lang w:val="fr-CA"/>
        </w:rPr>
      </w:pPr>
      <w:r w:rsidRPr="00990245">
        <w:rPr>
          <w:lang w:val="fr-CA"/>
        </w:rPr>
        <w:tab/>
        <w:t xml:space="preserve">Une reformulation judiciaire de la disposition ne peut pas aisément combler </w:t>
      </w:r>
      <w:r w:rsidRPr="00990245">
        <w:rPr>
          <w:rStyle w:val="highlight"/>
          <w:lang w:val="fr-CA"/>
        </w:rPr>
        <w:t>le besoin d</w:t>
      </w:r>
      <w:r>
        <w:rPr>
          <w:rStyle w:val="highlight"/>
          <w:lang w:val="fr-CA"/>
        </w:rPr>
        <w:t>’</w:t>
      </w:r>
      <w:r w:rsidRPr="00990245">
        <w:rPr>
          <w:rStyle w:val="highlight"/>
          <w:lang w:val="fr-CA"/>
        </w:rPr>
        <w:t>assurer que les détenteurs du privilège aient une occasion réelle de veiller à la protection de la confidentialité</w:t>
      </w:r>
      <w:r w:rsidRPr="00990245">
        <w:rPr>
          <w:lang w:val="fr-CA"/>
        </w:rPr>
        <w:t xml:space="preserve"> de leurs communications avec leurs avocats au moment où ils ont le plus besoin de la protection de la loi. Cette reformulation ne peut pas non plus aisément combler le besoin d</w:t>
      </w:r>
      <w:r>
        <w:rPr>
          <w:lang w:val="fr-CA"/>
        </w:rPr>
        <w:t>’</w:t>
      </w:r>
      <w:r w:rsidRPr="00990245">
        <w:rPr>
          <w:lang w:val="fr-CA"/>
        </w:rPr>
        <w:t>assurer que les tribunaux jouissent de la souplesse et du pouvoir discrétionnaire nécessaires pour garantir qu</w:t>
      </w:r>
      <w:r>
        <w:rPr>
          <w:lang w:val="fr-CA"/>
        </w:rPr>
        <w:t>’</w:t>
      </w:r>
      <w:r w:rsidRPr="00990245">
        <w:rPr>
          <w:lang w:val="fr-CA"/>
        </w:rPr>
        <w:t xml:space="preserve">ils demeurent les protecteurs des droits constitutionnels et les gardiens de la </w:t>
      </w:r>
      <w:r w:rsidRPr="00990245">
        <w:rPr>
          <w:lang w:val="fr-CA"/>
        </w:rPr>
        <w:lastRenderedPageBreak/>
        <w:t>loi. D</w:t>
      </w:r>
      <w:r>
        <w:rPr>
          <w:lang w:val="fr-CA"/>
        </w:rPr>
        <w:t>’</w:t>
      </w:r>
      <w:r w:rsidRPr="00990245">
        <w:rPr>
          <w:lang w:val="fr-CA"/>
        </w:rPr>
        <w:t>après moi, la saisie de documents en la possession d</w:t>
      </w:r>
      <w:r>
        <w:rPr>
          <w:lang w:val="fr-CA"/>
        </w:rPr>
        <w:t>’</w:t>
      </w:r>
      <w:r w:rsidRPr="00990245">
        <w:rPr>
          <w:lang w:val="fr-CA"/>
        </w:rPr>
        <w:t>un avocat est effectivement une question délicate comportant des choix de procédure qu</w:t>
      </w:r>
      <w:r>
        <w:rPr>
          <w:lang w:val="fr-CA"/>
        </w:rPr>
        <w:t>’</w:t>
      </w:r>
      <w:r w:rsidRPr="00990245">
        <w:rPr>
          <w:lang w:val="fr-CA"/>
        </w:rPr>
        <w:t>il incombe davantage au législateur de faire.</w:t>
      </w:r>
    </w:p>
    <w:p w:rsidR="00CA3D49" w:rsidRPr="00990245" w:rsidRDefault="00CA3D49" w:rsidP="00CA3D49">
      <w:pPr>
        <w:pStyle w:val="ParaNoNdepar-AltN"/>
        <w:rPr>
          <w:rFonts w:cs="Times New Roman"/>
          <w:lang w:val="fr-CA"/>
        </w:rPr>
      </w:pPr>
      <w:r w:rsidRPr="00990245">
        <w:rPr>
          <w:rFonts w:cs="Times New Roman"/>
          <w:lang w:val="fr-CA"/>
        </w:rPr>
        <w:t>Si l</w:t>
      </w:r>
      <w:r>
        <w:rPr>
          <w:rFonts w:cs="Times New Roman"/>
          <w:lang w:val="fr-CA"/>
        </w:rPr>
        <w:t>’</w:t>
      </w:r>
      <w:r w:rsidRPr="00990245">
        <w:rPr>
          <w:rFonts w:cs="Times New Roman"/>
          <w:lang w:val="fr-CA"/>
        </w:rPr>
        <w:t>on applique ce raisonnement au cas qui nous occupe, force est de constater que le recours à une interprétation large ne convient pas pour remédier aux lacunes constitutionnelles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64.</w:t>
      </w:r>
    </w:p>
    <w:p w:rsidR="00CA3D49" w:rsidRPr="00990245" w:rsidRDefault="00CA3D49" w:rsidP="00FC477C">
      <w:pPr>
        <w:pStyle w:val="Title3LevelTitre3Niveau"/>
        <w:tabs>
          <w:tab w:val="clear" w:pos="864"/>
        </w:tabs>
        <w:ind w:left="900" w:hanging="450"/>
        <w:rPr>
          <w:rFonts w:cs="Times New Roman"/>
          <w:lang w:val="fr-CA"/>
        </w:rPr>
      </w:pPr>
      <w:r w:rsidRPr="00990245">
        <w:rPr>
          <w:rFonts w:cs="Times New Roman"/>
          <w:lang w:val="fr-CA"/>
        </w:rPr>
        <w:t>Conclusion</w:t>
      </w:r>
    </w:p>
    <w:p w:rsidR="00CA3D49" w:rsidRPr="00990245" w:rsidRDefault="00CA3D49" w:rsidP="00CA3D49">
      <w:pPr>
        <w:pStyle w:val="ParaNoNdepar-AltN"/>
        <w:rPr>
          <w:rFonts w:cs="Times New Roman"/>
          <w:lang w:val="fr-CA"/>
        </w:rPr>
      </w:pPr>
      <w:r w:rsidRPr="00990245">
        <w:rPr>
          <w:rFonts w:cs="Times New Roman"/>
          <w:lang w:val="fr-CA"/>
        </w:rPr>
        <w:t>Je suis d</w:t>
      </w:r>
      <w:r>
        <w:rPr>
          <w:rFonts w:cs="Times New Roman"/>
          <w:lang w:val="fr-CA"/>
        </w:rPr>
        <w:t>’</w:t>
      </w:r>
      <w:r w:rsidRPr="00990245">
        <w:rPr>
          <w:rFonts w:cs="Times New Roman"/>
          <w:lang w:val="fr-CA"/>
        </w:rPr>
        <w:t>avis de déclarer inopérant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64 et de donner </w:t>
      </w:r>
      <w:proofErr w:type="gramStart"/>
      <w:r w:rsidRPr="00990245">
        <w:rPr>
          <w:rFonts w:cs="Times New Roman"/>
          <w:lang w:val="fr-CA"/>
        </w:rPr>
        <w:t>aux art</w:t>
      </w:r>
      <w:proofErr w:type="gramEnd"/>
      <w:r w:rsidRPr="00990245">
        <w:rPr>
          <w:rFonts w:cs="Times New Roman"/>
          <w:lang w:val="fr-CA"/>
        </w:rPr>
        <w:t>.</w:t>
      </w:r>
      <w:r w:rsidR="00601B6E">
        <w:rPr>
          <w:rFonts w:cs="Times New Roman"/>
          <w:lang w:val="fr-CA"/>
        </w:rPr>
        <w:t xml:space="preserve"> </w:t>
      </w:r>
      <w:r w:rsidRPr="00990245">
        <w:rPr>
          <w:rFonts w:cs="Times New Roman"/>
          <w:lang w:val="fr-CA"/>
        </w:rPr>
        <w:t xml:space="preserve">62, 63 et 63.1 </w:t>
      </w:r>
      <w:r w:rsidRPr="00990245">
        <w:rPr>
          <w:rStyle w:val="highlight"/>
          <w:rFonts w:cs="Times New Roman"/>
          <w:lang w:val="fr-CA"/>
        </w:rPr>
        <w:t xml:space="preserve">une interprétation atténuée </w:t>
      </w:r>
      <w:r>
        <w:rPr>
          <w:rStyle w:val="highlight"/>
          <w:rFonts w:cs="Times New Roman"/>
          <w:lang w:val="fr-CA"/>
        </w:rPr>
        <w:t xml:space="preserve">pour qu’ils ne s’appliquent pas aux </w:t>
      </w:r>
      <w:r w:rsidRPr="00990245">
        <w:rPr>
          <w:rFonts w:cs="Times New Roman"/>
          <w:lang w:val="fr-CA"/>
        </w:rPr>
        <w:t>documents en la possession d</w:t>
      </w:r>
      <w:r>
        <w:rPr>
          <w:rFonts w:cs="Times New Roman"/>
          <w:lang w:val="fr-CA"/>
        </w:rPr>
        <w:t>’</w:t>
      </w:r>
      <w:r w:rsidRPr="00990245">
        <w:rPr>
          <w:rFonts w:cs="Times New Roman"/>
          <w:lang w:val="fr-CA"/>
        </w:rPr>
        <w:t>un conseiller juridique ou se trouvant dans un cabinet d</w:t>
      </w:r>
      <w:r>
        <w:rPr>
          <w:rFonts w:cs="Times New Roman"/>
          <w:lang w:val="fr-CA"/>
        </w:rPr>
        <w:t>’</w:t>
      </w:r>
      <w:r w:rsidRPr="00990245">
        <w:rPr>
          <w:rFonts w:cs="Times New Roman"/>
          <w:lang w:val="fr-CA"/>
        </w:rPr>
        <w:t xml:space="preserve">avocats. </w:t>
      </w:r>
    </w:p>
    <w:p w:rsidR="00CA3D49" w:rsidRPr="00990245" w:rsidRDefault="00CA3D49" w:rsidP="00CA3D49">
      <w:pPr>
        <w:pStyle w:val="ParaNoNdepar-AltN"/>
        <w:rPr>
          <w:rFonts w:cs="Times New Roman"/>
          <w:lang w:val="fr-CA"/>
        </w:rPr>
      </w:pPr>
      <w:r w:rsidRPr="00990245">
        <w:rPr>
          <w:rFonts w:cs="Times New Roman"/>
          <w:lang w:val="fr-CA"/>
        </w:rPr>
        <w:t>J</w:t>
      </w:r>
      <w:r>
        <w:rPr>
          <w:rFonts w:cs="Times New Roman"/>
          <w:lang w:val="fr-CA"/>
        </w:rPr>
        <w:t>’</w:t>
      </w:r>
      <w:r w:rsidRPr="00990245">
        <w:rPr>
          <w:rFonts w:cs="Times New Roman"/>
          <w:lang w:val="fr-CA"/>
        </w:rPr>
        <w:t>ajouterais ceci. Les questions qui se poseraient en cas de contestation de régimes réglementaires professionnels ne nous ont pas été soumises en l</w:t>
      </w:r>
      <w:r>
        <w:rPr>
          <w:rFonts w:cs="Times New Roman"/>
          <w:lang w:val="fr-CA"/>
        </w:rPr>
        <w:t>’</w:t>
      </w:r>
      <w:r w:rsidRPr="00990245">
        <w:rPr>
          <w:rFonts w:cs="Times New Roman"/>
          <w:lang w:val="fr-CA"/>
        </w:rPr>
        <w:t>espèce. D</w:t>
      </w:r>
      <w:r>
        <w:rPr>
          <w:rFonts w:cs="Times New Roman"/>
          <w:lang w:val="fr-CA"/>
        </w:rPr>
        <w:t>’</w:t>
      </w:r>
      <w:r w:rsidRPr="00990245">
        <w:rPr>
          <w:rFonts w:cs="Times New Roman"/>
          <w:lang w:val="fr-CA"/>
        </w:rPr>
        <w:t>autres considérations entreraient en jeu dans le cas des vérifications réglementaires effectuées à l</w:t>
      </w:r>
      <w:r>
        <w:rPr>
          <w:rFonts w:cs="Times New Roman"/>
          <w:lang w:val="fr-CA"/>
        </w:rPr>
        <w:t>’</w:t>
      </w:r>
      <w:r w:rsidRPr="00990245">
        <w:rPr>
          <w:rFonts w:cs="Times New Roman"/>
          <w:lang w:val="fr-CA"/>
        </w:rPr>
        <w:t xml:space="preserve">endroit des avocats au nom des ordres professionnels qui encadrent la profession. Les régimes réglementaires dans le cadre desquels les ordres professionnels exercent leurs activités au Canada visent un objectif différent de celui de la </w:t>
      </w:r>
      <w:r w:rsidRPr="00825622">
        <w:rPr>
          <w:rFonts w:cs="Times New Roman"/>
          <w:iCs/>
          <w:lang w:val="fr-CA"/>
        </w:rPr>
        <w:t>Loi</w:t>
      </w:r>
      <w:r w:rsidRPr="00990245">
        <w:rPr>
          <w:rFonts w:cs="Times New Roman"/>
          <w:i/>
          <w:iCs/>
          <w:lang w:val="fr-CA"/>
        </w:rPr>
        <w:t xml:space="preserve"> </w:t>
      </w:r>
      <w:r w:rsidRPr="00990245">
        <w:rPr>
          <w:rFonts w:cs="Times New Roman"/>
          <w:lang w:val="fr-CA"/>
        </w:rPr>
        <w:t xml:space="preserve">et du </w:t>
      </w:r>
      <w:r w:rsidRPr="00825622">
        <w:rPr>
          <w:rFonts w:cs="Times New Roman"/>
          <w:iCs/>
          <w:lang w:val="fr-CA"/>
        </w:rPr>
        <w:t>Règlement</w:t>
      </w:r>
      <w:r w:rsidRPr="00990245">
        <w:rPr>
          <w:rFonts w:cs="Times New Roman"/>
          <w:lang w:val="fr-CA"/>
        </w:rPr>
        <w:t xml:space="preserve"> et ils prévoient en règle générale des mesures beaucoup plus strictes pour protéger le secret professionnel de l</w:t>
      </w:r>
      <w:r>
        <w:rPr>
          <w:rFonts w:cs="Times New Roman"/>
          <w:lang w:val="fr-CA"/>
        </w:rPr>
        <w:t>’</w:t>
      </w:r>
      <w:r w:rsidRPr="00990245">
        <w:rPr>
          <w:rFonts w:cs="Times New Roman"/>
          <w:lang w:val="fr-CA"/>
        </w:rPr>
        <w:t xml:space="preserve">avocat. </w:t>
      </w:r>
    </w:p>
    <w:p w:rsidR="00CA3D49" w:rsidRPr="00990245" w:rsidRDefault="00CA3D49" w:rsidP="00FC477C">
      <w:pPr>
        <w:pStyle w:val="Title2LevelTitre2Niveau"/>
        <w:tabs>
          <w:tab w:val="clear" w:pos="432"/>
        </w:tabs>
        <w:ind w:left="450" w:hanging="450"/>
        <w:rPr>
          <w:rFonts w:cs="Times New Roman"/>
          <w:lang w:val="fr-CA"/>
        </w:rPr>
      </w:pPr>
      <w:r w:rsidRPr="00990245">
        <w:rPr>
          <w:rFonts w:cs="Times New Roman"/>
          <w:lang w:val="fr-CA"/>
        </w:rPr>
        <w:t>Les dispositions violent</w:t>
      </w:r>
      <w:r w:rsidR="00601B6E">
        <w:rPr>
          <w:rFonts w:cs="Times New Roman"/>
          <w:lang w:val="fr-CA"/>
        </w:rPr>
        <w:t>-</w:t>
      </w:r>
      <w:r w:rsidRPr="00990245">
        <w:rPr>
          <w:rFonts w:cs="Times New Roman"/>
          <w:lang w:val="fr-CA"/>
        </w:rPr>
        <w:t>elles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7 de la Charte?</w:t>
      </w:r>
    </w:p>
    <w:p w:rsidR="00CA3D49" w:rsidRPr="00990245" w:rsidRDefault="00CA3D49" w:rsidP="00CA3D49">
      <w:pPr>
        <w:pStyle w:val="ParaNoNdepar-AltN"/>
        <w:rPr>
          <w:rFonts w:cs="Times New Roman"/>
          <w:lang w:val="fr-CA"/>
        </w:rPr>
      </w:pPr>
      <w:r w:rsidRPr="00990245">
        <w:rPr>
          <w:rFonts w:cs="Times New Roman"/>
          <w:lang w:val="fr-CA"/>
        </w:rPr>
        <w:lastRenderedPageBreak/>
        <w:t>L</w:t>
      </w:r>
      <w:r>
        <w:rPr>
          <w:rFonts w:cs="Times New Roman"/>
          <w:lang w:val="fr-CA"/>
        </w:rPr>
        <w:t>’</w:t>
      </w:r>
      <w:r w:rsidRPr="00990245">
        <w:rPr>
          <w:rFonts w:cs="Times New Roman"/>
          <w:lang w:val="fr-CA"/>
        </w:rPr>
        <w:t>analyse fondée sur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7 de la </w:t>
      </w:r>
      <w:r w:rsidRPr="00990245">
        <w:rPr>
          <w:rFonts w:cs="Times New Roman"/>
          <w:i/>
          <w:iCs/>
          <w:lang w:val="fr-CA"/>
        </w:rPr>
        <w:t xml:space="preserve">Charte </w:t>
      </w:r>
      <w:r w:rsidRPr="00990245">
        <w:rPr>
          <w:rFonts w:cs="Times New Roman"/>
          <w:iCs/>
          <w:lang w:val="fr-CA"/>
        </w:rPr>
        <w:t>se fait en deux étapes.</w:t>
      </w:r>
      <w:r w:rsidRPr="00990245">
        <w:rPr>
          <w:rFonts w:cs="Times New Roman"/>
          <w:lang w:val="fr-CA"/>
        </w:rPr>
        <w:t xml:space="preserve"> Dans un premier temps, on doit déterminer si les dispositions contestées restreignent le droit à la vie, à la liberté ou à la sécurité de la personne. Dans l</w:t>
      </w:r>
      <w:r>
        <w:rPr>
          <w:rFonts w:cs="Times New Roman"/>
          <w:lang w:val="fr-CA"/>
        </w:rPr>
        <w:t>’</w:t>
      </w:r>
      <w:r w:rsidRPr="00990245">
        <w:rPr>
          <w:rFonts w:cs="Times New Roman"/>
          <w:lang w:val="fr-CA"/>
        </w:rPr>
        <w:t>affirmative, on passe alors à la seconde étape de l</w:t>
      </w:r>
      <w:r>
        <w:rPr>
          <w:rFonts w:cs="Times New Roman"/>
          <w:lang w:val="fr-CA"/>
        </w:rPr>
        <w:t>’</w:t>
      </w:r>
      <w:r w:rsidRPr="00990245">
        <w:rPr>
          <w:rFonts w:cs="Times New Roman"/>
          <w:lang w:val="fr-CA"/>
        </w:rPr>
        <w:t>analyse, qui consiste à se demander si cette restriction est conforme aux principes de justice fondamentale (</w:t>
      </w:r>
      <w:r w:rsidRPr="00990245">
        <w:rPr>
          <w:rFonts w:cs="Times New Roman"/>
          <w:i/>
          <w:iCs/>
          <w:lang w:val="fr-CA"/>
        </w:rPr>
        <w:t>Canada (Procureur général) c. Bedford</w:t>
      </w:r>
      <w:r w:rsidRPr="00990245">
        <w:rPr>
          <w:rFonts w:cs="Times New Roman"/>
          <w:lang w:val="fr-CA"/>
        </w:rPr>
        <w:t>, 2013 CSC 72, [2013] 3 R.C.S. 1101, par.</w:t>
      </w:r>
      <w:r w:rsidR="00601B6E">
        <w:rPr>
          <w:rFonts w:cs="Times New Roman"/>
          <w:lang w:val="fr-CA"/>
        </w:rPr>
        <w:t xml:space="preserve"> </w:t>
      </w:r>
      <w:r w:rsidRPr="00990245">
        <w:rPr>
          <w:rFonts w:cs="Times New Roman"/>
          <w:lang w:val="fr-CA"/>
        </w:rPr>
        <w:t xml:space="preserve">57; </w:t>
      </w:r>
      <w:proofErr w:type="spellStart"/>
      <w:r w:rsidRPr="00990245">
        <w:rPr>
          <w:rFonts w:cs="Times New Roman"/>
          <w:i/>
          <w:iCs/>
          <w:lang w:val="fr-CA"/>
        </w:rPr>
        <w:t>Blencoe</w:t>
      </w:r>
      <w:proofErr w:type="spellEnd"/>
      <w:r w:rsidRPr="00990245">
        <w:rPr>
          <w:rFonts w:cs="Times New Roman"/>
          <w:i/>
          <w:iCs/>
          <w:lang w:val="fr-CA"/>
        </w:rPr>
        <w:t xml:space="preserve"> c. Colombie</w:t>
      </w:r>
      <w:r w:rsidR="00601B6E">
        <w:rPr>
          <w:rFonts w:cs="Times New Roman"/>
          <w:i/>
          <w:iCs/>
          <w:lang w:val="fr-CA"/>
        </w:rPr>
        <w:t>-</w:t>
      </w:r>
      <w:r w:rsidRPr="00990245">
        <w:rPr>
          <w:rFonts w:cs="Times New Roman"/>
          <w:i/>
          <w:iCs/>
          <w:lang w:val="fr-CA"/>
        </w:rPr>
        <w:t>Britannique (Human Rights Commission)</w:t>
      </w:r>
      <w:r w:rsidRPr="00825622">
        <w:rPr>
          <w:rFonts w:cs="Times New Roman"/>
          <w:iCs/>
          <w:lang w:val="fr-CA"/>
        </w:rPr>
        <w:t>,</w:t>
      </w:r>
      <w:r w:rsidRPr="00990245">
        <w:rPr>
          <w:rFonts w:cs="Times New Roman"/>
          <w:lang w:val="fr-CA"/>
        </w:rPr>
        <w:t xml:space="preserve"> 2000 </w:t>
      </w:r>
      <w:r w:rsidR="00825622" w:rsidRPr="00990245">
        <w:rPr>
          <w:rFonts w:cs="Times New Roman"/>
          <w:lang w:val="fr-CA"/>
        </w:rPr>
        <w:t>C</w:t>
      </w:r>
      <w:r w:rsidRPr="00990245">
        <w:rPr>
          <w:rFonts w:cs="Times New Roman"/>
          <w:lang w:val="fr-CA"/>
        </w:rPr>
        <w:t>SC 44, [2000] 2 R.C.S. 307, par.</w:t>
      </w:r>
      <w:r w:rsidR="00601B6E">
        <w:rPr>
          <w:rFonts w:cs="Times New Roman"/>
          <w:lang w:val="fr-CA"/>
        </w:rPr>
        <w:t xml:space="preserve"> </w:t>
      </w:r>
      <w:r w:rsidRPr="00990245">
        <w:rPr>
          <w:rFonts w:cs="Times New Roman"/>
          <w:lang w:val="fr-CA"/>
        </w:rPr>
        <w:t xml:space="preserve">47). </w:t>
      </w:r>
    </w:p>
    <w:p w:rsidR="00CA3D49" w:rsidRPr="00990245" w:rsidRDefault="00CA3D49" w:rsidP="00CA3D49">
      <w:pPr>
        <w:pStyle w:val="ParaNoNdepar-AltN"/>
        <w:rPr>
          <w:rFonts w:cs="Times New Roman"/>
          <w:lang w:val="fr-CA"/>
        </w:rPr>
      </w:pPr>
      <w:r w:rsidRPr="00990245">
        <w:rPr>
          <w:rFonts w:cs="Times New Roman"/>
          <w:lang w:val="fr-CA"/>
        </w:rPr>
        <w:t>Le procureur général soutient qu</w:t>
      </w:r>
      <w:r>
        <w:rPr>
          <w:rFonts w:cs="Times New Roman"/>
          <w:lang w:val="fr-CA"/>
        </w:rPr>
        <w:t>’</w:t>
      </w:r>
      <w:r w:rsidRPr="00990245">
        <w:rPr>
          <w:rFonts w:cs="Times New Roman"/>
          <w:lang w:val="fr-CA"/>
        </w:rPr>
        <w:t>il n</w:t>
      </w:r>
      <w:r>
        <w:rPr>
          <w:rFonts w:cs="Times New Roman"/>
          <w:lang w:val="fr-CA"/>
        </w:rPr>
        <w:t>’</w:t>
      </w:r>
      <w:r w:rsidRPr="00990245">
        <w:rPr>
          <w:rFonts w:cs="Times New Roman"/>
          <w:lang w:val="fr-CA"/>
        </w:rPr>
        <w:t>y a aucune violation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7 en l</w:t>
      </w:r>
      <w:r>
        <w:rPr>
          <w:rFonts w:cs="Times New Roman"/>
          <w:lang w:val="fr-CA"/>
        </w:rPr>
        <w:t>’</w:t>
      </w:r>
      <w:r w:rsidRPr="00990245">
        <w:rPr>
          <w:rFonts w:cs="Times New Roman"/>
          <w:lang w:val="fr-CA"/>
        </w:rPr>
        <w:t>espèce. Je ne suis pas de cet avis. Ces dispositions restreignent la liberté des avocats d</w:t>
      </w:r>
      <w:r>
        <w:rPr>
          <w:rFonts w:cs="Times New Roman"/>
          <w:lang w:val="fr-CA"/>
        </w:rPr>
        <w:t>’</w:t>
      </w:r>
      <w:r w:rsidRPr="00990245">
        <w:rPr>
          <w:rFonts w:cs="Times New Roman"/>
          <w:lang w:val="fr-CA"/>
        </w:rPr>
        <w:t>une manière non conforme au principe de justice fondamentale concernant le devoir de l</w:t>
      </w:r>
      <w:r>
        <w:rPr>
          <w:rFonts w:cs="Times New Roman"/>
          <w:lang w:val="fr-CA"/>
        </w:rPr>
        <w:t>’</w:t>
      </w:r>
      <w:r w:rsidRPr="00990245">
        <w:rPr>
          <w:rFonts w:cs="Times New Roman"/>
          <w:lang w:val="fr-CA"/>
        </w:rPr>
        <w:t xml:space="preserve">avocat de se dévouer à la cause du client.  </w:t>
      </w:r>
    </w:p>
    <w:p w:rsidR="00CA3D49" w:rsidRPr="00990245" w:rsidRDefault="00CA3D49" w:rsidP="00FC477C">
      <w:pPr>
        <w:pStyle w:val="Title3LevelTitre3Niveau"/>
        <w:tabs>
          <w:tab w:val="clear" w:pos="864"/>
        </w:tabs>
        <w:ind w:left="900" w:hanging="450"/>
        <w:rPr>
          <w:rFonts w:cs="Times New Roman"/>
          <w:lang w:val="fr-CA"/>
        </w:rPr>
      </w:pPr>
      <w:r w:rsidRPr="00990245">
        <w:rPr>
          <w:rFonts w:cs="Times New Roman"/>
          <w:lang w:val="fr-CA"/>
        </w:rPr>
        <w:t>Les dispositions limitent</w:t>
      </w:r>
      <w:r w:rsidR="00601B6E">
        <w:rPr>
          <w:rFonts w:cs="Times New Roman"/>
          <w:lang w:val="fr-CA"/>
        </w:rPr>
        <w:t>-</w:t>
      </w:r>
      <w:r w:rsidRPr="00990245">
        <w:rPr>
          <w:rFonts w:cs="Times New Roman"/>
          <w:lang w:val="fr-CA"/>
        </w:rPr>
        <w:t>elles le droit à la vie, à la liberté ou à la sécurité de la personne des avocats et</w:t>
      </w:r>
      <w:r w:rsidRPr="00990245">
        <w:rPr>
          <w:rStyle w:val="Strong"/>
          <w:rFonts w:cs="Times New Roman"/>
          <w:sz w:val="19"/>
          <w:szCs w:val="19"/>
          <w:lang w:val="fr-FR"/>
        </w:rPr>
        <w:t>/</w:t>
      </w:r>
      <w:r w:rsidRPr="00990245">
        <w:rPr>
          <w:rFonts w:cs="Times New Roman"/>
          <w:lang w:val="fr-CA"/>
        </w:rPr>
        <w:t>ou des clients?</w:t>
      </w:r>
    </w:p>
    <w:p w:rsidR="00CA3D49" w:rsidRPr="00990245" w:rsidRDefault="00CA3D49" w:rsidP="00CA3D49">
      <w:pPr>
        <w:pStyle w:val="ParaNoNdepar-AltN"/>
        <w:rPr>
          <w:rFonts w:cs="Times New Roman"/>
          <w:lang w:val="fr-CA"/>
        </w:rPr>
      </w:pPr>
      <w:r w:rsidRPr="00990245">
        <w:rPr>
          <w:rFonts w:cs="Times New Roman"/>
          <w:lang w:val="fr-CA"/>
        </w:rPr>
        <w:t>Personne ne conteste que ces dispositions mettent en jeu le droit à la liberté de l</w:t>
      </w:r>
      <w:r>
        <w:rPr>
          <w:rFonts w:cs="Times New Roman"/>
          <w:lang w:val="fr-CA"/>
        </w:rPr>
        <w:t>’</w:t>
      </w:r>
      <w:r w:rsidRPr="00990245">
        <w:rPr>
          <w:rFonts w:cs="Times New Roman"/>
          <w:lang w:val="fr-CA"/>
        </w:rPr>
        <w:t>avocat. S</w:t>
      </w:r>
      <w:r>
        <w:rPr>
          <w:rFonts w:cs="Times New Roman"/>
          <w:lang w:val="fr-CA"/>
        </w:rPr>
        <w:t>’</w:t>
      </w:r>
      <w:r w:rsidRPr="00990245">
        <w:rPr>
          <w:rFonts w:cs="Times New Roman"/>
          <w:lang w:val="fr-CA"/>
        </w:rPr>
        <w:t xml:space="preserve">il ne se conforme pas aux exigences de la </w:t>
      </w:r>
      <w:r w:rsidRPr="00825622">
        <w:rPr>
          <w:rFonts w:cs="Times New Roman"/>
          <w:iCs/>
          <w:lang w:val="fr-CA"/>
        </w:rPr>
        <w:t>Loi</w:t>
      </w:r>
      <w:r w:rsidRPr="00990245">
        <w:rPr>
          <w:rFonts w:cs="Times New Roman"/>
          <w:lang w:val="fr-CA"/>
        </w:rPr>
        <w:t>, l</w:t>
      </w:r>
      <w:r>
        <w:rPr>
          <w:rFonts w:cs="Times New Roman"/>
          <w:lang w:val="fr-CA"/>
        </w:rPr>
        <w:t>’</w:t>
      </w:r>
      <w:r w:rsidRPr="00990245">
        <w:rPr>
          <w:rFonts w:cs="Times New Roman"/>
          <w:lang w:val="fr-CA"/>
        </w:rPr>
        <w:t>avocat s</w:t>
      </w:r>
      <w:r>
        <w:rPr>
          <w:rFonts w:cs="Times New Roman"/>
          <w:lang w:val="fr-CA"/>
        </w:rPr>
        <w:t>’</w:t>
      </w:r>
      <w:r w:rsidRPr="00990245">
        <w:rPr>
          <w:rFonts w:cs="Times New Roman"/>
          <w:lang w:val="fr-CA"/>
        </w:rPr>
        <w:t>expose à des poursuites et à l</w:t>
      </w:r>
      <w:r>
        <w:rPr>
          <w:rFonts w:cs="Times New Roman"/>
          <w:lang w:val="fr-CA"/>
        </w:rPr>
        <w:t>’</w:t>
      </w:r>
      <w:r w:rsidRPr="00990245">
        <w:rPr>
          <w:rFonts w:cs="Times New Roman"/>
          <w:lang w:val="fr-CA"/>
        </w:rPr>
        <w:t>emprisonnement. L</w:t>
      </w:r>
      <w:r>
        <w:rPr>
          <w:rFonts w:cs="Times New Roman"/>
          <w:lang w:val="fr-CA"/>
        </w:rPr>
        <w:t>’</w:t>
      </w:r>
      <w:r w:rsidRPr="00990245">
        <w:rPr>
          <w:rFonts w:cs="Times New Roman"/>
          <w:lang w:val="fr-CA"/>
        </w:rPr>
        <w:t>article</w:t>
      </w:r>
      <w:r w:rsidR="00601B6E">
        <w:rPr>
          <w:rFonts w:cs="Times New Roman"/>
          <w:lang w:val="fr-CA"/>
        </w:rPr>
        <w:t xml:space="preserve"> </w:t>
      </w:r>
      <w:r w:rsidRPr="00990245">
        <w:rPr>
          <w:rFonts w:cs="Times New Roman"/>
          <w:lang w:val="fr-CA"/>
        </w:rPr>
        <w:t xml:space="preserve">74 prévoit que le défaut de se conformer à certaines dispositions de la </w:t>
      </w:r>
      <w:r w:rsidRPr="00825622">
        <w:rPr>
          <w:rFonts w:cs="Times New Roman"/>
          <w:iCs/>
          <w:lang w:val="fr-CA"/>
        </w:rPr>
        <w:t>Loi</w:t>
      </w:r>
      <w:r w:rsidRPr="00990245">
        <w:rPr>
          <w:rFonts w:cs="Times New Roman"/>
          <w:i/>
          <w:iCs/>
          <w:lang w:val="fr-CA"/>
        </w:rPr>
        <w:t xml:space="preserve"> </w:t>
      </w:r>
      <w:r w:rsidRPr="00990245">
        <w:rPr>
          <w:rFonts w:cs="Times New Roman"/>
          <w:lang w:val="fr-CA"/>
        </w:rPr>
        <w:t>(y compris celles relatives aux fouilles et aux perquisitions) est punissable d</w:t>
      </w:r>
      <w:r>
        <w:rPr>
          <w:rFonts w:cs="Times New Roman"/>
          <w:lang w:val="fr-CA"/>
        </w:rPr>
        <w:t>’</w:t>
      </w:r>
      <w:r w:rsidRPr="00990245">
        <w:rPr>
          <w:rFonts w:cs="Times New Roman"/>
          <w:lang w:val="fr-CA"/>
        </w:rPr>
        <w:t>une amende maximale de 500</w:t>
      </w:r>
      <w:r w:rsidR="00601B6E">
        <w:rPr>
          <w:rFonts w:cs="Times New Roman"/>
          <w:lang w:val="fr-CA"/>
        </w:rPr>
        <w:t xml:space="preserve"> </w:t>
      </w:r>
      <w:r w:rsidRPr="00990245">
        <w:rPr>
          <w:rFonts w:cs="Times New Roman"/>
          <w:lang w:val="fr-CA"/>
        </w:rPr>
        <w:t>000</w:t>
      </w:r>
      <w:r w:rsidR="00601B6E">
        <w:rPr>
          <w:rFonts w:cs="Times New Roman"/>
          <w:lang w:val="fr-CA"/>
        </w:rPr>
        <w:t xml:space="preserve"> </w:t>
      </w:r>
      <w:r w:rsidRPr="00990245">
        <w:rPr>
          <w:rFonts w:cs="Times New Roman"/>
          <w:lang w:val="fr-CA"/>
        </w:rPr>
        <w:t>$ et d</w:t>
      </w:r>
      <w:r>
        <w:rPr>
          <w:rFonts w:cs="Times New Roman"/>
          <w:lang w:val="fr-CA"/>
        </w:rPr>
        <w:t>’</w:t>
      </w:r>
      <w:r w:rsidRPr="00990245">
        <w:rPr>
          <w:rFonts w:cs="Times New Roman"/>
          <w:lang w:val="fr-CA"/>
        </w:rPr>
        <w:t>un emprisonnement maximal de cinq ans, ou de l</w:t>
      </w:r>
      <w:r>
        <w:rPr>
          <w:rFonts w:cs="Times New Roman"/>
          <w:lang w:val="fr-CA"/>
        </w:rPr>
        <w:t>’</w:t>
      </w:r>
      <w:r w:rsidRPr="00990245">
        <w:rPr>
          <w:rFonts w:cs="Times New Roman"/>
          <w:lang w:val="fr-CA"/>
        </w:rPr>
        <w:t xml:space="preserve">une de ces peines. Parmi ces dispositions, il y a lieu de mentionner </w:t>
      </w:r>
      <w:proofErr w:type="gramStart"/>
      <w:r w:rsidRPr="00990245">
        <w:rPr>
          <w:rFonts w:cs="Times New Roman"/>
          <w:lang w:val="fr-CA"/>
        </w:rPr>
        <w:t>les art</w:t>
      </w:r>
      <w:proofErr w:type="gramEnd"/>
      <w:r w:rsidRPr="00990245">
        <w:rPr>
          <w:rFonts w:cs="Times New Roman"/>
          <w:lang w:val="fr-CA"/>
        </w:rPr>
        <w:t>.</w:t>
      </w:r>
      <w:r w:rsidR="00601B6E">
        <w:rPr>
          <w:rFonts w:cs="Times New Roman"/>
          <w:lang w:val="fr-CA"/>
        </w:rPr>
        <w:t xml:space="preserve"> </w:t>
      </w:r>
      <w:r w:rsidRPr="00990245">
        <w:rPr>
          <w:rFonts w:cs="Times New Roman"/>
          <w:lang w:val="fr-CA"/>
        </w:rPr>
        <w:t xml:space="preserve">6 et 6.1 de la </w:t>
      </w:r>
      <w:r w:rsidRPr="00825622">
        <w:rPr>
          <w:rFonts w:cs="Times New Roman"/>
          <w:iCs/>
          <w:lang w:val="fr-CA"/>
        </w:rPr>
        <w:t>Loi</w:t>
      </w:r>
      <w:r w:rsidRPr="00990245">
        <w:rPr>
          <w:rFonts w:cs="Times New Roman"/>
          <w:lang w:val="fr-CA"/>
        </w:rPr>
        <w:t xml:space="preserve"> qui </w:t>
      </w:r>
      <w:proofErr w:type="gramStart"/>
      <w:r w:rsidRPr="00990245">
        <w:rPr>
          <w:rFonts w:cs="Times New Roman"/>
          <w:lang w:val="fr-CA"/>
        </w:rPr>
        <w:t>prévoient</w:t>
      </w:r>
      <w:proofErr w:type="gramEnd"/>
      <w:r w:rsidRPr="00990245">
        <w:rPr>
          <w:rFonts w:cs="Times New Roman"/>
          <w:lang w:val="fr-CA"/>
        </w:rPr>
        <w:t xml:space="preserve"> les obligations générales en matière de vérification d</w:t>
      </w:r>
      <w:r>
        <w:rPr>
          <w:rFonts w:cs="Times New Roman"/>
          <w:lang w:val="fr-CA"/>
        </w:rPr>
        <w:t>’</w:t>
      </w:r>
      <w:r w:rsidRPr="00990245">
        <w:rPr>
          <w:rFonts w:cs="Times New Roman"/>
          <w:lang w:val="fr-CA"/>
        </w:rPr>
        <w:t xml:space="preserve">identité et de tenue de documents. </w:t>
      </w:r>
      <w:r w:rsidRPr="00990245">
        <w:rPr>
          <w:rFonts w:cs="Times New Roman"/>
          <w:lang w:val="fr-CA"/>
        </w:rPr>
        <w:lastRenderedPageBreak/>
        <w:t xml:space="preserve">Il y </w:t>
      </w:r>
      <w:r w:rsidR="00825622">
        <w:rPr>
          <w:rFonts w:cs="Times New Roman"/>
          <w:lang w:val="fr-CA"/>
        </w:rPr>
        <w:t xml:space="preserve">a </w:t>
      </w:r>
      <w:r w:rsidRPr="00990245">
        <w:rPr>
          <w:rFonts w:cs="Times New Roman"/>
          <w:lang w:val="fr-CA"/>
        </w:rPr>
        <w:t>également lieu de mentionner le défaut de l</w:t>
      </w:r>
      <w:r>
        <w:rPr>
          <w:rFonts w:cs="Times New Roman"/>
          <w:lang w:val="fr-CA"/>
        </w:rPr>
        <w:t>’</w:t>
      </w:r>
      <w:r w:rsidRPr="00990245">
        <w:rPr>
          <w:rFonts w:cs="Times New Roman"/>
          <w:lang w:val="fr-CA"/>
        </w:rPr>
        <w:t>exploitant du cabinet d</w:t>
      </w:r>
      <w:r>
        <w:rPr>
          <w:rFonts w:cs="Times New Roman"/>
          <w:lang w:val="fr-CA"/>
        </w:rPr>
        <w:t>’</w:t>
      </w:r>
      <w:r w:rsidRPr="00990245">
        <w:rPr>
          <w:rFonts w:cs="Times New Roman"/>
          <w:lang w:val="fr-CA"/>
        </w:rPr>
        <w:t>avocats faisant l</w:t>
      </w:r>
      <w:r>
        <w:rPr>
          <w:rFonts w:cs="Times New Roman"/>
          <w:lang w:val="fr-CA"/>
        </w:rPr>
        <w:t>’</w:t>
      </w:r>
      <w:r w:rsidRPr="00990245">
        <w:rPr>
          <w:rFonts w:cs="Times New Roman"/>
          <w:lang w:val="fr-CA"/>
        </w:rPr>
        <w:t>objet d</w:t>
      </w:r>
      <w:r>
        <w:rPr>
          <w:rFonts w:cs="Times New Roman"/>
          <w:lang w:val="fr-CA"/>
        </w:rPr>
        <w:t>’</w:t>
      </w:r>
      <w:r w:rsidRPr="00990245">
        <w:rPr>
          <w:rFonts w:cs="Times New Roman"/>
          <w:lang w:val="fr-CA"/>
        </w:rPr>
        <w:t xml:space="preserve">une perquisition de prêter au CANAFE </w:t>
      </w:r>
      <w:r w:rsidR="00601B6E">
        <w:rPr>
          <w:rFonts w:cs="Times New Roman"/>
          <w:lang w:val="fr-CA"/>
        </w:rPr>
        <w:t>« </w:t>
      </w:r>
      <w:r w:rsidRPr="00990245">
        <w:rPr>
          <w:rFonts w:cs="Times New Roman"/>
          <w:lang w:val="fr-CA"/>
        </w:rPr>
        <w:t>toute l</w:t>
      </w:r>
      <w:r>
        <w:rPr>
          <w:rFonts w:cs="Times New Roman"/>
          <w:lang w:val="fr-CA"/>
        </w:rPr>
        <w:t>’</w:t>
      </w:r>
      <w:r w:rsidRPr="00990245">
        <w:rPr>
          <w:rFonts w:cs="Times New Roman"/>
          <w:lang w:val="fr-CA"/>
        </w:rPr>
        <w:t>assistance possible</w:t>
      </w:r>
      <w:r w:rsidR="00601B6E">
        <w:rPr>
          <w:rFonts w:cs="Times New Roman"/>
          <w:lang w:val="fr-CA"/>
        </w:rPr>
        <w:t> »</w:t>
      </w:r>
      <w:r w:rsidRPr="00990245">
        <w:rPr>
          <w:rFonts w:cs="Times New Roman"/>
          <w:lang w:val="fr-CA"/>
        </w:rPr>
        <w:t xml:space="preserve"> lors d</w:t>
      </w:r>
      <w:r>
        <w:rPr>
          <w:rFonts w:cs="Times New Roman"/>
          <w:lang w:val="fr-CA"/>
        </w:rPr>
        <w:t>’</w:t>
      </w:r>
      <w:r w:rsidRPr="00990245">
        <w:rPr>
          <w:rFonts w:cs="Times New Roman"/>
          <w:lang w:val="fr-CA"/>
        </w:rPr>
        <w:t>une perquisition effectuée en vertu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62, ainsi que le défaut d</w:t>
      </w:r>
      <w:r>
        <w:rPr>
          <w:rFonts w:cs="Times New Roman"/>
          <w:lang w:val="fr-CA"/>
        </w:rPr>
        <w:t>’</w:t>
      </w:r>
      <w:r w:rsidRPr="00990245">
        <w:rPr>
          <w:rFonts w:cs="Times New Roman"/>
          <w:lang w:val="fr-CA"/>
        </w:rPr>
        <w:t>obtempérer à une demande de production de documents présentée par le CANAFE en vertu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63.1. </w:t>
      </w:r>
    </w:p>
    <w:p w:rsidR="00CA3D49" w:rsidRPr="00990245" w:rsidRDefault="00CA3D49" w:rsidP="00CA3D49">
      <w:pPr>
        <w:pStyle w:val="ParaNoNdepar-AltN"/>
        <w:rPr>
          <w:rFonts w:cs="Times New Roman"/>
          <w:lang w:val="fr-CA"/>
        </w:rPr>
      </w:pPr>
      <w:r w:rsidRPr="00990245">
        <w:rPr>
          <w:rFonts w:cs="Times New Roman"/>
          <w:lang w:val="fr-CA"/>
        </w:rPr>
        <w:t>La juge de première instance et les juges majoritaires de la Cour d</w:t>
      </w:r>
      <w:r>
        <w:rPr>
          <w:rFonts w:cs="Times New Roman"/>
          <w:lang w:val="fr-CA"/>
        </w:rPr>
        <w:t>’</w:t>
      </w:r>
      <w:r w:rsidRPr="00990245">
        <w:rPr>
          <w:rFonts w:cs="Times New Roman"/>
          <w:lang w:val="fr-CA"/>
        </w:rPr>
        <w:t>appel ont tous conclu que le présent régime restreignait aussi la liberté des clients. Toutefois, je ne juge pas nécessaire de statuer sur ce point. J</w:t>
      </w:r>
      <w:r>
        <w:rPr>
          <w:rFonts w:cs="Times New Roman"/>
          <w:lang w:val="fr-CA"/>
        </w:rPr>
        <w:t>’</w:t>
      </w:r>
      <w:r w:rsidRPr="00990245">
        <w:rPr>
          <w:rFonts w:cs="Times New Roman"/>
          <w:lang w:val="fr-CA"/>
        </w:rPr>
        <w:t>ai déjà conclu que les dispositions attaquées mettent en jeu le droit à la liberté des avocats et personne n</w:t>
      </w:r>
      <w:r>
        <w:rPr>
          <w:rFonts w:cs="Times New Roman"/>
          <w:lang w:val="fr-CA"/>
        </w:rPr>
        <w:t>’</w:t>
      </w:r>
      <w:r w:rsidRPr="00990245">
        <w:rPr>
          <w:rFonts w:cs="Times New Roman"/>
          <w:lang w:val="fr-CA"/>
        </w:rPr>
        <w:t>a prétendu que l</w:t>
      </w:r>
      <w:r>
        <w:rPr>
          <w:rFonts w:cs="Times New Roman"/>
          <w:lang w:val="fr-CA"/>
        </w:rPr>
        <w:t>’</w:t>
      </w:r>
      <w:r w:rsidRPr="00990245">
        <w:rPr>
          <w:rFonts w:cs="Times New Roman"/>
          <w:lang w:val="fr-CA"/>
        </w:rPr>
        <w:t>analyse du droit à la liberté des clients conduite sur la base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7 différerait de celle portant sur le droit à la liberté des avocats.  </w:t>
      </w:r>
    </w:p>
    <w:p w:rsidR="00CA3D49" w:rsidRPr="00990245" w:rsidRDefault="00CA3D49" w:rsidP="00FC477C">
      <w:pPr>
        <w:pStyle w:val="Title3LevelTitre3Niveau"/>
        <w:tabs>
          <w:tab w:val="clear" w:pos="864"/>
        </w:tabs>
        <w:ind w:left="900" w:hanging="450"/>
        <w:rPr>
          <w:rFonts w:cs="Times New Roman"/>
          <w:lang w:val="fr-CA"/>
        </w:rPr>
      </w:pPr>
      <w:r w:rsidRPr="00990245">
        <w:rPr>
          <w:rFonts w:cs="Times New Roman"/>
          <w:lang w:val="fr-CA"/>
        </w:rPr>
        <w:t>La restriction est</w:t>
      </w:r>
      <w:r w:rsidR="00601B6E">
        <w:rPr>
          <w:rFonts w:cs="Times New Roman"/>
          <w:lang w:val="fr-CA"/>
        </w:rPr>
        <w:t>-</w:t>
      </w:r>
      <w:r w:rsidRPr="00990245">
        <w:rPr>
          <w:rFonts w:cs="Times New Roman"/>
          <w:lang w:val="fr-CA"/>
        </w:rPr>
        <w:t>elle contraire au principe de justice fondamentale du secret professionnel de l</w:t>
      </w:r>
      <w:r>
        <w:rPr>
          <w:rFonts w:cs="Times New Roman"/>
          <w:lang w:val="fr-CA"/>
        </w:rPr>
        <w:t>’</w:t>
      </w:r>
      <w:r w:rsidRPr="00990245">
        <w:rPr>
          <w:rFonts w:cs="Times New Roman"/>
          <w:lang w:val="fr-CA"/>
        </w:rPr>
        <w:t>avocat?</w:t>
      </w:r>
    </w:p>
    <w:p w:rsidR="00CA3D49" w:rsidRPr="00990245" w:rsidRDefault="00CA3D49" w:rsidP="00CA3D49">
      <w:pPr>
        <w:pStyle w:val="ParaNoNdepar-AltN"/>
        <w:rPr>
          <w:rFonts w:cs="Times New Roman"/>
          <w:lang w:val="fr-CA"/>
        </w:rPr>
      </w:pPr>
      <w:r w:rsidRPr="00990245">
        <w:rPr>
          <w:rFonts w:cs="Times New Roman"/>
          <w:lang w:val="fr-CA"/>
        </w:rPr>
        <w:t>J</w:t>
      </w:r>
      <w:r>
        <w:rPr>
          <w:rFonts w:cs="Times New Roman"/>
          <w:lang w:val="fr-CA"/>
        </w:rPr>
        <w:t>’</w:t>
      </w:r>
      <w:r w:rsidRPr="00990245">
        <w:rPr>
          <w:rFonts w:cs="Times New Roman"/>
          <w:lang w:val="fr-CA"/>
        </w:rPr>
        <w:t xml:space="preserve">ai déjà conclu que les dispositions de la </w:t>
      </w:r>
      <w:r w:rsidRPr="00825622">
        <w:rPr>
          <w:rFonts w:cs="Times New Roman"/>
          <w:iCs/>
          <w:lang w:val="fr-CA"/>
        </w:rPr>
        <w:t>Loi</w:t>
      </w:r>
      <w:r w:rsidRPr="00990245">
        <w:rPr>
          <w:rFonts w:cs="Times New Roman"/>
          <w:i/>
          <w:iCs/>
          <w:lang w:val="fr-CA"/>
        </w:rPr>
        <w:t xml:space="preserve"> </w:t>
      </w:r>
      <w:r w:rsidRPr="00990245">
        <w:rPr>
          <w:rFonts w:cs="Times New Roman"/>
          <w:lang w:val="fr-CA"/>
        </w:rPr>
        <w:t>en matière de fouille et de perquisition portent atteinte au droit, prévu à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8, d</w:t>
      </w:r>
      <w:r>
        <w:rPr>
          <w:rFonts w:cs="Times New Roman"/>
          <w:lang w:val="fr-CA"/>
        </w:rPr>
        <w:t>’</w:t>
      </w:r>
      <w:r w:rsidRPr="00990245">
        <w:rPr>
          <w:rFonts w:cs="Times New Roman"/>
          <w:lang w:val="fr-CA"/>
        </w:rPr>
        <w:t>être protégé contre les fouilles, perquisitions et saisies abusives et qu</w:t>
      </w:r>
      <w:r>
        <w:rPr>
          <w:rFonts w:cs="Times New Roman"/>
          <w:lang w:val="fr-CA"/>
        </w:rPr>
        <w:t>’</w:t>
      </w:r>
      <w:r w:rsidRPr="00990245">
        <w:rPr>
          <w:rFonts w:cs="Times New Roman"/>
          <w:lang w:val="fr-CA"/>
        </w:rPr>
        <w:t>elles sont inconstitutionnelles et inopérantes dans le cas des documents en la possession des avocats. Cette conclusion rend superflue dans la présente affaire toute analyse distincte fondée sur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7 qui repose sur un principe de justice fondamentale concernant le secret professionnel de l</w:t>
      </w:r>
      <w:r>
        <w:rPr>
          <w:rFonts w:cs="Times New Roman"/>
          <w:lang w:val="fr-CA"/>
        </w:rPr>
        <w:t>’</w:t>
      </w:r>
      <w:r w:rsidRPr="00990245">
        <w:rPr>
          <w:rFonts w:cs="Times New Roman"/>
          <w:lang w:val="fr-CA"/>
        </w:rPr>
        <w:t>avocat (voir, p</w:t>
      </w:r>
      <w:r w:rsidR="00825622">
        <w:rPr>
          <w:rFonts w:cs="Times New Roman"/>
          <w:lang w:val="fr-CA"/>
        </w:rPr>
        <w:t>.</w:t>
      </w:r>
      <w:r w:rsidRPr="00990245">
        <w:rPr>
          <w:rFonts w:cs="Times New Roman"/>
          <w:lang w:val="fr-CA"/>
        </w:rPr>
        <w:t xml:space="preserve"> ex., </w:t>
      </w:r>
      <w:proofErr w:type="spellStart"/>
      <w:r w:rsidRPr="00990245">
        <w:rPr>
          <w:rFonts w:cs="Times New Roman"/>
          <w:i/>
          <w:iCs/>
          <w:lang w:val="fr-CA"/>
        </w:rPr>
        <w:t>Lavallee</w:t>
      </w:r>
      <w:proofErr w:type="spellEnd"/>
      <w:r w:rsidRPr="00990245">
        <w:rPr>
          <w:rFonts w:cs="Times New Roman"/>
          <w:lang w:val="fr-CA"/>
        </w:rPr>
        <w:t>,</w:t>
      </w:r>
      <w:r w:rsidRPr="00990245">
        <w:rPr>
          <w:rFonts w:cs="Times New Roman"/>
          <w:i/>
          <w:iCs/>
          <w:lang w:val="fr-CA"/>
        </w:rPr>
        <w:t xml:space="preserve"> </w:t>
      </w:r>
      <w:r w:rsidRPr="00990245">
        <w:rPr>
          <w:rFonts w:cs="Times New Roman"/>
          <w:lang w:val="fr-CA"/>
        </w:rPr>
        <w:t>par.</w:t>
      </w:r>
      <w:r w:rsidR="00601B6E">
        <w:rPr>
          <w:rFonts w:cs="Times New Roman"/>
          <w:lang w:val="fr-CA"/>
        </w:rPr>
        <w:t xml:space="preserve"> </w:t>
      </w:r>
      <w:r w:rsidRPr="00990245">
        <w:rPr>
          <w:rFonts w:cs="Times New Roman"/>
          <w:lang w:val="fr-CA"/>
        </w:rPr>
        <w:t xml:space="preserve">34; </w:t>
      </w:r>
      <w:r w:rsidRPr="00990245">
        <w:rPr>
          <w:rFonts w:cs="Times New Roman"/>
          <w:i/>
          <w:iCs/>
          <w:lang w:val="fr-CA"/>
        </w:rPr>
        <w:t>R. c. Rodgers</w:t>
      </w:r>
      <w:r w:rsidRPr="00990245">
        <w:rPr>
          <w:rFonts w:cs="Times New Roman"/>
          <w:lang w:val="fr-CA"/>
        </w:rPr>
        <w:t>, 2006 CSC 15, [2006] 1 R.C.S. 554, par.</w:t>
      </w:r>
      <w:r w:rsidR="00601B6E">
        <w:rPr>
          <w:rFonts w:cs="Times New Roman"/>
          <w:lang w:val="fr-CA"/>
        </w:rPr>
        <w:t xml:space="preserve"> </w:t>
      </w:r>
      <w:r w:rsidRPr="00990245">
        <w:rPr>
          <w:rFonts w:cs="Times New Roman"/>
          <w:lang w:val="fr-CA"/>
        </w:rPr>
        <w:t xml:space="preserve">23; et </w:t>
      </w:r>
      <w:r w:rsidRPr="00990245">
        <w:rPr>
          <w:rFonts w:cs="Times New Roman"/>
          <w:i/>
          <w:iCs/>
          <w:lang w:val="fr-CA"/>
        </w:rPr>
        <w:t>R. c. Mills</w:t>
      </w:r>
      <w:r w:rsidRPr="00990245">
        <w:rPr>
          <w:rFonts w:cs="Times New Roman"/>
          <w:lang w:val="fr-CA"/>
        </w:rPr>
        <w:t>, [1999] 3 R.C.S. 668, par.</w:t>
      </w:r>
      <w:r w:rsidR="00601B6E">
        <w:rPr>
          <w:rFonts w:cs="Times New Roman"/>
          <w:lang w:val="fr-CA"/>
        </w:rPr>
        <w:t xml:space="preserve"> </w:t>
      </w:r>
      <w:r w:rsidRPr="00990245">
        <w:rPr>
          <w:rFonts w:cs="Times New Roman"/>
          <w:lang w:val="fr-CA"/>
        </w:rPr>
        <w:t xml:space="preserve">88). </w:t>
      </w:r>
    </w:p>
    <w:p w:rsidR="00CA3D49" w:rsidRPr="00990245" w:rsidRDefault="00CA3D49" w:rsidP="00FC477C">
      <w:pPr>
        <w:pStyle w:val="Title3LevelTitre3Niveau"/>
        <w:tabs>
          <w:tab w:val="clear" w:pos="864"/>
        </w:tabs>
        <w:ind w:left="900" w:hanging="450"/>
        <w:rPr>
          <w:rFonts w:cs="Times New Roman"/>
          <w:lang w:val="fr-CA"/>
        </w:rPr>
      </w:pPr>
      <w:r w:rsidRPr="00990245">
        <w:rPr>
          <w:rFonts w:cs="Times New Roman"/>
          <w:lang w:val="fr-CA"/>
        </w:rPr>
        <w:lastRenderedPageBreak/>
        <w:t>La restriction est</w:t>
      </w:r>
      <w:r w:rsidR="00601B6E">
        <w:rPr>
          <w:rFonts w:cs="Times New Roman"/>
          <w:lang w:val="fr-CA"/>
        </w:rPr>
        <w:t>-</w:t>
      </w:r>
      <w:r w:rsidRPr="00990245">
        <w:rPr>
          <w:rFonts w:cs="Times New Roman"/>
          <w:lang w:val="fr-CA"/>
        </w:rPr>
        <w:t>elle contraire au principe de justice fondamentale de l</w:t>
      </w:r>
      <w:r>
        <w:rPr>
          <w:rFonts w:cs="Times New Roman"/>
          <w:lang w:val="fr-CA"/>
        </w:rPr>
        <w:t>’</w:t>
      </w:r>
      <w:r w:rsidRPr="00990245">
        <w:rPr>
          <w:rFonts w:cs="Times New Roman"/>
          <w:lang w:val="fr-CA"/>
        </w:rPr>
        <w:t>indépendance du barreau?</w:t>
      </w:r>
    </w:p>
    <w:p w:rsidR="00CA3D49" w:rsidRPr="00990245" w:rsidRDefault="00CA3D49" w:rsidP="00FC477C">
      <w:pPr>
        <w:pStyle w:val="Title4LevelTitre4Niveau"/>
        <w:tabs>
          <w:tab w:val="clear" w:pos="1296"/>
        </w:tabs>
        <w:ind w:left="900" w:hanging="450"/>
        <w:rPr>
          <w:rFonts w:cs="Times New Roman"/>
          <w:lang w:val="fr-CA"/>
        </w:rPr>
      </w:pPr>
      <w:r w:rsidRPr="00990245">
        <w:rPr>
          <w:rFonts w:cs="Times New Roman"/>
          <w:lang w:val="fr-CA"/>
        </w:rPr>
        <w:t>Décision de la Cour d</w:t>
      </w:r>
      <w:r>
        <w:rPr>
          <w:rFonts w:cs="Times New Roman"/>
          <w:lang w:val="fr-CA"/>
        </w:rPr>
        <w:t>’</w:t>
      </w:r>
      <w:r w:rsidRPr="00990245">
        <w:rPr>
          <w:rFonts w:cs="Times New Roman"/>
          <w:lang w:val="fr-CA"/>
        </w:rPr>
        <w:t xml:space="preserve">appel </w:t>
      </w:r>
    </w:p>
    <w:p w:rsidR="00CA3D49" w:rsidRPr="00990245" w:rsidRDefault="00CA3D49" w:rsidP="00CA3D49">
      <w:pPr>
        <w:pStyle w:val="ParaNoNdepar-AltN"/>
        <w:rPr>
          <w:rFonts w:cs="Times New Roman"/>
          <w:lang w:val="fr-CA"/>
        </w:rPr>
      </w:pPr>
      <w:r w:rsidRPr="00990245">
        <w:rPr>
          <w:rFonts w:cs="Times New Roman"/>
          <w:lang w:val="fr-CA"/>
        </w:rPr>
        <w:t>La Cour d</w:t>
      </w:r>
      <w:r>
        <w:rPr>
          <w:rFonts w:cs="Times New Roman"/>
          <w:lang w:val="fr-CA"/>
        </w:rPr>
        <w:t>’</w:t>
      </w:r>
      <w:r w:rsidRPr="00990245">
        <w:rPr>
          <w:rFonts w:cs="Times New Roman"/>
          <w:lang w:val="fr-CA"/>
        </w:rPr>
        <w:t>appel a conclu que la restriction au droit à la liberté des avocats n</w:t>
      </w:r>
      <w:r>
        <w:rPr>
          <w:rFonts w:cs="Times New Roman"/>
          <w:lang w:val="fr-CA"/>
        </w:rPr>
        <w:t>’</w:t>
      </w:r>
      <w:r w:rsidRPr="00990245">
        <w:rPr>
          <w:rFonts w:cs="Times New Roman"/>
          <w:lang w:val="fr-CA"/>
        </w:rPr>
        <w:t>était pas conforme à ce qui, selon elle, était un principe de justice fondamentale concernant l</w:t>
      </w:r>
      <w:r>
        <w:rPr>
          <w:rFonts w:cs="Times New Roman"/>
          <w:lang w:val="fr-CA"/>
        </w:rPr>
        <w:t>’</w:t>
      </w:r>
      <w:r w:rsidRPr="00990245">
        <w:rPr>
          <w:rFonts w:cs="Times New Roman"/>
          <w:lang w:val="fr-CA"/>
        </w:rPr>
        <w:t>indépendance du barreau. Bien qu</w:t>
      </w:r>
      <w:r>
        <w:rPr>
          <w:rFonts w:cs="Times New Roman"/>
          <w:lang w:val="fr-CA"/>
        </w:rPr>
        <w:t>’</w:t>
      </w:r>
      <w:r w:rsidRPr="00990245">
        <w:rPr>
          <w:rFonts w:cs="Times New Roman"/>
          <w:lang w:val="fr-CA"/>
        </w:rPr>
        <w:t>elle ait parfois énoncé le principe de l</w:t>
      </w:r>
      <w:r>
        <w:rPr>
          <w:rFonts w:cs="Times New Roman"/>
          <w:lang w:val="fr-CA"/>
        </w:rPr>
        <w:t>’</w:t>
      </w:r>
      <w:r w:rsidRPr="00990245">
        <w:rPr>
          <w:rFonts w:cs="Times New Roman"/>
          <w:lang w:val="fr-CA"/>
        </w:rPr>
        <w:t>indépendance du barreau en termes très généraux, l</w:t>
      </w:r>
      <w:r>
        <w:rPr>
          <w:rFonts w:cs="Times New Roman"/>
          <w:lang w:val="fr-CA"/>
        </w:rPr>
        <w:t>’</w:t>
      </w:r>
      <w:r w:rsidRPr="00990245">
        <w:rPr>
          <w:rFonts w:cs="Times New Roman"/>
          <w:lang w:val="fr-CA"/>
        </w:rPr>
        <w:t>essentiel de son raisonnement reposait sur des motifs beaucoup plus restreints. Selon la Cour d</w:t>
      </w:r>
      <w:r>
        <w:rPr>
          <w:rFonts w:cs="Times New Roman"/>
          <w:lang w:val="fr-CA"/>
        </w:rPr>
        <w:t>’</w:t>
      </w:r>
      <w:r w:rsidRPr="00990245">
        <w:rPr>
          <w:rFonts w:cs="Times New Roman"/>
          <w:lang w:val="fr-CA"/>
        </w:rPr>
        <w:t>appel, la législation constitue une atteinte de l</w:t>
      </w:r>
      <w:r>
        <w:rPr>
          <w:rFonts w:cs="Times New Roman"/>
          <w:lang w:val="fr-CA"/>
        </w:rPr>
        <w:t>’</w:t>
      </w:r>
      <w:r w:rsidRPr="00990245">
        <w:rPr>
          <w:rFonts w:cs="Times New Roman"/>
          <w:lang w:val="fr-CA"/>
        </w:rPr>
        <w:t>État au devoir de loyauté de l</w:t>
      </w:r>
      <w:r>
        <w:rPr>
          <w:rFonts w:cs="Times New Roman"/>
          <w:lang w:val="fr-CA"/>
        </w:rPr>
        <w:t>’</w:t>
      </w:r>
      <w:r w:rsidRPr="00990245">
        <w:rPr>
          <w:rFonts w:cs="Times New Roman"/>
          <w:lang w:val="fr-CA"/>
        </w:rPr>
        <w:t>avocat envers son client</w:t>
      </w:r>
      <w:r w:rsidR="00601B6E">
        <w:rPr>
          <w:rFonts w:cs="Times New Roman"/>
          <w:lang w:val="fr-CA"/>
        </w:rPr>
        <w:t> :</w:t>
      </w:r>
      <w:r w:rsidRPr="00990245">
        <w:rPr>
          <w:rFonts w:cs="Times New Roman"/>
          <w:lang w:val="fr-CA"/>
        </w:rPr>
        <w:t xml:space="preserve"> elle met l</w:t>
      </w:r>
      <w:r>
        <w:rPr>
          <w:rFonts w:cs="Times New Roman"/>
          <w:lang w:val="fr-CA"/>
        </w:rPr>
        <w:t>’</w:t>
      </w:r>
      <w:r w:rsidRPr="00990245">
        <w:rPr>
          <w:rFonts w:cs="Times New Roman"/>
          <w:lang w:val="fr-CA"/>
        </w:rPr>
        <w:t>avocat en situation de conflit d</w:t>
      </w:r>
      <w:r>
        <w:rPr>
          <w:rFonts w:cs="Times New Roman"/>
          <w:lang w:val="fr-CA"/>
        </w:rPr>
        <w:t>’</w:t>
      </w:r>
      <w:r w:rsidRPr="00990245">
        <w:rPr>
          <w:rFonts w:cs="Times New Roman"/>
          <w:lang w:val="fr-CA"/>
        </w:rPr>
        <w:t>intérêts parce que</w:t>
      </w:r>
      <w:r w:rsidR="00601B6E">
        <w:rPr>
          <w:rFonts w:cs="Times New Roman"/>
          <w:lang w:val="fr-CA"/>
        </w:rPr>
        <w:t xml:space="preserve"> </w:t>
      </w:r>
      <w:r w:rsidRPr="00990245">
        <w:rPr>
          <w:rFonts w:cs="Times New Roman"/>
          <w:lang w:val="fr-CA"/>
        </w:rPr>
        <w:t xml:space="preserve">  </w:t>
      </w:r>
    </w:p>
    <w:p w:rsidR="00346FD3" w:rsidRDefault="00CA3D49" w:rsidP="00825622">
      <w:pPr>
        <w:pStyle w:val="Citation-AltC"/>
        <w:ind w:hanging="1166"/>
        <w:rPr>
          <w:lang w:val="fr-CA"/>
        </w:rPr>
      </w:pPr>
      <w:r w:rsidRPr="00990245">
        <w:rPr>
          <w:lang w:val="fr-CA"/>
        </w:rPr>
        <w:tab/>
      </w:r>
      <w:r w:rsidR="0074644A">
        <w:rPr>
          <w:lang w:val="fr-CA"/>
        </w:rPr>
        <w:t>[</w:t>
      </w:r>
      <w:r w:rsidR="0074644A" w:rsidRPr="0074644A">
        <w:rPr>
          <w:smallCaps/>
          <w:lang w:val="fr-CA"/>
        </w:rPr>
        <w:t>traduction</w:t>
      </w:r>
      <w:r w:rsidR="0074644A">
        <w:rPr>
          <w:lang w:val="fr-CA"/>
        </w:rPr>
        <w:t xml:space="preserve">] </w:t>
      </w:r>
      <w:r w:rsidRPr="00990245">
        <w:rPr>
          <w:lang w:val="fr-CA"/>
        </w:rPr>
        <w:t xml:space="preserve">le conseiller juridique doit choisir de se conformer à la </w:t>
      </w:r>
      <w:r w:rsidRPr="00990245">
        <w:rPr>
          <w:i/>
          <w:iCs/>
          <w:lang w:val="fr-CA"/>
        </w:rPr>
        <w:t>Loi</w:t>
      </w:r>
      <w:r w:rsidRPr="00990245">
        <w:rPr>
          <w:lang w:val="fr-CA"/>
        </w:rPr>
        <w:t xml:space="preserve"> et au </w:t>
      </w:r>
      <w:r w:rsidRPr="00990245">
        <w:rPr>
          <w:i/>
          <w:iCs/>
          <w:lang w:val="fr-CA"/>
        </w:rPr>
        <w:t xml:space="preserve">Règlement </w:t>
      </w:r>
      <w:r w:rsidRPr="00990245">
        <w:rPr>
          <w:lang w:val="fr-CA"/>
        </w:rPr>
        <w:t>et, ce faisant, manquer tout au moins à son devoir de loyauté, car il agit alors à la fois pour son client et pour l</w:t>
      </w:r>
      <w:r>
        <w:rPr>
          <w:lang w:val="fr-CA"/>
        </w:rPr>
        <w:t>’</w:t>
      </w:r>
      <w:r w:rsidRPr="00990245">
        <w:rPr>
          <w:lang w:val="fr-CA"/>
        </w:rPr>
        <w:t>État au bénéfice duquel il doit non seulement conserver des archives mais aussi les constituer ou, afin de respecter ses obligations envers son client, s</w:t>
      </w:r>
      <w:r>
        <w:rPr>
          <w:lang w:val="fr-CA"/>
        </w:rPr>
        <w:t>’</w:t>
      </w:r>
      <w:r w:rsidRPr="00990245">
        <w:rPr>
          <w:lang w:val="fr-CA"/>
        </w:rPr>
        <w:t>exposer à des poursuites</w:t>
      </w:r>
      <w:r w:rsidR="00346FD3">
        <w:rPr>
          <w:lang w:val="fr-CA"/>
        </w:rPr>
        <w:t xml:space="preserve">. </w:t>
      </w:r>
    </w:p>
    <w:p w:rsidR="00CA3D49" w:rsidRPr="00990245" w:rsidRDefault="00601B6E" w:rsidP="00825622">
      <w:pPr>
        <w:pStyle w:val="Citation-AltC"/>
        <w:ind w:hanging="1166"/>
        <w:rPr>
          <w:lang w:val="fr-CA"/>
        </w:rPr>
      </w:pPr>
      <w:r>
        <w:rPr>
          <w:lang w:val="fr-CA"/>
        </w:rPr>
        <w:t xml:space="preserve"> </w:t>
      </w:r>
    </w:p>
    <w:p w:rsidR="00CA3D49" w:rsidRPr="00990245" w:rsidRDefault="00CA3D49" w:rsidP="00CA3D49">
      <w:pPr>
        <w:pStyle w:val="Citation-AltC"/>
        <w:tabs>
          <w:tab w:val="left" w:pos="1920"/>
        </w:tabs>
        <w:ind w:hanging="1166"/>
        <w:contextualSpacing w:val="0"/>
        <w:rPr>
          <w:lang w:val="fr-CA" w:eastAsia="fr-CA"/>
        </w:rPr>
      </w:pPr>
      <w:r w:rsidRPr="00990245">
        <w:rPr>
          <w:lang w:val="fr-CA" w:eastAsia="fr-CA"/>
        </w:rPr>
        <w:tab/>
      </w:r>
      <w:r w:rsidR="00346FD3">
        <w:rPr>
          <w:lang w:val="fr-CA" w:eastAsia="fr-CA"/>
        </w:rPr>
        <w:tab/>
      </w:r>
      <w:r w:rsidR="00601B6E">
        <w:rPr>
          <w:lang w:val="fr-CA" w:eastAsia="fr-CA"/>
        </w:rPr>
        <w:t>. . .</w:t>
      </w:r>
      <w:r w:rsidR="00346FD3">
        <w:rPr>
          <w:lang w:val="fr-CA" w:eastAsia="fr-CA"/>
        </w:rPr>
        <w:t xml:space="preserve"> </w:t>
      </w:r>
      <w:r w:rsidRPr="00990245">
        <w:rPr>
          <w:lang w:val="fr-CA" w:eastAsia="fr-CA"/>
        </w:rPr>
        <w:t>le régime impose des intérêts contradictoires et des obligations correspondantes aux avocats en ce qui concerne les intérêts de leurs clients, ceux de l</w:t>
      </w:r>
      <w:r>
        <w:rPr>
          <w:lang w:val="fr-CA" w:eastAsia="fr-CA"/>
        </w:rPr>
        <w:t>’</w:t>
      </w:r>
      <w:r w:rsidRPr="00990245">
        <w:rPr>
          <w:lang w:val="fr-CA" w:eastAsia="fr-CA"/>
        </w:rPr>
        <w:t>État et le droit à la liberté des avocats. [</w:t>
      </w:r>
      <w:r w:rsidR="00346FD3">
        <w:rPr>
          <w:lang w:val="fr-CA" w:eastAsia="fr-CA"/>
        </w:rPr>
        <w:t>p</w:t>
      </w:r>
      <w:r w:rsidRPr="00990245">
        <w:rPr>
          <w:lang w:val="fr-CA" w:eastAsia="fr-CA"/>
        </w:rPr>
        <w:t>ar.</w:t>
      </w:r>
      <w:r w:rsidR="00601B6E">
        <w:rPr>
          <w:lang w:val="fr-CA" w:eastAsia="fr-CA"/>
        </w:rPr>
        <w:t xml:space="preserve"> </w:t>
      </w:r>
      <w:r w:rsidRPr="00990245">
        <w:rPr>
          <w:lang w:val="fr-CA" w:eastAsia="fr-CA"/>
        </w:rPr>
        <w:t>122</w:t>
      </w:r>
      <w:r w:rsidR="00601B6E">
        <w:rPr>
          <w:lang w:val="fr-CA" w:eastAsia="fr-CA"/>
        </w:rPr>
        <w:t>-</w:t>
      </w:r>
      <w:r w:rsidRPr="00990245">
        <w:rPr>
          <w:lang w:val="fr-CA" w:eastAsia="fr-CA"/>
        </w:rPr>
        <w:t xml:space="preserve">123] </w:t>
      </w:r>
    </w:p>
    <w:p w:rsidR="00CA3D49" w:rsidRPr="00990245" w:rsidRDefault="00CA3D49" w:rsidP="00FC477C">
      <w:pPr>
        <w:pStyle w:val="Title4LevelTitre4Niveau"/>
        <w:tabs>
          <w:tab w:val="clear" w:pos="1296"/>
        </w:tabs>
        <w:ind w:left="900" w:hanging="450"/>
        <w:rPr>
          <w:rFonts w:cs="Times New Roman"/>
          <w:lang w:val="fr-CA"/>
        </w:rPr>
      </w:pPr>
      <w:r w:rsidRPr="00990245">
        <w:rPr>
          <w:rFonts w:cs="Times New Roman"/>
          <w:lang w:val="fr-CA"/>
        </w:rPr>
        <w:t>Thèses des parties et survol</w:t>
      </w:r>
    </w:p>
    <w:p w:rsidR="00CA3D49" w:rsidRPr="00990245" w:rsidRDefault="00CA3D49" w:rsidP="00CA3D49">
      <w:pPr>
        <w:pStyle w:val="ParaNoNdepar-AltN"/>
        <w:rPr>
          <w:rFonts w:cs="Times New Roman"/>
          <w:lang w:val="fr-CA"/>
        </w:rPr>
      </w:pPr>
      <w:r w:rsidRPr="00990245">
        <w:rPr>
          <w:rFonts w:cs="Times New Roman"/>
          <w:lang w:val="fr-CA"/>
        </w:rPr>
        <w:t>La Fédération, avec l</w:t>
      </w:r>
      <w:r>
        <w:rPr>
          <w:rFonts w:cs="Times New Roman"/>
          <w:lang w:val="fr-CA"/>
        </w:rPr>
        <w:t>’</w:t>
      </w:r>
      <w:r w:rsidRPr="00990245">
        <w:rPr>
          <w:rFonts w:cs="Times New Roman"/>
          <w:lang w:val="fr-CA"/>
        </w:rPr>
        <w:t>appui de plusieurs intervenants, soutient que l</w:t>
      </w:r>
      <w:r>
        <w:rPr>
          <w:rFonts w:cs="Times New Roman"/>
          <w:lang w:val="fr-CA"/>
        </w:rPr>
        <w:t>’</w:t>
      </w:r>
      <w:r w:rsidRPr="00990245">
        <w:rPr>
          <w:rFonts w:cs="Times New Roman"/>
          <w:lang w:val="fr-CA"/>
        </w:rPr>
        <w:t>indépendance du barreau est un principe de justice fondamentale et que le régime va à l</w:t>
      </w:r>
      <w:r>
        <w:rPr>
          <w:rFonts w:cs="Times New Roman"/>
          <w:lang w:val="fr-CA"/>
        </w:rPr>
        <w:t>’</w:t>
      </w:r>
      <w:r w:rsidRPr="00990245">
        <w:rPr>
          <w:rFonts w:cs="Times New Roman"/>
          <w:lang w:val="fr-CA"/>
        </w:rPr>
        <w:t xml:space="preserve">encontre de ce principe sous deux rapports. En premier lieu, le régime constitue </w:t>
      </w:r>
      <w:r w:rsidRPr="00990245">
        <w:rPr>
          <w:rFonts w:cs="Times New Roman"/>
          <w:lang w:val="fr-CA"/>
        </w:rPr>
        <w:lastRenderedPageBreak/>
        <w:t>une ingérence directe dans la fourniture de services juridiques aux clients par l</w:t>
      </w:r>
      <w:r>
        <w:rPr>
          <w:rFonts w:cs="Times New Roman"/>
          <w:lang w:val="fr-CA"/>
        </w:rPr>
        <w:t>’</w:t>
      </w:r>
      <w:r w:rsidRPr="00990245">
        <w:rPr>
          <w:rFonts w:cs="Times New Roman"/>
          <w:lang w:val="fr-CA"/>
        </w:rPr>
        <w:t>avocat car il l</w:t>
      </w:r>
      <w:r>
        <w:rPr>
          <w:rFonts w:cs="Times New Roman"/>
          <w:lang w:val="fr-CA"/>
        </w:rPr>
        <w:t>’</w:t>
      </w:r>
      <w:r w:rsidRPr="00990245">
        <w:rPr>
          <w:rFonts w:cs="Times New Roman"/>
          <w:lang w:val="fr-CA"/>
        </w:rPr>
        <w:t>oblige, sous peine d</w:t>
      </w:r>
      <w:r>
        <w:rPr>
          <w:rFonts w:cs="Times New Roman"/>
          <w:lang w:val="fr-CA"/>
        </w:rPr>
        <w:t>’</w:t>
      </w:r>
      <w:r w:rsidRPr="00990245">
        <w:rPr>
          <w:rFonts w:cs="Times New Roman"/>
          <w:lang w:val="fr-CA"/>
        </w:rPr>
        <w:t>emprisonnement, à préparer des documents concernant les activités et les relations des clients ainsi que le détail de leurs opérations dans le cadre d</w:t>
      </w:r>
      <w:r>
        <w:rPr>
          <w:rFonts w:cs="Times New Roman"/>
          <w:lang w:val="fr-CA"/>
        </w:rPr>
        <w:t>’</w:t>
      </w:r>
      <w:r w:rsidRPr="00990245">
        <w:rPr>
          <w:rFonts w:cs="Times New Roman"/>
          <w:lang w:val="fr-CA"/>
        </w:rPr>
        <w:t>un régime dont l</w:t>
      </w:r>
      <w:r>
        <w:rPr>
          <w:rFonts w:cs="Times New Roman"/>
          <w:lang w:val="fr-CA"/>
        </w:rPr>
        <w:t>’</w:t>
      </w:r>
      <w:r w:rsidRPr="00990245">
        <w:rPr>
          <w:rFonts w:cs="Times New Roman"/>
          <w:lang w:val="fr-CA"/>
        </w:rPr>
        <w:t>objectif général relève principalement du droit criminel. On soutient qu</w:t>
      </w:r>
      <w:r>
        <w:rPr>
          <w:rFonts w:cs="Times New Roman"/>
          <w:lang w:val="fr-CA"/>
        </w:rPr>
        <w:t>’</w:t>
      </w:r>
      <w:r w:rsidRPr="00990245">
        <w:rPr>
          <w:rFonts w:cs="Times New Roman"/>
          <w:lang w:val="fr-CA"/>
        </w:rPr>
        <w:t>il s</w:t>
      </w:r>
      <w:r>
        <w:rPr>
          <w:rFonts w:cs="Times New Roman"/>
          <w:lang w:val="fr-CA"/>
        </w:rPr>
        <w:t>’</w:t>
      </w:r>
      <w:r w:rsidRPr="00990245">
        <w:rPr>
          <w:rFonts w:cs="Times New Roman"/>
          <w:lang w:val="fr-CA"/>
        </w:rPr>
        <w:t>agit d</w:t>
      </w:r>
      <w:r>
        <w:rPr>
          <w:rFonts w:cs="Times New Roman"/>
          <w:lang w:val="fr-CA"/>
        </w:rPr>
        <w:t>’</w:t>
      </w:r>
      <w:r w:rsidRPr="00990245">
        <w:rPr>
          <w:rFonts w:cs="Times New Roman"/>
          <w:lang w:val="fr-CA"/>
        </w:rPr>
        <w:t>une intervention directe de l</w:t>
      </w:r>
      <w:r>
        <w:rPr>
          <w:rFonts w:cs="Times New Roman"/>
          <w:lang w:val="fr-CA"/>
        </w:rPr>
        <w:t>’</w:t>
      </w:r>
      <w:r w:rsidRPr="00990245">
        <w:rPr>
          <w:rFonts w:cs="Times New Roman"/>
          <w:lang w:val="fr-CA"/>
        </w:rPr>
        <w:t>État dans la prestation de services juridiques par l</w:t>
      </w:r>
      <w:r>
        <w:rPr>
          <w:rFonts w:cs="Times New Roman"/>
          <w:lang w:val="fr-CA"/>
        </w:rPr>
        <w:t>’</w:t>
      </w:r>
      <w:r w:rsidRPr="00990245">
        <w:rPr>
          <w:rFonts w:cs="Times New Roman"/>
          <w:lang w:val="fr-CA"/>
        </w:rPr>
        <w:t>avocat. En second lieu, l</w:t>
      </w:r>
      <w:r>
        <w:rPr>
          <w:rFonts w:cs="Times New Roman"/>
          <w:lang w:val="fr-CA"/>
        </w:rPr>
        <w:t>’</w:t>
      </w:r>
      <w:r w:rsidRPr="00990245">
        <w:rPr>
          <w:rFonts w:cs="Times New Roman"/>
          <w:lang w:val="fr-CA"/>
        </w:rPr>
        <w:t>avocat a l</w:t>
      </w:r>
      <w:r>
        <w:rPr>
          <w:rFonts w:cs="Times New Roman"/>
          <w:lang w:val="fr-CA"/>
        </w:rPr>
        <w:t>’</w:t>
      </w:r>
      <w:r w:rsidRPr="00990245">
        <w:rPr>
          <w:rFonts w:cs="Times New Roman"/>
          <w:lang w:val="fr-CA"/>
        </w:rPr>
        <w:t>obligation de conserver ces renseignements de sorte que, comme l</w:t>
      </w:r>
      <w:r>
        <w:rPr>
          <w:rFonts w:cs="Times New Roman"/>
          <w:lang w:val="fr-CA"/>
        </w:rPr>
        <w:t>’</w:t>
      </w:r>
      <w:r w:rsidRPr="00990245">
        <w:rPr>
          <w:rFonts w:cs="Times New Roman"/>
          <w:lang w:val="fr-CA"/>
        </w:rPr>
        <w:t>explique la Fédération, le cabinet de l</w:t>
      </w:r>
      <w:r>
        <w:rPr>
          <w:rFonts w:cs="Times New Roman"/>
          <w:lang w:val="fr-CA"/>
        </w:rPr>
        <w:t>’</w:t>
      </w:r>
      <w:r w:rsidRPr="00990245">
        <w:rPr>
          <w:rFonts w:cs="Times New Roman"/>
          <w:lang w:val="fr-CA"/>
        </w:rPr>
        <w:t>avocat devient un dépôt d</w:t>
      </w:r>
      <w:r>
        <w:rPr>
          <w:rFonts w:cs="Times New Roman"/>
          <w:lang w:val="fr-CA"/>
        </w:rPr>
        <w:t>’</w:t>
      </w:r>
      <w:r w:rsidRPr="00990245">
        <w:rPr>
          <w:rFonts w:cs="Times New Roman"/>
          <w:lang w:val="fr-CA"/>
        </w:rPr>
        <w:t>archives à la disposition de la poursuite. Cela sape la confiance entre l</w:t>
      </w:r>
      <w:r>
        <w:rPr>
          <w:rFonts w:cs="Times New Roman"/>
          <w:lang w:val="fr-CA"/>
        </w:rPr>
        <w:t>’</w:t>
      </w:r>
      <w:r w:rsidRPr="00990245">
        <w:rPr>
          <w:rFonts w:cs="Times New Roman"/>
          <w:lang w:val="fr-CA"/>
        </w:rPr>
        <w:t xml:space="preserve">avocat et le client, confiance qui est et doit </w:t>
      </w:r>
      <w:proofErr w:type="gramStart"/>
      <w:r w:rsidRPr="00990245">
        <w:rPr>
          <w:rFonts w:cs="Times New Roman"/>
          <w:lang w:val="fr-CA"/>
        </w:rPr>
        <w:t>demeurer</w:t>
      </w:r>
      <w:proofErr w:type="gramEnd"/>
      <w:r w:rsidRPr="00990245">
        <w:rPr>
          <w:rFonts w:cs="Times New Roman"/>
          <w:lang w:val="fr-CA"/>
        </w:rPr>
        <w:t xml:space="preserve"> à la base de la relation avocat</w:t>
      </w:r>
      <w:r w:rsidR="00601B6E">
        <w:rPr>
          <w:rFonts w:cs="Times New Roman"/>
          <w:lang w:val="fr-CA"/>
        </w:rPr>
        <w:t>-</w:t>
      </w:r>
      <w:r w:rsidRPr="00990245">
        <w:rPr>
          <w:rFonts w:cs="Times New Roman"/>
          <w:lang w:val="fr-CA"/>
        </w:rPr>
        <w:t>client. Suivant cet argument, l</w:t>
      </w:r>
      <w:r>
        <w:rPr>
          <w:rFonts w:cs="Times New Roman"/>
          <w:lang w:val="fr-CA"/>
        </w:rPr>
        <w:t>’</w:t>
      </w:r>
      <w:r w:rsidRPr="00990245">
        <w:rPr>
          <w:rFonts w:cs="Times New Roman"/>
          <w:lang w:val="fr-CA"/>
        </w:rPr>
        <w:t>avocat devient l</w:t>
      </w:r>
      <w:r>
        <w:rPr>
          <w:rFonts w:cs="Times New Roman"/>
          <w:lang w:val="fr-CA"/>
        </w:rPr>
        <w:t>’</w:t>
      </w:r>
      <w:r w:rsidRPr="00990245">
        <w:rPr>
          <w:rFonts w:cs="Times New Roman"/>
          <w:lang w:val="fr-CA"/>
        </w:rPr>
        <w:t>adversaire de son client du fait qu</w:t>
      </w:r>
      <w:r>
        <w:rPr>
          <w:rFonts w:cs="Times New Roman"/>
          <w:lang w:val="fr-CA"/>
        </w:rPr>
        <w:t>’</w:t>
      </w:r>
      <w:r w:rsidRPr="00990245">
        <w:rPr>
          <w:rFonts w:cs="Times New Roman"/>
          <w:lang w:val="fr-CA"/>
        </w:rPr>
        <w:t>il est obligé d</w:t>
      </w:r>
      <w:r>
        <w:rPr>
          <w:rFonts w:cs="Times New Roman"/>
          <w:lang w:val="fr-CA"/>
        </w:rPr>
        <w:t>’</w:t>
      </w:r>
      <w:r w:rsidRPr="00990245">
        <w:rPr>
          <w:rFonts w:cs="Times New Roman"/>
          <w:lang w:val="fr-CA"/>
        </w:rPr>
        <w:t>obtenir de ce dernier des renseignements dont il n</w:t>
      </w:r>
      <w:r>
        <w:rPr>
          <w:rFonts w:cs="Times New Roman"/>
          <w:lang w:val="fr-CA"/>
        </w:rPr>
        <w:t>’</w:t>
      </w:r>
      <w:r w:rsidRPr="00990245">
        <w:rPr>
          <w:rFonts w:cs="Times New Roman"/>
          <w:lang w:val="fr-CA"/>
        </w:rPr>
        <w:t>a pas besoin pour fournir des services juridiques et qu</w:t>
      </w:r>
      <w:r>
        <w:rPr>
          <w:rFonts w:cs="Times New Roman"/>
          <w:lang w:val="fr-CA"/>
        </w:rPr>
        <w:t>’</w:t>
      </w:r>
      <w:r w:rsidRPr="00990245">
        <w:rPr>
          <w:rFonts w:cs="Times New Roman"/>
          <w:lang w:val="fr-CA"/>
        </w:rPr>
        <w:t>il est tenu en outre de conserver ces renseignements pour le compte de l</w:t>
      </w:r>
      <w:r>
        <w:rPr>
          <w:rFonts w:cs="Times New Roman"/>
          <w:lang w:val="fr-CA"/>
        </w:rPr>
        <w:t>’</w:t>
      </w:r>
      <w:r w:rsidRPr="00990245">
        <w:rPr>
          <w:rFonts w:cs="Times New Roman"/>
          <w:lang w:val="fr-CA"/>
        </w:rPr>
        <w:t xml:space="preserve">État. </w:t>
      </w:r>
    </w:p>
    <w:p w:rsidR="00CA3D49" w:rsidRPr="00990245" w:rsidRDefault="00CA3D49" w:rsidP="00CA3D49">
      <w:pPr>
        <w:pStyle w:val="ParaNoNdepar-AltN"/>
        <w:rPr>
          <w:rFonts w:cs="Times New Roman"/>
          <w:lang w:val="fr-CA"/>
        </w:rPr>
      </w:pPr>
      <w:r w:rsidRPr="00990245">
        <w:rPr>
          <w:rFonts w:cs="Times New Roman"/>
          <w:lang w:val="fr-CA"/>
        </w:rPr>
        <w:t>Si j</w:t>
      </w:r>
      <w:r>
        <w:rPr>
          <w:rFonts w:cs="Times New Roman"/>
          <w:lang w:val="fr-CA"/>
        </w:rPr>
        <w:t>’</w:t>
      </w:r>
      <w:r w:rsidRPr="00990245">
        <w:rPr>
          <w:rFonts w:cs="Times New Roman"/>
          <w:lang w:val="fr-CA"/>
        </w:rPr>
        <w:t>ai bien compris ces arguments, l</w:t>
      </w:r>
      <w:r>
        <w:rPr>
          <w:rFonts w:cs="Times New Roman"/>
          <w:lang w:val="fr-CA"/>
        </w:rPr>
        <w:t>’</w:t>
      </w:r>
      <w:r w:rsidRPr="00990245">
        <w:rPr>
          <w:rFonts w:cs="Times New Roman"/>
          <w:lang w:val="fr-CA"/>
        </w:rPr>
        <w:t>intimée fait en réalité valoir deux versions du principe</w:t>
      </w:r>
      <w:r w:rsidR="00601B6E">
        <w:rPr>
          <w:rFonts w:cs="Times New Roman"/>
          <w:lang w:val="fr-CA"/>
        </w:rPr>
        <w:t> :</w:t>
      </w:r>
      <w:r w:rsidRPr="00990245">
        <w:rPr>
          <w:rFonts w:cs="Times New Roman"/>
          <w:lang w:val="fr-CA"/>
        </w:rPr>
        <w:t xml:space="preserve"> l</w:t>
      </w:r>
      <w:r>
        <w:rPr>
          <w:rFonts w:cs="Times New Roman"/>
          <w:lang w:val="fr-CA"/>
        </w:rPr>
        <w:t>’</w:t>
      </w:r>
      <w:r w:rsidRPr="00990245">
        <w:rPr>
          <w:rFonts w:cs="Times New Roman"/>
          <w:lang w:val="fr-CA"/>
        </w:rPr>
        <w:t>une large et l</w:t>
      </w:r>
      <w:r>
        <w:rPr>
          <w:rFonts w:cs="Times New Roman"/>
          <w:lang w:val="fr-CA"/>
        </w:rPr>
        <w:t>’</w:t>
      </w:r>
      <w:r w:rsidRPr="00990245">
        <w:rPr>
          <w:rFonts w:cs="Times New Roman"/>
          <w:lang w:val="fr-CA"/>
        </w:rPr>
        <w:t>autre étroite.</w:t>
      </w:r>
    </w:p>
    <w:p w:rsidR="00CA3D49" w:rsidRPr="00990245" w:rsidRDefault="00CA3D49" w:rsidP="00CA3D49">
      <w:pPr>
        <w:pStyle w:val="ParaNoNdepar-AltN"/>
        <w:rPr>
          <w:rFonts w:cs="Times New Roman"/>
          <w:lang w:val="fr-CA"/>
        </w:rPr>
      </w:pPr>
      <w:r w:rsidRPr="00990245">
        <w:rPr>
          <w:rFonts w:cs="Times New Roman"/>
          <w:lang w:val="fr-CA"/>
        </w:rPr>
        <w:t>D</w:t>
      </w:r>
      <w:r>
        <w:rPr>
          <w:rFonts w:cs="Times New Roman"/>
          <w:lang w:val="fr-CA"/>
        </w:rPr>
        <w:t>’</w:t>
      </w:r>
      <w:r w:rsidRPr="00990245">
        <w:rPr>
          <w:rFonts w:cs="Times New Roman"/>
          <w:lang w:val="fr-CA"/>
        </w:rPr>
        <w:t>après la version large, l</w:t>
      </w:r>
      <w:r>
        <w:rPr>
          <w:rFonts w:cs="Times New Roman"/>
          <w:lang w:val="fr-CA"/>
        </w:rPr>
        <w:t>’</w:t>
      </w:r>
      <w:r w:rsidRPr="00990245">
        <w:rPr>
          <w:rFonts w:cs="Times New Roman"/>
          <w:lang w:val="fr-CA"/>
        </w:rPr>
        <w:t>indépendance du barreau signifie que les avocats [</w:t>
      </w:r>
      <w:r w:rsidRPr="00990245">
        <w:rPr>
          <w:rFonts w:cs="Times New Roman"/>
          <w:smallCaps/>
          <w:lang w:val="fr-CA"/>
        </w:rPr>
        <w:t>traduction</w:t>
      </w:r>
      <w:r w:rsidRPr="00990245">
        <w:rPr>
          <w:rFonts w:cs="Times New Roman"/>
          <w:lang w:val="fr-CA"/>
        </w:rPr>
        <w:t>]</w:t>
      </w:r>
      <w:r w:rsidR="00601B6E">
        <w:rPr>
          <w:rFonts w:cs="Times New Roman"/>
          <w:lang w:val="fr-CA"/>
        </w:rPr>
        <w:t xml:space="preserve"> « </w:t>
      </w:r>
      <w:r w:rsidRPr="00990245">
        <w:rPr>
          <w:rFonts w:cs="Times New Roman"/>
          <w:lang w:val="fr-CA"/>
        </w:rPr>
        <w:t>sont à l</w:t>
      </w:r>
      <w:r>
        <w:rPr>
          <w:rFonts w:cs="Times New Roman"/>
          <w:lang w:val="fr-CA"/>
        </w:rPr>
        <w:t>’</w:t>
      </w:r>
      <w:r w:rsidRPr="00990245">
        <w:rPr>
          <w:rFonts w:cs="Times New Roman"/>
          <w:lang w:val="fr-CA"/>
        </w:rPr>
        <w:t>abri de toute ingérence extérieure, notamment de la part des pouvoirs publics</w:t>
      </w:r>
      <w:r w:rsidR="00601B6E">
        <w:rPr>
          <w:rFonts w:cs="Times New Roman"/>
          <w:lang w:val="fr-CA"/>
        </w:rPr>
        <w:t> »</w:t>
      </w:r>
      <w:r w:rsidRPr="00990245">
        <w:rPr>
          <w:rFonts w:cs="Times New Roman"/>
          <w:lang w:val="fr-CA"/>
        </w:rPr>
        <w:t xml:space="preserve"> (motifs de la Cour d</w:t>
      </w:r>
      <w:r>
        <w:rPr>
          <w:rFonts w:cs="Times New Roman"/>
          <w:lang w:val="fr-CA"/>
        </w:rPr>
        <w:t>’</w:t>
      </w:r>
      <w:r w:rsidRPr="00990245">
        <w:rPr>
          <w:rFonts w:cs="Times New Roman"/>
          <w:lang w:val="fr-CA"/>
        </w:rPr>
        <w:t>appel, par.</w:t>
      </w:r>
      <w:r w:rsidR="00601B6E">
        <w:rPr>
          <w:rFonts w:cs="Times New Roman"/>
          <w:lang w:val="fr-CA"/>
        </w:rPr>
        <w:t xml:space="preserve"> </w:t>
      </w:r>
      <w:r w:rsidRPr="00990245">
        <w:rPr>
          <w:rFonts w:cs="Times New Roman"/>
          <w:lang w:val="fr-CA"/>
        </w:rPr>
        <w:t>113). La conception plus étroite, davantage circonscrite, est ancrée dans la crainte que l</w:t>
      </w:r>
      <w:r>
        <w:rPr>
          <w:rFonts w:cs="Times New Roman"/>
          <w:lang w:val="fr-CA"/>
        </w:rPr>
        <w:t>’</w:t>
      </w:r>
      <w:r w:rsidRPr="00990245">
        <w:rPr>
          <w:rFonts w:cs="Times New Roman"/>
          <w:lang w:val="fr-CA"/>
        </w:rPr>
        <w:t>État nuise au dévouement de l</w:t>
      </w:r>
      <w:r>
        <w:rPr>
          <w:rFonts w:cs="Times New Roman"/>
          <w:lang w:val="fr-CA"/>
        </w:rPr>
        <w:t>’</w:t>
      </w:r>
      <w:r w:rsidRPr="00990245">
        <w:rPr>
          <w:rFonts w:cs="Times New Roman"/>
          <w:lang w:val="fr-CA"/>
        </w:rPr>
        <w:t>avocat à la cause du client. Cette conception revient, selon moi, à affirmer que l</w:t>
      </w:r>
      <w:r>
        <w:rPr>
          <w:rFonts w:cs="Times New Roman"/>
          <w:lang w:val="fr-CA"/>
        </w:rPr>
        <w:t>’</w:t>
      </w:r>
      <w:r w:rsidRPr="00990245">
        <w:rPr>
          <w:rFonts w:cs="Times New Roman"/>
          <w:lang w:val="fr-CA"/>
        </w:rPr>
        <w:t>État ne peut imposer aux avocats des obligations qui nuisent à l</w:t>
      </w:r>
      <w:r>
        <w:rPr>
          <w:rFonts w:cs="Times New Roman"/>
          <w:lang w:val="fr-CA"/>
        </w:rPr>
        <w:t>’</w:t>
      </w:r>
      <w:r w:rsidRPr="00990245">
        <w:rPr>
          <w:rFonts w:cs="Times New Roman"/>
          <w:lang w:val="fr-CA"/>
        </w:rPr>
        <w:t xml:space="preserve">accomplissement de leur devoir de se dévouer au service des intérêts légitimes de </w:t>
      </w:r>
      <w:r w:rsidRPr="00990245">
        <w:rPr>
          <w:rFonts w:cs="Times New Roman"/>
          <w:lang w:val="fr-CA"/>
        </w:rPr>
        <w:lastRenderedPageBreak/>
        <w:t>leurs clients. À mon avis, le principe plus étroit est le plus pertinent en l</w:t>
      </w:r>
      <w:r>
        <w:rPr>
          <w:rFonts w:cs="Times New Roman"/>
          <w:lang w:val="fr-CA"/>
        </w:rPr>
        <w:t>’</w:t>
      </w:r>
      <w:r w:rsidRPr="00990245">
        <w:rPr>
          <w:rFonts w:cs="Times New Roman"/>
          <w:lang w:val="fr-CA"/>
        </w:rPr>
        <w:t>espèce</w:t>
      </w:r>
      <w:r w:rsidR="00601B6E">
        <w:rPr>
          <w:rFonts w:cs="Times New Roman"/>
          <w:lang w:val="fr-CA"/>
        </w:rPr>
        <w:t> :</w:t>
      </w:r>
      <w:r w:rsidRPr="00990245">
        <w:rPr>
          <w:rFonts w:cs="Times New Roman"/>
          <w:lang w:val="fr-CA"/>
        </w:rPr>
        <w:t xml:space="preserve"> d</w:t>
      </w:r>
      <w:r>
        <w:rPr>
          <w:rFonts w:cs="Times New Roman"/>
          <w:lang w:val="fr-CA"/>
        </w:rPr>
        <w:t>’</w:t>
      </w:r>
      <w:r w:rsidRPr="00990245">
        <w:rPr>
          <w:rFonts w:cs="Times New Roman"/>
          <w:lang w:val="fr-CA"/>
        </w:rPr>
        <w:t>après l</w:t>
      </w:r>
      <w:r>
        <w:rPr>
          <w:rFonts w:cs="Times New Roman"/>
          <w:lang w:val="fr-CA"/>
        </w:rPr>
        <w:t>’</w:t>
      </w:r>
      <w:r w:rsidRPr="00990245">
        <w:rPr>
          <w:rFonts w:cs="Times New Roman"/>
          <w:lang w:val="fr-CA"/>
        </w:rPr>
        <w:t>argument central, le présent régime entrave de façon substantielle l</w:t>
      </w:r>
      <w:r>
        <w:rPr>
          <w:rFonts w:cs="Times New Roman"/>
          <w:lang w:val="fr-CA"/>
        </w:rPr>
        <w:t>’</w:t>
      </w:r>
      <w:r w:rsidRPr="00990245">
        <w:rPr>
          <w:rFonts w:cs="Times New Roman"/>
          <w:lang w:val="fr-CA"/>
        </w:rPr>
        <w:t>accomplissement du devoir des avocats de se dévouer à la cause de leurs clients parce qu</w:t>
      </w:r>
      <w:r>
        <w:rPr>
          <w:rFonts w:cs="Times New Roman"/>
          <w:lang w:val="fr-CA"/>
        </w:rPr>
        <w:t>’</w:t>
      </w:r>
      <w:r w:rsidRPr="00990245">
        <w:rPr>
          <w:rFonts w:cs="Times New Roman"/>
          <w:lang w:val="fr-CA"/>
        </w:rPr>
        <w:t>il leur impose des obligations d</w:t>
      </w:r>
      <w:r>
        <w:rPr>
          <w:rFonts w:cs="Times New Roman"/>
          <w:lang w:val="fr-CA"/>
        </w:rPr>
        <w:t>’</w:t>
      </w:r>
      <w:r w:rsidRPr="00990245">
        <w:rPr>
          <w:rFonts w:cs="Times New Roman"/>
          <w:lang w:val="fr-CA"/>
        </w:rPr>
        <w:t>agir envers l</w:t>
      </w:r>
      <w:r>
        <w:rPr>
          <w:rFonts w:cs="Times New Roman"/>
          <w:lang w:val="fr-CA"/>
        </w:rPr>
        <w:t>’</w:t>
      </w:r>
      <w:r w:rsidRPr="00990245">
        <w:rPr>
          <w:rFonts w:cs="Times New Roman"/>
          <w:lang w:val="fr-CA"/>
        </w:rPr>
        <w:t>État qui sont contraires aux intérêts légitimes de leurs clients et peuvent en fait transformer les avocats en agents de l</w:t>
      </w:r>
      <w:r>
        <w:rPr>
          <w:rFonts w:cs="Times New Roman"/>
          <w:lang w:val="fr-CA"/>
        </w:rPr>
        <w:t>’</w:t>
      </w:r>
      <w:r w:rsidRPr="00990245">
        <w:rPr>
          <w:rFonts w:cs="Times New Roman"/>
          <w:lang w:val="fr-CA"/>
        </w:rPr>
        <w:t xml:space="preserve">État à cette fin.  </w:t>
      </w:r>
    </w:p>
    <w:p w:rsidR="00CA3D49" w:rsidRPr="00990245" w:rsidRDefault="00CA3D49" w:rsidP="00CA3D49">
      <w:pPr>
        <w:pStyle w:val="ParaNoNdepar-AltN"/>
        <w:rPr>
          <w:rFonts w:cs="Times New Roman"/>
          <w:lang w:val="fr-CA"/>
        </w:rPr>
      </w:pPr>
      <w:r w:rsidRPr="00990245">
        <w:rPr>
          <w:rFonts w:cs="Times New Roman"/>
          <w:lang w:val="fr-CA"/>
        </w:rPr>
        <w:t>Pour sa part, le procureur général fait valoir qu</w:t>
      </w:r>
      <w:r>
        <w:rPr>
          <w:rFonts w:cs="Times New Roman"/>
          <w:lang w:val="fr-CA"/>
        </w:rPr>
        <w:t>’</w:t>
      </w:r>
      <w:r w:rsidRPr="00990245">
        <w:rPr>
          <w:rFonts w:cs="Times New Roman"/>
          <w:lang w:val="fr-CA"/>
        </w:rPr>
        <w:t>il n</w:t>
      </w:r>
      <w:r>
        <w:rPr>
          <w:rFonts w:cs="Times New Roman"/>
          <w:lang w:val="fr-CA"/>
        </w:rPr>
        <w:t>’</w:t>
      </w:r>
      <w:r w:rsidRPr="00990245">
        <w:rPr>
          <w:rFonts w:cs="Times New Roman"/>
          <w:lang w:val="fr-CA"/>
        </w:rPr>
        <w:t>existe aucun principe de justice fondamentale se rapportant à l</w:t>
      </w:r>
      <w:r>
        <w:rPr>
          <w:rFonts w:cs="Times New Roman"/>
          <w:lang w:val="fr-CA"/>
        </w:rPr>
        <w:t>’</w:t>
      </w:r>
      <w:r w:rsidRPr="00990245">
        <w:rPr>
          <w:rFonts w:cs="Times New Roman"/>
          <w:lang w:val="fr-CA"/>
        </w:rPr>
        <w:t>indépendance du barreau. D</w:t>
      </w:r>
      <w:r>
        <w:rPr>
          <w:rFonts w:cs="Times New Roman"/>
          <w:lang w:val="fr-CA"/>
        </w:rPr>
        <w:t>’</w:t>
      </w:r>
      <w:r w:rsidRPr="00990245">
        <w:rPr>
          <w:rFonts w:cs="Times New Roman"/>
          <w:lang w:val="fr-CA"/>
        </w:rPr>
        <w:t>après lui, la définition large donnée par la Cour d</w:t>
      </w:r>
      <w:r>
        <w:rPr>
          <w:rFonts w:cs="Times New Roman"/>
          <w:lang w:val="fr-CA"/>
        </w:rPr>
        <w:t>’</w:t>
      </w:r>
      <w:r w:rsidRPr="00990245">
        <w:rPr>
          <w:rFonts w:cs="Times New Roman"/>
          <w:lang w:val="fr-CA"/>
        </w:rPr>
        <w:t>appel à l</w:t>
      </w:r>
      <w:r>
        <w:rPr>
          <w:rFonts w:cs="Times New Roman"/>
          <w:lang w:val="fr-CA"/>
        </w:rPr>
        <w:t>’</w:t>
      </w:r>
      <w:r w:rsidRPr="00990245">
        <w:rPr>
          <w:rFonts w:cs="Times New Roman"/>
          <w:lang w:val="fr-CA"/>
        </w:rPr>
        <w:t>indépendance du barreau place essentiellement les avocats au</w:t>
      </w:r>
      <w:r w:rsidR="00601B6E">
        <w:rPr>
          <w:rFonts w:cs="Times New Roman"/>
          <w:lang w:val="fr-CA"/>
        </w:rPr>
        <w:t>-</w:t>
      </w:r>
      <w:r w:rsidRPr="00990245">
        <w:rPr>
          <w:rFonts w:cs="Times New Roman"/>
          <w:lang w:val="fr-CA"/>
        </w:rPr>
        <w:t>dessus des lois. Le principe de l</w:t>
      </w:r>
      <w:r>
        <w:rPr>
          <w:rFonts w:cs="Times New Roman"/>
          <w:lang w:val="fr-CA"/>
        </w:rPr>
        <w:t>’</w:t>
      </w:r>
      <w:r w:rsidRPr="00990245">
        <w:rPr>
          <w:rFonts w:cs="Times New Roman"/>
          <w:lang w:val="fr-CA"/>
        </w:rPr>
        <w:t>indépendance du barreau ne satisfait à aucune des trois</w:t>
      </w:r>
      <w:r w:rsidR="00601B6E">
        <w:rPr>
          <w:rFonts w:cs="Times New Roman"/>
          <w:lang w:val="fr-CA"/>
        </w:rPr>
        <w:t xml:space="preserve"> </w:t>
      </w:r>
      <w:r w:rsidRPr="00990245">
        <w:rPr>
          <w:rFonts w:cs="Times New Roman"/>
          <w:lang w:val="fr-CA"/>
        </w:rPr>
        <w:t>conditions que doit remplir un principe de justice fondamentale. Bien qu</w:t>
      </w:r>
      <w:r>
        <w:rPr>
          <w:rFonts w:cs="Times New Roman"/>
          <w:lang w:val="fr-CA"/>
        </w:rPr>
        <w:t>’</w:t>
      </w:r>
      <w:r w:rsidRPr="00990245">
        <w:rPr>
          <w:rFonts w:cs="Times New Roman"/>
          <w:lang w:val="fr-CA"/>
        </w:rPr>
        <w:t>elle constitue un intérêt important de l</w:t>
      </w:r>
      <w:r>
        <w:rPr>
          <w:rFonts w:cs="Times New Roman"/>
          <w:lang w:val="fr-CA"/>
        </w:rPr>
        <w:t>’</w:t>
      </w:r>
      <w:r w:rsidRPr="00990245">
        <w:rPr>
          <w:rFonts w:cs="Times New Roman"/>
          <w:lang w:val="fr-CA"/>
        </w:rPr>
        <w:t>État, l</w:t>
      </w:r>
      <w:r>
        <w:rPr>
          <w:rFonts w:cs="Times New Roman"/>
          <w:lang w:val="fr-CA"/>
        </w:rPr>
        <w:t>’</w:t>
      </w:r>
      <w:r w:rsidRPr="00990245">
        <w:rPr>
          <w:rFonts w:cs="Times New Roman"/>
          <w:lang w:val="fr-CA"/>
        </w:rPr>
        <w:t>indépendance du barreau n</w:t>
      </w:r>
      <w:r>
        <w:rPr>
          <w:rFonts w:cs="Times New Roman"/>
          <w:lang w:val="fr-CA"/>
        </w:rPr>
        <w:t>’</w:t>
      </w:r>
      <w:r w:rsidRPr="00990245">
        <w:rPr>
          <w:rFonts w:cs="Times New Roman"/>
          <w:lang w:val="fr-CA"/>
        </w:rPr>
        <w:t>est pas un principe juridique. Il ne se dégage pas de large consensus au sein de la société quant à l</w:t>
      </w:r>
      <w:r>
        <w:rPr>
          <w:rFonts w:cs="Times New Roman"/>
          <w:lang w:val="fr-CA"/>
        </w:rPr>
        <w:t>’</w:t>
      </w:r>
      <w:r w:rsidRPr="00990245">
        <w:rPr>
          <w:rFonts w:cs="Times New Roman"/>
          <w:lang w:val="fr-CA"/>
        </w:rPr>
        <w:t>existence de ce principe, qui ne peut être défini avec suffisamment de précision. Aux dires du procureur général, l</w:t>
      </w:r>
      <w:r>
        <w:rPr>
          <w:rFonts w:cs="Times New Roman"/>
          <w:lang w:val="fr-CA"/>
        </w:rPr>
        <w:t>’</w:t>
      </w:r>
      <w:r w:rsidRPr="00990245">
        <w:rPr>
          <w:rFonts w:cs="Times New Roman"/>
          <w:lang w:val="fr-CA"/>
        </w:rPr>
        <w:t>indépendance du barreau n</w:t>
      </w:r>
      <w:r>
        <w:rPr>
          <w:rFonts w:cs="Times New Roman"/>
          <w:lang w:val="fr-CA"/>
        </w:rPr>
        <w:t>’</w:t>
      </w:r>
      <w:r w:rsidRPr="00990245">
        <w:rPr>
          <w:rFonts w:cs="Times New Roman"/>
          <w:lang w:val="fr-CA"/>
        </w:rPr>
        <w:t xml:space="preserve">évoque pas une norme justiciable. </w:t>
      </w:r>
    </w:p>
    <w:p w:rsidR="00CA3D49" w:rsidRPr="00990245" w:rsidRDefault="00CA3D49" w:rsidP="00CA3D49">
      <w:pPr>
        <w:pStyle w:val="ParaNoNdepar-AltN"/>
        <w:rPr>
          <w:rFonts w:cs="Times New Roman"/>
          <w:lang w:val="fr-CA"/>
        </w:rPr>
      </w:pPr>
      <w:r w:rsidRPr="00990245">
        <w:rPr>
          <w:rFonts w:cs="Times New Roman"/>
          <w:lang w:val="fr-CA"/>
        </w:rPr>
        <w:t>Le procureur général soutient que, même si l</w:t>
      </w:r>
      <w:r>
        <w:rPr>
          <w:rFonts w:cs="Times New Roman"/>
          <w:lang w:val="fr-CA"/>
        </w:rPr>
        <w:t>’</w:t>
      </w:r>
      <w:r w:rsidRPr="00990245">
        <w:rPr>
          <w:rFonts w:cs="Times New Roman"/>
          <w:lang w:val="fr-CA"/>
        </w:rPr>
        <w:t>indépendance du barreau constitue un principe de justice fondamentale, le régime respecte ce principe. La Cour d</w:t>
      </w:r>
      <w:r>
        <w:rPr>
          <w:rFonts w:cs="Times New Roman"/>
          <w:lang w:val="fr-CA"/>
        </w:rPr>
        <w:t>’</w:t>
      </w:r>
      <w:r w:rsidRPr="00990245">
        <w:rPr>
          <w:rFonts w:cs="Times New Roman"/>
          <w:lang w:val="fr-CA"/>
        </w:rPr>
        <w:t>appel a eu tort de conclure que le régime avait pour effet de transformer au moins certains avocats en des agents de l</w:t>
      </w:r>
      <w:r>
        <w:rPr>
          <w:rFonts w:cs="Times New Roman"/>
          <w:lang w:val="fr-CA"/>
        </w:rPr>
        <w:t>’</w:t>
      </w:r>
      <w:r w:rsidRPr="00990245">
        <w:rPr>
          <w:rFonts w:cs="Times New Roman"/>
          <w:lang w:val="fr-CA"/>
        </w:rPr>
        <w:t>État. Le procureur général ajoute que cette conclusion tient à une mauvaise interprétation, par la Cour d</w:t>
      </w:r>
      <w:r>
        <w:rPr>
          <w:rFonts w:cs="Times New Roman"/>
          <w:lang w:val="fr-CA"/>
        </w:rPr>
        <w:t>’</w:t>
      </w:r>
      <w:r w:rsidRPr="00990245">
        <w:rPr>
          <w:rFonts w:cs="Times New Roman"/>
          <w:lang w:val="fr-CA"/>
        </w:rPr>
        <w:t xml:space="preserve">appel, de la nature des obligations imposées aux avocats de tenir des documents financiers, de la mesure </w:t>
      </w:r>
      <w:r w:rsidRPr="00990245">
        <w:rPr>
          <w:rFonts w:cs="Times New Roman"/>
          <w:lang w:val="fr-CA"/>
        </w:rPr>
        <w:lastRenderedPageBreak/>
        <w:t>dans laquelle le CANAFE peut consulter les documents en question au cours d</w:t>
      </w:r>
      <w:r>
        <w:rPr>
          <w:rFonts w:cs="Times New Roman"/>
          <w:lang w:val="fr-CA"/>
        </w:rPr>
        <w:t>’</w:t>
      </w:r>
      <w:r w:rsidRPr="00990245">
        <w:rPr>
          <w:rFonts w:cs="Times New Roman"/>
          <w:lang w:val="fr-CA"/>
        </w:rPr>
        <w:t>une vérification de conformité et de l</w:t>
      </w:r>
      <w:r>
        <w:rPr>
          <w:rFonts w:cs="Times New Roman"/>
          <w:lang w:val="fr-CA"/>
        </w:rPr>
        <w:t>’</w:t>
      </w:r>
      <w:r w:rsidRPr="00990245">
        <w:rPr>
          <w:rFonts w:cs="Times New Roman"/>
          <w:lang w:val="fr-CA"/>
        </w:rPr>
        <w:t>interdiction frappant l</w:t>
      </w:r>
      <w:r>
        <w:rPr>
          <w:rFonts w:cs="Times New Roman"/>
          <w:lang w:val="fr-CA"/>
        </w:rPr>
        <w:t>’</w:t>
      </w:r>
      <w:r w:rsidRPr="00990245">
        <w:rPr>
          <w:rFonts w:cs="Times New Roman"/>
          <w:lang w:val="fr-CA"/>
        </w:rPr>
        <w:t>utilisation dérivée de ces documents prévue à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65 de la </w:t>
      </w:r>
      <w:r w:rsidRPr="003E04C3">
        <w:rPr>
          <w:rFonts w:cs="Times New Roman"/>
          <w:iCs/>
          <w:lang w:val="fr-CA"/>
        </w:rPr>
        <w:t>Loi</w:t>
      </w:r>
      <w:r w:rsidRPr="00990245">
        <w:rPr>
          <w:rFonts w:cs="Times New Roman"/>
          <w:lang w:val="fr-CA"/>
        </w:rPr>
        <w:t xml:space="preserve">. Le procureur général fait observer que les avocats </w:t>
      </w:r>
      <w:proofErr w:type="gramStart"/>
      <w:r w:rsidRPr="00990245">
        <w:rPr>
          <w:rFonts w:cs="Times New Roman"/>
          <w:lang w:val="fr-CA"/>
        </w:rPr>
        <w:t>sont</w:t>
      </w:r>
      <w:proofErr w:type="gramEnd"/>
      <w:r w:rsidRPr="00990245">
        <w:rPr>
          <w:rFonts w:cs="Times New Roman"/>
          <w:lang w:val="fr-CA"/>
        </w:rPr>
        <w:t xml:space="preserve"> dispensés des obligations de déclaration de la </w:t>
      </w:r>
      <w:r w:rsidRPr="003E04C3">
        <w:rPr>
          <w:rFonts w:cs="Times New Roman"/>
          <w:lang w:val="fr-CA"/>
        </w:rPr>
        <w:t>Loi</w:t>
      </w:r>
      <w:r w:rsidRPr="00990245">
        <w:rPr>
          <w:rFonts w:cs="Times New Roman"/>
          <w:lang w:val="fr-CA"/>
        </w:rPr>
        <w:t xml:space="preserve"> auxquelles sont assujettis les comptables et autres professionnels qui agissent comme intermédiaires financiers.</w:t>
      </w:r>
    </w:p>
    <w:p w:rsidR="00CA3D49" w:rsidRPr="00990245" w:rsidRDefault="00CA3D49" w:rsidP="00CA3D49">
      <w:pPr>
        <w:pStyle w:val="ParaNoNdepar-AltN"/>
        <w:rPr>
          <w:rFonts w:cs="Times New Roman"/>
          <w:lang w:val="fr-CA"/>
        </w:rPr>
      </w:pPr>
      <w:r w:rsidRPr="00990245">
        <w:rPr>
          <w:rFonts w:cs="Times New Roman"/>
          <w:lang w:val="fr-CA"/>
        </w:rPr>
        <w:t>À mon avis, il y a beaucoup de mérite dans les arguments du procureur général examinés relativement à la notion générale d</w:t>
      </w:r>
      <w:r>
        <w:rPr>
          <w:rFonts w:cs="Times New Roman"/>
          <w:lang w:val="fr-CA"/>
        </w:rPr>
        <w:t>’</w:t>
      </w:r>
      <w:r w:rsidRPr="00990245">
        <w:rPr>
          <w:rFonts w:cs="Times New Roman"/>
          <w:lang w:val="fr-CA"/>
        </w:rPr>
        <w:t>indépendance du barreau qu</w:t>
      </w:r>
      <w:r>
        <w:rPr>
          <w:rFonts w:cs="Times New Roman"/>
          <w:lang w:val="fr-CA"/>
        </w:rPr>
        <w:t>’</w:t>
      </w:r>
      <w:r w:rsidRPr="00990245">
        <w:rPr>
          <w:rFonts w:cs="Times New Roman"/>
          <w:lang w:val="fr-CA"/>
        </w:rPr>
        <w:t>invoque la Fédération. Cependant, je n</w:t>
      </w:r>
      <w:r>
        <w:rPr>
          <w:rFonts w:cs="Times New Roman"/>
          <w:lang w:val="fr-CA"/>
        </w:rPr>
        <w:t>’</w:t>
      </w:r>
      <w:r w:rsidRPr="00990245">
        <w:rPr>
          <w:rFonts w:cs="Times New Roman"/>
          <w:lang w:val="fr-CA"/>
        </w:rPr>
        <w:t>ai pas à statuer de manière définitive sur ce point pour les besoins du présent pourvoi. La conception plus étroite de l</w:t>
      </w:r>
      <w:r>
        <w:rPr>
          <w:rFonts w:cs="Times New Roman"/>
          <w:lang w:val="fr-CA"/>
        </w:rPr>
        <w:t>’</w:t>
      </w:r>
      <w:r w:rsidRPr="00990245">
        <w:rPr>
          <w:rFonts w:cs="Times New Roman"/>
          <w:lang w:val="fr-CA"/>
        </w:rPr>
        <w:t>indépendance du barreau qui a trait au devoir de l</w:t>
      </w:r>
      <w:r>
        <w:rPr>
          <w:rFonts w:cs="Times New Roman"/>
          <w:lang w:val="fr-CA"/>
        </w:rPr>
        <w:t>’</w:t>
      </w:r>
      <w:r w:rsidRPr="00990245">
        <w:rPr>
          <w:rFonts w:cs="Times New Roman"/>
          <w:lang w:val="fr-CA"/>
        </w:rPr>
        <w:t>avocat de se dévouer à la cause du client constitue l</w:t>
      </w:r>
      <w:r>
        <w:rPr>
          <w:rFonts w:cs="Times New Roman"/>
          <w:lang w:val="fr-CA"/>
        </w:rPr>
        <w:t>’</w:t>
      </w:r>
      <w:r w:rsidRPr="00990245">
        <w:rPr>
          <w:rFonts w:cs="Times New Roman"/>
          <w:lang w:val="fr-CA"/>
        </w:rPr>
        <w:t>aspect du devoir particulier de l</w:t>
      </w:r>
      <w:r>
        <w:rPr>
          <w:rFonts w:cs="Times New Roman"/>
          <w:lang w:val="fr-CA"/>
        </w:rPr>
        <w:t>’</w:t>
      </w:r>
      <w:r w:rsidRPr="00990245">
        <w:rPr>
          <w:rFonts w:cs="Times New Roman"/>
          <w:lang w:val="fr-CA"/>
        </w:rPr>
        <w:t>avocat envers son client qui est le plus pertinent en l</w:t>
      </w:r>
      <w:r>
        <w:rPr>
          <w:rFonts w:cs="Times New Roman"/>
          <w:lang w:val="fr-CA"/>
        </w:rPr>
        <w:t>’</w:t>
      </w:r>
      <w:r w:rsidRPr="00990245">
        <w:rPr>
          <w:rFonts w:cs="Times New Roman"/>
          <w:lang w:val="fr-CA"/>
        </w:rPr>
        <w:t>espèce.</w:t>
      </w:r>
    </w:p>
    <w:p w:rsidR="00CA3D49" w:rsidRPr="00990245" w:rsidRDefault="00CA3D49" w:rsidP="00CA3D49">
      <w:pPr>
        <w:pStyle w:val="ParaNoNdepar-AltN"/>
        <w:rPr>
          <w:rFonts w:cs="Times New Roman"/>
          <w:lang w:val="fr-CA"/>
        </w:rPr>
      </w:pPr>
      <w:r w:rsidRPr="00990245">
        <w:rPr>
          <w:rFonts w:cs="Times New Roman"/>
          <w:lang w:val="fr-CA"/>
        </w:rPr>
        <w:t>Le devoir des avocats d</w:t>
      </w:r>
      <w:r>
        <w:rPr>
          <w:rFonts w:cs="Times New Roman"/>
          <w:lang w:val="fr-CA"/>
        </w:rPr>
        <w:t>’</w:t>
      </w:r>
      <w:r w:rsidRPr="00990245">
        <w:rPr>
          <w:rFonts w:cs="Times New Roman"/>
          <w:lang w:val="fr-CA"/>
        </w:rPr>
        <w:t>éviter les conflits d</w:t>
      </w:r>
      <w:r>
        <w:rPr>
          <w:rFonts w:cs="Times New Roman"/>
          <w:lang w:val="fr-CA"/>
        </w:rPr>
        <w:t>’</w:t>
      </w:r>
      <w:r w:rsidRPr="00990245">
        <w:rPr>
          <w:rFonts w:cs="Times New Roman"/>
          <w:lang w:val="fr-CA"/>
        </w:rPr>
        <w:t>intérêts est au cœur tant du cadre juridique général définissant les obligations fiduciaires qu</w:t>
      </w:r>
      <w:r>
        <w:rPr>
          <w:rFonts w:cs="Times New Roman"/>
          <w:lang w:val="fr-CA"/>
        </w:rPr>
        <w:t>’</w:t>
      </w:r>
      <w:r w:rsidRPr="00990245">
        <w:rPr>
          <w:rFonts w:cs="Times New Roman"/>
          <w:lang w:val="fr-CA"/>
        </w:rPr>
        <w:t>ils ont envers leurs clients que des principes de déontologie régissant leur conduite professionnelle. Ce devoir vise à éviter aux clients deux risques de préjudice</w:t>
      </w:r>
      <w:r w:rsidR="00601B6E">
        <w:rPr>
          <w:rFonts w:cs="Times New Roman"/>
          <w:lang w:val="fr-CA"/>
        </w:rPr>
        <w:t> :</w:t>
      </w:r>
      <w:r w:rsidRPr="00990245">
        <w:rPr>
          <w:rFonts w:cs="Times New Roman"/>
          <w:lang w:val="fr-CA"/>
        </w:rPr>
        <w:t xml:space="preserve"> le risque d</w:t>
      </w:r>
      <w:r>
        <w:rPr>
          <w:rFonts w:cs="Times New Roman"/>
          <w:lang w:val="fr-CA"/>
        </w:rPr>
        <w:t>’</w:t>
      </w:r>
      <w:r w:rsidRPr="00990245">
        <w:rPr>
          <w:rFonts w:cs="Times New Roman"/>
          <w:lang w:val="fr-CA"/>
        </w:rPr>
        <w:t>utilisation à mauvais escient des renseignements confidentiels et le risque d</w:t>
      </w:r>
      <w:r>
        <w:rPr>
          <w:rFonts w:cs="Times New Roman"/>
          <w:lang w:val="fr-CA"/>
        </w:rPr>
        <w:t>’</w:t>
      </w:r>
      <w:r w:rsidRPr="00990245">
        <w:rPr>
          <w:rFonts w:cs="Times New Roman"/>
          <w:lang w:val="fr-CA"/>
        </w:rPr>
        <w:t>entrave à la représentation du client par l</w:t>
      </w:r>
      <w:r>
        <w:rPr>
          <w:rFonts w:cs="Times New Roman"/>
          <w:lang w:val="fr-CA"/>
        </w:rPr>
        <w:t>’</w:t>
      </w:r>
      <w:r w:rsidRPr="00990245">
        <w:rPr>
          <w:rFonts w:cs="Times New Roman"/>
          <w:lang w:val="fr-CA"/>
        </w:rPr>
        <w:t>avocat (voir, p.</w:t>
      </w:r>
      <w:r w:rsidR="00601B6E">
        <w:rPr>
          <w:rFonts w:cs="Times New Roman"/>
          <w:lang w:val="fr-CA"/>
        </w:rPr>
        <w:t xml:space="preserve"> </w:t>
      </w:r>
      <w:r w:rsidRPr="00990245">
        <w:rPr>
          <w:rFonts w:cs="Times New Roman"/>
          <w:lang w:val="fr-CA"/>
        </w:rPr>
        <w:t xml:space="preserve">ex., </w:t>
      </w:r>
      <w:r w:rsidRPr="00990245">
        <w:rPr>
          <w:rFonts w:cs="Times New Roman"/>
          <w:i/>
          <w:lang w:val="fr-CA"/>
        </w:rPr>
        <w:t>Compagnie des chemins de fer nationaux du Canada</w:t>
      </w:r>
      <w:r w:rsidRPr="00990245">
        <w:rPr>
          <w:rFonts w:cs="Times New Roman"/>
          <w:lang w:val="fr-CA"/>
        </w:rPr>
        <w:t xml:space="preserve"> </w:t>
      </w:r>
      <w:r w:rsidRPr="00990245">
        <w:rPr>
          <w:rFonts w:cs="Times New Roman"/>
          <w:i/>
          <w:lang w:val="fr-CA"/>
        </w:rPr>
        <w:t xml:space="preserve">c. </w:t>
      </w:r>
      <w:proofErr w:type="spellStart"/>
      <w:r w:rsidRPr="00990245">
        <w:rPr>
          <w:rFonts w:cs="Times New Roman"/>
          <w:i/>
          <w:lang w:val="fr-CA"/>
        </w:rPr>
        <w:t>McKercher</w:t>
      </w:r>
      <w:proofErr w:type="spellEnd"/>
      <w:r w:rsidRPr="00990245">
        <w:rPr>
          <w:rFonts w:cs="Times New Roman"/>
          <w:i/>
          <w:lang w:val="fr-CA"/>
        </w:rPr>
        <w:t xml:space="preserve"> LLP</w:t>
      </w:r>
      <w:r w:rsidRPr="00990245">
        <w:rPr>
          <w:rFonts w:cs="Times New Roman"/>
          <w:lang w:val="fr-CA"/>
        </w:rPr>
        <w:t>, 2013 CSC 39, [2013] 2 R.C.S. 649, par.</w:t>
      </w:r>
      <w:r w:rsidR="00601B6E">
        <w:rPr>
          <w:rFonts w:cs="Times New Roman"/>
          <w:lang w:val="fr-CA"/>
        </w:rPr>
        <w:t xml:space="preserve"> </w:t>
      </w:r>
      <w:r w:rsidRPr="00990245">
        <w:rPr>
          <w:rFonts w:cs="Times New Roman"/>
          <w:lang w:val="fr-CA"/>
        </w:rPr>
        <w:t>23).</w:t>
      </w:r>
    </w:p>
    <w:p w:rsidR="00CA3D49" w:rsidRPr="00990245" w:rsidRDefault="00CA3D49" w:rsidP="00CA3D49">
      <w:pPr>
        <w:pStyle w:val="ParaNoNdepar-AltN"/>
        <w:rPr>
          <w:rFonts w:cs="Times New Roman"/>
          <w:lang w:val="fr-CA"/>
        </w:rPr>
      </w:pPr>
      <w:r w:rsidRPr="00990245">
        <w:rPr>
          <w:rFonts w:cs="Times New Roman"/>
          <w:lang w:val="fr-CA"/>
        </w:rPr>
        <w:lastRenderedPageBreak/>
        <w:t>La Cour a reconnu que des aspects de ces obligations fiduciaires et obligations déontologiques revêtent une dimension constitutionnelle. J</w:t>
      </w:r>
      <w:r>
        <w:rPr>
          <w:rFonts w:cs="Times New Roman"/>
          <w:lang w:val="fr-CA"/>
        </w:rPr>
        <w:t>’</w:t>
      </w:r>
      <w:r w:rsidRPr="00990245">
        <w:rPr>
          <w:rFonts w:cs="Times New Roman"/>
          <w:lang w:val="fr-CA"/>
        </w:rPr>
        <w:t>ai déjà examiné en profondeur un exemple important. L</w:t>
      </w:r>
      <w:r>
        <w:rPr>
          <w:rFonts w:cs="Times New Roman"/>
          <w:lang w:val="fr-CA"/>
        </w:rPr>
        <w:t>’</w:t>
      </w:r>
      <w:r w:rsidRPr="00990245">
        <w:rPr>
          <w:rFonts w:cs="Times New Roman"/>
          <w:lang w:val="fr-CA"/>
        </w:rPr>
        <w:t>importance capitale, pour l</w:t>
      </w:r>
      <w:r>
        <w:rPr>
          <w:rFonts w:cs="Times New Roman"/>
          <w:lang w:val="fr-CA"/>
        </w:rPr>
        <w:t>’</w:t>
      </w:r>
      <w:r w:rsidRPr="00990245">
        <w:rPr>
          <w:rFonts w:cs="Times New Roman"/>
          <w:lang w:val="fr-CA"/>
        </w:rPr>
        <w:t>administration de la justice, de prévenir l</w:t>
      </w:r>
      <w:r>
        <w:rPr>
          <w:rFonts w:cs="Times New Roman"/>
          <w:lang w:val="fr-CA"/>
        </w:rPr>
        <w:t>’</w:t>
      </w:r>
      <w:r w:rsidRPr="00990245">
        <w:rPr>
          <w:rFonts w:cs="Times New Roman"/>
          <w:lang w:val="fr-CA"/>
        </w:rPr>
        <w:t>utilisation à mauvais escient des renseignements confidentiels du client — importance traduite dans le secret professionnel de l</w:t>
      </w:r>
      <w:r>
        <w:rPr>
          <w:rFonts w:cs="Times New Roman"/>
          <w:lang w:val="fr-CA"/>
        </w:rPr>
        <w:t>’</w:t>
      </w:r>
      <w:r w:rsidRPr="00990245">
        <w:rPr>
          <w:rFonts w:cs="Times New Roman"/>
          <w:lang w:val="fr-CA"/>
        </w:rPr>
        <w:t>avocat — a amené la Cour à conclure que le secret professionnel devait être protégé par la Constitution dans le contexte des perquisitions et saisies effectuées dans des cabinets d</w:t>
      </w:r>
      <w:r>
        <w:rPr>
          <w:rFonts w:cs="Times New Roman"/>
          <w:lang w:val="fr-CA"/>
        </w:rPr>
        <w:t>’</w:t>
      </w:r>
      <w:r w:rsidRPr="00990245">
        <w:rPr>
          <w:rFonts w:cs="Times New Roman"/>
          <w:lang w:val="fr-CA"/>
        </w:rPr>
        <w:t xml:space="preserve">avocats (voir </w:t>
      </w:r>
      <w:proofErr w:type="spellStart"/>
      <w:r w:rsidRPr="00990245">
        <w:rPr>
          <w:rFonts w:cs="Times New Roman"/>
          <w:i/>
          <w:lang w:val="fr-CA"/>
        </w:rPr>
        <w:t>Lavallee</w:t>
      </w:r>
      <w:proofErr w:type="spellEnd"/>
      <w:r w:rsidRPr="00990245">
        <w:rPr>
          <w:rFonts w:cs="Times New Roman"/>
          <w:lang w:val="fr-CA"/>
        </w:rPr>
        <w:t>). Le secret professionnel de l</w:t>
      </w:r>
      <w:r>
        <w:rPr>
          <w:rFonts w:cs="Times New Roman"/>
          <w:lang w:val="fr-CA"/>
        </w:rPr>
        <w:t>’</w:t>
      </w:r>
      <w:r w:rsidRPr="00990245">
        <w:rPr>
          <w:rFonts w:cs="Times New Roman"/>
          <w:lang w:val="fr-CA"/>
        </w:rPr>
        <w:t xml:space="preserve">avocat est </w:t>
      </w:r>
      <w:r w:rsidR="00601B6E">
        <w:rPr>
          <w:rFonts w:cs="Times New Roman"/>
          <w:lang w:val="fr-CA"/>
        </w:rPr>
        <w:t>« </w:t>
      </w:r>
      <w:proofErr w:type="spellStart"/>
      <w:r w:rsidRPr="00990245">
        <w:rPr>
          <w:rFonts w:cs="Times New Roman"/>
          <w:lang w:val="fr-CA"/>
        </w:rPr>
        <w:t>essentie</w:t>
      </w:r>
      <w:proofErr w:type="spellEnd"/>
      <w:r w:rsidR="003E04C3" w:rsidRPr="00990245">
        <w:rPr>
          <w:rFonts w:cs="Times New Roman"/>
          <w:lang w:val="fr-CA"/>
        </w:rPr>
        <w:t>[</w:t>
      </w:r>
      <w:r w:rsidRPr="00990245">
        <w:rPr>
          <w:rFonts w:cs="Times New Roman"/>
          <w:lang w:val="fr-CA"/>
        </w:rPr>
        <w:t>l] au bon fonctionnement du système juridique</w:t>
      </w:r>
      <w:r w:rsidR="00601B6E">
        <w:rPr>
          <w:rFonts w:cs="Times New Roman"/>
          <w:lang w:val="fr-CA"/>
        </w:rPr>
        <w:t> »</w:t>
      </w:r>
      <w:r w:rsidRPr="00990245">
        <w:rPr>
          <w:rFonts w:cs="Times New Roman"/>
          <w:lang w:val="fr-CA"/>
        </w:rPr>
        <w:t xml:space="preserve"> (</w:t>
      </w:r>
      <w:r w:rsidRPr="00990245">
        <w:rPr>
          <w:rFonts w:cs="Times New Roman"/>
          <w:i/>
          <w:lang w:val="fr-CA"/>
        </w:rPr>
        <w:t xml:space="preserve">R. c. </w:t>
      </w:r>
      <w:proofErr w:type="spellStart"/>
      <w:r w:rsidRPr="00990245">
        <w:rPr>
          <w:rFonts w:cs="Times New Roman"/>
          <w:i/>
          <w:lang w:val="fr-CA"/>
        </w:rPr>
        <w:t>Gruenke</w:t>
      </w:r>
      <w:proofErr w:type="spellEnd"/>
      <w:r w:rsidRPr="00990245">
        <w:rPr>
          <w:rFonts w:cs="Times New Roman"/>
          <w:lang w:val="fr-CA"/>
        </w:rPr>
        <w:t>, [1991] 3 R.C.S. 263, p.</w:t>
      </w:r>
      <w:r w:rsidR="00601B6E">
        <w:rPr>
          <w:rFonts w:cs="Times New Roman"/>
          <w:lang w:val="fr-CA"/>
        </w:rPr>
        <w:t xml:space="preserve"> </w:t>
      </w:r>
      <w:r w:rsidRPr="00990245">
        <w:rPr>
          <w:rFonts w:cs="Times New Roman"/>
          <w:lang w:val="fr-CA"/>
        </w:rPr>
        <w:t>289</w:t>
      </w:r>
      <w:r w:rsidR="009F527E">
        <w:rPr>
          <w:rFonts w:cs="Times New Roman"/>
          <w:lang w:val="fr-CA"/>
        </w:rPr>
        <w:t>)</w:t>
      </w:r>
      <w:r w:rsidRPr="00990245">
        <w:rPr>
          <w:rFonts w:cs="Times New Roman"/>
          <w:lang w:val="fr-CA"/>
        </w:rPr>
        <w:t>. Comme l</w:t>
      </w:r>
      <w:r>
        <w:rPr>
          <w:rFonts w:cs="Times New Roman"/>
          <w:lang w:val="fr-CA"/>
        </w:rPr>
        <w:t>’</w:t>
      </w:r>
      <w:r w:rsidRPr="00990245">
        <w:rPr>
          <w:rFonts w:cs="Times New Roman"/>
          <w:lang w:val="fr-CA"/>
        </w:rPr>
        <w:t>a dit le juge Major dans l</w:t>
      </w:r>
      <w:r>
        <w:rPr>
          <w:rFonts w:cs="Times New Roman"/>
          <w:lang w:val="fr-CA"/>
        </w:rPr>
        <w:t>’</w:t>
      </w:r>
      <w:r w:rsidRPr="00990245">
        <w:rPr>
          <w:rFonts w:cs="Times New Roman"/>
          <w:lang w:val="fr-CA"/>
        </w:rPr>
        <w:t xml:space="preserve">arrêt </w:t>
      </w:r>
      <w:r w:rsidRPr="00990245">
        <w:rPr>
          <w:rFonts w:cs="Times New Roman"/>
          <w:i/>
          <w:lang w:val="fr-CA"/>
        </w:rPr>
        <w:t>R. c. McClure</w:t>
      </w:r>
      <w:r w:rsidRPr="00990245">
        <w:rPr>
          <w:rFonts w:cs="Times New Roman"/>
          <w:lang w:val="fr-CA"/>
        </w:rPr>
        <w:t>, 2001 CSC 14, [2001] 1 R.C.S. 445, par.</w:t>
      </w:r>
      <w:r w:rsidR="00601B6E">
        <w:rPr>
          <w:rFonts w:cs="Times New Roman"/>
          <w:lang w:val="fr-CA"/>
        </w:rPr>
        <w:t xml:space="preserve"> </w:t>
      </w:r>
      <w:r w:rsidRPr="00990245">
        <w:rPr>
          <w:rFonts w:cs="Times New Roman"/>
          <w:lang w:val="fr-CA"/>
        </w:rPr>
        <w:t xml:space="preserve">31, </w:t>
      </w:r>
      <w:r w:rsidR="00601B6E">
        <w:rPr>
          <w:rFonts w:cs="Times New Roman"/>
          <w:lang w:val="fr-CA"/>
        </w:rPr>
        <w:t>« </w:t>
      </w:r>
      <w:r w:rsidRPr="00990245">
        <w:rPr>
          <w:rFonts w:cs="Times New Roman"/>
          <w:lang w:val="fr-CA"/>
        </w:rPr>
        <w:t xml:space="preserve">[l]es rapports importants qui existent entre un client et son avocat ne se limitent pas aux parties et font partie </w:t>
      </w:r>
      <w:r w:rsidRPr="00990245">
        <w:rPr>
          <w:rFonts w:cs="Times New Roman"/>
          <w:u w:val="single"/>
          <w:lang w:val="fr-CA"/>
        </w:rPr>
        <w:t>intégrante des rouages du système juridique lui</w:t>
      </w:r>
      <w:r w:rsidR="00601B6E">
        <w:rPr>
          <w:rFonts w:cs="Times New Roman"/>
          <w:u w:val="single"/>
          <w:lang w:val="fr-CA"/>
        </w:rPr>
        <w:t>-</w:t>
      </w:r>
      <w:r w:rsidRPr="00990245">
        <w:rPr>
          <w:rFonts w:cs="Times New Roman"/>
          <w:u w:val="single"/>
          <w:lang w:val="fr-CA"/>
        </w:rPr>
        <w:t>même</w:t>
      </w:r>
      <w:r w:rsidR="00601B6E">
        <w:rPr>
          <w:rFonts w:cs="Times New Roman"/>
          <w:lang w:val="fr-CA"/>
        </w:rPr>
        <w:t> »</w:t>
      </w:r>
      <w:r w:rsidRPr="00990245">
        <w:rPr>
          <w:rFonts w:cs="Times New Roman"/>
          <w:lang w:val="fr-CA"/>
        </w:rPr>
        <w:t xml:space="preserve"> (je souligne). </w:t>
      </w:r>
    </w:p>
    <w:p w:rsidR="00CA3D49" w:rsidRPr="00990245" w:rsidRDefault="00CA3D49" w:rsidP="00CA3D49">
      <w:pPr>
        <w:pStyle w:val="ParaNoNdepar-AltN"/>
        <w:rPr>
          <w:rFonts w:cs="Times New Roman"/>
          <w:lang w:val="fr-CA"/>
        </w:rPr>
      </w:pPr>
      <w:r w:rsidRPr="00990245">
        <w:rPr>
          <w:rFonts w:cs="Times New Roman"/>
          <w:lang w:val="fr-CA"/>
        </w:rPr>
        <w:t>Il s</w:t>
      </w:r>
      <w:r>
        <w:rPr>
          <w:rFonts w:cs="Times New Roman"/>
          <w:lang w:val="fr-CA"/>
        </w:rPr>
        <w:t>’</w:t>
      </w:r>
      <w:r w:rsidRPr="00990245">
        <w:rPr>
          <w:rFonts w:cs="Times New Roman"/>
          <w:lang w:val="fr-CA"/>
        </w:rPr>
        <w:t>agit maintenant de savoir si une autre dimension centrale de la relation avocat</w:t>
      </w:r>
      <w:r w:rsidR="00601B6E">
        <w:rPr>
          <w:rFonts w:cs="Times New Roman"/>
          <w:lang w:val="fr-CA"/>
        </w:rPr>
        <w:t>-</w:t>
      </w:r>
      <w:r w:rsidRPr="00990245">
        <w:rPr>
          <w:rFonts w:cs="Times New Roman"/>
          <w:lang w:val="fr-CA"/>
        </w:rPr>
        <w:t>client — le devoir de l</w:t>
      </w:r>
      <w:r>
        <w:rPr>
          <w:rFonts w:cs="Times New Roman"/>
          <w:lang w:val="fr-CA"/>
        </w:rPr>
        <w:t>’</w:t>
      </w:r>
      <w:r w:rsidRPr="00990245">
        <w:rPr>
          <w:rFonts w:cs="Times New Roman"/>
          <w:lang w:val="fr-CA"/>
        </w:rPr>
        <w:t>avocat de se dévouer à la cause du client — nécessite également une certaine protection constitutionnelle contre l</w:t>
      </w:r>
      <w:r>
        <w:rPr>
          <w:rFonts w:cs="Times New Roman"/>
          <w:lang w:val="fr-CA"/>
        </w:rPr>
        <w:t>’</w:t>
      </w:r>
      <w:r w:rsidRPr="00990245">
        <w:rPr>
          <w:rFonts w:cs="Times New Roman"/>
          <w:lang w:val="fr-CA"/>
        </w:rPr>
        <w:t>ingérence de l</w:t>
      </w:r>
      <w:r>
        <w:rPr>
          <w:rFonts w:cs="Times New Roman"/>
          <w:lang w:val="fr-CA"/>
        </w:rPr>
        <w:t>’</w:t>
      </w:r>
      <w:r w:rsidRPr="00990245">
        <w:rPr>
          <w:rFonts w:cs="Times New Roman"/>
          <w:lang w:val="fr-CA"/>
        </w:rPr>
        <w:t>État. C</w:t>
      </w:r>
      <w:r>
        <w:rPr>
          <w:rFonts w:cs="Times New Roman"/>
          <w:lang w:val="fr-CA"/>
        </w:rPr>
        <w:t>’</w:t>
      </w:r>
      <w:r w:rsidRPr="00990245">
        <w:rPr>
          <w:rFonts w:cs="Times New Roman"/>
          <w:lang w:val="fr-CA"/>
        </w:rPr>
        <w:t>est le cas selon moi, pour bon nombre des mêmes raisons qui militent en faveur de la protection constitutionnelle du secret professionnel de l</w:t>
      </w:r>
      <w:r>
        <w:rPr>
          <w:rFonts w:cs="Times New Roman"/>
          <w:lang w:val="fr-CA"/>
        </w:rPr>
        <w:t>’</w:t>
      </w:r>
      <w:r w:rsidRPr="00990245">
        <w:rPr>
          <w:rFonts w:cs="Times New Roman"/>
          <w:lang w:val="fr-CA"/>
        </w:rPr>
        <w:t xml:space="preserve">avocat. </w:t>
      </w:r>
      <w:r w:rsidR="00601B6E">
        <w:rPr>
          <w:rFonts w:cs="Times New Roman"/>
          <w:lang w:val="fr-CA"/>
        </w:rPr>
        <w:t>« </w:t>
      </w:r>
      <w:r w:rsidRPr="00990245">
        <w:rPr>
          <w:rFonts w:cs="Times New Roman"/>
          <w:lang w:val="fr-CA"/>
        </w:rPr>
        <w:t>Le droit est un écheveau complexe d</w:t>
      </w:r>
      <w:r>
        <w:rPr>
          <w:rFonts w:cs="Times New Roman"/>
          <w:lang w:val="fr-CA"/>
        </w:rPr>
        <w:t>’</w:t>
      </w:r>
      <w:r w:rsidRPr="00990245">
        <w:rPr>
          <w:rFonts w:cs="Times New Roman"/>
          <w:lang w:val="fr-CA"/>
        </w:rPr>
        <w:t>intérêts, de rapports et de règles. L</w:t>
      </w:r>
      <w:r>
        <w:rPr>
          <w:rFonts w:cs="Times New Roman"/>
          <w:lang w:val="fr-CA"/>
        </w:rPr>
        <w:t>’</w:t>
      </w:r>
      <w:r w:rsidRPr="00990245">
        <w:rPr>
          <w:rFonts w:cs="Times New Roman"/>
          <w:lang w:val="fr-CA"/>
        </w:rPr>
        <w:t>intégrité de l</w:t>
      </w:r>
      <w:r>
        <w:rPr>
          <w:rFonts w:cs="Times New Roman"/>
          <w:lang w:val="fr-CA"/>
        </w:rPr>
        <w:t>’</w:t>
      </w:r>
      <w:r w:rsidRPr="00990245">
        <w:rPr>
          <w:rFonts w:cs="Times New Roman"/>
          <w:lang w:val="fr-CA"/>
        </w:rPr>
        <w:t>administration de la justice repose sur le rôle unique de l</w:t>
      </w:r>
      <w:r>
        <w:rPr>
          <w:rFonts w:cs="Times New Roman"/>
          <w:lang w:val="fr-CA"/>
        </w:rPr>
        <w:t>’</w:t>
      </w:r>
      <w:r w:rsidRPr="00990245">
        <w:rPr>
          <w:rFonts w:cs="Times New Roman"/>
          <w:lang w:val="fr-CA"/>
        </w:rPr>
        <w:t>avocat qui donne des conseils juridiques à des clients au sein de ce système complexe</w:t>
      </w:r>
      <w:r w:rsidR="00601B6E">
        <w:rPr>
          <w:rFonts w:cs="Times New Roman"/>
          <w:lang w:val="fr-CA"/>
        </w:rPr>
        <w:t> »</w:t>
      </w:r>
      <w:r w:rsidRPr="00990245">
        <w:rPr>
          <w:rFonts w:cs="Times New Roman"/>
          <w:lang w:val="fr-CA"/>
        </w:rPr>
        <w:t xml:space="preserve"> (</w:t>
      </w:r>
      <w:r w:rsidRPr="00990245">
        <w:rPr>
          <w:rFonts w:cs="Times New Roman"/>
          <w:i/>
          <w:lang w:val="fr-CA"/>
        </w:rPr>
        <w:t>McClure</w:t>
      </w:r>
      <w:r w:rsidRPr="00990245">
        <w:rPr>
          <w:rFonts w:cs="Times New Roman"/>
          <w:lang w:val="fr-CA"/>
        </w:rPr>
        <w:t>, par.</w:t>
      </w:r>
      <w:r w:rsidR="00601B6E">
        <w:rPr>
          <w:rFonts w:cs="Times New Roman"/>
          <w:lang w:val="fr-CA"/>
        </w:rPr>
        <w:t xml:space="preserve"> </w:t>
      </w:r>
      <w:r w:rsidRPr="00990245">
        <w:rPr>
          <w:rFonts w:cs="Times New Roman"/>
          <w:lang w:val="fr-CA"/>
        </w:rPr>
        <w:t>2). Ces mots, écrits dans le contexte du secret professionnel de l</w:t>
      </w:r>
      <w:r>
        <w:rPr>
          <w:rFonts w:cs="Times New Roman"/>
          <w:lang w:val="fr-CA"/>
        </w:rPr>
        <w:t>’</w:t>
      </w:r>
      <w:r w:rsidRPr="00990245">
        <w:rPr>
          <w:rFonts w:cs="Times New Roman"/>
          <w:lang w:val="fr-CA"/>
        </w:rPr>
        <w:t>avocat, décrivent tout aussi bien l</w:t>
      </w:r>
      <w:r>
        <w:rPr>
          <w:rFonts w:cs="Times New Roman"/>
          <w:lang w:val="fr-CA"/>
        </w:rPr>
        <w:t>’</w:t>
      </w:r>
      <w:r w:rsidRPr="00990245">
        <w:rPr>
          <w:rFonts w:cs="Times New Roman"/>
          <w:lang w:val="fr-CA"/>
        </w:rPr>
        <w:t>importance capitale, pour l</w:t>
      </w:r>
      <w:r>
        <w:rPr>
          <w:rFonts w:cs="Times New Roman"/>
          <w:lang w:val="fr-CA"/>
        </w:rPr>
        <w:t>’</w:t>
      </w:r>
      <w:r w:rsidRPr="00990245">
        <w:rPr>
          <w:rFonts w:cs="Times New Roman"/>
          <w:lang w:val="fr-CA"/>
        </w:rPr>
        <w:t xml:space="preserve">administration de la justice, du devoir de </w:t>
      </w:r>
      <w:r w:rsidRPr="00990245">
        <w:rPr>
          <w:rFonts w:cs="Times New Roman"/>
          <w:lang w:val="fr-CA"/>
        </w:rPr>
        <w:lastRenderedPageBreak/>
        <w:t>l</w:t>
      </w:r>
      <w:r>
        <w:rPr>
          <w:rFonts w:cs="Times New Roman"/>
          <w:lang w:val="fr-CA"/>
        </w:rPr>
        <w:t>’</w:t>
      </w:r>
      <w:r w:rsidRPr="00990245">
        <w:rPr>
          <w:rFonts w:cs="Times New Roman"/>
          <w:lang w:val="fr-CA"/>
        </w:rPr>
        <w:t xml:space="preserve">avocat de se dévouer à la cause du client. Ce dernier doit pouvoir placer </w:t>
      </w:r>
      <w:r w:rsidR="00601B6E">
        <w:rPr>
          <w:rFonts w:cs="Times New Roman"/>
          <w:lang w:val="fr-CA"/>
        </w:rPr>
        <w:t>« </w:t>
      </w:r>
      <w:r w:rsidRPr="00990245">
        <w:rPr>
          <w:rFonts w:cs="Times New Roman"/>
          <w:lang w:val="fr-CA"/>
        </w:rPr>
        <w:t>toute sa confiance</w:t>
      </w:r>
      <w:r w:rsidR="00601B6E">
        <w:rPr>
          <w:rFonts w:cs="Times New Roman"/>
          <w:lang w:val="fr-CA"/>
        </w:rPr>
        <w:t> »</w:t>
      </w:r>
      <w:r w:rsidRPr="00990245">
        <w:rPr>
          <w:rFonts w:cs="Times New Roman"/>
          <w:lang w:val="fr-CA"/>
        </w:rPr>
        <w:t xml:space="preserve"> en son avocat; cette confiance, qui est au cœur de leur relation, fait partie du système juridique lui</w:t>
      </w:r>
      <w:r w:rsidR="00601B6E">
        <w:rPr>
          <w:rFonts w:cs="Times New Roman"/>
          <w:lang w:val="fr-CA"/>
        </w:rPr>
        <w:t>-</w:t>
      </w:r>
      <w:r w:rsidRPr="00990245">
        <w:rPr>
          <w:rFonts w:cs="Times New Roman"/>
          <w:lang w:val="fr-CA"/>
        </w:rPr>
        <w:t>même et n</w:t>
      </w:r>
      <w:r>
        <w:rPr>
          <w:rFonts w:cs="Times New Roman"/>
          <w:lang w:val="fr-CA"/>
        </w:rPr>
        <w:t>’</w:t>
      </w:r>
      <w:r w:rsidRPr="00990245">
        <w:rPr>
          <w:rFonts w:cs="Times New Roman"/>
          <w:lang w:val="fr-CA"/>
        </w:rPr>
        <w:t>y est pas simplement accessoire (</w:t>
      </w:r>
      <w:r w:rsidRPr="00990245">
        <w:rPr>
          <w:rFonts w:cs="Times New Roman"/>
          <w:i/>
          <w:lang w:val="fr-CA"/>
        </w:rPr>
        <w:t>Smith c. Jones</w:t>
      </w:r>
      <w:r w:rsidRPr="00990245">
        <w:rPr>
          <w:rFonts w:cs="Times New Roman"/>
          <w:lang w:val="fr-CA"/>
        </w:rPr>
        <w:t>, [1999] 1 R.C.S. 455, par.</w:t>
      </w:r>
      <w:r w:rsidR="00601B6E">
        <w:rPr>
          <w:rFonts w:cs="Times New Roman"/>
          <w:lang w:val="fr-CA"/>
        </w:rPr>
        <w:t xml:space="preserve"> </w:t>
      </w:r>
      <w:r w:rsidRPr="00990245">
        <w:rPr>
          <w:rFonts w:cs="Times New Roman"/>
          <w:lang w:val="fr-CA"/>
        </w:rPr>
        <w:t>45, où est cité avec approbation</w:t>
      </w:r>
      <w:r w:rsidRPr="00990245">
        <w:rPr>
          <w:rFonts w:cs="Times New Roman"/>
          <w:i/>
          <w:lang w:val="fr-CA"/>
        </w:rPr>
        <w:t xml:space="preserve"> Anderson c. Bank of British Columbia</w:t>
      </w:r>
      <w:r w:rsidRPr="00990245">
        <w:rPr>
          <w:rFonts w:cs="Times New Roman"/>
          <w:lang w:val="fr-CA"/>
        </w:rPr>
        <w:t xml:space="preserve"> (1876), 2 Ch.</w:t>
      </w:r>
      <w:r w:rsidR="003E04C3">
        <w:rPr>
          <w:rFonts w:cs="Times New Roman"/>
          <w:lang w:val="fr-CA"/>
        </w:rPr>
        <w:t xml:space="preserve"> </w:t>
      </w:r>
      <w:r w:rsidRPr="00990245">
        <w:rPr>
          <w:rFonts w:cs="Times New Roman"/>
          <w:lang w:val="fr-CA"/>
        </w:rPr>
        <w:t xml:space="preserve">D. 644 (C.A.); </w:t>
      </w:r>
      <w:r w:rsidRPr="00990245">
        <w:rPr>
          <w:rFonts w:cs="Times New Roman"/>
          <w:i/>
          <w:lang w:val="fr-CA"/>
        </w:rPr>
        <w:t>McClure</w:t>
      </w:r>
      <w:r w:rsidR="009E4702" w:rsidRPr="009E4702">
        <w:rPr>
          <w:rFonts w:cs="Times New Roman"/>
          <w:lang w:val="fr-CA"/>
        </w:rPr>
        <w:t>)</w:t>
      </w:r>
      <w:r w:rsidRPr="00990245">
        <w:rPr>
          <w:rFonts w:cs="Times New Roman"/>
          <w:lang w:val="fr-CA"/>
        </w:rPr>
        <w:t>. Le devoir de l</w:t>
      </w:r>
      <w:r>
        <w:rPr>
          <w:rFonts w:cs="Times New Roman"/>
          <w:lang w:val="fr-CA"/>
        </w:rPr>
        <w:t>’</w:t>
      </w:r>
      <w:r w:rsidRPr="00990245">
        <w:rPr>
          <w:rFonts w:cs="Times New Roman"/>
          <w:lang w:val="fr-CA"/>
        </w:rPr>
        <w:t xml:space="preserve">avocat de </w:t>
      </w:r>
      <w:r w:rsidR="0074644A">
        <w:rPr>
          <w:rFonts w:cs="Times New Roman"/>
          <w:lang w:val="fr-CA"/>
        </w:rPr>
        <w:t>se dévouer à la cause du client</w:t>
      </w:r>
      <w:r w:rsidRPr="00990245">
        <w:rPr>
          <w:rFonts w:cs="Times New Roman"/>
          <w:lang w:val="fr-CA"/>
        </w:rPr>
        <w:t xml:space="preserve"> ainsi que la protection des confidences de ce dernier sont au cœur du rôle joué par l</w:t>
      </w:r>
      <w:r>
        <w:rPr>
          <w:rFonts w:cs="Times New Roman"/>
          <w:lang w:val="fr-CA"/>
        </w:rPr>
        <w:t>’</w:t>
      </w:r>
      <w:r w:rsidRPr="00990245">
        <w:rPr>
          <w:rFonts w:cs="Times New Roman"/>
          <w:lang w:val="fr-CA"/>
        </w:rPr>
        <w:t>avocat dans l</w:t>
      </w:r>
      <w:r>
        <w:rPr>
          <w:rFonts w:cs="Times New Roman"/>
          <w:lang w:val="fr-CA"/>
        </w:rPr>
        <w:t>’</w:t>
      </w:r>
      <w:r w:rsidRPr="00990245">
        <w:rPr>
          <w:rFonts w:cs="Times New Roman"/>
          <w:lang w:val="fr-CA"/>
        </w:rPr>
        <w:t>administration de la justice.</w:t>
      </w:r>
    </w:p>
    <w:p w:rsidR="00CA3D49" w:rsidRPr="00990245" w:rsidRDefault="00CA3D49" w:rsidP="00CA3D49">
      <w:pPr>
        <w:pStyle w:val="ParaNoNdepar-AltN"/>
        <w:rPr>
          <w:rFonts w:cs="Times New Roman"/>
          <w:lang w:val="fr-CA"/>
        </w:rPr>
      </w:pPr>
      <w:r w:rsidRPr="00990245">
        <w:rPr>
          <w:rFonts w:cs="Times New Roman"/>
          <w:lang w:val="fr-CA"/>
        </w:rPr>
        <w:t>À mon avis, nous devrions reconnaître comme principe de justice fondamentale l</w:t>
      </w:r>
      <w:r>
        <w:rPr>
          <w:rFonts w:cs="Times New Roman"/>
          <w:lang w:val="fr-CA"/>
        </w:rPr>
        <w:t>’</w:t>
      </w:r>
      <w:r w:rsidRPr="00990245">
        <w:rPr>
          <w:rFonts w:cs="Times New Roman"/>
          <w:lang w:val="fr-CA"/>
        </w:rPr>
        <w:t>impossibilité pour l</w:t>
      </w:r>
      <w:r>
        <w:rPr>
          <w:rFonts w:cs="Times New Roman"/>
          <w:lang w:val="fr-CA"/>
        </w:rPr>
        <w:t>’</w:t>
      </w:r>
      <w:r w:rsidRPr="00990245">
        <w:rPr>
          <w:rFonts w:cs="Times New Roman"/>
          <w:lang w:val="fr-CA"/>
        </w:rPr>
        <w:t>État d</w:t>
      </w:r>
      <w:r>
        <w:rPr>
          <w:rFonts w:cs="Times New Roman"/>
          <w:lang w:val="fr-CA"/>
        </w:rPr>
        <w:t>’</w:t>
      </w:r>
      <w:r w:rsidRPr="00990245">
        <w:rPr>
          <w:rFonts w:cs="Times New Roman"/>
          <w:lang w:val="fr-CA"/>
        </w:rPr>
        <w:t>imposer aux avocats des obligations qui minent leur devoir de se dévouer à la cause de leurs clients. Il s</w:t>
      </w:r>
      <w:r>
        <w:rPr>
          <w:rFonts w:cs="Times New Roman"/>
          <w:lang w:val="fr-CA"/>
        </w:rPr>
        <w:t>’</w:t>
      </w:r>
      <w:r w:rsidRPr="00990245">
        <w:rPr>
          <w:rFonts w:cs="Times New Roman"/>
          <w:lang w:val="fr-CA"/>
        </w:rPr>
        <w:t>ensuit que, sous réserve d</w:t>
      </w:r>
      <w:r>
        <w:rPr>
          <w:rFonts w:cs="Times New Roman"/>
          <w:lang w:val="fr-CA"/>
        </w:rPr>
        <w:t>’</w:t>
      </w:r>
      <w:r w:rsidRPr="00990245">
        <w:rPr>
          <w:rFonts w:cs="Times New Roman"/>
          <w:lang w:val="fr-CA"/>
        </w:rPr>
        <w:t>une justification établie, l</w:t>
      </w:r>
      <w:r>
        <w:rPr>
          <w:rFonts w:cs="Times New Roman"/>
          <w:lang w:val="fr-CA"/>
        </w:rPr>
        <w:t>’</w:t>
      </w:r>
      <w:r w:rsidRPr="00990245">
        <w:rPr>
          <w:rFonts w:cs="Times New Roman"/>
          <w:lang w:val="fr-CA"/>
        </w:rPr>
        <w:t>État ne peut priver quelqu</w:t>
      </w:r>
      <w:r>
        <w:rPr>
          <w:rFonts w:cs="Times New Roman"/>
          <w:lang w:val="fr-CA"/>
        </w:rPr>
        <w:t>’</w:t>
      </w:r>
      <w:r w:rsidRPr="00990245">
        <w:rPr>
          <w:rFonts w:cs="Times New Roman"/>
          <w:lang w:val="fr-CA"/>
        </w:rPr>
        <w:t>un de la vie, de la liberté ou de la sécurité de sa personne qu</w:t>
      </w:r>
      <w:r>
        <w:rPr>
          <w:rFonts w:cs="Times New Roman"/>
          <w:lang w:val="fr-CA"/>
        </w:rPr>
        <w:t>’</w:t>
      </w:r>
      <w:r w:rsidRPr="00990245">
        <w:rPr>
          <w:rFonts w:cs="Times New Roman"/>
          <w:lang w:val="fr-CA"/>
        </w:rPr>
        <w:t xml:space="preserve">en conformité avec ce principe. </w:t>
      </w:r>
    </w:p>
    <w:p w:rsidR="00CA3D49" w:rsidRPr="00990245" w:rsidRDefault="00CA3D49" w:rsidP="00CA3D49">
      <w:pPr>
        <w:pStyle w:val="ParaNoNdepar-AltN"/>
        <w:rPr>
          <w:rFonts w:cs="Times New Roman"/>
          <w:lang w:val="fr-CA"/>
        </w:rPr>
      </w:pPr>
      <w:r w:rsidRPr="00990245">
        <w:rPr>
          <w:rFonts w:cs="Times New Roman"/>
          <w:lang w:val="fr-CA"/>
        </w:rPr>
        <w:t>L</w:t>
      </w:r>
      <w:r>
        <w:rPr>
          <w:rFonts w:cs="Times New Roman"/>
          <w:lang w:val="fr-CA"/>
        </w:rPr>
        <w:t>’</w:t>
      </w:r>
      <w:r w:rsidRPr="00990245">
        <w:rPr>
          <w:rFonts w:cs="Times New Roman"/>
          <w:lang w:val="fr-CA"/>
        </w:rPr>
        <w:t>analyse qui m</w:t>
      </w:r>
      <w:r>
        <w:rPr>
          <w:rFonts w:cs="Times New Roman"/>
          <w:lang w:val="fr-CA"/>
        </w:rPr>
        <w:t>’</w:t>
      </w:r>
      <w:r w:rsidRPr="00990245">
        <w:rPr>
          <w:rFonts w:cs="Times New Roman"/>
          <w:lang w:val="fr-CA"/>
        </w:rPr>
        <w:t>amène à cette conclusion porte sur les trois questions suivantes</w:t>
      </w:r>
      <w:r w:rsidR="00601B6E">
        <w:rPr>
          <w:rFonts w:cs="Times New Roman"/>
          <w:lang w:val="fr-CA"/>
        </w:rPr>
        <w:t> :</w:t>
      </w:r>
      <w:r w:rsidRPr="00990245">
        <w:rPr>
          <w:rFonts w:cs="Times New Roman"/>
          <w:lang w:val="fr-CA"/>
        </w:rPr>
        <w:t xml:space="preserve"> (1)</w:t>
      </w:r>
      <w:r w:rsidR="00601B6E">
        <w:rPr>
          <w:rFonts w:cs="Times New Roman"/>
          <w:lang w:val="fr-CA"/>
        </w:rPr>
        <w:t xml:space="preserve"> </w:t>
      </w:r>
      <w:r w:rsidRPr="00990245">
        <w:rPr>
          <w:rFonts w:cs="Times New Roman"/>
          <w:lang w:val="fr-CA"/>
        </w:rPr>
        <w:t>Comment peut</w:t>
      </w:r>
      <w:r w:rsidR="00601B6E">
        <w:rPr>
          <w:rFonts w:cs="Times New Roman"/>
          <w:lang w:val="fr-CA"/>
        </w:rPr>
        <w:t>-</w:t>
      </w:r>
      <w:r w:rsidRPr="00990245">
        <w:rPr>
          <w:rFonts w:cs="Times New Roman"/>
          <w:lang w:val="fr-CA"/>
        </w:rPr>
        <w:t>on reconnaître un principe de justice fondamentale? (2)</w:t>
      </w:r>
      <w:r w:rsidR="00601B6E">
        <w:rPr>
          <w:rFonts w:cs="Times New Roman"/>
          <w:lang w:val="fr-CA"/>
        </w:rPr>
        <w:t xml:space="preserve"> </w:t>
      </w:r>
      <w:r w:rsidRPr="00990245">
        <w:rPr>
          <w:rFonts w:cs="Times New Roman"/>
          <w:lang w:val="fr-CA"/>
        </w:rPr>
        <w:t>Le principe du dévouement à la cause du client constitue</w:t>
      </w:r>
      <w:r w:rsidR="00601B6E">
        <w:rPr>
          <w:rFonts w:cs="Times New Roman"/>
          <w:lang w:val="fr-CA"/>
        </w:rPr>
        <w:t>-</w:t>
      </w:r>
      <w:r w:rsidRPr="00990245">
        <w:rPr>
          <w:rFonts w:cs="Times New Roman"/>
          <w:lang w:val="fr-CA"/>
        </w:rPr>
        <w:t>t</w:t>
      </w:r>
      <w:r w:rsidR="00601B6E">
        <w:rPr>
          <w:rFonts w:cs="Times New Roman"/>
          <w:lang w:val="fr-CA"/>
        </w:rPr>
        <w:t>-</w:t>
      </w:r>
      <w:r w:rsidRPr="00990245">
        <w:rPr>
          <w:rFonts w:cs="Times New Roman"/>
          <w:lang w:val="fr-CA"/>
        </w:rPr>
        <w:t>il un tel principe? (3)</w:t>
      </w:r>
      <w:r w:rsidR="00601B6E">
        <w:rPr>
          <w:rFonts w:cs="Times New Roman"/>
          <w:lang w:val="fr-CA"/>
        </w:rPr>
        <w:t xml:space="preserve"> </w:t>
      </w:r>
      <w:r w:rsidRPr="00990245">
        <w:rPr>
          <w:rFonts w:cs="Times New Roman"/>
          <w:lang w:val="fr-CA"/>
        </w:rPr>
        <w:t>Dans l</w:t>
      </w:r>
      <w:r>
        <w:rPr>
          <w:rFonts w:cs="Times New Roman"/>
          <w:lang w:val="fr-CA"/>
        </w:rPr>
        <w:t>’</w:t>
      </w:r>
      <w:r w:rsidRPr="00990245">
        <w:rPr>
          <w:rFonts w:cs="Times New Roman"/>
          <w:lang w:val="fr-CA"/>
        </w:rPr>
        <w:t>affirmative, la restriction apportée à la liberté des avocats par ce régime législatif est</w:t>
      </w:r>
      <w:r w:rsidR="00601B6E">
        <w:rPr>
          <w:rFonts w:cs="Times New Roman"/>
          <w:lang w:val="fr-CA"/>
        </w:rPr>
        <w:t>-</w:t>
      </w:r>
      <w:r w:rsidRPr="00990245">
        <w:rPr>
          <w:rFonts w:cs="Times New Roman"/>
          <w:lang w:val="fr-CA"/>
        </w:rPr>
        <w:t>elle conforme à ce principe?</w:t>
      </w:r>
    </w:p>
    <w:p w:rsidR="00CA3D49" w:rsidRPr="00990245" w:rsidRDefault="00CA3D49" w:rsidP="00CA3D49">
      <w:pPr>
        <w:pStyle w:val="ParaNoNdepar-AltN"/>
        <w:rPr>
          <w:rFonts w:cs="Times New Roman"/>
          <w:lang w:val="fr-CA"/>
        </w:rPr>
      </w:pPr>
      <w:r w:rsidRPr="00990245">
        <w:rPr>
          <w:rFonts w:cs="Times New Roman"/>
          <w:lang w:val="fr-CA"/>
        </w:rPr>
        <w:t>Avant d</w:t>
      </w:r>
      <w:r>
        <w:rPr>
          <w:rFonts w:cs="Times New Roman"/>
          <w:lang w:val="fr-CA"/>
        </w:rPr>
        <w:t>’</w:t>
      </w:r>
      <w:r w:rsidRPr="00990245">
        <w:rPr>
          <w:rFonts w:cs="Times New Roman"/>
          <w:lang w:val="fr-CA"/>
        </w:rPr>
        <w:t xml:space="preserve">aborder ces questions, je dois préciser ce qui </w:t>
      </w:r>
      <w:r w:rsidRPr="00990245">
        <w:rPr>
          <w:rFonts w:cs="Times New Roman"/>
          <w:i/>
          <w:lang w:val="fr-CA"/>
        </w:rPr>
        <w:t>n</w:t>
      </w:r>
      <w:r>
        <w:rPr>
          <w:rFonts w:cs="Times New Roman"/>
          <w:i/>
          <w:lang w:val="fr-CA"/>
        </w:rPr>
        <w:t>’</w:t>
      </w:r>
      <w:r w:rsidRPr="00990245">
        <w:rPr>
          <w:rFonts w:cs="Times New Roman"/>
          <w:lang w:val="fr-CA"/>
        </w:rPr>
        <w:t xml:space="preserve">est </w:t>
      </w:r>
      <w:r w:rsidRPr="00990245">
        <w:rPr>
          <w:rFonts w:cs="Times New Roman"/>
          <w:i/>
          <w:lang w:val="fr-CA"/>
        </w:rPr>
        <w:t>pas</w:t>
      </w:r>
      <w:r w:rsidRPr="00990245">
        <w:rPr>
          <w:rFonts w:cs="Times New Roman"/>
          <w:lang w:val="fr-CA"/>
        </w:rPr>
        <w:t xml:space="preserve"> en jeu. Bien que la Cour d</w:t>
      </w:r>
      <w:r>
        <w:rPr>
          <w:rFonts w:cs="Times New Roman"/>
          <w:lang w:val="fr-CA"/>
        </w:rPr>
        <w:t>’</w:t>
      </w:r>
      <w:r w:rsidRPr="00990245">
        <w:rPr>
          <w:rFonts w:cs="Times New Roman"/>
          <w:lang w:val="fr-CA"/>
        </w:rPr>
        <w:t>appel et la Fédération tablent fortement sur l</w:t>
      </w:r>
      <w:r>
        <w:rPr>
          <w:rFonts w:cs="Times New Roman"/>
          <w:lang w:val="fr-CA"/>
        </w:rPr>
        <w:t>’</w:t>
      </w:r>
      <w:r w:rsidR="00601B6E">
        <w:rPr>
          <w:rFonts w:cs="Times New Roman"/>
          <w:lang w:val="fr-CA"/>
        </w:rPr>
        <w:t>« </w:t>
      </w:r>
      <w:r w:rsidRPr="00990245">
        <w:rPr>
          <w:rFonts w:cs="Times New Roman"/>
          <w:lang w:val="fr-CA"/>
        </w:rPr>
        <w:t>indépendance</w:t>
      </w:r>
      <w:r w:rsidR="00601B6E">
        <w:rPr>
          <w:rFonts w:cs="Times New Roman"/>
          <w:lang w:val="fr-CA"/>
        </w:rPr>
        <w:t> »</w:t>
      </w:r>
      <w:r w:rsidRPr="00990245">
        <w:rPr>
          <w:rFonts w:cs="Times New Roman"/>
          <w:lang w:val="fr-CA"/>
        </w:rPr>
        <w:t xml:space="preserve"> du barreau en ce qui concerne l</w:t>
      </w:r>
      <w:r>
        <w:rPr>
          <w:rFonts w:cs="Times New Roman"/>
          <w:lang w:val="fr-CA"/>
        </w:rPr>
        <w:t>’</w:t>
      </w:r>
      <w:r w:rsidRPr="00990245">
        <w:rPr>
          <w:rFonts w:cs="Times New Roman"/>
          <w:lang w:val="fr-CA"/>
        </w:rPr>
        <w:t>autoréglementation de la profession juridique, j</w:t>
      </w:r>
      <w:r>
        <w:rPr>
          <w:rFonts w:cs="Times New Roman"/>
          <w:lang w:val="fr-CA"/>
        </w:rPr>
        <w:t>’</w:t>
      </w:r>
      <w:r w:rsidRPr="00990245">
        <w:rPr>
          <w:rFonts w:cs="Times New Roman"/>
          <w:lang w:val="fr-CA"/>
        </w:rPr>
        <w:t>estime qu</w:t>
      </w:r>
      <w:r>
        <w:rPr>
          <w:rFonts w:cs="Times New Roman"/>
          <w:lang w:val="fr-CA"/>
        </w:rPr>
        <w:t>’</w:t>
      </w:r>
      <w:r w:rsidRPr="00990245">
        <w:rPr>
          <w:rFonts w:cs="Times New Roman"/>
          <w:lang w:val="fr-CA"/>
        </w:rPr>
        <w:t>il n</w:t>
      </w:r>
      <w:r>
        <w:rPr>
          <w:rFonts w:cs="Times New Roman"/>
          <w:lang w:val="fr-CA"/>
        </w:rPr>
        <w:t>’</w:t>
      </w:r>
      <w:r w:rsidRPr="00990245">
        <w:rPr>
          <w:rFonts w:cs="Times New Roman"/>
          <w:lang w:val="fr-CA"/>
        </w:rPr>
        <w:t>est ni nécessaire ni même souhaitable en l</w:t>
      </w:r>
      <w:r>
        <w:rPr>
          <w:rFonts w:cs="Times New Roman"/>
          <w:lang w:val="fr-CA"/>
        </w:rPr>
        <w:t>’</w:t>
      </w:r>
      <w:r w:rsidRPr="00990245">
        <w:rPr>
          <w:rFonts w:cs="Times New Roman"/>
          <w:lang w:val="fr-CA"/>
        </w:rPr>
        <w:t xml:space="preserve">espèce de se pencher sur la mesure, </w:t>
      </w:r>
      <w:r w:rsidRPr="00990245">
        <w:rPr>
          <w:rFonts w:cs="Times New Roman"/>
          <w:lang w:val="fr-CA"/>
        </w:rPr>
        <w:lastRenderedPageBreak/>
        <w:t>s</w:t>
      </w:r>
      <w:r>
        <w:rPr>
          <w:rFonts w:cs="Times New Roman"/>
          <w:lang w:val="fr-CA"/>
        </w:rPr>
        <w:t>’</w:t>
      </w:r>
      <w:r w:rsidRPr="00990245">
        <w:rPr>
          <w:rFonts w:cs="Times New Roman"/>
          <w:lang w:val="fr-CA"/>
        </w:rPr>
        <w:t>il en est, dans laquelle l</w:t>
      </w:r>
      <w:r>
        <w:rPr>
          <w:rFonts w:cs="Times New Roman"/>
          <w:lang w:val="fr-CA"/>
        </w:rPr>
        <w:t>’</w:t>
      </w:r>
      <w:r w:rsidRPr="00990245">
        <w:rPr>
          <w:rFonts w:cs="Times New Roman"/>
          <w:lang w:val="fr-CA"/>
        </w:rPr>
        <w:t>autoréglementation de la profession juridique constitue un principe de justice fondamentale. Tel que l</w:t>
      </w:r>
      <w:r>
        <w:rPr>
          <w:rFonts w:cs="Times New Roman"/>
          <w:lang w:val="fr-CA"/>
        </w:rPr>
        <w:t>’</w:t>
      </w:r>
      <w:r w:rsidRPr="00990245">
        <w:rPr>
          <w:rFonts w:cs="Times New Roman"/>
          <w:lang w:val="fr-CA"/>
        </w:rPr>
        <w:t xml:space="preserve">a souligné le juge </w:t>
      </w:r>
      <w:proofErr w:type="spellStart"/>
      <w:r w:rsidRPr="00990245">
        <w:rPr>
          <w:rFonts w:cs="Times New Roman"/>
          <w:lang w:val="fr-CA"/>
        </w:rPr>
        <w:t>LeBel</w:t>
      </w:r>
      <w:proofErr w:type="spellEnd"/>
      <w:r w:rsidRPr="00990245">
        <w:rPr>
          <w:rFonts w:cs="Times New Roman"/>
          <w:lang w:val="fr-CA"/>
        </w:rPr>
        <w:t xml:space="preserve"> dans </w:t>
      </w:r>
      <w:proofErr w:type="spellStart"/>
      <w:r w:rsidRPr="00990245">
        <w:rPr>
          <w:rFonts w:cs="Times New Roman"/>
          <w:i/>
          <w:iCs/>
          <w:lang w:val="fr-CA"/>
        </w:rPr>
        <w:t>Finney</w:t>
      </w:r>
      <w:proofErr w:type="spellEnd"/>
      <w:r w:rsidRPr="00990245">
        <w:rPr>
          <w:rFonts w:cs="Times New Roman"/>
          <w:i/>
          <w:iCs/>
          <w:lang w:val="fr-CA"/>
        </w:rPr>
        <w:t xml:space="preserve"> c. Barreau du Québec</w:t>
      </w:r>
      <w:r w:rsidRPr="00990245">
        <w:rPr>
          <w:rFonts w:cs="Times New Roman"/>
          <w:lang w:val="fr-CA"/>
        </w:rPr>
        <w:t>, 2004 CSC 36, [2004] 2 R.C.S. 17, l</w:t>
      </w:r>
      <w:r>
        <w:rPr>
          <w:rFonts w:cs="Times New Roman"/>
          <w:lang w:val="fr-CA"/>
        </w:rPr>
        <w:t>’</w:t>
      </w:r>
      <w:r w:rsidRPr="00990245">
        <w:rPr>
          <w:rFonts w:cs="Times New Roman"/>
          <w:lang w:val="fr-CA"/>
        </w:rPr>
        <w:t xml:space="preserve">autoréglementation est de toute évidence </w:t>
      </w:r>
      <w:r w:rsidRPr="00990245">
        <w:rPr>
          <w:rFonts w:cs="Times New Roman"/>
          <w:i/>
          <w:lang w:val="fr-CA"/>
        </w:rPr>
        <w:t>le moyen</w:t>
      </w:r>
      <w:r w:rsidRPr="00990245">
        <w:rPr>
          <w:rFonts w:cs="Times New Roman"/>
          <w:lang w:val="fr-CA"/>
        </w:rPr>
        <w:t xml:space="preserve"> choisi par le législateur au Canada pour protéger l</w:t>
      </w:r>
      <w:r>
        <w:rPr>
          <w:rFonts w:cs="Times New Roman"/>
          <w:lang w:val="fr-CA"/>
        </w:rPr>
        <w:t>’</w:t>
      </w:r>
      <w:r w:rsidRPr="00990245">
        <w:rPr>
          <w:rFonts w:cs="Times New Roman"/>
          <w:lang w:val="fr-CA"/>
        </w:rPr>
        <w:t>indépendance du barreau (par.</w:t>
      </w:r>
      <w:r w:rsidR="00601B6E">
        <w:rPr>
          <w:rFonts w:cs="Times New Roman"/>
          <w:lang w:val="fr-CA"/>
        </w:rPr>
        <w:t xml:space="preserve"> </w:t>
      </w:r>
      <w:r w:rsidRPr="00990245">
        <w:rPr>
          <w:rFonts w:cs="Times New Roman"/>
          <w:lang w:val="fr-CA"/>
        </w:rPr>
        <w:t>1). Nous n</w:t>
      </w:r>
      <w:r>
        <w:rPr>
          <w:rFonts w:cs="Times New Roman"/>
          <w:lang w:val="fr-CA"/>
        </w:rPr>
        <w:t>’</w:t>
      </w:r>
      <w:r w:rsidRPr="00990245">
        <w:rPr>
          <w:rFonts w:cs="Times New Roman"/>
          <w:lang w:val="fr-CA"/>
        </w:rPr>
        <w:t>avons cependant pas à décider dans la présente affaire si ce choix du législateur est dicté d</w:t>
      </w:r>
      <w:r>
        <w:rPr>
          <w:rFonts w:cs="Times New Roman"/>
          <w:lang w:val="fr-CA"/>
        </w:rPr>
        <w:t>’</w:t>
      </w:r>
      <w:r w:rsidRPr="00990245">
        <w:rPr>
          <w:rFonts w:cs="Times New Roman"/>
          <w:lang w:val="fr-CA"/>
        </w:rPr>
        <w:t>une quelconque manière par la Constitution. Le pourvoi ne nous oblige pas non plus à nous demander s</w:t>
      </w:r>
      <w:r>
        <w:rPr>
          <w:rFonts w:cs="Times New Roman"/>
          <w:lang w:val="fr-CA"/>
        </w:rPr>
        <w:t>’</w:t>
      </w:r>
      <w:r w:rsidRPr="00990245">
        <w:rPr>
          <w:rFonts w:cs="Times New Roman"/>
          <w:lang w:val="fr-CA"/>
        </w:rPr>
        <w:t>il existe d</w:t>
      </w:r>
      <w:r>
        <w:rPr>
          <w:rFonts w:cs="Times New Roman"/>
          <w:lang w:val="fr-CA"/>
        </w:rPr>
        <w:t>’</w:t>
      </w:r>
      <w:r w:rsidRPr="00990245">
        <w:rPr>
          <w:rFonts w:cs="Times New Roman"/>
          <w:lang w:val="fr-CA"/>
        </w:rPr>
        <w:t>autres protections constitutionnelles en ce qui concerne la place occupée par les avocats dans l</w:t>
      </w:r>
      <w:r>
        <w:rPr>
          <w:rFonts w:cs="Times New Roman"/>
          <w:lang w:val="fr-CA"/>
        </w:rPr>
        <w:t>’</w:t>
      </w:r>
      <w:r w:rsidRPr="00990245">
        <w:rPr>
          <w:rFonts w:cs="Times New Roman"/>
          <w:lang w:val="fr-CA"/>
        </w:rPr>
        <w:t xml:space="preserve">administration de la justice. </w:t>
      </w:r>
    </w:p>
    <w:p w:rsidR="00CA3D49" w:rsidRPr="00990245" w:rsidRDefault="00CA3D49" w:rsidP="00FC477C">
      <w:pPr>
        <w:pStyle w:val="Title4LevelTitre4Niveau"/>
        <w:tabs>
          <w:tab w:val="clear" w:pos="1296"/>
        </w:tabs>
        <w:ind w:left="900" w:hanging="450"/>
        <w:rPr>
          <w:rFonts w:cs="Times New Roman"/>
          <w:lang w:val="fr-CA"/>
        </w:rPr>
      </w:pPr>
      <w:r w:rsidRPr="00990245">
        <w:rPr>
          <w:rFonts w:cs="Times New Roman"/>
          <w:lang w:val="fr-CA"/>
        </w:rPr>
        <w:t>Reconnaissance des principes de justice fondamentale</w:t>
      </w:r>
    </w:p>
    <w:p w:rsidR="00CA3D49" w:rsidRPr="00990245" w:rsidRDefault="00CA3D49" w:rsidP="00CA3D49">
      <w:pPr>
        <w:pStyle w:val="ParaNoNdepar-AltN"/>
        <w:rPr>
          <w:rFonts w:cs="Times New Roman"/>
          <w:lang w:val="fr-CA"/>
        </w:rPr>
      </w:pPr>
      <w:r w:rsidRPr="00990245">
        <w:rPr>
          <w:rFonts w:cs="Times New Roman"/>
          <w:lang w:val="fr-CA" w:eastAsia="fr-CA"/>
        </w:rPr>
        <w:t>Le principe de justice fondamentale présente trois caractéristiques. Il doit s</w:t>
      </w:r>
      <w:r>
        <w:rPr>
          <w:rFonts w:cs="Times New Roman"/>
          <w:lang w:val="fr-CA" w:eastAsia="fr-CA"/>
        </w:rPr>
        <w:t>’</w:t>
      </w:r>
      <w:r w:rsidRPr="00990245">
        <w:rPr>
          <w:rFonts w:cs="Times New Roman"/>
          <w:lang w:val="fr-CA" w:eastAsia="fr-CA"/>
        </w:rPr>
        <w:t>agir d</w:t>
      </w:r>
      <w:r>
        <w:rPr>
          <w:rFonts w:cs="Times New Roman"/>
          <w:lang w:val="fr-CA" w:eastAsia="fr-CA"/>
        </w:rPr>
        <w:t>’</w:t>
      </w:r>
      <w:r w:rsidRPr="00990245">
        <w:rPr>
          <w:rFonts w:cs="Times New Roman"/>
          <w:lang w:val="fr-CA" w:eastAsia="fr-CA"/>
        </w:rPr>
        <w:t>un principe juridique à l</w:t>
      </w:r>
      <w:r>
        <w:rPr>
          <w:rFonts w:cs="Times New Roman"/>
          <w:lang w:val="fr-CA" w:eastAsia="fr-CA"/>
        </w:rPr>
        <w:t>’</w:t>
      </w:r>
      <w:r w:rsidRPr="00990245">
        <w:rPr>
          <w:rFonts w:cs="Times New Roman"/>
          <w:lang w:val="fr-CA" w:eastAsia="fr-CA"/>
        </w:rPr>
        <w:t xml:space="preserve">égard duquel il existe </w:t>
      </w:r>
      <w:r w:rsidR="00601B6E">
        <w:rPr>
          <w:rFonts w:cs="Times New Roman"/>
          <w:lang w:val="fr-CA" w:eastAsia="fr-CA"/>
        </w:rPr>
        <w:t>« </w:t>
      </w:r>
      <w:r w:rsidRPr="00990245">
        <w:rPr>
          <w:rFonts w:cs="Times New Roman"/>
          <w:lang w:val="fr-CA" w:eastAsia="fr-CA"/>
        </w:rPr>
        <w:t>un consensus substantiel dans la société</w:t>
      </w:r>
      <w:r w:rsidR="00601B6E">
        <w:rPr>
          <w:rFonts w:cs="Times New Roman"/>
          <w:lang w:val="fr-CA" w:eastAsia="fr-CA"/>
        </w:rPr>
        <w:t> »</w:t>
      </w:r>
      <w:r w:rsidRPr="00990245">
        <w:rPr>
          <w:rFonts w:cs="Times New Roman"/>
          <w:lang w:val="fr-CA" w:eastAsia="fr-CA"/>
        </w:rPr>
        <w:t xml:space="preserve"> sur le fait que ce principe est </w:t>
      </w:r>
      <w:r w:rsidR="00601B6E">
        <w:rPr>
          <w:rFonts w:cs="Times New Roman"/>
          <w:lang w:val="fr-CA" w:eastAsia="fr-CA"/>
        </w:rPr>
        <w:t>« </w:t>
      </w:r>
      <w:r w:rsidRPr="00990245">
        <w:rPr>
          <w:rFonts w:cs="Times New Roman"/>
          <w:lang w:val="fr-CA" w:eastAsia="fr-CA"/>
        </w:rPr>
        <w:t>essentiel au bon fonctionnement du système de justice</w:t>
      </w:r>
      <w:r w:rsidR="00601B6E">
        <w:rPr>
          <w:rFonts w:cs="Times New Roman"/>
          <w:lang w:val="fr-CA" w:eastAsia="fr-CA"/>
        </w:rPr>
        <w:t> »</w:t>
      </w:r>
      <w:r w:rsidRPr="00990245">
        <w:rPr>
          <w:rFonts w:cs="Times New Roman"/>
          <w:lang w:val="fr-CA" w:eastAsia="fr-CA"/>
        </w:rPr>
        <w:t xml:space="preserve">, et ce principe doit être suffisamment précis pour </w:t>
      </w:r>
      <w:r w:rsidR="00601B6E">
        <w:rPr>
          <w:rFonts w:cs="Times New Roman"/>
          <w:lang w:val="fr-CA" w:eastAsia="fr-CA"/>
        </w:rPr>
        <w:t>« </w:t>
      </w:r>
      <w:r w:rsidRPr="00990245">
        <w:rPr>
          <w:rFonts w:cs="Times New Roman"/>
          <w:lang w:val="fr-CA" w:eastAsia="fr-CA"/>
        </w:rPr>
        <w:t>constituer une norme fonctionnelle permettant d</w:t>
      </w:r>
      <w:r>
        <w:rPr>
          <w:rFonts w:cs="Times New Roman"/>
          <w:lang w:val="fr-CA" w:eastAsia="fr-CA"/>
        </w:rPr>
        <w:t>’</w:t>
      </w:r>
      <w:r w:rsidRPr="00990245">
        <w:rPr>
          <w:rFonts w:cs="Times New Roman"/>
          <w:lang w:val="fr-CA" w:eastAsia="fr-CA"/>
        </w:rPr>
        <w:t>évaluer l</w:t>
      </w:r>
      <w:r>
        <w:rPr>
          <w:rFonts w:cs="Times New Roman"/>
          <w:lang w:val="fr-CA" w:eastAsia="fr-CA"/>
        </w:rPr>
        <w:t>’</w:t>
      </w:r>
      <w:r w:rsidRPr="00990245">
        <w:rPr>
          <w:rFonts w:cs="Times New Roman"/>
          <w:lang w:val="fr-CA" w:eastAsia="fr-CA"/>
        </w:rPr>
        <w:t>atteinte à la vie, à la liberté ou à la sécurité de la personne</w:t>
      </w:r>
      <w:r w:rsidR="00601B6E">
        <w:rPr>
          <w:rFonts w:cs="Times New Roman"/>
          <w:lang w:val="fr-CA" w:eastAsia="fr-CA"/>
        </w:rPr>
        <w:t> »</w:t>
      </w:r>
      <w:r w:rsidRPr="00990245">
        <w:rPr>
          <w:rFonts w:cs="Times New Roman"/>
          <w:lang w:val="fr-CA" w:eastAsia="fr-CA"/>
        </w:rPr>
        <w:t xml:space="preserve"> (</w:t>
      </w:r>
      <w:r w:rsidRPr="00990245">
        <w:rPr>
          <w:rFonts w:cs="Times New Roman"/>
          <w:i/>
          <w:iCs/>
          <w:lang w:val="fr-CA" w:eastAsia="fr-CA"/>
        </w:rPr>
        <w:t xml:space="preserve">R. c. </w:t>
      </w:r>
      <w:proofErr w:type="spellStart"/>
      <w:r w:rsidRPr="00990245">
        <w:rPr>
          <w:rFonts w:cs="Times New Roman"/>
          <w:i/>
          <w:iCs/>
          <w:lang w:val="fr-CA" w:eastAsia="fr-CA"/>
        </w:rPr>
        <w:t>Malmo</w:t>
      </w:r>
      <w:proofErr w:type="spellEnd"/>
      <w:r w:rsidR="00601B6E">
        <w:rPr>
          <w:rFonts w:cs="Times New Roman"/>
          <w:i/>
          <w:iCs/>
          <w:lang w:val="fr-CA" w:eastAsia="fr-CA"/>
        </w:rPr>
        <w:t>-</w:t>
      </w:r>
      <w:proofErr w:type="spellStart"/>
      <w:r w:rsidRPr="00990245">
        <w:rPr>
          <w:rFonts w:cs="Times New Roman"/>
          <w:i/>
          <w:iCs/>
          <w:lang w:val="fr-CA" w:eastAsia="fr-CA"/>
        </w:rPr>
        <w:t>Levine</w:t>
      </w:r>
      <w:proofErr w:type="spellEnd"/>
      <w:r w:rsidRPr="00990245">
        <w:rPr>
          <w:rFonts w:cs="Times New Roman"/>
          <w:iCs/>
          <w:lang w:val="fr-CA" w:eastAsia="fr-CA"/>
        </w:rPr>
        <w:t>,</w:t>
      </w:r>
      <w:r w:rsidRPr="00990245">
        <w:rPr>
          <w:rFonts w:cs="Times New Roman"/>
          <w:i/>
          <w:iCs/>
          <w:lang w:val="fr-CA" w:eastAsia="fr-CA"/>
        </w:rPr>
        <w:t xml:space="preserve"> </w:t>
      </w:r>
      <w:r w:rsidRPr="00990245">
        <w:rPr>
          <w:rFonts w:cs="Times New Roman"/>
          <w:lang w:val="fr-CA" w:eastAsia="fr-CA"/>
        </w:rPr>
        <w:t>2003 CSC 74, [2003] 3 R.C.S. 571, par.</w:t>
      </w:r>
      <w:r w:rsidR="00601B6E">
        <w:rPr>
          <w:rFonts w:cs="Times New Roman"/>
          <w:lang w:val="fr-CA" w:eastAsia="fr-CA"/>
        </w:rPr>
        <w:t xml:space="preserve"> </w:t>
      </w:r>
      <w:r w:rsidRPr="00990245">
        <w:rPr>
          <w:rFonts w:cs="Times New Roman"/>
          <w:lang w:val="fr-CA" w:eastAsia="fr-CA"/>
        </w:rPr>
        <w:t xml:space="preserve">113, les juges Gonthier et Binnie; </w:t>
      </w:r>
      <w:r w:rsidRPr="00990245">
        <w:rPr>
          <w:rFonts w:cs="Times New Roman"/>
          <w:i/>
          <w:iCs/>
          <w:lang w:val="fr-CA" w:eastAsia="fr-CA"/>
        </w:rPr>
        <w:t>R. c. D.B.</w:t>
      </w:r>
      <w:r w:rsidRPr="00990245">
        <w:rPr>
          <w:rFonts w:cs="Times New Roman"/>
          <w:lang w:val="fr-CA" w:eastAsia="fr-CA"/>
        </w:rPr>
        <w:t>, 2008 CSC 25, [2008] 2 R.C.S. 3, par.</w:t>
      </w:r>
      <w:r w:rsidR="00601B6E">
        <w:rPr>
          <w:rFonts w:cs="Times New Roman"/>
          <w:lang w:val="fr-CA" w:eastAsia="fr-CA"/>
        </w:rPr>
        <w:t xml:space="preserve"> </w:t>
      </w:r>
      <w:r w:rsidRPr="00990245">
        <w:rPr>
          <w:rFonts w:cs="Times New Roman"/>
          <w:lang w:val="fr-CA" w:eastAsia="fr-CA"/>
        </w:rPr>
        <w:t xml:space="preserve">46, la juge Abella; </w:t>
      </w:r>
      <w:r w:rsidRPr="00990245">
        <w:rPr>
          <w:rFonts w:cs="Times New Roman"/>
          <w:i/>
          <w:iCs/>
          <w:lang w:val="fr-CA" w:eastAsia="fr-CA"/>
        </w:rPr>
        <w:t>R. c. Anderson</w:t>
      </w:r>
      <w:r w:rsidRPr="00990245">
        <w:rPr>
          <w:rFonts w:cs="Times New Roman"/>
          <w:lang w:val="fr-CA" w:eastAsia="fr-CA"/>
        </w:rPr>
        <w:t>, 2014 CSC 41, [2014] 2 R.C.S. 167, par.</w:t>
      </w:r>
      <w:r w:rsidR="00601B6E">
        <w:rPr>
          <w:rFonts w:cs="Times New Roman"/>
          <w:lang w:val="fr-CA" w:eastAsia="fr-CA"/>
        </w:rPr>
        <w:t xml:space="preserve"> </w:t>
      </w:r>
      <w:r w:rsidRPr="00990245">
        <w:rPr>
          <w:rFonts w:cs="Times New Roman"/>
          <w:lang w:val="fr-CA" w:eastAsia="fr-CA"/>
        </w:rPr>
        <w:t xml:space="preserve">29, le juge </w:t>
      </w:r>
      <w:proofErr w:type="spellStart"/>
      <w:r w:rsidRPr="00990245">
        <w:rPr>
          <w:rFonts w:cs="Times New Roman"/>
          <w:lang w:val="fr-CA" w:eastAsia="fr-CA"/>
        </w:rPr>
        <w:t>Moldaver</w:t>
      </w:r>
      <w:proofErr w:type="spellEnd"/>
      <w:r w:rsidRPr="00990245">
        <w:rPr>
          <w:rFonts w:cs="Times New Roman"/>
          <w:lang w:val="fr-CA" w:eastAsia="fr-CA"/>
        </w:rPr>
        <w:t>).</w:t>
      </w:r>
    </w:p>
    <w:p w:rsidR="00CA3D49" w:rsidRPr="00990245" w:rsidRDefault="00CA3D49" w:rsidP="00FC477C">
      <w:pPr>
        <w:pStyle w:val="Title4LevelTitre4Niveau"/>
        <w:keepNext/>
        <w:tabs>
          <w:tab w:val="clear" w:pos="1296"/>
        </w:tabs>
        <w:ind w:left="900" w:hanging="450"/>
        <w:rPr>
          <w:rFonts w:cs="Times New Roman"/>
          <w:lang w:val="fr-CA"/>
        </w:rPr>
      </w:pPr>
      <w:r w:rsidRPr="00990245">
        <w:rPr>
          <w:rFonts w:cs="Times New Roman"/>
          <w:lang w:val="fr-CA"/>
        </w:rPr>
        <w:lastRenderedPageBreak/>
        <w:t>Le devoir de dévouement à la cause du client constitue</w:t>
      </w:r>
      <w:r w:rsidR="00601B6E">
        <w:rPr>
          <w:rFonts w:cs="Times New Roman"/>
          <w:lang w:val="fr-CA"/>
        </w:rPr>
        <w:t>-</w:t>
      </w:r>
      <w:r w:rsidRPr="00990245">
        <w:rPr>
          <w:rFonts w:cs="Times New Roman"/>
          <w:lang w:val="fr-CA"/>
        </w:rPr>
        <w:t>t</w:t>
      </w:r>
      <w:r w:rsidR="00601B6E">
        <w:rPr>
          <w:rFonts w:cs="Times New Roman"/>
          <w:lang w:val="fr-CA"/>
        </w:rPr>
        <w:t>-</w:t>
      </w:r>
      <w:r w:rsidRPr="00990245">
        <w:rPr>
          <w:rFonts w:cs="Times New Roman"/>
          <w:lang w:val="fr-CA"/>
        </w:rPr>
        <w:t>il un tel principe?</w:t>
      </w:r>
    </w:p>
    <w:p w:rsidR="00CA3D49" w:rsidRPr="00990245" w:rsidRDefault="00CA3D49" w:rsidP="00487168">
      <w:pPr>
        <w:pStyle w:val="Title5LevelTitre5Niveau"/>
        <w:keepNext/>
        <w:tabs>
          <w:tab w:val="num" w:pos="6912"/>
        </w:tabs>
        <w:ind w:left="900" w:hanging="450"/>
        <w:outlineLvl w:val="9"/>
        <w:rPr>
          <w:rFonts w:cs="Times New Roman"/>
          <w:lang w:val="fr-CA"/>
        </w:rPr>
      </w:pPr>
      <w:r w:rsidRPr="00990245">
        <w:rPr>
          <w:rFonts w:cs="Times New Roman"/>
          <w:lang w:val="fr-CA"/>
        </w:rPr>
        <w:t>Principe juridique et précision suffisante</w:t>
      </w:r>
    </w:p>
    <w:p w:rsidR="00CA3D49" w:rsidRPr="00990245" w:rsidRDefault="00CA3D49" w:rsidP="00CA3D49">
      <w:pPr>
        <w:pStyle w:val="ParaNoNdepar-AltN"/>
        <w:rPr>
          <w:rFonts w:cs="Times New Roman"/>
          <w:lang w:val="fr-CA"/>
        </w:rPr>
      </w:pPr>
      <w:r w:rsidRPr="00990245">
        <w:rPr>
          <w:rFonts w:cs="Times New Roman"/>
          <w:lang w:val="fr-CA"/>
        </w:rPr>
        <w:t>Ces deux éléments du test sont commodément examinés ensemble.</w:t>
      </w:r>
    </w:p>
    <w:p w:rsidR="00CA3D49" w:rsidRPr="00990245" w:rsidRDefault="00CA3D49" w:rsidP="00CA3D49">
      <w:pPr>
        <w:pStyle w:val="ParaNoNdepar-AltN"/>
        <w:rPr>
          <w:rFonts w:cs="Times New Roman"/>
          <w:lang w:val="fr-CA"/>
        </w:rPr>
      </w:pPr>
      <w:r w:rsidRPr="00990245">
        <w:rPr>
          <w:rFonts w:cs="Times New Roman"/>
          <w:lang w:val="fr-CA"/>
        </w:rPr>
        <w:t>Pour ce qui est tout d</w:t>
      </w:r>
      <w:r>
        <w:rPr>
          <w:rFonts w:cs="Times New Roman"/>
          <w:lang w:val="fr-CA"/>
        </w:rPr>
        <w:t>’</w:t>
      </w:r>
      <w:r w:rsidRPr="00990245">
        <w:rPr>
          <w:rFonts w:cs="Times New Roman"/>
          <w:lang w:val="fr-CA"/>
        </w:rPr>
        <w:t>abord de la définition du principe juridique, il faut faire la distinction, d</w:t>
      </w:r>
      <w:r>
        <w:rPr>
          <w:rFonts w:cs="Times New Roman"/>
          <w:lang w:val="fr-CA"/>
        </w:rPr>
        <w:t>’</w:t>
      </w:r>
      <w:r w:rsidRPr="00990245">
        <w:rPr>
          <w:rFonts w:cs="Times New Roman"/>
          <w:lang w:val="fr-CA"/>
        </w:rPr>
        <w:t>une part, entre la description d</w:t>
      </w:r>
      <w:r>
        <w:rPr>
          <w:rFonts w:cs="Times New Roman"/>
          <w:lang w:val="fr-CA"/>
        </w:rPr>
        <w:t>’</w:t>
      </w:r>
      <w:r w:rsidRPr="00990245">
        <w:rPr>
          <w:rFonts w:cs="Times New Roman"/>
          <w:lang w:val="fr-CA"/>
        </w:rPr>
        <w:t xml:space="preserve">un </w:t>
      </w:r>
      <w:r w:rsidR="00601B6E">
        <w:rPr>
          <w:rFonts w:cs="Times New Roman"/>
          <w:lang w:val="fr-CA"/>
        </w:rPr>
        <w:t>« </w:t>
      </w:r>
      <w:r w:rsidRPr="00990245">
        <w:rPr>
          <w:rFonts w:cs="Times New Roman"/>
          <w:lang w:val="fr-CA"/>
        </w:rPr>
        <w:t>intérêt important de l</w:t>
      </w:r>
      <w:r>
        <w:rPr>
          <w:rFonts w:cs="Times New Roman"/>
          <w:lang w:val="fr-CA"/>
        </w:rPr>
        <w:t>’</w:t>
      </w:r>
      <w:r w:rsidRPr="00990245">
        <w:rPr>
          <w:rFonts w:cs="Times New Roman"/>
          <w:lang w:val="fr-CA"/>
        </w:rPr>
        <w:t>État</w:t>
      </w:r>
      <w:r w:rsidR="00601B6E">
        <w:rPr>
          <w:rFonts w:cs="Times New Roman"/>
          <w:lang w:val="fr-CA"/>
        </w:rPr>
        <w:t> »</w:t>
      </w:r>
      <w:r w:rsidRPr="00990245">
        <w:rPr>
          <w:rFonts w:cs="Times New Roman"/>
          <w:lang w:val="fr-CA"/>
        </w:rPr>
        <w:t xml:space="preserve"> et </w:t>
      </w:r>
      <w:r w:rsidR="00601B6E">
        <w:rPr>
          <w:rFonts w:cs="Times New Roman"/>
          <w:lang w:val="fr-CA"/>
        </w:rPr>
        <w:t>« </w:t>
      </w:r>
      <w:r w:rsidRPr="00990245">
        <w:rPr>
          <w:rFonts w:cs="Times New Roman"/>
          <w:lang w:val="fr-CA"/>
        </w:rPr>
        <w:t>du domaine de l</w:t>
      </w:r>
      <w:r>
        <w:rPr>
          <w:rFonts w:cs="Times New Roman"/>
          <w:lang w:val="fr-CA"/>
        </w:rPr>
        <w:t>’</w:t>
      </w:r>
      <w:r w:rsidRPr="00990245">
        <w:rPr>
          <w:rFonts w:cs="Times New Roman"/>
          <w:lang w:val="fr-CA"/>
        </w:rPr>
        <w:t>ordre public en général</w:t>
      </w:r>
      <w:r w:rsidR="00601B6E">
        <w:rPr>
          <w:rFonts w:cs="Times New Roman"/>
          <w:lang w:val="fr-CA"/>
        </w:rPr>
        <w:t> »</w:t>
      </w:r>
      <w:r w:rsidRPr="00990245">
        <w:rPr>
          <w:rFonts w:cs="Times New Roman"/>
          <w:lang w:val="fr-CA"/>
        </w:rPr>
        <w:t xml:space="preserve"> et, d</w:t>
      </w:r>
      <w:r>
        <w:rPr>
          <w:rFonts w:cs="Times New Roman"/>
          <w:lang w:val="fr-CA"/>
        </w:rPr>
        <w:t>’</w:t>
      </w:r>
      <w:r w:rsidRPr="00990245">
        <w:rPr>
          <w:rFonts w:cs="Times New Roman"/>
          <w:lang w:val="fr-CA"/>
        </w:rPr>
        <w:t xml:space="preserve">autre part, un </w:t>
      </w:r>
      <w:r w:rsidR="00601B6E">
        <w:rPr>
          <w:rFonts w:cs="Times New Roman"/>
          <w:lang w:val="fr-CA"/>
        </w:rPr>
        <w:t>« </w:t>
      </w:r>
      <w:r w:rsidRPr="00990245">
        <w:rPr>
          <w:rFonts w:cs="Times New Roman"/>
          <w:lang w:val="fr-CA"/>
        </w:rPr>
        <w:t>principe “juridique” normatif</w:t>
      </w:r>
      <w:r w:rsidR="00601B6E">
        <w:rPr>
          <w:rFonts w:cs="Times New Roman"/>
          <w:lang w:val="fr-CA"/>
        </w:rPr>
        <w:t> »</w:t>
      </w:r>
      <w:r w:rsidRPr="00990245">
        <w:rPr>
          <w:rFonts w:cs="Times New Roman"/>
          <w:lang w:val="fr-CA"/>
        </w:rPr>
        <w:t xml:space="preserve"> et </w:t>
      </w:r>
      <w:r w:rsidR="00601B6E">
        <w:rPr>
          <w:rFonts w:cs="Times New Roman"/>
          <w:lang w:val="fr-CA"/>
        </w:rPr>
        <w:t>« </w:t>
      </w:r>
      <w:r w:rsidRPr="00990245">
        <w:rPr>
          <w:rFonts w:cs="Times New Roman"/>
          <w:lang w:val="fr-CA"/>
        </w:rPr>
        <w:t>les préceptes fondamentaux de notre système juridique</w:t>
      </w:r>
      <w:r w:rsidR="00601B6E">
        <w:rPr>
          <w:rFonts w:cs="Times New Roman"/>
          <w:lang w:val="fr-CA"/>
        </w:rPr>
        <w:t> »</w:t>
      </w:r>
      <w:r w:rsidRPr="00990245">
        <w:rPr>
          <w:rFonts w:cs="Times New Roman"/>
          <w:lang w:val="fr-CA"/>
        </w:rPr>
        <w:t xml:space="preserve"> (voir </w:t>
      </w:r>
      <w:proofErr w:type="spellStart"/>
      <w:r w:rsidRPr="00990245">
        <w:rPr>
          <w:rFonts w:cs="Times New Roman"/>
          <w:i/>
          <w:iCs/>
          <w:lang w:val="fr-CA"/>
        </w:rPr>
        <w:t>Malmo</w:t>
      </w:r>
      <w:proofErr w:type="spellEnd"/>
      <w:r w:rsidR="00601B6E">
        <w:rPr>
          <w:rFonts w:cs="Times New Roman"/>
          <w:i/>
          <w:iCs/>
          <w:lang w:val="fr-CA"/>
        </w:rPr>
        <w:t>-</w:t>
      </w:r>
      <w:proofErr w:type="spellStart"/>
      <w:r w:rsidRPr="00990245">
        <w:rPr>
          <w:rFonts w:cs="Times New Roman"/>
          <w:i/>
          <w:iCs/>
          <w:lang w:val="fr-CA"/>
        </w:rPr>
        <w:t>Levine</w:t>
      </w:r>
      <w:proofErr w:type="spellEnd"/>
      <w:r w:rsidRPr="00990245">
        <w:rPr>
          <w:rFonts w:cs="Times New Roman"/>
          <w:lang w:val="fr-CA"/>
        </w:rPr>
        <w:t>,</w:t>
      </w:r>
      <w:r w:rsidRPr="00990245">
        <w:rPr>
          <w:rFonts w:cs="Times New Roman"/>
          <w:i/>
          <w:iCs/>
          <w:lang w:val="fr-CA"/>
        </w:rPr>
        <w:t xml:space="preserve"> </w:t>
      </w:r>
      <w:r w:rsidRPr="00990245">
        <w:rPr>
          <w:rFonts w:cs="Times New Roman"/>
          <w:lang w:val="fr-CA"/>
        </w:rPr>
        <w:t>par.</w:t>
      </w:r>
      <w:r w:rsidR="00601B6E">
        <w:rPr>
          <w:rFonts w:cs="Times New Roman"/>
          <w:lang w:val="fr-CA"/>
        </w:rPr>
        <w:t xml:space="preserve"> </w:t>
      </w:r>
      <w:r w:rsidRPr="00990245">
        <w:rPr>
          <w:rFonts w:cs="Times New Roman"/>
          <w:lang w:val="fr-CA"/>
        </w:rPr>
        <w:t xml:space="preserve">112 et 114; </w:t>
      </w:r>
      <w:r w:rsidRPr="00990245">
        <w:rPr>
          <w:rFonts w:cs="Times New Roman"/>
          <w:i/>
          <w:lang w:val="fr-CA"/>
        </w:rPr>
        <w:t xml:space="preserve">Renvoi sur la </w:t>
      </w:r>
      <w:proofErr w:type="spellStart"/>
      <w:r w:rsidRPr="00990245">
        <w:rPr>
          <w:rFonts w:cs="Times New Roman"/>
          <w:i/>
          <w:iCs/>
          <w:lang w:val="fr-CA"/>
        </w:rPr>
        <w:t>Motor</w:t>
      </w:r>
      <w:proofErr w:type="spellEnd"/>
      <w:r w:rsidRPr="00990245">
        <w:rPr>
          <w:rFonts w:cs="Times New Roman"/>
          <w:i/>
          <w:iCs/>
          <w:lang w:val="fr-CA"/>
        </w:rPr>
        <w:t xml:space="preserve"> </w:t>
      </w:r>
      <w:proofErr w:type="spellStart"/>
      <w:r w:rsidRPr="00990245">
        <w:rPr>
          <w:rFonts w:cs="Times New Roman"/>
          <w:i/>
          <w:iCs/>
          <w:lang w:val="fr-CA"/>
        </w:rPr>
        <w:t>Vehicle</w:t>
      </w:r>
      <w:proofErr w:type="spellEnd"/>
      <w:r w:rsidRPr="00990245">
        <w:rPr>
          <w:rFonts w:cs="Times New Roman"/>
          <w:i/>
          <w:iCs/>
          <w:lang w:val="fr-CA"/>
        </w:rPr>
        <w:t xml:space="preserve"> </w:t>
      </w:r>
      <w:proofErr w:type="spellStart"/>
      <w:r w:rsidRPr="00990245">
        <w:rPr>
          <w:rFonts w:cs="Times New Roman"/>
          <w:i/>
          <w:iCs/>
          <w:lang w:val="fr-CA"/>
        </w:rPr>
        <w:t>Act</w:t>
      </w:r>
      <w:proofErr w:type="spellEnd"/>
      <w:r w:rsidRPr="00990245">
        <w:rPr>
          <w:rFonts w:cs="Times New Roman"/>
          <w:i/>
          <w:iCs/>
          <w:lang w:val="fr-CA"/>
        </w:rPr>
        <w:t xml:space="preserve"> (C.</w:t>
      </w:r>
      <w:r w:rsidR="00601B6E">
        <w:rPr>
          <w:rFonts w:cs="Times New Roman"/>
          <w:i/>
          <w:iCs/>
          <w:lang w:val="fr-CA"/>
        </w:rPr>
        <w:t>-</w:t>
      </w:r>
      <w:r w:rsidRPr="00990245">
        <w:rPr>
          <w:rFonts w:cs="Times New Roman"/>
          <w:i/>
          <w:iCs/>
          <w:lang w:val="fr-CA"/>
        </w:rPr>
        <w:t>B.)</w:t>
      </w:r>
      <w:r w:rsidRPr="00990245">
        <w:rPr>
          <w:rFonts w:cs="Times New Roman"/>
          <w:lang w:val="fr-CA"/>
        </w:rPr>
        <w:t>, [1985] 2 R.C.S. 486, p.</w:t>
      </w:r>
      <w:r w:rsidR="00601B6E">
        <w:rPr>
          <w:rFonts w:cs="Times New Roman"/>
          <w:lang w:val="fr-CA"/>
        </w:rPr>
        <w:t xml:space="preserve"> </w:t>
      </w:r>
      <w:r w:rsidRPr="00990245">
        <w:rPr>
          <w:rFonts w:cs="Times New Roman"/>
          <w:lang w:val="fr-CA"/>
        </w:rPr>
        <w:t xml:space="preserve">503). Certains exemples permettront de mieux illustrer cette distinction. </w:t>
      </w:r>
    </w:p>
    <w:p w:rsidR="00CA3D49" w:rsidRPr="00990245" w:rsidRDefault="00CA3D49" w:rsidP="00CA3D49">
      <w:pPr>
        <w:pStyle w:val="ParaNoNdepar-AltN"/>
        <w:rPr>
          <w:rFonts w:cs="Times New Roman"/>
          <w:lang w:val="fr-CA"/>
        </w:rPr>
      </w:pPr>
      <w:r w:rsidRPr="00990245">
        <w:rPr>
          <w:rFonts w:cs="Times New Roman"/>
          <w:lang w:val="fr-CA"/>
        </w:rPr>
        <w:t xml:space="preserve">Le </w:t>
      </w:r>
      <w:r w:rsidR="00601B6E">
        <w:rPr>
          <w:rFonts w:cs="Times New Roman"/>
          <w:lang w:val="fr-CA"/>
        </w:rPr>
        <w:t>« </w:t>
      </w:r>
      <w:r w:rsidRPr="00990245">
        <w:rPr>
          <w:rFonts w:cs="Times New Roman"/>
          <w:lang w:val="fr-CA"/>
        </w:rPr>
        <w:t>principe du préjudice</w:t>
      </w:r>
      <w:r w:rsidR="00601B6E">
        <w:rPr>
          <w:rFonts w:cs="Times New Roman"/>
          <w:lang w:val="fr-CA"/>
        </w:rPr>
        <w:t> »</w:t>
      </w:r>
      <w:r w:rsidRPr="00990245">
        <w:rPr>
          <w:rFonts w:cs="Times New Roman"/>
          <w:lang w:val="fr-CA"/>
        </w:rPr>
        <w:t xml:space="preserve">, invoqué sans succès en tant que principe de justice fondamentale dans </w:t>
      </w:r>
      <w:proofErr w:type="spellStart"/>
      <w:r w:rsidRPr="00990245">
        <w:rPr>
          <w:rFonts w:cs="Times New Roman"/>
          <w:i/>
          <w:iCs/>
          <w:lang w:val="fr-CA"/>
        </w:rPr>
        <w:t>Malmo</w:t>
      </w:r>
      <w:proofErr w:type="spellEnd"/>
      <w:r w:rsidR="00601B6E">
        <w:rPr>
          <w:rFonts w:cs="Times New Roman"/>
          <w:i/>
          <w:iCs/>
          <w:lang w:val="fr-CA"/>
        </w:rPr>
        <w:t>-</w:t>
      </w:r>
      <w:proofErr w:type="spellStart"/>
      <w:r w:rsidRPr="00990245">
        <w:rPr>
          <w:rFonts w:cs="Times New Roman"/>
          <w:i/>
          <w:iCs/>
          <w:lang w:val="fr-CA"/>
        </w:rPr>
        <w:t>Levine</w:t>
      </w:r>
      <w:proofErr w:type="spellEnd"/>
      <w:r w:rsidRPr="00990245">
        <w:rPr>
          <w:rFonts w:cs="Times New Roman"/>
          <w:lang w:val="fr-CA"/>
        </w:rPr>
        <w:t>, est la théorie de Mill suivant laquelle [</w:t>
      </w:r>
      <w:r w:rsidRPr="00990245">
        <w:rPr>
          <w:rFonts w:cs="Times New Roman"/>
          <w:smallCaps/>
          <w:lang w:val="fr-CA"/>
        </w:rPr>
        <w:t>traduction</w:t>
      </w:r>
      <w:r w:rsidRPr="00990245">
        <w:rPr>
          <w:rFonts w:cs="Times New Roman"/>
          <w:lang w:val="fr-CA"/>
        </w:rPr>
        <w:t xml:space="preserve">] </w:t>
      </w:r>
      <w:r w:rsidR="00601B6E">
        <w:rPr>
          <w:rFonts w:cs="Times New Roman"/>
          <w:lang w:val="fr-CA"/>
        </w:rPr>
        <w:t>« </w:t>
      </w:r>
      <w:r w:rsidRPr="00990245">
        <w:rPr>
          <w:rFonts w:cs="Times New Roman"/>
          <w:lang w:val="fr-CA"/>
        </w:rPr>
        <w:t>la seule raison légitime que puisse avoir une communauté pour user de la force contre un de ses membres est de l</w:t>
      </w:r>
      <w:r>
        <w:rPr>
          <w:rFonts w:cs="Times New Roman"/>
          <w:lang w:val="fr-CA"/>
        </w:rPr>
        <w:t>’</w:t>
      </w:r>
      <w:r w:rsidRPr="00990245">
        <w:rPr>
          <w:rFonts w:cs="Times New Roman"/>
          <w:lang w:val="fr-CA"/>
        </w:rPr>
        <w:t>empêcher de nuire aux autres</w:t>
      </w:r>
      <w:r w:rsidR="00601B6E">
        <w:rPr>
          <w:rFonts w:cs="Times New Roman"/>
          <w:lang w:val="fr-CA"/>
        </w:rPr>
        <w:t> »</w:t>
      </w:r>
      <w:r w:rsidRPr="00990245">
        <w:rPr>
          <w:rFonts w:cs="Times New Roman"/>
          <w:sz w:val="20"/>
          <w:szCs w:val="20"/>
          <w:lang w:val="fr-CA"/>
        </w:rPr>
        <w:t xml:space="preserve"> (</w:t>
      </w:r>
      <w:r w:rsidRPr="00990245">
        <w:rPr>
          <w:rFonts w:cs="Times New Roman"/>
          <w:lang w:val="fr-CA"/>
        </w:rPr>
        <w:t>J.</w:t>
      </w:r>
      <w:r w:rsidR="00601B6E">
        <w:rPr>
          <w:rFonts w:cs="Times New Roman"/>
          <w:lang w:val="fr-CA"/>
        </w:rPr>
        <w:t xml:space="preserve"> </w:t>
      </w:r>
      <w:r w:rsidRPr="00990245">
        <w:rPr>
          <w:rFonts w:cs="Times New Roman"/>
          <w:lang w:val="fr-CA"/>
        </w:rPr>
        <w:t>S.</w:t>
      </w:r>
      <w:r w:rsidR="00601B6E">
        <w:rPr>
          <w:rFonts w:cs="Times New Roman"/>
          <w:lang w:val="fr-CA"/>
        </w:rPr>
        <w:t xml:space="preserve"> </w:t>
      </w:r>
      <w:r w:rsidRPr="00990245">
        <w:rPr>
          <w:rFonts w:cs="Times New Roman"/>
          <w:lang w:val="fr-CA"/>
        </w:rPr>
        <w:t xml:space="preserve">Mill, </w:t>
      </w:r>
      <w:r w:rsidRPr="00990245">
        <w:rPr>
          <w:rFonts w:cs="Times New Roman"/>
          <w:i/>
          <w:iCs/>
          <w:lang w:val="fr-CA"/>
        </w:rPr>
        <w:t xml:space="preserve">On Liberty and </w:t>
      </w:r>
      <w:proofErr w:type="spellStart"/>
      <w:r w:rsidRPr="00990245">
        <w:rPr>
          <w:rFonts w:cs="Times New Roman"/>
          <w:i/>
          <w:iCs/>
          <w:lang w:val="fr-CA"/>
        </w:rPr>
        <w:t>Considerations</w:t>
      </w:r>
      <w:proofErr w:type="spellEnd"/>
      <w:r w:rsidRPr="00990245">
        <w:rPr>
          <w:rFonts w:cs="Times New Roman"/>
          <w:i/>
          <w:iCs/>
          <w:lang w:val="fr-CA"/>
        </w:rPr>
        <w:t xml:space="preserve"> on </w:t>
      </w:r>
      <w:proofErr w:type="spellStart"/>
      <w:r w:rsidRPr="00990245">
        <w:rPr>
          <w:rFonts w:cs="Times New Roman"/>
          <w:i/>
          <w:iCs/>
          <w:lang w:val="fr-CA"/>
        </w:rPr>
        <w:t>Representative</w:t>
      </w:r>
      <w:proofErr w:type="spellEnd"/>
      <w:r w:rsidRPr="00990245">
        <w:rPr>
          <w:rFonts w:cs="Times New Roman"/>
          <w:i/>
          <w:iCs/>
          <w:lang w:val="fr-CA"/>
        </w:rPr>
        <w:t xml:space="preserve"> </w:t>
      </w:r>
      <w:proofErr w:type="spellStart"/>
      <w:r w:rsidRPr="00990245">
        <w:rPr>
          <w:rFonts w:cs="Times New Roman"/>
          <w:i/>
          <w:iCs/>
          <w:lang w:val="fr-CA"/>
        </w:rPr>
        <w:t>Government</w:t>
      </w:r>
      <w:proofErr w:type="spellEnd"/>
      <w:r w:rsidRPr="00990245">
        <w:rPr>
          <w:rFonts w:cs="Times New Roman"/>
          <w:lang w:val="fr-CA"/>
        </w:rPr>
        <w:t xml:space="preserve"> (1946), p.</w:t>
      </w:r>
      <w:r w:rsidR="00601B6E">
        <w:rPr>
          <w:rFonts w:cs="Times New Roman"/>
          <w:lang w:val="fr-CA"/>
        </w:rPr>
        <w:t xml:space="preserve"> </w:t>
      </w:r>
      <w:r w:rsidRPr="00990245">
        <w:rPr>
          <w:rFonts w:cs="Times New Roman"/>
          <w:lang w:val="fr-CA"/>
        </w:rPr>
        <w:t>8). Toutefois, le principe de l</w:t>
      </w:r>
      <w:r>
        <w:rPr>
          <w:rFonts w:cs="Times New Roman"/>
          <w:lang w:val="fr-CA"/>
        </w:rPr>
        <w:t>’</w:t>
      </w:r>
      <w:r w:rsidR="00601B6E">
        <w:rPr>
          <w:rFonts w:cs="Times New Roman"/>
          <w:lang w:val="fr-CA"/>
        </w:rPr>
        <w:t>« </w:t>
      </w:r>
      <w:r w:rsidRPr="00990245">
        <w:rPr>
          <w:rFonts w:cs="Times New Roman"/>
          <w:lang w:val="fr-CA"/>
        </w:rPr>
        <w:t>intérêt supérieur de l</w:t>
      </w:r>
      <w:r>
        <w:rPr>
          <w:rFonts w:cs="Times New Roman"/>
          <w:lang w:val="fr-CA"/>
        </w:rPr>
        <w:t>’</w:t>
      </w:r>
      <w:r w:rsidRPr="00990245">
        <w:rPr>
          <w:rFonts w:cs="Times New Roman"/>
          <w:lang w:val="fr-CA"/>
        </w:rPr>
        <w:t>enfant</w:t>
      </w:r>
      <w:r w:rsidR="00601B6E">
        <w:rPr>
          <w:rFonts w:cs="Times New Roman"/>
          <w:lang w:val="fr-CA"/>
        </w:rPr>
        <w:t> »</w:t>
      </w:r>
      <w:r w:rsidRPr="00990245">
        <w:rPr>
          <w:rFonts w:cs="Times New Roman"/>
          <w:lang w:val="fr-CA"/>
        </w:rPr>
        <w:t xml:space="preserve"> et la présomption de culpabilité morale moins élevée des adolescents ont été considérés comme des principes juridiques parce qu</w:t>
      </w:r>
      <w:r>
        <w:rPr>
          <w:rFonts w:cs="Times New Roman"/>
          <w:lang w:val="fr-CA"/>
        </w:rPr>
        <w:t>’</w:t>
      </w:r>
      <w:r w:rsidRPr="00990245">
        <w:rPr>
          <w:rFonts w:cs="Times New Roman"/>
          <w:lang w:val="fr-CA"/>
        </w:rPr>
        <w:t>ils étaient non pas des généralisations juridiques, mais plutôt des principes juridiques reconnus tant en droit interne qu</w:t>
      </w:r>
      <w:r>
        <w:rPr>
          <w:rFonts w:cs="Times New Roman"/>
          <w:lang w:val="fr-CA"/>
        </w:rPr>
        <w:t>’</w:t>
      </w:r>
      <w:r w:rsidRPr="00990245">
        <w:rPr>
          <w:rFonts w:cs="Times New Roman"/>
          <w:lang w:val="fr-CA"/>
        </w:rPr>
        <w:t xml:space="preserve">en droit international (voir </w:t>
      </w:r>
      <w:r w:rsidRPr="00990245">
        <w:rPr>
          <w:rFonts w:cs="Times New Roman"/>
          <w:i/>
          <w:iCs/>
          <w:lang w:val="fr-CA"/>
        </w:rPr>
        <w:t xml:space="preserve">Canadian </w:t>
      </w:r>
      <w:proofErr w:type="spellStart"/>
      <w:r w:rsidRPr="00990245">
        <w:rPr>
          <w:rFonts w:cs="Times New Roman"/>
          <w:i/>
          <w:iCs/>
          <w:lang w:val="fr-CA"/>
        </w:rPr>
        <w:t>Foundation</w:t>
      </w:r>
      <w:proofErr w:type="spellEnd"/>
      <w:r w:rsidRPr="00990245">
        <w:rPr>
          <w:rFonts w:cs="Times New Roman"/>
          <w:i/>
          <w:iCs/>
          <w:lang w:val="fr-CA"/>
        </w:rPr>
        <w:t xml:space="preserve"> for </w:t>
      </w:r>
      <w:proofErr w:type="spellStart"/>
      <w:r w:rsidRPr="00990245">
        <w:rPr>
          <w:rFonts w:cs="Times New Roman"/>
          <w:i/>
          <w:iCs/>
          <w:lang w:val="fr-CA"/>
        </w:rPr>
        <w:t>Children</w:t>
      </w:r>
      <w:proofErr w:type="spellEnd"/>
      <w:r w:rsidRPr="00990245">
        <w:rPr>
          <w:rFonts w:cs="Times New Roman"/>
          <w:i/>
          <w:iCs/>
          <w:lang w:val="fr-CA"/>
        </w:rPr>
        <w:t xml:space="preserve">, </w:t>
      </w:r>
      <w:proofErr w:type="spellStart"/>
      <w:r w:rsidRPr="00990245">
        <w:rPr>
          <w:rFonts w:cs="Times New Roman"/>
          <w:i/>
          <w:iCs/>
          <w:lang w:val="fr-CA"/>
        </w:rPr>
        <w:t>Youth</w:t>
      </w:r>
      <w:proofErr w:type="spellEnd"/>
      <w:r w:rsidRPr="00990245">
        <w:rPr>
          <w:rFonts w:cs="Times New Roman"/>
          <w:i/>
          <w:iCs/>
          <w:lang w:val="fr-CA"/>
        </w:rPr>
        <w:t xml:space="preserve"> and the Law c. Canada (Procureur </w:t>
      </w:r>
      <w:r w:rsidRPr="00990245">
        <w:rPr>
          <w:rFonts w:cs="Times New Roman"/>
          <w:i/>
          <w:iCs/>
          <w:lang w:val="fr-CA"/>
        </w:rPr>
        <w:lastRenderedPageBreak/>
        <w:t>général)</w:t>
      </w:r>
      <w:r w:rsidRPr="00990245">
        <w:rPr>
          <w:rFonts w:cs="Times New Roman"/>
          <w:lang w:val="fr-CA"/>
        </w:rPr>
        <w:t>, 2004 CSC 4, [2004] 1 R.C.S. 76, par.</w:t>
      </w:r>
      <w:r w:rsidR="00601B6E">
        <w:rPr>
          <w:rFonts w:cs="Times New Roman"/>
          <w:lang w:val="fr-CA"/>
        </w:rPr>
        <w:t xml:space="preserve"> </w:t>
      </w:r>
      <w:r w:rsidRPr="00990245">
        <w:rPr>
          <w:rFonts w:cs="Times New Roman"/>
          <w:lang w:val="fr-CA"/>
        </w:rPr>
        <w:t>9). Comme ces principes sont consacrés par divers textes de loi et qu</w:t>
      </w:r>
      <w:r>
        <w:rPr>
          <w:rFonts w:cs="Times New Roman"/>
          <w:lang w:val="fr-CA"/>
        </w:rPr>
        <w:t>’</w:t>
      </w:r>
      <w:r w:rsidRPr="00990245">
        <w:rPr>
          <w:rFonts w:cs="Times New Roman"/>
          <w:lang w:val="fr-CA"/>
        </w:rPr>
        <w:t>ils sont appliqués depuis longtemps par diverses institutions juridiques, on les qualifie de principes juridiques (</w:t>
      </w:r>
      <w:r w:rsidRPr="00990245">
        <w:rPr>
          <w:rFonts w:cs="Times New Roman"/>
          <w:i/>
          <w:lang w:val="fr-CA"/>
        </w:rPr>
        <w:t>ibid</w:t>
      </w:r>
      <w:r w:rsidRPr="00990245">
        <w:rPr>
          <w:rFonts w:cs="Times New Roman"/>
          <w:lang w:val="fr-CA"/>
        </w:rPr>
        <w:t>.; voir aussi</w:t>
      </w:r>
      <w:r>
        <w:rPr>
          <w:rFonts w:cs="Times New Roman"/>
          <w:lang w:val="fr-CA"/>
        </w:rPr>
        <w:t xml:space="preserve"> </w:t>
      </w:r>
      <w:r w:rsidRPr="00990245">
        <w:rPr>
          <w:rFonts w:cs="Times New Roman"/>
          <w:i/>
          <w:iCs/>
          <w:lang w:val="fr-CA"/>
        </w:rPr>
        <w:t>D.B.</w:t>
      </w:r>
      <w:r w:rsidRPr="00990245">
        <w:rPr>
          <w:rFonts w:cs="Times New Roman"/>
          <w:iCs/>
          <w:lang w:val="fr-CA"/>
        </w:rPr>
        <w:t xml:space="preserve">, </w:t>
      </w:r>
      <w:r w:rsidRPr="00990245">
        <w:rPr>
          <w:rFonts w:cs="Times New Roman"/>
          <w:lang w:val="fr-CA"/>
        </w:rPr>
        <w:t>par.</w:t>
      </w:r>
      <w:r w:rsidR="00601B6E">
        <w:rPr>
          <w:rFonts w:cs="Times New Roman"/>
          <w:lang w:val="fr-CA"/>
        </w:rPr>
        <w:t xml:space="preserve"> </w:t>
      </w:r>
      <w:r w:rsidRPr="00990245">
        <w:rPr>
          <w:rFonts w:cs="Times New Roman"/>
          <w:lang w:val="fr-CA"/>
        </w:rPr>
        <w:t>47</w:t>
      </w:r>
      <w:r w:rsidR="00601B6E">
        <w:rPr>
          <w:rFonts w:cs="Times New Roman"/>
          <w:lang w:val="fr-CA"/>
        </w:rPr>
        <w:t>-</w:t>
      </w:r>
      <w:r w:rsidRPr="00990245">
        <w:rPr>
          <w:rFonts w:cs="Times New Roman"/>
          <w:lang w:val="fr-CA"/>
        </w:rPr>
        <w:t xml:space="preserve">60). </w:t>
      </w:r>
    </w:p>
    <w:p w:rsidR="00CA3D49" w:rsidRPr="00990245" w:rsidRDefault="00CA3D49" w:rsidP="00CA3D49">
      <w:pPr>
        <w:pStyle w:val="ParaNoNdepar-AltN"/>
        <w:rPr>
          <w:rFonts w:cs="Times New Roman"/>
          <w:lang w:val="fr-CA"/>
        </w:rPr>
      </w:pPr>
      <w:r w:rsidRPr="00990245">
        <w:rPr>
          <w:rFonts w:cs="Times New Roman"/>
          <w:lang w:val="fr-CA"/>
        </w:rPr>
        <w:t>L</w:t>
      </w:r>
      <w:r>
        <w:rPr>
          <w:rFonts w:cs="Times New Roman"/>
          <w:lang w:val="fr-CA"/>
        </w:rPr>
        <w:t>’</w:t>
      </w:r>
      <w:r w:rsidRPr="00990245">
        <w:rPr>
          <w:rFonts w:cs="Times New Roman"/>
          <w:lang w:val="fr-CA"/>
        </w:rPr>
        <w:t xml:space="preserve">utilisation de la règle ou du principe proposé comme règle ou critère en </w:t>
      </w:r>
      <w:proofErr w:type="spellStart"/>
      <w:r w:rsidRPr="00990245">
        <w:rPr>
          <w:rFonts w:cs="Times New Roman"/>
          <w:lang w:val="fr-CA"/>
        </w:rPr>
        <w:t>common</w:t>
      </w:r>
      <w:proofErr w:type="spellEnd"/>
      <w:r w:rsidRPr="00990245">
        <w:rPr>
          <w:rFonts w:cs="Times New Roman"/>
          <w:lang w:val="fr-CA"/>
        </w:rPr>
        <w:t xml:space="preserve"> </w:t>
      </w:r>
      <w:proofErr w:type="spellStart"/>
      <w:r w:rsidRPr="00990245">
        <w:rPr>
          <w:rFonts w:cs="Times New Roman"/>
          <w:lang w:val="fr-CA"/>
        </w:rPr>
        <w:t>law</w:t>
      </w:r>
      <w:proofErr w:type="spellEnd"/>
      <w:r w:rsidRPr="00990245">
        <w:rPr>
          <w:rFonts w:cs="Times New Roman"/>
          <w:lang w:val="fr-CA"/>
        </w:rPr>
        <w:t>, dans la législation ou en droit international constitue un indice important qu</w:t>
      </w:r>
      <w:r>
        <w:rPr>
          <w:rFonts w:cs="Times New Roman"/>
          <w:lang w:val="fr-CA"/>
        </w:rPr>
        <w:t>’</w:t>
      </w:r>
      <w:r w:rsidRPr="00990245">
        <w:rPr>
          <w:rFonts w:cs="Times New Roman"/>
          <w:lang w:val="fr-CA"/>
        </w:rPr>
        <w:t xml:space="preserve">il </w:t>
      </w:r>
      <w:proofErr w:type="gramStart"/>
      <w:r w:rsidRPr="00990245">
        <w:rPr>
          <w:rFonts w:cs="Times New Roman"/>
          <w:lang w:val="fr-CA"/>
        </w:rPr>
        <w:t>s</w:t>
      </w:r>
      <w:r>
        <w:rPr>
          <w:rFonts w:cs="Times New Roman"/>
          <w:lang w:val="fr-CA"/>
        </w:rPr>
        <w:t>’</w:t>
      </w:r>
      <w:r w:rsidRPr="00990245">
        <w:rPr>
          <w:rFonts w:cs="Times New Roman"/>
          <w:lang w:val="fr-CA"/>
        </w:rPr>
        <w:t>agit</w:t>
      </w:r>
      <w:proofErr w:type="gramEnd"/>
      <w:r w:rsidRPr="00990245">
        <w:rPr>
          <w:rFonts w:cs="Times New Roman"/>
          <w:lang w:val="fr-CA"/>
        </w:rPr>
        <w:t xml:space="preserve"> d</w:t>
      </w:r>
      <w:r>
        <w:rPr>
          <w:rFonts w:cs="Times New Roman"/>
          <w:lang w:val="fr-CA"/>
        </w:rPr>
        <w:t>’</w:t>
      </w:r>
      <w:r w:rsidRPr="00990245">
        <w:rPr>
          <w:rFonts w:cs="Times New Roman"/>
          <w:lang w:val="fr-CA"/>
        </w:rPr>
        <w:t xml:space="preserve">un principe juridique. Le devoir de dévouement à la cause du client a été reconnu par la Cour comme un élément distinct du devoir général de loyauté en </w:t>
      </w:r>
      <w:proofErr w:type="spellStart"/>
      <w:r w:rsidRPr="00990245">
        <w:rPr>
          <w:rFonts w:cs="Times New Roman"/>
          <w:lang w:val="fr-CA"/>
        </w:rPr>
        <w:t>common</w:t>
      </w:r>
      <w:proofErr w:type="spellEnd"/>
      <w:r w:rsidRPr="00990245">
        <w:rPr>
          <w:rFonts w:cs="Times New Roman"/>
          <w:lang w:val="fr-CA"/>
        </w:rPr>
        <w:t xml:space="preserve"> </w:t>
      </w:r>
      <w:proofErr w:type="spellStart"/>
      <w:r w:rsidRPr="00990245">
        <w:rPr>
          <w:rFonts w:cs="Times New Roman"/>
          <w:lang w:val="fr-CA"/>
        </w:rPr>
        <w:t>law</w:t>
      </w:r>
      <w:proofErr w:type="spellEnd"/>
      <w:r w:rsidRPr="00990245">
        <w:rPr>
          <w:rFonts w:cs="Times New Roman"/>
          <w:lang w:val="fr-CA"/>
        </w:rPr>
        <w:t xml:space="preserve"> et il constitue donc indéniablement un principe juridique (</w:t>
      </w:r>
      <w:proofErr w:type="spellStart"/>
      <w:r w:rsidRPr="00990245">
        <w:rPr>
          <w:rFonts w:cs="Times New Roman"/>
          <w:i/>
          <w:lang w:val="fr-CA"/>
        </w:rPr>
        <w:t>McKercher</w:t>
      </w:r>
      <w:proofErr w:type="spellEnd"/>
      <w:r w:rsidRPr="00990245">
        <w:rPr>
          <w:rFonts w:cs="Times New Roman"/>
          <w:lang w:val="fr-CA"/>
        </w:rPr>
        <w:t>, par.</w:t>
      </w:r>
      <w:r w:rsidR="00601B6E">
        <w:rPr>
          <w:rFonts w:cs="Times New Roman"/>
          <w:lang w:val="fr-CA"/>
        </w:rPr>
        <w:t xml:space="preserve"> </w:t>
      </w:r>
      <w:r w:rsidRPr="00990245">
        <w:rPr>
          <w:rFonts w:cs="Times New Roman"/>
          <w:lang w:val="fr-CA"/>
        </w:rPr>
        <w:t>19 et 43</w:t>
      </w:r>
      <w:r w:rsidR="00601B6E">
        <w:rPr>
          <w:rFonts w:cs="Times New Roman"/>
          <w:lang w:val="fr-CA"/>
        </w:rPr>
        <w:t>-</w:t>
      </w:r>
      <w:r w:rsidRPr="00990245">
        <w:rPr>
          <w:rFonts w:cs="Times New Roman"/>
          <w:lang w:val="fr-CA"/>
        </w:rPr>
        <w:t xml:space="preserve">44; </w:t>
      </w:r>
      <w:r w:rsidRPr="00990245">
        <w:rPr>
          <w:rFonts w:cs="Times New Roman"/>
          <w:i/>
          <w:lang w:val="fr-CA"/>
        </w:rPr>
        <w:t>R. c.</w:t>
      </w:r>
      <w:r w:rsidRPr="00990245">
        <w:rPr>
          <w:rFonts w:cs="Times New Roman"/>
          <w:lang w:val="fr-CA"/>
        </w:rPr>
        <w:t xml:space="preserve"> </w:t>
      </w:r>
      <w:r w:rsidRPr="00990245">
        <w:rPr>
          <w:rFonts w:cs="Times New Roman"/>
          <w:i/>
          <w:lang w:val="fr-CA"/>
        </w:rPr>
        <w:t>Neil</w:t>
      </w:r>
      <w:r w:rsidRPr="00990245">
        <w:rPr>
          <w:rFonts w:cs="Times New Roman"/>
          <w:lang w:val="fr-CA"/>
        </w:rPr>
        <w:t>, 2002 CSC 70, [2002] 3 R.C.S. 631, par.</w:t>
      </w:r>
      <w:r w:rsidR="00601B6E">
        <w:rPr>
          <w:rFonts w:cs="Times New Roman"/>
          <w:lang w:val="fr-CA"/>
        </w:rPr>
        <w:t xml:space="preserve"> </w:t>
      </w:r>
      <w:r w:rsidRPr="00990245">
        <w:rPr>
          <w:rFonts w:cs="Times New Roman"/>
          <w:lang w:val="fr-CA"/>
        </w:rPr>
        <w:t xml:space="preserve">19).  </w:t>
      </w:r>
    </w:p>
    <w:p w:rsidR="00CA3D49" w:rsidRPr="00990245" w:rsidRDefault="00CA3D49" w:rsidP="00CA3D49">
      <w:pPr>
        <w:pStyle w:val="ParaNoNdepar-AltN"/>
        <w:rPr>
          <w:rFonts w:cs="Times New Roman"/>
          <w:lang w:val="fr-CA"/>
        </w:rPr>
      </w:pPr>
      <w:r w:rsidRPr="00990245">
        <w:rPr>
          <w:rFonts w:cs="Times New Roman"/>
          <w:lang w:val="fr-CA"/>
        </w:rPr>
        <w:t>Bien que cette norme ne s</w:t>
      </w:r>
      <w:r>
        <w:rPr>
          <w:rFonts w:cs="Times New Roman"/>
          <w:lang w:val="fr-CA"/>
        </w:rPr>
        <w:t>’</w:t>
      </w:r>
      <w:r w:rsidRPr="00990245">
        <w:rPr>
          <w:rFonts w:cs="Times New Roman"/>
          <w:lang w:val="fr-CA"/>
        </w:rPr>
        <w:t>applique pas du tout automatiquement, elle s</w:t>
      </w:r>
      <w:r>
        <w:rPr>
          <w:rFonts w:cs="Times New Roman"/>
          <w:lang w:val="fr-CA"/>
        </w:rPr>
        <w:t>’</w:t>
      </w:r>
      <w:r w:rsidRPr="00990245">
        <w:rPr>
          <w:rFonts w:cs="Times New Roman"/>
          <w:lang w:val="fr-CA"/>
        </w:rPr>
        <w:t>est avérée suffisamment précise pour que les tribunaux puissent l</w:t>
      </w:r>
      <w:r>
        <w:rPr>
          <w:rFonts w:cs="Times New Roman"/>
          <w:lang w:val="fr-CA"/>
        </w:rPr>
        <w:t>’</w:t>
      </w:r>
      <w:r w:rsidRPr="00990245">
        <w:rPr>
          <w:rFonts w:cs="Times New Roman"/>
          <w:lang w:val="fr-CA"/>
        </w:rPr>
        <w:t>appliquer dans des situations factuelles fort différentes (voir, p.</w:t>
      </w:r>
      <w:r w:rsidR="00601B6E">
        <w:rPr>
          <w:rFonts w:cs="Times New Roman"/>
          <w:lang w:val="fr-CA"/>
        </w:rPr>
        <w:t xml:space="preserve"> </w:t>
      </w:r>
      <w:r w:rsidRPr="00990245">
        <w:rPr>
          <w:rFonts w:cs="Times New Roman"/>
          <w:lang w:val="fr-CA"/>
        </w:rPr>
        <w:t xml:space="preserve">ex., </w:t>
      </w:r>
      <w:proofErr w:type="spellStart"/>
      <w:r w:rsidRPr="00990245">
        <w:rPr>
          <w:rFonts w:cs="Times New Roman"/>
          <w:i/>
          <w:lang w:val="fr-CA"/>
        </w:rPr>
        <w:t>McKercher</w:t>
      </w:r>
      <w:proofErr w:type="spellEnd"/>
      <w:r w:rsidRPr="00990245">
        <w:rPr>
          <w:rFonts w:cs="Times New Roman"/>
          <w:lang w:val="fr-CA"/>
        </w:rPr>
        <w:t>, par.</w:t>
      </w:r>
      <w:r w:rsidR="00601B6E">
        <w:rPr>
          <w:rFonts w:cs="Times New Roman"/>
          <w:lang w:val="fr-CA"/>
        </w:rPr>
        <w:t xml:space="preserve"> </w:t>
      </w:r>
      <w:r w:rsidRPr="00990245">
        <w:rPr>
          <w:rFonts w:cs="Times New Roman"/>
          <w:lang w:val="fr-CA"/>
        </w:rPr>
        <w:t>43</w:t>
      </w:r>
      <w:r w:rsidR="00601B6E">
        <w:rPr>
          <w:rFonts w:cs="Times New Roman"/>
          <w:lang w:val="fr-CA"/>
        </w:rPr>
        <w:t>-</w:t>
      </w:r>
      <w:r w:rsidRPr="00990245">
        <w:rPr>
          <w:rFonts w:cs="Times New Roman"/>
          <w:lang w:val="fr-CA"/>
        </w:rPr>
        <w:t>44 et 55</w:t>
      </w:r>
      <w:r w:rsidR="00601B6E">
        <w:rPr>
          <w:rFonts w:cs="Times New Roman"/>
          <w:lang w:val="fr-CA"/>
        </w:rPr>
        <w:t>-</w:t>
      </w:r>
      <w:r w:rsidRPr="00990245">
        <w:rPr>
          <w:rFonts w:cs="Times New Roman"/>
          <w:lang w:val="fr-CA"/>
        </w:rPr>
        <w:t xml:space="preserve">56; </w:t>
      </w:r>
      <w:r w:rsidRPr="00990245">
        <w:rPr>
          <w:rFonts w:cs="Times New Roman"/>
          <w:i/>
          <w:lang w:val="fr-CA"/>
        </w:rPr>
        <w:t>Neil</w:t>
      </w:r>
      <w:r w:rsidRPr="00990245">
        <w:rPr>
          <w:rFonts w:cs="Times New Roman"/>
          <w:lang w:val="fr-CA"/>
        </w:rPr>
        <w:t>,</w:t>
      </w:r>
      <w:r w:rsidRPr="00990245">
        <w:rPr>
          <w:rFonts w:cs="Times New Roman"/>
          <w:i/>
          <w:lang w:val="fr-CA"/>
        </w:rPr>
        <w:t xml:space="preserve"> </w:t>
      </w:r>
      <w:r w:rsidRPr="00990245">
        <w:rPr>
          <w:rFonts w:cs="Times New Roman"/>
          <w:lang w:val="fr-CA"/>
        </w:rPr>
        <w:t>par.</w:t>
      </w:r>
      <w:r w:rsidR="00601B6E">
        <w:rPr>
          <w:rFonts w:cs="Times New Roman"/>
          <w:lang w:val="fr-CA"/>
        </w:rPr>
        <w:t xml:space="preserve"> </w:t>
      </w:r>
      <w:r w:rsidRPr="00990245">
        <w:rPr>
          <w:rFonts w:cs="Times New Roman"/>
          <w:lang w:val="fr-CA"/>
        </w:rPr>
        <w:t>19). Cette jurisprudence démontre que le principe de dévouement à la cause du client est assez précis pour constituer une norme pratique en ce qu</w:t>
      </w:r>
      <w:r>
        <w:rPr>
          <w:rFonts w:cs="Times New Roman"/>
          <w:lang w:val="fr-CA"/>
        </w:rPr>
        <w:t>’</w:t>
      </w:r>
      <w:r w:rsidRPr="00990245">
        <w:rPr>
          <w:rFonts w:cs="Times New Roman"/>
          <w:lang w:val="fr-CA"/>
        </w:rPr>
        <w:t>on peut l</w:t>
      </w:r>
      <w:r>
        <w:rPr>
          <w:rFonts w:cs="Times New Roman"/>
          <w:lang w:val="fr-CA"/>
        </w:rPr>
        <w:t>’</w:t>
      </w:r>
      <w:r w:rsidRPr="00990245">
        <w:rPr>
          <w:rFonts w:cs="Times New Roman"/>
          <w:lang w:val="fr-CA"/>
        </w:rPr>
        <w:t>appliquer de manière à donner des indications sur le résultat approprié (</w:t>
      </w:r>
      <w:r w:rsidRPr="00990245">
        <w:rPr>
          <w:rFonts w:cs="Times New Roman"/>
          <w:i/>
          <w:iCs/>
          <w:lang w:val="fr-CA"/>
        </w:rPr>
        <w:t>Rodriguez c. Colombie</w:t>
      </w:r>
      <w:r w:rsidR="00601B6E">
        <w:rPr>
          <w:rFonts w:cs="Times New Roman"/>
          <w:i/>
          <w:iCs/>
          <w:lang w:val="fr-CA"/>
        </w:rPr>
        <w:t>-</w:t>
      </w:r>
      <w:r w:rsidRPr="00990245">
        <w:rPr>
          <w:rFonts w:cs="Times New Roman"/>
          <w:i/>
          <w:iCs/>
          <w:lang w:val="fr-CA"/>
        </w:rPr>
        <w:t>Britannique (Procureur général)</w:t>
      </w:r>
      <w:r w:rsidRPr="00990245">
        <w:rPr>
          <w:rFonts w:cs="Times New Roman"/>
          <w:lang w:val="fr-CA"/>
        </w:rPr>
        <w:t>, [1993] 3 R.C.S. 519, p.</w:t>
      </w:r>
      <w:r w:rsidR="00601B6E">
        <w:rPr>
          <w:rFonts w:cs="Times New Roman"/>
          <w:lang w:val="fr-CA"/>
        </w:rPr>
        <w:t xml:space="preserve"> </w:t>
      </w:r>
      <w:r w:rsidRPr="00990245">
        <w:rPr>
          <w:rFonts w:cs="Times New Roman"/>
          <w:lang w:val="fr-CA"/>
        </w:rPr>
        <w:t>590</w:t>
      </w:r>
      <w:r w:rsidR="00601B6E">
        <w:rPr>
          <w:rFonts w:cs="Times New Roman"/>
          <w:lang w:val="fr-CA"/>
        </w:rPr>
        <w:t>-</w:t>
      </w:r>
      <w:r w:rsidRPr="00990245">
        <w:rPr>
          <w:rFonts w:cs="Times New Roman"/>
          <w:lang w:val="fr-CA"/>
        </w:rPr>
        <w:t xml:space="preserve">591, le juge </w:t>
      </w:r>
      <w:proofErr w:type="spellStart"/>
      <w:r w:rsidRPr="00990245">
        <w:rPr>
          <w:rFonts w:cs="Times New Roman"/>
          <w:lang w:val="fr-CA"/>
        </w:rPr>
        <w:t>Sopinka</w:t>
      </w:r>
      <w:proofErr w:type="spellEnd"/>
      <w:r w:rsidRPr="00990245">
        <w:rPr>
          <w:rFonts w:cs="Times New Roman"/>
          <w:lang w:val="fr-CA"/>
        </w:rPr>
        <w:t xml:space="preserve">; </w:t>
      </w:r>
      <w:r w:rsidRPr="00990245">
        <w:rPr>
          <w:rFonts w:cs="Times New Roman"/>
          <w:i/>
          <w:iCs/>
          <w:lang w:val="fr-CA"/>
        </w:rPr>
        <w:t xml:space="preserve">Canadian </w:t>
      </w:r>
      <w:proofErr w:type="spellStart"/>
      <w:r w:rsidRPr="00990245">
        <w:rPr>
          <w:rFonts w:cs="Times New Roman"/>
          <w:i/>
          <w:iCs/>
          <w:lang w:val="fr-CA"/>
        </w:rPr>
        <w:t>Foundation</w:t>
      </w:r>
      <w:proofErr w:type="spellEnd"/>
      <w:r w:rsidRPr="00990245">
        <w:rPr>
          <w:rFonts w:cs="Times New Roman"/>
          <w:i/>
          <w:iCs/>
          <w:lang w:val="fr-CA"/>
        </w:rPr>
        <w:t xml:space="preserve"> for </w:t>
      </w:r>
      <w:proofErr w:type="spellStart"/>
      <w:r w:rsidRPr="00990245">
        <w:rPr>
          <w:rFonts w:cs="Times New Roman"/>
          <w:i/>
          <w:iCs/>
          <w:lang w:val="fr-CA"/>
        </w:rPr>
        <w:t>Children</w:t>
      </w:r>
      <w:proofErr w:type="spellEnd"/>
      <w:r w:rsidRPr="00990245">
        <w:rPr>
          <w:rFonts w:cs="Times New Roman"/>
          <w:i/>
          <w:iCs/>
          <w:lang w:val="fr-CA"/>
        </w:rPr>
        <w:t xml:space="preserve">, </w:t>
      </w:r>
      <w:proofErr w:type="spellStart"/>
      <w:r w:rsidRPr="00990245">
        <w:rPr>
          <w:rFonts w:cs="Times New Roman"/>
          <w:i/>
          <w:iCs/>
          <w:lang w:val="fr-CA"/>
        </w:rPr>
        <w:t>Youth</w:t>
      </w:r>
      <w:proofErr w:type="spellEnd"/>
      <w:r w:rsidRPr="00990245">
        <w:rPr>
          <w:rFonts w:cs="Times New Roman"/>
          <w:i/>
          <w:iCs/>
          <w:lang w:val="fr-CA"/>
        </w:rPr>
        <w:t xml:space="preserve"> and the Law</w:t>
      </w:r>
      <w:r w:rsidRPr="00990245">
        <w:rPr>
          <w:rFonts w:cs="Times New Roman"/>
          <w:lang w:val="fr-CA"/>
        </w:rPr>
        <w:t>, par.</w:t>
      </w:r>
      <w:r w:rsidR="00601B6E">
        <w:rPr>
          <w:rFonts w:cs="Times New Roman"/>
          <w:lang w:val="fr-CA"/>
        </w:rPr>
        <w:t xml:space="preserve"> </w:t>
      </w:r>
      <w:r w:rsidRPr="00990245">
        <w:rPr>
          <w:rFonts w:cs="Times New Roman"/>
          <w:lang w:val="fr-CA"/>
        </w:rPr>
        <w:t xml:space="preserve">11, la juge en chef </w:t>
      </w:r>
      <w:proofErr w:type="spellStart"/>
      <w:r w:rsidRPr="00990245">
        <w:rPr>
          <w:rFonts w:cs="Times New Roman"/>
          <w:lang w:val="fr-CA"/>
        </w:rPr>
        <w:t>McLachlin</w:t>
      </w:r>
      <w:proofErr w:type="spellEnd"/>
      <w:r w:rsidRPr="00990245">
        <w:rPr>
          <w:rFonts w:cs="Times New Roman"/>
          <w:lang w:val="fr-CA"/>
        </w:rPr>
        <w:t>; H.</w:t>
      </w:r>
      <w:r w:rsidR="00601B6E">
        <w:rPr>
          <w:rFonts w:cs="Times New Roman"/>
          <w:lang w:val="fr-CA"/>
        </w:rPr>
        <w:t xml:space="preserve"> </w:t>
      </w:r>
      <w:r w:rsidRPr="00990245">
        <w:rPr>
          <w:rFonts w:cs="Times New Roman"/>
          <w:lang w:val="fr-CA"/>
        </w:rPr>
        <w:t xml:space="preserve">Stewart, </w:t>
      </w:r>
      <w:proofErr w:type="spellStart"/>
      <w:r w:rsidRPr="00990245">
        <w:rPr>
          <w:rFonts w:cs="Times New Roman"/>
          <w:i/>
          <w:lang w:val="fr-CA"/>
        </w:rPr>
        <w:t>Fundamental</w:t>
      </w:r>
      <w:proofErr w:type="spellEnd"/>
      <w:r w:rsidRPr="00990245">
        <w:rPr>
          <w:rFonts w:cs="Times New Roman"/>
          <w:i/>
          <w:lang w:val="fr-CA"/>
        </w:rPr>
        <w:t xml:space="preserve"> Justice</w:t>
      </w:r>
      <w:r w:rsidR="00601B6E">
        <w:rPr>
          <w:rFonts w:cs="Times New Roman"/>
          <w:i/>
          <w:lang w:val="fr-CA"/>
        </w:rPr>
        <w:t> :</w:t>
      </w:r>
      <w:r w:rsidRPr="00990245">
        <w:rPr>
          <w:rFonts w:cs="Times New Roman"/>
          <w:i/>
          <w:lang w:val="fr-CA"/>
        </w:rPr>
        <w:t xml:space="preserve"> Section</w:t>
      </w:r>
      <w:r w:rsidR="00601B6E">
        <w:rPr>
          <w:rFonts w:cs="Times New Roman"/>
          <w:i/>
          <w:lang w:val="fr-CA"/>
        </w:rPr>
        <w:t xml:space="preserve"> </w:t>
      </w:r>
      <w:r w:rsidRPr="00990245">
        <w:rPr>
          <w:rFonts w:cs="Times New Roman"/>
          <w:i/>
          <w:lang w:val="fr-CA"/>
        </w:rPr>
        <w:t xml:space="preserve">7 of the Canadian Charter of </w:t>
      </w:r>
      <w:proofErr w:type="spellStart"/>
      <w:r w:rsidRPr="00990245">
        <w:rPr>
          <w:rFonts w:cs="Times New Roman"/>
          <w:i/>
          <w:lang w:val="fr-CA"/>
        </w:rPr>
        <w:t>Rights</w:t>
      </w:r>
      <w:proofErr w:type="spellEnd"/>
      <w:r w:rsidRPr="00990245">
        <w:rPr>
          <w:rFonts w:cs="Times New Roman"/>
          <w:i/>
          <w:lang w:val="fr-CA"/>
        </w:rPr>
        <w:t xml:space="preserve"> and </w:t>
      </w:r>
      <w:proofErr w:type="spellStart"/>
      <w:r w:rsidRPr="00990245">
        <w:rPr>
          <w:rFonts w:cs="Times New Roman"/>
          <w:i/>
          <w:lang w:val="fr-CA"/>
        </w:rPr>
        <w:t>Freedoms</w:t>
      </w:r>
      <w:proofErr w:type="spellEnd"/>
      <w:r w:rsidRPr="00990245">
        <w:rPr>
          <w:rFonts w:cs="Times New Roman"/>
          <w:i/>
          <w:lang w:val="fr-CA"/>
        </w:rPr>
        <w:t xml:space="preserve"> </w:t>
      </w:r>
      <w:r w:rsidRPr="00990245">
        <w:rPr>
          <w:rFonts w:cs="Times New Roman"/>
          <w:lang w:val="fr-CA"/>
        </w:rPr>
        <w:t>(2012), p.</w:t>
      </w:r>
      <w:r w:rsidR="00601B6E">
        <w:rPr>
          <w:rFonts w:cs="Times New Roman"/>
          <w:lang w:val="fr-CA"/>
        </w:rPr>
        <w:t xml:space="preserve"> </w:t>
      </w:r>
      <w:r w:rsidRPr="00990245">
        <w:rPr>
          <w:rFonts w:cs="Times New Roman"/>
          <w:lang w:val="fr-CA"/>
        </w:rPr>
        <w:t>108</w:t>
      </w:r>
      <w:r w:rsidR="003E04C3" w:rsidRPr="00990245">
        <w:rPr>
          <w:rFonts w:cs="Times New Roman"/>
          <w:lang w:val="fr-CA"/>
        </w:rPr>
        <w:t>)</w:t>
      </w:r>
      <w:r w:rsidRPr="00990245">
        <w:rPr>
          <w:rFonts w:cs="Times New Roman"/>
          <w:lang w:val="fr-CA"/>
        </w:rPr>
        <w:t>.</w:t>
      </w:r>
    </w:p>
    <w:p w:rsidR="00CA3D49" w:rsidRPr="00990245" w:rsidRDefault="00CA3D49" w:rsidP="00CA3D49">
      <w:pPr>
        <w:pStyle w:val="ParaNoNdepar-AltN"/>
        <w:rPr>
          <w:rFonts w:cs="Times New Roman"/>
          <w:lang w:val="fr-CA"/>
        </w:rPr>
      </w:pPr>
      <w:r w:rsidRPr="00990245">
        <w:rPr>
          <w:rFonts w:cs="Times New Roman"/>
          <w:lang w:val="fr-CA"/>
        </w:rPr>
        <w:lastRenderedPageBreak/>
        <w:t>Bien sûr, il ne faut pas confondre le devoir de dévouement à la cause du client et le fait d</w:t>
      </w:r>
      <w:r>
        <w:rPr>
          <w:rFonts w:cs="Times New Roman"/>
          <w:lang w:val="fr-CA"/>
        </w:rPr>
        <w:t>’</w:t>
      </w:r>
      <w:r w:rsidRPr="00990245">
        <w:rPr>
          <w:rFonts w:cs="Times New Roman"/>
          <w:lang w:val="fr-CA"/>
        </w:rPr>
        <w:t>être dupé par le client ou d</w:t>
      </w:r>
      <w:r>
        <w:rPr>
          <w:rFonts w:cs="Times New Roman"/>
          <w:lang w:val="fr-CA"/>
        </w:rPr>
        <w:t>’</w:t>
      </w:r>
      <w:r w:rsidRPr="00990245">
        <w:rPr>
          <w:rFonts w:cs="Times New Roman"/>
          <w:lang w:val="fr-CA"/>
        </w:rPr>
        <w:t>en être le complice. Ce devoir ne permet pas à l</w:t>
      </w:r>
      <w:r>
        <w:rPr>
          <w:rFonts w:cs="Times New Roman"/>
          <w:lang w:val="fr-CA"/>
        </w:rPr>
        <w:t>’</w:t>
      </w:r>
      <w:r w:rsidRPr="00990245">
        <w:rPr>
          <w:rFonts w:cs="Times New Roman"/>
          <w:lang w:val="fr-CA"/>
        </w:rPr>
        <w:t>avocat de participer aux activités illégales d</w:t>
      </w:r>
      <w:r>
        <w:rPr>
          <w:rFonts w:cs="Times New Roman"/>
          <w:lang w:val="fr-CA"/>
        </w:rPr>
        <w:t>’</w:t>
      </w:r>
      <w:r w:rsidRPr="00990245">
        <w:rPr>
          <w:rFonts w:cs="Times New Roman"/>
          <w:lang w:val="fr-CA"/>
        </w:rPr>
        <w:t>un client ou de les faciliter. Une représentation dévouée, par exemple, ne l</w:t>
      </w:r>
      <w:r>
        <w:rPr>
          <w:rFonts w:cs="Times New Roman"/>
          <w:lang w:val="fr-CA"/>
        </w:rPr>
        <w:t>’</w:t>
      </w:r>
      <w:r w:rsidRPr="00990245">
        <w:rPr>
          <w:rFonts w:cs="Times New Roman"/>
          <w:lang w:val="fr-CA"/>
        </w:rPr>
        <w:t>autorise pas, et l</w:t>
      </w:r>
      <w:r>
        <w:rPr>
          <w:rFonts w:cs="Times New Roman"/>
          <w:lang w:val="fr-CA"/>
        </w:rPr>
        <w:t>’</w:t>
      </w:r>
      <w:r w:rsidRPr="00990245">
        <w:rPr>
          <w:rFonts w:cs="Times New Roman"/>
          <w:lang w:val="fr-CA"/>
        </w:rPr>
        <w:t>oblige encore moins, à présenter des demandes qu</w:t>
      </w:r>
      <w:r>
        <w:rPr>
          <w:rFonts w:cs="Times New Roman"/>
          <w:lang w:val="fr-CA"/>
        </w:rPr>
        <w:t>’</w:t>
      </w:r>
      <w:r w:rsidRPr="00990245">
        <w:rPr>
          <w:rFonts w:cs="Times New Roman"/>
          <w:lang w:val="fr-CA"/>
        </w:rPr>
        <w:t>il sait dénuées de fondement, à produire une preuve qu</w:t>
      </w:r>
      <w:r>
        <w:rPr>
          <w:rFonts w:cs="Times New Roman"/>
          <w:lang w:val="fr-CA"/>
        </w:rPr>
        <w:t>’</w:t>
      </w:r>
      <w:r w:rsidRPr="00990245">
        <w:rPr>
          <w:rFonts w:cs="Times New Roman"/>
          <w:lang w:val="fr-CA"/>
        </w:rPr>
        <w:t>il sait fausse ou à aider le client à commettre un crime. Le devoir s</w:t>
      </w:r>
      <w:r>
        <w:rPr>
          <w:rFonts w:cs="Times New Roman"/>
          <w:lang w:val="fr-CA"/>
        </w:rPr>
        <w:t>’</w:t>
      </w:r>
      <w:r w:rsidRPr="00990245">
        <w:rPr>
          <w:rFonts w:cs="Times New Roman"/>
          <w:lang w:val="fr-CA"/>
        </w:rPr>
        <w:t>accorde parfaitement avec la prise, par l</w:t>
      </w:r>
      <w:r>
        <w:rPr>
          <w:rFonts w:cs="Times New Roman"/>
          <w:lang w:val="fr-CA"/>
        </w:rPr>
        <w:t>’</w:t>
      </w:r>
      <w:r w:rsidRPr="00990245">
        <w:rPr>
          <w:rFonts w:cs="Times New Roman"/>
          <w:lang w:val="fr-CA"/>
        </w:rPr>
        <w:t>avocat, des mesures qui s</w:t>
      </w:r>
      <w:r>
        <w:rPr>
          <w:rFonts w:cs="Times New Roman"/>
          <w:lang w:val="fr-CA"/>
        </w:rPr>
        <w:t>’</w:t>
      </w:r>
      <w:r w:rsidRPr="00990245">
        <w:rPr>
          <w:rFonts w:cs="Times New Roman"/>
          <w:lang w:val="fr-CA"/>
        </w:rPr>
        <w:t xml:space="preserve">imposent pour éviter que ses services soient utilisés à des fins illégitimes. </w:t>
      </w:r>
    </w:p>
    <w:p w:rsidR="00CA3D49" w:rsidRPr="00990245" w:rsidRDefault="00CA3D49" w:rsidP="00CA3D49">
      <w:pPr>
        <w:pStyle w:val="ParaNoNdepar-AltN"/>
        <w:rPr>
          <w:rFonts w:cs="Times New Roman"/>
          <w:lang w:val="fr-CA"/>
        </w:rPr>
      </w:pPr>
      <w:r w:rsidRPr="00990245">
        <w:rPr>
          <w:rFonts w:cs="Times New Roman"/>
          <w:lang w:val="fr-CA"/>
        </w:rPr>
        <w:t>Je conclus que le devoir de l</w:t>
      </w:r>
      <w:r>
        <w:rPr>
          <w:rFonts w:cs="Times New Roman"/>
          <w:lang w:val="fr-CA"/>
        </w:rPr>
        <w:t>’</w:t>
      </w:r>
      <w:r w:rsidRPr="00990245">
        <w:rPr>
          <w:rFonts w:cs="Times New Roman"/>
          <w:lang w:val="fr-CA"/>
        </w:rPr>
        <w:t>avocat de se dévouer à la cause du client est bien établi comme principe juridique suffisamment précis et qu</w:t>
      </w:r>
      <w:r>
        <w:rPr>
          <w:rFonts w:cs="Times New Roman"/>
          <w:lang w:val="fr-CA"/>
        </w:rPr>
        <w:t>’</w:t>
      </w:r>
      <w:r w:rsidRPr="00990245">
        <w:rPr>
          <w:rFonts w:cs="Times New Roman"/>
          <w:lang w:val="fr-CA"/>
        </w:rPr>
        <w:t>il satisfait donc aux première et troisième exigences d</w:t>
      </w:r>
      <w:r>
        <w:rPr>
          <w:rFonts w:cs="Times New Roman"/>
          <w:lang w:val="fr-CA"/>
        </w:rPr>
        <w:t>’</w:t>
      </w:r>
      <w:r w:rsidRPr="00990245">
        <w:rPr>
          <w:rFonts w:cs="Times New Roman"/>
          <w:lang w:val="fr-CA"/>
        </w:rPr>
        <w:t>un principe de justice fondamentale.</w:t>
      </w:r>
    </w:p>
    <w:p w:rsidR="00CA3D49" w:rsidRPr="00990245" w:rsidRDefault="00CA3D49" w:rsidP="00487168">
      <w:pPr>
        <w:pStyle w:val="Title5LevelTitre5Niveau"/>
        <w:keepNext/>
        <w:tabs>
          <w:tab w:val="clear" w:pos="1728"/>
          <w:tab w:val="num" w:pos="6912"/>
        </w:tabs>
        <w:ind w:left="900" w:hanging="450"/>
        <w:outlineLvl w:val="9"/>
        <w:rPr>
          <w:rFonts w:cs="Times New Roman"/>
          <w:lang w:val="fr-CA"/>
        </w:rPr>
      </w:pPr>
      <w:r w:rsidRPr="00990245">
        <w:rPr>
          <w:rFonts w:cs="Times New Roman"/>
          <w:lang w:val="fr-CA"/>
        </w:rPr>
        <w:t>Consensus suffisant sur le caractère fondamental du devoir</w:t>
      </w:r>
    </w:p>
    <w:p w:rsidR="00CA3D49" w:rsidRPr="00990245" w:rsidRDefault="00CA3D49" w:rsidP="00CA3D49">
      <w:pPr>
        <w:pStyle w:val="ParaNoNdepar-AltN"/>
        <w:rPr>
          <w:rFonts w:cs="Times New Roman"/>
          <w:lang w:val="fr-CA"/>
        </w:rPr>
      </w:pPr>
      <w:r w:rsidRPr="00990245">
        <w:rPr>
          <w:rFonts w:cs="Times New Roman"/>
          <w:lang w:val="fr-CA"/>
        </w:rPr>
        <w:t xml:space="preserve">Les principes de justice fondamentale trouvent leur </w:t>
      </w:r>
      <w:r w:rsidR="00601B6E">
        <w:rPr>
          <w:rFonts w:cs="Times New Roman"/>
          <w:lang w:val="fr-CA"/>
        </w:rPr>
        <w:t>« </w:t>
      </w:r>
      <w:r w:rsidRPr="00990245">
        <w:rPr>
          <w:rStyle w:val="highlight"/>
          <w:rFonts w:cs="Times New Roman"/>
          <w:lang w:val="fr-CA"/>
        </w:rPr>
        <w:t>sens dans la jurisprudence et les traditions qui, depuis longtemps, exposent en détail les normes fondamentales applicables au traitement des citoyens par l</w:t>
      </w:r>
      <w:r>
        <w:rPr>
          <w:rStyle w:val="highlight"/>
          <w:rFonts w:cs="Times New Roman"/>
          <w:lang w:val="fr-CA"/>
        </w:rPr>
        <w:t>’</w:t>
      </w:r>
      <w:r w:rsidRPr="00990245">
        <w:rPr>
          <w:rStyle w:val="highlight"/>
          <w:rFonts w:cs="Times New Roman"/>
          <w:lang w:val="fr-CA"/>
        </w:rPr>
        <w:t>État</w:t>
      </w:r>
      <w:r w:rsidR="00601B6E">
        <w:rPr>
          <w:rStyle w:val="highlight"/>
          <w:rFonts w:cs="Times New Roman"/>
          <w:lang w:val="fr-CA"/>
        </w:rPr>
        <w:t> »</w:t>
      </w:r>
      <w:r w:rsidRPr="00990245">
        <w:rPr>
          <w:rStyle w:val="highlight"/>
          <w:rFonts w:cs="Times New Roman"/>
          <w:lang w:val="fr-CA"/>
        </w:rPr>
        <w:t xml:space="preserve"> (</w:t>
      </w:r>
      <w:r w:rsidRPr="00990245">
        <w:rPr>
          <w:rFonts w:cs="Times New Roman"/>
          <w:i/>
          <w:lang w:val="fr-CA"/>
        </w:rPr>
        <w:t xml:space="preserve">Canadian </w:t>
      </w:r>
      <w:proofErr w:type="spellStart"/>
      <w:r w:rsidRPr="00990245">
        <w:rPr>
          <w:rFonts w:cs="Times New Roman"/>
          <w:i/>
          <w:lang w:val="fr-CA"/>
        </w:rPr>
        <w:t>Foundation</w:t>
      </w:r>
      <w:proofErr w:type="spellEnd"/>
      <w:r w:rsidRPr="00990245">
        <w:rPr>
          <w:rFonts w:cs="Times New Roman"/>
          <w:i/>
          <w:lang w:val="fr-CA"/>
        </w:rPr>
        <w:t xml:space="preserve"> for </w:t>
      </w:r>
      <w:proofErr w:type="spellStart"/>
      <w:r w:rsidRPr="00990245">
        <w:rPr>
          <w:rFonts w:cs="Times New Roman"/>
          <w:i/>
          <w:lang w:val="fr-CA"/>
        </w:rPr>
        <w:t>Children</w:t>
      </w:r>
      <w:proofErr w:type="spellEnd"/>
      <w:r w:rsidRPr="00990245">
        <w:rPr>
          <w:rFonts w:cs="Times New Roman"/>
          <w:i/>
          <w:lang w:val="fr-CA"/>
        </w:rPr>
        <w:t xml:space="preserve">, </w:t>
      </w:r>
      <w:proofErr w:type="spellStart"/>
      <w:r w:rsidRPr="00990245">
        <w:rPr>
          <w:rFonts w:cs="Times New Roman"/>
          <w:i/>
          <w:lang w:val="fr-CA"/>
        </w:rPr>
        <w:t>Youth</w:t>
      </w:r>
      <w:proofErr w:type="spellEnd"/>
      <w:r w:rsidRPr="00990245">
        <w:rPr>
          <w:rFonts w:cs="Times New Roman"/>
          <w:i/>
          <w:lang w:val="fr-CA"/>
        </w:rPr>
        <w:t xml:space="preserve"> and the Law</w:t>
      </w:r>
      <w:r w:rsidRPr="00990245">
        <w:rPr>
          <w:rFonts w:cs="Times New Roman"/>
          <w:lang w:val="fr-CA"/>
        </w:rPr>
        <w:t>, par.</w:t>
      </w:r>
      <w:r w:rsidR="00601B6E">
        <w:rPr>
          <w:rFonts w:cs="Times New Roman"/>
          <w:lang w:val="fr-CA"/>
        </w:rPr>
        <w:t xml:space="preserve"> </w:t>
      </w:r>
      <w:r w:rsidRPr="00990245">
        <w:rPr>
          <w:rFonts w:cs="Times New Roman"/>
          <w:lang w:val="fr-CA"/>
        </w:rPr>
        <w:t xml:space="preserve">8, la juge en chef </w:t>
      </w:r>
      <w:proofErr w:type="spellStart"/>
      <w:r w:rsidRPr="00990245">
        <w:rPr>
          <w:rFonts w:cs="Times New Roman"/>
          <w:lang w:val="fr-CA"/>
        </w:rPr>
        <w:t>McLachlin</w:t>
      </w:r>
      <w:proofErr w:type="spellEnd"/>
      <w:r w:rsidRPr="00990245">
        <w:rPr>
          <w:rFonts w:cs="Times New Roman"/>
          <w:lang w:val="fr-CA"/>
        </w:rPr>
        <w:t>). Le devoir de dévouement à la cause du client est un aspect fondamental de l</w:t>
      </w:r>
      <w:r>
        <w:rPr>
          <w:rFonts w:cs="Times New Roman"/>
          <w:lang w:val="fr-CA"/>
        </w:rPr>
        <w:t>’</w:t>
      </w:r>
      <w:r w:rsidRPr="00990245">
        <w:rPr>
          <w:rFonts w:cs="Times New Roman"/>
          <w:lang w:val="fr-CA"/>
        </w:rPr>
        <w:t>interaction entre l</w:t>
      </w:r>
      <w:r>
        <w:rPr>
          <w:rFonts w:cs="Times New Roman"/>
          <w:lang w:val="fr-CA"/>
        </w:rPr>
        <w:t>’</w:t>
      </w:r>
      <w:r w:rsidRPr="00990245">
        <w:rPr>
          <w:rFonts w:cs="Times New Roman"/>
          <w:lang w:val="fr-CA"/>
        </w:rPr>
        <w:t>État et le citoyen dans des dossiers juridiques.</w:t>
      </w:r>
    </w:p>
    <w:p w:rsidR="00CA3D49" w:rsidRPr="00990245" w:rsidRDefault="00CA3D49" w:rsidP="00CA3D49">
      <w:pPr>
        <w:pStyle w:val="ParaNoNdepar-AltN"/>
        <w:rPr>
          <w:rFonts w:cs="Times New Roman"/>
          <w:lang w:val="fr-CA"/>
        </w:rPr>
      </w:pPr>
      <w:r w:rsidRPr="00990245">
        <w:rPr>
          <w:rFonts w:cs="Times New Roman"/>
          <w:lang w:val="fr-CA"/>
        </w:rPr>
        <w:t xml:space="preserve">Les clients — et le public en général — doivent avoir, à juste titre, la conviction que les avocats se dévouent au service des intérêts légitimes de leurs </w:t>
      </w:r>
      <w:r w:rsidRPr="00990245">
        <w:rPr>
          <w:rFonts w:cs="Times New Roman"/>
          <w:lang w:val="fr-CA"/>
        </w:rPr>
        <w:lastRenderedPageBreak/>
        <w:t>clients en étant libres de toute obligation susceptible de nuire à l</w:t>
      </w:r>
      <w:r>
        <w:rPr>
          <w:rFonts w:cs="Times New Roman"/>
          <w:lang w:val="fr-CA"/>
        </w:rPr>
        <w:t>’</w:t>
      </w:r>
      <w:r w:rsidRPr="00990245">
        <w:rPr>
          <w:rFonts w:cs="Times New Roman"/>
          <w:lang w:val="fr-CA"/>
        </w:rPr>
        <w:t>accomplissement de ce devoir. Sinon, la capacité des avocats d</w:t>
      </w:r>
      <w:r>
        <w:rPr>
          <w:rFonts w:cs="Times New Roman"/>
          <w:lang w:val="fr-CA"/>
        </w:rPr>
        <w:t>’</w:t>
      </w:r>
      <w:r w:rsidRPr="00990245">
        <w:rPr>
          <w:rFonts w:cs="Times New Roman"/>
          <w:lang w:val="fr-CA"/>
        </w:rPr>
        <w:t>agir ainsi risque d</w:t>
      </w:r>
      <w:r>
        <w:rPr>
          <w:rFonts w:cs="Times New Roman"/>
          <w:lang w:val="fr-CA"/>
        </w:rPr>
        <w:t>’</w:t>
      </w:r>
      <w:r w:rsidRPr="00990245">
        <w:rPr>
          <w:rFonts w:cs="Times New Roman"/>
          <w:lang w:val="fr-CA"/>
        </w:rPr>
        <w:t>être compromise et la confiance nécessaire à la relation avocat</w:t>
      </w:r>
      <w:r w:rsidR="00601B6E">
        <w:rPr>
          <w:rFonts w:cs="Times New Roman"/>
          <w:lang w:val="fr-CA"/>
        </w:rPr>
        <w:t>-</w:t>
      </w:r>
      <w:r w:rsidRPr="00990245">
        <w:rPr>
          <w:rFonts w:cs="Times New Roman"/>
          <w:lang w:val="fr-CA"/>
        </w:rPr>
        <w:t>client risque d</w:t>
      </w:r>
      <w:r>
        <w:rPr>
          <w:rFonts w:cs="Times New Roman"/>
          <w:lang w:val="fr-CA"/>
        </w:rPr>
        <w:t>’</w:t>
      </w:r>
      <w:r w:rsidRPr="00990245">
        <w:rPr>
          <w:rFonts w:cs="Times New Roman"/>
          <w:lang w:val="fr-CA"/>
        </w:rPr>
        <w:t>être sapée. Ce devoir de dévouement à la cause du client est un principe qui subsiste et est essentiel à l</w:t>
      </w:r>
      <w:r>
        <w:rPr>
          <w:rFonts w:cs="Times New Roman"/>
          <w:lang w:val="fr-CA"/>
        </w:rPr>
        <w:t>’</w:t>
      </w:r>
      <w:r w:rsidRPr="00990245">
        <w:rPr>
          <w:rFonts w:cs="Times New Roman"/>
          <w:lang w:val="fr-CA"/>
        </w:rPr>
        <w:t>intégrité de l</w:t>
      </w:r>
      <w:r>
        <w:rPr>
          <w:rFonts w:cs="Times New Roman"/>
          <w:lang w:val="fr-CA"/>
        </w:rPr>
        <w:t>’</w:t>
      </w:r>
      <w:r w:rsidRPr="00990245">
        <w:rPr>
          <w:rFonts w:cs="Times New Roman"/>
          <w:lang w:val="fr-CA"/>
        </w:rPr>
        <w:t xml:space="preserve">administration de la justice. Dans </w:t>
      </w:r>
      <w:r w:rsidRPr="00990245">
        <w:rPr>
          <w:rFonts w:cs="Times New Roman"/>
          <w:i/>
          <w:iCs/>
          <w:lang w:val="fr-CA"/>
        </w:rPr>
        <w:t>Neil</w:t>
      </w:r>
      <w:r w:rsidRPr="00990245">
        <w:rPr>
          <w:rFonts w:cs="Times New Roman"/>
          <w:lang w:val="fr-CA"/>
        </w:rPr>
        <w:t>, la Cour a souligné l</w:t>
      </w:r>
      <w:r>
        <w:rPr>
          <w:rFonts w:cs="Times New Roman"/>
          <w:lang w:val="fr-CA"/>
        </w:rPr>
        <w:t>’</w:t>
      </w:r>
      <w:r w:rsidRPr="00990245">
        <w:rPr>
          <w:rFonts w:cs="Times New Roman"/>
          <w:lang w:val="fr-CA"/>
        </w:rPr>
        <w:t>importance fondamentale que revêt le devoir de loyauté pour l</w:t>
      </w:r>
      <w:r>
        <w:rPr>
          <w:rFonts w:cs="Times New Roman"/>
          <w:lang w:val="fr-CA"/>
        </w:rPr>
        <w:t>’</w:t>
      </w:r>
      <w:r w:rsidRPr="00990245">
        <w:rPr>
          <w:rFonts w:cs="Times New Roman"/>
          <w:lang w:val="fr-CA"/>
        </w:rPr>
        <w:t>administration de la justice. Le devoir de dévouement à la cause du client constitue un élément essentiel de cette obligation fiduciaire plus large. S</w:t>
      </w:r>
      <w:r>
        <w:rPr>
          <w:rFonts w:cs="Times New Roman"/>
          <w:lang w:val="fr-CA"/>
        </w:rPr>
        <w:t>’</w:t>
      </w:r>
      <w:r w:rsidRPr="00990245">
        <w:rPr>
          <w:rFonts w:cs="Times New Roman"/>
          <w:lang w:val="fr-CA"/>
        </w:rPr>
        <w:t>exprimant au nom de la Cour, le juge Binnie a insisté sur les origines lointaines du devoir et dit qu</w:t>
      </w:r>
      <w:r>
        <w:rPr>
          <w:rFonts w:cs="Times New Roman"/>
          <w:lang w:val="fr-CA"/>
        </w:rPr>
        <w:t>’</w:t>
      </w:r>
      <w:r w:rsidRPr="00990245">
        <w:rPr>
          <w:rFonts w:cs="Times New Roman"/>
          <w:lang w:val="fr-CA"/>
        </w:rPr>
        <w:t xml:space="preserve">il subsiste </w:t>
      </w:r>
      <w:r w:rsidR="00601B6E">
        <w:rPr>
          <w:rFonts w:cs="Times New Roman"/>
          <w:lang w:val="fr-CA"/>
        </w:rPr>
        <w:t>« </w:t>
      </w:r>
      <w:r w:rsidRPr="00990245">
        <w:rPr>
          <w:rFonts w:cs="Times New Roman"/>
          <w:lang w:val="fr-CA"/>
        </w:rPr>
        <w:t>parce qu</w:t>
      </w:r>
      <w:r>
        <w:rPr>
          <w:rFonts w:cs="Times New Roman"/>
          <w:lang w:val="fr-CA"/>
        </w:rPr>
        <w:t>’</w:t>
      </w:r>
      <w:r w:rsidRPr="00990245">
        <w:rPr>
          <w:rFonts w:cs="Times New Roman"/>
          <w:lang w:val="fr-CA"/>
        </w:rPr>
        <w:t xml:space="preserve">il est </w:t>
      </w:r>
      <w:r w:rsidRPr="00990245">
        <w:rPr>
          <w:rFonts w:cs="Times New Roman"/>
          <w:u w:val="single"/>
          <w:lang w:val="fr-CA"/>
        </w:rPr>
        <w:t>essentiel</w:t>
      </w:r>
      <w:r w:rsidRPr="00990245">
        <w:rPr>
          <w:rFonts w:cs="Times New Roman"/>
          <w:lang w:val="fr-CA"/>
        </w:rPr>
        <w:t xml:space="preserve"> à l</w:t>
      </w:r>
      <w:r>
        <w:rPr>
          <w:rFonts w:cs="Times New Roman"/>
          <w:lang w:val="fr-CA"/>
        </w:rPr>
        <w:t>’</w:t>
      </w:r>
      <w:r w:rsidRPr="00990245">
        <w:rPr>
          <w:rFonts w:cs="Times New Roman"/>
          <w:lang w:val="fr-CA"/>
        </w:rPr>
        <w:t>intégrité de l</w:t>
      </w:r>
      <w:r>
        <w:rPr>
          <w:rFonts w:cs="Times New Roman"/>
          <w:lang w:val="fr-CA"/>
        </w:rPr>
        <w:t>’</w:t>
      </w:r>
      <w:r w:rsidRPr="00990245">
        <w:rPr>
          <w:rFonts w:cs="Times New Roman"/>
          <w:lang w:val="fr-CA"/>
        </w:rPr>
        <w:t xml:space="preserve">administration de la justice et il est </w:t>
      </w:r>
      <w:r w:rsidRPr="00990245">
        <w:rPr>
          <w:rFonts w:cs="Times New Roman"/>
          <w:u w:val="single"/>
          <w:lang w:val="fr-CA"/>
        </w:rPr>
        <w:t>primordial</w:t>
      </w:r>
      <w:r w:rsidRPr="00990245">
        <w:rPr>
          <w:rFonts w:cs="Times New Roman"/>
          <w:lang w:val="fr-CA"/>
        </w:rPr>
        <w:t xml:space="preserve"> de préserver la confiance du public dans cette intégrité</w:t>
      </w:r>
      <w:r w:rsidR="00601B6E">
        <w:rPr>
          <w:rFonts w:cs="Times New Roman"/>
          <w:lang w:val="fr-CA"/>
        </w:rPr>
        <w:t> »</w:t>
      </w:r>
      <w:r w:rsidRPr="00990245">
        <w:rPr>
          <w:rFonts w:cs="Times New Roman"/>
          <w:lang w:val="fr-CA"/>
        </w:rPr>
        <w:t xml:space="preserve"> (par.</w:t>
      </w:r>
      <w:r w:rsidR="00601B6E">
        <w:rPr>
          <w:rFonts w:cs="Times New Roman"/>
          <w:lang w:val="fr-CA"/>
        </w:rPr>
        <w:t xml:space="preserve"> </w:t>
      </w:r>
      <w:r w:rsidRPr="00990245">
        <w:rPr>
          <w:rFonts w:cs="Times New Roman"/>
          <w:lang w:val="fr-CA"/>
        </w:rPr>
        <w:t>12</w:t>
      </w:r>
      <w:r w:rsidR="003E04C3">
        <w:rPr>
          <w:rFonts w:cs="Times New Roman"/>
          <w:lang w:val="fr-CA"/>
        </w:rPr>
        <w:t xml:space="preserve"> (</w:t>
      </w:r>
      <w:r w:rsidRPr="00990245">
        <w:rPr>
          <w:rFonts w:cs="Times New Roman"/>
          <w:lang w:val="fr-CA"/>
        </w:rPr>
        <w:t>je souligne)</w:t>
      </w:r>
      <w:r w:rsidR="003E04C3">
        <w:rPr>
          <w:rFonts w:cs="Times New Roman"/>
          <w:lang w:val="fr-CA"/>
        </w:rPr>
        <w:t>)</w:t>
      </w:r>
      <w:r w:rsidRPr="00990245">
        <w:rPr>
          <w:rFonts w:cs="Times New Roman"/>
          <w:lang w:val="fr-CA"/>
        </w:rPr>
        <w:t>. Cette affirmation sans équivoque et récente me semble démontrer que le devoir de dévouement à la cause du client est à la fois généralement reconnu et fondamental pour l</w:t>
      </w:r>
      <w:r>
        <w:rPr>
          <w:rFonts w:cs="Times New Roman"/>
          <w:lang w:val="fr-CA"/>
        </w:rPr>
        <w:t>’</w:t>
      </w:r>
      <w:r w:rsidRPr="00990245">
        <w:rPr>
          <w:rFonts w:cs="Times New Roman"/>
          <w:lang w:val="fr-CA"/>
        </w:rPr>
        <w:t>administration de la justice au sens où nous l</w:t>
      </w:r>
      <w:r>
        <w:rPr>
          <w:rFonts w:cs="Times New Roman"/>
          <w:lang w:val="fr-CA"/>
        </w:rPr>
        <w:t>’</w:t>
      </w:r>
      <w:r w:rsidRPr="00990245">
        <w:rPr>
          <w:rFonts w:cs="Times New Roman"/>
          <w:lang w:val="fr-CA"/>
        </w:rPr>
        <w:t xml:space="preserve">entendons. </w:t>
      </w:r>
    </w:p>
    <w:p w:rsidR="00CA3D49" w:rsidRPr="00990245" w:rsidRDefault="00CA3D49" w:rsidP="00CA3D49">
      <w:pPr>
        <w:pStyle w:val="ParaNoNdepar-AltN"/>
        <w:rPr>
          <w:rFonts w:cs="Times New Roman"/>
        </w:rPr>
      </w:pPr>
      <w:r w:rsidRPr="00990245">
        <w:rPr>
          <w:rFonts w:cs="Times New Roman"/>
          <w:lang w:val="fr-CA"/>
        </w:rPr>
        <w:t>Le devoir de dévouement à la cause du client ne s</w:t>
      </w:r>
      <w:r>
        <w:rPr>
          <w:rFonts w:cs="Times New Roman"/>
          <w:lang w:val="fr-CA"/>
        </w:rPr>
        <w:t>’</w:t>
      </w:r>
      <w:r w:rsidRPr="00990245">
        <w:rPr>
          <w:rFonts w:cs="Times New Roman"/>
          <w:lang w:val="fr-CA"/>
        </w:rPr>
        <w:t>attache donc pas seulement à la justice pour les clients; il est aussi réputé nécessaire pour préserver la confiance du public dans l</w:t>
      </w:r>
      <w:r>
        <w:rPr>
          <w:rFonts w:cs="Times New Roman"/>
          <w:lang w:val="fr-CA"/>
        </w:rPr>
        <w:t>’</w:t>
      </w:r>
      <w:r w:rsidRPr="00990245">
        <w:rPr>
          <w:rFonts w:cs="Times New Roman"/>
          <w:lang w:val="fr-CA"/>
        </w:rPr>
        <w:t>administration de la justice. Cette confiance est tributaire non seulement des faits, mais aussi d</w:t>
      </w:r>
      <w:r>
        <w:rPr>
          <w:rFonts w:cs="Times New Roman"/>
          <w:lang w:val="fr-CA"/>
        </w:rPr>
        <w:t>’</w:t>
      </w:r>
      <w:r w:rsidRPr="00990245">
        <w:rPr>
          <w:rFonts w:cs="Times New Roman"/>
          <w:lang w:val="fr-CA"/>
        </w:rPr>
        <w:t>une perception raisonnable. Par conséquent, nous devons nous préoccuper non seulement de savoir s</w:t>
      </w:r>
      <w:r>
        <w:rPr>
          <w:rFonts w:cs="Times New Roman"/>
          <w:lang w:val="fr-CA"/>
        </w:rPr>
        <w:t>’</w:t>
      </w:r>
      <w:r w:rsidRPr="00990245">
        <w:rPr>
          <w:rFonts w:cs="Times New Roman"/>
          <w:lang w:val="fr-CA"/>
        </w:rPr>
        <w:t>il y a effectivement entorse au devoir, mais aussi de la perception d</w:t>
      </w:r>
      <w:r>
        <w:rPr>
          <w:rFonts w:cs="Times New Roman"/>
          <w:lang w:val="fr-CA"/>
        </w:rPr>
        <w:t>’</w:t>
      </w:r>
      <w:r w:rsidRPr="00990245">
        <w:rPr>
          <w:rFonts w:cs="Times New Roman"/>
          <w:lang w:val="fr-CA"/>
        </w:rPr>
        <w:t>une personne raisonnable et bien informée des circonstances pertinentes qui étudierait la question en profondeur. Le caractère fondamental de ce devoir de dévouement trouve appui dans de nombreuses affirmations plus larges et générales au sujet de l</w:t>
      </w:r>
      <w:r>
        <w:rPr>
          <w:rFonts w:cs="Times New Roman"/>
          <w:lang w:val="fr-CA"/>
        </w:rPr>
        <w:t>’</w:t>
      </w:r>
      <w:r w:rsidRPr="00990245">
        <w:rPr>
          <w:rFonts w:cs="Times New Roman"/>
          <w:lang w:val="fr-CA"/>
        </w:rPr>
        <w:t xml:space="preserve">importance primordiale, pour le </w:t>
      </w:r>
      <w:r w:rsidRPr="00990245">
        <w:rPr>
          <w:rFonts w:cs="Times New Roman"/>
          <w:lang w:val="fr-CA"/>
        </w:rPr>
        <w:lastRenderedPageBreak/>
        <w:t>système juridique, du fait que les avocats soient à l</w:t>
      </w:r>
      <w:r>
        <w:rPr>
          <w:rFonts w:cs="Times New Roman"/>
          <w:lang w:val="fr-CA"/>
        </w:rPr>
        <w:t>’</w:t>
      </w:r>
      <w:r w:rsidRPr="00990245">
        <w:rPr>
          <w:rFonts w:cs="Times New Roman"/>
          <w:lang w:val="fr-CA"/>
        </w:rPr>
        <w:t>abri de l</w:t>
      </w:r>
      <w:r>
        <w:rPr>
          <w:rFonts w:cs="Times New Roman"/>
          <w:lang w:val="fr-CA"/>
        </w:rPr>
        <w:t>’</w:t>
      </w:r>
      <w:r w:rsidRPr="00990245">
        <w:rPr>
          <w:rFonts w:cs="Times New Roman"/>
          <w:lang w:val="fr-CA"/>
        </w:rPr>
        <w:t>ingérence de l</w:t>
      </w:r>
      <w:r>
        <w:rPr>
          <w:rFonts w:cs="Times New Roman"/>
          <w:lang w:val="fr-CA"/>
        </w:rPr>
        <w:t>’</w:t>
      </w:r>
      <w:r w:rsidRPr="00990245">
        <w:rPr>
          <w:rFonts w:cs="Times New Roman"/>
          <w:lang w:val="fr-CA"/>
        </w:rPr>
        <w:t>État lorsqu</w:t>
      </w:r>
      <w:r>
        <w:rPr>
          <w:rFonts w:cs="Times New Roman"/>
          <w:lang w:val="fr-CA"/>
        </w:rPr>
        <w:t>’</w:t>
      </w:r>
      <w:r w:rsidRPr="00990245">
        <w:rPr>
          <w:rFonts w:cs="Times New Roman"/>
          <w:lang w:val="fr-CA"/>
        </w:rPr>
        <w:t>ils s</w:t>
      </w:r>
      <w:r>
        <w:rPr>
          <w:rFonts w:cs="Times New Roman"/>
          <w:lang w:val="fr-CA"/>
        </w:rPr>
        <w:t>’</w:t>
      </w:r>
      <w:r w:rsidRPr="00990245">
        <w:rPr>
          <w:rFonts w:cs="Times New Roman"/>
          <w:lang w:val="fr-CA"/>
        </w:rPr>
        <w:t xml:space="preserve">acquittent de leurs obligations envers leurs clients. </w:t>
      </w:r>
      <w:proofErr w:type="spellStart"/>
      <w:r w:rsidRPr="00990245">
        <w:rPr>
          <w:rFonts w:cs="Times New Roman"/>
        </w:rPr>
        <w:t>Dans</w:t>
      </w:r>
      <w:proofErr w:type="spellEnd"/>
      <w:r w:rsidRPr="00990245">
        <w:rPr>
          <w:rFonts w:cs="Times New Roman"/>
        </w:rPr>
        <w:t xml:space="preserve"> </w:t>
      </w:r>
      <w:r w:rsidRPr="00990245">
        <w:rPr>
          <w:rFonts w:cs="Times New Roman"/>
          <w:i/>
        </w:rPr>
        <w:t>Andrews c. Law Society of British Columbia</w:t>
      </w:r>
      <w:r w:rsidRPr="00990245">
        <w:rPr>
          <w:rFonts w:cs="Times New Roman"/>
        </w:rPr>
        <w:t xml:space="preserve">, [1989] 1 R.C.S. 143, le </w:t>
      </w:r>
      <w:proofErr w:type="spellStart"/>
      <w:r w:rsidRPr="00990245">
        <w:rPr>
          <w:rFonts w:cs="Times New Roman"/>
        </w:rPr>
        <w:t>juge</w:t>
      </w:r>
      <w:proofErr w:type="spellEnd"/>
      <w:r w:rsidRPr="00990245">
        <w:rPr>
          <w:rFonts w:cs="Times New Roman"/>
        </w:rPr>
        <w:t xml:space="preserve"> McIntyre </w:t>
      </w:r>
      <w:proofErr w:type="spellStart"/>
      <w:r w:rsidRPr="00990245">
        <w:rPr>
          <w:rFonts w:cs="Times New Roman"/>
        </w:rPr>
        <w:t>s</w:t>
      </w:r>
      <w:r>
        <w:rPr>
          <w:rFonts w:cs="Times New Roman"/>
        </w:rPr>
        <w:t>’</w:t>
      </w:r>
      <w:r w:rsidRPr="00990245">
        <w:rPr>
          <w:rFonts w:cs="Times New Roman"/>
        </w:rPr>
        <w:t>est</w:t>
      </w:r>
      <w:proofErr w:type="spellEnd"/>
      <w:r w:rsidRPr="00990245">
        <w:rPr>
          <w:rFonts w:cs="Times New Roman"/>
        </w:rPr>
        <w:t xml:space="preserve"> </w:t>
      </w:r>
      <w:proofErr w:type="spellStart"/>
      <w:r w:rsidRPr="00990245">
        <w:rPr>
          <w:rFonts w:cs="Times New Roman"/>
        </w:rPr>
        <w:t>exprimé</w:t>
      </w:r>
      <w:proofErr w:type="spellEnd"/>
      <w:r w:rsidRPr="00990245">
        <w:rPr>
          <w:rFonts w:cs="Times New Roman"/>
        </w:rPr>
        <w:t xml:space="preserve"> en </w:t>
      </w:r>
      <w:proofErr w:type="spellStart"/>
      <w:r w:rsidRPr="00990245">
        <w:rPr>
          <w:rFonts w:cs="Times New Roman"/>
        </w:rPr>
        <w:t>ces</w:t>
      </w:r>
      <w:proofErr w:type="spellEnd"/>
      <w:r w:rsidRPr="00990245">
        <w:rPr>
          <w:rFonts w:cs="Times New Roman"/>
        </w:rPr>
        <w:t xml:space="preserve"> </w:t>
      </w:r>
      <w:proofErr w:type="spellStart"/>
      <w:r w:rsidRPr="00990245">
        <w:rPr>
          <w:rFonts w:cs="Times New Roman"/>
        </w:rPr>
        <w:t>termes</w:t>
      </w:r>
      <w:proofErr w:type="spellEnd"/>
      <w:r w:rsidR="00601B6E">
        <w:rPr>
          <w:rFonts w:cs="Times New Roman"/>
        </w:rPr>
        <w:t> :</w:t>
      </w:r>
    </w:p>
    <w:p w:rsidR="00CA3D49" w:rsidRPr="00990245" w:rsidRDefault="00CA3D49" w:rsidP="00CA3D49">
      <w:pPr>
        <w:pStyle w:val="Citation-AltC"/>
        <w:ind w:hanging="1166"/>
        <w:contextualSpacing w:val="0"/>
        <w:rPr>
          <w:lang w:val="fr-CA"/>
        </w:rPr>
      </w:pPr>
      <w:r w:rsidRPr="00990245">
        <w:rPr>
          <w:lang w:val="fr-CA"/>
        </w:rPr>
        <w:tab/>
      </w:r>
      <w:r w:rsidR="00601B6E">
        <w:rPr>
          <w:lang w:val="fr-CA"/>
        </w:rPr>
        <w:t>. . .</w:t>
      </w:r>
      <w:r w:rsidR="003E04C3">
        <w:rPr>
          <w:lang w:val="fr-CA"/>
        </w:rPr>
        <w:t xml:space="preserve"> </w:t>
      </w:r>
      <w:r w:rsidRPr="00990245">
        <w:rPr>
          <w:lang w:val="fr-CA"/>
        </w:rPr>
        <w:t>en l</w:t>
      </w:r>
      <w:r>
        <w:rPr>
          <w:lang w:val="fr-CA"/>
        </w:rPr>
        <w:t>’</w:t>
      </w:r>
      <w:r w:rsidRPr="00990245">
        <w:rPr>
          <w:lang w:val="fr-CA"/>
        </w:rPr>
        <w:t>absence d</w:t>
      </w:r>
      <w:r>
        <w:rPr>
          <w:lang w:val="fr-CA"/>
        </w:rPr>
        <w:t>’</w:t>
      </w:r>
      <w:r w:rsidRPr="00990245">
        <w:rPr>
          <w:lang w:val="fr-CA"/>
        </w:rPr>
        <w:t>une profession juridique indépendante, possédant l</w:t>
      </w:r>
      <w:r>
        <w:rPr>
          <w:lang w:val="fr-CA"/>
        </w:rPr>
        <w:t>’</w:t>
      </w:r>
      <w:r w:rsidRPr="00990245">
        <w:rPr>
          <w:lang w:val="fr-CA"/>
        </w:rPr>
        <w:t>expérience et les compétences nécessaires à l</w:t>
      </w:r>
      <w:r>
        <w:rPr>
          <w:lang w:val="fr-CA"/>
        </w:rPr>
        <w:t>’</w:t>
      </w:r>
      <w:r w:rsidRPr="00990245">
        <w:rPr>
          <w:lang w:val="fr-CA"/>
        </w:rPr>
        <w:t>exercice de son rôle dans l</w:t>
      </w:r>
      <w:r>
        <w:rPr>
          <w:lang w:val="fr-CA"/>
        </w:rPr>
        <w:t>’</w:t>
      </w:r>
      <w:r w:rsidRPr="00990245">
        <w:rPr>
          <w:lang w:val="fr-CA"/>
        </w:rPr>
        <w:t>administration de la justice et le processus judiciaire, le système juridique en entier serait dans un état précaire. [p.</w:t>
      </w:r>
      <w:r w:rsidR="00601B6E">
        <w:rPr>
          <w:lang w:val="fr-CA"/>
        </w:rPr>
        <w:t xml:space="preserve"> </w:t>
      </w:r>
      <w:r w:rsidRPr="00990245">
        <w:rPr>
          <w:lang w:val="fr-CA"/>
        </w:rPr>
        <w:t>187]</w:t>
      </w:r>
    </w:p>
    <w:p w:rsidR="00CA3D49" w:rsidRPr="00990245" w:rsidRDefault="00CA3D49" w:rsidP="00CA3D49">
      <w:pPr>
        <w:pStyle w:val="ParaNoNdepar-AltN"/>
        <w:rPr>
          <w:rFonts w:cs="Times New Roman"/>
          <w:lang w:val="fr-CA"/>
        </w:rPr>
      </w:pPr>
      <w:r w:rsidRPr="00990245">
        <w:rPr>
          <w:rFonts w:cs="Times New Roman"/>
          <w:lang w:val="fr-CA"/>
        </w:rPr>
        <w:t>Dans l</w:t>
      </w:r>
      <w:r>
        <w:rPr>
          <w:rFonts w:cs="Times New Roman"/>
          <w:lang w:val="fr-CA"/>
        </w:rPr>
        <w:t>’</w:t>
      </w:r>
      <w:r w:rsidRPr="00990245">
        <w:rPr>
          <w:rFonts w:cs="Times New Roman"/>
          <w:lang w:val="fr-CA"/>
        </w:rPr>
        <w:t xml:space="preserve">arrêt </w:t>
      </w:r>
      <w:r w:rsidRPr="00990245">
        <w:rPr>
          <w:rFonts w:cs="Times New Roman"/>
          <w:i/>
          <w:iCs/>
          <w:lang w:val="fr-CA"/>
        </w:rPr>
        <w:t>Procureur général du Canada c. Law Society of British Columbia</w:t>
      </w:r>
      <w:r w:rsidRPr="00990245">
        <w:rPr>
          <w:rFonts w:cs="Times New Roman"/>
          <w:lang w:val="fr-CA"/>
        </w:rPr>
        <w:t xml:space="preserve">, [1982] 2 R.C.S. 307, le juge </w:t>
      </w:r>
      <w:proofErr w:type="spellStart"/>
      <w:r w:rsidRPr="00990245">
        <w:rPr>
          <w:rFonts w:cs="Times New Roman"/>
          <w:lang w:val="fr-CA"/>
        </w:rPr>
        <w:t>Estey</w:t>
      </w:r>
      <w:proofErr w:type="spellEnd"/>
      <w:r w:rsidRPr="00990245">
        <w:rPr>
          <w:rFonts w:cs="Times New Roman"/>
          <w:lang w:val="fr-CA"/>
        </w:rPr>
        <w:t xml:space="preserve"> a écrit</w:t>
      </w:r>
      <w:r w:rsidR="00601B6E">
        <w:rPr>
          <w:rFonts w:cs="Times New Roman"/>
          <w:lang w:val="fr-CA"/>
        </w:rPr>
        <w:t> :</w:t>
      </w:r>
    </w:p>
    <w:p w:rsidR="00CA3D49" w:rsidRPr="00990245" w:rsidRDefault="00CA3D49" w:rsidP="00CA3D49">
      <w:pPr>
        <w:pStyle w:val="Citation-AltC"/>
        <w:ind w:hanging="1166"/>
        <w:contextualSpacing w:val="0"/>
        <w:rPr>
          <w:lang w:val="fr-CA"/>
        </w:rPr>
      </w:pPr>
      <w:r w:rsidRPr="00990245">
        <w:rPr>
          <w:lang w:val="fr-CA"/>
        </w:rPr>
        <w:tab/>
        <w:t>L</w:t>
      </w:r>
      <w:r>
        <w:rPr>
          <w:lang w:val="fr-CA"/>
        </w:rPr>
        <w:t>’</w:t>
      </w:r>
      <w:r w:rsidRPr="00990245">
        <w:rPr>
          <w:lang w:val="fr-CA"/>
        </w:rPr>
        <w:t>une des marques d</w:t>
      </w:r>
      <w:r>
        <w:rPr>
          <w:lang w:val="fr-CA"/>
        </w:rPr>
        <w:t>’</w:t>
      </w:r>
      <w:r w:rsidRPr="00990245">
        <w:rPr>
          <w:lang w:val="fr-CA"/>
        </w:rPr>
        <w:t>une société libre est l</w:t>
      </w:r>
      <w:r>
        <w:rPr>
          <w:lang w:val="fr-CA"/>
        </w:rPr>
        <w:t>’</w:t>
      </w:r>
      <w:r w:rsidRPr="00990245">
        <w:rPr>
          <w:lang w:val="fr-CA"/>
        </w:rPr>
        <w:t xml:space="preserve">indépendance du barreau </w:t>
      </w:r>
      <w:r w:rsidRPr="00990245">
        <w:rPr>
          <w:u w:val="single"/>
          <w:lang w:val="fr-CA"/>
        </w:rPr>
        <w:t>face à un État</w:t>
      </w:r>
      <w:r w:rsidRPr="00990245">
        <w:rPr>
          <w:lang w:val="fr-CA"/>
        </w:rPr>
        <w:t xml:space="preserve"> de plus en plus envahissant. En conséquence, la réglemen</w:t>
      </w:r>
      <w:r w:rsidRPr="00990245">
        <w:rPr>
          <w:spacing w:val="2"/>
          <w:lang w:val="fr-CA"/>
        </w:rPr>
        <w:t>tation des membres du barreau par l</w:t>
      </w:r>
      <w:r>
        <w:rPr>
          <w:spacing w:val="2"/>
          <w:lang w:val="fr-CA"/>
        </w:rPr>
        <w:t>’</w:t>
      </w:r>
      <w:r w:rsidRPr="00990245">
        <w:rPr>
          <w:spacing w:val="2"/>
          <w:lang w:val="fr-CA"/>
        </w:rPr>
        <w:t xml:space="preserve">État, doit, dans la mesure où cela est humainement possible, </w:t>
      </w:r>
      <w:r w:rsidRPr="00990245">
        <w:rPr>
          <w:spacing w:val="2"/>
          <w:u w:val="single"/>
          <w:lang w:val="fr-CA"/>
        </w:rPr>
        <w:t>être exempte de toute ingérence politique dans la fourniture de services aux citoyens</w:t>
      </w:r>
      <w:r w:rsidRPr="00990245">
        <w:rPr>
          <w:spacing w:val="2"/>
          <w:lang w:val="fr-CA"/>
        </w:rPr>
        <w:t>, surtout dans les domaines du droit public et du droit pénal.</w:t>
      </w:r>
      <w:r w:rsidR="00601B6E">
        <w:rPr>
          <w:spacing w:val="2"/>
          <w:lang w:val="fr-CA"/>
        </w:rPr>
        <w:t xml:space="preserve"> </w:t>
      </w:r>
      <w:r w:rsidRPr="00990245">
        <w:rPr>
          <w:spacing w:val="2"/>
          <w:lang w:val="fr-CA"/>
        </w:rPr>
        <w:t>Du point de vue de l</w:t>
      </w:r>
      <w:r>
        <w:rPr>
          <w:spacing w:val="2"/>
          <w:lang w:val="fr-CA"/>
        </w:rPr>
        <w:t>’</w:t>
      </w:r>
      <w:r w:rsidRPr="00990245">
        <w:rPr>
          <w:spacing w:val="2"/>
          <w:lang w:val="fr-CA"/>
        </w:rPr>
        <w:t xml:space="preserve">intérêt public dans une société libre, il est des plus importants que les membres du barreau soient indépendants, impartiaux et accessibles et que le grand public ait, par leur intermédiaire, accès aux conseils et aux services juridiques en général. </w:t>
      </w:r>
      <w:r w:rsidRPr="00990245">
        <w:rPr>
          <w:lang w:val="fr-CA"/>
        </w:rPr>
        <w:t>[Je souligne; p.</w:t>
      </w:r>
      <w:r w:rsidR="00601B6E">
        <w:rPr>
          <w:lang w:val="fr-CA"/>
        </w:rPr>
        <w:t xml:space="preserve"> </w:t>
      </w:r>
      <w:r w:rsidRPr="00990245">
        <w:rPr>
          <w:lang w:val="fr-CA"/>
        </w:rPr>
        <w:t>335</w:t>
      </w:r>
      <w:r w:rsidR="00601B6E">
        <w:rPr>
          <w:lang w:val="fr-CA"/>
        </w:rPr>
        <w:t>-</w:t>
      </w:r>
      <w:r w:rsidRPr="00990245">
        <w:rPr>
          <w:lang w:val="fr-CA"/>
        </w:rPr>
        <w:t>336.]</w:t>
      </w:r>
    </w:p>
    <w:p w:rsidR="00CA3D49" w:rsidRPr="00990245" w:rsidRDefault="00CA3D49" w:rsidP="00CA3D49">
      <w:pPr>
        <w:pStyle w:val="ParaNoNdepar-AltN"/>
        <w:rPr>
          <w:rFonts w:cs="Times New Roman"/>
          <w:lang w:val="fr-CA"/>
        </w:rPr>
      </w:pPr>
      <w:r w:rsidRPr="00990245">
        <w:rPr>
          <w:rFonts w:cs="Times New Roman"/>
          <w:lang w:val="fr-CA"/>
        </w:rPr>
        <w:t xml:space="preserve">De même, dans </w:t>
      </w:r>
      <w:proofErr w:type="spellStart"/>
      <w:r w:rsidRPr="00990245">
        <w:rPr>
          <w:rFonts w:cs="Times New Roman"/>
          <w:i/>
          <w:iCs/>
          <w:lang w:val="fr-CA"/>
        </w:rPr>
        <w:t>Pearlman</w:t>
      </w:r>
      <w:proofErr w:type="spellEnd"/>
      <w:r w:rsidRPr="00990245">
        <w:rPr>
          <w:rFonts w:cs="Times New Roman"/>
          <w:i/>
          <w:iCs/>
          <w:lang w:val="fr-CA"/>
        </w:rPr>
        <w:t xml:space="preserve"> c. Comité judiciaire de la Société du Barreau du Manitoba</w:t>
      </w:r>
      <w:r w:rsidRPr="00990245">
        <w:rPr>
          <w:rFonts w:cs="Times New Roman"/>
          <w:lang w:val="fr-CA"/>
        </w:rPr>
        <w:t>, [1991] 2 R.C.S. 869, la Cour a repris ainsi ce thème</w:t>
      </w:r>
      <w:r w:rsidR="00601B6E">
        <w:rPr>
          <w:rFonts w:cs="Times New Roman"/>
          <w:lang w:val="fr-CA"/>
        </w:rPr>
        <w:t> :</w:t>
      </w:r>
    </w:p>
    <w:p w:rsidR="00CA3D49" w:rsidRPr="00990245" w:rsidRDefault="00CA3D49" w:rsidP="00CA3D49">
      <w:pPr>
        <w:pStyle w:val="Citation-AltC"/>
        <w:spacing w:after="240"/>
        <w:ind w:hanging="1166"/>
        <w:contextualSpacing w:val="0"/>
        <w:rPr>
          <w:lang w:val="fr-CA"/>
        </w:rPr>
      </w:pPr>
      <w:r w:rsidRPr="00990245">
        <w:rPr>
          <w:rStyle w:val="highlight"/>
          <w:lang w:val="fr-CA"/>
        </w:rPr>
        <w:tab/>
        <w:t>On a insisté à juste titre sur la grande importance qu</w:t>
      </w:r>
      <w:r>
        <w:rPr>
          <w:rStyle w:val="highlight"/>
          <w:lang w:val="fr-CA"/>
        </w:rPr>
        <w:t>’</w:t>
      </w:r>
      <w:r w:rsidRPr="00990245">
        <w:rPr>
          <w:rStyle w:val="highlight"/>
          <w:lang w:val="fr-CA"/>
        </w:rPr>
        <w:t>a revêtue pour les sociétés libres</w:t>
      </w:r>
      <w:r w:rsidRPr="00990245">
        <w:rPr>
          <w:lang w:val="fr-CA"/>
        </w:rPr>
        <w:t>, au cours de l</w:t>
      </w:r>
      <w:r>
        <w:rPr>
          <w:lang w:val="fr-CA"/>
        </w:rPr>
        <w:t>’</w:t>
      </w:r>
      <w:r w:rsidRPr="00990245">
        <w:rPr>
          <w:lang w:val="fr-CA"/>
        </w:rPr>
        <w:t>histoire, l</w:t>
      </w:r>
      <w:r>
        <w:rPr>
          <w:lang w:val="fr-CA"/>
        </w:rPr>
        <w:t>’</w:t>
      </w:r>
      <w:r w:rsidRPr="00990245">
        <w:rPr>
          <w:lang w:val="fr-CA"/>
        </w:rPr>
        <w:t>existence [</w:t>
      </w:r>
      <w:r w:rsidR="00601B6E">
        <w:rPr>
          <w:lang w:val="fr-CA"/>
        </w:rPr>
        <w:t>. . .</w:t>
      </w:r>
      <w:r w:rsidRPr="00990245">
        <w:rPr>
          <w:lang w:val="fr-CA"/>
        </w:rPr>
        <w:t>] d</w:t>
      </w:r>
      <w:r>
        <w:rPr>
          <w:lang w:val="fr-CA"/>
        </w:rPr>
        <w:t>’</w:t>
      </w:r>
      <w:r w:rsidRPr="00990245">
        <w:rPr>
          <w:lang w:val="fr-CA"/>
        </w:rPr>
        <w:t>un barreau indépendant, dont les membres sont libres de représenter les citoyens, sans craindre de représailles ni s</w:t>
      </w:r>
      <w:r>
        <w:rPr>
          <w:lang w:val="fr-CA"/>
        </w:rPr>
        <w:t>’</w:t>
      </w:r>
      <w:r w:rsidRPr="00990245">
        <w:rPr>
          <w:lang w:val="fr-CA"/>
        </w:rPr>
        <w:t>attendre à des faveurs, afin d</w:t>
      </w:r>
      <w:r>
        <w:rPr>
          <w:lang w:val="fr-CA"/>
        </w:rPr>
        <w:t>’</w:t>
      </w:r>
      <w:r w:rsidRPr="00990245">
        <w:rPr>
          <w:lang w:val="fr-CA"/>
        </w:rPr>
        <w:t>assurer la protection des droits individuels et des libertés civiles contre les attaques de toute origine, notamment celles de l</w:t>
      </w:r>
      <w:r>
        <w:rPr>
          <w:lang w:val="fr-CA"/>
        </w:rPr>
        <w:t>’</w:t>
      </w:r>
      <w:r w:rsidRPr="00990245">
        <w:rPr>
          <w:lang w:val="fr-CA"/>
        </w:rPr>
        <w:t>État. [p.</w:t>
      </w:r>
      <w:r w:rsidR="00601B6E">
        <w:rPr>
          <w:lang w:val="fr-CA"/>
        </w:rPr>
        <w:t xml:space="preserve"> </w:t>
      </w:r>
      <w:r w:rsidRPr="00990245">
        <w:rPr>
          <w:lang w:val="fr-CA"/>
        </w:rPr>
        <w:t>887]</w:t>
      </w:r>
    </w:p>
    <w:p w:rsidR="00CA3D49" w:rsidRPr="00990245" w:rsidRDefault="00CA3D49" w:rsidP="003E04C3">
      <w:pPr>
        <w:pStyle w:val="Citation-AltC"/>
        <w:ind w:left="0"/>
        <w:contextualSpacing w:val="0"/>
        <w:rPr>
          <w:lang w:val="fr-CA"/>
        </w:rPr>
      </w:pPr>
      <w:r w:rsidRPr="00990245">
        <w:rPr>
          <w:lang w:val="fr-CA"/>
        </w:rPr>
        <w:lastRenderedPageBreak/>
        <w:t xml:space="preserve">(Citant le ministère du </w:t>
      </w:r>
      <w:r w:rsidR="003E04C3">
        <w:rPr>
          <w:lang w:val="fr-CA"/>
        </w:rPr>
        <w:t>P</w:t>
      </w:r>
      <w:r w:rsidRPr="00990245">
        <w:rPr>
          <w:lang w:val="fr-CA"/>
        </w:rPr>
        <w:t>rocureur général de l</w:t>
      </w:r>
      <w:r>
        <w:rPr>
          <w:lang w:val="fr-CA"/>
        </w:rPr>
        <w:t>’</w:t>
      </w:r>
      <w:r w:rsidRPr="00990245">
        <w:rPr>
          <w:lang w:val="fr-CA"/>
        </w:rPr>
        <w:t xml:space="preserve">Ontario, </w:t>
      </w:r>
      <w:r w:rsidRPr="003E04C3">
        <w:rPr>
          <w:i/>
          <w:lang w:val="fr-CA"/>
        </w:rPr>
        <w:t xml:space="preserve">The Report of the Professional </w:t>
      </w:r>
      <w:proofErr w:type="spellStart"/>
      <w:r w:rsidRPr="003E04C3">
        <w:rPr>
          <w:i/>
          <w:lang w:val="fr-CA"/>
        </w:rPr>
        <w:t>Organizations</w:t>
      </w:r>
      <w:proofErr w:type="spellEnd"/>
      <w:r w:rsidRPr="003E04C3">
        <w:rPr>
          <w:i/>
          <w:lang w:val="fr-CA"/>
        </w:rPr>
        <w:t xml:space="preserve"> </w:t>
      </w:r>
      <w:proofErr w:type="spellStart"/>
      <w:r w:rsidRPr="003E04C3">
        <w:rPr>
          <w:i/>
          <w:lang w:val="fr-CA"/>
        </w:rPr>
        <w:t>Committee</w:t>
      </w:r>
      <w:proofErr w:type="spellEnd"/>
      <w:r w:rsidRPr="00990245">
        <w:rPr>
          <w:lang w:val="fr-CA"/>
        </w:rPr>
        <w:t xml:space="preserve"> (1980), p.</w:t>
      </w:r>
      <w:r w:rsidR="00601B6E">
        <w:rPr>
          <w:lang w:val="fr-CA"/>
        </w:rPr>
        <w:t xml:space="preserve"> </w:t>
      </w:r>
      <w:r w:rsidRPr="00990245">
        <w:rPr>
          <w:lang w:val="fr-CA"/>
        </w:rPr>
        <w:t>26.)</w:t>
      </w:r>
    </w:p>
    <w:p w:rsidR="00CA3D49" w:rsidRPr="00990245" w:rsidRDefault="00CA3D49" w:rsidP="00CA3D49">
      <w:pPr>
        <w:pStyle w:val="ParaNoNdepar-AltN"/>
        <w:rPr>
          <w:rFonts w:cs="Times New Roman"/>
          <w:lang w:val="fr-CA"/>
        </w:rPr>
      </w:pPr>
      <w:r w:rsidRPr="00990245">
        <w:rPr>
          <w:rFonts w:cs="Times New Roman"/>
          <w:lang w:val="fr-CA"/>
        </w:rPr>
        <w:t>Dans l</w:t>
      </w:r>
      <w:r>
        <w:rPr>
          <w:rFonts w:cs="Times New Roman"/>
          <w:lang w:val="fr-CA"/>
        </w:rPr>
        <w:t>’</w:t>
      </w:r>
      <w:r w:rsidRPr="00990245">
        <w:rPr>
          <w:rFonts w:cs="Times New Roman"/>
          <w:lang w:val="fr-CA"/>
        </w:rPr>
        <w:t xml:space="preserve">arrêt </w:t>
      </w:r>
      <w:proofErr w:type="spellStart"/>
      <w:r w:rsidRPr="00990245">
        <w:rPr>
          <w:rFonts w:cs="Times New Roman"/>
          <w:i/>
          <w:iCs/>
          <w:lang w:val="fr-CA"/>
        </w:rPr>
        <w:t>Finney</w:t>
      </w:r>
      <w:proofErr w:type="spellEnd"/>
      <w:r w:rsidRPr="00990245">
        <w:rPr>
          <w:rFonts w:cs="Times New Roman"/>
          <w:lang w:val="fr-CA"/>
        </w:rPr>
        <w:t>, la Cour a dit</w:t>
      </w:r>
      <w:r w:rsidR="00601B6E">
        <w:rPr>
          <w:rFonts w:cs="Times New Roman"/>
          <w:lang w:val="fr-CA"/>
        </w:rPr>
        <w:t> :</w:t>
      </w:r>
    </w:p>
    <w:p w:rsidR="00CA3D49" w:rsidRPr="00990245" w:rsidRDefault="00CA3D49" w:rsidP="00CA3D49">
      <w:pPr>
        <w:pStyle w:val="Citation-AltC"/>
        <w:ind w:hanging="1166"/>
        <w:contextualSpacing w:val="0"/>
        <w:rPr>
          <w:lang w:val="fr-CA"/>
        </w:rPr>
      </w:pPr>
      <w:r w:rsidRPr="00990245">
        <w:rPr>
          <w:rStyle w:val="highlight"/>
          <w:lang w:val="fr-CA"/>
        </w:rPr>
        <w:tab/>
      </w:r>
      <w:r w:rsidR="003E04C3">
        <w:rPr>
          <w:rStyle w:val="highlight"/>
          <w:lang w:val="fr-CA"/>
        </w:rPr>
        <w:tab/>
      </w:r>
      <w:r w:rsidRPr="00990245">
        <w:rPr>
          <w:rStyle w:val="highlight"/>
          <w:lang w:val="fr-CA"/>
        </w:rPr>
        <w:t>Un barreau indépendant, composé d</w:t>
      </w:r>
      <w:r>
        <w:rPr>
          <w:rStyle w:val="highlight"/>
          <w:lang w:val="fr-CA"/>
        </w:rPr>
        <w:t>’</w:t>
      </w:r>
      <w:r w:rsidRPr="00990245">
        <w:rPr>
          <w:lang w:val="fr-CA"/>
        </w:rPr>
        <w:t xml:space="preserve">avocats </w:t>
      </w:r>
      <w:r w:rsidRPr="00990245">
        <w:rPr>
          <w:u w:val="single"/>
          <w:lang w:val="fr-CA"/>
        </w:rPr>
        <w:t>libres vis</w:t>
      </w:r>
      <w:r w:rsidR="00601B6E">
        <w:rPr>
          <w:u w:val="single"/>
          <w:lang w:val="fr-CA"/>
        </w:rPr>
        <w:t>-</w:t>
      </w:r>
      <w:r w:rsidRPr="00990245">
        <w:rPr>
          <w:u w:val="single"/>
          <w:lang w:val="fr-CA"/>
        </w:rPr>
        <w:t>à</w:t>
      </w:r>
      <w:r w:rsidR="00601B6E">
        <w:rPr>
          <w:u w:val="single"/>
          <w:lang w:val="fr-CA"/>
        </w:rPr>
        <w:t>-</w:t>
      </w:r>
      <w:r w:rsidRPr="00990245">
        <w:rPr>
          <w:u w:val="single"/>
          <w:lang w:val="fr-CA"/>
        </w:rPr>
        <w:t>vis des pouvoirs</w:t>
      </w:r>
      <w:r w:rsidRPr="00B63125">
        <w:rPr>
          <w:u w:val="single"/>
          <w:lang w:val="fr-CA"/>
        </w:rPr>
        <w:t xml:space="preserve"> </w:t>
      </w:r>
      <w:r w:rsidRPr="00990245">
        <w:rPr>
          <w:u w:val="single"/>
          <w:lang w:val="fr-CA"/>
        </w:rPr>
        <w:t>publics</w:t>
      </w:r>
      <w:r w:rsidRPr="00990245">
        <w:rPr>
          <w:lang w:val="fr-CA"/>
        </w:rPr>
        <w:t>, constitue un élément important de l</w:t>
      </w:r>
      <w:r>
        <w:rPr>
          <w:lang w:val="fr-CA"/>
        </w:rPr>
        <w:t>’</w:t>
      </w:r>
      <w:r w:rsidRPr="00990245">
        <w:rPr>
          <w:lang w:val="fr-CA"/>
        </w:rPr>
        <w:t>ordre juridique fondamental de la société canadienne</w:t>
      </w:r>
      <w:r w:rsidR="003E04C3">
        <w:rPr>
          <w:lang w:val="fr-CA"/>
        </w:rPr>
        <w:t>.</w:t>
      </w:r>
      <w:r w:rsidRPr="00990245">
        <w:rPr>
          <w:lang w:val="fr-CA"/>
        </w:rPr>
        <w:t xml:space="preserve"> [Je souligne; par.</w:t>
      </w:r>
      <w:r w:rsidR="00601B6E">
        <w:rPr>
          <w:lang w:val="fr-CA"/>
        </w:rPr>
        <w:t xml:space="preserve"> </w:t>
      </w:r>
      <w:r w:rsidRPr="00990245">
        <w:rPr>
          <w:lang w:val="fr-CA"/>
        </w:rPr>
        <w:t>1.]</w:t>
      </w:r>
    </w:p>
    <w:p w:rsidR="00CA3D49" w:rsidRPr="00990245" w:rsidRDefault="00CA3D49" w:rsidP="00CA3D49">
      <w:pPr>
        <w:pStyle w:val="ParaNoNdepar-AltN"/>
        <w:rPr>
          <w:rFonts w:cs="Times New Roman"/>
          <w:lang w:val="fr-CA"/>
        </w:rPr>
      </w:pPr>
      <w:r w:rsidRPr="00990245">
        <w:rPr>
          <w:rFonts w:cs="Times New Roman"/>
          <w:lang w:val="fr-CA"/>
        </w:rPr>
        <w:t>Divers organismes internationaux ont également confirmé de façon générale l</w:t>
      </w:r>
      <w:r>
        <w:rPr>
          <w:rFonts w:cs="Times New Roman"/>
          <w:lang w:val="fr-CA"/>
        </w:rPr>
        <w:t>’</w:t>
      </w:r>
      <w:r w:rsidRPr="00990245">
        <w:rPr>
          <w:rFonts w:cs="Times New Roman"/>
          <w:lang w:val="fr-CA"/>
        </w:rPr>
        <w:t>importance fondamentale d</w:t>
      </w:r>
      <w:r>
        <w:rPr>
          <w:rFonts w:cs="Times New Roman"/>
          <w:lang w:val="fr-CA"/>
        </w:rPr>
        <w:t>’</w:t>
      </w:r>
      <w:r w:rsidRPr="00990245">
        <w:rPr>
          <w:rFonts w:cs="Times New Roman"/>
          <w:lang w:val="fr-CA"/>
        </w:rPr>
        <w:t>empêcher l</w:t>
      </w:r>
      <w:r>
        <w:rPr>
          <w:rFonts w:cs="Times New Roman"/>
          <w:lang w:val="fr-CA"/>
        </w:rPr>
        <w:t>’</w:t>
      </w:r>
      <w:r w:rsidRPr="00990245">
        <w:rPr>
          <w:rFonts w:cs="Times New Roman"/>
          <w:lang w:val="fr-CA"/>
        </w:rPr>
        <w:t xml:space="preserve">État de nuire à la représentation par avocat. Les </w:t>
      </w:r>
      <w:r w:rsidRPr="00990245">
        <w:rPr>
          <w:rFonts w:cs="Times New Roman"/>
          <w:i/>
          <w:iCs/>
          <w:lang w:val="fr-CA"/>
        </w:rPr>
        <w:t xml:space="preserve">Principes de base relatifs au rôle du barreau </w:t>
      </w:r>
      <w:r w:rsidRPr="00990245">
        <w:rPr>
          <w:rFonts w:cs="Times New Roman"/>
          <w:lang w:val="fr-CA"/>
        </w:rPr>
        <w:t xml:space="preserve">adoptés par le </w:t>
      </w:r>
      <w:r w:rsidR="003E04C3">
        <w:rPr>
          <w:rFonts w:cs="Times New Roman"/>
          <w:lang w:val="fr-CA"/>
        </w:rPr>
        <w:t>H</w:t>
      </w:r>
      <w:r w:rsidRPr="00990245">
        <w:rPr>
          <w:rFonts w:cs="Times New Roman"/>
          <w:lang w:val="fr-CA"/>
        </w:rPr>
        <w:t xml:space="preserve">uitième Congrès des Nations Unies pour la prévention du crime et le traitement des délinquants indiquent que </w:t>
      </w:r>
      <w:r w:rsidR="00601B6E">
        <w:rPr>
          <w:rFonts w:cs="Times New Roman"/>
          <w:lang w:val="fr-CA"/>
        </w:rPr>
        <w:t>« </w:t>
      </w:r>
      <w:r w:rsidRPr="00990245">
        <w:rPr>
          <w:rFonts w:cs="Times New Roman"/>
          <w:lang w:val="fr-CA"/>
        </w:rPr>
        <w:t>la protection adéquate des libertés fondamentales et des droits de l</w:t>
      </w:r>
      <w:r>
        <w:rPr>
          <w:rFonts w:cs="Times New Roman"/>
          <w:lang w:val="fr-CA"/>
        </w:rPr>
        <w:t>’</w:t>
      </w:r>
      <w:r w:rsidRPr="00990245">
        <w:rPr>
          <w:rFonts w:cs="Times New Roman"/>
          <w:lang w:val="fr-CA"/>
        </w:rPr>
        <w:t>homme [</w:t>
      </w:r>
      <w:r w:rsidR="00601B6E">
        <w:rPr>
          <w:rFonts w:cs="Times New Roman"/>
          <w:lang w:val="fr-CA"/>
        </w:rPr>
        <w:t>. . .</w:t>
      </w:r>
      <w:r w:rsidRPr="00990245">
        <w:rPr>
          <w:rFonts w:cs="Times New Roman"/>
          <w:lang w:val="fr-CA"/>
        </w:rPr>
        <w:t>] dont toute personne doit pouvoir jouir, exige que chacun ait effectivement accès à des services juridiques fournis par des avocats indépendants</w:t>
      </w:r>
      <w:r w:rsidR="00601B6E">
        <w:rPr>
          <w:rFonts w:cs="Times New Roman"/>
          <w:lang w:val="fr-CA"/>
        </w:rPr>
        <w:t> »</w:t>
      </w:r>
      <w:r w:rsidRPr="00990245">
        <w:rPr>
          <w:rFonts w:cs="Times New Roman"/>
          <w:lang w:val="fr-CA"/>
        </w:rPr>
        <w:t xml:space="preserve"> (Doc. N</w:t>
      </w:r>
      <w:r w:rsidR="003E04C3">
        <w:rPr>
          <w:rFonts w:cs="Times New Roman"/>
          <w:lang w:val="fr-CA"/>
        </w:rPr>
        <w:t>.</w:t>
      </w:r>
      <w:r w:rsidRPr="00990245">
        <w:rPr>
          <w:rFonts w:cs="Times New Roman"/>
          <w:lang w:val="fr-CA"/>
        </w:rPr>
        <w:t>U</w:t>
      </w:r>
      <w:r w:rsidR="003E04C3">
        <w:rPr>
          <w:rFonts w:cs="Times New Roman"/>
          <w:lang w:val="fr-CA"/>
        </w:rPr>
        <w:t>.</w:t>
      </w:r>
      <w:r w:rsidR="00B63125">
        <w:rPr>
          <w:rFonts w:cs="Times New Roman"/>
          <w:lang w:val="fr-CA"/>
        </w:rPr>
        <w:t xml:space="preserve"> A/CONF.144/28/</w:t>
      </w:r>
      <w:proofErr w:type="spellStart"/>
      <w:r w:rsidR="00B63125">
        <w:rPr>
          <w:rFonts w:cs="Times New Roman"/>
          <w:lang w:val="fr-CA"/>
        </w:rPr>
        <w:t>Ré</w:t>
      </w:r>
      <w:r w:rsidRPr="00990245">
        <w:rPr>
          <w:rFonts w:cs="Times New Roman"/>
          <w:lang w:val="fr-CA"/>
        </w:rPr>
        <w:t>v</w:t>
      </w:r>
      <w:proofErr w:type="spellEnd"/>
      <w:r w:rsidRPr="00990245">
        <w:rPr>
          <w:rFonts w:cs="Times New Roman"/>
          <w:lang w:val="fr-CA"/>
        </w:rPr>
        <w:t>.1 (1991), p.</w:t>
      </w:r>
      <w:r w:rsidR="00601B6E">
        <w:rPr>
          <w:rFonts w:cs="Times New Roman"/>
          <w:lang w:val="fr-CA"/>
        </w:rPr>
        <w:t xml:space="preserve"> </w:t>
      </w:r>
      <w:r w:rsidRPr="00990245">
        <w:rPr>
          <w:rFonts w:cs="Times New Roman"/>
          <w:lang w:val="fr-CA"/>
        </w:rPr>
        <w:t>1</w:t>
      </w:r>
      <w:r w:rsidR="003E04C3">
        <w:rPr>
          <w:rFonts w:cs="Times New Roman"/>
          <w:lang w:val="fr-CA"/>
        </w:rPr>
        <w:t>27</w:t>
      </w:r>
      <w:r w:rsidRPr="00990245">
        <w:rPr>
          <w:rFonts w:cs="Times New Roman"/>
          <w:lang w:val="fr-CA"/>
        </w:rPr>
        <w:t>). Dans le même ordre d</w:t>
      </w:r>
      <w:r>
        <w:rPr>
          <w:rFonts w:cs="Times New Roman"/>
          <w:lang w:val="fr-CA"/>
        </w:rPr>
        <w:t>’</w:t>
      </w:r>
      <w:r w:rsidRPr="00990245">
        <w:rPr>
          <w:rFonts w:cs="Times New Roman"/>
          <w:lang w:val="fr-CA"/>
        </w:rPr>
        <w:t xml:space="preserve">idées, la </w:t>
      </w:r>
      <w:r w:rsidRPr="00990245">
        <w:rPr>
          <w:rFonts w:cs="Times New Roman"/>
          <w:i/>
          <w:iCs/>
          <w:lang w:val="fr-CA"/>
        </w:rPr>
        <w:t>Charte des principes essentiels de l</w:t>
      </w:r>
      <w:r>
        <w:rPr>
          <w:rFonts w:cs="Times New Roman"/>
          <w:i/>
          <w:iCs/>
          <w:lang w:val="fr-CA"/>
        </w:rPr>
        <w:t>’</w:t>
      </w:r>
      <w:r w:rsidRPr="00990245">
        <w:rPr>
          <w:rFonts w:cs="Times New Roman"/>
          <w:i/>
          <w:iCs/>
          <w:lang w:val="fr-CA"/>
        </w:rPr>
        <w:t xml:space="preserve">avocat européen </w:t>
      </w:r>
      <w:r w:rsidRPr="00990245">
        <w:rPr>
          <w:rFonts w:cs="Times New Roman"/>
          <w:lang w:val="fr-CA"/>
        </w:rPr>
        <w:t xml:space="preserve">du Conseil des barreaux européens insiste sur </w:t>
      </w:r>
      <w:r w:rsidR="00601B6E">
        <w:rPr>
          <w:rFonts w:cs="Times New Roman"/>
          <w:lang w:val="fr-CA"/>
        </w:rPr>
        <w:t>« </w:t>
      </w:r>
      <w:r w:rsidRPr="00990245">
        <w:rPr>
          <w:rFonts w:cs="Times New Roman"/>
          <w:lang w:val="fr-CA"/>
        </w:rPr>
        <w:t>la liberté [de l</w:t>
      </w:r>
      <w:r>
        <w:rPr>
          <w:rFonts w:cs="Times New Roman"/>
          <w:lang w:val="fr-CA"/>
        </w:rPr>
        <w:t>’</w:t>
      </w:r>
      <w:r w:rsidRPr="00990245">
        <w:rPr>
          <w:rFonts w:cs="Times New Roman"/>
          <w:lang w:val="fr-CA"/>
        </w:rPr>
        <w:t>avocat] d</w:t>
      </w:r>
      <w:r>
        <w:rPr>
          <w:rFonts w:cs="Times New Roman"/>
          <w:lang w:val="fr-CA"/>
        </w:rPr>
        <w:t>’</w:t>
      </w:r>
      <w:r w:rsidRPr="00990245">
        <w:rPr>
          <w:rFonts w:cs="Times New Roman"/>
          <w:lang w:val="fr-CA"/>
        </w:rPr>
        <w:t>assurer la défense de son client</w:t>
      </w:r>
      <w:r w:rsidR="00601B6E">
        <w:rPr>
          <w:rFonts w:cs="Times New Roman"/>
          <w:lang w:val="fr-CA"/>
        </w:rPr>
        <w:t> »</w:t>
      </w:r>
      <w:r w:rsidRPr="00990245">
        <w:rPr>
          <w:rFonts w:cs="Times New Roman"/>
          <w:lang w:val="fr-CA"/>
        </w:rPr>
        <w:t xml:space="preserve"> en en faisant le premier de </w:t>
      </w:r>
      <w:r w:rsidR="003E04C3">
        <w:rPr>
          <w:rFonts w:cs="Times New Roman"/>
          <w:lang w:val="fr-CA"/>
        </w:rPr>
        <w:t>10</w:t>
      </w:r>
      <w:r w:rsidRPr="00990245">
        <w:rPr>
          <w:rFonts w:cs="Times New Roman"/>
          <w:lang w:val="fr-CA"/>
        </w:rPr>
        <w:t xml:space="preserve"> </w:t>
      </w:r>
      <w:r w:rsidR="00601B6E">
        <w:rPr>
          <w:rFonts w:cs="Times New Roman"/>
          <w:lang w:val="fr-CA"/>
        </w:rPr>
        <w:t>« </w:t>
      </w:r>
      <w:r w:rsidRPr="00990245">
        <w:rPr>
          <w:rFonts w:cs="Times New Roman"/>
          <w:lang w:val="fr-CA"/>
        </w:rPr>
        <w:t>principes essentiels</w:t>
      </w:r>
      <w:r w:rsidR="00601B6E">
        <w:rPr>
          <w:rFonts w:cs="Times New Roman"/>
          <w:lang w:val="fr-CA"/>
        </w:rPr>
        <w:t> »</w:t>
      </w:r>
      <w:r w:rsidRPr="00990245">
        <w:rPr>
          <w:rFonts w:cs="Times New Roman"/>
          <w:lang w:val="fr-CA"/>
        </w:rPr>
        <w:t xml:space="preserve"> (</w:t>
      </w:r>
      <w:r w:rsidR="003E04C3">
        <w:rPr>
          <w:rFonts w:cs="Times New Roman"/>
          <w:lang w:val="fr-CA"/>
        </w:rPr>
        <w:t>p. 5 (</w:t>
      </w:r>
      <w:r w:rsidRPr="00990245">
        <w:rPr>
          <w:rFonts w:cs="Times New Roman"/>
          <w:lang w:val="fr-CA"/>
        </w:rPr>
        <w:t>en ligne)</w:t>
      </w:r>
      <w:r w:rsidR="003E04C3">
        <w:rPr>
          <w:rFonts w:cs="Times New Roman"/>
          <w:lang w:val="fr-CA"/>
        </w:rPr>
        <w:t>)</w:t>
      </w:r>
      <w:r w:rsidRPr="00990245">
        <w:rPr>
          <w:rFonts w:cs="Times New Roman"/>
          <w:lang w:val="fr-CA"/>
        </w:rPr>
        <w:t xml:space="preserve">. </w:t>
      </w:r>
      <w:r w:rsidRPr="003E04C3">
        <w:rPr>
          <w:rFonts w:cs="Times New Roman"/>
          <w:i/>
          <w:lang w:val="fr-CA"/>
        </w:rPr>
        <w:t>Les</w:t>
      </w:r>
      <w:r w:rsidRPr="00990245">
        <w:rPr>
          <w:rFonts w:cs="Times New Roman"/>
          <w:lang w:val="fr-CA"/>
        </w:rPr>
        <w:t xml:space="preserve"> </w:t>
      </w:r>
      <w:r w:rsidR="003E04C3">
        <w:rPr>
          <w:rFonts w:cs="Times New Roman"/>
          <w:i/>
          <w:iCs/>
          <w:lang w:val="fr-CA"/>
        </w:rPr>
        <w:t>p</w:t>
      </w:r>
      <w:r w:rsidRPr="00990245">
        <w:rPr>
          <w:rFonts w:cs="Times New Roman"/>
          <w:i/>
          <w:iCs/>
          <w:lang w:val="fr-CA"/>
        </w:rPr>
        <w:t xml:space="preserve">rincipes internationaux de déontologie de la profession juridique </w:t>
      </w:r>
      <w:r w:rsidRPr="00990245">
        <w:rPr>
          <w:rFonts w:cs="Times New Roman"/>
          <w:lang w:val="fr-CA"/>
        </w:rPr>
        <w:t>de l</w:t>
      </w:r>
      <w:r>
        <w:rPr>
          <w:rFonts w:cs="Times New Roman"/>
          <w:lang w:val="fr-CA"/>
        </w:rPr>
        <w:t>’</w:t>
      </w:r>
      <w:r w:rsidRPr="00990245">
        <w:rPr>
          <w:rFonts w:cs="Times New Roman"/>
          <w:lang w:val="fr-CA"/>
        </w:rPr>
        <w:t>Association internationale du barreau, qui ont été adoptés en 2011, soulignent également la représentation dévouée du client comme premier principe régissant la conduite des avocats</w:t>
      </w:r>
      <w:r w:rsidR="00601B6E">
        <w:rPr>
          <w:rFonts w:cs="Times New Roman"/>
          <w:lang w:val="fr-CA"/>
        </w:rPr>
        <w:t> :</w:t>
      </w:r>
      <w:r w:rsidRPr="00990245">
        <w:rPr>
          <w:rFonts w:cs="Times New Roman"/>
          <w:lang w:val="fr-CA"/>
        </w:rPr>
        <w:t xml:space="preserve"> </w:t>
      </w:r>
      <w:r w:rsidR="00601B6E">
        <w:rPr>
          <w:rFonts w:cs="Times New Roman"/>
          <w:lang w:val="fr-CA"/>
        </w:rPr>
        <w:t>« </w:t>
      </w:r>
      <w:r w:rsidRPr="00990245">
        <w:rPr>
          <w:rFonts w:cs="Times New Roman"/>
          <w:lang w:val="fr-CA"/>
        </w:rPr>
        <w:t>L</w:t>
      </w:r>
      <w:r>
        <w:rPr>
          <w:rFonts w:cs="Times New Roman"/>
          <w:lang w:val="fr-CA"/>
        </w:rPr>
        <w:t>’</w:t>
      </w:r>
      <w:r w:rsidRPr="00990245">
        <w:rPr>
          <w:rFonts w:cs="Times New Roman"/>
          <w:lang w:val="fr-CA"/>
        </w:rPr>
        <w:t>avocat doit préserver son indépendance et pouvoir bénéficier de la protection qu</w:t>
      </w:r>
      <w:r>
        <w:rPr>
          <w:rFonts w:cs="Times New Roman"/>
          <w:lang w:val="fr-CA"/>
        </w:rPr>
        <w:t>’</w:t>
      </w:r>
      <w:r w:rsidRPr="00990245">
        <w:rPr>
          <w:rFonts w:cs="Times New Roman"/>
          <w:lang w:val="fr-CA"/>
        </w:rPr>
        <w:t>offre cette indépendance lorsqu</w:t>
      </w:r>
      <w:r>
        <w:rPr>
          <w:rFonts w:cs="Times New Roman"/>
          <w:lang w:val="fr-CA"/>
        </w:rPr>
        <w:t>’</w:t>
      </w:r>
      <w:r w:rsidRPr="00990245">
        <w:rPr>
          <w:rFonts w:cs="Times New Roman"/>
          <w:lang w:val="fr-CA"/>
        </w:rPr>
        <w:t>il représente ses clients et qu</w:t>
      </w:r>
      <w:r>
        <w:rPr>
          <w:rFonts w:cs="Times New Roman"/>
          <w:lang w:val="fr-CA"/>
        </w:rPr>
        <w:t>’</w:t>
      </w:r>
      <w:r w:rsidRPr="00990245">
        <w:rPr>
          <w:rFonts w:cs="Times New Roman"/>
          <w:lang w:val="fr-CA"/>
        </w:rPr>
        <w:t>il leur fournit des conseils impartiaux</w:t>
      </w:r>
      <w:r w:rsidR="00601B6E">
        <w:rPr>
          <w:rFonts w:cs="Times New Roman"/>
          <w:lang w:val="fr-CA"/>
        </w:rPr>
        <w:t> »</w:t>
      </w:r>
      <w:r w:rsidRPr="00990245">
        <w:rPr>
          <w:rFonts w:cs="Times New Roman"/>
          <w:lang w:val="fr-CA"/>
        </w:rPr>
        <w:t xml:space="preserve"> (p.</w:t>
      </w:r>
      <w:r w:rsidR="00601B6E">
        <w:rPr>
          <w:rFonts w:cs="Times New Roman"/>
          <w:lang w:val="fr-CA"/>
        </w:rPr>
        <w:t xml:space="preserve"> </w:t>
      </w:r>
      <w:r w:rsidRPr="00990245">
        <w:rPr>
          <w:rFonts w:cs="Times New Roman"/>
          <w:lang w:val="fr-CA"/>
        </w:rPr>
        <w:t xml:space="preserve">5 (en ligne)). </w:t>
      </w:r>
    </w:p>
    <w:p w:rsidR="00CA3D49" w:rsidRPr="00990245" w:rsidRDefault="00CA3D49" w:rsidP="00CA3D49">
      <w:pPr>
        <w:pStyle w:val="ParaNoNdepar-AltN"/>
        <w:rPr>
          <w:rFonts w:cs="Times New Roman"/>
          <w:lang w:val="fr-CA"/>
        </w:rPr>
      </w:pPr>
      <w:r w:rsidRPr="00990245">
        <w:rPr>
          <w:rFonts w:cs="Times New Roman"/>
          <w:lang w:val="fr-CA"/>
        </w:rPr>
        <w:lastRenderedPageBreak/>
        <w:t>Je conclus qu</w:t>
      </w:r>
      <w:r>
        <w:rPr>
          <w:rFonts w:cs="Times New Roman"/>
          <w:lang w:val="fr-CA"/>
        </w:rPr>
        <w:t>’</w:t>
      </w:r>
      <w:r w:rsidRPr="00990245">
        <w:rPr>
          <w:rFonts w:cs="Times New Roman"/>
          <w:lang w:val="fr-CA"/>
        </w:rPr>
        <w:t>une preuve abondante établit l</w:t>
      </w:r>
      <w:r>
        <w:rPr>
          <w:rFonts w:cs="Times New Roman"/>
          <w:lang w:val="fr-CA"/>
        </w:rPr>
        <w:t>’</w:t>
      </w:r>
      <w:r w:rsidRPr="00990245">
        <w:rPr>
          <w:rFonts w:cs="Times New Roman"/>
          <w:lang w:val="fr-CA"/>
        </w:rPr>
        <w:t>existence d</w:t>
      </w:r>
      <w:r>
        <w:rPr>
          <w:rFonts w:cs="Times New Roman"/>
          <w:lang w:val="fr-CA"/>
        </w:rPr>
        <w:t>’</w:t>
      </w:r>
      <w:r w:rsidRPr="00990245">
        <w:rPr>
          <w:rFonts w:cs="Times New Roman"/>
          <w:lang w:val="fr-CA"/>
        </w:rPr>
        <w:t>un vaste et solide consensus au sujet de l</w:t>
      </w:r>
      <w:r>
        <w:rPr>
          <w:rFonts w:cs="Times New Roman"/>
          <w:lang w:val="fr-CA"/>
        </w:rPr>
        <w:t>’</w:t>
      </w:r>
      <w:r w:rsidRPr="00990245">
        <w:rPr>
          <w:rFonts w:cs="Times New Roman"/>
          <w:lang w:val="fr-CA"/>
        </w:rPr>
        <w:t>importance fondamentale, dans les États démocratiques, d</w:t>
      </w:r>
      <w:r>
        <w:rPr>
          <w:rFonts w:cs="Times New Roman"/>
          <w:lang w:val="fr-CA"/>
        </w:rPr>
        <w:t>’</w:t>
      </w:r>
      <w:r w:rsidRPr="00990245">
        <w:rPr>
          <w:rFonts w:cs="Times New Roman"/>
          <w:lang w:val="fr-CA"/>
        </w:rPr>
        <w:t>empêcher que l</w:t>
      </w:r>
      <w:r>
        <w:rPr>
          <w:rFonts w:cs="Times New Roman"/>
          <w:lang w:val="fr-CA"/>
        </w:rPr>
        <w:t>’</w:t>
      </w:r>
      <w:r w:rsidRPr="00990245">
        <w:rPr>
          <w:rFonts w:cs="Times New Roman"/>
          <w:lang w:val="fr-CA"/>
        </w:rPr>
        <w:t>État nuise au dévouement de l</w:t>
      </w:r>
      <w:r>
        <w:rPr>
          <w:rFonts w:cs="Times New Roman"/>
          <w:lang w:val="fr-CA"/>
        </w:rPr>
        <w:t>’</w:t>
      </w:r>
      <w:r w:rsidRPr="00990245">
        <w:rPr>
          <w:rFonts w:cs="Times New Roman"/>
          <w:lang w:val="fr-CA"/>
        </w:rPr>
        <w:t xml:space="preserve">avocat à la cause de son client. </w:t>
      </w:r>
    </w:p>
    <w:p w:rsidR="00CA3D49" w:rsidRPr="00990245" w:rsidRDefault="00CA3D49" w:rsidP="00CA3D49">
      <w:pPr>
        <w:pStyle w:val="ParaNoNdepar-AltN"/>
        <w:rPr>
          <w:rFonts w:cs="Times New Roman"/>
          <w:lang w:val="fr-CA"/>
        </w:rPr>
      </w:pPr>
      <w:r w:rsidRPr="00990245">
        <w:rPr>
          <w:rFonts w:cs="Times New Roman"/>
          <w:lang w:val="fr-CA"/>
        </w:rPr>
        <w:t>Le devoir de dévouement à la cause du client fait en sorte qu</w:t>
      </w:r>
      <w:r>
        <w:rPr>
          <w:rFonts w:cs="Times New Roman"/>
          <w:lang w:val="fr-CA"/>
        </w:rPr>
        <w:t>’</w:t>
      </w:r>
      <w:r w:rsidR="00601B6E">
        <w:rPr>
          <w:rFonts w:cs="Times New Roman"/>
          <w:lang w:val="fr-CA"/>
        </w:rPr>
        <w:t>« </w:t>
      </w:r>
      <w:r w:rsidRPr="00990245">
        <w:rPr>
          <w:rFonts w:cs="Times New Roman"/>
          <w:lang w:val="fr-CA"/>
        </w:rPr>
        <w:t>une situation de loyauté partagée n</w:t>
      </w:r>
      <w:r>
        <w:rPr>
          <w:rFonts w:cs="Times New Roman"/>
          <w:lang w:val="fr-CA"/>
        </w:rPr>
        <w:t>’</w:t>
      </w:r>
      <w:r w:rsidRPr="00990245">
        <w:rPr>
          <w:rFonts w:cs="Times New Roman"/>
          <w:lang w:val="fr-CA"/>
        </w:rPr>
        <w:t>incite pas l</w:t>
      </w:r>
      <w:r>
        <w:rPr>
          <w:rFonts w:cs="Times New Roman"/>
          <w:lang w:val="fr-CA"/>
        </w:rPr>
        <w:t>’</w:t>
      </w:r>
      <w:r w:rsidRPr="00990245">
        <w:rPr>
          <w:rFonts w:cs="Times New Roman"/>
          <w:lang w:val="fr-CA"/>
        </w:rPr>
        <w:t>avocat à “mettre une sourdine” à [sa représentation</w:t>
      </w:r>
      <w:r w:rsidR="003E04C3">
        <w:rPr>
          <w:rFonts w:cs="Times New Roman"/>
          <w:lang w:val="fr-CA"/>
        </w:rPr>
        <w:t>]</w:t>
      </w:r>
      <w:r w:rsidR="00601B6E">
        <w:rPr>
          <w:rFonts w:cs="Times New Roman"/>
          <w:lang w:val="fr-CA"/>
        </w:rPr>
        <w:t> »</w:t>
      </w:r>
      <w:r w:rsidRPr="00990245">
        <w:rPr>
          <w:rFonts w:cs="Times New Roman"/>
          <w:lang w:val="fr-CA"/>
        </w:rPr>
        <w:t xml:space="preserve"> et empêche que la relation avocat</w:t>
      </w:r>
      <w:r w:rsidR="00601B6E">
        <w:rPr>
          <w:rFonts w:cs="Times New Roman"/>
          <w:lang w:val="fr-CA"/>
        </w:rPr>
        <w:t>-</w:t>
      </w:r>
      <w:r w:rsidRPr="00990245">
        <w:rPr>
          <w:rFonts w:cs="Times New Roman"/>
          <w:lang w:val="fr-CA"/>
        </w:rPr>
        <w:t>client soit minée (</w:t>
      </w:r>
      <w:r w:rsidRPr="00990245">
        <w:rPr>
          <w:rFonts w:cs="Times New Roman"/>
          <w:i/>
          <w:lang w:val="fr-CA"/>
        </w:rPr>
        <w:t>Neil</w:t>
      </w:r>
      <w:r w:rsidRPr="00990245">
        <w:rPr>
          <w:rFonts w:cs="Times New Roman"/>
          <w:lang w:val="fr-CA"/>
        </w:rPr>
        <w:t>, par.</w:t>
      </w:r>
      <w:r w:rsidR="00601B6E">
        <w:rPr>
          <w:rFonts w:cs="Times New Roman"/>
          <w:lang w:val="fr-CA"/>
        </w:rPr>
        <w:t xml:space="preserve"> </w:t>
      </w:r>
      <w:r w:rsidRPr="00990245">
        <w:rPr>
          <w:rFonts w:cs="Times New Roman"/>
          <w:lang w:val="fr-CA"/>
        </w:rPr>
        <w:t xml:space="preserve">19; </w:t>
      </w:r>
      <w:proofErr w:type="spellStart"/>
      <w:r w:rsidRPr="00990245">
        <w:rPr>
          <w:rFonts w:cs="Times New Roman"/>
          <w:i/>
          <w:lang w:val="fr-CA"/>
        </w:rPr>
        <w:t>McKercher</w:t>
      </w:r>
      <w:proofErr w:type="spellEnd"/>
      <w:r w:rsidRPr="00990245">
        <w:rPr>
          <w:rFonts w:cs="Times New Roman"/>
          <w:lang w:val="fr-CA"/>
        </w:rPr>
        <w:t>,</w:t>
      </w:r>
      <w:r w:rsidRPr="00990245">
        <w:rPr>
          <w:rFonts w:cs="Times New Roman"/>
          <w:i/>
          <w:lang w:val="fr-CA"/>
        </w:rPr>
        <w:t xml:space="preserve"> </w:t>
      </w:r>
      <w:r w:rsidRPr="00990245">
        <w:rPr>
          <w:rFonts w:cs="Times New Roman"/>
          <w:lang w:val="fr-CA"/>
        </w:rPr>
        <w:t>par.</w:t>
      </w:r>
      <w:r w:rsidR="00601B6E">
        <w:rPr>
          <w:rFonts w:cs="Times New Roman"/>
          <w:lang w:val="fr-CA"/>
        </w:rPr>
        <w:t xml:space="preserve"> </w:t>
      </w:r>
      <w:r w:rsidRPr="00990245">
        <w:rPr>
          <w:rFonts w:cs="Times New Roman"/>
          <w:lang w:val="fr-CA"/>
        </w:rPr>
        <w:t>43</w:t>
      </w:r>
      <w:r w:rsidR="00601B6E">
        <w:rPr>
          <w:rFonts w:cs="Times New Roman"/>
          <w:lang w:val="fr-CA"/>
        </w:rPr>
        <w:t>-</w:t>
      </w:r>
      <w:r w:rsidRPr="00990245">
        <w:rPr>
          <w:rFonts w:cs="Times New Roman"/>
          <w:lang w:val="fr-CA"/>
        </w:rPr>
        <w:t>44). Dans le cas d</w:t>
      </w:r>
      <w:r>
        <w:rPr>
          <w:rFonts w:cs="Times New Roman"/>
          <w:lang w:val="fr-CA"/>
        </w:rPr>
        <w:t>’</w:t>
      </w:r>
      <w:r w:rsidRPr="00990245">
        <w:rPr>
          <w:rFonts w:cs="Times New Roman"/>
          <w:lang w:val="fr-CA"/>
        </w:rPr>
        <w:t>une mesure de l</w:t>
      </w:r>
      <w:r>
        <w:rPr>
          <w:rFonts w:cs="Times New Roman"/>
          <w:lang w:val="fr-CA"/>
        </w:rPr>
        <w:t>’</w:t>
      </w:r>
      <w:r w:rsidRPr="00990245">
        <w:rPr>
          <w:rFonts w:cs="Times New Roman"/>
          <w:lang w:val="fr-CA"/>
        </w:rPr>
        <w:t>État qui met en jeu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7 de la </w:t>
      </w:r>
      <w:r w:rsidRPr="00990245">
        <w:rPr>
          <w:rFonts w:cs="Times New Roman"/>
          <w:i/>
          <w:lang w:val="fr-CA"/>
        </w:rPr>
        <w:t>Charte</w:t>
      </w:r>
      <w:r w:rsidRPr="00990245">
        <w:rPr>
          <w:rFonts w:cs="Times New Roman"/>
          <w:lang w:val="fr-CA"/>
        </w:rPr>
        <w:t>, cela veut dire tout au moins que l</w:t>
      </w:r>
      <w:r>
        <w:rPr>
          <w:rFonts w:cs="Times New Roman"/>
          <w:lang w:val="fr-CA"/>
        </w:rPr>
        <w:t>’</w:t>
      </w:r>
      <w:r w:rsidRPr="00990245">
        <w:rPr>
          <w:rFonts w:cs="Times New Roman"/>
          <w:lang w:val="fr-CA"/>
        </w:rPr>
        <w:t>État ne peut (sous réserve d</w:t>
      </w:r>
      <w:r>
        <w:rPr>
          <w:rFonts w:cs="Times New Roman"/>
          <w:lang w:val="fr-CA"/>
        </w:rPr>
        <w:t>’</w:t>
      </w:r>
      <w:r w:rsidRPr="00990245">
        <w:rPr>
          <w:rFonts w:cs="Times New Roman"/>
          <w:lang w:val="fr-CA"/>
        </w:rPr>
        <w:t>une justification) imposer aux avocats des obligations qui entravent leur respect de ce devoir, soit dans les faits, soit aux yeux d</w:t>
      </w:r>
      <w:r>
        <w:rPr>
          <w:rFonts w:cs="Times New Roman"/>
          <w:lang w:val="fr-CA"/>
        </w:rPr>
        <w:t>’</w:t>
      </w:r>
      <w:r w:rsidRPr="00990245">
        <w:rPr>
          <w:rFonts w:cs="Times New Roman"/>
          <w:lang w:val="fr-CA"/>
        </w:rPr>
        <w:t>une personne raisonnable et bien informée de toutes les circonstances pertinentes qui étudierait la question en profondeur. L</w:t>
      </w:r>
      <w:r>
        <w:rPr>
          <w:rFonts w:cs="Times New Roman"/>
          <w:lang w:val="fr-CA"/>
        </w:rPr>
        <w:t>’</w:t>
      </w:r>
      <w:r w:rsidRPr="00990245">
        <w:rPr>
          <w:rFonts w:cs="Times New Roman"/>
          <w:lang w:val="fr-CA"/>
        </w:rPr>
        <w:t>exemple type d</w:t>
      </w:r>
      <w:r>
        <w:rPr>
          <w:rFonts w:cs="Times New Roman"/>
          <w:lang w:val="fr-CA"/>
        </w:rPr>
        <w:t>’</w:t>
      </w:r>
      <w:r w:rsidRPr="00990245">
        <w:rPr>
          <w:rFonts w:cs="Times New Roman"/>
          <w:lang w:val="fr-CA"/>
        </w:rPr>
        <w:t>une telle ingérence serait des obligations imposées aux avocats par l</w:t>
      </w:r>
      <w:r>
        <w:rPr>
          <w:rFonts w:cs="Times New Roman"/>
          <w:lang w:val="fr-CA"/>
        </w:rPr>
        <w:t>’</w:t>
      </w:r>
      <w:r w:rsidRPr="00990245">
        <w:rPr>
          <w:rFonts w:cs="Times New Roman"/>
          <w:lang w:val="fr-CA"/>
        </w:rPr>
        <w:t>État qui entrent en conflit avec le devoir de l</w:t>
      </w:r>
      <w:r>
        <w:rPr>
          <w:rFonts w:cs="Times New Roman"/>
          <w:lang w:val="fr-CA"/>
        </w:rPr>
        <w:t>’</w:t>
      </w:r>
      <w:r w:rsidRPr="00990245">
        <w:rPr>
          <w:rFonts w:cs="Times New Roman"/>
          <w:lang w:val="fr-CA"/>
        </w:rPr>
        <w:t xml:space="preserve">avocat de se dévouer au service des intérêts légitimes du client ou qui nuisent autrement au respect de ce devoir.  </w:t>
      </w:r>
    </w:p>
    <w:p w:rsidR="00CA3D49" w:rsidRPr="00990245" w:rsidRDefault="00CA3D49" w:rsidP="00FC477C">
      <w:pPr>
        <w:pStyle w:val="Title4LevelTitre4Niveau"/>
        <w:tabs>
          <w:tab w:val="clear" w:pos="1296"/>
        </w:tabs>
        <w:ind w:left="900" w:hanging="450"/>
        <w:rPr>
          <w:rFonts w:cs="Times New Roman"/>
          <w:lang w:val="fr-CA"/>
        </w:rPr>
      </w:pPr>
      <w:r w:rsidRPr="00990245">
        <w:rPr>
          <w:rFonts w:cs="Times New Roman"/>
          <w:lang w:val="fr-CA"/>
        </w:rPr>
        <w:t>Le régime est</w:t>
      </w:r>
      <w:r w:rsidR="00601B6E">
        <w:rPr>
          <w:rFonts w:cs="Times New Roman"/>
          <w:lang w:val="fr-CA"/>
        </w:rPr>
        <w:t>-</w:t>
      </w:r>
      <w:r w:rsidRPr="00990245">
        <w:rPr>
          <w:rFonts w:cs="Times New Roman"/>
          <w:lang w:val="fr-CA"/>
        </w:rPr>
        <w:t>il compatible avec ce principe?</w:t>
      </w:r>
    </w:p>
    <w:p w:rsidR="00CA3D49" w:rsidRPr="00990245" w:rsidRDefault="00CA3D49" w:rsidP="00CA3D49">
      <w:pPr>
        <w:pStyle w:val="ParaNoNdepar-AltN"/>
        <w:rPr>
          <w:rFonts w:cs="Times New Roman"/>
          <w:lang w:val="fr-CA"/>
        </w:rPr>
      </w:pPr>
      <w:r w:rsidRPr="00990245">
        <w:rPr>
          <w:rFonts w:cs="Times New Roman"/>
          <w:lang w:val="fr-CA"/>
        </w:rPr>
        <w:t>Le régime restreint la liberté des avocats en sanctionnant par l</w:t>
      </w:r>
      <w:r>
        <w:rPr>
          <w:rFonts w:cs="Times New Roman"/>
          <w:lang w:val="fr-CA"/>
        </w:rPr>
        <w:t>’</w:t>
      </w:r>
      <w:r w:rsidRPr="00990245">
        <w:rPr>
          <w:rFonts w:cs="Times New Roman"/>
          <w:lang w:val="fr-CA"/>
        </w:rPr>
        <w:t>emprisonnement le non</w:t>
      </w:r>
      <w:r w:rsidR="00601B6E">
        <w:rPr>
          <w:rFonts w:cs="Times New Roman"/>
          <w:lang w:val="fr-CA"/>
        </w:rPr>
        <w:t>-</w:t>
      </w:r>
      <w:r w:rsidRPr="00990245">
        <w:rPr>
          <w:rFonts w:cs="Times New Roman"/>
          <w:lang w:val="fr-CA"/>
        </w:rPr>
        <w:t>respect de ses exigences. La restriction de cette liberté est</w:t>
      </w:r>
      <w:r w:rsidR="00601B6E">
        <w:rPr>
          <w:rFonts w:cs="Times New Roman"/>
          <w:lang w:val="fr-CA"/>
        </w:rPr>
        <w:t>-</w:t>
      </w:r>
      <w:r w:rsidRPr="00990245">
        <w:rPr>
          <w:rFonts w:cs="Times New Roman"/>
          <w:lang w:val="fr-CA"/>
        </w:rPr>
        <w:t>elle conforme au principe de justice fondamentale concernant le devoir de représentation dévouée qui incombe à l</w:t>
      </w:r>
      <w:r>
        <w:rPr>
          <w:rFonts w:cs="Times New Roman"/>
          <w:lang w:val="fr-CA"/>
        </w:rPr>
        <w:t>’</w:t>
      </w:r>
      <w:r w:rsidRPr="00990245">
        <w:rPr>
          <w:rFonts w:cs="Times New Roman"/>
          <w:lang w:val="fr-CA"/>
        </w:rPr>
        <w:t>avocat? Autrement dit, le présent régime impose</w:t>
      </w:r>
      <w:r w:rsidR="00601B6E">
        <w:rPr>
          <w:rFonts w:cs="Times New Roman"/>
          <w:lang w:val="fr-CA"/>
        </w:rPr>
        <w:t>-</w:t>
      </w:r>
      <w:r w:rsidRPr="00990245">
        <w:rPr>
          <w:rFonts w:cs="Times New Roman"/>
          <w:lang w:val="fr-CA"/>
        </w:rPr>
        <w:t>t</w:t>
      </w:r>
      <w:r w:rsidR="00601B6E">
        <w:rPr>
          <w:rFonts w:cs="Times New Roman"/>
          <w:lang w:val="fr-CA"/>
        </w:rPr>
        <w:t>-</w:t>
      </w:r>
      <w:r w:rsidRPr="00990245">
        <w:rPr>
          <w:rFonts w:cs="Times New Roman"/>
          <w:lang w:val="fr-CA"/>
        </w:rPr>
        <w:t>il à l</w:t>
      </w:r>
      <w:r>
        <w:rPr>
          <w:rFonts w:cs="Times New Roman"/>
          <w:lang w:val="fr-CA"/>
        </w:rPr>
        <w:t>’</w:t>
      </w:r>
      <w:r w:rsidRPr="00990245">
        <w:rPr>
          <w:rFonts w:cs="Times New Roman"/>
          <w:lang w:val="fr-CA"/>
        </w:rPr>
        <w:t>avocat des obligations dont l</w:t>
      </w:r>
      <w:r>
        <w:rPr>
          <w:rFonts w:cs="Times New Roman"/>
          <w:lang w:val="fr-CA"/>
        </w:rPr>
        <w:t>’</w:t>
      </w:r>
      <w:r w:rsidRPr="00990245">
        <w:rPr>
          <w:rFonts w:cs="Times New Roman"/>
          <w:lang w:val="fr-CA"/>
        </w:rPr>
        <w:t xml:space="preserve">acquittement, dans les faits ou aux yeux </w:t>
      </w:r>
      <w:r w:rsidRPr="00990245">
        <w:rPr>
          <w:rFonts w:cs="Times New Roman"/>
          <w:lang w:val="fr-CA"/>
        </w:rPr>
        <w:lastRenderedPageBreak/>
        <w:t>d</w:t>
      </w:r>
      <w:r>
        <w:rPr>
          <w:rFonts w:cs="Times New Roman"/>
          <w:lang w:val="fr-CA"/>
        </w:rPr>
        <w:t>’</w:t>
      </w:r>
      <w:r w:rsidRPr="00990245">
        <w:rPr>
          <w:rFonts w:cs="Times New Roman"/>
          <w:lang w:val="fr-CA"/>
        </w:rPr>
        <w:t>une personne raisonnable, nuit à la capacité de l</w:t>
      </w:r>
      <w:r>
        <w:rPr>
          <w:rFonts w:cs="Times New Roman"/>
          <w:lang w:val="fr-CA"/>
        </w:rPr>
        <w:t>’</w:t>
      </w:r>
      <w:r w:rsidRPr="00990245">
        <w:rPr>
          <w:rFonts w:cs="Times New Roman"/>
          <w:lang w:val="fr-CA"/>
        </w:rPr>
        <w:t>avocat à respecter le devoir de se dévouer à la cause du client?</w:t>
      </w:r>
    </w:p>
    <w:p w:rsidR="00CA3D49" w:rsidRPr="00990245" w:rsidRDefault="00CA3D49" w:rsidP="00CA3D49">
      <w:pPr>
        <w:pStyle w:val="ParaNoNdepar-AltN"/>
        <w:rPr>
          <w:rFonts w:cs="Times New Roman"/>
          <w:lang w:val="fr-CA"/>
        </w:rPr>
      </w:pPr>
      <w:r w:rsidRPr="00990245">
        <w:rPr>
          <w:rFonts w:cs="Times New Roman"/>
          <w:lang w:val="fr-CA"/>
        </w:rPr>
        <w:t>Pour répondre à cette question, nous devons examiner le régime dans son ensemble et compte tenu de ma conclusion que les aspects du régime relatifs aux fouilles et aux perquisitions ne protègent pas suffisamment le secret professionnel de l</w:t>
      </w:r>
      <w:r>
        <w:rPr>
          <w:rFonts w:cs="Times New Roman"/>
          <w:lang w:val="fr-CA"/>
        </w:rPr>
        <w:t>’</w:t>
      </w:r>
      <w:r w:rsidRPr="00990245">
        <w:rPr>
          <w:rFonts w:cs="Times New Roman"/>
          <w:lang w:val="fr-CA"/>
        </w:rPr>
        <w:t>avocat.</w:t>
      </w:r>
    </w:p>
    <w:p w:rsidR="00CA3D49" w:rsidRPr="00990245" w:rsidRDefault="00CA3D49" w:rsidP="00CA3D49">
      <w:pPr>
        <w:pStyle w:val="ParaNoNdepar-AltN"/>
        <w:rPr>
          <w:rFonts w:cs="Times New Roman"/>
          <w:lang w:val="fr-CA"/>
        </w:rPr>
      </w:pPr>
      <w:r w:rsidRPr="00990245">
        <w:rPr>
          <w:rFonts w:cs="Times New Roman"/>
          <w:lang w:val="fr-CA"/>
        </w:rPr>
        <w:t>La profession a établi des normes de pratique relatives aux thèmes visés par le régime. De par ses propres activités exercées dans ce domaine, la profession reconnaît que les avocats doivent prendre garde de favoriser involontairement le recyclage des produits de criminalité ou le financement des activités terroristes, ou de fermer les yeux sur ces activités. Ces normes professionnelles font également ressortir que le devoir de l</w:t>
      </w:r>
      <w:r>
        <w:rPr>
          <w:rFonts w:cs="Times New Roman"/>
          <w:lang w:val="fr-CA"/>
        </w:rPr>
        <w:t>’</w:t>
      </w:r>
      <w:r w:rsidRPr="00990245">
        <w:rPr>
          <w:rFonts w:cs="Times New Roman"/>
          <w:lang w:val="fr-CA"/>
        </w:rPr>
        <w:t>avocat de se dévouer à la cause du client ne saurait aller jusqu</w:t>
      </w:r>
      <w:r>
        <w:rPr>
          <w:rFonts w:cs="Times New Roman"/>
          <w:lang w:val="fr-CA"/>
        </w:rPr>
        <w:t>’</w:t>
      </w:r>
      <w:r w:rsidRPr="00990245">
        <w:rPr>
          <w:rFonts w:cs="Times New Roman"/>
          <w:lang w:val="fr-CA"/>
        </w:rPr>
        <w:t>à contribuer d</w:t>
      </w:r>
      <w:r>
        <w:rPr>
          <w:rFonts w:cs="Times New Roman"/>
          <w:lang w:val="fr-CA"/>
        </w:rPr>
        <w:t>’</w:t>
      </w:r>
      <w:r w:rsidRPr="00990245">
        <w:rPr>
          <w:rFonts w:cs="Times New Roman"/>
          <w:lang w:val="fr-CA"/>
        </w:rPr>
        <w:t xml:space="preserve">une quelconque manière à la réalisation de ses desseins illicites. </w:t>
      </w:r>
    </w:p>
    <w:p w:rsidR="00CA3D49" w:rsidRPr="00990245" w:rsidRDefault="00CA3D49" w:rsidP="00CA3D49">
      <w:pPr>
        <w:pStyle w:val="ParaNoNdepar-AltN"/>
        <w:rPr>
          <w:rFonts w:cs="Times New Roman"/>
          <w:lang w:val="fr-CA"/>
        </w:rPr>
      </w:pPr>
      <w:r w:rsidRPr="00990245">
        <w:rPr>
          <w:rFonts w:cs="Times New Roman"/>
          <w:lang w:val="fr-CA"/>
        </w:rPr>
        <w:t>Le régime oblige les avocats à établir et à conserver des documents qui, d</w:t>
      </w:r>
      <w:r>
        <w:rPr>
          <w:rFonts w:cs="Times New Roman"/>
          <w:lang w:val="fr-CA"/>
        </w:rPr>
        <w:t>’</w:t>
      </w:r>
      <w:r w:rsidRPr="00990245">
        <w:rPr>
          <w:rFonts w:cs="Times New Roman"/>
          <w:lang w:val="fr-CA"/>
        </w:rPr>
        <w:t xml:space="preserve">après la profession, ne sont pas nécessaires à la représentation efficace et éthique des clients. </w:t>
      </w:r>
      <w:r w:rsidRPr="003E04C3">
        <w:rPr>
          <w:rFonts w:cs="Times New Roman"/>
          <w:lang w:val="fr-CA"/>
        </w:rPr>
        <w:t>Le</w:t>
      </w:r>
      <w:r w:rsidRPr="00990245">
        <w:rPr>
          <w:rFonts w:cs="Times New Roman"/>
          <w:i/>
          <w:lang w:val="fr-CA"/>
        </w:rPr>
        <w:t xml:space="preserve"> Règlement type sur les exigences d</w:t>
      </w:r>
      <w:r>
        <w:rPr>
          <w:rFonts w:cs="Times New Roman"/>
          <w:i/>
          <w:lang w:val="fr-CA"/>
        </w:rPr>
        <w:t>’</w:t>
      </w:r>
      <w:r w:rsidRPr="00990245">
        <w:rPr>
          <w:rFonts w:cs="Times New Roman"/>
          <w:i/>
          <w:lang w:val="fr-CA"/>
        </w:rPr>
        <w:t>identification et de vérification de l</w:t>
      </w:r>
      <w:r>
        <w:rPr>
          <w:rFonts w:cs="Times New Roman"/>
          <w:i/>
          <w:lang w:val="fr-CA"/>
        </w:rPr>
        <w:t>’</w:t>
      </w:r>
      <w:r w:rsidRPr="00990245">
        <w:rPr>
          <w:rFonts w:cs="Times New Roman"/>
          <w:i/>
          <w:lang w:val="fr-CA"/>
        </w:rPr>
        <w:t>identité des clients</w:t>
      </w:r>
      <w:r w:rsidRPr="00990245">
        <w:rPr>
          <w:rFonts w:cs="Times New Roman"/>
          <w:lang w:val="fr-CA"/>
        </w:rPr>
        <w:t xml:space="preserve"> de la Fédération (en ligne), qui a été adopté par tous les barreaux du Canada, renferme un certain nombre de dispositions concernant la vérification de l</w:t>
      </w:r>
      <w:r>
        <w:rPr>
          <w:rFonts w:cs="Times New Roman"/>
          <w:lang w:val="fr-CA"/>
        </w:rPr>
        <w:t>’</w:t>
      </w:r>
      <w:r w:rsidRPr="00990245">
        <w:rPr>
          <w:rFonts w:cs="Times New Roman"/>
          <w:lang w:val="fr-CA"/>
        </w:rPr>
        <w:t>identité et la tenue de documents qui s</w:t>
      </w:r>
      <w:r>
        <w:rPr>
          <w:rFonts w:cs="Times New Roman"/>
          <w:lang w:val="fr-CA"/>
        </w:rPr>
        <w:t>’</w:t>
      </w:r>
      <w:r w:rsidRPr="00990245">
        <w:rPr>
          <w:rFonts w:cs="Times New Roman"/>
          <w:lang w:val="fr-CA"/>
        </w:rPr>
        <w:t xml:space="preserve">apparentent aux exigences de la </w:t>
      </w:r>
      <w:r w:rsidRPr="003E04C3">
        <w:rPr>
          <w:rFonts w:cs="Times New Roman"/>
          <w:iCs/>
          <w:lang w:val="fr-CA"/>
        </w:rPr>
        <w:t>Loi</w:t>
      </w:r>
      <w:r w:rsidRPr="00990245">
        <w:rPr>
          <w:rFonts w:cs="Times New Roman"/>
          <w:i/>
          <w:iCs/>
          <w:lang w:val="fr-CA"/>
        </w:rPr>
        <w:t xml:space="preserve"> </w:t>
      </w:r>
      <w:r w:rsidRPr="00990245">
        <w:rPr>
          <w:rFonts w:cs="Times New Roman"/>
          <w:lang w:val="fr-CA"/>
        </w:rPr>
        <w:t xml:space="preserve">et du </w:t>
      </w:r>
      <w:r w:rsidRPr="003E04C3">
        <w:rPr>
          <w:rFonts w:cs="Times New Roman"/>
          <w:iCs/>
          <w:lang w:val="fr-CA"/>
        </w:rPr>
        <w:t>Règlement</w:t>
      </w:r>
      <w:r w:rsidRPr="00990245">
        <w:rPr>
          <w:rFonts w:cs="Times New Roman"/>
          <w:i/>
          <w:iCs/>
          <w:lang w:val="fr-CA"/>
        </w:rPr>
        <w:t xml:space="preserve">. </w:t>
      </w:r>
      <w:r w:rsidRPr="00990245">
        <w:rPr>
          <w:rFonts w:cs="Times New Roman"/>
          <w:iCs/>
          <w:lang w:val="fr-CA"/>
        </w:rPr>
        <w:t>La portée du</w:t>
      </w:r>
      <w:r w:rsidRPr="00990245">
        <w:rPr>
          <w:rFonts w:cs="Times New Roman"/>
          <w:lang w:val="fr-CA"/>
        </w:rPr>
        <w:t xml:space="preserve"> </w:t>
      </w:r>
      <w:r w:rsidRPr="003E04C3">
        <w:rPr>
          <w:rFonts w:cs="Times New Roman"/>
          <w:lang w:val="fr-CA"/>
        </w:rPr>
        <w:t>Règlement type</w:t>
      </w:r>
      <w:r w:rsidRPr="00990245">
        <w:rPr>
          <w:rFonts w:cs="Times New Roman"/>
          <w:lang w:val="fr-CA"/>
        </w:rPr>
        <w:t xml:space="preserve"> est cependant plus étroite. Quelques exemples l</w:t>
      </w:r>
      <w:r>
        <w:rPr>
          <w:rFonts w:cs="Times New Roman"/>
          <w:lang w:val="fr-CA"/>
        </w:rPr>
        <w:t>’</w:t>
      </w:r>
      <w:r w:rsidRPr="00990245">
        <w:rPr>
          <w:rFonts w:cs="Times New Roman"/>
          <w:lang w:val="fr-CA"/>
        </w:rPr>
        <w:t xml:space="preserve">illustreront. Le </w:t>
      </w:r>
      <w:r w:rsidRPr="003E04C3">
        <w:rPr>
          <w:rFonts w:cs="Times New Roman"/>
          <w:lang w:val="fr-CA"/>
        </w:rPr>
        <w:t>Règlement type</w:t>
      </w:r>
      <w:r w:rsidRPr="00990245">
        <w:rPr>
          <w:rFonts w:cs="Times New Roman"/>
          <w:lang w:val="fr-CA"/>
        </w:rPr>
        <w:t xml:space="preserve"> n</w:t>
      </w:r>
      <w:r>
        <w:rPr>
          <w:rFonts w:cs="Times New Roman"/>
          <w:lang w:val="fr-CA"/>
        </w:rPr>
        <w:t>’</w:t>
      </w:r>
      <w:r w:rsidRPr="00990245">
        <w:rPr>
          <w:rFonts w:cs="Times New Roman"/>
          <w:lang w:val="fr-CA"/>
        </w:rPr>
        <w:t>impose pas au juriste l</w:t>
      </w:r>
      <w:r>
        <w:rPr>
          <w:rFonts w:cs="Times New Roman"/>
          <w:lang w:val="fr-CA"/>
        </w:rPr>
        <w:t>’</w:t>
      </w:r>
      <w:r w:rsidRPr="00990245">
        <w:rPr>
          <w:rFonts w:cs="Times New Roman"/>
          <w:lang w:val="fr-CA"/>
        </w:rPr>
        <w:t xml:space="preserve">obligation de </w:t>
      </w:r>
      <w:r w:rsidRPr="00990245">
        <w:rPr>
          <w:rFonts w:cs="Times New Roman"/>
          <w:lang w:val="fr-CA"/>
        </w:rPr>
        <w:lastRenderedPageBreak/>
        <w:t>vérifier l</w:t>
      </w:r>
      <w:r>
        <w:rPr>
          <w:rFonts w:cs="Times New Roman"/>
          <w:lang w:val="fr-CA"/>
        </w:rPr>
        <w:t>’</w:t>
      </w:r>
      <w:r w:rsidRPr="00990245">
        <w:rPr>
          <w:rFonts w:cs="Times New Roman"/>
          <w:lang w:val="fr-CA"/>
        </w:rPr>
        <w:t>identité de ses clients lorsqu</w:t>
      </w:r>
      <w:r>
        <w:rPr>
          <w:rFonts w:cs="Times New Roman"/>
          <w:lang w:val="fr-CA"/>
        </w:rPr>
        <w:t>’</w:t>
      </w:r>
      <w:r w:rsidRPr="00990245">
        <w:rPr>
          <w:rFonts w:cs="Times New Roman"/>
          <w:lang w:val="fr-CA"/>
        </w:rPr>
        <w:t>il procède à un virement de fonds électronique ou donne des directives à cet égard (art.</w:t>
      </w:r>
      <w:r w:rsidR="00601B6E">
        <w:rPr>
          <w:rFonts w:cs="Times New Roman"/>
          <w:lang w:val="fr-CA"/>
        </w:rPr>
        <w:t xml:space="preserve"> </w:t>
      </w:r>
      <w:r w:rsidRPr="00990245">
        <w:rPr>
          <w:rFonts w:cs="Times New Roman"/>
          <w:lang w:val="fr-CA"/>
        </w:rPr>
        <w:t>4). Le juriste n</w:t>
      </w:r>
      <w:r>
        <w:rPr>
          <w:rFonts w:cs="Times New Roman"/>
          <w:lang w:val="fr-CA"/>
        </w:rPr>
        <w:t>’</w:t>
      </w:r>
      <w:r w:rsidRPr="00990245">
        <w:rPr>
          <w:rFonts w:cs="Times New Roman"/>
          <w:lang w:val="fr-CA"/>
        </w:rPr>
        <w:t>est pas toujours tenu d</w:t>
      </w:r>
      <w:r>
        <w:rPr>
          <w:rFonts w:cs="Times New Roman"/>
          <w:lang w:val="fr-CA"/>
        </w:rPr>
        <w:t>’</w:t>
      </w:r>
      <w:r w:rsidRPr="00990245">
        <w:rPr>
          <w:rFonts w:cs="Times New Roman"/>
          <w:lang w:val="fr-CA"/>
        </w:rPr>
        <w:t>identifier un tiers lorsqu</w:t>
      </w:r>
      <w:r>
        <w:rPr>
          <w:rFonts w:cs="Times New Roman"/>
          <w:lang w:val="fr-CA"/>
        </w:rPr>
        <w:t>’</w:t>
      </w:r>
      <w:r w:rsidRPr="00990245">
        <w:rPr>
          <w:rFonts w:cs="Times New Roman"/>
          <w:lang w:val="fr-CA"/>
        </w:rPr>
        <w:t>il effectue un virement de fonds ou donne des directives à cet égard, étant donné qu</w:t>
      </w:r>
      <w:r>
        <w:rPr>
          <w:rFonts w:cs="Times New Roman"/>
          <w:lang w:val="fr-CA"/>
        </w:rPr>
        <w:t>’</w:t>
      </w:r>
      <w:r w:rsidRPr="00990245">
        <w:rPr>
          <w:rFonts w:cs="Times New Roman"/>
          <w:lang w:val="fr-CA"/>
        </w:rPr>
        <w:t>aux termes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6, cette mesure ne doit être prise que </w:t>
      </w:r>
      <w:r w:rsidR="00601B6E">
        <w:rPr>
          <w:rFonts w:cs="Times New Roman"/>
          <w:lang w:val="fr-CA"/>
        </w:rPr>
        <w:t>« </w:t>
      </w:r>
      <w:r w:rsidRPr="00990245">
        <w:rPr>
          <w:rFonts w:cs="Times New Roman"/>
          <w:lang w:val="fr-CA"/>
        </w:rPr>
        <w:t>le cas échéant</w:t>
      </w:r>
      <w:r w:rsidR="00601B6E">
        <w:rPr>
          <w:rFonts w:cs="Times New Roman"/>
          <w:lang w:val="fr-CA"/>
        </w:rPr>
        <w:t> »</w:t>
      </w:r>
      <w:r w:rsidRPr="00990245">
        <w:rPr>
          <w:rFonts w:cs="Times New Roman"/>
          <w:lang w:val="fr-CA"/>
        </w:rPr>
        <w:t xml:space="preserve">. Le </w:t>
      </w:r>
      <w:r w:rsidRPr="003E04C3">
        <w:rPr>
          <w:rFonts w:cs="Times New Roman"/>
          <w:lang w:val="fr-CA"/>
        </w:rPr>
        <w:t>Règlement type</w:t>
      </w:r>
      <w:r w:rsidRPr="00990245">
        <w:rPr>
          <w:rFonts w:cs="Times New Roman"/>
          <w:lang w:val="fr-CA"/>
        </w:rPr>
        <w:t xml:space="preserve"> n</w:t>
      </w:r>
      <w:r>
        <w:rPr>
          <w:rFonts w:cs="Times New Roman"/>
          <w:lang w:val="fr-CA"/>
        </w:rPr>
        <w:t>’</w:t>
      </w:r>
      <w:r w:rsidRPr="00990245">
        <w:rPr>
          <w:rFonts w:cs="Times New Roman"/>
          <w:lang w:val="fr-CA"/>
        </w:rPr>
        <w:t>oblige pas à établir un programme interne de conformité, contrairement à ce que prévoit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9.6 de la </w:t>
      </w:r>
      <w:r w:rsidRPr="003E04C3">
        <w:rPr>
          <w:rFonts w:cs="Times New Roman"/>
          <w:iCs/>
          <w:lang w:val="fr-CA"/>
        </w:rPr>
        <w:t>Loi</w:t>
      </w:r>
      <w:r w:rsidRPr="00990245">
        <w:rPr>
          <w:rFonts w:cs="Times New Roman"/>
          <w:lang w:val="fr-CA"/>
        </w:rPr>
        <w:t xml:space="preserve">. À titre de dernier exemple, le </w:t>
      </w:r>
      <w:r w:rsidRPr="003E04C3">
        <w:rPr>
          <w:rFonts w:cs="Times New Roman"/>
          <w:lang w:val="fr-CA"/>
        </w:rPr>
        <w:t>Règlement type</w:t>
      </w:r>
      <w:r w:rsidRPr="00990245">
        <w:rPr>
          <w:rFonts w:cs="Times New Roman"/>
          <w:lang w:val="fr-CA"/>
        </w:rPr>
        <w:t xml:space="preserve"> ne renferme aucun équivalent de l</w:t>
      </w:r>
      <w:r>
        <w:rPr>
          <w:rFonts w:cs="Times New Roman"/>
          <w:lang w:val="fr-CA"/>
        </w:rPr>
        <w:t>’</w:t>
      </w:r>
      <w:r w:rsidRPr="00990245">
        <w:rPr>
          <w:rFonts w:cs="Times New Roman"/>
          <w:lang w:val="fr-CA"/>
        </w:rPr>
        <w:t xml:space="preserve">obligation prévue par le régime de produire et de conserver un </w:t>
      </w:r>
      <w:r w:rsidR="00601B6E">
        <w:rPr>
          <w:rFonts w:cs="Times New Roman"/>
          <w:lang w:val="fr-CA"/>
        </w:rPr>
        <w:t>« </w:t>
      </w:r>
      <w:r w:rsidRPr="00990245">
        <w:rPr>
          <w:rFonts w:cs="Times New Roman"/>
          <w:lang w:val="fr-CA"/>
        </w:rPr>
        <w:t>relevé de réception de fonds</w:t>
      </w:r>
      <w:r w:rsidR="00601B6E">
        <w:rPr>
          <w:rFonts w:cs="Times New Roman"/>
          <w:lang w:val="fr-CA"/>
        </w:rPr>
        <w:t> »</w:t>
      </w:r>
      <w:r w:rsidRPr="00990245">
        <w:rPr>
          <w:rFonts w:cs="Times New Roman"/>
          <w:lang w:val="fr-CA"/>
        </w:rPr>
        <w:t xml:space="preserve"> conformément à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33.4 du </w:t>
      </w:r>
      <w:r w:rsidRPr="003E04C3">
        <w:rPr>
          <w:rFonts w:cs="Times New Roman"/>
          <w:iCs/>
          <w:lang w:val="fr-CA"/>
        </w:rPr>
        <w:t>Règlement</w:t>
      </w:r>
      <w:r w:rsidRPr="00990245">
        <w:rPr>
          <w:rFonts w:cs="Times New Roman"/>
          <w:lang w:val="fr-CA"/>
        </w:rPr>
        <w:t xml:space="preserve">. </w:t>
      </w:r>
    </w:p>
    <w:p w:rsidR="00CA3D49" w:rsidRPr="00990245" w:rsidRDefault="00CA3D49" w:rsidP="00CA3D49">
      <w:pPr>
        <w:pStyle w:val="ParaNoNdepar-AltN"/>
        <w:rPr>
          <w:rFonts w:cs="Times New Roman"/>
          <w:lang w:val="fr-CA"/>
        </w:rPr>
      </w:pPr>
      <w:r w:rsidRPr="00990245">
        <w:rPr>
          <w:rFonts w:cs="Times New Roman"/>
          <w:lang w:val="fr-CA"/>
        </w:rPr>
        <w:t>De telles normes de déontologie ne sauraient dicter au législateur ce qu</w:t>
      </w:r>
      <w:r>
        <w:rPr>
          <w:rFonts w:cs="Times New Roman"/>
          <w:lang w:val="fr-CA"/>
        </w:rPr>
        <w:t>’</w:t>
      </w:r>
      <w:r w:rsidRPr="00990245">
        <w:rPr>
          <w:rFonts w:cs="Times New Roman"/>
          <w:lang w:val="fr-CA"/>
        </w:rPr>
        <w:t>exige l</w:t>
      </w:r>
      <w:r>
        <w:rPr>
          <w:rFonts w:cs="Times New Roman"/>
          <w:lang w:val="fr-CA"/>
        </w:rPr>
        <w:t>’</w:t>
      </w:r>
      <w:r w:rsidRPr="00990245">
        <w:rPr>
          <w:rFonts w:cs="Times New Roman"/>
          <w:lang w:val="fr-CA"/>
        </w:rPr>
        <w:t>intérêt public ou fixer les paramètres constitutionnels d</w:t>
      </w:r>
      <w:r>
        <w:rPr>
          <w:rFonts w:cs="Times New Roman"/>
          <w:lang w:val="fr-CA"/>
        </w:rPr>
        <w:t>’</w:t>
      </w:r>
      <w:r w:rsidRPr="00990245">
        <w:rPr>
          <w:rFonts w:cs="Times New Roman"/>
          <w:lang w:val="fr-CA"/>
        </w:rPr>
        <w:t>une loi</w:t>
      </w:r>
      <w:r w:rsidRPr="00990245">
        <w:rPr>
          <w:rFonts w:cs="Times New Roman"/>
          <w:i/>
          <w:iCs/>
          <w:lang w:val="fr-CA"/>
        </w:rPr>
        <w:t xml:space="preserve">. </w:t>
      </w:r>
      <w:r w:rsidRPr="00990245">
        <w:rPr>
          <w:rFonts w:cs="Times New Roman"/>
          <w:lang w:val="fr-CA"/>
        </w:rPr>
        <w:t>Mais ces normes déontologiques témoignent effectivement d</w:t>
      </w:r>
      <w:r>
        <w:rPr>
          <w:rFonts w:cs="Times New Roman"/>
          <w:lang w:val="fr-CA"/>
        </w:rPr>
        <w:t>’</w:t>
      </w:r>
      <w:r w:rsidRPr="00990245">
        <w:rPr>
          <w:rFonts w:cs="Times New Roman"/>
          <w:lang w:val="fr-CA"/>
        </w:rPr>
        <w:t>un solide consensus au sein de la profession en ce qui a trait aux normes déontologiques que commandent ces enjeux. Vue sous cet angle, la législation oblige les avocats à recueillir et à conserver beaucoup plus de renseignements que ce que la profession estime nécessaire pour la représentation éthique et efficace du client. Ce fait, conjugué à la protection insuffisante du secret professionnel de l</w:t>
      </w:r>
      <w:r>
        <w:rPr>
          <w:rFonts w:cs="Times New Roman"/>
          <w:lang w:val="fr-CA"/>
        </w:rPr>
        <w:t>’</w:t>
      </w:r>
      <w:r w:rsidRPr="00990245">
        <w:rPr>
          <w:rFonts w:cs="Times New Roman"/>
          <w:lang w:val="fr-CA"/>
        </w:rPr>
        <w:t>avocat, mine la capacité de ce dernier à respecter son devoir de se dévouer à la cause du client. L</w:t>
      </w:r>
      <w:r>
        <w:rPr>
          <w:rFonts w:cs="Times New Roman"/>
          <w:lang w:val="fr-CA"/>
        </w:rPr>
        <w:t>’</w:t>
      </w:r>
      <w:r w:rsidRPr="00990245">
        <w:rPr>
          <w:rFonts w:cs="Times New Roman"/>
          <w:lang w:val="fr-CA"/>
        </w:rPr>
        <w:t>avocat est tenu de créer et de conserver des documents qui ne sont pas nécessaires à une représentation éthique et efficace tout en sachant que les renseignements visés par son secret professionnel qui figurent dans ces documents ne bénéficient pas d</w:t>
      </w:r>
      <w:r>
        <w:rPr>
          <w:rFonts w:cs="Times New Roman"/>
          <w:lang w:val="fr-CA"/>
        </w:rPr>
        <w:t>’</w:t>
      </w:r>
      <w:r w:rsidRPr="00990245">
        <w:rPr>
          <w:rFonts w:cs="Times New Roman"/>
          <w:lang w:val="fr-CA"/>
        </w:rPr>
        <w:t>une protection convenable contre les perquisitions et saisies autorisées par le régime. Cela peut, comme le penserait à juste titre l</w:t>
      </w:r>
      <w:r>
        <w:rPr>
          <w:rFonts w:cs="Times New Roman"/>
          <w:lang w:val="fr-CA"/>
        </w:rPr>
        <w:t>’</w:t>
      </w:r>
      <w:r w:rsidRPr="00990245">
        <w:rPr>
          <w:rFonts w:cs="Times New Roman"/>
          <w:lang w:val="fr-CA"/>
        </w:rPr>
        <w:t xml:space="preserve">avocat, être contraire aux intérêts légitimes du client et, par </w:t>
      </w:r>
      <w:r w:rsidRPr="00990245">
        <w:rPr>
          <w:rFonts w:cs="Times New Roman"/>
          <w:lang w:val="fr-CA"/>
        </w:rPr>
        <w:lastRenderedPageBreak/>
        <w:t>conséquent, ces obligations imposées par le régime peuvent entrer directement en conflit avec le devoir de représentation dévouée de l</w:t>
      </w:r>
      <w:r>
        <w:rPr>
          <w:rFonts w:cs="Times New Roman"/>
          <w:lang w:val="fr-CA"/>
        </w:rPr>
        <w:t>’</w:t>
      </w:r>
      <w:r w:rsidRPr="00990245">
        <w:rPr>
          <w:rFonts w:cs="Times New Roman"/>
          <w:lang w:val="fr-CA"/>
        </w:rPr>
        <w:t xml:space="preserve">avocat. </w:t>
      </w:r>
    </w:p>
    <w:p w:rsidR="00CA3D49" w:rsidRPr="00990245" w:rsidRDefault="00CA3D49" w:rsidP="00CA3D49">
      <w:pPr>
        <w:pStyle w:val="ParaNoNdepar-AltN"/>
        <w:rPr>
          <w:rFonts w:cs="Times New Roman"/>
          <w:lang w:val="fr-CA"/>
        </w:rPr>
      </w:pPr>
      <w:r w:rsidRPr="00990245">
        <w:rPr>
          <w:rFonts w:cs="Times New Roman"/>
          <w:lang w:val="fr-CA"/>
        </w:rPr>
        <w:t>Je conclus en outre que la personne raisonnable et bien informée</w:t>
      </w:r>
      <w:r>
        <w:rPr>
          <w:rFonts w:cs="Times New Roman"/>
          <w:lang w:val="fr-CA"/>
        </w:rPr>
        <w:t xml:space="preserve"> </w:t>
      </w:r>
      <w:r w:rsidRPr="00990245">
        <w:rPr>
          <w:rFonts w:cs="Times New Roman"/>
          <w:lang w:val="fr-CA"/>
        </w:rPr>
        <w:t>examinant la question en profondeur estimerait que la combinaison de ces dispositions mine sensiblement la capacité des avocats de représenter leurs clients avec dévouement. Le client raisonnable et bien informé verrait son avocat tenu par l</w:t>
      </w:r>
      <w:r>
        <w:rPr>
          <w:rFonts w:cs="Times New Roman"/>
          <w:lang w:val="fr-CA"/>
        </w:rPr>
        <w:t>’</w:t>
      </w:r>
      <w:r w:rsidRPr="00990245">
        <w:rPr>
          <w:rFonts w:cs="Times New Roman"/>
          <w:lang w:val="fr-CA"/>
        </w:rPr>
        <w:t>État de recueillir et de conserver des renseignements qui, de l</w:t>
      </w:r>
      <w:r>
        <w:rPr>
          <w:rFonts w:cs="Times New Roman"/>
          <w:lang w:val="fr-CA"/>
        </w:rPr>
        <w:t>’</w:t>
      </w:r>
      <w:r w:rsidRPr="00990245">
        <w:rPr>
          <w:rFonts w:cs="Times New Roman"/>
          <w:lang w:val="fr-CA"/>
        </w:rPr>
        <w:t>avis de la profession juridique, ne sont pas nécessaires pour le représenter de manière efficace et éthique et à l</w:t>
      </w:r>
      <w:r>
        <w:rPr>
          <w:rFonts w:cs="Times New Roman"/>
          <w:lang w:val="fr-CA"/>
        </w:rPr>
        <w:t>’</w:t>
      </w:r>
      <w:r w:rsidRPr="00990245">
        <w:rPr>
          <w:rFonts w:cs="Times New Roman"/>
          <w:lang w:val="fr-CA"/>
        </w:rPr>
        <w:t>égard desquels le secret professionnel de l</w:t>
      </w:r>
      <w:r>
        <w:rPr>
          <w:rFonts w:cs="Times New Roman"/>
          <w:lang w:val="fr-CA"/>
        </w:rPr>
        <w:t>’</w:t>
      </w:r>
      <w:r w:rsidRPr="00990245">
        <w:rPr>
          <w:rFonts w:cs="Times New Roman"/>
          <w:lang w:val="fr-CA"/>
        </w:rPr>
        <w:t>avocat ne bénéficie pas d</w:t>
      </w:r>
      <w:r>
        <w:rPr>
          <w:rFonts w:cs="Times New Roman"/>
          <w:lang w:val="fr-CA"/>
        </w:rPr>
        <w:t>’</w:t>
      </w:r>
      <w:r w:rsidRPr="00990245">
        <w:rPr>
          <w:rFonts w:cs="Times New Roman"/>
          <w:lang w:val="fr-CA"/>
        </w:rPr>
        <w:t>une protection suffisante. Il serait donc raisonnable pour les clients de penser que les avocats agissent, du moins en partie, pour le compte de l</w:t>
      </w:r>
      <w:r>
        <w:rPr>
          <w:rFonts w:cs="Times New Roman"/>
          <w:lang w:val="fr-CA"/>
        </w:rPr>
        <w:t>’</w:t>
      </w:r>
      <w:r w:rsidRPr="00990245">
        <w:rPr>
          <w:rFonts w:cs="Times New Roman"/>
          <w:lang w:val="fr-CA"/>
        </w:rPr>
        <w:t>État lorsqu</w:t>
      </w:r>
      <w:r>
        <w:rPr>
          <w:rFonts w:cs="Times New Roman"/>
          <w:lang w:val="fr-CA"/>
        </w:rPr>
        <w:t>’</w:t>
      </w:r>
      <w:r w:rsidRPr="00990245">
        <w:rPr>
          <w:rFonts w:cs="Times New Roman"/>
          <w:lang w:val="fr-CA"/>
        </w:rPr>
        <w:t>ils recueillent et conservent ces renseignements dans une situation où des renseignements confidentiels pourraient fort bien être communiqués à l</w:t>
      </w:r>
      <w:r>
        <w:rPr>
          <w:rFonts w:cs="Times New Roman"/>
          <w:lang w:val="fr-CA"/>
        </w:rPr>
        <w:t>’</w:t>
      </w:r>
      <w:r w:rsidRPr="00990245">
        <w:rPr>
          <w:rFonts w:cs="Times New Roman"/>
          <w:lang w:val="fr-CA"/>
        </w:rPr>
        <w:t>État sans le consentement du client. On assisterait ainsi à une érosion inacceptable de la confiance en la capacité de l</w:t>
      </w:r>
      <w:r>
        <w:rPr>
          <w:rFonts w:cs="Times New Roman"/>
          <w:lang w:val="fr-CA"/>
        </w:rPr>
        <w:t>’</w:t>
      </w:r>
      <w:r w:rsidRPr="00990245">
        <w:rPr>
          <w:rFonts w:cs="Times New Roman"/>
          <w:lang w:val="fr-CA"/>
        </w:rPr>
        <w:t xml:space="preserve">avocat de représenter ses clients avec dévouement. </w:t>
      </w:r>
    </w:p>
    <w:p w:rsidR="00CA3D49" w:rsidRPr="00990245" w:rsidRDefault="00CA3D49" w:rsidP="00CA3D49">
      <w:pPr>
        <w:pStyle w:val="ParaNoNdepar-AltN"/>
        <w:rPr>
          <w:rFonts w:cs="Times New Roman"/>
          <w:lang w:val="fr-CA"/>
        </w:rPr>
      </w:pPr>
      <w:r w:rsidRPr="00990245">
        <w:rPr>
          <w:rFonts w:cs="Times New Roman"/>
          <w:lang w:val="fr-CA"/>
        </w:rPr>
        <w:t>Je conclus que, pris dans son ensemble, le régime restreint la liberté des avocats d</w:t>
      </w:r>
      <w:r>
        <w:rPr>
          <w:rFonts w:cs="Times New Roman"/>
          <w:lang w:val="fr-CA"/>
        </w:rPr>
        <w:t>’</w:t>
      </w:r>
      <w:r w:rsidRPr="00990245">
        <w:rPr>
          <w:rFonts w:cs="Times New Roman"/>
          <w:lang w:val="fr-CA"/>
        </w:rPr>
        <w:t>une manière qui n</w:t>
      </w:r>
      <w:r>
        <w:rPr>
          <w:rFonts w:cs="Times New Roman"/>
          <w:lang w:val="fr-CA"/>
        </w:rPr>
        <w:t>’</w:t>
      </w:r>
      <w:r w:rsidRPr="00990245">
        <w:rPr>
          <w:rFonts w:cs="Times New Roman"/>
          <w:lang w:val="fr-CA"/>
        </w:rPr>
        <w:t>est pas conforme au principe de justice fondamentale concernant le devoir de représentation dévouée de l</w:t>
      </w:r>
      <w:r>
        <w:rPr>
          <w:rFonts w:cs="Times New Roman"/>
          <w:lang w:val="fr-CA"/>
        </w:rPr>
        <w:t>’</w:t>
      </w:r>
      <w:r w:rsidRPr="00990245">
        <w:rPr>
          <w:rFonts w:cs="Times New Roman"/>
          <w:lang w:val="fr-CA"/>
        </w:rPr>
        <w:t xml:space="preserve">avocat. </w:t>
      </w:r>
    </w:p>
    <w:p w:rsidR="00CA3D49" w:rsidRPr="00990245" w:rsidRDefault="00CA3D49" w:rsidP="00CA3D49">
      <w:pPr>
        <w:pStyle w:val="ParaNoNdepar-AltN"/>
        <w:rPr>
          <w:rFonts w:cs="Times New Roman"/>
          <w:lang w:val="fr-CA"/>
        </w:rPr>
      </w:pPr>
      <w:r w:rsidRPr="00990245">
        <w:rPr>
          <w:rFonts w:cs="Times New Roman"/>
          <w:lang w:val="fr-CA"/>
        </w:rPr>
        <w:t>Je tiens toutefois à souligner que cette conclusion n</w:t>
      </w:r>
      <w:r>
        <w:rPr>
          <w:rFonts w:cs="Times New Roman"/>
          <w:lang w:val="fr-CA"/>
        </w:rPr>
        <w:t>’</w:t>
      </w:r>
      <w:r w:rsidRPr="00990245">
        <w:rPr>
          <w:rFonts w:cs="Times New Roman"/>
          <w:lang w:val="fr-CA"/>
        </w:rPr>
        <w:t>a pas pour effet de placer les avocats au</w:t>
      </w:r>
      <w:r w:rsidR="00601B6E">
        <w:rPr>
          <w:rFonts w:cs="Times New Roman"/>
          <w:lang w:val="fr-CA"/>
        </w:rPr>
        <w:t>-</w:t>
      </w:r>
      <w:r w:rsidRPr="00990245">
        <w:rPr>
          <w:rFonts w:cs="Times New Roman"/>
          <w:lang w:val="fr-CA"/>
        </w:rPr>
        <w:t>dessus des lois. Ce n</w:t>
      </w:r>
      <w:r>
        <w:rPr>
          <w:rFonts w:cs="Times New Roman"/>
          <w:lang w:val="fr-CA"/>
        </w:rPr>
        <w:t>’</w:t>
      </w:r>
      <w:r w:rsidRPr="00990245">
        <w:rPr>
          <w:rFonts w:cs="Times New Roman"/>
          <w:lang w:val="fr-CA"/>
        </w:rPr>
        <w:t>est qu</w:t>
      </w:r>
      <w:r>
        <w:rPr>
          <w:rFonts w:cs="Times New Roman"/>
          <w:lang w:val="fr-CA"/>
        </w:rPr>
        <w:t>’</w:t>
      </w:r>
      <w:r w:rsidRPr="00990245">
        <w:rPr>
          <w:rFonts w:cs="Times New Roman"/>
          <w:lang w:val="fr-CA"/>
        </w:rPr>
        <w:t>au moment où l</w:t>
      </w:r>
      <w:r>
        <w:rPr>
          <w:rFonts w:cs="Times New Roman"/>
          <w:lang w:val="fr-CA"/>
        </w:rPr>
        <w:t>’</w:t>
      </w:r>
      <w:r w:rsidRPr="00990245">
        <w:rPr>
          <w:rFonts w:cs="Times New Roman"/>
          <w:lang w:val="fr-CA"/>
        </w:rPr>
        <w:t>État impose à l</w:t>
      </w:r>
      <w:r>
        <w:rPr>
          <w:rFonts w:cs="Times New Roman"/>
          <w:lang w:val="fr-CA"/>
        </w:rPr>
        <w:t>’</w:t>
      </w:r>
      <w:r w:rsidRPr="00990245">
        <w:rPr>
          <w:rFonts w:cs="Times New Roman"/>
          <w:lang w:val="fr-CA"/>
        </w:rPr>
        <w:t>avocat des obligations qui minent, dans les faits ou aux yeux d</w:t>
      </w:r>
      <w:r>
        <w:rPr>
          <w:rFonts w:cs="Times New Roman"/>
          <w:lang w:val="fr-CA"/>
        </w:rPr>
        <w:t>’</w:t>
      </w:r>
      <w:r w:rsidRPr="00990245">
        <w:rPr>
          <w:rFonts w:cs="Times New Roman"/>
          <w:lang w:val="fr-CA"/>
        </w:rPr>
        <w:t xml:space="preserve">une personne </w:t>
      </w:r>
      <w:r w:rsidRPr="00990245">
        <w:rPr>
          <w:rFonts w:cs="Times New Roman"/>
          <w:lang w:val="fr-CA"/>
        </w:rPr>
        <w:lastRenderedPageBreak/>
        <w:t>raisonnable, la capacité de ce dernier à respecter son devoir de se dévouer à la cause du client qu</w:t>
      </w:r>
      <w:r>
        <w:rPr>
          <w:rFonts w:cs="Times New Roman"/>
          <w:lang w:val="fr-CA"/>
        </w:rPr>
        <w:t>’</w:t>
      </w:r>
      <w:r w:rsidRPr="00990245">
        <w:rPr>
          <w:rFonts w:cs="Times New Roman"/>
          <w:lang w:val="fr-CA"/>
        </w:rPr>
        <w:t xml:space="preserve">il y a dérogation à ce que requiert ce principe de justice fondamentale.  </w:t>
      </w:r>
    </w:p>
    <w:p w:rsidR="00CA3D49" w:rsidRPr="00990245" w:rsidRDefault="00CA3D49" w:rsidP="00CA3D49">
      <w:pPr>
        <w:pStyle w:val="ParaNoNdepar-AltN"/>
        <w:rPr>
          <w:rFonts w:cs="Times New Roman"/>
          <w:lang w:val="fr-CA"/>
        </w:rPr>
      </w:pPr>
      <w:r w:rsidRPr="00990245">
        <w:rPr>
          <w:rFonts w:cs="Times New Roman"/>
          <w:lang w:val="fr-CA"/>
        </w:rPr>
        <w:t>Compte tenu de ma conclusion relative à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8 de la </w:t>
      </w:r>
      <w:r w:rsidRPr="00990245">
        <w:rPr>
          <w:rFonts w:cs="Times New Roman"/>
          <w:i/>
          <w:lang w:val="fr-CA"/>
        </w:rPr>
        <w:t>Charte</w:t>
      </w:r>
      <w:r w:rsidRPr="00990245">
        <w:rPr>
          <w:rFonts w:cs="Times New Roman"/>
          <w:lang w:val="fr-CA"/>
        </w:rPr>
        <w:t>, le régime doit être considérablement remanié pour respecter les exigences du droit à la protection contre les fouilles, les perquisitions et les saisies abusives. Puisqu</w:t>
      </w:r>
      <w:r>
        <w:rPr>
          <w:rFonts w:cs="Times New Roman"/>
          <w:lang w:val="fr-CA"/>
        </w:rPr>
        <w:t>’</w:t>
      </w:r>
      <w:r w:rsidRPr="00990245">
        <w:rPr>
          <w:rFonts w:cs="Times New Roman"/>
          <w:lang w:val="fr-CA"/>
        </w:rPr>
        <w:t>il existe plusieurs façons de rendre le régime conforme à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8, je ne veux pas me hasarder à conjecturer la manière dont un régime modifié pourrait répondre convenablement aux exigences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7. Par contre, il me semble que si, par exemple, le régime prévoyait les protections constitutionnelles dont a besoin le secret professionnel de l</w:t>
      </w:r>
      <w:r>
        <w:rPr>
          <w:rFonts w:cs="Times New Roman"/>
          <w:lang w:val="fr-CA"/>
        </w:rPr>
        <w:t>’</w:t>
      </w:r>
      <w:r w:rsidRPr="00990245">
        <w:rPr>
          <w:rFonts w:cs="Times New Roman"/>
          <w:lang w:val="fr-CA"/>
        </w:rPr>
        <w:t>avocat et une immunité utile contre l</w:t>
      </w:r>
      <w:r>
        <w:rPr>
          <w:rFonts w:cs="Times New Roman"/>
          <w:lang w:val="fr-CA"/>
        </w:rPr>
        <w:t>’</w:t>
      </w:r>
      <w:r w:rsidRPr="00990245">
        <w:rPr>
          <w:rFonts w:cs="Times New Roman"/>
          <w:lang w:val="fr-CA"/>
        </w:rPr>
        <w:t>utilisation dérivée des documents nécessaires à la poursuite des clients, il serait beaucoup plus difficile de voir comment le régime nuirait à l</w:t>
      </w:r>
      <w:r>
        <w:rPr>
          <w:rFonts w:cs="Times New Roman"/>
          <w:lang w:val="fr-CA"/>
        </w:rPr>
        <w:t>’</w:t>
      </w:r>
      <w:r w:rsidRPr="00990245">
        <w:rPr>
          <w:rFonts w:cs="Times New Roman"/>
          <w:lang w:val="fr-CA"/>
        </w:rPr>
        <w:t>accomplissement du devoir de l</w:t>
      </w:r>
      <w:r>
        <w:rPr>
          <w:rFonts w:cs="Times New Roman"/>
          <w:lang w:val="fr-CA"/>
        </w:rPr>
        <w:t>’</w:t>
      </w:r>
      <w:r w:rsidRPr="00990245">
        <w:rPr>
          <w:rFonts w:cs="Times New Roman"/>
          <w:lang w:val="fr-CA"/>
        </w:rPr>
        <w:t xml:space="preserve">avocat de se dévouer à la cause du client. </w:t>
      </w:r>
    </w:p>
    <w:p w:rsidR="00CA3D49" w:rsidRPr="00990245" w:rsidRDefault="00CA3D49" w:rsidP="00CA3D49">
      <w:pPr>
        <w:pStyle w:val="ParaNoNdepar-AltN"/>
        <w:rPr>
          <w:rFonts w:cs="Times New Roman"/>
          <w:lang w:val="fr-CA"/>
        </w:rPr>
      </w:pPr>
      <w:r w:rsidRPr="00990245">
        <w:rPr>
          <w:rFonts w:cs="Times New Roman"/>
          <w:lang w:val="fr-CA"/>
        </w:rPr>
        <w:t>Les dispositions du présent régime relatives à la cueillette de renseignements et à la conservation de documents servent à des fins importantes d</w:t>
      </w:r>
      <w:r>
        <w:rPr>
          <w:rFonts w:cs="Times New Roman"/>
          <w:lang w:val="fr-CA"/>
        </w:rPr>
        <w:t>’</w:t>
      </w:r>
      <w:r w:rsidRPr="00990245">
        <w:rPr>
          <w:rFonts w:cs="Times New Roman"/>
          <w:lang w:val="fr-CA"/>
        </w:rPr>
        <w:t>ordre public. En effet, elles tendent à faire en sorte que les avocats prennent d</w:t>
      </w:r>
      <w:r>
        <w:rPr>
          <w:rFonts w:cs="Times New Roman"/>
          <w:lang w:val="fr-CA"/>
        </w:rPr>
        <w:t>’</w:t>
      </w:r>
      <w:r w:rsidRPr="00990245">
        <w:rPr>
          <w:rFonts w:cs="Times New Roman"/>
          <w:lang w:val="fr-CA"/>
        </w:rPr>
        <w:t>importantes mesures pour éviter de faciliter le recyclage des produits de criminalité ou le financement des activités terroristes lorsqu</w:t>
      </w:r>
      <w:r>
        <w:rPr>
          <w:rFonts w:cs="Times New Roman"/>
          <w:lang w:val="fr-CA"/>
        </w:rPr>
        <w:t>’</w:t>
      </w:r>
      <w:r w:rsidRPr="00990245">
        <w:rPr>
          <w:rFonts w:cs="Times New Roman"/>
          <w:lang w:val="fr-CA"/>
        </w:rPr>
        <w:t>ils agissent en tant qu</w:t>
      </w:r>
      <w:r>
        <w:rPr>
          <w:rFonts w:cs="Times New Roman"/>
          <w:lang w:val="fr-CA"/>
        </w:rPr>
        <w:t>’</w:t>
      </w:r>
      <w:r w:rsidRPr="00990245">
        <w:rPr>
          <w:rFonts w:cs="Times New Roman"/>
          <w:lang w:val="fr-CA"/>
        </w:rPr>
        <w:t>intermédiaire financier. Le régime sert également à exiger des avocats qu</w:t>
      </w:r>
      <w:r>
        <w:rPr>
          <w:rFonts w:cs="Times New Roman"/>
          <w:lang w:val="fr-CA"/>
        </w:rPr>
        <w:t>’</w:t>
      </w:r>
      <w:r w:rsidRPr="00990245">
        <w:rPr>
          <w:rFonts w:cs="Times New Roman"/>
          <w:lang w:val="fr-CA"/>
        </w:rPr>
        <w:t>ils soient à même d</w:t>
      </w:r>
      <w:r>
        <w:rPr>
          <w:rFonts w:cs="Times New Roman"/>
          <w:lang w:val="fr-CA"/>
        </w:rPr>
        <w:t>’</w:t>
      </w:r>
      <w:r w:rsidRPr="00990245">
        <w:rPr>
          <w:rFonts w:cs="Times New Roman"/>
          <w:lang w:val="fr-CA"/>
        </w:rPr>
        <w:t>en faire la démonstration aux autorités compétentes. Afin de poursuivre ces objectifs, le législateur peut, dans les limites appropriées que j</w:t>
      </w:r>
      <w:r>
        <w:rPr>
          <w:rFonts w:cs="Times New Roman"/>
          <w:lang w:val="fr-CA"/>
        </w:rPr>
        <w:t>’</w:t>
      </w:r>
      <w:r w:rsidRPr="00990245">
        <w:rPr>
          <w:rFonts w:cs="Times New Roman"/>
          <w:lang w:val="fr-CA"/>
        </w:rPr>
        <w:t>ai exposées, imposer d</w:t>
      </w:r>
      <w:r>
        <w:rPr>
          <w:rFonts w:cs="Times New Roman"/>
          <w:lang w:val="fr-CA"/>
        </w:rPr>
        <w:t>’</w:t>
      </w:r>
      <w:r w:rsidRPr="00990245">
        <w:rPr>
          <w:rFonts w:cs="Times New Roman"/>
          <w:lang w:val="fr-CA"/>
        </w:rPr>
        <w:t xml:space="preserve">autres obligations que celles que la profession juridique juge essentielles à une représentation efficace et éthique. Les avocats sont tenus, et les clients ont droit, à une </w:t>
      </w:r>
      <w:r w:rsidRPr="00990245">
        <w:rPr>
          <w:rFonts w:cs="Times New Roman"/>
          <w:lang w:val="fr-CA"/>
        </w:rPr>
        <w:lastRenderedPageBreak/>
        <w:t>représentation dévouée ainsi qu</w:t>
      </w:r>
      <w:r>
        <w:rPr>
          <w:rFonts w:cs="Times New Roman"/>
          <w:lang w:val="fr-CA"/>
        </w:rPr>
        <w:t>’</w:t>
      </w:r>
      <w:r w:rsidRPr="00990245">
        <w:rPr>
          <w:rFonts w:cs="Times New Roman"/>
          <w:lang w:val="fr-CA"/>
        </w:rPr>
        <w:t>à la protection des communications confidentielles entre eux. Les clients n</w:t>
      </w:r>
      <w:r>
        <w:rPr>
          <w:rFonts w:cs="Times New Roman"/>
          <w:lang w:val="fr-CA"/>
        </w:rPr>
        <w:t>’</w:t>
      </w:r>
      <w:r w:rsidRPr="00990245">
        <w:rPr>
          <w:rFonts w:cs="Times New Roman"/>
          <w:lang w:val="fr-CA"/>
        </w:rPr>
        <w:t xml:space="preserve">ont cependant pas le droit de faire de leurs avocats des complices involontaires et encore moins de faire appel à eux pour réaliser leurs desseins illicites. </w:t>
      </w:r>
    </w:p>
    <w:p w:rsidR="00CA3D49" w:rsidRPr="00990245" w:rsidRDefault="00CA3D49" w:rsidP="00FC477C">
      <w:pPr>
        <w:pStyle w:val="Title4LevelTitre4Niveau"/>
        <w:tabs>
          <w:tab w:val="clear" w:pos="1296"/>
        </w:tabs>
        <w:ind w:left="900" w:hanging="450"/>
        <w:rPr>
          <w:rFonts w:cs="Times New Roman"/>
          <w:lang w:val="fr-CA"/>
        </w:rPr>
      </w:pPr>
      <w:r w:rsidRPr="00990245">
        <w:rPr>
          <w:rFonts w:cs="Times New Roman"/>
          <w:lang w:val="fr-CA"/>
        </w:rPr>
        <w:t>Justification</w:t>
      </w:r>
    </w:p>
    <w:p w:rsidR="00CA3D49" w:rsidRPr="00990245" w:rsidRDefault="00CA3D49" w:rsidP="00CA3D49">
      <w:pPr>
        <w:pStyle w:val="ParaNoNdepar-AltN"/>
        <w:rPr>
          <w:rFonts w:cs="Times New Roman"/>
          <w:lang w:val="fr-CA"/>
        </w:rPr>
      </w:pPr>
      <w:r w:rsidRPr="00990245">
        <w:rPr>
          <w:rFonts w:cs="Times New Roman"/>
          <w:lang w:val="fr-CA"/>
        </w:rPr>
        <w:t>Je souscris à la conclusion de la juge de première instance et de la Cour</w:t>
      </w:r>
      <w:r w:rsidR="00601B6E">
        <w:rPr>
          <w:rFonts w:cs="Times New Roman"/>
          <w:lang w:val="fr-CA"/>
        </w:rPr>
        <w:t xml:space="preserve"> </w:t>
      </w:r>
      <w:r w:rsidRPr="00990245">
        <w:rPr>
          <w:rFonts w:cs="Times New Roman"/>
          <w:lang w:val="fr-CA"/>
        </w:rPr>
        <w:t>d</w:t>
      </w:r>
      <w:r>
        <w:rPr>
          <w:rFonts w:cs="Times New Roman"/>
          <w:lang w:val="fr-CA"/>
        </w:rPr>
        <w:t>’</w:t>
      </w:r>
      <w:r w:rsidRPr="00990245">
        <w:rPr>
          <w:rFonts w:cs="Times New Roman"/>
          <w:lang w:val="fr-CA"/>
        </w:rPr>
        <w:t>appel (unanime sur ce point) selon laquelle le régime ne satisfait pas au critère de proportionnalité de l</w:t>
      </w:r>
      <w:r>
        <w:rPr>
          <w:rFonts w:cs="Times New Roman"/>
          <w:lang w:val="fr-CA"/>
        </w:rPr>
        <w:t>’</w:t>
      </w:r>
      <w:r w:rsidRPr="00990245">
        <w:rPr>
          <w:rFonts w:cs="Times New Roman"/>
          <w:lang w:val="fr-CA"/>
        </w:rPr>
        <w:t>examen fondé sur l</w:t>
      </w:r>
      <w:r>
        <w:rPr>
          <w:rFonts w:cs="Times New Roman"/>
          <w:lang w:val="fr-CA"/>
        </w:rPr>
        <w:t>’</w:t>
      </w:r>
      <w:r w:rsidRPr="00990245">
        <w:rPr>
          <w:rFonts w:cs="Times New Roman"/>
          <w:lang w:val="fr-CA"/>
        </w:rPr>
        <w:t>article premier et ne constitue donc pas une limite dont la justification peut se démontrer dans le cadre d</w:t>
      </w:r>
      <w:r>
        <w:rPr>
          <w:rFonts w:cs="Times New Roman"/>
          <w:lang w:val="fr-CA"/>
        </w:rPr>
        <w:t>’</w:t>
      </w:r>
      <w:r w:rsidRPr="00990245">
        <w:rPr>
          <w:rFonts w:cs="Times New Roman"/>
          <w:lang w:val="fr-CA"/>
        </w:rPr>
        <w:t>une société libre et démocratique. Ma conclusion repose sur mon avis que c</w:t>
      </w:r>
      <w:r>
        <w:rPr>
          <w:rFonts w:cs="Times New Roman"/>
          <w:lang w:val="fr-CA"/>
        </w:rPr>
        <w:t>’</w:t>
      </w:r>
      <w:r w:rsidRPr="00990245">
        <w:rPr>
          <w:rFonts w:cs="Times New Roman"/>
          <w:lang w:val="fr-CA"/>
        </w:rPr>
        <w:t>est la combinaison de la protection insuffisante du secret professionnel de l</w:t>
      </w:r>
      <w:r>
        <w:rPr>
          <w:rFonts w:cs="Times New Roman"/>
          <w:lang w:val="fr-CA"/>
        </w:rPr>
        <w:t>’</w:t>
      </w:r>
      <w:r w:rsidRPr="00990245">
        <w:rPr>
          <w:rFonts w:cs="Times New Roman"/>
          <w:lang w:val="fr-CA"/>
        </w:rPr>
        <w:t>avocat et des aspects du régime relatifs à la cueillette et à la conservation de renseignements qui se traduit par la violation de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7. </w:t>
      </w:r>
    </w:p>
    <w:p w:rsidR="00CA3D49" w:rsidRPr="00990245" w:rsidRDefault="00CA3D49" w:rsidP="00FC477C">
      <w:pPr>
        <w:pStyle w:val="ContinueParaSuitedupar-AltP"/>
        <w:ind w:left="900" w:hanging="450"/>
        <w:rPr>
          <w:rFonts w:cs="Times New Roman"/>
        </w:rPr>
      </w:pPr>
      <w:r w:rsidRPr="00990245">
        <w:rPr>
          <w:rFonts w:cs="Times New Roman"/>
        </w:rPr>
        <w:t>(4)</w:t>
      </w:r>
      <w:r w:rsidRPr="00990245">
        <w:rPr>
          <w:rFonts w:cs="Times New Roman"/>
        </w:rPr>
        <w:tab/>
      </w:r>
      <w:r w:rsidRPr="00990245">
        <w:rPr>
          <w:rFonts w:cs="Times New Roman"/>
          <w:u w:val="single"/>
        </w:rPr>
        <w:t>Conclusion</w:t>
      </w:r>
    </w:p>
    <w:p w:rsidR="00CA3D49" w:rsidRPr="00990245" w:rsidRDefault="00CA3D49" w:rsidP="00CA3D49">
      <w:pPr>
        <w:pStyle w:val="ParaNoNdepar-AltN"/>
        <w:rPr>
          <w:rFonts w:cs="Times New Roman"/>
          <w:lang w:val="fr-CA"/>
        </w:rPr>
      </w:pPr>
      <w:r w:rsidRPr="00990245">
        <w:rPr>
          <w:rFonts w:cs="Times New Roman"/>
          <w:lang w:val="fr-CA"/>
        </w:rPr>
        <w:t>Je suis d</w:t>
      </w:r>
      <w:r>
        <w:rPr>
          <w:rFonts w:cs="Times New Roman"/>
          <w:lang w:val="fr-CA"/>
        </w:rPr>
        <w:t>’</w:t>
      </w:r>
      <w:r w:rsidRPr="00990245">
        <w:rPr>
          <w:rFonts w:cs="Times New Roman"/>
          <w:lang w:val="fr-CA"/>
        </w:rPr>
        <w:t xml:space="preserve">accord avec la décision de la juge de première instance que </w:t>
      </w:r>
      <w:proofErr w:type="gramStart"/>
      <w:r w:rsidRPr="00990245">
        <w:rPr>
          <w:rFonts w:cs="Times New Roman"/>
          <w:lang w:val="fr-CA"/>
        </w:rPr>
        <w:t>les art</w:t>
      </w:r>
      <w:proofErr w:type="gramEnd"/>
      <w:r w:rsidRPr="00990245">
        <w:rPr>
          <w:rFonts w:cs="Times New Roman"/>
          <w:lang w:val="fr-CA"/>
        </w:rPr>
        <w:t>.</w:t>
      </w:r>
      <w:r w:rsidR="00601B6E">
        <w:rPr>
          <w:rFonts w:cs="Times New Roman"/>
          <w:lang w:val="fr-CA"/>
        </w:rPr>
        <w:t xml:space="preserve"> </w:t>
      </w:r>
      <w:r w:rsidRPr="00990245">
        <w:rPr>
          <w:rFonts w:cs="Times New Roman"/>
          <w:lang w:val="fr-CA"/>
        </w:rPr>
        <w:t xml:space="preserve">33.3, 33.4, 33.5 et 59.4 du </w:t>
      </w:r>
      <w:r w:rsidRPr="003E04C3">
        <w:rPr>
          <w:rFonts w:cs="Times New Roman"/>
          <w:lang w:val="fr-CA"/>
        </w:rPr>
        <w:t>Règlement</w:t>
      </w:r>
      <w:r w:rsidRPr="00990245">
        <w:rPr>
          <w:rFonts w:cs="Times New Roman"/>
          <w:lang w:val="fr-CA"/>
        </w:rPr>
        <w:t xml:space="preserve"> sont inopérants et que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11.1 du </w:t>
      </w:r>
      <w:r w:rsidRPr="003E04C3">
        <w:rPr>
          <w:rFonts w:cs="Times New Roman"/>
          <w:lang w:val="fr-CA"/>
        </w:rPr>
        <w:t>Règlement</w:t>
      </w:r>
      <w:r w:rsidRPr="00990245">
        <w:rPr>
          <w:rFonts w:cs="Times New Roman"/>
          <w:lang w:val="fr-CA"/>
        </w:rPr>
        <w:t xml:space="preserve"> doit recevoir une interprétation atténuée pour qu</w:t>
      </w:r>
      <w:r>
        <w:rPr>
          <w:rFonts w:cs="Times New Roman"/>
          <w:lang w:val="fr-CA"/>
        </w:rPr>
        <w:t>’</w:t>
      </w:r>
      <w:r w:rsidRPr="00990245">
        <w:rPr>
          <w:rFonts w:cs="Times New Roman"/>
          <w:lang w:val="fr-CA"/>
        </w:rPr>
        <w:t>il ne s</w:t>
      </w:r>
      <w:r>
        <w:rPr>
          <w:rFonts w:cs="Times New Roman"/>
          <w:lang w:val="fr-CA"/>
        </w:rPr>
        <w:t>’</w:t>
      </w:r>
      <w:r w:rsidRPr="00990245">
        <w:rPr>
          <w:rFonts w:cs="Times New Roman"/>
          <w:lang w:val="fr-CA"/>
        </w:rPr>
        <w:t>applique pas aux documents en la possession d</w:t>
      </w:r>
      <w:r>
        <w:rPr>
          <w:rFonts w:cs="Times New Roman"/>
          <w:lang w:val="fr-CA"/>
        </w:rPr>
        <w:t>’</w:t>
      </w:r>
      <w:r w:rsidRPr="00990245">
        <w:rPr>
          <w:rFonts w:cs="Times New Roman"/>
          <w:lang w:val="fr-CA"/>
        </w:rPr>
        <w:t>un conseiller juridique ou se trouvant dans un cabinet d</w:t>
      </w:r>
      <w:r>
        <w:rPr>
          <w:rFonts w:cs="Times New Roman"/>
          <w:lang w:val="fr-CA"/>
        </w:rPr>
        <w:t>’</w:t>
      </w:r>
      <w:r w:rsidRPr="00990245">
        <w:rPr>
          <w:rFonts w:cs="Times New Roman"/>
          <w:lang w:val="fr-CA"/>
        </w:rPr>
        <w:t>avocats.</w:t>
      </w:r>
    </w:p>
    <w:p w:rsidR="00CA3D49" w:rsidRPr="00990245" w:rsidRDefault="00CA3D49" w:rsidP="00CA3D49">
      <w:pPr>
        <w:pStyle w:val="Title1LevelTitre1Niveau-AltL"/>
        <w:ind w:left="576" w:hanging="576"/>
        <w:rPr>
          <w:rFonts w:cs="Times New Roman"/>
          <w:lang w:val="fr-CA"/>
        </w:rPr>
      </w:pPr>
      <w:r w:rsidRPr="00990245">
        <w:rPr>
          <w:rFonts w:cs="Times New Roman"/>
          <w:lang w:val="fr-CA"/>
        </w:rPr>
        <w:lastRenderedPageBreak/>
        <w:t>Dispositif</w:t>
      </w:r>
    </w:p>
    <w:p w:rsidR="00CA3D49" w:rsidRPr="00990245" w:rsidRDefault="00CA3D49" w:rsidP="00CA3D49">
      <w:pPr>
        <w:pStyle w:val="ParaNoNdepar-AltN"/>
        <w:rPr>
          <w:rFonts w:cs="Times New Roman"/>
          <w:lang w:val="fr-CA"/>
        </w:rPr>
      </w:pPr>
      <w:r w:rsidRPr="00990245">
        <w:rPr>
          <w:rFonts w:cs="Times New Roman"/>
          <w:lang w:val="fr-CA"/>
        </w:rPr>
        <w:t>Pour résumer, j</w:t>
      </w:r>
      <w:r>
        <w:rPr>
          <w:rFonts w:cs="Times New Roman"/>
          <w:lang w:val="fr-CA"/>
        </w:rPr>
        <w:t>’</w:t>
      </w:r>
      <w:r w:rsidRPr="00990245">
        <w:rPr>
          <w:rFonts w:cs="Times New Roman"/>
          <w:lang w:val="fr-CA"/>
        </w:rPr>
        <w:t xml:space="preserve">estime que les dispositions de la </w:t>
      </w:r>
      <w:r w:rsidRPr="003E04C3">
        <w:rPr>
          <w:rFonts w:cs="Times New Roman"/>
          <w:iCs/>
          <w:lang w:val="fr-CA"/>
        </w:rPr>
        <w:t>Loi</w:t>
      </w:r>
      <w:r w:rsidRPr="00990245">
        <w:rPr>
          <w:rFonts w:cs="Times New Roman"/>
          <w:lang w:val="fr-CA"/>
        </w:rPr>
        <w:t xml:space="preserve"> en matière de fouille et de perquisition violent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8 de la </w:t>
      </w:r>
      <w:r w:rsidRPr="00990245">
        <w:rPr>
          <w:rFonts w:cs="Times New Roman"/>
          <w:i/>
          <w:iCs/>
          <w:lang w:val="fr-CA"/>
        </w:rPr>
        <w:t xml:space="preserve">Charte </w:t>
      </w:r>
      <w:r w:rsidRPr="00990245">
        <w:rPr>
          <w:rFonts w:cs="Times New Roman"/>
          <w:lang w:val="fr-CA"/>
        </w:rPr>
        <w:t>et que les dispositions relatives à la cueillette et à la conservation de renseignements, combinées à celles applicables aux fouilles et aux perquisitions, contreviennent à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7 de la </w:t>
      </w:r>
      <w:r w:rsidRPr="00990245">
        <w:rPr>
          <w:rFonts w:cs="Times New Roman"/>
          <w:i/>
          <w:iCs/>
          <w:lang w:val="fr-CA"/>
        </w:rPr>
        <w:t xml:space="preserve">Charte. </w:t>
      </w:r>
      <w:r w:rsidRPr="00990245">
        <w:rPr>
          <w:rFonts w:cs="Times New Roman"/>
          <w:lang w:val="fr-CA"/>
        </w:rPr>
        <w:t>Les alinéas</w:t>
      </w:r>
      <w:r w:rsidR="00601B6E">
        <w:rPr>
          <w:rFonts w:cs="Times New Roman"/>
          <w:lang w:val="fr-CA"/>
        </w:rPr>
        <w:t xml:space="preserve"> </w:t>
      </w:r>
      <w:r w:rsidRPr="00990245">
        <w:rPr>
          <w:rFonts w:cs="Times New Roman"/>
          <w:lang w:val="fr-CA"/>
        </w:rPr>
        <w:t>5</w:t>
      </w:r>
      <w:r w:rsidRPr="00990245">
        <w:rPr>
          <w:rFonts w:cs="Times New Roman"/>
          <w:i/>
          <w:iCs/>
          <w:lang w:val="fr-CA"/>
        </w:rPr>
        <w:t>i</w:t>
      </w:r>
      <w:r w:rsidRPr="00990245">
        <w:rPr>
          <w:rFonts w:cs="Times New Roman"/>
          <w:lang w:val="fr-CA"/>
        </w:rPr>
        <w:t>) et 5</w:t>
      </w:r>
      <w:r w:rsidRPr="00990245">
        <w:rPr>
          <w:rFonts w:cs="Times New Roman"/>
          <w:i/>
          <w:iCs/>
          <w:lang w:val="fr-CA"/>
        </w:rPr>
        <w:t>j</w:t>
      </w:r>
      <w:r w:rsidRPr="00990245">
        <w:rPr>
          <w:rFonts w:cs="Times New Roman"/>
          <w:lang w:val="fr-CA"/>
        </w:rPr>
        <w:t xml:space="preserve">) de la </w:t>
      </w:r>
      <w:r w:rsidRPr="003E04C3">
        <w:rPr>
          <w:rFonts w:cs="Times New Roman"/>
          <w:iCs/>
          <w:lang w:val="fr-CA"/>
        </w:rPr>
        <w:t>Loi</w:t>
      </w:r>
      <w:r w:rsidRPr="00990245">
        <w:rPr>
          <w:rFonts w:cs="Times New Roman"/>
          <w:i/>
          <w:iCs/>
          <w:lang w:val="fr-CA"/>
        </w:rPr>
        <w:t xml:space="preserve"> </w:t>
      </w:r>
      <w:r w:rsidRPr="00990245">
        <w:rPr>
          <w:rFonts w:cs="Times New Roman"/>
          <w:iCs/>
          <w:lang w:val="fr-CA"/>
        </w:rPr>
        <w:t xml:space="preserve">prévoient que la partie </w:t>
      </w:r>
      <w:r w:rsidR="003E04C3">
        <w:rPr>
          <w:rFonts w:cs="Times New Roman"/>
          <w:iCs/>
          <w:lang w:val="fr-CA"/>
        </w:rPr>
        <w:t>1</w:t>
      </w:r>
      <w:r w:rsidRPr="00990245">
        <w:rPr>
          <w:rFonts w:cs="Times New Roman"/>
          <w:iCs/>
          <w:lang w:val="fr-CA"/>
        </w:rPr>
        <w:t xml:space="preserve"> de la </w:t>
      </w:r>
      <w:r w:rsidRPr="003E04C3">
        <w:rPr>
          <w:rFonts w:cs="Times New Roman"/>
          <w:iCs/>
          <w:lang w:val="fr-CA"/>
        </w:rPr>
        <w:t>Loi</w:t>
      </w:r>
      <w:r w:rsidRPr="00990245">
        <w:rPr>
          <w:rFonts w:cs="Times New Roman"/>
          <w:iCs/>
          <w:lang w:val="fr-CA"/>
        </w:rPr>
        <w:t xml:space="preserve"> s</w:t>
      </w:r>
      <w:r>
        <w:rPr>
          <w:rFonts w:cs="Times New Roman"/>
          <w:iCs/>
          <w:lang w:val="fr-CA"/>
        </w:rPr>
        <w:t>’</w:t>
      </w:r>
      <w:r w:rsidRPr="00990245">
        <w:rPr>
          <w:rFonts w:cs="Times New Roman"/>
          <w:iCs/>
          <w:lang w:val="fr-CA"/>
        </w:rPr>
        <w:t xml:space="preserve">applique aux personnes et aux entités visées par le </w:t>
      </w:r>
      <w:r w:rsidRPr="003E04C3">
        <w:rPr>
          <w:rFonts w:cs="Times New Roman"/>
          <w:iCs/>
          <w:lang w:val="fr-CA"/>
        </w:rPr>
        <w:t>Règlement</w:t>
      </w:r>
      <w:r w:rsidRPr="00990245">
        <w:rPr>
          <w:rFonts w:cs="Times New Roman"/>
          <w:iCs/>
          <w:lang w:val="fr-CA"/>
        </w:rPr>
        <w:t xml:space="preserve"> </w:t>
      </w:r>
      <w:r w:rsidRPr="00990245">
        <w:rPr>
          <w:rFonts w:cs="Times New Roman"/>
          <w:lang w:val="fr-CA"/>
        </w:rPr>
        <w:t>et, à mon avis, ils ne violent pas à eux seuls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7 ou l</w:t>
      </w:r>
      <w:r>
        <w:rPr>
          <w:rFonts w:cs="Times New Roman"/>
          <w:lang w:val="fr-CA"/>
        </w:rPr>
        <w:t>’</w:t>
      </w:r>
      <w:r w:rsidRPr="00990245">
        <w:rPr>
          <w:rFonts w:cs="Times New Roman"/>
          <w:lang w:val="fr-CA"/>
        </w:rPr>
        <w:t>art.</w:t>
      </w:r>
      <w:r w:rsidR="00601B6E">
        <w:rPr>
          <w:rFonts w:cs="Times New Roman"/>
          <w:lang w:val="fr-CA"/>
        </w:rPr>
        <w:t xml:space="preserve"> </w:t>
      </w:r>
      <w:r w:rsidRPr="00990245">
        <w:rPr>
          <w:rFonts w:cs="Times New Roman"/>
          <w:lang w:val="fr-CA"/>
        </w:rPr>
        <w:t xml:space="preserve">8 de la </w:t>
      </w:r>
      <w:r w:rsidRPr="00990245">
        <w:rPr>
          <w:rFonts w:cs="Times New Roman"/>
          <w:i/>
          <w:iCs/>
          <w:lang w:val="fr-CA"/>
        </w:rPr>
        <w:t>Charte</w:t>
      </w:r>
      <w:r w:rsidRPr="00990245">
        <w:rPr>
          <w:rFonts w:cs="Times New Roman"/>
          <w:lang w:val="fr-CA"/>
        </w:rPr>
        <w:t>.</w:t>
      </w:r>
    </w:p>
    <w:p w:rsidR="00CA3D49" w:rsidRPr="00990245" w:rsidRDefault="00CA3D49" w:rsidP="00CA3D49">
      <w:pPr>
        <w:pStyle w:val="ParaNoNdepar-AltN"/>
        <w:rPr>
          <w:rFonts w:cs="Times New Roman"/>
          <w:lang w:val="fr-CA"/>
        </w:rPr>
      </w:pPr>
      <w:r w:rsidRPr="00990245">
        <w:rPr>
          <w:rFonts w:cs="Times New Roman"/>
          <w:lang w:val="fr-CA"/>
        </w:rPr>
        <w:t>Je suis d</w:t>
      </w:r>
      <w:r>
        <w:rPr>
          <w:rFonts w:cs="Times New Roman"/>
          <w:lang w:val="fr-CA"/>
        </w:rPr>
        <w:t>’</w:t>
      </w:r>
      <w:r w:rsidRPr="00990245">
        <w:rPr>
          <w:rFonts w:cs="Times New Roman"/>
          <w:lang w:val="fr-CA"/>
        </w:rPr>
        <w:t>avis d</w:t>
      </w:r>
      <w:r>
        <w:rPr>
          <w:rFonts w:cs="Times New Roman"/>
          <w:lang w:val="fr-CA"/>
        </w:rPr>
        <w:t>’</w:t>
      </w:r>
      <w:r w:rsidRPr="00990245">
        <w:rPr>
          <w:rFonts w:cs="Times New Roman"/>
          <w:lang w:val="fr-CA"/>
        </w:rPr>
        <w:t>accueillir le pourvoi en partie et d</w:t>
      </w:r>
      <w:r>
        <w:rPr>
          <w:rFonts w:cs="Times New Roman"/>
          <w:lang w:val="fr-CA"/>
        </w:rPr>
        <w:t>’</w:t>
      </w:r>
      <w:r w:rsidRPr="00990245">
        <w:rPr>
          <w:rFonts w:cs="Times New Roman"/>
          <w:lang w:val="fr-CA"/>
        </w:rPr>
        <w:t>accorder à la Fédération ses dépens relatifs au présent pourvoi et aux procédures devant les juridictions inférieures. J</w:t>
      </w:r>
      <w:r>
        <w:rPr>
          <w:rFonts w:cs="Times New Roman"/>
          <w:lang w:val="fr-CA"/>
        </w:rPr>
        <w:t>’</w:t>
      </w:r>
      <w:r w:rsidRPr="00990245">
        <w:rPr>
          <w:rFonts w:cs="Times New Roman"/>
          <w:lang w:val="fr-CA"/>
        </w:rPr>
        <w:t>annulerais la partie de l</w:t>
      </w:r>
      <w:r>
        <w:rPr>
          <w:rFonts w:cs="Times New Roman"/>
          <w:lang w:val="fr-CA"/>
        </w:rPr>
        <w:t>’</w:t>
      </w:r>
      <w:r w:rsidRPr="00990245">
        <w:rPr>
          <w:rFonts w:cs="Times New Roman"/>
          <w:lang w:val="fr-CA"/>
        </w:rPr>
        <w:t>ordonnance où la juge de première instance déclare les al.</w:t>
      </w:r>
      <w:r w:rsidR="00601B6E">
        <w:rPr>
          <w:rFonts w:cs="Times New Roman"/>
          <w:lang w:val="fr-CA"/>
        </w:rPr>
        <w:t xml:space="preserve"> </w:t>
      </w:r>
      <w:r w:rsidRPr="00990245">
        <w:rPr>
          <w:rFonts w:cs="Times New Roman"/>
          <w:lang w:val="fr-CA"/>
        </w:rPr>
        <w:t>5</w:t>
      </w:r>
      <w:r w:rsidRPr="00990245">
        <w:rPr>
          <w:rFonts w:cs="Times New Roman"/>
          <w:i/>
          <w:iCs/>
          <w:lang w:val="fr-CA"/>
        </w:rPr>
        <w:t>i</w:t>
      </w:r>
      <w:r w:rsidRPr="00990245">
        <w:rPr>
          <w:rFonts w:cs="Times New Roman"/>
          <w:lang w:val="fr-CA"/>
        </w:rPr>
        <w:t>) et 5</w:t>
      </w:r>
      <w:r w:rsidRPr="00990245">
        <w:rPr>
          <w:rFonts w:cs="Times New Roman"/>
          <w:i/>
          <w:iCs/>
          <w:lang w:val="fr-CA"/>
        </w:rPr>
        <w:t>j</w:t>
      </w:r>
      <w:r w:rsidRPr="00990245">
        <w:rPr>
          <w:rFonts w:cs="Times New Roman"/>
          <w:lang w:val="fr-CA"/>
        </w:rPr>
        <w:t xml:space="preserve">) de la </w:t>
      </w:r>
      <w:r w:rsidRPr="003E04C3">
        <w:rPr>
          <w:rFonts w:cs="Times New Roman"/>
          <w:iCs/>
          <w:lang w:val="fr-CA"/>
        </w:rPr>
        <w:t>Loi</w:t>
      </w:r>
      <w:r w:rsidRPr="00990245">
        <w:rPr>
          <w:rFonts w:cs="Times New Roman"/>
          <w:lang w:val="fr-CA"/>
        </w:rPr>
        <w:t xml:space="preserve"> incompatibles avec la Constitution du Canada et inopérants dans la mesure où les </w:t>
      </w:r>
      <w:r w:rsidR="00601B6E">
        <w:rPr>
          <w:rFonts w:cs="Times New Roman"/>
          <w:lang w:val="fr-CA"/>
        </w:rPr>
        <w:t>« </w:t>
      </w:r>
      <w:r w:rsidRPr="00990245">
        <w:rPr>
          <w:rFonts w:cs="Times New Roman"/>
          <w:lang w:val="fr-CA"/>
        </w:rPr>
        <w:t>personnes et les entités</w:t>
      </w:r>
      <w:r w:rsidR="00601B6E">
        <w:rPr>
          <w:rFonts w:cs="Times New Roman"/>
          <w:lang w:val="fr-CA"/>
        </w:rPr>
        <w:t> »</w:t>
      </w:r>
      <w:r w:rsidRPr="00990245">
        <w:rPr>
          <w:rFonts w:cs="Times New Roman"/>
          <w:lang w:val="fr-CA"/>
        </w:rPr>
        <w:t xml:space="preserve"> mentionnées à ces alinéas comprennent les conseillers juridiques et les cabinets d</w:t>
      </w:r>
      <w:r>
        <w:rPr>
          <w:rFonts w:cs="Times New Roman"/>
          <w:lang w:val="fr-CA"/>
        </w:rPr>
        <w:t>’</w:t>
      </w:r>
      <w:r w:rsidRPr="00990245">
        <w:rPr>
          <w:rFonts w:cs="Times New Roman"/>
          <w:lang w:val="fr-CA"/>
        </w:rPr>
        <w:t>avo</w:t>
      </w:r>
      <w:r>
        <w:rPr>
          <w:rFonts w:cs="Times New Roman"/>
          <w:lang w:val="fr-CA"/>
        </w:rPr>
        <w:t>cats. Je retirerais les al</w:t>
      </w:r>
      <w:r w:rsidR="003E04C3">
        <w:rPr>
          <w:rFonts w:cs="Times New Roman"/>
          <w:lang w:val="fr-CA"/>
        </w:rPr>
        <w:t>.</w:t>
      </w:r>
      <w:r w:rsidR="00601B6E">
        <w:rPr>
          <w:rFonts w:cs="Times New Roman"/>
          <w:lang w:val="fr-CA"/>
        </w:rPr>
        <w:t xml:space="preserve"> </w:t>
      </w:r>
      <w:r w:rsidRPr="00990245">
        <w:rPr>
          <w:rFonts w:cs="Times New Roman"/>
          <w:lang w:val="fr-CA"/>
        </w:rPr>
        <w:t>5</w:t>
      </w:r>
      <w:r w:rsidRPr="00990245">
        <w:rPr>
          <w:rFonts w:cs="Times New Roman"/>
          <w:i/>
          <w:iCs/>
          <w:lang w:val="fr-CA"/>
        </w:rPr>
        <w:t>i</w:t>
      </w:r>
      <w:r w:rsidRPr="00990245">
        <w:rPr>
          <w:rFonts w:cs="Times New Roman"/>
          <w:lang w:val="fr-CA"/>
        </w:rPr>
        <w:t>) et 5</w:t>
      </w:r>
      <w:r w:rsidRPr="00990245">
        <w:rPr>
          <w:rFonts w:cs="Times New Roman"/>
          <w:i/>
          <w:iCs/>
          <w:lang w:val="fr-CA"/>
        </w:rPr>
        <w:t>j</w:t>
      </w:r>
      <w:r w:rsidRPr="00990245">
        <w:rPr>
          <w:rFonts w:cs="Times New Roman"/>
          <w:lang w:val="fr-CA"/>
        </w:rPr>
        <w:t>) de la partie de l</w:t>
      </w:r>
      <w:r>
        <w:rPr>
          <w:rFonts w:cs="Times New Roman"/>
          <w:lang w:val="fr-CA"/>
        </w:rPr>
        <w:t>’</w:t>
      </w:r>
      <w:r w:rsidRPr="00990245">
        <w:rPr>
          <w:rFonts w:cs="Times New Roman"/>
          <w:lang w:val="fr-CA"/>
        </w:rPr>
        <w:t xml:space="preserve">ordonnance donnant à ces alinéas de même </w:t>
      </w:r>
      <w:proofErr w:type="gramStart"/>
      <w:r w:rsidRPr="00990245">
        <w:rPr>
          <w:rFonts w:cs="Times New Roman"/>
          <w:lang w:val="fr-CA"/>
        </w:rPr>
        <w:t>qu</w:t>
      </w:r>
      <w:r>
        <w:rPr>
          <w:rFonts w:cs="Times New Roman"/>
          <w:lang w:val="fr-CA"/>
        </w:rPr>
        <w:t>’</w:t>
      </w:r>
      <w:r w:rsidRPr="00990245">
        <w:rPr>
          <w:rFonts w:cs="Times New Roman"/>
          <w:lang w:val="fr-CA"/>
        </w:rPr>
        <w:t xml:space="preserve">aux </w:t>
      </w:r>
      <w:r>
        <w:rPr>
          <w:rFonts w:cs="Times New Roman"/>
          <w:lang w:val="fr-CA"/>
        </w:rPr>
        <w:t>art</w:t>
      </w:r>
      <w:proofErr w:type="gramEnd"/>
      <w:r>
        <w:rPr>
          <w:rFonts w:cs="Times New Roman"/>
          <w:lang w:val="fr-CA"/>
        </w:rPr>
        <w:t>.</w:t>
      </w:r>
      <w:r w:rsidR="00601B6E">
        <w:rPr>
          <w:rFonts w:cs="Times New Roman"/>
          <w:lang w:val="fr-CA"/>
        </w:rPr>
        <w:t xml:space="preserve"> </w:t>
      </w:r>
      <w:r w:rsidRPr="00990245">
        <w:rPr>
          <w:rFonts w:cs="Times New Roman"/>
          <w:lang w:val="fr-CA"/>
        </w:rPr>
        <w:t xml:space="preserve">62, 63 et 63.1 de la </w:t>
      </w:r>
      <w:r w:rsidRPr="003E04C3">
        <w:rPr>
          <w:rFonts w:cs="Times New Roman"/>
          <w:lang w:val="fr-CA"/>
        </w:rPr>
        <w:t>Loi</w:t>
      </w:r>
      <w:r w:rsidRPr="00990245">
        <w:rPr>
          <w:rFonts w:cs="Times New Roman"/>
          <w:lang w:val="fr-CA"/>
        </w:rPr>
        <w:t xml:space="preserve"> une interprétation atténuée pour soustraire à leur application les conseillers juridiques et les cabinets d</w:t>
      </w:r>
      <w:r>
        <w:rPr>
          <w:rFonts w:cs="Times New Roman"/>
          <w:lang w:val="fr-CA"/>
        </w:rPr>
        <w:t>’</w:t>
      </w:r>
      <w:r w:rsidRPr="00990245">
        <w:rPr>
          <w:rFonts w:cs="Times New Roman"/>
          <w:lang w:val="fr-CA"/>
        </w:rPr>
        <w:t>avocats. Pour le reste, je suis d</w:t>
      </w:r>
      <w:r>
        <w:rPr>
          <w:rFonts w:cs="Times New Roman"/>
          <w:lang w:val="fr-CA"/>
        </w:rPr>
        <w:t>’</w:t>
      </w:r>
      <w:r w:rsidRPr="00990245">
        <w:rPr>
          <w:rFonts w:cs="Times New Roman"/>
          <w:lang w:val="fr-CA"/>
        </w:rPr>
        <w:t>avis de rejeter le pourvoi et de répondre comme suit aux questions constitutionnelles</w:t>
      </w:r>
      <w:r w:rsidR="00601B6E">
        <w:rPr>
          <w:rFonts w:cs="Times New Roman"/>
          <w:lang w:val="fr-CA"/>
        </w:rPr>
        <w:t> :</w:t>
      </w:r>
    </w:p>
    <w:p w:rsidR="00CA3D49" w:rsidRPr="00990245" w:rsidRDefault="00CA3D49" w:rsidP="007C34A9">
      <w:pPr>
        <w:pStyle w:val="Citation-AltC"/>
        <w:spacing w:after="240"/>
        <w:ind w:left="1440" w:hanging="360"/>
        <w:contextualSpacing w:val="0"/>
        <w:rPr>
          <w:lang w:val="fr-CA"/>
        </w:rPr>
      </w:pPr>
      <w:r w:rsidRPr="00990245">
        <w:rPr>
          <w:lang w:val="fr-CA"/>
        </w:rPr>
        <w:t>1.</w:t>
      </w:r>
      <w:r w:rsidRPr="00990245">
        <w:rPr>
          <w:lang w:val="fr-CA"/>
        </w:rPr>
        <w:tab/>
        <w:t>Les alinéas</w:t>
      </w:r>
      <w:r w:rsidR="00601B6E">
        <w:rPr>
          <w:lang w:val="fr-CA"/>
        </w:rPr>
        <w:t xml:space="preserve"> </w:t>
      </w:r>
      <w:r w:rsidRPr="00990245">
        <w:rPr>
          <w:lang w:val="fr-CA"/>
        </w:rPr>
        <w:t>5</w:t>
      </w:r>
      <w:r w:rsidRPr="00990245">
        <w:rPr>
          <w:i/>
          <w:lang w:val="fr-CA"/>
        </w:rPr>
        <w:t>i</w:t>
      </w:r>
      <w:r w:rsidRPr="00990245">
        <w:rPr>
          <w:lang w:val="fr-CA"/>
        </w:rPr>
        <w:t>) et 5</w:t>
      </w:r>
      <w:r w:rsidRPr="00990245">
        <w:rPr>
          <w:i/>
          <w:lang w:val="fr-CA"/>
        </w:rPr>
        <w:t>j</w:t>
      </w:r>
      <w:r w:rsidRPr="00990245">
        <w:rPr>
          <w:lang w:val="fr-CA"/>
        </w:rPr>
        <w:t xml:space="preserve">) et </w:t>
      </w:r>
      <w:proofErr w:type="gramStart"/>
      <w:r w:rsidRPr="00990245">
        <w:rPr>
          <w:lang w:val="fr-CA"/>
        </w:rPr>
        <w:t>les art</w:t>
      </w:r>
      <w:proofErr w:type="gramEnd"/>
      <w:r w:rsidRPr="00990245">
        <w:rPr>
          <w:lang w:val="fr-CA"/>
        </w:rPr>
        <w:t>.</w:t>
      </w:r>
      <w:r w:rsidR="00601B6E">
        <w:rPr>
          <w:lang w:val="fr-CA"/>
        </w:rPr>
        <w:t xml:space="preserve"> </w:t>
      </w:r>
      <w:r w:rsidRPr="00990245">
        <w:rPr>
          <w:lang w:val="fr-CA"/>
        </w:rPr>
        <w:t xml:space="preserve">62, 63, 63.1 ou 64 de la </w:t>
      </w:r>
      <w:r w:rsidRPr="00990245">
        <w:rPr>
          <w:i/>
          <w:lang w:val="fr-CA"/>
        </w:rPr>
        <w:t>Loi sur le recyclage des produits de la criminalité et le financement des activités terroristes</w:t>
      </w:r>
      <w:r w:rsidRPr="00990245">
        <w:rPr>
          <w:lang w:val="fr-CA"/>
        </w:rPr>
        <w:t>, L.C. 2000, c.</w:t>
      </w:r>
      <w:r w:rsidR="00601B6E">
        <w:rPr>
          <w:lang w:val="fr-CA"/>
        </w:rPr>
        <w:t xml:space="preserve"> </w:t>
      </w:r>
      <w:r w:rsidRPr="00990245">
        <w:rPr>
          <w:lang w:val="fr-CA"/>
        </w:rPr>
        <w:t>17, violent</w:t>
      </w:r>
      <w:r w:rsidR="00601B6E">
        <w:rPr>
          <w:lang w:val="fr-CA"/>
        </w:rPr>
        <w:t>-</w:t>
      </w:r>
      <w:r w:rsidRPr="00990245">
        <w:rPr>
          <w:lang w:val="fr-CA"/>
        </w:rPr>
        <w:t>ils l</w:t>
      </w:r>
      <w:r>
        <w:rPr>
          <w:lang w:val="fr-CA"/>
        </w:rPr>
        <w:t>’</w:t>
      </w:r>
      <w:r w:rsidRPr="00990245">
        <w:rPr>
          <w:lang w:val="fr-CA"/>
        </w:rPr>
        <w:t>art.</w:t>
      </w:r>
      <w:r w:rsidR="00601B6E">
        <w:rPr>
          <w:lang w:val="fr-CA"/>
        </w:rPr>
        <w:t xml:space="preserve"> </w:t>
      </w:r>
      <w:r w:rsidRPr="00990245">
        <w:rPr>
          <w:lang w:val="fr-CA"/>
        </w:rPr>
        <w:t xml:space="preserve">7 de la </w:t>
      </w:r>
      <w:r w:rsidRPr="00990245">
        <w:rPr>
          <w:i/>
          <w:lang w:val="fr-CA"/>
        </w:rPr>
        <w:t>Charte canadienne</w:t>
      </w:r>
      <w:r w:rsidRPr="00990245">
        <w:rPr>
          <w:lang w:val="fr-CA"/>
        </w:rPr>
        <w:t xml:space="preserve"> </w:t>
      </w:r>
      <w:r w:rsidRPr="00990245">
        <w:rPr>
          <w:i/>
          <w:lang w:val="fr-CA"/>
        </w:rPr>
        <w:t>des droits et libertés</w:t>
      </w:r>
      <w:r w:rsidRPr="00990245">
        <w:rPr>
          <w:lang w:val="fr-CA"/>
        </w:rPr>
        <w:t xml:space="preserve">? </w:t>
      </w:r>
    </w:p>
    <w:p w:rsidR="007C34A9" w:rsidRDefault="007C34A9" w:rsidP="007C34A9">
      <w:pPr>
        <w:pStyle w:val="Citation-AltC"/>
        <w:tabs>
          <w:tab w:val="left" w:pos="1560"/>
        </w:tabs>
        <w:spacing w:after="120" w:line="480" w:lineRule="auto"/>
        <w:ind w:left="0"/>
        <w:contextualSpacing w:val="0"/>
        <w:rPr>
          <w:lang w:val="fr-CA" w:eastAsia="fr-CA"/>
        </w:rPr>
      </w:pPr>
    </w:p>
    <w:p w:rsidR="00CA3D49" w:rsidRDefault="00CA3D49" w:rsidP="007C34A9">
      <w:pPr>
        <w:pStyle w:val="Citation-AltC"/>
        <w:tabs>
          <w:tab w:val="left" w:pos="1560"/>
        </w:tabs>
        <w:spacing w:after="120" w:line="480" w:lineRule="auto"/>
        <w:ind w:left="0"/>
        <w:contextualSpacing w:val="0"/>
        <w:rPr>
          <w:lang w:val="fr-CA" w:eastAsia="fr-CA"/>
        </w:rPr>
      </w:pPr>
      <w:r w:rsidRPr="00990245">
        <w:rPr>
          <w:lang w:val="fr-CA" w:eastAsia="fr-CA"/>
        </w:rPr>
        <w:t>Réponse</w:t>
      </w:r>
      <w:r w:rsidR="00601B6E">
        <w:rPr>
          <w:lang w:val="fr-CA" w:eastAsia="fr-CA"/>
        </w:rPr>
        <w:t> :</w:t>
      </w:r>
      <w:r w:rsidRPr="00990245">
        <w:rPr>
          <w:lang w:val="fr-CA" w:eastAsia="fr-CA"/>
        </w:rPr>
        <w:t xml:space="preserve"> En ce qui concerne </w:t>
      </w:r>
      <w:proofErr w:type="gramStart"/>
      <w:r w:rsidRPr="00990245">
        <w:rPr>
          <w:lang w:val="fr-CA" w:eastAsia="fr-CA"/>
        </w:rPr>
        <w:t>les art</w:t>
      </w:r>
      <w:proofErr w:type="gramEnd"/>
      <w:r w:rsidRPr="00990245">
        <w:rPr>
          <w:lang w:val="fr-CA" w:eastAsia="fr-CA"/>
        </w:rPr>
        <w:t>.</w:t>
      </w:r>
      <w:r w:rsidR="00601B6E">
        <w:rPr>
          <w:lang w:val="fr-CA" w:eastAsia="fr-CA"/>
        </w:rPr>
        <w:t xml:space="preserve"> </w:t>
      </w:r>
      <w:r w:rsidRPr="00990245">
        <w:rPr>
          <w:lang w:val="fr-CA" w:eastAsia="fr-CA"/>
        </w:rPr>
        <w:t xml:space="preserve">62, 63, 63.1 et 64 de la </w:t>
      </w:r>
      <w:r w:rsidRPr="007C34A9">
        <w:rPr>
          <w:lang w:val="fr-CA" w:eastAsia="fr-CA"/>
        </w:rPr>
        <w:t>Loi</w:t>
      </w:r>
      <w:r w:rsidRPr="00990245">
        <w:rPr>
          <w:lang w:val="fr-CA" w:eastAsia="fr-CA"/>
        </w:rPr>
        <w:t>, il n</w:t>
      </w:r>
      <w:r>
        <w:rPr>
          <w:lang w:val="fr-CA" w:eastAsia="fr-CA"/>
        </w:rPr>
        <w:t>’</w:t>
      </w:r>
      <w:r w:rsidRPr="00990245">
        <w:rPr>
          <w:lang w:val="fr-CA" w:eastAsia="fr-CA"/>
        </w:rPr>
        <w:t>est pas nécessaire de répondre à cette question compte tenu de la réponse donnée à la question</w:t>
      </w:r>
      <w:r w:rsidR="00601B6E">
        <w:rPr>
          <w:lang w:val="fr-CA" w:eastAsia="fr-CA"/>
        </w:rPr>
        <w:t xml:space="preserve"> </w:t>
      </w:r>
      <w:r w:rsidRPr="00990245">
        <w:rPr>
          <w:lang w:val="fr-CA" w:eastAsia="fr-CA"/>
        </w:rPr>
        <w:t>5. En ce qui concerne les al.</w:t>
      </w:r>
      <w:r w:rsidR="00601B6E">
        <w:rPr>
          <w:lang w:val="fr-CA" w:eastAsia="fr-CA"/>
        </w:rPr>
        <w:t xml:space="preserve"> </w:t>
      </w:r>
      <w:r w:rsidRPr="00990245">
        <w:rPr>
          <w:lang w:val="fr-CA" w:eastAsia="fr-CA"/>
        </w:rPr>
        <w:t>5</w:t>
      </w:r>
      <w:r w:rsidRPr="00990245">
        <w:rPr>
          <w:i/>
          <w:iCs/>
          <w:lang w:val="fr-CA" w:eastAsia="fr-CA"/>
        </w:rPr>
        <w:t>i</w:t>
      </w:r>
      <w:r w:rsidRPr="00990245">
        <w:rPr>
          <w:lang w:val="fr-CA" w:eastAsia="fr-CA"/>
        </w:rPr>
        <w:t>) et 5</w:t>
      </w:r>
      <w:r w:rsidRPr="00990245">
        <w:rPr>
          <w:i/>
          <w:iCs/>
          <w:lang w:val="fr-CA" w:eastAsia="fr-CA"/>
        </w:rPr>
        <w:t>j</w:t>
      </w:r>
      <w:r w:rsidRPr="00990245">
        <w:rPr>
          <w:lang w:val="fr-CA" w:eastAsia="fr-CA"/>
        </w:rPr>
        <w:t>) de la</w:t>
      </w:r>
      <w:r w:rsidRPr="00990245">
        <w:rPr>
          <w:i/>
          <w:lang w:val="fr-CA" w:eastAsia="fr-CA"/>
        </w:rPr>
        <w:t xml:space="preserve"> </w:t>
      </w:r>
      <w:r w:rsidRPr="007C34A9">
        <w:rPr>
          <w:lang w:val="fr-CA" w:eastAsia="fr-CA"/>
        </w:rPr>
        <w:t>Loi</w:t>
      </w:r>
      <w:r w:rsidRPr="00990245">
        <w:rPr>
          <w:lang w:val="fr-CA" w:eastAsia="fr-CA"/>
        </w:rPr>
        <w:t>, la réponse est non.</w:t>
      </w:r>
    </w:p>
    <w:p w:rsidR="007C34A9" w:rsidRPr="00990245" w:rsidRDefault="007C34A9" w:rsidP="007C34A9">
      <w:pPr>
        <w:pStyle w:val="Citation-AltC"/>
        <w:tabs>
          <w:tab w:val="left" w:pos="1560"/>
        </w:tabs>
        <w:spacing w:after="120" w:line="480" w:lineRule="auto"/>
        <w:ind w:left="0"/>
        <w:contextualSpacing w:val="0"/>
        <w:rPr>
          <w:lang w:val="fr-CA" w:eastAsia="fr-CA"/>
        </w:rPr>
      </w:pPr>
    </w:p>
    <w:p w:rsidR="00CA3D49" w:rsidRPr="00990245" w:rsidRDefault="00CA3D49" w:rsidP="007C34A9">
      <w:pPr>
        <w:pStyle w:val="Citation-AltC"/>
        <w:spacing w:after="240"/>
        <w:ind w:left="1440" w:hanging="360"/>
        <w:contextualSpacing w:val="0"/>
        <w:rPr>
          <w:lang w:val="fr-CA" w:eastAsia="fr-CA"/>
        </w:rPr>
      </w:pPr>
      <w:r w:rsidRPr="00990245">
        <w:rPr>
          <w:lang w:val="fr-CA" w:eastAsia="fr-CA"/>
        </w:rPr>
        <w:t>2.</w:t>
      </w:r>
      <w:r w:rsidRPr="00990245">
        <w:rPr>
          <w:lang w:val="fr-CA" w:eastAsia="fr-CA"/>
        </w:rPr>
        <w:tab/>
        <w:t>Dans l</w:t>
      </w:r>
      <w:r>
        <w:rPr>
          <w:lang w:val="fr-CA" w:eastAsia="fr-CA"/>
        </w:rPr>
        <w:t>’</w:t>
      </w:r>
      <w:r w:rsidRPr="00990245">
        <w:rPr>
          <w:lang w:val="fr-CA" w:eastAsia="fr-CA"/>
        </w:rPr>
        <w:t>affirmative, s</w:t>
      </w:r>
      <w:r>
        <w:rPr>
          <w:lang w:val="fr-CA" w:eastAsia="fr-CA"/>
        </w:rPr>
        <w:t>’</w:t>
      </w:r>
      <w:r w:rsidRPr="00990245">
        <w:rPr>
          <w:lang w:val="fr-CA" w:eastAsia="fr-CA"/>
        </w:rPr>
        <w:t>agit</w:t>
      </w:r>
      <w:r w:rsidR="00601B6E">
        <w:rPr>
          <w:lang w:val="fr-CA" w:eastAsia="fr-CA"/>
        </w:rPr>
        <w:t>-</w:t>
      </w:r>
      <w:r w:rsidRPr="00990245">
        <w:rPr>
          <w:lang w:val="fr-CA" w:eastAsia="fr-CA"/>
        </w:rPr>
        <w:t>il d</w:t>
      </w:r>
      <w:r>
        <w:rPr>
          <w:lang w:val="fr-CA" w:eastAsia="fr-CA"/>
        </w:rPr>
        <w:t>’</w:t>
      </w:r>
      <w:r w:rsidRPr="00990245">
        <w:rPr>
          <w:lang w:val="fr-CA" w:eastAsia="fr-CA"/>
        </w:rPr>
        <w:t>une violation constituant une limite raisonnable, établie par une règle de droit et dont la justification peut se démontrer dans le cadre d</w:t>
      </w:r>
      <w:r>
        <w:rPr>
          <w:lang w:val="fr-CA" w:eastAsia="fr-CA"/>
        </w:rPr>
        <w:t>’</w:t>
      </w:r>
      <w:r w:rsidRPr="00990245">
        <w:rPr>
          <w:lang w:val="fr-CA" w:eastAsia="fr-CA"/>
        </w:rPr>
        <w:t>une société libre et démocratique conformément à l</w:t>
      </w:r>
      <w:r>
        <w:rPr>
          <w:lang w:val="fr-CA" w:eastAsia="fr-CA"/>
        </w:rPr>
        <w:t>’</w:t>
      </w:r>
      <w:r w:rsidRPr="00990245">
        <w:rPr>
          <w:lang w:val="fr-CA" w:eastAsia="fr-CA"/>
        </w:rPr>
        <w:t xml:space="preserve">article premier de la </w:t>
      </w:r>
      <w:r w:rsidRPr="00990245">
        <w:rPr>
          <w:i/>
          <w:iCs/>
          <w:lang w:val="fr-CA" w:eastAsia="fr-CA"/>
        </w:rPr>
        <w:t>Charte</w:t>
      </w:r>
      <w:r w:rsidR="00601B6E">
        <w:rPr>
          <w:i/>
          <w:iCs/>
          <w:lang w:val="fr-CA" w:eastAsia="fr-CA"/>
        </w:rPr>
        <w:t xml:space="preserve"> </w:t>
      </w:r>
      <w:r w:rsidRPr="00990245">
        <w:rPr>
          <w:i/>
          <w:iCs/>
          <w:lang w:val="fr-CA" w:eastAsia="fr-CA"/>
        </w:rPr>
        <w:t>canadienne des droits et libertés</w:t>
      </w:r>
      <w:r w:rsidRPr="00990245">
        <w:rPr>
          <w:lang w:val="fr-CA" w:eastAsia="fr-CA"/>
        </w:rPr>
        <w:t>?</w:t>
      </w:r>
    </w:p>
    <w:p w:rsidR="007C34A9" w:rsidRDefault="007C34A9" w:rsidP="007C34A9">
      <w:pPr>
        <w:pStyle w:val="Citation-AltC"/>
        <w:spacing w:after="120" w:line="480" w:lineRule="auto"/>
        <w:ind w:left="0"/>
        <w:contextualSpacing w:val="0"/>
        <w:rPr>
          <w:lang w:val="fr-CA" w:eastAsia="fr-CA"/>
        </w:rPr>
      </w:pPr>
    </w:p>
    <w:p w:rsidR="00CA3D49" w:rsidRDefault="00CA3D49" w:rsidP="007C34A9">
      <w:pPr>
        <w:pStyle w:val="Citation-AltC"/>
        <w:spacing w:after="120" w:line="480" w:lineRule="auto"/>
        <w:ind w:left="0"/>
        <w:contextualSpacing w:val="0"/>
        <w:rPr>
          <w:lang w:val="fr-CA" w:eastAsia="fr-CA"/>
        </w:rPr>
      </w:pPr>
      <w:r w:rsidRPr="00990245">
        <w:rPr>
          <w:lang w:val="fr-CA" w:eastAsia="fr-CA"/>
        </w:rPr>
        <w:t>Réponse</w:t>
      </w:r>
      <w:r w:rsidR="00601B6E">
        <w:rPr>
          <w:lang w:val="fr-CA" w:eastAsia="fr-CA"/>
        </w:rPr>
        <w:t> :</w:t>
      </w:r>
      <w:r w:rsidRPr="00990245">
        <w:rPr>
          <w:lang w:val="fr-CA" w:eastAsia="fr-CA"/>
        </w:rPr>
        <w:t xml:space="preserve"> Il n</w:t>
      </w:r>
      <w:r>
        <w:rPr>
          <w:lang w:val="fr-CA" w:eastAsia="fr-CA"/>
        </w:rPr>
        <w:t>’</w:t>
      </w:r>
      <w:r w:rsidRPr="00990245">
        <w:rPr>
          <w:lang w:val="fr-CA" w:eastAsia="fr-CA"/>
        </w:rPr>
        <w:t>est pas nécessaire de répondre à cette question.</w:t>
      </w:r>
    </w:p>
    <w:p w:rsidR="007C34A9" w:rsidRPr="00990245" w:rsidRDefault="007C34A9" w:rsidP="007C34A9">
      <w:pPr>
        <w:pStyle w:val="Citation-AltC"/>
        <w:spacing w:after="120" w:line="480" w:lineRule="auto"/>
        <w:ind w:left="0"/>
        <w:contextualSpacing w:val="0"/>
        <w:rPr>
          <w:lang w:val="fr-CA" w:eastAsia="fr-CA"/>
        </w:rPr>
      </w:pPr>
    </w:p>
    <w:p w:rsidR="00CA3D49" w:rsidRPr="00990245" w:rsidRDefault="00CA3D49" w:rsidP="007C34A9">
      <w:pPr>
        <w:pStyle w:val="Citation-AltC"/>
        <w:spacing w:after="240"/>
        <w:ind w:left="1440" w:hanging="360"/>
        <w:contextualSpacing w:val="0"/>
        <w:rPr>
          <w:lang w:val="fr-CA" w:eastAsia="fr-CA"/>
        </w:rPr>
      </w:pPr>
      <w:r w:rsidRPr="00990245">
        <w:rPr>
          <w:lang w:val="fr-CA" w:eastAsia="fr-CA"/>
        </w:rPr>
        <w:t>3.</w:t>
      </w:r>
      <w:r w:rsidRPr="00990245">
        <w:rPr>
          <w:lang w:val="fr-CA" w:eastAsia="fr-CA"/>
        </w:rPr>
        <w:tab/>
        <w:t>Les articles</w:t>
      </w:r>
      <w:r w:rsidR="00601B6E">
        <w:rPr>
          <w:lang w:val="fr-CA" w:eastAsia="fr-CA"/>
        </w:rPr>
        <w:t xml:space="preserve"> </w:t>
      </w:r>
      <w:r w:rsidRPr="00990245">
        <w:rPr>
          <w:lang w:val="fr-CA" w:eastAsia="fr-CA"/>
        </w:rPr>
        <w:t xml:space="preserve">11.1, 33.3, 33.4 ou 59.4 du </w:t>
      </w:r>
      <w:r w:rsidRPr="00990245">
        <w:rPr>
          <w:i/>
          <w:iCs/>
          <w:lang w:val="fr-CA" w:eastAsia="fr-CA"/>
        </w:rPr>
        <w:t>Règlement sur le recyclage des produits de la criminalité et le financement des activités terroristes</w:t>
      </w:r>
      <w:r w:rsidRPr="00990245">
        <w:rPr>
          <w:lang w:val="fr-CA" w:eastAsia="fr-CA"/>
        </w:rPr>
        <w:t>, DORS/2002</w:t>
      </w:r>
      <w:r w:rsidR="00601B6E">
        <w:rPr>
          <w:lang w:val="fr-CA" w:eastAsia="fr-CA"/>
        </w:rPr>
        <w:t>-</w:t>
      </w:r>
      <w:r w:rsidRPr="00990245">
        <w:rPr>
          <w:lang w:val="fr-CA" w:eastAsia="fr-CA"/>
        </w:rPr>
        <w:t>184, violent</w:t>
      </w:r>
      <w:r w:rsidR="00601B6E">
        <w:rPr>
          <w:lang w:val="fr-CA" w:eastAsia="fr-CA"/>
        </w:rPr>
        <w:t>-</w:t>
      </w:r>
      <w:r w:rsidRPr="00990245">
        <w:rPr>
          <w:lang w:val="fr-CA" w:eastAsia="fr-CA"/>
        </w:rPr>
        <w:t>ils l</w:t>
      </w:r>
      <w:r>
        <w:rPr>
          <w:lang w:val="fr-CA" w:eastAsia="fr-CA"/>
        </w:rPr>
        <w:t>’</w:t>
      </w:r>
      <w:r w:rsidRPr="00990245">
        <w:rPr>
          <w:lang w:val="fr-CA" w:eastAsia="fr-CA"/>
        </w:rPr>
        <w:t>art.</w:t>
      </w:r>
      <w:r w:rsidR="00601B6E">
        <w:rPr>
          <w:lang w:val="fr-CA" w:eastAsia="fr-CA"/>
        </w:rPr>
        <w:t xml:space="preserve"> </w:t>
      </w:r>
      <w:r w:rsidRPr="00990245">
        <w:rPr>
          <w:lang w:val="fr-CA" w:eastAsia="fr-CA"/>
        </w:rPr>
        <w:t xml:space="preserve">7 de la </w:t>
      </w:r>
      <w:r w:rsidRPr="00990245">
        <w:rPr>
          <w:i/>
          <w:iCs/>
          <w:lang w:val="fr-CA" w:eastAsia="fr-CA"/>
        </w:rPr>
        <w:t>Charte canadienne des droits et libertés</w:t>
      </w:r>
      <w:r w:rsidRPr="00990245">
        <w:rPr>
          <w:lang w:val="fr-CA" w:eastAsia="fr-CA"/>
        </w:rPr>
        <w:t xml:space="preserve">? </w:t>
      </w:r>
    </w:p>
    <w:p w:rsidR="007C34A9" w:rsidRDefault="007C34A9" w:rsidP="007C34A9">
      <w:pPr>
        <w:pStyle w:val="Citation-AltC"/>
        <w:spacing w:after="120" w:line="480" w:lineRule="auto"/>
        <w:ind w:left="0"/>
        <w:contextualSpacing w:val="0"/>
        <w:rPr>
          <w:lang w:val="fr-CA" w:eastAsia="fr-CA"/>
        </w:rPr>
      </w:pPr>
    </w:p>
    <w:p w:rsidR="00CA3D49" w:rsidRDefault="00CA3D49" w:rsidP="007C34A9">
      <w:pPr>
        <w:pStyle w:val="Citation-AltC"/>
        <w:spacing w:after="120" w:line="480" w:lineRule="auto"/>
        <w:ind w:left="0"/>
        <w:contextualSpacing w:val="0"/>
        <w:rPr>
          <w:lang w:val="fr-CA" w:eastAsia="fr-CA"/>
        </w:rPr>
      </w:pPr>
      <w:r w:rsidRPr="00990245">
        <w:rPr>
          <w:lang w:val="fr-CA" w:eastAsia="fr-CA"/>
        </w:rPr>
        <w:t>Réponse</w:t>
      </w:r>
      <w:r w:rsidR="00601B6E">
        <w:rPr>
          <w:lang w:val="fr-CA" w:eastAsia="fr-CA"/>
        </w:rPr>
        <w:t> :</w:t>
      </w:r>
      <w:r w:rsidRPr="00990245">
        <w:rPr>
          <w:lang w:val="fr-CA" w:eastAsia="fr-CA"/>
        </w:rPr>
        <w:t xml:space="preserve"> En ce qui concerne l</w:t>
      </w:r>
      <w:r>
        <w:rPr>
          <w:lang w:val="fr-CA" w:eastAsia="fr-CA"/>
        </w:rPr>
        <w:t>’</w:t>
      </w:r>
      <w:r w:rsidRPr="00990245">
        <w:rPr>
          <w:lang w:val="fr-CA" w:eastAsia="fr-CA"/>
        </w:rPr>
        <w:t>art.</w:t>
      </w:r>
      <w:r w:rsidR="00601B6E">
        <w:rPr>
          <w:lang w:val="fr-CA" w:eastAsia="fr-CA"/>
        </w:rPr>
        <w:t xml:space="preserve"> </w:t>
      </w:r>
      <w:r w:rsidRPr="00990245">
        <w:rPr>
          <w:lang w:val="fr-CA" w:eastAsia="fr-CA"/>
        </w:rPr>
        <w:t xml:space="preserve">11.1 </w:t>
      </w:r>
      <w:proofErr w:type="gramStart"/>
      <w:r w:rsidRPr="00990245">
        <w:rPr>
          <w:lang w:val="fr-CA" w:eastAsia="fr-CA"/>
        </w:rPr>
        <w:t>du</w:t>
      </w:r>
      <w:proofErr w:type="gramEnd"/>
      <w:r w:rsidRPr="00990245">
        <w:rPr>
          <w:lang w:val="fr-CA" w:eastAsia="fr-CA"/>
        </w:rPr>
        <w:t xml:space="preserve"> </w:t>
      </w:r>
      <w:r w:rsidRPr="007C34A9">
        <w:rPr>
          <w:iCs/>
          <w:lang w:val="fr-CA" w:eastAsia="fr-CA"/>
        </w:rPr>
        <w:t>Règlement</w:t>
      </w:r>
      <w:r w:rsidRPr="00990245">
        <w:rPr>
          <w:lang w:val="fr-CA" w:eastAsia="fr-CA"/>
        </w:rPr>
        <w:t>, dans la mesure où il s</w:t>
      </w:r>
      <w:r>
        <w:rPr>
          <w:lang w:val="fr-CA" w:eastAsia="fr-CA"/>
        </w:rPr>
        <w:t>’</w:t>
      </w:r>
      <w:r w:rsidRPr="00990245">
        <w:rPr>
          <w:lang w:val="fr-CA" w:eastAsia="fr-CA"/>
        </w:rPr>
        <w:t>applique aux conseillers juridiques et aux cabinets d</w:t>
      </w:r>
      <w:r>
        <w:rPr>
          <w:lang w:val="fr-CA" w:eastAsia="fr-CA"/>
        </w:rPr>
        <w:t>’</w:t>
      </w:r>
      <w:r w:rsidRPr="00990245">
        <w:rPr>
          <w:lang w:val="fr-CA" w:eastAsia="fr-CA"/>
        </w:rPr>
        <w:t xml:space="preserve">avocats, la réponse est oui. En ce qui concerne </w:t>
      </w:r>
      <w:proofErr w:type="gramStart"/>
      <w:r w:rsidRPr="00990245">
        <w:rPr>
          <w:lang w:val="fr-CA" w:eastAsia="fr-CA"/>
        </w:rPr>
        <w:t>les art</w:t>
      </w:r>
      <w:proofErr w:type="gramEnd"/>
      <w:r w:rsidRPr="00990245">
        <w:rPr>
          <w:lang w:val="fr-CA" w:eastAsia="fr-CA"/>
        </w:rPr>
        <w:t>.</w:t>
      </w:r>
      <w:r w:rsidR="00601B6E">
        <w:rPr>
          <w:lang w:val="fr-CA" w:eastAsia="fr-CA"/>
        </w:rPr>
        <w:t xml:space="preserve"> </w:t>
      </w:r>
      <w:r w:rsidRPr="00990245">
        <w:rPr>
          <w:lang w:val="fr-CA" w:eastAsia="fr-CA"/>
        </w:rPr>
        <w:t xml:space="preserve">33.3, 33.4 et 59.4 du </w:t>
      </w:r>
      <w:r w:rsidRPr="007C34A9">
        <w:rPr>
          <w:iCs/>
          <w:lang w:val="fr-CA" w:eastAsia="fr-CA"/>
        </w:rPr>
        <w:t>Règlement</w:t>
      </w:r>
      <w:r w:rsidRPr="00990245">
        <w:rPr>
          <w:lang w:val="fr-CA" w:eastAsia="fr-CA"/>
        </w:rPr>
        <w:t>, la réponse est oui.</w:t>
      </w:r>
    </w:p>
    <w:p w:rsidR="007C34A9" w:rsidRPr="00990245" w:rsidRDefault="007C34A9" w:rsidP="007C34A9">
      <w:pPr>
        <w:pStyle w:val="Citation-AltC"/>
        <w:spacing w:after="120" w:line="480" w:lineRule="auto"/>
        <w:ind w:left="0"/>
        <w:contextualSpacing w:val="0"/>
        <w:rPr>
          <w:lang w:val="fr-CA" w:eastAsia="fr-CA"/>
        </w:rPr>
      </w:pPr>
    </w:p>
    <w:p w:rsidR="00CA3D49" w:rsidRPr="00990245" w:rsidRDefault="00CA3D49" w:rsidP="007C34A9">
      <w:pPr>
        <w:pStyle w:val="Citation-AltC"/>
        <w:spacing w:after="240"/>
        <w:ind w:left="1440" w:hanging="360"/>
        <w:contextualSpacing w:val="0"/>
        <w:rPr>
          <w:lang w:val="fr-CA" w:eastAsia="fr-CA"/>
        </w:rPr>
      </w:pPr>
      <w:r w:rsidRPr="00990245">
        <w:rPr>
          <w:lang w:val="fr-CA" w:eastAsia="fr-CA"/>
        </w:rPr>
        <w:t>4.</w:t>
      </w:r>
      <w:r w:rsidRPr="00990245">
        <w:rPr>
          <w:lang w:val="fr-CA" w:eastAsia="fr-CA"/>
        </w:rPr>
        <w:tab/>
        <w:t>Dans l</w:t>
      </w:r>
      <w:r>
        <w:rPr>
          <w:lang w:val="fr-CA" w:eastAsia="fr-CA"/>
        </w:rPr>
        <w:t>’</w:t>
      </w:r>
      <w:r w:rsidRPr="00990245">
        <w:rPr>
          <w:lang w:val="fr-CA" w:eastAsia="fr-CA"/>
        </w:rPr>
        <w:t>affirmative, s</w:t>
      </w:r>
      <w:r>
        <w:rPr>
          <w:lang w:val="fr-CA" w:eastAsia="fr-CA"/>
        </w:rPr>
        <w:t>’</w:t>
      </w:r>
      <w:r w:rsidRPr="00990245">
        <w:rPr>
          <w:lang w:val="fr-CA" w:eastAsia="fr-CA"/>
        </w:rPr>
        <w:t>agit</w:t>
      </w:r>
      <w:r w:rsidR="00601B6E">
        <w:rPr>
          <w:lang w:val="fr-CA" w:eastAsia="fr-CA"/>
        </w:rPr>
        <w:t>-</w:t>
      </w:r>
      <w:r w:rsidRPr="00990245">
        <w:rPr>
          <w:lang w:val="fr-CA" w:eastAsia="fr-CA"/>
        </w:rPr>
        <w:t>il d</w:t>
      </w:r>
      <w:r>
        <w:rPr>
          <w:lang w:val="fr-CA" w:eastAsia="fr-CA"/>
        </w:rPr>
        <w:t>’</w:t>
      </w:r>
      <w:r w:rsidRPr="00990245">
        <w:rPr>
          <w:lang w:val="fr-CA" w:eastAsia="fr-CA"/>
        </w:rPr>
        <w:t>une violation constituant une limite raisonnable, établie par une règle de droit et dont la justification peut se démontrer dans le cadre d</w:t>
      </w:r>
      <w:r>
        <w:rPr>
          <w:lang w:val="fr-CA" w:eastAsia="fr-CA"/>
        </w:rPr>
        <w:t>’</w:t>
      </w:r>
      <w:r w:rsidRPr="00990245">
        <w:rPr>
          <w:lang w:val="fr-CA" w:eastAsia="fr-CA"/>
        </w:rPr>
        <w:t>une société libre et démocratique conformément à l</w:t>
      </w:r>
      <w:r>
        <w:rPr>
          <w:lang w:val="fr-CA" w:eastAsia="fr-CA"/>
        </w:rPr>
        <w:t>’</w:t>
      </w:r>
      <w:r w:rsidRPr="00990245">
        <w:rPr>
          <w:lang w:val="fr-CA" w:eastAsia="fr-CA"/>
        </w:rPr>
        <w:t xml:space="preserve">article premier de la </w:t>
      </w:r>
      <w:r w:rsidRPr="00990245">
        <w:rPr>
          <w:i/>
          <w:iCs/>
          <w:lang w:val="fr-CA" w:eastAsia="fr-CA"/>
        </w:rPr>
        <w:t>Charte</w:t>
      </w:r>
      <w:r w:rsidR="00601B6E">
        <w:rPr>
          <w:i/>
          <w:iCs/>
          <w:lang w:val="fr-CA" w:eastAsia="fr-CA"/>
        </w:rPr>
        <w:t xml:space="preserve"> </w:t>
      </w:r>
      <w:r w:rsidRPr="00990245">
        <w:rPr>
          <w:i/>
          <w:iCs/>
          <w:lang w:val="fr-CA" w:eastAsia="fr-CA"/>
        </w:rPr>
        <w:t>canadienne des droits et libertés</w:t>
      </w:r>
      <w:r w:rsidRPr="00990245">
        <w:rPr>
          <w:lang w:val="fr-CA" w:eastAsia="fr-CA"/>
        </w:rPr>
        <w:t>?</w:t>
      </w:r>
    </w:p>
    <w:p w:rsidR="007C34A9" w:rsidRDefault="007C34A9" w:rsidP="007C34A9">
      <w:pPr>
        <w:pStyle w:val="Citation-AltC"/>
        <w:spacing w:after="120" w:line="480" w:lineRule="auto"/>
        <w:ind w:left="0"/>
        <w:contextualSpacing w:val="0"/>
        <w:rPr>
          <w:lang w:val="fr-CA" w:eastAsia="fr-CA"/>
        </w:rPr>
      </w:pPr>
    </w:p>
    <w:p w:rsidR="00CA3D49" w:rsidRDefault="00CA3D49" w:rsidP="007C34A9">
      <w:pPr>
        <w:pStyle w:val="Citation-AltC"/>
        <w:spacing w:after="120" w:line="480" w:lineRule="auto"/>
        <w:ind w:left="0"/>
        <w:contextualSpacing w:val="0"/>
        <w:rPr>
          <w:lang w:val="fr-CA" w:eastAsia="fr-CA"/>
        </w:rPr>
      </w:pPr>
      <w:r w:rsidRPr="00990245">
        <w:rPr>
          <w:lang w:val="fr-CA" w:eastAsia="fr-CA"/>
        </w:rPr>
        <w:t>Réponse</w:t>
      </w:r>
      <w:r w:rsidR="00601B6E">
        <w:rPr>
          <w:lang w:val="fr-CA" w:eastAsia="fr-CA"/>
        </w:rPr>
        <w:t> :</w:t>
      </w:r>
      <w:r w:rsidRPr="00990245">
        <w:rPr>
          <w:lang w:val="fr-CA" w:eastAsia="fr-CA"/>
        </w:rPr>
        <w:t xml:space="preserve"> Non.</w:t>
      </w:r>
    </w:p>
    <w:p w:rsidR="007C34A9" w:rsidRPr="00990245" w:rsidRDefault="007C34A9" w:rsidP="007C34A9">
      <w:pPr>
        <w:pStyle w:val="Citation-AltC"/>
        <w:spacing w:after="120" w:line="480" w:lineRule="auto"/>
        <w:ind w:left="0"/>
        <w:contextualSpacing w:val="0"/>
        <w:rPr>
          <w:lang w:val="fr-CA" w:eastAsia="fr-CA"/>
        </w:rPr>
      </w:pPr>
    </w:p>
    <w:p w:rsidR="00CA3D49" w:rsidRPr="00990245" w:rsidRDefault="00CA3D49" w:rsidP="007C34A9">
      <w:pPr>
        <w:pStyle w:val="Citation-AltC"/>
        <w:spacing w:after="240"/>
        <w:ind w:left="1440" w:hanging="360"/>
        <w:contextualSpacing w:val="0"/>
        <w:rPr>
          <w:lang w:val="fr-CA" w:eastAsia="fr-CA"/>
        </w:rPr>
      </w:pPr>
      <w:r w:rsidRPr="00990245">
        <w:rPr>
          <w:lang w:val="fr-CA" w:eastAsia="fr-CA"/>
        </w:rPr>
        <w:t>5.</w:t>
      </w:r>
      <w:r w:rsidRPr="00990245">
        <w:rPr>
          <w:lang w:val="fr-CA" w:eastAsia="fr-CA"/>
        </w:rPr>
        <w:tab/>
        <w:t>Les alinéas</w:t>
      </w:r>
      <w:r w:rsidR="00601B6E">
        <w:rPr>
          <w:lang w:val="fr-CA" w:eastAsia="fr-CA"/>
        </w:rPr>
        <w:t xml:space="preserve"> </w:t>
      </w:r>
      <w:r w:rsidRPr="00990245">
        <w:rPr>
          <w:lang w:val="fr-CA" w:eastAsia="fr-CA"/>
        </w:rPr>
        <w:t>5</w:t>
      </w:r>
      <w:r w:rsidRPr="00990245">
        <w:rPr>
          <w:i/>
          <w:lang w:val="fr-CA" w:eastAsia="fr-CA"/>
        </w:rPr>
        <w:t>i</w:t>
      </w:r>
      <w:r w:rsidRPr="00990245">
        <w:rPr>
          <w:lang w:val="fr-CA" w:eastAsia="fr-CA"/>
        </w:rPr>
        <w:t>) et 5</w:t>
      </w:r>
      <w:r w:rsidRPr="00990245">
        <w:rPr>
          <w:i/>
          <w:lang w:val="fr-CA" w:eastAsia="fr-CA"/>
        </w:rPr>
        <w:t>j</w:t>
      </w:r>
      <w:r w:rsidRPr="00990245">
        <w:rPr>
          <w:lang w:val="fr-CA" w:eastAsia="fr-CA"/>
        </w:rPr>
        <w:t xml:space="preserve">) et </w:t>
      </w:r>
      <w:proofErr w:type="gramStart"/>
      <w:r w:rsidRPr="00990245">
        <w:rPr>
          <w:lang w:val="fr-CA" w:eastAsia="fr-CA"/>
        </w:rPr>
        <w:t>les art</w:t>
      </w:r>
      <w:proofErr w:type="gramEnd"/>
      <w:r w:rsidRPr="00990245">
        <w:rPr>
          <w:lang w:val="fr-CA" w:eastAsia="fr-CA"/>
        </w:rPr>
        <w:t>.</w:t>
      </w:r>
      <w:r w:rsidR="00601B6E">
        <w:rPr>
          <w:lang w:val="fr-CA" w:eastAsia="fr-CA"/>
        </w:rPr>
        <w:t xml:space="preserve"> </w:t>
      </w:r>
      <w:r w:rsidRPr="00990245">
        <w:rPr>
          <w:lang w:val="fr-CA" w:eastAsia="fr-CA"/>
        </w:rPr>
        <w:t xml:space="preserve">62, 63, 63.1 ou 64 de la </w:t>
      </w:r>
      <w:r w:rsidRPr="00990245">
        <w:rPr>
          <w:i/>
          <w:iCs/>
          <w:lang w:val="fr-CA" w:eastAsia="fr-CA"/>
        </w:rPr>
        <w:t>Loi sur le recyclage des produits de la criminalité et le financement des activités terroristes</w:t>
      </w:r>
      <w:r w:rsidRPr="00990245">
        <w:rPr>
          <w:lang w:val="fr-CA" w:eastAsia="fr-CA"/>
        </w:rPr>
        <w:t>, L.C. 2000, c.</w:t>
      </w:r>
      <w:r w:rsidR="00601B6E">
        <w:rPr>
          <w:lang w:val="fr-CA" w:eastAsia="fr-CA"/>
        </w:rPr>
        <w:t xml:space="preserve"> </w:t>
      </w:r>
      <w:r w:rsidRPr="00990245">
        <w:rPr>
          <w:lang w:val="fr-CA" w:eastAsia="fr-CA"/>
        </w:rPr>
        <w:t>17, violent</w:t>
      </w:r>
      <w:r w:rsidR="00601B6E">
        <w:rPr>
          <w:lang w:val="fr-CA" w:eastAsia="fr-CA"/>
        </w:rPr>
        <w:t>-</w:t>
      </w:r>
      <w:r w:rsidRPr="00990245">
        <w:rPr>
          <w:lang w:val="fr-CA" w:eastAsia="fr-CA"/>
        </w:rPr>
        <w:t>ils l</w:t>
      </w:r>
      <w:r>
        <w:rPr>
          <w:lang w:val="fr-CA" w:eastAsia="fr-CA"/>
        </w:rPr>
        <w:t>’</w:t>
      </w:r>
      <w:r w:rsidRPr="00990245">
        <w:rPr>
          <w:lang w:val="fr-CA" w:eastAsia="fr-CA"/>
        </w:rPr>
        <w:t>art.</w:t>
      </w:r>
      <w:r w:rsidR="00601B6E">
        <w:rPr>
          <w:lang w:val="fr-CA" w:eastAsia="fr-CA"/>
        </w:rPr>
        <w:t xml:space="preserve"> </w:t>
      </w:r>
      <w:r w:rsidRPr="00990245">
        <w:rPr>
          <w:lang w:val="fr-CA" w:eastAsia="fr-CA"/>
        </w:rPr>
        <w:t xml:space="preserve">8 de la </w:t>
      </w:r>
      <w:r w:rsidRPr="00990245">
        <w:rPr>
          <w:i/>
          <w:iCs/>
          <w:lang w:val="fr-CA" w:eastAsia="fr-CA"/>
        </w:rPr>
        <w:t>Charte canadienne des droits et libertés</w:t>
      </w:r>
      <w:r w:rsidRPr="00990245">
        <w:rPr>
          <w:lang w:val="fr-CA" w:eastAsia="fr-CA"/>
        </w:rPr>
        <w:t xml:space="preserve">? </w:t>
      </w:r>
    </w:p>
    <w:p w:rsidR="007C34A9" w:rsidRDefault="007C34A9" w:rsidP="007C34A9">
      <w:pPr>
        <w:pStyle w:val="Citation-AltC"/>
        <w:spacing w:after="120" w:line="480" w:lineRule="auto"/>
        <w:ind w:left="0"/>
        <w:contextualSpacing w:val="0"/>
        <w:rPr>
          <w:lang w:val="fr-CA" w:eastAsia="fr-CA"/>
        </w:rPr>
      </w:pPr>
    </w:p>
    <w:p w:rsidR="00CA3D49" w:rsidRDefault="00CA3D49" w:rsidP="007C34A9">
      <w:pPr>
        <w:pStyle w:val="Citation-AltC"/>
        <w:spacing w:after="120" w:line="480" w:lineRule="auto"/>
        <w:ind w:left="0"/>
        <w:contextualSpacing w:val="0"/>
        <w:rPr>
          <w:lang w:val="fr-CA" w:eastAsia="fr-CA"/>
        </w:rPr>
      </w:pPr>
      <w:r w:rsidRPr="00990245">
        <w:rPr>
          <w:lang w:val="fr-CA" w:eastAsia="fr-CA"/>
        </w:rPr>
        <w:t>Réponse</w:t>
      </w:r>
      <w:r w:rsidR="00601B6E">
        <w:rPr>
          <w:lang w:val="fr-CA" w:eastAsia="fr-CA"/>
        </w:rPr>
        <w:t> :</w:t>
      </w:r>
      <w:r w:rsidRPr="00990245">
        <w:rPr>
          <w:lang w:val="fr-CA" w:eastAsia="fr-CA"/>
        </w:rPr>
        <w:t xml:space="preserve"> Dans la mesure où </w:t>
      </w:r>
      <w:proofErr w:type="gramStart"/>
      <w:r w:rsidRPr="00990245">
        <w:rPr>
          <w:lang w:val="fr-CA" w:eastAsia="fr-CA"/>
        </w:rPr>
        <w:t>les art</w:t>
      </w:r>
      <w:proofErr w:type="gramEnd"/>
      <w:r w:rsidRPr="00990245">
        <w:rPr>
          <w:lang w:val="fr-CA" w:eastAsia="fr-CA"/>
        </w:rPr>
        <w:t>.</w:t>
      </w:r>
      <w:r w:rsidR="00601B6E">
        <w:rPr>
          <w:lang w:val="fr-CA" w:eastAsia="fr-CA"/>
        </w:rPr>
        <w:t xml:space="preserve"> </w:t>
      </w:r>
      <w:r w:rsidRPr="00990245">
        <w:rPr>
          <w:lang w:val="fr-CA" w:eastAsia="fr-CA"/>
        </w:rPr>
        <w:t xml:space="preserve">62, 63 et 63.1 de la </w:t>
      </w:r>
      <w:r w:rsidRPr="007C34A9">
        <w:rPr>
          <w:iCs/>
          <w:lang w:val="fr-CA" w:eastAsia="fr-CA"/>
        </w:rPr>
        <w:t>Loi</w:t>
      </w:r>
      <w:r w:rsidRPr="00990245">
        <w:rPr>
          <w:i/>
          <w:iCs/>
          <w:lang w:val="fr-CA" w:eastAsia="fr-CA"/>
        </w:rPr>
        <w:t xml:space="preserve"> </w:t>
      </w:r>
      <w:r w:rsidRPr="00990245">
        <w:rPr>
          <w:lang w:val="fr-CA" w:eastAsia="fr-CA"/>
        </w:rPr>
        <w:t>s</w:t>
      </w:r>
      <w:r>
        <w:rPr>
          <w:lang w:val="fr-CA" w:eastAsia="fr-CA"/>
        </w:rPr>
        <w:t>’</w:t>
      </w:r>
      <w:r w:rsidRPr="00990245">
        <w:rPr>
          <w:lang w:val="fr-CA" w:eastAsia="fr-CA"/>
        </w:rPr>
        <w:t>appliquent aux documents se trouvant en la possession d</w:t>
      </w:r>
      <w:r>
        <w:rPr>
          <w:lang w:val="fr-CA" w:eastAsia="fr-CA"/>
        </w:rPr>
        <w:t>’</w:t>
      </w:r>
      <w:r w:rsidRPr="00990245">
        <w:rPr>
          <w:lang w:val="fr-CA" w:eastAsia="fr-CA"/>
        </w:rPr>
        <w:t>un conseiller juridique ou d</w:t>
      </w:r>
      <w:r>
        <w:rPr>
          <w:lang w:val="fr-CA" w:eastAsia="fr-CA"/>
        </w:rPr>
        <w:t>’</w:t>
      </w:r>
      <w:r w:rsidRPr="00990245">
        <w:rPr>
          <w:lang w:val="fr-CA" w:eastAsia="fr-CA"/>
        </w:rPr>
        <w:t>un cabinet d</w:t>
      </w:r>
      <w:r>
        <w:rPr>
          <w:lang w:val="fr-CA" w:eastAsia="fr-CA"/>
        </w:rPr>
        <w:t>’</w:t>
      </w:r>
      <w:r w:rsidRPr="00990245">
        <w:rPr>
          <w:lang w:val="fr-CA" w:eastAsia="fr-CA"/>
        </w:rPr>
        <w:t>avocats, la réponse est oui. En ce qui concerne l</w:t>
      </w:r>
      <w:r>
        <w:rPr>
          <w:lang w:val="fr-CA" w:eastAsia="fr-CA"/>
        </w:rPr>
        <w:t>’</w:t>
      </w:r>
      <w:r w:rsidRPr="00990245">
        <w:rPr>
          <w:lang w:val="fr-CA" w:eastAsia="fr-CA"/>
        </w:rPr>
        <w:t>art.</w:t>
      </w:r>
      <w:r w:rsidR="00601B6E">
        <w:rPr>
          <w:lang w:val="fr-CA" w:eastAsia="fr-CA"/>
        </w:rPr>
        <w:t xml:space="preserve"> </w:t>
      </w:r>
      <w:r w:rsidRPr="00990245">
        <w:rPr>
          <w:lang w:val="fr-CA" w:eastAsia="fr-CA"/>
        </w:rPr>
        <w:t>64, la réponse est oui. En ce qui concerne les al</w:t>
      </w:r>
      <w:r w:rsidR="007C34A9">
        <w:rPr>
          <w:lang w:val="fr-CA" w:eastAsia="fr-CA"/>
        </w:rPr>
        <w:t>.</w:t>
      </w:r>
      <w:r w:rsidR="00601B6E">
        <w:rPr>
          <w:lang w:val="fr-CA" w:eastAsia="fr-CA"/>
        </w:rPr>
        <w:t xml:space="preserve"> </w:t>
      </w:r>
      <w:r w:rsidRPr="00990245">
        <w:rPr>
          <w:lang w:val="fr-CA" w:eastAsia="fr-CA"/>
        </w:rPr>
        <w:t>5</w:t>
      </w:r>
      <w:r w:rsidRPr="00990245">
        <w:rPr>
          <w:i/>
          <w:iCs/>
          <w:lang w:val="fr-CA" w:eastAsia="fr-CA"/>
        </w:rPr>
        <w:t>i</w:t>
      </w:r>
      <w:r w:rsidRPr="00990245">
        <w:rPr>
          <w:lang w:val="fr-CA" w:eastAsia="fr-CA"/>
        </w:rPr>
        <w:t>) et 5</w:t>
      </w:r>
      <w:r w:rsidRPr="00990245">
        <w:rPr>
          <w:i/>
          <w:iCs/>
          <w:lang w:val="fr-CA" w:eastAsia="fr-CA"/>
        </w:rPr>
        <w:t>j</w:t>
      </w:r>
      <w:r w:rsidRPr="00990245">
        <w:rPr>
          <w:lang w:val="fr-CA" w:eastAsia="fr-CA"/>
        </w:rPr>
        <w:t xml:space="preserve">), la réponse est non. </w:t>
      </w:r>
    </w:p>
    <w:p w:rsidR="007C34A9" w:rsidRPr="00990245" w:rsidRDefault="007C34A9" w:rsidP="007C34A9">
      <w:pPr>
        <w:pStyle w:val="Citation-AltC"/>
        <w:spacing w:after="120" w:line="480" w:lineRule="auto"/>
        <w:ind w:left="0"/>
        <w:contextualSpacing w:val="0"/>
        <w:rPr>
          <w:lang w:val="fr-CA" w:eastAsia="fr-CA"/>
        </w:rPr>
      </w:pPr>
    </w:p>
    <w:p w:rsidR="00CA3D49" w:rsidRPr="00990245" w:rsidRDefault="00CA3D49" w:rsidP="007C34A9">
      <w:pPr>
        <w:pStyle w:val="Citation-AltC"/>
        <w:spacing w:after="240"/>
        <w:ind w:left="1440" w:hanging="360"/>
        <w:contextualSpacing w:val="0"/>
        <w:rPr>
          <w:lang w:val="fr-CA" w:eastAsia="fr-CA"/>
        </w:rPr>
      </w:pPr>
      <w:r w:rsidRPr="00990245">
        <w:rPr>
          <w:lang w:val="fr-CA" w:eastAsia="fr-CA"/>
        </w:rPr>
        <w:t>6.</w:t>
      </w:r>
      <w:r w:rsidRPr="00990245">
        <w:rPr>
          <w:lang w:val="fr-CA" w:eastAsia="fr-CA"/>
        </w:rPr>
        <w:tab/>
        <w:t>Dans l</w:t>
      </w:r>
      <w:r>
        <w:rPr>
          <w:lang w:val="fr-CA" w:eastAsia="fr-CA"/>
        </w:rPr>
        <w:t>’</w:t>
      </w:r>
      <w:r w:rsidRPr="00990245">
        <w:rPr>
          <w:lang w:val="fr-CA" w:eastAsia="fr-CA"/>
        </w:rPr>
        <w:t>affirmative, s</w:t>
      </w:r>
      <w:r>
        <w:rPr>
          <w:lang w:val="fr-CA" w:eastAsia="fr-CA"/>
        </w:rPr>
        <w:t>’</w:t>
      </w:r>
      <w:r w:rsidRPr="00990245">
        <w:rPr>
          <w:lang w:val="fr-CA" w:eastAsia="fr-CA"/>
        </w:rPr>
        <w:t>agit</w:t>
      </w:r>
      <w:r w:rsidR="00601B6E">
        <w:rPr>
          <w:lang w:val="fr-CA" w:eastAsia="fr-CA"/>
        </w:rPr>
        <w:t>-</w:t>
      </w:r>
      <w:r w:rsidRPr="00990245">
        <w:rPr>
          <w:lang w:val="fr-CA" w:eastAsia="fr-CA"/>
        </w:rPr>
        <w:t>il d</w:t>
      </w:r>
      <w:r>
        <w:rPr>
          <w:lang w:val="fr-CA" w:eastAsia="fr-CA"/>
        </w:rPr>
        <w:t>’</w:t>
      </w:r>
      <w:r w:rsidRPr="00990245">
        <w:rPr>
          <w:lang w:val="fr-CA" w:eastAsia="fr-CA"/>
        </w:rPr>
        <w:t>une violation constituant une limite raisonnable, établie par une règle de droit et dont la justification peut se démontrer dans le cadre d</w:t>
      </w:r>
      <w:r>
        <w:rPr>
          <w:lang w:val="fr-CA" w:eastAsia="fr-CA"/>
        </w:rPr>
        <w:t>’</w:t>
      </w:r>
      <w:r w:rsidRPr="00990245">
        <w:rPr>
          <w:lang w:val="fr-CA" w:eastAsia="fr-CA"/>
        </w:rPr>
        <w:t>une société libre et démocratique conformément à l</w:t>
      </w:r>
      <w:r>
        <w:rPr>
          <w:lang w:val="fr-CA" w:eastAsia="fr-CA"/>
        </w:rPr>
        <w:t>’</w:t>
      </w:r>
      <w:r w:rsidRPr="00990245">
        <w:rPr>
          <w:lang w:val="fr-CA" w:eastAsia="fr-CA"/>
        </w:rPr>
        <w:t xml:space="preserve">article premier de la </w:t>
      </w:r>
      <w:r w:rsidRPr="00990245">
        <w:rPr>
          <w:i/>
          <w:iCs/>
          <w:lang w:val="fr-CA" w:eastAsia="fr-CA"/>
        </w:rPr>
        <w:t>Charte canadienne des droits et libertés</w:t>
      </w:r>
      <w:r w:rsidRPr="00990245">
        <w:rPr>
          <w:lang w:val="fr-CA" w:eastAsia="fr-CA"/>
        </w:rPr>
        <w:t>?</w:t>
      </w:r>
    </w:p>
    <w:p w:rsidR="007C34A9" w:rsidRDefault="007C34A9" w:rsidP="007C34A9">
      <w:pPr>
        <w:pStyle w:val="Citation-AltC"/>
        <w:spacing w:after="120" w:line="480" w:lineRule="auto"/>
        <w:ind w:left="0"/>
        <w:contextualSpacing w:val="0"/>
        <w:rPr>
          <w:lang w:val="fr-CA" w:eastAsia="fr-CA"/>
        </w:rPr>
      </w:pPr>
    </w:p>
    <w:p w:rsidR="00CA3D49" w:rsidRDefault="00CA3D49" w:rsidP="007C34A9">
      <w:pPr>
        <w:pStyle w:val="Citation-AltC"/>
        <w:spacing w:after="120" w:line="480" w:lineRule="auto"/>
        <w:ind w:left="0"/>
        <w:contextualSpacing w:val="0"/>
        <w:rPr>
          <w:lang w:val="fr-CA" w:eastAsia="fr-CA"/>
        </w:rPr>
      </w:pPr>
      <w:r w:rsidRPr="00990245">
        <w:rPr>
          <w:lang w:val="fr-CA" w:eastAsia="fr-CA"/>
        </w:rPr>
        <w:t>Réponse</w:t>
      </w:r>
      <w:r w:rsidR="00601B6E">
        <w:rPr>
          <w:lang w:val="fr-CA" w:eastAsia="fr-CA"/>
        </w:rPr>
        <w:t> :</w:t>
      </w:r>
      <w:r w:rsidRPr="00990245">
        <w:rPr>
          <w:lang w:val="fr-CA" w:eastAsia="fr-CA"/>
        </w:rPr>
        <w:t xml:space="preserve"> Non.</w:t>
      </w:r>
    </w:p>
    <w:p w:rsidR="007C34A9" w:rsidRPr="00990245" w:rsidRDefault="007C34A9" w:rsidP="007C34A9">
      <w:pPr>
        <w:pStyle w:val="Citation-AltC"/>
        <w:spacing w:after="120" w:line="480" w:lineRule="auto"/>
        <w:ind w:left="0"/>
        <w:contextualSpacing w:val="0"/>
        <w:rPr>
          <w:lang w:val="fr-CA" w:eastAsia="fr-CA"/>
        </w:rPr>
      </w:pPr>
    </w:p>
    <w:p w:rsidR="00CA3D49" w:rsidRPr="00990245" w:rsidRDefault="00CA3D49" w:rsidP="007C34A9">
      <w:pPr>
        <w:pStyle w:val="Citation-AltC"/>
        <w:spacing w:after="240"/>
        <w:ind w:left="1440" w:hanging="360"/>
        <w:contextualSpacing w:val="0"/>
        <w:rPr>
          <w:lang w:val="fr-CA" w:eastAsia="fr-CA"/>
        </w:rPr>
      </w:pPr>
      <w:r w:rsidRPr="00990245">
        <w:rPr>
          <w:lang w:val="fr-CA" w:eastAsia="fr-CA"/>
        </w:rPr>
        <w:t>7.</w:t>
      </w:r>
      <w:r w:rsidRPr="00990245">
        <w:rPr>
          <w:lang w:val="fr-CA" w:eastAsia="fr-CA"/>
        </w:rPr>
        <w:tab/>
        <w:t>Les articles</w:t>
      </w:r>
      <w:r w:rsidR="00601B6E">
        <w:rPr>
          <w:lang w:val="fr-CA" w:eastAsia="fr-CA"/>
        </w:rPr>
        <w:t xml:space="preserve"> </w:t>
      </w:r>
      <w:r w:rsidRPr="00990245">
        <w:rPr>
          <w:lang w:val="fr-CA" w:eastAsia="fr-CA"/>
        </w:rPr>
        <w:t xml:space="preserve">11.1, 33.3, 33.4 ou 59.4 du </w:t>
      </w:r>
      <w:r w:rsidRPr="00990245">
        <w:rPr>
          <w:i/>
          <w:iCs/>
          <w:lang w:val="fr-CA" w:eastAsia="fr-CA"/>
        </w:rPr>
        <w:t>Règlement sur le recyclage des produits de la criminalité et le financement des activités terroristes</w:t>
      </w:r>
      <w:r w:rsidRPr="00990245">
        <w:rPr>
          <w:lang w:val="fr-CA" w:eastAsia="fr-CA"/>
        </w:rPr>
        <w:t>, DORS/2002</w:t>
      </w:r>
      <w:r w:rsidR="00601B6E">
        <w:rPr>
          <w:lang w:val="fr-CA" w:eastAsia="fr-CA"/>
        </w:rPr>
        <w:t>-</w:t>
      </w:r>
      <w:r w:rsidRPr="00990245">
        <w:rPr>
          <w:lang w:val="fr-CA" w:eastAsia="fr-CA"/>
        </w:rPr>
        <w:t>184, violent</w:t>
      </w:r>
      <w:r w:rsidR="00601B6E">
        <w:rPr>
          <w:lang w:val="fr-CA" w:eastAsia="fr-CA"/>
        </w:rPr>
        <w:t>-</w:t>
      </w:r>
      <w:r w:rsidRPr="00990245">
        <w:rPr>
          <w:lang w:val="fr-CA" w:eastAsia="fr-CA"/>
        </w:rPr>
        <w:t>ils l</w:t>
      </w:r>
      <w:r>
        <w:rPr>
          <w:lang w:val="fr-CA" w:eastAsia="fr-CA"/>
        </w:rPr>
        <w:t>’</w:t>
      </w:r>
      <w:r w:rsidRPr="00990245">
        <w:rPr>
          <w:lang w:val="fr-CA" w:eastAsia="fr-CA"/>
        </w:rPr>
        <w:t>art.</w:t>
      </w:r>
      <w:r w:rsidR="00601B6E">
        <w:rPr>
          <w:lang w:val="fr-CA" w:eastAsia="fr-CA"/>
        </w:rPr>
        <w:t xml:space="preserve"> </w:t>
      </w:r>
      <w:r w:rsidRPr="00990245">
        <w:rPr>
          <w:lang w:val="fr-CA" w:eastAsia="fr-CA"/>
        </w:rPr>
        <w:t xml:space="preserve">8 de la </w:t>
      </w:r>
      <w:r w:rsidRPr="00990245">
        <w:rPr>
          <w:i/>
          <w:iCs/>
          <w:lang w:val="fr-CA" w:eastAsia="fr-CA"/>
        </w:rPr>
        <w:t>Charte canadienne des droits et libertés</w:t>
      </w:r>
      <w:r w:rsidRPr="00990245">
        <w:rPr>
          <w:lang w:val="fr-CA" w:eastAsia="fr-CA"/>
        </w:rPr>
        <w:t>?</w:t>
      </w:r>
    </w:p>
    <w:p w:rsidR="007C34A9" w:rsidRDefault="007C34A9" w:rsidP="007C34A9">
      <w:pPr>
        <w:pStyle w:val="Citation-AltC"/>
        <w:spacing w:after="120" w:line="480" w:lineRule="auto"/>
        <w:ind w:left="0"/>
        <w:contextualSpacing w:val="0"/>
        <w:rPr>
          <w:lang w:val="fr-CA" w:eastAsia="fr-CA"/>
        </w:rPr>
      </w:pPr>
    </w:p>
    <w:p w:rsidR="00CA3D49" w:rsidRDefault="00CA3D49" w:rsidP="007C34A9">
      <w:pPr>
        <w:pStyle w:val="Citation-AltC"/>
        <w:spacing w:after="120" w:line="480" w:lineRule="auto"/>
        <w:ind w:left="0"/>
        <w:contextualSpacing w:val="0"/>
        <w:rPr>
          <w:lang w:val="fr-CA" w:eastAsia="fr-CA"/>
        </w:rPr>
      </w:pPr>
      <w:r w:rsidRPr="00990245">
        <w:rPr>
          <w:lang w:val="fr-CA" w:eastAsia="fr-CA"/>
        </w:rPr>
        <w:t>Réponse</w:t>
      </w:r>
      <w:r w:rsidR="00601B6E">
        <w:rPr>
          <w:lang w:val="fr-CA" w:eastAsia="fr-CA"/>
        </w:rPr>
        <w:t> :</w:t>
      </w:r>
      <w:r w:rsidRPr="00990245">
        <w:rPr>
          <w:lang w:val="fr-CA" w:eastAsia="fr-CA"/>
        </w:rPr>
        <w:t xml:space="preserve"> Non.</w:t>
      </w:r>
    </w:p>
    <w:p w:rsidR="007C34A9" w:rsidRPr="00990245" w:rsidRDefault="007C34A9" w:rsidP="007C34A9">
      <w:pPr>
        <w:pStyle w:val="Citation-AltC"/>
        <w:spacing w:after="120" w:line="480" w:lineRule="auto"/>
        <w:ind w:left="0"/>
        <w:contextualSpacing w:val="0"/>
        <w:rPr>
          <w:lang w:val="fr-CA" w:eastAsia="fr-CA"/>
        </w:rPr>
      </w:pPr>
    </w:p>
    <w:p w:rsidR="00CA3D49" w:rsidRPr="00990245" w:rsidRDefault="00CA3D49" w:rsidP="007C34A9">
      <w:pPr>
        <w:pStyle w:val="Citation-AltC"/>
        <w:spacing w:after="240"/>
        <w:ind w:left="1440" w:hanging="360"/>
        <w:contextualSpacing w:val="0"/>
        <w:rPr>
          <w:lang w:val="fr-CA" w:eastAsia="fr-CA"/>
        </w:rPr>
      </w:pPr>
      <w:r w:rsidRPr="00990245">
        <w:rPr>
          <w:lang w:val="fr-CA" w:eastAsia="fr-CA"/>
        </w:rPr>
        <w:t>8.</w:t>
      </w:r>
      <w:r w:rsidRPr="00990245">
        <w:rPr>
          <w:lang w:val="fr-CA" w:eastAsia="fr-CA"/>
        </w:rPr>
        <w:tab/>
        <w:t>Dans l</w:t>
      </w:r>
      <w:r>
        <w:rPr>
          <w:lang w:val="fr-CA" w:eastAsia="fr-CA"/>
        </w:rPr>
        <w:t>’</w:t>
      </w:r>
      <w:r w:rsidRPr="00990245">
        <w:rPr>
          <w:lang w:val="fr-CA" w:eastAsia="fr-CA"/>
        </w:rPr>
        <w:t>affirmative, s</w:t>
      </w:r>
      <w:r>
        <w:rPr>
          <w:lang w:val="fr-CA" w:eastAsia="fr-CA"/>
        </w:rPr>
        <w:t>’</w:t>
      </w:r>
      <w:r w:rsidRPr="00990245">
        <w:rPr>
          <w:lang w:val="fr-CA" w:eastAsia="fr-CA"/>
        </w:rPr>
        <w:t>agit</w:t>
      </w:r>
      <w:r w:rsidR="00601B6E">
        <w:rPr>
          <w:lang w:val="fr-CA" w:eastAsia="fr-CA"/>
        </w:rPr>
        <w:t>-</w:t>
      </w:r>
      <w:r w:rsidRPr="00990245">
        <w:rPr>
          <w:lang w:val="fr-CA" w:eastAsia="fr-CA"/>
        </w:rPr>
        <w:t>il d</w:t>
      </w:r>
      <w:r>
        <w:rPr>
          <w:lang w:val="fr-CA" w:eastAsia="fr-CA"/>
        </w:rPr>
        <w:t>’</w:t>
      </w:r>
      <w:r w:rsidRPr="00990245">
        <w:rPr>
          <w:lang w:val="fr-CA" w:eastAsia="fr-CA"/>
        </w:rPr>
        <w:t>une violation constituant une limite raisonnable, établie par une règle de droit et dont la justification peut se démontrer dans le cadre d</w:t>
      </w:r>
      <w:r>
        <w:rPr>
          <w:lang w:val="fr-CA" w:eastAsia="fr-CA"/>
        </w:rPr>
        <w:t>’</w:t>
      </w:r>
      <w:r w:rsidRPr="00990245">
        <w:rPr>
          <w:lang w:val="fr-CA" w:eastAsia="fr-CA"/>
        </w:rPr>
        <w:t>une société libre et démocratique conformément à l</w:t>
      </w:r>
      <w:r>
        <w:rPr>
          <w:lang w:val="fr-CA" w:eastAsia="fr-CA"/>
        </w:rPr>
        <w:t>’</w:t>
      </w:r>
      <w:r w:rsidRPr="00990245">
        <w:rPr>
          <w:lang w:val="fr-CA" w:eastAsia="fr-CA"/>
        </w:rPr>
        <w:t xml:space="preserve">article premier de la </w:t>
      </w:r>
      <w:r w:rsidRPr="00990245">
        <w:rPr>
          <w:i/>
          <w:iCs/>
          <w:lang w:val="fr-CA" w:eastAsia="fr-CA"/>
        </w:rPr>
        <w:t>Charte canadienne des droits et libertés</w:t>
      </w:r>
      <w:r w:rsidRPr="00990245">
        <w:rPr>
          <w:lang w:val="fr-CA" w:eastAsia="fr-CA"/>
        </w:rPr>
        <w:t>?</w:t>
      </w:r>
    </w:p>
    <w:p w:rsidR="007C34A9" w:rsidRDefault="007C34A9" w:rsidP="007C34A9">
      <w:pPr>
        <w:pStyle w:val="Citation-AltC"/>
        <w:spacing w:after="120" w:line="480" w:lineRule="auto"/>
        <w:ind w:left="0"/>
        <w:contextualSpacing w:val="0"/>
        <w:rPr>
          <w:lang w:val="fr-CA" w:eastAsia="fr-CA"/>
        </w:rPr>
      </w:pPr>
    </w:p>
    <w:p w:rsidR="00CA3D49" w:rsidRDefault="00CA3D49" w:rsidP="007C34A9">
      <w:pPr>
        <w:pStyle w:val="Citation-AltC"/>
        <w:spacing w:after="120" w:line="480" w:lineRule="auto"/>
        <w:ind w:left="0"/>
        <w:contextualSpacing w:val="0"/>
        <w:rPr>
          <w:lang w:val="fr-CA" w:eastAsia="fr-CA"/>
        </w:rPr>
      </w:pPr>
      <w:r w:rsidRPr="00990245">
        <w:rPr>
          <w:lang w:val="fr-CA" w:eastAsia="fr-CA"/>
        </w:rPr>
        <w:t>Réponse</w:t>
      </w:r>
      <w:r w:rsidR="00601B6E">
        <w:rPr>
          <w:lang w:val="fr-CA" w:eastAsia="fr-CA"/>
        </w:rPr>
        <w:t> :</w:t>
      </w:r>
      <w:r w:rsidRPr="00990245">
        <w:rPr>
          <w:lang w:val="fr-CA" w:eastAsia="fr-CA"/>
        </w:rPr>
        <w:t xml:space="preserve"> Il n</w:t>
      </w:r>
      <w:r>
        <w:rPr>
          <w:lang w:val="fr-CA" w:eastAsia="fr-CA"/>
        </w:rPr>
        <w:t>’</w:t>
      </w:r>
      <w:r w:rsidRPr="00990245">
        <w:rPr>
          <w:lang w:val="fr-CA" w:eastAsia="fr-CA"/>
        </w:rPr>
        <w:t>est pas nécessaire de répondre à cette question.</w:t>
      </w:r>
    </w:p>
    <w:p w:rsidR="00CA3D49" w:rsidRDefault="00CA3D49" w:rsidP="00CA3D49">
      <w:pPr>
        <w:pStyle w:val="Citation-AltC"/>
        <w:tabs>
          <w:tab w:val="left" w:pos="1560"/>
        </w:tabs>
        <w:ind w:hanging="1166"/>
        <w:contextualSpacing w:val="0"/>
        <w:rPr>
          <w:lang w:val="fr-CA" w:eastAsia="fr-CA"/>
        </w:rPr>
      </w:pPr>
    </w:p>
    <w:p w:rsidR="007C34A9" w:rsidRDefault="007C34A9" w:rsidP="00CA3D49">
      <w:pPr>
        <w:pStyle w:val="Citation-AltC"/>
        <w:tabs>
          <w:tab w:val="left" w:pos="1560"/>
        </w:tabs>
        <w:ind w:hanging="1166"/>
        <w:contextualSpacing w:val="0"/>
        <w:rPr>
          <w:lang w:val="fr-CA" w:eastAsia="fr-CA"/>
        </w:rPr>
      </w:pPr>
      <w:r>
        <w:rPr>
          <w:lang w:val="fr-CA" w:eastAsia="fr-CA"/>
        </w:rPr>
        <w:tab/>
        <w:t>V</w:t>
      </w:r>
      <w:r w:rsidR="00947DA8">
        <w:rPr>
          <w:lang w:val="fr-CA" w:eastAsia="fr-CA"/>
        </w:rPr>
        <w:t>ersion française des motifs rendus par</w:t>
      </w:r>
    </w:p>
    <w:p w:rsidR="00CA3D49" w:rsidRPr="003132A8" w:rsidRDefault="00CA3D49" w:rsidP="00CA3D49">
      <w:pPr>
        <w:pStyle w:val="ParaNoNdepar-AltN"/>
        <w:rPr>
          <w:rFonts w:cs="Times New Roman"/>
          <w:i/>
          <w:lang w:val="fr-CA"/>
        </w:rPr>
      </w:pPr>
      <w:r w:rsidRPr="00CA3D49">
        <w:rPr>
          <w:smallCaps/>
          <w:lang w:val="fr-CA"/>
        </w:rPr>
        <w:t xml:space="preserve">La Juge en chef et le juge </w:t>
      </w:r>
      <w:proofErr w:type="spellStart"/>
      <w:r w:rsidRPr="00CA3D49">
        <w:rPr>
          <w:smallCaps/>
          <w:lang w:val="fr-CA"/>
        </w:rPr>
        <w:t>Moldaver</w:t>
      </w:r>
      <w:proofErr w:type="spellEnd"/>
      <w:r w:rsidRPr="003132A8">
        <w:rPr>
          <w:lang w:val="fr-CA"/>
        </w:rPr>
        <w:t xml:space="preserve"> — </w:t>
      </w:r>
      <w:r w:rsidRPr="003132A8">
        <w:rPr>
          <w:rFonts w:cs="Times New Roman"/>
          <w:lang w:val="fr-CA"/>
        </w:rPr>
        <w:t>Nous avons pris connaissance de la décision du juge Cromwell et nous faisons nôtres ses motifs portant sur l’art.</w:t>
      </w:r>
      <w:r w:rsidR="00601B6E">
        <w:rPr>
          <w:rFonts w:cs="Times New Roman"/>
          <w:lang w:val="fr-CA"/>
        </w:rPr>
        <w:t xml:space="preserve"> </w:t>
      </w:r>
      <w:r w:rsidRPr="003132A8">
        <w:rPr>
          <w:rFonts w:cs="Times New Roman"/>
          <w:lang w:val="fr-CA"/>
        </w:rPr>
        <w:t xml:space="preserve">8 de la </w:t>
      </w:r>
      <w:r w:rsidRPr="003132A8">
        <w:rPr>
          <w:rFonts w:cs="Times New Roman"/>
          <w:i/>
          <w:lang w:val="fr-CA"/>
        </w:rPr>
        <w:t>Charte canadienne des droits et libertés</w:t>
      </w:r>
      <w:r w:rsidRPr="003132A8">
        <w:rPr>
          <w:rFonts w:cs="Times New Roman"/>
          <w:lang w:val="fr-CA"/>
        </w:rPr>
        <w:t xml:space="preserve">.  </w:t>
      </w:r>
    </w:p>
    <w:p w:rsidR="00CA3D49" w:rsidRPr="003132A8" w:rsidRDefault="00CA3D49" w:rsidP="00CA3D49">
      <w:pPr>
        <w:pStyle w:val="ParaNoNdepar-AltN"/>
        <w:rPr>
          <w:rFonts w:cs="Times New Roman"/>
          <w:lang w:val="fr-CA"/>
        </w:rPr>
      </w:pPr>
      <w:r w:rsidRPr="003132A8">
        <w:rPr>
          <w:rFonts w:cs="Times New Roman"/>
          <w:lang w:val="fr-CA"/>
        </w:rPr>
        <w:t>Toutefois, nous sommes en désaccord avec la manière dont notre collègue analyse l’art.</w:t>
      </w:r>
      <w:r w:rsidR="00601B6E">
        <w:rPr>
          <w:rFonts w:cs="Times New Roman"/>
          <w:lang w:val="fr-CA"/>
        </w:rPr>
        <w:t xml:space="preserve"> </w:t>
      </w:r>
      <w:r w:rsidRPr="003132A8">
        <w:rPr>
          <w:rFonts w:cs="Times New Roman"/>
          <w:lang w:val="fr-CA"/>
        </w:rPr>
        <w:t xml:space="preserve">7 de la </w:t>
      </w:r>
      <w:r w:rsidRPr="003132A8">
        <w:rPr>
          <w:rFonts w:cs="Times New Roman"/>
          <w:i/>
          <w:lang w:val="fr-CA"/>
        </w:rPr>
        <w:t xml:space="preserve">Charte. </w:t>
      </w:r>
      <w:r w:rsidRPr="003132A8">
        <w:rPr>
          <w:rFonts w:cs="Times New Roman"/>
          <w:lang w:val="fr-CA"/>
        </w:rPr>
        <w:t>Dans la mesure où les droits garantis à l’avocat par l’art.</w:t>
      </w:r>
      <w:r w:rsidR="00601B6E">
        <w:rPr>
          <w:rFonts w:cs="Times New Roman"/>
          <w:lang w:val="fr-CA"/>
        </w:rPr>
        <w:t xml:space="preserve"> </w:t>
      </w:r>
      <w:r w:rsidRPr="003132A8">
        <w:rPr>
          <w:rFonts w:cs="Times New Roman"/>
          <w:lang w:val="fr-CA"/>
        </w:rPr>
        <w:t xml:space="preserve">7 entrent en jeu, nous ne partageons pas l’avis de notre collègue que le principe de justice fondamentale auquel il serait contrevenu est le dévouement de l’avocat à la cause du client. Nous estimons que ce </w:t>
      </w:r>
      <w:r w:rsidR="00601B6E">
        <w:rPr>
          <w:rFonts w:cs="Times New Roman"/>
          <w:lang w:val="fr-CA"/>
        </w:rPr>
        <w:t>« </w:t>
      </w:r>
      <w:r w:rsidRPr="003132A8">
        <w:rPr>
          <w:rFonts w:cs="Times New Roman"/>
          <w:lang w:val="fr-CA"/>
        </w:rPr>
        <w:t>principe</w:t>
      </w:r>
      <w:r w:rsidR="00601B6E">
        <w:rPr>
          <w:rFonts w:cs="Times New Roman"/>
          <w:lang w:val="fr-CA"/>
        </w:rPr>
        <w:t> »</w:t>
      </w:r>
      <w:r w:rsidRPr="003132A8">
        <w:rPr>
          <w:rFonts w:cs="Times New Roman"/>
          <w:lang w:val="fr-CA"/>
        </w:rPr>
        <w:t xml:space="preserve"> n’est pas suffisamment certain pour constituer un principe de justice fondamentale (voir </w:t>
      </w:r>
      <w:r w:rsidRPr="003132A8">
        <w:rPr>
          <w:rFonts w:cs="Times New Roman"/>
          <w:i/>
          <w:lang w:val="fr-CA"/>
        </w:rPr>
        <w:t xml:space="preserve">R. c. </w:t>
      </w:r>
      <w:proofErr w:type="spellStart"/>
      <w:r w:rsidRPr="003132A8">
        <w:rPr>
          <w:rFonts w:cs="Times New Roman"/>
          <w:i/>
          <w:lang w:val="fr-CA"/>
        </w:rPr>
        <w:t>Malmo</w:t>
      </w:r>
      <w:proofErr w:type="spellEnd"/>
      <w:r w:rsidR="00601B6E">
        <w:rPr>
          <w:rFonts w:cs="Times New Roman"/>
          <w:i/>
          <w:lang w:val="fr-CA"/>
        </w:rPr>
        <w:t>-</w:t>
      </w:r>
      <w:proofErr w:type="spellStart"/>
      <w:r w:rsidRPr="003132A8">
        <w:rPr>
          <w:rFonts w:cs="Times New Roman"/>
          <w:i/>
          <w:lang w:val="fr-CA"/>
        </w:rPr>
        <w:t>Levine</w:t>
      </w:r>
      <w:proofErr w:type="spellEnd"/>
      <w:r w:rsidRPr="003132A8">
        <w:rPr>
          <w:rFonts w:cs="Times New Roman"/>
          <w:lang w:val="fr-CA"/>
        </w:rPr>
        <w:t>, 2003 CSC 74, [2003] 3 R.C.S. 571, par.</w:t>
      </w:r>
      <w:r w:rsidR="00601B6E">
        <w:rPr>
          <w:rFonts w:cs="Times New Roman"/>
          <w:lang w:val="fr-CA"/>
        </w:rPr>
        <w:t xml:space="preserve"> </w:t>
      </w:r>
      <w:r w:rsidRPr="003132A8">
        <w:rPr>
          <w:rFonts w:cs="Times New Roman"/>
          <w:lang w:val="fr-CA"/>
        </w:rPr>
        <w:t xml:space="preserve">113). Le dévouement de l’avocat à l’intérêt du client varie selon la nature du mandat conclu entre eux ainsi que d’autres facteurs. À notre humble avis, ce dévouement ne fournit pas une norme constitutionnelle pratique.  </w:t>
      </w:r>
    </w:p>
    <w:p w:rsidR="00CA3D49" w:rsidRPr="003132A8" w:rsidRDefault="00CA3D49" w:rsidP="00CA3D49">
      <w:pPr>
        <w:pStyle w:val="ParaNoNdepar-AltN"/>
        <w:rPr>
          <w:rFonts w:cs="Times New Roman"/>
          <w:lang w:val="fr-CA"/>
        </w:rPr>
      </w:pPr>
      <w:r w:rsidRPr="003132A8">
        <w:rPr>
          <w:rFonts w:cs="Times New Roman"/>
          <w:lang w:val="fr-CA"/>
        </w:rPr>
        <w:lastRenderedPageBreak/>
        <w:t>Nous sommes plutôt enclins à penser qu’il vaudrait mieux résoudre l’analyse relative à l’art.</w:t>
      </w:r>
      <w:r w:rsidR="00601B6E">
        <w:rPr>
          <w:rFonts w:cs="Times New Roman"/>
          <w:lang w:val="fr-CA"/>
        </w:rPr>
        <w:t xml:space="preserve"> </w:t>
      </w:r>
      <w:r w:rsidRPr="003132A8">
        <w:rPr>
          <w:rFonts w:cs="Times New Roman"/>
          <w:lang w:val="fr-CA"/>
        </w:rPr>
        <w:t>7 sur la base du principe de justice fondamentale qui reconnaît l’obligation de l’avocat de garder secrètes les confidences du client, soit le secret professionnel de l’avocat. Comme l’explique notre collègue dans son examen de l’art.</w:t>
      </w:r>
      <w:r w:rsidR="00601B6E">
        <w:rPr>
          <w:rFonts w:cs="Times New Roman"/>
          <w:lang w:val="fr-CA"/>
        </w:rPr>
        <w:t xml:space="preserve"> </w:t>
      </w:r>
      <w:r w:rsidRPr="003132A8">
        <w:rPr>
          <w:rFonts w:cs="Times New Roman"/>
          <w:lang w:val="fr-CA"/>
        </w:rPr>
        <w:t>8, ce devoir a déjà été reconnu comme une norme constitutionnelle. Signalons qu’en appliquant la norme du dévouement à la cause du client, notre collègue se fonde sur une violation du secret professionnel de l’avocat. Selon nous, la transgression de ce principe suffit pour établir que la privation potentielle de liberté violerait l’art.</w:t>
      </w:r>
      <w:r w:rsidR="00601B6E">
        <w:rPr>
          <w:rFonts w:cs="Times New Roman"/>
          <w:lang w:val="fr-CA"/>
        </w:rPr>
        <w:t xml:space="preserve"> </w:t>
      </w:r>
      <w:r w:rsidRPr="003132A8">
        <w:rPr>
          <w:rFonts w:cs="Times New Roman"/>
          <w:lang w:val="fr-CA"/>
        </w:rPr>
        <w:t>7.</w:t>
      </w:r>
    </w:p>
    <w:p w:rsidR="00CA3D49" w:rsidRPr="003132A8" w:rsidRDefault="00CA3D49" w:rsidP="00CA3D49">
      <w:pPr>
        <w:pStyle w:val="ParaNoNdepar-AltN"/>
        <w:rPr>
          <w:rFonts w:cs="Times New Roman"/>
          <w:lang w:val="fr-CA"/>
        </w:rPr>
      </w:pPr>
      <w:r w:rsidRPr="003132A8">
        <w:rPr>
          <w:rFonts w:cs="Times New Roman"/>
          <w:lang w:val="fr-CA"/>
        </w:rPr>
        <w:t>Pour ces motifs, nous sommes d’avis d’accueillir le pourvoi en partie conformément au dispositif de notre collègue.</w:t>
      </w:r>
    </w:p>
    <w:p w:rsidR="00CA3D49" w:rsidRPr="00990245" w:rsidRDefault="00CA3D49" w:rsidP="00CA3D49">
      <w:pPr>
        <w:pStyle w:val="ParaNoNdepar-AltN"/>
        <w:numPr>
          <w:ilvl w:val="0"/>
          <w:numId w:val="0"/>
        </w:numPr>
        <w:tabs>
          <w:tab w:val="left" w:pos="1166"/>
        </w:tabs>
        <w:jc w:val="center"/>
        <w:rPr>
          <w:rFonts w:cs="Times New Roman"/>
          <w:b/>
          <w:lang w:val="fr-CA"/>
        </w:rPr>
      </w:pPr>
      <w:r w:rsidRPr="00990245">
        <w:rPr>
          <w:rFonts w:cs="Times New Roman"/>
          <w:b/>
          <w:lang w:val="fr-CA"/>
        </w:rPr>
        <w:t>ANNEXE</w:t>
      </w:r>
    </w:p>
    <w:p w:rsidR="00CA3D49" w:rsidRDefault="00CA3D49" w:rsidP="00CA3D49">
      <w:pPr>
        <w:pStyle w:val="Citation-AltC"/>
        <w:spacing w:before="240" w:after="240"/>
        <w:ind w:left="0"/>
        <w:contextualSpacing w:val="0"/>
        <w:rPr>
          <w:lang w:val="fr-CA"/>
        </w:rPr>
      </w:pPr>
      <w:r w:rsidRPr="00990245">
        <w:rPr>
          <w:i/>
          <w:lang w:val="fr-CA"/>
        </w:rPr>
        <w:t>Loi sur le recyclage des produits de la criminalité et le financement des activités terroristes</w:t>
      </w:r>
      <w:r w:rsidRPr="00990245">
        <w:rPr>
          <w:lang w:val="fr-CA"/>
        </w:rPr>
        <w:t>, L.C. 2000, c.</w:t>
      </w:r>
      <w:r w:rsidR="00601B6E">
        <w:rPr>
          <w:lang w:val="fr-CA"/>
        </w:rPr>
        <w:t xml:space="preserve"> </w:t>
      </w:r>
      <w:r w:rsidRPr="00990245">
        <w:rPr>
          <w:lang w:val="fr-CA"/>
        </w:rPr>
        <w:t>17</w:t>
      </w:r>
    </w:p>
    <w:p w:rsidR="00947DA8" w:rsidRPr="00990245" w:rsidRDefault="00947DA8" w:rsidP="00CA3D49">
      <w:pPr>
        <w:pStyle w:val="Citation-AltC"/>
        <w:spacing w:before="240" w:after="240"/>
        <w:ind w:left="0"/>
        <w:contextualSpacing w:val="0"/>
        <w:rPr>
          <w:lang w:val="fr-CA"/>
        </w:rPr>
      </w:pPr>
    </w:p>
    <w:p w:rsidR="00CA3D49" w:rsidRPr="00990245" w:rsidRDefault="00947DA8" w:rsidP="00AE732E">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2.</w:t>
      </w:r>
      <w:r w:rsidR="00CA3D49" w:rsidRPr="00990245">
        <w:rPr>
          <w:lang w:val="fr-CA"/>
        </w:rPr>
        <w:tab/>
        <w:t>Les définition</w:t>
      </w:r>
      <w:r>
        <w:rPr>
          <w:lang w:val="fr-CA"/>
        </w:rPr>
        <w:t>s</w:t>
      </w:r>
      <w:r w:rsidR="00CA3D49" w:rsidRPr="00990245">
        <w:rPr>
          <w:lang w:val="fr-CA"/>
        </w:rPr>
        <w:t xml:space="preserve"> qui suivent s</w:t>
      </w:r>
      <w:r w:rsidR="00CA3D49">
        <w:rPr>
          <w:lang w:val="fr-CA"/>
        </w:rPr>
        <w:t>’</w:t>
      </w:r>
      <w:r w:rsidR="00CA3D49" w:rsidRPr="00990245">
        <w:rPr>
          <w:lang w:val="fr-CA"/>
        </w:rPr>
        <w:t>appliquent à la présente loi.</w:t>
      </w:r>
    </w:p>
    <w:p w:rsidR="00CA3D49" w:rsidRPr="00990245" w:rsidRDefault="00601B6E" w:rsidP="00947DA8">
      <w:pPr>
        <w:pStyle w:val="Citation-AltC"/>
        <w:tabs>
          <w:tab w:val="left" w:pos="360"/>
        </w:tabs>
        <w:spacing w:before="240" w:after="240"/>
        <w:ind w:left="360"/>
        <w:contextualSpacing w:val="0"/>
        <w:jc w:val="center"/>
        <w:rPr>
          <w:lang w:val="fr-CA"/>
        </w:rPr>
      </w:pPr>
      <w:r>
        <w:rPr>
          <w:lang w:val="fr-CA"/>
        </w:rPr>
        <w:t>. . .</w:t>
      </w:r>
    </w:p>
    <w:p w:rsidR="00CA3D49" w:rsidRPr="00990245" w:rsidRDefault="00601B6E" w:rsidP="00BD4151">
      <w:pPr>
        <w:pStyle w:val="Citation-AltC"/>
        <w:spacing w:before="240" w:after="240"/>
        <w:ind w:left="360"/>
        <w:contextualSpacing w:val="0"/>
        <w:rPr>
          <w:lang w:val="fr-CA"/>
        </w:rPr>
      </w:pPr>
      <w:r>
        <w:rPr>
          <w:lang w:val="fr-CA"/>
        </w:rPr>
        <w:t>« </w:t>
      </w:r>
      <w:proofErr w:type="gramStart"/>
      <w:r w:rsidR="00CA3D49" w:rsidRPr="00990245">
        <w:rPr>
          <w:lang w:val="fr-CA"/>
        </w:rPr>
        <w:t>conseiller</w:t>
      </w:r>
      <w:proofErr w:type="gramEnd"/>
      <w:r w:rsidR="00CA3D49" w:rsidRPr="00990245">
        <w:rPr>
          <w:lang w:val="fr-CA"/>
        </w:rPr>
        <w:t xml:space="preserve"> juridique</w:t>
      </w:r>
      <w:r>
        <w:rPr>
          <w:lang w:val="fr-CA"/>
        </w:rPr>
        <w:t> »</w:t>
      </w:r>
      <w:r w:rsidR="00CA3D49" w:rsidRPr="00990245">
        <w:rPr>
          <w:lang w:val="fr-CA"/>
        </w:rPr>
        <w:t xml:space="preserve"> Un avocat et, au Québec, un avocat ou un</w:t>
      </w:r>
      <w:r w:rsidR="00F94EA7">
        <w:rPr>
          <w:lang w:val="fr-CA"/>
        </w:rPr>
        <w:t xml:space="preserve"> notaire [</w:t>
      </w:r>
      <w:proofErr w:type="spellStart"/>
      <w:r w:rsidR="00F94EA7">
        <w:rPr>
          <w:lang w:val="fr-CA"/>
        </w:rPr>
        <w:t>mod</w:t>
      </w:r>
      <w:proofErr w:type="spellEnd"/>
      <w:r w:rsidR="00F94EA7">
        <w:rPr>
          <w:lang w:val="fr-CA"/>
        </w:rPr>
        <w:t>. par L.C. 2010, c</w:t>
      </w:r>
      <w:r w:rsidR="00CA3D49" w:rsidRPr="00990245">
        <w:rPr>
          <w:lang w:val="fr-CA"/>
        </w:rPr>
        <w:t>.</w:t>
      </w:r>
      <w:r>
        <w:rPr>
          <w:lang w:val="fr-CA"/>
        </w:rPr>
        <w:t xml:space="preserve"> </w:t>
      </w:r>
      <w:r w:rsidR="00CA3D49" w:rsidRPr="00990245">
        <w:rPr>
          <w:lang w:val="fr-CA"/>
        </w:rPr>
        <w:t>12, art.</w:t>
      </w:r>
      <w:r>
        <w:rPr>
          <w:lang w:val="fr-CA"/>
        </w:rPr>
        <w:t xml:space="preserve"> </w:t>
      </w:r>
      <w:r w:rsidR="00CA3D49" w:rsidRPr="00990245">
        <w:rPr>
          <w:lang w:val="fr-CA"/>
        </w:rPr>
        <w:t>1862, entré en vigueur le 18 juin 2014]</w:t>
      </w:r>
    </w:p>
    <w:p w:rsidR="00CA3D49" w:rsidRPr="00990245" w:rsidRDefault="00601B6E" w:rsidP="00947DA8">
      <w:pPr>
        <w:pStyle w:val="Citation-AltC"/>
        <w:tabs>
          <w:tab w:val="left" w:pos="360"/>
        </w:tabs>
        <w:spacing w:before="240" w:after="240"/>
        <w:ind w:left="360"/>
        <w:contextualSpacing w:val="0"/>
        <w:jc w:val="center"/>
        <w:rPr>
          <w:lang w:val="fr-CA"/>
        </w:rPr>
      </w:pPr>
      <w:r>
        <w:rPr>
          <w:lang w:val="fr-CA"/>
        </w:rPr>
        <w:t>. . .</w:t>
      </w:r>
    </w:p>
    <w:p w:rsidR="00CA3D49" w:rsidRPr="00990245" w:rsidRDefault="00AE732E" w:rsidP="00AE732E">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3.</w:t>
      </w:r>
      <w:r w:rsidR="00CA3D49" w:rsidRPr="00990245">
        <w:rPr>
          <w:lang w:val="fr-CA"/>
        </w:rPr>
        <w:tab/>
        <w:t>La présente loi a pour objet</w:t>
      </w:r>
      <w:r w:rsidR="00601B6E">
        <w:rPr>
          <w:lang w:val="fr-CA"/>
        </w:rPr>
        <w:t> :</w:t>
      </w:r>
      <w:r w:rsidR="00CA3D49" w:rsidRPr="00990245">
        <w:rPr>
          <w:lang w:val="fr-CA"/>
        </w:rPr>
        <w:t xml:space="preserve"> </w:t>
      </w:r>
    </w:p>
    <w:p w:rsidR="00CA3D49" w:rsidRPr="00990245" w:rsidRDefault="00CA3D49" w:rsidP="00AE732E">
      <w:pPr>
        <w:pStyle w:val="Citation-AltC"/>
        <w:spacing w:before="240" w:after="240"/>
        <w:ind w:left="900"/>
        <w:contextualSpacing w:val="0"/>
        <w:rPr>
          <w:lang w:val="fr-CA"/>
        </w:rPr>
      </w:pPr>
      <w:r w:rsidRPr="00990245">
        <w:rPr>
          <w:i/>
          <w:lang w:val="fr-CA"/>
        </w:rPr>
        <w:t>a</w:t>
      </w:r>
      <w:r w:rsidRPr="00990245">
        <w:rPr>
          <w:lang w:val="fr-CA"/>
        </w:rPr>
        <w:t xml:space="preserve">) de mettre en œuvre des mesures visant à détecter et décourager le recyclage des produits de la criminalité et le financement des activités </w:t>
      </w:r>
      <w:r w:rsidRPr="00990245">
        <w:rPr>
          <w:lang w:val="fr-CA"/>
        </w:rPr>
        <w:lastRenderedPageBreak/>
        <w:t>terroristes et à faciliter les enquêtes et les poursuites relatives aux infractions de recyclage des produits de la criminalité et aux infractions de financement des activités terroristes, notamment</w:t>
      </w:r>
      <w:r w:rsidR="00601B6E">
        <w:rPr>
          <w:lang w:val="fr-CA"/>
        </w:rPr>
        <w:t> :</w:t>
      </w:r>
      <w:r w:rsidRPr="00990245">
        <w:rPr>
          <w:lang w:val="fr-CA"/>
        </w:rPr>
        <w:t xml:space="preserve"> </w:t>
      </w:r>
    </w:p>
    <w:p w:rsidR="00CA3D49" w:rsidRPr="00990245" w:rsidRDefault="00CA3D49" w:rsidP="00AE732E">
      <w:pPr>
        <w:pStyle w:val="Citation-AltC"/>
        <w:spacing w:before="240" w:after="240"/>
        <w:ind w:left="1440"/>
        <w:contextualSpacing w:val="0"/>
        <w:rPr>
          <w:lang w:val="fr-CA"/>
        </w:rPr>
      </w:pPr>
      <w:r w:rsidRPr="00990245">
        <w:rPr>
          <w:lang w:val="fr-CA"/>
        </w:rPr>
        <w:t xml:space="preserve">(i) </w:t>
      </w:r>
      <w:r w:rsidRPr="00990245">
        <w:rPr>
          <w:szCs w:val="18"/>
          <w:lang w:val="fr-CA"/>
        </w:rPr>
        <w:t>imposer des obligations de tenue de documents et d</w:t>
      </w:r>
      <w:r>
        <w:rPr>
          <w:szCs w:val="18"/>
          <w:lang w:val="fr-CA"/>
        </w:rPr>
        <w:t>’</w:t>
      </w:r>
      <w:r w:rsidRPr="00990245">
        <w:rPr>
          <w:szCs w:val="18"/>
          <w:lang w:val="fr-CA"/>
        </w:rPr>
        <w:t>identification des clients aux fournisseurs de services financiers et autres personnes ou entités qui se livrent à l</w:t>
      </w:r>
      <w:r>
        <w:rPr>
          <w:szCs w:val="18"/>
          <w:lang w:val="fr-CA"/>
        </w:rPr>
        <w:t>’</w:t>
      </w:r>
      <w:r w:rsidRPr="00990245">
        <w:rPr>
          <w:szCs w:val="18"/>
          <w:lang w:val="fr-CA"/>
        </w:rPr>
        <w:t>exploitation d</w:t>
      </w:r>
      <w:r>
        <w:rPr>
          <w:szCs w:val="18"/>
          <w:lang w:val="fr-CA"/>
        </w:rPr>
        <w:t>’</w:t>
      </w:r>
      <w:r w:rsidRPr="00990245">
        <w:rPr>
          <w:szCs w:val="18"/>
          <w:lang w:val="fr-CA"/>
        </w:rPr>
        <w:t>une entreprise ou à l</w:t>
      </w:r>
      <w:r>
        <w:rPr>
          <w:szCs w:val="18"/>
          <w:lang w:val="fr-CA"/>
        </w:rPr>
        <w:t>’</w:t>
      </w:r>
      <w:r w:rsidRPr="00990245">
        <w:rPr>
          <w:szCs w:val="18"/>
          <w:lang w:val="fr-CA"/>
        </w:rPr>
        <w:t>exercice d</w:t>
      </w:r>
      <w:r>
        <w:rPr>
          <w:szCs w:val="18"/>
          <w:lang w:val="fr-CA"/>
        </w:rPr>
        <w:t>’</w:t>
      </w:r>
      <w:r w:rsidRPr="00990245">
        <w:rPr>
          <w:szCs w:val="18"/>
          <w:lang w:val="fr-CA"/>
        </w:rPr>
        <w:t>une profession ou d</w:t>
      </w:r>
      <w:r>
        <w:rPr>
          <w:szCs w:val="18"/>
          <w:lang w:val="fr-CA"/>
        </w:rPr>
        <w:t>’</w:t>
      </w:r>
      <w:r w:rsidRPr="00990245">
        <w:rPr>
          <w:szCs w:val="18"/>
          <w:lang w:val="fr-CA"/>
        </w:rPr>
        <w:t>activités susceptibles d</w:t>
      </w:r>
      <w:r>
        <w:rPr>
          <w:szCs w:val="18"/>
          <w:lang w:val="fr-CA"/>
        </w:rPr>
        <w:t>’</w:t>
      </w:r>
      <w:r w:rsidRPr="00990245">
        <w:rPr>
          <w:szCs w:val="18"/>
          <w:lang w:val="fr-CA"/>
        </w:rPr>
        <w:t>être utilisées pour le recyclage des produits de la criminalité ou pour le financement des activités terroristes</w:t>
      </w:r>
      <w:r w:rsidRPr="00990245">
        <w:rPr>
          <w:lang w:val="fr-CA"/>
        </w:rPr>
        <w:t xml:space="preserve">, </w:t>
      </w:r>
    </w:p>
    <w:p w:rsidR="00CA3D49" w:rsidRPr="00990245" w:rsidRDefault="00CA3D49" w:rsidP="00AE732E">
      <w:pPr>
        <w:pStyle w:val="Citation-AltC"/>
        <w:spacing w:before="240" w:after="240"/>
        <w:ind w:left="1440"/>
        <w:contextualSpacing w:val="0"/>
        <w:rPr>
          <w:lang w:val="fr-CA"/>
        </w:rPr>
      </w:pPr>
      <w:r w:rsidRPr="00990245">
        <w:rPr>
          <w:lang w:val="fr-CA"/>
        </w:rPr>
        <w:t xml:space="preserve">(ii) </w:t>
      </w:r>
      <w:r w:rsidRPr="00990245">
        <w:rPr>
          <w:szCs w:val="18"/>
          <w:lang w:val="fr-CA"/>
        </w:rPr>
        <w:t>établir un régime de déclaration obligatoire des opérations financières douteuses et des mouvements transfrontaliers d</w:t>
      </w:r>
      <w:r>
        <w:rPr>
          <w:szCs w:val="18"/>
          <w:lang w:val="fr-CA"/>
        </w:rPr>
        <w:t>’</w:t>
      </w:r>
      <w:r w:rsidRPr="00990245">
        <w:rPr>
          <w:szCs w:val="18"/>
          <w:lang w:val="fr-CA"/>
        </w:rPr>
        <w:t>espèces et d</w:t>
      </w:r>
      <w:r>
        <w:rPr>
          <w:szCs w:val="18"/>
          <w:lang w:val="fr-CA"/>
        </w:rPr>
        <w:t>’</w:t>
      </w:r>
      <w:r w:rsidRPr="00990245">
        <w:rPr>
          <w:szCs w:val="18"/>
          <w:lang w:val="fr-CA"/>
        </w:rPr>
        <w:t>effets</w:t>
      </w:r>
      <w:r w:rsidRPr="00990245">
        <w:rPr>
          <w:lang w:val="fr-CA"/>
        </w:rPr>
        <w:t xml:space="preserve">, </w:t>
      </w:r>
    </w:p>
    <w:p w:rsidR="00CA3D49" w:rsidRPr="00990245" w:rsidRDefault="00CA3D49" w:rsidP="00AE732E">
      <w:pPr>
        <w:pStyle w:val="Citation-AltC"/>
        <w:spacing w:before="240" w:after="240"/>
        <w:ind w:left="1440"/>
        <w:contextualSpacing w:val="0"/>
        <w:rPr>
          <w:lang w:val="fr-CA"/>
        </w:rPr>
      </w:pPr>
      <w:r w:rsidRPr="00990245">
        <w:rPr>
          <w:lang w:val="fr-CA"/>
        </w:rPr>
        <w:t xml:space="preserve">(iii) </w:t>
      </w:r>
      <w:r w:rsidRPr="00AE732E">
        <w:rPr>
          <w:szCs w:val="18"/>
          <w:lang w:val="fr-CA"/>
        </w:rPr>
        <w:t>constituer</w:t>
      </w:r>
      <w:r w:rsidRPr="00990245">
        <w:rPr>
          <w:lang w:val="fr-CA"/>
        </w:rPr>
        <w:t xml:space="preserve"> un organisme chargé </w:t>
      </w:r>
      <w:r w:rsidRPr="00990245">
        <w:rPr>
          <w:szCs w:val="19"/>
          <w:lang w:val="fr-FR"/>
        </w:rPr>
        <w:t>du contrôle d</w:t>
      </w:r>
      <w:r>
        <w:rPr>
          <w:szCs w:val="19"/>
          <w:lang w:val="fr-FR"/>
        </w:rPr>
        <w:t>’</w:t>
      </w:r>
      <w:r w:rsidRPr="00990245">
        <w:rPr>
          <w:szCs w:val="19"/>
          <w:lang w:val="fr-FR"/>
        </w:rPr>
        <w:t>application des parties 1 et 1.1 et de l</w:t>
      </w:r>
      <w:r>
        <w:rPr>
          <w:szCs w:val="19"/>
          <w:lang w:val="fr-FR"/>
        </w:rPr>
        <w:t>’</w:t>
      </w:r>
      <w:r w:rsidRPr="00990245">
        <w:rPr>
          <w:szCs w:val="19"/>
          <w:lang w:val="fr-FR"/>
        </w:rPr>
        <w:t>examen de renseignements, notamment ceux portés à son attention au titre du sous</w:t>
      </w:r>
      <w:r w:rsidR="00601B6E">
        <w:rPr>
          <w:szCs w:val="19"/>
          <w:lang w:val="fr-FR"/>
        </w:rPr>
        <w:t>-</w:t>
      </w:r>
      <w:r w:rsidRPr="00990245">
        <w:rPr>
          <w:szCs w:val="19"/>
          <w:lang w:val="fr-FR"/>
        </w:rPr>
        <w:t>alinéa (ii);</w:t>
      </w:r>
      <w:r w:rsidRPr="00990245">
        <w:rPr>
          <w:lang w:val="fr-CA"/>
        </w:rPr>
        <w:t xml:space="preserve"> </w:t>
      </w:r>
    </w:p>
    <w:p w:rsidR="00CA3D49" w:rsidRPr="00990245" w:rsidRDefault="00CA3D49" w:rsidP="00AE732E">
      <w:pPr>
        <w:pStyle w:val="Citation-AltC"/>
        <w:spacing w:before="240" w:after="240"/>
        <w:ind w:left="900"/>
        <w:contextualSpacing w:val="0"/>
        <w:rPr>
          <w:lang w:val="fr-CA"/>
        </w:rPr>
      </w:pPr>
      <w:r w:rsidRPr="00990245">
        <w:rPr>
          <w:i/>
          <w:lang w:val="fr-CA"/>
        </w:rPr>
        <w:t>b</w:t>
      </w:r>
      <w:r w:rsidRPr="00990245">
        <w:rPr>
          <w:lang w:val="fr-CA"/>
        </w:rPr>
        <w:t xml:space="preserve">) </w:t>
      </w:r>
      <w:r w:rsidRPr="00990245">
        <w:rPr>
          <w:szCs w:val="18"/>
          <w:lang w:val="fr-CA"/>
        </w:rPr>
        <w:t xml:space="preserve">de </w:t>
      </w:r>
      <w:r w:rsidRPr="00AE732E">
        <w:rPr>
          <w:lang w:val="fr-CA"/>
        </w:rPr>
        <w:t>combattre</w:t>
      </w:r>
      <w:r w:rsidRPr="00990245">
        <w:rPr>
          <w:szCs w:val="18"/>
          <w:lang w:val="fr-CA"/>
        </w:rPr>
        <w:t xml:space="preserve"> le crime organisé en fournissant aux responsables de l</w:t>
      </w:r>
      <w:r>
        <w:rPr>
          <w:szCs w:val="18"/>
          <w:lang w:val="fr-CA"/>
        </w:rPr>
        <w:t>’</w:t>
      </w:r>
      <w:r w:rsidRPr="00990245">
        <w:rPr>
          <w:szCs w:val="18"/>
          <w:lang w:val="fr-CA"/>
        </w:rPr>
        <w:t>application de la loi les renseignements leur permettant de priver les criminels du produit de leurs activités illicites, tout en assurant la mise en place des garanties nécessaires à la protection de la vie privée des personnes à l</w:t>
      </w:r>
      <w:r>
        <w:rPr>
          <w:szCs w:val="18"/>
          <w:lang w:val="fr-CA"/>
        </w:rPr>
        <w:t>’</w:t>
      </w:r>
      <w:r w:rsidRPr="00990245">
        <w:rPr>
          <w:szCs w:val="18"/>
          <w:lang w:val="fr-CA"/>
        </w:rPr>
        <w:t>égard des renseignements personnels les concernant;</w:t>
      </w:r>
      <w:r w:rsidRPr="00990245">
        <w:rPr>
          <w:sz w:val="18"/>
          <w:szCs w:val="18"/>
          <w:lang w:val="fr-CA"/>
        </w:rPr>
        <w:t xml:space="preserve"> </w:t>
      </w:r>
    </w:p>
    <w:p w:rsidR="00CA3D49" w:rsidRPr="00990245" w:rsidRDefault="00CA3D49" w:rsidP="00AE732E">
      <w:pPr>
        <w:pStyle w:val="Citation-AltC"/>
        <w:spacing w:before="240" w:after="240"/>
        <w:ind w:left="900"/>
        <w:contextualSpacing w:val="0"/>
        <w:rPr>
          <w:sz w:val="18"/>
          <w:szCs w:val="18"/>
          <w:lang w:val="fr-CA"/>
        </w:rPr>
      </w:pPr>
      <w:r w:rsidRPr="00990245">
        <w:rPr>
          <w:i/>
          <w:lang w:val="fr-CA"/>
        </w:rPr>
        <w:t>c</w:t>
      </w:r>
      <w:r w:rsidRPr="00990245">
        <w:rPr>
          <w:lang w:val="fr-CA"/>
        </w:rPr>
        <w:t xml:space="preserve">) </w:t>
      </w:r>
      <w:r w:rsidRPr="00990245">
        <w:rPr>
          <w:szCs w:val="18"/>
          <w:lang w:val="fr-CA"/>
        </w:rPr>
        <w:t>d</w:t>
      </w:r>
      <w:r>
        <w:rPr>
          <w:szCs w:val="18"/>
          <w:lang w:val="fr-CA"/>
        </w:rPr>
        <w:t>’</w:t>
      </w:r>
      <w:r w:rsidRPr="00990245">
        <w:rPr>
          <w:szCs w:val="18"/>
          <w:lang w:val="fr-CA"/>
        </w:rPr>
        <w:t xml:space="preserve">aider le Canada à remplir ses engagements internationaux dans la lutte contre le crime </w:t>
      </w:r>
      <w:r w:rsidRPr="00AE732E">
        <w:rPr>
          <w:lang w:val="fr-CA"/>
        </w:rPr>
        <w:t>transnational</w:t>
      </w:r>
      <w:r w:rsidRPr="00990245">
        <w:rPr>
          <w:szCs w:val="18"/>
          <w:lang w:val="fr-CA"/>
        </w:rPr>
        <w:t>, particulièrement le recyclage des produits de la criminalité, et la lutte contre les activités terroristes.</w:t>
      </w:r>
      <w:r w:rsidRPr="00990245">
        <w:rPr>
          <w:sz w:val="18"/>
          <w:szCs w:val="18"/>
          <w:lang w:val="fr-CA"/>
        </w:rPr>
        <w:t xml:space="preserve"> </w:t>
      </w:r>
    </w:p>
    <w:p w:rsidR="00CA3D49" w:rsidRPr="00990245" w:rsidRDefault="00CA3D49" w:rsidP="00AE732E">
      <w:pPr>
        <w:pStyle w:val="Citation-AltC"/>
        <w:spacing w:before="240" w:after="240"/>
        <w:ind w:left="900"/>
        <w:contextualSpacing w:val="0"/>
        <w:rPr>
          <w:lang w:val="fr-CA"/>
        </w:rPr>
      </w:pPr>
      <w:r w:rsidRPr="00990245">
        <w:rPr>
          <w:i/>
          <w:lang w:val="fr-CA"/>
        </w:rPr>
        <w:t>d</w:t>
      </w:r>
      <w:r w:rsidRPr="00990245">
        <w:rPr>
          <w:lang w:val="fr-CA"/>
        </w:rPr>
        <w:t xml:space="preserve">) </w:t>
      </w:r>
      <w:r w:rsidRPr="00990245">
        <w:rPr>
          <w:szCs w:val="19"/>
          <w:lang w:val="fr-FR"/>
        </w:rPr>
        <w:t>de renforcer la capacité du Canada de prendre des mesures ciblées pour protéger son système financier et de faciliter les efforts qu</w:t>
      </w:r>
      <w:r>
        <w:rPr>
          <w:szCs w:val="19"/>
          <w:lang w:val="fr-FR"/>
        </w:rPr>
        <w:t>’</w:t>
      </w:r>
      <w:r w:rsidRPr="00990245">
        <w:rPr>
          <w:szCs w:val="19"/>
          <w:lang w:val="fr-FR"/>
        </w:rPr>
        <w:t xml:space="preserve">il déploie pour réduire le risque que ce système puisse servir de véhicule pour le recyclage des produits de la criminalité et le financement des activités terroristes. </w:t>
      </w:r>
      <w:r w:rsidR="00F94EA7">
        <w:rPr>
          <w:lang w:val="fr-CA"/>
        </w:rPr>
        <w:t>[</w:t>
      </w:r>
      <w:proofErr w:type="spellStart"/>
      <w:proofErr w:type="gramStart"/>
      <w:r w:rsidR="00F94EA7">
        <w:rPr>
          <w:lang w:val="fr-CA"/>
        </w:rPr>
        <w:t>mod</w:t>
      </w:r>
      <w:proofErr w:type="spellEnd"/>
      <w:proofErr w:type="gramEnd"/>
      <w:r w:rsidR="00F94EA7">
        <w:rPr>
          <w:lang w:val="fr-CA"/>
        </w:rPr>
        <w:t>. par L.C. 2010, c</w:t>
      </w:r>
      <w:r w:rsidRPr="00990245">
        <w:rPr>
          <w:lang w:val="fr-CA"/>
        </w:rPr>
        <w:t>.</w:t>
      </w:r>
      <w:r w:rsidR="00601B6E">
        <w:rPr>
          <w:lang w:val="fr-CA"/>
        </w:rPr>
        <w:t xml:space="preserve"> </w:t>
      </w:r>
      <w:r w:rsidRPr="00990245">
        <w:rPr>
          <w:lang w:val="fr-CA"/>
        </w:rPr>
        <w:t>12, art.</w:t>
      </w:r>
      <w:r w:rsidR="00601B6E">
        <w:rPr>
          <w:lang w:val="fr-CA"/>
        </w:rPr>
        <w:t xml:space="preserve"> </w:t>
      </w:r>
      <w:r w:rsidRPr="00990245">
        <w:rPr>
          <w:lang w:val="fr-CA"/>
        </w:rPr>
        <w:t xml:space="preserve">1863, entré en vigueur le 18 juin 2014; </w:t>
      </w:r>
      <w:proofErr w:type="spellStart"/>
      <w:r w:rsidRPr="00990245">
        <w:rPr>
          <w:lang w:val="fr-CA"/>
        </w:rPr>
        <w:t>mod</w:t>
      </w:r>
      <w:proofErr w:type="spellEnd"/>
      <w:r w:rsidRPr="00990245">
        <w:rPr>
          <w:lang w:val="fr-CA"/>
        </w:rPr>
        <w:t>. par L.C. 2014, c.</w:t>
      </w:r>
      <w:r w:rsidR="00601B6E">
        <w:rPr>
          <w:lang w:val="fr-CA"/>
        </w:rPr>
        <w:t xml:space="preserve"> </w:t>
      </w:r>
      <w:r w:rsidRPr="00990245">
        <w:rPr>
          <w:lang w:val="fr-CA"/>
        </w:rPr>
        <w:t>20, art.</w:t>
      </w:r>
      <w:r w:rsidR="00601B6E">
        <w:rPr>
          <w:lang w:val="fr-CA"/>
        </w:rPr>
        <w:t xml:space="preserve"> </w:t>
      </w:r>
      <w:r w:rsidRPr="00990245">
        <w:rPr>
          <w:lang w:val="fr-CA"/>
        </w:rPr>
        <w:t>255, entré en vigueur le 19 juin 2014]</w:t>
      </w:r>
    </w:p>
    <w:p w:rsidR="00CA3D49" w:rsidRPr="00990245" w:rsidRDefault="00AE732E" w:rsidP="00AE732E">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5.</w:t>
      </w:r>
      <w:r>
        <w:rPr>
          <w:b/>
          <w:lang w:val="fr-CA"/>
        </w:rPr>
        <w:tab/>
      </w:r>
      <w:r w:rsidR="00CA3D49" w:rsidRPr="00990245">
        <w:rPr>
          <w:szCs w:val="18"/>
          <w:lang w:val="fr-CA"/>
        </w:rPr>
        <w:t>La</w:t>
      </w:r>
      <w:r w:rsidR="00CA3D49" w:rsidRPr="00990245">
        <w:rPr>
          <w:lang w:val="fr-CA"/>
        </w:rPr>
        <w:t xml:space="preserve"> présente partie s</w:t>
      </w:r>
      <w:r w:rsidR="00CA3D49">
        <w:rPr>
          <w:lang w:val="fr-CA"/>
        </w:rPr>
        <w:t>’</w:t>
      </w:r>
      <w:r w:rsidR="00CA3D49" w:rsidRPr="00990245">
        <w:rPr>
          <w:lang w:val="fr-CA"/>
        </w:rPr>
        <w:t>applique aux personnes et entités suivantes</w:t>
      </w:r>
      <w:r w:rsidR="00601B6E">
        <w:rPr>
          <w:lang w:val="fr-CA"/>
        </w:rPr>
        <w:t> :</w:t>
      </w:r>
      <w:r w:rsidR="00CA3D49" w:rsidRPr="00990245">
        <w:rPr>
          <w:lang w:val="fr-CA"/>
        </w:rPr>
        <w:t xml:space="preserve"> </w:t>
      </w:r>
    </w:p>
    <w:p w:rsidR="00CA3D49" w:rsidRPr="00990245" w:rsidRDefault="00601B6E" w:rsidP="00947DA8">
      <w:pPr>
        <w:pStyle w:val="Citation-AltC"/>
        <w:tabs>
          <w:tab w:val="left" w:pos="360"/>
        </w:tabs>
        <w:spacing w:before="240" w:after="240"/>
        <w:ind w:left="360"/>
        <w:contextualSpacing w:val="0"/>
        <w:jc w:val="center"/>
        <w:rPr>
          <w:lang w:val="fr-CA"/>
        </w:rPr>
      </w:pPr>
      <w:r>
        <w:rPr>
          <w:lang w:val="fr-CA"/>
        </w:rPr>
        <w:t>. . .</w:t>
      </w:r>
    </w:p>
    <w:p w:rsidR="00CA3D49" w:rsidRPr="00990245" w:rsidRDefault="00CA3D49" w:rsidP="00AE732E">
      <w:pPr>
        <w:pStyle w:val="Citation-AltC"/>
        <w:spacing w:before="240" w:after="240"/>
        <w:ind w:left="900"/>
        <w:contextualSpacing w:val="0"/>
        <w:rPr>
          <w:lang w:val="fr-CA"/>
        </w:rPr>
      </w:pPr>
      <w:r w:rsidRPr="00990245">
        <w:rPr>
          <w:i/>
          <w:lang w:val="fr-CA"/>
        </w:rPr>
        <w:t>i</w:t>
      </w:r>
      <w:r w:rsidRPr="00990245">
        <w:rPr>
          <w:lang w:val="fr-CA"/>
        </w:rPr>
        <w:t xml:space="preserve">) </w:t>
      </w:r>
      <w:r w:rsidRPr="00990245">
        <w:rPr>
          <w:szCs w:val="18"/>
          <w:lang w:val="fr-CA"/>
        </w:rPr>
        <w:t xml:space="preserve">les </w:t>
      </w:r>
      <w:r w:rsidRPr="00AE732E">
        <w:rPr>
          <w:szCs w:val="19"/>
          <w:lang w:val="fr-FR"/>
        </w:rPr>
        <w:t>personnes</w:t>
      </w:r>
      <w:r w:rsidRPr="00990245">
        <w:rPr>
          <w:szCs w:val="18"/>
          <w:lang w:val="fr-CA"/>
        </w:rPr>
        <w:t xml:space="preserve"> et les entités qui se livrent à l</w:t>
      </w:r>
      <w:r>
        <w:rPr>
          <w:szCs w:val="18"/>
          <w:lang w:val="fr-CA"/>
        </w:rPr>
        <w:t>’</w:t>
      </w:r>
      <w:r w:rsidRPr="00990245">
        <w:rPr>
          <w:szCs w:val="18"/>
          <w:lang w:val="fr-CA"/>
        </w:rPr>
        <w:t>exploitation d</w:t>
      </w:r>
      <w:r>
        <w:rPr>
          <w:szCs w:val="18"/>
          <w:lang w:val="fr-CA"/>
        </w:rPr>
        <w:t>’</w:t>
      </w:r>
      <w:r w:rsidRPr="00990245">
        <w:rPr>
          <w:szCs w:val="18"/>
          <w:lang w:val="fr-CA"/>
        </w:rPr>
        <w:t>une entreprise ou à l</w:t>
      </w:r>
      <w:r>
        <w:rPr>
          <w:szCs w:val="18"/>
          <w:lang w:val="fr-CA"/>
        </w:rPr>
        <w:t>’</w:t>
      </w:r>
      <w:r w:rsidRPr="00990245">
        <w:rPr>
          <w:szCs w:val="18"/>
          <w:lang w:val="fr-CA"/>
        </w:rPr>
        <w:t>exercice d</w:t>
      </w:r>
      <w:r>
        <w:rPr>
          <w:szCs w:val="18"/>
          <w:lang w:val="fr-CA"/>
        </w:rPr>
        <w:t>’</w:t>
      </w:r>
      <w:r w:rsidRPr="00990245">
        <w:rPr>
          <w:szCs w:val="18"/>
          <w:lang w:val="fr-CA"/>
        </w:rPr>
        <w:t>une profession ou d</w:t>
      </w:r>
      <w:r>
        <w:rPr>
          <w:szCs w:val="18"/>
          <w:lang w:val="fr-CA"/>
        </w:rPr>
        <w:t>’</w:t>
      </w:r>
      <w:r w:rsidRPr="00990245">
        <w:rPr>
          <w:szCs w:val="18"/>
          <w:lang w:val="fr-CA"/>
        </w:rPr>
        <w:t>activités visées par un règlement pris en vertu de l</w:t>
      </w:r>
      <w:r>
        <w:rPr>
          <w:szCs w:val="18"/>
          <w:lang w:val="fr-CA"/>
        </w:rPr>
        <w:t>’</w:t>
      </w:r>
      <w:r w:rsidRPr="00990245">
        <w:rPr>
          <w:szCs w:val="18"/>
          <w:lang w:val="fr-CA"/>
        </w:rPr>
        <w:t>alinéa</w:t>
      </w:r>
      <w:r w:rsidR="00601B6E">
        <w:rPr>
          <w:szCs w:val="18"/>
          <w:lang w:val="fr-CA"/>
        </w:rPr>
        <w:t xml:space="preserve"> </w:t>
      </w:r>
      <w:r w:rsidRPr="00990245">
        <w:rPr>
          <w:szCs w:val="18"/>
          <w:lang w:val="fr-CA"/>
        </w:rPr>
        <w:t>73(1)</w:t>
      </w:r>
      <w:r w:rsidRPr="00990245">
        <w:rPr>
          <w:rStyle w:val="Emphasis"/>
          <w:szCs w:val="18"/>
          <w:lang w:val="fr-CA"/>
        </w:rPr>
        <w:t>a</w:t>
      </w:r>
      <w:r w:rsidRPr="00990245">
        <w:rPr>
          <w:szCs w:val="18"/>
          <w:lang w:val="fr-CA"/>
        </w:rPr>
        <w:t>);</w:t>
      </w:r>
      <w:r w:rsidRPr="00990245">
        <w:rPr>
          <w:sz w:val="18"/>
          <w:szCs w:val="18"/>
          <w:lang w:val="fr-CA"/>
        </w:rPr>
        <w:t xml:space="preserve"> </w:t>
      </w:r>
    </w:p>
    <w:p w:rsidR="00CA3D49" w:rsidRPr="00990245" w:rsidRDefault="00CA3D49" w:rsidP="00AE732E">
      <w:pPr>
        <w:pStyle w:val="Citation-AltC"/>
        <w:spacing w:before="240" w:after="240"/>
        <w:ind w:left="900"/>
        <w:contextualSpacing w:val="0"/>
        <w:rPr>
          <w:sz w:val="18"/>
          <w:szCs w:val="18"/>
          <w:lang w:val="fr-CA"/>
        </w:rPr>
      </w:pPr>
      <w:proofErr w:type="gramStart"/>
      <w:r w:rsidRPr="00990245">
        <w:rPr>
          <w:i/>
          <w:lang w:val="fr-CA"/>
        </w:rPr>
        <w:t>j</w:t>
      </w:r>
      <w:proofErr w:type="gramEnd"/>
      <w:r w:rsidRPr="00990245">
        <w:rPr>
          <w:lang w:val="fr-CA"/>
        </w:rPr>
        <w:t xml:space="preserve">) </w:t>
      </w:r>
      <w:r w:rsidRPr="00990245">
        <w:rPr>
          <w:szCs w:val="18"/>
          <w:lang w:val="fr-CA"/>
        </w:rPr>
        <w:t xml:space="preserve">les </w:t>
      </w:r>
      <w:r w:rsidRPr="00AE732E">
        <w:rPr>
          <w:szCs w:val="19"/>
          <w:lang w:val="fr-FR"/>
        </w:rPr>
        <w:t>personnes</w:t>
      </w:r>
      <w:r w:rsidRPr="00990245">
        <w:rPr>
          <w:szCs w:val="18"/>
          <w:lang w:val="fr-CA"/>
        </w:rPr>
        <w:t xml:space="preserve"> et les entités qui se livrent à l</w:t>
      </w:r>
      <w:r>
        <w:rPr>
          <w:szCs w:val="18"/>
          <w:lang w:val="fr-CA"/>
        </w:rPr>
        <w:t>’</w:t>
      </w:r>
      <w:r w:rsidRPr="00990245">
        <w:rPr>
          <w:szCs w:val="18"/>
          <w:lang w:val="fr-CA"/>
        </w:rPr>
        <w:t>exploitation d</w:t>
      </w:r>
      <w:r>
        <w:rPr>
          <w:szCs w:val="18"/>
          <w:lang w:val="fr-CA"/>
        </w:rPr>
        <w:t>’</w:t>
      </w:r>
      <w:r w:rsidRPr="00990245">
        <w:rPr>
          <w:szCs w:val="18"/>
          <w:lang w:val="fr-CA"/>
        </w:rPr>
        <w:t>une entreprise ou à l</w:t>
      </w:r>
      <w:r>
        <w:rPr>
          <w:szCs w:val="18"/>
          <w:lang w:val="fr-CA"/>
        </w:rPr>
        <w:t>’</w:t>
      </w:r>
      <w:r w:rsidRPr="00990245">
        <w:rPr>
          <w:szCs w:val="18"/>
          <w:lang w:val="fr-CA"/>
        </w:rPr>
        <w:t>exercice d</w:t>
      </w:r>
      <w:r>
        <w:rPr>
          <w:szCs w:val="18"/>
          <w:lang w:val="fr-CA"/>
        </w:rPr>
        <w:t>’</w:t>
      </w:r>
      <w:r w:rsidRPr="00990245">
        <w:rPr>
          <w:szCs w:val="18"/>
          <w:lang w:val="fr-CA"/>
        </w:rPr>
        <w:t>une profession visées par un règlement pris en vertu de l</w:t>
      </w:r>
      <w:r>
        <w:rPr>
          <w:szCs w:val="18"/>
          <w:lang w:val="fr-CA"/>
        </w:rPr>
        <w:t>’</w:t>
      </w:r>
      <w:r w:rsidRPr="00990245">
        <w:rPr>
          <w:szCs w:val="18"/>
          <w:lang w:val="fr-CA"/>
        </w:rPr>
        <w:t>alinéa</w:t>
      </w:r>
      <w:r w:rsidR="00601B6E">
        <w:rPr>
          <w:szCs w:val="18"/>
          <w:lang w:val="fr-CA"/>
        </w:rPr>
        <w:t xml:space="preserve"> </w:t>
      </w:r>
      <w:r w:rsidRPr="00990245">
        <w:rPr>
          <w:szCs w:val="18"/>
          <w:lang w:val="fr-CA"/>
        </w:rPr>
        <w:t>73(1)</w:t>
      </w:r>
      <w:r w:rsidRPr="00A82AA0">
        <w:rPr>
          <w:i/>
          <w:szCs w:val="18"/>
          <w:lang w:val="fr-CA"/>
        </w:rPr>
        <w:t>b</w:t>
      </w:r>
      <w:r w:rsidRPr="00990245">
        <w:rPr>
          <w:szCs w:val="18"/>
          <w:lang w:val="fr-CA"/>
        </w:rPr>
        <w:t>) lorsqu</w:t>
      </w:r>
      <w:r>
        <w:rPr>
          <w:szCs w:val="18"/>
          <w:lang w:val="fr-CA"/>
        </w:rPr>
        <w:t>’</w:t>
      </w:r>
      <w:r w:rsidRPr="00990245">
        <w:rPr>
          <w:szCs w:val="18"/>
          <w:lang w:val="fr-CA"/>
        </w:rPr>
        <w:t>elles exercent les activités mentionnées aux règlements;</w:t>
      </w:r>
      <w:r w:rsidRPr="00990245">
        <w:rPr>
          <w:sz w:val="18"/>
          <w:szCs w:val="18"/>
          <w:lang w:val="fr-CA"/>
        </w:rPr>
        <w:t xml:space="preserve"> </w:t>
      </w:r>
    </w:p>
    <w:p w:rsidR="00CA3D49" w:rsidRPr="00990245" w:rsidRDefault="00601B6E" w:rsidP="00947DA8">
      <w:pPr>
        <w:pStyle w:val="Citation-AltC"/>
        <w:tabs>
          <w:tab w:val="left" w:pos="360"/>
        </w:tabs>
        <w:spacing w:before="240" w:after="240"/>
        <w:ind w:left="360"/>
        <w:contextualSpacing w:val="0"/>
        <w:jc w:val="center"/>
        <w:rPr>
          <w:lang w:val="fr-CA"/>
        </w:rPr>
      </w:pPr>
      <w:r>
        <w:rPr>
          <w:lang w:val="fr-CA"/>
        </w:rPr>
        <w:lastRenderedPageBreak/>
        <w:t>. . .</w:t>
      </w:r>
    </w:p>
    <w:p w:rsidR="00CA3D49" w:rsidRPr="00990245" w:rsidRDefault="00AE732E" w:rsidP="00AE732E">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6.</w:t>
      </w:r>
      <w:r w:rsidR="00CA3D49" w:rsidRPr="00990245">
        <w:rPr>
          <w:lang w:val="fr-CA"/>
        </w:rPr>
        <w:t xml:space="preserve"> Il incombe à toute personne ou entité visée à l</w:t>
      </w:r>
      <w:r w:rsidR="00CA3D49">
        <w:rPr>
          <w:lang w:val="fr-CA"/>
        </w:rPr>
        <w:t>’</w:t>
      </w:r>
      <w:r w:rsidR="00CA3D49" w:rsidRPr="00990245">
        <w:rPr>
          <w:lang w:val="fr-CA"/>
        </w:rPr>
        <w:t>article</w:t>
      </w:r>
      <w:r w:rsidR="00601B6E">
        <w:rPr>
          <w:lang w:val="fr-CA"/>
        </w:rPr>
        <w:t xml:space="preserve"> </w:t>
      </w:r>
      <w:r w:rsidR="00CA3D49" w:rsidRPr="00990245">
        <w:rPr>
          <w:lang w:val="fr-CA"/>
        </w:rPr>
        <w:t xml:space="preserve">5 de tenir et de conserver, conformément aux règlements, les documents prévus par règlement. </w:t>
      </w:r>
    </w:p>
    <w:p w:rsidR="00CA3D49" w:rsidRPr="00990245" w:rsidRDefault="00AE732E" w:rsidP="00AE732E">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6.1</w:t>
      </w:r>
      <w:r w:rsidR="00CA3D49" w:rsidRPr="00990245">
        <w:rPr>
          <w:lang w:val="fr-CA"/>
        </w:rPr>
        <w:t xml:space="preserve"> </w:t>
      </w:r>
      <w:r w:rsidR="00CA3D49" w:rsidRPr="00990245">
        <w:rPr>
          <w:szCs w:val="18"/>
          <w:lang w:val="fr-CA"/>
        </w:rPr>
        <w:t xml:space="preserve">Il </w:t>
      </w:r>
      <w:r w:rsidR="00CA3D49" w:rsidRPr="00AE732E">
        <w:rPr>
          <w:lang w:val="fr-CA"/>
        </w:rPr>
        <w:t>incombe</w:t>
      </w:r>
      <w:r w:rsidR="00CA3D49" w:rsidRPr="00990245">
        <w:rPr>
          <w:szCs w:val="18"/>
          <w:lang w:val="fr-CA"/>
        </w:rPr>
        <w:t xml:space="preserve"> à toute personne ou entité visée à l</w:t>
      </w:r>
      <w:r w:rsidR="00CA3D49">
        <w:rPr>
          <w:szCs w:val="18"/>
          <w:lang w:val="fr-CA"/>
        </w:rPr>
        <w:t>’</w:t>
      </w:r>
      <w:r w:rsidR="00CA3D49" w:rsidRPr="00990245">
        <w:rPr>
          <w:szCs w:val="18"/>
          <w:lang w:val="fr-CA"/>
        </w:rPr>
        <w:t>article</w:t>
      </w:r>
      <w:r w:rsidR="00601B6E">
        <w:rPr>
          <w:szCs w:val="18"/>
          <w:lang w:val="fr-CA"/>
        </w:rPr>
        <w:t xml:space="preserve"> </w:t>
      </w:r>
      <w:r w:rsidR="00CA3D49" w:rsidRPr="00990245">
        <w:rPr>
          <w:szCs w:val="18"/>
          <w:lang w:val="fr-CA"/>
        </w:rPr>
        <w:t>5 de vérifier, dans les cas prévus par les règlements et en conformité avec ceux</w:t>
      </w:r>
      <w:r w:rsidR="00601B6E">
        <w:rPr>
          <w:szCs w:val="18"/>
          <w:lang w:val="fr-CA"/>
        </w:rPr>
        <w:t>-</w:t>
      </w:r>
      <w:r w:rsidR="00CA3D49" w:rsidRPr="00990245">
        <w:rPr>
          <w:szCs w:val="18"/>
          <w:lang w:val="fr-CA"/>
        </w:rPr>
        <w:t>ci, l</w:t>
      </w:r>
      <w:r w:rsidR="00CA3D49">
        <w:rPr>
          <w:szCs w:val="18"/>
          <w:lang w:val="fr-CA"/>
        </w:rPr>
        <w:t>’</w:t>
      </w:r>
      <w:r w:rsidR="00CA3D49" w:rsidRPr="00990245">
        <w:rPr>
          <w:szCs w:val="18"/>
          <w:lang w:val="fr-CA"/>
        </w:rPr>
        <w:t>identité de toute personne ou entité.</w:t>
      </w:r>
      <w:r w:rsidR="00CA3D49" w:rsidRPr="00990245">
        <w:rPr>
          <w:sz w:val="18"/>
          <w:szCs w:val="18"/>
          <w:lang w:val="fr-CA"/>
        </w:rPr>
        <w:t xml:space="preserve"> </w:t>
      </w:r>
    </w:p>
    <w:p w:rsidR="00CA3D49" w:rsidRPr="00990245" w:rsidRDefault="00AE732E" w:rsidP="00AE732E">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7.</w:t>
      </w:r>
      <w:r w:rsidR="00CA3D49" w:rsidRPr="00990245">
        <w:rPr>
          <w:lang w:val="fr-CA"/>
        </w:rPr>
        <w:t xml:space="preserve"> </w:t>
      </w:r>
      <w:r w:rsidR="00CA3D49" w:rsidRPr="00990245">
        <w:rPr>
          <w:szCs w:val="18"/>
          <w:lang w:val="fr-CA"/>
        </w:rPr>
        <w:t>Il incombe, sous réserve de l</w:t>
      </w:r>
      <w:r w:rsidR="00CA3D49">
        <w:rPr>
          <w:szCs w:val="18"/>
          <w:lang w:val="fr-CA"/>
        </w:rPr>
        <w:t>’</w:t>
      </w:r>
      <w:r w:rsidR="00CA3D49" w:rsidRPr="00990245">
        <w:rPr>
          <w:szCs w:val="18"/>
          <w:lang w:val="fr-CA"/>
        </w:rPr>
        <w:t>article</w:t>
      </w:r>
      <w:r w:rsidR="00601B6E">
        <w:rPr>
          <w:szCs w:val="18"/>
          <w:lang w:val="fr-CA"/>
        </w:rPr>
        <w:t xml:space="preserve"> </w:t>
      </w:r>
      <w:r w:rsidR="00CA3D49" w:rsidRPr="00990245">
        <w:rPr>
          <w:szCs w:val="18"/>
          <w:lang w:val="fr-CA"/>
        </w:rPr>
        <w:t>10.1, à toute personne ou entité visée à l</w:t>
      </w:r>
      <w:r w:rsidR="00CA3D49">
        <w:rPr>
          <w:szCs w:val="18"/>
          <w:lang w:val="fr-CA"/>
        </w:rPr>
        <w:t>’</w:t>
      </w:r>
      <w:r w:rsidR="00CA3D49" w:rsidRPr="00990245">
        <w:rPr>
          <w:szCs w:val="18"/>
          <w:lang w:val="fr-CA"/>
        </w:rPr>
        <w:t>article</w:t>
      </w:r>
      <w:r w:rsidR="00601B6E">
        <w:rPr>
          <w:szCs w:val="18"/>
          <w:lang w:val="fr-CA"/>
        </w:rPr>
        <w:t xml:space="preserve"> </w:t>
      </w:r>
      <w:r w:rsidR="00CA3D49" w:rsidRPr="00990245">
        <w:rPr>
          <w:szCs w:val="18"/>
          <w:lang w:val="fr-CA"/>
        </w:rPr>
        <w:t xml:space="preserve">5 de </w:t>
      </w:r>
      <w:r w:rsidR="00CA3D49" w:rsidRPr="00AE732E">
        <w:rPr>
          <w:lang w:val="fr-CA"/>
        </w:rPr>
        <w:t>déclarer</w:t>
      </w:r>
      <w:r w:rsidR="00CA3D49" w:rsidRPr="00990245">
        <w:rPr>
          <w:szCs w:val="18"/>
          <w:lang w:val="fr-CA"/>
        </w:rPr>
        <w:t xml:space="preserve"> au Centre, selon les modalités réglementaires, toute opération financière qu</w:t>
      </w:r>
      <w:r w:rsidR="00CA3D49">
        <w:rPr>
          <w:szCs w:val="18"/>
          <w:lang w:val="fr-CA"/>
        </w:rPr>
        <w:t>’</w:t>
      </w:r>
      <w:r w:rsidR="00CA3D49" w:rsidRPr="00990245">
        <w:rPr>
          <w:szCs w:val="18"/>
          <w:lang w:val="fr-CA"/>
        </w:rPr>
        <w:t>on a effectuée ou tentée dans le cours de ses activités et à l</w:t>
      </w:r>
      <w:r w:rsidR="00CA3D49">
        <w:rPr>
          <w:szCs w:val="18"/>
          <w:lang w:val="fr-CA"/>
        </w:rPr>
        <w:t>’</w:t>
      </w:r>
      <w:r w:rsidR="00CA3D49" w:rsidRPr="00990245">
        <w:rPr>
          <w:szCs w:val="18"/>
          <w:lang w:val="fr-CA"/>
        </w:rPr>
        <w:t>égard de laquelle il y a des motifs raisonnables de soupçonner qu</w:t>
      </w:r>
      <w:r w:rsidR="00CA3D49">
        <w:rPr>
          <w:szCs w:val="18"/>
          <w:lang w:val="fr-CA"/>
        </w:rPr>
        <w:t>’</w:t>
      </w:r>
      <w:r w:rsidR="00CA3D49" w:rsidRPr="00990245">
        <w:rPr>
          <w:szCs w:val="18"/>
          <w:lang w:val="fr-CA"/>
        </w:rPr>
        <w:t>elle est liée à la perpétration — réelle ou tentée —, selon le cas</w:t>
      </w:r>
      <w:r w:rsidR="00601B6E">
        <w:rPr>
          <w:szCs w:val="18"/>
          <w:lang w:val="fr-CA"/>
        </w:rPr>
        <w:t> :</w:t>
      </w:r>
      <w:r w:rsidR="00CA3D49" w:rsidRPr="00990245">
        <w:rPr>
          <w:sz w:val="18"/>
          <w:szCs w:val="18"/>
          <w:lang w:val="fr-CA"/>
        </w:rPr>
        <w:t xml:space="preserve"> </w:t>
      </w:r>
    </w:p>
    <w:p w:rsidR="00CA3D49" w:rsidRPr="00990245" w:rsidRDefault="00CA3D49" w:rsidP="00AE732E">
      <w:pPr>
        <w:pStyle w:val="Citation-AltC"/>
        <w:spacing w:before="240" w:after="240"/>
        <w:ind w:left="900"/>
        <w:contextualSpacing w:val="0"/>
        <w:rPr>
          <w:lang w:val="fr-CA"/>
        </w:rPr>
      </w:pPr>
      <w:r w:rsidRPr="00990245">
        <w:rPr>
          <w:i/>
          <w:lang w:val="fr-CA"/>
        </w:rPr>
        <w:t>a</w:t>
      </w:r>
      <w:r w:rsidRPr="00990245">
        <w:rPr>
          <w:lang w:val="fr-CA"/>
        </w:rPr>
        <w:t xml:space="preserve">) </w:t>
      </w:r>
      <w:r w:rsidRPr="00AE732E">
        <w:rPr>
          <w:szCs w:val="18"/>
          <w:lang w:val="fr-CA"/>
        </w:rPr>
        <w:t>d’une</w:t>
      </w:r>
      <w:r w:rsidRPr="00990245">
        <w:rPr>
          <w:lang w:val="fr-CA"/>
        </w:rPr>
        <w:t xml:space="preserve"> infraction de recyclage des produits de la criminalité; </w:t>
      </w:r>
    </w:p>
    <w:p w:rsidR="00CA3D49" w:rsidRPr="00990245" w:rsidRDefault="00CA3D49" w:rsidP="00AE732E">
      <w:pPr>
        <w:pStyle w:val="Citation-AltC"/>
        <w:spacing w:before="240" w:after="240"/>
        <w:ind w:left="900"/>
        <w:contextualSpacing w:val="0"/>
        <w:rPr>
          <w:lang w:val="fr-CA"/>
        </w:rPr>
      </w:pPr>
      <w:r w:rsidRPr="00990245">
        <w:rPr>
          <w:i/>
          <w:lang w:val="fr-CA"/>
        </w:rPr>
        <w:t>b</w:t>
      </w:r>
      <w:r w:rsidRPr="00990245">
        <w:rPr>
          <w:lang w:val="fr-CA"/>
        </w:rPr>
        <w:t>) d</w:t>
      </w:r>
      <w:r>
        <w:rPr>
          <w:lang w:val="fr-CA"/>
        </w:rPr>
        <w:t>’</w:t>
      </w:r>
      <w:r w:rsidRPr="00990245">
        <w:rPr>
          <w:lang w:val="fr-CA"/>
        </w:rPr>
        <w:t xml:space="preserve">une infraction de financement des activités terroristes. </w:t>
      </w:r>
    </w:p>
    <w:p w:rsidR="00CA3D49" w:rsidRPr="00990245" w:rsidRDefault="00AE732E" w:rsidP="00AE732E">
      <w:pPr>
        <w:pStyle w:val="Citation-AltC"/>
        <w:tabs>
          <w:tab w:val="left" w:pos="900"/>
          <w:tab w:val="left" w:pos="1440"/>
        </w:tabs>
        <w:spacing w:before="240" w:after="240"/>
        <w:ind w:left="360"/>
        <w:contextualSpacing w:val="0"/>
        <w:rPr>
          <w:szCs w:val="19"/>
          <w:lang w:val="fr-FR"/>
        </w:rPr>
      </w:pPr>
      <w:r>
        <w:rPr>
          <w:b/>
          <w:lang w:val="fr-CA"/>
        </w:rPr>
        <w:tab/>
      </w:r>
      <w:r w:rsidR="00CA3D49" w:rsidRPr="00990245">
        <w:rPr>
          <w:b/>
          <w:lang w:val="fr-CA"/>
        </w:rPr>
        <w:t>9.</w:t>
      </w:r>
      <w:r w:rsidR="00CA3D49" w:rsidRPr="00990245">
        <w:rPr>
          <w:lang w:val="fr-CA"/>
        </w:rPr>
        <w:t xml:space="preserve"> (1) </w:t>
      </w:r>
      <w:r w:rsidR="00CA3D49" w:rsidRPr="00990245">
        <w:rPr>
          <w:szCs w:val="19"/>
          <w:lang w:val="fr-FR"/>
        </w:rPr>
        <w:t>Il incombe, sous réserve de l</w:t>
      </w:r>
      <w:r w:rsidR="00CA3D49">
        <w:rPr>
          <w:szCs w:val="19"/>
          <w:lang w:val="fr-FR"/>
        </w:rPr>
        <w:t>’</w:t>
      </w:r>
      <w:r w:rsidR="00CA3D49" w:rsidRPr="00990245">
        <w:rPr>
          <w:szCs w:val="19"/>
          <w:lang w:val="fr-FR"/>
        </w:rPr>
        <w:t>article</w:t>
      </w:r>
      <w:r w:rsidR="00601B6E">
        <w:rPr>
          <w:szCs w:val="19"/>
          <w:lang w:val="fr-FR"/>
        </w:rPr>
        <w:t xml:space="preserve"> </w:t>
      </w:r>
      <w:r w:rsidR="00CA3D49" w:rsidRPr="00990245">
        <w:rPr>
          <w:szCs w:val="19"/>
          <w:lang w:val="fr-FR"/>
        </w:rPr>
        <w:t>10.1, à toute personne ou entité visée à l</w:t>
      </w:r>
      <w:r w:rsidR="00CA3D49">
        <w:rPr>
          <w:szCs w:val="19"/>
          <w:lang w:val="fr-FR"/>
        </w:rPr>
        <w:t>’</w:t>
      </w:r>
      <w:r w:rsidR="00CA3D49" w:rsidRPr="00990245">
        <w:rPr>
          <w:szCs w:val="19"/>
          <w:lang w:val="fr-FR"/>
        </w:rPr>
        <w:t>article</w:t>
      </w:r>
      <w:r w:rsidR="00601B6E">
        <w:rPr>
          <w:szCs w:val="19"/>
          <w:lang w:val="fr-FR"/>
        </w:rPr>
        <w:t xml:space="preserve"> </w:t>
      </w:r>
      <w:r w:rsidR="00CA3D49" w:rsidRPr="00990245">
        <w:rPr>
          <w:szCs w:val="19"/>
          <w:lang w:val="fr-FR"/>
        </w:rPr>
        <w:t>5 de déclarer au Centre, selon les modalités réglementaires</w:t>
      </w:r>
      <w:r w:rsidR="00601B6E">
        <w:rPr>
          <w:szCs w:val="19"/>
          <w:lang w:val="fr-FR"/>
        </w:rPr>
        <w:t> :</w:t>
      </w:r>
    </w:p>
    <w:p w:rsidR="00CA3D49" w:rsidRPr="00990245" w:rsidRDefault="00CA3D49" w:rsidP="00AE732E">
      <w:pPr>
        <w:pStyle w:val="Citation-AltC"/>
        <w:spacing w:before="240" w:after="240"/>
        <w:ind w:left="900"/>
        <w:contextualSpacing w:val="0"/>
        <w:rPr>
          <w:szCs w:val="19"/>
          <w:lang w:val="fr-FR"/>
        </w:rPr>
      </w:pPr>
      <w:r w:rsidRPr="00990245">
        <w:rPr>
          <w:i/>
          <w:iCs/>
          <w:lang w:val="fr-FR"/>
        </w:rPr>
        <w:t>a</w:t>
      </w:r>
      <w:r w:rsidRPr="00990245">
        <w:rPr>
          <w:szCs w:val="19"/>
          <w:lang w:val="fr-FR"/>
        </w:rPr>
        <w:t>)</w:t>
      </w:r>
      <w:r w:rsidR="00601B6E">
        <w:rPr>
          <w:szCs w:val="19"/>
          <w:lang w:val="fr-FR"/>
        </w:rPr>
        <w:t xml:space="preserve"> </w:t>
      </w:r>
      <w:r w:rsidRPr="00990245">
        <w:rPr>
          <w:szCs w:val="19"/>
          <w:lang w:val="fr-FR"/>
        </w:rPr>
        <w:t>les opérations financières — ou les opérations financières faisant partie d</w:t>
      </w:r>
      <w:r>
        <w:rPr>
          <w:szCs w:val="19"/>
          <w:lang w:val="fr-FR"/>
        </w:rPr>
        <w:t>’</w:t>
      </w:r>
      <w:r w:rsidRPr="00990245">
        <w:rPr>
          <w:szCs w:val="19"/>
          <w:lang w:val="fr-FR"/>
        </w:rPr>
        <w:t>une catégorie d</w:t>
      </w:r>
      <w:r>
        <w:rPr>
          <w:szCs w:val="19"/>
          <w:lang w:val="fr-FR"/>
        </w:rPr>
        <w:t>’</w:t>
      </w:r>
      <w:r w:rsidRPr="00990245">
        <w:rPr>
          <w:szCs w:val="19"/>
          <w:lang w:val="fr-FR"/>
        </w:rPr>
        <w:t>opérations financières — précisées dans les directives prévues par la partie 1.1 qui sont effectuées ou tentées dans le cours de ses activités;</w:t>
      </w:r>
    </w:p>
    <w:p w:rsidR="00CA3D49" w:rsidRPr="00990245" w:rsidRDefault="00CA3D49" w:rsidP="00AE732E">
      <w:pPr>
        <w:pStyle w:val="Citation-AltC"/>
        <w:spacing w:before="240" w:after="240"/>
        <w:ind w:left="900"/>
        <w:contextualSpacing w:val="0"/>
        <w:rPr>
          <w:szCs w:val="19"/>
          <w:lang w:val="fr-FR"/>
        </w:rPr>
      </w:pPr>
      <w:r w:rsidRPr="00990245">
        <w:rPr>
          <w:i/>
          <w:iCs/>
          <w:lang w:val="fr-FR"/>
        </w:rPr>
        <w:t>b</w:t>
      </w:r>
      <w:r w:rsidRPr="00990245">
        <w:rPr>
          <w:szCs w:val="19"/>
          <w:lang w:val="fr-FR"/>
        </w:rPr>
        <w:t>)</w:t>
      </w:r>
      <w:r w:rsidR="00601B6E">
        <w:rPr>
          <w:szCs w:val="19"/>
          <w:lang w:val="fr-FR"/>
        </w:rPr>
        <w:t xml:space="preserve"> </w:t>
      </w:r>
      <w:r w:rsidRPr="00990245">
        <w:rPr>
          <w:szCs w:val="19"/>
          <w:lang w:val="fr-FR"/>
        </w:rPr>
        <w:t>les opérations financières visées par règlement qui sont effectuées dans le cours de ses activités.</w:t>
      </w:r>
    </w:p>
    <w:p w:rsidR="00CA3D49" w:rsidRPr="00990245" w:rsidRDefault="00AE732E" w:rsidP="00AE732E">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(2) </w:t>
      </w:r>
      <w:r w:rsidR="00CA3D49" w:rsidRPr="00990245">
        <w:rPr>
          <w:szCs w:val="18"/>
          <w:lang w:val="fr-CA"/>
        </w:rPr>
        <w:t xml:space="preserve">Le </w:t>
      </w:r>
      <w:r w:rsidR="00CA3D49" w:rsidRPr="00AE732E">
        <w:rPr>
          <w:szCs w:val="19"/>
          <w:lang w:val="fr-FR"/>
        </w:rPr>
        <w:t>paragraphe</w:t>
      </w:r>
      <w:r w:rsidR="00601B6E">
        <w:rPr>
          <w:szCs w:val="18"/>
          <w:lang w:val="fr-CA"/>
        </w:rPr>
        <w:t xml:space="preserve"> </w:t>
      </w:r>
      <w:r w:rsidR="00CA3D49" w:rsidRPr="00990245">
        <w:rPr>
          <w:szCs w:val="18"/>
          <w:lang w:val="fr-CA"/>
        </w:rPr>
        <w:t>(1) ne s</w:t>
      </w:r>
      <w:r w:rsidR="00CA3D49">
        <w:rPr>
          <w:szCs w:val="18"/>
          <w:lang w:val="fr-CA"/>
        </w:rPr>
        <w:t>’</w:t>
      </w:r>
      <w:r w:rsidR="00CA3D49" w:rsidRPr="00990245">
        <w:rPr>
          <w:szCs w:val="18"/>
          <w:lang w:val="fr-CA"/>
        </w:rPr>
        <w:t>applique pas aux personnes ou entités — ou aux catégories de personnes ou entités — visées par règlement à l</w:t>
      </w:r>
      <w:r w:rsidR="00CA3D49">
        <w:rPr>
          <w:szCs w:val="18"/>
          <w:lang w:val="fr-CA"/>
        </w:rPr>
        <w:t>’</w:t>
      </w:r>
      <w:r w:rsidR="00CA3D49" w:rsidRPr="00990245">
        <w:rPr>
          <w:szCs w:val="18"/>
          <w:lang w:val="fr-CA"/>
        </w:rPr>
        <w:t>égard d</w:t>
      </w:r>
      <w:r w:rsidR="00CA3D49">
        <w:rPr>
          <w:szCs w:val="18"/>
          <w:lang w:val="fr-CA"/>
        </w:rPr>
        <w:t>’</w:t>
      </w:r>
      <w:r w:rsidR="00CA3D49" w:rsidRPr="00990245">
        <w:rPr>
          <w:szCs w:val="18"/>
          <w:lang w:val="fr-CA"/>
        </w:rPr>
        <w:t>opérations, de catégories d</w:t>
      </w:r>
      <w:r w:rsidR="00CA3D49">
        <w:rPr>
          <w:szCs w:val="18"/>
          <w:lang w:val="fr-CA"/>
        </w:rPr>
        <w:t>’</w:t>
      </w:r>
      <w:r w:rsidR="00CA3D49" w:rsidRPr="00990245">
        <w:rPr>
          <w:szCs w:val="18"/>
          <w:lang w:val="fr-CA"/>
        </w:rPr>
        <w:t>opérations, de clients ou de catégories de clients visés par règlement, si les conditions réglementaires sont remplies.</w:t>
      </w:r>
      <w:r w:rsidR="00CA3D49" w:rsidRPr="00990245">
        <w:rPr>
          <w:sz w:val="18"/>
          <w:szCs w:val="18"/>
          <w:lang w:val="fr-CA"/>
        </w:rPr>
        <w:t xml:space="preserve"> </w:t>
      </w:r>
    </w:p>
    <w:p w:rsidR="00CA3D49" w:rsidRPr="00990245" w:rsidRDefault="00AE732E" w:rsidP="00AE732E">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(3) </w:t>
      </w:r>
      <w:r w:rsidR="00CA3D49" w:rsidRPr="00990245">
        <w:rPr>
          <w:szCs w:val="18"/>
          <w:lang w:val="fr-CA"/>
        </w:rPr>
        <w:t>Il incombe à toute personne ou entité visée à l</w:t>
      </w:r>
      <w:r w:rsidR="00CA3D49">
        <w:rPr>
          <w:szCs w:val="18"/>
          <w:lang w:val="fr-CA"/>
        </w:rPr>
        <w:t>’</w:t>
      </w:r>
      <w:r w:rsidR="00CA3D49" w:rsidRPr="00990245">
        <w:rPr>
          <w:szCs w:val="18"/>
          <w:lang w:val="fr-CA"/>
        </w:rPr>
        <w:t>article</w:t>
      </w:r>
      <w:r w:rsidR="00601B6E">
        <w:rPr>
          <w:szCs w:val="18"/>
          <w:lang w:val="fr-CA"/>
        </w:rPr>
        <w:t xml:space="preserve"> </w:t>
      </w:r>
      <w:r w:rsidR="00CA3D49" w:rsidRPr="00990245">
        <w:rPr>
          <w:szCs w:val="18"/>
          <w:lang w:val="fr-CA"/>
        </w:rPr>
        <w:t>5 de dresser et de maintenir, selon les modalités réglementaires, une liste des clients à l</w:t>
      </w:r>
      <w:r w:rsidR="00CA3D49">
        <w:rPr>
          <w:szCs w:val="18"/>
          <w:lang w:val="fr-CA"/>
        </w:rPr>
        <w:t>’</w:t>
      </w:r>
      <w:r w:rsidR="00CA3D49" w:rsidRPr="00990245">
        <w:rPr>
          <w:szCs w:val="18"/>
          <w:lang w:val="fr-CA"/>
        </w:rPr>
        <w:t>égard desquels elle aurait été tenue, n</w:t>
      </w:r>
      <w:r w:rsidR="00CA3D49">
        <w:rPr>
          <w:szCs w:val="18"/>
          <w:lang w:val="fr-CA"/>
        </w:rPr>
        <w:t>’</w:t>
      </w:r>
      <w:r w:rsidR="00CA3D49" w:rsidRPr="00990245">
        <w:rPr>
          <w:szCs w:val="18"/>
          <w:lang w:val="fr-CA"/>
        </w:rPr>
        <w:t>était le paragraphe</w:t>
      </w:r>
      <w:r w:rsidR="00601B6E">
        <w:rPr>
          <w:szCs w:val="18"/>
          <w:lang w:val="fr-CA"/>
        </w:rPr>
        <w:t xml:space="preserve"> </w:t>
      </w:r>
      <w:r w:rsidR="00CA3D49" w:rsidRPr="00990245">
        <w:rPr>
          <w:szCs w:val="18"/>
          <w:lang w:val="fr-CA"/>
        </w:rPr>
        <w:t>(2), de faire une déclaration en application du paragraphe</w:t>
      </w:r>
      <w:r w:rsidR="00601B6E">
        <w:rPr>
          <w:szCs w:val="18"/>
          <w:lang w:val="fr-CA"/>
        </w:rPr>
        <w:t xml:space="preserve"> </w:t>
      </w:r>
      <w:r w:rsidR="00CA3D49" w:rsidRPr="00990245">
        <w:rPr>
          <w:szCs w:val="18"/>
          <w:lang w:val="fr-CA"/>
        </w:rPr>
        <w:t>(1). Néanmoins, elle peut choisir de se conformer au paragraphe</w:t>
      </w:r>
      <w:r w:rsidR="00601B6E">
        <w:rPr>
          <w:szCs w:val="18"/>
          <w:lang w:val="fr-CA"/>
        </w:rPr>
        <w:t xml:space="preserve"> </w:t>
      </w:r>
      <w:r w:rsidR="00CA3D49" w:rsidRPr="00990245">
        <w:rPr>
          <w:szCs w:val="18"/>
          <w:lang w:val="fr-CA"/>
        </w:rPr>
        <w:t>(1) à l</w:t>
      </w:r>
      <w:r w:rsidR="00CA3D49">
        <w:rPr>
          <w:szCs w:val="18"/>
          <w:lang w:val="fr-CA"/>
        </w:rPr>
        <w:t>’</w:t>
      </w:r>
      <w:r w:rsidR="00CA3D49" w:rsidRPr="00990245">
        <w:rPr>
          <w:szCs w:val="18"/>
          <w:lang w:val="fr-CA"/>
        </w:rPr>
        <w:t>égard d</w:t>
      </w:r>
      <w:r w:rsidR="00CA3D49">
        <w:rPr>
          <w:szCs w:val="18"/>
          <w:lang w:val="fr-CA"/>
        </w:rPr>
        <w:t>’</w:t>
      </w:r>
      <w:r w:rsidR="00CA3D49" w:rsidRPr="00990245">
        <w:rPr>
          <w:szCs w:val="18"/>
          <w:lang w:val="fr-CA"/>
        </w:rPr>
        <w:t>un client au lieu d</w:t>
      </w:r>
      <w:r w:rsidR="00CA3D49">
        <w:rPr>
          <w:szCs w:val="18"/>
          <w:lang w:val="fr-CA"/>
        </w:rPr>
        <w:t>’</w:t>
      </w:r>
      <w:r w:rsidR="00CA3D49" w:rsidRPr="00990245">
        <w:rPr>
          <w:szCs w:val="18"/>
          <w:lang w:val="fr-CA"/>
        </w:rPr>
        <w:t>inscrire celui</w:t>
      </w:r>
      <w:r w:rsidR="00601B6E">
        <w:rPr>
          <w:szCs w:val="18"/>
          <w:lang w:val="fr-CA"/>
        </w:rPr>
        <w:t>-</w:t>
      </w:r>
      <w:r w:rsidR="00CA3D49" w:rsidRPr="00990245">
        <w:rPr>
          <w:szCs w:val="18"/>
          <w:lang w:val="fr-CA"/>
        </w:rPr>
        <w:t>ci sur une telle liste. [</w:t>
      </w:r>
      <w:proofErr w:type="spellStart"/>
      <w:proofErr w:type="gramStart"/>
      <w:r w:rsidR="00CA3D49" w:rsidRPr="00990245">
        <w:rPr>
          <w:lang w:val="fr-CA"/>
        </w:rPr>
        <w:t>mod</w:t>
      </w:r>
      <w:proofErr w:type="spellEnd"/>
      <w:proofErr w:type="gramEnd"/>
      <w:r w:rsidR="00CA3D49" w:rsidRPr="00990245">
        <w:rPr>
          <w:lang w:val="fr-CA"/>
        </w:rPr>
        <w:t>. par L.C. 2010, c.</w:t>
      </w:r>
      <w:r w:rsidR="00601B6E">
        <w:rPr>
          <w:lang w:val="fr-CA"/>
        </w:rPr>
        <w:t xml:space="preserve"> </w:t>
      </w:r>
      <w:r w:rsidR="00CA3D49" w:rsidRPr="00990245">
        <w:rPr>
          <w:lang w:val="fr-CA"/>
        </w:rPr>
        <w:t>12, art.</w:t>
      </w:r>
      <w:r w:rsidR="00601B6E">
        <w:rPr>
          <w:lang w:val="fr-CA"/>
        </w:rPr>
        <w:t xml:space="preserve"> </w:t>
      </w:r>
      <w:r w:rsidR="00CA3D49" w:rsidRPr="00990245">
        <w:rPr>
          <w:lang w:val="fr-CA"/>
        </w:rPr>
        <w:t>1864, entré en vigueur le 18 juin 2014]</w:t>
      </w:r>
      <w:r w:rsidR="00CA3D49" w:rsidRPr="00990245">
        <w:rPr>
          <w:sz w:val="18"/>
          <w:szCs w:val="18"/>
          <w:lang w:val="fr-CA"/>
        </w:rPr>
        <w:t xml:space="preserve"> </w:t>
      </w:r>
    </w:p>
    <w:p w:rsidR="00CA3D49" w:rsidRPr="00990245" w:rsidRDefault="00AE732E" w:rsidP="00AE732E">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9.1</w:t>
      </w:r>
      <w:r w:rsidR="00CA3D49" w:rsidRPr="00990245">
        <w:rPr>
          <w:lang w:val="fr-CA"/>
        </w:rPr>
        <w:t xml:space="preserve"> </w:t>
      </w:r>
      <w:r w:rsidR="00CA3D49" w:rsidRPr="00990245">
        <w:rPr>
          <w:szCs w:val="18"/>
          <w:lang w:val="fr-CA"/>
        </w:rPr>
        <w:t>Sous réserve de l</w:t>
      </w:r>
      <w:r w:rsidR="00CA3D49">
        <w:rPr>
          <w:szCs w:val="18"/>
          <w:lang w:val="fr-CA"/>
        </w:rPr>
        <w:t>’</w:t>
      </w:r>
      <w:r w:rsidR="00CA3D49" w:rsidRPr="00990245">
        <w:rPr>
          <w:szCs w:val="18"/>
          <w:lang w:val="fr-CA"/>
        </w:rPr>
        <w:t>article</w:t>
      </w:r>
      <w:r w:rsidR="00601B6E">
        <w:rPr>
          <w:szCs w:val="18"/>
          <w:lang w:val="fr-CA"/>
        </w:rPr>
        <w:t xml:space="preserve"> </w:t>
      </w:r>
      <w:r w:rsidR="00CA3D49" w:rsidRPr="00990245">
        <w:rPr>
          <w:szCs w:val="18"/>
          <w:lang w:val="fr-CA"/>
        </w:rPr>
        <w:t>9, il incombe à toute personne ou entité qui est tenue de faire une déclaration au Centre sous le régime d</w:t>
      </w:r>
      <w:r w:rsidR="00CA3D49">
        <w:rPr>
          <w:szCs w:val="18"/>
          <w:lang w:val="fr-CA"/>
        </w:rPr>
        <w:t>’</w:t>
      </w:r>
      <w:r w:rsidR="00CA3D49" w:rsidRPr="00990245">
        <w:rPr>
          <w:szCs w:val="18"/>
          <w:lang w:val="fr-CA"/>
        </w:rPr>
        <w:t xml:space="preserve">une loi fédérale de la faire selon les modalités réglementaires prescrites pour cette loi. </w:t>
      </w:r>
    </w:p>
    <w:p w:rsidR="00CA3D49" w:rsidRPr="00990245" w:rsidRDefault="00AE732E" w:rsidP="00AE732E">
      <w:pPr>
        <w:pStyle w:val="Citation-AltC"/>
        <w:tabs>
          <w:tab w:val="left" w:pos="900"/>
          <w:tab w:val="left" w:pos="1440"/>
        </w:tabs>
        <w:spacing w:before="240" w:after="240"/>
        <w:ind w:left="360"/>
        <w:contextualSpacing w:val="0"/>
        <w:rPr>
          <w:lang w:val="fr-CA"/>
        </w:rPr>
      </w:pPr>
      <w:r>
        <w:rPr>
          <w:b/>
          <w:lang w:val="fr-CA"/>
        </w:rPr>
        <w:lastRenderedPageBreak/>
        <w:tab/>
      </w:r>
      <w:r w:rsidR="00CA3D49" w:rsidRPr="00990245">
        <w:rPr>
          <w:b/>
          <w:lang w:val="fr-CA"/>
        </w:rPr>
        <w:t>9.6</w:t>
      </w:r>
      <w:r w:rsidR="00CA3D49" w:rsidRPr="00990245">
        <w:rPr>
          <w:lang w:val="fr-CA"/>
        </w:rPr>
        <w:t xml:space="preserve"> (1) Il incombe à toute personne ou entité visée à l</w:t>
      </w:r>
      <w:r w:rsidR="00CA3D49">
        <w:rPr>
          <w:lang w:val="fr-CA"/>
        </w:rPr>
        <w:t>’</w:t>
      </w:r>
      <w:r w:rsidR="00CA3D49" w:rsidRPr="00990245">
        <w:rPr>
          <w:lang w:val="fr-CA"/>
        </w:rPr>
        <w:t>article</w:t>
      </w:r>
      <w:r w:rsidR="00601B6E">
        <w:rPr>
          <w:lang w:val="fr-CA"/>
        </w:rPr>
        <w:t xml:space="preserve"> </w:t>
      </w:r>
      <w:r w:rsidR="00CA3D49" w:rsidRPr="00990245">
        <w:rPr>
          <w:lang w:val="fr-CA"/>
        </w:rPr>
        <w:t>5 d</w:t>
      </w:r>
      <w:r w:rsidR="00CA3D49">
        <w:rPr>
          <w:lang w:val="fr-CA"/>
        </w:rPr>
        <w:t>’</w:t>
      </w:r>
      <w:r w:rsidR="00CA3D49" w:rsidRPr="00990245">
        <w:rPr>
          <w:lang w:val="fr-CA"/>
        </w:rPr>
        <w:t>établir et de mettre en œuvre, en conformité avec les règlements, un programme destiné à assurer l</w:t>
      </w:r>
      <w:r w:rsidR="00CA3D49">
        <w:rPr>
          <w:lang w:val="fr-CA"/>
        </w:rPr>
        <w:t>’</w:t>
      </w:r>
      <w:r w:rsidR="00CA3D49" w:rsidRPr="00990245">
        <w:rPr>
          <w:lang w:val="fr-CA"/>
        </w:rPr>
        <w:t xml:space="preserve">observation de la présente partie et de la partie 1.1. </w:t>
      </w:r>
    </w:p>
    <w:p w:rsidR="00CA3D49" w:rsidRPr="00990245" w:rsidRDefault="00AE732E" w:rsidP="00AE732E">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(2) </w:t>
      </w:r>
      <w:r w:rsidR="00CA3D49" w:rsidRPr="00AE732E">
        <w:rPr>
          <w:lang w:val="fr-CA"/>
        </w:rPr>
        <w:t>Le</w:t>
      </w:r>
      <w:r w:rsidR="00CA3D49" w:rsidRPr="00990245">
        <w:rPr>
          <w:szCs w:val="18"/>
          <w:lang w:val="fr-CA"/>
        </w:rPr>
        <w:t xml:space="preserve"> programme doit notamment prévoir l</w:t>
      </w:r>
      <w:r w:rsidR="00CA3D49">
        <w:rPr>
          <w:szCs w:val="18"/>
          <w:lang w:val="fr-CA"/>
        </w:rPr>
        <w:t>’</w:t>
      </w:r>
      <w:r w:rsidR="00CA3D49" w:rsidRPr="00990245">
        <w:rPr>
          <w:szCs w:val="18"/>
          <w:lang w:val="fr-CA"/>
        </w:rPr>
        <w:t>élaboration et la mise en application de principes et de mesures permettant à la personne ou à l</w:t>
      </w:r>
      <w:r w:rsidR="00CA3D49">
        <w:rPr>
          <w:szCs w:val="18"/>
          <w:lang w:val="fr-CA"/>
        </w:rPr>
        <w:t>’</w:t>
      </w:r>
      <w:r w:rsidR="00CA3D49" w:rsidRPr="00990245">
        <w:rPr>
          <w:szCs w:val="18"/>
          <w:lang w:val="fr-CA"/>
        </w:rPr>
        <w:t>entité d</w:t>
      </w:r>
      <w:r w:rsidR="00CA3D49">
        <w:rPr>
          <w:szCs w:val="18"/>
          <w:lang w:val="fr-CA"/>
        </w:rPr>
        <w:t>’</w:t>
      </w:r>
      <w:r w:rsidR="00CA3D49" w:rsidRPr="00990245">
        <w:rPr>
          <w:szCs w:val="18"/>
          <w:lang w:val="fr-CA"/>
        </w:rPr>
        <w:t>évaluer, dans le cours de ses activités, les risques de perpétration d</w:t>
      </w:r>
      <w:r w:rsidR="00CA3D49">
        <w:rPr>
          <w:szCs w:val="18"/>
          <w:lang w:val="fr-CA"/>
        </w:rPr>
        <w:t>’</w:t>
      </w:r>
      <w:r w:rsidR="00CA3D49" w:rsidRPr="00990245">
        <w:rPr>
          <w:szCs w:val="18"/>
          <w:lang w:val="fr-CA"/>
        </w:rPr>
        <w:t>infractions de recyclage des produits de la criminalité et d</w:t>
      </w:r>
      <w:r w:rsidR="00CA3D49">
        <w:rPr>
          <w:szCs w:val="18"/>
          <w:lang w:val="fr-CA"/>
        </w:rPr>
        <w:t>’</w:t>
      </w:r>
      <w:r w:rsidR="00CA3D49" w:rsidRPr="00990245">
        <w:rPr>
          <w:szCs w:val="18"/>
          <w:lang w:val="fr-CA"/>
        </w:rPr>
        <w:t>infractions de financement des activités terroristes.</w:t>
      </w:r>
      <w:r w:rsidR="00CA3D49" w:rsidRPr="00990245">
        <w:rPr>
          <w:sz w:val="18"/>
          <w:szCs w:val="18"/>
          <w:lang w:val="fr-CA"/>
        </w:rPr>
        <w:t xml:space="preserve"> </w:t>
      </w:r>
    </w:p>
    <w:p w:rsidR="00CA3D49" w:rsidRPr="00990245" w:rsidRDefault="00AE732E" w:rsidP="00AE732E">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(3) </w:t>
      </w:r>
      <w:r w:rsidR="00CA3D49" w:rsidRPr="00990245">
        <w:rPr>
          <w:szCs w:val="18"/>
          <w:lang w:val="fr-CA"/>
        </w:rPr>
        <w:t>Si elle estime que les risques visés au paragraphe</w:t>
      </w:r>
      <w:r w:rsidR="00601B6E">
        <w:rPr>
          <w:szCs w:val="18"/>
          <w:lang w:val="fr-CA"/>
        </w:rPr>
        <w:t xml:space="preserve"> </w:t>
      </w:r>
      <w:r w:rsidR="00CA3D49" w:rsidRPr="00990245">
        <w:rPr>
          <w:szCs w:val="18"/>
          <w:lang w:val="fr-CA"/>
        </w:rPr>
        <w:t>(2) sont élevés, la personne ou entité prend, relativement aux activités en cause, les mesures spéciales réglementaires relatives à l</w:t>
      </w:r>
      <w:r w:rsidR="00CA3D49">
        <w:rPr>
          <w:szCs w:val="18"/>
          <w:lang w:val="fr-CA"/>
        </w:rPr>
        <w:t>’</w:t>
      </w:r>
      <w:r w:rsidR="00CA3D49" w:rsidRPr="00990245">
        <w:rPr>
          <w:szCs w:val="18"/>
          <w:lang w:val="fr-CA"/>
        </w:rPr>
        <w:t xml:space="preserve">identification des clients, à la tenue des documents et au contrôle des opérations financières. </w:t>
      </w:r>
      <w:r w:rsidR="00CA3D49" w:rsidRPr="00990245">
        <w:rPr>
          <w:lang w:val="fr-CA"/>
        </w:rPr>
        <w:t>[</w:t>
      </w:r>
      <w:proofErr w:type="spellStart"/>
      <w:proofErr w:type="gramStart"/>
      <w:r w:rsidR="00CA3D49" w:rsidRPr="00990245">
        <w:rPr>
          <w:lang w:val="fr-CA"/>
        </w:rPr>
        <w:t>mod</w:t>
      </w:r>
      <w:proofErr w:type="spellEnd"/>
      <w:proofErr w:type="gramEnd"/>
      <w:r w:rsidR="00CA3D49" w:rsidRPr="00990245">
        <w:rPr>
          <w:lang w:val="fr-CA"/>
        </w:rPr>
        <w:t>. par L.C. 2010, c.</w:t>
      </w:r>
      <w:r w:rsidR="00601B6E">
        <w:rPr>
          <w:lang w:val="fr-CA"/>
        </w:rPr>
        <w:t xml:space="preserve"> </w:t>
      </w:r>
      <w:r w:rsidR="00CA3D49" w:rsidRPr="00990245">
        <w:rPr>
          <w:lang w:val="fr-CA"/>
        </w:rPr>
        <w:t>12, art.</w:t>
      </w:r>
      <w:r w:rsidR="00601B6E">
        <w:rPr>
          <w:lang w:val="fr-CA"/>
        </w:rPr>
        <w:t xml:space="preserve"> </w:t>
      </w:r>
      <w:r w:rsidR="00CA3D49" w:rsidRPr="00990245">
        <w:rPr>
          <w:lang w:val="fr-CA"/>
        </w:rPr>
        <w:t>1865, entré en vigueur le 18</w:t>
      </w:r>
      <w:r w:rsidR="00601B6E">
        <w:rPr>
          <w:lang w:val="fr-CA"/>
        </w:rPr>
        <w:t xml:space="preserve"> </w:t>
      </w:r>
      <w:r w:rsidR="00CA3D49" w:rsidRPr="00990245">
        <w:rPr>
          <w:lang w:val="fr-CA"/>
        </w:rPr>
        <w:t xml:space="preserve">juin 2014] </w:t>
      </w:r>
    </w:p>
    <w:p w:rsidR="00CA3D49" w:rsidRPr="00990245" w:rsidRDefault="00AE732E" w:rsidP="00AE732E">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10.1</w:t>
      </w:r>
      <w:r w:rsidR="00CA3D49" w:rsidRPr="00990245">
        <w:rPr>
          <w:lang w:val="fr-CA"/>
        </w:rPr>
        <w:t xml:space="preserve"> </w:t>
      </w:r>
      <w:r w:rsidR="00CA3D49" w:rsidRPr="00AE732E">
        <w:rPr>
          <w:lang w:val="fr-CA"/>
        </w:rPr>
        <w:t>Les</w:t>
      </w:r>
      <w:r w:rsidR="00CA3D49" w:rsidRPr="00990245">
        <w:rPr>
          <w:szCs w:val="18"/>
          <w:lang w:val="fr-CA"/>
        </w:rPr>
        <w:t xml:space="preserve"> articles</w:t>
      </w:r>
      <w:r w:rsidR="00601B6E">
        <w:rPr>
          <w:szCs w:val="18"/>
          <w:lang w:val="fr-CA"/>
        </w:rPr>
        <w:t xml:space="preserve"> </w:t>
      </w:r>
      <w:r w:rsidR="00CA3D49" w:rsidRPr="00990245">
        <w:rPr>
          <w:szCs w:val="18"/>
          <w:lang w:val="fr-CA"/>
        </w:rPr>
        <w:t>7 et 9 ne s</w:t>
      </w:r>
      <w:r w:rsidR="00CA3D49">
        <w:rPr>
          <w:szCs w:val="18"/>
          <w:lang w:val="fr-CA"/>
        </w:rPr>
        <w:t>’</w:t>
      </w:r>
      <w:r w:rsidR="00CA3D49" w:rsidRPr="00990245">
        <w:rPr>
          <w:szCs w:val="18"/>
          <w:lang w:val="fr-CA"/>
        </w:rPr>
        <w:t>appliquent pas aux personnes ni aux entités visées aux alinéas 5</w:t>
      </w:r>
      <w:r w:rsidR="00CA3D49" w:rsidRPr="00990245">
        <w:rPr>
          <w:rStyle w:val="Emphasis"/>
          <w:szCs w:val="18"/>
          <w:lang w:val="fr-CA"/>
        </w:rPr>
        <w:t>i</w:t>
      </w:r>
      <w:r w:rsidR="00CA3D49" w:rsidRPr="00990245">
        <w:rPr>
          <w:szCs w:val="18"/>
          <w:lang w:val="fr-CA"/>
        </w:rPr>
        <w:t xml:space="preserve">) ou </w:t>
      </w:r>
      <w:r w:rsidR="00CA3D49" w:rsidRPr="00990245">
        <w:rPr>
          <w:rStyle w:val="Emphasis"/>
          <w:szCs w:val="18"/>
          <w:lang w:val="fr-CA"/>
        </w:rPr>
        <w:t>j</w:t>
      </w:r>
      <w:r w:rsidR="00CA3D49" w:rsidRPr="00990245">
        <w:rPr>
          <w:szCs w:val="18"/>
          <w:lang w:val="fr-CA"/>
        </w:rPr>
        <w:t>) qui sont, selon le cas, des conseillers juridiques ou des cabinets juridiques, lorsqu</w:t>
      </w:r>
      <w:r w:rsidR="00CA3D49">
        <w:rPr>
          <w:szCs w:val="18"/>
          <w:lang w:val="fr-CA"/>
        </w:rPr>
        <w:t>’</w:t>
      </w:r>
      <w:r w:rsidR="00CA3D49" w:rsidRPr="00990245">
        <w:rPr>
          <w:szCs w:val="18"/>
          <w:lang w:val="fr-CA"/>
        </w:rPr>
        <w:t>elles fournissent des services juridiques</w:t>
      </w:r>
      <w:r w:rsidR="00947DA8">
        <w:rPr>
          <w:sz w:val="18"/>
          <w:szCs w:val="18"/>
          <w:lang w:val="fr-CA"/>
        </w:rPr>
        <w:t>.</w:t>
      </w:r>
    </w:p>
    <w:p w:rsidR="00CA3D49" w:rsidRPr="00990245" w:rsidRDefault="00AE732E" w:rsidP="00AE732E">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62.</w:t>
      </w:r>
      <w:r w:rsidR="00CA3D49" w:rsidRPr="00990245">
        <w:rPr>
          <w:lang w:val="fr-CA"/>
        </w:rPr>
        <w:t xml:space="preserve"> (1) </w:t>
      </w:r>
      <w:r w:rsidR="00CA3D49" w:rsidRPr="00990245">
        <w:rPr>
          <w:szCs w:val="19"/>
          <w:lang w:val="fr-FR"/>
        </w:rPr>
        <w:t>La personne autorisée peut, à l</w:t>
      </w:r>
      <w:r w:rsidR="00CA3D49">
        <w:rPr>
          <w:szCs w:val="19"/>
          <w:lang w:val="fr-FR"/>
        </w:rPr>
        <w:t>’</w:t>
      </w:r>
      <w:r w:rsidR="00CA3D49" w:rsidRPr="00990245">
        <w:rPr>
          <w:szCs w:val="19"/>
          <w:lang w:val="fr-FR"/>
        </w:rPr>
        <w:t xml:space="preserve">occasion, examiner les documents et les </w:t>
      </w:r>
      <w:r w:rsidR="00CA3D49" w:rsidRPr="00AE732E">
        <w:rPr>
          <w:szCs w:val="18"/>
          <w:lang w:val="fr-CA"/>
        </w:rPr>
        <w:t>activités</w:t>
      </w:r>
      <w:r w:rsidR="00CA3D49" w:rsidRPr="00990245">
        <w:rPr>
          <w:szCs w:val="19"/>
          <w:lang w:val="fr-FR"/>
        </w:rPr>
        <w:t xml:space="preserve"> des personnes ou entités visées à l</w:t>
      </w:r>
      <w:r w:rsidR="00CA3D49">
        <w:rPr>
          <w:szCs w:val="19"/>
          <w:lang w:val="fr-FR"/>
        </w:rPr>
        <w:t>’</w:t>
      </w:r>
      <w:r w:rsidR="00CA3D49" w:rsidRPr="00990245">
        <w:rPr>
          <w:szCs w:val="19"/>
          <w:lang w:val="fr-FR"/>
        </w:rPr>
        <w:t>article</w:t>
      </w:r>
      <w:r w:rsidR="00601B6E">
        <w:rPr>
          <w:szCs w:val="19"/>
          <w:lang w:val="fr-FR"/>
        </w:rPr>
        <w:t xml:space="preserve"> </w:t>
      </w:r>
      <w:r w:rsidR="00CA3D49" w:rsidRPr="00990245">
        <w:rPr>
          <w:szCs w:val="19"/>
          <w:lang w:val="fr-FR"/>
        </w:rPr>
        <w:t>5 afin de procéder à des contrôles d</w:t>
      </w:r>
      <w:r w:rsidR="00CA3D49">
        <w:rPr>
          <w:szCs w:val="19"/>
          <w:lang w:val="fr-FR"/>
        </w:rPr>
        <w:t>’</w:t>
      </w:r>
      <w:r w:rsidR="00CA3D49" w:rsidRPr="00990245">
        <w:rPr>
          <w:szCs w:val="19"/>
          <w:lang w:val="fr-FR"/>
        </w:rPr>
        <w:t>application de la partie 1 ou 1.1 et, à cette fin, elle peut</w:t>
      </w:r>
      <w:r w:rsidR="00601B6E">
        <w:rPr>
          <w:szCs w:val="19"/>
          <w:lang w:val="fr-FR"/>
        </w:rPr>
        <w:t> :</w:t>
      </w:r>
      <w:r w:rsidR="00CA3D49" w:rsidRPr="00990245">
        <w:rPr>
          <w:lang w:val="fr-CA"/>
        </w:rPr>
        <w:t xml:space="preserve"> </w:t>
      </w:r>
    </w:p>
    <w:p w:rsidR="00CA3D49" w:rsidRPr="00990245" w:rsidRDefault="00CA3D49" w:rsidP="00AE732E">
      <w:pPr>
        <w:pStyle w:val="Citation-AltC"/>
        <w:spacing w:before="240" w:after="240"/>
        <w:ind w:left="900"/>
        <w:contextualSpacing w:val="0"/>
        <w:rPr>
          <w:lang w:val="fr-CA"/>
        </w:rPr>
      </w:pPr>
      <w:r w:rsidRPr="00990245">
        <w:rPr>
          <w:i/>
          <w:lang w:val="fr-CA"/>
        </w:rPr>
        <w:t>a</w:t>
      </w:r>
      <w:r w:rsidRPr="00990245">
        <w:rPr>
          <w:lang w:val="fr-CA"/>
        </w:rPr>
        <w:t xml:space="preserve">) </w:t>
      </w:r>
      <w:r w:rsidRPr="00990245">
        <w:rPr>
          <w:szCs w:val="19"/>
          <w:lang w:val="fr-FR"/>
        </w:rPr>
        <w:t>pénétrer à toute heure convenable dans tout local, autre qu</w:t>
      </w:r>
      <w:r>
        <w:rPr>
          <w:szCs w:val="19"/>
          <w:lang w:val="fr-FR"/>
        </w:rPr>
        <w:t>’</w:t>
      </w:r>
      <w:r w:rsidRPr="00990245">
        <w:rPr>
          <w:szCs w:val="19"/>
          <w:lang w:val="fr-FR"/>
        </w:rPr>
        <w:t>une habitation, lorsqu</w:t>
      </w:r>
      <w:r>
        <w:rPr>
          <w:szCs w:val="19"/>
          <w:lang w:val="fr-FR"/>
        </w:rPr>
        <w:t>’</w:t>
      </w:r>
      <w:r w:rsidRPr="00990245">
        <w:rPr>
          <w:szCs w:val="19"/>
          <w:lang w:val="fr-FR"/>
        </w:rPr>
        <w:t>elle a des motifs raisonnables de croire que s</w:t>
      </w:r>
      <w:r>
        <w:rPr>
          <w:szCs w:val="19"/>
          <w:lang w:val="fr-FR"/>
        </w:rPr>
        <w:t>’</w:t>
      </w:r>
      <w:r w:rsidRPr="00990245">
        <w:rPr>
          <w:szCs w:val="19"/>
          <w:lang w:val="fr-FR"/>
        </w:rPr>
        <w:t>y trouvent des documents utiles à l</w:t>
      </w:r>
      <w:r>
        <w:rPr>
          <w:szCs w:val="19"/>
          <w:lang w:val="fr-FR"/>
        </w:rPr>
        <w:t>’</w:t>
      </w:r>
      <w:r w:rsidRPr="00990245">
        <w:rPr>
          <w:szCs w:val="19"/>
          <w:lang w:val="fr-FR"/>
        </w:rPr>
        <w:t>application de la partie 1 ou 1.1;</w:t>
      </w:r>
      <w:r w:rsidRPr="00990245">
        <w:rPr>
          <w:sz w:val="19"/>
          <w:szCs w:val="19"/>
          <w:lang w:val="fr-FR"/>
        </w:rPr>
        <w:t xml:space="preserve"> </w:t>
      </w:r>
    </w:p>
    <w:p w:rsidR="00CA3D49" w:rsidRPr="00990245" w:rsidRDefault="00CA3D49" w:rsidP="00AE732E">
      <w:pPr>
        <w:pStyle w:val="Citation-AltC"/>
        <w:spacing w:before="240" w:after="240"/>
        <w:ind w:left="900"/>
        <w:contextualSpacing w:val="0"/>
        <w:rPr>
          <w:lang w:val="fr-CA"/>
        </w:rPr>
      </w:pPr>
      <w:r w:rsidRPr="00990245">
        <w:rPr>
          <w:i/>
          <w:lang w:val="fr-CA"/>
        </w:rPr>
        <w:t>b</w:t>
      </w:r>
      <w:r w:rsidRPr="00990245">
        <w:rPr>
          <w:lang w:val="fr-CA"/>
        </w:rPr>
        <w:t xml:space="preserve">) </w:t>
      </w:r>
      <w:r w:rsidRPr="00990245">
        <w:rPr>
          <w:szCs w:val="19"/>
          <w:lang w:val="fr-FR"/>
        </w:rPr>
        <w:t>avoir recours à tout système informatique se trouvant dans le local pour vérifier les données qu</w:t>
      </w:r>
      <w:r>
        <w:rPr>
          <w:szCs w:val="19"/>
          <w:lang w:val="fr-FR"/>
        </w:rPr>
        <w:t>’</w:t>
      </w:r>
      <w:r w:rsidRPr="00990245">
        <w:rPr>
          <w:szCs w:val="19"/>
          <w:lang w:val="fr-FR"/>
        </w:rPr>
        <w:t>il contient ou auxquelles il donne accès</w:t>
      </w:r>
      <w:r w:rsidRPr="00990245">
        <w:rPr>
          <w:lang w:val="fr-CA"/>
        </w:rPr>
        <w:t>;</w:t>
      </w:r>
    </w:p>
    <w:p w:rsidR="00CA3D49" w:rsidRPr="00990245" w:rsidRDefault="00CA3D49" w:rsidP="00AE732E">
      <w:pPr>
        <w:pStyle w:val="Citation-AltC"/>
        <w:spacing w:before="240" w:after="240"/>
        <w:ind w:left="900"/>
        <w:contextualSpacing w:val="0"/>
        <w:rPr>
          <w:lang w:val="fr-CA"/>
        </w:rPr>
      </w:pPr>
      <w:r w:rsidRPr="00990245">
        <w:rPr>
          <w:i/>
          <w:lang w:val="fr-CA"/>
        </w:rPr>
        <w:t>c</w:t>
      </w:r>
      <w:r w:rsidRPr="00990245">
        <w:rPr>
          <w:lang w:val="fr-CA"/>
        </w:rPr>
        <w:t xml:space="preserve">) </w:t>
      </w:r>
      <w:r w:rsidRPr="00990245">
        <w:rPr>
          <w:szCs w:val="19"/>
          <w:lang w:val="fr-FR"/>
        </w:rPr>
        <w:t>à partir de ces données, reproduire ou faire reproduire tout document sous forme d</w:t>
      </w:r>
      <w:r>
        <w:rPr>
          <w:szCs w:val="19"/>
          <w:lang w:val="fr-FR"/>
        </w:rPr>
        <w:t>’</w:t>
      </w:r>
      <w:r w:rsidRPr="00990245">
        <w:rPr>
          <w:szCs w:val="19"/>
          <w:lang w:val="fr-FR"/>
        </w:rPr>
        <w:t>imprimé ou toute autre forme intelligible qu</w:t>
      </w:r>
      <w:r>
        <w:rPr>
          <w:szCs w:val="19"/>
          <w:lang w:val="fr-FR"/>
        </w:rPr>
        <w:t>’</w:t>
      </w:r>
      <w:r w:rsidRPr="00990245">
        <w:rPr>
          <w:szCs w:val="19"/>
          <w:lang w:val="fr-FR"/>
        </w:rPr>
        <w:t>elle peut emporter pour examen ou reproduction;</w:t>
      </w:r>
      <w:r w:rsidRPr="00990245">
        <w:rPr>
          <w:lang w:val="fr-CA"/>
        </w:rPr>
        <w:t xml:space="preserve"> </w:t>
      </w:r>
    </w:p>
    <w:p w:rsidR="00CA3D49" w:rsidRPr="00990245" w:rsidRDefault="00CA3D49" w:rsidP="00AE732E">
      <w:pPr>
        <w:pStyle w:val="Citation-AltC"/>
        <w:spacing w:before="240" w:after="240"/>
        <w:ind w:left="900"/>
        <w:contextualSpacing w:val="0"/>
        <w:rPr>
          <w:lang w:val="fr-CA"/>
        </w:rPr>
      </w:pPr>
      <w:r w:rsidRPr="00990245">
        <w:rPr>
          <w:i/>
          <w:lang w:val="fr-CA"/>
        </w:rPr>
        <w:t>d</w:t>
      </w:r>
      <w:r w:rsidRPr="00990245">
        <w:rPr>
          <w:lang w:val="fr-CA"/>
        </w:rPr>
        <w:t xml:space="preserve">) utiliser ou </w:t>
      </w:r>
      <w:r w:rsidRPr="00AE732E">
        <w:rPr>
          <w:szCs w:val="19"/>
          <w:lang w:val="fr-FR"/>
        </w:rPr>
        <w:t>faire</w:t>
      </w:r>
      <w:r w:rsidRPr="00990245">
        <w:rPr>
          <w:lang w:val="fr-CA"/>
        </w:rPr>
        <w:t xml:space="preserve"> utiliser les appareils de reprographie se trouvant sur place pour faire des copies de tout document. </w:t>
      </w:r>
    </w:p>
    <w:p w:rsidR="00CA3D49" w:rsidRPr="00990245" w:rsidRDefault="00AE732E" w:rsidP="00AE732E">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(2) </w:t>
      </w:r>
      <w:r w:rsidR="00CA3D49" w:rsidRPr="00990245">
        <w:rPr>
          <w:szCs w:val="19"/>
          <w:lang w:val="fr-FR"/>
        </w:rPr>
        <w:t>L</w:t>
      </w:r>
      <w:r w:rsidR="00CA3D49">
        <w:rPr>
          <w:szCs w:val="19"/>
          <w:lang w:val="fr-FR"/>
        </w:rPr>
        <w:t>’</w:t>
      </w:r>
      <w:r w:rsidR="00CA3D49" w:rsidRPr="00990245">
        <w:rPr>
          <w:szCs w:val="19"/>
          <w:lang w:val="fr-FR"/>
        </w:rPr>
        <w:t>exploitant du local visité, ainsi que quiconque s</w:t>
      </w:r>
      <w:r w:rsidR="00CA3D49">
        <w:rPr>
          <w:szCs w:val="19"/>
          <w:lang w:val="fr-FR"/>
        </w:rPr>
        <w:t>’</w:t>
      </w:r>
      <w:r w:rsidR="00CA3D49" w:rsidRPr="00990245">
        <w:rPr>
          <w:szCs w:val="19"/>
          <w:lang w:val="fr-FR"/>
        </w:rPr>
        <w:t>y trouve, est tenu de prêter à la personne autorisée toute l</w:t>
      </w:r>
      <w:r w:rsidR="00CA3D49">
        <w:rPr>
          <w:szCs w:val="19"/>
          <w:lang w:val="fr-FR"/>
        </w:rPr>
        <w:t>’</w:t>
      </w:r>
      <w:r w:rsidR="00CA3D49" w:rsidRPr="00990245">
        <w:rPr>
          <w:szCs w:val="19"/>
          <w:lang w:val="fr-FR"/>
        </w:rPr>
        <w:t>assistance possible dans l</w:t>
      </w:r>
      <w:r w:rsidR="00CA3D49">
        <w:rPr>
          <w:szCs w:val="19"/>
          <w:lang w:val="fr-FR"/>
        </w:rPr>
        <w:t>’</w:t>
      </w:r>
      <w:r w:rsidR="00CA3D49" w:rsidRPr="00990245">
        <w:rPr>
          <w:szCs w:val="19"/>
          <w:lang w:val="fr-FR"/>
        </w:rPr>
        <w:t>exercice de ses fonctions et lui donner les renseignements qu</w:t>
      </w:r>
      <w:r w:rsidR="00CA3D49">
        <w:rPr>
          <w:szCs w:val="19"/>
          <w:lang w:val="fr-FR"/>
        </w:rPr>
        <w:t>’</w:t>
      </w:r>
      <w:r w:rsidR="00CA3D49" w:rsidRPr="00990245">
        <w:rPr>
          <w:szCs w:val="19"/>
          <w:lang w:val="fr-FR"/>
        </w:rPr>
        <w:t>elle peut valablement exiger quant à l</w:t>
      </w:r>
      <w:r w:rsidR="00CA3D49">
        <w:rPr>
          <w:szCs w:val="19"/>
          <w:lang w:val="fr-FR"/>
        </w:rPr>
        <w:t>’</w:t>
      </w:r>
      <w:r w:rsidR="00CA3D49" w:rsidRPr="00990245">
        <w:rPr>
          <w:szCs w:val="19"/>
          <w:lang w:val="fr-FR"/>
        </w:rPr>
        <w:t xml:space="preserve">application de la partie 1 ou 1.1 ou de ses règlements. </w:t>
      </w:r>
      <w:r w:rsidR="00CA3D49" w:rsidRPr="00990245">
        <w:rPr>
          <w:szCs w:val="19"/>
          <w:lang w:val="fr-CA"/>
        </w:rPr>
        <w:t>[</w:t>
      </w:r>
      <w:proofErr w:type="spellStart"/>
      <w:proofErr w:type="gramStart"/>
      <w:r w:rsidR="00CA3D49" w:rsidRPr="00990245">
        <w:rPr>
          <w:szCs w:val="19"/>
          <w:lang w:val="fr-CA"/>
        </w:rPr>
        <w:t>mod</w:t>
      </w:r>
      <w:proofErr w:type="spellEnd"/>
      <w:proofErr w:type="gramEnd"/>
      <w:r w:rsidR="00CA3D49" w:rsidRPr="00990245">
        <w:rPr>
          <w:szCs w:val="19"/>
          <w:lang w:val="fr-CA"/>
        </w:rPr>
        <w:t>. par L.C. 2010, c.</w:t>
      </w:r>
      <w:r w:rsidR="00601B6E">
        <w:rPr>
          <w:szCs w:val="19"/>
          <w:lang w:val="fr-CA"/>
        </w:rPr>
        <w:t xml:space="preserve"> </w:t>
      </w:r>
      <w:r w:rsidR="00CA3D49" w:rsidRPr="00990245">
        <w:rPr>
          <w:szCs w:val="19"/>
          <w:lang w:val="fr-CA"/>
        </w:rPr>
        <w:t>12, art.</w:t>
      </w:r>
      <w:r w:rsidR="00601B6E">
        <w:rPr>
          <w:szCs w:val="19"/>
          <w:lang w:val="fr-CA"/>
        </w:rPr>
        <w:t xml:space="preserve"> </w:t>
      </w:r>
      <w:r w:rsidR="00CA3D49" w:rsidRPr="00990245">
        <w:rPr>
          <w:szCs w:val="19"/>
          <w:lang w:val="fr-CA"/>
        </w:rPr>
        <w:t xml:space="preserve">1882, entré en vigueur le 18 juin 2014] </w:t>
      </w:r>
      <w:r w:rsidR="00CA3D49" w:rsidRPr="00990245">
        <w:rPr>
          <w:lang w:val="fr-CA"/>
        </w:rPr>
        <w:t xml:space="preserve"> </w:t>
      </w:r>
    </w:p>
    <w:p w:rsidR="00CA3D49" w:rsidRPr="00990245" w:rsidRDefault="00AE732E" w:rsidP="00AE732E">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63.</w:t>
      </w:r>
      <w:r w:rsidR="00CA3D49" w:rsidRPr="00990245">
        <w:rPr>
          <w:lang w:val="fr-CA"/>
        </w:rPr>
        <w:t xml:space="preserve"> (1) </w:t>
      </w:r>
      <w:r w:rsidR="00CA3D49" w:rsidRPr="00990245">
        <w:rPr>
          <w:szCs w:val="19"/>
          <w:lang w:val="fr-FR"/>
        </w:rPr>
        <w:t>Dans le cas d</w:t>
      </w:r>
      <w:r w:rsidR="00CA3D49">
        <w:rPr>
          <w:szCs w:val="19"/>
          <w:lang w:val="fr-FR"/>
        </w:rPr>
        <w:t>’</w:t>
      </w:r>
      <w:r w:rsidR="00CA3D49" w:rsidRPr="00990245">
        <w:rPr>
          <w:szCs w:val="19"/>
          <w:lang w:val="fr-FR"/>
        </w:rPr>
        <w:t>une habitation, toutefois, la personne autorisée ne peut procéder à la visite sans l</w:t>
      </w:r>
      <w:r w:rsidR="00CA3D49">
        <w:rPr>
          <w:szCs w:val="19"/>
          <w:lang w:val="fr-FR"/>
        </w:rPr>
        <w:t>’</w:t>
      </w:r>
      <w:r w:rsidR="00CA3D49" w:rsidRPr="00990245">
        <w:rPr>
          <w:szCs w:val="19"/>
          <w:lang w:val="fr-FR"/>
        </w:rPr>
        <w:t>autorisation de l</w:t>
      </w:r>
      <w:r w:rsidR="00CA3D49">
        <w:rPr>
          <w:szCs w:val="19"/>
          <w:lang w:val="fr-FR"/>
        </w:rPr>
        <w:t>’</w:t>
      </w:r>
      <w:r w:rsidR="00CA3D49" w:rsidRPr="00990245">
        <w:rPr>
          <w:szCs w:val="19"/>
          <w:lang w:val="fr-FR"/>
        </w:rPr>
        <w:t>occupant que si elle est munie du mandat prévu au paragraphe</w:t>
      </w:r>
      <w:r w:rsidR="00601B6E">
        <w:rPr>
          <w:szCs w:val="19"/>
          <w:lang w:val="fr-FR"/>
        </w:rPr>
        <w:t xml:space="preserve"> </w:t>
      </w:r>
      <w:r w:rsidR="00CA3D49" w:rsidRPr="00990245">
        <w:rPr>
          <w:szCs w:val="19"/>
          <w:lang w:val="fr-FR"/>
        </w:rPr>
        <w:t>(2).</w:t>
      </w:r>
      <w:r w:rsidR="00CA3D49" w:rsidRPr="00990245">
        <w:rPr>
          <w:lang w:val="fr-CA"/>
        </w:rPr>
        <w:t xml:space="preserve"> </w:t>
      </w:r>
    </w:p>
    <w:p w:rsidR="00CA3D49" w:rsidRPr="00990245" w:rsidRDefault="00AE732E" w:rsidP="00AE732E">
      <w:pPr>
        <w:pStyle w:val="Citation-AltC"/>
        <w:tabs>
          <w:tab w:val="left" w:pos="900"/>
          <w:tab w:val="left" w:pos="1440"/>
        </w:tabs>
        <w:spacing w:before="240" w:after="240"/>
        <w:ind w:left="360"/>
        <w:contextualSpacing w:val="0"/>
        <w:rPr>
          <w:lang w:val="fr-CA"/>
        </w:rPr>
      </w:pPr>
      <w:r>
        <w:rPr>
          <w:lang w:val="fr-CA"/>
        </w:rPr>
        <w:lastRenderedPageBreak/>
        <w:tab/>
      </w:r>
      <w:r w:rsidR="00CA3D49" w:rsidRPr="00990245">
        <w:rPr>
          <w:lang w:val="fr-CA"/>
        </w:rPr>
        <w:t xml:space="preserve">(2) </w:t>
      </w:r>
      <w:r w:rsidR="00CA3D49" w:rsidRPr="00990245">
        <w:rPr>
          <w:szCs w:val="19"/>
          <w:lang w:val="fr-FR"/>
        </w:rPr>
        <w:t xml:space="preserve">Sur demande </w:t>
      </w:r>
      <w:r w:rsidR="00CA3D49" w:rsidRPr="00990245">
        <w:rPr>
          <w:rStyle w:val="otherlang"/>
          <w:szCs w:val="19"/>
          <w:lang w:val="la-Latn"/>
        </w:rPr>
        <w:t>ex parte</w:t>
      </w:r>
      <w:r w:rsidR="00CA3D49" w:rsidRPr="00990245">
        <w:rPr>
          <w:szCs w:val="19"/>
          <w:lang w:val="fr-FR"/>
        </w:rPr>
        <w:t>, le juge de paix peut délivrer un mandat autorisant, sous réserve des conditions éventuellement fixées, la personne autorisée à procéder à la visite d</w:t>
      </w:r>
      <w:r w:rsidR="00CA3D49">
        <w:rPr>
          <w:szCs w:val="19"/>
          <w:lang w:val="fr-FR"/>
        </w:rPr>
        <w:t>’</w:t>
      </w:r>
      <w:r w:rsidR="00CA3D49" w:rsidRPr="00990245">
        <w:rPr>
          <w:szCs w:val="19"/>
          <w:lang w:val="fr-FR"/>
        </w:rPr>
        <w:t>une habitation s</w:t>
      </w:r>
      <w:r w:rsidR="00CA3D49">
        <w:rPr>
          <w:szCs w:val="19"/>
          <w:lang w:val="fr-FR"/>
        </w:rPr>
        <w:t>’</w:t>
      </w:r>
      <w:r w:rsidR="00CA3D49" w:rsidRPr="00990245">
        <w:rPr>
          <w:szCs w:val="19"/>
          <w:lang w:val="fr-FR"/>
        </w:rPr>
        <w:t>il est convaincu, sur la foi d</w:t>
      </w:r>
      <w:r w:rsidR="00CA3D49">
        <w:rPr>
          <w:szCs w:val="19"/>
          <w:lang w:val="fr-FR"/>
        </w:rPr>
        <w:t>’</w:t>
      </w:r>
      <w:r w:rsidR="00CA3D49" w:rsidRPr="00990245">
        <w:rPr>
          <w:szCs w:val="19"/>
          <w:lang w:val="fr-FR"/>
        </w:rPr>
        <w:t>une dénonciation sous serment, que sont réunies les conditions suivantes</w:t>
      </w:r>
      <w:r w:rsidR="00601B6E">
        <w:rPr>
          <w:szCs w:val="19"/>
          <w:lang w:val="fr-FR"/>
        </w:rPr>
        <w:t> :</w:t>
      </w:r>
      <w:r w:rsidR="00CA3D49" w:rsidRPr="00990245">
        <w:rPr>
          <w:sz w:val="19"/>
          <w:szCs w:val="19"/>
          <w:lang w:val="fr-FR"/>
        </w:rPr>
        <w:t xml:space="preserve"> </w:t>
      </w:r>
    </w:p>
    <w:p w:rsidR="00CA3D49" w:rsidRPr="00990245" w:rsidRDefault="00CA3D49" w:rsidP="00AE732E">
      <w:pPr>
        <w:pStyle w:val="Citation-AltC"/>
        <w:spacing w:before="240" w:after="240"/>
        <w:ind w:left="900"/>
        <w:contextualSpacing w:val="0"/>
        <w:rPr>
          <w:lang w:val="fr-CA"/>
        </w:rPr>
      </w:pPr>
      <w:r w:rsidRPr="00990245">
        <w:rPr>
          <w:i/>
          <w:lang w:val="fr-CA"/>
        </w:rPr>
        <w:t>a</w:t>
      </w:r>
      <w:r w:rsidRPr="00990245">
        <w:rPr>
          <w:lang w:val="fr-CA"/>
        </w:rPr>
        <w:t>) il y a des motifs raisonnables de croire que s</w:t>
      </w:r>
      <w:r>
        <w:rPr>
          <w:lang w:val="fr-CA"/>
        </w:rPr>
        <w:t>’</w:t>
      </w:r>
      <w:r w:rsidRPr="00990245">
        <w:rPr>
          <w:lang w:val="fr-CA"/>
        </w:rPr>
        <w:t>y trouvent des documents utiles pour l</w:t>
      </w:r>
      <w:r>
        <w:rPr>
          <w:lang w:val="fr-CA"/>
        </w:rPr>
        <w:t>’</w:t>
      </w:r>
      <w:r w:rsidRPr="00990245">
        <w:rPr>
          <w:lang w:val="fr-CA"/>
        </w:rPr>
        <w:t>application de la partie</w:t>
      </w:r>
      <w:r w:rsidR="00601B6E">
        <w:rPr>
          <w:lang w:val="fr-CA"/>
        </w:rPr>
        <w:t xml:space="preserve"> </w:t>
      </w:r>
      <w:r w:rsidRPr="00990245">
        <w:rPr>
          <w:lang w:val="fr-CA"/>
        </w:rPr>
        <w:t>1 ou 1.1;</w:t>
      </w:r>
    </w:p>
    <w:p w:rsidR="00CA3D49" w:rsidRPr="00990245" w:rsidRDefault="00CA3D49" w:rsidP="00AE732E">
      <w:pPr>
        <w:pStyle w:val="Citation-AltC"/>
        <w:spacing w:before="240" w:after="240"/>
        <w:ind w:left="900"/>
        <w:contextualSpacing w:val="0"/>
        <w:rPr>
          <w:lang w:val="fr-CA"/>
        </w:rPr>
      </w:pPr>
      <w:r w:rsidRPr="00990245">
        <w:rPr>
          <w:i/>
          <w:lang w:val="fr-CA"/>
        </w:rPr>
        <w:t>b</w:t>
      </w:r>
      <w:r w:rsidRPr="00990245">
        <w:rPr>
          <w:lang w:val="fr-CA"/>
        </w:rPr>
        <w:t xml:space="preserve">) </w:t>
      </w:r>
      <w:r w:rsidRPr="00990245">
        <w:rPr>
          <w:szCs w:val="19"/>
          <w:lang w:val="fr-FR"/>
        </w:rPr>
        <w:t xml:space="preserve">la </w:t>
      </w:r>
      <w:r w:rsidRPr="00AE732E">
        <w:rPr>
          <w:lang w:val="fr-CA"/>
        </w:rPr>
        <w:t>visite</w:t>
      </w:r>
      <w:r w:rsidRPr="00990245">
        <w:rPr>
          <w:szCs w:val="19"/>
          <w:lang w:val="fr-FR"/>
        </w:rPr>
        <w:t xml:space="preserve"> est nécessaire pour l</w:t>
      </w:r>
      <w:r>
        <w:rPr>
          <w:szCs w:val="19"/>
          <w:lang w:val="fr-FR"/>
        </w:rPr>
        <w:t>’</w:t>
      </w:r>
      <w:r w:rsidRPr="00990245">
        <w:rPr>
          <w:szCs w:val="19"/>
          <w:lang w:val="fr-FR"/>
        </w:rPr>
        <w:t>application de la partie</w:t>
      </w:r>
      <w:r w:rsidR="00601B6E">
        <w:rPr>
          <w:szCs w:val="19"/>
          <w:lang w:val="fr-FR"/>
        </w:rPr>
        <w:t xml:space="preserve"> </w:t>
      </w:r>
      <w:r w:rsidRPr="00990245">
        <w:rPr>
          <w:szCs w:val="19"/>
          <w:lang w:val="fr-FR"/>
        </w:rPr>
        <w:t>1 ou 1.1</w:t>
      </w:r>
      <w:r w:rsidRPr="00990245">
        <w:rPr>
          <w:lang w:val="fr-CA"/>
        </w:rPr>
        <w:t xml:space="preserve">; </w:t>
      </w:r>
    </w:p>
    <w:p w:rsidR="00CA3D49" w:rsidRPr="00990245" w:rsidRDefault="00CA3D49" w:rsidP="00AE732E">
      <w:pPr>
        <w:pStyle w:val="Citation-AltC"/>
        <w:spacing w:before="240" w:after="240"/>
        <w:ind w:left="900"/>
        <w:contextualSpacing w:val="0"/>
        <w:rPr>
          <w:lang w:val="fr-CA"/>
        </w:rPr>
      </w:pPr>
      <w:r w:rsidRPr="00990245">
        <w:rPr>
          <w:i/>
          <w:lang w:val="fr-CA"/>
        </w:rPr>
        <w:t>c</w:t>
      </w:r>
      <w:r w:rsidRPr="00990245">
        <w:rPr>
          <w:lang w:val="fr-CA"/>
        </w:rPr>
        <w:t xml:space="preserve">) </w:t>
      </w:r>
      <w:r w:rsidRPr="00990245">
        <w:rPr>
          <w:szCs w:val="19"/>
          <w:lang w:val="fr-FR"/>
        </w:rPr>
        <w:t xml:space="preserve">un </w:t>
      </w:r>
      <w:r w:rsidRPr="00AE732E">
        <w:rPr>
          <w:lang w:val="fr-CA"/>
        </w:rPr>
        <w:t>refus</w:t>
      </w:r>
      <w:r w:rsidRPr="00990245">
        <w:rPr>
          <w:szCs w:val="19"/>
          <w:lang w:val="fr-FR"/>
        </w:rPr>
        <w:t xml:space="preserve"> a été opposé à la visite ou il y a des motifs raisonnables de croire que tel sera le cas</w:t>
      </w:r>
      <w:r w:rsidRPr="00990245">
        <w:rPr>
          <w:lang w:val="fr-CA"/>
        </w:rPr>
        <w:t xml:space="preserve">. </w:t>
      </w:r>
    </w:p>
    <w:p w:rsidR="00CA3D49" w:rsidRPr="00990245" w:rsidRDefault="00AE732E" w:rsidP="00AE732E">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(3) </w:t>
      </w:r>
      <w:r w:rsidR="00CA3D49" w:rsidRPr="00990245">
        <w:rPr>
          <w:szCs w:val="19"/>
          <w:lang w:val="fr-FR"/>
        </w:rPr>
        <w:t>Il est entendu que, lors de la visite d</w:t>
      </w:r>
      <w:r w:rsidR="00CA3D49">
        <w:rPr>
          <w:szCs w:val="19"/>
          <w:lang w:val="fr-FR"/>
        </w:rPr>
        <w:t>’</w:t>
      </w:r>
      <w:r w:rsidR="00CA3D49" w:rsidRPr="00990245">
        <w:rPr>
          <w:szCs w:val="19"/>
          <w:lang w:val="fr-FR"/>
        </w:rPr>
        <w:t>une habitation, la personne autorisée ne peut visiter que les parties d</w:t>
      </w:r>
      <w:r w:rsidR="00CA3D49">
        <w:rPr>
          <w:szCs w:val="19"/>
          <w:lang w:val="fr-FR"/>
        </w:rPr>
        <w:t>’</w:t>
      </w:r>
      <w:r w:rsidR="00CA3D49" w:rsidRPr="00990245">
        <w:rPr>
          <w:szCs w:val="19"/>
          <w:lang w:val="fr-FR"/>
        </w:rPr>
        <w:t>une pièce où, à son avis, fondé sur des motifs raisonnables, la personne ou l</w:t>
      </w:r>
      <w:r w:rsidR="00CA3D49">
        <w:rPr>
          <w:szCs w:val="19"/>
          <w:lang w:val="fr-FR"/>
        </w:rPr>
        <w:t>’</w:t>
      </w:r>
      <w:r w:rsidR="00CA3D49" w:rsidRPr="00990245">
        <w:rPr>
          <w:szCs w:val="19"/>
          <w:lang w:val="fr-FR"/>
        </w:rPr>
        <w:t>entité visée à l</w:t>
      </w:r>
      <w:r w:rsidR="00CA3D49">
        <w:rPr>
          <w:szCs w:val="19"/>
          <w:lang w:val="fr-FR"/>
        </w:rPr>
        <w:t>’</w:t>
      </w:r>
      <w:r w:rsidR="00CA3D49" w:rsidRPr="00990245">
        <w:rPr>
          <w:szCs w:val="19"/>
          <w:lang w:val="fr-FR"/>
        </w:rPr>
        <w:t>article</w:t>
      </w:r>
      <w:r w:rsidR="00601B6E">
        <w:rPr>
          <w:szCs w:val="19"/>
          <w:lang w:val="fr-FR"/>
        </w:rPr>
        <w:t xml:space="preserve"> </w:t>
      </w:r>
      <w:r w:rsidR="00CA3D49" w:rsidRPr="00990245">
        <w:rPr>
          <w:szCs w:val="19"/>
          <w:lang w:val="fr-FR"/>
        </w:rPr>
        <w:t xml:space="preserve">5 exploite son entreprise ou exerce sa profession ou son activité. </w:t>
      </w:r>
      <w:r w:rsidR="00CA3D49" w:rsidRPr="00990245">
        <w:rPr>
          <w:szCs w:val="19"/>
          <w:lang w:val="fr-CA"/>
        </w:rPr>
        <w:t>[</w:t>
      </w:r>
      <w:proofErr w:type="spellStart"/>
      <w:proofErr w:type="gramStart"/>
      <w:r w:rsidR="00CA3D49" w:rsidRPr="00990245">
        <w:rPr>
          <w:szCs w:val="19"/>
          <w:lang w:val="fr-CA"/>
        </w:rPr>
        <w:t>mod</w:t>
      </w:r>
      <w:proofErr w:type="spellEnd"/>
      <w:proofErr w:type="gramEnd"/>
      <w:r w:rsidR="00CA3D49" w:rsidRPr="00990245">
        <w:rPr>
          <w:szCs w:val="19"/>
          <w:lang w:val="fr-CA"/>
        </w:rPr>
        <w:t>. par L.C. 2010, c.</w:t>
      </w:r>
      <w:r w:rsidR="00601B6E">
        <w:rPr>
          <w:szCs w:val="19"/>
          <w:lang w:val="fr-CA"/>
        </w:rPr>
        <w:t xml:space="preserve"> </w:t>
      </w:r>
      <w:r w:rsidR="00CA3D49" w:rsidRPr="00990245">
        <w:rPr>
          <w:szCs w:val="19"/>
          <w:lang w:val="fr-CA"/>
        </w:rPr>
        <w:t>12, art.</w:t>
      </w:r>
      <w:r w:rsidR="00601B6E">
        <w:rPr>
          <w:szCs w:val="19"/>
          <w:lang w:val="fr-CA"/>
        </w:rPr>
        <w:t xml:space="preserve"> </w:t>
      </w:r>
      <w:r w:rsidR="00CA3D49" w:rsidRPr="00990245">
        <w:rPr>
          <w:szCs w:val="19"/>
          <w:lang w:val="fr-CA"/>
        </w:rPr>
        <w:t>1882, entré en vigueur le 18 juin 2014]</w:t>
      </w:r>
      <w:r w:rsidR="00CA3D49" w:rsidRPr="00990245">
        <w:rPr>
          <w:szCs w:val="19"/>
          <w:lang w:val="fr-FR"/>
        </w:rPr>
        <w:t xml:space="preserve"> </w:t>
      </w:r>
      <w:r w:rsidR="00CA3D49" w:rsidRPr="00990245">
        <w:rPr>
          <w:sz w:val="19"/>
          <w:szCs w:val="19"/>
          <w:lang w:val="fr-FR"/>
        </w:rPr>
        <w:t xml:space="preserve"> </w:t>
      </w:r>
      <w:r w:rsidR="00CA3D49" w:rsidRPr="00990245">
        <w:rPr>
          <w:lang w:val="fr-CA"/>
        </w:rPr>
        <w:t xml:space="preserve"> </w:t>
      </w:r>
    </w:p>
    <w:p w:rsidR="00CA3D49" w:rsidRPr="00990245" w:rsidRDefault="00AE732E" w:rsidP="00AE732E">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63.1</w:t>
      </w:r>
      <w:r w:rsidR="00CA3D49" w:rsidRPr="00990245">
        <w:rPr>
          <w:lang w:val="fr-CA"/>
        </w:rPr>
        <w:t xml:space="preserve"> (1) </w:t>
      </w:r>
      <w:r w:rsidR="00CA3D49" w:rsidRPr="00990245">
        <w:rPr>
          <w:szCs w:val="19"/>
          <w:lang w:val="fr-FR"/>
        </w:rPr>
        <w:t>La personne autorisée peut en outre, dans le cadre d</w:t>
      </w:r>
      <w:r w:rsidR="00CA3D49">
        <w:rPr>
          <w:szCs w:val="19"/>
          <w:lang w:val="fr-FR"/>
        </w:rPr>
        <w:t>’</w:t>
      </w:r>
      <w:r w:rsidR="00CA3D49" w:rsidRPr="00990245">
        <w:rPr>
          <w:szCs w:val="19"/>
          <w:lang w:val="fr-FR"/>
        </w:rPr>
        <w:t>un examen visé au paragraphe</w:t>
      </w:r>
      <w:r w:rsidR="00601B6E">
        <w:rPr>
          <w:szCs w:val="19"/>
          <w:lang w:val="fr-FR"/>
        </w:rPr>
        <w:t xml:space="preserve"> </w:t>
      </w:r>
      <w:r w:rsidR="00CA3D49" w:rsidRPr="00990245">
        <w:rPr>
          <w:szCs w:val="19"/>
          <w:lang w:val="fr-FR"/>
        </w:rPr>
        <w:t>62(1), par avis signifié, exiger de la personne ou entité qu</w:t>
      </w:r>
      <w:r w:rsidR="00CA3D49">
        <w:rPr>
          <w:szCs w:val="19"/>
          <w:lang w:val="fr-FR"/>
        </w:rPr>
        <w:t>’</w:t>
      </w:r>
      <w:r w:rsidR="00CA3D49" w:rsidRPr="00990245">
        <w:rPr>
          <w:szCs w:val="19"/>
          <w:lang w:val="fr-FR"/>
        </w:rPr>
        <w:t xml:space="preserve">elle </w:t>
      </w:r>
      <w:r w:rsidR="00CA3D49" w:rsidRPr="00AE732E">
        <w:rPr>
          <w:lang w:val="fr-CA"/>
        </w:rPr>
        <w:t>fournisse</w:t>
      </w:r>
      <w:r w:rsidR="00CA3D49" w:rsidRPr="00990245">
        <w:rPr>
          <w:szCs w:val="19"/>
          <w:lang w:val="fr-FR"/>
        </w:rPr>
        <w:t>, au lieu et selon les modalités de temps ou autres qui sont précisés dans l</w:t>
      </w:r>
      <w:r w:rsidR="00CA3D49">
        <w:rPr>
          <w:szCs w:val="19"/>
          <w:lang w:val="fr-FR"/>
        </w:rPr>
        <w:t>’</w:t>
      </w:r>
      <w:r w:rsidR="00CA3D49" w:rsidRPr="00990245">
        <w:rPr>
          <w:szCs w:val="19"/>
          <w:lang w:val="fr-FR"/>
        </w:rPr>
        <w:t>avis, tout document ou autre information utile à l</w:t>
      </w:r>
      <w:r w:rsidR="00CA3D49">
        <w:rPr>
          <w:szCs w:val="19"/>
          <w:lang w:val="fr-FR"/>
        </w:rPr>
        <w:t>’</w:t>
      </w:r>
      <w:r w:rsidR="00CA3D49" w:rsidRPr="00990245">
        <w:rPr>
          <w:szCs w:val="19"/>
          <w:lang w:val="fr-FR"/>
        </w:rPr>
        <w:t>application de la partie</w:t>
      </w:r>
      <w:r w:rsidR="00601B6E">
        <w:rPr>
          <w:szCs w:val="19"/>
          <w:lang w:val="fr-FR"/>
        </w:rPr>
        <w:t xml:space="preserve"> </w:t>
      </w:r>
      <w:r w:rsidR="00CA3D49" w:rsidRPr="00990245">
        <w:rPr>
          <w:szCs w:val="19"/>
          <w:lang w:val="fr-FR"/>
        </w:rPr>
        <w:t>1 ou 1.1, sous forme de données électroniques ou d</w:t>
      </w:r>
      <w:r w:rsidR="00CA3D49">
        <w:rPr>
          <w:szCs w:val="19"/>
          <w:lang w:val="fr-FR"/>
        </w:rPr>
        <w:t>’</w:t>
      </w:r>
      <w:r w:rsidR="00CA3D49" w:rsidRPr="00990245">
        <w:rPr>
          <w:szCs w:val="19"/>
          <w:lang w:val="fr-FR"/>
        </w:rPr>
        <w:t>imprimé, ou sous toute autre forme intelligible.</w:t>
      </w:r>
      <w:r w:rsidR="00CA3D49" w:rsidRPr="00990245">
        <w:rPr>
          <w:lang w:val="fr-CA"/>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(2) </w:t>
      </w:r>
      <w:r w:rsidR="00CA3D49" w:rsidRPr="00990245">
        <w:rPr>
          <w:szCs w:val="19"/>
          <w:lang w:val="fr-CA"/>
        </w:rPr>
        <w:t>La personne ou l</w:t>
      </w:r>
      <w:r w:rsidR="00CA3D49">
        <w:rPr>
          <w:szCs w:val="19"/>
          <w:lang w:val="fr-CA"/>
        </w:rPr>
        <w:t>’</w:t>
      </w:r>
      <w:r w:rsidR="00CA3D49" w:rsidRPr="00990245">
        <w:rPr>
          <w:szCs w:val="19"/>
          <w:lang w:val="fr-CA"/>
        </w:rPr>
        <w:t>entité à qui l</w:t>
      </w:r>
      <w:r w:rsidR="00CA3D49">
        <w:rPr>
          <w:szCs w:val="19"/>
          <w:lang w:val="fr-CA"/>
        </w:rPr>
        <w:t>’</w:t>
      </w:r>
      <w:r w:rsidR="00CA3D49" w:rsidRPr="00990245">
        <w:rPr>
          <w:szCs w:val="19"/>
          <w:lang w:val="fr-CA"/>
        </w:rPr>
        <w:t>avis est signifié doit fournir, en conformité avec celui</w:t>
      </w:r>
      <w:r w:rsidR="00601B6E">
        <w:rPr>
          <w:szCs w:val="19"/>
          <w:lang w:val="fr-CA"/>
        </w:rPr>
        <w:t>-</w:t>
      </w:r>
      <w:r w:rsidR="00CA3D49" w:rsidRPr="00990245">
        <w:rPr>
          <w:szCs w:val="19"/>
          <w:lang w:val="fr-CA"/>
        </w:rPr>
        <w:t>ci, les documents ou autre information que la personne autorisée peut valablement exiger quant à l</w:t>
      </w:r>
      <w:r w:rsidR="00CA3D49">
        <w:rPr>
          <w:szCs w:val="19"/>
          <w:lang w:val="fr-CA"/>
        </w:rPr>
        <w:t>’</w:t>
      </w:r>
      <w:r w:rsidR="00CA3D49" w:rsidRPr="00990245">
        <w:rPr>
          <w:szCs w:val="19"/>
          <w:lang w:val="fr-CA"/>
        </w:rPr>
        <w:t>application de la partie</w:t>
      </w:r>
      <w:r w:rsidR="00601B6E">
        <w:rPr>
          <w:szCs w:val="19"/>
          <w:lang w:val="fr-CA"/>
        </w:rPr>
        <w:t xml:space="preserve"> </w:t>
      </w:r>
      <w:r w:rsidR="00CA3D49" w:rsidRPr="00990245">
        <w:rPr>
          <w:szCs w:val="19"/>
          <w:lang w:val="fr-CA"/>
        </w:rPr>
        <w:t>1 ou 1.1. [</w:t>
      </w:r>
      <w:proofErr w:type="spellStart"/>
      <w:proofErr w:type="gramStart"/>
      <w:r w:rsidR="00CA3D49" w:rsidRPr="00990245">
        <w:rPr>
          <w:szCs w:val="19"/>
          <w:lang w:val="fr-CA"/>
        </w:rPr>
        <w:t>mod</w:t>
      </w:r>
      <w:proofErr w:type="spellEnd"/>
      <w:proofErr w:type="gramEnd"/>
      <w:r w:rsidR="00CA3D49" w:rsidRPr="00990245">
        <w:rPr>
          <w:szCs w:val="19"/>
          <w:lang w:val="fr-CA"/>
        </w:rPr>
        <w:t>. par L.C. 2010, c.</w:t>
      </w:r>
      <w:r w:rsidR="00601B6E">
        <w:rPr>
          <w:szCs w:val="19"/>
          <w:lang w:val="fr-CA"/>
        </w:rPr>
        <w:t xml:space="preserve"> </w:t>
      </w:r>
      <w:r w:rsidR="00CA3D49" w:rsidRPr="00990245">
        <w:rPr>
          <w:szCs w:val="19"/>
          <w:lang w:val="fr-CA"/>
        </w:rPr>
        <w:t>12, art.</w:t>
      </w:r>
      <w:r w:rsidR="00601B6E">
        <w:rPr>
          <w:szCs w:val="19"/>
          <w:lang w:val="fr-CA"/>
        </w:rPr>
        <w:t xml:space="preserve"> </w:t>
      </w:r>
      <w:r w:rsidR="00CA3D49" w:rsidRPr="00990245">
        <w:rPr>
          <w:szCs w:val="19"/>
          <w:lang w:val="fr-CA"/>
        </w:rPr>
        <w:t>1882, entré en vigueur le 18 juin 2014]</w:t>
      </w:r>
      <w:r w:rsidR="00CA3D49" w:rsidRPr="00990245">
        <w:rPr>
          <w:sz w:val="19"/>
          <w:szCs w:val="19"/>
          <w:lang w:val="fr-CA"/>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64.</w:t>
      </w:r>
      <w:r w:rsidR="00CA3D49" w:rsidRPr="00990245">
        <w:rPr>
          <w:lang w:val="fr-CA"/>
        </w:rPr>
        <w:t xml:space="preserve"> (1) </w:t>
      </w:r>
      <w:r w:rsidR="00CA3D49" w:rsidRPr="00990245">
        <w:rPr>
          <w:szCs w:val="19"/>
          <w:lang w:val="fr-CA"/>
        </w:rPr>
        <w:t xml:space="preserve">Au présent article, </w:t>
      </w:r>
      <w:r w:rsidR="00601B6E">
        <w:rPr>
          <w:rStyle w:val="HTMLDefinition"/>
          <w:rFonts w:eastAsiaTheme="minorHAnsi"/>
          <w:szCs w:val="19"/>
          <w:lang w:val="fr-CA"/>
        </w:rPr>
        <w:t>« </w:t>
      </w:r>
      <w:r w:rsidR="00CA3D49" w:rsidRPr="00990245">
        <w:rPr>
          <w:rStyle w:val="HTMLDefinition"/>
          <w:rFonts w:eastAsiaTheme="minorHAnsi"/>
          <w:szCs w:val="19"/>
          <w:lang w:val="fr-CA"/>
        </w:rPr>
        <w:t>juge</w:t>
      </w:r>
      <w:r w:rsidR="00601B6E">
        <w:rPr>
          <w:rStyle w:val="HTMLDefinition"/>
          <w:rFonts w:eastAsiaTheme="minorHAnsi"/>
          <w:szCs w:val="19"/>
          <w:lang w:val="fr-CA"/>
        </w:rPr>
        <w:t> »</w:t>
      </w:r>
      <w:r w:rsidR="00CA3D49" w:rsidRPr="00990245">
        <w:rPr>
          <w:szCs w:val="19"/>
          <w:lang w:val="fr-CA"/>
        </w:rPr>
        <w:t xml:space="preserve"> s</w:t>
      </w:r>
      <w:r w:rsidR="00CA3D49">
        <w:rPr>
          <w:szCs w:val="19"/>
          <w:lang w:val="fr-CA"/>
        </w:rPr>
        <w:t>’</w:t>
      </w:r>
      <w:r w:rsidR="00CA3D49" w:rsidRPr="00990245">
        <w:rPr>
          <w:szCs w:val="19"/>
          <w:lang w:val="fr-CA"/>
        </w:rPr>
        <w:t>entend d</w:t>
      </w:r>
      <w:r w:rsidR="00CA3D49">
        <w:rPr>
          <w:szCs w:val="19"/>
          <w:lang w:val="fr-CA"/>
        </w:rPr>
        <w:t>’</w:t>
      </w:r>
      <w:r w:rsidR="00CA3D49" w:rsidRPr="00990245">
        <w:rPr>
          <w:szCs w:val="19"/>
          <w:lang w:val="fr-CA"/>
        </w:rPr>
        <w:t>un juge d</w:t>
      </w:r>
      <w:r w:rsidR="00CA3D49">
        <w:rPr>
          <w:szCs w:val="19"/>
          <w:lang w:val="fr-CA"/>
        </w:rPr>
        <w:t>’</w:t>
      </w:r>
      <w:r w:rsidR="00CA3D49" w:rsidRPr="00990245">
        <w:rPr>
          <w:szCs w:val="19"/>
          <w:lang w:val="fr-CA"/>
        </w:rPr>
        <w:t>une cour supérieure compétente de la province où l</w:t>
      </w:r>
      <w:r w:rsidR="00CA3D49">
        <w:rPr>
          <w:szCs w:val="19"/>
          <w:lang w:val="fr-CA"/>
        </w:rPr>
        <w:t>’</w:t>
      </w:r>
      <w:r w:rsidR="00CA3D49" w:rsidRPr="00990245">
        <w:rPr>
          <w:szCs w:val="19"/>
          <w:lang w:val="fr-CA"/>
        </w:rPr>
        <w:t>affaire prend naissance ou d</w:t>
      </w:r>
      <w:r w:rsidR="00CA3D49">
        <w:rPr>
          <w:szCs w:val="19"/>
          <w:lang w:val="fr-CA"/>
        </w:rPr>
        <w:t>’</w:t>
      </w:r>
      <w:r w:rsidR="00CA3D49" w:rsidRPr="00990245">
        <w:rPr>
          <w:szCs w:val="19"/>
          <w:lang w:val="fr-CA"/>
        </w:rPr>
        <w:t>un juge de la Cour fédérale.</w:t>
      </w:r>
      <w:r w:rsidR="00CA3D49" w:rsidRPr="00990245">
        <w:rPr>
          <w:lang w:val="fr-CA"/>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(2) </w:t>
      </w:r>
      <w:r w:rsidR="00CA3D49" w:rsidRPr="00990245">
        <w:rPr>
          <w:szCs w:val="19"/>
          <w:lang w:val="fr-CA"/>
        </w:rPr>
        <w:t>Il est interdit à la personne autorisée d</w:t>
      </w:r>
      <w:r w:rsidR="00CA3D49">
        <w:rPr>
          <w:szCs w:val="19"/>
          <w:lang w:val="fr-CA"/>
        </w:rPr>
        <w:t>’</w:t>
      </w:r>
      <w:r w:rsidR="00CA3D49" w:rsidRPr="00990245">
        <w:rPr>
          <w:szCs w:val="19"/>
          <w:lang w:val="fr-CA"/>
        </w:rPr>
        <w:t>examiner ou reproduire un document se trouvant en la possession d</w:t>
      </w:r>
      <w:r w:rsidR="00CA3D49">
        <w:rPr>
          <w:szCs w:val="19"/>
          <w:lang w:val="fr-CA"/>
        </w:rPr>
        <w:t>’</w:t>
      </w:r>
      <w:r w:rsidR="00CA3D49" w:rsidRPr="00990245">
        <w:rPr>
          <w:szCs w:val="19"/>
          <w:lang w:val="fr-CA"/>
        </w:rPr>
        <w:t>un conseiller juridique et à l</w:t>
      </w:r>
      <w:r w:rsidR="00CA3D49">
        <w:rPr>
          <w:szCs w:val="19"/>
          <w:lang w:val="fr-CA"/>
        </w:rPr>
        <w:t>’</w:t>
      </w:r>
      <w:r w:rsidR="00CA3D49" w:rsidRPr="00990245">
        <w:rPr>
          <w:szCs w:val="19"/>
          <w:lang w:val="fr-CA"/>
        </w:rPr>
        <w:t>égard duquel celui</w:t>
      </w:r>
      <w:r w:rsidR="00601B6E">
        <w:rPr>
          <w:szCs w:val="19"/>
          <w:lang w:val="fr-CA"/>
        </w:rPr>
        <w:t>-</w:t>
      </w:r>
      <w:r w:rsidR="00CA3D49" w:rsidRPr="00990245">
        <w:rPr>
          <w:szCs w:val="19"/>
          <w:lang w:val="fr-CA"/>
        </w:rPr>
        <w:t>ci fait valoir le secret professionnel le liant à un client actuel ou antérieur, nommément désigné.</w:t>
      </w:r>
      <w:r w:rsidR="00CA3D49" w:rsidRPr="00990245">
        <w:rPr>
          <w:lang w:val="fr-CA"/>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(3) Le conseiller juridique qui fait valoir le secret professionnel en vertu du paragraphe</w:t>
      </w:r>
      <w:r w:rsidR="00601B6E">
        <w:rPr>
          <w:lang w:val="fr-CA"/>
        </w:rPr>
        <w:t xml:space="preserve"> </w:t>
      </w:r>
      <w:r w:rsidR="00CA3D49" w:rsidRPr="00990245">
        <w:rPr>
          <w:lang w:val="fr-CA"/>
        </w:rPr>
        <w:t>(2) doit</w:t>
      </w:r>
      <w:r w:rsidR="00601B6E">
        <w:rPr>
          <w:lang w:val="fr-CA"/>
        </w:rPr>
        <w:t> :</w:t>
      </w:r>
      <w:r w:rsidR="00CA3D49" w:rsidRPr="00990245">
        <w:rPr>
          <w:lang w:val="fr-CA"/>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a</w:t>
      </w:r>
      <w:r w:rsidRPr="00990245">
        <w:rPr>
          <w:lang w:val="fr-CA"/>
        </w:rPr>
        <w:t xml:space="preserve">) </w:t>
      </w:r>
      <w:r w:rsidRPr="00990245">
        <w:rPr>
          <w:szCs w:val="19"/>
          <w:lang w:val="fr-FR"/>
        </w:rPr>
        <w:t>d</w:t>
      </w:r>
      <w:r>
        <w:rPr>
          <w:szCs w:val="19"/>
          <w:lang w:val="fr-FR"/>
        </w:rPr>
        <w:t>’</w:t>
      </w:r>
      <w:r w:rsidRPr="00990245">
        <w:rPr>
          <w:szCs w:val="19"/>
          <w:lang w:val="fr-FR"/>
        </w:rPr>
        <w:t>une part, mettre sous scellés le document ainsi que tout autre document pour lequel il fait valoir, en même temps, le secret professionnel au nom du même client, bien sceller et marquer le tout, ou, si la personne autorisée et le conseiller juridique en conviennent, faire en sorte que les pages du document soient paraphées et numérotées ou autrement bien marquées;</w:t>
      </w:r>
      <w:r w:rsidRPr="00990245">
        <w:rPr>
          <w:lang w:val="fr-CA"/>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lastRenderedPageBreak/>
        <w:t>b</w:t>
      </w:r>
      <w:r w:rsidRPr="00990245">
        <w:rPr>
          <w:lang w:val="fr-CA"/>
        </w:rPr>
        <w:t xml:space="preserve">) </w:t>
      </w:r>
      <w:r w:rsidRPr="00990245">
        <w:rPr>
          <w:szCs w:val="19"/>
          <w:lang w:val="fr-FR"/>
        </w:rPr>
        <w:t>d</w:t>
      </w:r>
      <w:r>
        <w:rPr>
          <w:szCs w:val="19"/>
          <w:lang w:val="fr-FR"/>
        </w:rPr>
        <w:t>’</w:t>
      </w:r>
      <w:r w:rsidRPr="00990245">
        <w:rPr>
          <w:szCs w:val="19"/>
          <w:lang w:val="fr-FR"/>
        </w:rPr>
        <w:t>autre part, retenir le document et veiller à sa conservation jusqu</w:t>
      </w:r>
      <w:r>
        <w:rPr>
          <w:szCs w:val="19"/>
          <w:lang w:val="fr-FR"/>
        </w:rPr>
        <w:t>’</w:t>
      </w:r>
      <w:r w:rsidRPr="00990245">
        <w:rPr>
          <w:szCs w:val="19"/>
          <w:lang w:val="fr-FR"/>
        </w:rPr>
        <w:t>à ce que, conformément au présent article, le document soit produit devant un juge et une ordonnance rendue concernant le document.</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(4) </w:t>
      </w:r>
      <w:r w:rsidR="00CA3D49" w:rsidRPr="000F5CF8">
        <w:rPr>
          <w:lang w:val="fr-CA"/>
        </w:rPr>
        <w:t>Lorsqu’un</w:t>
      </w:r>
      <w:r w:rsidR="00CA3D49" w:rsidRPr="00990245">
        <w:rPr>
          <w:szCs w:val="19"/>
          <w:lang w:val="fr-FR"/>
        </w:rPr>
        <w:t xml:space="preserve"> document a été placé sous scellés conformément au paragraphe</w:t>
      </w:r>
      <w:r w:rsidR="00601B6E">
        <w:rPr>
          <w:szCs w:val="19"/>
          <w:lang w:val="fr-FR"/>
        </w:rPr>
        <w:t xml:space="preserve"> </w:t>
      </w:r>
      <w:r w:rsidR="00CA3D49" w:rsidRPr="00990245">
        <w:rPr>
          <w:szCs w:val="19"/>
          <w:lang w:val="fr-FR"/>
        </w:rPr>
        <w:t>(3), le client ou le conseiller juridique, au nom de celui</w:t>
      </w:r>
      <w:r w:rsidR="00601B6E">
        <w:rPr>
          <w:szCs w:val="19"/>
          <w:lang w:val="fr-FR"/>
        </w:rPr>
        <w:t>-</w:t>
      </w:r>
      <w:r w:rsidR="00CA3D49" w:rsidRPr="00990245">
        <w:rPr>
          <w:szCs w:val="19"/>
          <w:lang w:val="fr-FR"/>
        </w:rPr>
        <w:t>ci, peut</w:t>
      </w:r>
      <w:r w:rsidR="00601B6E">
        <w:rPr>
          <w:szCs w:val="19"/>
          <w:lang w:val="fr-FR"/>
        </w:rPr>
        <w:t> :</w:t>
      </w:r>
      <w:r w:rsidR="00CA3D49"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a</w:t>
      </w:r>
      <w:r w:rsidRPr="00990245">
        <w:rPr>
          <w:lang w:val="fr-CA"/>
        </w:rPr>
        <w:t xml:space="preserve">) </w:t>
      </w:r>
      <w:r w:rsidRPr="00990245">
        <w:rPr>
          <w:szCs w:val="19"/>
          <w:lang w:val="fr-FR"/>
        </w:rPr>
        <w:t>dans un délai de quatorze jours à compter de la date où le document a été placé sous scellés, demander à un juge, moyennant un avis de présentation de trois jours adressé au sous</w:t>
      </w:r>
      <w:r w:rsidR="00601B6E">
        <w:rPr>
          <w:szCs w:val="19"/>
          <w:lang w:val="fr-FR"/>
        </w:rPr>
        <w:t>-</w:t>
      </w:r>
      <w:r w:rsidRPr="00990245">
        <w:rPr>
          <w:szCs w:val="19"/>
          <w:lang w:val="fr-FR"/>
        </w:rPr>
        <w:t>procureur général du Canada, de rendre une ordonnance</w:t>
      </w:r>
      <w:r w:rsidR="00601B6E">
        <w:rPr>
          <w:szCs w:val="19"/>
          <w:lang w:val="fr-FR"/>
        </w:rPr>
        <w:t> :</w:t>
      </w:r>
      <w:r w:rsidRPr="00990245">
        <w:rPr>
          <w:lang w:val="fr-CA"/>
        </w:rPr>
        <w:t xml:space="preserve"> </w:t>
      </w:r>
    </w:p>
    <w:p w:rsidR="00CA3D49" w:rsidRPr="00990245" w:rsidRDefault="00CA3D49" w:rsidP="000F5CF8">
      <w:pPr>
        <w:pStyle w:val="Citation-AltC"/>
        <w:spacing w:before="240" w:after="240"/>
        <w:ind w:left="1440"/>
        <w:contextualSpacing w:val="0"/>
        <w:rPr>
          <w:lang w:val="fr-CA"/>
        </w:rPr>
      </w:pPr>
      <w:r w:rsidRPr="00990245">
        <w:rPr>
          <w:lang w:val="fr-CA"/>
        </w:rPr>
        <w:t xml:space="preserve">(i) </w:t>
      </w:r>
      <w:r w:rsidRPr="000F5CF8">
        <w:rPr>
          <w:szCs w:val="18"/>
          <w:lang w:val="fr-CA"/>
        </w:rPr>
        <w:t>fixant</w:t>
      </w:r>
      <w:r w:rsidRPr="00990245">
        <w:rPr>
          <w:szCs w:val="19"/>
          <w:lang w:val="fr-FR"/>
        </w:rPr>
        <w:t xml:space="preserve"> une date, au plus tard vingt et un jours après la date de l</w:t>
      </w:r>
      <w:r>
        <w:rPr>
          <w:szCs w:val="19"/>
          <w:lang w:val="fr-FR"/>
        </w:rPr>
        <w:t>’</w:t>
      </w:r>
      <w:r w:rsidRPr="00990245">
        <w:rPr>
          <w:szCs w:val="19"/>
          <w:lang w:val="fr-FR"/>
        </w:rPr>
        <w:t>ordonnance, et un lieu, où sera tranchée la question de savoir si le client bénéficie du secret professionnel du conseiller juridique en ce qui concerne le document,</w:t>
      </w:r>
      <w:r w:rsidRPr="00990245">
        <w:rPr>
          <w:sz w:val="19"/>
          <w:szCs w:val="19"/>
          <w:lang w:val="fr-FR"/>
        </w:rPr>
        <w:t xml:space="preserve"> </w:t>
      </w:r>
      <w:r w:rsidRPr="00990245">
        <w:rPr>
          <w:lang w:val="fr-CA"/>
        </w:rPr>
        <w:t xml:space="preserve"> </w:t>
      </w:r>
    </w:p>
    <w:p w:rsidR="00CA3D49" w:rsidRPr="00990245" w:rsidRDefault="00CA3D49" w:rsidP="000F5CF8">
      <w:pPr>
        <w:pStyle w:val="Citation-AltC"/>
        <w:spacing w:before="240" w:after="240"/>
        <w:ind w:left="1440"/>
        <w:contextualSpacing w:val="0"/>
        <w:rPr>
          <w:lang w:val="fr-CA"/>
        </w:rPr>
      </w:pPr>
      <w:r w:rsidRPr="00990245">
        <w:rPr>
          <w:lang w:val="fr-CA"/>
        </w:rPr>
        <w:t xml:space="preserve">(ii) </w:t>
      </w:r>
      <w:r w:rsidRPr="000F5CF8">
        <w:rPr>
          <w:szCs w:val="18"/>
          <w:lang w:val="fr-CA"/>
        </w:rPr>
        <w:t>exigeant</w:t>
      </w:r>
      <w:r w:rsidRPr="00990245">
        <w:rPr>
          <w:szCs w:val="19"/>
          <w:lang w:val="fr-FR"/>
        </w:rPr>
        <w:t>, en outre, la présentation du document au juge au moment et au lieu fixés</w:t>
      </w:r>
      <w:r w:rsidRPr="00990245">
        <w:rPr>
          <w:lang w:val="fr-CA"/>
        </w:rPr>
        <w:t>;</w:t>
      </w:r>
    </w:p>
    <w:p w:rsidR="00CA3D49" w:rsidRPr="00990245" w:rsidRDefault="00CA3D49" w:rsidP="000F5CF8">
      <w:pPr>
        <w:pStyle w:val="Citation-AltC"/>
        <w:spacing w:before="240" w:after="240"/>
        <w:ind w:left="900"/>
        <w:contextualSpacing w:val="0"/>
        <w:rPr>
          <w:lang w:val="fr-CA"/>
        </w:rPr>
      </w:pPr>
      <w:r w:rsidRPr="00990245">
        <w:rPr>
          <w:i/>
          <w:lang w:val="fr-CA"/>
        </w:rPr>
        <w:t>b</w:t>
      </w:r>
      <w:r w:rsidRPr="00990245">
        <w:rPr>
          <w:lang w:val="fr-CA"/>
        </w:rPr>
        <w:t>) faire signifier une copie de l</w:t>
      </w:r>
      <w:r>
        <w:rPr>
          <w:lang w:val="fr-CA"/>
        </w:rPr>
        <w:t>’</w:t>
      </w:r>
      <w:r w:rsidRPr="00990245">
        <w:rPr>
          <w:lang w:val="fr-CA"/>
        </w:rPr>
        <w:t>ordonnance au sous</w:t>
      </w:r>
      <w:r w:rsidR="00601B6E">
        <w:rPr>
          <w:lang w:val="fr-CA"/>
        </w:rPr>
        <w:t>-</w:t>
      </w:r>
      <w:r w:rsidRPr="00990245">
        <w:rPr>
          <w:lang w:val="fr-CA"/>
        </w:rPr>
        <w:t xml:space="preserve">procureur général du Canada; </w:t>
      </w:r>
    </w:p>
    <w:p w:rsidR="00CA3D49" w:rsidRPr="00990245" w:rsidRDefault="00CA3D49" w:rsidP="000F5CF8">
      <w:pPr>
        <w:pStyle w:val="Citation-AltC"/>
        <w:spacing w:before="240" w:after="240"/>
        <w:ind w:left="900"/>
        <w:contextualSpacing w:val="0"/>
        <w:rPr>
          <w:lang w:val="fr-CA"/>
        </w:rPr>
      </w:pPr>
      <w:r w:rsidRPr="00990245">
        <w:rPr>
          <w:i/>
          <w:lang w:val="fr-CA"/>
        </w:rPr>
        <w:t>c</w:t>
      </w:r>
      <w:r w:rsidRPr="00990245">
        <w:rPr>
          <w:lang w:val="fr-CA"/>
        </w:rPr>
        <w:t xml:space="preserve">) </w:t>
      </w:r>
      <w:r w:rsidRPr="000F5CF8">
        <w:rPr>
          <w:lang w:val="fr-CA"/>
        </w:rPr>
        <w:t>s’il</w:t>
      </w:r>
      <w:r w:rsidRPr="00990245">
        <w:rPr>
          <w:szCs w:val="19"/>
          <w:lang w:val="fr-FR"/>
        </w:rPr>
        <w:t xml:space="preserve"> a effectué la signification conformément à l</w:t>
      </w:r>
      <w:r>
        <w:rPr>
          <w:szCs w:val="19"/>
          <w:lang w:val="fr-FR"/>
        </w:rPr>
        <w:t>’</w:t>
      </w:r>
      <w:r w:rsidRPr="00990245">
        <w:rPr>
          <w:szCs w:val="19"/>
          <w:lang w:val="fr-FR"/>
        </w:rPr>
        <w:t>alinéa</w:t>
      </w:r>
      <w:r w:rsidR="00601B6E">
        <w:rPr>
          <w:szCs w:val="19"/>
          <w:lang w:val="fr-FR"/>
        </w:rPr>
        <w:t xml:space="preserve"> </w:t>
      </w:r>
      <w:r w:rsidRPr="00990245">
        <w:rPr>
          <w:rStyle w:val="Emphasis"/>
          <w:szCs w:val="19"/>
          <w:lang w:val="fr-FR"/>
        </w:rPr>
        <w:t>b</w:t>
      </w:r>
      <w:r w:rsidRPr="00990245">
        <w:rPr>
          <w:szCs w:val="19"/>
          <w:lang w:val="fr-FR"/>
        </w:rPr>
        <w:t xml:space="preserve">), demander, au moment et au lieu fixés, une ordonnance qui tranche la question.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(5) </w:t>
      </w:r>
      <w:r w:rsidR="00CA3D49" w:rsidRPr="00990245">
        <w:rPr>
          <w:szCs w:val="19"/>
          <w:lang w:val="fr-FR"/>
        </w:rPr>
        <w:t>La demande prévue à l</w:t>
      </w:r>
      <w:r w:rsidR="00CA3D49">
        <w:rPr>
          <w:szCs w:val="19"/>
          <w:lang w:val="fr-FR"/>
        </w:rPr>
        <w:t>’</w:t>
      </w:r>
      <w:r w:rsidR="00CA3D49" w:rsidRPr="00990245">
        <w:rPr>
          <w:szCs w:val="19"/>
          <w:lang w:val="fr-FR"/>
        </w:rPr>
        <w:t>alinéa</w:t>
      </w:r>
      <w:r w:rsidR="00601B6E">
        <w:rPr>
          <w:szCs w:val="19"/>
          <w:lang w:val="fr-FR"/>
        </w:rPr>
        <w:t xml:space="preserve"> </w:t>
      </w:r>
      <w:r w:rsidR="00CA3D49" w:rsidRPr="00990245">
        <w:rPr>
          <w:szCs w:val="19"/>
          <w:lang w:val="fr-FR"/>
        </w:rPr>
        <w:t>(4)</w:t>
      </w:r>
      <w:r w:rsidR="00CA3D49" w:rsidRPr="00990245">
        <w:rPr>
          <w:rStyle w:val="Emphasis"/>
          <w:szCs w:val="19"/>
          <w:lang w:val="fr-FR"/>
        </w:rPr>
        <w:t>c</w:t>
      </w:r>
      <w:r w:rsidR="00CA3D49" w:rsidRPr="00990245">
        <w:rPr>
          <w:szCs w:val="19"/>
          <w:lang w:val="fr-FR"/>
        </w:rPr>
        <w:t>) doit être entendue à huis clos et le juge qui en est saisi</w:t>
      </w:r>
      <w:r w:rsidR="00601B6E">
        <w:rPr>
          <w:szCs w:val="19"/>
          <w:lang w:val="fr-FR"/>
        </w:rPr>
        <w:t> :</w:t>
      </w:r>
      <w:r w:rsidR="00CA3D49"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a</w:t>
      </w:r>
      <w:r w:rsidRPr="00990245">
        <w:rPr>
          <w:lang w:val="fr-CA"/>
        </w:rPr>
        <w:t xml:space="preserve">) </w:t>
      </w:r>
      <w:r w:rsidRPr="00990245">
        <w:rPr>
          <w:szCs w:val="19"/>
          <w:lang w:val="fr-FR"/>
        </w:rPr>
        <w:t>peut examiner le document, s</w:t>
      </w:r>
      <w:r>
        <w:rPr>
          <w:szCs w:val="19"/>
          <w:lang w:val="fr-FR"/>
        </w:rPr>
        <w:t>’</w:t>
      </w:r>
      <w:r w:rsidRPr="00990245">
        <w:rPr>
          <w:szCs w:val="19"/>
          <w:lang w:val="fr-FR"/>
        </w:rPr>
        <w:t>il l</w:t>
      </w:r>
      <w:r>
        <w:rPr>
          <w:szCs w:val="19"/>
          <w:lang w:val="fr-FR"/>
        </w:rPr>
        <w:t>’</w:t>
      </w:r>
      <w:r w:rsidRPr="00990245">
        <w:rPr>
          <w:szCs w:val="19"/>
          <w:lang w:val="fr-FR"/>
        </w:rPr>
        <w:t>estime nécessaire pour statuer sur la question; dans ce cas, il veille ensuite à ce que le document soit remis sous scellés</w:t>
      </w:r>
      <w:r w:rsidRPr="00990245">
        <w:rPr>
          <w:lang w:val="fr-CA"/>
        </w:rPr>
        <w:t>;</w:t>
      </w:r>
    </w:p>
    <w:p w:rsidR="00CA3D49" w:rsidRPr="00990245" w:rsidRDefault="00CA3D49" w:rsidP="000F5CF8">
      <w:pPr>
        <w:pStyle w:val="Citation-AltC"/>
        <w:spacing w:before="240" w:after="240"/>
        <w:ind w:left="900"/>
        <w:contextualSpacing w:val="0"/>
        <w:rPr>
          <w:lang w:val="fr-CA"/>
        </w:rPr>
      </w:pPr>
      <w:r w:rsidRPr="00990245">
        <w:rPr>
          <w:i/>
          <w:lang w:val="fr-CA"/>
        </w:rPr>
        <w:t>b</w:t>
      </w:r>
      <w:r w:rsidRPr="00990245">
        <w:rPr>
          <w:lang w:val="fr-CA"/>
        </w:rPr>
        <w:t xml:space="preserve">) </w:t>
      </w:r>
      <w:r w:rsidRPr="00990245">
        <w:rPr>
          <w:szCs w:val="19"/>
          <w:lang w:val="fr-FR"/>
        </w:rPr>
        <w:t>statue sur la question de façon sommaire et, selon le cas</w:t>
      </w:r>
      <w:r w:rsidR="00601B6E">
        <w:rPr>
          <w:szCs w:val="19"/>
          <w:lang w:val="fr-FR"/>
        </w:rPr>
        <w:t> :</w:t>
      </w:r>
    </w:p>
    <w:p w:rsidR="00CA3D49" w:rsidRPr="00990245" w:rsidRDefault="00CA3D49" w:rsidP="000F5CF8">
      <w:pPr>
        <w:pStyle w:val="Citation-AltC"/>
        <w:spacing w:before="240" w:after="240"/>
        <w:ind w:left="1440"/>
        <w:contextualSpacing w:val="0"/>
        <w:rPr>
          <w:lang w:val="fr-CA"/>
        </w:rPr>
      </w:pPr>
      <w:r w:rsidRPr="00990245">
        <w:rPr>
          <w:lang w:val="fr-CA"/>
        </w:rPr>
        <w:t xml:space="preserve">(i) </w:t>
      </w:r>
      <w:r w:rsidRPr="00990245">
        <w:rPr>
          <w:szCs w:val="19"/>
          <w:lang w:val="fr-FR"/>
        </w:rPr>
        <w:t>il ordonne la restitution du document au conseiller juridique s</w:t>
      </w:r>
      <w:r>
        <w:rPr>
          <w:szCs w:val="19"/>
          <w:lang w:val="fr-FR"/>
        </w:rPr>
        <w:t>’</w:t>
      </w:r>
      <w:r w:rsidRPr="00990245">
        <w:rPr>
          <w:szCs w:val="19"/>
          <w:lang w:val="fr-FR"/>
        </w:rPr>
        <w:t>il est d</w:t>
      </w:r>
      <w:r>
        <w:rPr>
          <w:szCs w:val="19"/>
          <w:lang w:val="fr-FR"/>
        </w:rPr>
        <w:t>’</w:t>
      </w:r>
      <w:r w:rsidRPr="00990245">
        <w:rPr>
          <w:szCs w:val="19"/>
          <w:lang w:val="fr-FR"/>
        </w:rPr>
        <w:t xml:space="preserve">avis que le </w:t>
      </w:r>
      <w:r w:rsidRPr="000F5CF8">
        <w:rPr>
          <w:szCs w:val="18"/>
          <w:lang w:val="fr-CA"/>
        </w:rPr>
        <w:t>client</w:t>
      </w:r>
      <w:r w:rsidRPr="00990245">
        <w:rPr>
          <w:szCs w:val="19"/>
          <w:lang w:val="fr-FR"/>
        </w:rPr>
        <w:t xml:space="preserve"> bénéficie du secret professionnel du conseiller juridique en ce qui concerne le document, </w:t>
      </w:r>
    </w:p>
    <w:p w:rsidR="00CA3D49" w:rsidRPr="00990245" w:rsidRDefault="00CA3D49" w:rsidP="000F5CF8">
      <w:pPr>
        <w:pStyle w:val="Citation-AltC"/>
        <w:spacing w:before="240" w:after="240"/>
        <w:ind w:left="1440"/>
        <w:contextualSpacing w:val="0"/>
        <w:rPr>
          <w:lang w:val="fr-CA"/>
        </w:rPr>
      </w:pPr>
      <w:r w:rsidRPr="00990245">
        <w:rPr>
          <w:lang w:val="fr-CA"/>
        </w:rPr>
        <w:t xml:space="preserve">(ii) </w:t>
      </w:r>
      <w:r w:rsidR="00601B6E">
        <w:rPr>
          <w:szCs w:val="19"/>
          <w:lang w:val="fr-FR"/>
        </w:rPr>
        <w:t xml:space="preserve"> </w:t>
      </w:r>
      <w:r w:rsidRPr="00990245">
        <w:rPr>
          <w:szCs w:val="19"/>
          <w:lang w:val="fr-FR"/>
        </w:rPr>
        <w:t xml:space="preserve">il </w:t>
      </w:r>
      <w:r w:rsidRPr="000F5CF8">
        <w:rPr>
          <w:szCs w:val="18"/>
          <w:lang w:val="fr-CA"/>
        </w:rPr>
        <w:t>ordonne</w:t>
      </w:r>
      <w:r w:rsidRPr="00990245">
        <w:rPr>
          <w:szCs w:val="19"/>
          <w:lang w:val="fr-FR"/>
        </w:rPr>
        <w:t xml:space="preserve"> au conseiller juridique de permettre à la personne autorisée d</w:t>
      </w:r>
      <w:r>
        <w:rPr>
          <w:szCs w:val="19"/>
          <w:lang w:val="fr-FR"/>
        </w:rPr>
        <w:t>’</w:t>
      </w:r>
      <w:r w:rsidRPr="00990245">
        <w:rPr>
          <w:szCs w:val="19"/>
          <w:lang w:val="fr-FR"/>
        </w:rPr>
        <w:t>examiner ou de reproduire le document, dans le cas contraire;</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c</w:t>
      </w:r>
      <w:r w:rsidRPr="00990245">
        <w:rPr>
          <w:lang w:val="fr-CA"/>
        </w:rPr>
        <w:t xml:space="preserve">) </w:t>
      </w:r>
      <w:r w:rsidRPr="00990245">
        <w:rPr>
          <w:szCs w:val="19"/>
          <w:lang w:val="fr-FR"/>
        </w:rPr>
        <w:t>motive brièvement sa décision en indiquant de quel document il s</w:t>
      </w:r>
      <w:r>
        <w:rPr>
          <w:szCs w:val="19"/>
          <w:lang w:val="fr-FR"/>
        </w:rPr>
        <w:t>’</w:t>
      </w:r>
      <w:r w:rsidRPr="00990245">
        <w:rPr>
          <w:szCs w:val="19"/>
          <w:lang w:val="fr-FR"/>
        </w:rPr>
        <w:t>agit sans en révéler les détails.</w:t>
      </w:r>
      <w:r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(6) </w:t>
      </w:r>
      <w:r w:rsidR="00CA3D49" w:rsidRPr="00990245">
        <w:rPr>
          <w:szCs w:val="19"/>
          <w:lang w:val="fr-FR"/>
        </w:rPr>
        <w:t>En cas de mise sous scellés d</w:t>
      </w:r>
      <w:r w:rsidR="00CA3D49">
        <w:rPr>
          <w:szCs w:val="19"/>
          <w:lang w:val="fr-FR"/>
        </w:rPr>
        <w:t>’</w:t>
      </w:r>
      <w:r w:rsidR="00CA3D49" w:rsidRPr="00990245">
        <w:rPr>
          <w:szCs w:val="19"/>
          <w:lang w:val="fr-FR"/>
        </w:rPr>
        <w:t>un document en vertu du paragraphe</w:t>
      </w:r>
      <w:r w:rsidR="00601B6E">
        <w:rPr>
          <w:szCs w:val="19"/>
          <w:lang w:val="fr-FR"/>
        </w:rPr>
        <w:t xml:space="preserve"> </w:t>
      </w:r>
      <w:r w:rsidR="00CA3D49" w:rsidRPr="00990245">
        <w:rPr>
          <w:szCs w:val="19"/>
          <w:lang w:val="fr-FR"/>
        </w:rPr>
        <w:t>(3) et, s</w:t>
      </w:r>
      <w:r w:rsidR="00CA3D49">
        <w:rPr>
          <w:szCs w:val="19"/>
          <w:lang w:val="fr-FR"/>
        </w:rPr>
        <w:t>’</w:t>
      </w:r>
      <w:r w:rsidR="00CA3D49" w:rsidRPr="00990245">
        <w:rPr>
          <w:szCs w:val="19"/>
          <w:lang w:val="fr-FR"/>
        </w:rPr>
        <w:t xml:space="preserve">il est convaincu, sur requête du procureur général du Canada, que ni le client ni </w:t>
      </w:r>
      <w:r w:rsidR="00CA3D49" w:rsidRPr="00990245">
        <w:rPr>
          <w:szCs w:val="19"/>
          <w:lang w:val="fr-FR"/>
        </w:rPr>
        <w:lastRenderedPageBreak/>
        <w:t>le conseiller juridique n</w:t>
      </w:r>
      <w:r w:rsidR="00CA3D49">
        <w:rPr>
          <w:szCs w:val="19"/>
          <w:lang w:val="fr-FR"/>
        </w:rPr>
        <w:t>’</w:t>
      </w:r>
      <w:r w:rsidR="00CA3D49" w:rsidRPr="00990245">
        <w:rPr>
          <w:szCs w:val="19"/>
          <w:lang w:val="fr-FR"/>
        </w:rPr>
        <w:t>a présenté de demande en vertu de l</w:t>
      </w:r>
      <w:r w:rsidR="00CA3D49">
        <w:rPr>
          <w:szCs w:val="19"/>
          <w:lang w:val="fr-FR"/>
        </w:rPr>
        <w:t>’</w:t>
      </w:r>
      <w:r w:rsidR="00CA3D49" w:rsidRPr="00990245">
        <w:rPr>
          <w:szCs w:val="19"/>
          <w:lang w:val="fr-FR"/>
        </w:rPr>
        <w:t>alinéa</w:t>
      </w:r>
      <w:r w:rsidR="00601B6E">
        <w:rPr>
          <w:szCs w:val="19"/>
          <w:lang w:val="fr-FR"/>
        </w:rPr>
        <w:t xml:space="preserve"> </w:t>
      </w:r>
      <w:r w:rsidR="00CA3D49" w:rsidRPr="00990245">
        <w:rPr>
          <w:szCs w:val="19"/>
          <w:lang w:val="fr-FR"/>
        </w:rPr>
        <w:t>(4)</w:t>
      </w:r>
      <w:r w:rsidR="00CA3D49" w:rsidRPr="00990245">
        <w:rPr>
          <w:rStyle w:val="Emphasis"/>
          <w:szCs w:val="19"/>
          <w:lang w:val="fr-FR"/>
        </w:rPr>
        <w:t>a</w:t>
      </w:r>
      <w:r w:rsidR="00CA3D49" w:rsidRPr="00990245">
        <w:rPr>
          <w:szCs w:val="19"/>
          <w:lang w:val="fr-FR"/>
        </w:rPr>
        <w:t>) ou que, en ayant présenté une, ni l</w:t>
      </w:r>
      <w:r w:rsidR="00CA3D49">
        <w:rPr>
          <w:szCs w:val="19"/>
          <w:lang w:val="fr-FR"/>
        </w:rPr>
        <w:t>’</w:t>
      </w:r>
      <w:r w:rsidR="00CA3D49" w:rsidRPr="00990245">
        <w:rPr>
          <w:szCs w:val="19"/>
          <w:lang w:val="fr-FR"/>
        </w:rPr>
        <w:t>un ni l</w:t>
      </w:r>
      <w:r w:rsidR="00CA3D49">
        <w:rPr>
          <w:szCs w:val="19"/>
          <w:lang w:val="fr-FR"/>
        </w:rPr>
        <w:t>’</w:t>
      </w:r>
      <w:r w:rsidR="00CA3D49" w:rsidRPr="00990245">
        <w:rPr>
          <w:szCs w:val="19"/>
          <w:lang w:val="fr-FR"/>
        </w:rPr>
        <w:t>autre n</w:t>
      </w:r>
      <w:r w:rsidR="00CA3D49">
        <w:rPr>
          <w:szCs w:val="19"/>
          <w:lang w:val="fr-FR"/>
        </w:rPr>
        <w:t>’</w:t>
      </w:r>
      <w:r w:rsidR="00CA3D49" w:rsidRPr="00990245">
        <w:rPr>
          <w:szCs w:val="19"/>
          <w:lang w:val="fr-FR"/>
        </w:rPr>
        <w:t>a présenté de demande en vertu de l</w:t>
      </w:r>
      <w:r w:rsidR="00CA3D49">
        <w:rPr>
          <w:szCs w:val="19"/>
          <w:lang w:val="fr-FR"/>
        </w:rPr>
        <w:t>’</w:t>
      </w:r>
      <w:r w:rsidR="00CA3D49" w:rsidRPr="00990245">
        <w:rPr>
          <w:szCs w:val="19"/>
          <w:lang w:val="fr-FR"/>
        </w:rPr>
        <w:t>alinéa</w:t>
      </w:r>
      <w:r w:rsidR="00601B6E">
        <w:rPr>
          <w:szCs w:val="19"/>
          <w:lang w:val="fr-FR"/>
        </w:rPr>
        <w:t xml:space="preserve"> </w:t>
      </w:r>
      <w:r w:rsidR="00CA3D49" w:rsidRPr="00990245">
        <w:rPr>
          <w:szCs w:val="19"/>
          <w:lang w:val="fr-FR"/>
        </w:rPr>
        <w:t>(4)</w:t>
      </w:r>
      <w:r w:rsidR="00CA3D49" w:rsidRPr="00990245">
        <w:rPr>
          <w:rStyle w:val="Emphasis"/>
          <w:szCs w:val="19"/>
          <w:lang w:val="fr-FR"/>
        </w:rPr>
        <w:t>c</w:t>
      </w:r>
      <w:r w:rsidR="00CA3D49" w:rsidRPr="00990245">
        <w:rPr>
          <w:szCs w:val="19"/>
          <w:lang w:val="fr-FR"/>
        </w:rPr>
        <w:t>), le juge saisi ordonne au conseiller juridique de permettre à la personne autorisée d</w:t>
      </w:r>
      <w:r w:rsidR="00CA3D49">
        <w:rPr>
          <w:szCs w:val="19"/>
          <w:lang w:val="fr-FR"/>
        </w:rPr>
        <w:t>’</w:t>
      </w:r>
      <w:r w:rsidR="00CA3D49" w:rsidRPr="00990245">
        <w:rPr>
          <w:szCs w:val="19"/>
          <w:lang w:val="fr-FR"/>
        </w:rPr>
        <w:t>examiner ou de reproduire le document.</w:t>
      </w:r>
      <w:r w:rsidR="00CA3D49"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(7) </w:t>
      </w:r>
      <w:r w:rsidR="00CA3D49" w:rsidRPr="00990245">
        <w:rPr>
          <w:szCs w:val="19"/>
          <w:lang w:val="fr-CA"/>
        </w:rPr>
        <w:t>Lorsque, pour quelque motif, le juge saisi d</w:t>
      </w:r>
      <w:r w:rsidR="00CA3D49">
        <w:rPr>
          <w:szCs w:val="19"/>
          <w:lang w:val="fr-CA"/>
        </w:rPr>
        <w:t>’</w:t>
      </w:r>
      <w:r w:rsidR="00CA3D49" w:rsidRPr="00990245">
        <w:rPr>
          <w:szCs w:val="19"/>
          <w:lang w:val="fr-CA"/>
        </w:rPr>
        <w:t>une demande visée à l</w:t>
      </w:r>
      <w:r w:rsidR="00CA3D49">
        <w:rPr>
          <w:szCs w:val="19"/>
          <w:lang w:val="fr-CA"/>
        </w:rPr>
        <w:t>’</w:t>
      </w:r>
      <w:r w:rsidR="00CA3D49" w:rsidRPr="00990245">
        <w:rPr>
          <w:szCs w:val="19"/>
          <w:lang w:val="fr-CA"/>
        </w:rPr>
        <w:t>alinéa</w:t>
      </w:r>
      <w:r w:rsidR="00601B6E">
        <w:rPr>
          <w:szCs w:val="19"/>
          <w:lang w:val="fr-CA"/>
        </w:rPr>
        <w:t xml:space="preserve"> </w:t>
      </w:r>
      <w:r w:rsidR="00CA3D49" w:rsidRPr="00990245">
        <w:rPr>
          <w:szCs w:val="19"/>
          <w:lang w:val="fr-CA"/>
        </w:rPr>
        <w:t>(4)</w:t>
      </w:r>
      <w:r w:rsidR="00CA3D49" w:rsidRPr="00990245">
        <w:rPr>
          <w:rStyle w:val="Emphasis"/>
          <w:szCs w:val="19"/>
          <w:lang w:val="fr-CA"/>
        </w:rPr>
        <w:t>a</w:t>
      </w:r>
      <w:r w:rsidR="00CA3D49" w:rsidRPr="00990245">
        <w:rPr>
          <w:szCs w:val="19"/>
          <w:lang w:val="fr-CA"/>
        </w:rPr>
        <w:t>) ne peut instruire ou continuer d</w:t>
      </w:r>
      <w:r w:rsidR="00CA3D49">
        <w:rPr>
          <w:szCs w:val="19"/>
          <w:lang w:val="fr-CA"/>
        </w:rPr>
        <w:t>’</w:t>
      </w:r>
      <w:r w:rsidR="00CA3D49" w:rsidRPr="00990245">
        <w:rPr>
          <w:szCs w:val="19"/>
          <w:lang w:val="fr-CA"/>
        </w:rPr>
        <w:t>instruire la demande visée à l</w:t>
      </w:r>
      <w:r w:rsidR="00CA3D49">
        <w:rPr>
          <w:szCs w:val="19"/>
          <w:lang w:val="fr-CA"/>
        </w:rPr>
        <w:t>’</w:t>
      </w:r>
      <w:r w:rsidR="00CA3D49" w:rsidRPr="00990245">
        <w:rPr>
          <w:szCs w:val="19"/>
          <w:lang w:val="fr-CA"/>
        </w:rPr>
        <w:t>alinéa</w:t>
      </w:r>
      <w:r w:rsidR="00601B6E">
        <w:rPr>
          <w:szCs w:val="19"/>
          <w:lang w:val="fr-CA"/>
        </w:rPr>
        <w:t xml:space="preserve"> </w:t>
      </w:r>
      <w:r w:rsidR="00CA3D49" w:rsidRPr="00990245">
        <w:rPr>
          <w:szCs w:val="19"/>
          <w:lang w:val="fr-CA"/>
        </w:rPr>
        <w:t>(4)</w:t>
      </w:r>
      <w:r w:rsidR="00CA3D49" w:rsidRPr="00990245">
        <w:rPr>
          <w:rStyle w:val="Emphasis"/>
          <w:szCs w:val="19"/>
          <w:lang w:val="fr-CA"/>
        </w:rPr>
        <w:t>c</w:t>
      </w:r>
      <w:r w:rsidR="00CA3D49" w:rsidRPr="00990245">
        <w:rPr>
          <w:szCs w:val="19"/>
          <w:lang w:val="fr-CA"/>
        </w:rPr>
        <w:t>), un autre juge peut être saisi de cette dernière.</w:t>
      </w:r>
      <w:r w:rsidR="00CA3D49" w:rsidRPr="00990245">
        <w:rPr>
          <w:sz w:val="19"/>
          <w:szCs w:val="19"/>
          <w:lang w:val="fr-CA"/>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(8) </w:t>
      </w:r>
      <w:r w:rsidR="00CA3D49" w:rsidRPr="00990245">
        <w:rPr>
          <w:szCs w:val="19"/>
          <w:lang w:val="fr-FR"/>
        </w:rPr>
        <w:t>Il ne peut être adjugé de dépens pour la présentation d</w:t>
      </w:r>
      <w:r w:rsidR="00CA3D49">
        <w:rPr>
          <w:szCs w:val="19"/>
          <w:lang w:val="fr-FR"/>
        </w:rPr>
        <w:t>’</w:t>
      </w:r>
      <w:r w:rsidR="00CA3D49" w:rsidRPr="00990245">
        <w:rPr>
          <w:szCs w:val="19"/>
          <w:lang w:val="fr-FR"/>
        </w:rPr>
        <w:t>une demande fondée sur le présent article.</w:t>
      </w:r>
      <w:r w:rsidR="00CA3D49"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(9) </w:t>
      </w:r>
      <w:r w:rsidR="00CA3D49" w:rsidRPr="00990245">
        <w:rPr>
          <w:szCs w:val="19"/>
          <w:lang w:val="fr-CA"/>
        </w:rPr>
        <w:t>La personne autorisée ne doit examiner ou reproduire aucun document sans donner aux intéressés une occasion raisonnable de faire valoir le secret professionnel du conseiller juridique en vertu du paragraphe</w:t>
      </w:r>
      <w:r w:rsidR="00601B6E">
        <w:rPr>
          <w:szCs w:val="19"/>
          <w:lang w:val="fr-CA"/>
        </w:rPr>
        <w:t xml:space="preserve"> </w:t>
      </w:r>
      <w:r w:rsidR="00CA3D49" w:rsidRPr="00990245">
        <w:rPr>
          <w:szCs w:val="19"/>
          <w:lang w:val="fr-CA"/>
        </w:rPr>
        <w:t xml:space="preserve">(2).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(9.1) </w:t>
      </w:r>
      <w:r w:rsidR="00CA3D49" w:rsidRPr="00990245">
        <w:rPr>
          <w:szCs w:val="19"/>
          <w:lang w:val="fr-FR"/>
        </w:rPr>
        <w:t>Il est interdit à la personne autorisée d</w:t>
      </w:r>
      <w:r w:rsidR="00CA3D49">
        <w:rPr>
          <w:szCs w:val="19"/>
          <w:lang w:val="fr-FR"/>
        </w:rPr>
        <w:t>’</w:t>
      </w:r>
      <w:r w:rsidR="00CA3D49" w:rsidRPr="00990245">
        <w:rPr>
          <w:szCs w:val="19"/>
          <w:lang w:val="fr-FR"/>
        </w:rPr>
        <w:t>examiner ou de reproduire un document en la possession d</w:t>
      </w:r>
      <w:r w:rsidR="00CA3D49">
        <w:rPr>
          <w:szCs w:val="19"/>
          <w:lang w:val="fr-FR"/>
        </w:rPr>
        <w:t>’</w:t>
      </w:r>
      <w:r w:rsidR="00CA3D49" w:rsidRPr="00990245">
        <w:rPr>
          <w:szCs w:val="19"/>
          <w:lang w:val="fr-FR"/>
        </w:rPr>
        <w:t>une personne qui n</w:t>
      </w:r>
      <w:r w:rsidR="00CA3D49">
        <w:rPr>
          <w:szCs w:val="19"/>
          <w:lang w:val="fr-FR"/>
        </w:rPr>
        <w:t>’</w:t>
      </w:r>
      <w:r w:rsidR="00CA3D49" w:rsidRPr="00990245">
        <w:rPr>
          <w:szCs w:val="19"/>
          <w:lang w:val="fr-FR"/>
        </w:rPr>
        <w:t>est pas un conseiller juridique mais qui soutient que le document pourrait être visé par le secret professionnel sans donner à celle</w:t>
      </w:r>
      <w:r w:rsidR="00601B6E">
        <w:rPr>
          <w:szCs w:val="19"/>
          <w:lang w:val="fr-FR"/>
        </w:rPr>
        <w:t>-</w:t>
      </w:r>
      <w:r w:rsidR="00CA3D49" w:rsidRPr="00990245">
        <w:rPr>
          <w:szCs w:val="19"/>
          <w:lang w:val="fr-FR"/>
        </w:rPr>
        <w:t>ci une occasion raisonnable de communiquer avec le conseiller juridique visé afin que celui</w:t>
      </w:r>
      <w:r w:rsidR="00601B6E">
        <w:rPr>
          <w:szCs w:val="19"/>
          <w:lang w:val="fr-FR"/>
        </w:rPr>
        <w:t>-</w:t>
      </w:r>
      <w:r w:rsidR="00CA3D49" w:rsidRPr="00990245">
        <w:rPr>
          <w:szCs w:val="19"/>
          <w:lang w:val="fr-FR"/>
        </w:rPr>
        <w:t>ci puisse faire valoir le secret professionnel.</w:t>
      </w:r>
      <w:r w:rsidR="00CA3D49"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(10) </w:t>
      </w:r>
      <w:r w:rsidR="00CA3D49" w:rsidRPr="000F5CF8">
        <w:rPr>
          <w:lang w:val="fr-CA"/>
        </w:rPr>
        <w:t>Le conseiller juridique qui fait valoir au nom d’un client actuel ou antérieur,</w:t>
      </w:r>
      <w:r w:rsidR="00CA3D49" w:rsidRPr="00990245">
        <w:rPr>
          <w:szCs w:val="19"/>
          <w:lang w:val="fr-FR"/>
        </w:rPr>
        <w:t xml:space="preserve"> nommément désigné, le secret professionnel du conseiller juridique en ce qui concerne un document doit en même temps communiquer la dernière adresse connue de ce client à la personne autorisée, afin que celle</w:t>
      </w:r>
      <w:r w:rsidR="00601B6E">
        <w:rPr>
          <w:szCs w:val="19"/>
          <w:lang w:val="fr-FR"/>
        </w:rPr>
        <w:t>-</w:t>
      </w:r>
      <w:r w:rsidR="00CA3D49" w:rsidRPr="00990245">
        <w:rPr>
          <w:szCs w:val="19"/>
          <w:lang w:val="fr-FR"/>
        </w:rPr>
        <w:t>ci puisse, d</w:t>
      </w:r>
      <w:r w:rsidR="00CA3D49">
        <w:rPr>
          <w:szCs w:val="19"/>
          <w:lang w:val="fr-FR"/>
        </w:rPr>
        <w:t>’</w:t>
      </w:r>
      <w:r w:rsidR="00CA3D49" w:rsidRPr="00990245">
        <w:rPr>
          <w:szCs w:val="19"/>
          <w:lang w:val="fr-FR"/>
        </w:rPr>
        <w:t>une part, chercher à informer le client du secret professionnel qui est invoqué en son nom et, d</w:t>
      </w:r>
      <w:r w:rsidR="00CA3D49">
        <w:rPr>
          <w:szCs w:val="19"/>
          <w:lang w:val="fr-FR"/>
        </w:rPr>
        <w:t>’</w:t>
      </w:r>
      <w:r w:rsidR="00CA3D49" w:rsidRPr="00990245">
        <w:rPr>
          <w:szCs w:val="19"/>
          <w:lang w:val="fr-FR"/>
        </w:rPr>
        <w:t>autre part, lui donner l</w:t>
      </w:r>
      <w:r w:rsidR="00CA3D49">
        <w:rPr>
          <w:szCs w:val="19"/>
          <w:lang w:val="fr-FR"/>
        </w:rPr>
        <w:t>’</w:t>
      </w:r>
      <w:r w:rsidR="00CA3D49" w:rsidRPr="00990245">
        <w:rPr>
          <w:szCs w:val="19"/>
          <w:lang w:val="fr-FR"/>
        </w:rPr>
        <w:t>occasion, si la chose est matériellement possible dans le délai mentionné au présent article, de renoncer à faire valoir le secret professionnel avant que la question ne soit soumise à la décision d</w:t>
      </w:r>
      <w:r w:rsidR="00CA3D49">
        <w:rPr>
          <w:szCs w:val="19"/>
          <w:lang w:val="fr-FR"/>
        </w:rPr>
        <w:t>’</w:t>
      </w:r>
      <w:r w:rsidR="00CA3D49" w:rsidRPr="00990245">
        <w:rPr>
          <w:szCs w:val="19"/>
          <w:lang w:val="fr-FR"/>
        </w:rPr>
        <w:t>un juge.</w:t>
      </w:r>
      <w:r w:rsidR="00CA3D49"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65.</w:t>
      </w:r>
      <w:r w:rsidR="00CA3D49" w:rsidRPr="00990245">
        <w:rPr>
          <w:lang w:val="fr-CA"/>
        </w:rPr>
        <w:t xml:space="preserve"> (1) </w:t>
      </w:r>
      <w:r w:rsidR="00CA3D49" w:rsidRPr="00990245">
        <w:rPr>
          <w:szCs w:val="19"/>
          <w:lang w:val="fr-FR"/>
        </w:rPr>
        <w:t>Le Centre peut communiquer aux organismes compétents chargés de l</w:t>
      </w:r>
      <w:r w:rsidR="00CA3D49">
        <w:rPr>
          <w:szCs w:val="19"/>
          <w:lang w:val="fr-FR"/>
        </w:rPr>
        <w:t>’</w:t>
      </w:r>
      <w:r w:rsidR="00CA3D49" w:rsidRPr="00990245">
        <w:rPr>
          <w:szCs w:val="19"/>
          <w:lang w:val="fr-FR"/>
        </w:rPr>
        <w:t>application de la loi tout renseignement dont il prend connaissance au titre du paragraphe (4) ou des articles 62, 63 ou 63.1 et qu</w:t>
      </w:r>
      <w:r w:rsidR="00CA3D49">
        <w:rPr>
          <w:szCs w:val="19"/>
          <w:lang w:val="fr-FR"/>
        </w:rPr>
        <w:t>’</w:t>
      </w:r>
      <w:r w:rsidR="00CA3D49" w:rsidRPr="00990245">
        <w:rPr>
          <w:szCs w:val="19"/>
          <w:lang w:val="fr-FR"/>
        </w:rPr>
        <w:t>il soupçonne, pour des motifs raisonnables, seraient utiles aux fins d</w:t>
      </w:r>
      <w:r w:rsidR="00CA3D49">
        <w:rPr>
          <w:szCs w:val="19"/>
          <w:lang w:val="fr-FR"/>
        </w:rPr>
        <w:t>’</w:t>
      </w:r>
      <w:r w:rsidR="00CA3D49" w:rsidRPr="00990245">
        <w:rPr>
          <w:szCs w:val="19"/>
          <w:lang w:val="fr-FR"/>
        </w:rPr>
        <w:t>enquête ou de poursuite relativement à une infraction prévue par la présente loi qui est liée à une contravention aux parties 1 ou 1.1.</w:t>
      </w:r>
      <w:r w:rsidR="00CA3D49"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(2) </w:t>
      </w:r>
      <w:r w:rsidR="00CA3D49" w:rsidRPr="00990245">
        <w:rPr>
          <w:szCs w:val="19"/>
          <w:lang w:val="fr-FR"/>
        </w:rPr>
        <w:t>Afin d</w:t>
      </w:r>
      <w:r w:rsidR="00CA3D49">
        <w:rPr>
          <w:szCs w:val="19"/>
          <w:lang w:val="fr-FR"/>
        </w:rPr>
        <w:t>’</w:t>
      </w:r>
      <w:r w:rsidR="00CA3D49" w:rsidRPr="00990245">
        <w:rPr>
          <w:szCs w:val="19"/>
          <w:lang w:val="fr-FR"/>
        </w:rPr>
        <w:t>assurer l</w:t>
      </w:r>
      <w:r w:rsidR="00CA3D49">
        <w:rPr>
          <w:szCs w:val="19"/>
          <w:lang w:val="fr-FR"/>
        </w:rPr>
        <w:t>’</w:t>
      </w:r>
      <w:r w:rsidR="00CA3D49" w:rsidRPr="00990245">
        <w:rPr>
          <w:szCs w:val="19"/>
          <w:lang w:val="fr-FR"/>
        </w:rPr>
        <w:t>observation de la partie</w:t>
      </w:r>
      <w:r w:rsidR="00601B6E">
        <w:rPr>
          <w:szCs w:val="19"/>
          <w:lang w:val="fr-FR"/>
        </w:rPr>
        <w:t xml:space="preserve"> </w:t>
      </w:r>
      <w:r w:rsidR="00CA3D49" w:rsidRPr="00990245">
        <w:rPr>
          <w:szCs w:val="19"/>
          <w:lang w:val="fr-FR"/>
        </w:rPr>
        <w:t>1 ou 1.1, le Centre peut communiquer à tout organisme qui réglemente ou supervise des personnes ou entités assujetties à cette partie ou recevoir d</w:t>
      </w:r>
      <w:r w:rsidR="00CA3D49">
        <w:rPr>
          <w:szCs w:val="19"/>
          <w:lang w:val="fr-FR"/>
        </w:rPr>
        <w:t>’</w:t>
      </w:r>
      <w:r w:rsidR="00CA3D49" w:rsidRPr="00990245">
        <w:rPr>
          <w:szCs w:val="19"/>
          <w:lang w:val="fr-FR"/>
        </w:rPr>
        <w:t>un tel organisme des renseignements relatifs à l</w:t>
      </w:r>
      <w:r w:rsidR="00CA3D49">
        <w:rPr>
          <w:szCs w:val="19"/>
          <w:lang w:val="fr-FR"/>
        </w:rPr>
        <w:t>’</w:t>
      </w:r>
      <w:r w:rsidR="00CA3D49" w:rsidRPr="00990245">
        <w:rPr>
          <w:szCs w:val="19"/>
          <w:lang w:val="fr-FR"/>
        </w:rPr>
        <w:t xml:space="preserve">observation de cette partie par ces personnes ou entités.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(3) </w:t>
      </w:r>
      <w:r w:rsidR="00CA3D49" w:rsidRPr="00990245">
        <w:rPr>
          <w:szCs w:val="19"/>
          <w:lang w:val="fr-CA"/>
        </w:rPr>
        <w:t>Les renseignements communiqués par le Centre au titre du paragraphe</w:t>
      </w:r>
      <w:r w:rsidR="00601B6E">
        <w:rPr>
          <w:szCs w:val="19"/>
          <w:lang w:val="fr-CA"/>
        </w:rPr>
        <w:t xml:space="preserve"> </w:t>
      </w:r>
      <w:r w:rsidR="00CA3D49" w:rsidRPr="00990245">
        <w:rPr>
          <w:szCs w:val="19"/>
          <w:lang w:val="fr-CA"/>
        </w:rPr>
        <w:t>(1) ne peuvent être utilisés par un organisme visé à ce paragraphe</w:t>
      </w:r>
      <w:r w:rsidR="00601B6E">
        <w:rPr>
          <w:szCs w:val="19"/>
          <w:lang w:val="fr-CA"/>
        </w:rPr>
        <w:t xml:space="preserve"> </w:t>
      </w:r>
      <w:r w:rsidR="00CA3D49" w:rsidRPr="00990245">
        <w:rPr>
          <w:szCs w:val="19"/>
          <w:lang w:val="fr-CA"/>
        </w:rPr>
        <w:t>qu</w:t>
      </w:r>
      <w:r w:rsidR="00CA3D49">
        <w:rPr>
          <w:szCs w:val="19"/>
          <w:lang w:val="fr-CA"/>
        </w:rPr>
        <w:t>’</w:t>
      </w:r>
      <w:r w:rsidR="00CA3D49" w:rsidRPr="00990245">
        <w:rPr>
          <w:szCs w:val="19"/>
          <w:lang w:val="fr-CA"/>
        </w:rPr>
        <w:t>à titre de preuve de la contravention aux parties 1 ou 1.1 et les renseignements communiqués par le Centre au titre du paragraphe</w:t>
      </w:r>
      <w:r w:rsidR="00601B6E">
        <w:rPr>
          <w:szCs w:val="19"/>
          <w:lang w:val="fr-CA"/>
        </w:rPr>
        <w:t xml:space="preserve"> </w:t>
      </w:r>
      <w:r w:rsidR="00CA3D49" w:rsidRPr="00990245">
        <w:rPr>
          <w:szCs w:val="19"/>
          <w:lang w:val="fr-CA"/>
        </w:rPr>
        <w:t xml:space="preserve">(2) ne peuvent être utilisés par </w:t>
      </w:r>
      <w:r w:rsidR="00CA3D49" w:rsidRPr="00990245">
        <w:rPr>
          <w:szCs w:val="19"/>
          <w:lang w:val="fr-CA"/>
        </w:rPr>
        <w:lastRenderedPageBreak/>
        <w:t>un organisme visé à ce paragraphe</w:t>
      </w:r>
      <w:r w:rsidR="00601B6E">
        <w:rPr>
          <w:szCs w:val="19"/>
          <w:lang w:val="fr-CA"/>
        </w:rPr>
        <w:t xml:space="preserve"> </w:t>
      </w:r>
      <w:r w:rsidR="00CA3D49" w:rsidRPr="00990245">
        <w:rPr>
          <w:szCs w:val="19"/>
          <w:lang w:val="fr-CA"/>
        </w:rPr>
        <w:t>qu</w:t>
      </w:r>
      <w:r w:rsidR="00CA3D49">
        <w:rPr>
          <w:szCs w:val="19"/>
          <w:lang w:val="fr-CA"/>
        </w:rPr>
        <w:t>’</w:t>
      </w:r>
      <w:r w:rsidR="00CA3D49" w:rsidRPr="00990245">
        <w:rPr>
          <w:szCs w:val="19"/>
          <w:lang w:val="fr-CA"/>
        </w:rPr>
        <w:t>à des fins relatives à l</w:t>
      </w:r>
      <w:r w:rsidR="00CA3D49">
        <w:rPr>
          <w:szCs w:val="19"/>
          <w:lang w:val="fr-CA"/>
        </w:rPr>
        <w:t>’</w:t>
      </w:r>
      <w:r w:rsidR="00CA3D49" w:rsidRPr="00990245">
        <w:rPr>
          <w:szCs w:val="19"/>
          <w:lang w:val="fr-CA"/>
        </w:rPr>
        <w:t>observation de ces parties.</w:t>
      </w:r>
      <w:r w:rsidR="00CA3D49" w:rsidRPr="00990245">
        <w:rPr>
          <w:sz w:val="19"/>
          <w:szCs w:val="19"/>
          <w:lang w:val="fr-CA"/>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(4) </w:t>
      </w:r>
      <w:r w:rsidR="00CA3D49" w:rsidRPr="00990245">
        <w:rPr>
          <w:szCs w:val="19"/>
          <w:lang w:val="fr-CA"/>
        </w:rPr>
        <w:t>Afin d</w:t>
      </w:r>
      <w:r w:rsidR="00CA3D49">
        <w:rPr>
          <w:szCs w:val="19"/>
          <w:lang w:val="fr-CA"/>
        </w:rPr>
        <w:t>’</w:t>
      </w:r>
      <w:r w:rsidR="00CA3D49" w:rsidRPr="00990245">
        <w:rPr>
          <w:szCs w:val="19"/>
          <w:lang w:val="fr-CA"/>
        </w:rPr>
        <w:t>assurer l</w:t>
      </w:r>
      <w:r w:rsidR="00CA3D49">
        <w:rPr>
          <w:szCs w:val="19"/>
          <w:lang w:val="fr-CA"/>
        </w:rPr>
        <w:t>’</w:t>
      </w:r>
      <w:r w:rsidR="00CA3D49" w:rsidRPr="00990245">
        <w:rPr>
          <w:szCs w:val="19"/>
          <w:lang w:val="fr-CA"/>
        </w:rPr>
        <w:t>observation des parties</w:t>
      </w:r>
      <w:r w:rsidR="00601B6E">
        <w:rPr>
          <w:szCs w:val="19"/>
          <w:lang w:val="fr-CA"/>
        </w:rPr>
        <w:t xml:space="preserve"> </w:t>
      </w:r>
      <w:r w:rsidR="00CA3D49" w:rsidRPr="00990245">
        <w:rPr>
          <w:szCs w:val="19"/>
          <w:lang w:val="fr-CA"/>
        </w:rPr>
        <w:t>1 et 1.1, le Centre reçoit tout renseignement qui lui est communiqué volontairement par une personne ou entité  —  à l</w:t>
      </w:r>
      <w:r w:rsidR="00CA3D49">
        <w:rPr>
          <w:szCs w:val="19"/>
          <w:lang w:val="fr-CA"/>
        </w:rPr>
        <w:t>’</w:t>
      </w:r>
      <w:r w:rsidR="00CA3D49" w:rsidRPr="00990245">
        <w:rPr>
          <w:szCs w:val="19"/>
          <w:lang w:val="fr-CA"/>
        </w:rPr>
        <w:t>exception des organismes visés au paragraphe</w:t>
      </w:r>
      <w:r w:rsidR="00601B6E">
        <w:rPr>
          <w:szCs w:val="19"/>
          <w:lang w:val="fr-CA"/>
        </w:rPr>
        <w:t xml:space="preserve"> </w:t>
      </w:r>
      <w:r w:rsidR="00CA3D49" w:rsidRPr="00990245">
        <w:rPr>
          <w:szCs w:val="19"/>
          <w:lang w:val="fr-CA"/>
        </w:rPr>
        <w:t>(2)  —  et qui se rapporte à l</w:t>
      </w:r>
      <w:r w:rsidR="00CA3D49">
        <w:rPr>
          <w:szCs w:val="19"/>
          <w:lang w:val="fr-CA"/>
        </w:rPr>
        <w:t>’</w:t>
      </w:r>
      <w:r w:rsidR="00CA3D49" w:rsidRPr="00990245">
        <w:rPr>
          <w:szCs w:val="19"/>
          <w:lang w:val="fr-CA"/>
        </w:rPr>
        <w:t>observation de l</w:t>
      </w:r>
      <w:r w:rsidR="00CA3D49">
        <w:rPr>
          <w:szCs w:val="19"/>
          <w:lang w:val="fr-CA"/>
        </w:rPr>
        <w:t>’</w:t>
      </w:r>
      <w:r w:rsidR="00CA3D49" w:rsidRPr="00990245">
        <w:rPr>
          <w:szCs w:val="19"/>
          <w:lang w:val="fr-CA"/>
        </w:rPr>
        <w:t>une ou l</w:t>
      </w:r>
      <w:r w:rsidR="00CA3D49">
        <w:rPr>
          <w:szCs w:val="19"/>
          <w:lang w:val="fr-CA"/>
        </w:rPr>
        <w:t>’</w:t>
      </w:r>
      <w:r w:rsidR="00CA3D49" w:rsidRPr="00990245">
        <w:rPr>
          <w:szCs w:val="19"/>
          <w:lang w:val="fr-CA"/>
        </w:rPr>
        <w:t>autre de ces parties par les personnes et entités visées à l</w:t>
      </w:r>
      <w:r w:rsidR="00CA3D49">
        <w:rPr>
          <w:szCs w:val="19"/>
          <w:lang w:val="fr-CA"/>
        </w:rPr>
        <w:t>’</w:t>
      </w:r>
      <w:r w:rsidR="00CA3D49" w:rsidRPr="00990245">
        <w:rPr>
          <w:szCs w:val="19"/>
          <w:lang w:val="fr-CA"/>
        </w:rPr>
        <w:t>article</w:t>
      </w:r>
      <w:r w:rsidR="00601B6E">
        <w:rPr>
          <w:szCs w:val="19"/>
          <w:lang w:val="fr-CA"/>
        </w:rPr>
        <w:t xml:space="preserve"> </w:t>
      </w:r>
      <w:r w:rsidR="00DC1DB4">
        <w:rPr>
          <w:szCs w:val="19"/>
          <w:lang w:val="fr-CA"/>
        </w:rPr>
        <w:t>5. [</w:t>
      </w:r>
      <w:proofErr w:type="spellStart"/>
      <w:proofErr w:type="gramStart"/>
      <w:r w:rsidR="00DC1DB4">
        <w:rPr>
          <w:szCs w:val="19"/>
          <w:lang w:val="fr-CA"/>
        </w:rPr>
        <w:t>mod</w:t>
      </w:r>
      <w:proofErr w:type="spellEnd"/>
      <w:proofErr w:type="gramEnd"/>
      <w:r w:rsidR="00DC1DB4">
        <w:rPr>
          <w:szCs w:val="19"/>
          <w:lang w:val="fr-CA"/>
        </w:rPr>
        <w:t>. par L.C. 2010, c</w:t>
      </w:r>
      <w:r w:rsidR="00CA3D49" w:rsidRPr="00990245">
        <w:rPr>
          <w:szCs w:val="19"/>
          <w:lang w:val="fr-CA"/>
        </w:rPr>
        <w:t>.</w:t>
      </w:r>
      <w:r w:rsidR="00601B6E">
        <w:rPr>
          <w:szCs w:val="19"/>
          <w:lang w:val="fr-CA"/>
        </w:rPr>
        <w:t xml:space="preserve"> </w:t>
      </w:r>
      <w:r w:rsidR="00CA3D49" w:rsidRPr="00990245">
        <w:rPr>
          <w:szCs w:val="19"/>
          <w:lang w:val="fr-CA"/>
        </w:rPr>
        <w:t>12, art.</w:t>
      </w:r>
      <w:r w:rsidR="00601B6E">
        <w:rPr>
          <w:szCs w:val="19"/>
          <w:lang w:val="fr-CA"/>
        </w:rPr>
        <w:t xml:space="preserve"> </w:t>
      </w:r>
      <w:r w:rsidR="00CA3D49" w:rsidRPr="00990245">
        <w:rPr>
          <w:szCs w:val="19"/>
          <w:lang w:val="fr-CA"/>
        </w:rPr>
        <w:t xml:space="preserve">1882, entré en vigueur le 18 juin 2014; </w:t>
      </w:r>
      <w:proofErr w:type="spellStart"/>
      <w:r w:rsidR="00CA3D49" w:rsidRPr="00990245">
        <w:rPr>
          <w:szCs w:val="19"/>
          <w:lang w:val="fr-CA"/>
        </w:rPr>
        <w:t>mod</w:t>
      </w:r>
      <w:proofErr w:type="spellEnd"/>
      <w:r w:rsidR="00CA3D49" w:rsidRPr="00990245">
        <w:rPr>
          <w:szCs w:val="19"/>
          <w:lang w:val="fr-CA"/>
        </w:rPr>
        <w:t>. par L.C. 2014, c.</w:t>
      </w:r>
      <w:r w:rsidR="00601B6E">
        <w:rPr>
          <w:szCs w:val="19"/>
          <w:lang w:val="fr-CA"/>
        </w:rPr>
        <w:t xml:space="preserve"> </w:t>
      </w:r>
      <w:r w:rsidR="00CA3D49" w:rsidRPr="00990245">
        <w:rPr>
          <w:szCs w:val="19"/>
          <w:lang w:val="fr-CA"/>
        </w:rPr>
        <w:t>20, art.</w:t>
      </w:r>
      <w:r w:rsidR="00601B6E">
        <w:rPr>
          <w:szCs w:val="19"/>
          <w:lang w:val="fr-CA"/>
        </w:rPr>
        <w:t xml:space="preserve"> </w:t>
      </w:r>
      <w:r w:rsidR="00CA3D49" w:rsidRPr="00990245">
        <w:rPr>
          <w:szCs w:val="19"/>
          <w:lang w:val="fr-CA"/>
        </w:rPr>
        <w:t>287, entré en vigueur le 19 juin 2014]</w:t>
      </w:r>
      <w:r w:rsidR="00CA3D49" w:rsidRPr="00990245">
        <w:rPr>
          <w:sz w:val="19"/>
          <w:szCs w:val="19"/>
          <w:lang w:val="fr-CA"/>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65.1</w:t>
      </w:r>
      <w:r w:rsidR="00CA3D49" w:rsidRPr="00990245">
        <w:rPr>
          <w:lang w:val="fr-CA"/>
        </w:rPr>
        <w:t xml:space="preserve"> (1) </w:t>
      </w:r>
      <w:r w:rsidR="00CA3D49" w:rsidRPr="00990245">
        <w:rPr>
          <w:szCs w:val="19"/>
          <w:lang w:val="fr-CA"/>
        </w:rPr>
        <w:t>Le Centre peut conclure avec tout organisme d</w:t>
      </w:r>
      <w:r w:rsidR="00CA3D49">
        <w:rPr>
          <w:szCs w:val="19"/>
          <w:lang w:val="fr-CA"/>
        </w:rPr>
        <w:t>’</w:t>
      </w:r>
      <w:r w:rsidR="00CA3D49" w:rsidRPr="00990245">
        <w:rPr>
          <w:szCs w:val="19"/>
          <w:lang w:val="fr-CA"/>
        </w:rPr>
        <w:t xml:space="preserve">un État étranger ayant des attributions similaires aux siennes concernant la vérification de la conformité aux </w:t>
      </w:r>
      <w:r w:rsidR="00CA3D49" w:rsidRPr="000F5CF8">
        <w:rPr>
          <w:lang w:val="fr-CA"/>
        </w:rPr>
        <w:t>obligations</w:t>
      </w:r>
      <w:r w:rsidR="00CA3D49" w:rsidRPr="00990245">
        <w:rPr>
          <w:szCs w:val="19"/>
          <w:lang w:val="fr-CA"/>
        </w:rPr>
        <w:t xml:space="preserve"> portant sur l</w:t>
      </w:r>
      <w:r w:rsidR="00CA3D49">
        <w:rPr>
          <w:szCs w:val="19"/>
          <w:lang w:val="fr-CA"/>
        </w:rPr>
        <w:t>’</w:t>
      </w:r>
      <w:r w:rsidR="00CA3D49" w:rsidRPr="00990245">
        <w:rPr>
          <w:szCs w:val="19"/>
          <w:lang w:val="fr-CA"/>
        </w:rPr>
        <w:t>identification de personnes ou d</w:t>
      </w:r>
      <w:r w:rsidR="00CA3D49">
        <w:rPr>
          <w:szCs w:val="19"/>
          <w:lang w:val="fr-CA"/>
        </w:rPr>
        <w:t>’</w:t>
      </w:r>
      <w:r w:rsidR="00CA3D49" w:rsidRPr="00990245">
        <w:rPr>
          <w:szCs w:val="19"/>
          <w:lang w:val="fr-CA"/>
        </w:rPr>
        <w:t>entités, la tenue et la conservation de documents ou la production de déclarations ou avec toute organisation internationale regroupant de tels organismes, créée par les gouvernements de divers États, un accord écrit stipulant</w:t>
      </w:r>
      <w:r w:rsidR="00601B6E">
        <w:rPr>
          <w:szCs w:val="19"/>
          <w:lang w:val="fr-CA"/>
        </w:rPr>
        <w:t> :</w:t>
      </w:r>
      <w:r w:rsidR="00CA3D49" w:rsidRPr="00990245">
        <w:rPr>
          <w:szCs w:val="19"/>
          <w:lang w:val="fr-CA"/>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a</w:t>
      </w:r>
      <w:r w:rsidRPr="00990245">
        <w:rPr>
          <w:lang w:val="fr-CA"/>
        </w:rPr>
        <w:t xml:space="preserve">) </w:t>
      </w:r>
      <w:r w:rsidRPr="00990245">
        <w:rPr>
          <w:szCs w:val="19"/>
          <w:lang w:val="fr-FR"/>
        </w:rPr>
        <w:t>que le Centre peut échanger avec cet organisme ou cette organisation des renseignements relatifs au respect par une personne ou une entité de ces obligations et relatifs à l</w:t>
      </w:r>
      <w:r>
        <w:rPr>
          <w:szCs w:val="19"/>
          <w:lang w:val="fr-FR"/>
        </w:rPr>
        <w:t>’</w:t>
      </w:r>
      <w:r w:rsidRPr="00990245">
        <w:rPr>
          <w:szCs w:val="19"/>
          <w:lang w:val="fr-FR"/>
        </w:rPr>
        <w:t>évaluation des risques liés au respect de ces obligations;</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b</w:t>
      </w:r>
      <w:r w:rsidRPr="00990245">
        <w:rPr>
          <w:lang w:val="fr-CA"/>
        </w:rPr>
        <w:t xml:space="preserve">) </w:t>
      </w:r>
      <w:r w:rsidRPr="00990245">
        <w:rPr>
          <w:szCs w:val="19"/>
          <w:lang w:val="fr-FR"/>
        </w:rPr>
        <w:t>que les renseignements doivent être utilisés uniquement en vue d</w:t>
      </w:r>
      <w:r>
        <w:rPr>
          <w:szCs w:val="19"/>
          <w:lang w:val="fr-FR"/>
        </w:rPr>
        <w:t>’</w:t>
      </w:r>
      <w:r w:rsidRPr="00990245">
        <w:rPr>
          <w:szCs w:val="19"/>
          <w:lang w:val="fr-FR"/>
        </w:rPr>
        <w:t>assurer la conformité à ces obligations et d</w:t>
      </w:r>
      <w:r>
        <w:rPr>
          <w:szCs w:val="19"/>
          <w:lang w:val="fr-FR"/>
        </w:rPr>
        <w:t>’</w:t>
      </w:r>
      <w:r w:rsidRPr="00990245">
        <w:rPr>
          <w:szCs w:val="19"/>
          <w:lang w:val="fr-FR"/>
        </w:rPr>
        <w:t>évaluer les risques liés au respect de ces obligations;</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c</w:t>
      </w:r>
      <w:r w:rsidRPr="00990245">
        <w:rPr>
          <w:lang w:val="fr-CA"/>
        </w:rPr>
        <w:t xml:space="preserve">) </w:t>
      </w:r>
      <w:r w:rsidRPr="00990245">
        <w:rPr>
          <w:szCs w:val="19"/>
          <w:lang w:val="fr-FR"/>
        </w:rPr>
        <w:t>que les renseignements seront traités de manière confidentielle et ne seront pas autrement communiqués sans le consentement exprès du Centre</w:t>
      </w:r>
      <w:r w:rsidRPr="00990245">
        <w:rPr>
          <w:sz w:val="19"/>
          <w:szCs w:val="19"/>
          <w:lang w:val="fr-FR"/>
        </w:rPr>
        <w:t>.</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(2) </w:t>
      </w:r>
      <w:r w:rsidR="00CA3D49" w:rsidRPr="00990245">
        <w:rPr>
          <w:szCs w:val="19"/>
          <w:lang w:val="fr-FR"/>
        </w:rPr>
        <w:t>Il peut communiquer à l</w:t>
      </w:r>
      <w:r w:rsidR="00CA3D49">
        <w:rPr>
          <w:szCs w:val="19"/>
          <w:lang w:val="fr-FR"/>
        </w:rPr>
        <w:t>’</w:t>
      </w:r>
      <w:r w:rsidR="00CA3D49" w:rsidRPr="00990245">
        <w:rPr>
          <w:szCs w:val="19"/>
          <w:lang w:val="fr-FR"/>
        </w:rPr>
        <w:t>organisme ou à l</w:t>
      </w:r>
      <w:r w:rsidR="00CA3D49">
        <w:rPr>
          <w:szCs w:val="19"/>
          <w:lang w:val="fr-FR"/>
        </w:rPr>
        <w:t>’</w:t>
      </w:r>
      <w:r w:rsidR="00CA3D49" w:rsidRPr="00990245">
        <w:rPr>
          <w:szCs w:val="19"/>
          <w:lang w:val="fr-FR"/>
        </w:rPr>
        <w:t>organisation, en conformité avec l</w:t>
      </w:r>
      <w:r w:rsidR="00CA3D49">
        <w:rPr>
          <w:szCs w:val="19"/>
          <w:lang w:val="fr-FR"/>
        </w:rPr>
        <w:t>’</w:t>
      </w:r>
      <w:r w:rsidR="00CA3D49" w:rsidRPr="00990245">
        <w:rPr>
          <w:szCs w:val="19"/>
          <w:lang w:val="fr-FR"/>
        </w:rPr>
        <w:t>accord, les renseignements qui y sont visés.</w:t>
      </w:r>
      <w:r w:rsidR="00CA3D49" w:rsidRPr="00990245">
        <w:rPr>
          <w:sz w:val="19"/>
          <w:szCs w:val="19"/>
          <w:lang w:val="fr-FR"/>
        </w:rPr>
        <w:t xml:space="preserve"> </w:t>
      </w:r>
    </w:p>
    <w:p w:rsidR="00CA3D49" w:rsidRDefault="000F5CF8" w:rsidP="000F5CF8">
      <w:pPr>
        <w:pStyle w:val="Citation-AltC"/>
        <w:tabs>
          <w:tab w:val="left" w:pos="900"/>
          <w:tab w:val="left" w:pos="1440"/>
        </w:tabs>
        <w:spacing w:before="240" w:after="240"/>
        <w:ind w:left="360"/>
        <w:contextualSpacing w:val="0"/>
        <w:rPr>
          <w:sz w:val="19"/>
          <w:szCs w:val="19"/>
          <w:lang w:val="fr-CA"/>
        </w:rPr>
      </w:pPr>
      <w:r>
        <w:rPr>
          <w:lang w:val="fr-CA"/>
        </w:rPr>
        <w:tab/>
      </w:r>
      <w:r w:rsidR="00CA3D49" w:rsidRPr="00990245">
        <w:rPr>
          <w:lang w:val="fr-CA"/>
        </w:rPr>
        <w:t xml:space="preserve">(3) </w:t>
      </w:r>
      <w:r w:rsidR="00CA3D49" w:rsidRPr="00990245">
        <w:rPr>
          <w:szCs w:val="19"/>
          <w:lang w:val="fr-CA"/>
        </w:rPr>
        <w:t>Il peut fournir à l</w:t>
      </w:r>
      <w:r w:rsidR="00CA3D49">
        <w:rPr>
          <w:szCs w:val="19"/>
          <w:lang w:val="fr-CA"/>
        </w:rPr>
        <w:t>’</w:t>
      </w:r>
      <w:r w:rsidR="00CA3D49" w:rsidRPr="00990245">
        <w:rPr>
          <w:szCs w:val="19"/>
          <w:lang w:val="fr-CA"/>
        </w:rPr>
        <w:t>organisme ou à l</w:t>
      </w:r>
      <w:r w:rsidR="00CA3D49">
        <w:rPr>
          <w:szCs w:val="19"/>
          <w:lang w:val="fr-CA"/>
        </w:rPr>
        <w:t>’</w:t>
      </w:r>
      <w:r w:rsidR="00CA3D49" w:rsidRPr="00990245">
        <w:rPr>
          <w:szCs w:val="19"/>
          <w:lang w:val="fr-CA"/>
        </w:rPr>
        <w:t>organisation lui ayant communiqué des renseignements au titre de l</w:t>
      </w:r>
      <w:r w:rsidR="00CA3D49">
        <w:rPr>
          <w:szCs w:val="19"/>
          <w:lang w:val="fr-CA"/>
        </w:rPr>
        <w:t>’</w:t>
      </w:r>
      <w:r w:rsidR="00CA3D49" w:rsidRPr="00990245">
        <w:rPr>
          <w:szCs w:val="19"/>
          <w:lang w:val="fr-CA"/>
        </w:rPr>
        <w:t>accord une évaluation de leur utilité pour lui.</w:t>
      </w:r>
      <w:r w:rsidR="00CA3D49" w:rsidRPr="00990245">
        <w:rPr>
          <w:sz w:val="19"/>
          <w:szCs w:val="19"/>
          <w:lang w:val="fr-CA"/>
        </w:rPr>
        <w:t xml:space="preserve"> </w:t>
      </w:r>
    </w:p>
    <w:p w:rsidR="000F5CF8" w:rsidRPr="00990245" w:rsidRDefault="000F5CF8" w:rsidP="000F5CF8">
      <w:pPr>
        <w:pStyle w:val="Citation-AltC"/>
        <w:tabs>
          <w:tab w:val="left" w:pos="900"/>
          <w:tab w:val="left" w:pos="1440"/>
        </w:tabs>
        <w:spacing w:before="240" w:after="240"/>
        <w:ind w:left="360"/>
        <w:contextualSpacing w:val="0"/>
        <w:rPr>
          <w:lang w:val="fr-CA"/>
        </w:rPr>
      </w:pPr>
    </w:p>
    <w:p w:rsidR="00CA3D49" w:rsidRPr="00B23115" w:rsidRDefault="00CA3D49" w:rsidP="00CA3D49">
      <w:pPr>
        <w:pStyle w:val="Citation-AltC"/>
        <w:spacing w:before="240" w:after="240"/>
        <w:ind w:left="0"/>
        <w:contextualSpacing w:val="0"/>
        <w:rPr>
          <w:lang w:val="fr-CA"/>
        </w:rPr>
      </w:pPr>
      <w:r w:rsidRPr="00B23115">
        <w:rPr>
          <w:i/>
          <w:lang w:val="fr-CA"/>
        </w:rPr>
        <w:t>Règlement sur le recyclage des produits de la criminalité et le financement des activités terroristes</w:t>
      </w:r>
      <w:r w:rsidRPr="00B23115">
        <w:rPr>
          <w:lang w:val="fr-CA"/>
        </w:rPr>
        <w:t>, DORS/2002</w:t>
      </w:r>
      <w:r w:rsidR="00601B6E" w:rsidRPr="00B23115">
        <w:rPr>
          <w:lang w:val="fr-CA"/>
        </w:rPr>
        <w:t>-</w:t>
      </w:r>
      <w:r w:rsidRPr="00B23115">
        <w:rPr>
          <w:lang w:val="fr-CA"/>
        </w:rPr>
        <w:t>184</w:t>
      </w:r>
    </w:p>
    <w:p w:rsidR="00032D37" w:rsidRDefault="00032D37" w:rsidP="00032D37">
      <w:pPr>
        <w:pStyle w:val="Citation-AltC"/>
        <w:spacing w:before="240" w:after="240"/>
        <w:ind w:left="360" w:firstLine="360"/>
        <w:contextualSpacing w:val="0"/>
        <w:rPr>
          <w:b/>
          <w:lang w:val="fr-CA"/>
        </w:rPr>
      </w:pPr>
    </w:p>
    <w:p w:rsidR="00032D37" w:rsidRDefault="000F5CF8" w:rsidP="000F5CF8">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1</w:t>
      </w:r>
      <w:r w:rsidR="00601B6E">
        <w:rPr>
          <w:b/>
          <w:lang w:val="fr-CA"/>
        </w:rPr>
        <w:t>. </w:t>
      </w:r>
      <w:r w:rsidR="00601B6E" w:rsidRPr="00B23115">
        <w:rPr>
          <w:lang w:val="fr-CA"/>
        </w:rPr>
        <w:t>. .</w:t>
      </w:r>
      <w:r w:rsidR="00032D37">
        <w:rPr>
          <w:lang w:val="fr-CA"/>
        </w:rPr>
        <w:t xml:space="preserve"> .</w:t>
      </w:r>
    </w:p>
    <w:p w:rsidR="00032D37" w:rsidRDefault="00032D37" w:rsidP="00032D37">
      <w:pPr>
        <w:pStyle w:val="Citation-AltC"/>
        <w:spacing w:before="240" w:after="240"/>
        <w:ind w:left="360" w:firstLine="360"/>
        <w:contextualSpacing w:val="0"/>
        <w:rPr>
          <w:lang w:val="fr-CA"/>
        </w:rPr>
      </w:pP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(2) </w:t>
      </w:r>
      <w:r w:rsidR="00CA3D49" w:rsidRPr="000F5CF8">
        <w:rPr>
          <w:szCs w:val="19"/>
          <w:lang w:val="fr-CA"/>
        </w:rPr>
        <w:t>Les</w:t>
      </w:r>
      <w:r w:rsidR="00CA3D49" w:rsidRPr="00990245">
        <w:rPr>
          <w:lang w:val="fr-CA"/>
        </w:rPr>
        <w:t xml:space="preserve"> définitions qui suivent s</w:t>
      </w:r>
      <w:r w:rsidR="00CA3D49">
        <w:rPr>
          <w:lang w:val="fr-CA"/>
        </w:rPr>
        <w:t>’</w:t>
      </w:r>
      <w:r w:rsidR="00CA3D49" w:rsidRPr="00990245">
        <w:rPr>
          <w:lang w:val="fr-CA"/>
        </w:rPr>
        <w:t>appliquent au présent règlement.</w:t>
      </w:r>
    </w:p>
    <w:p w:rsidR="00CA3D49" w:rsidRPr="00990245" w:rsidRDefault="00601B6E" w:rsidP="00BD4151">
      <w:pPr>
        <w:pStyle w:val="Citation-AltC"/>
        <w:spacing w:before="240" w:after="240"/>
        <w:ind w:left="360"/>
        <w:contextualSpacing w:val="0"/>
        <w:rPr>
          <w:lang w:val="fr-CA"/>
        </w:rPr>
      </w:pPr>
      <w:r>
        <w:rPr>
          <w:lang w:val="fr-CA"/>
        </w:rPr>
        <w:lastRenderedPageBreak/>
        <w:t>« </w:t>
      </w:r>
      <w:proofErr w:type="gramStart"/>
      <w:r w:rsidR="00CA3D49" w:rsidRPr="00990245">
        <w:rPr>
          <w:lang w:val="fr-CA"/>
        </w:rPr>
        <w:t>relevé</w:t>
      </w:r>
      <w:proofErr w:type="gramEnd"/>
      <w:r w:rsidR="00CA3D49" w:rsidRPr="00990245">
        <w:rPr>
          <w:lang w:val="fr-CA"/>
        </w:rPr>
        <w:t xml:space="preserve"> de réception de fonds</w:t>
      </w:r>
      <w:r>
        <w:rPr>
          <w:lang w:val="fr-CA"/>
        </w:rPr>
        <w:t> »</w:t>
      </w:r>
      <w:r w:rsidR="00CA3D49" w:rsidRPr="00990245">
        <w:rPr>
          <w:lang w:val="fr-CA"/>
        </w:rPr>
        <w:t xml:space="preserve"> Document comportant, à l</w:t>
      </w:r>
      <w:r w:rsidR="00CA3D49">
        <w:rPr>
          <w:lang w:val="fr-CA"/>
        </w:rPr>
        <w:t>’</w:t>
      </w:r>
      <w:r w:rsidR="00CA3D49" w:rsidRPr="00990245">
        <w:rPr>
          <w:lang w:val="fr-CA"/>
        </w:rPr>
        <w:t>égard de la réception de fonds dans le cadre d</w:t>
      </w:r>
      <w:r w:rsidR="00CA3D49">
        <w:rPr>
          <w:lang w:val="fr-CA"/>
        </w:rPr>
        <w:t>’</w:t>
      </w:r>
      <w:r w:rsidR="00CA3D49" w:rsidRPr="00990245">
        <w:rPr>
          <w:lang w:val="fr-CA"/>
        </w:rPr>
        <w:t>une opération, les renseignements suivants</w:t>
      </w:r>
      <w:r>
        <w:rPr>
          <w:lang w:val="fr-CA"/>
        </w:rPr>
        <w:t> :</w:t>
      </w:r>
      <w:r w:rsidR="00CA3D49" w:rsidRPr="00990245">
        <w:rPr>
          <w:lang w:val="fr-CA"/>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a</w:t>
      </w:r>
      <w:r w:rsidRPr="00990245">
        <w:rPr>
          <w:lang w:val="fr-CA"/>
        </w:rPr>
        <w:t>)</w:t>
      </w:r>
      <w:r w:rsidR="00601B6E">
        <w:rPr>
          <w:lang w:val="fr-CA"/>
        </w:rPr>
        <w:t xml:space="preserve"> </w:t>
      </w:r>
      <w:r w:rsidRPr="00990245">
        <w:rPr>
          <w:szCs w:val="19"/>
          <w:lang w:val="fr-FR"/>
        </w:rPr>
        <w:t>s</w:t>
      </w:r>
      <w:r>
        <w:rPr>
          <w:szCs w:val="19"/>
          <w:lang w:val="fr-FR"/>
        </w:rPr>
        <w:t>’</w:t>
      </w:r>
      <w:r w:rsidRPr="00990245">
        <w:rPr>
          <w:szCs w:val="19"/>
          <w:lang w:val="fr-FR"/>
        </w:rPr>
        <w:t>ils ne peuvent être facilement obtenus d</w:t>
      </w:r>
      <w:r>
        <w:rPr>
          <w:szCs w:val="19"/>
          <w:lang w:val="fr-FR"/>
        </w:rPr>
        <w:t>’</w:t>
      </w:r>
      <w:r w:rsidRPr="00990245">
        <w:rPr>
          <w:szCs w:val="19"/>
          <w:lang w:val="fr-FR"/>
        </w:rPr>
        <w:t>autres documents tenus et conservés en application du présent règlement par le destinataire, le nom de la personne ou de l</w:t>
      </w:r>
      <w:r>
        <w:rPr>
          <w:szCs w:val="19"/>
          <w:lang w:val="fr-FR"/>
        </w:rPr>
        <w:t>’</w:t>
      </w:r>
      <w:r w:rsidRPr="00990245">
        <w:rPr>
          <w:szCs w:val="19"/>
          <w:lang w:val="fr-FR"/>
        </w:rPr>
        <w:t>entité qui remet de fait la somme, ainsi que les renseignements suivants</w:t>
      </w:r>
      <w:r w:rsidR="00601B6E">
        <w:rPr>
          <w:szCs w:val="19"/>
          <w:lang w:val="fr-FR"/>
        </w:rPr>
        <w:t> :</w:t>
      </w:r>
      <w:r w:rsidRPr="00990245">
        <w:rPr>
          <w:sz w:val="19"/>
          <w:szCs w:val="19"/>
          <w:lang w:val="fr-FR"/>
        </w:rPr>
        <w:t xml:space="preserve"> </w:t>
      </w:r>
    </w:p>
    <w:p w:rsidR="00CA3D49" w:rsidRPr="00990245" w:rsidRDefault="00CA3D49" w:rsidP="000F5CF8">
      <w:pPr>
        <w:pStyle w:val="Citation-AltC"/>
        <w:spacing w:before="240" w:after="240"/>
        <w:ind w:left="1440"/>
        <w:contextualSpacing w:val="0"/>
        <w:rPr>
          <w:lang w:val="fr-CA"/>
        </w:rPr>
      </w:pPr>
      <w:r w:rsidRPr="00990245">
        <w:rPr>
          <w:lang w:val="fr-CA"/>
        </w:rPr>
        <w:t>(i)</w:t>
      </w:r>
      <w:r w:rsidR="00601B6E">
        <w:rPr>
          <w:lang w:val="fr-CA"/>
        </w:rPr>
        <w:t xml:space="preserve"> </w:t>
      </w:r>
      <w:r w:rsidRPr="000F5CF8">
        <w:rPr>
          <w:szCs w:val="18"/>
          <w:lang w:val="fr-CA"/>
        </w:rPr>
        <w:t>s’il</w:t>
      </w:r>
      <w:r w:rsidRPr="00990245">
        <w:rPr>
          <w:szCs w:val="19"/>
          <w:lang w:val="fr-FR"/>
        </w:rPr>
        <w:t xml:space="preserve"> s</w:t>
      </w:r>
      <w:r>
        <w:rPr>
          <w:szCs w:val="19"/>
          <w:lang w:val="fr-FR"/>
        </w:rPr>
        <w:t>’</w:t>
      </w:r>
      <w:r w:rsidRPr="00990245">
        <w:rPr>
          <w:szCs w:val="19"/>
          <w:lang w:val="fr-FR"/>
        </w:rPr>
        <w:t>agit d</w:t>
      </w:r>
      <w:r>
        <w:rPr>
          <w:szCs w:val="19"/>
          <w:lang w:val="fr-FR"/>
        </w:rPr>
        <w:t>’</w:t>
      </w:r>
      <w:r w:rsidRPr="00990245">
        <w:rPr>
          <w:szCs w:val="19"/>
          <w:lang w:val="fr-FR"/>
        </w:rPr>
        <w:t>une somme reçue d</w:t>
      </w:r>
      <w:r>
        <w:rPr>
          <w:szCs w:val="19"/>
          <w:lang w:val="fr-FR"/>
        </w:rPr>
        <w:t>’</w:t>
      </w:r>
      <w:r w:rsidRPr="00990245">
        <w:rPr>
          <w:szCs w:val="19"/>
          <w:lang w:val="fr-FR"/>
        </w:rPr>
        <w:t>une personne, son adresse, sa date de naissance et la nature de son entreprise principale ou sa profession,</w:t>
      </w:r>
      <w:r w:rsidRPr="00990245">
        <w:rPr>
          <w:sz w:val="19"/>
          <w:szCs w:val="19"/>
          <w:lang w:val="fr-FR"/>
        </w:rPr>
        <w:t xml:space="preserve"> </w:t>
      </w:r>
    </w:p>
    <w:p w:rsidR="00CA3D49" w:rsidRPr="00990245" w:rsidRDefault="00CA3D49" w:rsidP="000F5CF8">
      <w:pPr>
        <w:pStyle w:val="Citation-AltC"/>
        <w:spacing w:before="240" w:after="240"/>
        <w:ind w:left="1440"/>
        <w:contextualSpacing w:val="0"/>
        <w:rPr>
          <w:lang w:val="fr-CA"/>
        </w:rPr>
      </w:pPr>
      <w:r w:rsidRPr="00990245">
        <w:rPr>
          <w:lang w:val="fr-CA"/>
        </w:rPr>
        <w:t>(ii)</w:t>
      </w:r>
      <w:r w:rsidR="00601B6E">
        <w:rPr>
          <w:lang w:val="fr-CA"/>
        </w:rPr>
        <w:t xml:space="preserve"> </w:t>
      </w:r>
      <w:r w:rsidRPr="00990245">
        <w:rPr>
          <w:szCs w:val="19"/>
          <w:lang w:val="fr-FR"/>
        </w:rPr>
        <w:t>s</w:t>
      </w:r>
      <w:r>
        <w:rPr>
          <w:szCs w:val="19"/>
          <w:lang w:val="fr-FR"/>
        </w:rPr>
        <w:t>’</w:t>
      </w:r>
      <w:r w:rsidRPr="00990245">
        <w:rPr>
          <w:szCs w:val="19"/>
          <w:lang w:val="fr-FR"/>
        </w:rPr>
        <w:t xml:space="preserve">il </w:t>
      </w:r>
      <w:r w:rsidRPr="000F5CF8">
        <w:rPr>
          <w:szCs w:val="18"/>
          <w:lang w:val="fr-CA"/>
        </w:rPr>
        <w:t>s’agit</w:t>
      </w:r>
      <w:r w:rsidRPr="00990245">
        <w:rPr>
          <w:szCs w:val="19"/>
          <w:lang w:val="fr-FR"/>
        </w:rPr>
        <w:t xml:space="preserve"> d</w:t>
      </w:r>
      <w:r>
        <w:rPr>
          <w:szCs w:val="19"/>
          <w:lang w:val="fr-FR"/>
        </w:rPr>
        <w:t>’</w:t>
      </w:r>
      <w:r w:rsidRPr="00990245">
        <w:rPr>
          <w:szCs w:val="19"/>
          <w:lang w:val="fr-FR"/>
        </w:rPr>
        <w:t>une somme reçue d</w:t>
      </w:r>
      <w:r>
        <w:rPr>
          <w:szCs w:val="19"/>
          <w:lang w:val="fr-FR"/>
        </w:rPr>
        <w:t>’</w:t>
      </w:r>
      <w:r w:rsidRPr="00990245">
        <w:rPr>
          <w:szCs w:val="19"/>
          <w:lang w:val="fr-FR"/>
        </w:rPr>
        <w:t>une entité, son adresse et la nature de son entreprise principale</w:t>
      </w:r>
      <w:r w:rsidRPr="00990245">
        <w:rPr>
          <w:lang w:val="fr-CA"/>
        </w:rPr>
        <w:t>;</w:t>
      </w:r>
    </w:p>
    <w:p w:rsidR="00CA3D49" w:rsidRPr="00990245" w:rsidRDefault="00CA3D49" w:rsidP="000F5CF8">
      <w:pPr>
        <w:pStyle w:val="Citation-AltC"/>
        <w:spacing w:before="240" w:after="240"/>
        <w:ind w:left="900"/>
        <w:contextualSpacing w:val="0"/>
        <w:rPr>
          <w:lang w:val="fr-CA"/>
        </w:rPr>
      </w:pPr>
      <w:r w:rsidRPr="00990245">
        <w:rPr>
          <w:i/>
          <w:lang w:val="fr-CA"/>
        </w:rPr>
        <w:t>b</w:t>
      </w:r>
      <w:r w:rsidRPr="00990245">
        <w:rPr>
          <w:lang w:val="fr-CA"/>
        </w:rPr>
        <w:t>)</w:t>
      </w:r>
      <w:r w:rsidR="00601B6E">
        <w:rPr>
          <w:lang w:val="fr-CA"/>
        </w:rPr>
        <w:t xml:space="preserve"> </w:t>
      </w:r>
      <w:r w:rsidRPr="00990245">
        <w:rPr>
          <w:lang w:val="fr-CA"/>
        </w:rPr>
        <w:t xml:space="preserve">la </w:t>
      </w:r>
      <w:r w:rsidRPr="000F5CF8">
        <w:rPr>
          <w:szCs w:val="19"/>
          <w:lang w:val="fr-FR"/>
        </w:rPr>
        <w:t>date</w:t>
      </w:r>
      <w:r w:rsidRPr="00990245">
        <w:rPr>
          <w:lang w:val="fr-CA"/>
        </w:rPr>
        <w:t xml:space="preserve"> de l</w:t>
      </w:r>
      <w:r>
        <w:rPr>
          <w:lang w:val="fr-CA"/>
        </w:rPr>
        <w:t>’</w:t>
      </w:r>
      <w:r w:rsidRPr="00990245">
        <w:rPr>
          <w:lang w:val="fr-CA"/>
        </w:rPr>
        <w:t>opération;</w:t>
      </w:r>
    </w:p>
    <w:p w:rsidR="00CA3D49" w:rsidRPr="00990245" w:rsidRDefault="00CA3D49" w:rsidP="000F5CF8">
      <w:pPr>
        <w:pStyle w:val="Citation-AltC"/>
        <w:spacing w:before="240" w:after="240"/>
        <w:ind w:left="900"/>
        <w:contextualSpacing w:val="0"/>
        <w:rPr>
          <w:lang w:val="fr-CA"/>
        </w:rPr>
      </w:pPr>
      <w:r w:rsidRPr="00990245">
        <w:rPr>
          <w:i/>
          <w:lang w:val="fr-CA"/>
        </w:rPr>
        <w:t>c</w:t>
      </w:r>
      <w:r w:rsidRPr="00990245">
        <w:rPr>
          <w:lang w:val="fr-CA"/>
        </w:rPr>
        <w:t>)</w:t>
      </w:r>
      <w:r w:rsidR="00601B6E">
        <w:rPr>
          <w:lang w:val="fr-CA"/>
        </w:rPr>
        <w:t xml:space="preserve"> </w:t>
      </w:r>
      <w:r w:rsidRPr="00990245">
        <w:rPr>
          <w:szCs w:val="19"/>
          <w:lang w:val="fr-FR"/>
        </w:rPr>
        <w:t xml:space="preserve">pour </w:t>
      </w:r>
      <w:r w:rsidRPr="00990245">
        <w:rPr>
          <w:lang w:val="fr-CA"/>
        </w:rPr>
        <w:t>chaque</w:t>
      </w:r>
      <w:r w:rsidRPr="00990245">
        <w:rPr>
          <w:szCs w:val="19"/>
          <w:lang w:val="fr-FR"/>
        </w:rPr>
        <w:t xml:space="preserve"> compte touché par l</w:t>
      </w:r>
      <w:r>
        <w:rPr>
          <w:szCs w:val="19"/>
          <w:lang w:val="fr-FR"/>
        </w:rPr>
        <w:t>’</w:t>
      </w:r>
      <w:r w:rsidRPr="00990245">
        <w:rPr>
          <w:szCs w:val="19"/>
          <w:lang w:val="fr-FR"/>
        </w:rPr>
        <w:t>opération, le numéro du compte, le type de compte, le nom au complet de chaque titulaire du compte et la devise dans laquelle l</w:t>
      </w:r>
      <w:r>
        <w:rPr>
          <w:szCs w:val="19"/>
          <w:lang w:val="fr-FR"/>
        </w:rPr>
        <w:t>’</w:t>
      </w:r>
      <w:r w:rsidRPr="00990245">
        <w:rPr>
          <w:szCs w:val="19"/>
          <w:lang w:val="fr-FR"/>
        </w:rPr>
        <w:t>opération est effectuée;</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d</w:t>
      </w:r>
      <w:r w:rsidRPr="00990245">
        <w:rPr>
          <w:lang w:val="fr-CA"/>
        </w:rPr>
        <w:t>)</w:t>
      </w:r>
      <w:r w:rsidR="00601B6E">
        <w:rPr>
          <w:lang w:val="fr-CA"/>
        </w:rPr>
        <w:t xml:space="preserve"> </w:t>
      </w:r>
      <w:r w:rsidRPr="00990245">
        <w:rPr>
          <w:szCs w:val="19"/>
          <w:lang w:val="fr-FR"/>
        </w:rPr>
        <w:t xml:space="preserve">le </w:t>
      </w:r>
      <w:r w:rsidRPr="000F5CF8">
        <w:rPr>
          <w:szCs w:val="19"/>
          <w:lang w:val="fr-FR"/>
        </w:rPr>
        <w:t>détail</w:t>
      </w:r>
      <w:r w:rsidRPr="00990245">
        <w:rPr>
          <w:szCs w:val="19"/>
          <w:lang w:val="fr-FR"/>
        </w:rPr>
        <w:t xml:space="preserve"> de l</w:t>
      </w:r>
      <w:r>
        <w:rPr>
          <w:szCs w:val="19"/>
          <w:lang w:val="fr-FR"/>
        </w:rPr>
        <w:t>’</w:t>
      </w:r>
      <w:r w:rsidRPr="00990245">
        <w:rPr>
          <w:szCs w:val="19"/>
          <w:lang w:val="fr-FR"/>
        </w:rPr>
        <w:t>opération et son objet, notamment le nom des autres personnes ou entités en cause et le type et le mode d</w:t>
      </w:r>
      <w:r>
        <w:rPr>
          <w:szCs w:val="19"/>
          <w:lang w:val="fr-FR"/>
        </w:rPr>
        <w:t>’</w:t>
      </w:r>
      <w:r w:rsidRPr="00990245">
        <w:rPr>
          <w:szCs w:val="19"/>
          <w:lang w:val="fr-FR"/>
        </w:rPr>
        <w:t>opération;</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e</w:t>
      </w:r>
      <w:r w:rsidRPr="00990245">
        <w:rPr>
          <w:lang w:val="fr-CA"/>
        </w:rPr>
        <w:t>)</w:t>
      </w:r>
      <w:r w:rsidR="00601B6E">
        <w:rPr>
          <w:lang w:val="fr-CA"/>
        </w:rPr>
        <w:t xml:space="preserve"> </w:t>
      </w:r>
      <w:r w:rsidRPr="00990245">
        <w:rPr>
          <w:szCs w:val="19"/>
          <w:lang w:val="fr-CA"/>
        </w:rPr>
        <w:t xml:space="preserve">si les </w:t>
      </w:r>
      <w:r w:rsidRPr="000F5CF8">
        <w:rPr>
          <w:szCs w:val="19"/>
          <w:lang w:val="fr-FR"/>
        </w:rPr>
        <w:t>fonds</w:t>
      </w:r>
      <w:r w:rsidRPr="00990245">
        <w:rPr>
          <w:szCs w:val="19"/>
          <w:lang w:val="fr-CA"/>
        </w:rPr>
        <w:t xml:space="preserve"> sont reçus en espèces, la manière dont ils sont reçus, notamment par véhicule blindé, en personne ou par courrier;</w:t>
      </w:r>
      <w:r w:rsidRPr="00990245">
        <w:rPr>
          <w:sz w:val="19"/>
          <w:szCs w:val="19"/>
          <w:lang w:val="fr-CA"/>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f</w:t>
      </w:r>
      <w:r w:rsidRPr="00990245">
        <w:rPr>
          <w:lang w:val="fr-CA"/>
        </w:rPr>
        <w:t>)</w:t>
      </w:r>
      <w:r w:rsidR="00601B6E">
        <w:rPr>
          <w:lang w:val="fr-CA"/>
        </w:rPr>
        <w:t xml:space="preserve"> </w:t>
      </w:r>
      <w:r w:rsidRPr="00990245">
        <w:rPr>
          <w:szCs w:val="19"/>
          <w:lang w:val="fr-FR"/>
        </w:rPr>
        <w:t xml:space="preserve">le </w:t>
      </w:r>
      <w:r w:rsidRPr="000F5CF8">
        <w:rPr>
          <w:szCs w:val="19"/>
          <w:lang w:val="fr-FR"/>
        </w:rPr>
        <w:t>montant</w:t>
      </w:r>
      <w:r w:rsidRPr="00990245">
        <w:rPr>
          <w:szCs w:val="19"/>
          <w:lang w:val="fr-FR"/>
        </w:rPr>
        <w:t xml:space="preserve"> total de la somme reçue et la devise en cause</w:t>
      </w:r>
      <w:r w:rsidRPr="00990245">
        <w:rPr>
          <w:lang w:val="fr-CA"/>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11.1</w:t>
      </w:r>
      <w:r w:rsidR="00CA3D49" w:rsidRPr="00990245">
        <w:rPr>
          <w:lang w:val="fr-CA"/>
        </w:rPr>
        <w:t xml:space="preserve"> (1) </w:t>
      </w:r>
      <w:r w:rsidR="00CA3D49" w:rsidRPr="00990245">
        <w:rPr>
          <w:szCs w:val="19"/>
          <w:lang w:val="fr-FR"/>
        </w:rPr>
        <w:t>Toute entité financière ou tout courtier en valeurs mobilières tenu de vérifier l</w:t>
      </w:r>
      <w:r w:rsidR="00CA3D49">
        <w:rPr>
          <w:szCs w:val="19"/>
          <w:lang w:val="fr-FR"/>
        </w:rPr>
        <w:t>’</w:t>
      </w:r>
      <w:r w:rsidR="00CA3D49" w:rsidRPr="00990245">
        <w:rPr>
          <w:szCs w:val="19"/>
          <w:lang w:val="fr-FR"/>
        </w:rPr>
        <w:t>existence d</w:t>
      </w:r>
      <w:r w:rsidR="00CA3D49">
        <w:rPr>
          <w:szCs w:val="19"/>
          <w:lang w:val="fr-FR"/>
        </w:rPr>
        <w:t>’</w:t>
      </w:r>
      <w:r w:rsidR="00CA3D49" w:rsidRPr="00990245">
        <w:rPr>
          <w:szCs w:val="19"/>
          <w:lang w:val="fr-FR"/>
        </w:rPr>
        <w:t>une entité conformément au présent règlement lorsqu</w:t>
      </w:r>
      <w:r w:rsidR="00CA3D49">
        <w:rPr>
          <w:szCs w:val="19"/>
          <w:lang w:val="fr-FR"/>
        </w:rPr>
        <w:t>’</w:t>
      </w:r>
      <w:r w:rsidR="00CA3D49" w:rsidRPr="00990245">
        <w:rPr>
          <w:szCs w:val="19"/>
          <w:lang w:val="fr-FR"/>
        </w:rPr>
        <w:t>il ouvre un compte au nom de cette entité, toute société d</w:t>
      </w:r>
      <w:r w:rsidR="00CA3D49">
        <w:rPr>
          <w:szCs w:val="19"/>
          <w:lang w:val="fr-FR"/>
        </w:rPr>
        <w:t>’</w:t>
      </w:r>
      <w:r w:rsidR="00CA3D49" w:rsidRPr="00990245">
        <w:rPr>
          <w:szCs w:val="19"/>
          <w:lang w:val="fr-FR"/>
        </w:rPr>
        <w:t>assurance</w:t>
      </w:r>
      <w:r w:rsidR="00601B6E">
        <w:rPr>
          <w:szCs w:val="19"/>
          <w:lang w:val="fr-FR"/>
        </w:rPr>
        <w:t>-</w:t>
      </w:r>
      <w:r w:rsidR="00CA3D49" w:rsidRPr="00990245">
        <w:rPr>
          <w:szCs w:val="19"/>
          <w:lang w:val="fr-FR"/>
        </w:rPr>
        <w:t>vie ou tout représentant d</w:t>
      </w:r>
      <w:r w:rsidR="00CA3D49">
        <w:rPr>
          <w:szCs w:val="19"/>
          <w:lang w:val="fr-FR"/>
        </w:rPr>
        <w:t>’</w:t>
      </w:r>
      <w:r w:rsidR="00CA3D49" w:rsidRPr="00990245">
        <w:rPr>
          <w:szCs w:val="19"/>
          <w:lang w:val="fr-FR"/>
        </w:rPr>
        <w:t>assurance</w:t>
      </w:r>
      <w:r w:rsidR="00601B6E">
        <w:rPr>
          <w:szCs w:val="19"/>
          <w:lang w:val="fr-FR"/>
        </w:rPr>
        <w:t>-</w:t>
      </w:r>
      <w:r w:rsidR="00CA3D49" w:rsidRPr="00990245">
        <w:rPr>
          <w:szCs w:val="19"/>
          <w:lang w:val="fr-FR"/>
        </w:rPr>
        <w:t>vie ou tout conseiller juridique ou cabinet d</w:t>
      </w:r>
      <w:r w:rsidR="00CA3D49">
        <w:rPr>
          <w:szCs w:val="19"/>
          <w:lang w:val="fr-FR"/>
        </w:rPr>
        <w:t>’</w:t>
      </w:r>
      <w:r w:rsidR="00CA3D49" w:rsidRPr="00990245">
        <w:rPr>
          <w:szCs w:val="19"/>
          <w:lang w:val="fr-FR"/>
        </w:rPr>
        <w:t>avocats tenu de vérifier l</w:t>
      </w:r>
      <w:r w:rsidR="00CA3D49">
        <w:rPr>
          <w:szCs w:val="19"/>
          <w:lang w:val="fr-FR"/>
        </w:rPr>
        <w:t>’</w:t>
      </w:r>
      <w:r w:rsidR="00CA3D49" w:rsidRPr="00990245">
        <w:rPr>
          <w:szCs w:val="19"/>
          <w:lang w:val="fr-FR"/>
        </w:rPr>
        <w:t>existence d</w:t>
      </w:r>
      <w:r w:rsidR="00CA3D49">
        <w:rPr>
          <w:szCs w:val="19"/>
          <w:lang w:val="fr-FR"/>
        </w:rPr>
        <w:t>’</w:t>
      </w:r>
      <w:r w:rsidR="00CA3D49" w:rsidRPr="00990245">
        <w:rPr>
          <w:szCs w:val="19"/>
          <w:lang w:val="fr-FR"/>
        </w:rPr>
        <w:t>une entité conformément au présent règlement et toute entreprise de transfert de fonds ou de vente de titres négociables tenue de vérifier l</w:t>
      </w:r>
      <w:r w:rsidR="00CA3D49">
        <w:rPr>
          <w:szCs w:val="19"/>
          <w:lang w:val="fr-FR"/>
        </w:rPr>
        <w:t>’</w:t>
      </w:r>
      <w:r w:rsidR="00CA3D49" w:rsidRPr="00990245">
        <w:rPr>
          <w:szCs w:val="19"/>
          <w:lang w:val="fr-FR"/>
        </w:rPr>
        <w:t>existence d</w:t>
      </w:r>
      <w:r w:rsidR="00CA3D49">
        <w:rPr>
          <w:szCs w:val="19"/>
          <w:lang w:val="fr-FR"/>
        </w:rPr>
        <w:t>’</w:t>
      </w:r>
      <w:r w:rsidR="00CA3D49" w:rsidRPr="00990245">
        <w:rPr>
          <w:szCs w:val="19"/>
          <w:lang w:val="fr-FR"/>
        </w:rPr>
        <w:t>une entité conformément au présent règlement lorsqu</w:t>
      </w:r>
      <w:r w:rsidR="00CA3D49">
        <w:rPr>
          <w:szCs w:val="19"/>
          <w:lang w:val="fr-FR"/>
        </w:rPr>
        <w:t>’</w:t>
      </w:r>
      <w:r w:rsidR="00CA3D49" w:rsidRPr="00990245">
        <w:rPr>
          <w:szCs w:val="19"/>
          <w:lang w:val="fr-FR"/>
        </w:rPr>
        <w:t xml:space="preserve">elle conclut un accord de relation commerciale suivie avec cette entité pour le </w:t>
      </w:r>
      <w:proofErr w:type="spellStart"/>
      <w:r w:rsidR="00CA3D49" w:rsidRPr="00990245">
        <w:rPr>
          <w:szCs w:val="19"/>
          <w:lang w:val="fr-FR"/>
        </w:rPr>
        <w:t>télévirement</w:t>
      </w:r>
      <w:proofErr w:type="spellEnd"/>
      <w:r w:rsidR="00CA3D49" w:rsidRPr="00990245">
        <w:rPr>
          <w:szCs w:val="19"/>
          <w:lang w:val="fr-FR"/>
        </w:rPr>
        <w:t>, la remise de fonds ou des opérations de change, ou un accord de relation commerciale pour l</w:t>
      </w:r>
      <w:r w:rsidR="00CA3D49">
        <w:rPr>
          <w:szCs w:val="19"/>
          <w:lang w:val="fr-FR"/>
        </w:rPr>
        <w:t>’</w:t>
      </w:r>
      <w:r w:rsidR="00CA3D49" w:rsidRPr="00990245">
        <w:rPr>
          <w:szCs w:val="19"/>
          <w:lang w:val="fr-FR"/>
        </w:rPr>
        <w:t>émission ou le rachat de mandats</w:t>
      </w:r>
      <w:r w:rsidR="00601B6E">
        <w:rPr>
          <w:szCs w:val="19"/>
          <w:lang w:val="fr-FR"/>
        </w:rPr>
        <w:t>-</w:t>
      </w:r>
      <w:r w:rsidR="00CA3D49" w:rsidRPr="00990245">
        <w:rPr>
          <w:szCs w:val="19"/>
          <w:lang w:val="fr-FR"/>
        </w:rPr>
        <w:t>poste, chèques de voyage ou autres titres négociables semblables, doit, au moment de la vérification, obtenir les renseignements suivants à l</w:t>
      </w:r>
      <w:r w:rsidR="00CA3D49">
        <w:rPr>
          <w:szCs w:val="19"/>
          <w:lang w:val="fr-FR"/>
        </w:rPr>
        <w:t>’</w:t>
      </w:r>
      <w:r w:rsidR="00CA3D49" w:rsidRPr="00990245">
        <w:rPr>
          <w:szCs w:val="19"/>
          <w:lang w:val="fr-FR"/>
        </w:rPr>
        <w:t>égard de cette entité</w:t>
      </w:r>
      <w:r w:rsidR="00601B6E">
        <w:rPr>
          <w:szCs w:val="19"/>
          <w:lang w:val="fr-FR"/>
        </w:rPr>
        <w:t> :</w:t>
      </w:r>
      <w:r w:rsidR="00CA3D49"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a</w:t>
      </w:r>
      <w:r w:rsidRPr="00990245">
        <w:rPr>
          <w:lang w:val="fr-CA"/>
        </w:rPr>
        <w:t xml:space="preserve">) </w:t>
      </w:r>
      <w:r w:rsidRPr="000F5CF8">
        <w:rPr>
          <w:szCs w:val="19"/>
          <w:lang w:val="fr-FR"/>
        </w:rPr>
        <w:t>s’agissant</w:t>
      </w:r>
      <w:r w:rsidRPr="00990245">
        <w:rPr>
          <w:szCs w:val="19"/>
          <w:lang w:val="fr-FR"/>
        </w:rPr>
        <w:t xml:space="preserve"> d</w:t>
      </w:r>
      <w:r>
        <w:rPr>
          <w:szCs w:val="19"/>
          <w:lang w:val="fr-FR"/>
        </w:rPr>
        <w:t>’</w:t>
      </w:r>
      <w:r w:rsidRPr="00990245">
        <w:rPr>
          <w:szCs w:val="19"/>
          <w:lang w:val="fr-FR"/>
        </w:rPr>
        <w:t>une personne morale, le nom de tous ses administrateurs de même que les nom et adresse de toutes les personnes qui détiennent ou contrôlent, directement ou indirectement, au moins vingt</w:t>
      </w:r>
      <w:r w:rsidR="00601B6E">
        <w:rPr>
          <w:szCs w:val="19"/>
          <w:lang w:val="fr-FR"/>
        </w:rPr>
        <w:t>-</w:t>
      </w:r>
      <w:r w:rsidRPr="00990245">
        <w:rPr>
          <w:szCs w:val="19"/>
          <w:lang w:val="fr-FR"/>
        </w:rPr>
        <w:t>cinq pour cent de ses actions;</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b</w:t>
      </w:r>
      <w:r w:rsidRPr="00990245">
        <w:rPr>
          <w:lang w:val="fr-CA"/>
        </w:rPr>
        <w:t xml:space="preserve">) </w:t>
      </w:r>
      <w:r w:rsidRPr="00990245">
        <w:rPr>
          <w:szCs w:val="19"/>
          <w:lang w:val="fr-FR"/>
        </w:rPr>
        <w:t>s</w:t>
      </w:r>
      <w:r>
        <w:rPr>
          <w:szCs w:val="19"/>
          <w:lang w:val="fr-FR"/>
        </w:rPr>
        <w:t>’</w:t>
      </w:r>
      <w:r w:rsidRPr="00990245">
        <w:rPr>
          <w:szCs w:val="19"/>
          <w:lang w:val="fr-FR"/>
        </w:rPr>
        <w:t>agissant d</w:t>
      </w:r>
      <w:r>
        <w:rPr>
          <w:szCs w:val="19"/>
          <w:lang w:val="fr-FR"/>
        </w:rPr>
        <w:t>’</w:t>
      </w:r>
      <w:r w:rsidRPr="00990245">
        <w:rPr>
          <w:szCs w:val="19"/>
          <w:lang w:val="fr-FR"/>
        </w:rPr>
        <w:t>une fiducie, les nom et adresse de tous ses bénéficiaires et ses constituants connus de même que de tous ses fiduciaires;</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lastRenderedPageBreak/>
        <w:t>c</w:t>
      </w:r>
      <w:r w:rsidRPr="00990245">
        <w:rPr>
          <w:lang w:val="fr-CA"/>
        </w:rPr>
        <w:t xml:space="preserve">) </w:t>
      </w:r>
      <w:r w:rsidRPr="00990245">
        <w:rPr>
          <w:szCs w:val="19"/>
          <w:lang w:val="fr-FR"/>
        </w:rPr>
        <w:t>s</w:t>
      </w:r>
      <w:r>
        <w:rPr>
          <w:szCs w:val="19"/>
          <w:lang w:val="fr-FR"/>
        </w:rPr>
        <w:t>’</w:t>
      </w:r>
      <w:r w:rsidRPr="00990245">
        <w:rPr>
          <w:szCs w:val="19"/>
          <w:lang w:val="fr-FR"/>
        </w:rPr>
        <w:t>agissant d</w:t>
      </w:r>
      <w:r>
        <w:rPr>
          <w:szCs w:val="19"/>
          <w:lang w:val="fr-FR"/>
        </w:rPr>
        <w:t>’</w:t>
      </w:r>
      <w:r w:rsidRPr="00990245">
        <w:rPr>
          <w:szCs w:val="19"/>
          <w:lang w:val="fr-FR"/>
        </w:rPr>
        <w:t>une entité autre qu</w:t>
      </w:r>
      <w:r>
        <w:rPr>
          <w:szCs w:val="19"/>
          <w:lang w:val="fr-FR"/>
        </w:rPr>
        <w:t>’</w:t>
      </w:r>
      <w:r w:rsidRPr="00990245">
        <w:rPr>
          <w:szCs w:val="19"/>
          <w:lang w:val="fr-FR"/>
        </w:rPr>
        <w:t>une personne morale ou une fiducie, les nom et adresse de toutes les personnes qui en détiennent ou contrôlent, directement ou indirectement, au moins vingt</w:t>
      </w:r>
      <w:r w:rsidR="00601B6E">
        <w:rPr>
          <w:szCs w:val="19"/>
          <w:lang w:val="fr-FR"/>
        </w:rPr>
        <w:t>-</w:t>
      </w:r>
      <w:r w:rsidRPr="00990245">
        <w:rPr>
          <w:szCs w:val="19"/>
          <w:lang w:val="fr-FR"/>
        </w:rPr>
        <w:t>cinq pour cent;</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d</w:t>
      </w:r>
      <w:r w:rsidRPr="00990245">
        <w:rPr>
          <w:lang w:val="fr-CA"/>
        </w:rPr>
        <w:t xml:space="preserve">) </w:t>
      </w:r>
      <w:r w:rsidRPr="00990245">
        <w:rPr>
          <w:szCs w:val="19"/>
          <w:lang w:val="fr-FR"/>
        </w:rPr>
        <w:t>dans tous les cas, les renseignements permettant d</w:t>
      </w:r>
      <w:r>
        <w:rPr>
          <w:szCs w:val="19"/>
          <w:lang w:val="fr-FR"/>
        </w:rPr>
        <w:t>’</w:t>
      </w:r>
      <w:r w:rsidRPr="00990245">
        <w:rPr>
          <w:szCs w:val="19"/>
          <w:lang w:val="fr-FR"/>
        </w:rPr>
        <w:t>établir la propriété, le contrôle et la structure de l</w:t>
      </w:r>
      <w:r>
        <w:rPr>
          <w:szCs w:val="19"/>
          <w:lang w:val="fr-FR"/>
        </w:rPr>
        <w:t>’</w:t>
      </w:r>
      <w:r w:rsidRPr="00990245">
        <w:rPr>
          <w:szCs w:val="19"/>
          <w:lang w:val="fr-FR"/>
        </w:rPr>
        <w:t>entité.</w:t>
      </w:r>
      <w:r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(2) </w:t>
      </w:r>
      <w:r w:rsidR="00CA3D49" w:rsidRPr="00990245">
        <w:rPr>
          <w:szCs w:val="19"/>
          <w:lang w:val="fr-FR"/>
        </w:rPr>
        <w:t>Toute personne ou entité assujettie au paragraphe</w:t>
      </w:r>
      <w:r w:rsidR="00601B6E">
        <w:rPr>
          <w:szCs w:val="19"/>
          <w:lang w:val="fr-FR"/>
        </w:rPr>
        <w:t xml:space="preserve"> </w:t>
      </w:r>
      <w:r w:rsidR="00CA3D49" w:rsidRPr="00990245">
        <w:rPr>
          <w:szCs w:val="19"/>
          <w:lang w:val="fr-FR"/>
        </w:rPr>
        <w:t>(1) prend des mesures raisonnables pour confirmer l</w:t>
      </w:r>
      <w:r w:rsidR="00CA3D49">
        <w:rPr>
          <w:szCs w:val="19"/>
          <w:lang w:val="fr-FR"/>
        </w:rPr>
        <w:t>’</w:t>
      </w:r>
      <w:r w:rsidR="00CA3D49" w:rsidRPr="00990245">
        <w:rPr>
          <w:szCs w:val="19"/>
          <w:lang w:val="fr-FR"/>
        </w:rPr>
        <w:t>exactitude des renseignements obtenus au titre de ce paragraphe.</w:t>
      </w:r>
      <w:r w:rsidR="00CA3D49"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(3) </w:t>
      </w:r>
      <w:r w:rsidR="00CA3D49" w:rsidRPr="00990245">
        <w:rPr>
          <w:szCs w:val="19"/>
          <w:lang w:val="fr-CA"/>
        </w:rPr>
        <w:t>La personne ou l</w:t>
      </w:r>
      <w:r w:rsidR="00CA3D49">
        <w:rPr>
          <w:szCs w:val="19"/>
          <w:lang w:val="fr-CA"/>
        </w:rPr>
        <w:t>’</w:t>
      </w:r>
      <w:r w:rsidR="00CA3D49" w:rsidRPr="00990245">
        <w:rPr>
          <w:szCs w:val="19"/>
          <w:lang w:val="fr-CA"/>
        </w:rPr>
        <w:t>entité conserve un document faisant état des renseignements obtenus et des mesures prises pour en confirmer l</w:t>
      </w:r>
      <w:r w:rsidR="00CA3D49">
        <w:rPr>
          <w:szCs w:val="19"/>
          <w:lang w:val="fr-CA"/>
        </w:rPr>
        <w:t>’</w:t>
      </w:r>
      <w:r w:rsidR="00CA3D49" w:rsidRPr="00990245">
        <w:rPr>
          <w:szCs w:val="19"/>
          <w:lang w:val="fr-CA"/>
        </w:rPr>
        <w:t>exactitude.</w:t>
      </w:r>
      <w:r w:rsidR="00CA3D49" w:rsidRPr="00990245">
        <w:rPr>
          <w:sz w:val="19"/>
          <w:szCs w:val="19"/>
          <w:lang w:val="fr-CA"/>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(4) </w:t>
      </w:r>
      <w:r w:rsidR="00CA3D49" w:rsidRPr="00990245">
        <w:rPr>
          <w:szCs w:val="19"/>
          <w:lang w:val="fr-CA"/>
        </w:rPr>
        <w:t>Si la personne ou l</w:t>
      </w:r>
      <w:r w:rsidR="00CA3D49">
        <w:rPr>
          <w:szCs w:val="19"/>
          <w:lang w:val="fr-CA"/>
        </w:rPr>
        <w:t>’</w:t>
      </w:r>
      <w:r w:rsidR="00CA3D49" w:rsidRPr="00990245">
        <w:rPr>
          <w:szCs w:val="19"/>
          <w:lang w:val="fr-CA"/>
        </w:rPr>
        <w:t>entité n</w:t>
      </w:r>
      <w:r w:rsidR="00CA3D49">
        <w:rPr>
          <w:szCs w:val="19"/>
          <w:lang w:val="fr-CA"/>
        </w:rPr>
        <w:t>’</w:t>
      </w:r>
      <w:r w:rsidR="00CA3D49" w:rsidRPr="00990245">
        <w:rPr>
          <w:szCs w:val="19"/>
          <w:lang w:val="fr-CA"/>
        </w:rPr>
        <w:t>est pas en mesure d</w:t>
      </w:r>
      <w:r w:rsidR="00CA3D49">
        <w:rPr>
          <w:szCs w:val="19"/>
          <w:lang w:val="fr-CA"/>
        </w:rPr>
        <w:t>’</w:t>
      </w:r>
      <w:r w:rsidR="00CA3D49" w:rsidRPr="00990245">
        <w:rPr>
          <w:szCs w:val="19"/>
          <w:lang w:val="fr-CA"/>
        </w:rPr>
        <w:t>obtenir les renseignements visés au paragraphe</w:t>
      </w:r>
      <w:r w:rsidR="00601B6E">
        <w:rPr>
          <w:szCs w:val="19"/>
          <w:lang w:val="fr-CA"/>
        </w:rPr>
        <w:t xml:space="preserve"> </w:t>
      </w:r>
      <w:r w:rsidR="00CA3D49" w:rsidRPr="00990245">
        <w:rPr>
          <w:szCs w:val="19"/>
          <w:lang w:val="fr-CA"/>
        </w:rPr>
        <w:t>(1) ou d</w:t>
      </w:r>
      <w:r w:rsidR="00CA3D49">
        <w:rPr>
          <w:szCs w:val="19"/>
          <w:lang w:val="fr-CA"/>
        </w:rPr>
        <w:t>’</w:t>
      </w:r>
      <w:r w:rsidR="00CA3D49" w:rsidRPr="00990245">
        <w:rPr>
          <w:szCs w:val="19"/>
          <w:lang w:val="fr-CA"/>
        </w:rPr>
        <w:t>en confirmer l</w:t>
      </w:r>
      <w:r w:rsidR="00CA3D49">
        <w:rPr>
          <w:szCs w:val="19"/>
          <w:lang w:val="fr-CA"/>
        </w:rPr>
        <w:t>’</w:t>
      </w:r>
      <w:r w:rsidR="00CA3D49" w:rsidRPr="00990245">
        <w:rPr>
          <w:szCs w:val="19"/>
          <w:lang w:val="fr-CA"/>
        </w:rPr>
        <w:t>exactitude conformément au paragraphe</w:t>
      </w:r>
      <w:r w:rsidR="00601B6E">
        <w:rPr>
          <w:szCs w:val="19"/>
          <w:lang w:val="fr-CA"/>
        </w:rPr>
        <w:t xml:space="preserve"> </w:t>
      </w:r>
      <w:r w:rsidR="00CA3D49" w:rsidRPr="00990245">
        <w:rPr>
          <w:szCs w:val="19"/>
          <w:lang w:val="fr-CA"/>
        </w:rPr>
        <w:t>(2), elle doit, à la fois</w:t>
      </w:r>
      <w:r w:rsidR="00601B6E">
        <w:rPr>
          <w:szCs w:val="19"/>
          <w:lang w:val="fr-CA"/>
        </w:rPr>
        <w:t> :</w:t>
      </w:r>
      <w:r w:rsidR="00CA3D49" w:rsidRPr="00990245">
        <w:rPr>
          <w:sz w:val="19"/>
          <w:szCs w:val="19"/>
          <w:lang w:val="fr-CA"/>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a</w:t>
      </w:r>
      <w:r w:rsidRPr="00990245">
        <w:rPr>
          <w:lang w:val="fr-CA"/>
        </w:rPr>
        <w:t xml:space="preserve">) </w:t>
      </w:r>
      <w:r w:rsidRPr="00990245">
        <w:rPr>
          <w:szCs w:val="19"/>
          <w:lang w:val="fr-FR"/>
        </w:rPr>
        <w:t>prendre des mesures raisonnables pour vérifier l</w:t>
      </w:r>
      <w:r>
        <w:rPr>
          <w:szCs w:val="19"/>
          <w:lang w:val="fr-FR"/>
        </w:rPr>
        <w:t>’</w:t>
      </w:r>
      <w:r w:rsidRPr="00990245">
        <w:rPr>
          <w:szCs w:val="19"/>
          <w:lang w:val="fr-FR"/>
        </w:rPr>
        <w:t>identité du premier dirigeant de l</w:t>
      </w:r>
      <w:r>
        <w:rPr>
          <w:szCs w:val="19"/>
          <w:lang w:val="fr-FR"/>
        </w:rPr>
        <w:t>’</w:t>
      </w:r>
      <w:r w:rsidRPr="00990245">
        <w:rPr>
          <w:szCs w:val="19"/>
          <w:lang w:val="fr-FR"/>
        </w:rPr>
        <w:t>entité</w:t>
      </w:r>
      <w:r w:rsidRPr="00990245">
        <w:rPr>
          <w:lang w:val="fr-CA"/>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b</w:t>
      </w:r>
      <w:r w:rsidRPr="00990245">
        <w:rPr>
          <w:lang w:val="fr-CA"/>
        </w:rPr>
        <w:t xml:space="preserve">) </w:t>
      </w:r>
      <w:r w:rsidRPr="00990245">
        <w:rPr>
          <w:szCs w:val="19"/>
          <w:lang w:val="fr-FR"/>
        </w:rPr>
        <w:t>considérer que cette entité représente un risque élevé au titre du paragraphe</w:t>
      </w:r>
      <w:r w:rsidR="00601B6E">
        <w:rPr>
          <w:szCs w:val="19"/>
          <w:lang w:val="fr-FR"/>
        </w:rPr>
        <w:t xml:space="preserve"> </w:t>
      </w:r>
      <w:r w:rsidRPr="00990245">
        <w:rPr>
          <w:szCs w:val="19"/>
          <w:lang w:val="fr-FR"/>
        </w:rPr>
        <w:t>9.6(3) de la Loi et appliquer les mesures spéciales visées à l</w:t>
      </w:r>
      <w:r>
        <w:rPr>
          <w:szCs w:val="19"/>
          <w:lang w:val="fr-FR"/>
        </w:rPr>
        <w:t>’</w:t>
      </w:r>
      <w:r w:rsidRPr="00990245">
        <w:rPr>
          <w:szCs w:val="19"/>
          <w:lang w:val="fr-FR"/>
        </w:rPr>
        <w:t>article</w:t>
      </w:r>
      <w:r w:rsidR="00601B6E">
        <w:rPr>
          <w:szCs w:val="19"/>
          <w:lang w:val="fr-FR"/>
        </w:rPr>
        <w:t xml:space="preserve"> </w:t>
      </w:r>
      <w:r w:rsidRPr="00990245">
        <w:rPr>
          <w:szCs w:val="19"/>
          <w:lang w:val="fr-FR"/>
        </w:rPr>
        <w:t>71.1 du présent règlement.</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(5) </w:t>
      </w:r>
      <w:r w:rsidR="00CA3D49" w:rsidRPr="00990245">
        <w:rPr>
          <w:szCs w:val="19"/>
          <w:lang w:val="fr-FR"/>
        </w:rPr>
        <w:t>Dans le cas où la vérification visée au paragraphe</w:t>
      </w:r>
      <w:r w:rsidR="00601B6E">
        <w:rPr>
          <w:szCs w:val="19"/>
          <w:lang w:val="fr-FR"/>
        </w:rPr>
        <w:t xml:space="preserve"> </w:t>
      </w:r>
      <w:r w:rsidR="00CA3D49" w:rsidRPr="00990245">
        <w:rPr>
          <w:szCs w:val="19"/>
          <w:lang w:val="fr-FR"/>
        </w:rPr>
        <w:t>(1) porte sur une entité qui est un organisme sans but lucratif, la personne ou l</w:t>
      </w:r>
      <w:r w:rsidR="00CA3D49">
        <w:rPr>
          <w:szCs w:val="19"/>
          <w:lang w:val="fr-FR"/>
        </w:rPr>
        <w:t>’</w:t>
      </w:r>
      <w:r w:rsidR="00CA3D49" w:rsidRPr="00990245">
        <w:rPr>
          <w:szCs w:val="19"/>
          <w:lang w:val="fr-FR"/>
        </w:rPr>
        <w:t>entité qui est tenue d</w:t>
      </w:r>
      <w:r w:rsidR="00CA3D49">
        <w:rPr>
          <w:szCs w:val="19"/>
          <w:lang w:val="fr-FR"/>
        </w:rPr>
        <w:t>’</w:t>
      </w:r>
      <w:r w:rsidR="00CA3D49" w:rsidRPr="00990245">
        <w:rPr>
          <w:szCs w:val="19"/>
          <w:lang w:val="fr-FR"/>
        </w:rPr>
        <w:t>effectuer la vérification doit déterminer auquel des types d</w:t>
      </w:r>
      <w:r w:rsidR="00CA3D49">
        <w:rPr>
          <w:szCs w:val="19"/>
          <w:lang w:val="fr-FR"/>
        </w:rPr>
        <w:t>’</w:t>
      </w:r>
      <w:r w:rsidR="00CA3D49" w:rsidRPr="00990245">
        <w:rPr>
          <w:szCs w:val="19"/>
          <w:lang w:val="fr-FR"/>
        </w:rPr>
        <w:t>organisme ci</w:t>
      </w:r>
      <w:r w:rsidR="00601B6E">
        <w:rPr>
          <w:szCs w:val="19"/>
          <w:lang w:val="fr-FR"/>
        </w:rPr>
        <w:t>-</w:t>
      </w:r>
      <w:r w:rsidR="00CA3D49" w:rsidRPr="00990245">
        <w:rPr>
          <w:szCs w:val="19"/>
          <w:lang w:val="fr-FR"/>
        </w:rPr>
        <w:t>après celle</w:t>
      </w:r>
      <w:r w:rsidR="00601B6E">
        <w:rPr>
          <w:szCs w:val="19"/>
          <w:lang w:val="fr-FR"/>
        </w:rPr>
        <w:t>-</w:t>
      </w:r>
      <w:r w:rsidR="00CA3D49" w:rsidRPr="00990245">
        <w:rPr>
          <w:szCs w:val="19"/>
          <w:lang w:val="fr-FR"/>
        </w:rPr>
        <w:t>ci appartient et conserver ce renseignement dans un document</w:t>
      </w:r>
      <w:r w:rsidR="00601B6E">
        <w:rPr>
          <w:szCs w:val="19"/>
          <w:lang w:val="fr-FR"/>
        </w:rPr>
        <w:t> :</w:t>
      </w:r>
      <w:r w:rsidR="00CA3D49" w:rsidRPr="00990245">
        <w:rPr>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a</w:t>
      </w:r>
      <w:r w:rsidRPr="00990245">
        <w:rPr>
          <w:lang w:val="fr-CA"/>
        </w:rPr>
        <w:t xml:space="preserve">) </w:t>
      </w:r>
      <w:r w:rsidRPr="00990245">
        <w:rPr>
          <w:szCs w:val="19"/>
          <w:lang w:val="fr-FR"/>
        </w:rPr>
        <w:t>organisme de bienfaisance enregistré auprès de l</w:t>
      </w:r>
      <w:r>
        <w:rPr>
          <w:szCs w:val="19"/>
          <w:lang w:val="fr-FR"/>
        </w:rPr>
        <w:t>’</w:t>
      </w:r>
      <w:r w:rsidRPr="00990245">
        <w:rPr>
          <w:szCs w:val="19"/>
          <w:lang w:val="fr-FR"/>
        </w:rPr>
        <w:t xml:space="preserve">Agence du revenu du Canada conformément à la </w:t>
      </w:r>
      <w:r w:rsidRPr="00990245">
        <w:rPr>
          <w:rFonts w:eastAsiaTheme="majorEastAsia"/>
          <w:i/>
          <w:iCs/>
          <w:szCs w:val="19"/>
          <w:lang w:val="fr-FR"/>
        </w:rPr>
        <w:t>Loi de l</w:t>
      </w:r>
      <w:r>
        <w:rPr>
          <w:rFonts w:eastAsiaTheme="majorEastAsia"/>
          <w:i/>
          <w:iCs/>
          <w:szCs w:val="19"/>
          <w:lang w:val="fr-FR"/>
        </w:rPr>
        <w:t>’</w:t>
      </w:r>
      <w:r w:rsidRPr="00990245">
        <w:rPr>
          <w:rFonts w:eastAsiaTheme="majorEastAsia"/>
          <w:i/>
          <w:iCs/>
          <w:szCs w:val="19"/>
          <w:lang w:val="fr-FR"/>
        </w:rPr>
        <w:t>impôt sur le revenu</w:t>
      </w:r>
      <w:r w:rsidRPr="00990245">
        <w:rPr>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b</w:t>
      </w:r>
      <w:r w:rsidRPr="00990245">
        <w:rPr>
          <w:lang w:val="fr-CA"/>
        </w:rPr>
        <w:t xml:space="preserve">) </w:t>
      </w:r>
      <w:r w:rsidRPr="000F5CF8">
        <w:rPr>
          <w:szCs w:val="19"/>
          <w:lang w:val="fr-FR"/>
        </w:rPr>
        <w:t>organisme</w:t>
      </w:r>
      <w:r w:rsidRPr="00990245">
        <w:rPr>
          <w:lang w:val="fr-CA"/>
        </w:rPr>
        <w:t>, autre que celui visé à l</w:t>
      </w:r>
      <w:r>
        <w:rPr>
          <w:lang w:val="fr-CA"/>
        </w:rPr>
        <w:t>’</w:t>
      </w:r>
      <w:r w:rsidRPr="00990245">
        <w:rPr>
          <w:lang w:val="fr-CA"/>
        </w:rPr>
        <w:t>alinéa</w:t>
      </w:r>
      <w:r w:rsidR="00601B6E">
        <w:rPr>
          <w:lang w:val="fr-CA"/>
        </w:rPr>
        <w:t xml:space="preserve"> </w:t>
      </w:r>
      <w:r w:rsidRPr="00990245">
        <w:rPr>
          <w:lang w:val="fr-CA"/>
        </w:rPr>
        <w:t xml:space="preserve">a), qui sollicite des dons de bienfaisance du public.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(6) </w:t>
      </w:r>
      <w:r w:rsidR="00CA3D49" w:rsidRPr="00990245">
        <w:rPr>
          <w:szCs w:val="19"/>
          <w:lang w:val="fr-FR"/>
        </w:rPr>
        <w:t>Le présent article ne s</w:t>
      </w:r>
      <w:r w:rsidR="00CA3D49">
        <w:rPr>
          <w:szCs w:val="19"/>
          <w:lang w:val="fr-FR"/>
        </w:rPr>
        <w:t>’</w:t>
      </w:r>
      <w:r w:rsidR="00CA3D49" w:rsidRPr="00990245">
        <w:rPr>
          <w:szCs w:val="19"/>
          <w:lang w:val="fr-FR"/>
        </w:rPr>
        <w:t>applique pas à l</w:t>
      </w:r>
      <w:r w:rsidR="00CA3D49">
        <w:rPr>
          <w:szCs w:val="19"/>
          <w:lang w:val="fr-FR"/>
        </w:rPr>
        <w:t>’</w:t>
      </w:r>
      <w:r w:rsidR="00CA3D49" w:rsidRPr="00990245">
        <w:rPr>
          <w:szCs w:val="19"/>
          <w:lang w:val="fr-FR"/>
        </w:rPr>
        <w:t>égard du compte de régime collectif détenu dans un régime de réinvestissement des dividendes ou des distributions, notamment dans un régime qui permet au membre d</w:t>
      </w:r>
      <w:r w:rsidR="00CA3D49">
        <w:rPr>
          <w:szCs w:val="19"/>
          <w:lang w:val="fr-FR"/>
        </w:rPr>
        <w:t>’</w:t>
      </w:r>
      <w:r w:rsidR="00CA3D49" w:rsidRPr="00990245">
        <w:rPr>
          <w:szCs w:val="19"/>
          <w:lang w:val="fr-FR"/>
        </w:rPr>
        <w:t>acquérir des actions ou des unités supplémentaires au moyen de cotisations — qui ne sont pas des dividendes ou des distributions versés par le promoteur du régime —, si les actions ou les unités de ce promoteur sont cotées dans une bourse de valeurs au Canada et qu</w:t>
      </w:r>
      <w:r w:rsidR="00CA3D49">
        <w:rPr>
          <w:szCs w:val="19"/>
          <w:lang w:val="fr-FR"/>
        </w:rPr>
        <w:t>’</w:t>
      </w:r>
      <w:r w:rsidR="00CA3D49" w:rsidRPr="00990245">
        <w:rPr>
          <w:szCs w:val="19"/>
          <w:lang w:val="fr-FR"/>
        </w:rPr>
        <w:t>il exerce ses activités dans un pays membre du Groupe d</w:t>
      </w:r>
      <w:r w:rsidR="00CA3D49">
        <w:rPr>
          <w:szCs w:val="19"/>
          <w:lang w:val="fr-FR"/>
        </w:rPr>
        <w:t>’</w:t>
      </w:r>
      <w:r w:rsidR="00CA3D49" w:rsidRPr="00990245">
        <w:rPr>
          <w:szCs w:val="19"/>
          <w:lang w:val="fr-FR"/>
        </w:rPr>
        <w:t>action financière.</w:t>
      </w:r>
      <w:r w:rsidR="00CA3D49"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33.3</w:t>
      </w:r>
      <w:r w:rsidR="00CA3D49" w:rsidRPr="00990245">
        <w:rPr>
          <w:lang w:val="fr-CA"/>
        </w:rPr>
        <w:t xml:space="preserve"> (1) </w:t>
      </w:r>
      <w:r w:rsidR="00CA3D49" w:rsidRPr="00990245">
        <w:rPr>
          <w:szCs w:val="19"/>
          <w:lang w:val="fr-CA"/>
        </w:rPr>
        <w:t>Sous réserve du paragraphe</w:t>
      </w:r>
      <w:r w:rsidR="00601B6E">
        <w:rPr>
          <w:szCs w:val="19"/>
          <w:lang w:val="fr-CA"/>
        </w:rPr>
        <w:t xml:space="preserve"> </w:t>
      </w:r>
      <w:r w:rsidR="00CA3D49" w:rsidRPr="00990245">
        <w:rPr>
          <w:szCs w:val="19"/>
          <w:lang w:val="fr-CA"/>
        </w:rPr>
        <w:t>(2), les conseillers juridiques et les cabinets d</w:t>
      </w:r>
      <w:r w:rsidR="00CA3D49">
        <w:rPr>
          <w:szCs w:val="19"/>
          <w:lang w:val="fr-CA"/>
        </w:rPr>
        <w:t>’</w:t>
      </w:r>
      <w:r w:rsidR="00CA3D49" w:rsidRPr="00990245">
        <w:rPr>
          <w:szCs w:val="19"/>
          <w:lang w:val="fr-CA"/>
        </w:rPr>
        <w:t>avocats sont assujettis à la partie 1 de la Loi lorsqu</w:t>
      </w:r>
      <w:r w:rsidR="00CA3D49">
        <w:rPr>
          <w:szCs w:val="19"/>
          <w:lang w:val="fr-CA"/>
        </w:rPr>
        <w:t>’</w:t>
      </w:r>
      <w:r w:rsidR="00CA3D49" w:rsidRPr="00990245">
        <w:rPr>
          <w:szCs w:val="19"/>
          <w:lang w:val="fr-CA"/>
        </w:rPr>
        <w:t>ils exercent l</w:t>
      </w:r>
      <w:r w:rsidR="00CA3D49">
        <w:rPr>
          <w:szCs w:val="19"/>
          <w:lang w:val="fr-CA"/>
        </w:rPr>
        <w:t>’</w:t>
      </w:r>
      <w:r w:rsidR="00CA3D49" w:rsidRPr="00990245">
        <w:rPr>
          <w:szCs w:val="19"/>
          <w:lang w:val="fr-CA"/>
        </w:rPr>
        <w:t>une ou l</w:t>
      </w:r>
      <w:r w:rsidR="00CA3D49">
        <w:rPr>
          <w:szCs w:val="19"/>
          <w:lang w:val="fr-CA"/>
        </w:rPr>
        <w:t>’</w:t>
      </w:r>
      <w:r w:rsidR="00CA3D49" w:rsidRPr="00990245">
        <w:rPr>
          <w:szCs w:val="19"/>
          <w:lang w:val="fr-CA"/>
        </w:rPr>
        <w:t>autre des activités ci</w:t>
      </w:r>
      <w:r w:rsidR="00601B6E">
        <w:rPr>
          <w:szCs w:val="19"/>
          <w:lang w:val="fr-CA"/>
        </w:rPr>
        <w:t>-</w:t>
      </w:r>
      <w:r w:rsidR="00CA3D49" w:rsidRPr="00990245">
        <w:rPr>
          <w:szCs w:val="19"/>
          <w:lang w:val="fr-CA"/>
        </w:rPr>
        <w:t>après pour le compte d</w:t>
      </w:r>
      <w:r w:rsidR="00CA3D49">
        <w:rPr>
          <w:szCs w:val="19"/>
          <w:lang w:val="fr-CA"/>
        </w:rPr>
        <w:t>’</w:t>
      </w:r>
      <w:r w:rsidR="00CA3D49" w:rsidRPr="00990245">
        <w:rPr>
          <w:szCs w:val="19"/>
          <w:lang w:val="fr-CA"/>
        </w:rPr>
        <w:t>une personne ou entité</w:t>
      </w:r>
      <w:r w:rsidR="00601B6E">
        <w:rPr>
          <w:szCs w:val="19"/>
          <w:lang w:val="fr-CA"/>
        </w:rPr>
        <w:t> :</w:t>
      </w:r>
      <w:r w:rsidR="00CA3D49" w:rsidRPr="00990245">
        <w:rPr>
          <w:sz w:val="19"/>
          <w:szCs w:val="19"/>
          <w:lang w:val="fr-CA"/>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lastRenderedPageBreak/>
        <w:t>a</w:t>
      </w:r>
      <w:r w:rsidRPr="00990245">
        <w:rPr>
          <w:lang w:val="fr-CA"/>
        </w:rPr>
        <w:t xml:space="preserve">) </w:t>
      </w:r>
      <w:r w:rsidRPr="00990245">
        <w:rPr>
          <w:szCs w:val="19"/>
          <w:lang w:val="fr-FR"/>
        </w:rPr>
        <w:t>ils reçoivent ou paient des fonds autres que ceux reçus ou payés à titre d</w:t>
      </w:r>
      <w:r>
        <w:rPr>
          <w:szCs w:val="19"/>
          <w:lang w:val="fr-FR"/>
        </w:rPr>
        <w:t>’</w:t>
      </w:r>
      <w:r w:rsidRPr="00990245">
        <w:rPr>
          <w:szCs w:val="19"/>
          <w:lang w:val="fr-FR"/>
        </w:rPr>
        <w:t>honoraires, de débours, de dépenses ou de cautionnement</w:t>
      </w:r>
      <w:r w:rsidRPr="00990245">
        <w:rPr>
          <w:lang w:val="fr-CA"/>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b</w:t>
      </w:r>
      <w:r w:rsidRPr="00990245">
        <w:rPr>
          <w:lang w:val="fr-CA"/>
        </w:rPr>
        <w:t xml:space="preserve">) ils </w:t>
      </w:r>
      <w:r w:rsidRPr="000F5CF8">
        <w:rPr>
          <w:szCs w:val="19"/>
          <w:lang w:val="fr-FR"/>
        </w:rPr>
        <w:t>donnent</w:t>
      </w:r>
      <w:r w:rsidRPr="00990245">
        <w:rPr>
          <w:lang w:val="fr-CA"/>
        </w:rPr>
        <w:t xml:space="preserve"> des instructions à l</w:t>
      </w:r>
      <w:r>
        <w:rPr>
          <w:lang w:val="fr-CA"/>
        </w:rPr>
        <w:t>’</w:t>
      </w:r>
      <w:r w:rsidRPr="00990245">
        <w:rPr>
          <w:lang w:val="fr-CA"/>
        </w:rPr>
        <w:t>égard de l</w:t>
      </w:r>
      <w:r>
        <w:rPr>
          <w:lang w:val="fr-CA"/>
        </w:rPr>
        <w:t>’</w:t>
      </w:r>
      <w:r w:rsidRPr="00990245">
        <w:rPr>
          <w:lang w:val="fr-CA"/>
        </w:rPr>
        <w:t>une ou l</w:t>
      </w:r>
      <w:r>
        <w:rPr>
          <w:lang w:val="fr-CA"/>
        </w:rPr>
        <w:t>’</w:t>
      </w:r>
      <w:r w:rsidRPr="00990245">
        <w:rPr>
          <w:lang w:val="fr-CA"/>
        </w:rPr>
        <w:t>autre des activités visées à l</w:t>
      </w:r>
      <w:r>
        <w:rPr>
          <w:lang w:val="fr-CA"/>
        </w:rPr>
        <w:t>’</w:t>
      </w:r>
      <w:r w:rsidRPr="00990245">
        <w:rPr>
          <w:lang w:val="fr-CA"/>
        </w:rPr>
        <w:t>alinéa</w:t>
      </w:r>
      <w:r w:rsidR="00601B6E">
        <w:rPr>
          <w:lang w:val="fr-CA"/>
        </w:rPr>
        <w:t xml:space="preserve"> </w:t>
      </w:r>
      <w:r w:rsidRPr="00990245">
        <w:rPr>
          <w:i/>
          <w:lang w:val="fr-CA"/>
        </w:rPr>
        <w:t>a</w:t>
      </w:r>
      <w:r w:rsidRPr="00990245">
        <w:rPr>
          <w:lang w:val="fr-CA"/>
        </w:rPr>
        <w:t>).</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(2) </w:t>
      </w:r>
      <w:r w:rsidR="00CA3D49" w:rsidRPr="00990245">
        <w:rPr>
          <w:szCs w:val="19"/>
          <w:lang w:val="fr-FR"/>
        </w:rPr>
        <w:t>Le paragraphe</w:t>
      </w:r>
      <w:r w:rsidR="00601B6E">
        <w:rPr>
          <w:szCs w:val="19"/>
          <w:lang w:val="fr-FR"/>
        </w:rPr>
        <w:t xml:space="preserve"> </w:t>
      </w:r>
      <w:r w:rsidR="00CA3D49" w:rsidRPr="00990245">
        <w:rPr>
          <w:szCs w:val="19"/>
          <w:lang w:val="fr-FR"/>
        </w:rPr>
        <w:t>(1) ne s</w:t>
      </w:r>
      <w:r w:rsidR="00CA3D49">
        <w:rPr>
          <w:szCs w:val="19"/>
          <w:lang w:val="fr-FR"/>
        </w:rPr>
        <w:t>’</w:t>
      </w:r>
      <w:r w:rsidR="00CA3D49" w:rsidRPr="00990245">
        <w:rPr>
          <w:szCs w:val="19"/>
          <w:lang w:val="fr-FR"/>
        </w:rPr>
        <w:t>applique pas à l</w:t>
      </w:r>
      <w:r w:rsidR="00CA3D49">
        <w:rPr>
          <w:szCs w:val="19"/>
          <w:lang w:val="fr-FR"/>
        </w:rPr>
        <w:t>’</w:t>
      </w:r>
      <w:r w:rsidR="00CA3D49" w:rsidRPr="00990245">
        <w:rPr>
          <w:szCs w:val="19"/>
          <w:lang w:val="fr-FR"/>
        </w:rPr>
        <w:t>égard d</w:t>
      </w:r>
      <w:r w:rsidR="00CA3D49">
        <w:rPr>
          <w:szCs w:val="19"/>
          <w:lang w:val="fr-FR"/>
        </w:rPr>
        <w:t>’</w:t>
      </w:r>
      <w:r w:rsidR="00CA3D49" w:rsidRPr="00990245">
        <w:rPr>
          <w:szCs w:val="19"/>
          <w:lang w:val="fr-FR"/>
        </w:rPr>
        <w:t>un conseiller juridique qui exerce une activité visée à ce paragraphe</w:t>
      </w:r>
      <w:r w:rsidR="00601B6E">
        <w:rPr>
          <w:szCs w:val="19"/>
          <w:lang w:val="fr-FR"/>
        </w:rPr>
        <w:t xml:space="preserve"> </w:t>
      </w:r>
      <w:r w:rsidR="00CA3D49" w:rsidRPr="00990245">
        <w:rPr>
          <w:szCs w:val="19"/>
          <w:lang w:val="fr-FR"/>
        </w:rPr>
        <w:t>pour le compte de son employeur.</w:t>
      </w:r>
      <w:r w:rsidR="00CA3D49"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33.4</w:t>
      </w:r>
      <w:r w:rsidR="00CA3D49" w:rsidRPr="00990245">
        <w:rPr>
          <w:lang w:val="fr-CA"/>
        </w:rPr>
        <w:t xml:space="preserve"> </w:t>
      </w:r>
      <w:r w:rsidR="00CA3D49" w:rsidRPr="00990245">
        <w:rPr>
          <w:szCs w:val="19"/>
          <w:lang w:val="fr-CA"/>
        </w:rPr>
        <w:t>Sous réserve du paragraphe</w:t>
      </w:r>
      <w:r w:rsidR="00601B6E">
        <w:rPr>
          <w:szCs w:val="19"/>
          <w:lang w:val="fr-CA"/>
        </w:rPr>
        <w:t xml:space="preserve"> </w:t>
      </w:r>
      <w:r w:rsidR="00CA3D49" w:rsidRPr="00990245">
        <w:rPr>
          <w:szCs w:val="19"/>
          <w:lang w:val="fr-CA"/>
        </w:rPr>
        <w:t>62(2), les conseillers juridiques et les cabinets d</w:t>
      </w:r>
      <w:r w:rsidR="00CA3D49">
        <w:rPr>
          <w:szCs w:val="19"/>
          <w:lang w:val="fr-CA"/>
        </w:rPr>
        <w:t>’</w:t>
      </w:r>
      <w:r w:rsidR="00CA3D49" w:rsidRPr="00990245">
        <w:rPr>
          <w:szCs w:val="19"/>
          <w:lang w:val="fr-CA"/>
        </w:rPr>
        <w:t>avocats doivent, dans l</w:t>
      </w:r>
      <w:r w:rsidR="00CA3D49">
        <w:rPr>
          <w:szCs w:val="19"/>
          <w:lang w:val="fr-CA"/>
        </w:rPr>
        <w:t>’</w:t>
      </w:r>
      <w:r w:rsidR="00CA3D49" w:rsidRPr="00990245">
        <w:rPr>
          <w:szCs w:val="19"/>
          <w:lang w:val="fr-CA"/>
        </w:rPr>
        <w:t>exercice d</w:t>
      </w:r>
      <w:r w:rsidR="00CA3D49">
        <w:rPr>
          <w:szCs w:val="19"/>
          <w:lang w:val="fr-CA"/>
        </w:rPr>
        <w:t>’</w:t>
      </w:r>
      <w:r w:rsidR="00CA3D49" w:rsidRPr="00990245">
        <w:rPr>
          <w:szCs w:val="19"/>
          <w:lang w:val="fr-CA"/>
        </w:rPr>
        <w:t>une activité visée à l</w:t>
      </w:r>
      <w:r w:rsidR="00CA3D49">
        <w:rPr>
          <w:szCs w:val="19"/>
          <w:lang w:val="fr-CA"/>
        </w:rPr>
        <w:t>’</w:t>
      </w:r>
      <w:r w:rsidR="00CA3D49" w:rsidRPr="00990245">
        <w:rPr>
          <w:szCs w:val="19"/>
          <w:lang w:val="fr-CA"/>
        </w:rPr>
        <w:t>article</w:t>
      </w:r>
      <w:r w:rsidR="00601B6E">
        <w:rPr>
          <w:szCs w:val="19"/>
          <w:lang w:val="fr-CA"/>
        </w:rPr>
        <w:t xml:space="preserve"> </w:t>
      </w:r>
      <w:r w:rsidR="00CA3D49" w:rsidRPr="00990245">
        <w:rPr>
          <w:szCs w:val="19"/>
          <w:lang w:val="fr-CA"/>
        </w:rPr>
        <w:t>33.3, tenir les documents suivants</w:t>
      </w:r>
      <w:r w:rsidR="00601B6E">
        <w:rPr>
          <w:szCs w:val="19"/>
          <w:lang w:val="fr-CA"/>
        </w:rPr>
        <w:t> :</w:t>
      </w:r>
    </w:p>
    <w:p w:rsidR="00CA3D49" w:rsidRPr="00990245" w:rsidRDefault="00CA3D49" w:rsidP="000F5CF8">
      <w:pPr>
        <w:pStyle w:val="Citation-AltC"/>
        <w:spacing w:before="240" w:after="240"/>
        <w:ind w:left="900"/>
        <w:contextualSpacing w:val="0"/>
        <w:rPr>
          <w:lang w:val="fr-CA"/>
        </w:rPr>
      </w:pPr>
      <w:r w:rsidRPr="00990245">
        <w:rPr>
          <w:i/>
          <w:lang w:val="fr-CA"/>
        </w:rPr>
        <w:t>a</w:t>
      </w:r>
      <w:r w:rsidRPr="00990245">
        <w:rPr>
          <w:lang w:val="fr-CA"/>
        </w:rPr>
        <w:t xml:space="preserve">) </w:t>
      </w:r>
      <w:r w:rsidRPr="00990245">
        <w:rPr>
          <w:szCs w:val="19"/>
          <w:lang w:val="fr-FR"/>
        </w:rPr>
        <w:t xml:space="preserve">un relevé </w:t>
      </w:r>
      <w:r w:rsidRPr="00990245">
        <w:rPr>
          <w:lang w:val="fr-CA"/>
        </w:rPr>
        <w:t>de</w:t>
      </w:r>
      <w:r w:rsidRPr="00990245">
        <w:rPr>
          <w:szCs w:val="19"/>
          <w:lang w:val="fr-FR"/>
        </w:rPr>
        <w:t xml:space="preserve"> réception de fonds à l</w:t>
      </w:r>
      <w:r>
        <w:rPr>
          <w:szCs w:val="19"/>
          <w:lang w:val="fr-FR"/>
        </w:rPr>
        <w:t>’</w:t>
      </w:r>
      <w:r w:rsidRPr="00990245">
        <w:rPr>
          <w:szCs w:val="19"/>
          <w:lang w:val="fr-FR"/>
        </w:rPr>
        <w:t>égard de chaque somme de 3</w:t>
      </w:r>
      <w:r w:rsidR="00601B6E">
        <w:rPr>
          <w:szCs w:val="19"/>
          <w:lang w:val="fr-FR"/>
        </w:rPr>
        <w:t xml:space="preserve"> </w:t>
      </w:r>
      <w:r w:rsidRPr="00990245">
        <w:rPr>
          <w:szCs w:val="19"/>
          <w:lang w:val="fr-FR"/>
        </w:rPr>
        <w:t>000</w:t>
      </w:r>
      <w:r w:rsidR="00601B6E">
        <w:rPr>
          <w:szCs w:val="19"/>
          <w:lang w:val="fr-FR"/>
        </w:rPr>
        <w:t xml:space="preserve"> </w:t>
      </w:r>
      <w:r w:rsidRPr="00990245">
        <w:rPr>
          <w:szCs w:val="19"/>
          <w:lang w:val="fr-FR"/>
        </w:rPr>
        <w:t>$ ou plus reçue au cours d</w:t>
      </w:r>
      <w:r>
        <w:rPr>
          <w:szCs w:val="19"/>
          <w:lang w:val="fr-FR"/>
        </w:rPr>
        <w:t>’</w:t>
      </w:r>
      <w:r w:rsidRPr="00990245">
        <w:rPr>
          <w:szCs w:val="19"/>
          <w:lang w:val="fr-FR"/>
        </w:rPr>
        <w:t>une seule opération, à moins que cette somme ne soit reçue d</w:t>
      </w:r>
      <w:r>
        <w:rPr>
          <w:szCs w:val="19"/>
          <w:lang w:val="fr-FR"/>
        </w:rPr>
        <w:t>’</w:t>
      </w:r>
      <w:r w:rsidRPr="00990245">
        <w:rPr>
          <w:szCs w:val="19"/>
          <w:lang w:val="fr-FR"/>
        </w:rPr>
        <w:t>une entité financière ou d</w:t>
      </w:r>
      <w:r>
        <w:rPr>
          <w:szCs w:val="19"/>
          <w:lang w:val="fr-FR"/>
        </w:rPr>
        <w:t>’</w:t>
      </w:r>
      <w:r w:rsidRPr="00990245">
        <w:rPr>
          <w:szCs w:val="19"/>
          <w:lang w:val="fr-FR"/>
        </w:rPr>
        <w:t>un organisme public;</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sz w:val="19"/>
          <w:szCs w:val="19"/>
          <w:lang w:val="fr-FR"/>
        </w:rPr>
      </w:pPr>
      <w:r w:rsidRPr="00990245">
        <w:rPr>
          <w:i/>
          <w:lang w:val="fr-CA"/>
        </w:rPr>
        <w:t>b</w:t>
      </w:r>
      <w:r w:rsidRPr="00990245">
        <w:rPr>
          <w:lang w:val="fr-CA"/>
        </w:rPr>
        <w:t xml:space="preserve">) </w:t>
      </w:r>
      <w:r w:rsidRPr="00990245">
        <w:rPr>
          <w:szCs w:val="19"/>
          <w:lang w:val="fr-FR"/>
        </w:rPr>
        <w:t>s</w:t>
      </w:r>
      <w:r>
        <w:rPr>
          <w:szCs w:val="19"/>
          <w:lang w:val="fr-FR"/>
        </w:rPr>
        <w:t>’</w:t>
      </w:r>
      <w:r w:rsidRPr="00990245">
        <w:rPr>
          <w:szCs w:val="19"/>
          <w:lang w:val="fr-FR"/>
        </w:rPr>
        <w:t>agissant d</w:t>
      </w:r>
      <w:r>
        <w:rPr>
          <w:szCs w:val="19"/>
          <w:lang w:val="fr-FR"/>
        </w:rPr>
        <w:t>’</w:t>
      </w:r>
      <w:r w:rsidRPr="00990245">
        <w:rPr>
          <w:szCs w:val="19"/>
          <w:lang w:val="fr-FR"/>
        </w:rPr>
        <w:t>un relevé de réception de fonds à l</w:t>
      </w:r>
      <w:r>
        <w:rPr>
          <w:szCs w:val="19"/>
          <w:lang w:val="fr-FR"/>
        </w:rPr>
        <w:t>’</w:t>
      </w:r>
      <w:r w:rsidRPr="00990245">
        <w:rPr>
          <w:szCs w:val="19"/>
          <w:lang w:val="fr-FR"/>
        </w:rPr>
        <w:t>égard d</w:t>
      </w:r>
      <w:r>
        <w:rPr>
          <w:szCs w:val="19"/>
          <w:lang w:val="fr-FR"/>
        </w:rPr>
        <w:t>’</w:t>
      </w:r>
      <w:r w:rsidRPr="00990245">
        <w:rPr>
          <w:szCs w:val="19"/>
          <w:lang w:val="fr-FR"/>
        </w:rPr>
        <w:t>un client qui est une personne morale, une copie de l</w:t>
      </w:r>
      <w:r>
        <w:rPr>
          <w:szCs w:val="19"/>
          <w:lang w:val="fr-FR"/>
        </w:rPr>
        <w:t>’</w:t>
      </w:r>
      <w:r w:rsidRPr="00990245">
        <w:rPr>
          <w:szCs w:val="19"/>
          <w:lang w:val="fr-FR"/>
        </w:rPr>
        <w:t>extrait des registres officiels de celle</w:t>
      </w:r>
      <w:r w:rsidR="00601B6E">
        <w:rPr>
          <w:szCs w:val="19"/>
          <w:lang w:val="fr-FR"/>
        </w:rPr>
        <w:t>-</w:t>
      </w:r>
      <w:r w:rsidRPr="00990245">
        <w:rPr>
          <w:szCs w:val="19"/>
          <w:lang w:val="fr-FR"/>
        </w:rPr>
        <w:t>ci où figure une disposition portant sur le pouvoir de lier la personne morale quant aux opérations effectuées avec le conseiller juridique ou le cabinet d</w:t>
      </w:r>
      <w:r>
        <w:rPr>
          <w:szCs w:val="19"/>
          <w:lang w:val="fr-FR"/>
        </w:rPr>
        <w:t>’</w:t>
      </w:r>
      <w:r w:rsidRPr="00990245">
        <w:rPr>
          <w:szCs w:val="19"/>
          <w:lang w:val="fr-FR"/>
        </w:rPr>
        <w:t>avocats.</w:t>
      </w:r>
      <w:r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szCs w:val="19"/>
          <w:lang w:val="fr-FR"/>
        </w:rPr>
      </w:pPr>
      <w:r>
        <w:rPr>
          <w:b/>
          <w:bCs/>
          <w:lang w:val="fr-FR"/>
        </w:rPr>
        <w:tab/>
      </w:r>
      <w:r w:rsidR="00CA3D49" w:rsidRPr="00990245">
        <w:rPr>
          <w:b/>
          <w:bCs/>
          <w:lang w:val="fr-FR"/>
        </w:rPr>
        <w:t>33.5</w:t>
      </w:r>
      <w:r w:rsidR="00601B6E">
        <w:rPr>
          <w:szCs w:val="19"/>
          <w:lang w:val="fr-FR"/>
        </w:rPr>
        <w:t xml:space="preserve"> </w:t>
      </w:r>
      <w:r w:rsidR="00CA3D49" w:rsidRPr="00990245">
        <w:rPr>
          <w:szCs w:val="19"/>
          <w:lang w:val="fr-FR"/>
        </w:rPr>
        <w:t xml:space="preserve"> </w:t>
      </w:r>
      <w:r w:rsidR="00CA3D49" w:rsidRPr="000F5CF8">
        <w:rPr>
          <w:szCs w:val="19"/>
          <w:lang w:val="fr-CA"/>
        </w:rPr>
        <w:t>Le</w:t>
      </w:r>
      <w:r w:rsidR="00CA3D49" w:rsidRPr="00990245">
        <w:rPr>
          <w:szCs w:val="19"/>
          <w:lang w:val="fr-FR"/>
        </w:rPr>
        <w:t xml:space="preserve"> conseiller juridique ou le cabinet d</w:t>
      </w:r>
      <w:r w:rsidR="00CA3D49">
        <w:rPr>
          <w:szCs w:val="19"/>
          <w:lang w:val="fr-FR"/>
        </w:rPr>
        <w:t>’</w:t>
      </w:r>
      <w:r w:rsidR="00CA3D49" w:rsidRPr="00990245">
        <w:rPr>
          <w:szCs w:val="19"/>
          <w:lang w:val="fr-FR"/>
        </w:rPr>
        <w:t>avocats qui, relativement à une opération, reçoit des fonds provenant du compte en fiducie d</w:t>
      </w:r>
      <w:r w:rsidR="00CA3D49">
        <w:rPr>
          <w:szCs w:val="19"/>
          <w:lang w:val="fr-FR"/>
        </w:rPr>
        <w:t>’</w:t>
      </w:r>
      <w:r w:rsidR="00CA3D49" w:rsidRPr="00990245">
        <w:rPr>
          <w:szCs w:val="19"/>
          <w:lang w:val="fr-FR"/>
        </w:rPr>
        <w:t>un cabinet d</w:t>
      </w:r>
      <w:r w:rsidR="00CA3D49">
        <w:rPr>
          <w:szCs w:val="19"/>
          <w:lang w:val="fr-FR"/>
        </w:rPr>
        <w:t>’</w:t>
      </w:r>
      <w:r w:rsidR="00CA3D49" w:rsidRPr="00990245">
        <w:rPr>
          <w:szCs w:val="19"/>
          <w:lang w:val="fr-FR"/>
        </w:rPr>
        <w:t>avocats ou d</w:t>
      </w:r>
      <w:r w:rsidR="00CA3D49">
        <w:rPr>
          <w:szCs w:val="19"/>
          <w:lang w:val="fr-FR"/>
        </w:rPr>
        <w:t>’</w:t>
      </w:r>
      <w:r w:rsidR="00CA3D49" w:rsidRPr="00990245">
        <w:rPr>
          <w:szCs w:val="19"/>
          <w:lang w:val="fr-FR"/>
        </w:rPr>
        <w:t>un conseiller juridique qui n</w:t>
      </w:r>
      <w:r w:rsidR="00CA3D49">
        <w:rPr>
          <w:szCs w:val="19"/>
          <w:lang w:val="fr-FR"/>
        </w:rPr>
        <w:t>’</w:t>
      </w:r>
      <w:r w:rsidR="00CA3D49" w:rsidRPr="00990245">
        <w:rPr>
          <w:szCs w:val="19"/>
          <w:lang w:val="fr-FR"/>
        </w:rPr>
        <w:t>agit pas pour le compte de son employeur</w:t>
      </w:r>
      <w:r w:rsidR="00601B6E">
        <w:rPr>
          <w:szCs w:val="19"/>
          <w:lang w:val="fr-FR"/>
        </w:rPr>
        <w:t> :</w:t>
      </w:r>
    </w:p>
    <w:p w:rsidR="00CA3D49" w:rsidRPr="00990245" w:rsidRDefault="00CA3D49" w:rsidP="000F5CF8">
      <w:pPr>
        <w:pStyle w:val="Citation-AltC"/>
        <w:spacing w:before="240" w:after="240"/>
        <w:ind w:left="900"/>
        <w:contextualSpacing w:val="0"/>
        <w:rPr>
          <w:szCs w:val="19"/>
          <w:lang w:val="fr-FR"/>
        </w:rPr>
      </w:pPr>
      <w:r w:rsidRPr="00990245">
        <w:rPr>
          <w:i/>
          <w:iCs/>
          <w:lang w:val="fr-FR"/>
        </w:rPr>
        <w:t>a</w:t>
      </w:r>
      <w:r w:rsidRPr="00990245">
        <w:rPr>
          <w:szCs w:val="19"/>
          <w:lang w:val="fr-FR"/>
        </w:rPr>
        <w:t>)</w:t>
      </w:r>
      <w:r w:rsidR="00601B6E">
        <w:rPr>
          <w:szCs w:val="19"/>
          <w:lang w:val="fr-FR"/>
        </w:rPr>
        <w:t xml:space="preserve"> </w:t>
      </w:r>
      <w:r w:rsidRPr="00990245">
        <w:rPr>
          <w:szCs w:val="19"/>
          <w:lang w:val="fr-FR"/>
        </w:rPr>
        <w:t>doit tenir et conserver un document indiquant ce fait;</w:t>
      </w:r>
    </w:p>
    <w:p w:rsidR="00CA3D49" w:rsidRPr="00990245" w:rsidRDefault="00CA3D49" w:rsidP="000F5CF8">
      <w:pPr>
        <w:pStyle w:val="Citation-AltC"/>
        <w:spacing w:before="240" w:after="240"/>
        <w:ind w:left="900"/>
        <w:contextualSpacing w:val="0"/>
        <w:rPr>
          <w:szCs w:val="19"/>
          <w:lang w:val="fr-FR"/>
        </w:rPr>
      </w:pPr>
      <w:r w:rsidRPr="00990245">
        <w:rPr>
          <w:i/>
          <w:iCs/>
          <w:lang w:val="fr-FR"/>
        </w:rPr>
        <w:t>b</w:t>
      </w:r>
      <w:r w:rsidRPr="00990245">
        <w:rPr>
          <w:szCs w:val="19"/>
          <w:lang w:val="fr-FR"/>
        </w:rPr>
        <w:t>)</w:t>
      </w:r>
      <w:r w:rsidR="00601B6E">
        <w:rPr>
          <w:szCs w:val="19"/>
          <w:lang w:val="fr-FR"/>
        </w:rPr>
        <w:t xml:space="preserve"> </w:t>
      </w:r>
      <w:r w:rsidRPr="00990245">
        <w:rPr>
          <w:szCs w:val="19"/>
          <w:lang w:val="fr-FR"/>
        </w:rPr>
        <w:t>n</w:t>
      </w:r>
      <w:r>
        <w:rPr>
          <w:szCs w:val="19"/>
          <w:lang w:val="fr-FR"/>
        </w:rPr>
        <w:t>’</w:t>
      </w:r>
      <w:r w:rsidRPr="00990245">
        <w:rPr>
          <w:szCs w:val="19"/>
          <w:lang w:val="fr-FR"/>
        </w:rPr>
        <w:t>est pas tenu d</w:t>
      </w:r>
      <w:r>
        <w:rPr>
          <w:szCs w:val="19"/>
          <w:lang w:val="fr-FR"/>
        </w:rPr>
        <w:t>’</w:t>
      </w:r>
      <w:r w:rsidRPr="00990245">
        <w:rPr>
          <w:szCs w:val="19"/>
          <w:lang w:val="fr-FR"/>
        </w:rPr>
        <w:t>inclure les renseignements ci</w:t>
      </w:r>
      <w:r w:rsidR="00601B6E">
        <w:rPr>
          <w:szCs w:val="19"/>
          <w:lang w:val="fr-FR"/>
        </w:rPr>
        <w:t>-</w:t>
      </w:r>
      <w:r w:rsidRPr="00990245">
        <w:rPr>
          <w:szCs w:val="19"/>
          <w:lang w:val="fr-FR"/>
        </w:rPr>
        <w:t>après dans le relevé de réception de fonds tenu à l</w:t>
      </w:r>
      <w:r>
        <w:rPr>
          <w:szCs w:val="19"/>
          <w:lang w:val="fr-FR"/>
        </w:rPr>
        <w:t>’</w:t>
      </w:r>
      <w:r w:rsidRPr="00990245">
        <w:rPr>
          <w:szCs w:val="19"/>
          <w:lang w:val="fr-FR"/>
        </w:rPr>
        <w:t>égard de ces fonds</w:t>
      </w:r>
      <w:r w:rsidR="00601B6E">
        <w:rPr>
          <w:szCs w:val="19"/>
          <w:lang w:val="fr-FR"/>
        </w:rPr>
        <w:t> :</w:t>
      </w:r>
    </w:p>
    <w:p w:rsidR="00CA3D49" w:rsidRPr="00990245" w:rsidRDefault="00CA3D49" w:rsidP="000F5CF8">
      <w:pPr>
        <w:pStyle w:val="Citation-AltC"/>
        <w:spacing w:before="240" w:after="240"/>
        <w:ind w:left="1440"/>
        <w:contextualSpacing w:val="0"/>
        <w:rPr>
          <w:szCs w:val="19"/>
          <w:lang w:val="fr-FR"/>
        </w:rPr>
      </w:pPr>
      <w:r w:rsidRPr="00990245">
        <w:rPr>
          <w:szCs w:val="19"/>
          <w:lang w:val="fr-FR"/>
        </w:rPr>
        <w:t>(i)</w:t>
      </w:r>
      <w:r w:rsidR="00601B6E">
        <w:rPr>
          <w:szCs w:val="19"/>
          <w:lang w:val="fr-FR"/>
        </w:rPr>
        <w:t xml:space="preserve"> </w:t>
      </w:r>
      <w:proofErr w:type="gramStart"/>
      <w:r w:rsidRPr="00990245">
        <w:rPr>
          <w:szCs w:val="19"/>
          <w:lang w:val="fr-FR"/>
        </w:rPr>
        <w:t xml:space="preserve">les </w:t>
      </w:r>
      <w:r w:rsidRPr="000F5CF8">
        <w:rPr>
          <w:szCs w:val="18"/>
          <w:lang w:val="fr-CA"/>
        </w:rPr>
        <w:t>numéro</w:t>
      </w:r>
      <w:proofErr w:type="gramEnd"/>
      <w:r w:rsidRPr="00990245">
        <w:rPr>
          <w:szCs w:val="19"/>
          <w:lang w:val="fr-FR"/>
        </w:rPr>
        <w:t xml:space="preserve"> et type du compte, pour chaque compte touché par l</w:t>
      </w:r>
      <w:r>
        <w:rPr>
          <w:szCs w:val="19"/>
          <w:lang w:val="fr-FR"/>
        </w:rPr>
        <w:t>’</w:t>
      </w:r>
      <w:r w:rsidRPr="00990245">
        <w:rPr>
          <w:szCs w:val="19"/>
          <w:lang w:val="fr-FR"/>
        </w:rPr>
        <w:t>opération,</w:t>
      </w:r>
    </w:p>
    <w:p w:rsidR="00CA3D49" w:rsidRPr="00990245" w:rsidRDefault="00CA3D49" w:rsidP="000F5CF8">
      <w:pPr>
        <w:pStyle w:val="Citation-AltC"/>
        <w:spacing w:before="240" w:after="240"/>
        <w:ind w:left="1440"/>
        <w:contextualSpacing w:val="0"/>
        <w:rPr>
          <w:sz w:val="19"/>
          <w:szCs w:val="19"/>
          <w:lang w:val="fr-FR"/>
        </w:rPr>
      </w:pPr>
      <w:r w:rsidRPr="00990245">
        <w:rPr>
          <w:szCs w:val="19"/>
          <w:lang w:val="fr-FR"/>
        </w:rPr>
        <w:t>(ii)</w:t>
      </w:r>
      <w:r w:rsidR="00601B6E">
        <w:rPr>
          <w:szCs w:val="19"/>
          <w:lang w:val="fr-FR"/>
        </w:rPr>
        <w:t xml:space="preserve"> </w:t>
      </w:r>
      <w:r w:rsidRPr="00990245">
        <w:rPr>
          <w:szCs w:val="19"/>
          <w:lang w:val="fr-FR"/>
        </w:rPr>
        <w:t xml:space="preserve">le </w:t>
      </w:r>
      <w:r w:rsidRPr="000F5CF8">
        <w:rPr>
          <w:szCs w:val="18"/>
          <w:lang w:val="fr-CA"/>
        </w:rPr>
        <w:t>nom</w:t>
      </w:r>
      <w:r w:rsidRPr="00990245">
        <w:rPr>
          <w:szCs w:val="19"/>
          <w:lang w:val="fr-FR"/>
        </w:rPr>
        <w:t xml:space="preserve"> au complet de chaque titulaire du compte.</w:t>
      </w:r>
    </w:p>
    <w:p w:rsidR="00CA3D49" w:rsidRPr="00990245" w:rsidRDefault="000F5CF8" w:rsidP="000F5CF8">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59.4</w:t>
      </w:r>
      <w:r w:rsidR="00CA3D49" w:rsidRPr="00990245">
        <w:rPr>
          <w:lang w:val="fr-CA"/>
        </w:rPr>
        <w:t xml:space="preserve"> (1) </w:t>
      </w:r>
      <w:r w:rsidR="00CA3D49" w:rsidRPr="00990245">
        <w:rPr>
          <w:szCs w:val="19"/>
          <w:lang w:val="fr-FR"/>
        </w:rPr>
        <w:t>Sous réserve des paragraphes</w:t>
      </w:r>
      <w:r w:rsidR="00601B6E">
        <w:rPr>
          <w:szCs w:val="19"/>
          <w:lang w:val="fr-FR"/>
        </w:rPr>
        <w:t xml:space="preserve"> </w:t>
      </w:r>
      <w:r w:rsidR="00CA3D49" w:rsidRPr="00990245">
        <w:rPr>
          <w:szCs w:val="19"/>
          <w:lang w:val="fr-FR"/>
        </w:rPr>
        <w:t>(2) et 62(2) et de l</w:t>
      </w:r>
      <w:r w:rsidR="00CA3D49">
        <w:rPr>
          <w:szCs w:val="19"/>
          <w:lang w:val="fr-FR"/>
        </w:rPr>
        <w:t>’</w:t>
      </w:r>
      <w:r w:rsidR="00CA3D49" w:rsidRPr="00990245">
        <w:rPr>
          <w:szCs w:val="19"/>
          <w:lang w:val="fr-FR"/>
        </w:rPr>
        <w:t>article</w:t>
      </w:r>
      <w:r w:rsidR="00601B6E">
        <w:rPr>
          <w:szCs w:val="19"/>
          <w:lang w:val="fr-FR"/>
        </w:rPr>
        <w:t xml:space="preserve"> </w:t>
      </w:r>
      <w:r w:rsidR="00CA3D49" w:rsidRPr="00990245">
        <w:rPr>
          <w:szCs w:val="19"/>
          <w:lang w:val="fr-FR"/>
        </w:rPr>
        <w:t>63, les conseillers juridiques et les cabinets d</w:t>
      </w:r>
      <w:r w:rsidR="00CA3D49">
        <w:rPr>
          <w:szCs w:val="19"/>
          <w:lang w:val="fr-FR"/>
        </w:rPr>
        <w:t>’</w:t>
      </w:r>
      <w:r w:rsidR="00CA3D49" w:rsidRPr="00990245">
        <w:rPr>
          <w:szCs w:val="19"/>
          <w:lang w:val="fr-FR"/>
        </w:rPr>
        <w:t>avocats doivent prendre les mesures ci</w:t>
      </w:r>
      <w:r w:rsidR="00601B6E">
        <w:rPr>
          <w:szCs w:val="19"/>
          <w:lang w:val="fr-FR"/>
        </w:rPr>
        <w:t>-</w:t>
      </w:r>
      <w:r w:rsidR="00CA3D49" w:rsidRPr="00990245">
        <w:rPr>
          <w:szCs w:val="19"/>
          <w:lang w:val="fr-FR"/>
        </w:rPr>
        <w:t>après relativement à toute opération à l</w:t>
      </w:r>
      <w:r w:rsidR="00CA3D49">
        <w:rPr>
          <w:szCs w:val="19"/>
          <w:lang w:val="fr-FR"/>
        </w:rPr>
        <w:t>’</w:t>
      </w:r>
      <w:r w:rsidR="00CA3D49" w:rsidRPr="00990245">
        <w:rPr>
          <w:szCs w:val="19"/>
          <w:lang w:val="fr-FR"/>
        </w:rPr>
        <w:t>égard de laquelle ils tiennent des documents en application de l</w:t>
      </w:r>
      <w:r w:rsidR="00CA3D49">
        <w:rPr>
          <w:szCs w:val="19"/>
          <w:lang w:val="fr-FR"/>
        </w:rPr>
        <w:t>’</w:t>
      </w:r>
      <w:r w:rsidR="00CA3D49" w:rsidRPr="00990245">
        <w:rPr>
          <w:szCs w:val="19"/>
          <w:lang w:val="fr-FR"/>
        </w:rPr>
        <w:t>article</w:t>
      </w:r>
      <w:r w:rsidR="00601B6E">
        <w:rPr>
          <w:szCs w:val="19"/>
          <w:lang w:val="fr-FR"/>
        </w:rPr>
        <w:t xml:space="preserve"> </w:t>
      </w:r>
      <w:r w:rsidR="00CA3D49" w:rsidRPr="00990245">
        <w:rPr>
          <w:szCs w:val="19"/>
          <w:lang w:val="fr-FR"/>
        </w:rPr>
        <w:t>33.4</w:t>
      </w:r>
      <w:r w:rsidR="00601B6E">
        <w:rPr>
          <w:szCs w:val="19"/>
          <w:lang w:val="fr-FR"/>
        </w:rPr>
        <w:t> :</w:t>
      </w:r>
    </w:p>
    <w:p w:rsidR="00CA3D49" w:rsidRPr="00990245" w:rsidRDefault="00CA3D49" w:rsidP="000F5CF8">
      <w:pPr>
        <w:pStyle w:val="Citation-AltC"/>
        <w:spacing w:before="240" w:after="240"/>
        <w:ind w:left="900"/>
        <w:contextualSpacing w:val="0"/>
        <w:rPr>
          <w:lang w:val="fr-CA"/>
        </w:rPr>
      </w:pPr>
      <w:r w:rsidRPr="00990245">
        <w:rPr>
          <w:i/>
          <w:lang w:val="fr-CA"/>
        </w:rPr>
        <w:t>a</w:t>
      </w:r>
      <w:r w:rsidRPr="00990245">
        <w:rPr>
          <w:lang w:val="fr-CA"/>
        </w:rPr>
        <w:t xml:space="preserve">) </w:t>
      </w:r>
      <w:r w:rsidRPr="000F5CF8">
        <w:rPr>
          <w:szCs w:val="19"/>
          <w:lang w:val="fr-FR"/>
        </w:rPr>
        <w:t>conformément</w:t>
      </w:r>
      <w:r w:rsidRPr="00990245">
        <w:rPr>
          <w:szCs w:val="19"/>
          <w:lang w:val="fr-FR"/>
        </w:rPr>
        <w:t xml:space="preserve"> au paragraphe</w:t>
      </w:r>
      <w:r w:rsidR="00601B6E">
        <w:rPr>
          <w:szCs w:val="19"/>
          <w:lang w:val="fr-FR"/>
        </w:rPr>
        <w:t xml:space="preserve"> </w:t>
      </w:r>
      <w:r w:rsidRPr="00990245">
        <w:rPr>
          <w:szCs w:val="19"/>
          <w:lang w:val="fr-FR"/>
        </w:rPr>
        <w:t>64(1), vérifier l</w:t>
      </w:r>
      <w:r>
        <w:rPr>
          <w:szCs w:val="19"/>
          <w:lang w:val="fr-FR"/>
        </w:rPr>
        <w:t>’</w:t>
      </w:r>
      <w:r w:rsidRPr="00990245">
        <w:rPr>
          <w:szCs w:val="19"/>
          <w:lang w:val="fr-FR"/>
        </w:rPr>
        <w:t>identité de toute personne qui effectue l</w:t>
      </w:r>
      <w:r>
        <w:rPr>
          <w:szCs w:val="19"/>
          <w:lang w:val="fr-FR"/>
        </w:rPr>
        <w:t>’</w:t>
      </w:r>
      <w:r w:rsidRPr="00990245">
        <w:rPr>
          <w:szCs w:val="19"/>
          <w:lang w:val="fr-FR"/>
        </w:rPr>
        <w:t>opération</w:t>
      </w:r>
      <w:r w:rsidRPr="00990245">
        <w:rPr>
          <w:lang w:val="fr-CA"/>
        </w:rPr>
        <w:t>;</w:t>
      </w:r>
    </w:p>
    <w:p w:rsidR="00CA3D49" w:rsidRPr="00990245" w:rsidRDefault="00CA3D49" w:rsidP="000F5CF8">
      <w:pPr>
        <w:pStyle w:val="Citation-AltC"/>
        <w:spacing w:before="240" w:after="240"/>
        <w:ind w:left="900"/>
        <w:contextualSpacing w:val="0"/>
        <w:rPr>
          <w:lang w:val="fr-CA"/>
        </w:rPr>
      </w:pPr>
      <w:r w:rsidRPr="00990245">
        <w:rPr>
          <w:i/>
          <w:lang w:val="fr-CA"/>
        </w:rPr>
        <w:t>b</w:t>
      </w:r>
      <w:r w:rsidRPr="00990245">
        <w:rPr>
          <w:lang w:val="fr-CA"/>
        </w:rPr>
        <w:t xml:space="preserve">) </w:t>
      </w:r>
      <w:r w:rsidRPr="00990245">
        <w:rPr>
          <w:szCs w:val="19"/>
          <w:lang w:val="fr-FR"/>
        </w:rPr>
        <w:t>conformément à l</w:t>
      </w:r>
      <w:r>
        <w:rPr>
          <w:szCs w:val="19"/>
          <w:lang w:val="fr-FR"/>
        </w:rPr>
        <w:t>’</w:t>
      </w:r>
      <w:r w:rsidRPr="00990245">
        <w:rPr>
          <w:szCs w:val="19"/>
          <w:lang w:val="fr-FR"/>
        </w:rPr>
        <w:t>article</w:t>
      </w:r>
      <w:r w:rsidR="00601B6E">
        <w:rPr>
          <w:szCs w:val="19"/>
          <w:lang w:val="fr-FR"/>
        </w:rPr>
        <w:t xml:space="preserve"> </w:t>
      </w:r>
      <w:r w:rsidRPr="00990245">
        <w:rPr>
          <w:szCs w:val="19"/>
          <w:lang w:val="fr-FR"/>
        </w:rPr>
        <w:t>65, vérifier l</w:t>
      </w:r>
      <w:r>
        <w:rPr>
          <w:szCs w:val="19"/>
          <w:lang w:val="fr-FR"/>
        </w:rPr>
        <w:t>’</w:t>
      </w:r>
      <w:r w:rsidRPr="00990245">
        <w:rPr>
          <w:szCs w:val="19"/>
          <w:lang w:val="fr-FR"/>
        </w:rPr>
        <w:t>existence, la dénomination sociale et l</w:t>
      </w:r>
      <w:r>
        <w:rPr>
          <w:szCs w:val="19"/>
          <w:lang w:val="fr-FR"/>
        </w:rPr>
        <w:t>’</w:t>
      </w:r>
      <w:r w:rsidRPr="00990245">
        <w:rPr>
          <w:szCs w:val="19"/>
          <w:lang w:val="fr-FR"/>
        </w:rPr>
        <w:t>adresse de toute personne morale pour le compte de laquelle l</w:t>
      </w:r>
      <w:r>
        <w:rPr>
          <w:szCs w:val="19"/>
          <w:lang w:val="fr-FR"/>
        </w:rPr>
        <w:t>’</w:t>
      </w:r>
      <w:r w:rsidRPr="00990245">
        <w:rPr>
          <w:szCs w:val="19"/>
          <w:lang w:val="fr-FR"/>
        </w:rPr>
        <w:t>opération est effectuée, ainsi que les noms des administrateurs de la personne morale;</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lastRenderedPageBreak/>
        <w:t>c</w:t>
      </w:r>
      <w:r w:rsidRPr="00990245">
        <w:rPr>
          <w:lang w:val="fr-CA"/>
        </w:rPr>
        <w:t xml:space="preserve">) </w:t>
      </w:r>
      <w:r w:rsidRPr="00990245">
        <w:rPr>
          <w:szCs w:val="19"/>
          <w:lang w:val="fr-FR"/>
        </w:rPr>
        <w:t>conformément à l</w:t>
      </w:r>
      <w:r>
        <w:rPr>
          <w:szCs w:val="19"/>
          <w:lang w:val="fr-FR"/>
        </w:rPr>
        <w:t>’</w:t>
      </w:r>
      <w:r w:rsidRPr="00990245">
        <w:rPr>
          <w:szCs w:val="19"/>
          <w:lang w:val="fr-FR"/>
        </w:rPr>
        <w:t>article</w:t>
      </w:r>
      <w:r w:rsidR="00601B6E">
        <w:rPr>
          <w:szCs w:val="19"/>
          <w:lang w:val="fr-FR"/>
        </w:rPr>
        <w:t xml:space="preserve"> </w:t>
      </w:r>
      <w:r w:rsidRPr="00990245">
        <w:rPr>
          <w:szCs w:val="19"/>
          <w:lang w:val="fr-FR"/>
        </w:rPr>
        <w:t>66, vérifier l</w:t>
      </w:r>
      <w:r>
        <w:rPr>
          <w:szCs w:val="19"/>
          <w:lang w:val="fr-FR"/>
        </w:rPr>
        <w:t>’</w:t>
      </w:r>
      <w:r w:rsidRPr="00990245">
        <w:rPr>
          <w:szCs w:val="19"/>
          <w:lang w:val="fr-FR"/>
        </w:rPr>
        <w:t>existence de toute entité autre qu</w:t>
      </w:r>
      <w:r>
        <w:rPr>
          <w:szCs w:val="19"/>
          <w:lang w:val="fr-FR"/>
        </w:rPr>
        <w:t>’</w:t>
      </w:r>
      <w:r w:rsidRPr="00990245">
        <w:rPr>
          <w:szCs w:val="19"/>
          <w:lang w:val="fr-FR"/>
        </w:rPr>
        <w:t>une personne morale pour le compte de laquelle l</w:t>
      </w:r>
      <w:r>
        <w:rPr>
          <w:szCs w:val="19"/>
          <w:lang w:val="fr-FR"/>
        </w:rPr>
        <w:t>’</w:t>
      </w:r>
      <w:r w:rsidRPr="00990245">
        <w:rPr>
          <w:szCs w:val="19"/>
          <w:lang w:val="fr-FR"/>
        </w:rPr>
        <w:t>opération est effectuée.</w:t>
      </w:r>
      <w:r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(2) </w:t>
      </w:r>
      <w:r w:rsidR="00CA3D49" w:rsidRPr="00990245">
        <w:rPr>
          <w:szCs w:val="19"/>
          <w:lang w:val="fr-FR"/>
        </w:rPr>
        <w:t>Le paragraphe</w:t>
      </w:r>
      <w:r w:rsidR="00601B6E">
        <w:rPr>
          <w:szCs w:val="19"/>
          <w:lang w:val="fr-FR"/>
        </w:rPr>
        <w:t xml:space="preserve"> </w:t>
      </w:r>
      <w:r w:rsidR="00CA3D49" w:rsidRPr="00990245">
        <w:rPr>
          <w:szCs w:val="19"/>
          <w:lang w:val="fr-FR"/>
        </w:rPr>
        <w:t>(1) ne s</w:t>
      </w:r>
      <w:r w:rsidR="00CA3D49">
        <w:rPr>
          <w:szCs w:val="19"/>
          <w:lang w:val="fr-FR"/>
        </w:rPr>
        <w:t>’</w:t>
      </w:r>
      <w:r w:rsidR="00CA3D49" w:rsidRPr="00990245">
        <w:rPr>
          <w:szCs w:val="19"/>
          <w:lang w:val="fr-FR"/>
        </w:rPr>
        <w:t>applique pas à l</w:t>
      </w:r>
      <w:r w:rsidR="00CA3D49">
        <w:rPr>
          <w:szCs w:val="19"/>
          <w:lang w:val="fr-FR"/>
        </w:rPr>
        <w:t>’</w:t>
      </w:r>
      <w:r w:rsidR="00CA3D49" w:rsidRPr="00990245">
        <w:rPr>
          <w:szCs w:val="19"/>
          <w:lang w:val="fr-FR"/>
        </w:rPr>
        <w:t>égard d</w:t>
      </w:r>
      <w:r w:rsidR="00CA3D49">
        <w:rPr>
          <w:szCs w:val="19"/>
          <w:lang w:val="fr-FR"/>
        </w:rPr>
        <w:t>’</w:t>
      </w:r>
      <w:r w:rsidR="00CA3D49" w:rsidRPr="00990245">
        <w:rPr>
          <w:szCs w:val="19"/>
          <w:lang w:val="fr-FR"/>
        </w:rPr>
        <w:t>une opération pour laquelle un conseiller juridique ou cabinet d</w:t>
      </w:r>
      <w:r w:rsidR="00CA3D49">
        <w:rPr>
          <w:szCs w:val="19"/>
          <w:lang w:val="fr-FR"/>
        </w:rPr>
        <w:t>’</w:t>
      </w:r>
      <w:r w:rsidR="00CA3D49" w:rsidRPr="00990245">
        <w:rPr>
          <w:szCs w:val="19"/>
          <w:lang w:val="fr-FR"/>
        </w:rPr>
        <w:t>avocats reçoit des fonds provenant du compte en fiducie d</w:t>
      </w:r>
      <w:r w:rsidR="00CA3D49">
        <w:rPr>
          <w:szCs w:val="19"/>
          <w:lang w:val="fr-FR"/>
        </w:rPr>
        <w:t>’</w:t>
      </w:r>
      <w:r w:rsidR="00CA3D49" w:rsidRPr="00990245">
        <w:rPr>
          <w:szCs w:val="19"/>
          <w:lang w:val="fr-FR"/>
        </w:rPr>
        <w:t>un cabinet d</w:t>
      </w:r>
      <w:r w:rsidR="00CA3D49">
        <w:rPr>
          <w:szCs w:val="19"/>
          <w:lang w:val="fr-FR"/>
        </w:rPr>
        <w:t>’</w:t>
      </w:r>
      <w:r w:rsidR="00CA3D49" w:rsidRPr="00990245">
        <w:rPr>
          <w:szCs w:val="19"/>
          <w:lang w:val="fr-FR"/>
        </w:rPr>
        <w:t>avocats ou d</w:t>
      </w:r>
      <w:r w:rsidR="00CA3D49">
        <w:rPr>
          <w:szCs w:val="19"/>
          <w:lang w:val="fr-FR"/>
        </w:rPr>
        <w:t>’</w:t>
      </w:r>
      <w:r w:rsidR="00CA3D49" w:rsidRPr="00990245">
        <w:rPr>
          <w:szCs w:val="19"/>
          <w:lang w:val="fr-FR"/>
        </w:rPr>
        <w:t>un conseiller juridique qui n</w:t>
      </w:r>
      <w:r w:rsidR="00CA3D49">
        <w:rPr>
          <w:szCs w:val="19"/>
          <w:lang w:val="fr-FR"/>
        </w:rPr>
        <w:t>’</w:t>
      </w:r>
      <w:r w:rsidR="00CA3D49" w:rsidRPr="00990245">
        <w:rPr>
          <w:szCs w:val="19"/>
          <w:lang w:val="fr-FR"/>
        </w:rPr>
        <w:t>agit pas pour le compte de son employeur.</w:t>
      </w:r>
      <w:r w:rsidR="00CA3D49"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64.</w:t>
      </w:r>
      <w:r w:rsidR="00CA3D49" w:rsidRPr="00990245">
        <w:rPr>
          <w:lang w:val="fr-CA"/>
        </w:rPr>
        <w:t xml:space="preserve"> (1) Dans les cas prévus aux articles</w:t>
      </w:r>
      <w:r w:rsidR="00601B6E">
        <w:rPr>
          <w:lang w:val="fr-CA"/>
        </w:rPr>
        <w:t xml:space="preserve"> </w:t>
      </w:r>
      <w:r w:rsidR="00CA3D49" w:rsidRPr="00990245">
        <w:rPr>
          <w:lang w:val="fr-CA"/>
        </w:rPr>
        <w:t>53, 53.1, 54, 55, 56, 57, 59, 59.1, 59.2, 59.3, 59.4, 59.5, 60 et 61, l</w:t>
      </w:r>
      <w:r w:rsidR="00CA3D49">
        <w:rPr>
          <w:lang w:val="fr-CA"/>
        </w:rPr>
        <w:t>’</w:t>
      </w:r>
      <w:r w:rsidR="00CA3D49" w:rsidRPr="00990245">
        <w:rPr>
          <w:lang w:val="fr-CA"/>
        </w:rPr>
        <w:t>identité de la personne est vérifiée, au moment prévu au paragraphe</w:t>
      </w:r>
      <w:r w:rsidR="00601B6E">
        <w:rPr>
          <w:lang w:val="fr-CA"/>
        </w:rPr>
        <w:t xml:space="preserve"> </w:t>
      </w:r>
      <w:r w:rsidR="00CA3D49" w:rsidRPr="00990245">
        <w:rPr>
          <w:lang w:val="fr-CA"/>
        </w:rPr>
        <w:t>(2) et conformément au paragraphe</w:t>
      </w:r>
      <w:r w:rsidR="00601B6E">
        <w:rPr>
          <w:lang w:val="fr-CA"/>
        </w:rPr>
        <w:t xml:space="preserve"> </w:t>
      </w:r>
      <w:r w:rsidR="00CA3D49" w:rsidRPr="00990245">
        <w:rPr>
          <w:lang w:val="fr-CA"/>
        </w:rPr>
        <w:t>(3)</w:t>
      </w:r>
      <w:r w:rsidR="00601B6E">
        <w:rPr>
          <w:lang w:val="fr-CA"/>
        </w:rPr>
        <w:t> :</w:t>
      </w:r>
    </w:p>
    <w:p w:rsidR="00CA3D49" w:rsidRPr="00990245" w:rsidRDefault="00CA3D49" w:rsidP="000F5CF8">
      <w:pPr>
        <w:pStyle w:val="Citation-AltC"/>
        <w:spacing w:before="240" w:after="240"/>
        <w:ind w:left="900"/>
        <w:contextualSpacing w:val="0"/>
        <w:rPr>
          <w:lang w:val="fr-CA"/>
        </w:rPr>
      </w:pPr>
      <w:r w:rsidRPr="00990245">
        <w:rPr>
          <w:i/>
          <w:lang w:val="fr-CA"/>
        </w:rPr>
        <w:t>a</w:t>
      </w:r>
      <w:r w:rsidRPr="00990245">
        <w:rPr>
          <w:lang w:val="fr-CA"/>
        </w:rPr>
        <w:t xml:space="preserve">) </w:t>
      </w:r>
      <w:r w:rsidRPr="00990245">
        <w:rPr>
          <w:szCs w:val="19"/>
          <w:lang w:val="fr-FR"/>
        </w:rPr>
        <w:t>au moyen de son certificat de naissance, son permis de conduire, sa carte d</w:t>
      </w:r>
      <w:r>
        <w:rPr>
          <w:szCs w:val="19"/>
          <w:lang w:val="fr-FR"/>
        </w:rPr>
        <w:t>’</w:t>
      </w:r>
      <w:r w:rsidRPr="00990245">
        <w:rPr>
          <w:szCs w:val="19"/>
          <w:lang w:val="fr-FR"/>
        </w:rPr>
        <w:t>assurance</w:t>
      </w:r>
      <w:r w:rsidR="00601B6E">
        <w:rPr>
          <w:szCs w:val="19"/>
          <w:lang w:val="fr-FR"/>
        </w:rPr>
        <w:t>-</w:t>
      </w:r>
      <w:r w:rsidRPr="00990245">
        <w:rPr>
          <w:szCs w:val="19"/>
          <w:lang w:val="fr-FR"/>
        </w:rPr>
        <w:t>maladie provinciale (si un tel usage n</w:t>
      </w:r>
      <w:r>
        <w:rPr>
          <w:szCs w:val="19"/>
          <w:lang w:val="fr-FR"/>
        </w:rPr>
        <w:t>’</w:t>
      </w:r>
      <w:r w:rsidRPr="00990245">
        <w:rPr>
          <w:szCs w:val="19"/>
          <w:lang w:val="fr-FR"/>
        </w:rPr>
        <w:t>est pas interdit aux termes de la loi provinciale applicable), son passeport ou tout document semblable;</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b</w:t>
      </w:r>
      <w:r w:rsidRPr="00990245">
        <w:rPr>
          <w:lang w:val="fr-CA"/>
        </w:rPr>
        <w:t xml:space="preserve">) </w:t>
      </w:r>
      <w:r w:rsidRPr="00990245">
        <w:rPr>
          <w:szCs w:val="19"/>
          <w:lang w:val="fr-FR"/>
        </w:rPr>
        <w:t>si la personne est absente à l</w:t>
      </w:r>
      <w:r>
        <w:rPr>
          <w:szCs w:val="19"/>
          <w:lang w:val="fr-FR"/>
        </w:rPr>
        <w:t>’</w:t>
      </w:r>
      <w:r w:rsidRPr="00990245">
        <w:rPr>
          <w:szCs w:val="19"/>
          <w:lang w:val="fr-FR"/>
        </w:rPr>
        <w:t>ouverture du compte, de la demande de carte de crédit, de la constitution de la fiducie, de la constitution du dossier</w:t>
      </w:r>
      <w:r w:rsidR="00601B6E">
        <w:rPr>
          <w:szCs w:val="19"/>
          <w:lang w:val="fr-FR"/>
        </w:rPr>
        <w:t>-</w:t>
      </w:r>
      <w:r w:rsidRPr="00990245">
        <w:rPr>
          <w:szCs w:val="19"/>
          <w:lang w:val="fr-FR"/>
        </w:rPr>
        <w:t>client ou de l</w:t>
      </w:r>
      <w:r>
        <w:rPr>
          <w:szCs w:val="19"/>
          <w:lang w:val="fr-FR"/>
        </w:rPr>
        <w:t>’</w:t>
      </w:r>
      <w:r w:rsidRPr="00990245">
        <w:rPr>
          <w:szCs w:val="19"/>
          <w:lang w:val="fr-FR"/>
        </w:rPr>
        <w:t>exécution de l</w:t>
      </w:r>
      <w:r>
        <w:rPr>
          <w:szCs w:val="19"/>
          <w:lang w:val="fr-FR"/>
        </w:rPr>
        <w:t>’</w:t>
      </w:r>
      <w:r w:rsidRPr="00990245">
        <w:rPr>
          <w:szCs w:val="19"/>
          <w:lang w:val="fr-FR"/>
        </w:rPr>
        <w:t>opération, par l</w:t>
      </w:r>
      <w:r>
        <w:rPr>
          <w:szCs w:val="19"/>
          <w:lang w:val="fr-FR"/>
        </w:rPr>
        <w:t>’</w:t>
      </w:r>
      <w:r w:rsidRPr="00990245">
        <w:rPr>
          <w:szCs w:val="19"/>
          <w:lang w:val="fr-FR"/>
        </w:rPr>
        <w:t>un des moyens suivants</w:t>
      </w:r>
      <w:r w:rsidR="00601B6E">
        <w:rPr>
          <w:szCs w:val="19"/>
          <w:lang w:val="fr-FR"/>
        </w:rPr>
        <w:t> :</w:t>
      </w:r>
      <w:r w:rsidRPr="00990245">
        <w:rPr>
          <w:sz w:val="19"/>
          <w:szCs w:val="19"/>
          <w:lang w:val="fr-FR"/>
        </w:rPr>
        <w:t xml:space="preserve"> </w:t>
      </w:r>
    </w:p>
    <w:p w:rsidR="00CA3D49" w:rsidRPr="00990245" w:rsidRDefault="00CA3D49" w:rsidP="000F5CF8">
      <w:pPr>
        <w:pStyle w:val="Citation-AltC"/>
        <w:spacing w:before="240" w:after="240"/>
        <w:ind w:left="1440"/>
        <w:contextualSpacing w:val="0"/>
        <w:rPr>
          <w:lang w:val="fr-CA"/>
        </w:rPr>
      </w:pPr>
      <w:r w:rsidRPr="00990245">
        <w:rPr>
          <w:lang w:val="fr-CA"/>
        </w:rPr>
        <w:t xml:space="preserve">(i) </w:t>
      </w:r>
      <w:r w:rsidRPr="000F5CF8">
        <w:rPr>
          <w:szCs w:val="18"/>
          <w:lang w:val="fr-CA"/>
        </w:rPr>
        <w:t>une</w:t>
      </w:r>
      <w:r w:rsidRPr="00990245">
        <w:rPr>
          <w:szCs w:val="19"/>
          <w:lang w:val="fr-FR"/>
        </w:rPr>
        <w:t xml:space="preserve"> fois reçus </w:t>
      </w:r>
      <w:proofErr w:type="gramStart"/>
      <w:r w:rsidRPr="00990245">
        <w:rPr>
          <w:szCs w:val="19"/>
          <w:lang w:val="fr-FR"/>
        </w:rPr>
        <w:t>les nom</w:t>
      </w:r>
      <w:proofErr w:type="gramEnd"/>
      <w:r w:rsidRPr="00990245">
        <w:rPr>
          <w:szCs w:val="19"/>
          <w:lang w:val="fr-FR"/>
        </w:rPr>
        <w:t>, adresse et date de naissance pour la personne</w:t>
      </w:r>
      <w:r w:rsidR="00601B6E">
        <w:rPr>
          <w:szCs w:val="19"/>
          <w:lang w:val="fr-FR"/>
        </w:rPr>
        <w:t> :</w:t>
      </w:r>
    </w:p>
    <w:p w:rsidR="00CA3D49" w:rsidRPr="00990245" w:rsidRDefault="00CA3D49" w:rsidP="000F5CF8">
      <w:pPr>
        <w:pStyle w:val="Citation-AltC"/>
        <w:spacing w:before="240" w:after="240"/>
        <w:ind w:left="1800"/>
        <w:contextualSpacing w:val="0"/>
        <w:rPr>
          <w:lang w:val="fr-CA"/>
        </w:rPr>
      </w:pPr>
      <w:r w:rsidRPr="00990245">
        <w:rPr>
          <w:lang w:val="fr-CA"/>
        </w:rPr>
        <w:t xml:space="preserve">(A) </w:t>
      </w:r>
      <w:r w:rsidRPr="00990245">
        <w:rPr>
          <w:szCs w:val="19"/>
          <w:lang w:val="fr-FR"/>
        </w:rPr>
        <w:t>par la confirmation que l</w:t>
      </w:r>
      <w:r>
        <w:rPr>
          <w:szCs w:val="19"/>
          <w:lang w:val="fr-FR"/>
        </w:rPr>
        <w:t>’</w:t>
      </w:r>
      <w:r w:rsidRPr="00990245">
        <w:rPr>
          <w:szCs w:val="19"/>
          <w:lang w:val="fr-FR"/>
        </w:rPr>
        <w:t>une des entités ci</w:t>
      </w:r>
      <w:r w:rsidR="00601B6E">
        <w:rPr>
          <w:szCs w:val="19"/>
          <w:lang w:val="fr-FR"/>
        </w:rPr>
        <w:t>-</w:t>
      </w:r>
      <w:r w:rsidRPr="00990245">
        <w:rPr>
          <w:szCs w:val="19"/>
          <w:lang w:val="fr-FR"/>
        </w:rPr>
        <w:t>après a identifié la personne conformément à l</w:t>
      </w:r>
      <w:r>
        <w:rPr>
          <w:szCs w:val="19"/>
          <w:lang w:val="fr-FR"/>
        </w:rPr>
        <w:t>’</w:t>
      </w:r>
      <w:r w:rsidRPr="00990245">
        <w:rPr>
          <w:szCs w:val="19"/>
          <w:lang w:val="fr-FR"/>
        </w:rPr>
        <w:t>alinéa</w:t>
      </w:r>
      <w:r w:rsidR="00601B6E">
        <w:rPr>
          <w:szCs w:val="19"/>
          <w:lang w:val="fr-FR"/>
        </w:rPr>
        <w:t xml:space="preserve"> </w:t>
      </w:r>
      <w:r w:rsidRPr="00990245">
        <w:rPr>
          <w:rStyle w:val="Emphasis"/>
          <w:szCs w:val="19"/>
          <w:lang w:val="fr-FR"/>
        </w:rPr>
        <w:t>a</w:t>
      </w:r>
      <w:r w:rsidRPr="00990245">
        <w:rPr>
          <w:szCs w:val="19"/>
          <w:lang w:val="fr-FR"/>
        </w:rPr>
        <w:t>)</w:t>
      </w:r>
      <w:r w:rsidR="00601B6E">
        <w:rPr>
          <w:szCs w:val="19"/>
          <w:lang w:val="fr-FR"/>
        </w:rPr>
        <w:t> :</w:t>
      </w:r>
      <w:r w:rsidRPr="00990245">
        <w:rPr>
          <w:sz w:val="19"/>
          <w:szCs w:val="19"/>
          <w:lang w:val="fr-FR"/>
        </w:rPr>
        <w:t xml:space="preserve"> </w:t>
      </w:r>
    </w:p>
    <w:p w:rsidR="00CA3D49" w:rsidRPr="00990245" w:rsidRDefault="00CA3D49" w:rsidP="000F5CF8">
      <w:pPr>
        <w:pStyle w:val="Citation-AltC"/>
        <w:spacing w:before="240" w:after="240"/>
        <w:ind w:left="2160"/>
        <w:contextualSpacing w:val="0"/>
        <w:rPr>
          <w:lang w:val="fr-CA"/>
        </w:rPr>
      </w:pPr>
      <w:r w:rsidRPr="00990245">
        <w:rPr>
          <w:lang w:val="fr-CA"/>
        </w:rPr>
        <w:t xml:space="preserve">(I) </w:t>
      </w:r>
      <w:r w:rsidRPr="00990245">
        <w:rPr>
          <w:szCs w:val="19"/>
          <w:lang w:val="fr-FR"/>
        </w:rPr>
        <w:t>une entité visée à l</w:t>
      </w:r>
      <w:r>
        <w:rPr>
          <w:szCs w:val="19"/>
          <w:lang w:val="fr-FR"/>
        </w:rPr>
        <w:t>’</w:t>
      </w:r>
      <w:r w:rsidRPr="00990245">
        <w:rPr>
          <w:szCs w:val="19"/>
          <w:lang w:val="fr-FR"/>
        </w:rPr>
        <w:t>un des alinéas 5</w:t>
      </w:r>
      <w:r w:rsidRPr="00990245">
        <w:rPr>
          <w:rStyle w:val="Emphasis"/>
          <w:szCs w:val="19"/>
          <w:lang w:val="fr-FR"/>
        </w:rPr>
        <w:t>a</w:t>
      </w:r>
      <w:r w:rsidRPr="00990245">
        <w:rPr>
          <w:szCs w:val="19"/>
          <w:lang w:val="fr-FR"/>
        </w:rPr>
        <w:t xml:space="preserve">) à </w:t>
      </w:r>
      <w:r w:rsidRPr="00990245">
        <w:rPr>
          <w:rStyle w:val="Emphasis"/>
          <w:szCs w:val="19"/>
          <w:lang w:val="fr-FR"/>
        </w:rPr>
        <w:t>g</w:t>
      </w:r>
      <w:r w:rsidRPr="00990245">
        <w:rPr>
          <w:szCs w:val="19"/>
          <w:lang w:val="fr-FR"/>
        </w:rPr>
        <w:t>) de la Loi qui est membre du même groupe que l</w:t>
      </w:r>
      <w:r>
        <w:rPr>
          <w:szCs w:val="19"/>
          <w:lang w:val="fr-FR"/>
        </w:rPr>
        <w:t>’</w:t>
      </w:r>
      <w:r w:rsidRPr="00990245">
        <w:rPr>
          <w:szCs w:val="19"/>
          <w:lang w:val="fr-FR"/>
        </w:rPr>
        <w:t>entité qui effectue la vérification</w:t>
      </w:r>
      <w:r w:rsidRPr="00990245">
        <w:rPr>
          <w:lang w:val="fr-CA"/>
        </w:rPr>
        <w:t>,</w:t>
      </w:r>
    </w:p>
    <w:p w:rsidR="00CA3D49" w:rsidRPr="00990245" w:rsidRDefault="00CA3D49" w:rsidP="000F5CF8">
      <w:pPr>
        <w:pStyle w:val="Citation-AltC"/>
        <w:spacing w:before="240" w:after="240"/>
        <w:ind w:left="2160"/>
        <w:contextualSpacing w:val="0"/>
        <w:rPr>
          <w:lang w:val="fr-CA"/>
        </w:rPr>
      </w:pPr>
      <w:r w:rsidRPr="00990245">
        <w:rPr>
          <w:lang w:val="fr-CA"/>
        </w:rPr>
        <w:t xml:space="preserve">(II) </w:t>
      </w:r>
      <w:r w:rsidRPr="00990245">
        <w:rPr>
          <w:szCs w:val="19"/>
          <w:lang w:val="fr-FR"/>
        </w:rPr>
        <w:t>une entité qui exerce à l</w:t>
      </w:r>
      <w:r>
        <w:rPr>
          <w:szCs w:val="19"/>
          <w:lang w:val="fr-FR"/>
        </w:rPr>
        <w:t>’</w:t>
      </w:r>
      <w:r w:rsidRPr="00990245">
        <w:rPr>
          <w:szCs w:val="19"/>
          <w:lang w:val="fr-FR"/>
        </w:rPr>
        <w:t>étranger des activités similaires à celles d</w:t>
      </w:r>
      <w:r>
        <w:rPr>
          <w:szCs w:val="19"/>
          <w:lang w:val="fr-FR"/>
        </w:rPr>
        <w:t>’</w:t>
      </w:r>
      <w:r w:rsidRPr="00990245">
        <w:rPr>
          <w:szCs w:val="19"/>
          <w:lang w:val="fr-FR"/>
        </w:rPr>
        <w:t>une personne ou entité visée à l</w:t>
      </w:r>
      <w:r>
        <w:rPr>
          <w:szCs w:val="19"/>
          <w:lang w:val="fr-FR"/>
        </w:rPr>
        <w:t>’</w:t>
      </w:r>
      <w:r w:rsidRPr="00990245">
        <w:rPr>
          <w:szCs w:val="19"/>
          <w:lang w:val="fr-FR"/>
        </w:rPr>
        <w:t>un des alinéas 5</w:t>
      </w:r>
      <w:r w:rsidRPr="00990245">
        <w:rPr>
          <w:rStyle w:val="Emphasis"/>
          <w:szCs w:val="19"/>
          <w:lang w:val="fr-FR"/>
        </w:rPr>
        <w:t>a</w:t>
      </w:r>
      <w:r w:rsidRPr="00990245">
        <w:rPr>
          <w:szCs w:val="19"/>
          <w:lang w:val="fr-FR"/>
        </w:rPr>
        <w:t xml:space="preserve">) à </w:t>
      </w:r>
      <w:r w:rsidRPr="00990245">
        <w:rPr>
          <w:rStyle w:val="Emphasis"/>
          <w:szCs w:val="19"/>
          <w:lang w:val="fr-FR"/>
        </w:rPr>
        <w:t>g</w:t>
      </w:r>
      <w:r w:rsidRPr="00990245">
        <w:rPr>
          <w:szCs w:val="19"/>
          <w:lang w:val="fr-FR"/>
        </w:rPr>
        <w:t>) de la Loi et qui est membre du même groupe que l</w:t>
      </w:r>
      <w:r>
        <w:rPr>
          <w:szCs w:val="19"/>
          <w:lang w:val="fr-FR"/>
        </w:rPr>
        <w:t>’</w:t>
      </w:r>
      <w:r w:rsidRPr="00990245">
        <w:rPr>
          <w:szCs w:val="19"/>
          <w:lang w:val="fr-FR"/>
        </w:rPr>
        <w:t>entité qui effectue la vérification,</w:t>
      </w:r>
      <w:r w:rsidRPr="00990245">
        <w:rPr>
          <w:sz w:val="19"/>
          <w:szCs w:val="19"/>
          <w:lang w:val="fr-FR"/>
        </w:rPr>
        <w:t xml:space="preserve"> </w:t>
      </w:r>
    </w:p>
    <w:p w:rsidR="00CA3D49" w:rsidRPr="00990245" w:rsidRDefault="00CA3D49" w:rsidP="000F5CF8">
      <w:pPr>
        <w:pStyle w:val="Citation-AltC"/>
        <w:spacing w:before="240" w:after="240"/>
        <w:ind w:left="2160"/>
        <w:contextualSpacing w:val="0"/>
        <w:rPr>
          <w:lang w:val="fr-CA"/>
        </w:rPr>
      </w:pPr>
      <w:r w:rsidRPr="00990245">
        <w:rPr>
          <w:lang w:val="fr-CA"/>
        </w:rPr>
        <w:t xml:space="preserve">(III) </w:t>
      </w:r>
      <w:r w:rsidRPr="00990245">
        <w:rPr>
          <w:szCs w:val="19"/>
          <w:lang w:val="fr-FR"/>
        </w:rPr>
        <w:t>une entité qui est assujettie à la Loi et qui est membre de la même association que l</w:t>
      </w:r>
      <w:r>
        <w:rPr>
          <w:szCs w:val="19"/>
          <w:lang w:val="fr-FR"/>
        </w:rPr>
        <w:t>’</w:t>
      </w:r>
      <w:r w:rsidRPr="00990245">
        <w:rPr>
          <w:szCs w:val="19"/>
          <w:lang w:val="fr-FR"/>
        </w:rPr>
        <w:t>entité qui effectue la vérification,</w:t>
      </w:r>
      <w:r w:rsidRPr="00990245">
        <w:rPr>
          <w:sz w:val="19"/>
          <w:szCs w:val="19"/>
          <w:lang w:val="fr-FR"/>
        </w:rPr>
        <w:t xml:space="preserve"> </w:t>
      </w:r>
    </w:p>
    <w:p w:rsidR="00CA3D49" w:rsidRPr="00990245" w:rsidRDefault="00CA3D49" w:rsidP="000F5CF8">
      <w:pPr>
        <w:pStyle w:val="Citation-AltC"/>
        <w:spacing w:before="240" w:after="240"/>
        <w:ind w:left="1800"/>
        <w:contextualSpacing w:val="0"/>
        <w:rPr>
          <w:lang w:val="fr-CA"/>
        </w:rPr>
      </w:pPr>
      <w:r w:rsidRPr="00990245">
        <w:rPr>
          <w:lang w:val="fr-CA"/>
        </w:rPr>
        <w:t xml:space="preserve">(B) </w:t>
      </w:r>
      <w:r w:rsidRPr="00990245">
        <w:rPr>
          <w:szCs w:val="19"/>
          <w:lang w:val="fr-FR"/>
        </w:rPr>
        <w:t>par la vérification de la concordance entre les nom, adresse et date de naissance figurant au dossier de l</w:t>
      </w:r>
      <w:r>
        <w:rPr>
          <w:szCs w:val="19"/>
          <w:lang w:val="fr-FR"/>
        </w:rPr>
        <w:t>’</w:t>
      </w:r>
      <w:r w:rsidRPr="00990245">
        <w:rPr>
          <w:szCs w:val="19"/>
          <w:lang w:val="fr-FR"/>
        </w:rPr>
        <w:t>entité qui est membre du même groupe ou de la même association et les renseignements fournis par la personne conformément au présent règlement,</w:t>
      </w:r>
      <w:r w:rsidRPr="00990245">
        <w:rPr>
          <w:sz w:val="19"/>
          <w:szCs w:val="19"/>
          <w:lang w:val="fr-FR"/>
        </w:rPr>
        <w:t xml:space="preserve"> </w:t>
      </w:r>
    </w:p>
    <w:p w:rsidR="00CA3D49" w:rsidRPr="00990245" w:rsidRDefault="00CA3D49" w:rsidP="000F5CF8">
      <w:pPr>
        <w:pStyle w:val="Citation-AltC"/>
        <w:spacing w:before="240" w:after="240"/>
        <w:ind w:left="1440"/>
        <w:contextualSpacing w:val="0"/>
        <w:rPr>
          <w:lang w:val="fr-CA"/>
        </w:rPr>
      </w:pPr>
      <w:r w:rsidRPr="00990245">
        <w:rPr>
          <w:lang w:val="fr-CA"/>
        </w:rPr>
        <w:t xml:space="preserve">(ii) </w:t>
      </w:r>
      <w:r w:rsidRPr="00990245">
        <w:rPr>
          <w:szCs w:val="19"/>
          <w:lang w:val="fr-FR"/>
        </w:rPr>
        <w:t xml:space="preserve">sous </w:t>
      </w:r>
      <w:r w:rsidRPr="000F5CF8">
        <w:rPr>
          <w:szCs w:val="18"/>
          <w:lang w:val="fr-CA"/>
        </w:rPr>
        <w:t>réserve</w:t>
      </w:r>
      <w:r w:rsidRPr="00990245">
        <w:rPr>
          <w:szCs w:val="19"/>
          <w:lang w:val="fr-FR"/>
        </w:rPr>
        <w:t xml:space="preserve"> du paragraphe</w:t>
      </w:r>
      <w:r w:rsidR="00601B6E">
        <w:rPr>
          <w:szCs w:val="19"/>
          <w:lang w:val="fr-FR"/>
        </w:rPr>
        <w:t xml:space="preserve"> </w:t>
      </w:r>
      <w:r w:rsidRPr="00990245">
        <w:rPr>
          <w:szCs w:val="19"/>
          <w:lang w:val="fr-FR"/>
        </w:rPr>
        <w:t>(1.3), au moyen de l</w:t>
      </w:r>
      <w:r>
        <w:rPr>
          <w:szCs w:val="19"/>
          <w:lang w:val="fr-FR"/>
        </w:rPr>
        <w:t>’</w:t>
      </w:r>
      <w:r w:rsidRPr="00990245">
        <w:rPr>
          <w:szCs w:val="19"/>
          <w:lang w:val="fr-FR"/>
        </w:rPr>
        <w:t>une des combinaisons ci</w:t>
      </w:r>
      <w:r w:rsidR="00601B6E">
        <w:rPr>
          <w:szCs w:val="19"/>
          <w:lang w:val="fr-FR"/>
        </w:rPr>
        <w:t>-</w:t>
      </w:r>
      <w:r w:rsidRPr="00990245">
        <w:rPr>
          <w:szCs w:val="19"/>
          <w:lang w:val="fr-FR"/>
        </w:rPr>
        <w:t>après de méthodes d</w:t>
      </w:r>
      <w:r>
        <w:rPr>
          <w:szCs w:val="19"/>
          <w:lang w:val="fr-FR"/>
        </w:rPr>
        <w:t>’</w:t>
      </w:r>
      <w:r w:rsidRPr="00990245">
        <w:rPr>
          <w:szCs w:val="19"/>
          <w:lang w:val="fr-FR"/>
        </w:rPr>
        <w:t>identification figurant à la partie A de l</w:t>
      </w:r>
      <w:r>
        <w:rPr>
          <w:szCs w:val="19"/>
          <w:lang w:val="fr-FR"/>
        </w:rPr>
        <w:t>’</w:t>
      </w:r>
      <w:r w:rsidRPr="00990245">
        <w:rPr>
          <w:szCs w:val="19"/>
          <w:lang w:val="fr-FR"/>
        </w:rPr>
        <w:t>annexe 7</w:t>
      </w:r>
      <w:r w:rsidR="00601B6E">
        <w:rPr>
          <w:szCs w:val="19"/>
          <w:lang w:val="fr-FR"/>
        </w:rPr>
        <w:t> :</w:t>
      </w:r>
      <w:r w:rsidRPr="00990245">
        <w:rPr>
          <w:sz w:val="19"/>
          <w:szCs w:val="19"/>
          <w:lang w:val="fr-FR"/>
        </w:rPr>
        <w:t xml:space="preserve"> </w:t>
      </w:r>
    </w:p>
    <w:p w:rsidR="00CA3D49" w:rsidRPr="00990245" w:rsidRDefault="00CA3D49" w:rsidP="000F5CF8">
      <w:pPr>
        <w:pStyle w:val="Citation-AltC"/>
        <w:spacing w:before="240" w:after="240"/>
        <w:ind w:left="1800"/>
        <w:contextualSpacing w:val="0"/>
        <w:rPr>
          <w:lang w:val="fr-CA"/>
        </w:rPr>
      </w:pPr>
      <w:r w:rsidRPr="00990245">
        <w:rPr>
          <w:lang w:val="fr-CA"/>
        </w:rPr>
        <w:lastRenderedPageBreak/>
        <w:t xml:space="preserve">(A) </w:t>
      </w:r>
      <w:r w:rsidRPr="00990245">
        <w:rPr>
          <w:szCs w:val="19"/>
          <w:lang w:val="fr-FR"/>
        </w:rPr>
        <w:t>les méthodes 1 et 3,</w:t>
      </w:r>
    </w:p>
    <w:p w:rsidR="00CA3D49" w:rsidRPr="00990245" w:rsidRDefault="00CA3D49" w:rsidP="000F5CF8">
      <w:pPr>
        <w:pStyle w:val="Citation-AltC"/>
        <w:spacing w:before="240" w:after="240"/>
        <w:ind w:left="1800"/>
        <w:contextualSpacing w:val="0"/>
        <w:rPr>
          <w:lang w:val="fr-CA"/>
        </w:rPr>
      </w:pPr>
      <w:r w:rsidRPr="00990245">
        <w:rPr>
          <w:lang w:val="fr-CA"/>
        </w:rPr>
        <w:t xml:space="preserve">(B) les </w:t>
      </w:r>
      <w:r w:rsidRPr="00990245">
        <w:rPr>
          <w:szCs w:val="19"/>
          <w:lang w:val="fr-FR"/>
        </w:rPr>
        <w:t>méthodes</w:t>
      </w:r>
      <w:r w:rsidRPr="00990245">
        <w:rPr>
          <w:lang w:val="fr-CA"/>
        </w:rPr>
        <w:t xml:space="preserve"> 1 et 4,</w:t>
      </w:r>
    </w:p>
    <w:p w:rsidR="00CA3D49" w:rsidRPr="00990245" w:rsidRDefault="00CA3D49" w:rsidP="000F5CF8">
      <w:pPr>
        <w:pStyle w:val="Citation-AltC"/>
        <w:spacing w:before="240" w:after="240"/>
        <w:ind w:left="1800"/>
        <w:contextualSpacing w:val="0"/>
        <w:rPr>
          <w:lang w:val="fr-CA"/>
        </w:rPr>
      </w:pPr>
      <w:r w:rsidRPr="00990245">
        <w:rPr>
          <w:lang w:val="fr-CA"/>
        </w:rPr>
        <w:t xml:space="preserve">(C) les </w:t>
      </w:r>
      <w:r w:rsidRPr="000F5CF8">
        <w:rPr>
          <w:szCs w:val="19"/>
          <w:lang w:val="fr-FR"/>
        </w:rPr>
        <w:t>méthodes</w:t>
      </w:r>
      <w:r w:rsidRPr="00990245">
        <w:rPr>
          <w:lang w:val="fr-CA"/>
        </w:rPr>
        <w:t xml:space="preserve"> 1 et 5,</w:t>
      </w:r>
    </w:p>
    <w:p w:rsidR="00CA3D49" w:rsidRPr="00990245" w:rsidRDefault="00CA3D49" w:rsidP="000F5CF8">
      <w:pPr>
        <w:pStyle w:val="Citation-AltC"/>
        <w:spacing w:before="240" w:after="240"/>
        <w:ind w:left="1800"/>
        <w:contextualSpacing w:val="0"/>
        <w:rPr>
          <w:lang w:val="fr-CA"/>
        </w:rPr>
      </w:pPr>
      <w:r w:rsidRPr="00990245">
        <w:rPr>
          <w:lang w:val="fr-CA"/>
        </w:rPr>
        <w:t xml:space="preserve">(D) les </w:t>
      </w:r>
      <w:r w:rsidRPr="00990245">
        <w:rPr>
          <w:szCs w:val="19"/>
          <w:lang w:val="fr-FR"/>
        </w:rPr>
        <w:t>méthodes</w:t>
      </w:r>
      <w:r w:rsidRPr="00990245">
        <w:rPr>
          <w:lang w:val="fr-CA"/>
        </w:rPr>
        <w:t xml:space="preserve"> 2 et 3,</w:t>
      </w:r>
    </w:p>
    <w:p w:rsidR="00CA3D49" w:rsidRPr="00990245" w:rsidRDefault="00CA3D49" w:rsidP="000F5CF8">
      <w:pPr>
        <w:pStyle w:val="Citation-AltC"/>
        <w:spacing w:before="240" w:after="240"/>
        <w:ind w:left="1800"/>
        <w:contextualSpacing w:val="0"/>
        <w:rPr>
          <w:lang w:val="fr-CA"/>
        </w:rPr>
      </w:pPr>
      <w:r w:rsidRPr="00990245">
        <w:rPr>
          <w:lang w:val="fr-CA"/>
        </w:rPr>
        <w:t xml:space="preserve">(E) les </w:t>
      </w:r>
      <w:r w:rsidRPr="00990245">
        <w:rPr>
          <w:szCs w:val="19"/>
          <w:lang w:val="fr-FR"/>
        </w:rPr>
        <w:t>méthodes</w:t>
      </w:r>
      <w:r w:rsidRPr="00990245">
        <w:rPr>
          <w:lang w:val="fr-CA"/>
        </w:rPr>
        <w:t xml:space="preserve"> 2 et 4,</w:t>
      </w:r>
    </w:p>
    <w:p w:rsidR="00CA3D49" w:rsidRPr="00990245" w:rsidRDefault="00CA3D49" w:rsidP="000F5CF8">
      <w:pPr>
        <w:pStyle w:val="Citation-AltC"/>
        <w:spacing w:before="240" w:after="240"/>
        <w:ind w:left="1800"/>
        <w:contextualSpacing w:val="0"/>
        <w:rPr>
          <w:lang w:val="fr-CA"/>
        </w:rPr>
      </w:pPr>
      <w:r w:rsidRPr="00990245">
        <w:rPr>
          <w:lang w:val="fr-CA"/>
        </w:rPr>
        <w:t xml:space="preserve">(F) les </w:t>
      </w:r>
      <w:r w:rsidRPr="00990245">
        <w:rPr>
          <w:szCs w:val="19"/>
          <w:lang w:val="fr-FR"/>
        </w:rPr>
        <w:t>méthodes</w:t>
      </w:r>
      <w:r w:rsidRPr="00990245">
        <w:rPr>
          <w:lang w:val="fr-CA"/>
        </w:rPr>
        <w:t xml:space="preserve"> 2 et 5,</w:t>
      </w:r>
    </w:p>
    <w:p w:rsidR="00CA3D49" w:rsidRPr="00990245" w:rsidRDefault="00CA3D49" w:rsidP="000F5CF8">
      <w:pPr>
        <w:pStyle w:val="Citation-AltC"/>
        <w:spacing w:before="240" w:after="240"/>
        <w:ind w:left="1800"/>
        <w:contextualSpacing w:val="0"/>
        <w:rPr>
          <w:lang w:val="fr-CA"/>
        </w:rPr>
      </w:pPr>
      <w:r w:rsidRPr="00990245">
        <w:rPr>
          <w:lang w:val="fr-CA"/>
        </w:rPr>
        <w:t xml:space="preserve">(G) les </w:t>
      </w:r>
      <w:r w:rsidRPr="00990245">
        <w:rPr>
          <w:szCs w:val="19"/>
          <w:lang w:val="fr-FR"/>
        </w:rPr>
        <w:t>méthodes</w:t>
      </w:r>
      <w:r w:rsidRPr="00990245">
        <w:rPr>
          <w:lang w:val="fr-CA"/>
        </w:rPr>
        <w:t xml:space="preserve"> 3 et 4,</w:t>
      </w:r>
    </w:p>
    <w:p w:rsidR="00CA3D49" w:rsidRPr="00990245" w:rsidRDefault="00CA3D49" w:rsidP="000F5CF8">
      <w:pPr>
        <w:pStyle w:val="Citation-AltC"/>
        <w:spacing w:before="240" w:after="240"/>
        <w:ind w:left="1800"/>
        <w:contextualSpacing w:val="0"/>
        <w:rPr>
          <w:lang w:val="fr-CA"/>
        </w:rPr>
      </w:pPr>
      <w:r w:rsidRPr="00990245">
        <w:rPr>
          <w:lang w:val="fr-CA"/>
        </w:rPr>
        <w:t xml:space="preserve">(H) les </w:t>
      </w:r>
      <w:r w:rsidRPr="00990245">
        <w:rPr>
          <w:szCs w:val="19"/>
          <w:lang w:val="fr-FR"/>
        </w:rPr>
        <w:t>méthodes</w:t>
      </w:r>
      <w:r w:rsidRPr="00990245">
        <w:rPr>
          <w:lang w:val="fr-CA"/>
        </w:rPr>
        <w:t xml:space="preserve"> 3 et 5.</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(1.1) </w:t>
      </w:r>
      <w:r w:rsidR="00CA3D49" w:rsidRPr="00990245">
        <w:rPr>
          <w:szCs w:val="19"/>
          <w:lang w:val="fr-FR"/>
        </w:rPr>
        <w:t>Dans le cas prévu à l</w:t>
      </w:r>
      <w:r w:rsidR="00CA3D49">
        <w:rPr>
          <w:szCs w:val="19"/>
          <w:lang w:val="fr-FR"/>
        </w:rPr>
        <w:t>’</w:t>
      </w:r>
      <w:r w:rsidR="00CA3D49" w:rsidRPr="00990245">
        <w:rPr>
          <w:szCs w:val="19"/>
          <w:lang w:val="fr-FR"/>
        </w:rPr>
        <w:t>alinéa</w:t>
      </w:r>
      <w:r w:rsidR="00601B6E">
        <w:rPr>
          <w:szCs w:val="19"/>
          <w:lang w:val="fr-FR"/>
        </w:rPr>
        <w:t xml:space="preserve"> </w:t>
      </w:r>
      <w:r w:rsidR="00CA3D49" w:rsidRPr="00990245">
        <w:rPr>
          <w:szCs w:val="19"/>
          <w:lang w:val="fr-FR"/>
        </w:rPr>
        <w:t>54.1</w:t>
      </w:r>
      <w:r w:rsidR="00CA3D49" w:rsidRPr="00990245">
        <w:rPr>
          <w:rStyle w:val="Emphasis"/>
          <w:szCs w:val="19"/>
          <w:lang w:val="fr-FR"/>
        </w:rPr>
        <w:t>a</w:t>
      </w:r>
      <w:r w:rsidR="00CA3D49" w:rsidRPr="00990245">
        <w:rPr>
          <w:szCs w:val="19"/>
          <w:lang w:val="fr-FR"/>
        </w:rPr>
        <w:t>), l</w:t>
      </w:r>
      <w:r w:rsidR="00CA3D49">
        <w:rPr>
          <w:szCs w:val="19"/>
          <w:lang w:val="fr-FR"/>
        </w:rPr>
        <w:t>’</w:t>
      </w:r>
      <w:r w:rsidR="00CA3D49" w:rsidRPr="00990245">
        <w:rPr>
          <w:szCs w:val="19"/>
          <w:lang w:val="fr-FR"/>
        </w:rPr>
        <w:t>identité de la personne est vérifiée par une personne ou entité, au moment prévu au paragraphe</w:t>
      </w:r>
      <w:r w:rsidR="00601B6E">
        <w:rPr>
          <w:szCs w:val="19"/>
          <w:lang w:val="fr-FR"/>
        </w:rPr>
        <w:t xml:space="preserve"> </w:t>
      </w:r>
      <w:r w:rsidR="00CA3D49" w:rsidRPr="00990245">
        <w:rPr>
          <w:szCs w:val="19"/>
          <w:lang w:val="fr-FR"/>
        </w:rPr>
        <w:t>(2) et conformément au paragraphe</w:t>
      </w:r>
      <w:r w:rsidR="00601B6E">
        <w:rPr>
          <w:szCs w:val="19"/>
          <w:lang w:val="fr-FR"/>
        </w:rPr>
        <w:t xml:space="preserve"> </w:t>
      </w:r>
      <w:r w:rsidR="00CA3D49" w:rsidRPr="00990245">
        <w:rPr>
          <w:szCs w:val="19"/>
          <w:lang w:val="fr-FR"/>
        </w:rPr>
        <w:t>(3)</w:t>
      </w:r>
      <w:r w:rsidR="00601B6E">
        <w:rPr>
          <w:szCs w:val="19"/>
          <w:lang w:val="fr-FR"/>
        </w:rPr>
        <w:t> :</w:t>
      </w:r>
      <w:r w:rsidR="00CA3D49"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a</w:t>
      </w:r>
      <w:r w:rsidRPr="00990245">
        <w:rPr>
          <w:lang w:val="fr-CA"/>
        </w:rPr>
        <w:t xml:space="preserve">) </w:t>
      </w:r>
      <w:r w:rsidRPr="00990245">
        <w:rPr>
          <w:szCs w:val="19"/>
          <w:lang w:val="fr-FR"/>
        </w:rPr>
        <w:t>au moyen de son certificat de naissance, son permis de conduire, sa carte d</w:t>
      </w:r>
      <w:r>
        <w:rPr>
          <w:szCs w:val="19"/>
          <w:lang w:val="fr-FR"/>
        </w:rPr>
        <w:t>’</w:t>
      </w:r>
      <w:r w:rsidRPr="00990245">
        <w:rPr>
          <w:szCs w:val="19"/>
          <w:lang w:val="fr-FR"/>
        </w:rPr>
        <w:t>assurance</w:t>
      </w:r>
      <w:r w:rsidR="00601B6E">
        <w:rPr>
          <w:szCs w:val="19"/>
          <w:lang w:val="fr-FR"/>
        </w:rPr>
        <w:t>-</w:t>
      </w:r>
      <w:r w:rsidRPr="00990245">
        <w:rPr>
          <w:szCs w:val="19"/>
          <w:lang w:val="fr-FR"/>
        </w:rPr>
        <w:t>maladie provinciale (si un tel usage n</w:t>
      </w:r>
      <w:r>
        <w:rPr>
          <w:szCs w:val="19"/>
          <w:lang w:val="fr-FR"/>
        </w:rPr>
        <w:t>’</w:t>
      </w:r>
      <w:r w:rsidRPr="00990245">
        <w:rPr>
          <w:szCs w:val="19"/>
          <w:lang w:val="fr-FR"/>
        </w:rPr>
        <w:t>est pas interdit aux termes de la loi provinciale applicable), son passeport ou tout document semblable;</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b</w:t>
      </w:r>
      <w:r w:rsidRPr="00990245">
        <w:rPr>
          <w:lang w:val="fr-CA"/>
        </w:rPr>
        <w:t xml:space="preserve">) </w:t>
      </w:r>
      <w:r w:rsidRPr="00990245">
        <w:rPr>
          <w:szCs w:val="19"/>
          <w:lang w:val="fr-FR"/>
        </w:rPr>
        <w:t>si la personne est absente lors de la présentation de la demande de carte de crédit, par l</w:t>
      </w:r>
      <w:r>
        <w:rPr>
          <w:szCs w:val="19"/>
          <w:lang w:val="fr-FR"/>
        </w:rPr>
        <w:t>’</w:t>
      </w:r>
      <w:r w:rsidRPr="00990245">
        <w:rPr>
          <w:szCs w:val="19"/>
          <w:lang w:val="fr-FR"/>
        </w:rPr>
        <w:t>un des moyens suivants</w:t>
      </w:r>
      <w:r w:rsidR="00601B6E">
        <w:rPr>
          <w:szCs w:val="19"/>
          <w:lang w:val="fr-FR"/>
        </w:rPr>
        <w:t> :</w:t>
      </w:r>
      <w:r w:rsidRPr="00990245">
        <w:rPr>
          <w:sz w:val="19"/>
          <w:szCs w:val="19"/>
          <w:lang w:val="fr-FR"/>
        </w:rPr>
        <w:t xml:space="preserve"> </w:t>
      </w:r>
    </w:p>
    <w:p w:rsidR="00CA3D49" w:rsidRPr="00990245" w:rsidRDefault="00CA3D49" w:rsidP="000F5CF8">
      <w:pPr>
        <w:pStyle w:val="Citation-AltC"/>
        <w:spacing w:before="240" w:after="240"/>
        <w:ind w:left="1440"/>
        <w:contextualSpacing w:val="0"/>
        <w:rPr>
          <w:lang w:val="fr-CA"/>
        </w:rPr>
      </w:pPr>
      <w:r w:rsidRPr="00990245">
        <w:rPr>
          <w:lang w:val="fr-CA"/>
        </w:rPr>
        <w:t xml:space="preserve">(i) </w:t>
      </w:r>
      <w:r w:rsidRPr="00990245">
        <w:rPr>
          <w:szCs w:val="19"/>
          <w:lang w:val="fr-FR"/>
        </w:rPr>
        <w:t xml:space="preserve">une fois reçus </w:t>
      </w:r>
      <w:proofErr w:type="gramStart"/>
      <w:r w:rsidRPr="00990245">
        <w:rPr>
          <w:szCs w:val="19"/>
          <w:lang w:val="fr-FR"/>
        </w:rPr>
        <w:t>les nom</w:t>
      </w:r>
      <w:proofErr w:type="gramEnd"/>
      <w:r w:rsidRPr="00990245">
        <w:rPr>
          <w:szCs w:val="19"/>
          <w:lang w:val="fr-FR"/>
        </w:rPr>
        <w:t>, adresse et date de naissance pour la personne</w:t>
      </w:r>
      <w:r w:rsidR="00601B6E">
        <w:rPr>
          <w:szCs w:val="19"/>
          <w:lang w:val="fr-FR"/>
        </w:rPr>
        <w:t> :</w:t>
      </w:r>
      <w:r w:rsidRPr="00990245">
        <w:rPr>
          <w:sz w:val="19"/>
          <w:szCs w:val="19"/>
          <w:lang w:val="fr-FR"/>
        </w:rPr>
        <w:t xml:space="preserve"> </w:t>
      </w:r>
    </w:p>
    <w:p w:rsidR="00CA3D49" w:rsidRPr="00990245" w:rsidRDefault="00CA3D49" w:rsidP="000F5CF8">
      <w:pPr>
        <w:pStyle w:val="Citation-AltC"/>
        <w:spacing w:before="240" w:after="240"/>
        <w:ind w:left="1800"/>
        <w:contextualSpacing w:val="0"/>
        <w:rPr>
          <w:lang w:val="fr-CA"/>
        </w:rPr>
      </w:pPr>
      <w:r w:rsidRPr="00990245">
        <w:rPr>
          <w:lang w:val="fr-CA"/>
        </w:rPr>
        <w:t>(A) par la confirmation que l</w:t>
      </w:r>
      <w:r>
        <w:rPr>
          <w:lang w:val="fr-CA"/>
        </w:rPr>
        <w:t>’</w:t>
      </w:r>
      <w:r w:rsidRPr="00990245">
        <w:rPr>
          <w:lang w:val="fr-CA"/>
        </w:rPr>
        <w:t>une des entités ci</w:t>
      </w:r>
      <w:r w:rsidR="00601B6E">
        <w:rPr>
          <w:lang w:val="fr-CA"/>
        </w:rPr>
        <w:t>-</w:t>
      </w:r>
      <w:r w:rsidRPr="00990245">
        <w:rPr>
          <w:lang w:val="fr-CA"/>
        </w:rPr>
        <w:t xml:space="preserve">après a identifié la personne </w:t>
      </w:r>
      <w:r w:rsidRPr="000F5CF8">
        <w:rPr>
          <w:szCs w:val="19"/>
          <w:lang w:val="fr-FR"/>
        </w:rPr>
        <w:t>conformément</w:t>
      </w:r>
      <w:r w:rsidRPr="00990245">
        <w:rPr>
          <w:lang w:val="fr-CA"/>
        </w:rPr>
        <w:t xml:space="preserve"> à l</w:t>
      </w:r>
      <w:r>
        <w:rPr>
          <w:lang w:val="fr-CA"/>
        </w:rPr>
        <w:t>’</w:t>
      </w:r>
      <w:r w:rsidRPr="00990245">
        <w:rPr>
          <w:lang w:val="fr-CA"/>
        </w:rPr>
        <w:t>alinéa</w:t>
      </w:r>
      <w:r w:rsidR="00601B6E">
        <w:rPr>
          <w:lang w:val="fr-CA"/>
        </w:rPr>
        <w:t xml:space="preserve"> </w:t>
      </w:r>
      <w:r w:rsidRPr="00990245">
        <w:rPr>
          <w:i/>
          <w:lang w:val="fr-CA"/>
        </w:rPr>
        <w:t>a</w:t>
      </w:r>
      <w:r w:rsidRPr="00990245">
        <w:rPr>
          <w:lang w:val="fr-CA"/>
        </w:rPr>
        <w:t>)</w:t>
      </w:r>
      <w:r w:rsidR="00601B6E">
        <w:rPr>
          <w:lang w:val="fr-CA"/>
        </w:rPr>
        <w:t> :</w:t>
      </w:r>
      <w:r w:rsidRPr="00990245">
        <w:rPr>
          <w:lang w:val="fr-CA"/>
        </w:rPr>
        <w:t xml:space="preserve"> </w:t>
      </w:r>
    </w:p>
    <w:p w:rsidR="00CA3D49" w:rsidRPr="00990245" w:rsidRDefault="00CA3D49" w:rsidP="000F5CF8">
      <w:pPr>
        <w:pStyle w:val="Citation-AltC"/>
        <w:spacing w:before="240" w:after="240"/>
        <w:ind w:left="2160"/>
        <w:contextualSpacing w:val="0"/>
        <w:rPr>
          <w:lang w:val="fr-CA"/>
        </w:rPr>
      </w:pPr>
      <w:r w:rsidRPr="00990245">
        <w:rPr>
          <w:lang w:val="fr-CA"/>
        </w:rPr>
        <w:t xml:space="preserve">(I) </w:t>
      </w:r>
      <w:r w:rsidRPr="00990245">
        <w:rPr>
          <w:szCs w:val="19"/>
          <w:lang w:val="fr-FR"/>
        </w:rPr>
        <w:t>une entité visée à l</w:t>
      </w:r>
      <w:r>
        <w:rPr>
          <w:szCs w:val="19"/>
          <w:lang w:val="fr-FR"/>
        </w:rPr>
        <w:t>’</w:t>
      </w:r>
      <w:r w:rsidRPr="00990245">
        <w:rPr>
          <w:szCs w:val="19"/>
          <w:lang w:val="fr-FR"/>
        </w:rPr>
        <w:t>un des alinéas 5</w:t>
      </w:r>
      <w:r w:rsidRPr="00990245">
        <w:rPr>
          <w:rStyle w:val="Emphasis"/>
          <w:szCs w:val="19"/>
          <w:lang w:val="fr-FR"/>
        </w:rPr>
        <w:t>a</w:t>
      </w:r>
      <w:r w:rsidRPr="00990245">
        <w:rPr>
          <w:szCs w:val="19"/>
          <w:lang w:val="fr-FR"/>
        </w:rPr>
        <w:t xml:space="preserve">) à </w:t>
      </w:r>
      <w:r w:rsidRPr="00990245">
        <w:rPr>
          <w:rStyle w:val="Emphasis"/>
          <w:szCs w:val="19"/>
          <w:lang w:val="fr-FR"/>
        </w:rPr>
        <w:t>g</w:t>
      </w:r>
      <w:r w:rsidRPr="00990245">
        <w:rPr>
          <w:szCs w:val="19"/>
          <w:lang w:val="fr-FR"/>
        </w:rPr>
        <w:t>) de la Loi qui est membre du même groupe que l</w:t>
      </w:r>
      <w:r>
        <w:rPr>
          <w:szCs w:val="19"/>
          <w:lang w:val="fr-FR"/>
        </w:rPr>
        <w:t>’</w:t>
      </w:r>
      <w:r w:rsidRPr="00990245">
        <w:rPr>
          <w:szCs w:val="19"/>
          <w:lang w:val="fr-FR"/>
        </w:rPr>
        <w:t>entité qui effectue la vérification</w:t>
      </w:r>
      <w:r w:rsidRPr="00990245">
        <w:rPr>
          <w:sz w:val="19"/>
          <w:szCs w:val="19"/>
          <w:lang w:val="fr-FR"/>
        </w:rPr>
        <w:t xml:space="preserve">, </w:t>
      </w:r>
    </w:p>
    <w:p w:rsidR="00CA3D49" w:rsidRPr="00990245" w:rsidRDefault="00CA3D49" w:rsidP="000F5CF8">
      <w:pPr>
        <w:pStyle w:val="Citation-AltC"/>
        <w:spacing w:before="240" w:after="240"/>
        <w:ind w:left="2160"/>
        <w:contextualSpacing w:val="0"/>
        <w:rPr>
          <w:lang w:val="fr-CA"/>
        </w:rPr>
      </w:pPr>
      <w:r w:rsidRPr="00990245">
        <w:rPr>
          <w:lang w:val="fr-CA"/>
        </w:rPr>
        <w:t xml:space="preserve">(II) </w:t>
      </w:r>
      <w:r w:rsidRPr="00990245">
        <w:rPr>
          <w:szCs w:val="19"/>
          <w:lang w:val="fr-FR"/>
        </w:rPr>
        <w:t>une entité qui exerce à l</w:t>
      </w:r>
      <w:r>
        <w:rPr>
          <w:szCs w:val="19"/>
          <w:lang w:val="fr-FR"/>
        </w:rPr>
        <w:t>’</w:t>
      </w:r>
      <w:r w:rsidRPr="00990245">
        <w:rPr>
          <w:szCs w:val="19"/>
          <w:lang w:val="fr-FR"/>
        </w:rPr>
        <w:t>étranger des activités similaires à celles d</w:t>
      </w:r>
      <w:r>
        <w:rPr>
          <w:szCs w:val="19"/>
          <w:lang w:val="fr-FR"/>
        </w:rPr>
        <w:t>’</w:t>
      </w:r>
      <w:r w:rsidRPr="00990245">
        <w:rPr>
          <w:szCs w:val="19"/>
          <w:lang w:val="fr-FR"/>
        </w:rPr>
        <w:t>une personne ou entité visée à l</w:t>
      </w:r>
      <w:r>
        <w:rPr>
          <w:szCs w:val="19"/>
          <w:lang w:val="fr-FR"/>
        </w:rPr>
        <w:t>’</w:t>
      </w:r>
      <w:r w:rsidRPr="00990245">
        <w:rPr>
          <w:szCs w:val="19"/>
          <w:lang w:val="fr-FR"/>
        </w:rPr>
        <w:t>un des alinéas 5</w:t>
      </w:r>
      <w:r w:rsidRPr="00990245">
        <w:rPr>
          <w:rStyle w:val="Emphasis"/>
          <w:szCs w:val="19"/>
          <w:lang w:val="fr-FR"/>
        </w:rPr>
        <w:t>a</w:t>
      </w:r>
      <w:r w:rsidRPr="00990245">
        <w:rPr>
          <w:szCs w:val="19"/>
          <w:lang w:val="fr-FR"/>
        </w:rPr>
        <w:t xml:space="preserve">) à </w:t>
      </w:r>
      <w:r w:rsidRPr="00990245">
        <w:rPr>
          <w:rStyle w:val="Emphasis"/>
          <w:szCs w:val="19"/>
          <w:lang w:val="fr-FR"/>
        </w:rPr>
        <w:t>g</w:t>
      </w:r>
      <w:r w:rsidRPr="00990245">
        <w:rPr>
          <w:szCs w:val="19"/>
          <w:lang w:val="fr-FR"/>
        </w:rPr>
        <w:t>) de la Loi et qui est membre du même groupe que l</w:t>
      </w:r>
      <w:r>
        <w:rPr>
          <w:szCs w:val="19"/>
          <w:lang w:val="fr-FR"/>
        </w:rPr>
        <w:t>’</w:t>
      </w:r>
      <w:r w:rsidRPr="00990245">
        <w:rPr>
          <w:szCs w:val="19"/>
          <w:lang w:val="fr-FR"/>
        </w:rPr>
        <w:t>entité qui effectue la vérification,</w:t>
      </w:r>
      <w:r w:rsidRPr="00990245">
        <w:rPr>
          <w:sz w:val="19"/>
          <w:szCs w:val="19"/>
          <w:lang w:val="fr-FR"/>
        </w:rPr>
        <w:t xml:space="preserve"> </w:t>
      </w:r>
    </w:p>
    <w:p w:rsidR="00CA3D49" w:rsidRPr="00990245" w:rsidRDefault="00CA3D49" w:rsidP="000F5CF8">
      <w:pPr>
        <w:pStyle w:val="Citation-AltC"/>
        <w:spacing w:before="240" w:after="240"/>
        <w:ind w:left="2160"/>
        <w:contextualSpacing w:val="0"/>
        <w:rPr>
          <w:lang w:val="fr-CA"/>
        </w:rPr>
      </w:pPr>
      <w:r w:rsidRPr="00990245">
        <w:rPr>
          <w:lang w:val="fr-CA"/>
        </w:rPr>
        <w:t xml:space="preserve">(III) </w:t>
      </w:r>
      <w:r w:rsidRPr="00990245">
        <w:rPr>
          <w:szCs w:val="19"/>
          <w:lang w:val="fr-FR"/>
        </w:rPr>
        <w:t>une entité qui est assujettie à la Loi et qui est membre de la même association que l</w:t>
      </w:r>
      <w:r>
        <w:rPr>
          <w:szCs w:val="19"/>
          <w:lang w:val="fr-FR"/>
        </w:rPr>
        <w:t>’</w:t>
      </w:r>
      <w:r w:rsidRPr="00990245">
        <w:rPr>
          <w:szCs w:val="19"/>
          <w:lang w:val="fr-FR"/>
        </w:rPr>
        <w:t>entité qui effectue la vérification,</w:t>
      </w:r>
      <w:r w:rsidRPr="00990245">
        <w:rPr>
          <w:sz w:val="19"/>
          <w:szCs w:val="19"/>
          <w:lang w:val="fr-FR"/>
        </w:rPr>
        <w:t xml:space="preserve"> </w:t>
      </w:r>
    </w:p>
    <w:p w:rsidR="00CA3D49" w:rsidRPr="00990245" w:rsidRDefault="00CA3D49" w:rsidP="000F5CF8">
      <w:pPr>
        <w:pStyle w:val="Citation-AltC"/>
        <w:spacing w:before="240" w:after="240"/>
        <w:ind w:left="1800"/>
        <w:contextualSpacing w:val="0"/>
        <w:rPr>
          <w:lang w:val="fr-CA"/>
        </w:rPr>
      </w:pPr>
      <w:r w:rsidRPr="00990245">
        <w:rPr>
          <w:lang w:val="fr-CA"/>
        </w:rPr>
        <w:t xml:space="preserve">(B) </w:t>
      </w:r>
      <w:r w:rsidRPr="00990245">
        <w:rPr>
          <w:szCs w:val="19"/>
          <w:lang w:val="fr-FR"/>
        </w:rPr>
        <w:t>par la vérification de la concordance entre les nom, adresse et date de naissance figurant au dossier de l</w:t>
      </w:r>
      <w:r>
        <w:rPr>
          <w:szCs w:val="19"/>
          <w:lang w:val="fr-FR"/>
        </w:rPr>
        <w:t>’</w:t>
      </w:r>
      <w:r w:rsidRPr="00990245">
        <w:rPr>
          <w:szCs w:val="19"/>
          <w:lang w:val="fr-FR"/>
        </w:rPr>
        <w:t xml:space="preserve">entité qui est membre du </w:t>
      </w:r>
      <w:r w:rsidRPr="00990245">
        <w:rPr>
          <w:szCs w:val="19"/>
          <w:lang w:val="fr-FR"/>
        </w:rPr>
        <w:lastRenderedPageBreak/>
        <w:t xml:space="preserve">même groupe ou de la même </w:t>
      </w:r>
      <w:r w:rsidRPr="000F5CF8">
        <w:rPr>
          <w:lang w:val="fr-CA"/>
        </w:rPr>
        <w:t>association</w:t>
      </w:r>
      <w:r w:rsidRPr="00990245">
        <w:rPr>
          <w:szCs w:val="19"/>
          <w:lang w:val="fr-FR"/>
        </w:rPr>
        <w:t xml:space="preserve"> et les renseignements fournis par la personne conformément au présent règlement,</w:t>
      </w:r>
      <w:r w:rsidRPr="00990245">
        <w:rPr>
          <w:sz w:val="19"/>
          <w:szCs w:val="19"/>
          <w:lang w:val="fr-FR"/>
        </w:rPr>
        <w:t xml:space="preserve"> </w:t>
      </w:r>
    </w:p>
    <w:p w:rsidR="00CA3D49" w:rsidRPr="00990245" w:rsidRDefault="00CA3D49" w:rsidP="000F5CF8">
      <w:pPr>
        <w:pStyle w:val="Citation-AltC"/>
        <w:spacing w:before="240" w:after="240"/>
        <w:ind w:left="1440"/>
        <w:contextualSpacing w:val="0"/>
        <w:rPr>
          <w:lang w:val="fr-CA"/>
        </w:rPr>
      </w:pPr>
      <w:r w:rsidRPr="00990245">
        <w:rPr>
          <w:lang w:val="fr-CA"/>
        </w:rPr>
        <w:t xml:space="preserve">(ii) </w:t>
      </w:r>
      <w:r w:rsidRPr="00990245">
        <w:rPr>
          <w:szCs w:val="19"/>
          <w:lang w:val="fr-FR"/>
        </w:rPr>
        <w:t>sous réserve du paragraphe</w:t>
      </w:r>
      <w:r w:rsidR="00601B6E">
        <w:rPr>
          <w:szCs w:val="19"/>
          <w:lang w:val="fr-FR"/>
        </w:rPr>
        <w:t xml:space="preserve"> </w:t>
      </w:r>
      <w:r w:rsidRPr="00990245">
        <w:rPr>
          <w:szCs w:val="19"/>
          <w:lang w:val="fr-FR"/>
        </w:rPr>
        <w:t>(1.3), au moyen de la combinaison de deux des méthodes d</w:t>
      </w:r>
      <w:r>
        <w:rPr>
          <w:szCs w:val="19"/>
          <w:lang w:val="fr-FR"/>
        </w:rPr>
        <w:t>’</w:t>
      </w:r>
      <w:r w:rsidRPr="00990245">
        <w:rPr>
          <w:szCs w:val="19"/>
          <w:lang w:val="fr-FR"/>
        </w:rPr>
        <w:t>identification figurant ou bien à la partie A ou bien à la partie B de l</w:t>
      </w:r>
      <w:r>
        <w:rPr>
          <w:szCs w:val="19"/>
          <w:lang w:val="fr-FR"/>
        </w:rPr>
        <w:t>’</w:t>
      </w:r>
      <w:r w:rsidRPr="00990245">
        <w:rPr>
          <w:szCs w:val="19"/>
          <w:lang w:val="fr-FR"/>
        </w:rPr>
        <w:t>annexe 7,</w:t>
      </w:r>
      <w:r w:rsidRPr="00990245">
        <w:rPr>
          <w:sz w:val="19"/>
          <w:szCs w:val="19"/>
          <w:lang w:val="fr-FR"/>
        </w:rPr>
        <w:t xml:space="preserve"> </w:t>
      </w:r>
    </w:p>
    <w:p w:rsidR="00CA3D49" w:rsidRPr="00990245" w:rsidRDefault="00CA3D49" w:rsidP="000F5CF8">
      <w:pPr>
        <w:pStyle w:val="Citation-AltC"/>
        <w:spacing w:before="240" w:after="240"/>
        <w:ind w:left="1440"/>
        <w:contextualSpacing w:val="0"/>
        <w:rPr>
          <w:lang w:val="fr-CA"/>
        </w:rPr>
      </w:pPr>
      <w:r w:rsidRPr="00990245">
        <w:rPr>
          <w:lang w:val="fr-CA"/>
        </w:rPr>
        <w:t xml:space="preserve">(iii) </w:t>
      </w:r>
      <w:r w:rsidRPr="00990245">
        <w:rPr>
          <w:szCs w:val="19"/>
          <w:lang w:val="fr-FR"/>
        </w:rPr>
        <w:t>sous réserve du paragraphe</w:t>
      </w:r>
      <w:r w:rsidR="00601B6E">
        <w:rPr>
          <w:szCs w:val="19"/>
          <w:lang w:val="fr-FR"/>
        </w:rPr>
        <w:t xml:space="preserve"> </w:t>
      </w:r>
      <w:r w:rsidRPr="00990245">
        <w:rPr>
          <w:szCs w:val="19"/>
          <w:lang w:val="fr-FR"/>
        </w:rPr>
        <w:t>(1.3), lorsque la personne n</w:t>
      </w:r>
      <w:r>
        <w:rPr>
          <w:szCs w:val="19"/>
          <w:lang w:val="fr-FR"/>
        </w:rPr>
        <w:t>’</w:t>
      </w:r>
      <w:r w:rsidRPr="00990245">
        <w:rPr>
          <w:szCs w:val="19"/>
          <w:lang w:val="fr-FR"/>
        </w:rPr>
        <w:t>a pas d</w:t>
      </w:r>
      <w:r>
        <w:rPr>
          <w:szCs w:val="19"/>
          <w:lang w:val="fr-FR"/>
        </w:rPr>
        <w:t>’</w:t>
      </w:r>
      <w:r w:rsidRPr="00990245">
        <w:rPr>
          <w:szCs w:val="19"/>
          <w:lang w:val="fr-FR"/>
        </w:rPr>
        <w:t>antécédents de crédit au Canada et que la limite de crédit applicable à la carte ne dépasse pas 1</w:t>
      </w:r>
      <w:r w:rsidR="00601B6E">
        <w:rPr>
          <w:szCs w:val="19"/>
          <w:lang w:val="fr-FR"/>
        </w:rPr>
        <w:t xml:space="preserve"> </w:t>
      </w:r>
      <w:r w:rsidRPr="00990245">
        <w:rPr>
          <w:szCs w:val="19"/>
          <w:lang w:val="fr-FR"/>
        </w:rPr>
        <w:t>500</w:t>
      </w:r>
      <w:r w:rsidR="00601B6E">
        <w:rPr>
          <w:szCs w:val="19"/>
          <w:lang w:val="fr-FR"/>
        </w:rPr>
        <w:t xml:space="preserve"> </w:t>
      </w:r>
      <w:r w:rsidRPr="00990245">
        <w:rPr>
          <w:szCs w:val="19"/>
          <w:lang w:val="fr-FR"/>
        </w:rPr>
        <w:t>$, au moyen de la combinaison de deux des méthodes d</w:t>
      </w:r>
      <w:r>
        <w:rPr>
          <w:szCs w:val="19"/>
          <w:lang w:val="fr-FR"/>
        </w:rPr>
        <w:t>’</w:t>
      </w:r>
      <w:r w:rsidRPr="00990245">
        <w:rPr>
          <w:szCs w:val="19"/>
          <w:lang w:val="fr-FR"/>
        </w:rPr>
        <w:t>identification figurant aux parties A, B ou C de l</w:t>
      </w:r>
      <w:r>
        <w:rPr>
          <w:szCs w:val="19"/>
          <w:lang w:val="fr-FR"/>
        </w:rPr>
        <w:t>’</w:t>
      </w:r>
      <w:r w:rsidRPr="00990245">
        <w:rPr>
          <w:szCs w:val="19"/>
          <w:lang w:val="fr-FR"/>
        </w:rPr>
        <w:t>annexe</w:t>
      </w:r>
      <w:r w:rsidR="00601B6E">
        <w:rPr>
          <w:szCs w:val="19"/>
          <w:lang w:val="fr-FR"/>
        </w:rPr>
        <w:t xml:space="preserve"> </w:t>
      </w:r>
      <w:r w:rsidRPr="00990245">
        <w:rPr>
          <w:szCs w:val="19"/>
          <w:lang w:val="fr-FR"/>
        </w:rPr>
        <w:t>7.</w:t>
      </w:r>
      <w:r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(1.2) </w:t>
      </w:r>
      <w:r w:rsidR="00CA3D49" w:rsidRPr="00990245">
        <w:rPr>
          <w:szCs w:val="19"/>
          <w:lang w:val="fr-FR"/>
        </w:rPr>
        <w:t>Pour l</w:t>
      </w:r>
      <w:r w:rsidR="00CA3D49">
        <w:rPr>
          <w:szCs w:val="19"/>
          <w:lang w:val="fr-FR"/>
        </w:rPr>
        <w:t>’</w:t>
      </w:r>
      <w:r w:rsidR="00CA3D49" w:rsidRPr="00990245">
        <w:rPr>
          <w:szCs w:val="19"/>
          <w:lang w:val="fr-FR"/>
        </w:rPr>
        <w:t>application des sous</w:t>
      </w:r>
      <w:r w:rsidR="00601B6E">
        <w:rPr>
          <w:szCs w:val="19"/>
          <w:lang w:val="fr-FR"/>
        </w:rPr>
        <w:t>-</w:t>
      </w:r>
      <w:r w:rsidR="00CA3D49" w:rsidRPr="00990245">
        <w:rPr>
          <w:szCs w:val="19"/>
          <w:lang w:val="fr-FR"/>
        </w:rPr>
        <w:t>alinéas (1)</w:t>
      </w:r>
      <w:r w:rsidR="00CA3D49" w:rsidRPr="00990245">
        <w:rPr>
          <w:rStyle w:val="Emphasis"/>
          <w:szCs w:val="19"/>
          <w:lang w:val="fr-FR"/>
        </w:rPr>
        <w:t>b</w:t>
      </w:r>
      <w:proofErr w:type="gramStart"/>
      <w:r w:rsidR="00CA3D49" w:rsidRPr="00990245">
        <w:rPr>
          <w:szCs w:val="19"/>
          <w:lang w:val="fr-FR"/>
        </w:rPr>
        <w:t>)(</w:t>
      </w:r>
      <w:proofErr w:type="gramEnd"/>
      <w:r w:rsidR="00CA3D49" w:rsidRPr="00990245">
        <w:rPr>
          <w:szCs w:val="19"/>
          <w:lang w:val="fr-FR"/>
        </w:rPr>
        <w:t>i) et (1.1)</w:t>
      </w:r>
      <w:r w:rsidR="00CA3D49" w:rsidRPr="00990245">
        <w:rPr>
          <w:rStyle w:val="Emphasis"/>
          <w:szCs w:val="19"/>
          <w:lang w:val="fr-FR"/>
        </w:rPr>
        <w:t>b</w:t>
      </w:r>
      <w:r w:rsidR="00CA3D49" w:rsidRPr="00990245">
        <w:rPr>
          <w:szCs w:val="19"/>
          <w:lang w:val="fr-FR"/>
        </w:rPr>
        <w:t>)(i), sont du même groupe les entités dont l</w:t>
      </w:r>
      <w:r w:rsidR="00CA3D49">
        <w:rPr>
          <w:szCs w:val="19"/>
          <w:lang w:val="fr-FR"/>
        </w:rPr>
        <w:t>’</w:t>
      </w:r>
      <w:r w:rsidR="00CA3D49" w:rsidRPr="00990245">
        <w:rPr>
          <w:szCs w:val="19"/>
          <w:lang w:val="fr-FR"/>
        </w:rPr>
        <w:t>une est entièrement propriétaire de l</w:t>
      </w:r>
      <w:r w:rsidR="00CA3D49">
        <w:rPr>
          <w:szCs w:val="19"/>
          <w:lang w:val="fr-FR"/>
        </w:rPr>
        <w:t>’</w:t>
      </w:r>
      <w:r w:rsidR="00CA3D49" w:rsidRPr="00990245">
        <w:rPr>
          <w:szCs w:val="19"/>
          <w:lang w:val="fr-FR"/>
        </w:rPr>
        <w:t>autre ou les entités qui sont entièrement la propriété de la même entité.</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(1.21) </w:t>
      </w:r>
      <w:r w:rsidR="00CA3D49" w:rsidRPr="00990245">
        <w:rPr>
          <w:szCs w:val="19"/>
          <w:lang w:val="fr-CA"/>
        </w:rPr>
        <w:t>Pour l</w:t>
      </w:r>
      <w:r w:rsidR="00CA3D49">
        <w:rPr>
          <w:szCs w:val="19"/>
          <w:lang w:val="fr-CA"/>
        </w:rPr>
        <w:t>’</w:t>
      </w:r>
      <w:r w:rsidR="00CA3D49" w:rsidRPr="00990245">
        <w:rPr>
          <w:szCs w:val="19"/>
          <w:lang w:val="fr-CA"/>
        </w:rPr>
        <w:t>application des sous</w:t>
      </w:r>
      <w:r w:rsidR="00601B6E">
        <w:rPr>
          <w:szCs w:val="19"/>
          <w:lang w:val="fr-CA"/>
        </w:rPr>
        <w:t>-</w:t>
      </w:r>
      <w:r w:rsidR="00CA3D49" w:rsidRPr="00990245">
        <w:rPr>
          <w:szCs w:val="19"/>
          <w:lang w:val="fr-CA"/>
        </w:rPr>
        <w:t>alinéas (1)</w:t>
      </w:r>
      <w:r w:rsidR="00CA3D49" w:rsidRPr="00990245">
        <w:rPr>
          <w:rStyle w:val="Emphasis"/>
          <w:szCs w:val="19"/>
          <w:lang w:val="fr-CA"/>
        </w:rPr>
        <w:t>b</w:t>
      </w:r>
      <w:proofErr w:type="gramStart"/>
      <w:r w:rsidR="00CA3D49" w:rsidRPr="00990245">
        <w:rPr>
          <w:szCs w:val="19"/>
          <w:lang w:val="fr-CA"/>
        </w:rPr>
        <w:t>)(</w:t>
      </w:r>
      <w:proofErr w:type="gramEnd"/>
      <w:r w:rsidR="00CA3D49" w:rsidRPr="00990245">
        <w:rPr>
          <w:szCs w:val="19"/>
          <w:lang w:val="fr-CA"/>
        </w:rPr>
        <w:t>i) et (1.1)</w:t>
      </w:r>
      <w:r w:rsidR="00CA3D49" w:rsidRPr="00990245">
        <w:rPr>
          <w:rStyle w:val="Emphasis"/>
          <w:szCs w:val="19"/>
          <w:lang w:val="fr-CA"/>
        </w:rPr>
        <w:t>b</w:t>
      </w:r>
      <w:r w:rsidR="00CA3D49" w:rsidRPr="00990245">
        <w:rPr>
          <w:szCs w:val="19"/>
          <w:lang w:val="fr-CA"/>
        </w:rPr>
        <w:t>)(i)</w:t>
      </w:r>
      <w:r w:rsidR="00601B6E">
        <w:rPr>
          <w:szCs w:val="19"/>
          <w:lang w:val="fr-CA"/>
        </w:rPr>
        <w:t> :</w:t>
      </w:r>
    </w:p>
    <w:p w:rsidR="00CA3D49" w:rsidRPr="00990245" w:rsidRDefault="00CA3D49" w:rsidP="000F5CF8">
      <w:pPr>
        <w:pStyle w:val="Citation-AltC"/>
        <w:spacing w:before="240" w:after="240"/>
        <w:ind w:left="900"/>
        <w:contextualSpacing w:val="0"/>
        <w:rPr>
          <w:lang w:val="fr-CA"/>
        </w:rPr>
      </w:pPr>
      <w:r w:rsidRPr="00990245">
        <w:rPr>
          <w:i/>
          <w:lang w:val="fr-CA"/>
        </w:rPr>
        <w:t>a</w:t>
      </w:r>
      <w:r w:rsidRPr="00990245">
        <w:rPr>
          <w:lang w:val="fr-CA"/>
        </w:rPr>
        <w:t xml:space="preserve">) </w:t>
      </w:r>
      <w:r w:rsidRPr="00990245">
        <w:rPr>
          <w:szCs w:val="19"/>
          <w:lang w:val="fr-FR"/>
        </w:rPr>
        <w:t>toute coopérative de services financiers et chacun de ses membres qui est une entité financière sont réputés faire partie de la même association;</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b</w:t>
      </w:r>
      <w:r w:rsidRPr="00990245">
        <w:rPr>
          <w:lang w:val="fr-CA"/>
        </w:rPr>
        <w:t xml:space="preserve">) </w:t>
      </w:r>
      <w:r w:rsidRPr="00990245">
        <w:rPr>
          <w:szCs w:val="19"/>
          <w:lang w:val="fr-FR"/>
        </w:rPr>
        <w:t>toute centrale de caisses de crédit et chacun de ses membres qui est une entité financière sont réputés faire partie de la même association.</w:t>
      </w:r>
      <w:r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(1.3) </w:t>
      </w:r>
      <w:r w:rsidR="00CA3D49" w:rsidRPr="00990245">
        <w:rPr>
          <w:szCs w:val="19"/>
          <w:lang w:val="fr-FR"/>
        </w:rPr>
        <w:t>La personne ou l</w:t>
      </w:r>
      <w:r w:rsidR="00CA3D49">
        <w:rPr>
          <w:szCs w:val="19"/>
          <w:lang w:val="fr-FR"/>
        </w:rPr>
        <w:t>’</w:t>
      </w:r>
      <w:r w:rsidR="00CA3D49" w:rsidRPr="00990245">
        <w:rPr>
          <w:szCs w:val="19"/>
          <w:lang w:val="fr-FR"/>
        </w:rPr>
        <w:t>entité qui vérifie l</w:t>
      </w:r>
      <w:r w:rsidR="00CA3D49">
        <w:rPr>
          <w:szCs w:val="19"/>
          <w:lang w:val="fr-FR"/>
        </w:rPr>
        <w:t>’</w:t>
      </w:r>
      <w:r w:rsidR="00CA3D49" w:rsidRPr="00990245">
        <w:rPr>
          <w:szCs w:val="19"/>
          <w:lang w:val="fr-FR"/>
        </w:rPr>
        <w:t>identité d</w:t>
      </w:r>
      <w:r w:rsidR="00CA3D49">
        <w:rPr>
          <w:szCs w:val="19"/>
          <w:lang w:val="fr-FR"/>
        </w:rPr>
        <w:t>’</w:t>
      </w:r>
      <w:r w:rsidR="00CA3D49" w:rsidRPr="00990245">
        <w:rPr>
          <w:szCs w:val="19"/>
          <w:lang w:val="fr-FR"/>
        </w:rPr>
        <w:t>une personne ne se fonde sur aucune combinaison de méthodes visées aux sous</w:t>
      </w:r>
      <w:r w:rsidR="00601B6E">
        <w:rPr>
          <w:szCs w:val="19"/>
          <w:lang w:val="fr-FR"/>
        </w:rPr>
        <w:t>-</w:t>
      </w:r>
      <w:r w:rsidR="00CA3D49" w:rsidRPr="00990245">
        <w:rPr>
          <w:szCs w:val="19"/>
          <w:lang w:val="fr-FR"/>
        </w:rPr>
        <w:t>alinéas (1)</w:t>
      </w:r>
      <w:r w:rsidR="00CA3D49" w:rsidRPr="00990245">
        <w:rPr>
          <w:rStyle w:val="Emphasis"/>
          <w:szCs w:val="19"/>
          <w:lang w:val="fr-FR"/>
        </w:rPr>
        <w:t>b</w:t>
      </w:r>
      <w:proofErr w:type="gramStart"/>
      <w:r w:rsidR="00CA3D49" w:rsidRPr="00990245">
        <w:rPr>
          <w:szCs w:val="19"/>
          <w:lang w:val="fr-FR"/>
        </w:rPr>
        <w:t>)(</w:t>
      </w:r>
      <w:proofErr w:type="gramEnd"/>
      <w:r w:rsidR="00CA3D49" w:rsidRPr="00990245">
        <w:rPr>
          <w:szCs w:val="19"/>
          <w:lang w:val="fr-FR"/>
        </w:rPr>
        <w:t>ii), (1.1)</w:t>
      </w:r>
      <w:r w:rsidR="00CA3D49" w:rsidRPr="00990245">
        <w:rPr>
          <w:rStyle w:val="Emphasis"/>
          <w:szCs w:val="19"/>
          <w:lang w:val="fr-FR"/>
        </w:rPr>
        <w:t>b</w:t>
      </w:r>
      <w:r w:rsidR="00CA3D49" w:rsidRPr="00990245">
        <w:rPr>
          <w:szCs w:val="19"/>
          <w:lang w:val="fr-FR"/>
        </w:rPr>
        <w:t>)(ii) ou (iii) sauf</w:t>
      </w:r>
      <w:r w:rsidR="00601B6E">
        <w:rPr>
          <w:szCs w:val="19"/>
          <w:lang w:val="fr-FR"/>
        </w:rPr>
        <w:t> :</w:t>
      </w:r>
      <w:r w:rsidR="00CA3D49"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a</w:t>
      </w:r>
      <w:r w:rsidRPr="00990245">
        <w:rPr>
          <w:lang w:val="fr-CA"/>
        </w:rPr>
        <w:t xml:space="preserve">) </w:t>
      </w:r>
      <w:r w:rsidRPr="00990245">
        <w:rPr>
          <w:szCs w:val="19"/>
          <w:lang w:val="fr-FR"/>
        </w:rPr>
        <w:t>s</w:t>
      </w:r>
      <w:r>
        <w:rPr>
          <w:szCs w:val="19"/>
          <w:lang w:val="fr-FR"/>
        </w:rPr>
        <w:t>’</w:t>
      </w:r>
      <w:r w:rsidRPr="00990245">
        <w:rPr>
          <w:szCs w:val="19"/>
          <w:lang w:val="fr-FR"/>
        </w:rPr>
        <w:t>il est établi, par la personne ou l</w:t>
      </w:r>
      <w:r>
        <w:rPr>
          <w:szCs w:val="19"/>
          <w:lang w:val="fr-FR"/>
        </w:rPr>
        <w:t>’</w:t>
      </w:r>
      <w:r w:rsidRPr="00990245">
        <w:rPr>
          <w:szCs w:val="19"/>
          <w:lang w:val="fr-FR"/>
        </w:rPr>
        <w:t>entité, que les renseignements obtenus à l</w:t>
      </w:r>
      <w:r>
        <w:rPr>
          <w:szCs w:val="19"/>
          <w:lang w:val="fr-FR"/>
        </w:rPr>
        <w:t>’</w:t>
      </w:r>
      <w:r w:rsidRPr="00990245">
        <w:rPr>
          <w:szCs w:val="19"/>
          <w:lang w:val="fr-FR"/>
        </w:rPr>
        <w:t>égard de la personne au moyen de chacune des deux méthodes d</w:t>
      </w:r>
      <w:r>
        <w:rPr>
          <w:szCs w:val="19"/>
          <w:lang w:val="fr-FR"/>
        </w:rPr>
        <w:t>’</w:t>
      </w:r>
      <w:r w:rsidRPr="00990245">
        <w:rPr>
          <w:szCs w:val="19"/>
          <w:lang w:val="fr-FR"/>
        </w:rPr>
        <w:t>identification correspondent;</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b</w:t>
      </w:r>
      <w:r w:rsidRPr="00990245">
        <w:rPr>
          <w:lang w:val="fr-CA"/>
        </w:rPr>
        <w:t xml:space="preserve">) </w:t>
      </w:r>
      <w:r w:rsidRPr="00990245">
        <w:rPr>
          <w:szCs w:val="19"/>
          <w:lang w:val="fr-FR"/>
        </w:rPr>
        <w:t>s</w:t>
      </w:r>
      <w:r>
        <w:rPr>
          <w:szCs w:val="19"/>
          <w:lang w:val="fr-FR"/>
        </w:rPr>
        <w:t>’</w:t>
      </w:r>
      <w:r w:rsidRPr="00990245">
        <w:rPr>
          <w:szCs w:val="19"/>
          <w:lang w:val="fr-FR"/>
        </w:rPr>
        <w:t>il est établi, par la personne ou l</w:t>
      </w:r>
      <w:r>
        <w:rPr>
          <w:szCs w:val="19"/>
          <w:lang w:val="fr-FR"/>
        </w:rPr>
        <w:t>’</w:t>
      </w:r>
      <w:r w:rsidRPr="00990245">
        <w:rPr>
          <w:szCs w:val="19"/>
          <w:lang w:val="fr-FR"/>
        </w:rPr>
        <w:t>entité, que les renseignements visés à l</w:t>
      </w:r>
      <w:r>
        <w:rPr>
          <w:szCs w:val="19"/>
          <w:lang w:val="fr-FR"/>
        </w:rPr>
        <w:t>’</w:t>
      </w:r>
      <w:r w:rsidRPr="00990245">
        <w:rPr>
          <w:szCs w:val="19"/>
          <w:lang w:val="fr-FR"/>
        </w:rPr>
        <w:t>alinéa</w:t>
      </w:r>
      <w:r w:rsidR="00601B6E">
        <w:rPr>
          <w:szCs w:val="19"/>
          <w:lang w:val="fr-FR"/>
        </w:rPr>
        <w:t xml:space="preserve"> </w:t>
      </w:r>
      <w:r w:rsidRPr="00990245">
        <w:rPr>
          <w:rStyle w:val="Emphasis"/>
          <w:szCs w:val="19"/>
          <w:lang w:val="fr-FR"/>
        </w:rPr>
        <w:t>a</w:t>
      </w:r>
      <w:r w:rsidRPr="00990245">
        <w:rPr>
          <w:szCs w:val="19"/>
          <w:lang w:val="fr-FR"/>
        </w:rPr>
        <w:t>) correspondent aux renseignements, le cas échéant, consignés dans un document par la personne ou l</w:t>
      </w:r>
      <w:r>
        <w:rPr>
          <w:szCs w:val="19"/>
          <w:lang w:val="fr-FR"/>
        </w:rPr>
        <w:t>’</w:t>
      </w:r>
      <w:r w:rsidRPr="00990245">
        <w:rPr>
          <w:szCs w:val="19"/>
          <w:lang w:val="fr-FR"/>
        </w:rPr>
        <w:t>entité conformément au présent règlement, à l</w:t>
      </w:r>
      <w:r>
        <w:rPr>
          <w:szCs w:val="19"/>
          <w:lang w:val="fr-FR"/>
        </w:rPr>
        <w:t>’</w:t>
      </w:r>
      <w:r w:rsidRPr="00990245">
        <w:rPr>
          <w:szCs w:val="19"/>
          <w:lang w:val="fr-FR"/>
        </w:rPr>
        <w:t>égard de cette personne.</w:t>
      </w:r>
      <w:r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(2) Les vérifications sont effectuées</w:t>
      </w:r>
      <w:r w:rsidR="00601B6E">
        <w:rPr>
          <w:lang w:val="fr-CA"/>
        </w:rPr>
        <w:t> :</w:t>
      </w:r>
      <w:r w:rsidR="00CA3D49" w:rsidRPr="00990245">
        <w:rPr>
          <w:lang w:val="fr-CA"/>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a</w:t>
      </w:r>
      <w:r w:rsidRPr="00990245">
        <w:rPr>
          <w:lang w:val="fr-CA"/>
        </w:rPr>
        <w:t xml:space="preserve">) </w:t>
      </w:r>
      <w:r w:rsidRPr="00990245">
        <w:rPr>
          <w:szCs w:val="19"/>
          <w:lang w:val="fr-FR"/>
        </w:rPr>
        <w:t>dans les cas prévus à l</w:t>
      </w:r>
      <w:r>
        <w:rPr>
          <w:szCs w:val="19"/>
          <w:lang w:val="fr-FR"/>
        </w:rPr>
        <w:t>’</w:t>
      </w:r>
      <w:r w:rsidRPr="00990245">
        <w:rPr>
          <w:szCs w:val="19"/>
          <w:lang w:val="fr-FR"/>
        </w:rPr>
        <w:t>alinéa</w:t>
      </w:r>
      <w:r w:rsidR="00601B6E">
        <w:rPr>
          <w:szCs w:val="19"/>
          <w:lang w:val="fr-FR"/>
        </w:rPr>
        <w:t xml:space="preserve"> </w:t>
      </w:r>
      <w:r w:rsidRPr="00990245">
        <w:rPr>
          <w:szCs w:val="19"/>
          <w:lang w:val="fr-FR"/>
        </w:rPr>
        <w:t>54(1)</w:t>
      </w:r>
      <w:r w:rsidRPr="00990245">
        <w:rPr>
          <w:rStyle w:val="Emphasis"/>
          <w:szCs w:val="19"/>
          <w:lang w:val="fr-FR"/>
        </w:rPr>
        <w:t>a</w:t>
      </w:r>
      <w:r w:rsidRPr="00990245">
        <w:rPr>
          <w:szCs w:val="19"/>
          <w:lang w:val="fr-FR"/>
        </w:rPr>
        <w:t>), au paragraphe</w:t>
      </w:r>
      <w:r w:rsidR="00601B6E">
        <w:rPr>
          <w:szCs w:val="19"/>
          <w:lang w:val="fr-FR"/>
        </w:rPr>
        <w:t xml:space="preserve"> </w:t>
      </w:r>
      <w:r w:rsidRPr="00990245">
        <w:rPr>
          <w:szCs w:val="19"/>
          <w:lang w:val="fr-FR"/>
        </w:rPr>
        <w:t>57(1) et à l</w:t>
      </w:r>
      <w:r>
        <w:rPr>
          <w:szCs w:val="19"/>
          <w:lang w:val="fr-FR"/>
        </w:rPr>
        <w:t>’</w:t>
      </w:r>
      <w:r w:rsidRPr="00990245">
        <w:rPr>
          <w:szCs w:val="19"/>
          <w:lang w:val="fr-FR"/>
        </w:rPr>
        <w:t>alinéa</w:t>
      </w:r>
      <w:r w:rsidR="00601B6E">
        <w:rPr>
          <w:szCs w:val="19"/>
          <w:lang w:val="fr-FR"/>
        </w:rPr>
        <w:t xml:space="preserve"> </w:t>
      </w:r>
      <w:r w:rsidRPr="00990245">
        <w:rPr>
          <w:szCs w:val="19"/>
          <w:lang w:val="fr-FR"/>
        </w:rPr>
        <w:t>60</w:t>
      </w:r>
      <w:r w:rsidRPr="00990245">
        <w:rPr>
          <w:rStyle w:val="Emphasis"/>
          <w:szCs w:val="19"/>
          <w:lang w:val="fr-FR"/>
        </w:rPr>
        <w:t>a</w:t>
      </w:r>
      <w:r w:rsidRPr="00990245">
        <w:rPr>
          <w:szCs w:val="19"/>
          <w:lang w:val="fr-FR"/>
        </w:rPr>
        <w:t>), avant toute opération effectuée à l</w:t>
      </w:r>
      <w:r>
        <w:rPr>
          <w:szCs w:val="19"/>
          <w:lang w:val="fr-FR"/>
        </w:rPr>
        <w:t>’</w:t>
      </w:r>
      <w:r w:rsidRPr="00990245">
        <w:rPr>
          <w:szCs w:val="19"/>
          <w:lang w:val="fr-FR"/>
        </w:rPr>
        <w:t>égard du compte, sauf le dépôt initial;</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proofErr w:type="gramStart"/>
      <w:r w:rsidRPr="00990245">
        <w:rPr>
          <w:i/>
          <w:lang w:val="fr-CA"/>
        </w:rPr>
        <w:t>b</w:t>
      </w:r>
      <w:proofErr w:type="gramEnd"/>
      <w:r w:rsidRPr="00990245">
        <w:rPr>
          <w:lang w:val="fr-CA"/>
        </w:rPr>
        <w:t xml:space="preserve">) </w:t>
      </w:r>
      <w:r w:rsidRPr="00990245">
        <w:rPr>
          <w:szCs w:val="19"/>
          <w:lang w:val="fr-FR"/>
        </w:rPr>
        <w:t>dans les cas prévus à l</w:t>
      </w:r>
      <w:r>
        <w:rPr>
          <w:szCs w:val="19"/>
          <w:lang w:val="fr-FR"/>
        </w:rPr>
        <w:t>’</w:t>
      </w:r>
      <w:r w:rsidRPr="00990245">
        <w:rPr>
          <w:szCs w:val="19"/>
          <w:lang w:val="fr-FR"/>
        </w:rPr>
        <w:t>article</w:t>
      </w:r>
      <w:r w:rsidR="00601B6E">
        <w:rPr>
          <w:szCs w:val="19"/>
          <w:lang w:val="fr-FR"/>
        </w:rPr>
        <w:t xml:space="preserve"> </w:t>
      </w:r>
      <w:r w:rsidRPr="00990245">
        <w:rPr>
          <w:szCs w:val="19"/>
          <w:lang w:val="fr-FR"/>
        </w:rPr>
        <w:t>53, à l</w:t>
      </w:r>
      <w:r>
        <w:rPr>
          <w:szCs w:val="19"/>
          <w:lang w:val="fr-FR"/>
        </w:rPr>
        <w:t>’</w:t>
      </w:r>
      <w:r w:rsidRPr="00990245">
        <w:rPr>
          <w:szCs w:val="19"/>
          <w:lang w:val="fr-FR"/>
        </w:rPr>
        <w:t>alinéa</w:t>
      </w:r>
      <w:r w:rsidR="00601B6E">
        <w:rPr>
          <w:szCs w:val="19"/>
          <w:lang w:val="fr-FR"/>
        </w:rPr>
        <w:t xml:space="preserve"> </w:t>
      </w:r>
      <w:r w:rsidRPr="00990245">
        <w:rPr>
          <w:szCs w:val="19"/>
          <w:lang w:val="fr-FR"/>
        </w:rPr>
        <w:t>54(1)</w:t>
      </w:r>
      <w:r w:rsidRPr="00990245">
        <w:rPr>
          <w:rStyle w:val="Emphasis"/>
          <w:szCs w:val="19"/>
          <w:lang w:val="fr-FR"/>
        </w:rPr>
        <w:t>b</w:t>
      </w:r>
      <w:r w:rsidRPr="00990245">
        <w:rPr>
          <w:szCs w:val="19"/>
          <w:lang w:val="fr-FR"/>
        </w:rPr>
        <w:t>), au paragraphe</w:t>
      </w:r>
      <w:r w:rsidR="00601B6E">
        <w:rPr>
          <w:szCs w:val="19"/>
          <w:lang w:val="fr-FR"/>
        </w:rPr>
        <w:t xml:space="preserve"> </w:t>
      </w:r>
      <w:r w:rsidRPr="00990245">
        <w:rPr>
          <w:szCs w:val="19"/>
          <w:lang w:val="fr-FR"/>
        </w:rPr>
        <w:t>59(1) et aux alinéas 59.3</w:t>
      </w:r>
      <w:r w:rsidRPr="00990245">
        <w:rPr>
          <w:rStyle w:val="Emphasis"/>
          <w:szCs w:val="19"/>
          <w:lang w:val="fr-FR"/>
        </w:rPr>
        <w:t>a</w:t>
      </w:r>
      <w:r w:rsidRPr="00990245">
        <w:rPr>
          <w:szCs w:val="19"/>
          <w:lang w:val="fr-FR"/>
        </w:rPr>
        <w:t>), 59.4(1)</w:t>
      </w:r>
      <w:r w:rsidRPr="00990245">
        <w:rPr>
          <w:rStyle w:val="Emphasis"/>
          <w:szCs w:val="19"/>
          <w:lang w:val="fr-FR"/>
        </w:rPr>
        <w:t>a</w:t>
      </w:r>
      <w:r w:rsidRPr="00990245">
        <w:rPr>
          <w:szCs w:val="19"/>
          <w:lang w:val="fr-FR"/>
        </w:rPr>
        <w:t>), 59.5</w:t>
      </w:r>
      <w:r w:rsidRPr="00990245">
        <w:rPr>
          <w:rStyle w:val="Emphasis"/>
          <w:szCs w:val="19"/>
          <w:lang w:val="fr-FR"/>
        </w:rPr>
        <w:t>a</w:t>
      </w:r>
      <w:r w:rsidRPr="00990245">
        <w:rPr>
          <w:szCs w:val="19"/>
          <w:lang w:val="fr-FR"/>
        </w:rPr>
        <w:t>), 60</w:t>
      </w:r>
      <w:r w:rsidRPr="00990245">
        <w:rPr>
          <w:rStyle w:val="Emphasis"/>
          <w:szCs w:val="19"/>
          <w:lang w:val="fr-FR"/>
        </w:rPr>
        <w:t>b</w:t>
      </w:r>
      <w:r w:rsidRPr="00990245">
        <w:rPr>
          <w:szCs w:val="19"/>
          <w:lang w:val="fr-FR"/>
        </w:rPr>
        <w:t>) et 61</w:t>
      </w:r>
      <w:r w:rsidRPr="00990245">
        <w:rPr>
          <w:rStyle w:val="Emphasis"/>
          <w:szCs w:val="19"/>
          <w:lang w:val="fr-FR"/>
        </w:rPr>
        <w:t>b</w:t>
      </w:r>
      <w:r w:rsidRPr="00990245">
        <w:rPr>
          <w:szCs w:val="19"/>
          <w:lang w:val="fr-FR"/>
        </w:rPr>
        <w:t>), au moment de l</w:t>
      </w:r>
      <w:r>
        <w:rPr>
          <w:szCs w:val="19"/>
          <w:lang w:val="fr-FR"/>
        </w:rPr>
        <w:t>’</w:t>
      </w:r>
      <w:r w:rsidRPr="00990245">
        <w:rPr>
          <w:szCs w:val="19"/>
          <w:lang w:val="fr-FR"/>
        </w:rPr>
        <w:t xml:space="preserve">opération; </w:t>
      </w:r>
    </w:p>
    <w:p w:rsidR="00CA3D49" w:rsidRPr="00990245" w:rsidRDefault="00CA3D49" w:rsidP="000F5CF8">
      <w:pPr>
        <w:pStyle w:val="Citation-AltC"/>
        <w:spacing w:before="240" w:after="240"/>
        <w:ind w:left="900"/>
        <w:contextualSpacing w:val="0"/>
        <w:rPr>
          <w:lang w:val="fr-CA"/>
        </w:rPr>
      </w:pPr>
      <w:r w:rsidRPr="00990245">
        <w:rPr>
          <w:i/>
          <w:lang w:val="fr-CA"/>
        </w:rPr>
        <w:lastRenderedPageBreak/>
        <w:t>b.1</w:t>
      </w:r>
      <w:r w:rsidRPr="00990245">
        <w:rPr>
          <w:lang w:val="fr-CA"/>
        </w:rPr>
        <w:t xml:space="preserve">) </w:t>
      </w:r>
      <w:r w:rsidRPr="00990245">
        <w:rPr>
          <w:szCs w:val="19"/>
          <w:lang w:val="fr-FR"/>
        </w:rPr>
        <w:t>dans le cas prévu à l</w:t>
      </w:r>
      <w:r>
        <w:rPr>
          <w:szCs w:val="19"/>
          <w:lang w:val="fr-FR"/>
        </w:rPr>
        <w:t>’</w:t>
      </w:r>
      <w:r w:rsidRPr="00990245">
        <w:rPr>
          <w:szCs w:val="19"/>
          <w:lang w:val="fr-FR"/>
        </w:rPr>
        <w:t>article</w:t>
      </w:r>
      <w:r w:rsidR="00601B6E">
        <w:rPr>
          <w:szCs w:val="19"/>
          <w:lang w:val="fr-FR"/>
        </w:rPr>
        <w:t xml:space="preserve"> </w:t>
      </w:r>
      <w:r w:rsidRPr="00990245">
        <w:rPr>
          <w:szCs w:val="19"/>
          <w:lang w:val="fr-FR"/>
        </w:rPr>
        <w:t>53.1, avant que l</w:t>
      </w:r>
      <w:r>
        <w:rPr>
          <w:szCs w:val="19"/>
          <w:lang w:val="fr-FR"/>
        </w:rPr>
        <w:t>’</w:t>
      </w:r>
      <w:r w:rsidRPr="00990245">
        <w:rPr>
          <w:szCs w:val="19"/>
          <w:lang w:val="fr-FR"/>
        </w:rPr>
        <w:t>opération ne fasse l</w:t>
      </w:r>
      <w:r>
        <w:rPr>
          <w:szCs w:val="19"/>
          <w:lang w:val="fr-FR"/>
        </w:rPr>
        <w:t>’</w:t>
      </w:r>
      <w:r w:rsidRPr="00990245">
        <w:rPr>
          <w:szCs w:val="19"/>
          <w:lang w:val="fr-FR"/>
        </w:rPr>
        <w:t>objet d</w:t>
      </w:r>
      <w:r>
        <w:rPr>
          <w:szCs w:val="19"/>
          <w:lang w:val="fr-FR"/>
        </w:rPr>
        <w:t>’</w:t>
      </w:r>
      <w:r w:rsidRPr="00990245">
        <w:rPr>
          <w:szCs w:val="19"/>
          <w:lang w:val="fr-FR"/>
        </w:rPr>
        <w:t>une déclaration en application de l</w:t>
      </w:r>
      <w:r>
        <w:rPr>
          <w:szCs w:val="19"/>
          <w:lang w:val="fr-FR"/>
        </w:rPr>
        <w:t>’</w:t>
      </w:r>
      <w:r w:rsidRPr="00990245">
        <w:rPr>
          <w:szCs w:val="19"/>
          <w:lang w:val="fr-FR"/>
        </w:rPr>
        <w:t>article</w:t>
      </w:r>
      <w:r w:rsidR="00601B6E">
        <w:rPr>
          <w:szCs w:val="19"/>
          <w:lang w:val="fr-FR"/>
        </w:rPr>
        <w:t xml:space="preserve"> </w:t>
      </w:r>
      <w:r w:rsidRPr="00990245">
        <w:rPr>
          <w:szCs w:val="19"/>
          <w:lang w:val="fr-FR"/>
        </w:rPr>
        <w:t>7 de la Loi;</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b.2</w:t>
      </w:r>
      <w:r w:rsidRPr="00990245">
        <w:rPr>
          <w:lang w:val="fr-CA"/>
        </w:rPr>
        <w:t xml:space="preserve">) </w:t>
      </w:r>
      <w:r w:rsidRPr="00990245">
        <w:rPr>
          <w:szCs w:val="19"/>
          <w:lang w:val="fr-FR"/>
        </w:rPr>
        <w:t>dans le cas prévu à l</w:t>
      </w:r>
      <w:r>
        <w:rPr>
          <w:szCs w:val="19"/>
          <w:lang w:val="fr-FR"/>
        </w:rPr>
        <w:t>’</w:t>
      </w:r>
      <w:r w:rsidRPr="00990245">
        <w:rPr>
          <w:szCs w:val="19"/>
          <w:lang w:val="fr-FR"/>
        </w:rPr>
        <w:t>alinéa</w:t>
      </w:r>
      <w:r w:rsidR="00601B6E">
        <w:rPr>
          <w:szCs w:val="19"/>
          <w:lang w:val="fr-FR"/>
        </w:rPr>
        <w:t xml:space="preserve"> </w:t>
      </w:r>
      <w:r w:rsidRPr="00990245">
        <w:rPr>
          <w:szCs w:val="19"/>
          <w:lang w:val="fr-FR"/>
        </w:rPr>
        <w:t>54.1</w:t>
      </w:r>
      <w:r w:rsidRPr="00990245">
        <w:rPr>
          <w:rStyle w:val="Emphasis"/>
          <w:szCs w:val="19"/>
          <w:lang w:val="fr-FR"/>
        </w:rPr>
        <w:t>a</w:t>
      </w:r>
      <w:r w:rsidRPr="00990245">
        <w:rPr>
          <w:szCs w:val="19"/>
          <w:lang w:val="fr-FR"/>
        </w:rPr>
        <w:t>), avant l</w:t>
      </w:r>
      <w:r>
        <w:rPr>
          <w:szCs w:val="19"/>
          <w:lang w:val="fr-FR"/>
        </w:rPr>
        <w:t>’</w:t>
      </w:r>
      <w:r w:rsidRPr="00990245">
        <w:rPr>
          <w:szCs w:val="19"/>
          <w:lang w:val="fr-FR"/>
        </w:rPr>
        <w:t>activation de toute carte de crédit</w:t>
      </w:r>
      <w:r w:rsidRPr="00990245">
        <w:rPr>
          <w:lang w:val="fr-CA"/>
        </w:rPr>
        <w:t>;</w:t>
      </w:r>
    </w:p>
    <w:p w:rsidR="00CA3D49" w:rsidRPr="00990245" w:rsidRDefault="00CA3D49" w:rsidP="000F5CF8">
      <w:pPr>
        <w:pStyle w:val="Citation-AltC"/>
        <w:spacing w:before="240" w:after="240"/>
        <w:ind w:left="900"/>
        <w:contextualSpacing w:val="0"/>
        <w:rPr>
          <w:lang w:val="fr-CA"/>
        </w:rPr>
      </w:pPr>
      <w:proofErr w:type="gramStart"/>
      <w:r w:rsidRPr="00990245">
        <w:rPr>
          <w:i/>
          <w:lang w:val="fr-CA"/>
        </w:rPr>
        <w:t>c</w:t>
      </w:r>
      <w:r w:rsidRPr="00990245">
        <w:rPr>
          <w:lang w:val="fr-CA"/>
        </w:rPr>
        <w:t>)</w:t>
      </w:r>
      <w:proofErr w:type="gramEnd"/>
      <w:r w:rsidRPr="00990245">
        <w:rPr>
          <w:lang w:val="fr-CA"/>
        </w:rPr>
        <w:t xml:space="preserve"> </w:t>
      </w:r>
      <w:r w:rsidRPr="00990245">
        <w:rPr>
          <w:szCs w:val="19"/>
          <w:lang w:val="fr-FR"/>
        </w:rPr>
        <w:t>dans les cas prévus aux alinéas 55</w:t>
      </w:r>
      <w:r w:rsidRPr="00990245">
        <w:rPr>
          <w:rStyle w:val="Emphasis"/>
          <w:szCs w:val="19"/>
          <w:lang w:val="fr-FR"/>
        </w:rPr>
        <w:t>a</w:t>
      </w:r>
      <w:r w:rsidRPr="00990245">
        <w:rPr>
          <w:szCs w:val="19"/>
          <w:lang w:val="fr-FR"/>
        </w:rPr>
        <w:t xml:space="preserve">), </w:t>
      </w:r>
      <w:r w:rsidRPr="00990245">
        <w:rPr>
          <w:rStyle w:val="Emphasis"/>
          <w:szCs w:val="19"/>
          <w:lang w:val="fr-FR"/>
        </w:rPr>
        <w:t>d</w:t>
      </w:r>
      <w:r w:rsidRPr="00990245">
        <w:rPr>
          <w:szCs w:val="19"/>
          <w:lang w:val="fr-FR"/>
        </w:rPr>
        <w:t xml:space="preserve">) et </w:t>
      </w:r>
      <w:r w:rsidRPr="00990245">
        <w:rPr>
          <w:rStyle w:val="Emphasis"/>
          <w:szCs w:val="19"/>
          <w:lang w:val="fr-FR"/>
        </w:rPr>
        <w:t>e</w:t>
      </w:r>
      <w:r w:rsidRPr="00990245">
        <w:rPr>
          <w:szCs w:val="19"/>
          <w:lang w:val="fr-FR"/>
        </w:rPr>
        <w:t>), dans les quinze jours suivant la date où la société de fiducie commence à agir comme fiduciaire</w:t>
      </w:r>
      <w:r w:rsidRPr="00990245">
        <w:rPr>
          <w:lang w:val="fr-CA"/>
        </w:rPr>
        <w:t>;</w:t>
      </w:r>
    </w:p>
    <w:p w:rsidR="00CA3D49" w:rsidRPr="00990245" w:rsidRDefault="00CA3D49" w:rsidP="000F5CF8">
      <w:pPr>
        <w:pStyle w:val="Citation-AltC"/>
        <w:spacing w:before="240" w:after="240"/>
        <w:ind w:left="900"/>
        <w:contextualSpacing w:val="0"/>
        <w:rPr>
          <w:lang w:val="fr-CA"/>
        </w:rPr>
      </w:pPr>
      <w:proofErr w:type="gramStart"/>
      <w:r w:rsidRPr="00990245">
        <w:rPr>
          <w:i/>
          <w:lang w:val="fr-CA"/>
        </w:rPr>
        <w:t>d</w:t>
      </w:r>
      <w:proofErr w:type="gramEnd"/>
      <w:r w:rsidRPr="00990245">
        <w:rPr>
          <w:lang w:val="fr-CA"/>
        </w:rPr>
        <w:t xml:space="preserve">) </w:t>
      </w:r>
      <w:r w:rsidRPr="00990245">
        <w:rPr>
          <w:szCs w:val="19"/>
          <w:lang w:val="fr-FR"/>
        </w:rPr>
        <w:t>dans les cas prévus au paragraphe</w:t>
      </w:r>
      <w:r w:rsidR="00601B6E">
        <w:rPr>
          <w:szCs w:val="19"/>
          <w:lang w:val="fr-FR"/>
        </w:rPr>
        <w:t xml:space="preserve"> </w:t>
      </w:r>
      <w:r w:rsidRPr="00990245">
        <w:rPr>
          <w:szCs w:val="19"/>
          <w:lang w:val="fr-FR"/>
        </w:rPr>
        <w:t>56(1) et à l</w:t>
      </w:r>
      <w:r>
        <w:rPr>
          <w:szCs w:val="19"/>
          <w:lang w:val="fr-FR"/>
        </w:rPr>
        <w:t>’</w:t>
      </w:r>
      <w:r w:rsidRPr="00990245">
        <w:rPr>
          <w:szCs w:val="19"/>
          <w:lang w:val="fr-FR"/>
        </w:rPr>
        <w:t>alinéa</w:t>
      </w:r>
      <w:r w:rsidR="00601B6E">
        <w:rPr>
          <w:szCs w:val="19"/>
          <w:lang w:val="fr-FR"/>
        </w:rPr>
        <w:t xml:space="preserve"> </w:t>
      </w:r>
      <w:r w:rsidRPr="00990245">
        <w:rPr>
          <w:szCs w:val="19"/>
          <w:lang w:val="fr-FR"/>
        </w:rPr>
        <w:t>61</w:t>
      </w:r>
      <w:r w:rsidRPr="00990245">
        <w:rPr>
          <w:rStyle w:val="Emphasis"/>
          <w:szCs w:val="19"/>
          <w:lang w:val="fr-FR"/>
        </w:rPr>
        <w:t>a</w:t>
      </w:r>
      <w:r w:rsidRPr="00990245">
        <w:rPr>
          <w:szCs w:val="19"/>
          <w:lang w:val="fr-FR"/>
        </w:rPr>
        <w:t>), dans les trente jours suivant la constitution du dossier</w:t>
      </w:r>
      <w:r w:rsidR="00601B6E">
        <w:rPr>
          <w:szCs w:val="19"/>
          <w:lang w:val="fr-FR"/>
        </w:rPr>
        <w:t>-</w:t>
      </w:r>
      <w:r w:rsidRPr="00990245">
        <w:rPr>
          <w:szCs w:val="19"/>
          <w:lang w:val="fr-FR"/>
        </w:rPr>
        <w:t>client</w:t>
      </w:r>
      <w:r w:rsidRPr="00990245">
        <w:rPr>
          <w:lang w:val="fr-CA"/>
        </w:rPr>
        <w:t>;</w:t>
      </w:r>
    </w:p>
    <w:p w:rsidR="00CA3D49" w:rsidRPr="00990245" w:rsidRDefault="00CA3D49" w:rsidP="000F5CF8">
      <w:pPr>
        <w:pStyle w:val="Citation-AltC"/>
        <w:spacing w:before="240" w:after="240"/>
        <w:ind w:left="900"/>
        <w:contextualSpacing w:val="0"/>
        <w:rPr>
          <w:lang w:val="fr-CA"/>
        </w:rPr>
      </w:pPr>
      <w:proofErr w:type="gramStart"/>
      <w:r w:rsidRPr="00990245">
        <w:rPr>
          <w:i/>
          <w:lang w:val="fr-CA"/>
        </w:rPr>
        <w:t>e</w:t>
      </w:r>
      <w:proofErr w:type="gramEnd"/>
      <w:r w:rsidRPr="00990245">
        <w:rPr>
          <w:lang w:val="fr-CA"/>
        </w:rPr>
        <w:t xml:space="preserve">) </w:t>
      </w:r>
      <w:r w:rsidRPr="00990245">
        <w:rPr>
          <w:szCs w:val="19"/>
          <w:lang w:val="fr-CA"/>
        </w:rPr>
        <w:t xml:space="preserve">dans </w:t>
      </w:r>
      <w:r w:rsidRPr="000F5CF8">
        <w:rPr>
          <w:szCs w:val="19"/>
          <w:lang w:val="fr-FR"/>
        </w:rPr>
        <w:t>les</w:t>
      </w:r>
      <w:r w:rsidRPr="00990245">
        <w:rPr>
          <w:szCs w:val="19"/>
          <w:lang w:val="fr-CA"/>
        </w:rPr>
        <w:t xml:space="preserve"> cas prévus aux alinéas 59.1</w:t>
      </w:r>
      <w:r w:rsidRPr="00990245">
        <w:rPr>
          <w:rStyle w:val="Emphasis"/>
          <w:szCs w:val="19"/>
          <w:lang w:val="fr-CA"/>
        </w:rPr>
        <w:t>a</w:t>
      </w:r>
      <w:r w:rsidRPr="00990245">
        <w:rPr>
          <w:szCs w:val="19"/>
          <w:lang w:val="fr-CA"/>
        </w:rPr>
        <w:t>) et 59.2(1)</w:t>
      </w:r>
      <w:r w:rsidRPr="00990245">
        <w:rPr>
          <w:rStyle w:val="Emphasis"/>
          <w:szCs w:val="19"/>
          <w:lang w:val="fr-CA"/>
        </w:rPr>
        <w:t>a</w:t>
      </w:r>
      <w:r w:rsidRPr="00990245">
        <w:rPr>
          <w:szCs w:val="19"/>
          <w:lang w:val="fr-CA"/>
        </w:rPr>
        <w:t>), au moment de l</w:t>
      </w:r>
      <w:r>
        <w:rPr>
          <w:szCs w:val="19"/>
          <w:lang w:val="fr-CA"/>
        </w:rPr>
        <w:t>’</w:t>
      </w:r>
      <w:r w:rsidRPr="00990245">
        <w:rPr>
          <w:szCs w:val="19"/>
          <w:lang w:val="fr-CA"/>
        </w:rPr>
        <w:t>opération;</w:t>
      </w:r>
      <w:r w:rsidRPr="00990245">
        <w:rPr>
          <w:sz w:val="19"/>
          <w:szCs w:val="19"/>
          <w:lang w:val="fr-CA"/>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f</w:t>
      </w:r>
      <w:r w:rsidRPr="00990245">
        <w:rPr>
          <w:lang w:val="fr-CA"/>
        </w:rPr>
        <w:t xml:space="preserve">) </w:t>
      </w:r>
      <w:r w:rsidRPr="00990245">
        <w:rPr>
          <w:szCs w:val="19"/>
          <w:lang w:val="fr-FR"/>
        </w:rPr>
        <w:t>dans le cas prévu au paragraphe</w:t>
      </w:r>
      <w:r w:rsidR="00601B6E">
        <w:rPr>
          <w:szCs w:val="19"/>
          <w:lang w:val="fr-FR"/>
        </w:rPr>
        <w:t xml:space="preserve"> </w:t>
      </w:r>
      <w:r w:rsidRPr="00990245">
        <w:rPr>
          <w:szCs w:val="19"/>
          <w:lang w:val="fr-FR"/>
        </w:rPr>
        <w:t>62(3), au moment où une contribution est faite à l</w:t>
      </w:r>
      <w:r>
        <w:rPr>
          <w:szCs w:val="19"/>
          <w:lang w:val="fr-FR"/>
        </w:rPr>
        <w:t>’</w:t>
      </w:r>
      <w:r w:rsidRPr="00990245">
        <w:rPr>
          <w:szCs w:val="19"/>
          <w:lang w:val="fr-FR"/>
        </w:rPr>
        <w:t>égard d</w:t>
      </w:r>
      <w:r>
        <w:rPr>
          <w:szCs w:val="19"/>
          <w:lang w:val="fr-FR"/>
        </w:rPr>
        <w:t>’</w:t>
      </w:r>
      <w:r w:rsidRPr="00990245">
        <w:rPr>
          <w:szCs w:val="19"/>
          <w:lang w:val="fr-FR"/>
        </w:rPr>
        <w:t>un membre du régime collectif, si, selon le cas</w:t>
      </w:r>
      <w:r w:rsidR="00601B6E">
        <w:rPr>
          <w:szCs w:val="19"/>
          <w:lang w:val="fr-FR"/>
        </w:rPr>
        <w:t> :</w:t>
      </w:r>
      <w:r w:rsidRPr="00990245">
        <w:rPr>
          <w:sz w:val="19"/>
          <w:szCs w:val="19"/>
          <w:lang w:val="fr-FR"/>
        </w:rPr>
        <w:t xml:space="preserve"> </w:t>
      </w:r>
    </w:p>
    <w:p w:rsidR="00CA3D49" w:rsidRPr="00990245" w:rsidRDefault="00CA3D49" w:rsidP="000F5CF8">
      <w:pPr>
        <w:pStyle w:val="Citation-AltC"/>
        <w:spacing w:before="240" w:after="240"/>
        <w:ind w:left="1440"/>
        <w:contextualSpacing w:val="0"/>
        <w:rPr>
          <w:lang w:val="fr-CA"/>
        </w:rPr>
      </w:pPr>
      <w:r w:rsidRPr="00990245">
        <w:rPr>
          <w:lang w:val="fr-CA"/>
        </w:rPr>
        <w:t xml:space="preserve">(i) </w:t>
      </w:r>
      <w:r w:rsidRPr="00990245">
        <w:rPr>
          <w:szCs w:val="19"/>
          <w:lang w:val="fr-FR"/>
        </w:rPr>
        <w:t>la contribution du membre n</w:t>
      </w:r>
      <w:r>
        <w:rPr>
          <w:szCs w:val="19"/>
          <w:lang w:val="fr-FR"/>
        </w:rPr>
        <w:t>’</w:t>
      </w:r>
      <w:r w:rsidRPr="00990245">
        <w:rPr>
          <w:szCs w:val="19"/>
          <w:lang w:val="fr-FR"/>
        </w:rPr>
        <w:t>est pas faite de la façon prévue à l</w:t>
      </w:r>
      <w:r>
        <w:rPr>
          <w:szCs w:val="19"/>
          <w:lang w:val="fr-FR"/>
        </w:rPr>
        <w:t>’</w:t>
      </w:r>
      <w:r w:rsidRPr="00990245">
        <w:rPr>
          <w:szCs w:val="19"/>
          <w:lang w:val="fr-FR"/>
        </w:rPr>
        <w:t>alinéa</w:t>
      </w:r>
      <w:r w:rsidR="00601B6E">
        <w:rPr>
          <w:szCs w:val="19"/>
          <w:lang w:val="fr-FR"/>
        </w:rPr>
        <w:t xml:space="preserve"> </w:t>
      </w:r>
      <w:r w:rsidRPr="00990245">
        <w:rPr>
          <w:szCs w:val="19"/>
          <w:lang w:val="fr-FR"/>
        </w:rPr>
        <w:t>62(3)</w:t>
      </w:r>
      <w:r w:rsidRPr="00990245">
        <w:rPr>
          <w:rStyle w:val="Emphasis"/>
          <w:szCs w:val="19"/>
          <w:lang w:val="fr-FR"/>
        </w:rPr>
        <w:t>a</w:t>
      </w:r>
      <w:r w:rsidRPr="00990245">
        <w:rPr>
          <w:szCs w:val="19"/>
          <w:lang w:val="fr-FR"/>
        </w:rPr>
        <w:t>),</w:t>
      </w:r>
      <w:r w:rsidRPr="00990245">
        <w:rPr>
          <w:sz w:val="19"/>
          <w:szCs w:val="19"/>
          <w:lang w:val="fr-FR"/>
        </w:rPr>
        <w:t xml:space="preserve"> </w:t>
      </w:r>
    </w:p>
    <w:p w:rsidR="00CA3D49" w:rsidRPr="00990245" w:rsidRDefault="00CA3D49" w:rsidP="000F5CF8">
      <w:pPr>
        <w:pStyle w:val="Citation-AltC"/>
        <w:spacing w:before="240" w:after="240"/>
        <w:ind w:left="1440"/>
        <w:contextualSpacing w:val="0"/>
        <w:rPr>
          <w:lang w:val="fr-CA"/>
        </w:rPr>
      </w:pPr>
      <w:r w:rsidRPr="00990245">
        <w:rPr>
          <w:lang w:val="fr-CA"/>
        </w:rPr>
        <w:t xml:space="preserve">(ii) </w:t>
      </w:r>
      <w:r w:rsidRPr="00990245">
        <w:rPr>
          <w:szCs w:val="19"/>
          <w:lang w:val="fr-FR"/>
        </w:rPr>
        <w:t>l</w:t>
      </w:r>
      <w:r>
        <w:rPr>
          <w:szCs w:val="19"/>
          <w:lang w:val="fr-FR"/>
        </w:rPr>
        <w:t>’</w:t>
      </w:r>
      <w:r w:rsidRPr="00990245">
        <w:rPr>
          <w:szCs w:val="19"/>
          <w:lang w:val="fr-FR"/>
        </w:rPr>
        <w:t>existence du promoteur du régime n</w:t>
      </w:r>
      <w:r>
        <w:rPr>
          <w:szCs w:val="19"/>
          <w:lang w:val="fr-FR"/>
        </w:rPr>
        <w:t>’</w:t>
      </w:r>
      <w:r w:rsidRPr="00990245">
        <w:rPr>
          <w:szCs w:val="19"/>
          <w:lang w:val="fr-FR"/>
        </w:rPr>
        <w:t>a pas été vérifiée conformément aux articles 65 ou 66.</w:t>
      </w:r>
      <w:r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(3) </w:t>
      </w:r>
      <w:r w:rsidR="00CA3D49" w:rsidRPr="00990245">
        <w:rPr>
          <w:szCs w:val="19"/>
          <w:lang w:val="fr-FR"/>
        </w:rPr>
        <w:t>Sauf indication contraire du présent règlement, seuls les documents originaux valides et non échus peuvent servir à vérifier l</w:t>
      </w:r>
      <w:r w:rsidR="00CA3D49">
        <w:rPr>
          <w:szCs w:val="19"/>
          <w:lang w:val="fr-FR"/>
        </w:rPr>
        <w:t>’</w:t>
      </w:r>
      <w:r w:rsidR="00CA3D49" w:rsidRPr="00990245">
        <w:rPr>
          <w:szCs w:val="19"/>
          <w:lang w:val="fr-FR"/>
        </w:rPr>
        <w:t>identité d</w:t>
      </w:r>
      <w:r w:rsidR="00CA3D49">
        <w:rPr>
          <w:szCs w:val="19"/>
          <w:lang w:val="fr-FR"/>
        </w:rPr>
        <w:t>’</w:t>
      </w:r>
      <w:r w:rsidR="00CA3D49" w:rsidRPr="00990245">
        <w:rPr>
          <w:szCs w:val="19"/>
          <w:lang w:val="fr-FR"/>
        </w:rPr>
        <w:t>une personne conformément aux alinéas (1)</w:t>
      </w:r>
      <w:r w:rsidR="00CA3D49" w:rsidRPr="00990245">
        <w:rPr>
          <w:rStyle w:val="Emphasis"/>
          <w:szCs w:val="19"/>
          <w:lang w:val="fr-FR"/>
        </w:rPr>
        <w:t>a</w:t>
      </w:r>
      <w:r w:rsidR="00CA3D49" w:rsidRPr="00990245">
        <w:rPr>
          <w:szCs w:val="19"/>
          <w:lang w:val="fr-FR"/>
        </w:rPr>
        <w:t>) ou (1.1)</w:t>
      </w:r>
      <w:r w:rsidR="00CA3D49" w:rsidRPr="00990245">
        <w:rPr>
          <w:rStyle w:val="Emphasis"/>
          <w:szCs w:val="19"/>
          <w:lang w:val="fr-FR"/>
        </w:rPr>
        <w:t>a</w:t>
      </w:r>
      <w:r w:rsidR="00CA3D49" w:rsidRPr="00990245">
        <w:rPr>
          <w:szCs w:val="19"/>
          <w:lang w:val="fr-FR"/>
        </w:rPr>
        <w:t>).</w:t>
      </w:r>
      <w:r w:rsidR="00CA3D49"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64.1</w:t>
      </w:r>
      <w:r w:rsidR="00CA3D49" w:rsidRPr="00990245">
        <w:rPr>
          <w:lang w:val="fr-CA"/>
        </w:rPr>
        <w:t xml:space="preserve"> (1) </w:t>
      </w:r>
      <w:r w:rsidR="00CA3D49" w:rsidRPr="00990245">
        <w:rPr>
          <w:szCs w:val="19"/>
          <w:lang w:val="fr-CA"/>
        </w:rPr>
        <w:t>La personne ou l</w:t>
      </w:r>
      <w:r w:rsidR="00CA3D49">
        <w:rPr>
          <w:szCs w:val="19"/>
          <w:lang w:val="fr-CA"/>
        </w:rPr>
        <w:t>’</w:t>
      </w:r>
      <w:r w:rsidR="00CA3D49" w:rsidRPr="00990245">
        <w:rPr>
          <w:szCs w:val="19"/>
          <w:lang w:val="fr-CA"/>
        </w:rPr>
        <w:t>entité qui est tenue de prendre des mesures de vérification de l</w:t>
      </w:r>
      <w:r w:rsidR="00CA3D49">
        <w:rPr>
          <w:szCs w:val="19"/>
          <w:lang w:val="fr-CA"/>
        </w:rPr>
        <w:t>’</w:t>
      </w:r>
      <w:r w:rsidR="00CA3D49" w:rsidRPr="00990245">
        <w:rPr>
          <w:szCs w:val="19"/>
          <w:lang w:val="fr-CA"/>
        </w:rPr>
        <w:t>identité en application des paragraphes 64(1) ou (1.1) ne peut confier cette responsabilité à un mandataire que si elle a conclu par écrit un accord ou une entente avec lui à cet égard.</w:t>
      </w:r>
      <w:r w:rsidR="00CA3D49" w:rsidRPr="00990245">
        <w:rPr>
          <w:sz w:val="19"/>
          <w:szCs w:val="19"/>
          <w:lang w:val="fr-CA"/>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(2) </w:t>
      </w:r>
      <w:r w:rsidR="00CA3D49" w:rsidRPr="00990245">
        <w:rPr>
          <w:szCs w:val="19"/>
          <w:lang w:val="fr-FR"/>
        </w:rPr>
        <w:t>La personne ou l</w:t>
      </w:r>
      <w:r w:rsidR="00CA3D49">
        <w:rPr>
          <w:szCs w:val="19"/>
          <w:lang w:val="fr-FR"/>
        </w:rPr>
        <w:t>’</w:t>
      </w:r>
      <w:r w:rsidR="00CA3D49" w:rsidRPr="00990245">
        <w:rPr>
          <w:szCs w:val="19"/>
          <w:lang w:val="fr-FR"/>
        </w:rPr>
        <w:t>entité qui conclut un tel accord ou une telle entente obtient du mandataire les renseignements relatifs au client que celui</w:t>
      </w:r>
      <w:r w:rsidR="00601B6E">
        <w:rPr>
          <w:szCs w:val="19"/>
          <w:lang w:val="fr-FR"/>
        </w:rPr>
        <w:t>-</w:t>
      </w:r>
      <w:r w:rsidR="00CA3D49" w:rsidRPr="00990245">
        <w:rPr>
          <w:szCs w:val="19"/>
          <w:lang w:val="fr-FR"/>
        </w:rPr>
        <w:t>ci doit se procurer aux termes de l</w:t>
      </w:r>
      <w:r w:rsidR="00CA3D49">
        <w:rPr>
          <w:szCs w:val="19"/>
          <w:lang w:val="fr-FR"/>
        </w:rPr>
        <w:t>’</w:t>
      </w:r>
      <w:r w:rsidR="00CA3D49" w:rsidRPr="00990245">
        <w:rPr>
          <w:szCs w:val="19"/>
          <w:lang w:val="fr-FR"/>
        </w:rPr>
        <w:t>accord ou de l</w:t>
      </w:r>
      <w:r w:rsidR="00CA3D49">
        <w:rPr>
          <w:szCs w:val="19"/>
          <w:lang w:val="fr-FR"/>
        </w:rPr>
        <w:t>’</w:t>
      </w:r>
      <w:r w:rsidR="00CA3D49" w:rsidRPr="00990245">
        <w:rPr>
          <w:szCs w:val="19"/>
          <w:lang w:val="fr-FR"/>
        </w:rPr>
        <w:t>entente.</w:t>
      </w:r>
      <w:r w:rsidR="00CA3D49"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65.</w:t>
      </w:r>
      <w:r w:rsidR="00CA3D49" w:rsidRPr="00990245">
        <w:rPr>
          <w:lang w:val="fr-CA"/>
        </w:rPr>
        <w:t xml:space="preserve"> (1) </w:t>
      </w:r>
      <w:r w:rsidR="00CA3D49" w:rsidRPr="00990245">
        <w:rPr>
          <w:szCs w:val="19"/>
          <w:lang w:val="fr-FR"/>
        </w:rPr>
        <w:t>L</w:t>
      </w:r>
      <w:r w:rsidR="00CA3D49">
        <w:rPr>
          <w:szCs w:val="19"/>
          <w:lang w:val="fr-FR"/>
        </w:rPr>
        <w:t>’</w:t>
      </w:r>
      <w:r w:rsidR="00CA3D49" w:rsidRPr="00990245">
        <w:rPr>
          <w:szCs w:val="19"/>
          <w:lang w:val="fr-FR"/>
        </w:rPr>
        <w:t>existence, la dénomination sociale et l</w:t>
      </w:r>
      <w:r w:rsidR="00CA3D49">
        <w:rPr>
          <w:szCs w:val="19"/>
          <w:lang w:val="fr-FR"/>
        </w:rPr>
        <w:t>’</w:t>
      </w:r>
      <w:r w:rsidR="00CA3D49" w:rsidRPr="00990245">
        <w:rPr>
          <w:szCs w:val="19"/>
          <w:lang w:val="fr-FR"/>
        </w:rPr>
        <w:t>adresse d</w:t>
      </w:r>
      <w:r w:rsidR="00CA3D49">
        <w:rPr>
          <w:szCs w:val="19"/>
          <w:lang w:val="fr-FR"/>
        </w:rPr>
        <w:t>’</w:t>
      </w:r>
      <w:r w:rsidR="00CA3D49" w:rsidRPr="00990245">
        <w:rPr>
          <w:szCs w:val="19"/>
          <w:lang w:val="fr-FR"/>
        </w:rPr>
        <w:t>une personne morale, ainsi que les noms de ses administrateurs, se vérifient, au moment prévu au paragraphe</w:t>
      </w:r>
      <w:r w:rsidR="00601B6E">
        <w:rPr>
          <w:szCs w:val="19"/>
          <w:lang w:val="fr-FR"/>
        </w:rPr>
        <w:t xml:space="preserve"> </w:t>
      </w:r>
      <w:r w:rsidR="00CA3D49" w:rsidRPr="00990245">
        <w:rPr>
          <w:szCs w:val="19"/>
          <w:lang w:val="fr-FR"/>
        </w:rPr>
        <w:t>(2), au moyen d</w:t>
      </w:r>
      <w:r w:rsidR="00CA3D49">
        <w:rPr>
          <w:szCs w:val="19"/>
          <w:lang w:val="fr-FR"/>
        </w:rPr>
        <w:t>’</w:t>
      </w:r>
      <w:r w:rsidR="00CA3D49" w:rsidRPr="00990245">
        <w:rPr>
          <w:szCs w:val="19"/>
          <w:lang w:val="fr-FR"/>
        </w:rPr>
        <w:t>une copie papier du certificat de constitution de la personne morale, de tout document qu</w:t>
      </w:r>
      <w:r w:rsidR="00CA3D49">
        <w:rPr>
          <w:szCs w:val="19"/>
          <w:lang w:val="fr-FR"/>
        </w:rPr>
        <w:t>’</w:t>
      </w:r>
      <w:r w:rsidR="00CA3D49" w:rsidRPr="00990245">
        <w:rPr>
          <w:szCs w:val="19"/>
          <w:lang w:val="fr-FR"/>
        </w:rPr>
        <w:t>elle est tenue de déposer annuellement aux termes de la loi provinciale régissant les valeurs mobilières ou de tout autre document qui fait foi de son existence ou par consultation de la version électronique d</w:t>
      </w:r>
      <w:r w:rsidR="00CA3D49">
        <w:rPr>
          <w:szCs w:val="19"/>
          <w:lang w:val="fr-FR"/>
        </w:rPr>
        <w:t>’</w:t>
      </w:r>
      <w:r w:rsidR="00CA3D49" w:rsidRPr="00990245">
        <w:rPr>
          <w:szCs w:val="19"/>
          <w:lang w:val="fr-FR"/>
        </w:rPr>
        <w:t>un de ces documents obtenue d</w:t>
      </w:r>
      <w:r w:rsidR="00CA3D49">
        <w:rPr>
          <w:szCs w:val="19"/>
          <w:lang w:val="fr-FR"/>
        </w:rPr>
        <w:t>’</w:t>
      </w:r>
      <w:r w:rsidR="00CA3D49" w:rsidRPr="00990245">
        <w:rPr>
          <w:szCs w:val="19"/>
          <w:lang w:val="fr-FR"/>
        </w:rPr>
        <w:t>une source accessible au public.</w:t>
      </w:r>
      <w:r w:rsidR="00CA3D49"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(2) Les vérifications sont effectuées</w:t>
      </w:r>
      <w:r w:rsidR="00601B6E">
        <w:rPr>
          <w:lang w:val="fr-CA"/>
        </w:rPr>
        <w:t> :</w:t>
      </w:r>
      <w:r w:rsidR="00CA3D49" w:rsidRPr="00990245">
        <w:rPr>
          <w:lang w:val="fr-CA"/>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lastRenderedPageBreak/>
        <w:t>a</w:t>
      </w:r>
      <w:r w:rsidRPr="00990245">
        <w:rPr>
          <w:lang w:val="fr-CA"/>
        </w:rPr>
        <w:t xml:space="preserve">) </w:t>
      </w:r>
      <w:r w:rsidRPr="000F5CF8">
        <w:rPr>
          <w:szCs w:val="19"/>
          <w:lang w:val="fr-FR"/>
        </w:rPr>
        <w:t>dans</w:t>
      </w:r>
      <w:r w:rsidRPr="00990245">
        <w:rPr>
          <w:szCs w:val="19"/>
          <w:lang w:val="fr-CA"/>
        </w:rPr>
        <w:t xml:space="preserve"> les cas prévus aux alinéas 54(1)</w:t>
      </w:r>
      <w:r w:rsidRPr="00990245">
        <w:rPr>
          <w:rStyle w:val="Emphasis"/>
          <w:szCs w:val="19"/>
          <w:lang w:val="fr-CA"/>
        </w:rPr>
        <w:t>d</w:t>
      </w:r>
      <w:r w:rsidRPr="00990245">
        <w:rPr>
          <w:szCs w:val="19"/>
          <w:lang w:val="fr-CA"/>
        </w:rPr>
        <w:t>) et 60</w:t>
      </w:r>
      <w:r w:rsidRPr="00990245">
        <w:rPr>
          <w:rStyle w:val="Emphasis"/>
          <w:szCs w:val="19"/>
          <w:lang w:val="fr-CA"/>
        </w:rPr>
        <w:t>e</w:t>
      </w:r>
      <w:r w:rsidRPr="00990245">
        <w:rPr>
          <w:szCs w:val="19"/>
          <w:lang w:val="fr-CA"/>
        </w:rPr>
        <w:t>), avant toute opération effectuée à l</w:t>
      </w:r>
      <w:r>
        <w:rPr>
          <w:szCs w:val="19"/>
          <w:lang w:val="fr-CA"/>
        </w:rPr>
        <w:t>’</w:t>
      </w:r>
      <w:r w:rsidRPr="00990245">
        <w:rPr>
          <w:szCs w:val="19"/>
          <w:lang w:val="fr-CA"/>
        </w:rPr>
        <w:t>égard du compte, sauf le dépôt initial;</w:t>
      </w:r>
      <w:r w:rsidRPr="00990245">
        <w:rPr>
          <w:sz w:val="19"/>
          <w:szCs w:val="19"/>
          <w:lang w:val="fr-CA"/>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a.1</w:t>
      </w:r>
      <w:r w:rsidRPr="00990245">
        <w:rPr>
          <w:lang w:val="fr-CA"/>
        </w:rPr>
        <w:t xml:space="preserve">) </w:t>
      </w:r>
      <w:r w:rsidRPr="00990245">
        <w:rPr>
          <w:szCs w:val="19"/>
          <w:lang w:val="fr-FR"/>
        </w:rPr>
        <w:t>dans le cas prévu à l</w:t>
      </w:r>
      <w:r>
        <w:rPr>
          <w:szCs w:val="19"/>
          <w:lang w:val="fr-FR"/>
        </w:rPr>
        <w:t>’</w:t>
      </w:r>
      <w:r w:rsidRPr="00990245">
        <w:rPr>
          <w:szCs w:val="19"/>
          <w:lang w:val="fr-FR"/>
        </w:rPr>
        <w:t>alinéa</w:t>
      </w:r>
      <w:r w:rsidR="00601B6E">
        <w:rPr>
          <w:szCs w:val="19"/>
          <w:lang w:val="fr-FR"/>
        </w:rPr>
        <w:t xml:space="preserve"> </w:t>
      </w:r>
      <w:r w:rsidRPr="00990245">
        <w:rPr>
          <w:szCs w:val="19"/>
          <w:lang w:val="fr-FR"/>
        </w:rPr>
        <w:t>54.1</w:t>
      </w:r>
      <w:r w:rsidRPr="00990245">
        <w:rPr>
          <w:rStyle w:val="Emphasis"/>
          <w:szCs w:val="19"/>
          <w:lang w:val="fr-FR"/>
        </w:rPr>
        <w:t>b</w:t>
      </w:r>
      <w:r w:rsidRPr="00990245">
        <w:rPr>
          <w:szCs w:val="19"/>
          <w:lang w:val="fr-FR"/>
        </w:rPr>
        <w:t>), avant l</w:t>
      </w:r>
      <w:r>
        <w:rPr>
          <w:szCs w:val="19"/>
          <w:lang w:val="fr-FR"/>
        </w:rPr>
        <w:t>’</w:t>
      </w:r>
      <w:r w:rsidRPr="00990245">
        <w:rPr>
          <w:szCs w:val="19"/>
          <w:lang w:val="fr-FR"/>
        </w:rPr>
        <w:t>émission de toute carte de crédit sur le compte</w:t>
      </w:r>
      <w:r w:rsidRPr="00990245">
        <w:rPr>
          <w:lang w:val="fr-CA"/>
        </w:rPr>
        <w:t>;</w:t>
      </w:r>
    </w:p>
    <w:p w:rsidR="00CA3D49" w:rsidRPr="00990245" w:rsidRDefault="00CA3D49" w:rsidP="000F5CF8">
      <w:pPr>
        <w:pStyle w:val="Citation-AltC"/>
        <w:spacing w:before="240" w:after="240"/>
        <w:ind w:left="900"/>
        <w:contextualSpacing w:val="0"/>
        <w:rPr>
          <w:lang w:val="fr-CA"/>
        </w:rPr>
      </w:pPr>
      <w:r w:rsidRPr="00990245">
        <w:rPr>
          <w:i/>
          <w:lang w:val="fr-CA"/>
        </w:rPr>
        <w:t>b</w:t>
      </w:r>
      <w:r w:rsidRPr="00990245">
        <w:rPr>
          <w:lang w:val="fr-CA"/>
        </w:rPr>
        <w:t xml:space="preserve">) </w:t>
      </w:r>
      <w:r w:rsidRPr="00990245">
        <w:rPr>
          <w:szCs w:val="19"/>
          <w:lang w:val="fr-FR"/>
        </w:rPr>
        <w:t>dans les cas prévus aux alinéas 55</w:t>
      </w:r>
      <w:r w:rsidRPr="00990245">
        <w:rPr>
          <w:rStyle w:val="Emphasis"/>
          <w:szCs w:val="19"/>
          <w:lang w:val="fr-FR"/>
        </w:rPr>
        <w:t>b</w:t>
      </w:r>
      <w:r w:rsidRPr="00990245">
        <w:rPr>
          <w:szCs w:val="19"/>
          <w:lang w:val="fr-FR"/>
        </w:rPr>
        <w:t xml:space="preserve">) et </w:t>
      </w:r>
      <w:r w:rsidRPr="00990245">
        <w:rPr>
          <w:rStyle w:val="Emphasis"/>
          <w:szCs w:val="19"/>
          <w:lang w:val="fr-FR"/>
        </w:rPr>
        <w:t>d</w:t>
      </w:r>
      <w:r w:rsidRPr="00990245">
        <w:rPr>
          <w:szCs w:val="19"/>
          <w:lang w:val="fr-FR"/>
        </w:rPr>
        <w:t>), dans les quinze jours suivant la date où la société de fiducie commence à agir comme fiduciaire;</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proofErr w:type="gramStart"/>
      <w:r w:rsidRPr="00990245">
        <w:rPr>
          <w:i/>
          <w:lang w:val="fr-CA"/>
        </w:rPr>
        <w:t>c</w:t>
      </w:r>
      <w:r w:rsidRPr="00990245">
        <w:rPr>
          <w:lang w:val="fr-CA"/>
        </w:rPr>
        <w:t>)</w:t>
      </w:r>
      <w:proofErr w:type="gramEnd"/>
      <w:r w:rsidRPr="00990245">
        <w:rPr>
          <w:lang w:val="fr-CA"/>
        </w:rPr>
        <w:t xml:space="preserve"> </w:t>
      </w:r>
      <w:r w:rsidRPr="00990245">
        <w:rPr>
          <w:szCs w:val="19"/>
          <w:lang w:val="fr-FR"/>
        </w:rPr>
        <w:t>dans les cas prévus aux paragraphes 56(3) et 59(2) et à l</w:t>
      </w:r>
      <w:r>
        <w:rPr>
          <w:szCs w:val="19"/>
          <w:lang w:val="fr-FR"/>
        </w:rPr>
        <w:t>’</w:t>
      </w:r>
      <w:r w:rsidRPr="00990245">
        <w:rPr>
          <w:szCs w:val="19"/>
          <w:lang w:val="fr-FR"/>
        </w:rPr>
        <w:t>alinéa</w:t>
      </w:r>
      <w:r w:rsidR="00601B6E">
        <w:rPr>
          <w:szCs w:val="19"/>
          <w:lang w:val="fr-FR"/>
        </w:rPr>
        <w:t xml:space="preserve"> </w:t>
      </w:r>
      <w:r w:rsidRPr="00990245">
        <w:rPr>
          <w:szCs w:val="19"/>
          <w:lang w:val="fr-FR"/>
        </w:rPr>
        <w:t>61</w:t>
      </w:r>
      <w:r w:rsidRPr="00990245">
        <w:rPr>
          <w:rStyle w:val="Emphasis"/>
          <w:szCs w:val="19"/>
          <w:lang w:val="fr-FR"/>
        </w:rPr>
        <w:t>c</w:t>
      </w:r>
      <w:r w:rsidRPr="00990245">
        <w:rPr>
          <w:szCs w:val="19"/>
          <w:lang w:val="fr-FR"/>
        </w:rPr>
        <w:t>), dans les trente jours suivant la constitution du dossier</w:t>
      </w:r>
      <w:r w:rsidR="00601B6E">
        <w:rPr>
          <w:szCs w:val="19"/>
          <w:lang w:val="fr-FR"/>
        </w:rPr>
        <w:t>-</w:t>
      </w:r>
      <w:r w:rsidRPr="00990245">
        <w:rPr>
          <w:szCs w:val="19"/>
          <w:lang w:val="fr-FR"/>
        </w:rPr>
        <w:t>client;</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d</w:t>
      </w:r>
      <w:r w:rsidRPr="00990245">
        <w:rPr>
          <w:lang w:val="fr-CA"/>
        </w:rPr>
        <w:t xml:space="preserve">) </w:t>
      </w:r>
      <w:r w:rsidRPr="00990245">
        <w:rPr>
          <w:szCs w:val="19"/>
          <w:lang w:val="fr-FR"/>
        </w:rPr>
        <w:t>dans le cas prévu au paragraphe</w:t>
      </w:r>
      <w:r w:rsidR="00601B6E">
        <w:rPr>
          <w:szCs w:val="19"/>
          <w:lang w:val="fr-FR"/>
        </w:rPr>
        <w:t xml:space="preserve"> </w:t>
      </w:r>
      <w:r w:rsidRPr="00990245">
        <w:rPr>
          <w:szCs w:val="19"/>
          <w:lang w:val="fr-FR"/>
        </w:rPr>
        <w:t>57(3), dans les trente jours suivant l</w:t>
      </w:r>
      <w:r>
        <w:rPr>
          <w:szCs w:val="19"/>
          <w:lang w:val="fr-FR"/>
        </w:rPr>
        <w:t>’</w:t>
      </w:r>
      <w:r w:rsidRPr="00990245">
        <w:rPr>
          <w:szCs w:val="19"/>
          <w:lang w:val="fr-FR"/>
        </w:rPr>
        <w:t>ouverture du compte</w:t>
      </w:r>
      <w:r w:rsidRPr="00990245">
        <w:rPr>
          <w:lang w:val="fr-CA"/>
        </w:rPr>
        <w:t xml:space="preserve">; </w:t>
      </w:r>
    </w:p>
    <w:p w:rsidR="00CA3D49" w:rsidRPr="00990245" w:rsidRDefault="00CA3D49" w:rsidP="000F5CF8">
      <w:pPr>
        <w:pStyle w:val="Citation-AltC"/>
        <w:spacing w:before="240" w:after="240"/>
        <w:ind w:left="900"/>
        <w:contextualSpacing w:val="0"/>
        <w:rPr>
          <w:lang w:val="fr-CA"/>
        </w:rPr>
      </w:pPr>
      <w:proofErr w:type="gramStart"/>
      <w:r w:rsidRPr="00990245">
        <w:rPr>
          <w:i/>
          <w:lang w:val="fr-CA"/>
        </w:rPr>
        <w:t>e</w:t>
      </w:r>
      <w:proofErr w:type="gramEnd"/>
      <w:r w:rsidRPr="00990245">
        <w:rPr>
          <w:lang w:val="fr-CA"/>
        </w:rPr>
        <w:t xml:space="preserve">) </w:t>
      </w:r>
      <w:r w:rsidRPr="00990245">
        <w:rPr>
          <w:szCs w:val="19"/>
          <w:lang w:val="fr-FR"/>
        </w:rPr>
        <w:t>dans les cas prévus aux alinéas 59.1</w:t>
      </w:r>
      <w:r w:rsidRPr="00990245">
        <w:rPr>
          <w:rStyle w:val="Emphasis"/>
          <w:szCs w:val="19"/>
          <w:lang w:val="fr-FR"/>
        </w:rPr>
        <w:t>b</w:t>
      </w:r>
      <w:r w:rsidRPr="00990245">
        <w:rPr>
          <w:szCs w:val="19"/>
          <w:lang w:val="fr-FR"/>
        </w:rPr>
        <w:t>), 59.2(1)</w:t>
      </w:r>
      <w:r w:rsidRPr="00990245">
        <w:rPr>
          <w:rStyle w:val="Emphasis"/>
          <w:szCs w:val="19"/>
          <w:lang w:val="fr-FR"/>
        </w:rPr>
        <w:t>b</w:t>
      </w:r>
      <w:r w:rsidRPr="00990245">
        <w:rPr>
          <w:szCs w:val="19"/>
          <w:lang w:val="fr-FR"/>
        </w:rPr>
        <w:t>), 59.3</w:t>
      </w:r>
      <w:r w:rsidRPr="00990245">
        <w:rPr>
          <w:rStyle w:val="Emphasis"/>
          <w:szCs w:val="19"/>
          <w:lang w:val="fr-FR"/>
        </w:rPr>
        <w:t>b</w:t>
      </w:r>
      <w:r w:rsidRPr="00990245">
        <w:rPr>
          <w:szCs w:val="19"/>
          <w:lang w:val="fr-FR"/>
        </w:rPr>
        <w:t>), 59.4(1)</w:t>
      </w:r>
      <w:r w:rsidRPr="00990245">
        <w:rPr>
          <w:rStyle w:val="Emphasis"/>
          <w:szCs w:val="19"/>
          <w:lang w:val="fr-FR"/>
        </w:rPr>
        <w:t>b</w:t>
      </w:r>
      <w:r w:rsidRPr="00990245">
        <w:rPr>
          <w:szCs w:val="19"/>
          <w:lang w:val="fr-FR"/>
        </w:rPr>
        <w:t>) et 59.5</w:t>
      </w:r>
      <w:r w:rsidRPr="00990245">
        <w:rPr>
          <w:rStyle w:val="Emphasis"/>
          <w:szCs w:val="19"/>
          <w:lang w:val="fr-FR"/>
        </w:rPr>
        <w:t>b</w:t>
      </w:r>
      <w:r w:rsidRPr="00990245">
        <w:rPr>
          <w:szCs w:val="19"/>
          <w:lang w:val="fr-FR"/>
        </w:rPr>
        <w:t>), dans les trente jours suivant l</w:t>
      </w:r>
      <w:r>
        <w:rPr>
          <w:szCs w:val="19"/>
          <w:lang w:val="fr-FR"/>
        </w:rPr>
        <w:t>’</w:t>
      </w:r>
      <w:r w:rsidRPr="00990245">
        <w:rPr>
          <w:szCs w:val="19"/>
          <w:lang w:val="fr-FR"/>
        </w:rPr>
        <w:t>opération</w:t>
      </w:r>
      <w:r w:rsidRPr="00990245">
        <w:rPr>
          <w:lang w:val="fr-CA"/>
        </w:rPr>
        <w:t>.</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(3) </w:t>
      </w:r>
      <w:r w:rsidR="00CA3D49" w:rsidRPr="00990245">
        <w:rPr>
          <w:szCs w:val="19"/>
          <w:lang w:val="fr-FR"/>
        </w:rPr>
        <w:t>Si la vérification est effectuée par consultation de la version électronique d</w:t>
      </w:r>
      <w:r w:rsidR="00CA3D49">
        <w:rPr>
          <w:szCs w:val="19"/>
          <w:lang w:val="fr-FR"/>
        </w:rPr>
        <w:t>’</w:t>
      </w:r>
      <w:r w:rsidR="00CA3D49" w:rsidRPr="00990245">
        <w:rPr>
          <w:szCs w:val="19"/>
          <w:lang w:val="fr-FR"/>
        </w:rPr>
        <w:t>un document, la personne ou l</w:t>
      </w:r>
      <w:r w:rsidR="00CA3D49">
        <w:rPr>
          <w:szCs w:val="19"/>
          <w:lang w:val="fr-FR"/>
        </w:rPr>
        <w:t>’</w:t>
      </w:r>
      <w:r w:rsidR="00CA3D49" w:rsidRPr="00990245">
        <w:rPr>
          <w:szCs w:val="19"/>
          <w:lang w:val="fr-FR"/>
        </w:rPr>
        <w:t>entité doit tenir un document comportant le numéro d</w:t>
      </w:r>
      <w:r w:rsidR="00CA3D49">
        <w:rPr>
          <w:szCs w:val="19"/>
          <w:lang w:val="fr-FR"/>
        </w:rPr>
        <w:t>’</w:t>
      </w:r>
      <w:r w:rsidR="00CA3D49" w:rsidRPr="00990245">
        <w:rPr>
          <w:szCs w:val="19"/>
          <w:lang w:val="fr-FR"/>
        </w:rPr>
        <w:t>enregistrement de la personne morale, le type du document consulté et la provenance de la version électronique.</w:t>
      </w:r>
      <w:r w:rsidR="00CA3D49"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(4) </w:t>
      </w:r>
      <w:r w:rsidR="00CA3D49" w:rsidRPr="00990245">
        <w:rPr>
          <w:szCs w:val="19"/>
          <w:lang w:val="fr-CA"/>
        </w:rPr>
        <w:t>Si la vérification est effectuée au moyen d</w:t>
      </w:r>
      <w:r w:rsidR="00CA3D49">
        <w:rPr>
          <w:szCs w:val="19"/>
          <w:lang w:val="fr-CA"/>
        </w:rPr>
        <w:t>’</w:t>
      </w:r>
      <w:r w:rsidR="00CA3D49" w:rsidRPr="00990245">
        <w:rPr>
          <w:szCs w:val="19"/>
          <w:lang w:val="fr-CA"/>
        </w:rPr>
        <w:t>une copie papier d</w:t>
      </w:r>
      <w:r w:rsidR="00CA3D49">
        <w:rPr>
          <w:szCs w:val="19"/>
          <w:lang w:val="fr-CA"/>
        </w:rPr>
        <w:t>’</w:t>
      </w:r>
      <w:r w:rsidR="00CA3D49" w:rsidRPr="00990245">
        <w:rPr>
          <w:szCs w:val="19"/>
          <w:lang w:val="fr-CA"/>
        </w:rPr>
        <w:t>un document, la personne ou l</w:t>
      </w:r>
      <w:r w:rsidR="00CA3D49">
        <w:rPr>
          <w:szCs w:val="19"/>
          <w:lang w:val="fr-CA"/>
        </w:rPr>
        <w:t>’</w:t>
      </w:r>
      <w:r w:rsidR="00CA3D49" w:rsidRPr="00990245">
        <w:rPr>
          <w:szCs w:val="19"/>
          <w:lang w:val="fr-CA"/>
        </w:rPr>
        <w:t>entité doit conserver le document ou une copie de celui</w:t>
      </w:r>
      <w:r w:rsidR="00601B6E">
        <w:rPr>
          <w:szCs w:val="19"/>
          <w:lang w:val="fr-CA"/>
        </w:rPr>
        <w:t>-</w:t>
      </w:r>
      <w:r w:rsidR="00CA3D49" w:rsidRPr="00990245">
        <w:rPr>
          <w:szCs w:val="19"/>
          <w:lang w:val="fr-CA"/>
        </w:rPr>
        <w:t>ci.</w:t>
      </w:r>
      <w:r w:rsidR="00CA3D49" w:rsidRPr="00990245">
        <w:rPr>
          <w:sz w:val="19"/>
          <w:szCs w:val="19"/>
          <w:lang w:val="fr-CA"/>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66.</w:t>
      </w:r>
      <w:r w:rsidR="00CA3D49" w:rsidRPr="00990245">
        <w:rPr>
          <w:lang w:val="fr-CA"/>
        </w:rPr>
        <w:t xml:space="preserve"> (1) </w:t>
      </w:r>
      <w:r w:rsidR="00CA3D49" w:rsidRPr="00990245">
        <w:rPr>
          <w:szCs w:val="19"/>
          <w:lang w:val="fr-FR"/>
        </w:rPr>
        <w:t>L</w:t>
      </w:r>
      <w:r w:rsidR="00CA3D49">
        <w:rPr>
          <w:szCs w:val="19"/>
          <w:lang w:val="fr-FR"/>
        </w:rPr>
        <w:t>’</w:t>
      </w:r>
      <w:r w:rsidR="00CA3D49" w:rsidRPr="00990245">
        <w:rPr>
          <w:szCs w:val="19"/>
          <w:lang w:val="fr-FR"/>
        </w:rPr>
        <w:t>existence d</w:t>
      </w:r>
      <w:r w:rsidR="00CA3D49">
        <w:rPr>
          <w:szCs w:val="19"/>
          <w:lang w:val="fr-FR"/>
        </w:rPr>
        <w:t>’</w:t>
      </w:r>
      <w:r w:rsidR="00CA3D49" w:rsidRPr="00990245">
        <w:rPr>
          <w:szCs w:val="19"/>
          <w:lang w:val="fr-FR"/>
        </w:rPr>
        <w:t>une entité qui n</w:t>
      </w:r>
      <w:r w:rsidR="00CA3D49">
        <w:rPr>
          <w:szCs w:val="19"/>
          <w:lang w:val="fr-FR"/>
        </w:rPr>
        <w:t>’</w:t>
      </w:r>
      <w:r w:rsidR="00CA3D49" w:rsidRPr="00990245">
        <w:rPr>
          <w:szCs w:val="19"/>
          <w:lang w:val="fr-FR"/>
        </w:rPr>
        <w:t>est pas une personne morale se vérifie, au moment prévu au paragraphe</w:t>
      </w:r>
      <w:r w:rsidR="00601B6E">
        <w:rPr>
          <w:szCs w:val="19"/>
          <w:lang w:val="fr-FR"/>
        </w:rPr>
        <w:t xml:space="preserve"> </w:t>
      </w:r>
      <w:r w:rsidR="00CA3D49" w:rsidRPr="00990245">
        <w:rPr>
          <w:szCs w:val="19"/>
          <w:lang w:val="fr-FR"/>
        </w:rPr>
        <w:t>(2), au moyen d</w:t>
      </w:r>
      <w:r w:rsidR="00CA3D49">
        <w:rPr>
          <w:szCs w:val="19"/>
          <w:lang w:val="fr-FR"/>
        </w:rPr>
        <w:t>’</w:t>
      </w:r>
      <w:r w:rsidR="00CA3D49" w:rsidRPr="00990245">
        <w:rPr>
          <w:szCs w:val="19"/>
          <w:lang w:val="fr-FR"/>
        </w:rPr>
        <w:t>une copie papier de la convention de société, de l</w:t>
      </w:r>
      <w:r w:rsidR="00CA3D49">
        <w:rPr>
          <w:szCs w:val="19"/>
          <w:lang w:val="fr-FR"/>
        </w:rPr>
        <w:t>’</w:t>
      </w:r>
      <w:r w:rsidR="00CA3D49" w:rsidRPr="00990245">
        <w:rPr>
          <w:szCs w:val="19"/>
          <w:lang w:val="fr-FR"/>
        </w:rPr>
        <w:t>acte d</w:t>
      </w:r>
      <w:r w:rsidR="00CA3D49">
        <w:rPr>
          <w:szCs w:val="19"/>
          <w:lang w:val="fr-FR"/>
        </w:rPr>
        <w:t>’</w:t>
      </w:r>
      <w:r w:rsidR="00CA3D49" w:rsidRPr="00990245">
        <w:rPr>
          <w:szCs w:val="19"/>
          <w:lang w:val="fr-FR"/>
        </w:rPr>
        <w:t>association ou de tout autre document qui fait foi de son existence ou par consultation de la version électronique d</w:t>
      </w:r>
      <w:r w:rsidR="00CA3D49">
        <w:rPr>
          <w:szCs w:val="19"/>
          <w:lang w:val="fr-FR"/>
        </w:rPr>
        <w:t>’</w:t>
      </w:r>
      <w:r w:rsidR="00CA3D49" w:rsidRPr="00990245">
        <w:rPr>
          <w:szCs w:val="19"/>
          <w:lang w:val="fr-FR"/>
        </w:rPr>
        <w:t>un de ces documents obtenue d</w:t>
      </w:r>
      <w:r w:rsidR="00CA3D49">
        <w:rPr>
          <w:szCs w:val="19"/>
          <w:lang w:val="fr-FR"/>
        </w:rPr>
        <w:t>’</w:t>
      </w:r>
      <w:r w:rsidR="00CA3D49" w:rsidRPr="00990245">
        <w:rPr>
          <w:szCs w:val="19"/>
          <w:lang w:val="fr-FR"/>
        </w:rPr>
        <w:t>une source accessible au public.</w:t>
      </w:r>
      <w:r w:rsidR="00CA3D49" w:rsidRPr="00990245">
        <w:rPr>
          <w:sz w:val="19"/>
          <w:szCs w:val="19"/>
          <w:lang w:val="fr-FR"/>
        </w:rPr>
        <w:t xml:space="preserve"> </w:t>
      </w:r>
    </w:p>
    <w:p w:rsidR="00CA3D49" w:rsidRPr="000F5CF8" w:rsidRDefault="000F5CF8" w:rsidP="000F5CF8">
      <w:pPr>
        <w:pStyle w:val="Citation-AltC"/>
        <w:tabs>
          <w:tab w:val="left" w:pos="900"/>
          <w:tab w:val="left" w:pos="1440"/>
        </w:tabs>
        <w:spacing w:before="240" w:after="240"/>
        <w:ind w:left="360"/>
        <w:contextualSpacing w:val="0"/>
        <w:rPr>
          <w:szCs w:val="19"/>
          <w:lang w:val="fr-FR"/>
        </w:rPr>
      </w:pPr>
      <w:r>
        <w:rPr>
          <w:szCs w:val="19"/>
          <w:lang w:val="fr-FR"/>
        </w:rPr>
        <w:tab/>
      </w:r>
      <w:r w:rsidR="00CA3D49" w:rsidRPr="000F5CF8">
        <w:rPr>
          <w:szCs w:val="19"/>
          <w:lang w:val="fr-FR"/>
        </w:rPr>
        <w:t>(2) La vérification est effectuée</w:t>
      </w:r>
      <w:r w:rsidR="00601B6E">
        <w:rPr>
          <w:szCs w:val="19"/>
          <w:lang w:val="fr-FR"/>
        </w:rPr>
        <w:t> :</w:t>
      </w:r>
      <w:r w:rsidR="00CA3D49" w:rsidRPr="000F5CF8">
        <w:rPr>
          <w:szCs w:val="19"/>
          <w:lang w:val="fr-FR"/>
        </w:rPr>
        <w:t xml:space="preserve"> </w:t>
      </w:r>
    </w:p>
    <w:p w:rsidR="00CA3D49" w:rsidRPr="00990245" w:rsidRDefault="00CA3D49" w:rsidP="000F5CF8">
      <w:pPr>
        <w:pStyle w:val="Citation-AltC"/>
        <w:spacing w:before="240" w:after="240"/>
        <w:ind w:left="900"/>
        <w:contextualSpacing w:val="0"/>
        <w:rPr>
          <w:lang w:val="fr-CA"/>
        </w:rPr>
      </w:pPr>
      <w:proofErr w:type="gramStart"/>
      <w:r w:rsidRPr="00990245">
        <w:rPr>
          <w:i/>
          <w:lang w:val="fr-CA"/>
        </w:rPr>
        <w:t>a</w:t>
      </w:r>
      <w:proofErr w:type="gramEnd"/>
      <w:r w:rsidRPr="00990245">
        <w:rPr>
          <w:lang w:val="fr-CA"/>
        </w:rPr>
        <w:t xml:space="preserve">) </w:t>
      </w:r>
      <w:r w:rsidRPr="000F5CF8">
        <w:rPr>
          <w:szCs w:val="19"/>
          <w:lang w:val="fr-FR"/>
        </w:rPr>
        <w:t>dans</w:t>
      </w:r>
      <w:r w:rsidRPr="00990245">
        <w:rPr>
          <w:szCs w:val="19"/>
          <w:lang w:val="fr-CA"/>
        </w:rPr>
        <w:t xml:space="preserve"> les cas prévus aux alinéas 54(1)</w:t>
      </w:r>
      <w:r w:rsidRPr="00990245">
        <w:rPr>
          <w:rStyle w:val="Emphasis"/>
          <w:szCs w:val="19"/>
          <w:lang w:val="fr-CA"/>
        </w:rPr>
        <w:t>e</w:t>
      </w:r>
      <w:r w:rsidRPr="00990245">
        <w:rPr>
          <w:szCs w:val="19"/>
          <w:lang w:val="fr-CA"/>
        </w:rPr>
        <w:t>) et 60</w:t>
      </w:r>
      <w:r w:rsidRPr="00990245">
        <w:rPr>
          <w:rStyle w:val="Emphasis"/>
          <w:szCs w:val="19"/>
          <w:lang w:val="fr-CA"/>
        </w:rPr>
        <w:t>f</w:t>
      </w:r>
      <w:r w:rsidRPr="00990245">
        <w:rPr>
          <w:szCs w:val="19"/>
          <w:lang w:val="fr-CA"/>
        </w:rPr>
        <w:t>), avant toute opération effectuée à l</w:t>
      </w:r>
      <w:r>
        <w:rPr>
          <w:szCs w:val="19"/>
          <w:lang w:val="fr-CA"/>
        </w:rPr>
        <w:t>’</w:t>
      </w:r>
      <w:r w:rsidRPr="00990245">
        <w:rPr>
          <w:szCs w:val="19"/>
          <w:lang w:val="fr-CA"/>
        </w:rPr>
        <w:t>égard du compte, sauf le dépôt initial;</w:t>
      </w:r>
      <w:r w:rsidRPr="00990245">
        <w:rPr>
          <w:sz w:val="19"/>
          <w:szCs w:val="19"/>
          <w:lang w:val="fr-CA"/>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a.1</w:t>
      </w:r>
      <w:r w:rsidRPr="00990245">
        <w:rPr>
          <w:lang w:val="fr-CA"/>
        </w:rPr>
        <w:t xml:space="preserve">) </w:t>
      </w:r>
      <w:r w:rsidRPr="00990245">
        <w:rPr>
          <w:szCs w:val="19"/>
          <w:lang w:val="fr-FR"/>
        </w:rPr>
        <w:t>dans le cas prévu à l</w:t>
      </w:r>
      <w:r>
        <w:rPr>
          <w:szCs w:val="19"/>
          <w:lang w:val="fr-FR"/>
        </w:rPr>
        <w:t>’</w:t>
      </w:r>
      <w:r w:rsidRPr="00990245">
        <w:rPr>
          <w:szCs w:val="19"/>
          <w:lang w:val="fr-FR"/>
        </w:rPr>
        <w:t>alinéa</w:t>
      </w:r>
      <w:r w:rsidR="00601B6E">
        <w:rPr>
          <w:szCs w:val="19"/>
          <w:lang w:val="fr-FR"/>
        </w:rPr>
        <w:t xml:space="preserve"> </w:t>
      </w:r>
      <w:r w:rsidRPr="00990245">
        <w:rPr>
          <w:szCs w:val="19"/>
          <w:lang w:val="fr-FR"/>
        </w:rPr>
        <w:t>54.1</w:t>
      </w:r>
      <w:r w:rsidRPr="00990245">
        <w:rPr>
          <w:rStyle w:val="Emphasis"/>
          <w:szCs w:val="19"/>
          <w:lang w:val="fr-FR"/>
        </w:rPr>
        <w:t>c</w:t>
      </w:r>
      <w:r w:rsidRPr="00990245">
        <w:rPr>
          <w:szCs w:val="19"/>
          <w:lang w:val="fr-FR"/>
        </w:rPr>
        <w:t>), avant l</w:t>
      </w:r>
      <w:r>
        <w:rPr>
          <w:szCs w:val="19"/>
          <w:lang w:val="fr-FR"/>
        </w:rPr>
        <w:t>’</w:t>
      </w:r>
      <w:r w:rsidRPr="00990245">
        <w:rPr>
          <w:szCs w:val="19"/>
          <w:lang w:val="fr-FR"/>
        </w:rPr>
        <w:t>émission de toute carte de crédit pour le compte</w:t>
      </w:r>
      <w:r w:rsidRPr="00990245">
        <w:rPr>
          <w:lang w:val="fr-CA"/>
        </w:rPr>
        <w:t>;</w:t>
      </w:r>
    </w:p>
    <w:p w:rsidR="00CA3D49" w:rsidRPr="00990245" w:rsidRDefault="00CA3D49" w:rsidP="000F5CF8">
      <w:pPr>
        <w:pStyle w:val="Citation-AltC"/>
        <w:spacing w:before="240" w:after="240"/>
        <w:ind w:left="900"/>
        <w:contextualSpacing w:val="0"/>
        <w:rPr>
          <w:lang w:val="fr-CA"/>
        </w:rPr>
      </w:pPr>
      <w:r w:rsidRPr="00990245">
        <w:rPr>
          <w:i/>
          <w:lang w:val="fr-CA"/>
        </w:rPr>
        <w:t>b</w:t>
      </w:r>
      <w:r w:rsidRPr="00990245">
        <w:rPr>
          <w:lang w:val="fr-CA"/>
        </w:rPr>
        <w:t xml:space="preserve">) </w:t>
      </w:r>
      <w:r w:rsidRPr="00990245">
        <w:rPr>
          <w:szCs w:val="19"/>
          <w:lang w:val="fr-FR"/>
        </w:rPr>
        <w:t>dans les cas prévus aux alinéas</w:t>
      </w:r>
      <w:r w:rsidR="00601B6E">
        <w:rPr>
          <w:szCs w:val="19"/>
          <w:lang w:val="fr-FR"/>
        </w:rPr>
        <w:t xml:space="preserve"> </w:t>
      </w:r>
      <w:r w:rsidRPr="00990245">
        <w:rPr>
          <w:szCs w:val="19"/>
          <w:lang w:val="fr-FR"/>
        </w:rPr>
        <w:t>55</w:t>
      </w:r>
      <w:r w:rsidRPr="00990245">
        <w:rPr>
          <w:rStyle w:val="Emphasis"/>
          <w:szCs w:val="19"/>
          <w:lang w:val="fr-FR"/>
        </w:rPr>
        <w:t>c</w:t>
      </w:r>
      <w:r w:rsidRPr="00990245">
        <w:rPr>
          <w:szCs w:val="19"/>
          <w:lang w:val="fr-FR"/>
        </w:rPr>
        <w:t xml:space="preserve">) et </w:t>
      </w:r>
      <w:r w:rsidRPr="00990245">
        <w:rPr>
          <w:rStyle w:val="Emphasis"/>
          <w:szCs w:val="19"/>
          <w:lang w:val="fr-FR"/>
        </w:rPr>
        <w:t>d</w:t>
      </w:r>
      <w:r w:rsidRPr="00990245">
        <w:rPr>
          <w:szCs w:val="19"/>
          <w:lang w:val="fr-FR"/>
        </w:rPr>
        <w:t>), dans les quinze jours suivant la date où la société de fiducie commence à agir comme fiduciaire</w:t>
      </w:r>
      <w:r w:rsidRPr="00990245">
        <w:rPr>
          <w:lang w:val="fr-CA"/>
        </w:rPr>
        <w:t>;</w:t>
      </w:r>
    </w:p>
    <w:p w:rsidR="00CA3D49" w:rsidRPr="00990245" w:rsidRDefault="00CA3D49" w:rsidP="000F5CF8">
      <w:pPr>
        <w:pStyle w:val="Citation-AltC"/>
        <w:spacing w:before="240" w:after="240"/>
        <w:ind w:left="900"/>
        <w:contextualSpacing w:val="0"/>
        <w:rPr>
          <w:lang w:val="fr-CA"/>
        </w:rPr>
      </w:pPr>
      <w:proofErr w:type="gramStart"/>
      <w:r w:rsidRPr="00990245">
        <w:rPr>
          <w:i/>
          <w:lang w:val="fr-CA"/>
        </w:rPr>
        <w:t>c</w:t>
      </w:r>
      <w:r w:rsidRPr="00990245">
        <w:rPr>
          <w:lang w:val="fr-CA"/>
        </w:rPr>
        <w:t>)</w:t>
      </w:r>
      <w:proofErr w:type="gramEnd"/>
      <w:r w:rsidRPr="00990245">
        <w:rPr>
          <w:lang w:val="fr-CA"/>
        </w:rPr>
        <w:t xml:space="preserve"> </w:t>
      </w:r>
      <w:r w:rsidRPr="00990245">
        <w:rPr>
          <w:szCs w:val="19"/>
          <w:lang w:val="fr-FR"/>
        </w:rPr>
        <w:t>dans les cas prévus aux paragraphes</w:t>
      </w:r>
      <w:r w:rsidR="00601B6E">
        <w:rPr>
          <w:szCs w:val="19"/>
          <w:lang w:val="fr-FR"/>
        </w:rPr>
        <w:t xml:space="preserve"> </w:t>
      </w:r>
      <w:r w:rsidRPr="00990245">
        <w:rPr>
          <w:szCs w:val="19"/>
          <w:lang w:val="fr-FR"/>
        </w:rPr>
        <w:t>56(4) et 59(3) et à l</w:t>
      </w:r>
      <w:r>
        <w:rPr>
          <w:szCs w:val="19"/>
          <w:lang w:val="fr-FR"/>
        </w:rPr>
        <w:t>’</w:t>
      </w:r>
      <w:r w:rsidRPr="00990245">
        <w:rPr>
          <w:szCs w:val="19"/>
          <w:lang w:val="fr-FR"/>
        </w:rPr>
        <w:t>alinéa</w:t>
      </w:r>
      <w:r w:rsidR="00601B6E">
        <w:rPr>
          <w:szCs w:val="19"/>
          <w:lang w:val="fr-FR"/>
        </w:rPr>
        <w:t xml:space="preserve"> </w:t>
      </w:r>
      <w:r w:rsidRPr="00990245">
        <w:rPr>
          <w:szCs w:val="19"/>
          <w:lang w:val="fr-FR"/>
        </w:rPr>
        <w:t>61</w:t>
      </w:r>
      <w:r w:rsidRPr="00990245">
        <w:rPr>
          <w:rStyle w:val="Emphasis"/>
          <w:szCs w:val="19"/>
          <w:lang w:val="fr-FR"/>
        </w:rPr>
        <w:t>d</w:t>
      </w:r>
      <w:r w:rsidRPr="00990245">
        <w:rPr>
          <w:szCs w:val="19"/>
          <w:lang w:val="fr-FR"/>
        </w:rPr>
        <w:t>), dans les trente jours suivant la constitution du dossier</w:t>
      </w:r>
      <w:r w:rsidR="00601B6E">
        <w:rPr>
          <w:szCs w:val="19"/>
          <w:lang w:val="fr-FR"/>
        </w:rPr>
        <w:t>-</w:t>
      </w:r>
      <w:r w:rsidRPr="00990245">
        <w:rPr>
          <w:szCs w:val="19"/>
          <w:lang w:val="fr-FR"/>
        </w:rPr>
        <w:t>client</w:t>
      </w:r>
      <w:r w:rsidRPr="00990245">
        <w:rPr>
          <w:lang w:val="fr-CA"/>
        </w:rPr>
        <w:t>;</w:t>
      </w:r>
    </w:p>
    <w:p w:rsidR="00CA3D49" w:rsidRPr="00990245" w:rsidRDefault="00CA3D49" w:rsidP="000F5CF8">
      <w:pPr>
        <w:pStyle w:val="Citation-AltC"/>
        <w:spacing w:before="240" w:after="240"/>
        <w:ind w:left="900"/>
        <w:contextualSpacing w:val="0"/>
        <w:rPr>
          <w:lang w:val="fr-CA"/>
        </w:rPr>
      </w:pPr>
      <w:r w:rsidRPr="00990245">
        <w:rPr>
          <w:i/>
          <w:lang w:val="fr-CA"/>
        </w:rPr>
        <w:t>d</w:t>
      </w:r>
      <w:r w:rsidRPr="00990245">
        <w:rPr>
          <w:lang w:val="fr-CA"/>
        </w:rPr>
        <w:t xml:space="preserve">) dans </w:t>
      </w:r>
      <w:r w:rsidRPr="000F5CF8">
        <w:rPr>
          <w:szCs w:val="19"/>
          <w:lang w:val="fr-FR"/>
        </w:rPr>
        <w:t>le</w:t>
      </w:r>
      <w:r w:rsidRPr="00990245">
        <w:rPr>
          <w:lang w:val="fr-CA"/>
        </w:rPr>
        <w:t xml:space="preserve"> cas prévu au paragraphe</w:t>
      </w:r>
      <w:r w:rsidR="00601B6E">
        <w:rPr>
          <w:lang w:val="fr-CA"/>
        </w:rPr>
        <w:t xml:space="preserve"> </w:t>
      </w:r>
      <w:r w:rsidRPr="00990245">
        <w:rPr>
          <w:lang w:val="fr-CA"/>
        </w:rPr>
        <w:t>57(4), dans les trente jours suivant l</w:t>
      </w:r>
      <w:r>
        <w:rPr>
          <w:lang w:val="fr-CA"/>
        </w:rPr>
        <w:t>’</w:t>
      </w:r>
      <w:r w:rsidRPr="00990245">
        <w:rPr>
          <w:lang w:val="fr-CA"/>
        </w:rPr>
        <w:t>ouverture du compte;</w:t>
      </w:r>
    </w:p>
    <w:p w:rsidR="00CA3D49" w:rsidRPr="00990245" w:rsidRDefault="00CA3D49" w:rsidP="000F5CF8">
      <w:pPr>
        <w:pStyle w:val="Citation-AltC"/>
        <w:spacing w:before="240" w:after="240"/>
        <w:ind w:left="900"/>
        <w:contextualSpacing w:val="0"/>
        <w:rPr>
          <w:lang w:val="fr-CA"/>
        </w:rPr>
      </w:pPr>
      <w:proofErr w:type="gramStart"/>
      <w:r w:rsidRPr="00990245">
        <w:rPr>
          <w:i/>
          <w:lang w:val="fr-CA"/>
        </w:rPr>
        <w:lastRenderedPageBreak/>
        <w:t>e</w:t>
      </w:r>
      <w:proofErr w:type="gramEnd"/>
      <w:r w:rsidRPr="00990245">
        <w:rPr>
          <w:lang w:val="fr-CA"/>
        </w:rPr>
        <w:t xml:space="preserve">) </w:t>
      </w:r>
      <w:r w:rsidRPr="00990245">
        <w:rPr>
          <w:szCs w:val="19"/>
          <w:lang w:val="fr-FR"/>
        </w:rPr>
        <w:t>dans les cas prévus aux alinéas</w:t>
      </w:r>
      <w:r w:rsidR="00601B6E">
        <w:rPr>
          <w:szCs w:val="19"/>
          <w:lang w:val="fr-FR"/>
        </w:rPr>
        <w:t xml:space="preserve"> </w:t>
      </w:r>
      <w:r w:rsidRPr="00990245">
        <w:rPr>
          <w:szCs w:val="19"/>
          <w:lang w:val="fr-FR"/>
        </w:rPr>
        <w:t>59.1</w:t>
      </w:r>
      <w:r w:rsidRPr="00990245">
        <w:rPr>
          <w:rStyle w:val="Emphasis"/>
          <w:szCs w:val="19"/>
          <w:lang w:val="fr-FR"/>
        </w:rPr>
        <w:t>c</w:t>
      </w:r>
      <w:r w:rsidRPr="00990245">
        <w:rPr>
          <w:szCs w:val="19"/>
          <w:lang w:val="fr-FR"/>
        </w:rPr>
        <w:t>), 59.2(1)</w:t>
      </w:r>
      <w:r w:rsidRPr="00990245">
        <w:rPr>
          <w:rStyle w:val="Emphasis"/>
          <w:szCs w:val="19"/>
          <w:lang w:val="fr-FR"/>
        </w:rPr>
        <w:t>c</w:t>
      </w:r>
      <w:r w:rsidRPr="00990245">
        <w:rPr>
          <w:szCs w:val="19"/>
          <w:lang w:val="fr-FR"/>
        </w:rPr>
        <w:t>), 59.3</w:t>
      </w:r>
      <w:r w:rsidRPr="00990245">
        <w:rPr>
          <w:rStyle w:val="Emphasis"/>
          <w:szCs w:val="19"/>
          <w:lang w:val="fr-FR"/>
        </w:rPr>
        <w:t>c</w:t>
      </w:r>
      <w:r w:rsidRPr="00990245">
        <w:rPr>
          <w:szCs w:val="19"/>
          <w:lang w:val="fr-FR"/>
        </w:rPr>
        <w:t>), 59.4(1)</w:t>
      </w:r>
      <w:r w:rsidRPr="00990245">
        <w:rPr>
          <w:rStyle w:val="Emphasis"/>
          <w:szCs w:val="19"/>
          <w:lang w:val="fr-FR"/>
        </w:rPr>
        <w:t>c</w:t>
      </w:r>
      <w:r w:rsidRPr="00990245">
        <w:rPr>
          <w:szCs w:val="19"/>
          <w:lang w:val="fr-FR"/>
        </w:rPr>
        <w:t>) et 59.5</w:t>
      </w:r>
      <w:r w:rsidRPr="00990245">
        <w:rPr>
          <w:rStyle w:val="Emphasis"/>
          <w:szCs w:val="19"/>
          <w:lang w:val="fr-FR"/>
        </w:rPr>
        <w:t>c</w:t>
      </w:r>
      <w:r w:rsidRPr="00990245">
        <w:rPr>
          <w:szCs w:val="19"/>
          <w:lang w:val="fr-FR"/>
        </w:rPr>
        <w:t>), dans les trente jours suivant l</w:t>
      </w:r>
      <w:r>
        <w:rPr>
          <w:szCs w:val="19"/>
          <w:lang w:val="fr-FR"/>
        </w:rPr>
        <w:t>’</w:t>
      </w:r>
      <w:r w:rsidRPr="00990245">
        <w:rPr>
          <w:szCs w:val="19"/>
          <w:lang w:val="fr-FR"/>
        </w:rPr>
        <w:t>opération</w:t>
      </w:r>
      <w:r w:rsidRPr="00990245">
        <w:rPr>
          <w:lang w:val="fr-CA"/>
        </w:rPr>
        <w:t>.</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(3) </w:t>
      </w:r>
      <w:r w:rsidR="00CA3D49" w:rsidRPr="00990245">
        <w:rPr>
          <w:szCs w:val="19"/>
          <w:lang w:val="fr-FR"/>
        </w:rPr>
        <w:t>Si la vérification est effectuée par consultation de la version électronique d</w:t>
      </w:r>
      <w:r w:rsidR="00CA3D49">
        <w:rPr>
          <w:szCs w:val="19"/>
          <w:lang w:val="fr-FR"/>
        </w:rPr>
        <w:t>’</w:t>
      </w:r>
      <w:r w:rsidR="00CA3D49" w:rsidRPr="00990245">
        <w:rPr>
          <w:szCs w:val="19"/>
          <w:lang w:val="fr-FR"/>
        </w:rPr>
        <w:t>un document, la personne ou l</w:t>
      </w:r>
      <w:r w:rsidR="00CA3D49">
        <w:rPr>
          <w:szCs w:val="19"/>
          <w:lang w:val="fr-FR"/>
        </w:rPr>
        <w:t>’</w:t>
      </w:r>
      <w:r w:rsidR="00CA3D49" w:rsidRPr="00990245">
        <w:rPr>
          <w:szCs w:val="19"/>
          <w:lang w:val="fr-FR"/>
        </w:rPr>
        <w:t>entité doit tenir un document comportant le numéro d</w:t>
      </w:r>
      <w:r w:rsidR="00CA3D49">
        <w:rPr>
          <w:szCs w:val="19"/>
          <w:lang w:val="fr-FR"/>
        </w:rPr>
        <w:t>’</w:t>
      </w:r>
      <w:r w:rsidR="00CA3D49" w:rsidRPr="00990245">
        <w:rPr>
          <w:szCs w:val="19"/>
          <w:lang w:val="fr-FR"/>
        </w:rPr>
        <w:t>enregistrement de la l</w:t>
      </w:r>
      <w:r w:rsidR="00CA3D49">
        <w:rPr>
          <w:szCs w:val="19"/>
          <w:lang w:val="fr-FR"/>
        </w:rPr>
        <w:t>’</w:t>
      </w:r>
      <w:r w:rsidR="00CA3D49" w:rsidRPr="00990245">
        <w:rPr>
          <w:szCs w:val="19"/>
          <w:lang w:val="fr-FR"/>
        </w:rPr>
        <w:t>entité, le type du document consulté et la provenance de la version électronique.</w:t>
      </w:r>
      <w:r w:rsidR="00CA3D49"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(4) </w:t>
      </w:r>
      <w:r w:rsidR="00CA3D49" w:rsidRPr="00990245">
        <w:rPr>
          <w:szCs w:val="19"/>
          <w:lang w:val="fr-CA"/>
        </w:rPr>
        <w:t>Si la vérification est effectuée au moyen d</w:t>
      </w:r>
      <w:r w:rsidR="00CA3D49">
        <w:rPr>
          <w:szCs w:val="19"/>
          <w:lang w:val="fr-CA"/>
        </w:rPr>
        <w:t>’</w:t>
      </w:r>
      <w:r w:rsidR="00CA3D49" w:rsidRPr="00990245">
        <w:rPr>
          <w:szCs w:val="19"/>
          <w:lang w:val="fr-CA"/>
        </w:rPr>
        <w:t>une copie papier d</w:t>
      </w:r>
      <w:r w:rsidR="00CA3D49">
        <w:rPr>
          <w:szCs w:val="19"/>
          <w:lang w:val="fr-CA"/>
        </w:rPr>
        <w:t>’</w:t>
      </w:r>
      <w:r w:rsidR="00CA3D49" w:rsidRPr="00990245">
        <w:rPr>
          <w:szCs w:val="19"/>
          <w:lang w:val="fr-CA"/>
        </w:rPr>
        <w:t>un document, la personne ou l</w:t>
      </w:r>
      <w:r w:rsidR="00CA3D49">
        <w:rPr>
          <w:szCs w:val="19"/>
          <w:lang w:val="fr-CA"/>
        </w:rPr>
        <w:t>’</w:t>
      </w:r>
      <w:r w:rsidR="00CA3D49" w:rsidRPr="00990245">
        <w:rPr>
          <w:szCs w:val="19"/>
          <w:lang w:val="fr-CA"/>
        </w:rPr>
        <w:t>entité doit conserver le document ou une copie de celui</w:t>
      </w:r>
      <w:r w:rsidR="00601B6E">
        <w:rPr>
          <w:szCs w:val="19"/>
          <w:lang w:val="fr-CA"/>
        </w:rPr>
        <w:t>-</w:t>
      </w:r>
      <w:r w:rsidR="00CA3D49" w:rsidRPr="00990245">
        <w:rPr>
          <w:szCs w:val="19"/>
          <w:lang w:val="fr-CA"/>
        </w:rPr>
        <w:t>ci.</w:t>
      </w:r>
      <w:r w:rsidR="00CA3D49" w:rsidRPr="00990245">
        <w:rPr>
          <w:sz w:val="19"/>
          <w:szCs w:val="19"/>
          <w:lang w:val="fr-CA"/>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66.1</w:t>
      </w:r>
      <w:r w:rsidR="00CA3D49" w:rsidRPr="00990245">
        <w:rPr>
          <w:lang w:val="fr-CA"/>
        </w:rPr>
        <w:t xml:space="preserve"> (1) </w:t>
      </w:r>
      <w:r w:rsidR="00CA3D49" w:rsidRPr="00990245">
        <w:rPr>
          <w:szCs w:val="19"/>
          <w:lang w:val="fr-FR"/>
        </w:rPr>
        <w:t>Pour l</w:t>
      </w:r>
      <w:r w:rsidR="00CA3D49">
        <w:rPr>
          <w:szCs w:val="19"/>
          <w:lang w:val="fr-FR"/>
        </w:rPr>
        <w:t>’</w:t>
      </w:r>
      <w:r w:rsidR="00CA3D49" w:rsidRPr="00990245">
        <w:rPr>
          <w:szCs w:val="19"/>
          <w:lang w:val="fr-FR"/>
        </w:rPr>
        <w:t>application de l</w:t>
      </w:r>
      <w:r w:rsidR="00CA3D49">
        <w:rPr>
          <w:szCs w:val="19"/>
          <w:lang w:val="fr-FR"/>
        </w:rPr>
        <w:t>’</w:t>
      </w:r>
      <w:r w:rsidR="00CA3D49" w:rsidRPr="00990245">
        <w:rPr>
          <w:szCs w:val="19"/>
          <w:lang w:val="fr-FR"/>
        </w:rPr>
        <w:t>article</w:t>
      </w:r>
      <w:r w:rsidR="00601B6E">
        <w:rPr>
          <w:szCs w:val="19"/>
          <w:lang w:val="fr-FR"/>
        </w:rPr>
        <w:t xml:space="preserve"> </w:t>
      </w:r>
      <w:r w:rsidR="00CA3D49" w:rsidRPr="00990245">
        <w:rPr>
          <w:szCs w:val="19"/>
          <w:lang w:val="fr-FR"/>
        </w:rPr>
        <w:t>9.5 de la Loi, les personnes ou entités sont les entités financières, les entreprises de transfert de fonds ou de vente de titres négociables et les casinos qui tiennent un document en application du présent règlement à l</w:t>
      </w:r>
      <w:r w:rsidR="00CA3D49">
        <w:rPr>
          <w:szCs w:val="19"/>
          <w:lang w:val="fr-FR"/>
        </w:rPr>
        <w:t>’</w:t>
      </w:r>
      <w:r w:rsidR="00CA3D49" w:rsidRPr="00990245">
        <w:rPr>
          <w:szCs w:val="19"/>
          <w:lang w:val="fr-FR"/>
        </w:rPr>
        <w:t>égard d</w:t>
      </w:r>
      <w:r w:rsidR="00CA3D49">
        <w:rPr>
          <w:szCs w:val="19"/>
          <w:lang w:val="fr-FR"/>
        </w:rPr>
        <w:t>’</w:t>
      </w:r>
      <w:r w:rsidR="00CA3D49" w:rsidRPr="00990245">
        <w:rPr>
          <w:szCs w:val="19"/>
          <w:lang w:val="fr-FR"/>
        </w:rPr>
        <w:t xml:space="preserve">un </w:t>
      </w:r>
      <w:proofErr w:type="spellStart"/>
      <w:r w:rsidR="00CA3D49" w:rsidRPr="00990245">
        <w:rPr>
          <w:szCs w:val="19"/>
          <w:lang w:val="fr-FR"/>
        </w:rPr>
        <w:t>télévirement</w:t>
      </w:r>
      <w:proofErr w:type="spellEnd"/>
      <w:r w:rsidR="00CA3D49" w:rsidRPr="00990245">
        <w:rPr>
          <w:szCs w:val="19"/>
          <w:lang w:val="fr-FR"/>
        </w:rPr>
        <w:t xml:space="preserve"> visé au paragraphe</w:t>
      </w:r>
      <w:r w:rsidR="00601B6E">
        <w:rPr>
          <w:szCs w:val="19"/>
          <w:lang w:val="fr-FR"/>
        </w:rPr>
        <w:t xml:space="preserve"> </w:t>
      </w:r>
      <w:r w:rsidR="00CA3D49" w:rsidRPr="00990245">
        <w:rPr>
          <w:szCs w:val="19"/>
          <w:lang w:val="fr-FR"/>
        </w:rPr>
        <w:t>(2).</w:t>
      </w:r>
      <w:r w:rsidR="00CA3D49"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(2) </w:t>
      </w:r>
      <w:r w:rsidR="00CA3D49" w:rsidRPr="00990245">
        <w:rPr>
          <w:szCs w:val="19"/>
          <w:lang w:val="fr-FR"/>
        </w:rPr>
        <w:t>Sous réserve du paragraphe</w:t>
      </w:r>
      <w:r w:rsidR="00601B6E">
        <w:rPr>
          <w:szCs w:val="19"/>
          <w:lang w:val="fr-FR"/>
        </w:rPr>
        <w:t xml:space="preserve"> </w:t>
      </w:r>
      <w:r w:rsidR="00CA3D49" w:rsidRPr="00990245">
        <w:rPr>
          <w:szCs w:val="19"/>
          <w:lang w:val="fr-FR"/>
        </w:rPr>
        <w:t xml:space="preserve">(3), les </w:t>
      </w:r>
      <w:proofErr w:type="spellStart"/>
      <w:r w:rsidR="00CA3D49" w:rsidRPr="00990245">
        <w:rPr>
          <w:szCs w:val="19"/>
          <w:lang w:val="fr-FR"/>
        </w:rPr>
        <w:t>télévirements</w:t>
      </w:r>
      <w:proofErr w:type="spellEnd"/>
      <w:r w:rsidR="00CA3D49" w:rsidRPr="00990245">
        <w:rPr>
          <w:szCs w:val="19"/>
          <w:lang w:val="fr-FR"/>
        </w:rPr>
        <w:t xml:space="preserve"> visés par l</w:t>
      </w:r>
      <w:r w:rsidR="00CA3D49">
        <w:rPr>
          <w:szCs w:val="19"/>
          <w:lang w:val="fr-FR"/>
        </w:rPr>
        <w:t>’</w:t>
      </w:r>
      <w:r w:rsidR="00CA3D49" w:rsidRPr="00990245">
        <w:rPr>
          <w:szCs w:val="19"/>
          <w:lang w:val="fr-FR"/>
        </w:rPr>
        <w:t>article</w:t>
      </w:r>
      <w:r w:rsidR="00601B6E">
        <w:rPr>
          <w:szCs w:val="19"/>
          <w:lang w:val="fr-FR"/>
        </w:rPr>
        <w:t xml:space="preserve"> </w:t>
      </w:r>
      <w:r w:rsidR="00CA3D49" w:rsidRPr="00990245">
        <w:rPr>
          <w:szCs w:val="19"/>
          <w:lang w:val="fr-FR"/>
        </w:rPr>
        <w:t>9.5 de la Loi s</w:t>
      </w:r>
      <w:r w:rsidR="00CA3D49">
        <w:rPr>
          <w:szCs w:val="19"/>
          <w:lang w:val="fr-FR"/>
        </w:rPr>
        <w:t>’</w:t>
      </w:r>
      <w:r w:rsidR="00CA3D49" w:rsidRPr="00990245">
        <w:rPr>
          <w:szCs w:val="19"/>
          <w:lang w:val="fr-FR"/>
        </w:rPr>
        <w:t>entendent au sens du paragraphe</w:t>
      </w:r>
      <w:r w:rsidR="00601B6E">
        <w:rPr>
          <w:szCs w:val="19"/>
          <w:lang w:val="fr-FR"/>
        </w:rPr>
        <w:t xml:space="preserve"> </w:t>
      </w:r>
      <w:r w:rsidR="00CA3D49" w:rsidRPr="00990245">
        <w:rPr>
          <w:szCs w:val="19"/>
          <w:lang w:val="fr-FR"/>
        </w:rPr>
        <w:t>1(2), sauf qu</w:t>
      </w:r>
      <w:r w:rsidR="00CA3D49">
        <w:rPr>
          <w:szCs w:val="19"/>
          <w:lang w:val="fr-FR"/>
        </w:rPr>
        <w:t>’</w:t>
      </w:r>
      <w:r w:rsidR="00CA3D49" w:rsidRPr="00990245">
        <w:rPr>
          <w:szCs w:val="19"/>
          <w:lang w:val="fr-FR"/>
        </w:rPr>
        <w:t xml:space="preserve">ils comprennent également les </w:t>
      </w:r>
      <w:proofErr w:type="spellStart"/>
      <w:r w:rsidR="00CA3D49" w:rsidRPr="00990245">
        <w:rPr>
          <w:szCs w:val="19"/>
          <w:lang w:val="fr-FR"/>
        </w:rPr>
        <w:t>télévirements</w:t>
      </w:r>
      <w:proofErr w:type="spellEnd"/>
      <w:r w:rsidR="00CA3D49" w:rsidRPr="00990245">
        <w:rPr>
          <w:szCs w:val="19"/>
          <w:lang w:val="fr-FR"/>
        </w:rPr>
        <w:t xml:space="preserve"> effectués à l</w:t>
      </w:r>
      <w:r w:rsidR="00CA3D49">
        <w:rPr>
          <w:szCs w:val="19"/>
          <w:lang w:val="fr-FR"/>
        </w:rPr>
        <w:t>’</w:t>
      </w:r>
      <w:r w:rsidR="00CA3D49" w:rsidRPr="00990245">
        <w:rPr>
          <w:szCs w:val="19"/>
          <w:lang w:val="fr-FR"/>
        </w:rPr>
        <w:t>intérieur du Canada qui sont des messages SWIFT MT 103</w:t>
      </w:r>
      <w:r w:rsidR="00CA3D49"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(3) </w:t>
      </w:r>
      <w:r w:rsidR="00CA3D49" w:rsidRPr="00990245">
        <w:rPr>
          <w:szCs w:val="19"/>
          <w:lang w:val="fr-FR"/>
        </w:rPr>
        <w:t>Il est entendu que le paragraphe</w:t>
      </w:r>
      <w:r w:rsidR="00601B6E">
        <w:rPr>
          <w:szCs w:val="19"/>
          <w:lang w:val="fr-FR"/>
        </w:rPr>
        <w:t xml:space="preserve"> </w:t>
      </w:r>
      <w:r w:rsidR="00CA3D49" w:rsidRPr="00990245">
        <w:rPr>
          <w:szCs w:val="19"/>
          <w:lang w:val="fr-FR"/>
        </w:rPr>
        <w:t>(2) ne s</w:t>
      </w:r>
      <w:r w:rsidR="00CA3D49">
        <w:rPr>
          <w:szCs w:val="19"/>
          <w:lang w:val="fr-FR"/>
        </w:rPr>
        <w:t>’</w:t>
      </w:r>
      <w:r w:rsidR="00CA3D49" w:rsidRPr="00990245">
        <w:rPr>
          <w:szCs w:val="19"/>
          <w:lang w:val="fr-FR"/>
        </w:rPr>
        <w:t>applique pas</w:t>
      </w:r>
      <w:r w:rsidR="00601B6E">
        <w:rPr>
          <w:szCs w:val="19"/>
          <w:lang w:val="fr-FR"/>
        </w:rPr>
        <w:t> :</w:t>
      </w:r>
      <w:r w:rsidR="00CA3D49"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a</w:t>
      </w:r>
      <w:r w:rsidRPr="00990245">
        <w:rPr>
          <w:lang w:val="fr-CA"/>
        </w:rPr>
        <w:t xml:space="preserve">) </w:t>
      </w:r>
      <w:r w:rsidRPr="000F5CF8">
        <w:rPr>
          <w:lang w:val="fr-CA"/>
        </w:rPr>
        <w:t>si</w:t>
      </w:r>
      <w:r w:rsidRPr="00990245">
        <w:rPr>
          <w:szCs w:val="19"/>
          <w:lang w:val="fr-FR"/>
        </w:rPr>
        <w:t xml:space="preserve"> le destinataire conclu un accord avec le fournisseur de services de paiement permettant le paiement par ce moyen des biens et services fournis, au </w:t>
      </w:r>
      <w:proofErr w:type="spellStart"/>
      <w:r w:rsidRPr="00990245">
        <w:rPr>
          <w:szCs w:val="19"/>
          <w:lang w:val="fr-FR"/>
        </w:rPr>
        <w:t>télévirement</w:t>
      </w:r>
      <w:proofErr w:type="spellEnd"/>
      <w:r w:rsidRPr="00990245">
        <w:rPr>
          <w:szCs w:val="19"/>
          <w:lang w:val="fr-FR"/>
        </w:rPr>
        <w:t xml:space="preserve"> effectué au moyen d</w:t>
      </w:r>
      <w:r>
        <w:rPr>
          <w:szCs w:val="19"/>
          <w:lang w:val="fr-FR"/>
        </w:rPr>
        <w:t>’</w:t>
      </w:r>
      <w:r w:rsidRPr="00990245">
        <w:rPr>
          <w:szCs w:val="19"/>
          <w:lang w:val="fr-FR"/>
        </w:rPr>
        <w:t>une carte de crédit ou de débit;</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b</w:t>
      </w:r>
      <w:r w:rsidRPr="00990245">
        <w:rPr>
          <w:lang w:val="fr-CA"/>
        </w:rPr>
        <w:t xml:space="preserve">) </w:t>
      </w:r>
      <w:r w:rsidRPr="000F5CF8">
        <w:rPr>
          <w:lang w:val="fr-CA"/>
        </w:rPr>
        <w:t>au</w:t>
      </w:r>
      <w:r w:rsidRPr="00990245">
        <w:rPr>
          <w:szCs w:val="19"/>
          <w:lang w:val="fr-FR"/>
        </w:rPr>
        <w:t xml:space="preserve"> </w:t>
      </w:r>
      <w:proofErr w:type="spellStart"/>
      <w:r w:rsidRPr="00990245">
        <w:rPr>
          <w:szCs w:val="19"/>
          <w:lang w:val="fr-FR"/>
        </w:rPr>
        <w:t>télévirement</w:t>
      </w:r>
      <w:proofErr w:type="spellEnd"/>
      <w:r w:rsidRPr="00990245">
        <w:rPr>
          <w:szCs w:val="19"/>
          <w:lang w:val="fr-FR"/>
        </w:rPr>
        <w:t xml:space="preserve"> où le destinataire retire de l</w:t>
      </w:r>
      <w:r>
        <w:rPr>
          <w:szCs w:val="19"/>
          <w:lang w:val="fr-FR"/>
        </w:rPr>
        <w:t>’</w:t>
      </w:r>
      <w:r w:rsidRPr="00990245">
        <w:rPr>
          <w:szCs w:val="19"/>
          <w:lang w:val="fr-FR"/>
        </w:rPr>
        <w:t>argent de son compte</w:t>
      </w:r>
      <w:r w:rsidRPr="00990245">
        <w:rPr>
          <w:lang w:val="fr-CA"/>
        </w:rPr>
        <w:t>;</w:t>
      </w:r>
    </w:p>
    <w:p w:rsidR="00CA3D49" w:rsidRPr="00990245" w:rsidRDefault="00CA3D49" w:rsidP="000F5CF8">
      <w:pPr>
        <w:pStyle w:val="Citation-AltC"/>
        <w:spacing w:before="240" w:after="240"/>
        <w:ind w:left="900"/>
        <w:contextualSpacing w:val="0"/>
        <w:rPr>
          <w:lang w:val="fr-CA"/>
        </w:rPr>
      </w:pPr>
      <w:r w:rsidRPr="00990245">
        <w:rPr>
          <w:i/>
          <w:lang w:val="fr-CA"/>
        </w:rPr>
        <w:t>c</w:t>
      </w:r>
      <w:r w:rsidRPr="00990245">
        <w:rPr>
          <w:lang w:val="fr-CA"/>
        </w:rPr>
        <w:t xml:space="preserve">) </w:t>
      </w:r>
      <w:r w:rsidRPr="00990245">
        <w:rPr>
          <w:szCs w:val="19"/>
          <w:lang w:val="fr-FR"/>
        </w:rPr>
        <w:t xml:space="preserve">au </w:t>
      </w:r>
      <w:proofErr w:type="spellStart"/>
      <w:r w:rsidRPr="000F5CF8">
        <w:rPr>
          <w:lang w:val="fr-CA"/>
        </w:rPr>
        <w:t>télévirement</w:t>
      </w:r>
      <w:proofErr w:type="spellEnd"/>
      <w:r w:rsidRPr="00990245">
        <w:rPr>
          <w:szCs w:val="19"/>
          <w:lang w:val="fr-FR"/>
        </w:rPr>
        <w:t xml:space="preserve"> effectué au moyen d</w:t>
      </w:r>
      <w:r>
        <w:rPr>
          <w:szCs w:val="19"/>
          <w:lang w:val="fr-FR"/>
        </w:rPr>
        <w:t>’</w:t>
      </w:r>
      <w:r w:rsidRPr="00990245">
        <w:rPr>
          <w:szCs w:val="19"/>
          <w:lang w:val="fr-FR"/>
        </w:rPr>
        <w:t>un dépôt direct ou d</w:t>
      </w:r>
      <w:r>
        <w:rPr>
          <w:szCs w:val="19"/>
          <w:lang w:val="fr-FR"/>
        </w:rPr>
        <w:t>’</w:t>
      </w:r>
      <w:r w:rsidRPr="00990245">
        <w:rPr>
          <w:szCs w:val="19"/>
          <w:lang w:val="fr-FR"/>
        </w:rPr>
        <w:t>un débit pré</w:t>
      </w:r>
      <w:r w:rsidR="00601B6E">
        <w:rPr>
          <w:szCs w:val="19"/>
          <w:lang w:val="fr-FR"/>
        </w:rPr>
        <w:t>-</w:t>
      </w:r>
      <w:r w:rsidRPr="00990245">
        <w:rPr>
          <w:szCs w:val="19"/>
          <w:lang w:val="fr-FR"/>
        </w:rPr>
        <w:t>autorisé</w:t>
      </w:r>
      <w:r w:rsidRPr="00990245">
        <w:rPr>
          <w:lang w:val="fr-CA"/>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d</w:t>
      </w:r>
      <w:r w:rsidRPr="00990245">
        <w:rPr>
          <w:lang w:val="fr-CA"/>
        </w:rPr>
        <w:t xml:space="preserve">) </w:t>
      </w:r>
      <w:r w:rsidRPr="00990245">
        <w:rPr>
          <w:szCs w:val="19"/>
          <w:lang w:val="fr-FR"/>
        </w:rPr>
        <w:t xml:space="preserve">au </w:t>
      </w:r>
      <w:proofErr w:type="spellStart"/>
      <w:r w:rsidRPr="00990245">
        <w:rPr>
          <w:szCs w:val="19"/>
          <w:lang w:val="fr-FR"/>
        </w:rPr>
        <w:t>télévirement</w:t>
      </w:r>
      <w:proofErr w:type="spellEnd"/>
      <w:r w:rsidRPr="00990245">
        <w:rPr>
          <w:szCs w:val="19"/>
          <w:lang w:val="fr-FR"/>
        </w:rPr>
        <w:t xml:space="preserve"> effectué par imagerie et présentation de chèques</w:t>
      </w:r>
      <w:r w:rsidRPr="00990245">
        <w:rPr>
          <w:lang w:val="fr-CA"/>
        </w:rPr>
        <w:t>.</w:t>
      </w:r>
    </w:p>
    <w:p w:rsidR="00CA3D49" w:rsidRPr="00990245" w:rsidRDefault="000F5CF8" w:rsidP="000F5CF8">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67.</w:t>
      </w:r>
      <w:r w:rsidR="00CA3D49" w:rsidRPr="00990245">
        <w:rPr>
          <w:lang w:val="fr-CA"/>
        </w:rPr>
        <w:t xml:space="preserve"> </w:t>
      </w:r>
      <w:r w:rsidR="00CA3D49" w:rsidRPr="00990245">
        <w:rPr>
          <w:szCs w:val="19"/>
          <w:lang w:val="fr-FR"/>
        </w:rPr>
        <w:t>Toute personne ou entité qui est tenue de vérifier l</w:t>
      </w:r>
      <w:r w:rsidR="00CA3D49">
        <w:rPr>
          <w:szCs w:val="19"/>
          <w:lang w:val="fr-FR"/>
        </w:rPr>
        <w:t>’</w:t>
      </w:r>
      <w:r w:rsidR="00CA3D49" w:rsidRPr="00990245">
        <w:rPr>
          <w:szCs w:val="19"/>
          <w:lang w:val="fr-FR"/>
        </w:rPr>
        <w:t>identité d</w:t>
      </w:r>
      <w:r w:rsidR="00CA3D49">
        <w:rPr>
          <w:szCs w:val="19"/>
          <w:lang w:val="fr-FR"/>
        </w:rPr>
        <w:t>’</w:t>
      </w:r>
      <w:r w:rsidR="00CA3D49" w:rsidRPr="00990245">
        <w:rPr>
          <w:szCs w:val="19"/>
          <w:lang w:val="fr-FR"/>
        </w:rPr>
        <w:t>une personne en application du présent règlement relativement à un document que la personne ou l</w:t>
      </w:r>
      <w:r w:rsidR="00CA3D49">
        <w:rPr>
          <w:szCs w:val="19"/>
          <w:lang w:val="fr-FR"/>
        </w:rPr>
        <w:t>’</w:t>
      </w:r>
      <w:r w:rsidR="00CA3D49" w:rsidRPr="00990245">
        <w:rPr>
          <w:szCs w:val="19"/>
          <w:lang w:val="fr-FR"/>
        </w:rPr>
        <w:t>entité a constitué et qu</w:t>
      </w:r>
      <w:r w:rsidR="00CA3D49">
        <w:rPr>
          <w:szCs w:val="19"/>
          <w:lang w:val="fr-FR"/>
        </w:rPr>
        <w:t>’</w:t>
      </w:r>
      <w:r w:rsidR="00CA3D49" w:rsidRPr="00990245">
        <w:rPr>
          <w:szCs w:val="19"/>
          <w:lang w:val="fr-FR"/>
        </w:rPr>
        <w:t>elle est tenue de conserver en application du présent règlement, ou à une opération financière qu</w:t>
      </w:r>
      <w:r w:rsidR="00CA3D49">
        <w:rPr>
          <w:szCs w:val="19"/>
          <w:lang w:val="fr-FR"/>
        </w:rPr>
        <w:t>’</w:t>
      </w:r>
      <w:r w:rsidR="00CA3D49" w:rsidRPr="00990245">
        <w:rPr>
          <w:szCs w:val="19"/>
          <w:lang w:val="fr-FR"/>
        </w:rPr>
        <w:t>elle a effectuée et à l</w:t>
      </w:r>
      <w:r w:rsidR="00CA3D49">
        <w:rPr>
          <w:szCs w:val="19"/>
          <w:lang w:val="fr-FR"/>
        </w:rPr>
        <w:t>’</w:t>
      </w:r>
      <w:r w:rsidR="00CA3D49" w:rsidRPr="00990245">
        <w:rPr>
          <w:szCs w:val="19"/>
          <w:lang w:val="fr-FR"/>
        </w:rPr>
        <w:t>égard de laquelle elle doit tenir un document en application du présent règlement ou de l</w:t>
      </w:r>
      <w:r w:rsidR="00CA3D49">
        <w:rPr>
          <w:szCs w:val="19"/>
          <w:lang w:val="fr-FR"/>
        </w:rPr>
        <w:t>’</w:t>
      </w:r>
      <w:r w:rsidR="00CA3D49" w:rsidRPr="00990245">
        <w:rPr>
          <w:szCs w:val="19"/>
          <w:lang w:val="fr-FR"/>
        </w:rPr>
        <w:t>article</w:t>
      </w:r>
      <w:r w:rsidR="00601B6E">
        <w:rPr>
          <w:szCs w:val="19"/>
          <w:lang w:val="fr-FR"/>
        </w:rPr>
        <w:t xml:space="preserve"> </w:t>
      </w:r>
      <w:r w:rsidR="00CA3D49" w:rsidRPr="00990245">
        <w:rPr>
          <w:szCs w:val="19"/>
          <w:lang w:val="fr-FR"/>
        </w:rPr>
        <w:t xml:space="preserve">12.1 du </w:t>
      </w:r>
      <w:r w:rsidR="00CA3D49" w:rsidRPr="00990245">
        <w:rPr>
          <w:rFonts w:eastAsiaTheme="majorEastAsia"/>
          <w:i/>
          <w:iCs/>
          <w:szCs w:val="19"/>
          <w:lang w:val="fr-FR"/>
        </w:rPr>
        <w:t>Règlement sur la déclaration des opérations douteuses — recyclage des produits de la criminalité et financement des activités terroristes</w:t>
      </w:r>
      <w:r w:rsidR="00CA3D49" w:rsidRPr="00990245">
        <w:rPr>
          <w:szCs w:val="19"/>
          <w:lang w:val="fr-FR"/>
        </w:rPr>
        <w:t>, doit indiquer dans le document, ou joindre à celui</w:t>
      </w:r>
      <w:r w:rsidR="00601B6E">
        <w:rPr>
          <w:szCs w:val="19"/>
          <w:lang w:val="fr-FR"/>
        </w:rPr>
        <w:t>-</w:t>
      </w:r>
      <w:r w:rsidR="00CA3D49" w:rsidRPr="00990245">
        <w:rPr>
          <w:szCs w:val="19"/>
          <w:lang w:val="fr-FR"/>
        </w:rPr>
        <w:t>ci le nom de la personne ainsi que les renseignements suivants</w:t>
      </w:r>
      <w:r w:rsidR="00601B6E">
        <w:rPr>
          <w:szCs w:val="19"/>
          <w:lang w:val="fr-FR"/>
        </w:rPr>
        <w:t> :</w:t>
      </w:r>
      <w:r w:rsidR="00CA3D49"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a</w:t>
      </w:r>
      <w:r w:rsidRPr="00990245">
        <w:rPr>
          <w:lang w:val="fr-CA"/>
        </w:rPr>
        <w:t xml:space="preserve">) </w:t>
      </w:r>
      <w:r w:rsidRPr="00990245">
        <w:rPr>
          <w:szCs w:val="19"/>
          <w:lang w:val="fr-FR"/>
        </w:rPr>
        <w:t>si l</w:t>
      </w:r>
      <w:r>
        <w:rPr>
          <w:szCs w:val="19"/>
          <w:lang w:val="fr-FR"/>
        </w:rPr>
        <w:t>’</w:t>
      </w:r>
      <w:r w:rsidRPr="00990245">
        <w:rPr>
          <w:szCs w:val="19"/>
          <w:lang w:val="fr-FR"/>
        </w:rPr>
        <w:t>identité est vérifiée au moyen du certificat de naissance de la personne, de son permis de conduire, de sa carte d</w:t>
      </w:r>
      <w:r>
        <w:rPr>
          <w:szCs w:val="19"/>
          <w:lang w:val="fr-FR"/>
        </w:rPr>
        <w:t>’</w:t>
      </w:r>
      <w:r w:rsidRPr="00990245">
        <w:rPr>
          <w:szCs w:val="19"/>
          <w:lang w:val="fr-FR"/>
        </w:rPr>
        <w:t>assurance</w:t>
      </w:r>
      <w:r w:rsidR="00601B6E">
        <w:rPr>
          <w:szCs w:val="19"/>
          <w:lang w:val="fr-FR"/>
        </w:rPr>
        <w:t>-</w:t>
      </w:r>
      <w:r w:rsidRPr="00990245">
        <w:rPr>
          <w:szCs w:val="19"/>
          <w:lang w:val="fr-FR"/>
        </w:rPr>
        <w:t>maladie provinciale (si un tel usage n</w:t>
      </w:r>
      <w:r>
        <w:rPr>
          <w:szCs w:val="19"/>
          <w:lang w:val="fr-FR"/>
        </w:rPr>
        <w:t>’</w:t>
      </w:r>
      <w:r w:rsidRPr="00990245">
        <w:rPr>
          <w:szCs w:val="19"/>
          <w:lang w:val="fr-FR"/>
        </w:rPr>
        <w:t xml:space="preserve">est pas interdit aux termes de la loi provinciale </w:t>
      </w:r>
      <w:r w:rsidRPr="00990245">
        <w:rPr>
          <w:szCs w:val="19"/>
          <w:lang w:val="fr-FR"/>
        </w:rPr>
        <w:lastRenderedPageBreak/>
        <w:t>applicable), de son passeport ou d</w:t>
      </w:r>
      <w:r>
        <w:rPr>
          <w:szCs w:val="19"/>
          <w:lang w:val="fr-FR"/>
        </w:rPr>
        <w:t>’</w:t>
      </w:r>
      <w:r w:rsidRPr="00990245">
        <w:rPr>
          <w:szCs w:val="19"/>
          <w:lang w:val="fr-FR"/>
        </w:rPr>
        <w:t>un document semblable, les type et numéro de référence du document utilisé, de même que le lieu où il a été délivré;</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b</w:t>
      </w:r>
      <w:r w:rsidRPr="00990245">
        <w:rPr>
          <w:lang w:val="fr-CA"/>
        </w:rPr>
        <w:t xml:space="preserve">) </w:t>
      </w:r>
      <w:r w:rsidRPr="00990245">
        <w:rPr>
          <w:szCs w:val="19"/>
          <w:lang w:val="fr-FR"/>
        </w:rPr>
        <w:t>si l</w:t>
      </w:r>
      <w:r>
        <w:rPr>
          <w:szCs w:val="19"/>
          <w:lang w:val="fr-FR"/>
        </w:rPr>
        <w:t>’</w:t>
      </w:r>
      <w:r w:rsidRPr="00990245">
        <w:rPr>
          <w:szCs w:val="19"/>
          <w:lang w:val="fr-FR"/>
        </w:rPr>
        <w:t>identité est vérifiée par la confirmation qu</w:t>
      </w:r>
      <w:r>
        <w:rPr>
          <w:szCs w:val="19"/>
          <w:lang w:val="fr-FR"/>
        </w:rPr>
        <w:t>’</w:t>
      </w:r>
      <w:r w:rsidRPr="00990245">
        <w:rPr>
          <w:szCs w:val="19"/>
          <w:lang w:val="fr-FR"/>
        </w:rPr>
        <w:t>un chèque tiré par la personne sur un compte de dépôt auprès d</w:t>
      </w:r>
      <w:r>
        <w:rPr>
          <w:szCs w:val="19"/>
          <w:lang w:val="fr-FR"/>
        </w:rPr>
        <w:t>’</w:t>
      </w:r>
      <w:r w:rsidRPr="00990245">
        <w:rPr>
          <w:szCs w:val="19"/>
          <w:lang w:val="fr-FR"/>
        </w:rPr>
        <w:t>une entité financière a été compensé, le nom de l</w:t>
      </w:r>
      <w:r>
        <w:rPr>
          <w:szCs w:val="19"/>
          <w:lang w:val="fr-FR"/>
        </w:rPr>
        <w:t>’</w:t>
      </w:r>
      <w:r w:rsidRPr="00990245">
        <w:rPr>
          <w:szCs w:val="19"/>
          <w:lang w:val="fr-FR"/>
        </w:rPr>
        <w:t>entité et le numéro du compte duquel le chèque a été tiré;</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c</w:t>
      </w:r>
      <w:r w:rsidRPr="00990245">
        <w:rPr>
          <w:lang w:val="fr-CA"/>
        </w:rPr>
        <w:t xml:space="preserve">) </w:t>
      </w:r>
      <w:r w:rsidRPr="00990245">
        <w:rPr>
          <w:szCs w:val="19"/>
          <w:lang w:val="fr-FR"/>
        </w:rPr>
        <w:t>si l</w:t>
      </w:r>
      <w:r>
        <w:rPr>
          <w:szCs w:val="19"/>
          <w:lang w:val="fr-FR"/>
        </w:rPr>
        <w:t>’</w:t>
      </w:r>
      <w:r w:rsidRPr="00990245">
        <w:rPr>
          <w:szCs w:val="19"/>
          <w:lang w:val="fr-FR"/>
        </w:rPr>
        <w:t>identité est vérifiée par la confirmation que la personne est titulaire d</w:t>
      </w:r>
      <w:r>
        <w:rPr>
          <w:szCs w:val="19"/>
          <w:lang w:val="fr-FR"/>
        </w:rPr>
        <w:t>’</w:t>
      </w:r>
      <w:r w:rsidRPr="00990245">
        <w:rPr>
          <w:szCs w:val="19"/>
          <w:lang w:val="fr-FR"/>
        </w:rPr>
        <w:t>un compte de dépôt ouvert à son nom auprès d</w:t>
      </w:r>
      <w:r>
        <w:rPr>
          <w:szCs w:val="19"/>
          <w:lang w:val="fr-FR"/>
        </w:rPr>
        <w:t>’</w:t>
      </w:r>
      <w:r w:rsidRPr="00990245">
        <w:rPr>
          <w:szCs w:val="19"/>
          <w:lang w:val="fr-FR"/>
        </w:rPr>
        <w:t>une entité financière, le nom de l</w:t>
      </w:r>
      <w:r>
        <w:rPr>
          <w:szCs w:val="19"/>
          <w:lang w:val="fr-FR"/>
        </w:rPr>
        <w:t>’</w:t>
      </w:r>
      <w:r w:rsidRPr="00990245">
        <w:rPr>
          <w:szCs w:val="19"/>
          <w:lang w:val="fr-FR"/>
        </w:rPr>
        <w:t>entité où le compte est ouvert, le numéro du compte et la date de la confirmation;</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d</w:t>
      </w:r>
      <w:r w:rsidRPr="00990245">
        <w:rPr>
          <w:lang w:val="fr-CA"/>
        </w:rPr>
        <w:t xml:space="preserve">) </w:t>
      </w:r>
      <w:r w:rsidRPr="00990245">
        <w:rPr>
          <w:szCs w:val="19"/>
          <w:lang w:val="fr-FR"/>
        </w:rPr>
        <w:t>si l</w:t>
      </w:r>
      <w:r>
        <w:rPr>
          <w:szCs w:val="19"/>
          <w:lang w:val="fr-FR"/>
        </w:rPr>
        <w:t>’</w:t>
      </w:r>
      <w:r w:rsidRPr="00990245">
        <w:rPr>
          <w:szCs w:val="19"/>
          <w:lang w:val="fr-FR"/>
        </w:rPr>
        <w:t>identité est vérifiée par la confirmation préalable de l</w:t>
      </w:r>
      <w:r>
        <w:rPr>
          <w:szCs w:val="19"/>
          <w:lang w:val="fr-FR"/>
        </w:rPr>
        <w:t>’</w:t>
      </w:r>
      <w:r w:rsidRPr="00990245">
        <w:rPr>
          <w:szCs w:val="19"/>
          <w:lang w:val="fr-FR"/>
        </w:rPr>
        <w:t>identité par une entité du même groupe que l</w:t>
      </w:r>
      <w:r>
        <w:rPr>
          <w:szCs w:val="19"/>
          <w:lang w:val="fr-FR"/>
        </w:rPr>
        <w:t>’</w:t>
      </w:r>
      <w:r w:rsidRPr="00990245">
        <w:rPr>
          <w:szCs w:val="19"/>
          <w:lang w:val="fr-FR"/>
        </w:rPr>
        <w:t>entité qui effectue la vérification ou par une entité qui est membre de la même association — soit une coopérative de crédit centrale au sens de l</w:t>
      </w:r>
      <w:r>
        <w:rPr>
          <w:szCs w:val="19"/>
          <w:lang w:val="fr-FR"/>
        </w:rPr>
        <w:t>’</w:t>
      </w:r>
      <w:r w:rsidRPr="00990245">
        <w:rPr>
          <w:szCs w:val="19"/>
          <w:lang w:val="fr-FR"/>
        </w:rPr>
        <w:t>article</w:t>
      </w:r>
      <w:r w:rsidR="00601B6E">
        <w:rPr>
          <w:szCs w:val="19"/>
          <w:lang w:val="fr-FR"/>
        </w:rPr>
        <w:t xml:space="preserve"> </w:t>
      </w:r>
      <w:r w:rsidRPr="00990245">
        <w:rPr>
          <w:szCs w:val="19"/>
          <w:lang w:val="fr-FR"/>
        </w:rPr>
        <w:t xml:space="preserve">2 de la </w:t>
      </w:r>
      <w:r w:rsidRPr="00990245">
        <w:rPr>
          <w:rFonts w:eastAsiaTheme="majorEastAsia"/>
          <w:i/>
          <w:iCs/>
          <w:szCs w:val="19"/>
          <w:lang w:val="fr-FR"/>
        </w:rPr>
        <w:t>Loi sur les associations coopératives de crédit</w:t>
      </w:r>
      <w:r w:rsidRPr="00990245">
        <w:rPr>
          <w:szCs w:val="19"/>
          <w:lang w:val="fr-FR"/>
        </w:rPr>
        <w:t xml:space="preserve"> — que l</w:t>
      </w:r>
      <w:r>
        <w:rPr>
          <w:szCs w:val="19"/>
          <w:lang w:val="fr-FR"/>
        </w:rPr>
        <w:t>’</w:t>
      </w:r>
      <w:r w:rsidRPr="00990245">
        <w:rPr>
          <w:szCs w:val="19"/>
          <w:lang w:val="fr-FR"/>
        </w:rPr>
        <w:t>entité qui effectue la vérification, le nom de l</w:t>
      </w:r>
      <w:r>
        <w:rPr>
          <w:szCs w:val="19"/>
          <w:lang w:val="fr-FR"/>
        </w:rPr>
        <w:t>’</w:t>
      </w:r>
      <w:r w:rsidRPr="00990245">
        <w:rPr>
          <w:szCs w:val="19"/>
          <w:lang w:val="fr-FR"/>
        </w:rPr>
        <w:t>entité et les type et numéro de référence du document utilisé précédemment par l</w:t>
      </w:r>
      <w:r>
        <w:rPr>
          <w:szCs w:val="19"/>
          <w:lang w:val="fr-FR"/>
        </w:rPr>
        <w:t>’</w:t>
      </w:r>
      <w:r w:rsidRPr="00990245">
        <w:rPr>
          <w:szCs w:val="19"/>
          <w:lang w:val="fr-FR"/>
        </w:rPr>
        <w:t>entité pour vérifier l</w:t>
      </w:r>
      <w:r>
        <w:rPr>
          <w:szCs w:val="19"/>
          <w:lang w:val="fr-FR"/>
        </w:rPr>
        <w:t>’</w:t>
      </w:r>
      <w:r w:rsidRPr="00990245">
        <w:rPr>
          <w:szCs w:val="19"/>
          <w:lang w:val="fr-FR"/>
        </w:rPr>
        <w:t>identité de la personne;</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e</w:t>
      </w:r>
      <w:r w:rsidRPr="00990245">
        <w:rPr>
          <w:lang w:val="fr-CA"/>
        </w:rPr>
        <w:t xml:space="preserve">) </w:t>
      </w:r>
      <w:r w:rsidRPr="00990245">
        <w:rPr>
          <w:szCs w:val="19"/>
          <w:lang w:val="fr-FR"/>
        </w:rPr>
        <w:t>si l</w:t>
      </w:r>
      <w:r>
        <w:rPr>
          <w:szCs w:val="19"/>
          <w:lang w:val="fr-FR"/>
        </w:rPr>
        <w:t>’</w:t>
      </w:r>
      <w:r w:rsidRPr="00990245">
        <w:rPr>
          <w:szCs w:val="19"/>
          <w:lang w:val="fr-FR"/>
        </w:rPr>
        <w:t>identité est vérifiée au moyen d</w:t>
      </w:r>
      <w:r>
        <w:rPr>
          <w:szCs w:val="19"/>
          <w:lang w:val="fr-FR"/>
        </w:rPr>
        <w:t>’</w:t>
      </w:r>
      <w:r w:rsidRPr="00990245">
        <w:rPr>
          <w:szCs w:val="19"/>
          <w:lang w:val="fr-FR"/>
        </w:rPr>
        <w:t>un produit d</w:t>
      </w:r>
      <w:r>
        <w:rPr>
          <w:szCs w:val="19"/>
          <w:lang w:val="fr-FR"/>
        </w:rPr>
        <w:t>’</w:t>
      </w:r>
      <w:r w:rsidRPr="00990245">
        <w:rPr>
          <w:szCs w:val="19"/>
          <w:lang w:val="fr-FR"/>
        </w:rPr>
        <w:t>identification, le nom de celui</w:t>
      </w:r>
      <w:r w:rsidR="00601B6E">
        <w:rPr>
          <w:szCs w:val="19"/>
          <w:lang w:val="fr-FR"/>
        </w:rPr>
        <w:t>-</w:t>
      </w:r>
      <w:r w:rsidRPr="00990245">
        <w:rPr>
          <w:szCs w:val="19"/>
          <w:lang w:val="fr-FR"/>
        </w:rPr>
        <w:t>ci et de l</w:t>
      </w:r>
      <w:r>
        <w:rPr>
          <w:szCs w:val="19"/>
          <w:lang w:val="fr-FR"/>
        </w:rPr>
        <w:t>’</w:t>
      </w:r>
      <w:r w:rsidRPr="00990245">
        <w:rPr>
          <w:szCs w:val="19"/>
          <w:lang w:val="fr-FR"/>
        </w:rPr>
        <w:t>entité qui l</w:t>
      </w:r>
      <w:r>
        <w:rPr>
          <w:szCs w:val="19"/>
          <w:lang w:val="fr-FR"/>
        </w:rPr>
        <w:t>’</w:t>
      </w:r>
      <w:r w:rsidRPr="00990245">
        <w:rPr>
          <w:szCs w:val="19"/>
          <w:lang w:val="fr-FR"/>
        </w:rPr>
        <w:t>offre, le numéro de référence de la recherche et la date où le produit a été utilisé pour la vérification;</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f</w:t>
      </w:r>
      <w:r w:rsidRPr="00990245">
        <w:rPr>
          <w:lang w:val="fr-CA"/>
        </w:rPr>
        <w:t xml:space="preserve">) </w:t>
      </w:r>
      <w:r w:rsidRPr="00990245">
        <w:rPr>
          <w:szCs w:val="19"/>
          <w:lang w:val="fr-FR"/>
        </w:rPr>
        <w:t>si l</w:t>
      </w:r>
      <w:r>
        <w:rPr>
          <w:szCs w:val="19"/>
          <w:lang w:val="fr-FR"/>
        </w:rPr>
        <w:t>’</w:t>
      </w:r>
      <w:r w:rsidRPr="00990245">
        <w:rPr>
          <w:szCs w:val="19"/>
          <w:lang w:val="fr-FR"/>
        </w:rPr>
        <w:t>identité est vérifiée par la consultation du dossier de crédit de la personne tenu par une entité, le nom de l</w:t>
      </w:r>
      <w:r>
        <w:rPr>
          <w:szCs w:val="19"/>
          <w:lang w:val="fr-FR"/>
        </w:rPr>
        <w:t>’</w:t>
      </w:r>
      <w:r w:rsidRPr="00990245">
        <w:rPr>
          <w:szCs w:val="19"/>
          <w:lang w:val="fr-FR"/>
        </w:rPr>
        <w:t>entité et la date de la consultation</w:t>
      </w:r>
      <w:r w:rsidRPr="00990245">
        <w:rPr>
          <w:lang w:val="fr-CA"/>
        </w:rPr>
        <w:t>;</w:t>
      </w:r>
    </w:p>
    <w:p w:rsidR="00CA3D49" w:rsidRPr="00990245" w:rsidRDefault="00CA3D49" w:rsidP="000F5CF8">
      <w:pPr>
        <w:pStyle w:val="Citation-AltC"/>
        <w:spacing w:before="240" w:after="240"/>
        <w:ind w:left="900"/>
        <w:contextualSpacing w:val="0"/>
        <w:rPr>
          <w:lang w:val="fr-CA"/>
        </w:rPr>
      </w:pPr>
      <w:r w:rsidRPr="00990245">
        <w:rPr>
          <w:i/>
          <w:lang w:val="fr-CA"/>
        </w:rPr>
        <w:t>g</w:t>
      </w:r>
      <w:r w:rsidRPr="00990245">
        <w:rPr>
          <w:lang w:val="fr-CA"/>
        </w:rPr>
        <w:t xml:space="preserve">) </w:t>
      </w:r>
      <w:r w:rsidRPr="00990245">
        <w:rPr>
          <w:szCs w:val="19"/>
          <w:lang w:val="fr-FR"/>
        </w:rPr>
        <w:t>si l</w:t>
      </w:r>
      <w:r>
        <w:rPr>
          <w:szCs w:val="19"/>
          <w:lang w:val="fr-FR"/>
        </w:rPr>
        <w:t>’</w:t>
      </w:r>
      <w:r w:rsidRPr="00990245">
        <w:rPr>
          <w:szCs w:val="19"/>
          <w:lang w:val="fr-FR"/>
        </w:rPr>
        <w:t>identité est vérifiée au moyen d</w:t>
      </w:r>
      <w:r>
        <w:rPr>
          <w:szCs w:val="19"/>
          <w:lang w:val="fr-FR"/>
        </w:rPr>
        <w:t>’</w:t>
      </w:r>
      <w:r w:rsidRPr="00990245">
        <w:rPr>
          <w:szCs w:val="19"/>
          <w:lang w:val="fr-FR"/>
        </w:rPr>
        <w:t>une attestation signée par un commissaire à l</w:t>
      </w:r>
      <w:r>
        <w:rPr>
          <w:szCs w:val="19"/>
          <w:lang w:val="fr-FR"/>
        </w:rPr>
        <w:t>’</w:t>
      </w:r>
      <w:r w:rsidRPr="00990245">
        <w:rPr>
          <w:szCs w:val="19"/>
          <w:lang w:val="fr-FR"/>
        </w:rPr>
        <w:t>assermentation au Canada ou par un répondant au Canada, l</w:t>
      </w:r>
      <w:r>
        <w:rPr>
          <w:szCs w:val="19"/>
          <w:lang w:val="fr-FR"/>
        </w:rPr>
        <w:t>’</w:t>
      </w:r>
      <w:r w:rsidRPr="00990245">
        <w:rPr>
          <w:szCs w:val="19"/>
          <w:lang w:val="fr-FR"/>
        </w:rPr>
        <w:t>attestation;</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h</w:t>
      </w:r>
      <w:r w:rsidRPr="00990245">
        <w:rPr>
          <w:lang w:val="fr-CA"/>
        </w:rPr>
        <w:t xml:space="preserve">) </w:t>
      </w:r>
      <w:r w:rsidRPr="00990245">
        <w:rPr>
          <w:szCs w:val="19"/>
          <w:lang w:val="fr-FR"/>
        </w:rPr>
        <w:t>si l</w:t>
      </w:r>
      <w:r>
        <w:rPr>
          <w:szCs w:val="19"/>
          <w:lang w:val="fr-FR"/>
        </w:rPr>
        <w:t>’</w:t>
      </w:r>
      <w:r w:rsidRPr="00990245">
        <w:rPr>
          <w:szCs w:val="19"/>
          <w:lang w:val="fr-FR"/>
        </w:rPr>
        <w:t>identité est vérifiée par la consultation d</w:t>
      </w:r>
      <w:r>
        <w:rPr>
          <w:szCs w:val="19"/>
          <w:lang w:val="fr-FR"/>
        </w:rPr>
        <w:t>’</w:t>
      </w:r>
      <w:r w:rsidRPr="00990245">
        <w:rPr>
          <w:szCs w:val="19"/>
          <w:lang w:val="fr-FR"/>
        </w:rPr>
        <w:t>une source de données indépendante, le nom de celle</w:t>
      </w:r>
      <w:r w:rsidR="00601B6E">
        <w:rPr>
          <w:szCs w:val="19"/>
          <w:lang w:val="fr-FR"/>
        </w:rPr>
        <w:t>-</w:t>
      </w:r>
      <w:r w:rsidRPr="00990245">
        <w:rPr>
          <w:szCs w:val="19"/>
          <w:lang w:val="fr-FR"/>
        </w:rPr>
        <w:t>ci, la date à laquelle elle a été consultée et les renseignements obtenus;</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i</w:t>
      </w:r>
      <w:r w:rsidRPr="00990245">
        <w:rPr>
          <w:lang w:val="fr-CA"/>
        </w:rPr>
        <w:t xml:space="preserve">) </w:t>
      </w:r>
      <w:r w:rsidRPr="00990245">
        <w:rPr>
          <w:szCs w:val="19"/>
          <w:lang w:val="fr-FR"/>
        </w:rPr>
        <w:t>si l</w:t>
      </w:r>
      <w:r>
        <w:rPr>
          <w:szCs w:val="19"/>
          <w:lang w:val="fr-FR"/>
        </w:rPr>
        <w:t>’</w:t>
      </w:r>
      <w:r w:rsidRPr="00990245">
        <w:rPr>
          <w:szCs w:val="19"/>
          <w:lang w:val="fr-FR"/>
        </w:rPr>
        <w:t>identité est vérifiée au moyen d</w:t>
      </w:r>
      <w:r>
        <w:rPr>
          <w:szCs w:val="19"/>
          <w:lang w:val="fr-FR"/>
        </w:rPr>
        <w:t>’</w:t>
      </w:r>
      <w:r w:rsidRPr="00990245">
        <w:rPr>
          <w:szCs w:val="19"/>
          <w:lang w:val="fr-FR"/>
        </w:rPr>
        <w:t>une facture de services publics établie au nom de la personne, la facture ou une photocopie lisible ou image électronique de celle</w:t>
      </w:r>
      <w:r w:rsidR="00601B6E">
        <w:rPr>
          <w:szCs w:val="19"/>
          <w:lang w:val="fr-FR"/>
        </w:rPr>
        <w:t>-</w:t>
      </w:r>
      <w:r w:rsidRPr="00990245">
        <w:rPr>
          <w:szCs w:val="19"/>
          <w:lang w:val="fr-FR"/>
        </w:rPr>
        <w:t>ci;</w:t>
      </w:r>
    </w:p>
    <w:p w:rsidR="00CA3D49" w:rsidRPr="00990245" w:rsidRDefault="00CA3D49" w:rsidP="000F5CF8">
      <w:pPr>
        <w:pStyle w:val="Citation-AltC"/>
        <w:spacing w:before="240" w:after="240"/>
        <w:ind w:left="900"/>
        <w:contextualSpacing w:val="0"/>
        <w:rPr>
          <w:lang w:val="fr-CA"/>
        </w:rPr>
      </w:pPr>
      <w:r w:rsidRPr="00990245">
        <w:rPr>
          <w:i/>
          <w:lang w:val="fr-CA"/>
        </w:rPr>
        <w:t>j</w:t>
      </w:r>
      <w:r w:rsidRPr="00990245">
        <w:rPr>
          <w:lang w:val="fr-CA"/>
        </w:rPr>
        <w:t xml:space="preserve">) </w:t>
      </w:r>
      <w:r w:rsidRPr="00990245">
        <w:rPr>
          <w:szCs w:val="19"/>
          <w:lang w:val="fr-FR"/>
        </w:rPr>
        <w:t>si l</w:t>
      </w:r>
      <w:r>
        <w:rPr>
          <w:szCs w:val="19"/>
          <w:lang w:val="fr-FR"/>
        </w:rPr>
        <w:t>’</w:t>
      </w:r>
      <w:r w:rsidRPr="00990245">
        <w:rPr>
          <w:szCs w:val="19"/>
          <w:lang w:val="fr-FR"/>
        </w:rPr>
        <w:t>identité est vérifiée au moyen d</w:t>
      </w:r>
      <w:r>
        <w:rPr>
          <w:szCs w:val="19"/>
          <w:lang w:val="fr-FR"/>
        </w:rPr>
        <w:t>’</w:t>
      </w:r>
      <w:r w:rsidRPr="00990245">
        <w:rPr>
          <w:szCs w:val="19"/>
          <w:lang w:val="fr-FR"/>
        </w:rPr>
        <w:t>une photocopie ou image électronique d</w:t>
      </w:r>
      <w:r>
        <w:rPr>
          <w:szCs w:val="19"/>
          <w:lang w:val="fr-FR"/>
        </w:rPr>
        <w:t>’</w:t>
      </w:r>
      <w:r w:rsidRPr="00990245">
        <w:rPr>
          <w:szCs w:val="19"/>
          <w:lang w:val="fr-FR"/>
        </w:rPr>
        <w:t xml:space="preserve">un document fourni par la personne, cette photocopie ou image électronique; </w:t>
      </w:r>
    </w:p>
    <w:p w:rsidR="00CA3D49" w:rsidRPr="00990245" w:rsidRDefault="00CA3D49" w:rsidP="000F5CF8">
      <w:pPr>
        <w:pStyle w:val="Citation-AltC"/>
        <w:spacing w:before="240" w:after="240"/>
        <w:ind w:left="900"/>
        <w:contextualSpacing w:val="0"/>
        <w:rPr>
          <w:lang w:val="fr-CA"/>
        </w:rPr>
      </w:pPr>
      <w:r w:rsidRPr="00990245">
        <w:rPr>
          <w:i/>
          <w:lang w:val="fr-CA"/>
        </w:rPr>
        <w:t>k</w:t>
      </w:r>
      <w:r w:rsidRPr="00990245">
        <w:rPr>
          <w:lang w:val="fr-CA"/>
        </w:rPr>
        <w:t xml:space="preserve">) </w:t>
      </w:r>
      <w:r w:rsidRPr="00990245">
        <w:rPr>
          <w:szCs w:val="19"/>
          <w:lang w:val="fr-FR"/>
        </w:rPr>
        <w:t>si l</w:t>
      </w:r>
      <w:r>
        <w:rPr>
          <w:szCs w:val="19"/>
          <w:lang w:val="fr-FR"/>
        </w:rPr>
        <w:t>’</w:t>
      </w:r>
      <w:r w:rsidRPr="00990245">
        <w:rPr>
          <w:szCs w:val="19"/>
          <w:lang w:val="fr-FR"/>
        </w:rPr>
        <w:t>identité est vérifiée au moyen d</w:t>
      </w:r>
      <w:r>
        <w:rPr>
          <w:szCs w:val="19"/>
          <w:lang w:val="fr-FR"/>
        </w:rPr>
        <w:t>’</w:t>
      </w:r>
      <w:r w:rsidRPr="00990245">
        <w:rPr>
          <w:szCs w:val="19"/>
          <w:lang w:val="fr-FR"/>
        </w:rPr>
        <w:t>un relevé de compte de dépôt établi au nom de la personne par une entité financière, la photocopie lisible du relevé.</w:t>
      </w:r>
    </w:p>
    <w:p w:rsidR="00CA3D49" w:rsidRPr="00990245" w:rsidRDefault="000F5CF8" w:rsidP="000F5CF8">
      <w:pPr>
        <w:pStyle w:val="Citation-AltC"/>
        <w:tabs>
          <w:tab w:val="left" w:pos="900"/>
          <w:tab w:val="left" w:pos="1440"/>
        </w:tabs>
        <w:spacing w:before="240" w:after="240"/>
        <w:ind w:left="360"/>
        <w:contextualSpacing w:val="0"/>
        <w:rPr>
          <w:lang w:val="fr-CA"/>
        </w:rPr>
      </w:pPr>
      <w:r>
        <w:rPr>
          <w:b/>
          <w:lang w:val="fr-CA"/>
        </w:rPr>
        <w:lastRenderedPageBreak/>
        <w:tab/>
      </w:r>
      <w:r w:rsidR="00CA3D49" w:rsidRPr="00990245">
        <w:rPr>
          <w:b/>
          <w:lang w:val="fr-CA"/>
        </w:rPr>
        <w:t>68.</w:t>
      </w:r>
      <w:r w:rsidR="00CA3D49" w:rsidRPr="00990245">
        <w:rPr>
          <w:lang w:val="fr-CA"/>
        </w:rPr>
        <w:t xml:space="preserve"> </w:t>
      </w:r>
      <w:r w:rsidR="00CA3D49" w:rsidRPr="00990245">
        <w:rPr>
          <w:szCs w:val="19"/>
          <w:lang w:val="fr-FR"/>
        </w:rPr>
        <w:t>Il peut être conservé, au lieu des documents exigés aux termes du présent règlement</w:t>
      </w:r>
      <w:r w:rsidR="00601B6E">
        <w:rPr>
          <w:szCs w:val="19"/>
          <w:lang w:val="fr-FR"/>
        </w:rPr>
        <w:t> :</w:t>
      </w:r>
      <w:r w:rsidR="00CA3D49"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a</w:t>
      </w:r>
      <w:r w:rsidRPr="00990245">
        <w:rPr>
          <w:lang w:val="fr-CA"/>
        </w:rPr>
        <w:t xml:space="preserve">) </w:t>
      </w:r>
      <w:r w:rsidRPr="00990245">
        <w:rPr>
          <w:szCs w:val="19"/>
          <w:lang w:val="fr-FR"/>
        </w:rPr>
        <w:t>soit une copie de ceux</w:t>
      </w:r>
      <w:r w:rsidR="00601B6E">
        <w:rPr>
          <w:szCs w:val="19"/>
          <w:lang w:val="fr-FR"/>
        </w:rPr>
        <w:t>-</w:t>
      </w:r>
      <w:r w:rsidRPr="00990245">
        <w:rPr>
          <w:szCs w:val="19"/>
          <w:lang w:val="fr-FR"/>
        </w:rPr>
        <w:t>ci qui est lisible par machine, pourvu qu</w:t>
      </w:r>
      <w:r>
        <w:rPr>
          <w:szCs w:val="19"/>
          <w:lang w:val="fr-FR"/>
        </w:rPr>
        <w:t>’</w:t>
      </w:r>
      <w:r w:rsidRPr="00990245">
        <w:rPr>
          <w:szCs w:val="19"/>
          <w:lang w:val="fr-FR"/>
        </w:rPr>
        <w:t>un imprimé puisse facilement être produit;</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b</w:t>
      </w:r>
      <w:r w:rsidRPr="00990245">
        <w:rPr>
          <w:lang w:val="fr-CA"/>
        </w:rPr>
        <w:t xml:space="preserve">) </w:t>
      </w:r>
      <w:r w:rsidRPr="00990245">
        <w:rPr>
          <w:szCs w:val="19"/>
          <w:lang w:val="fr-FR"/>
        </w:rPr>
        <w:t>soit une copie électronique de ceux</w:t>
      </w:r>
      <w:r w:rsidR="00601B6E">
        <w:rPr>
          <w:szCs w:val="19"/>
          <w:lang w:val="fr-FR"/>
        </w:rPr>
        <w:t>-</w:t>
      </w:r>
      <w:r w:rsidRPr="00990245">
        <w:rPr>
          <w:szCs w:val="19"/>
          <w:lang w:val="fr-FR"/>
        </w:rPr>
        <w:t>ci, pourvu qu</w:t>
      </w:r>
      <w:r>
        <w:rPr>
          <w:szCs w:val="19"/>
          <w:lang w:val="fr-FR"/>
        </w:rPr>
        <w:t>’</w:t>
      </w:r>
      <w:r w:rsidRPr="00990245">
        <w:rPr>
          <w:szCs w:val="19"/>
          <w:lang w:val="fr-FR"/>
        </w:rPr>
        <w:t>un imprimé puisse facilement être produit et que la signature électronique de la personne qui est tenue de signer le document aux termes du présent règlement soit également conservée.</w:t>
      </w:r>
      <w:r w:rsidRPr="00990245">
        <w:rPr>
          <w:sz w:val="19"/>
          <w:szCs w:val="19"/>
          <w:lang w:val="fr-FR"/>
        </w:rPr>
        <w:t xml:space="preserve"> </w:t>
      </w:r>
    </w:p>
    <w:p w:rsidR="00CA3D49" w:rsidRPr="00990245" w:rsidRDefault="000F5CF8" w:rsidP="000F5CF8">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69.</w:t>
      </w:r>
      <w:r w:rsidR="00CA3D49" w:rsidRPr="00990245">
        <w:rPr>
          <w:lang w:val="fr-CA"/>
        </w:rPr>
        <w:t xml:space="preserve"> (1) </w:t>
      </w:r>
      <w:r w:rsidR="00CA3D49" w:rsidRPr="00990245">
        <w:rPr>
          <w:szCs w:val="19"/>
          <w:lang w:val="fr-FR"/>
        </w:rPr>
        <w:t>Sous réserve du paragraphe</w:t>
      </w:r>
      <w:r w:rsidR="00601B6E">
        <w:rPr>
          <w:szCs w:val="19"/>
          <w:lang w:val="fr-FR"/>
        </w:rPr>
        <w:t xml:space="preserve"> </w:t>
      </w:r>
      <w:r w:rsidR="00CA3D49" w:rsidRPr="00990245">
        <w:rPr>
          <w:szCs w:val="19"/>
          <w:lang w:val="fr-FR"/>
        </w:rPr>
        <w:t>(2), la personne ou l</w:t>
      </w:r>
      <w:r w:rsidR="00CA3D49">
        <w:rPr>
          <w:szCs w:val="19"/>
          <w:lang w:val="fr-FR"/>
        </w:rPr>
        <w:t>’</w:t>
      </w:r>
      <w:r w:rsidR="00CA3D49" w:rsidRPr="00990245">
        <w:rPr>
          <w:szCs w:val="19"/>
          <w:lang w:val="fr-FR"/>
        </w:rPr>
        <w:t>entité à qui incombe l</w:t>
      </w:r>
      <w:r w:rsidR="00CA3D49">
        <w:rPr>
          <w:szCs w:val="19"/>
          <w:lang w:val="fr-FR"/>
        </w:rPr>
        <w:t>’</w:t>
      </w:r>
      <w:r w:rsidR="00CA3D49" w:rsidRPr="00990245">
        <w:rPr>
          <w:szCs w:val="19"/>
          <w:lang w:val="fr-FR"/>
        </w:rPr>
        <w:t>obligation d</w:t>
      </w:r>
      <w:r w:rsidR="00CA3D49">
        <w:rPr>
          <w:szCs w:val="19"/>
          <w:lang w:val="fr-FR"/>
        </w:rPr>
        <w:t>’</w:t>
      </w:r>
      <w:r w:rsidR="00CA3D49" w:rsidRPr="00990245">
        <w:rPr>
          <w:szCs w:val="19"/>
          <w:lang w:val="fr-FR"/>
        </w:rPr>
        <w:t>obtenir, de tenir ou de constituer des documents aux termes du présent règlement doit les conserver pendant au moins cinq ans suivant</w:t>
      </w:r>
      <w:r w:rsidR="00601B6E">
        <w:rPr>
          <w:szCs w:val="19"/>
          <w:lang w:val="fr-FR"/>
        </w:rPr>
        <w:t> :</w:t>
      </w:r>
      <w:r w:rsidR="00CA3D49"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a</w:t>
      </w:r>
      <w:r w:rsidRPr="00990245">
        <w:rPr>
          <w:lang w:val="fr-CA"/>
        </w:rPr>
        <w:t xml:space="preserve">) </w:t>
      </w:r>
      <w:r w:rsidRPr="00990245">
        <w:rPr>
          <w:szCs w:val="19"/>
          <w:lang w:val="fr-FR"/>
        </w:rPr>
        <w:t>la date de clôture du compte auquel les documents se rapportent, dans le cas de fiches</w:t>
      </w:r>
      <w:r w:rsidR="00601B6E">
        <w:rPr>
          <w:szCs w:val="19"/>
          <w:lang w:val="fr-FR"/>
        </w:rPr>
        <w:t>-</w:t>
      </w:r>
      <w:r w:rsidRPr="00990245">
        <w:rPr>
          <w:szCs w:val="19"/>
          <w:lang w:val="fr-FR"/>
        </w:rPr>
        <w:t>signature, de conventions de tenue de compte, de formules de demande d</w:t>
      </w:r>
      <w:r>
        <w:rPr>
          <w:szCs w:val="19"/>
          <w:lang w:val="fr-FR"/>
        </w:rPr>
        <w:t>’</w:t>
      </w:r>
      <w:r w:rsidRPr="00990245">
        <w:rPr>
          <w:szCs w:val="19"/>
          <w:lang w:val="fr-FR"/>
        </w:rPr>
        <w:t>ouverture de compte, de demandes de cartes de crédit et de documents indiquant l</w:t>
      </w:r>
      <w:r>
        <w:rPr>
          <w:szCs w:val="19"/>
          <w:lang w:val="fr-FR"/>
        </w:rPr>
        <w:t>’</w:t>
      </w:r>
      <w:r w:rsidRPr="00990245">
        <w:rPr>
          <w:szCs w:val="19"/>
          <w:lang w:val="fr-FR"/>
        </w:rPr>
        <w:t>utilisation prévue du compte;</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a.1</w:t>
      </w:r>
      <w:r w:rsidRPr="00990245">
        <w:rPr>
          <w:lang w:val="fr-CA"/>
        </w:rPr>
        <w:t xml:space="preserve">) </w:t>
      </w:r>
      <w:r w:rsidRPr="00990245">
        <w:rPr>
          <w:szCs w:val="19"/>
          <w:lang w:val="fr-FR"/>
        </w:rPr>
        <w:t>la date de clôture du compte auquel les documents se rapportent, dans le cas de dossiers de crédit tenus en vertu de l</w:t>
      </w:r>
      <w:r>
        <w:rPr>
          <w:szCs w:val="19"/>
          <w:lang w:val="fr-FR"/>
        </w:rPr>
        <w:t>’</w:t>
      </w:r>
      <w:r w:rsidRPr="00990245">
        <w:rPr>
          <w:szCs w:val="19"/>
          <w:lang w:val="fr-FR"/>
        </w:rPr>
        <w:t>alinéa</w:t>
      </w:r>
      <w:r w:rsidR="00601B6E">
        <w:rPr>
          <w:szCs w:val="19"/>
          <w:lang w:val="fr-FR"/>
        </w:rPr>
        <w:t xml:space="preserve"> </w:t>
      </w:r>
      <w:r w:rsidRPr="00990245">
        <w:rPr>
          <w:szCs w:val="19"/>
          <w:lang w:val="fr-FR"/>
        </w:rPr>
        <w:t>14</w:t>
      </w:r>
      <w:r w:rsidRPr="00990245">
        <w:rPr>
          <w:rStyle w:val="Emphasis"/>
          <w:szCs w:val="19"/>
          <w:lang w:val="fr-FR"/>
        </w:rPr>
        <w:t>i</w:t>
      </w:r>
      <w:r w:rsidRPr="00990245">
        <w:rPr>
          <w:szCs w:val="19"/>
          <w:lang w:val="fr-FR"/>
        </w:rPr>
        <w:t>) et de documents tenus en vertu des alinéas 14</w:t>
      </w:r>
      <w:r w:rsidRPr="00990245">
        <w:rPr>
          <w:rStyle w:val="Emphasis"/>
          <w:szCs w:val="19"/>
          <w:lang w:val="fr-FR"/>
        </w:rPr>
        <w:t>n</w:t>
      </w:r>
      <w:r w:rsidRPr="00990245">
        <w:rPr>
          <w:szCs w:val="19"/>
          <w:lang w:val="fr-FR"/>
        </w:rPr>
        <w:t>), 14.1</w:t>
      </w:r>
      <w:r w:rsidRPr="00990245">
        <w:rPr>
          <w:rStyle w:val="Emphasis"/>
          <w:szCs w:val="19"/>
          <w:lang w:val="fr-FR"/>
        </w:rPr>
        <w:t>g</w:t>
      </w:r>
      <w:r w:rsidRPr="00990245">
        <w:rPr>
          <w:szCs w:val="19"/>
          <w:lang w:val="fr-FR"/>
        </w:rPr>
        <w:t>) ou 23(1)</w:t>
      </w:r>
      <w:r w:rsidRPr="00990245">
        <w:rPr>
          <w:rStyle w:val="Emphasis"/>
          <w:szCs w:val="19"/>
          <w:lang w:val="fr-FR"/>
        </w:rPr>
        <w:t>f</w:t>
      </w:r>
      <w:r w:rsidRPr="00990245">
        <w:rPr>
          <w:szCs w:val="19"/>
          <w:lang w:val="fr-FR"/>
        </w:rPr>
        <w:t>);</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b</w:t>
      </w:r>
      <w:r w:rsidRPr="00990245">
        <w:rPr>
          <w:lang w:val="fr-CA"/>
        </w:rPr>
        <w:t xml:space="preserve">) </w:t>
      </w:r>
      <w:r w:rsidRPr="00990245">
        <w:rPr>
          <w:szCs w:val="19"/>
          <w:lang w:val="fr-FR"/>
        </w:rPr>
        <w:t>la date à laquelle la dernière opération commerciale est effectuée, dans le cas de dossiers</w:t>
      </w:r>
      <w:r w:rsidR="00601B6E">
        <w:rPr>
          <w:szCs w:val="19"/>
          <w:lang w:val="fr-FR"/>
        </w:rPr>
        <w:t>-</w:t>
      </w:r>
      <w:r w:rsidRPr="00990245">
        <w:rPr>
          <w:szCs w:val="19"/>
          <w:lang w:val="fr-FR"/>
        </w:rPr>
        <w:t>clients, de certificats de constitution, de documents à déposer annuellement aux termes de la loi provinciale régissant les valeurs mobilières ou de documents semblables qui font foi de l</w:t>
      </w:r>
      <w:r>
        <w:rPr>
          <w:szCs w:val="19"/>
          <w:lang w:val="fr-FR"/>
        </w:rPr>
        <w:t>’</w:t>
      </w:r>
      <w:r w:rsidRPr="00990245">
        <w:rPr>
          <w:szCs w:val="19"/>
          <w:lang w:val="fr-FR"/>
        </w:rPr>
        <w:t>existence d</w:t>
      </w:r>
      <w:r>
        <w:rPr>
          <w:szCs w:val="19"/>
          <w:lang w:val="fr-FR"/>
        </w:rPr>
        <w:t>’</w:t>
      </w:r>
      <w:r w:rsidRPr="00990245">
        <w:rPr>
          <w:szCs w:val="19"/>
          <w:lang w:val="fr-FR"/>
        </w:rPr>
        <w:t>une personne morale, de conventions de société, d</w:t>
      </w:r>
      <w:r>
        <w:rPr>
          <w:szCs w:val="19"/>
          <w:lang w:val="fr-FR"/>
        </w:rPr>
        <w:t>’</w:t>
      </w:r>
      <w:r w:rsidRPr="00990245">
        <w:rPr>
          <w:szCs w:val="19"/>
          <w:lang w:val="fr-FR"/>
        </w:rPr>
        <w:t>actes d</w:t>
      </w:r>
      <w:r>
        <w:rPr>
          <w:szCs w:val="19"/>
          <w:lang w:val="fr-FR"/>
        </w:rPr>
        <w:t>’</w:t>
      </w:r>
      <w:r w:rsidRPr="00990245">
        <w:rPr>
          <w:szCs w:val="19"/>
          <w:lang w:val="fr-FR"/>
        </w:rPr>
        <w:t>association ou de documents semblables faisant foi de l</w:t>
      </w:r>
      <w:r>
        <w:rPr>
          <w:szCs w:val="19"/>
          <w:lang w:val="fr-FR"/>
        </w:rPr>
        <w:t>’</w:t>
      </w:r>
      <w:r w:rsidRPr="00990245">
        <w:rPr>
          <w:szCs w:val="19"/>
          <w:lang w:val="fr-FR"/>
        </w:rPr>
        <w:t>existence d</w:t>
      </w:r>
      <w:r>
        <w:rPr>
          <w:szCs w:val="19"/>
          <w:lang w:val="fr-FR"/>
        </w:rPr>
        <w:t>’</w:t>
      </w:r>
      <w:r w:rsidRPr="00990245">
        <w:rPr>
          <w:szCs w:val="19"/>
          <w:lang w:val="fr-FR"/>
        </w:rPr>
        <w:t>une entité autre qu</w:t>
      </w:r>
      <w:r>
        <w:rPr>
          <w:szCs w:val="19"/>
          <w:lang w:val="fr-FR"/>
        </w:rPr>
        <w:t>’</w:t>
      </w:r>
      <w:r w:rsidRPr="00990245">
        <w:rPr>
          <w:szCs w:val="19"/>
          <w:lang w:val="fr-FR"/>
        </w:rPr>
        <w:t>une personne morale;</w:t>
      </w:r>
      <w:r w:rsidRPr="00990245">
        <w:rPr>
          <w:sz w:val="19"/>
          <w:szCs w:val="19"/>
          <w:lang w:val="fr-FR"/>
        </w:rPr>
        <w:t xml:space="preserve"> </w:t>
      </w:r>
    </w:p>
    <w:p w:rsidR="00CA3D49" w:rsidRPr="00990245" w:rsidRDefault="00CA3D49" w:rsidP="000F5CF8">
      <w:pPr>
        <w:pStyle w:val="Citation-AltC"/>
        <w:spacing w:before="240" w:after="240"/>
        <w:ind w:left="900"/>
        <w:contextualSpacing w:val="0"/>
        <w:rPr>
          <w:lang w:val="fr-CA"/>
        </w:rPr>
      </w:pPr>
      <w:r w:rsidRPr="00990245">
        <w:rPr>
          <w:i/>
          <w:lang w:val="fr-CA"/>
        </w:rPr>
        <w:t>b.1</w:t>
      </w:r>
      <w:r w:rsidRPr="00990245">
        <w:rPr>
          <w:lang w:val="fr-CA"/>
        </w:rPr>
        <w:t xml:space="preserve">) </w:t>
      </w:r>
      <w:r w:rsidRPr="00990245">
        <w:rPr>
          <w:szCs w:val="19"/>
          <w:lang w:val="fr-FR"/>
        </w:rPr>
        <w:t>la date à laquelle la dernière opération commerciale est effectuée, dans le cas de dossiers de crédit tenus en vertu de l</w:t>
      </w:r>
      <w:r>
        <w:rPr>
          <w:szCs w:val="19"/>
          <w:lang w:val="fr-FR"/>
        </w:rPr>
        <w:t>’</w:t>
      </w:r>
      <w:r w:rsidRPr="00990245">
        <w:rPr>
          <w:szCs w:val="19"/>
          <w:lang w:val="fr-FR"/>
        </w:rPr>
        <w:t>alinéa</w:t>
      </w:r>
      <w:r w:rsidR="00601B6E">
        <w:rPr>
          <w:szCs w:val="19"/>
          <w:lang w:val="fr-FR"/>
        </w:rPr>
        <w:t xml:space="preserve"> </w:t>
      </w:r>
      <w:r w:rsidRPr="00990245">
        <w:rPr>
          <w:szCs w:val="19"/>
          <w:lang w:val="fr-FR"/>
        </w:rPr>
        <w:t>30</w:t>
      </w:r>
      <w:r w:rsidRPr="00990245">
        <w:rPr>
          <w:rStyle w:val="Emphasis"/>
          <w:szCs w:val="19"/>
          <w:lang w:val="fr-FR"/>
        </w:rPr>
        <w:t>a</w:t>
      </w:r>
      <w:r w:rsidRPr="00990245">
        <w:rPr>
          <w:szCs w:val="19"/>
          <w:lang w:val="fr-FR"/>
        </w:rPr>
        <w:t>), de documents tenus en vertu de l</w:t>
      </w:r>
      <w:r>
        <w:rPr>
          <w:szCs w:val="19"/>
          <w:lang w:val="fr-FR"/>
        </w:rPr>
        <w:t>’</w:t>
      </w:r>
      <w:r w:rsidRPr="00990245">
        <w:rPr>
          <w:szCs w:val="19"/>
          <w:lang w:val="fr-FR"/>
        </w:rPr>
        <w:t>article</w:t>
      </w:r>
      <w:r w:rsidR="00601B6E">
        <w:rPr>
          <w:szCs w:val="19"/>
          <w:lang w:val="fr-FR"/>
        </w:rPr>
        <w:t xml:space="preserve"> </w:t>
      </w:r>
      <w:r w:rsidRPr="00990245">
        <w:rPr>
          <w:szCs w:val="19"/>
          <w:lang w:val="fr-FR"/>
        </w:rPr>
        <w:t>11.1, de l</w:t>
      </w:r>
      <w:r>
        <w:rPr>
          <w:szCs w:val="19"/>
          <w:lang w:val="fr-FR"/>
        </w:rPr>
        <w:t>’</w:t>
      </w:r>
      <w:r w:rsidRPr="00990245">
        <w:rPr>
          <w:szCs w:val="19"/>
          <w:lang w:val="fr-FR"/>
        </w:rPr>
        <w:t>alinéa</w:t>
      </w:r>
      <w:r w:rsidR="00601B6E">
        <w:rPr>
          <w:szCs w:val="19"/>
          <w:lang w:val="fr-FR"/>
        </w:rPr>
        <w:t xml:space="preserve"> </w:t>
      </w:r>
      <w:r w:rsidRPr="00990245">
        <w:rPr>
          <w:szCs w:val="19"/>
          <w:lang w:val="fr-FR"/>
        </w:rPr>
        <w:t>14</w:t>
      </w:r>
      <w:r w:rsidRPr="00990245">
        <w:rPr>
          <w:rStyle w:val="Emphasis"/>
          <w:szCs w:val="19"/>
          <w:lang w:val="fr-FR"/>
        </w:rPr>
        <w:t>o</w:t>
      </w:r>
      <w:r w:rsidRPr="00990245">
        <w:rPr>
          <w:szCs w:val="19"/>
          <w:lang w:val="fr-FR"/>
        </w:rPr>
        <w:t>), du paragraphe</w:t>
      </w:r>
      <w:r w:rsidR="00601B6E">
        <w:rPr>
          <w:szCs w:val="19"/>
          <w:lang w:val="fr-FR"/>
        </w:rPr>
        <w:t xml:space="preserve"> </w:t>
      </w:r>
      <w:r w:rsidRPr="00990245">
        <w:rPr>
          <w:szCs w:val="19"/>
          <w:lang w:val="fr-FR"/>
        </w:rPr>
        <w:t>15.1(2) ou des articles</w:t>
      </w:r>
      <w:r w:rsidR="00601B6E">
        <w:rPr>
          <w:szCs w:val="19"/>
          <w:lang w:val="fr-FR"/>
        </w:rPr>
        <w:t xml:space="preserve"> </w:t>
      </w:r>
      <w:r w:rsidRPr="00990245">
        <w:rPr>
          <w:szCs w:val="19"/>
          <w:lang w:val="fr-FR"/>
        </w:rPr>
        <w:t>20.1 ou 31 et de documents, autres que des dossiers</w:t>
      </w:r>
      <w:r w:rsidR="00601B6E">
        <w:rPr>
          <w:szCs w:val="19"/>
          <w:lang w:val="fr-FR"/>
        </w:rPr>
        <w:t>-</w:t>
      </w:r>
      <w:r w:rsidRPr="00990245">
        <w:rPr>
          <w:szCs w:val="19"/>
          <w:lang w:val="fr-FR"/>
        </w:rPr>
        <w:t>clients, ou listes tenus en vertu de l</w:t>
      </w:r>
      <w:r>
        <w:rPr>
          <w:szCs w:val="19"/>
          <w:lang w:val="fr-FR"/>
        </w:rPr>
        <w:t>’</w:t>
      </w:r>
      <w:r w:rsidRPr="00990245">
        <w:rPr>
          <w:szCs w:val="19"/>
          <w:lang w:val="fr-FR"/>
        </w:rPr>
        <w:t>article</w:t>
      </w:r>
      <w:r w:rsidR="00601B6E">
        <w:rPr>
          <w:szCs w:val="19"/>
          <w:lang w:val="fr-FR"/>
        </w:rPr>
        <w:t xml:space="preserve"> </w:t>
      </w:r>
      <w:r w:rsidRPr="00990245">
        <w:rPr>
          <w:szCs w:val="19"/>
          <w:lang w:val="fr-FR"/>
        </w:rPr>
        <w:t>32;</w:t>
      </w:r>
    </w:p>
    <w:p w:rsidR="00CA3D49" w:rsidRPr="00990245" w:rsidRDefault="00CA3D49" w:rsidP="000F5CF8">
      <w:pPr>
        <w:pStyle w:val="Citation-AltC"/>
        <w:spacing w:before="240" w:after="240"/>
        <w:ind w:left="900"/>
        <w:contextualSpacing w:val="0"/>
        <w:rPr>
          <w:lang w:val="fr-CA"/>
        </w:rPr>
      </w:pPr>
      <w:r w:rsidRPr="00990245">
        <w:rPr>
          <w:i/>
          <w:lang w:val="fr-CA"/>
        </w:rPr>
        <w:t>c</w:t>
      </w:r>
      <w:r w:rsidRPr="00990245">
        <w:rPr>
          <w:lang w:val="fr-CA"/>
        </w:rPr>
        <w:t>) la date d</w:t>
      </w:r>
      <w:r>
        <w:rPr>
          <w:lang w:val="fr-CA"/>
        </w:rPr>
        <w:t>’</w:t>
      </w:r>
      <w:r w:rsidRPr="00990245">
        <w:rPr>
          <w:lang w:val="fr-CA"/>
        </w:rPr>
        <w:t xml:space="preserve">établissement des documents, dans les autres cas. </w:t>
      </w:r>
    </w:p>
    <w:p w:rsidR="00CA3D49" w:rsidRPr="00990245" w:rsidRDefault="000F5CF8" w:rsidP="000F5CF8">
      <w:pPr>
        <w:pStyle w:val="Citation-AltC"/>
        <w:tabs>
          <w:tab w:val="left" w:pos="900"/>
          <w:tab w:val="left" w:pos="1440"/>
        </w:tabs>
        <w:spacing w:before="240" w:after="240"/>
        <w:ind w:left="360"/>
        <w:contextualSpacing w:val="0"/>
        <w:rPr>
          <w:lang w:val="fr-CA"/>
        </w:rPr>
      </w:pPr>
      <w:r>
        <w:rPr>
          <w:lang w:val="fr-CA"/>
        </w:rPr>
        <w:tab/>
      </w:r>
      <w:r w:rsidR="00CA3D49" w:rsidRPr="00990245">
        <w:rPr>
          <w:lang w:val="fr-CA"/>
        </w:rPr>
        <w:t xml:space="preserve">(2) </w:t>
      </w:r>
      <w:r w:rsidR="00CA3D49" w:rsidRPr="00990245">
        <w:rPr>
          <w:szCs w:val="19"/>
          <w:lang w:val="fr-CA"/>
        </w:rPr>
        <w:t>Si les documents qu</w:t>
      </w:r>
      <w:r w:rsidR="00CA3D49">
        <w:rPr>
          <w:szCs w:val="19"/>
          <w:lang w:val="fr-CA"/>
        </w:rPr>
        <w:t>’</w:t>
      </w:r>
      <w:r w:rsidR="00CA3D49" w:rsidRPr="00990245">
        <w:rPr>
          <w:szCs w:val="19"/>
          <w:lang w:val="fr-CA"/>
        </w:rPr>
        <w:t>un individu tient aux termes du présent règlement appartiennent à son employeur ou à la personne ou l</w:t>
      </w:r>
      <w:r w:rsidR="00CA3D49">
        <w:rPr>
          <w:szCs w:val="19"/>
          <w:lang w:val="fr-CA"/>
        </w:rPr>
        <w:t>’</w:t>
      </w:r>
      <w:r w:rsidR="00CA3D49" w:rsidRPr="00990245">
        <w:rPr>
          <w:szCs w:val="19"/>
          <w:lang w:val="fr-CA"/>
        </w:rPr>
        <w:t>entité avec laquelle il est lié par contrat, l</w:t>
      </w:r>
      <w:r w:rsidR="00CA3D49">
        <w:rPr>
          <w:szCs w:val="19"/>
          <w:lang w:val="fr-CA"/>
        </w:rPr>
        <w:t>’</w:t>
      </w:r>
      <w:r w:rsidR="00CA3D49" w:rsidRPr="00990245">
        <w:rPr>
          <w:szCs w:val="19"/>
          <w:lang w:val="fr-CA"/>
        </w:rPr>
        <w:t>individu n</w:t>
      </w:r>
      <w:r w:rsidR="00CA3D49">
        <w:rPr>
          <w:szCs w:val="19"/>
          <w:lang w:val="fr-CA"/>
        </w:rPr>
        <w:t>’</w:t>
      </w:r>
      <w:r w:rsidR="00CA3D49" w:rsidRPr="00990245">
        <w:rPr>
          <w:szCs w:val="19"/>
          <w:lang w:val="fr-CA"/>
        </w:rPr>
        <w:t>est pas tenu de conserver ces documents une fois que le lien d</w:t>
      </w:r>
      <w:r w:rsidR="00CA3D49">
        <w:rPr>
          <w:szCs w:val="19"/>
          <w:lang w:val="fr-CA"/>
        </w:rPr>
        <w:t>’</w:t>
      </w:r>
      <w:r w:rsidR="00CA3D49" w:rsidRPr="00990245">
        <w:rPr>
          <w:szCs w:val="19"/>
          <w:lang w:val="fr-CA"/>
        </w:rPr>
        <w:t>emploi ou le lien contractuel est rompu.</w:t>
      </w:r>
      <w:r w:rsidR="00CA3D49" w:rsidRPr="00990245">
        <w:rPr>
          <w:sz w:val="19"/>
          <w:szCs w:val="19"/>
          <w:lang w:val="fr-CA"/>
        </w:rPr>
        <w:t xml:space="preserve"> </w:t>
      </w:r>
    </w:p>
    <w:p w:rsidR="00CA3D49" w:rsidRDefault="000F5CF8" w:rsidP="000F5CF8">
      <w:pPr>
        <w:pStyle w:val="Citation-AltC"/>
        <w:tabs>
          <w:tab w:val="left" w:pos="900"/>
          <w:tab w:val="left" w:pos="1440"/>
        </w:tabs>
        <w:spacing w:before="240" w:after="240"/>
        <w:ind w:left="360"/>
        <w:contextualSpacing w:val="0"/>
        <w:rPr>
          <w:sz w:val="19"/>
          <w:szCs w:val="19"/>
          <w:lang w:val="fr-CA"/>
        </w:rPr>
      </w:pPr>
      <w:r>
        <w:rPr>
          <w:b/>
          <w:lang w:val="fr-CA"/>
        </w:rPr>
        <w:tab/>
      </w:r>
      <w:r w:rsidR="00CA3D49" w:rsidRPr="00990245">
        <w:rPr>
          <w:b/>
          <w:lang w:val="fr-CA"/>
        </w:rPr>
        <w:t>70.</w:t>
      </w:r>
      <w:r w:rsidR="00CA3D49" w:rsidRPr="00990245">
        <w:rPr>
          <w:lang w:val="fr-CA"/>
        </w:rPr>
        <w:t xml:space="preserve"> </w:t>
      </w:r>
      <w:r w:rsidR="00CA3D49" w:rsidRPr="00990245">
        <w:rPr>
          <w:szCs w:val="19"/>
          <w:lang w:val="fr-CA"/>
        </w:rPr>
        <w:t>Tout document à tenir aux termes du présent règlement doit être conservé de manière à pouvoir être produit auprès d</w:t>
      </w:r>
      <w:r w:rsidR="00CA3D49">
        <w:rPr>
          <w:szCs w:val="19"/>
          <w:lang w:val="fr-CA"/>
        </w:rPr>
        <w:t>’</w:t>
      </w:r>
      <w:r w:rsidR="00CA3D49" w:rsidRPr="00990245">
        <w:rPr>
          <w:szCs w:val="19"/>
          <w:lang w:val="fr-CA"/>
        </w:rPr>
        <w:t>une personne autorisée dans les trente jours suivant la date où il est demandé en vertu de l</w:t>
      </w:r>
      <w:r w:rsidR="00CA3D49">
        <w:rPr>
          <w:szCs w:val="19"/>
          <w:lang w:val="fr-CA"/>
        </w:rPr>
        <w:t>’</w:t>
      </w:r>
      <w:r w:rsidR="00CA3D49" w:rsidRPr="00990245">
        <w:rPr>
          <w:szCs w:val="19"/>
          <w:lang w:val="fr-CA"/>
        </w:rPr>
        <w:t>article</w:t>
      </w:r>
      <w:r w:rsidR="00601B6E">
        <w:rPr>
          <w:szCs w:val="19"/>
          <w:lang w:val="fr-CA"/>
        </w:rPr>
        <w:t xml:space="preserve"> </w:t>
      </w:r>
      <w:r w:rsidR="00CA3D49" w:rsidRPr="00990245">
        <w:rPr>
          <w:szCs w:val="19"/>
          <w:lang w:val="fr-CA"/>
        </w:rPr>
        <w:t>62 de la Loi.</w:t>
      </w:r>
      <w:r w:rsidR="00CA3D49" w:rsidRPr="00990245">
        <w:rPr>
          <w:sz w:val="19"/>
          <w:szCs w:val="19"/>
          <w:lang w:val="fr-CA"/>
        </w:rPr>
        <w:t xml:space="preserve"> </w:t>
      </w:r>
    </w:p>
    <w:p w:rsidR="00032D37" w:rsidRPr="00990245" w:rsidRDefault="00032D37" w:rsidP="00947DA8">
      <w:pPr>
        <w:pStyle w:val="Citation-AltC"/>
        <w:spacing w:before="240" w:after="480"/>
        <w:ind w:left="360"/>
        <w:contextualSpacing w:val="0"/>
        <w:rPr>
          <w:lang w:val="fr-CA"/>
        </w:rPr>
      </w:pPr>
    </w:p>
    <w:p w:rsidR="00CA3D49" w:rsidRDefault="00CA3D49" w:rsidP="00CA3D49">
      <w:pPr>
        <w:pStyle w:val="Citation-AltC"/>
        <w:spacing w:before="240" w:after="240"/>
        <w:ind w:left="0"/>
        <w:contextualSpacing w:val="0"/>
        <w:rPr>
          <w:i/>
          <w:lang w:val="fr-CA"/>
        </w:rPr>
      </w:pPr>
      <w:r w:rsidRPr="00990245">
        <w:rPr>
          <w:i/>
          <w:lang w:val="fr-CA"/>
        </w:rPr>
        <w:t>Charte canadienne des droits et libertés</w:t>
      </w:r>
    </w:p>
    <w:p w:rsidR="00032D37" w:rsidRPr="00990245" w:rsidRDefault="00032D37" w:rsidP="00CA3D49">
      <w:pPr>
        <w:pStyle w:val="Citation-AltC"/>
        <w:spacing w:before="240" w:after="240"/>
        <w:ind w:left="0"/>
        <w:contextualSpacing w:val="0"/>
        <w:rPr>
          <w:lang w:val="fr-CA"/>
        </w:rPr>
      </w:pPr>
    </w:p>
    <w:p w:rsidR="00CA3D49" w:rsidRPr="00990245" w:rsidRDefault="000F5CF8" w:rsidP="000F5CF8">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1.</w:t>
      </w:r>
      <w:r w:rsidR="00CA3D49" w:rsidRPr="00990245">
        <w:rPr>
          <w:lang w:val="fr-CA"/>
        </w:rPr>
        <w:t xml:space="preserve"> La </w:t>
      </w:r>
      <w:r w:rsidR="00CA3D49" w:rsidRPr="00990245">
        <w:rPr>
          <w:i/>
          <w:iCs/>
          <w:lang w:val="fr-CA"/>
        </w:rPr>
        <w:t xml:space="preserve">Charte canadienne des droits et libertés </w:t>
      </w:r>
      <w:r w:rsidR="00CA3D49" w:rsidRPr="00990245">
        <w:rPr>
          <w:szCs w:val="19"/>
          <w:lang w:val="fr-FR"/>
        </w:rPr>
        <w:t>garantit les droits et libertés qui y sont énoncés. Ils ne peuvent être restreints que par une règle de droit, dans des limites qui soient raisonnables et dont la justification puisse se démontrer dans le cadre d</w:t>
      </w:r>
      <w:r w:rsidR="00CA3D49">
        <w:rPr>
          <w:szCs w:val="19"/>
          <w:lang w:val="fr-FR"/>
        </w:rPr>
        <w:t>’</w:t>
      </w:r>
      <w:r w:rsidR="00CA3D49" w:rsidRPr="00990245">
        <w:rPr>
          <w:szCs w:val="19"/>
          <w:lang w:val="fr-FR"/>
        </w:rPr>
        <w:t>une société libre et démocratique</w:t>
      </w:r>
      <w:r w:rsidR="00CA3D49" w:rsidRPr="00990245">
        <w:rPr>
          <w:lang w:val="fr-CA"/>
        </w:rPr>
        <w:t>.</w:t>
      </w:r>
    </w:p>
    <w:p w:rsidR="00CA3D49" w:rsidRPr="00990245" w:rsidRDefault="000F5CF8" w:rsidP="000F5CF8">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7.</w:t>
      </w:r>
      <w:r w:rsidR="00CA3D49" w:rsidRPr="00990245">
        <w:rPr>
          <w:lang w:val="fr-CA"/>
        </w:rPr>
        <w:t xml:space="preserve"> </w:t>
      </w:r>
      <w:r w:rsidR="00CA3D49" w:rsidRPr="00990245">
        <w:rPr>
          <w:szCs w:val="19"/>
          <w:lang w:val="fr-FR"/>
        </w:rPr>
        <w:t>Chacun a droit à la vie, à la liberté et à la sécurité de sa personne; il ne peut être porté atteinte à ce droit qu</w:t>
      </w:r>
      <w:r w:rsidR="00CA3D49">
        <w:rPr>
          <w:szCs w:val="19"/>
          <w:lang w:val="fr-FR"/>
        </w:rPr>
        <w:t>’</w:t>
      </w:r>
      <w:r w:rsidR="00CA3D49" w:rsidRPr="00990245">
        <w:rPr>
          <w:szCs w:val="19"/>
          <w:lang w:val="fr-FR"/>
        </w:rPr>
        <w:t>en conformité avec les principes de</w:t>
      </w:r>
      <w:r w:rsidR="00CA3D49" w:rsidRPr="00990245">
        <w:rPr>
          <w:lang w:val="fr-CA"/>
        </w:rPr>
        <w:t xml:space="preserve"> justice fondamentale.</w:t>
      </w:r>
    </w:p>
    <w:p w:rsidR="00CA3D49" w:rsidRDefault="000F5CF8" w:rsidP="000F5CF8">
      <w:pPr>
        <w:pStyle w:val="Citation-AltC"/>
        <w:tabs>
          <w:tab w:val="left" w:pos="900"/>
          <w:tab w:val="left" w:pos="1440"/>
        </w:tabs>
        <w:spacing w:before="240" w:after="240"/>
        <w:ind w:left="360"/>
        <w:contextualSpacing w:val="0"/>
        <w:rPr>
          <w:lang w:val="fr-CA"/>
        </w:rPr>
      </w:pPr>
      <w:r>
        <w:rPr>
          <w:b/>
          <w:lang w:val="fr-CA"/>
        </w:rPr>
        <w:tab/>
      </w:r>
      <w:r w:rsidR="00CA3D49" w:rsidRPr="00990245">
        <w:rPr>
          <w:b/>
          <w:lang w:val="fr-CA"/>
        </w:rPr>
        <w:t>8.</w:t>
      </w:r>
      <w:r w:rsidR="00CA3D49" w:rsidRPr="00990245">
        <w:rPr>
          <w:lang w:val="fr-CA"/>
        </w:rPr>
        <w:t xml:space="preserve"> Chacun a droit à la protection contre les fouilles, les perquisitions ou les saisies abusives.</w:t>
      </w:r>
    </w:p>
    <w:p w:rsidR="00707CB2" w:rsidRPr="00915CB8" w:rsidRDefault="00CA3D49" w:rsidP="00CA3D49">
      <w:pPr>
        <w:pStyle w:val="SCCLawFirm"/>
        <w:spacing w:before="480" w:after="480"/>
        <w:rPr>
          <w:lang w:val="fr-CA"/>
        </w:rPr>
      </w:pPr>
      <w:r>
        <w:rPr>
          <w:lang w:val="fr-CA"/>
        </w:rPr>
        <w:tab/>
      </w:r>
      <w:r w:rsidR="00707CB2" w:rsidRPr="00915CB8">
        <w:rPr>
          <w:lang w:val="fr-CA"/>
        </w:rPr>
        <w:t>Pourvoi accueilli en partie avec dépens.</w:t>
      </w:r>
    </w:p>
    <w:p w:rsidR="00707CB2" w:rsidRPr="00915CB8" w:rsidRDefault="00707CB2" w:rsidP="00707CB2">
      <w:pPr>
        <w:pStyle w:val="SCCLawFirm"/>
        <w:spacing w:before="480" w:after="480"/>
        <w:rPr>
          <w:lang w:val="fr-CA"/>
        </w:rPr>
      </w:pPr>
      <w:r w:rsidRPr="00915CB8">
        <w:rPr>
          <w:lang w:val="fr-CA"/>
        </w:rPr>
        <w:tab/>
        <w:t>Procureur de l’appelant</w:t>
      </w:r>
      <w:r w:rsidR="00601B6E">
        <w:rPr>
          <w:lang w:val="fr-CA"/>
        </w:rPr>
        <w:t xml:space="preserve"> : </w:t>
      </w:r>
      <w:r w:rsidRPr="00915CB8">
        <w:rPr>
          <w:lang w:val="fr-CA"/>
        </w:rPr>
        <w:t>Procureur général du Canada, Ottawa.</w:t>
      </w:r>
    </w:p>
    <w:p w:rsidR="00707CB2" w:rsidRPr="00915CB8" w:rsidRDefault="00707CB2" w:rsidP="00707CB2">
      <w:pPr>
        <w:pStyle w:val="SCCLawFirm"/>
        <w:spacing w:before="480" w:after="480"/>
        <w:rPr>
          <w:lang w:val="fr-CA"/>
        </w:rPr>
      </w:pPr>
      <w:r w:rsidRPr="00915CB8">
        <w:rPr>
          <w:lang w:val="fr-CA"/>
        </w:rPr>
        <w:tab/>
        <w:t>Procureurs de l’intimée</w:t>
      </w:r>
      <w:r w:rsidR="00601B6E">
        <w:rPr>
          <w:lang w:val="fr-CA"/>
        </w:rPr>
        <w:t xml:space="preserve"> : </w:t>
      </w:r>
      <w:r w:rsidRPr="00915CB8">
        <w:rPr>
          <w:lang w:val="fr-CA"/>
        </w:rPr>
        <w:t xml:space="preserve">Hunter </w:t>
      </w:r>
      <w:proofErr w:type="spellStart"/>
      <w:r w:rsidRPr="00915CB8">
        <w:rPr>
          <w:lang w:val="fr-CA"/>
        </w:rPr>
        <w:t>Litigation</w:t>
      </w:r>
      <w:proofErr w:type="spellEnd"/>
      <w:r w:rsidRPr="00915CB8">
        <w:rPr>
          <w:lang w:val="fr-CA"/>
        </w:rPr>
        <w:t xml:space="preserve"> Chambers, Vancouver; Blake, </w:t>
      </w:r>
      <w:proofErr w:type="spellStart"/>
      <w:r w:rsidRPr="00915CB8">
        <w:rPr>
          <w:lang w:val="fr-CA"/>
        </w:rPr>
        <w:t>Cassels</w:t>
      </w:r>
      <w:proofErr w:type="spellEnd"/>
      <w:r w:rsidRPr="00915CB8">
        <w:rPr>
          <w:lang w:val="fr-CA"/>
        </w:rPr>
        <w:t xml:space="preserve"> &amp; </w:t>
      </w:r>
      <w:proofErr w:type="spellStart"/>
      <w:r w:rsidRPr="00915CB8">
        <w:rPr>
          <w:lang w:val="fr-CA"/>
        </w:rPr>
        <w:t>Graydon</w:t>
      </w:r>
      <w:proofErr w:type="spellEnd"/>
      <w:r w:rsidRPr="00915CB8">
        <w:rPr>
          <w:lang w:val="fr-CA"/>
        </w:rPr>
        <w:t>, Vancouver.</w:t>
      </w:r>
    </w:p>
    <w:p w:rsidR="00707CB2" w:rsidRPr="00915CB8" w:rsidRDefault="00707CB2" w:rsidP="00707CB2">
      <w:pPr>
        <w:pStyle w:val="SCCLawFirm"/>
        <w:spacing w:before="480" w:after="480"/>
        <w:rPr>
          <w:lang w:val="fr-CA"/>
        </w:rPr>
      </w:pPr>
      <w:r w:rsidRPr="00915CB8">
        <w:rPr>
          <w:lang w:val="fr-CA"/>
        </w:rPr>
        <w:tab/>
        <w:t xml:space="preserve">Procureurs de l’intervenante </w:t>
      </w:r>
      <w:proofErr w:type="spellStart"/>
      <w:r w:rsidRPr="00915CB8">
        <w:rPr>
          <w:lang w:val="fr-CA"/>
        </w:rPr>
        <w:t>Criminal</w:t>
      </w:r>
      <w:proofErr w:type="spellEnd"/>
      <w:r w:rsidRPr="00915CB8">
        <w:rPr>
          <w:lang w:val="fr-CA"/>
        </w:rPr>
        <w:t xml:space="preserve"> </w:t>
      </w:r>
      <w:proofErr w:type="spellStart"/>
      <w:r w:rsidRPr="00915CB8">
        <w:rPr>
          <w:lang w:val="fr-CA"/>
        </w:rPr>
        <w:t>Lawyers</w:t>
      </w:r>
      <w:proofErr w:type="spellEnd"/>
      <w:r w:rsidRPr="00915CB8">
        <w:rPr>
          <w:lang w:val="fr-CA"/>
        </w:rPr>
        <w:t>’ Association (Ontario)</w:t>
      </w:r>
      <w:r w:rsidR="00601B6E">
        <w:rPr>
          <w:lang w:val="fr-CA"/>
        </w:rPr>
        <w:t xml:space="preserve"> : </w:t>
      </w:r>
      <w:proofErr w:type="spellStart"/>
      <w:r w:rsidRPr="00915CB8">
        <w:rPr>
          <w:lang w:val="fr-CA"/>
        </w:rPr>
        <w:t>Stockwoods</w:t>
      </w:r>
      <w:proofErr w:type="spellEnd"/>
      <w:r w:rsidRPr="00915CB8">
        <w:rPr>
          <w:lang w:val="fr-CA"/>
        </w:rPr>
        <w:t>, Toronto.</w:t>
      </w:r>
    </w:p>
    <w:p w:rsidR="00707CB2" w:rsidRPr="00915CB8" w:rsidRDefault="00707CB2" w:rsidP="00707CB2">
      <w:pPr>
        <w:pStyle w:val="SCCLawFirm"/>
        <w:spacing w:before="480" w:after="480"/>
        <w:rPr>
          <w:lang w:val="fr-CA"/>
        </w:rPr>
      </w:pPr>
      <w:r w:rsidRPr="00915CB8">
        <w:rPr>
          <w:lang w:val="fr-CA"/>
        </w:rPr>
        <w:tab/>
        <w:t>Procureurs de l’intervenante l’Association canadienne des libertés civiles</w:t>
      </w:r>
      <w:r w:rsidR="00601B6E">
        <w:rPr>
          <w:lang w:val="fr-CA"/>
        </w:rPr>
        <w:t xml:space="preserve"> : </w:t>
      </w:r>
      <w:r w:rsidRPr="00915CB8">
        <w:rPr>
          <w:lang w:val="fr-CA"/>
        </w:rPr>
        <w:t xml:space="preserve">Osler, </w:t>
      </w:r>
      <w:proofErr w:type="spellStart"/>
      <w:r w:rsidRPr="00915CB8">
        <w:rPr>
          <w:lang w:val="fr-CA"/>
        </w:rPr>
        <w:t>Hoskin</w:t>
      </w:r>
      <w:proofErr w:type="spellEnd"/>
      <w:r w:rsidRPr="00915CB8">
        <w:rPr>
          <w:lang w:val="fr-CA"/>
        </w:rPr>
        <w:t xml:space="preserve"> &amp; Harcourt, Toronto.</w:t>
      </w:r>
    </w:p>
    <w:p w:rsidR="00707CB2" w:rsidRPr="00915CB8" w:rsidRDefault="00707CB2" w:rsidP="00707CB2">
      <w:pPr>
        <w:pStyle w:val="SCCLawFirm"/>
        <w:spacing w:before="480" w:after="480"/>
        <w:rPr>
          <w:lang w:val="fr-CA"/>
        </w:rPr>
      </w:pPr>
      <w:r w:rsidRPr="00915CB8">
        <w:rPr>
          <w:lang w:val="fr-CA"/>
        </w:rPr>
        <w:tab/>
        <w:t>Procureurs de l’intervenante Law Society of British Columbia</w:t>
      </w:r>
      <w:r w:rsidR="00601B6E">
        <w:rPr>
          <w:lang w:val="fr-CA"/>
        </w:rPr>
        <w:t xml:space="preserve"> : </w:t>
      </w:r>
      <w:r w:rsidRPr="00915CB8">
        <w:rPr>
          <w:lang w:val="fr-CA"/>
        </w:rPr>
        <w:t xml:space="preserve">McCarthy </w:t>
      </w:r>
      <w:proofErr w:type="spellStart"/>
      <w:r w:rsidRPr="00915CB8">
        <w:rPr>
          <w:lang w:val="fr-CA"/>
        </w:rPr>
        <w:t>Tétrault</w:t>
      </w:r>
      <w:proofErr w:type="spellEnd"/>
      <w:r w:rsidRPr="00915CB8">
        <w:rPr>
          <w:lang w:val="fr-CA"/>
        </w:rPr>
        <w:t>, Vancouver.</w:t>
      </w:r>
    </w:p>
    <w:p w:rsidR="00707CB2" w:rsidRPr="00915CB8" w:rsidRDefault="00707CB2" w:rsidP="00707CB2">
      <w:pPr>
        <w:pStyle w:val="SCCLawFirm"/>
        <w:spacing w:before="480" w:after="480"/>
        <w:rPr>
          <w:lang w:val="fr-CA"/>
        </w:rPr>
      </w:pPr>
      <w:r w:rsidRPr="00915CB8">
        <w:rPr>
          <w:lang w:val="fr-CA"/>
        </w:rPr>
        <w:lastRenderedPageBreak/>
        <w:tab/>
        <w:t>Procureurs de l’intervenante l’Association du Barreau canadien</w:t>
      </w:r>
      <w:r w:rsidR="00601B6E">
        <w:rPr>
          <w:lang w:val="fr-CA"/>
        </w:rPr>
        <w:t xml:space="preserve"> : </w:t>
      </w:r>
      <w:r w:rsidRPr="00915CB8">
        <w:rPr>
          <w:lang w:val="fr-CA"/>
        </w:rPr>
        <w:t xml:space="preserve">Lawson </w:t>
      </w:r>
      <w:proofErr w:type="spellStart"/>
      <w:r w:rsidRPr="00915CB8">
        <w:rPr>
          <w:lang w:val="fr-CA"/>
        </w:rPr>
        <w:t>Lundell</w:t>
      </w:r>
      <w:proofErr w:type="spellEnd"/>
      <w:r w:rsidRPr="00915CB8">
        <w:rPr>
          <w:lang w:val="fr-CA"/>
        </w:rPr>
        <w:t>, Vancouver.</w:t>
      </w:r>
    </w:p>
    <w:p w:rsidR="00707CB2" w:rsidRPr="00915CB8" w:rsidRDefault="00707CB2" w:rsidP="00707CB2">
      <w:pPr>
        <w:pStyle w:val="SCCLawFirm"/>
        <w:spacing w:before="480" w:after="480"/>
        <w:rPr>
          <w:lang w:val="fr-CA"/>
        </w:rPr>
      </w:pPr>
      <w:r w:rsidRPr="00915CB8">
        <w:rPr>
          <w:lang w:val="fr-CA"/>
        </w:rPr>
        <w:tab/>
        <w:t xml:space="preserve">Procureurs de l’intervenante </w:t>
      </w:r>
      <w:proofErr w:type="spellStart"/>
      <w:r w:rsidRPr="00915CB8">
        <w:rPr>
          <w:lang w:val="fr-CA"/>
        </w:rPr>
        <w:t>Advocates</w:t>
      </w:r>
      <w:proofErr w:type="spellEnd"/>
      <w:r w:rsidRPr="00915CB8">
        <w:rPr>
          <w:lang w:val="fr-CA"/>
        </w:rPr>
        <w:t>’ Society</w:t>
      </w:r>
      <w:r w:rsidR="00601B6E">
        <w:rPr>
          <w:lang w:val="fr-CA"/>
        </w:rPr>
        <w:t xml:space="preserve"> : </w:t>
      </w:r>
      <w:r w:rsidRPr="00915CB8">
        <w:rPr>
          <w:lang w:val="fr-CA"/>
        </w:rPr>
        <w:t xml:space="preserve">Stern </w:t>
      </w:r>
      <w:proofErr w:type="spellStart"/>
      <w:r w:rsidRPr="00915CB8">
        <w:rPr>
          <w:lang w:val="fr-CA"/>
        </w:rPr>
        <w:t>Landesman</w:t>
      </w:r>
      <w:proofErr w:type="spellEnd"/>
      <w:r w:rsidRPr="00915CB8">
        <w:rPr>
          <w:lang w:val="fr-CA"/>
        </w:rPr>
        <w:t xml:space="preserve"> Clark, Toronto; </w:t>
      </w:r>
      <w:proofErr w:type="spellStart"/>
      <w:r w:rsidRPr="00915CB8">
        <w:rPr>
          <w:lang w:val="fr-CA"/>
        </w:rPr>
        <w:t>Paliare</w:t>
      </w:r>
      <w:proofErr w:type="spellEnd"/>
      <w:r w:rsidRPr="00915CB8">
        <w:rPr>
          <w:lang w:val="fr-CA"/>
        </w:rPr>
        <w:t xml:space="preserve"> Roland Rosenberg </w:t>
      </w:r>
      <w:proofErr w:type="spellStart"/>
      <w:r w:rsidRPr="00915CB8">
        <w:rPr>
          <w:lang w:val="fr-CA"/>
        </w:rPr>
        <w:t>Rothstein</w:t>
      </w:r>
      <w:proofErr w:type="spellEnd"/>
      <w:r w:rsidRPr="00915CB8">
        <w:rPr>
          <w:lang w:val="fr-CA"/>
        </w:rPr>
        <w:t>, Toronto.</w:t>
      </w:r>
    </w:p>
    <w:p w:rsidR="00707CB2" w:rsidRPr="00915CB8" w:rsidRDefault="00707CB2" w:rsidP="00707CB2">
      <w:pPr>
        <w:pStyle w:val="SCCLawFirm"/>
        <w:rPr>
          <w:lang w:val="fr-CA"/>
        </w:rPr>
      </w:pPr>
      <w:r w:rsidRPr="00915CB8">
        <w:rPr>
          <w:lang w:val="fr-CA"/>
        </w:rPr>
        <w:tab/>
        <w:t>Procureurs des intervenants le Barreau du Québec et la Chambre des notaires du Québec</w:t>
      </w:r>
      <w:r w:rsidR="00601B6E">
        <w:rPr>
          <w:lang w:val="fr-CA"/>
        </w:rPr>
        <w:t xml:space="preserve"> : </w:t>
      </w:r>
      <w:proofErr w:type="spellStart"/>
      <w:r w:rsidRPr="00915CB8">
        <w:rPr>
          <w:lang w:val="fr-CA"/>
        </w:rPr>
        <w:t>Lavery</w:t>
      </w:r>
      <w:proofErr w:type="spellEnd"/>
      <w:r w:rsidRPr="00915CB8">
        <w:rPr>
          <w:lang w:val="fr-CA"/>
        </w:rPr>
        <w:t>, de Billy, Montréal.</w:t>
      </w:r>
    </w:p>
    <w:sectPr w:rsidR="00707CB2" w:rsidRPr="00915CB8" w:rsidSect="004F0412">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702" w:rsidRDefault="009E4702" w:rsidP="00200221">
      <w:r>
        <w:separator/>
      </w:r>
    </w:p>
  </w:endnote>
  <w:endnote w:type="continuationSeparator" w:id="0">
    <w:p w:rsidR="009E4702" w:rsidRDefault="009E4702" w:rsidP="002002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702" w:rsidRDefault="009E4702" w:rsidP="00200221">
      <w:r>
        <w:separator/>
      </w:r>
    </w:p>
  </w:footnote>
  <w:footnote w:type="continuationSeparator" w:id="0">
    <w:p w:rsidR="009E4702" w:rsidRDefault="009E4702" w:rsidP="00200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02" w:rsidRPr="00450352" w:rsidRDefault="009E4702" w:rsidP="004F04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C83093"/>
    <w:multiLevelType w:val="multilevel"/>
    <w:tmpl w:val="60B8DD76"/>
    <w:lvl w:ilvl="0">
      <w:start w:val="1"/>
      <w:numFmt w:val="upperRoman"/>
      <w:lvlText w:val="%1."/>
      <w:lvlJc w:val="left"/>
      <w:pPr>
        <w:tabs>
          <w:tab w:val="num" w:pos="5616"/>
        </w:tabs>
        <w:ind w:left="5616" w:hanging="432"/>
      </w:pPr>
      <w:rPr>
        <w:rFonts w:hint="default"/>
        <w:sz w:val="24"/>
        <w:szCs w:val="24"/>
      </w:rPr>
    </w:lvl>
    <w:lvl w:ilvl="1">
      <w:start w:val="1"/>
      <w:numFmt w:val="upperLetter"/>
      <w:lvlText w:val="%2."/>
      <w:lvlJc w:val="left"/>
      <w:pPr>
        <w:tabs>
          <w:tab w:val="num" w:pos="432"/>
        </w:tabs>
        <w:ind w:left="432" w:hanging="432"/>
      </w:pPr>
      <w:rPr>
        <w:rFonts w:ascii="Times New Roman" w:hAnsi="Times New Roman" w:cs="Times New Roman" w:hint="default"/>
        <w:b w:val="0"/>
        <w:bCs w:val="0"/>
        <w:i w:val="0"/>
        <w:iCs w:val="0"/>
        <w:sz w:val="24"/>
        <w:szCs w:val="24"/>
      </w:rPr>
    </w:lvl>
    <w:lvl w:ilvl="2">
      <w:start w:val="1"/>
      <w:numFmt w:val="decimal"/>
      <w:lvlText w:val="(%3)"/>
      <w:lvlJc w:val="left"/>
      <w:pPr>
        <w:tabs>
          <w:tab w:val="num" w:pos="6048"/>
        </w:tabs>
        <w:ind w:left="6048" w:hanging="432"/>
      </w:pPr>
      <w:rPr>
        <w:rFonts w:ascii="Times New Roman" w:eastAsia="Times New Roman" w:hAnsi="Times New Roman" w:hint="default"/>
        <w:b w:val="0"/>
        <w:bCs w:val="0"/>
        <w:i w:val="0"/>
        <w:iCs w:val="0"/>
        <w:sz w:val="24"/>
        <w:szCs w:val="24"/>
      </w:rPr>
    </w:lvl>
    <w:lvl w:ilvl="3">
      <w:start w:val="1"/>
      <w:numFmt w:val="lowerLetter"/>
      <w:lvlText w:val="%4)"/>
      <w:lvlJc w:val="left"/>
      <w:pPr>
        <w:tabs>
          <w:tab w:val="num" w:pos="6480"/>
        </w:tabs>
        <w:ind w:left="6480" w:hanging="432"/>
      </w:pPr>
      <w:rPr>
        <w:rFonts w:hint="default"/>
        <w:b w:val="0"/>
        <w:bCs w:val="0"/>
        <w:i w:val="0"/>
        <w:iCs w:val="0"/>
      </w:rPr>
    </w:lvl>
    <w:lvl w:ilvl="4">
      <w:start w:val="1"/>
      <w:numFmt w:val="lowerRoman"/>
      <w:lvlText w:val="(%5)"/>
      <w:lvlJc w:val="left"/>
      <w:pPr>
        <w:tabs>
          <w:tab w:val="num" w:pos="1512"/>
        </w:tabs>
        <w:ind w:left="1512" w:hanging="432"/>
      </w:pPr>
      <w:rPr>
        <w:rFonts w:hint="default"/>
      </w:rPr>
    </w:lvl>
    <w:lvl w:ilvl="5">
      <w:start w:val="1"/>
      <w:numFmt w:val="decimal"/>
      <w:lvlText w:val="(%6)"/>
      <w:lvlJc w:val="left"/>
      <w:pPr>
        <w:tabs>
          <w:tab w:val="num" w:pos="0"/>
        </w:tabs>
        <w:ind w:left="7776" w:hanging="432"/>
      </w:pPr>
      <w:rPr>
        <w:rFonts w:hint="default"/>
      </w:rPr>
    </w:lvl>
    <w:lvl w:ilvl="6">
      <w:start w:val="1"/>
      <w:numFmt w:val="decimal"/>
      <w:lvlText w:val="%7."/>
      <w:lvlJc w:val="left"/>
      <w:pPr>
        <w:tabs>
          <w:tab w:val="num" w:pos="0"/>
        </w:tabs>
        <w:ind w:left="8208" w:hanging="432"/>
      </w:pPr>
      <w:rPr>
        <w:rFonts w:hint="default"/>
      </w:rPr>
    </w:lvl>
    <w:lvl w:ilvl="7">
      <w:start w:val="1"/>
      <w:numFmt w:val="lowerLetter"/>
      <w:lvlText w:val="%8."/>
      <w:lvlJc w:val="left"/>
      <w:pPr>
        <w:tabs>
          <w:tab w:val="num" w:pos="0"/>
        </w:tabs>
        <w:ind w:left="8640" w:hanging="432"/>
      </w:pPr>
      <w:rPr>
        <w:rFonts w:hint="default"/>
      </w:rPr>
    </w:lvl>
    <w:lvl w:ilvl="8">
      <w:start w:val="1"/>
      <w:numFmt w:val="lowerRoman"/>
      <w:lvlText w:val="%9."/>
      <w:lvlJc w:val="left"/>
      <w:pPr>
        <w:tabs>
          <w:tab w:val="num" w:pos="0"/>
        </w:tabs>
        <w:ind w:left="9072" w:hanging="432"/>
      </w:pPr>
      <w:rPr>
        <w:rFonts w:hint="default"/>
      </w:rPr>
    </w:lvl>
  </w:abstractNum>
  <w:abstractNum w:abstractNumId="12">
    <w:nsid w:val="1F500897"/>
    <w:multiLevelType w:val="multilevel"/>
    <w:tmpl w:val="73003E9A"/>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CC47DB7"/>
    <w:multiLevelType w:val="hybridMultilevel"/>
    <w:tmpl w:val="56C0892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5">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603130A"/>
    <w:multiLevelType w:val="multilevel"/>
    <w:tmpl w:val="1EC26458"/>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7">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4283EE8"/>
    <w:multiLevelType w:val="multilevel"/>
    <w:tmpl w:val="7C3EE302"/>
    <w:lvl w:ilvl="0">
      <w:start w:val="1"/>
      <w:numFmt w:val="decimal"/>
      <w:pStyle w:val="ParaNoNdepar-AltN"/>
      <w:lvlText w:val="[%1]"/>
      <w:lvlJc w:val="left"/>
      <w:pPr>
        <w:tabs>
          <w:tab w:val="num" w:pos="1152"/>
        </w:tabs>
        <w:ind w:left="0" w:firstLine="0"/>
      </w:pPr>
      <w:rPr>
        <w:rFonts w:ascii="Times New Roman" w:hAnsi="Times New Roman" w:hint="default"/>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42D10F6"/>
    <w:multiLevelType w:val="multilevel"/>
    <w:tmpl w:val="A3E069C6"/>
    <w:lvl w:ilvl="0">
      <w:start w:val="1"/>
      <w:numFmt w:val="upperRoman"/>
      <w:lvlText w:val="%1."/>
      <w:lvlJc w:val="left"/>
      <w:pPr>
        <w:tabs>
          <w:tab w:val="num" w:pos="5616"/>
        </w:tabs>
        <w:ind w:left="5616" w:hanging="432"/>
      </w:pPr>
      <w:rPr>
        <w:rFonts w:hint="default"/>
        <w:sz w:val="24"/>
        <w:szCs w:val="24"/>
      </w:rPr>
    </w:lvl>
    <w:lvl w:ilvl="1">
      <w:start w:val="1"/>
      <w:numFmt w:val="upperLetter"/>
      <w:lvlText w:val="%2."/>
      <w:lvlJc w:val="left"/>
      <w:pPr>
        <w:tabs>
          <w:tab w:val="num" w:pos="432"/>
        </w:tabs>
        <w:ind w:left="432" w:hanging="432"/>
      </w:pPr>
      <w:rPr>
        <w:rFonts w:ascii="Times New Roman" w:hAnsi="Times New Roman" w:cs="Times New Roman" w:hint="default"/>
        <w:b w:val="0"/>
        <w:bCs w:val="0"/>
        <w:i w:val="0"/>
        <w:iCs w:val="0"/>
        <w:sz w:val="24"/>
        <w:szCs w:val="24"/>
      </w:rPr>
    </w:lvl>
    <w:lvl w:ilvl="2">
      <w:start w:val="1"/>
      <w:numFmt w:val="decimal"/>
      <w:lvlText w:val="(%3)"/>
      <w:lvlJc w:val="left"/>
      <w:pPr>
        <w:tabs>
          <w:tab w:val="num" w:pos="6048"/>
        </w:tabs>
        <w:ind w:left="6048" w:hanging="432"/>
      </w:pPr>
      <w:rPr>
        <w:rFonts w:ascii="Times New Roman" w:eastAsia="Times New Roman" w:hAnsi="Times New Roman"/>
        <w:b w:val="0"/>
        <w:bCs w:val="0"/>
        <w:i w:val="0"/>
        <w:iCs w:val="0"/>
        <w:sz w:val="24"/>
        <w:szCs w:val="24"/>
      </w:rPr>
    </w:lvl>
    <w:lvl w:ilvl="3">
      <w:start w:val="1"/>
      <w:numFmt w:val="lowerLetter"/>
      <w:lvlText w:val="(%4)"/>
      <w:lvlJc w:val="left"/>
      <w:pPr>
        <w:tabs>
          <w:tab w:val="num" w:pos="6480"/>
        </w:tabs>
        <w:ind w:left="6480" w:hanging="432"/>
      </w:pPr>
      <w:rPr>
        <w:rFonts w:hint="default"/>
        <w:b w:val="0"/>
        <w:bCs w:val="0"/>
        <w:i w:val="0"/>
        <w:iCs w:val="0"/>
      </w:rPr>
    </w:lvl>
    <w:lvl w:ilvl="4">
      <w:start w:val="1"/>
      <w:numFmt w:val="lowerRoman"/>
      <w:lvlText w:val="(%5)"/>
      <w:lvlJc w:val="left"/>
      <w:pPr>
        <w:tabs>
          <w:tab w:val="num" w:pos="1512"/>
        </w:tabs>
        <w:ind w:left="15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nsid w:val="64DA4A19"/>
    <w:multiLevelType w:val="multilevel"/>
    <w:tmpl w:val="115C4B0A"/>
    <w:lvl w:ilvl="0">
      <w:start w:val="1"/>
      <w:numFmt w:val="decimal"/>
      <w:lvlText w:val="[%1]"/>
      <w:lvlJc w:val="left"/>
      <w:pPr>
        <w:tabs>
          <w:tab w:val="num" w:pos="1152"/>
        </w:tabs>
      </w:pPr>
      <w:rPr>
        <w:rFonts w:ascii="Times New Roman" w:hAnsi="Times New Roman" w:cs="Times New Roman" w:hint="default"/>
        <w:b w:val="0"/>
        <w:bCs w:val="0"/>
        <w:i w:val="0"/>
        <w:iCs w:val="0"/>
        <w:strike w:val="0"/>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61B41BE"/>
    <w:multiLevelType w:val="hybridMultilevel"/>
    <w:tmpl w:val="E19466D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5">
    <w:nsid w:val="77D920C7"/>
    <w:multiLevelType w:val="multilevel"/>
    <w:tmpl w:val="6D967AA4"/>
    <w:lvl w:ilvl="0">
      <w:start w:val="1"/>
      <w:numFmt w:val="bullet"/>
      <w:lvlText w:val=""/>
      <w:lvlPicBulletId w:val="0"/>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F2503D8"/>
    <w:multiLevelType w:val="multilevel"/>
    <w:tmpl w:val="5FD61A0C"/>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10"/>
  </w:num>
  <w:num w:numId="4">
    <w:abstractNumId w:val="18"/>
  </w:num>
  <w:num w:numId="5">
    <w:abstractNumId w:val="19"/>
  </w:num>
  <w:num w:numId="6">
    <w:abstractNumId w:val="20"/>
  </w:num>
  <w:num w:numId="7">
    <w:abstractNumId w:val="16"/>
  </w:num>
  <w:num w:numId="8">
    <w:abstractNumId w:val="24"/>
  </w:num>
  <w:num w:numId="9">
    <w:abstractNumId w:val="1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lvlOverride w:ilvl="0">
      <w:startOverride w:val="1"/>
    </w:lvlOverride>
    <w:lvlOverride w:ilvl="1">
      <w:startOverride w:val="1"/>
    </w:lvlOverride>
    <w:lvlOverride w:ilvl="2">
      <w:startOverride w:val="1"/>
    </w:lvlOverride>
    <w:lvlOverride w:ilvl="3">
      <w:startOverride w:val="2"/>
    </w:lvlOverride>
  </w:num>
  <w:num w:numId="13">
    <w:abstractNumId w:val="20"/>
    <w:lvlOverride w:ilvl="0">
      <w:startOverride w:val="1"/>
    </w:lvlOverride>
    <w:lvlOverride w:ilvl="1">
      <w:startOverride w:val="1"/>
    </w:lvlOverride>
    <w:lvlOverride w:ilvl="2">
      <w:startOverride w:val="1"/>
    </w:lvlOverride>
    <w:lvlOverride w:ilvl="3">
      <w:startOverride w:val="3"/>
    </w:lvlOverride>
  </w:num>
  <w:num w:numId="14">
    <w:abstractNumId w:val="20"/>
    <w:lvlOverride w:ilvl="0">
      <w:startOverride w:val="1"/>
    </w:lvlOverride>
    <w:lvlOverride w:ilvl="1">
      <w:startOverride w:val="1"/>
    </w:lvlOverride>
    <w:lvlOverride w:ilvl="2">
      <w:startOverride w:val="1"/>
    </w:lvlOverride>
    <w:lvlOverride w:ilvl="3">
      <w:startOverride w:val="4"/>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8">
    <w:abstractNumId w:val="2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1"/>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26"/>
  </w:num>
  <w:num w:numId="36">
    <w:abstractNumId w:val="12"/>
  </w:num>
  <w:num w:numId="37">
    <w:abstractNumId w:val="20"/>
  </w:num>
  <w:num w:numId="38">
    <w:abstractNumId w:val="20"/>
  </w:num>
  <w:num w:numId="39">
    <w:abstractNumId w:val="20"/>
  </w:num>
  <w:num w:numId="40">
    <w:abstractNumId w:val="20"/>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707CB2"/>
    <w:rsid w:val="00000E1C"/>
    <w:rsid w:val="000017E9"/>
    <w:rsid w:val="00004388"/>
    <w:rsid w:val="00004BE5"/>
    <w:rsid w:val="00010080"/>
    <w:rsid w:val="00010E93"/>
    <w:rsid w:val="00011371"/>
    <w:rsid w:val="00011C46"/>
    <w:rsid w:val="000134F7"/>
    <w:rsid w:val="00013F1C"/>
    <w:rsid w:val="00015F6D"/>
    <w:rsid w:val="00016078"/>
    <w:rsid w:val="00017094"/>
    <w:rsid w:val="00020CC2"/>
    <w:rsid w:val="0002338B"/>
    <w:rsid w:val="00025FF1"/>
    <w:rsid w:val="00026244"/>
    <w:rsid w:val="00027773"/>
    <w:rsid w:val="00027E04"/>
    <w:rsid w:val="00032600"/>
    <w:rsid w:val="000328AB"/>
    <w:rsid w:val="00032A3E"/>
    <w:rsid w:val="00032D37"/>
    <w:rsid w:val="000366C8"/>
    <w:rsid w:val="00036A7E"/>
    <w:rsid w:val="00036FBC"/>
    <w:rsid w:val="00040D63"/>
    <w:rsid w:val="00044BFC"/>
    <w:rsid w:val="00047190"/>
    <w:rsid w:val="00047295"/>
    <w:rsid w:val="0004737D"/>
    <w:rsid w:val="00047BED"/>
    <w:rsid w:val="00050A6A"/>
    <w:rsid w:val="000518E8"/>
    <w:rsid w:val="000520DD"/>
    <w:rsid w:val="00053847"/>
    <w:rsid w:val="00053DC8"/>
    <w:rsid w:val="00054267"/>
    <w:rsid w:val="000551DE"/>
    <w:rsid w:val="00056179"/>
    <w:rsid w:val="000579B2"/>
    <w:rsid w:val="000614F0"/>
    <w:rsid w:val="000627BF"/>
    <w:rsid w:val="00062B92"/>
    <w:rsid w:val="00066011"/>
    <w:rsid w:val="000679A8"/>
    <w:rsid w:val="00067F38"/>
    <w:rsid w:val="000708EA"/>
    <w:rsid w:val="00070D08"/>
    <w:rsid w:val="000724A8"/>
    <w:rsid w:val="00073921"/>
    <w:rsid w:val="0007393A"/>
    <w:rsid w:val="0007509A"/>
    <w:rsid w:val="000750F5"/>
    <w:rsid w:val="00076992"/>
    <w:rsid w:val="00077843"/>
    <w:rsid w:val="000816A4"/>
    <w:rsid w:val="00082784"/>
    <w:rsid w:val="00083144"/>
    <w:rsid w:val="00083A63"/>
    <w:rsid w:val="00084E7E"/>
    <w:rsid w:val="0008592D"/>
    <w:rsid w:val="000864DC"/>
    <w:rsid w:val="00087ABC"/>
    <w:rsid w:val="00091D31"/>
    <w:rsid w:val="000952C5"/>
    <w:rsid w:val="00095A2E"/>
    <w:rsid w:val="00096CF2"/>
    <w:rsid w:val="000A0504"/>
    <w:rsid w:val="000A6131"/>
    <w:rsid w:val="000A69D0"/>
    <w:rsid w:val="000B0046"/>
    <w:rsid w:val="000B3033"/>
    <w:rsid w:val="000B421C"/>
    <w:rsid w:val="000B42EA"/>
    <w:rsid w:val="000B54F7"/>
    <w:rsid w:val="000B625B"/>
    <w:rsid w:val="000C0097"/>
    <w:rsid w:val="000C02A5"/>
    <w:rsid w:val="000C4BD0"/>
    <w:rsid w:val="000C5209"/>
    <w:rsid w:val="000D0302"/>
    <w:rsid w:val="000D2356"/>
    <w:rsid w:val="000D3034"/>
    <w:rsid w:val="000D57F5"/>
    <w:rsid w:val="000E3543"/>
    <w:rsid w:val="000E4936"/>
    <w:rsid w:val="000E751B"/>
    <w:rsid w:val="000F0AFE"/>
    <w:rsid w:val="000F0C3E"/>
    <w:rsid w:val="000F330E"/>
    <w:rsid w:val="000F3B8D"/>
    <w:rsid w:val="000F4124"/>
    <w:rsid w:val="000F5CF8"/>
    <w:rsid w:val="000F695E"/>
    <w:rsid w:val="0010161E"/>
    <w:rsid w:val="0010174D"/>
    <w:rsid w:val="00102052"/>
    <w:rsid w:val="00103879"/>
    <w:rsid w:val="001057E1"/>
    <w:rsid w:val="001061E3"/>
    <w:rsid w:val="00107160"/>
    <w:rsid w:val="0011058C"/>
    <w:rsid w:val="001106D4"/>
    <w:rsid w:val="001122B2"/>
    <w:rsid w:val="00112464"/>
    <w:rsid w:val="00112B3F"/>
    <w:rsid w:val="00115C4C"/>
    <w:rsid w:val="00116D00"/>
    <w:rsid w:val="00116FCF"/>
    <w:rsid w:val="001209A5"/>
    <w:rsid w:val="00125351"/>
    <w:rsid w:val="0013030C"/>
    <w:rsid w:val="001342FB"/>
    <w:rsid w:val="0013481D"/>
    <w:rsid w:val="001355B2"/>
    <w:rsid w:val="001355D0"/>
    <w:rsid w:val="00136715"/>
    <w:rsid w:val="00137C6B"/>
    <w:rsid w:val="00137D6A"/>
    <w:rsid w:val="00142BB0"/>
    <w:rsid w:val="00142DDD"/>
    <w:rsid w:val="00145655"/>
    <w:rsid w:val="00147827"/>
    <w:rsid w:val="00147A8C"/>
    <w:rsid w:val="00150E8F"/>
    <w:rsid w:val="001511E2"/>
    <w:rsid w:val="001576C5"/>
    <w:rsid w:val="00157E8B"/>
    <w:rsid w:val="00160E84"/>
    <w:rsid w:val="001626F9"/>
    <w:rsid w:val="00165A08"/>
    <w:rsid w:val="001678A2"/>
    <w:rsid w:val="00172B8D"/>
    <w:rsid w:val="00173CCE"/>
    <w:rsid w:val="00174466"/>
    <w:rsid w:val="00174EF2"/>
    <w:rsid w:val="00175736"/>
    <w:rsid w:val="001764BC"/>
    <w:rsid w:val="00176EB1"/>
    <w:rsid w:val="00180FAE"/>
    <w:rsid w:val="00183AB5"/>
    <w:rsid w:val="00183E5B"/>
    <w:rsid w:val="001845B0"/>
    <w:rsid w:val="00185D8F"/>
    <w:rsid w:val="00190376"/>
    <w:rsid w:val="00190422"/>
    <w:rsid w:val="001917C7"/>
    <w:rsid w:val="0019691E"/>
    <w:rsid w:val="00196D8A"/>
    <w:rsid w:val="001A0567"/>
    <w:rsid w:val="001A0FB5"/>
    <w:rsid w:val="001A104F"/>
    <w:rsid w:val="001A10BC"/>
    <w:rsid w:val="001A3EB6"/>
    <w:rsid w:val="001A5BA6"/>
    <w:rsid w:val="001A6FB9"/>
    <w:rsid w:val="001A7D84"/>
    <w:rsid w:val="001B0310"/>
    <w:rsid w:val="001B17AA"/>
    <w:rsid w:val="001B2197"/>
    <w:rsid w:val="001B2ABF"/>
    <w:rsid w:val="001B31ED"/>
    <w:rsid w:val="001B36BF"/>
    <w:rsid w:val="001B63FE"/>
    <w:rsid w:val="001B6C2C"/>
    <w:rsid w:val="001C05C3"/>
    <w:rsid w:val="001C0BD8"/>
    <w:rsid w:val="001C25DA"/>
    <w:rsid w:val="001C28D4"/>
    <w:rsid w:val="001C3097"/>
    <w:rsid w:val="001C50A0"/>
    <w:rsid w:val="001C58F9"/>
    <w:rsid w:val="001C62CD"/>
    <w:rsid w:val="001C7ECC"/>
    <w:rsid w:val="001D0004"/>
    <w:rsid w:val="001D02BE"/>
    <w:rsid w:val="001D0922"/>
    <w:rsid w:val="001D11B0"/>
    <w:rsid w:val="001D1DC4"/>
    <w:rsid w:val="001D2135"/>
    <w:rsid w:val="001D2625"/>
    <w:rsid w:val="001D27D7"/>
    <w:rsid w:val="001D5BA5"/>
    <w:rsid w:val="001D62FA"/>
    <w:rsid w:val="001E0C3D"/>
    <w:rsid w:val="001E0D98"/>
    <w:rsid w:val="001E2ADB"/>
    <w:rsid w:val="001E47AB"/>
    <w:rsid w:val="001E60CF"/>
    <w:rsid w:val="001E625E"/>
    <w:rsid w:val="001E686B"/>
    <w:rsid w:val="001E71AF"/>
    <w:rsid w:val="001F0621"/>
    <w:rsid w:val="001F6648"/>
    <w:rsid w:val="001F7BB3"/>
    <w:rsid w:val="00200221"/>
    <w:rsid w:val="002002C3"/>
    <w:rsid w:val="002012C2"/>
    <w:rsid w:val="0020509A"/>
    <w:rsid w:val="00205141"/>
    <w:rsid w:val="002059BB"/>
    <w:rsid w:val="00210C59"/>
    <w:rsid w:val="002139BB"/>
    <w:rsid w:val="0021458C"/>
    <w:rsid w:val="00215BE5"/>
    <w:rsid w:val="00216A94"/>
    <w:rsid w:val="00217496"/>
    <w:rsid w:val="00220A6F"/>
    <w:rsid w:val="00221677"/>
    <w:rsid w:val="00222145"/>
    <w:rsid w:val="00222398"/>
    <w:rsid w:val="0022535E"/>
    <w:rsid w:val="00225857"/>
    <w:rsid w:val="002260DF"/>
    <w:rsid w:val="002260FF"/>
    <w:rsid w:val="00230459"/>
    <w:rsid w:val="002308F9"/>
    <w:rsid w:val="00234EB1"/>
    <w:rsid w:val="00236FF5"/>
    <w:rsid w:val="00241BB8"/>
    <w:rsid w:val="00242E70"/>
    <w:rsid w:val="00243822"/>
    <w:rsid w:val="00243BDC"/>
    <w:rsid w:val="00243C2B"/>
    <w:rsid w:val="00245402"/>
    <w:rsid w:val="00246469"/>
    <w:rsid w:val="00246A7F"/>
    <w:rsid w:val="00247ECF"/>
    <w:rsid w:val="00251886"/>
    <w:rsid w:val="0025221F"/>
    <w:rsid w:val="002522C1"/>
    <w:rsid w:val="002537C9"/>
    <w:rsid w:val="00253934"/>
    <w:rsid w:val="00254121"/>
    <w:rsid w:val="00256F50"/>
    <w:rsid w:val="002600A7"/>
    <w:rsid w:val="002610A3"/>
    <w:rsid w:val="002634C5"/>
    <w:rsid w:val="00263AEA"/>
    <w:rsid w:val="00265E5A"/>
    <w:rsid w:val="00267A87"/>
    <w:rsid w:val="00271494"/>
    <w:rsid w:val="00272DED"/>
    <w:rsid w:val="00274C6A"/>
    <w:rsid w:val="00275325"/>
    <w:rsid w:val="002768AE"/>
    <w:rsid w:val="002816D5"/>
    <w:rsid w:val="002820B3"/>
    <w:rsid w:val="00282135"/>
    <w:rsid w:val="00283CDB"/>
    <w:rsid w:val="00286BCA"/>
    <w:rsid w:val="0028702C"/>
    <w:rsid w:val="0029193F"/>
    <w:rsid w:val="00291A1E"/>
    <w:rsid w:val="0029248B"/>
    <w:rsid w:val="00292ED2"/>
    <w:rsid w:val="00293A64"/>
    <w:rsid w:val="00295F78"/>
    <w:rsid w:val="00297115"/>
    <w:rsid w:val="002A0198"/>
    <w:rsid w:val="002A29A7"/>
    <w:rsid w:val="002A4851"/>
    <w:rsid w:val="002B267D"/>
    <w:rsid w:val="002B2A90"/>
    <w:rsid w:val="002B41E5"/>
    <w:rsid w:val="002B77DB"/>
    <w:rsid w:val="002C118A"/>
    <w:rsid w:val="002C2E91"/>
    <w:rsid w:val="002C59D4"/>
    <w:rsid w:val="002C6123"/>
    <w:rsid w:val="002C62EC"/>
    <w:rsid w:val="002C645F"/>
    <w:rsid w:val="002C6AE9"/>
    <w:rsid w:val="002C6F04"/>
    <w:rsid w:val="002D1513"/>
    <w:rsid w:val="002D3A95"/>
    <w:rsid w:val="002D670E"/>
    <w:rsid w:val="002D7C83"/>
    <w:rsid w:val="002E03D4"/>
    <w:rsid w:val="002E0BD3"/>
    <w:rsid w:val="002E13D0"/>
    <w:rsid w:val="002E2088"/>
    <w:rsid w:val="002E2584"/>
    <w:rsid w:val="002E37E4"/>
    <w:rsid w:val="002E4630"/>
    <w:rsid w:val="002E6261"/>
    <w:rsid w:val="002E7345"/>
    <w:rsid w:val="002E7CE1"/>
    <w:rsid w:val="002F0FBA"/>
    <w:rsid w:val="002F3A4D"/>
    <w:rsid w:val="002F6C5E"/>
    <w:rsid w:val="00303A1D"/>
    <w:rsid w:val="00303B3E"/>
    <w:rsid w:val="003045AC"/>
    <w:rsid w:val="003049C5"/>
    <w:rsid w:val="0030585A"/>
    <w:rsid w:val="003100D2"/>
    <w:rsid w:val="00311F36"/>
    <w:rsid w:val="0031258F"/>
    <w:rsid w:val="0031578E"/>
    <w:rsid w:val="00315EDD"/>
    <w:rsid w:val="0031641C"/>
    <w:rsid w:val="003206C7"/>
    <w:rsid w:val="00325595"/>
    <w:rsid w:val="003265A2"/>
    <w:rsid w:val="0032682F"/>
    <w:rsid w:val="00330696"/>
    <w:rsid w:val="00331CA2"/>
    <w:rsid w:val="003329BF"/>
    <w:rsid w:val="003335F5"/>
    <w:rsid w:val="003341EE"/>
    <w:rsid w:val="003351A0"/>
    <w:rsid w:val="00337B0C"/>
    <w:rsid w:val="00337DC3"/>
    <w:rsid w:val="00337DDF"/>
    <w:rsid w:val="003400A7"/>
    <w:rsid w:val="0034057A"/>
    <w:rsid w:val="00341D2F"/>
    <w:rsid w:val="00343DC0"/>
    <w:rsid w:val="00346FD3"/>
    <w:rsid w:val="00351180"/>
    <w:rsid w:val="0035142C"/>
    <w:rsid w:val="00351456"/>
    <w:rsid w:val="00351681"/>
    <w:rsid w:val="00352090"/>
    <w:rsid w:val="003567F8"/>
    <w:rsid w:val="00357E50"/>
    <w:rsid w:val="00361CDA"/>
    <w:rsid w:val="00362D88"/>
    <w:rsid w:val="00363FC8"/>
    <w:rsid w:val="00367D99"/>
    <w:rsid w:val="00370F3D"/>
    <w:rsid w:val="003730D0"/>
    <w:rsid w:val="003731FC"/>
    <w:rsid w:val="0037718E"/>
    <w:rsid w:val="00381C38"/>
    <w:rsid w:val="0038377D"/>
    <w:rsid w:val="00384EC5"/>
    <w:rsid w:val="00386975"/>
    <w:rsid w:val="00387120"/>
    <w:rsid w:val="0038746D"/>
    <w:rsid w:val="00392B95"/>
    <w:rsid w:val="0039338C"/>
    <w:rsid w:val="00393B08"/>
    <w:rsid w:val="00393D37"/>
    <w:rsid w:val="00394DEC"/>
    <w:rsid w:val="00395606"/>
    <w:rsid w:val="003A031B"/>
    <w:rsid w:val="003A11AE"/>
    <w:rsid w:val="003A3015"/>
    <w:rsid w:val="003A453B"/>
    <w:rsid w:val="003A532B"/>
    <w:rsid w:val="003B3F96"/>
    <w:rsid w:val="003C0894"/>
    <w:rsid w:val="003C0F67"/>
    <w:rsid w:val="003C2F3E"/>
    <w:rsid w:val="003C39D4"/>
    <w:rsid w:val="003C40E2"/>
    <w:rsid w:val="003C4114"/>
    <w:rsid w:val="003C4FB0"/>
    <w:rsid w:val="003C605E"/>
    <w:rsid w:val="003D13F6"/>
    <w:rsid w:val="003D3381"/>
    <w:rsid w:val="003D3BD9"/>
    <w:rsid w:val="003D3DFA"/>
    <w:rsid w:val="003D4040"/>
    <w:rsid w:val="003D4523"/>
    <w:rsid w:val="003D4D8D"/>
    <w:rsid w:val="003E04C3"/>
    <w:rsid w:val="003E1AB8"/>
    <w:rsid w:val="003E26D3"/>
    <w:rsid w:val="003E539C"/>
    <w:rsid w:val="003E773E"/>
    <w:rsid w:val="003E7C73"/>
    <w:rsid w:val="003F02C5"/>
    <w:rsid w:val="003F05DD"/>
    <w:rsid w:val="003F1399"/>
    <w:rsid w:val="003F1B95"/>
    <w:rsid w:val="003F3F0E"/>
    <w:rsid w:val="003F432F"/>
    <w:rsid w:val="003F4503"/>
    <w:rsid w:val="003F480B"/>
    <w:rsid w:val="003F4C92"/>
    <w:rsid w:val="00400CA7"/>
    <w:rsid w:val="004010F5"/>
    <w:rsid w:val="00403290"/>
    <w:rsid w:val="00403F4E"/>
    <w:rsid w:val="004048B5"/>
    <w:rsid w:val="00406986"/>
    <w:rsid w:val="004100D6"/>
    <w:rsid w:val="00411876"/>
    <w:rsid w:val="00414829"/>
    <w:rsid w:val="00420E40"/>
    <w:rsid w:val="0042154E"/>
    <w:rsid w:val="004228C7"/>
    <w:rsid w:val="00423CB9"/>
    <w:rsid w:val="00423E7E"/>
    <w:rsid w:val="00425992"/>
    <w:rsid w:val="00431207"/>
    <w:rsid w:val="00433028"/>
    <w:rsid w:val="00433184"/>
    <w:rsid w:val="0043463B"/>
    <w:rsid w:val="00434C0D"/>
    <w:rsid w:val="0043528E"/>
    <w:rsid w:val="0043578A"/>
    <w:rsid w:val="004377EF"/>
    <w:rsid w:val="0044162C"/>
    <w:rsid w:val="00441A0A"/>
    <w:rsid w:val="00441AEE"/>
    <w:rsid w:val="0044284C"/>
    <w:rsid w:val="00442F96"/>
    <w:rsid w:val="004448C1"/>
    <w:rsid w:val="0044535A"/>
    <w:rsid w:val="004456CC"/>
    <w:rsid w:val="00445811"/>
    <w:rsid w:val="004463F7"/>
    <w:rsid w:val="00454B53"/>
    <w:rsid w:val="00455A8F"/>
    <w:rsid w:val="00455C02"/>
    <w:rsid w:val="004566D3"/>
    <w:rsid w:val="004601E8"/>
    <w:rsid w:val="00460465"/>
    <w:rsid w:val="004620DD"/>
    <w:rsid w:val="004624BF"/>
    <w:rsid w:val="00464F12"/>
    <w:rsid w:val="0046504D"/>
    <w:rsid w:val="00466D0D"/>
    <w:rsid w:val="00471418"/>
    <w:rsid w:val="00472AAD"/>
    <w:rsid w:val="00475EA5"/>
    <w:rsid w:val="004762ED"/>
    <w:rsid w:val="0047768F"/>
    <w:rsid w:val="00480C18"/>
    <w:rsid w:val="00481065"/>
    <w:rsid w:val="00483027"/>
    <w:rsid w:val="00487168"/>
    <w:rsid w:val="004875C2"/>
    <w:rsid w:val="00487A40"/>
    <w:rsid w:val="004907C0"/>
    <w:rsid w:val="00491B25"/>
    <w:rsid w:val="004940AE"/>
    <w:rsid w:val="00494390"/>
    <w:rsid w:val="004962BD"/>
    <w:rsid w:val="0049648E"/>
    <w:rsid w:val="00497AB8"/>
    <w:rsid w:val="004A048D"/>
    <w:rsid w:val="004A1A66"/>
    <w:rsid w:val="004A1CFF"/>
    <w:rsid w:val="004A2198"/>
    <w:rsid w:val="004A289F"/>
    <w:rsid w:val="004A384E"/>
    <w:rsid w:val="004A44F0"/>
    <w:rsid w:val="004A476E"/>
    <w:rsid w:val="004A5BC3"/>
    <w:rsid w:val="004A7FE4"/>
    <w:rsid w:val="004B0358"/>
    <w:rsid w:val="004B302C"/>
    <w:rsid w:val="004B408D"/>
    <w:rsid w:val="004B469A"/>
    <w:rsid w:val="004B51F6"/>
    <w:rsid w:val="004B6EC3"/>
    <w:rsid w:val="004C034B"/>
    <w:rsid w:val="004C0954"/>
    <w:rsid w:val="004C0F77"/>
    <w:rsid w:val="004C100A"/>
    <w:rsid w:val="004C3CDE"/>
    <w:rsid w:val="004C4E46"/>
    <w:rsid w:val="004C69F1"/>
    <w:rsid w:val="004D114F"/>
    <w:rsid w:val="004D19F5"/>
    <w:rsid w:val="004D1A5B"/>
    <w:rsid w:val="004D22BD"/>
    <w:rsid w:val="004D4C6A"/>
    <w:rsid w:val="004D6D56"/>
    <w:rsid w:val="004D70AA"/>
    <w:rsid w:val="004D7F4E"/>
    <w:rsid w:val="004E16AA"/>
    <w:rsid w:val="004E1AF7"/>
    <w:rsid w:val="004F0412"/>
    <w:rsid w:val="004F213B"/>
    <w:rsid w:val="004F336E"/>
    <w:rsid w:val="004F4581"/>
    <w:rsid w:val="004F60E6"/>
    <w:rsid w:val="004F6C4F"/>
    <w:rsid w:val="00502A82"/>
    <w:rsid w:val="00503630"/>
    <w:rsid w:val="0051046B"/>
    <w:rsid w:val="005107F8"/>
    <w:rsid w:val="005114A1"/>
    <w:rsid w:val="00515365"/>
    <w:rsid w:val="00515C41"/>
    <w:rsid w:val="00516227"/>
    <w:rsid w:val="00517C6F"/>
    <w:rsid w:val="005220EB"/>
    <w:rsid w:val="00524663"/>
    <w:rsid w:val="0052526D"/>
    <w:rsid w:val="005268ED"/>
    <w:rsid w:val="00527EA1"/>
    <w:rsid w:val="00531778"/>
    <w:rsid w:val="0053271E"/>
    <w:rsid w:val="00532C67"/>
    <w:rsid w:val="00532E9A"/>
    <w:rsid w:val="0053738C"/>
    <w:rsid w:val="00537762"/>
    <w:rsid w:val="005377FB"/>
    <w:rsid w:val="0054256C"/>
    <w:rsid w:val="0054327B"/>
    <w:rsid w:val="00543F4D"/>
    <w:rsid w:val="00545432"/>
    <w:rsid w:val="005469A0"/>
    <w:rsid w:val="00550AEF"/>
    <w:rsid w:val="00551192"/>
    <w:rsid w:val="0055201F"/>
    <w:rsid w:val="005521B4"/>
    <w:rsid w:val="0055276C"/>
    <w:rsid w:val="0055292C"/>
    <w:rsid w:val="00553462"/>
    <w:rsid w:val="0055365D"/>
    <w:rsid w:val="0055613D"/>
    <w:rsid w:val="005564BE"/>
    <w:rsid w:val="00562189"/>
    <w:rsid w:val="00562A35"/>
    <w:rsid w:val="00562A79"/>
    <w:rsid w:val="00562B55"/>
    <w:rsid w:val="00563042"/>
    <w:rsid w:val="00565DAE"/>
    <w:rsid w:val="00566BFC"/>
    <w:rsid w:val="00567803"/>
    <w:rsid w:val="005679A3"/>
    <w:rsid w:val="00567C0D"/>
    <w:rsid w:val="005719A5"/>
    <w:rsid w:val="005728CE"/>
    <w:rsid w:val="00575838"/>
    <w:rsid w:val="00580D7D"/>
    <w:rsid w:val="00582F50"/>
    <w:rsid w:val="00583349"/>
    <w:rsid w:val="00583A1A"/>
    <w:rsid w:val="00585625"/>
    <w:rsid w:val="0058758F"/>
    <w:rsid w:val="00591668"/>
    <w:rsid w:val="00593AB0"/>
    <w:rsid w:val="005951EE"/>
    <w:rsid w:val="00595BCC"/>
    <w:rsid w:val="0059654B"/>
    <w:rsid w:val="0059658D"/>
    <w:rsid w:val="00596946"/>
    <w:rsid w:val="00596C8C"/>
    <w:rsid w:val="00597BB8"/>
    <w:rsid w:val="005A029B"/>
    <w:rsid w:val="005A1AEF"/>
    <w:rsid w:val="005B02F6"/>
    <w:rsid w:val="005B0889"/>
    <w:rsid w:val="005B2EC3"/>
    <w:rsid w:val="005B41A6"/>
    <w:rsid w:val="005B48D8"/>
    <w:rsid w:val="005B6230"/>
    <w:rsid w:val="005B652A"/>
    <w:rsid w:val="005B7361"/>
    <w:rsid w:val="005C12F9"/>
    <w:rsid w:val="005C34EF"/>
    <w:rsid w:val="005C432D"/>
    <w:rsid w:val="005C4F76"/>
    <w:rsid w:val="005C5511"/>
    <w:rsid w:val="005C5B93"/>
    <w:rsid w:val="005C5BAD"/>
    <w:rsid w:val="005C681B"/>
    <w:rsid w:val="005C73DF"/>
    <w:rsid w:val="005C74BC"/>
    <w:rsid w:val="005D11F3"/>
    <w:rsid w:val="005D217E"/>
    <w:rsid w:val="005D279C"/>
    <w:rsid w:val="005D2B39"/>
    <w:rsid w:val="005D32D2"/>
    <w:rsid w:val="005D3F49"/>
    <w:rsid w:val="005D442D"/>
    <w:rsid w:val="005D4968"/>
    <w:rsid w:val="005D782C"/>
    <w:rsid w:val="005E0522"/>
    <w:rsid w:val="005E30A3"/>
    <w:rsid w:val="005E5420"/>
    <w:rsid w:val="005E59AA"/>
    <w:rsid w:val="005E61B0"/>
    <w:rsid w:val="005E66E6"/>
    <w:rsid w:val="005F24CF"/>
    <w:rsid w:val="005F25C9"/>
    <w:rsid w:val="005F2DE4"/>
    <w:rsid w:val="005F30CA"/>
    <w:rsid w:val="005F7259"/>
    <w:rsid w:val="00601B6E"/>
    <w:rsid w:val="006022EA"/>
    <w:rsid w:val="00603395"/>
    <w:rsid w:val="00603FFD"/>
    <w:rsid w:val="00605950"/>
    <w:rsid w:val="00610262"/>
    <w:rsid w:val="006104EB"/>
    <w:rsid w:val="006113F6"/>
    <w:rsid w:val="0061144E"/>
    <w:rsid w:val="006118DB"/>
    <w:rsid w:val="006134B7"/>
    <w:rsid w:val="00614CD8"/>
    <w:rsid w:val="006155CE"/>
    <w:rsid w:val="0061564F"/>
    <w:rsid w:val="00616281"/>
    <w:rsid w:val="006173C1"/>
    <w:rsid w:val="00622BE7"/>
    <w:rsid w:val="00623E1D"/>
    <w:rsid w:val="00626229"/>
    <w:rsid w:val="00630162"/>
    <w:rsid w:val="00630971"/>
    <w:rsid w:val="00632D8A"/>
    <w:rsid w:val="00633654"/>
    <w:rsid w:val="00634FD8"/>
    <w:rsid w:val="00636F6A"/>
    <w:rsid w:val="00637528"/>
    <w:rsid w:val="0064014A"/>
    <w:rsid w:val="00641583"/>
    <w:rsid w:val="0064190F"/>
    <w:rsid w:val="00643DDF"/>
    <w:rsid w:val="00645B6F"/>
    <w:rsid w:val="006470B3"/>
    <w:rsid w:val="006506A7"/>
    <w:rsid w:val="006518EF"/>
    <w:rsid w:val="00652DCC"/>
    <w:rsid w:val="006537A6"/>
    <w:rsid w:val="00654C8A"/>
    <w:rsid w:val="0065623D"/>
    <w:rsid w:val="00657CCE"/>
    <w:rsid w:val="0066159F"/>
    <w:rsid w:val="00661F7E"/>
    <w:rsid w:val="0066375F"/>
    <w:rsid w:val="00663D8D"/>
    <w:rsid w:val="00663DBC"/>
    <w:rsid w:val="00664D36"/>
    <w:rsid w:val="006653E7"/>
    <w:rsid w:val="006672BA"/>
    <w:rsid w:val="00667F9B"/>
    <w:rsid w:val="00672C76"/>
    <w:rsid w:val="00673510"/>
    <w:rsid w:val="00673D25"/>
    <w:rsid w:val="00674499"/>
    <w:rsid w:val="00675EEC"/>
    <w:rsid w:val="006772F5"/>
    <w:rsid w:val="00681E96"/>
    <w:rsid w:val="0068221E"/>
    <w:rsid w:val="00682C16"/>
    <w:rsid w:val="00682E6A"/>
    <w:rsid w:val="0068388B"/>
    <w:rsid w:val="00686BCD"/>
    <w:rsid w:val="00686FCE"/>
    <w:rsid w:val="0068784B"/>
    <w:rsid w:val="006907A3"/>
    <w:rsid w:val="00690DE1"/>
    <w:rsid w:val="006955EE"/>
    <w:rsid w:val="0069588E"/>
    <w:rsid w:val="00695DA2"/>
    <w:rsid w:val="00697D41"/>
    <w:rsid w:val="006A111C"/>
    <w:rsid w:val="006A289B"/>
    <w:rsid w:val="006A4151"/>
    <w:rsid w:val="006A41D6"/>
    <w:rsid w:val="006A584F"/>
    <w:rsid w:val="006A739A"/>
    <w:rsid w:val="006A7DC6"/>
    <w:rsid w:val="006B20A1"/>
    <w:rsid w:val="006B20A3"/>
    <w:rsid w:val="006B29BE"/>
    <w:rsid w:val="006B3695"/>
    <w:rsid w:val="006B4FFC"/>
    <w:rsid w:val="006B5AF5"/>
    <w:rsid w:val="006B5AF7"/>
    <w:rsid w:val="006B5BFC"/>
    <w:rsid w:val="006C232D"/>
    <w:rsid w:val="006C272D"/>
    <w:rsid w:val="006C3204"/>
    <w:rsid w:val="006C3734"/>
    <w:rsid w:val="006C4517"/>
    <w:rsid w:val="006C6666"/>
    <w:rsid w:val="006D2438"/>
    <w:rsid w:val="006D3DC6"/>
    <w:rsid w:val="006D40D3"/>
    <w:rsid w:val="006D42D6"/>
    <w:rsid w:val="006D6ED9"/>
    <w:rsid w:val="006E0D55"/>
    <w:rsid w:val="006E1D73"/>
    <w:rsid w:val="006E24C0"/>
    <w:rsid w:val="006E57AC"/>
    <w:rsid w:val="006E57F0"/>
    <w:rsid w:val="006E58E2"/>
    <w:rsid w:val="006E64AA"/>
    <w:rsid w:val="006E72BF"/>
    <w:rsid w:val="006E76C7"/>
    <w:rsid w:val="006E77F2"/>
    <w:rsid w:val="006F0B2E"/>
    <w:rsid w:val="006F1AF9"/>
    <w:rsid w:val="006F5A46"/>
    <w:rsid w:val="006F5C21"/>
    <w:rsid w:val="006F5EC3"/>
    <w:rsid w:val="006F643E"/>
    <w:rsid w:val="006F6C0C"/>
    <w:rsid w:val="00700FF1"/>
    <w:rsid w:val="007020EC"/>
    <w:rsid w:val="00707CB2"/>
    <w:rsid w:val="007113F1"/>
    <w:rsid w:val="0071141C"/>
    <w:rsid w:val="00711618"/>
    <w:rsid w:val="007127DF"/>
    <w:rsid w:val="007153CF"/>
    <w:rsid w:val="0072204A"/>
    <w:rsid w:val="007230AA"/>
    <w:rsid w:val="0072443B"/>
    <w:rsid w:val="00724F01"/>
    <w:rsid w:val="00727CB8"/>
    <w:rsid w:val="00730566"/>
    <w:rsid w:val="00733713"/>
    <w:rsid w:val="00733960"/>
    <w:rsid w:val="007374BF"/>
    <w:rsid w:val="00737B8B"/>
    <w:rsid w:val="00737FF3"/>
    <w:rsid w:val="00737FF6"/>
    <w:rsid w:val="007410F3"/>
    <w:rsid w:val="00741250"/>
    <w:rsid w:val="0074146A"/>
    <w:rsid w:val="00741BEC"/>
    <w:rsid w:val="00741C37"/>
    <w:rsid w:val="00746428"/>
    <w:rsid w:val="0074644A"/>
    <w:rsid w:val="007469F8"/>
    <w:rsid w:val="0075021C"/>
    <w:rsid w:val="00750F8A"/>
    <w:rsid w:val="00751936"/>
    <w:rsid w:val="00754D8A"/>
    <w:rsid w:val="00755A0E"/>
    <w:rsid w:val="00757E4E"/>
    <w:rsid w:val="00760ECD"/>
    <w:rsid w:val="00761EF6"/>
    <w:rsid w:val="00763C18"/>
    <w:rsid w:val="00765806"/>
    <w:rsid w:val="007659CE"/>
    <w:rsid w:val="00766A2E"/>
    <w:rsid w:val="0076730A"/>
    <w:rsid w:val="00767F17"/>
    <w:rsid w:val="007709A6"/>
    <w:rsid w:val="00772D38"/>
    <w:rsid w:val="007735E0"/>
    <w:rsid w:val="00776379"/>
    <w:rsid w:val="00776BB9"/>
    <w:rsid w:val="00777D2D"/>
    <w:rsid w:val="0078001C"/>
    <w:rsid w:val="00784D4F"/>
    <w:rsid w:val="007918F1"/>
    <w:rsid w:val="007929D6"/>
    <w:rsid w:val="00792C8B"/>
    <w:rsid w:val="00795999"/>
    <w:rsid w:val="007A0D1B"/>
    <w:rsid w:val="007A1AEE"/>
    <w:rsid w:val="007A32E3"/>
    <w:rsid w:val="007A4C00"/>
    <w:rsid w:val="007A66CE"/>
    <w:rsid w:val="007A66D5"/>
    <w:rsid w:val="007A72E4"/>
    <w:rsid w:val="007B07AD"/>
    <w:rsid w:val="007B1965"/>
    <w:rsid w:val="007B3FB1"/>
    <w:rsid w:val="007B55CF"/>
    <w:rsid w:val="007B5A8E"/>
    <w:rsid w:val="007B5BEB"/>
    <w:rsid w:val="007C0205"/>
    <w:rsid w:val="007C027D"/>
    <w:rsid w:val="007C0353"/>
    <w:rsid w:val="007C0634"/>
    <w:rsid w:val="007C1052"/>
    <w:rsid w:val="007C34A9"/>
    <w:rsid w:val="007C3E0A"/>
    <w:rsid w:val="007C4957"/>
    <w:rsid w:val="007C4B60"/>
    <w:rsid w:val="007C6236"/>
    <w:rsid w:val="007C64F2"/>
    <w:rsid w:val="007D1212"/>
    <w:rsid w:val="007D28B6"/>
    <w:rsid w:val="007D28CC"/>
    <w:rsid w:val="007D3F16"/>
    <w:rsid w:val="007D43C3"/>
    <w:rsid w:val="007D5909"/>
    <w:rsid w:val="007D7276"/>
    <w:rsid w:val="007D7534"/>
    <w:rsid w:val="007D7973"/>
    <w:rsid w:val="007E15DC"/>
    <w:rsid w:val="007E4605"/>
    <w:rsid w:val="007E531F"/>
    <w:rsid w:val="007E570F"/>
    <w:rsid w:val="007E5B48"/>
    <w:rsid w:val="007E793A"/>
    <w:rsid w:val="007F1652"/>
    <w:rsid w:val="007F3416"/>
    <w:rsid w:val="007F3451"/>
    <w:rsid w:val="007F49C7"/>
    <w:rsid w:val="007F5715"/>
    <w:rsid w:val="007F68ED"/>
    <w:rsid w:val="00800A10"/>
    <w:rsid w:val="008043F1"/>
    <w:rsid w:val="00805AD8"/>
    <w:rsid w:val="008065A5"/>
    <w:rsid w:val="008076EA"/>
    <w:rsid w:val="008111D7"/>
    <w:rsid w:val="00811418"/>
    <w:rsid w:val="00811888"/>
    <w:rsid w:val="00813A19"/>
    <w:rsid w:val="00814A81"/>
    <w:rsid w:val="008151D9"/>
    <w:rsid w:val="00815824"/>
    <w:rsid w:val="00816B8D"/>
    <w:rsid w:val="0082210E"/>
    <w:rsid w:val="00822136"/>
    <w:rsid w:val="00824C09"/>
    <w:rsid w:val="00825622"/>
    <w:rsid w:val="00825940"/>
    <w:rsid w:val="00826038"/>
    <w:rsid w:val="00827A48"/>
    <w:rsid w:val="00827B06"/>
    <w:rsid w:val="0083003D"/>
    <w:rsid w:val="008308F9"/>
    <w:rsid w:val="008317F8"/>
    <w:rsid w:val="0083407C"/>
    <w:rsid w:val="00834B21"/>
    <w:rsid w:val="008358E2"/>
    <w:rsid w:val="008428A2"/>
    <w:rsid w:val="00846CA3"/>
    <w:rsid w:val="008477F5"/>
    <w:rsid w:val="00850921"/>
    <w:rsid w:val="0085229E"/>
    <w:rsid w:val="008628E3"/>
    <w:rsid w:val="0086323A"/>
    <w:rsid w:val="008642E1"/>
    <w:rsid w:val="00866BAB"/>
    <w:rsid w:val="00867AF5"/>
    <w:rsid w:val="00870F90"/>
    <w:rsid w:val="00871314"/>
    <w:rsid w:val="008747C9"/>
    <w:rsid w:val="00876E4B"/>
    <w:rsid w:val="00882760"/>
    <w:rsid w:val="00882A9F"/>
    <w:rsid w:val="00883964"/>
    <w:rsid w:val="00883AC8"/>
    <w:rsid w:val="008869EE"/>
    <w:rsid w:val="00890CBB"/>
    <w:rsid w:val="008912B1"/>
    <w:rsid w:val="008914A6"/>
    <w:rsid w:val="00891AB7"/>
    <w:rsid w:val="008925B4"/>
    <w:rsid w:val="008926BB"/>
    <w:rsid w:val="00893856"/>
    <w:rsid w:val="00893EA4"/>
    <w:rsid w:val="00894CAA"/>
    <w:rsid w:val="0089545F"/>
    <w:rsid w:val="008A03B7"/>
    <w:rsid w:val="008A0E9B"/>
    <w:rsid w:val="008A183B"/>
    <w:rsid w:val="008A1FE9"/>
    <w:rsid w:val="008A247E"/>
    <w:rsid w:val="008A480B"/>
    <w:rsid w:val="008A4E8A"/>
    <w:rsid w:val="008A660E"/>
    <w:rsid w:val="008A7B8C"/>
    <w:rsid w:val="008B1B12"/>
    <w:rsid w:val="008B45A0"/>
    <w:rsid w:val="008C0E24"/>
    <w:rsid w:val="008C1957"/>
    <w:rsid w:val="008C2F2C"/>
    <w:rsid w:val="008D14C5"/>
    <w:rsid w:val="008D28C3"/>
    <w:rsid w:val="008D3BA5"/>
    <w:rsid w:val="008D52C2"/>
    <w:rsid w:val="008D5660"/>
    <w:rsid w:val="008E0BD8"/>
    <w:rsid w:val="008E0DAF"/>
    <w:rsid w:val="008E1015"/>
    <w:rsid w:val="008E1178"/>
    <w:rsid w:val="008E4183"/>
    <w:rsid w:val="008E53BD"/>
    <w:rsid w:val="008E63A0"/>
    <w:rsid w:val="008E6CDD"/>
    <w:rsid w:val="008E6D14"/>
    <w:rsid w:val="008F026F"/>
    <w:rsid w:val="008F0F93"/>
    <w:rsid w:val="008F3253"/>
    <w:rsid w:val="008F3A1F"/>
    <w:rsid w:val="008F3CA4"/>
    <w:rsid w:val="00900247"/>
    <w:rsid w:val="00900F2F"/>
    <w:rsid w:val="00901192"/>
    <w:rsid w:val="009014C6"/>
    <w:rsid w:val="009016B4"/>
    <w:rsid w:val="009029D6"/>
    <w:rsid w:val="00903705"/>
    <w:rsid w:val="009039B9"/>
    <w:rsid w:val="00904FCC"/>
    <w:rsid w:val="00905689"/>
    <w:rsid w:val="0090572B"/>
    <w:rsid w:val="00906DFB"/>
    <w:rsid w:val="0091121A"/>
    <w:rsid w:val="00912A37"/>
    <w:rsid w:val="0091368B"/>
    <w:rsid w:val="009149DE"/>
    <w:rsid w:val="0091746A"/>
    <w:rsid w:val="00923233"/>
    <w:rsid w:val="00923F56"/>
    <w:rsid w:val="009263C2"/>
    <w:rsid w:val="00926A72"/>
    <w:rsid w:val="00927FF6"/>
    <w:rsid w:val="009304C4"/>
    <w:rsid w:val="0093299C"/>
    <w:rsid w:val="0093309D"/>
    <w:rsid w:val="009342E4"/>
    <w:rsid w:val="00934586"/>
    <w:rsid w:val="00934CFB"/>
    <w:rsid w:val="00934DDF"/>
    <w:rsid w:val="00935508"/>
    <w:rsid w:val="00935FBE"/>
    <w:rsid w:val="00935FC1"/>
    <w:rsid w:val="00942018"/>
    <w:rsid w:val="00942EC3"/>
    <w:rsid w:val="00946F3F"/>
    <w:rsid w:val="00947DA8"/>
    <w:rsid w:val="00952A4D"/>
    <w:rsid w:val="00955D3C"/>
    <w:rsid w:val="00956F38"/>
    <w:rsid w:val="0096206F"/>
    <w:rsid w:val="009624C1"/>
    <w:rsid w:val="00963DA4"/>
    <w:rsid w:val="00964E69"/>
    <w:rsid w:val="0096582F"/>
    <w:rsid w:val="009658D0"/>
    <w:rsid w:val="00966957"/>
    <w:rsid w:val="00966D87"/>
    <w:rsid w:val="009676AD"/>
    <w:rsid w:val="00967857"/>
    <w:rsid w:val="00970907"/>
    <w:rsid w:val="0097153B"/>
    <w:rsid w:val="00973C42"/>
    <w:rsid w:val="009762C4"/>
    <w:rsid w:val="0097710B"/>
    <w:rsid w:val="009778DD"/>
    <w:rsid w:val="009817AC"/>
    <w:rsid w:val="00981ECD"/>
    <w:rsid w:val="009822A3"/>
    <w:rsid w:val="0098315E"/>
    <w:rsid w:val="00985963"/>
    <w:rsid w:val="00986E21"/>
    <w:rsid w:val="00986F2A"/>
    <w:rsid w:val="00991D82"/>
    <w:rsid w:val="00991F58"/>
    <w:rsid w:val="00995B0B"/>
    <w:rsid w:val="00997D44"/>
    <w:rsid w:val="009A0258"/>
    <w:rsid w:val="009A3896"/>
    <w:rsid w:val="009A3EA6"/>
    <w:rsid w:val="009A46B8"/>
    <w:rsid w:val="009A5AE1"/>
    <w:rsid w:val="009A6A18"/>
    <w:rsid w:val="009A738E"/>
    <w:rsid w:val="009B021E"/>
    <w:rsid w:val="009B072C"/>
    <w:rsid w:val="009B31BD"/>
    <w:rsid w:val="009B3DCE"/>
    <w:rsid w:val="009B4AE8"/>
    <w:rsid w:val="009B5BED"/>
    <w:rsid w:val="009B70C6"/>
    <w:rsid w:val="009B7388"/>
    <w:rsid w:val="009C0675"/>
    <w:rsid w:val="009C0942"/>
    <w:rsid w:val="009C462A"/>
    <w:rsid w:val="009D246A"/>
    <w:rsid w:val="009D3D1E"/>
    <w:rsid w:val="009D576B"/>
    <w:rsid w:val="009D6571"/>
    <w:rsid w:val="009D6FA0"/>
    <w:rsid w:val="009E3461"/>
    <w:rsid w:val="009E3D1C"/>
    <w:rsid w:val="009E4702"/>
    <w:rsid w:val="009F36FF"/>
    <w:rsid w:val="009F392E"/>
    <w:rsid w:val="009F4934"/>
    <w:rsid w:val="009F4A60"/>
    <w:rsid w:val="009F527E"/>
    <w:rsid w:val="00A01688"/>
    <w:rsid w:val="00A019D6"/>
    <w:rsid w:val="00A051B2"/>
    <w:rsid w:val="00A0520D"/>
    <w:rsid w:val="00A05B65"/>
    <w:rsid w:val="00A06CF2"/>
    <w:rsid w:val="00A108D1"/>
    <w:rsid w:val="00A12583"/>
    <w:rsid w:val="00A16E81"/>
    <w:rsid w:val="00A17E0F"/>
    <w:rsid w:val="00A208C3"/>
    <w:rsid w:val="00A20F7B"/>
    <w:rsid w:val="00A20FF6"/>
    <w:rsid w:val="00A22228"/>
    <w:rsid w:val="00A222DC"/>
    <w:rsid w:val="00A238B4"/>
    <w:rsid w:val="00A25751"/>
    <w:rsid w:val="00A25900"/>
    <w:rsid w:val="00A274AA"/>
    <w:rsid w:val="00A27E18"/>
    <w:rsid w:val="00A30392"/>
    <w:rsid w:val="00A311F8"/>
    <w:rsid w:val="00A32307"/>
    <w:rsid w:val="00A34676"/>
    <w:rsid w:val="00A358F4"/>
    <w:rsid w:val="00A404F9"/>
    <w:rsid w:val="00A40FFA"/>
    <w:rsid w:val="00A42167"/>
    <w:rsid w:val="00A428F3"/>
    <w:rsid w:val="00A448AE"/>
    <w:rsid w:val="00A449EB"/>
    <w:rsid w:val="00A45231"/>
    <w:rsid w:val="00A453B2"/>
    <w:rsid w:val="00A47692"/>
    <w:rsid w:val="00A50A81"/>
    <w:rsid w:val="00A5186F"/>
    <w:rsid w:val="00A51AE0"/>
    <w:rsid w:val="00A52742"/>
    <w:rsid w:val="00A53B9C"/>
    <w:rsid w:val="00A53BDB"/>
    <w:rsid w:val="00A56078"/>
    <w:rsid w:val="00A566E6"/>
    <w:rsid w:val="00A601E6"/>
    <w:rsid w:val="00A60D90"/>
    <w:rsid w:val="00A61E25"/>
    <w:rsid w:val="00A6285D"/>
    <w:rsid w:val="00A643D4"/>
    <w:rsid w:val="00A64E7C"/>
    <w:rsid w:val="00A67158"/>
    <w:rsid w:val="00A716E8"/>
    <w:rsid w:val="00A72612"/>
    <w:rsid w:val="00A72E33"/>
    <w:rsid w:val="00A748AA"/>
    <w:rsid w:val="00A749A0"/>
    <w:rsid w:val="00A75078"/>
    <w:rsid w:val="00A82A9B"/>
    <w:rsid w:val="00A82AA0"/>
    <w:rsid w:val="00A83774"/>
    <w:rsid w:val="00A83DB5"/>
    <w:rsid w:val="00A85452"/>
    <w:rsid w:val="00A8558F"/>
    <w:rsid w:val="00A85FCF"/>
    <w:rsid w:val="00A877B8"/>
    <w:rsid w:val="00A91D49"/>
    <w:rsid w:val="00A91D9B"/>
    <w:rsid w:val="00A92925"/>
    <w:rsid w:val="00A92D63"/>
    <w:rsid w:val="00A93099"/>
    <w:rsid w:val="00A936AE"/>
    <w:rsid w:val="00A939C6"/>
    <w:rsid w:val="00A95023"/>
    <w:rsid w:val="00A95C77"/>
    <w:rsid w:val="00A9652C"/>
    <w:rsid w:val="00A967B0"/>
    <w:rsid w:val="00A97777"/>
    <w:rsid w:val="00AA048E"/>
    <w:rsid w:val="00AA0770"/>
    <w:rsid w:val="00AA08B7"/>
    <w:rsid w:val="00AA0DD5"/>
    <w:rsid w:val="00AA1268"/>
    <w:rsid w:val="00AA2878"/>
    <w:rsid w:val="00AA319E"/>
    <w:rsid w:val="00AA4B7A"/>
    <w:rsid w:val="00AA4CD7"/>
    <w:rsid w:val="00AA5439"/>
    <w:rsid w:val="00AA63AD"/>
    <w:rsid w:val="00AA673B"/>
    <w:rsid w:val="00AB0BE1"/>
    <w:rsid w:val="00AB338B"/>
    <w:rsid w:val="00AB3B64"/>
    <w:rsid w:val="00AB4AD6"/>
    <w:rsid w:val="00AB4D99"/>
    <w:rsid w:val="00AB64EE"/>
    <w:rsid w:val="00AC1F0A"/>
    <w:rsid w:val="00AC228C"/>
    <w:rsid w:val="00AC44D2"/>
    <w:rsid w:val="00AD01EA"/>
    <w:rsid w:val="00AD1865"/>
    <w:rsid w:val="00AD246B"/>
    <w:rsid w:val="00AD38AD"/>
    <w:rsid w:val="00AD49DE"/>
    <w:rsid w:val="00AD6C78"/>
    <w:rsid w:val="00AE15BA"/>
    <w:rsid w:val="00AE355D"/>
    <w:rsid w:val="00AE41F5"/>
    <w:rsid w:val="00AE4900"/>
    <w:rsid w:val="00AE498A"/>
    <w:rsid w:val="00AE4FDE"/>
    <w:rsid w:val="00AE57F1"/>
    <w:rsid w:val="00AE701A"/>
    <w:rsid w:val="00AE732E"/>
    <w:rsid w:val="00AF0A24"/>
    <w:rsid w:val="00AF163C"/>
    <w:rsid w:val="00AF22C2"/>
    <w:rsid w:val="00AF3D50"/>
    <w:rsid w:val="00AF491F"/>
    <w:rsid w:val="00B01201"/>
    <w:rsid w:val="00B045AA"/>
    <w:rsid w:val="00B046A5"/>
    <w:rsid w:val="00B04901"/>
    <w:rsid w:val="00B1360C"/>
    <w:rsid w:val="00B142B1"/>
    <w:rsid w:val="00B14F1C"/>
    <w:rsid w:val="00B2301D"/>
    <w:rsid w:val="00B23115"/>
    <w:rsid w:val="00B30591"/>
    <w:rsid w:val="00B30934"/>
    <w:rsid w:val="00B31F43"/>
    <w:rsid w:val="00B325E1"/>
    <w:rsid w:val="00B32807"/>
    <w:rsid w:val="00B3280C"/>
    <w:rsid w:val="00B34BCC"/>
    <w:rsid w:val="00B35E2E"/>
    <w:rsid w:val="00B35EAF"/>
    <w:rsid w:val="00B3625E"/>
    <w:rsid w:val="00B36DED"/>
    <w:rsid w:val="00B423C9"/>
    <w:rsid w:val="00B46682"/>
    <w:rsid w:val="00B46E74"/>
    <w:rsid w:val="00B4766C"/>
    <w:rsid w:val="00B50652"/>
    <w:rsid w:val="00B51EBD"/>
    <w:rsid w:val="00B52ED2"/>
    <w:rsid w:val="00B567CB"/>
    <w:rsid w:val="00B56C1D"/>
    <w:rsid w:val="00B60F6B"/>
    <w:rsid w:val="00B6179C"/>
    <w:rsid w:val="00B63125"/>
    <w:rsid w:val="00B662F8"/>
    <w:rsid w:val="00B66750"/>
    <w:rsid w:val="00B66C19"/>
    <w:rsid w:val="00B6782F"/>
    <w:rsid w:val="00B702FF"/>
    <w:rsid w:val="00B710D7"/>
    <w:rsid w:val="00B71B15"/>
    <w:rsid w:val="00B73594"/>
    <w:rsid w:val="00B7509B"/>
    <w:rsid w:val="00B810E0"/>
    <w:rsid w:val="00B81170"/>
    <w:rsid w:val="00B8402E"/>
    <w:rsid w:val="00B85B7F"/>
    <w:rsid w:val="00B85E48"/>
    <w:rsid w:val="00B90F42"/>
    <w:rsid w:val="00B9182F"/>
    <w:rsid w:val="00B91D5F"/>
    <w:rsid w:val="00B94415"/>
    <w:rsid w:val="00BA00CE"/>
    <w:rsid w:val="00BA05FF"/>
    <w:rsid w:val="00BA0741"/>
    <w:rsid w:val="00BA18AC"/>
    <w:rsid w:val="00BA29A4"/>
    <w:rsid w:val="00BA2AB4"/>
    <w:rsid w:val="00BA2C24"/>
    <w:rsid w:val="00BA4A5E"/>
    <w:rsid w:val="00BA626A"/>
    <w:rsid w:val="00BB03C9"/>
    <w:rsid w:val="00BB058A"/>
    <w:rsid w:val="00BB0FCD"/>
    <w:rsid w:val="00BB177A"/>
    <w:rsid w:val="00BB1A6B"/>
    <w:rsid w:val="00BB3258"/>
    <w:rsid w:val="00BB3C8C"/>
    <w:rsid w:val="00BB439B"/>
    <w:rsid w:val="00BB5A23"/>
    <w:rsid w:val="00BB696F"/>
    <w:rsid w:val="00BC53ED"/>
    <w:rsid w:val="00BC6FFE"/>
    <w:rsid w:val="00BC74D6"/>
    <w:rsid w:val="00BD0D71"/>
    <w:rsid w:val="00BD3307"/>
    <w:rsid w:val="00BD3D1B"/>
    <w:rsid w:val="00BD4151"/>
    <w:rsid w:val="00BD5CA2"/>
    <w:rsid w:val="00BD6699"/>
    <w:rsid w:val="00BE1432"/>
    <w:rsid w:val="00BE2E8D"/>
    <w:rsid w:val="00BE4D26"/>
    <w:rsid w:val="00BE5E74"/>
    <w:rsid w:val="00BF284A"/>
    <w:rsid w:val="00BF48BC"/>
    <w:rsid w:val="00BF4D43"/>
    <w:rsid w:val="00BF7395"/>
    <w:rsid w:val="00C00EE5"/>
    <w:rsid w:val="00C01DCA"/>
    <w:rsid w:val="00C02784"/>
    <w:rsid w:val="00C044FA"/>
    <w:rsid w:val="00C04786"/>
    <w:rsid w:val="00C04995"/>
    <w:rsid w:val="00C05FC2"/>
    <w:rsid w:val="00C06F9F"/>
    <w:rsid w:val="00C072B7"/>
    <w:rsid w:val="00C078BF"/>
    <w:rsid w:val="00C11009"/>
    <w:rsid w:val="00C119EC"/>
    <w:rsid w:val="00C130BA"/>
    <w:rsid w:val="00C156C6"/>
    <w:rsid w:val="00C16141"/>
    <w:rsid w:val="00C169F4"/>
    <w:rsid w:val="00C17AA9"/>
    <w:rsid w:val="00C24272"/>
    <w:rsid w:val="00C2435E"/>
    <w:rsid w:val="00C244E4"/>
    <w:rsid w:val="00C2522A"/>
    <w:rsid w:val="00C262ED"/>
    <w:rsid w:val="00C26F35"/>
    <w:rsid w:val="00C334D8"/>
    <w:rsid w:val="00C3519D"/>
    <w:rsid w:val="00C40F18"/>
    <w:rsid w:val="00C424B5"/>
    <w:rsid w:val="00C4441B"/>
    <w:rsid w:val="00C47650"/>
    <w:rsid w:val="00C509D8"/>
    <w:rsid w:val="00C50FB4"/>
    <w:rsid w:val="00C51A0F"/>
    <w:rsid w:val="00C52D1F"/>
    <w:rsid w:val="00C53526"/>
    <w:rsid w:val="00C53BDE"/>
    <w:rsid w:val="00C544DC"/>
    <w:rsid w:val="00C564BF"/>
    <w:rsid w:val="00C57D74"/>
    <w:rsid w:val="00C61416"/>
    <w:rsid w:val="00C6173D"/>
    <w:rsid w:val="00C61FA4"/>
    <w:rsid w:val="00C62823"/>
    <w:rsid w:val="00C62C1A"/>
    <w:rsid w:val="00C66B2C"/>
    <w:rsid w:val="00C673C6"/>
    <w:rsid w:val="00C73BE3"/>
    <w:rsid w:val="00C74158"/>
    <w:rsid w:val="00C74895"/>
    <w:rsid w:val="00C76534"/>
    <w:rsid w:val="00C77F9A"/>
    <w:rsid w:val="00C8108C"/>
    <w:rsid w:val="00C811CC"/>
    <w:rsid w:val="00C81DC0"/>
    <w:rsid w:val="00C82388"/>
    <w:rsid w:val="00C8398B"/>
    <w:rsid w:val="00C85B58"/>
    <w:rsid w:val="00C86402"/>
    <w:rsid w:val="00C87502"/>
    <w:rsid w:val="00C902B0"/>
    <w:rsid w:val="00C90CF5"/>
    <w:rsid w:val="00C92B27"/>
    <w:rsid w:val="00C93003"/>
    <w:rsid w:val="00C9356A"/>
    <w:rsid w:val="00C939C7"/>
    <w:rsid w:val="00C96792"/>
    <w:rsid w:val="00C96F49"/>
    <w:rsid w:val="00C97CA7"/>
    <w:rsid w:val="00CA0FCF"/>
    <w:rsid w:val="00CA2C85"/>
    <w:rsid w:val="00CA3D49"/>
    <w:rsid w:val="00CA47EE"/>
    <w:rsid w:val="00CA5435"/>
    <w:rsid w:val="00CA5718"/>
    <w:rsid w:val="00CB212C"/>
    <w:rsid w:val="00CB2742"/>
    <w:rsid w:val="00CB2C35"/>
    <w:rsid w:val="00CB54FB"/>
    <w:rsid w:val="00CB6CC5"/>
    <w:rsid w:val="00CC07D8"/>
    <w:rsid w:val="00CC557F"/>
    <w:rsid w:val="00CD00F8"/>
    <w:rsid w:val="00CD056F"/>
    <w:rsid w:val="00CD0B8C"/>
    <w:rsid w:val="00CD107C"/>
    <w:rsid w:val="00CD1BAF"/>
    <w:rsid w:val="00CE0BD0"/>
    <w:rsid w:val="00CE29BF"/>
    <w:rsid w:val="00CE4904"/>
    <w:rsid w:val="00CE5CD6"/>
    <w:rsid w:val="00CE7EC6"/>
    <w:rsid w:val="00CF2983"/>
    <w:rsid w:val="00CF3E73"/>
    <w:rsid w:val="00CF4AFB"/>
    <w:rsid w:val="00CF69F2"/>
    <w:rsid w:val="00CF6E36"/>
    <w:rsid w:val="00CF6E6C"/>
    <w:rsid w:val="00CF7456"/>
    <w:rsid w:val="00CF7A17"/>
    <w:rsid w:val="00D022EC"/>
    <w:rsid w:val="00D04D1F"/>
    <w:rsid w:val="00D060B9"/>
    <w:rsid w:val="00D07750"/>
    <w:rsid w:val="00D11100"/>
    <w:rsid w:val="00D1182F"/>
    <w:rsid w:val="00D12656"/>
    <w:rsid w:val="00D1360A"/>
    <w:rsid w:val="00D15F8D"/>
    <w:rsid w:val="00D16FE3"/>
    <w:rsid w:val="00D17111"/>
    <w:rsid w:val="00D21C65"/>
    <w:rsid w:val="00D22EB6"/>
    <w:rsid w:val="00D2372F"/>
    <w:rsid w:val="00D250F4"/>
    <w:rsid w:val="00D26CD7"/>
    <w:rsid w:val="00D2764A"/>
    <w:rsid w:val="00D30B4C"/>
    <w:rsid w:val="00D336B2"/>
    <w:rsid w:val="00D3425E"/>
    <w:rsid w:val="00D36252"/>
    <w:rsid w:val="00D363BF"/>
    <w:rsid w:val="00D3647A"/>
    <w:rsid w:val="00D377A7"/>
    <w:rsid w:val="00D40AC3"/>
    <w:rsid w:val="00D41641"/>
    <w:rsid w:val="00D45256"/>
    <w:rsid w:val="00D46188"/>
    <w:rsid w:val="00D46DC4"/>
    <w:rsid w:val="00D479A2"/>
    <w:rsid w:val="00D511EA"/>
    <w:rsid w:val="00D52442"/>
    <w:rsid w:val="00D559BE"/>
    <w:rsid w:val="00D574D0"/>
    <w:rsid w:val="00D606A2"/>
    <w:rsid w:val="00D610D4"/>
    <w:rsid w:val="00D62B5D"/>
    <w:rsid w:val="00D62DCC"/>
    <w:rsid w:val="00D634F5"/>
    <w:rsid w:val="00D644E2"/>
    <w:rsid w:val="00D64B0F"/>
    <w:rsid w:val="00D65035"/>
    <w:rsid w:val="00D65136"/>
    <w:rsid w:val="00D6581F"/>
    <w:rsid w:val="00D706C9"/>
    <w:rsid w:val="00D709BE"/>
    <w:rsid w:val="00D72048"/>
    <w:rsid w:val="00D73B2C"/>
    <w:rsid w:val="00D74F4C"/>
    <w:rsid w:val="00D758D3"/>
    <w:rsid w:val="00D763DF"/>
    <w:rsid w:val="00D76971"/>
    <w:rsid w:val="00D76B24"/>
    <w:rsid w:val="00D76CAE"/>
    <w:rsid w:val="00D84E28"/>
    <w:rsid w:val="00D86CDC"/>
    <w:rsid w:val="00D9009C"/>
    <w:rsid w:val="00D921C2"/>
    <w:rsid w:val="00D93D47"/>
    <w:rsid w:val="00D96C7E"/>
    <w:rsid w:val="00D96F4E"/>
    <w:rsid w:val="00DA1CC3"/>
    <w:rsid w:val="00DA2974"/>
    <w:rsid w:val="00DA2D47"/>
    <w:rsid w:val="00DA3461"/>
    <w:rsid w:val="00DA5EEF"/>
    <w:rsid w:val="00DB0D62"/>
    <w:rsid w:val="00DB1E04"/>
    <w:rsid w:val="00DB23DD"/>
    <w:rsid w:val="00DB291F"/>
    <w:rsid w:val="00DB4085"/>
    <w:rsid w:val="00DB4C0B"/>
    <w:rsid w:val="00DB57B5"/>
    <w:rsid w:val="00DC1B23"/>
    <w:rsid w:val="00DC1DB4"/>
    <w:rsid w:val="00DC3379"/>
    <w:rsid w:val="00DD0917"/>
    <w:rsid w:val="00DD220D"/>
    <w:rsid w:val="00DD2AF4"/>
    <w:rsid w:val="00DD56C9"/>
    <w:rsid w:val="00DD56D0"/>
    <w:rsid w:val="00DD6259"/>
    <w:rsid w:val="00DD6428"/>
    <w:rsid w:val="00DD76B9"/>
    <w:rsid w:val="00DD7DE4"/>
    <w:rsid w:val="00DE0EA3"/>
    <w:rsid w:val="00DE1D76"/>
    <w:rsid w:val="00DE43B5"/>
    <w:rsid w:val="00DE4DEE"/>
    <w:rsid w:val="00DE681B"/>
    <w:rsid w:val="00DF041A"/>
    <w:rsid w:val="00DF1D03"/>
    <w:rsid w:val="00DF4111"/>
    <w:rsid w:val="00DF454E"/>
    <w:rsid w:val="00DF64CB"/>
    <w:rsid w:val="00E00457"/>
    <w:rsid w:val="00E00487"/>
    <w:rsid w:val="00E005E9"/>
    <w:rsid w:val="00E00EDD"/>
    <w:rsid w:val="00E01E7A"/>
    <w:rsid w:val="00E060A0"/>
    <w:rsid w:val="00E06CFD"/>
    <w:rsid w:val="00E06D11"/>
    <w:rsid w:val="00E103CF"/>
    <w:rsid w:val="00E122DB"/>
    <w:rsid w:val="00E13D84"/>
    <w:rsid w:val="00E167D0"/>
    <w:rsid w:val="00E16E8F"/>
    <w:rsid w:val="00E17177"/>
    <w:rsid w:val="00E2001E"/>
    <w:rsid w:val="00E21D30"/>
    <w:rsid w:val="00E22F4F"/>
    <w:rsid w:val="00E23B04"/>
    <w:rsid w:val="00E23DE9"/>
    <w:rsid w:val="00E23F04"/>
    <w:rsid w:val="00E2461D"/>
    <w:rsid w:val="00E2602D"/>
    <w:rsid w:val="00E26570"/>
    <w:rsid w:val="00E27BB2"/>
    <w:rsid w:val="00E305D2"/>
    <w:rsid w:val="00E30698"/>
    <w:rsid w:val="00E31FB0"/>
    <w:rsid w:val="00E34337"/>
    <w:rsid w:val="00E353DD"/>
    <w:rsid w:val="00E35A80"/>
    <w:rsid w:val="00E365F4"/>
    <w:rsid w:val="00E3764F"/>
    <w:rsid w:val="00E37B36"/>
    <w:rsid w:val="00E43253"/>
    <w:rsid w:val="00E446D5"/>
    <w:rsid w:val="00E44DF3"/>
    <w:rsid w:val="00E46754"/>
    <w:rsid w:val="00E50AC9"/>
    <w:rsid w:val="00E50DB4"/>
    <w:rsid w:val="00E511A3"/>
    <w:rsid w:val="00E52695"/>
    <w:rsid w:val="00E541C3"/>
    <w:rsid w:val="00E5432F"/>
    <w:rsid w:val="00E55230"/>
    <w:rsid w:val="00E5568A"/>
    <w:rsid w:val="00E55998"/>
    <w:rsid w:val="00E576B0"/>
    <w:rsid w:val="00E576E9"/>
    <w:rsid w:val="00E607A6"/>
    <w:rsid w:val="00E60E38"/>
    <w:rsid w:val="00E65483"/>
    <w:rsid w:val="00E659D7"/>
    <w:rsid w:val="00E65C30"/>
    <w:rsid w:val="00E67ADF"/>
    <w:rsid w:val="00E71C44"/>
    <w:rsid w:val="00E71E72"/>
    <w:rsid w:val="00E75986"/>
    <w:rsid w:val="00E80286"/>
    <w:rsid w:val="00E80A05"/>
    <w:rsid w:val="00E830C0"/>
    <w:rsid w:val="00E84720"/>
    <w:rsid w:val="00E84A41"/>
    <w:rsid w:val="00E85D9D"/>
    <w:rsid w:val="00E86A6B"/>
    <w:rsid w:val="00E90E89"/>
    <w:rsid w:val="00E9135E"/>
    <w:rsid w:val="00E91DFD"/>
    <w:rsid w:val="00E91FC0"/>
    <w:rsid w:val="00E9702B"/>
    <w:rsid w:val="00E97D59"/>
    <w:rsid w:val="00EA1A62"/>
    <w:rsid w:val="00EA2834"/>
    <w:rsid w:val="00EA75AA"/>
    <w:rsid w:val="00EB148D"/>
    <w:rsid w:val="00EB285B"/>
    <w:rsid w:val="00EB4516"/>
    <w:rsid w:val="00EB5018"/>
    <w:rsid w:val="00EB568C"/>
    <w:rsid w:val="00EB5A65"/>
    <w:rsid w:val="00EB63A8"/>
    <w:rsid w:val="00EC0EB7"/>
    <w:rsid w:val="00EC280C"/>
    <w:rsid w:val="00EC2E03"/>
    <w:rsid w:val="00EC4403"/>
    <w:rsid w:val="00EC5DCD"/>
    <w:rsid w:val="00EC645C"/>
    <w:rsid w:val="00EC7011"/>
    <w:rsid w:val="00EC7A35"/>
    <w:rsid w:val="00ED25F9"/>
    <w:rsid w:val="00ED27BF"/>
    <w:rsid w:val="00ED288B"/>
    <w:rsid w:val="00ED353D"/>
    <w:rsid w:val="00ED6D67"/>
    <w:rsid w:val="00EE0521"/>
    <w:rsid w:val="00EE1778"/>
    <w:rsid w:val="00EE1BF7"/>
    <w:rsid w:val="00EE3FC6"/>
    <w:rsid w:val="00EE53C4"/>
    <w:rsid w:val="00EE6011"/>
    <w:rsid w:val="00EF01AA"/>
    <w:rsid w:val="00EF2028"/>
    <w:rsid w:val="00EF24E2"/>
    <w:rsid w:val="00EF2612"/>
    <w:rsid w:val="00EF26C7"/>
    <w:rsid w:val="00EF2B16"/>
    <w:rsid w:val="00EF335A"/>
    <w:rsid w:val="00EF3900"/>
    <w:rsid w:val="00EF3FE3"/>
    <w:rsid w:val="00EF57F6"/>
    <w:rsid w:val="00EF68DA"/>
    <w:rsid w:val="00EF759A"/>
    <w:rsid w:val="00EF7D8C"/>
    <w:rsid w:val="00F012BC"/>
    <w:rsid w:val="00F01EC8"/>
    <w:rsid w:val="00F03068"/>
    <w:rsid w:val="00F04A6F"/>
    <w:rsid w:val="00F0532D"/>
    <w:rsid w:val="00F06308"/>
    <w:rsid w:val="00F0793B"/>
    <w:rsid w:val="00F1008A"/>
    <w:rsid w:val="00F10AFD"/>
    <w:rsid w:val="00F10EC9"/>
    <w:rsid w:val="00F11785"/>
    <w:rsid w:val="00F12E41"/>
    <w:rsid w:val="00F1312C"/>
    <w:rsid w:val="00F1349E"/>
    <w:rsid w:val="00F163C3"/>
    <w:rsid w:val="00F17542"/>
    <w:rsid w:val="00F17C4E"/>
    <w:rsid w:val="00F20EAF"/>
    <w:rsid w:val="00F21103"/>
    <w:rsid w:val="00F21122"/>
    <w:rsid w:val="00F2164B"/>
    <w:rsid w:val="00F22538"/>
    <w:rsid w:val="00F232F4"/>
    <w:rsid w:val="00F23CCC"/>
    <w:rsid w:val="00F256DB"/>
    <w:rsid w:val="00F258A5"/>
    <w:rsid w:val="00F27E8E"/>
    <w:rsid w:val="00F30672"/>
    <w:rsid w:val="00F30B0D"/>
    <w:rsid w:val="00F31876"/>
    <w:rsid w:val="00F335DC"/>
    <w:rsid w:val="00F33CE0"/>
    <w:rsid w:val="00F35149"/>
    <w:rsid w:val="00F35290"/>
    <w:rsid w:val="00F36934"/>
    <w:rsid w:val="00F40271"/>
    <w:rsid w:val="00F44349"/>
    <w:rsid w:val="00F45439"/>
    <w:rsid w:val="00F4637A"/>
    <w:rsid w:val="00F4638D"/>
    <w:rsid w:val="00F50C72"/>
    <w:rsid w:val="00F51AAA"/>
    <w:rsid w:val="00F51F1E"/>
    <w:rsid w:val="00F5292B"/>
    <w:rsid w:val="00F52B67"/>
    <w:rsid w:val="00F53970"/>
    <w:rsid w:val="00F57169"/>
    <w:rsid w:val="00F57980"/>
    <w:rsid w:val="00F61D45"/>
    <w:rsid w:val="00F62580"/>
    <w:rsid w:val="00F6298B"/>
    <w:rsid w:val="00F62D58"/>
    <w:rsid w:val="00F63E92"/>
    <w:rsid w:val="00F653BC"/>
    <w:rsid w:val="00F6630A"/>
    <w:rsid w:val="00F666E9"/>
    <w:rsid w:val="00F67AA9"/>
    <w:rsid w:val="00F70286"/>
    <w:rsid w:val="00F70E48"/>
    <w:rsid w:val="00F72AEE"/>
    <w:rsid w:val="00F7312D"/>
    <w:rsid w:val="00F76924"/>
    <w:rsid w:val="00F81999"/>
    <w:rsid w:val="00F81AFB"/>
    <w:rsid w:val="00F82213"/>
    <w:rsid w:val="00F828FC"/>
    <w:rsid w:val="00F85447"/>
    <w:rsid w:val="00F87044"/>
    <w:rsid w:val="00F9023C"/>
    <w:rsid w:val="00F90C4F"/>
    <w:rsid w:val="00F91794"/>
    <w:rsid w:val="00F91EF9"/>
    <w:rsid w:val="00F92938"/>
    <w:rsid w:val="00F94EA7"/>
    <w:rsid w:val="00F95A7F"/>
    <w:rsid w:val="00F96416"/>
    <w:rsid w:val="00FA2F34"/>
    <w:rsid w:val="00FA337B"/>
    <w:rsid w:val="00FA49F6"/>
    <w:rsid w:val="00FA4FBD"/>
    <w:rsid w:val="00FA66BD"/>
    <w:rsid w:val="00FA69A4"/>
    <w:rsid w:val="00FB074C"/>
    <w:rsid w:val="00FB1CDB"/>
    <w:rsid w:val="00FB36D9"/>
    <w:rsid w:val="00FB3A70"/>
    <w:rsid w:val="00FC0FB1"/>
    <w:rsid w:val="00FC12C9"/>
    <w:rsid w:val="00FC1D95"/>
    <w:rsid w:val="00FC314C"/>
    <w:rsid w:val="00FC3A59"/>
    <w:rsid w:val="00FC477C"/>
    <w:rsid w:val="00FC50DC"/>
    <w:rsid w:val="00FC5553"/>
    <w:rsid w:val="00FC5780"/>
    <w:rsid w:val="00FC593D"/>
    <w:rsid w:val="00FC621B"/>
    <w:rsid w:val="00FC681A"/>
    <w:rsid w:val="00FC6B8C"/>
    <w:rsid w:val="00FD3171"/>
    <w:rsid w:val="00FD35AF"/>
    <w:rsid w:val="00FD526B"/>
    <w:rsid w:val="00FD5A33"/>
    <w:rsid w:val="00FD6956"/>
    <w:rsid w:val="00FD750F"/>
    <w:rsid w:val="00FD7D4A"/>
    <w:rsid w:val="00FE32E2"/>
    <w:rsid w:val="00FE4713"/>
    <w:rsid w:val="00FE58D0"/>
    <w:rsid w:val="00FF097A"/>
    <w:rsid w:val="00FF3BAB"/>
    <w:rsid w:val="00FF3C8C"/>
    <w:rsid w:val="00FF417B"/>
    <w:rsid w:val="00FF4936"/>
    <w:rsid w:val="00FF5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B2"/>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3D49"/>
    <w:pPr>
      <w:keepNext/>
      <w:keepLines/>
      <w:spacing w:before="200"/>
      <w:outlineLvl w:val="1"/>
    </w:pPr>
    <w:rPr>
      <w:rFonts w:asciiTheme="majorHAnsi" w:eastAsiaTheme="majorEastAsia" w:hAnsiTheme="majorHAnsi" w:cstheme="majorBidi"/>
      <w:b/>
      <w:bCs/>
      <w:color w:val="4F81BD" w:themeColor="accent1"/>
      <w:sz w:val="26"/>
      <w:szCs w:val="26"/>
      <w:lang w:val="en-US" w:eastAsia="en-US" w:bidi="en-US"/>
    </w:rPr>
  </w:style>
  <w:style w:type="paragraph" w:styleId="Heading3">
    <w:name w:val="heading 3"/>
    <w:basedOn w:val="Normal"/>
    <w:next w:val="Normal"/>
    <w:link w:val="Heading3Char"/>
    <w:uiPriority w:val="9"/>
    <w:semiHidden/>
    <w:unhideWhenUsed/>
    <w:qFormat/>
    <w:rsid w:val="00CA3D49"/>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CA3D49"/>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A3D49"/>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A3D49"/>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A3D4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A3D49"/>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A3D4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707CB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707CB2"/>
    <w:rPr>
      <w:sz w:val="24"/>
    </w:rPr>
  </w:style>
  <w:style w:type="paragraph" w:styleId="Header">
    <w:name w:val="header"/>
    <w:basedOn w:val="Normal"/>
    <w:link w:val="HeaderChar"/>
    <w:uiPriority w:val="99"/>
    <w:unhideWhenUsed/>
    <w:rsid w:val="00707CB2"/>
    <w:pPr>
      <w:tabs>
        <w:tab w:val="center" w:pos="4680"/>
        <w:tab w:val="right" w:pos="9360"/>
      </w:tabs>
    </w:pPr>
  </w:style>
  <w:style w:type="character" w:customStyle="1" w:styleId="HeaderChar">
    <w:name w:val="Header Char"/>
    <w:basedOn w:val="DefaultParagraphFont"/>
    <w:link w:val="Header"/>
    <w:uiPriority w:val="99"/>
    <w:rsid w:val="00707CB2"/>
    <w:rPr>
      <w:sz w:val="24"/>
    </w:rPr>
  </w:style>
  <w:style w:type="paragraph" w:styleId="Footer">
    <w:name w:val="footer"/>
    <w:basedOn w:val="Normal"/>
    <w:link w:val="FooterChar"/>
    <w:uiPriority w:val="99"/>
    <w:unhideWhenUsed/>
    <w:rsid w:val="00707CB2"/>
    <w:pPr>
      <w:tabs>
        <w:tab w:val="center" w:pos="4680"/>
        <w:tab w:val="right" w:pos="9360"/>
      </w:tabs>
    </w:pPr>
  </w:style>
  <w:style w:type="character" w:customStyle="1" w:styleId="FooterChar">
    <w:name w:val="Footer Char"/>
    <w:basedOn w:val="DefaultParagraphFont"/>
    <w:link w:val="Footer"/>
    <w:uiPriority w:val="99"/>
    <w:rsid w:val="00707CB2"/>
    <w:rPr>
      <w:sz w:val="24"/>
    </w:rPr>
  </w:style>
  <w:style w:type="paragraph" w:customStyle="1" w:styleId="SCCLsocParty">
    <w:name w:val="SCC.Lsoc.Party"/>
    <w:basedOn w:val="Normal"/>
    <w:next w:val="Normal"/>
    <w:link w:val="SCCLsocPartyChar"/>
    <w:rsid w:val="00707CB2"/>
    <w:pPr>
      <w:tabs>
        <w:tab w:val="right" w:pos="8222"/>
      </w:tabs>
      <w:jc w:val="both"/>
    </w:pPr>
    <w:rPr>
      <w:b/>
    </w:rPr>
  </w:style>
  <w:style w:type="character" w:customStyle="1" w:styleId="SCCLsocPartyChar">
    <w:name w:val="SCC.Lsoc.Party Char"/>
    <w:basedOn w:val="DefaultParagraphFont"/>
    <w:link w:val="SCCLsocParty"/>
    <w:rsid w:val="00707CB2"/>
    <w:rPr>
      <w:b/>
      <w:sz w:val="24"/>
    </w:rPr>
  </w:style>
  <w:style w:type="paragraph" w:customStyle="1" w:styleId="SCCLsocVersus">
    <w:name w:val="SCC.Lsoc.Versus"/>
    <w:basedOn w:val="Normal"/>
    <w:next w:val="Normal"/>
    <w:link w:val="SCCLsocVersusChar"/>
    <w:rsid w:val="00707CB2"/>
    <w:pPr>
      <w:spacing w:after="720"/>
    </w:pPr>
    <w:rPr>
      <w:i/>
    </w:rPr>
  </w:style>
  <w:style w:type="character" w:customStyle="1" w:styleId="SCCLsocVersusChar">
    <w:name w:val="SCC.Lsoc.Versus Char"/>
    <w:basedOn w:val="DefaultParagraphFont"/>
    <w:link w:val="SCCLsocVersus"/>
    <w:rsid w:val="00707CB2"/>
    <w:rPr>
      <w:i/>
      <w:sz w:val="24"/>
    </w:rPr>
  </w:style>
  <w:style w:type="character" w:customStyle="1" w:styleId="SCCLsocPartyRole">
    <w:name w:val="SCC.Lsoc.PartyRole"/>
    <w:basedOn w:val="SCCLsocLastPartyInRoleChar"/>
    <w:uiPriority w:val="1"/>
    <w:rsid w:val="00707CB2"/>
    <w:rPr>
      <w:i/>
    </w:rPr>
  </w:style>
  <w:style w:type="paragraph" w:customStyle="1" w:styleId="SCCLsocOtherPartySeparator">
    <w:name w:val="SCC.Lsoc.OtherPartySeparator"/>
    <w:basedOn w:val="Normal"/>
    <w:next w:val="Normal"/>
    <w:link w:val="SCCLsocOtherPartySeparatorChar"/>
    <w:rsid w:val="00707CB2"/>
    <w:pPr>
      <w:spacing w:after="720"/>
    </w:pPr>
  </w:style>
  <w:style w:type="character" w:customStyle="1" w:styleId="SCCLsocOtherPartySeparatorChar">
    <w:name w:val="SCC.Lsoc.OtherPartySeparator Char"/>
    <w:basedOn w:val="DefaultParagraphFont"/>
    <w:link w:val="SCCLsocOtherPartySeparator"/>
    <w:rsid w:val="00707CB2"/>
    <w:rPr>
      <w:sz w:val="24"/>
    </w:rPr>
  </w:style>
  <w:style w:type="paragraph" w:customStyle="1" w:styleId="SCCSystemYear">
    <w:name w:val="SCC.SystemYear"/>
    <w:basedOn w:val="Normal"/>
    <w:next w:val="Normal"/>
    <w:link w:val="SCCSystemYearChar"/>
    <w:rsid w:val="00707CB2"/>
    <w:rPr>
      <w:b/>
    </w:rPr>
  </w:style>
  <w:style w:type="character" w:customStyle="1" w:styleId="SCCSystemYearChar">
    <w:name w:val="SCC.SystemYear Char"/>
    <w:basedOn w:val="DefaultParagraphFont"/>
    <w:link w:val="SCCSystemYear"/>
    <w:rsid w:val="00707CB2"/>
    <w:rPr>
      <w:b/>
      <w:sz w:val="24"/>
    </w:rPr>
  </w:style>
  <w:style w:type="paragraph" w:customStyle="1" w:styleId="SCCLawFirm">
    <w:name w:val="SCC.LawFirm"/>
    <w:basedOn w:val="SCCNormalDoubleSpacing"/>
    <w:next w:val="SCCNormalDoubleSpacing"/>
    <w:link w:val="SCCLawFirmChar"/>
    <w:rsid w:val="00707CB2"/>
    <w:rPr>
      <w:i/>
    </w:rPr>
  </w:style>
  <w:style w:type="character" w:customStyle="1" w:styleId="SCCLawFirmChar">
    <w:name w:val="SCC.LawFirm Char"/>
    <w:basedOn w:val="SCCNormalDoubleSpacingChar"/>
    <w:link w:val="SCCLawFirm"/>
    <w:rsid w:val="00707CB2"/>
    <w:rPr>
      <w:i/>
    </w:rPr>
  </w:style>
  <w:style w:type="paragraph" w:customStyle="1" w:styleId="SCCLsocLastPartyInRole">
    <w:name w:val="SCC.Lsoc.LastPartyInRole"/>
    <w:basedOn w:val="Normal"/>
    <w:next w:val="Normal"/>
    <w:link w:val="SCCLsocLastPartyInRoleChar"/>
    <w:qFormat/>
    <w:rsid w:val="00707CB2"/>
    <w:pPr>
      <w:tabs>
        <w:tab w:val="right" w:pos="8222"/>
      </w:tabs>
      <w:spacing w:after="720"/>
    </w:pPr>
    <w:rPr>
      <w:b/>
    </w:rPr>
  </w:style>
  <w:style w:type="character" w:customStyle="1" w:styleId="SCCLsocLastPartyInRoleChar">
    <w:name w:val="SCC.Lsoc.LastPartyInRole Char"/>
    <w:basedOn w:val="SCCLsocPartyChar"/>
    <w:link w:val="SCCLsocLastPartyInRole"/>
    <w:rsid w:val="00707CB2"/>
  </w:style>
  <w:style w:type="character" w:customStyle="1" w:styleId="complet">
    <w:name w:val="complet"/>
    <w:basedOn w:val="DefaultParagraphFont"/>
    <w:rsid w:val="00707CB2"/>
  </w:style>
  <w:style w:type="character" w:customStyle="1" w:styleId="Heading2Char">
    <w:name w:val="Heading 2 Char"/>
    <w:basedOn w:val="DefaultParagraphFont"/>
    <w:link w:val="Heading2"/>
    <w:uiPriority w:val="9"/>
    <w:rsid w:val="00CA3D49"/>
    <w:rPr>
      <w:rFonts w:asciiTheme="majorHAnsi" w:eastAsiaTheme="majorEastAsia" w:hAnsiTheme="majorHAnsi" w:cstheme="majorBidi"/>
      <w:b/>
      <w:bCs/>
      <w:color w:val="4F81BD" w:themeColor="accent1"/>
      <w:sz w:val="26"/>
      <w:szCs w:val="26"/>
      <w:lang w:val="en-US" w:eastAsia="en-US" w:bidi="en-US"/>
    </w:rPr>
  </w:style>
  <w:style w:type="character" w:customStyle="1" w:styleId="Heading3Char">
    <w:name w:val="Heading 3 Char"/>
    <w:basedOn w:val="DefaultParagraphFont"/>
    <w:link w:val="Heading3"/>
    <w:uiPriority w:val="9"/>
    <w:semiHidden/>
    <w:rsid w:val="00CA3D49"/>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CA3D49"/>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A3D49"/>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A3D49"/>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A3D49"/>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A3D49"/>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A3D49"/>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A3D49"/>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CA3D49"/>
    <w:rPr>
      <w:rFonts w:eastAsiaTheme="minorHAnsi" w:cstheme="minorBidi"/>
      <w:sz w:val="24"/>
      <w:szCs w:val="22"/>
      <w:lang w:val="en-US" w:eastAsia="en-US" w:bidi="en-US"/>
    </w:rPr>
  </w:style>
  <w:style w:type="paragraph" w:customStyle="1" w:styleId="SCCCoram">
    <w:name w:val="SCC.Coram"/>
    <w:basedOn w:val="Normal"/>
    <w:next w:val="Normal"/>
    <w:link w:val="SCCCoramChar"/>
    <w:rsid w:val="00CA3D49"/>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A3D49"/>
    <w:rPr>
      <w:rFonts w:eastAsiaTheme="minorHAnsi" w:cstheme="minorBidi"/>
      <w:sz w:val="24"/>
      <w:szCs w:val="22"/>
      <w:lang w:val="en-US" w:eastAsia="en-US" w:bidi="en-US"/>
    </w:rPr>
  </w:style>
  <w:style w:type="paragraph" w:customStyle="1" w:styleId="SCCLsocSubfileSeparator">
    <w:name w:val="SCC.Lsoc.SubfileSeparator"/>
    <w:basedOn w:val="Normal"/>
    <w:next w:val="Normal"/>
    <w:link w:val="SCCLsocSubfileSeparatorChar"/>
    <w:rsid w:val="00CA3D49"/>
    <w:pPr>
      <w:spacing w:after="480"/>
    </w:pPr>
    <w:rPr>
      <w:rFonts w:eastAsiaTheme="minorHAnsi" w:cstheme="minorBidi"/>
      <w:szCs w:val="22"/>
      <w:lang w:val="en-US" w:eastAsia="en-US" w:bidi="en-US"/>
    </w:rPr>
  </w:style>
  <w:style w:type="character" w:customStyle="1" w:styleId="SCCLsocSubfileSeparatorChar">
    <w:name w:val="SCC.Lsoc.SubfileSeparator Char"/>
    <w:basedOn w:val="DefaultParagraphFont"/>
    <w:link w:val="SCCLsocSubfileSeparator"/>
    <w:rsid w:val="00CA3D49"/>
    <w:rPr>
      <w:rFonts w:eastAsiaTheme="minorHAnsi" w:cstheme="minorBidi"/>
      <w:sz w:val="24"/>
      <w:szCs w:val="22"/>
      <w:lang w:val="en-US" w:eastAsia="en-US" w:bidi="en-US"/>
    </w:rPr>
  </w:style>
  <w:style w:type="paragraph" w:customStyle="1" w:styleId="SCCBanSummary">
    <w:name w:val="SCC.BanSummary"/>
    <w:basedOn w:val="Normal"/>
    <w:next w:val="Normal"/>
    <w:link w:val="SCCBanSummaryChar"/>
    <w:rsid w:val="00CA3D49"/>
    <w:pPr>
      <w:jc w:val="right"/>
    </w:pPr>
    <w:rPr>
      <w:rFonts w:eastAsiaTheme="minorEastAsia" w:cstheme="minorBidi"/>
      <w:b/>
      <w:szCs w:val="24"/>
      <w:lang w:val="en-US" w:eastAsia="en-US" w:bidi="en-US"/>
    </w:rPr>
  </w:style>
  <w:style w:type="character" w:customStyle="1" w:styleId="SCCBanSummaryChar">
    <w:name w:val="SCC.BanSummary Char"/>
    <w:basedOn w:val="DefaultParagraphFont"/>
    <w:link w:val="SCCBanSummary"/>
    <w:rsid w:val="00CA3D49"/>
    <w:rPr>
      <w:rFonts w:eastAsiaTheme="minorEastAsia" w:cstheme="minorBidi"/>
      <w:b/>
      <w:sz w:val="24"/>
      <w:szCs w:val="24"/>
      <w:lang w:val="en-US" w:eastAsia="en-US" w:bidi="en-US"/>
    </w:rPr>
  </w:style>
  <w:style w:type="character" w:styleId="PlaceholderText">
    <w:name w:val="Placeholder Text"/>
    <w:basedOn w:val="DefaultParagraphFont"/>
    <w:uiPriority w:val="99"/>
    <w:semiHidden/>
    <w:rsid w:val="00CA3D49"/>
    <w:rPr>
      <w:color w:val="808080"/>
    </w:rPr>
  </w:style>
  <w:style w:type="paragraph" w:styleId="BalloonText">
    <w:name w:val="Balloon Text"/>
    <w:basedOn w:val="Normal"/>
    <w:link w:val="BalloonTextChar"/>
    <w:uiPriority w:val="99"/>
    <w:semiHidden/>
    <w:unhideWhenUsed/>
    <w:rsid w:val="00CA3D49"/>
    <w:rPr>
      <w:rFonts w:eastAsiaTheme="minorHAnsi" w:cs="Tahoma"/>
      <w:sz w:val="28"/>
      <w:szCs w:val="16"/>
      <w:lang w:val="en-US" w:eastAsia="en-US" w:bidi="en-US"/>
    </w:rPr>
  </w:style>
  <w:style w:type="character" w:customStyle="1" w:styleId="BalloonTextChar">
    <w:name w:val="Balloon Text Char"/>
    <w:basedOn w:val="DefaultParagraphFont"/>
    <w:link w:val="BalloonText"/>
    <w:uiPriority w:val="99"/>
    <w:semiHidden/>
    <w:rsid w:val="00CA3D49"/>
    <w:rPr>
      <w:rFonts w:eastAsiaTheme="minorHAnsi" w:cs="Tahoma"/>
      <w:sz w:val="28"/>
      <w:szCs w:val="16"/>
      <w:lang w:val="en-US" w:eastAsia="en-US" w:bidi="en-US"/>
    </w:rPr>
  </w:style>
  <w:style w:type="table" w:styleId="TableGrid">
    <w:name w:val="Table Grid"/>
    <w:basedOn w:val="TableNormal"/>
    <w:uiPriority w:val="59"/>
    <w:rsid w:val="00CA3D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CA3D4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A3D49"/>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CA3D49"/>
    <w:pPr>
      <w:numPr>
        <w:numId w:val="6"/>
      </w:numPr>
      <w:spacing w:before="480" w:after="480" w:line="480" w:lineRule="auto"/>
      <w:jc w:val="both"/>
    </w:pPr>
    <w:rPr>
      <w:rFonts w:eastAsiaTheme="minorEastAsia" w:cstheme="minorBidi"/>
      <w:sz w:val="24"/>
      <w:szCs w:val="22"/>
      <w:lang w:eastAsia="en-US"/>
    </w:rPr>
  </w:style>
  <w:style w:type="paragraph" w:customStyle="1" w:styleId="JudgeJuge">
    <w:name w:val="Judge / Juge"/>
    <w:link w:val="JudgeJugeChar"/>
    <w:uiPriority w:val="3"/>
    <w:rsid w:val="00CA3D49"/>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CA3D49"/>
    <w:pPr>
      <w:numPr>
        <w:numId w:val="7"/>
      </w:numPr>
      <w:tabs>
        <w:tab w:val="left" w:pos="432"/>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A3D49"/>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CA3D49"/>
    <w:pPr>
      <w:numPr>
        <w:ilvl w:val="2"/>
      </w:numPr>
      <w:tabs>
        <w:tab w:val="clear" w:pos="432"/>
      </w:tabs>
      <w:jc w:val="both"/>
    </w:pPr>
  </w:style>
  <w:style w:type="paragraph" w:customStyle="1" w:styleId="Title4LevelTitre4Niveau">
    <w:name w:val="Title 4 Level / Titre 4 Niveau"/>
    <w:basedOn w:val="Title3LevelTitre3Niveau"/>
    <w:next w:val="ParaNoNdepar-AltN"/>
    <w:uiPriority w:val="4"/>
    <w:qFormat/>
    <w:rsid w:val="00CA3D49"/>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CA3D49"/>
    <w:pPr>
      <w:numPr>
        <w:ilvl w:val="4"/>
      </w:numPr>
      <w:tabs>
        <w:tab w:val="clear" w:pos="432"/>
      </w:tabs>
      <w:jc w:val="both"/>
    </w:pPr>
  </w:style>
  <w:style w:type="paragraph" w:styleId="TOC1">
    <w:name w:val="toc 1"/>
    <w:basedOn w:val="Normal"/>
    <w:next w:val="Normal"/>
    <w:autoRedefine/>
    <w:uiPriority w:val="99"/>
    <w:semiHidden/>
    <w:rsid w:val="00CA3D49"/>
    <w:pPr>
      <w:tabs>
        <w:tab w:val="left" w:pos="360"/>
        <w:tab w:val="right" w:leader="dot" w:pos="8270"/>
      </w:tabs>
      <w:spacing w:before="120" w:after="120"/>
    </w:pPr>
    <w:rPr>
      <w:rFonts w:eastAsiaTheme="minorHAnsi" w:cstheme="minorBidi"/>
      <w:noProof/>
      <w:szCs w:val="22"/>
      <w:u w:val="single"/>
      <w:lang w:val="en-US" w:eastAsia="en-US" w:bidi="en-US"/>
    </w:rPr>
  </w:style>
  <w:style w:type="paragraph" w:styleId="TOC2">
    <w:name w:val="toc 2"/>
    <w:basedOn w:val="Normal"/>
    <w:next w:val="Normal"/>
    <w:autoRedefine/>
    <w:uiPriority w:val="99"/>
    <w:semiHidden/>
    <w:rsid w:val="00CA3D49"/>
    <w:pPr>
      <w:tabs>
        <w:tab w:val="left" w:pos="720"/>
        <w:tab w:val="right" w:leader="dot" w:pos="8270"/>
      </w:tabs>
      <w:spacing w:before="120" w:after="120"/>
      <w:ind w:left="432" w:hanging="432"/>
    </w:pPr>
    <w:rPr>
      <w:rFonts w:eastAsiaTheme="minorHAnsi" w:cstheme="minorBidi"/>
      <w:i/>
      <w:iCs/>
      <w:szCs w:val="22"/>
      <w:lang w:val="en-US" w:eastAsia="en-US" w:bidi="en-US"/>
    </w:rPr>
  </w:style>
  <w:style w:type="paragraph" w:styleId="TOC3">
    <w:name w:val="toc 3"/>
    <w:basedOn w:val="Normal"/>
    <w:next w:val="Normal"/>
    <w:autoRedefine/>
    <w:uiPriority w:val="99"/>
    <w:semiHidden/>
    <w:rsid w:val="00CA3D49"/>
    <w:pPr>
      <w:tabs>
        <w:tab w:val="left" w:pos="1080"/>
        <w:tab w:val="right" w:leader="dot" w:pos="8270"/>
      </w:tabs>
      <w:spacing w:before="120" w:after="120"/>
      <w:ind w:left="864" w:hanging="432"/>
    </w:pPr>
    <w:rPr>
      <w:rFonts w:eastAsiaTheme="minorHAnsi" w:cstheme="minorBidi"/>
      <w:noProof/>
      <w:szCs w:val="22"/>
      <w:u w:val="single"/>
      <w:lang w:val="en-US" w:eastAsia="en-US" w:bidi="en-US"/>
    </w:rPr>
  </w:style>
  <w:style w:type="paragraph" w:styleId="TOC4">
    <w:name w:val="toc 4"/>
    <w:basedOn w:val="Normal"/>
    <w:next w:val="Normal"/>
    <w:autoRedefine/>
    <w:uiPriority w:val="99"/>
    <w:semiHidden/>
    <w:rsid w:val="00CA3D49"/>
    <w:pPr>
      <w:tabs>
        <w:tab w:val="left" w:pos="900"/>
        <w:tab w:val="right" w:leader="dot" w:pos="8270"/>
      </w:tabs>
      <w:spacing w:before="120" w:after="120"/>
      <w:ind w:left="900" w:hanging="450"/>
    </w:pPr>
    <w:rPr>
      <w:rFonts w:eastAsiaTheme="minorHAnsi" w:cstheme="minorBidi"/>
      <w:i/>
      <w:iCs/>
      <w:noProof/>
      <w:szCs w:val="22"/>
      <w:lang w:val="en-US" w:eastAsia="en-US" w:bidi="en-US"/>
    </w:rPr>
  </w:style>
  <w:style w:type="paragraph" w:styleId="TOC5">
    <w:name w:val="toc 5"/>
    <w:basedOn w:val="Normal"/>
    <w:next w:val="Normal"/>
    <w:autoRedefine/>
    <w:uiPriority w:val="99"/>
    <w:semiHidden/>
    <w:rsid w:val="00CA3D49"/>
    <w:pPr>
      <w:tabs>
        <w:tab w:val="left" w:pos="1440"/>
        <w:tab w:val="right" w:leader="dot" w:pos="8270"/>
      </w:tabs>
      <w:spacing w:before="120" w:after="120"/>
      <w:ind w:left="1454" w:hanging="547"/>
    </w:pPr>
    <w:rPr>
      <w:rFonts w:eastAsiaTheme="minorHAnsi" w:cstheme="minorBidi"/>
      <w:noProof/>
      <w:szCs w:val="22"/>
      <w:u w:val="single"/>
      <w:lang w:val="en-US" w:eastAsia="en-US" w:bidi="en-US"/>
    </w:rPr>
  </w:style>
  <w:style w:type="paragraph" w:styleId="TOC6">
    <w:name w:val="toc 6"/>
    <w:basedOn w:val="Normal"/>
    <w:next w:val="Normal"/>
    <w:autoRedefine/>
    <w:uiPriority w:val="99"/>
    <w:semiHidden/>
    <w:rsid w:val="00CA3D49"/>
    <w:pPr>
      <w:tabs>
        <w:tab w:val="left" w:pos="2160"/>
        <w:tab w:val="right" w:leader="dot" w:pos="8270"/>
      </w:tabs>
      <w:spacing w:after="100"/>
      <w:ind w:left="1800"/>
    </w:pPr>
    <w:rPr>
      <w:rFonts w:eastAsiaTheme="minorHAnsi" w:cstheme="minorBidi"/>
      <w:noProof/>
      <w:szCs w:val="22"/>
      <w:lang w:val="en-US" w:eastAsia="en-US" w:bidi="en-US"/>
    </w:rPr>
  </w:style>
  <w:style w:type="table" w:customStyle="1" w:styleId="TableGrid1">
    <w:name w:val="Table Grid1"/>
    <w:uiPriority w:val="99"/>
    <w:rsid w:val="00CA3D49"/>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CA3D49"/>
    <w:pPr>
      <w:tabs>
        <w:tab w:val="left" w:pos="360"/>
      </w:tabs>
      <w:spacing w:before="480" w:after="72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CA3D49"/>
    <w:rPr>
      <w:sz w:val="16"/>
      <w:szCs w:val="16"/>
    </w:rPr>
  </w:style>
  <w:style w:type="paragraph" w:styleId="CommentText">
    <w:name w:val="annotation text"/>
    <w:basedOn w:val="Normal"/>
    <w:link w:val="CommentTextChar"/>
    <w:uiPriority w:val="99"/>
    <w:semiHidden/>
    <w:unhideWhenUsed/>
    <w:rsid w:val="00CA3D49"/>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A3D49"/>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A3D49"/>
    <w:rPr>
      <w:b/>
      <w:bCs/>
    </w:rPr>
  </w:style>
  <w:style w:type="character" w:customStyle="1" w:styleId="CommentSubjectChar">
    <w:name w:val="Comment Subject Char"/>
    <w:basedOn w:val="CommentTextChar"/>
    <w:link w:val="CommentSubject"/>
    <w:uiPriority w:val="99"/>
    <w:semiHidden/>
    <w:rsid w:val="00CA3D49"/>
    <w:rPr>
      <w:b/>
      <w:bCs/>
    </w:rPr>
  </w:style>
  <w:style w:type="paragraph" w:styleId="ListParagraph">
    <w:name w:val="List Paragraph"/>
    <w:basedOn w:val="Normal"/>
    <w:uiPriority w:val="34"/>
    <w:rsid w:val="00CA3D49"/>
    <w:pPr>
      <w:ind w:left="720"/>
      <w:contextualSpacing/>
    </w:pPr>
    <w:rPr>
      <w:rFonts w:eastAsiaTheme="minorHAnsi" w:cstheme="minorBidi"/>
      <w:szCs w:val="22"/>
      <w:lang w:val="en-US" w:eastAsia="en-US" w:bidi="en-US"/>
    </w:rPr>
  </w:style>
  <w:style w:type="paragraph" w:styleId="FootnoteText">
    <w:name w:val="footnote text"/>
    <w:basedOn w:val="Normal"/>
    <w:link w:val="FootnoteTextChar"/>
    <w:uiPriority w:val="99"/>
    <w:semiHidden/>
    <w:rsid w:val="00CA3D49"/>
    <w:pPr>
      <w:spacing w:after="240"/>
    </w:pPr>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CA3D49"/>
    <w:rPr>
      <w:rFonts w:eastAsiaTheme="minorHAnsi" w:cstheme="minorBidi"/>
      <w:lang w:val="en-US" w:eastAsia="en-US" w:bidi="en-US"/>
    </w:rPr>
  </w:style>
  <w:style w:type="character" w:styleId="FootnoteReference">
    <w:name w:val="footnote reference"/>
    <w:basedOn w:val="DefaultParagraphFont"/>
    <w:uiPriority w:val="99"/>
    <w:semiHidden/>
    <w:rsid w:val="00CA3D49"/>
    <w:rPr>
      <w:vertAlign w:val="superscript"/>
    </w:rPr>
  </w:style>
  <w:style w:type="paragraph" w:styleId="Revision">
    <w:name w:val="Revision"/>
    <w:hidden/>
    <w:uiPriority w:val="99"/>
    <w:semiHidden/>
    <w:rsid w:val="00CA3D49"/>
    <w:rPr>
      <w:rFonts w:eastAsiaTheme="minorHAnsi" w:cstheme="minorBidi"/>
      <w:sz w:val="24"/>
      <w:szCs w:val="22"/>
      <w:lang w:val="en-US" w:eastAsia="en-US" w:bidi="en-US"/>
    </w:rPr>
  </w:style>
  <w:style w:type="character" w:styleId="HTMLCite">
    <w:name w:val="HTML Cite"/>
    <w:basedOn w:val="DefaultParagraphFont"/>
    <w:uiPriority w:val="99"/>
    <w:semiHidden/>
    <w:rsid w:val="00CA3D49"/>
    <w:rPr>
      <w:i/>
      <w:iCs/>
    </w:rPr>
  </w:style>
  <w:style w:type="character" w:customStyle="1" w:styleId="sectionlabel">
    <w:name w:val="sectionlabel"/>
    <w:rsid w:val="00CA3D49"/>
    <w:rPr>
      <w:b/>
      <w:bCs/>
    </w:rPr>
  </w:style>
  <w:style w:type="character" w:styleId="HTMLDefinition">
    <w:name w:val="HTML Definition"/>
    <w:basedOn w:val="DefaultParagraphFont"/>
    <w:uiPriority w:val="99"/>
    <w:semiHidden/>
    <w:rsid w:val="00CA3D49"/>
  </w:style>
  <w:style w:type="paragraph" w:customStyle="1" w:styleId="definition">
    <w:name w:val="definition"/>
    <w:basedOn w:val="Normal"/>
    <w:uiPriority w:val="99"/>
    <w:rsid w:val="00CA3D49"/>
    <w:pPr>
      <w:spacing w:before="120" w:after="100" w:afterAutospacing="1"/>
    </w:pPr>
    <w:rPr>
      <w:rFonts w:eastAsiaTheme="minorHAnsi" w:cstheme="minorBidi"/>
      <w:szCs w:val="22"/>
      <w:lang w:val="en-US" w:eastAsia="en-US" w:bidi="en-US"/>
    </w:rPr>
  </w:style>
  <w:style w:type="paragraph" w:customStyle="1" w:styleId="paragraph">
    <w:name w:val="paragraph"/>
    <w:basedOn w:val="Normal"/>
    <w:rsid w:val="00CA3D49"/>
    <w:pPr>
      <w:spacing w:before="168" w:after="120"/>
      <w:ind w:left="360"/>
    </w:pPr>
    <w:rPr>
      <w:rFonts w:eastAsiaTheme="minorHAnsi" w:cstheme="minorBidi"/>
      <w:szCs w:val="22"/>
      <w:lang w:val="en-US" w:eastAsia="en-US" w:bidi="en-US"/>
    </w:rPr>
  </w:style>
  <w:style w:type="paragraph" w:customStyle="1" w:styleId="subparagraph">
    <w:name w:val="subparagraph"/>
    <w:basedOn w:val="Normal"/>
    <w:rsid w:val="00CA3D49"/>
    <w:pPr>
      <w:spacing w:before="168" w:after="120"/>
      <w:ind w:left="720"/>
    </w:pPr>
    <w:rPr>
      <w:rFonts w:eastAsiaTheme="minorHAnsi" w:cstheme="minorBidi"/>
      <w:szCs w:val="22"/>
      <w:lang w:val="en-US" w:eastAsia="en-US" w:bidi="en-US"/>
    </w:rPr>
  </w:style>
  <w:style w:type="character" w:customStyle="1" w:styleId="definedtermlink">
    <w:name w:val="definedtermlink"/>
    <w:uiPriority w:val="99"/>
    <w:rsid w:val="00CA3D49"/>
    <w:rPr>
      <w:i/>
      <w:iCs/>
    </w:rPr>
  </w:style>
  <w:style w:type="character" w:styleId="Emphasis">
    <w:name w:val="Emphasis"/>
    <w:basedOn w:val="DefaultParagraphFont"/>
    <w:uiPriority w:val="20"/>
    <w:qFormat/>
    <w:rsid w:val="00CA3D49"/>
    <w:rPr>
      <w:i/>
      <w:iCs/>
    </w:rPr>
  </w:style>
  <w:style w:type="character" w:styleId="Hyperlink">
    <w:name w:val="Hyperlink"/>
    <w:basedOn w:val="DefaultParagraphFont"/>
    <w:uiPriority w:val="99"/>
    <w:unhideWhenUsed/>
    <w:rsid w:val="00CA3D49"/>
    <w:rPr>
      <w:color w:val="0000FF" w:themeColor="hyperlink"/>
      <w:u w:val="single"/>
    </w:rPr>
  </w:style>
  <w:style w:type="character" w:customStyle="1" w:styleId="highlight">
    <w:name w:val="highlight"/>
    <w:basedOn w:val="DefaultParagraphFont"/>
    <w:uiPriority w:val="99"/>
    <w:rsid w:val="00CA3D49"/>
  </w:style>
  <w:style w:type="character" w:customStyle="1" w:styleId="Titre1Car">
    <w:name w:val="Titre 1 Car"/>
    <w:basedOn w:val="DefaultParagraphFont"/>
    <w:uiPriority w:val="99"/>
    <w:rsid w:val="00CA3D49"/>
    <w:rPr>
      <w:rFonts w:ascii="Cambria" w:hAnsi="Cambria" w:cs="Cambria"/>
      <w:b/>
      <w:bCs/>
      <w:color w:val="365F91"/>
      <w:sz w:val="28"/>
      <w:szCs w:val="28"/>
      <w:lang w:val="en-CA" w:eastAsia="en-CA"/>
    </w:rPr>
  </w:style>
  <w:style w:type="character" w:customStyle="1" w:styleId="CommentaireCar">
    <w:name w:val="Commentaire Car"/>
    <w:basedOn w:val="DefaultParagraphFont"/>
    <w:uiPriority w:val="99"/>
    <w:rsid w:val="00CA3D49"/>
    <w:rPr>
      <w:lang w:val="en-CA" w:eastAsia="en-CA"/>
    </w:rPr>
  </w:style>
  <w:style w:type="character" w:customStyle="1" w:styleId="PieddepageCar">
    <w:name w:val="Pied de page Car"/>
    <w:basedOn w:val="DefaultParagraphFont"/>
    <w:uiPriority w:val="99"/>
    <w:rsid w:val="00CA3D49"/>
    <w:rPr>
      <w:sz w:val="24"/>
      <w:szCs w:val="24"/>
      <w:lang w:val="en-CA" w:eastAsia="en-CA"/>
    </w:rPr>
  </w:style>
  <w:style w:type="paragraph" w:customStyle="1" w:styleId="msoacetate0">
    <w:name w:val="msoacetate"/>
    <w:basedOn w:val="Normal"/>
    <w:uiPriority w:val="99"/>
    <w:semiHidden/>
    <w:rsid w:val="00CA3D49"/>
    <w:rPr>
      <w:rFonts w:ascii="Tahoma" w:eastAsiaTheme="minorHAnsi" w:hAnsi="Tahoma" w:cs="Tahoma"/>
      <w:sz w:val="16"/>
      <w:szCs w:val="16"/>
      <w:lang w:val="en-US" w:eastAsia="en-US" w:bidi="en-US"/>
    </w:rPr>
  </w:style>
  <w:style w:type="paragraph" w:customStyle="1" w:styleId="msormpane0">
    <w:name w:val="msormpane"/>
    <w:uiPriority w:val="99"/>
    <w:semiHidden/>
    <w:rsid w:val="00CA3D49"/>
    <w:rPr>
      <w:sz w:val="24"/>
      <w:szCs w:val="24"/>
    </w:rPr>
  </w:style>
  <w:style w:type="paragraph" w:customStyle="1" w:styleId="msolistparagraph0">
    <w:name w:val="msolistparagraph"/>
    <w:basedOn w:val="Normal"/>
    <w:uiPriority w:val="99"/>
    <w:rsid w:val="00CA3D49"/>
    <w:pPr>
      <w:ind w:left="720"/>
      <w:contextualSpacing/>
    </w:pPr>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CA3D49"/>
    <w:rPr>
      <w:smallCaps/>
      <w:sz w:val="24"/>
    </w:rPr>
  </w:style>
  <w:style w:type="paragraph" w:styleId="NoSpacing">
    <w:name w:val="No Spacing"/>
    <w:uiPriority w:val="1"/>
    <w:rsid w:val="00CA3D49"/>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A3D49"/>
    <w:pPr>
      <w:outlineLvl w:val="9"/>
    </w:pPr>
    <w:rPr>
      <w:lang w:val="en-US" w:eastAsia="en-US" w:bidi="en-US"/>
    </w:rPr>
  </w:style>
  <w:style w:type="paragraph" w:styleId="Caption">
    <w:name w:val="caption"/>
    <w:basedOn w:val="Normal"/>
    <w:next w:val="Normal"/>
    <w:uiPriority w:val="35"/>
    <w:semiHidden/>
    <w:unhideWhenUsed/>
    <w:qFormat/>
    <w:rsid w:val="00CA3D49"/>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A3D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A3D49"/>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A3D49"/>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A3D49"/>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CA3D49"/>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A3D49"/>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CA3D49"/>
    <w:rPr>
      <w:i/>
      <w:iCs/>
      <w:color w:val="808080" w:themeColor="text1" w:themeTint="7F"/>
    </w:rPr>
  </w:style>
  <w:style w:type="character" w:styleId="IntenseEmphasis">
    <w:name w:val="Intense Emphasis"/>
    <w:basedOn w:val="DefaultParagraphFont"/>
    <w:uiPriority w:val="21"/>
    <w:rsid w:val="00CA3D49"/>
    <w:rPr>
      <w:b/>
      <w:bCs/>
      <w:i/>
      <w:iCs/>
      <w:color w:val="4F81BD" w:themeColor="accent1"/>
    </w:rPr>
  </w:style>
  <w:style w:type="character" w:styleId="SubtleReference">
    <w:name w:val="Subtle Reference"/>
    <w:basedOn w:val="DefaultParagraphFont"/>
    <w:uiPriority w:val="31"/>
    <w:rsid w:val="00CA3D49"/>
    <w:rPr>
      <w:smallCaps/>
      <w:color w:val="C0504D" w:themeColor="accent2"/>
      <w:u w:val="single"/>
    </w:rPr>
  </w:style>
  <w:style w:type="character" w:styleId="IntenseReference">
    <w:name w:val="Intense Reference"/>
    <w:basedOn w:val="DefaultParagraphFont"/>
    <w:uiPriority w:val="32"/>
    <w:rsid w:val="00CA3D49"/>
    <w:rPr>
      <w:b/>
      <w:bCs/>
      <w:smallCaps/>
      <w:color w:val="C0504D" w:themeColor="accent2"/>
      <w:spacing w:val="5"/>
      <w:u w:val="single"/>
    </w:rPr>
  </w:style>
  <w:style w:type="character" w:styleId="BookTitle">
    <w:name w:val="Book Title"/>
    <w:basedOn w:val="DefaultParagraphFont"/>
    <w:uiPriority w:val="33"/>
    <w:rsid w:val="00CA3D49"/>
    <w:rPr>
      <w:b/>
      <w:bCs/>
      <w:smallCaps/>
      <w:spacing w:val="5"/>
    </w:rPr>
  </w:style>
  <w:style w:type="character" w:customStyle="1" w:styleId="otherlang">
    <w:name w:val="otherlang"/>
    <w:basedOn w:val="DefaultParagraphFont"/>
    <w:rsid w:val="00CA3D49"/>
    <w:rPr>
      <w:i/>
      <w:iCs/>
    </w:rPr>
  </w:style>
  <w:style w:type="paragraph" w:customStyle="1" w:styleId="section">
    <w:name w:val="section"/>
    <w:basedOn w:val="Normal"/>
    <w:rsid w:val="00CA3D49"/>
    <w:pPr>
      <w:spacing w:before="168" w:after="120"/>
      <w:ind w:firstLine="360"/>
    </w:pPr>
    <w:rPr>
      <w:szCs w:val="24"/>
    </w:rPr>
  </w:style>
  <w:style w:type="character" w:customStyle="1" w:styleId="SCCLsocPartyRoleChar">
    <w:name w:val="SCC.Lsoc.PartyRole Char"/>
    <w:basedOn w:val="DefaultParagraphFont"/>
    <w:rsid w:val="00537762"/>
    <w:rPr>
      <w:lang w:val="fr-CA"/>
    </w:rPr>
  </w:style>
  <w:style w:type="paragraph" w:customStyle="1" w:styleId="SCCLsocPrefix">
    <w:name w:val="SCC.Lsoc.Prefix"/>
    <w:basedOn w:val="Normal"/>
    <w:next w:val="Normal"/>
    <w:link w:val="SCCLsocPrefixChar"/>
    <w:rsid w:val="00537762"/>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537762"/>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570A7-CA38-4CD0-B3E0-13905248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89</Pages>
  <Words>22842</Words>
  <Characters>130203</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41</cp:revision>
  <dcterms:created xsi:type="dcterms:W3CDTF">2015-02-18T18:40:00Z</dcterms:created>
  <dcterms:modified xsi:type="dcterms:W3CDTF">2015-06-15T15:00:00Z</dcterms:modified>
</cp:coreProperties>
</file>