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FE" w:rsidRDefault="00123DFE" w:rsidP="00123DF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5548955" r:id="rId9"/>
        </w:object>
      </w:r>
      <w:r>
        <w:t xml:space="preserve"> </w:t>
      </w:r>
      <w:r>
        <w:ptab w:relativeTo="margin" w:alignment="right" w:leader="none"/>
      </w:r>
    </w:p>
    <w:p w:rsidR="00123DFE" w:rsidRDefault="00123DFE" w:rsidP="00123DFE">
      <w:pPr>
        <w:pStyle w:val="Header"/>
      </w:pPr>
    </w:p>
    <w:p w:rsidR="00123DFE" w:rsidRPr="001E12E2" w:rsidRDefault="00123DFE" w:rsidP="00123DFE">
      <w:pPr>
        <w:jc w:val="center"/>
        <w:rPr>
          <w:b/>
        </w:rPr>
      </w:pPr>
      <w:r w:rsidRPr="001E12E2">
        <w:rPr>
          <w:b/>
        </w:rPr>
        <w:t>COUR SUPRÊME DU CANADA</w:t>
      </w:r>
    </w:p>
    <w:p w:rsidR="00123DFE" w:rsidRDefault="00123DFE" w:rsidP="00123DF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123DFE" w:rsidRPr="001E12E2" w:rsidTr="00BC0EE5">
        <w:trPr>
          <w:cantSplit/>
        </w:trPr>
        <w:tc>
          <w:tcPr>
            <w:tcW w:w="6768" w:type="dxa"/>
          </w:tcPr>
          <w:p w:rsidR="00123DFE" w:rsidRPr="00123DFE" w:rsidRDefault="00123DFE" w:rsidP="00BC0EE5">
            <w:pPr>
              <w:rPr>
                <w:lang w:val="fr-CA"/>
              </w:rPr>
            </w:pPr>
            <w:r w:rsidRPr="00123DFE">
              <w:rPr>
                <w:b/>
                <w:smallCaps/>
                <w:lang w:val="fr-CA"/>
              </w:rPr>
              <w:t>Référence :</w:t>
            </w:r>
            <w:r w:rsidRPr="00123DFE">
              <w:rPr>
                <w:lang w:val="fr-CA"/>
              </w:rPr>
              <w:t xml:space="preserve"> Association des parents de l’école Rose</w:t>
            </w:r>
            <w:r w:rsidRPr="00123DFE">
              <w:rPr>
                <w:lang w:val="fr-CA"/>
              </w:rPr>
              <w:noBreakHyphen/>
              <w:t>des</w:t>
            </w:r>
            <w:r w:rsidRPr="00123DFE">
              <w:rPr>
                <w:lang w:val="fr-CA"/>
              </w:rPr>
              <w:noBreakHyphen/>
              <w:t xml:space="preserve">vents </w:t>
            </w:r>
            <w:r w:rsidRPr="00123DFE">
              <w:rPr>
                <w:i/>
                <w:lang w:val="fr-CA"/>
              </w:rPr>
              <w:t>c.</w:t>
            </w:r>
            <w:r w:rsidRPr="00123DFE">
              <w:rPr>
                <w:lang w:val="fr-CA"/>
              </w:rPr>
              <w:t xml:space="preserve"> Colombie</w:t>
            </w:r>
            <w:r w:rsidRPr="00123DFE">
              <w:rPr>
                <w:lang w:val="fr-CA"/>
              </w:rPr>
              <w:noBreakHyphen/>
              <w:t>Britannique (Éducation), 2015 CSC 21</w:t>
            </w:r>
            <w:r>
              <w:rPr>
                <w:lang w:val="fr-CA"/>
              </w:rPr>
              <w:t xml:space="preserve">, </w:t>
            </w:r>
            <w:r>
              <w:rPr>
                <w:lang w:val="fr-CA"/>
              </w:rPr>
              <w:t>[2015] 2 R.C.S. 139</w:t>
            </w:r>
          </w:p>
        </w:tc>
        <w:tc>
          <w:tcPr>
            <w:tcW w:w="2808" w:type="dxa"/>
          </w:tcPr>
          <w:p w:rsidR="00123DFE" w:rsidRPr="001E12E2" w:rsidRDefault="00123DFE" w:rsidP="00BC0EE5">
            <w:r w:rsidRPr="001E12E2">
              <w:rPr>
                <w:b/>
                <w:smallCaps/>
              </w:rPr>
              <w:t>Date</w:t>
            </w:r>
            <w:r>
              <w:rPr>
                <w:b/>
                <w:smallCaps/>
              </w:rPr>
              <w:t> :</w:t>
            </w:r>
            <w:r w:rsidRPr="001E12E2">
              <w:t xml:space="preserve"> </w:t>
            </w:r>
            <w:r>
              <w:t>20150424</w:t>
            </w:r>
          </w:p>
          <w:p w:rsidR="00123DFE" w:rsidRPr="001E12E2" w:rsidRDefault="00123DFE" w:rsidP="00BC0EE5">
            <w:r w:rsidRPr="001E12E2">
              <w:rPr>
                <w:b/>
                <w:smallCaps/>
              </w:rPr>
              <w:t>Do</w:t>
            </w:r>
            <w:r>
              <w:rPr>
                <w:b/>
                <w:smallCaps/>
              </w:rPr>
              <w:t>ssier :</w:t>
            </w:r>
            <w:r w:rsidRPr="001E12E2">
              <w:t xml:space="preserve"> </w:t>
            </w:r>
            <w:r>
              <w:t>35619</w:t>
            </w:r>
          </w:p>
        </w:tc>
      </w:tr>
    </w:tbl>
    <w:p w:rsidR="00123DFE" w:rsidRPr="001E12E2" w:rsidRDefault="00123DFE" w:rsidP="00123DFE"/>
    <w:p w:rsidR="00123DFE" w:rsidRDefault="00123DFE" w:rsidP="00123DFE">
      <w:pPr>
        <w:pStyle w:val="SCCLsocPrefix"/>
      </w:pPr>
      <w:r>
        <w:t>Entre :</w:t>
      </w:r>
    </w:p>
    <w:p w:rsidR="00123DFE" w:rsidRPr="006823CA" w:rsidRDefault="00123DFE" w:rsidP="00123DFE"/>
    <w:p w:rsidR="00123DFE" w:rsidRPr="00123DFE" w:rsidRDefault="00123DFE" w:rsidP="00123DFE">
      <w:pPr>
        <w:pStyle w:val="SCCLsocParty"/>
        <w:jc w:val="center"/>
        <w:rPr>
          <w:lang w:val="fr-CA"/>
        </w:rPr>
      </w:pPr>
      <w:r w:rsidRPr="00123DFE">
        <w:rPr>
          <w:lang w:val="fr-CA"/>
        </w:rPr>
        <w:t>Association des parents de l’école Rose-des-vents, Joseph Pagé, en son propre nom et au nom de tous les citoyens canadiens qui résident à l’ouest de la rue Main dans la ville de Vancouver dont la première langue apprise et encore comprise est le français, ou qui ont reçu leur instruction au niveau primaire en français au Canada, ou dont un enfant a reçu ou reçoit son instruction au niveau primaire ou secondaire en français au Canada, et Conseil scolaire francophone de la Colombie-Britannique</w:t>
      </w:r>
    </w:p>
    <w:p w:rsidR="00123DFE" w:rsidRPr="00123DFE" w:rsidRDefault="00123DFE" w:rsidP="00123DFE">
      <w:pPr>
        <w:jc w:val="center"/>
        <w:rPr>
          <w:lang w:val="fr-CA"/>
        </w:rPr>
      </w:pPr>
      <w:r w:rsidRPr="00123DFE">
        <w:rPr>
          <w:lang w:val="fr-CA"/>
        </w:rPr>
        <w:t>Appelants</w:t>
      </w:r>
    </w:p>
    <w:p w:rsidR="00123DFE" w:rsidRPr="00123DFE" w:rsidRDefault="00123DFE" w:rsidP="00123DFE">
      <w:pPr>
        <w:pStyle w:val="SCCLsocVersus"/>
        <w:spacing w:after="0"/>
        <w:jc w:val="center"/>
        <w:rPr>
          <w:i w:val="0"/>
          <w:lang w:val="fr-CA"/>
        </w:rPr>
      </w:pPr>
      <w:r w:rsidRPr="00123DFE">
        <w:rPr>
          <w:i w:val="0"/>
          <w:lang w:val="fr-CA"/>
        </w:rPr>
        <w:t>et</w:t>
      </w:r>
    </w:p>
    <w:p w:rsidR="00123DFE" w:rsidRPr="00123DFE" w:rsidRDefault="00123DFE" w:rsidP="00123DFE">
      <w:pPr>
        <w:pStyle w:val="SCCLsocParty"/>
        <w:jc w:val="center"/>
        <w:rPr>
          <w:lang w:val="fr-CA"/>
        </w:rPr>
      </w:pPr>
      <w:r w:rsidRPr="00123DFE">
        <w:rPr>
          <w:lang w:val="fr-CA"/>
        </w:rPr>
        <w:t>Ministre de l’Éducation de la Colombie-Britannique et procureur général de la Colombie-Britannique</w:t>
      </w:r>
    </w:p>
    <w:p w:rsidR="00123DFE" w:rsidRPr="00123DFE" w:rsidRDefault="00123DFE" w:rsidP="00123DFE">
      <w:pPr>
        <w:jc w:val="center"/>
        <w:rPr>
          <w:lang w:val="fr-CA"/>
        </w:rPr>
      </w:pPr>
      <w:r w:rsidRPr="00123DFE">
        <w:rPr>
          <w:lang w:val="fr-CA"/>
        </w:rPr>
        <w:t>Intimés</w:t>
      </w:r>
    </w:p>
    <w:p w:rsidR="00123DFE" w:rsidRPr="00123DFE" w:rsidRDefault="00123DFE" w:rsidP="00123DFE">
      <w:pPr>
        <w:pStyle w:val="SCCLsocOtherPartySeparator"/>
        <w:spacing w:after="0"/>
        <w:jc w:val="center"/>
        <w:rPr>
          <w:lang w:val="fr-CA"/>
        </w:rPr>
      </w:pPr>
      <w:r w:rsidRPr="00123DFE">
        <w:rPr>
          <w:lang w:val="fr-CA"/>
        </w:rPr>
        <w:t>- et -</w:t>
      </w:r>
    </w:p>
    <w:p w:rsidR="00123DFE" w:rsidRPr="00123DFE" w:rsidRDefault="00123DFE" w:rsidP="00123DFE">
      <w:pPr>
        <w:pStyle w:val="SCCLsocParty"/>
        <w:jc w:val="center"/>
        <w:rPr>
          <w:lang w:val="fr-CA"/>
        </w:rPr>
      </w:pPr>
      <w:r w:rsidRPr="00123DFE">
        <w:rPr>
          <w:lang w:val="fr-CA"/>
        </w:rPr>
        <w:t>Procureur général de la Saskatchewan, procureur général de l’Alberta, procureur général des Territoires du Nord-Ouest, procureur général du Territoire du Yukon, commissaire aux langues officielles du Canada, Commission scolaire francophone, Territoires du Nord-Ouest, Fédération nationale des conseils scolaires francophones, Conseil des écoles fransaskoises et Commission scolaire francophone du Yukon</w:t>
      </w:r>
    </w:p>
    <w:p w:rsidR="00123DFE" w:rsidRDefault="00123DFE" w:rsidP="00123DFE">
      <w:pPr>
        <w:jc w:val="center"/>
      </w:pPr>
      <w:r>
        <w:t>Intervenants</w:t>
      </w:r>
    </w:p>
    <w:p w:rsidR="00123DFE" w:rsidRDefault="00123DFE" w:rsidP="00123DFE"/>
    <w:p w:rsidR="00123DFE" w:rsidRPr="001E12E2" w:rsidRDefault="00123DFE" w:rsidP="00123DFE">
      <w:pPr>
        <w:jc w:val="center"/>
        <w:rPr>
          <w:b/>
          <w:smallCaps/>
        </w:rPr>
      </w:pPr>
      <w:r>
        <w:rPr>
          <w:b/>
          <w:smallCaps/>
        </w:rPr>
        <w:t>Traduction française o</w:t>
      </w:r>
      <w:r w:rsidRPr="001E12E2">
        <w:rPr>
          <w:b/>
          <w:smallCaps/>
        </w:rPr>
        <w:t>ffici</w:t>
      </w:r>
      <w:r>
        <w:rPr>
          <w:b/>
          <w:smallCaps/>
        </w:rPr>
        <w:t>elle</w:t>
      </w:r>
    </w:p>
    <w:p w:rsidR="00123DFE" w:rsidRPr="001E12E2" w:rsidRDefault="00123DFE" w:rsidP="00123DFE"/>
    <w:p w:rsidR="00123DFE" w:rsidRPr="00123DFE" w:rsidRDefault="00123DFE" w:rsidP="00123DFE">
      <w:pPr>
        <w:rPr>
          <w:lang w:val="fr-CA"/>
        </w:rPr>
      </w:pPr>
      <w:r w:rsidRPr="00123DFE">
        <w:rPr>
          <w:b/>
          <w:smallCaps/>
          <w:lang w:val="fr-CA"/>
        </w:rPr>
        <w:t>Coram :</w:t>
      </w:r>
      <w:r w:rsidRPr="00123DFE">
        <w:rPr>
          <w:lang w:val="fr-CA"/>
        </w:rPr>
        <w:t xml:space="preserve"> La juge en chef McLachlin et</w:t>
      </w:r>
      <w:bookmarkStart w:id="0" w:name="_GoBack"/>
      <w:bookmarkEnd w:id="0"/>
      <w:r w:rsidRPr="00123DFE">
        <w:rPr>
          <w:lang w:val="fr-CA"/>
        </w:rPr>
        <w:t xml:space="preserve"> les juges Abella, Rothstein, Moldaver, Karakatsanis, Wagner et Gascon</w:t>
      </w:r>
    </w:p>
    <w:p w:rsidR="00123DFE" w:rsidRPr="00123DFE" w:rsidRDefault="00123DFE" w:rsidP="00123DF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23DFE" w:rsidRPr="00123DFE" w:rsidTr="00BC0EE5">
        <w:trPr>
          <w:cantSplit/>
        </w:trPr>
        <w:tc>
          <w:tcPr>
            <w:tcW w:w="3618" w:type="dxa"/>
          </w:tcPr>
          <w:p w:rsidR="00123DFE" w:rsidRPr="00123DFE" w:rsidRDefault="00123DFE" w:rsidP="00BC0EE5">
            <w:pPr>
              <w:rPr>
                <w:b/>
                <w:smallCaps/>
                <w:lang w:val="fr-CA"/>
              </w:rPr>
            </w:pPr>
            <w:r w:rsidRPr="00123DFE">
              <w:rPr>
                <w:b/>
                <w:smallCaps/>
                <w:lang w:val="fr-CA"/>
              </w:rPr>
              <w:t>Motifs de jugement :</w:t>
            </w:r>
          </w:p>
          <w:p w:rsidR="00123DFE" w:rsidRPr="00123DFE" w:rsidRDefault="00123DFE" w:rsidP="00BC0EE5">
            <w:pPr>
              <w:rPr>
                <w:lang w:val="fr-CA"/>
              </w:rPr>
            </w:pPr>
            <w:r w:rsidRPr="00123DFE">
              <w:rPr>
                <w:lang w:val="fr-CA"/>
              </w:rPr>
              <w:t>(par. 1 à 90)</w:t>
            </w:r>
          </w:p>
        </w:tc>
        <w:tc>
          <w:tcPr>
            <w:tcW w:w="5958" w:type="dxa"/>
          </w:tcPr>
          <w:p w:rsidR="00123DFE" w:rsidRPr="00123DFE" w:rsidRDefault="00123DFE" w:rsidP="00BC0EE5">
            <w:pPr>
              <w:rPr>
                <w:lang w:val="fr-CA"/>
              </w:rPr>
            </w:pPr>
            <w:r w:rsidRPr="00123DFE">
              <w:rPr>
                <w:lang w:val="fr-CA"/>
              </w:rPr>
              <w:t>La juge Karakatsanis (avec l’accord de la juge en chef McLachlin et des juges Abella, Rothstein, Moldaver, Wagner et Gascon)</w:t>
            </w:r>
          </w:p>
        </w:tc>
      </w:tr>
    </w:tbl>
    <w:p w:rsidR="00123DFE" w:rsidRPr="00123DFE" w:rsidRDefault="00123DFE" w:rsidP="00123DFE">
      <w:pPr>
        <w:rPr>
          <w:lang w:val="fr-CA"/>
        </w:rPr>
      </w:pPr>
    </w:p>
    <w:p w:rsidR="00123DFE" w:rsidRPr="00123DFE" w:rsidRDefault="00123DFE" w:rsidP="00123DFE">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123DFE" w:rsidRDefault="00123DFE" w:rsidP="004B15C3">
      <w:pPr>
        <w:widowControl w:val="0"/>
        <w:spacing w:after="720"/>
        <w:jc w:val="both"/>
        <w:outlineLvl w:val="0"/>
        <w:rPr>
          <w:rStyle w:val="SCCAppellantForIndexChar"/>
          <w:b w:val="0"/>
          <w:lang w:val="fr-CA"/>
        </w:rPr>
      </w:pPr>
    </w:p>
    <w:p w:rsidR="004D7D95" w:rsidRPr="00253698" w:rsidRDefault="00253698" w:rsidP="004B15C3">
      <w:pPr>
        <w:widowControl w:val="0"/>
        <w:spacing w:after="720"/>
        <w:jc w:val="both"/>
        <w:outlineLvl w:val="0"/>
        <w:rPr>
          <w:smallCaps/>
          <w:lang w:val="fr-CA"/>
        </w:rPr>
      </w:pPr>
      <w:r w:rsidRPr="00253698">
        <w:rPr>
          <w:rStyle w:val="SCCAppellantForIndexChar"/>
          <w:b w:val="0"/>
          <w:lang w:val="fr-CA"/>
        </w:rPr>
        <w:t>Association des parents de l’</w:t>
      </w:r>
      <w:r w:rsidR="00E64D1F">
        <w:rPr>
          <w:rStyle w:val="SCCAppellantForRunningHeadChar"/>
          <w:smallCaps w:val="0"/>
          <w:lang w:val="fr-CA"/>
        </w:rPr>
        <w:t>école R</w:t>
      </w:r>
      <w:r w:rsidR="00937550" w:rsidRPr="00253698">
        <w:rPr>
          <w:rStyle w:val="SCCAppellantForRunningHeadChar"/>
          <w:smallCaps w:val="0"/>
          <w:lang w:val="fr-CA"/>
        </w:rPr>
        <w:t>ose</w:t>
      </w:r>
      <w:r w:rsidR="00225C08" w:rsidRPr="00253698">
        <w:rPr>
          <w:rStyle w:val="SCCAppellantForRunningHeadChar"/>
          <w:smallCaps w:val="0"/>
          <w:lang w:val="fr-CA"/>
        </w:rPr>
        <w:t>-</w:t>
      </w:r>
      <w:r w:rsidR="00937550" w:rsidRPr="00253698">
        <w:rPr>
          <w:rStyle w:val="SCCAppellantForRunningHeadChar"/>
          <w:smallCaps w:val="0"/>
          <w:lang w:val="fr-CA"/>
        </w:rPr>
        <w:t>des</w:t>
      </w:r>
      <w:r w:rsidR="00225C08" w:rsidRPr="00253698">
        <w:rPr>
          <w:rStyle w:val="SCCAppellantForRunningHeadChar"/>
          <w:smallCaps w:val="0"/>
          <w:lang w:val="fr-CA"/>
        </w:rPr>
        <w:t>-</w:t>
      </w:r>
      <w:r w:rsidR="00937550" w:rsidRPr="00253698">
        <w:rPr>
          <w:rStyle w:val="SCCAppellantForRunningHeadChar"/>
          <w:smallCaps w:val="0"/>
          <w:lang w:val="fr-CA"/>
        </w:rPr>
        <w:t>vents</w:t>
      </w:r>
      <w:r w:rsidR="004D7D95" w:rsidRPr="00253698">
        <w:rPr>
          <w:smallCaps/>
          <w:lang w:val="fr-CA"/>
        </w:rPr>
        <w:t xml:space="preserve"> </w:t>
      </w:r>
      <w:r w:rsidR="004D7D95" w:rsidRPr="00253698">
        <w:rPr>
          <w:i/>
          <w:lang w:val="fr-CA"/>
        </w:rPr>
        <w:t>c.</w:t>
      </w:r>
      <w:r w:rsidR="004D7D95" w:rsidRPr="00253698">
        <w:rPr>
          <w:smallCaps/>
          <w:lang w:val="fr-CA"/>
        </w:rPr>
        <w:t xml:space="preserve"> </w:t>
      </w:r>
      <w:r>
        <w:rPr>
          <w:rStyle w:val="SCCRespondentForRunningHeadChar"/>
          <w:smallCaps w:val="0"/>
          <w:lang w:val="fr-CA"/>
        </w:rPr>
        <w:t>Colombie-Britannique. (É</w:t>
      </w:r>
      <w:r w:rsidR="00785E43" w:rsidRPr="00253698">
        <w:rPr>
          <w:rStyle w:val="SCCRespondentForRunningHeadChar"/>
          <w:smallCaps w:val="0"/>
          <w:lang w:val="fr-CA"/>
        </w:rPr>
        <w:t>ducation)</w:t>
      </w:r>
      <w:r>
        <w:rPr>
          <w:rStyle w:val="SCCRespondentForRunningHeadChar"/>
          <w:smallCaps w:val="0"/>
          <w:lang w:val="fr-CA"/>
        </w:rPr>
        <w:t xml:space="preserve">, </w:t>
      </w:r>
      <w:r w:rsidRPr="00511BC1">
        <w:rPr>
          <w:lang w:val="fr-CA"/>
        </w:rPr>
        <w:t>2015 CSC</w:t>
      </w:r>
      <w:r>
        <w:rPr>
          <w:lang w:val="fr-CA"/>
        </w:rPr>
        <w:t xml:space="preserve"> 21, [2015] 2 R.C.S. 139</w:t>
      </w:r>
    </w:p>
    <w:p w:rsidR="009270E7" w:rsidRPr="00511BC1" w:rsidRDefault="00E227CE" w:rsidP="004B15C3">
      <w:pPr>
        <w:pStyle w:val="SCCLsocParty"/>
        <w:widowControl w:val="0"/>
        <w:outlineLvl w:val="0"/>
        <w:rPr>
          <w:lang w:val="fr-CA"/>
        </w:rPr>
      </w:pPr>
      <w:r w:rsidRPr="00511BC1">
        <w:rPr>
          <w:lang w:val="fr-CA"/>
        </w:rPr>
        <w:t>Association des parents de l</w:t>
      </w:r>
      <w:r w:rsidR="00EC7722" w:rsidRPr="00511BC1">
        <w:rPr>
          <w:lang w:val="fr-CA"/>
        </w:rPr>
        <w:t>’</w:t>
      </w:r>
      <w:r w:rsidRPr="00511BC1">
        <w:rPr>
          <w:lang w:val="fr-CA"/>
        </w:rPr>
        <w:t>école Rose</w:t>
      </w:r>
      <w:r w:rsidR="00225C08">
        <w:rPr>
          <w:lang w:val="fr-CA"/>
        </w:rPr>
        <w:t>-</w:t>
      </w:r>
      <w:r w:rsidRPr="00511BC1">
        <w:rPr>
          <w:lang w:val="fr-CA"/>
        </w:rPr>
        <w:t>des</w:t>
      </w:r>
      <w:r w:rsidR="00225C08">
        <w:rPr>
          <w:lang w:val="fr-CA"/>
        </w:rPr>
        <w:t>-</w:t>
      </w:r>
      <w:r w:rsidRPr="00511BC1">
        <w:rPr>
          <w:lang w:val="fr-CA"/>
        </w:rPr>
        <w:t>vents,</w:t>
      </w:r>
    </w:p>
    <w:p w:rsidR="008E0D7F" w:rsidRPr="00511BC1" w:rsidRDefault="00E227CE" w:rsidP="004B15C3">
      <w:pPr>
        <w:pStyle w:val="SCCLsocParty"/>
        <w:widowControl w:val="0"/>
        <w:outlineLvl w:val="0"/>
        <w:rPr>
          <w:lang w:val="fr-CA"/>
        </w:rPr>
      </w:pPr>
      <w:r w:rsidRPr="00511BC1">
        <w:rPr>
          <w:lang w:val="fr-CA"/>
        </w:rPr>
        <w:t>Joseph Pagé</w:t>
      </w:r>
      <w:r w:rsidR="005D2956" w:rsidRPr="00511BC1">
        <w:rPr>
          <w:lang w:val="fr-CA"/>
        </w:rPr>
        <w:t>,</w:t>
      </w:r>
      <w:r w:rsidRPr="00511BC1">
        <w:rPr>
          <w:lang w:val="fr-CA"/>
        </w:rPr>
        <w:t xml:space="preserve"> en son propre nom et </w:t>
      </w:r>
      <w:r w:rsidR="00506433" w:rsidRPr="00511BC1">
        <w:rPr>
          <w:lang w:val="fr-CA"/>
        </w:rPr>
        <w:t xml:space="preserve">au nom </w:t>
      </w:r>
      <w:r w:rsidRPr="00511BC1">
        <w:rPr>
          <w:lang w:val="fr-CA"/>
        </w:rPr>
        <w:t xml:space="preserve">de tous les </w:t>
      </w:r>
    </w:p>
    <w:p w:rsidR="008E0D7F" w:rsidRPr="00511BC1" w:rsidRDefault="00E227CE" w:rsidP="004B15C3">
      <w:pPr>
        <w:pStyle w:val="SCCLsocParty"/>
        <w:widowControl w:val="0"/>
        <w:rPr>
          <w:lang w:val="fr-CA"/>
        </w:rPr>
      </w:pPr>
      <w:r w:rsidRPr="00511BC1">
        <w:rPr>
          <w:lang w:val="fr-CA"/>
        </w:rPr>
        <w:t>citoyens canadiens qui résident à l</w:t>
      </w:r>
      <w:r w:rsidR="00EC7722" w:rsidRPr="00511BC1">
        <w:rPr>
          <w:lang w:val="fr-CA"/>
        </w:rPr>
        <w:t>’</w:t>
      </w:r>
      <w:r w:rsidRPr="00511BC1">
        <w:rPr>
          <w:lang w:val="fr-CA"/>
        </w:rPr>
        <w:t xml:space="preserve">ouest de la rue Main </w:t>
      </w:r>
    </w:p>
    <w:p w:rsidR="008E0D7F" w:rsidRPr="00511BC1" w:rsidRDefault="00E227CE" w:rsidP="004B15C3">
      <w:pPr>
        <w:pStyle w:val="SCCLsocParty"/>
        <w:widowControl w:val="0"/>
        <w:rPr>
          <w:lang w:val="fr-CA"/>
        </w:rPr>
      </w:pPr>
      <w:r w:rsidRPr="00511BC1">
        <w:rPr>
          <w:lang w:val="fr-CA"/>
        </w:rPr>
        <w:t xml:space="preserve">dans la ville de Vancouver dont la première langue apprise </w:t>
      </w:r>
    </w:p>
    <w:p w:rsidR="008E0D7F" w:rsidRPr="00511BC1" w:rsidRDefault="00E227CE" w:rsidP="004B15C3">
      <w:pPr>
        <w:pStyle w:val="SCCLsocParty"/>
        <w:widowControl w:val="0"/>
        <w:rPr>
          <w:lang w:val="fr-CA"/>
        </w:rPr>
      </w:pPr>
      <w:r w:rsidRPr="00511BC1">
        <w:rPr>
          <w:lang w:val="fr-CA"/>
        </w:rPr>
        <w:t>et encore comprise est le français,</w:t>
      </w:r>
      <w:r w:rsidR="008E0D7F" w:rsidRPr="00511BC1">
        <w:rPr>
          <w:lang w:val="fr-CA"/>
        </w:rPr>
        <w:t xml:space="preserve"> </w:t>
      </w:r>
      <w:r w:rsidRPr="00511BC1">
        <w:rPr>
          <w:lang w:val="fr-CA"/>
        </w:rPr>
        <w:t xml:space="preserve">ou qui ont reçu leur </w:t>
      </w:r>
    </w:p>
    <w:p w:rsidR="008E0D7F" w:rsidRPr="00511BC1" w:rsidRDefault="00E227CE" w:rsidP="004B15C3">
      <w:pPr>
        <w:pStyle w:val="SCCLsocParty"/>
        <w:widowControl w:val="0"/>
        <w:rPr>
          <w:lang w:val="fr-CA"/>
        </w:rPr>
      </w:pPr>
      <w:r w:rsidRPr="00511BC1">
        <w:rPr>
          <w:lang w:val="fr-CA"/>
        </w:rPr>
        <w:t xml:space="preserve">instruction au niveau primaire en français au Canada, ou </w:t>
      </w:r>
    </w:p>
    <w:p w:rsidR="008E0D7F" w:rsidRPr="00511BC1" w:rsidRDefault="00E227CE" w:rsidP="004B15C3">
      <w:pPr>
        <w:pStyle w:val="SCCLsocParty"/>
        <w:widowControl w:val="0"/>
        <w:rPr>
          <w:lang w:val="fr-CA"/>
        </w:rPr>
      </w:pPr>
      <w:r w:rsidRPr="00511BC1">
        <w:rPr>
          <w:lang w:val="fr-CA"/>
        </w:rPr>
        <w:t xml:space="preserve">dont un enfant a reçu ou reçoit son instruction au niveau </w:t>
      </w:r>
    </w:p>
    <w:p w:rsidR="008E0D7F" w:rsidRPr="00511BC1" w:rsidRDefault="00E227CE" w:rsidP="004B15C3">
      <w:pPr>
        <w:pStyle w:val="SCCLsocParty"/>
        <w:widowControl w:val="0"/>
        <w:rPr>
          <w:lang w:val="fr-CA"/>
        </w:rPr>
      </w:pPr>
      <w:r w:rsidRPr="00511BC1">
        <w:rPr>
          <w:lang w:val="fr-CA"/>
        </w:rPr>
        <w:t xml:space="preserve">primaire ou secondaire en </w:t>
      </w:r>
      <w:r w:rsidR="00EC7722" w:rsidRPr="00511BC1">
        <w:rPr>
          <w:lang w:val="fr-CA"/>
        </w:rPr>
        <w:t>français au Canada</w:t>
      </w:r>
      <w:r w:rsidR="00EB0F4C" w:rsidRPr="00511BC1">
        <w:rPr>
          <w:lang w:val="fr-CA"/>
        </w:rPr>
        <w:t>,</w:t>
      </w:r>
      <w:r w:rsidR="00EC7722" w:rsidRPr="00511BC1">
        <w:rPr>
          <w:lang w:val="fr-CA"/>
        </w:rPr>
        <w:t xml:space="preserve"> et </w:t>
      </w:r>
      <w:r w:rsidRPr="00511BC1">
        <w:rPr>
          <w:lang w:val="fr-CA"/>
        </w:rPr>
        <w:t xml:space="preserve">Conseil </w:t>
      </w:r>
    </w:p>
    <w:p w:rsidR="009270E7" w:rsidRPr="00511BC1" w:rsidRDefault="00E227CE" w:rsidP="004B15C3">
      <w:pPr>
        <w:pStyle w:val="SCCLsocParty"/>
        <w:widowControl w:val="0"/>
        <w:spacing w:after="720"/>
        <w:rPr>
          <w:rStyle w:val="SCCLsocPartyRole"/>
          <w:lang w:val="fr-CA"/>
        </w:rPr>
      </w:pPr>
      <w:r w:rsidRPr="00511BC1">
        <w:rPr>
          <w:lang w:val="fr-CA"/>
        </w:rPr>
        <w:t>scolaire francophone de la Colombie</w:t>
      </w:r>
      <w:r w:rsidR="00225C08">
        <w:rPr>
          <w:lang w:val="fr-CA"/>
        </w:rPr>
        <w:t>-</w:t>
      </w:r>
      <w:r w:rsidRPr="00511BC1">
        <w:rPr>
          <w:lang w:val="fr-CA"/>
        </w:rPr>
        <w:t>Britannique</w:t>
      </w:r>
      <w:r w:rsidR="008E0D7F" w:rsidRPr="00511BC1">
        <w:rPr>
          <w:rStyle w:val="SCCLsocPartyRole"/>
          <w:lang w:val="fr-CA"/>
        </w:rPr>
        <w:tab/>
        <w:t>Appelant</w:t>
      </w:r>
      <w:r w:rsidRPr="00511BC1">
        <w:rPr>
          <w:rStyle w:val="SCCLsocPartyRole"/>
          <w:lang w:val="fr-CA"/>
        </w:rPr>
        <w:t>s</w:t>
      </w:r>
    </w:p>
    <w:p w:rsidR="009270E7" w:rsidRPr="00511BC1" w:rsidRDefault="00E227CE" w:rsidP="004B15C3">
      <w:pPr>
        <w:pStyle w:val="SCCLsocVersus"/>
        <w:widowControl w:val="0"/>
        <w:rPr>
          <w:lang w:val="fr-CA"/>
        </w:rPr>
      </w:pPr>
      <w:r w:rsidRPr="00511BC1">
        <w:rPr>
          <w:lang w:val="fr-CA"/>
        </w:rPr>
        <w:t>c.</w:t>
      </w:r>
    </w:p>
    <w:p w:rsidR="008E0D7F" w:rsidRPr="00511BC1" w:rsidRDefault="002E343F" w:rsidP="004B15C3">
      <w:pPr>
        <w:pStyle w:val="SCCLsocParty"/>
        <w:widowControl w:val="0"/>
        <w:outlineLvl w:val="0"/>
        <w:rPr>
          <w:lang w:val="fr-CA"/>
        </w:rPr>
      </w:pPr>
      <w:r w:rsidRPr="00511BC1">
        <w:rPr>
          <w:lang w:val="fr-CA"/>
        </w:rPr>
        <w:t>Ministre</w:t>
      </w:r>
      <w:r w:rsidR="008E0D7F" w:rsidRPr="00511BC1">
        <w:rPr>
          <w:lang w:val="fr-CA"/>
        </w:rPr>
        <w:t xml:space="preserve"> de l’</w:t>
      </w:r>
      <w:r w:rsidR="00E227CE" w:rsidRPr="00511BC1">
        <w:rPr>
          <w:lang w:val="fr-CA"/>
        </w:rPr>
        <w:t>Éducation de la Colom</w:t>
      </w:r>
      <w:r w:rsidR="008E0D7F" w:rsidRPr="00511BC1">
        <w:rPr>
          <w:lang w:val="fr-CA"/>
        </w:rPr>
        <w:t>bie</w:t>
      </w:r>
      <w:r w:rsidR="00225C08">
        <w:rPr>
          <w:lang w:val="fr-CA"/>
        </w:rPr>
        <w:t>-</w:t>
      </w:r>
      <w:r w:rsidR="00252775" w:rsidRPr="00511BC1">
        <w:rPr>
          <w:lang w:val="fr-CA"/>
        </w:rPr>
        <w:t>Britannique et</w:t>
      </w:r>
    </w:p>
    <w:p w:rsidR="009270E7" w:rsidRPr="00511BC1" w:rsidRDefault="008E0D7F" w:rsidP="004B15C3">
      <w:pPr>
        <w:pStyle w:val="SCCLsocParty"/>
        <w:widowControl w:val="0"/>
        <w:spacing w:after="720"/>
        <w:rPr>
          <w:rStyle w:val="SCCLsocPartyRole"/>
          <w:lang w:val="fr-CA"/>
        </w:rPr>
      </w:pPr>
      <w:r w:rsidRPr="00511BC1">
        <w:rPr>
          <w:lang w:val="fr-CA"/>
        </w:rPr>
        <w:t>p</w:t>
      </w:r>
      <w:r w:rsidR="00E227CE" w:rsidRPr="00511BC1">
        <w:rPr>
          <w:lang w:val="fr-CA"/>
        </w:rPr>
        <w:t>rocureur général de la Colombie</w:t>
      </w:r>
      <w:r w:rsidR="00225C08">
        <w:rPr>
          <w:lang w:val="fr-CA"/>
        </w:rPr>
        <w:t>-</w:t>
      </w:r>
      <w:r w:rsidR="00E227CE" w:rsidRPr="00511BC1">
        <w:rPr>
          <w:lang w:val="fr-CA"/>
        </w:rPr>
        <w:t>Britannique</w:t>
      </w:r>
      <w:r w:rsidRPr="00511BC1">
        <w:rPr>
          <w:rStyle w:val="SCCLsocPartyRole"/>
          <w:lang w:val="fr-CA"/>
        </w:rPr>
        <w:tab/>
        <w:t>Intimé</w:t>
      </w:r>
      <w:r w:rsidR="00E227CE" w:rsidRPr="00511BC1">
        <w:rPr>
          <w:rStyle w:val="SCCLsocPartyRole"/>
          <w:lang w:val="fr-CA"/>
        </w:rPr>
        <w:t>s</w:t>
      </w:r>
    </w:p>
    <w:p w:rsidR="009270E7" w:rsidRPr="00511BC1" w:rsidRDefault="00E227CE" w:rsidP="004B15C3">
      <w:pPr>
        <w:pStyle w:val="SCCLsocOtherPartySeparator"/>
        <w:widowControl w:val="0"/>
        <w:rPr>
          <w:lang w:val="fr-CA"/>
        </w:rPr>
      </w:pPr>
      <w:r w:rsidRPr="00511BC1">
        <w:rPr>
          <w:lang w:val="fr-CA"/>
        </w:rPr>
        <w:t>et</w:t>
      </w:r>
    </w:p>
    <w:p w:rsidR="009270E7" w:rsidRPr="00511BC1" w:rsidRDefault="00E227CE" w:rsidP="004B15C3">
      <w:pPr>
        <w:pStyle w:val="SCCLsocParty"/>
        <w:widowControl w:val="0"/>
        <w:outlineLvl w:val="0"/>
        <w:rPr>
          <w:lang w:val="fr-CA"/>
        </w:rPr>
      </w:pPr>
      <w:r w:rsidRPr="00511BC1">
        <w:rPr>
          <w:lang w:val="fr-CA"/>
        </w:rPr>
        <w:t>Procureur général de la Saskatchewan,</w:t>
      </w:r>
    </w:p>
    <w:p w:rsidR="009270E7" w:rsidRPr="00511BC1" w:rsidRDefault="008E0D7F" w:rsidP="004B15C3">
      <w:pPr>
        <w:pStyle w:val="SCCLsocParty"/>
        <w:widowControl w:val="0"/>
        <w:rPr>
          <w:lang w:val="fr-CA"/>
        </w:rPr>
      </w:pPr>
      <w:r w:rsidRPr="00511BC1">
        <w:rPr>
          <w:lang w:val="fr-CA"/>
        </w:rPr>
        <w:t>p</w:t>
      </w:r>
      <w:r w:rsidR="00E227CE" w:rsidRPr="00511BC1">
        <w:rPr>
          <w:lang w:val="fr-CA"/>
        </w:rPr>
        <w:t>rocureur général de l</w:t>
      </w:r>
      <w:r w:rsidRPr="00511BC1">
        <w:rPr>
          <w:lang w:val="fr-CA"/>
        </w:rPr>
        <w:t>’</w:t>
      </w:r>
      <w:r w:rsidR="00E227CE" w:rsidRPr="00511BC1">
        <w:rPr>
          <w:lang w:val="fr-CA"/>
        </w:rPr>
        <w:t>Alberta,</w:t>
      </w:r>
    </w:p>
    <w:p w:rsidR="008E0D7F" w:rsidRPr="00511BC1" w:rsidRDefault="008E0D7F" w:rsidP="004B15C3">
      <w:pPr>
        <w:pStyle w:val="SCCLsocParty"/>
        <w:widowControl w:val="0"/>
        <w:rPr>
          <w:lang w:val="fr-CA"/>
        </w:rPr>
      </w:pPr>
      <w:r w:rsidRPr="00511BC1">
        <w:rPr>
          <w:lang w:val="fr-CA"/>
        </w:rPr>
        <w:t>procureur général des Territoires du Nord</w:t>
      </w:r>
      <w:r w:rsidR="00225C08">
        <w:rPr>
          <w:lang w:val="fr-CA"/>
        </w:rPr>
        <w:t>-</w:t>
      </w:r>
      <w:r w:rsidRPr="00511BC1">
        <w:rPr>
          <w:lang w:val="fr-CA"/>
        </w:rPr>
        <w:t>Ouest,</w:t>
      </w:r>
    </w:p>
    <w:p w:rsidR="008E0D7F" w:rsidRPr="00511BC1" w:rsidRDefault="008E0D7F" w:rsidP="004B15C3">
      <w:pPr>
        <w:pStyle w:val="SCCLsocParty"/>
        <w:widowControl w:val="0"/>
        <w:rPr>
          <w:lang w:val="fr-CA"/>
        </w:rPr>
      </w:pPr>
      <w:r w:rsidRPr="00511BC1">
        <w:rPr>
          <w:lang w:val="fr-CA"/>
        </w:rPr>
        <w:t xml:space="preserve">procureur général du </w:t>
      </w:r>
      <w:r w:rsidR="00BF635B" w:rsidRPr="00511BC1">
        <w:rPr>
          <w:lang w:val="fr-CA"/>
        </w:rPr>
        <w:t>T</w:t>
      </w:r>
      <w:r w:rsidR="00506433" w:rsidRPr="00511BC1">
        <w:rPr>
          <w:lang w:val="fr-CA"/>
        </w:rPr>
        <w:t xml:space="preserve">erritoire du </w:t>
      </w:r>
      <w:r w:rsidRPr="00511BC1">
        <w:rPr>
          <w:lang w:val="fr-CA"/>
        </w:rPr>
        <w:t>Yukon,</w:t>
      </w:r>
    </w:p>
    <w:p w:rsidR="009270E7" w:rsidRPr="00511BC1" w:rsidRDefault="00621E63" w:rsidP="004B15C3">
      <w:pPr>
        <w:pStyle w:val="SCCLsocParty"/>
        <w:widowControl w:val="0"/>
        <w:outlineLvl w:val="0"/>
        <w:rPr>
          <w:lang w:val="fr-CA"/>
        </w:rPr>
      </w:pPr>
      <w:r w:rsidRPr="00511BC1">
        <w:rPr>
          <w:lang w:val="fr-CA"/>
        </w:rPr>
        <w:t>c</w:t>
      </w:r>
      <w:r w:rsidR="00E227CE" w:rsidRPr="00511BC1">
        <w:rPr>
          <w:lang w:val="fr-CA"/>
        </w:rPr>
        <w:t>ommissaire aux langues officielles du Canada,</w:t>
      </w:r>
    </w:p>
    <w:p w:rsidR="009270E7" w:rsidRPr="00511BC1" w:rsidRDefault="00E227CE" w:rsidP="004B15C3">
      <w:pPr>
        <w:pStyle w:val="SCCLsocParty"/>
        <w:widowControl w:val="0"/>
        <w:outlineLvl w:val="0"/>
        <w:rPr>
          <w:lang w:val="fr-CA"/>
        </w:rPr>
      </w:pPr>
      <w:r w:rsidRPr="00511BC1">
        <w:rPr>
          <w:lang w:val="fr-CA"/>
        </w:rPr>
        <w:t>Commission scolaire francoph</w:t>
      </w:r>
      <w:r w:rsidR="00EE1648" w:rsidRPr="00511BC1">
        <w:rPr>
          <w:lang w:val="fr-CA"/>
        </w:rPr>
        <w:t xml:space="preserve">one, </w:t>
      </w:r>
      <w:r w:rsidRPr="00511BC1">
        <w:rPr>
          <w:lang w:val="fr-CA"/>
        </w:rPr>
        <w:t>Territoires du Nord</w:t>
      </w:r>
      <w:r w:rsidR="00225C08">
        <w:rPr>
          <w:lang w:val="fr-CA"/>
        </w:rPr>
        <w:t>-</w:t>
      </w:r>
      <w:r w:rsidRPr="00511BC1">
        <w:rPr>
          <w:lang w:val="fr-CA"/>
        </w:rPr>
        <w:t>Ouest,</w:t>
      </w:r>
    </w:p>
    <w:p w:rsidR="009270E7" w:rsidRPr="00511BC1" w:rsidRDefault="00E227CE" w:rsidP="004B15C3">
      <w:pPr>
        <w:pStyle w:val="SCCLsocParty"/>
        <w:widowControl w:val="0"/>
        <w:outlineLvl w:val="0"/>
        <w:rPr>
          <w:lang w:val="fr-CA"/>
        </w:rPr>
      </w:pPr>
      <w:r w:rsidRPr="00511BC1">
        <w:rPr>
          <w:lang w:val="fr-CA"/>
        </w:rPr>
        <w:t>Fédération nationale des conseils scolaires francophones,</w:t>
      </w:r>
    </w:p>
    <w:p w:rsidR="009270E7" w:rsidRPr="00511BC1" w:rsidRDefault="00E227CE" w:rsidP="004B15C3">
      <w:pPr>
        <w:pStyle w:val="SCCLsocParty"/>
        <w:widowControl w:val="0"/>
        <w:outlineLvl w:val="0"/>
        <w:rPr>
          <w:lang w:val="fr-CA"/>
        </w:rPr>
      </w:pPr>
      <w:r w:rsidRPr="00511BC1">
        <w:rPr>
          <w:lang w:val="fr-CA"/>
        </w:rPr>
        <w:t>C</w:t>
      </w:r>
      <w:r w:rsidR="00BA76CD" w:rsidRPr="00511BC1">
        <w:rPr>
          <w:lang w:val="fr-CA"/>
        </w:rPr>
        <w:t>onseil des écoles fransaskoises et</w:t>
      </w:r>
    </w:p>
    <w:p w:rsidR="009270E7" w:rsidRPr="00511BC1" w:rsidRDefault="00E227CE" w:rsidP="004B15C3">
      <w:pPr>
        <w:pStyle w:val="SCCLsocLastPartyInRole"/>
        <w:widowControl w:val="0"/>
        <w:rPr>
          <w:lang w:val="fr-CA"/>
        </w:rPr>
      </w:pPr>
      <w:r w:rsidRPr="00511BC1">
        <w:rPr>
          <w:lang w:val="fr-CA"/>
        </w:rPr>
        <w:t>Commission scolaire francophone du Yukon</w:t>
      </w:r>
      <w:r w:rsidR="00BA76CD" w:rsidRPr="00511BC1">
        <w:rPr>
          <w:rStyle w:val="SCCLsocPartyRole"/>
          <w:lang w:val="fr-CA"/>
        </w:rPr>
        <w:tab/>
        <w:t>Intervenant</w:t>
      </w:r>
      <w:r w:rsidRPr="00511BC1">
        <w:rPr>
          <w:rStyle w:val="SCCLsocPartyRole"/>
          <w:lang w:val="fr-CA"/>
        </w:rPr>
        <w:t>s</w:t>
      </w:r>
    </w:p>
    <w:p w:rsidR="004D7D95" w:rsidRPr="00511BC1" w:rsidRDefault="004D7D95" w:rsidP="004B15C3">
      <w:pPr>
        <w:widowControl w:val="0"/>
        <w:spacing w:after="720"/>
        <w:jc w:val="both"/>
        <w:rPr>
          <w:b/>
          <w:lang w:val="fr-CA"/>
        </w:rPr>
      </w:pPr>
      <w:r w:rsidRPr="00511BC1">
        <w:rPr>
          <w:b/>
          <w:lang w:val="fr-CA"/>
        </w:rPr>
        <w:t>Répertorié</w:t>
      </w:r>
      <w:r w:rsidR="00225C08">
        <w:rPr>
          <w:b/>
          <w:lang w:val="fr-CA"/>
        </w:rPr>
        <w:t xml:space="preserve"> : </w:t>
      </w:r>
      <w:r w:rsidRPr="00511BC1">
        <w:rPr>
          <w:rStyle w:val="SCCAppellantForIndexChar"/>
          <w:lang w:val="fr-CA"/>
        </w:rPr>
        <w:t>Association des par</w:t>
      </w:r>
      <w:r w:rsidR="00BA76CD" w:rsidRPr="00511BC1">
        <w:rPr>
          <w:rStyle w:val="SCCAppellantForIndexChar"/>
          <w:lang w:val="fr-CA"/>
        </w:rPr>
        <w:t>ents de l’école Rose</w:t>
      </w:r>
      <w:r w:rsidR="00225C08">
        <w:rPr>
          <w:rStyle w:val="SCCAppellantForIndexChar"/>
          <w:lang w:val="fr-CA"/>
        </w:rPr>
        <w:t>-</w:t>
      </w:r>
      <w:r w:rsidR="00BA76CD" w:rsidRPr="00511BC1">
        <w:rPr>
          <w:rStyle w:val="SCCAppellantForIndexChar"/>
          <w:lang w:val="fr-CA"/>
        </w:rPr>
        <w:t>des</w:t>
      </w:r>
      <w:r w:rsidR="00225C08">
        <w:rPr>
          <w:rStyle w:val="SCCAppellantForIndexChar"/>
          <w:lang w:val="fr-CA"/>
        </w:rPr>
        <w:t>-</w:t>
      </w:r>
      <w:r w:rsidR="00BA76CD" w:rsidRPr="00511BC1">
        <w:rPr>
          <w:rStyle w:val="SCCAppellantForIndexChar"/>
          <w:lang w:val="fr-CA"/>
        </w:rPr>
        <w:t>vents</w:t>
      </w:r>
      <w:r w:rsidRPr="00511BC1">
        <w:rPr>
          <w:b/>
          <w:lang w:val="fr-CA"/>
        </w:rPr>
        <w:t xml:space="preserve"> </w:t>
      </w:r>
      <w:r w:rsidRPr="00511BC1">
        <w:rPr>
          <w:b/>
          <w:i/>
          <w:lang w:val="fr-CA"/>
        </w:rPr>
        <w:t>c.</w:t>
      </w:r>
      <w:r w:rsidRPr="00511BC1">
        <w:rPr>
          <w:b/>
          <w:lang w:val="fr-CA"/>
        </w:rPr>
        <w:t xml:space="preserve"> </w:t>
      </w:r>
      <w:r w:rsidR="00BA76CD" w:rsidRPr="00511BC1">
        <w:rPr>
          <w:b/>
          <w:lang w:val="fr-CA"/>
        </w:rPr>
        <w:t>Colombie</w:t>
      </w:r>
      <w:r w:rsidR="00225C08">
        <w:rPr>
          <w:b/>
          <w:lang w:val="fr-CA"/>
        </w:rPr>
        <w:t>-</w:t>
      </w:r>
      <w:r w:rsidR="00BA76CD" w:rsidRPr="00511BC1">
        <w:rPr>
          <w:b/>
          <w:lang w:val="fr-CA"/>
        </w:rPr>
        <w:t>Britannique (Éducation)</w:t>
      </w:r>
    </w:p>
    <w:p w:rsidR="004D7D95" w:rsidRPr="00511BC1" w:rsidRDefault="00F62639" w:rsidP="004B15C3">
      <w:pPr>
        <w:pStyle w:val="SCCSystemYear"/>
        <w:widowControl w:val="0"/>
        <w:spacing w:after="720"/>
        <w:jc w:val="both"/>
        <w:outlineLvl w:val="0"/>
        <w:rPr>
          <w:lang w:val="fr-CA"/>
        </w:rPr>
      </w:pPr>
      <w:r w:rsidRPr="00511BC1">
        <w:rPr>
          <w:lang w:val="fr-CA"/>
        </w:rPr>
        <w:lastRenderedPageBreak/>
        <w:t>2015</w:t>
      </w:r>
      <w:r w:rsidR="004D7D95" w:rsidRPr="00511BC1">
        <w:rPr>
          <w:lang w:val="fr-CA"/>
        </w:rPr>
        <w:t xml:space="preserve"> CSC</w:t>
      </w:r>
      <w:r w:rsidR="00225C08">
        <w:rPr>
          <w:lang w:val="fr-CA"/>
        </w:rPr>
        <w:t xml:space="preserve"> </w:t>
      </w:r>
      <w:r w:rsidR="00DD674B">
        <w:rPr>
          <w:lang w:val="fr-CA"/>
        </w:rPr>
        <w:t>21</w:t>
      </w:r>
    </w:p>
    <w:p w:rsidR="004D7D95" w:rsidRPr="00511BC1" w:rsidRDefault="004D7D95" w:rsidP="004B15C3">
      <w:pPr>
        <w:widowControl w:val="0"/>
        <w:spacing w:after="720"/>
        <w:jc w:val="both"/>
        <w:outlineLvl w:val="0"/>
        <w:rPr>
          <w:lang w:val="fr-CA"/>
        </w:rPr>
      </w:pPr>
      <w:r w:rsidRPr="00511BC1">
        <w:rPr>
          <w:lang w:val="fr-CA"/>
        </w:rPr>
        <w:t>N</w:t>
      </w:r>
      <w:r w:rsidRPr="00511BC1">
        <w:rPr>
          <w:vertAlign w:val="superscript"/>
          <w:lang w:val="fr-CA"/>
        </w:rPr>
        <w:t>o</w:t>
      </w:r>
      <w:r w:rsidRPr="00511BC1">
        <w:rPr>
          <w:lang w:val="fr-CA"/>
        </w:rPr>
        <w:t xml:space="preserve"> du greffe</w:t>
      </w:r>
      <w:r w:rsidR="00225C08">
        <w:rPr>
          <w:lang w:val="fr-CA"/>
        </w:rPr>
        <w:t xml:space="preserve"> : </w:t>
      </w:r>
      <w:r w:rsidRPr="00511BC1">
        <w:rPr>
          <w:lang w:val="fr-CA"/>
        </w:rPr>
        <w:t>35619.</w:t>
      </w:r>
    </w:p>
    <w:p w:rsidR="004D7D95" w:rsidRPr="00511BC1" w:rsidRDefault="003566CD" w:rsidP="004B15C3">
      <w:pPr>
        <w:widowControl w:val="0"/>
        <w:spacing w:after="720"/>
        <w:jc w:val="both"/>
        <w:rPr>
          <w:lang w:val="fr-CA"/>
        </w:rPr>
      </w:pPr>
      <w:r w:rsidRPr="00511BC1">
        <w:rPr>
          <w:lang w:val="fr-CA"/>
        </w:rPr>
        <w:t>2014</w:t>
      </w:r>
      <w:r w:rsidR="00225C08">
        <w:rPr>
          <w:lang w:val="fr-CA"/>
        </w:rPr>
        <w:t xml:space="preserve"> : </w:t>
      </w:r>
      <w:r w:rsidRPr="00511BC1">
        <w:rPr>
          <w:lang w:val="fr-CA"/>
        </w:rPr>
        <w:t>2</w:t>
      </w:r>
      <w:r w:rsidR="00225C08">
        <w:rPr>
          <w:lang w:val="fr-CA"/>
        </w:rPr>
        <w:t xml:space="preserve"> </w:t>
      </w:r>
      <w:r w:rsidR="00F62639" w:rsidRPr="00511BC1">
        <w:rPr>
          <w:lang w:val="fr-CA"/>
        </w:rPr>
        <w:t>décembre</w:t>
      </w:r>
      <w:r w:rsidR="008B1FEC" w:rsidRPr="00511BC1">
        <w:rPr>
          <w:lang w:val="fr-CA"/>
        </w:rPr>
        <w:t>; 2015</w:t>
      </w:r>
      <w:r w:rsidR="00225C08">
        <w:rPr>
          <w:lang w:val="fr-CA"/>
        </w:rPr>
        <w:t xml:space="preserve"> : </w:t>
      </w:r>
      <w:r w:rsidR="008B1FEC" w:rsidRPr="00511BC1">
        <w:rPr>
          <w:lang w:val="fr-CA"/>
        </w:rPr>
        <w:t>24</w:t>
      </w:r>
      <w:r w:rsidR="00225C08">
        <w:rPr>
          <w:lang w:val="fr-CA"/>
        </w:rPr>
        <w:t xml:space="preserve"> </w:t>
      </w:r>
      <w:r w:rsidR="008B1FEC" w:rsidRPr="00511BC1">
        <w:rPr>
          <w:lang w:val="fr-CA"/>
        </w:rPr>
        <w:t>avril</w:t>
      </w:r>
      <w:r w:rsidR="004D7D95" w:rsidRPr="00511BC1">
        <w:rPr>
          <w:lang w:val="fr-CA"/>
        </w:rPr>
        <w:t>.</w:t>
      </w:r>
    </w:p>
    <w:p w:rsidR="004D7D95" w:rsidRPr="00511BC1" w:rsidRDefault="004D7D95" w:rsidP="004B15C3">
      <w:pPr>
        <w:widowControl w:val="0"/>
        <w:spacing w:after="720"/>
        <w:jc w:val="both"/>
        <w:rPr>
          <w:lang w:val="fr-CA"/>
        </w:rPr>
      </w:pPr>
      <w:r w:rsidRPr="00511BC1">
        <w:rPr>
          <w:lang w:val="fr-CA"/>
        </w:rPr>
        <w:t>Présents</w:t>
      </w:r>
      <w:r w:rsidR="00225C08">
        <w:rPr>
          <w:lang w:val="fr-CA"/>
        </w:rPr>
        <w:t xml:space="preserve"> : </w:t>
      </w:r>
      <w:r w:rsidRPr="00511BC1">
        <w:rPr>
          <w:lang w:val="fr-CA"/>
        </w:rPr>
        <w:t>La juge en chef McLachlin et les juges Abella, Rothstein, Moldaver, Karakatsanis, Wagner et Gascon.</w:t>
      </w:r>
    </w:p>
    <w:p w:rsidR="004D7D95" w:rsidRPr="00511BC1" w:rsidRDefault="004D7D95" w:rsidP="004B15C3">
      <w:pPr>
        <w:widowControl w:val="0"/>
        <w:spacing w:after="720"/>
        <w:jc w:val="both"/>
        <w:outlineLvl w:val="0"/>
        <w:rPr>
          <w:smallCaps/>
          <w:lang w:val="fr-CA"/>
        </w:rPr>
      </w:pPr>
      <w:r w:rsidRPr="00511BC1">
        <w:rPr>
          <w:smallCaps/>
          <w:lang w:val="fr-CA"/>
        </w:rPr>
        <w:t xml:space="preserve">en appel de la cour d’appel de la </w:t>
      </w:r>
      <w:r w:rsidR="00BA76CD" w:rsidRPr="00511BC1">
        <w:rPr>
          <w:smallCaps/>
          <w:lang w:val="fr-CA"/>
        </w:rPr>
        <w:t>colombie</w:t>
      </w:r>
      <w:r w:rsidR="00225C08">
        <w:rPr>
          <w:smallCaps/>
          <w:lang w:val="fr-CA"/>
        </w:rPr>
        <w:t>-</w:t>
      </w:r>
      <w:r w:rsidR="00BA76CD" w:rsidRPr="00511BC1">
        <w:rPr>
          <w:smallCaps/>
          <w:lang w:val="fr-CA"/>
        </w:rPr>
        <w:t>britannique</w:t>
      </w:r>
    </w:p>
    <w:p w:rsidR="00252775" w:rsidRPr="00511BC1" w:rsidRDefault="004D7D95" w:rsidP="004B15C3">
      <w:pPr>
        <w:pStyle w:val="SCCNormalDoubleSpacing"/>
        <w:widowControl w:val="0"/>
        <w:spacing w:before="480" w:after="480"/>
        <w:rPr>
          <w:i/>
          <w:lang w:val="fr-CA"/>
        </w:rPr>
      </w:pPr>
      <w:r w:rsidRPr="00511BC1">
        <w:rPr>
          <w:lang w:val="fr-CA"/>
        </w:rPr>
        <w:tab/>
      </w:r>
      <w:r w:rsidR="00252775" w:rsidRPr="00511BC1">
        <w:rPr>
          <w:i/>
          <w:lang w:val="fr-CA"/>
        </w:rPr>
        <w:t xml:space="preserve">Droit constitutionnel — Charte des droits — </w:t>
      </w:r>
      <w:r w:rsidR="005C630C" w:rsidRPr="00511BC1">
        <w:rPr>
          <w:i/>
          <w:lang w:val="fr-CA"/>
        </w:rPr>
        <w:t xml:space="preserve">Droit à l’instruction dans la langue de la minorité </w:t>
      </w:r>
      <w:r w:rsidR="00252775" w:rsidRPr="00511BC1">
        <w:rPr>
          <w:i/>
          <w:lang w:val="fr-CA"/>
        </w:rPr>
        <w:t xml:space="preserve">— </w:t>
      </w:r>
      <w:r w:rsidR="005C630C" w:rsidRPr="00511BC1">
        <w:rPr>
          <w:i/>
          <w:lang w:val="fr-CA"/>
        </w:rPr>
        <w:t xml:space="preserve">Égalité réelle </w:t>
      </w:r>
      <w:r w:rsidR="00252775" w:rsidRPr="00511BC1">
        <w:rPr>
          <w:i/>
          <w:lang w:val="fr-CA"/>
        </w:rPr>
        <w:t xml:space="preserve">— </w:t>
      </w:r>
      <w:r w:rsidR="005C630C" w:rsidRPr="00511BC1">
        <w:rPr>
          <w:i/>
          <w:lang w:val="fr-CA"/>
        </w:rPr>
        <w:t>Manière dont le tribunal doit dé</w:t>
      </w:r>
      <w:r w:rsidR="00AA0D92" w:rsidRPr="00511BC1">
        <w:rPr>
          <w:i/>
          <w:lang w:val="fr-CA"/>
        </w:rPr>
        <w:t xml:space="preserve">terminer </w:t>
      </w:r>
      <w:r w:rsidR="005C630C" w:rsidRPr="00511BC1">
        <w:rPr>
          <w:i/>
          <w:lang w:val="fr-CA"/>
        </w:rPr>
        <w:t>si</w:t>
      </w:r>
      <w:r w:rsidR="007A1AC5" w:rsidRPr="00511BC1">
        <w:rPr>
          <w:i/>
          <w:lang w:val="fr-CA"/>
        </w:rPr>
        <w:t xml:space="preserve"> l’expérience </w:t>
      </w:r>
      <w:r w:rsidR="00C90B08" w:rsidRPr="00511BC1">
        <w:rPr>
          <w:i/>
          <w:lang w:val="fr-CA"/>
        </w:rPr>
        <w:t>é</w:t>
      </w:r>
      <w:r w:rsidR="007A1AC5" w:rsidRPr="00511BC1">
        <w:rPr>
          <w:i/>
          <w:lang w:val="fr-CA"/>
        </w:rPr>
        <w:t>ducative d</w:t>
      </w:r>
      <w:r w:rsidR="005C630C" w:rsidRPr="00511BC1">
        <w:rPr>
          <w:i/>
          <w:lang w:val="fr-CA"/>
        </w:rPr>
        <w:t>es enfants de titulaires de droits</w:t>
      </w:r>
      <w:r w:rsidR="007A1AC5" w:rsidRPr="00511BC1">
        <w:rPr>
          <w:i/>
          <w:lang w:val="fr-CA"/>
        </w:rPr>
        <w:t xml:space="preserve"> est équivalente à celle offerte dans les écoles</w:t>
      </w:r>
      <w:r w:rsidR="00C90B08" w:rsidRPr="00511BC1">
        <w:rPr>
          <w:i/>
          <w:lang w:val="fr-CA"/>
        </w:rPr>
        <w:t xml:space="preserve"> de la majorité linguistique de la province ou du territoire en question </w:t>
      </w:r>
      <w:r w:rsidR="00252775" w:rsidRPr="00511BC1">
        <w:rPr>
          <w:i/>
          <w:lang w:val="fr-CA"/>
        </w:rPr>
        <w:t xml:space="preserve">— </w:t>
      </w:r>
      <w:r w:rsidR="00C90B08" w:rsidRPr="00511BC1">
        <w:rPr>
          <w:i/>
          <w:lang w:val="fr-CA"/>
        </w:rPr>
        <w:t>Les coûts et les considérations pratiques sont</w:t>
      </w:r>
      <w:r w:rsidR="00225C08">
        <w:rPr>
          <w:i/>
          <w:lang w:val="fr-CA"/>
        </w:rPr>
        <w:t>-</w:t>
      </w:r>
      <w:r w:rsidR="00C90B08" w:rsidRPr="00511BC1">
        <w:rPr>
          <w:i/>
          <w:lang w:val="fr-CA"/>
        </w:rPr>
        <w:t xml:space="preserve">ils pertinents pour l’analyse de l’équivalence? </w:t>
      </w:r>
      <w:r w:rsidR="00252775" w:rsidRPr="00511BC1">
        <w:rPr>
          <w:i/>
          <w:lang w:val="fr-CA"/>
        </w:rPr>
        <w:t xml:space="preserve">— </w:t>
      </w:r>
      <w:r w:rsidR="00C90B08" w:rsidRPr="00511BC1">
        <w:rPr>
          <w:i/>
          <w:lang w:val="fr-CA"/>
        </w:rPr>
        <w:t xml:space="preserve">Une conclusion d’absence d’équivalence </w:t>
      </w:r>
      <w:r w:rsidR="00530722" w:rsidRPr="00511BC1">
        <w:rPr>
          <w:i/>
          <w:lang w:val="fr-CA"/>
        </w:rPr>
        <w:t>équivaut</w:t>
      </w:r>
      <w:r w:rsidR="00225C08">
        <w:rPr>
          <w:i/>
          <w:lang w:val="fr-CA"/>
        </w:rPr>
        <w:t>-</w:t>
      </w:r>
      <w:r w:rsidR="00D423F0" w:rsidRPr="00511BC1">
        <w:rPr>
          <w:i/>
          <w:lang w:val="fr-CA"/>
        </w:rPr>
        <w:t xml:space="preserve">elle </w:t>
      </w:r>
      <w:r w:rsidR="00530722" w:rsidRPr="00511BC1">
        <w:rPr>
          <w:i/>
          <w:lang w:val="fr-CA"/>
        </w:rPr>
        <w:t>à une conclusion qu</w:t>
      </w:r>
      <w:r w:rsidR="00547189" w:rsidRPr="00511BC1">
        <w:rPr>
          <w:i/>
          <w:lang w:val="fr-CA"/>
        </w:rPr>
        <w:t>’il y a violation de la Charte?</w:t>
      </w:r>
      <w:r w:rsidR="00252775" w:rsidRPr="00511BC1">
        <w:rPr>
          <w:i/>
          <w:lang w:val="fr-CA"/>
        </w:rPr>
        <w:t xml:space="preserve"> — </w:t>
      </w:r>
      <w:r w:rsidR="00530722" w:rsidRPr="00511BC1">
        <w:rPr>
          <w:i/>
          <w:lang w:val="fr-CA"/>
        </w:rPr>
        <w:t>Est</w:t>
      </w:r>
      <w:r w:rsidR="00225C08">
        <w:rPr>
          <w:i/>
          <w:lang w:val="fr-CA"/>
        </w:rPr>
        <w:t>-</w:t>
      </w:r>
      <w:r w:rsidR="00530722" w:rsidRPr="00511BC1">
        <w:rPr>
          <w:i/>
          <w:lang w:val="fr-CA"/>
        </w:rPr>
        <w:t xml:space="preserve">il nécessaire de départager la responsabilité entre la province ou le territoire et le conseil scolaire avant de conclure à une violation </w:t>
      </w:r>
      <w:r w:rsidR="00AA0D92" w:rsidRPr="00511BC1">
        <w:rPr>
          <w:i/>
          <w:lang w:val="fr-CA"/>
        </w:rPr>
        <w:t xml:space="preserve">prima facie </w:t>
      </w:r>
      <w:r w:rsidR="00530722" w:rsidRPr="00511BC1">
        <w:rPr>
          <w:i/>
          <w:lang w:val="fr-CA"/>
        </w:rPr>
        <w:t>de l’</w:t>
      </w:r>
      <w:r w:rsidR="00547189" w:rsidRPr="00511BC1">
        <w:rPr>
          <w:i/>
          <w:lang w:val="fr-CA"/>
        </w:rPr>
        <w:t>art.</w:t>
      </w:r>
      <w:r w:rsidR="00225C08">
        <w:rPr>
          <w:i/>
          <w:lang w:val="fr-CA"/>
        </w:rPr>
        <w:t xml:space="preserve"> </w:t>
      </w:r>
      <w:r w:rsidR="00252775" w:rsidRPr="00511BC1">
        <w:rPr>
          <w:i/>
          <w:lang w:val="fr-CA"/>
        </w:rPr>
        <w:t xml:space="preserve">23 </w:t>
      </w:r>
      <w:r w:rsidR="00530722" w:rsidRPr="00511BC1">
        <w:rPr>
          <w:i/>
          <w:lang w:val="fr-CA"/>
        </w:rPr>
        <w:t xml:space="preserve">de la </w:t>
      </w:r>
      <w:r w:rsidR="00252775" w:rsidRPr="00511BC1">
        <w:rPr>
          <w:i/>
          <w:lang w:val="fr-CA"/>
        </w:rPr>
        <w:t>Charte</w:t>
      </w:r>
      <w:r w:rsidR="00530722" w:rsidRPr="00511BC1">
        <w:rPr>
          <w:i/>
          <w:lang w:val="fr-CA"/>
        </w:rPr>
        <w:t xml:space="preserve"> canadienne des d</w:t>
      </w:r>
      <w:r w:rsidR="00252775" w:rsidRPr="00511BC1">
        <w:rPr>
          <w:i/>
          <w:lang w:val="fr-CA"/>
        </w:rPr>
        <w:t>r</w:t>
      </w:r>
      <w:r w:rsidR="00530722" w:rsidRPr="00511BC1">
        <w:rPr>
          <w:i/>
          <w:lang w:val="fr-CA"/>
        </w:rPr>
        <w:t>oits et libertés?</w:t>
      </w:r>
    </w:p>
    <w:p w:rsidR="00252775" w:rsidRPr="00511BC1" w:rsidRDefault="00252775" w:rsidP="004B15C3">
      <w:pPr>
        <w:pStyle w:val="SCCNormalDoubleSpacing"/>
        <w:widowControl w:val="0"/>
        <w:spacing w:before="480" w:after="480"/>
        <w:rPr>
          <w:i/>
          <w:lang w:val="fr-CA"/>
        </w:rPr>
      </w:pPr>
      <w:r w:rsidRPr="00511BC1">
        <w:rPr>
          <w:i/>
          <w:lang w:val="fr-CA"/>
        </w:rPr>
        <w:tab/>
      </w:r>
      <w:r w:rsidR="005C630C" w:rsidRPr="00511BC1">
        <w:rPr>
          <w:i/>
          <w:lang w:val="fr-CA"/>
        </w:rPr>
        <w:t>Droit c</w:t>
      </w:r>
      <w:r w:rsidRPr="00511BC1">
        <w:rPr>
          <w:i/>
          <w:lang w:val="fr-CA"/>
        </w:rPr>
        <w:t>onstitution</w:t>
      </w:r>
      <w:r w:rsidR="005C630C" w:rsidRPr="00511BC1">
        <w:rPr>
          <w:i/>
          <w:lang w:val="fr-CA"/>
        </w:rPr>
        <w:t>nel</w:t>
      </w:r>
      <w:r w:rsidRPr="00511BC1">
        <w:rPr>
          <w:i/>
          <w:lang w:val="fr-CA"/>
        </w:rPr>
        <w:t xml:space="preserve"> — Charte</w:t>
      </w:r>
      <w:r w:rsidR="005C630C" w:rsidRPr="00511BC1">
        <w:rPr>
          <w:i/>
          <w:lang w:val="fr-CA"/>
        </w:rPr>
        <w:t xml:space="preserve"> des d</w:t>
      </w:r>
      <w:r w:rsidRPr="00511BC1">
        <w:rPr>
          <w:i/>
          <w:lang w:val="fr-CA"/>
        </w:rPr>
        <w:t>r</w:t>
      </w:r>
      <w:r w:rsidR="005C630C" w:rsidRPr="00511BC1">
        <w:rPr>
          <w:i/>
          <w:lang w:val="fr-CA"/>
        </w:rPr>
        <w:t>oits</w:t>
      </w:r>
      <w:r w:rsidRPr="00511BC1">
        <w:rPr>
          <w:i/>
          <w:lang w:val="fr-CA"/>
        </w:rPr>
        <w:t xml:space="preserve"> — Proc</w:t>
      </w:r>
      <w:r w:rsidR="005C630C" w:rsidRPr="00511BC1">
        <w:rPr>
          <w:i/>
          <w:lang w:val="fr-CA"/>
        </w:rPr>
        <w:t>é</w:t>
      </w:r>
      <w:r w:rsidRPr="00511BC1">
        <w:rPr>
          <w:i/>
          <w:lang w:val="fr-CA"/>
        </w:rPr>
        <w:t xml:space="preserve">dure — </w:t>
      </w:r>
      <w:r w:rsidR="005C630C" w:rsidRPr="00511BC1">
        <w:rPr>
          <w:i/>
          <w:lang w:val="fr-CA"/>
        </w:rPr>
        <w:t>Audience</w:t>
      </w:r>
      <w:r w:rsidRPr="00511BC1">
        <w:rPr>
          <w:i/>
          <w:lang w:val="fr-CA"/>
        </w:rPr>
        <w:t xml:space="preserve"> — </w:t>
      </w:r>
      <w:r w:rsidR="007A1AC5" w:rsidRPr="00511BC1">
        <w:rPr>
          <w:i/>
          <w:lang w:val="fr-CA"/>
        </w:rPr>
        <w:t>Équité procédurale</w:t>
      </w:r>
      <w:r w:rsidRPr="00511BC1">
        <w:rPr>
          <w:i/>
          <w:lang w:val="fr-CA"/>
        </w:rPr>
        <w:t xml:space="preserve"> — </w:t>
      </w:r>
      <w:r w:rsidR="007A1AC5" w:rsidRPr="00511BC1">
        <w:rPr>
          <w:i/>
          <w:lang w:val="fr-CA"/>
        </w:rPr>
        <w:t xml:space="preserve">Division de l’instance en étapes </w:t>
      </w:r>
      <w:r w:rsidRPr="00511BC1">
        <w:rPr>
          <w:i/>
          <w:lang w:val="fr-CA"/>
        </w:rPr>
        <w:t xml:space="preserve">— </w:t>
      </w:r>
      <w:r w:rsidR="007A1AC5" w:rsidRPr="00511BC1">
        <w:rPr>
          <w:i/>
          <w:lang w:val="fr-CA"/>
        </w:rPr>
        <w:t>Pertinence des actes de procédure</w:t>
      </w:r>
      <w:r w:rsidRPr="00511BC1">
        <w:rPr>
          <w:i/>
          <w:lang w:val="fr-CA"/>
        </w:rPr>
        <w:t xml:space="preserve"> — </w:t>
      </w:r>
      <w:r w:rsidR="00AA0D92" w:rsidRPr="00511BC1">
        <w:rPr>
          <w:i/>
          <w:lang w:val="fr-CA"/>
        </w:rPr>
        <w:t xml:space="preserve">Juge saisi de la requête divisant </w:t>
      </w:r>
      <w:r w:rsidR="00C90B08" w:rsidRPr="00511BC1">
        <w:rPr>
          <w:i/>
          <w:lang w:val="fr-CA"/>
        </w:rPr>
        <w:t xml:space="preserve">l’instance en étapes </w:t>
      </w:r>
      <w:r w:rsidR="00AA0D92" w:rsidRPr="00511BC1">
        <w:rPr>
          <w:i/>
          <w:lang w:val="fr-CA"/>
        </w:rPr>
        <w:t xml:space="preserve">et remettant la </w:t>
      </w:r>
      <w:r w:rsidR="00AA0D92" w:rsidRPr="00511BC1">
        <w:rPr>
          <w:i/>
          <w:lang w:val="fr-CA"/>
        </w:rPr>
        <w:lastRenderedPageBreak/>
        <w:t xml:space="preserve">détermination </w:t>
      </w:r>
      <w:r w:rsidR="00C90B08" w:rsidRPr="00511BC1">
        <w:rPr>
          <w:i/>
          <w:lang w:val="fr-CA"/>
        </w:rPr>
        <w:t xml:space="preserve">de la responsabilité pour la violation de la Charte à une étape ultérieure </w:t>
      </w:r>
      <w:r w:rsidRPr="00511BC1">
        <w:rPr>
          <w:i/>
          <w:lang w:val="fr-CA"/>
        </w:rPr>
        <w:t xml:space="preserve">— </w:t>
      </w:r>
      <w:r w:rsidR="00C90B08" w:rsidRPr="00511BC1">
        <w:rPr>
          <w:i/>
          <w:lang w:val="fr-CA"/>
        </w:rPr>
        <w:t xml:space="preserve">Passages des actes de procédure de la province radiés par le juge saisi de la requête parce que non pertinents quant à la première étape </w:t>
      </w:r>
      <w:r w:rsidRPr="00511BC1">
        <w:rPr>
          <w:i/>
          <w:lang w:val="fr-CA"/>
        </w:rPr>
        <w:t xml:space="preserve">— </w:t>
      </w:r>
      <w:r w:rsidR="00530722" w:rsidRPr="00511BC1">
        <w:rPr>
          <w:i/>
          <w:lang w:val="fr-CA"/>
        </w:rPr>
        <w:t>La procédure adoptée par le juge saisi de la requête est</w:t>
      </w:r>
      <w:r w:rsidR="00225C08">
        <w:rPr>
          <w:i/>
          <w:lang w:val="fr-CA"/>
        </w:rPr>
        <w:t>-</w:t>
      </w:r>
      <w:r w:rsidR="00530722" w:rsidRPr="00511BC1">
        <w:rPr>
          <w:i/>
          <w:lang w:val="fr-CA"/>
        </w:rPr>
        <w:t>elle inéquitable sur le plan procédural?</w:t>
      </w:r>
      <w:r w:rsidRPr="00511BC1">
        <w:rPr>
          <w:i/>
          <w:lang w:val="fr-CA"/>
        </w:rPr>
        <w:t xml:space="preserve"> </w:t>
      </w:r>
    </w:p>
    <w:p w:rsidR="00252775" w:rsidRPr="00511BC1" w:rsidRDefault="00252775" w:rsidP="004B15C3">
      <w:pPr>
        <w:pStyle w:val="SCCNormalDoubleSpacing"/>
        <w:widowControl w:val="0"/>
        <w:spacing w:before="480" w:after="480"/>
        <w:rPr>
          <w:lang w:val="fr-CA"/>
        </w:rPr>
      </w:pPr>
      <w:r w:rsidRPr="00511BC1">
        <w:rPr>
          <w:lang w:val="fr-CA"/>
        </w:rPr>
        <w:tab/>
      </w:r>
      <w:r w:rsidRPr="00511BC1">
        <w:rPr>
          <w:szCs w:val="24"/>
          <w:lang w:val="fr-CA"/>
        </w:rPr>
        <w:t>L’é</w:t>
      </w:r>
      <w:r w:rsidRPr="00511BC1">
        <w:rPr>
          <w:lang w:val="fr-CA"/>
        </w:rPr>
        <w:t>cole élémentaire Rose</w:t>
      </w:r>
      <w:r w:rsidR="00225C08">
        <w:rPr>
          <w:lang w:val="fr-CA"/>
        </w:rPr>
        <w:t>-</w:t>
      </w:r>
      <w:r w:rsidRPr="00511BC1">
        <w:rPr>
          <w:lang w:val="fr-CA"/>
        </w:rPr>
        <w:t>des</w:t>
      </w:r>
      <w:r w:rsidR="00225C08">
        <w:rPr>
          <w:lang w:val="fr-CA"/>
        </w:rPr>
        <w:t>-</w:t>
      </w:r>
      <w:r w:rsidRPr="00511BC1">
        <w:rPr>
          <w:lang w:val="fr-CA"/>
        </w:rPr>
        <w:t>vents (</w:t>
      </w:r>
      <w:r w:rsidR="00225C08">
        <w:rPr>
          <w:lang w:val="fr-CA"/>
        </w:rPr>
        <w:t>« </w:t>
      </w:r>
      <w:r w:rsidRPr="00511BC1">
        <w:rPr>
          <w:lang w:val="fr-CA"/>
        </w:rPr>
        <w:t>RDV</w:t>
      </w:r>
      <w:r w:rsidR="00225C08">
        <w:rPr>
          <w:lang w:val="fr-CA"/>
        </w:rPr>
        <w:t> »</w:t>
      </w:r>
      <w:r w:rsidRPr="00511BC1">
        <w:rPr>
          <w:lang w:val="fr-CA"/>
        </w:rPr>
        <w:t xml:space="preserve">) </w:t>
      </w:r>
      <w:r w:rsidR="00530722" w:rsidRPr="00511BC1">
        <w:rPr>
          <w:lang w:val="fr-CA"/>
        </w:rPr>
        <w:t xml:space="preserve">est la seule école primaire </w:t>
      </w:r>
      <w:r w:rsidR="00A45467" w:rsidRPr="00511BC1">
        <w:rPr>
          <w:lang w:val="fr-CA"/>
        </w:rPr>
        <w:t xml:space="preserve">de langue française </w:t>
      </w:r>
      <w:r w:rsidR="00530722" w:rsidRPr="00511BC1">
        <w:rPr>
          <w:lang w:val="fr-CA"/>
        </w:rPr>
        <w:t>financée à même les fonds publics</w:t>
      </w:r>
      <w:r w:rsidR="00B67339" w:rsidRPr="00511BC1">
        <w:rPr>
          <w:lang w:val="fr-CA"/>
        </w:rPr>
        <w:t xml:space="preserve"> qui dessert </w:t>
      </w:r>
      <w:r w:rsidR="00A45467" w:rsidRPr="00511BC1">
        <w:rPr>
          <w:lang w:val="fr-CA"/>
        </w:rPr>
        <w:t>les enfants résid</w:t>
      </w:r>
      <w:r w:rsidR="00B67339" w:rsidRPr="00511BC1">
        <w:rPr>
          <w:lang w:val="fr-CA"/>
        </w:rPr>
        <w:t>a</w:t>
      </w:r>
      <w:r w:rsidR="00A45467" w:rsidRPr="00511BC1">
        <w:rPr>
          <w:lang w:val="fr-CA"/>
        </w:rPr>
        <w:t xml:space="preserve">nt à l’ouest de la rue Main dans la ville de </w:t>
      </w:r>
      <w:r w:rsidRPr="00511BC1">
        <w:rPr>
          <w:lang w:val="fr-CA"/>
        </w:rPr>
        <w:t>Vancouver.</w:t>
      </w:r>
      <w:r w:rsidR="00547189" w:rsidRPr="00511BC1">
        <w:rPr>
          <w:lang w:val="fr-CA"/>
        </w:rPr>
        <w:t xml:space="preserve"> </w:t>
      </w:r>
      <w:r w:rsidR="00A45467" w:rsidRPr="00511BC1">
        <w:rPr>
          <w:lang w:val="fr-CA"/>
        </w:rPr>
        <w:t>L’école est surpeuplée et le nombre d’inscriptions augmente.</w:t>
      </w:r>
      <w:r w:rsidR="00547189" w:rsidRPr="00511BC1">
        <w:rPr>
          <w:lang w:val="fr-CA"/>
        </w:rPr>
        <w:t xml:space="preserve"> </w:t>
      </w:r>
      <w:r w:rsidRPr="00511BC1">
        <w:rPr>
          <w:lang w:val="fr-CA"/>
        </w:rPr>
        <w:t xml:space="preserve">RDV </w:t>
      </w:r>
      <w:r w:rsidR="00A45467" w:rsidRPr="00511BC1">
        <w:rPr>
          <w:lang w:val="fr-CA"/>
        </w:rPr>
        <w:t>est une petite école et les salles de classe sont beaucoup plus petites que celles des autres écoles.</w:t>
      </w:r>
      <w:r w:rsidR="00547189" w:rsidRPr="00511BC1">
        <w:rPr>
          <w:lang w:val="fr-CA"/>
        </w:rPr>
        <w:t xml:space="preserve"> </w:t>
      </w:r>
      <w:r w:rsidR="00A45467" w:rsidRPr="00511BC1">
        <w:rPr>
          <w:lang w:val="fr-CA"/>
        </w:rPr>
        <w:t>Certaines salles de classe sont dépourvues de fenêtres et seulement trois ont la superficie recommandée.</w:t>
      </w:r>
      <w:r w:rsidR="00547189" w:rsidRPr="00511BC1">
        <w:rPr>
          <w:lang w:val="fr-CA"/>
        </w:rPr>
        <w:t xml:space="preserve"> </w:t>
      </w:r>
      <w:r w:rsidR="00A45467" w:rsidRPr="00511BC1">
        <w:rPr>
          <w:lang w:val="fr-CA"/>
        </w:rPr>
        <w:t>La bibliothèque est très petite, les toilettes sont inadéquates et il n’y a aucun local adaptable dans l’école.</w:t>
      </w:r>
      <w:r w:rsidR="00547189" w:rsidRPr="00511BC1">
        <w:rPr>
          <w:lang w:val="fr-CA"/>
        </w:rPr>
        <w:t xml:space="preserve"> Environ 85</w:t>
      </w:r>
      <w:r w:rsidR="00225C08">
        <w:rPr>
          <w:lang w:val="fr-CA"/>
        </w:rPr>
        <w:t xml:space="preserve"> </w:t>
      </w:r>
      <w:r w:rsidR="00547189" w:rsidRPr="00511BC1">
        <w:rPr>
          <w:lang w:val="fr-CA"/>
        </w:rPr>
        <w:t>pour</w:t>
      </w:r>
      <w:r w:rsidR="00225C08">
        <w:rPr>
          <w:lang w:val="fr-CA"/>
        </w:rPr>
        <w:t xml:space="preserve"> </w:t>
      </w:r>
      <w:r w:rsidR="005D0995">
        <w:rPr>
          <w:lang w:val="fr-CA"/>
        </w:rPr>
        <w:t>100</w:t>
      </w:r>
      <w:r w:rsidR="00A45467" w:rsidRPr="00511BC1">
        <w:rPr>
          <w:lang w:val="fr-CA"/>
        </w:rPr>
        <w:t xml:space="preserve"> des élèves </w:t>
      </w:r>
      <w:r w:rsidR="00D26B33" w:rsidRPr="00511BC1">
        <w:rPr>
          <w:lang w:val="fr-CA"/>
        </w:rPr>
        <w:t>qui fréquentent RDV se rendent à l’école en autobus et le trajet en autobus de plus des deux tier</w:t>
      </w:r>
      <w:r w:rsidR="00547189" w:rsidRPr="00511BC1">
        <w:rPr>
          <w:lang w:val="fr-CA"/>
        </w:rPr>
        <w:t>s de ces élèves dure plus de 30</w:t>
      </w:r>
      <w:r w:rsidR="00225C08">
        <w:rPr>
          <w:lang w:val="fr-CA"/>
        </w:rPr>
        <w:t xml:space="preserve"> </w:t>
      </w:r>
      <w:r w:rsidR="00D26B33" w:rsidRPr="00511BC1">
        <w:rPr>
          <w:lang w:val="fr-CA"/>
        </w:rPr>
        <w:t>minutes.</w:t>
      </w:r>
      <w:r w:rsidR="00547189" w:rsidRPr="00511BC1">
        <w:rPr>
          <w:lang w:val="fr-CA"/>
        </w:rPr>
        <w:t xml:space="preserve"> </w:t>
      </w:r>
      <w:r w:rsidR="00D26B33" w:rsidRPr="00511BC1">
        <w:rPr>
          <w:lang w:val="fr-CA"/>
        </w:rPr>
        <w:t>À l’opposé, les écoles de langue anglaise situées dans la zone desservie par RDV sont plus grandes, disposent de salles de classe plus grandes et de terrains de jeu plus vastes et en meilleur état ainsi que de bibliothèques plus spacieuses.</w:t>
      </w:r>
      <w:r w:rsidR="00547189" w:rsidRPr="00511BC1">
        <w:rPr>
          <w:lang w:val="fr-CA"/>
        </w:rPr>
        <w:t xml:space="preserve"> </w:t>
      </w:r>
      <w:r w:rsidR="00D26B33" w:rsidRPr="00511BC1">
        <w:rPr>
          <w:lang w:val="fr-CA"/>
        </w:rPr>
        <w:t xml:space="preserve">La plupart des élèves des écoles de langue anglaise du secteur habitent à moins d’un kilomètre de leur école. </w:t>
      </w:r>
    </w:p>
    <w:p w:rsidR="00252775" w:rsidRPr="00511BC1" w:rsidRDefault="00252775" w:rsidP="004B15C3">
      <w:pPr>
        <w:pStyle w:val="SCCNormalDoubleSpacing"/>
        <w:widowControl w:val="0"/>
        <w:spacing w:before="480" w:after="480"/>
        <w:rPr>
          <w:lang w:val="fr-CA"/>
        </w:rPr>
      </w:pPr>
      <w:r w:rsidRPr="00511BC1">
        <w:rPr>
          <w:lang w:val="fr-CA"/>
        </w:rPr>
        <w:tab/>
      </w:r>
      <w:r w:rsidR="00D26B33" w:rsidRPr="00511BC1">
        <w:rPr>
          <w:lang w:val="fr-CA"/>
        </w:rPr>
        <w:t xml:space="preserve">En </w:t>
      </w:r>
      <w:r w:rsidRPr="00511BC1">
        <w:rPr>
          <w:lang w:val="fr-CA"/>
        </w:rPr>
        <w:t>2010,</w:t>
      </w:r>
      <w:r w:rsidR="00D26B33" w:rsidRPr="00511BC1">
        <w:rPr>
          <w:lang w:val="fr-CA"/>
        </w:rPr>
        <w:t xml:space="preserve"> les parents d’enfants qui fréquentent RDV ont poursuivi le conseil scolaire et le gouvernement provincial et ont sollicité un jugement déclarant que les services d’enseignement offerts à leurs enfants </w:t>
      </w:r>
      <w:r w:rsidR="005739CF" w:rsidRPr="00511BC1">
        <w:rPr>
          <w:lang w:val="fr-CA"/>
        </w:rPr>
        <w:t xml:space="preserve">n’étaient pas équivalents à </w:t>
      </w:r>
      <w:r w:rsidR="005739CF" w:rsidRPr="00511BC1">
        <w:rPr>
          <w:lang w:val="fr-CA"/>
        </w:rPr>
        <w:lastRenderedPageBreak/>
        <w:t>ceux dispensés par les écoles de langue anglaise du secteur et que les droits à l’instruction dans la langue de la minorité que leur confère l’</w:t>
      </w:r>
      <w:r w:rsidR="00547189" w:rsidRPr="00511BC1">
        <w:rPr>
          <w:lang w:val="fr-CA"/>
        </w:rPr>
        <w:t>art.</w:t>
      </w:r>
      <w:r w:rsidR="00225C08">
        <w:rPr>
          <w:lang w:val="fr-CA"/>
        </w:rPr>
        <w:t xml:space="preserve"> </w:t>
      </w:r>
      <w:r w:rsidRPr="00511BC1">
        <w:rPr>
          <w:lang w:val="fr-CA"/>
        </w:rPr>
        <w:t>23</w:t>
      </w:r>
      <w:r w:rsidR="005739CF" w:rsidRPr="00511BC1">
        <w:rPr>
          <w:lang w:val="fr-CA"/>
        </w:rPr>
        <w:t xml:space="preserve"> de la </w:t>
      </w:r>
      <w:r w:rsidRPr="00511BC1">
        <w:rPr>
          <w:i/>
          <w:lang w:val="fr-CA"/>
        </w:rPr>
        <w:t>Charte</w:t>
      </w:r>
      <w:r w:rsidRPr="00511BC1">
        <w:rPr>
          <w:lang w:val="fr-CA"/>
        </w:rPr>
        <w:t xml:space="preserve"> </w:t>
      </w:r>
      <w:r w:rsidR="005739CF" w:rsidRPr="00511BC1">
        <w:rPr>
          <w:lang w:val="fr-CA"/>
        </w:rPr>
        <w:t>avaient été violés. Ils ont demandé la division de l’instance en étapes pour pouvoir obtenir un jugement déclaratoire tout en réservant l’attribution d’une responsabilité pour les lacunes alléguées à une étape ultérieure, au besoin.</w:t>
      </w:r>
      <w:r w:rsidR="00547189" w:rsidRPr="00511BC1">
        <w:rPr>
          <w:lang w:val="fr-CA"/>
        </w:rPr>
        <w:t xml:space="preserve"> </w:t>
      </w:r>
      <w:r w:rsidR="005739CF" w:rsidRPr="00511BC1">
        <w:rPr>
          <w:lang w:val="fr-CA"/>
        </w:rPr>
        <w:t xml:space="preserve">Ils espéraient que le prononcé d’un jugement déclaratoire soit suffisant pour obtenir une réponse favorable du </w:t>
      </w:r>
      <w:r w:rsidRPr="00511BC1">
        <w:rPr>
          <w:lang w:val="fr-CA"/>
        </w:rPr>
        <w:t>go</w:t>
      </w:r>
      <w:r w:rsidR="005739CF" w:rsidRPr="00511BC1">
        <w:rPr>
          <w:lang w:val="fr-CA"/>
        </w:rPr>
        <w:t>u</w:t>
      </w:r>
      <w:r w:rsidRPr="00511BC1">
        <w:rPr>
          <w:lang w:val="fr-CA"/>
        </w:rPr>
        <w:t>vern</w:t>
      </w:r>
      <w:r w:rsidR="005739CF" w:rsidRPr="00511BC1">
        <w:rPr>
          <w:lang w:val="fr-CA"/>
        </w:rPr>
        <w:t>e</w:t>
      </w:r>
      <w:r w:rsidRPr="00511BC1">
        <w:rPr>
          <w:lang w:val="fr-CA"/>
        </w:rPr>
        <w:t>ment.</w:t>
      </w:r>
    </w:p>
    <w:p w:rsidR="00252775" w:rsidRPr="00511BC1" w:rsidRDefault="00252775" w:rsidP="004B15C3">
      <w:pPr>
        <w:pStyle w:val="SCCNormalDoubleSpacing"/>
        <w:widowControl w:val="0"/>
        <w:spacing w:before="480" w:after="480"/>
        <w:rPr>
          <w:lang w:val="fr-CA"/>
        </w:rPr>
      </w:pPr>
      <w:r w:rsidRPr="00511BC1">
        <w:rPr>
          <w:lang w:val="fr-CA"/>
        </w:rPr>
        <w:tab/>
      </w:r>
      <w:r w:rsidR="005739CF" w:rsidRPr="00511BC1">
        <w:rPr>
          <w:lang w:val="fr-CA"/>
        </w:rPr>
        <w:t xml:space="preserve">Le juge saisi de la requête a fait droit à la demande de division de l’instance en étapes, </w:t>
      </w:r>
      <w:r w:rsidR="00231A5C" w:rsidRPr="00511BC1">
        <w:rPr>
          <w:lang w:val="fr-CA"/>
        </w:rPr>
        <w:t>choisissant de décider d’abord uniquement si les enfants des titulaires de droits bénéficiaient d’un enseignement et d’installations équivalents à ceux des écoles de la majorité linguistique, comme le garantit l’</w:t>
      </w:r>
      <w:r w:rsidR="00547189" w:rsidRPr="00511BC1">
        <w:rPr>
          <w:lang w:val="fr-CA"/>
        </w:rPr>
        <w:t>art.</w:t>
      </w:r>
      <w:r w:rsidR="00225C08">
        <w:rPr>
          <w:lang w:val="fr-CA"/>
        </w:rPr>
        <w:t xml:space="preserve"> </w:t>
      </w:r>
      <w:r w:rsidR="00231A5C" w:rsidRPr="00511BC1">
        <w:rPr>
          <w:lang w:val="fr-CA"/>
        </w:rPr>
        <w:t xml:space="preserve">23 de la </w:t>
      </w:r>
      <w:r w:rsidRPr="00511BC1">
        <w:rPr>
          <w:i/>
          <w:lang w:val="fr-CA"/>
        </w:rPr>
        <w:t>Charte</w:t>
      </w:r>
      <w:r w:rsidRPr="00511BC1">
        <w:rPr>
          <w:lang w:val="fr-CA"/>
        </w:rPr>
        <w:t>.</w:t>
      </w:r>
      <w:r w:rsidR="00547189" w:rsidRPr="00511BC1">
        <w:rPr>
          <w:lang w:val="fr-CA"/>
        </w:rPr>
        <w:t xml:space="preserve"> </w:t>
      </w:r>
      <w:r w:rsidR="00231A5C" w:rsidRPr="00511BC1">
        <w:rPr>
          <w:lang w:val="fr-CA"/>
        </w:rPr>
        <w:t xml:space="preserve">Avant de passer à cette première étape de l’instance, le juge a radié </w:t>
      </w:r>
      <w:r w:rsidRPr="00511BC1">
        <w:rPr>
          <w:lang w:val="fr-CA"/>
        </w:rPr>
        <w:t>certain</w:t>
      </w:r>
      <w:r w:rsidR="00535557" w:rsidRPr="00511BC1">
        <w:rPr>
          <w:lang w:val="fr-CA"/>
        </w:rPr>
        <w:t>s</w:t>
      </w:r>
      <w:r w:rsidRPr="00511BC1">
        <w:rPr>
          <w:lang w:val="fr-CA"/>
        </w:rPr>
        <w:t xml:space="preserve"> pa</w:t>
      </w:r>
      <w:r w:rsidR="00535557" w:rsidRPr="00511BC1">
        <w:rPr>
          <w:lang w:val="fr-CA"/>
        </w:rPr>
        <w:t xml:space="preserve">ssages des actes de procédure de la </w:t>
      </w:r>
      <w:r w:rsidRPr="00511BC1">
        <w:rPr>
          <w:lang w:val="fr-CA"/>
        </w:rPr>
        <w:t>province</w:t>
      </w:r>
      <w:r w:rsidR="00535557" w:rsidRPr="00511BC1">
        <w:rPr>
          <w:lang w:val="fr-CA"/>
        </w:rPr>
        <w:t xml:space="preserve"> au motif qu’ils n’étaient pas pertinents quant à cette étape. Au terme de la première étape de l’instance, le juge a prononcé un jugement déclaratoire portant que les parents n’avaient pas accès </w:t>
      </w:r>
      <w:r w:rsidR="00B728EB" w:rsidRPr="00511BC1">
        <w:rPr>
          <w:lang w:val="fr-CA"/>
        </w:rPr>
        <w:t>à des établissements d’enseignement dans la langue de la minorité comme leur</w:t>
      </w:r>
      <w:r w:rsidR="00535557" w:rsidRPr="00511BC1">
        <w:rPr>
          <w:lang w:val="fr-CA"/>
        </w:rPr>
        <w:t xml:space="preserve"> </w:t>
      </w:r>
      <w:r w:rsidR="00B728EB" w:rsidRPr="00511BC1">
        <w:rPr>
          <w:lang w:val="fr-CA"/>
        </w:rPr>
        <w:t>garantit l’</w:t>
      </w:r>
      <w:r w:rsidR="00547189" w:rsidRPr="00511BC1">
        <w:rPr>
          <w:lang w:val="fr-CA"/>
        </w:rPr>
        <w:t>art.</w:t>
      </w:r>
      <w:r w:rsidR="00225C08">
        <w:rPr>
          <w:lang w:val="fr-CA"/>
        </w:rPr>
        <w:t xml:space="preserve"> </w:t>
      </w:r>
      <w:r w:rsidR="00B728EB" w:rsidRPr="00511BC1">
        <w:rPr>
          <w:lang w:val="fr-CA"/>
        </w:rPr>
        <w:t xml:space="preserve">23 de la </w:t>
      </w:r>
      <w:r w:rsidRPr="00511BC1">
        <w:rPr>
          <w:i/>
          <w:iCs/>
          <w:lang w:val="fr-CA"/>
        </w:rPr>
        <w:t>Charte</w:t>
      </w:r>
      <w:r w:rsidRPr="00511BC1">
        <w:rPr>
          <w:iCs/>
          <w:lang w:val="fr-CA"/>
        </w:rPr>
        <w:t>.</w:t>
      </w:r>
      <w:r w:rsidR="00547189" w:rsidRPr="00511BC1">
        <w:rPr>
          <w:iCs/>
          <w:lang w:val="fr-CA"/>
        </w:rPr>
        <w:t xml:space="preserve"> </w:t>
      </w:r>
      <w:r w:rsidR="00B728EB" w:rsidRPr="00511BC1">
        <w:rPr>
          <w:iCs/>
          <w:lang w:val="fr-CA"/>
        </w:rPr>
        <w:t>Il n’a imputé aucune responsabilité pour ce manquement à la norme constitutionnelle.</w:t>
      </w:r>
      <w:r w:rsidR="00547189" w:rsidRPr="00511BC1">
        <w:rPr>
          <w:iCs/>
          <w:lang w:val="fr-CA"/>
        </w:rPr>
        <w:t xml:space="preserve"> </w:t>
      </w:r>
      <w:r w:rsidR="00535557" w:rsidRPr="00511BC1">
        <w:rPr>
          <w:lang w:val="fr-CA"/>
        </w:rPr>
        <w:t xml:space="preserve">La Cour d’appel </w:t>
      </w:r>
      <w:r w:rsidR="0026332C" w:rsidRPr="00511BC1">
        <w:rPr>
          <w:lang w:val="fr-CA"/>
        </w:rPr>
        <w:t>a accueilli l’appel de la province.</w:t>
      </w:r>
      <w:r w:rsidR="00547189" w:rsidRPr="00511BC1">
        <w:rPr>
          <w:lang w:val="fr-CA"/>
        </w:rPr>
        <w:t xml:space="preserve"> </w:t>
      </w:r>
      <w:r w:rsidR="0026332C" w:rsidRPr="00511BC1">
        <w:rPr>
          <w:lang w:val="fr-CA"/>
        </w:rPr>
        <w:t>Elle a annulé l’ordonnance radiant certains</w:t>
      </w:r>
      <w:r w:rsidR="00D9400D">
        <w:rPr>
          <w:lang w:val="fr-CA"/>
        </w:rPr>
        <w:t xml:space="preserve"> passages des</w:t>
      </w:r>
      <w:r w:rsidR="0026332C" w:rsidRPr="00511BC1">
        <w:rPr>
          <w:lang w:val="fr-CA"/>
        </w:rPr>
        <w:t xml:space="preserve"> actes de procédure de la </w:t>
      </w:r>
      <w:r w:rsidRPr="00511BC1">
        <w:rPr>
          <w:lang w:val="fr-CA"/>
        </w:rPr>
        <w:t>province</w:t>
      </w:r>
      <w:r w:rsidR="0026332C" w:rsidRPr="00511BC1">
        <w:rPr>
          <w:lang w:val="fr-CA"/>
        </w:rPr>
        <w:t xml:space="preserve"> ainsi que le jugement déclaratoire.</w:t>
      </w:r>
      <w:r w:rsidR="00547189" w:rsidRPr="00511BC1">
        <w:rPr>
          <w:lang w:val="fr-CA"/>
        </w:rPr>
        <w:t xml:space="preserve"> </w:t>
      </w:r>
    </w:p>
    <w:p w:rsidR="00BC1092" w:rsidRPr="00511BC1" w:rsidRDefault="00252775" w:rsidP="004B15C3">
      <w:pPr>
        <w:pStyle w:val="SCCNormalDoubleSpacing"/>
        <w:widowControl w:val="0"/>
        <w:spacing w:before="480" w:after="480"/>
        <w:rPr>
          <w:lang w:val="fr-CA"/>
        </w:rPr>
      </w:pPr>
      <w:r w:rsidRPr="00511BC1">
        <w:rPr>
          <w:rStyle w:val="QuoteChar"/>
          <w:color w:val="auto"/>
          <w:lang w:val="fr-CA"/>
        </w:rPr>
        <w:tab/>
      </w:r>
      <w:r w:rsidR="00A35F59" w:rsidRPr="00511BC1">
        <w:rPr>
          <w:rStyle w:val="QuoteChar"/>
          <w:color w:val="auto"/>
          <w:lang w:val="fr-CA"/>
        </w:rPr>
        <w:t>Arrêt</w:t>
      </w:r>
      <w:r w:rsidR="00225C08" w:rsidRPr="00390AD3">
        <w:rPr>
          <w:rStyle w:val="QuoteChar"/>
          <w:i w:val="0"/>
          <w:color w:val="auto"/>
          <w:lang w:val="fr-CA"/>
        </w:rPr>
        <w:t> :</w:t>
      </w:r>
      <w:r w:rsidRPr="00511BC1">
        <w:rPr>
          <w:i/>
          <w:lang w:val="fr-CA"/>
        </w:rPr>
        <w:t xml:space="preserve"> </w:t>
      </w:r>
      <w:r w:rsidR="00BC1092" w:rsidRPr="00511BC1">
        <w:rPr>
          <w:lang w:val="fr-CA"/>
        </w:rPr>
        <w:t xml:space="preserve">Le pourvoi est accueilli et le jugement déclaratoire du juge saisi de </w:t>
      </w:r>
      <w:r w:rsidR="00BC1092" w:rsidRPr="00511BC1">
        <w:rPr>
          <w:lang w:val="fr-CA"/>
        </w:rPr>
        <w:lastRenderedPageBreak/>
        <w:t>la requête est rétabli.</w:t>
      </w:r>
      <w:r w:rsidR="00547189" w:rsidRPr="00511BC1">
        <w:rPr>
          <w:lang w:val="fr-CA"/>
        </w:rPr>
        <w:t xml:space="preserve"> </w:t>
      </w:r>
      <w:r w:rsidR="00BC1092" w:rsidRPr="00511BC1">
        <w:rPr>
          <w:lang w:val="fr-CA"/>
        </w:rPr>
        <w:t>Les dépens spéciaux accordés par le juge saisi de la requête sont rétablis.</w:t>
      </w:r>
      <w:r w:rsidR="00547189" w:rsidRPr="00511BC1">
        <w:rPr>
          <w:lang w:val="fr-CA"/>
        </w:rPr>
        <w:t xml:space="preserve"> </w:t>
      </w:r>
      <w:r w:rsidR="00BC1092" w:rsidRPr="00511BC1">
        <w:rPr>
          <w:lang w:val="fr-CA"/>
        </w:rPr>
        <w:t>L’affaire est renvoyée à la Cour suprême de la Colombie</w:t>
      </w:r>
      <w:r w:rsidR="00225C08">
        <w:rPr>
          <w:lang w:val="fr-CA"/>
        </w:rPr>
        <w:t>-</w:t>
      </w:r>
      <w:r w:rsidR="00BC1092" w:rsidRPr="00511BC1">
        <w:rPr>
          <w:lang w:val="fr-CA"/>
        </w:rPr>
        <w:t>Britannique pour la prochaine étape de l’instance si cela s’avère nécessaire.</w:t>
      </w:r>
      <w:r w:rsidR="00547189" w:rsidRPr="00511BC1">
        <w:rPr>
          <w:lang w:val="fr-CA"/>
        </w:rPr>
        <w:t xml:space="preserve"> </w:t>
      </w:r>
      <w:r w:rsidR="00BC1092" w:rsidRPr="00511BC1">
        <w:rPr>
          <w:lang w:val="fr-CA"/>
        </w:rPr>
        <w:t>Des dépens spéciaux sont octroyés aux appelants pour les procédures d’appel.</w:t>
      </w:r>
    </w:p>
    <w:p w:rsidR="00252775" w:rsidRPr="00511BC1" w:rsidRDefault="00252775" w:rsidP="004B15C3">
      <w:pPr>
        <w:pStyle w:val="SCCNormalDoubleSpacing"/>
        <w:widowControl w:val="0"/>
        <w:spacing w:before="480" w:after="480"/>
        <w:rPr>
          <w:lang w:val="fr-CA"/>
        </w:rPr>
      </w:pPr>
      <w:r w:rsidRPr="00511BC1">
        <w:rPr>
          <w:lang w:val="fr-CA"/>
        </w:rPr>
        <w:tab/>
      </w:r>
      <w:r w:rsidR="00D839D5" w:rsidRPr="00511BC1">
        <w:rPr>
          <w:lang w:val="fr-CA"/>
        </w:rPr>
        <w:t>L’article</w:t>
      </w:r>
      <w:r w:rsidR="00225C08">
        <w:rPr>
          <w:lang w:val="fr-CA"/>
        </w:rPr>
        <w:t xml:space="preserve"> </w:t>
      </w:r>
      <w:r w:rsidR="00D839D5" w:rsidRPr="00511BC1">
        <w:rPr>
          <w:lang w:val="fr-CA"/>
        </w:rPr>
        <w:t xml:space="preserve">23 de la </w:t>
      </w:r>
      <w:r w:rsidR="00D839D5" w:rsidRPr="00511BC1">
        <w:rPr>
          <w:i/>
          <w:lang w:val="fr-CA"/>
        </w:rPr>
        <w:t>Charte</w:t>
      </w:r>
      <w:r w:rsidR="00D839D5" w:rsidRPr="00511BC1">
        <w:rPr>
          <w:lang w:val="fr-CA"/>
        </w:rPr>
        <w:t xml:space="preserve"> garantit une </w:t>
      </w:r>
      <w:r w:rsidR="00225C08">
        <w:rPr>
          <w:lang w:val="fr-CA"/>
        </w:rPr>
        <w:t>« </w:t>
      </w:r>
      <w:r w:rsidR="00D839D5" w:rsidRPr="00511BC1">
        <w:rPr>
          <w:lang w:val="fr-CA"/>
        </w:rPr>
        <w:t>échelle variable</w:t>
      </w:r>
      <w:r w:rsidR="00225C08">
        <w:rPr>
          <w:lang w:val="fr-CA"/>
        </w:rPr>
        <w:t> »</w:t>
      </w:r>
      <w:r w:rsidR="00D839D5" w:rsidRPr="00511BC1">
        <w:rPr>
          <w:lang w:val="fr-CA"/>
        </w:rPr>
        <w:t xml:space="preserve"> de droits à l’instruction dans la langue de la minorité</w:t>
      </w:r>
      <w:r w:rsidRPr="00511BC1">
        <w:rPr>
          <w:lang w:val="fr-CA"/>
        </w:rPr>
        <w:t>.</w:t>
      </w:r>
      <w:r w:rsidR="00547189" w:rsidRPr="00511BC1">
        <w:rPr>
          <w:lang w:val="fr-CA"/>
        </w:rPr>
        <w:t xml:space="preserve"> </w:t>
      </w:r>
      <w:r w:rsidR="00D839D5" w:rsidRPr="00511BC1">
        <w:rPr>
          <w:lang w:val="fr-CA"/>
        </w:rPr>
        <w:t>À la limite supérieure de l’échelle variable, les titulaires de droits doivent bénéficier d’établissement</w:t>
      </w:r>
      <w:r w:rsidR="005E022E" w:rsidRPr="00511BC1">
        <w:rPr>
          <w:lang w:val="fr-CA"/>
        </w:rPr>
        <w:t xml:space="preserve">s </w:t>
      </w:r>
      <w:r w:rsidR="00D839D5" w:rsidRPr="00511BC1">
        <w:rPr>
          <w:lang w:val="fr-CA"/>
        </w:rPr>
        <w:t>d’enseignement complets, distincts de ceux offerts à la majorité linguistique, mais de qualité équivalente.</w:t>
      </w:r>
      <w:r w:rsidR="00547189" w:rsidRPr="00511BC1">
        <w:rPr>
          <w:lang w:val="fr-CA"/>
        </w:rPr>
        <w:t xml:space="preserve"> </w:t>
      </w:r>
      <w:r w:rsidR="00B279AD" w:rsidRPr="00511BC1">
        <w:rPr>
          <w:lang w:val="fr-CA"/>
        </w:rPr>
        <w:t>Pour donner effet aux droits garantis par l’</w:t>
      </w:r>
      <w:r w:rsidR="00547189" w:rsidRPr="00511BC1">
        <w:rPr>
          <w:lang w:val="fr-CA"/>
        </w:rPr>
        <w:t>art.</w:t>
      </w:r>
      <w:r w:rsidR="00225C08">
        <w:rPr>
          <w:lang w:val="fr-CA"/>
        </w:rPr>
        <w:t xml:space="preserve"> </w:t>
      </w:r>
      <w:r w:rsidR="00B279AD" w:rsidRPr="00511BC1">
        <w:rPr>
          <w:lang w:val="fr-CA"/>
        </w:rPr>
        <w:t>23, l’accent devrait être mis sur l’équivalence réelle plutôt que sur les coûts par personne et les autres indicateurs d’équivalence form</w:t>
      </w:r>
      <w:r w:rsidR="008B723A" w:rsidRPr="00511BC1">
        <w:rPr>
          <w:lang w:val="fr-CA"/>
        </w:rPr>
        <w:t>elle</w:t>
      </w:r>
      <w:r w:rsidRPr="00511BC1">
        <w:rPr>
          <w:lang w:val="fr-CA"/>
        </w:rPr>
        <w:t>.</w:t>
      </w:r>
      <w:r w:rsidR="00547189" w:rsidRPr="00511BC1">
        <w:rPr>
          <w:lang w:val="fr-CA"/>
        </w:rPr>
        <w:t xml:space="preserve"> </w:t>
      </w:r>
      <w:r w:rsidR="00B23D31" w:rsidRPr="00511BC1">
        <w:rPr>
          <w:lang w:val="fr-CA"/>
        </w:rPr>
        <w:t>Ce qui est primordial, c’est que l’expérience éducative des enfants de titulaires des droits garantis par l’</w:t>
      </w:r>
      <w:r w:rsidR="00547189" w:rsidRPr="00511BC1">
        <w:rPr>
          <w:lang w:val="fr-CA"/>
        </w:rPr>
        <w:t>art.</w:t>
      </w:r>
      <w:r w:rsidR="00225C08">
        <w:rPr>
          <w:lang w:val="fr-CA"/>
        </w:rPr>
        <w:t xml:space="preserve"> </w:t>
      </w:r>
      <w:r w:rsidR="00B23D31" w:rsidRPr="00511BC1">
        <w:rPr>
          <w:lang w:val="fr-CA"/>
        </w:rPr>
        <w:t>23 à la limite supérieure de l’échelle variable soit de qualité réellement semblable à l’expérience éducative des élèves de la majorité linguistique</w:t>
      </w:r>
      <w:r w:rsidRPr="00511BC1">
        <w:rPr>
          <w:lang w:val="fr-CA"/>
        </w:rPr>
        <w:t xml:space="preserve">. </w:t>
      </w:r>
    </w:p>
    <w:p w:rsidR="00252775" w:rsidRPr="00511BC1" w:rsidRDefault="00252775" w:rsidP="004B15C3">
      <w:pPr>
        <w:pStyle w:val="SCCNormalDoubleSpacing"/>
        <w:widowControl w:val="0"/>
        <w:spacing w:before="480" w:after="480"/>
        <w:rPr>
          <w:lang w:val="fr-CA"/>
        </w:rPr>
      </w:pPr>
      <w:r w:rsidRPr="00511BC1">
        <w:rPr>
          <w:lang w:val="fr-CA"/>
        </w:rPr>
        <w:tab/>
      </w:r>
      <w:r w:rsidR="00B23D31" w:rsidRPr="00511BC1">
        <w:rPr>
          <w:lang w:val="fr-CA"/>
        </w:rPr>
        <w:t>Dans l’évaluation de l’équivalence réelle, la méthode téléologique exige du tribunal qu’il tienne compte des choix offerts en matière d’éducation du point de vue des titulaires des droits garantis à l’</w:t>
      </w:r>
      <w:r w:rsidR="00547189" w:rsidRPr="00511BC1">
        <w:rPr>
          <w:lang w:val="fr-CA"/>
        </w:rPr>
        <w:t>art.</w:t>
      </w:r>
      <w:r w:rsidR="00225C08">
        <w:rPr>
          <w:lang w:val="fr-CA"/>
        </w:rPr>
        <w:t xml:space="preserve"> </w:t>
      </w:r>
      <w:r w:rsidR="00B23D31" w:rsidRPr="00511BC1">
        <w:rPr>
          <w:lang w:val="fr-CA"/>
        </w:rPr>
        <w:t>23.</w:t>
      </w:r>
      <w:r w:rsidR="00547189" w:rsidRPr="00511BC1">
        <w:rPr>
          <w:lang w:val="fr-CA"/>
        </w:rPr>
        <w:t xml:space="preserve"> </w:t>
      </w:r>
      <w:r w:rsidR="00B23D31" w:rsidRPr="00511BC1">
        <w:rPr>
          <w:lang w:val="fr-CA"/>
        </w:rPr>
        <w:t xml:space="preserve">Le groupe de </w:t>
      </w:r>
      <w:r w:rsidRPr="00511BC1">
        <w:rPr>
          <w:lang w:val="fr-CA"/>
        </w:rPr>
        <w:t>compara</w:t>
      </w:r>
      <w:r w:rsidR="00B23D31" w:rsidRPr="00511BC1">
        <w:rPr>
          <w:lang w:val="fr-CA"/>
        </w:rPr>
        <w:t xml:space="preserve">ison qui conviendra généralement à cette évaluation sera constitué des écoles </w:t>
      </w:r>
      <w:r w:rsidR="005A3BD7" w:rsidRPr="00511BC1">
        <w:rPr>
          <w:lang w:val="fr-CA"/>
        </w:rPr>
        <w:t xml:space="preserve">avoisinantes </w:t>
      </w:r>
      <w:r w:rsidR="00B23D31" w:rsidRPr="00511BC1">
        <w:rPr>
          <w:lang w:val="fr-CA"/>
        </w:rPr>
        <w:t>de la majorité linguistique qui représentent une solution de rechange réaliste pour les titulaires de droits.</w:t>
      </w:r>
      <w:r w:rsidR="00547189" w:rsidRPr="00511BC1">
        <w:rPr>
          <w:lang w:val="fr-CA"/>
        </w:rPr>
        <w:t xml:space="preserve"> </w:t>
      </w:r>
      <w:r w:rsidR="00B23D31" w:rsidRPr="00511BC1">
        <w:rPr>
          <w:lang w:val="fr-CA"/>
        </w:rPr>
        <w:t xml:space="preserve">La question à examiner est de savoir si des parents raisonnables qui détiennent ces droits seraient dissuadés d’envoyer leurs enfants dans une école de </w:t>
      </w:r>
      <w:r w:rsidR="00B23D31" w:rsidRPr="00511BC1">
        <w:rPr>
          <w:lang w:val="fr-CA"/>
        </w:rPr>
        <w:lastRenderedPageBreak/>
        <w:t xml:space="preserve">la minorité linguistique parce que l’école est </w:t>
      </w:r>
      <w:r w:rsidR="00D9400D">
        <w:rPr>
          <w:lang w:val="fr-CA"/>
        </w:rPr>
        <w:t>véritablement</w:t>
      </w:r>
      <w:r w:rsidR="00B23D31" w:rsidRPr="00511BC1">
        <w:rPr>
          <w:lang w:val="fr-CA"/>
        </w:rPr>
        <w:t xml:space="preserve"> inférieure à une école de la majorité linguistique</w:t>
      </w:r>
      <w:r w:rsidR="005B34D9" w:rsidRPr="00511BC1">
        <w:rPr>
          <w:lang w:val="fr-CA"/>
        </w:rPr>
        <w:t xml:space="preserve"> où ils peuvent les inscrire</w:t>
      </w:r>
      <w:r w:rsidR="00B23D31" w:rsidRPr="00511BC1">
        <w:rPr>
          <w:lang w:val="fr-CA"/>
        </w:rPr>
        <w:t>.</w:t>
      </w:r>
      <w:r w:rsidR="00547189" w:rsidRPr="00511BC1">
        <w:rPr>
          <w:lang w:val="fr-CA"/>
        </w:rPr>
        <w:t xml:space="preserve"> </w:t>
      </w:r>
      <w:r w:rsidR="00B23D31" w:rsidRPr="00511BC1">
        <w:rPr>
          <w:lang w:val="fr-CA"/>
        </w:rPr>
        <w:t>Dans l’affirmative, l’objet réparateur de l’</w:t>
      </w:r>
      <w:r w:rsidR="00547189" w:rsidRPr="00511BC1">
        <w:rPr>
          <w:lang w:val="fr-CA"/>
        </w:rPr>
        <w:t>art.</w:t>
      </w:r>
      <w:r w:rsidR="00225C08">
        <w:rPr>
          <w:lang w:val="fr-CA"/>
        </w:rPr>
        <w:t xml:space="preserve"> </w:t>
      </w:r>
      <w:r w:rsidR="00B23D31" w:rsidRPr="00511BC1">
        <w:rPr>
          <w:lang w:val="fr-CA"/>
        </w:rPr>
        <w:t>23 est menacé.</w:t>
      </w:r>
      <w:r w:rsidR="00547189" w:rsidRPr="00511BC1">
        <w:rPr>
          <w:lang w:val="fr-CA"/>
        </w:rPr>
        <w:t xml:space="preserve"> </w:t>
      </w:r>
      <w:r w:rsidR="00B23D31" w:rsidRPr="00511BC1">
        <w:rPr>
          <w:lang w:val="fr-CA"/>
        </w:rPr>
        <w:t>Si l’expérience éducative, prise globalement, e</w:t>
      </w:r>
      <w:r w:rsidRPr="00511BC1">
        <w:rPr>
          <w:lang w:val="fr-CA"/>
        </w:rPr>
        <w:t>s</w:t>
      </w:r>
      <w:r w:rsidR="00B23D31" w:rsidRPr="00511BC1">
        <w:rPr>
          <w:lang w:val="fr-CA"/>
        </w:rPr>
        <w:t xml:space="preserve">t suffisamment supérieure </w:t>
      </w:r>
      <w:r w:rsidR="00EC0D86" w:rsidRPr="00511BC1">
        <w:rPr>
          <w:lang w:val="fr-CA"/>
        </w:rPr>
        <w:t>dans les écoles</w:t>
      </w:r>
      <w:r w:rsidR="00CE677F" w:rsidRPr="00511BC1">
        <w:rPr>
          <w:lang w:val="fr-CA"/>
        </w:rPr>
        <w:t xml:space="preserve"> de la majorité linguistique, ce fait pourrait affaiblir la volonté des parents de faire instruire leurs enfants dans la langue de la minorité, ce qui, du coup, risque d’entraîner l’assimilation.</w:t>
      </w:r>
      <w:r w:rsidR="00547189" w:rsidRPr="00511BC1">
        <w:rPr>
          <w:lang w:val="fr-CA"/>
        </w:rPr>
        <w:t xml:space="preserve"> </w:t>
      </w:r>
    </w:p>
    <w:p w:rsidR="00252775" w:rsidRPr="00511BC1" w:rsidRDefault="00252775" w:rsidP="004B15C3">
      <w:pPr>
        <w:pStyle w:val="SCCNormalDoubleSpacing"/>
        <w:widowControl w:val="0"/>
        <w:spacing w:before="480" w:after="480"/>
        <w:rPr>
          <w:lang w:val="fr-CA"/>
        </w:rPr>
      </w:pPr>
      <w:r w:rsidRPr="00511BC1">
        <w:rPr>
          <w:lang w:val="fr-CA"/>
        </w:rPr>
        <w:tab/>
      </w:r>
      <w:r w:rsidR="00CE677F" w:rsidRPr="00511BC1">
        <w:rPr>
          <w:lang w:val="fr-CA"/>
        </w:rPr>
        <w:t xml:space="preserve">Dans l’exercice de </w:t>
      </w:r>
      <w:r w:rsidRPr="00511BC1">
        <w:rPr>
          <w:lang w:val="fr-CA"/>
        </w:rPr>
        <w:t>compara</w:t>
      </w:r>
      <w:r w:rsidR="00CE677F" w:rsidRPr="00511BC1">
        <w:rPr>
          <w:lang w:val="fr-CA"/>
        </w:rPr>
        <w:t xml:space="preserve">ison, il faut être conscient des divers facteurs dont les </w:t>
      </w:r>
      <w:r w:rsidRPr="00511BC1">
        <w:rPr>
          <w:lang w:val="fr-CA"/>
        </w:rPr>
        <w:t>parents</w:t>
      </w:r>
      <w:r w:rsidR="00CE677F" w:rsidRPr="00511BC1">
        <w:rPr>
          <w:lang w:val="fr-CA"/>
        </w:rPr>
        <w:t xml:space="preserve"> raisonnables tiennent compte</w:t>
      </w:r>
      <w:r w:rsidR="0002259F" w:rsidRPr="00511BC1">
        <w:rPr>
          <w:lang w:val="fr-CA"/>
        </w:rPr>
        <w:t xml:space="preserve"> pour évaluer l’é</w:t>
      </w:r>
      <w:r w:rsidRPr="00511BC1">
        <w:rPr>
          <w:lang w:val="fr-CA"/>
        </w:rPr>
        <w:t>quivalence.</w:t>
      </w:r>
      <w:r w:rsidR="00547189" w:rsidRPr="00511BC1">
        <w:rPr>
          <w:lang w:val="fr-CA"/>
        </w:rPr>
        <w:t xml:space="preserve"> </w:t>
      </w:r>
      <w:r w:rsidR="0002259F" w:rsidRPr="00511BC1">
        <w:rPr>
          <w:lang w:val="fr-CA"/>
        </w:rPr>
        <w:t xml:space="preserve">La comparaison est de nature contextuelle et </w:t>
      </w:r>
      <w:r w:rsidRPr="00511BC1">
        <w:rPr>
          <w:lang w:val="fr-CA"/>
        </w:rPr>
        <w:t>holisti</w:t>
      </w:r>
      <w:r w:rsidR="0002259F" w:rsidRPr="00511BC1">
        <w:rPr>
          <w:lang w:val="fr-CA"/>
        </w:rPr>
        <w:t>que</w:t>
      </w:r>
      <w:r w:rsidRPr="00511BC1">
        <w:rPr>
          <w:lang w:val="fr-CA"/>
        </w:rPr>
        <w:t>,</w:t>
      </w:r>
      <w:r w:rsidR="0002259F" w:rsidRPr="00511BC1">
        <w:rPr>
          <w:lang w:val="fr-CA"/>
        </w:rPr>
        <w:t xml:space="preserve"> tenant compte non seulement des installations matérielles, mais aussi d’autres facteurs comme la qualité de l’</w:t>
      </w:r>
      <w:r w:rsidRPr="00511BC1">
        <w:rPr>
          <w:lang w:val="fr-CA"/>
        </w:rPr>
        <w:t>instruction,</w:t>
      </w:r>
      <w:r w:rsidR="0002259F" w:rsidRPr="00511BC1">
        <w:rPr>
          <w:lang w:val="fr-CA"/>
        </w:rPr>
        <w:t xml:space="preserve"> les résultats scolaires, les activités parascolaires</w:t>
      </w:r>
      <w:r w:rsidR="00226957" w:rsidRPr="00511BC1">
        <w:rPr>
          <w:lang w:val="fr-CA"/>
        </w:rPr>
        <w:t xml:space="preserve"> et le temps de déplacement.</w:t>
      </w:r>
      <w:r w:rsidR="00547189" w:rsidRPr="00511BC1">
        <w:rPr>
          <w:lang w:val="fr-CA"/>
        </w:rPr>
        <w:t xml:space="preserve"> </w:t>
      </w:r>
      <w:r w:rsidR="00226957" w:rsidRPr="00511BC1">
        <w:rPr>
          <w:lang w:val="fr-CA"/>
        </w:rPr>
        <w:t xml:space="preserve">Une telle </w:t>
      </w:r>
      <w:r w:rsidRPr="00511BC1">
        <w:rPr>
          <w:lang w:val="fr-CA"/>
        </w:rPr>
        <w:t>approch</w:t>
      </w:r>
      <w:r w:rsidR="00226957" w:rsidRPr="00511BC1">
        <w:rPr>
          <w:lang w:val="fr-CA"/>
        </w:rPr>
        <w:t>e s’apparente à la façon dont les parents prennent des dé</w:t>
      </w:r>
      <w:r w:rsidRPr="00511BC1">
        <w:rPr>
          <w:lang w:val="fr-CA"/>
        </w:rPr>
        <w:t>cisions</w:t>
      </w:r>
      <w:r w:rsidR="00226957" w:rsidRPr="00511BC1">
        <w:rPr>
          <w:lang w:val="fr-CA"/>
        </w:rPr>
        <w:t xml:space="preserve"> relatives à l’instruction de leurs enfants.</w:t>
      </w:r>
      <w:r w:rsidR="00547189" w:rsidRPr="00511BC1">
        <w:rPr>
          <w:lang w:val="fr-CA"/>
        </w:rPr>
        <w:t xml:space="preserve"> </w:t>
      </w:r>
      <w:r w:rsidR="00226957" w:rsidRPr="00511BC1">
        <w:rPr>
          <w:lang w:val="fr-CA"/>
        </w:rPr>
        <w:t xml:space="preserve">La mesure dans laquelle un facteur donné </w:t>
      </w:r>
      <w:r w:rsidR="00C16425" w:rsidRPr="00511BC1">
        <w:rPr>
          <w:lang w:val="fr-CA"/>
        </w:rPr>
        <w:t>constitue une question en litige dans l’appréciation de l’équivalence est fonction des circonstances de l’affaire</w:t>
      </w:r>
      <w:r w:rsidRPr="00511BC1">
        <w:rPr>
          <w:lang w:val="fr-CA"/>
        </w:rPr>
        <w:t>.</w:t>
      </w:r>
      <w:r w:rsidR="00547189" w:rsidRPr="00511BC1">
        <w:rPr>
          <w:lang w:val="fr-CA"/>
        </w:rPr>
        <w:t xml:space="preserve"> </w:t>
      </w:r>
      <w:r w:rsidR="00C16425" w:rsidRPr="00511BC1">
        <w:rPr>
          <w:lang w:val="fr-CA"/>
        </w:rPr>
        <w:t xml:space="preserve">On examine ensemble les facteurs pertinents pour décider si, globalement, l’expérience éducative </w:t>
      </w:r>
      <w:r w:rsidR="00542C8A" w:rsidRPr="00511BC1">
        <w:rPr>
          <w:lang w:val="fr-CA"/>
        </w:rPr>
        <w:t>est inférieure au point de pouvoir dissuader les titulaires de droits d’inscrire leurs enfants dans une école de la minorité linguistique.</w:t>
      </w:r>
      <w:r w:rsidR="00547189" w:rsidRPr="00511BC1">
        <w:rPr>
          <w:lang w:val="fr-CA"/>
        </w:rPr>
        <w:t xml:space="preserve"> </w:t>
      </w:r>
      <w:r w:rsidR="00542C8A" w:rsidRPr="00511BC1">
        <w:rPr>
          <w:lang w:val="fr-CA"/>
        </w:rPr>
        <w:t>Si, dans l’ensemble, l’expérience est équivalente, les exigences de l’</w:t>
      </w:r>
      <w:r w:rsidR="00547189" w:rsidRPr="00511BC1">
        <w:rPr>
          <w:lang w:val="fr-CA"/>
        </w:rPr>
        <w:t>art.</w:t>
      </w:r>
      <w:r w:rsidR="00225C08">
        <w:rPr>
          <w:lang w:val="fr-CA"/>
        </w:rPr>
        <w:t xml:space="preserve"> </w:t>
      </w:r>
      <w:r w:rsidR="00542C8A" w:rsidRPr="00511BC1">
        <w:rPr>
          <w:lang w:val="fr-CA"/>
        </w:rPr>
        <w:t>23 sont respectées</w:t>
      </w:r>
      <w:r w:rsidRPr="00511BC1">
        <w:rPr>
          <w:lang w:val="fr-CA"/>
        </w:rPr>
        <w:t>.</w:t>
      </w:r>
    </w:p>
    <w:p w:rsidR="00252775" w:rsidRPr="00511BC1" w:rsidRDefault="00252775" w:rsidP="004B15C3">
      <w:pPr>
        <w:pStyle w:val="SCCNormalDoubleSpacing"/>
        <w:widowControl w:val="0"/>
        <w:spacing w:before="480" w:after="480"/>
        <w:rPr>
          <w:lang w:val="fr-CA"/>
        </w:rPr>
      </w:pPr>
      <w:r w:rsidRPr="00511BC1">
        <w:rPr>
          <w:lang w:val="fr-CA"/>
        </w:rPr>
        <w:tab/>
      </w:r>
      <w:r w:rsidR="00542C8A" w:rsidRPr="00511BC1">
        <w:rPr>
          <w:lang w:val="fr-CA"/>
        </w:rPr>
        <w:t xml:space="preserve">On tient compte des coûts et des considérations pratiques pour établir le niveau de services d’enseignement dont doit bénéficier un groupe de titulaires de </w:t>
      </w:r>
      <w:r w:rsidR="00542C8A" w:rsidRPr="00511BC1">
        <w:rPr>
          <w:lang w:val="fr-CA"/>
        </w:rPr>
        <w:lastRenderedPageBreak/>
        <w:t>droits selon l’échelle variable.</w:t>
      </w:r>
      <w:r w:rsidR="00547189" w:rsidRPr="00511BC1">
        <w:rPr>
          <w:lang w:val="fr-CA"/>
        </w:rPr>
        <w:t xml:space="preserve"> </w:t>
      </w:r>
      <w:r w:rsidR="00633374" w:rsidRPr="00511BC1">
        <w:rPr>
          <w:lang w:val="fr-CA"/>
        </w:rPr>
        <w:t xml:space="preserve">Ce serait compromettre cette </w:t>
      </w:r>
      <w:r w:rsidRPr="00511BC1">
        <w:rPr>
          <w:lang w:val="fr-CA"/>
        </w:rPr>
        <w:t>analys</w:t>
      </w:r>
      <w:r w:rsidR="00633374" w:rsidRPr="00511BC1">
        <w:rPr>
          <w:lang w:val="fr-CA"/>
        </w:rPr>
        <w:t xml:space="preserve">e que d’examiner de nouveau </w:t>
      </w:r>
      <w:r w:rsidR="009B5907" w:rsidRPr="00511BC1">
        <w:rPr>
          <w:lang w:val="fr-CA"/>
        </w:rPr>
        <w:t>les coûts et les considérations pratiques, après que le niveau approprié de services d’enseignement eut déjà été fixé.</w:t>
      </w:r>
      <w:r w:rsidR="00547189" w:rsidRPr="00511BC1">
        <w:rPr>
          <w:lang w:val="fr-CA"/>
        </w:rPr>
        <w:t xml:space="preserve"> </w:t>
      </w:r>
      <w:r w:rsidR="009B5907" w:rsidRPr="00511BC1">
        <w:rPr>
          <w:lang w:val="fr-CA"/>
        </w:rPr>
        <w:t xml:space="preserve">Par conséquent, il n’est pas opportun pour les gouvernements </w:t>
      </w:r>
      <w:r w:rsidRPr="00511BC1">
        <w:rPr>
          <w:lang w:val="fr-CA"/>
        </w:rPr>
        <w:t>provincia</w:t>
      </w:r>
      <w:r w:rsidR="009B5907" w:rsidRPr="00511BC1">
        <w:rPr>
          <w:lang w:val="fr-CA"/>
        </w:rPr>
        <w:t>ux ou territoriaux de soulever des questions liées aux considérations pratiques ou aux coûts dans le cadre de l’analyse de l’équivalence.</w:t>
      </w:r>
      <w:r w:rsidR="00547189" w:rsidRPr="00511BC1">
        <w:rPr>
          <w:lang w:val="fr-CA"/>
        </w:rPr>
        <w:t xml:space="preserve"> </w:t>
      </w:r>
      <w:r w:rsidR="009B5907" w:rsidRPr="00511BC1">
        <w:rPr>
          <w:lang w:val="fr-CA"/>
        </w:rPr>
        <w:t>Les coûts et les considérations pratiques peuvent toutefois s’avérer pertinent</w:t>
      </w:r>
      <w:r w:rsidR="005E022E" w:rsidRPr="00511BC1">
        <w:rPr>
          <w:lang w:val="fr-CA"/>
        </w:rPr>
        <w:t xml:space="preserve">s </w:t>
      </w:r>
      <w:r w:rsidR="009B5907" w:rsidRPr="00511BC1">
        <w:rPr>
          <w:lang w:val="fr-CA"/>
        </w:rPr>
        <w:t>lorsqu’on tente de justifier une violation de l’</w:t>
      </w:r>
      <w:r w:rsidR="00547189" w:rsidRPr="00511BC1">
        <w:rPr>
          <w:lang w:val="fr-CA"/>
        </w:rPr>
        <w:t>art.</w:t>
      </w:r>
      <w:r w:rsidR="00225C08">
        <w:rPr>
          <w:lang w:val="fr-CA"/>
        </w:rPr>
        <w:t xml:space="preserve"> </w:t>
      </w:r>
      <w:r w:rsidR="009B5907" w:rsidRPr="00511BC1">
        <w:rPr>
          <w:lang w:val="fr-CA"/>
        </w:rPr>
        <w:t xml:space="preserve">23 ou de concevoir une réparation convenable et juste par suite d’une violation. </w:t>
      </w:r>
    </w:p>
    <w:p w:rsidR="00252775" w:rsidRPr="00511BC1" w:rsidRDefault="00252775" w:rsidP="004B15C3">
      <w:pPr>
        <w:pStyle w:val="SCCNormalDoubleSpacing"/>
        <w:widowControl w:val="0"/>
        <w:spacing w:before="480" w:after="480"/>
        <w:rPr>
          <w:lang w:val="fr-CA"/>
        </w:rPr>
      </w:pPr>
      <w:r w:rsidRPr="00511BC1">
        <w:rPr>
          <w:lang w:val="fr-CA"/>
        </w:rPr>
        <w:tab/>
      </w:r>
      <w:r w:rsidR="009B5907" w:rsidRPr="00511BC1">
        <w:rPr>
          <w:lang w:val="fr-CA"/>
        </w:rPr>
        <w:t>En l’espèce, le juge saisi de la requête a appliqué le bon critère pour évaluer l’équivalence.</w:t>
      </w:r>
      <w:r w:rsidR="00547189" w:rsidRPr="00511BC1">
        <w:rPr>
          <w:lang w:val="fr-CA"/>
        </w:rPr>
        <w:t xml:space="preserve"> </w:t>
      </w:r>
      <w:r w:rsidR="009B5907" w:rsidRPr="00511BC1">
        <w:rPr>
          <w:lang w:val="fr-CA"/>
        </w:rPr>
        <w:t>Il a évalué les facteurs pertinent</w:t>
      </w:r>
      <w:r w:rsidR="009A4169" w:rsidRPr="00511BC1">
        <w:rPr>
          <w:lang w:val="fr-CA"/>
        </w:rPr>
        <w:t>s</w:t>
      </w:r>
      <w:r w:rsidR="009B5907" w:rsidRPr="00511BC1">
        <w:rPr>
          <w:lang w:val="fr-CA"/>
        </w:rPr>
        <w:t xml:space="preserve"> de façon exhaustive et holistique et a comparé RDV aux écoles de langue anglaise du secteur concerné de </w:t>
      </w:r>
      <w:r w:rsidRPr="00511BC1">
        <w:rPr>
          <w:lang w:val="fr-CA"/>
        </w:rPr>
        <w:t>Vancouver.</w:t>
      </w:r>
      <w:r w:rsidR="00547189" w:rsidRPr="00511BC1">
        <w:rPr>
          <w:lang w:val="fr-CA"/>
        </w:rPr>
        <w:t xml:space="preserve"> </w:t>
      </w:r>
      <w:r w:rsidR="009B5907" w:rsidRPr="00511BC1">
        <w:rPr>
          <w:lang w:val="fr-CA"/>
        </w:rPr>
        <w:t>Au moment d’établir l’équivalence</w:t>
      </w:r>
      <w:r w:rsidR="009A4169" w:rsidRPr="00511BC1">
        <w:rPr>
          <w:lang w:val="fr-CA"/>
        </w:rPr>
        <w:t xml:space="preserve"> réelle globale, il a conclu </w:t>
      </w:r>
      <w:r w:rsidR="002521E3" w:rsidRPr="00511BC1">
        <w:rPr>
          <w:lang w:val="fr-CA"/>
        </w:rPr>
        <w:t xml:space="preserve">que les </w:t>
      </w:r>
      <w:r w:rsidRPr="00511BC1">
        <w:rPr>
          <w:lang w:val="fr-CA"/>
        </w:rPr>
        <w:t>program</w:t>
      </w:r>
      <w:r w:rsidR="00430FF6" w:rsidRPr="00511BC1">
        <w:rPr>
          <w:lang w:val="fr-CA"/>
        </w:rPr>
        <w:t>me</w:t>
      </w:r>
      <w:r w:rsidRPr="00511BC1">
        <w:rPr>
          <w:lang w:val="fr-CA"/>
        </w:rPr>
        <w:t>s</w:t>
      </w:r>
      <w:r w:rsidR="00430FF6" w:rsidRPr="00511BC1">
        <w:rPr>
          <w:lang w:val="fr-CA"/>
        </w:rPr>
        <w:t xml:space="preserve"> offerts à </w:t>
      </w:r>
      <w:r w:rsidRPr="00511BC1">
        <w:rPr>
          <w:lang w:val="fr-CA"/>
        </w:rPr>
        <w:t xml:space="preserve">RDV </w:t>
      </w:r>
      <w:r w:rsidR="00430FF6" w:rsidRPr="00511BC1">
        <w:rPr>
          <w:lang w:val="fr-CA"/>
        </w:rPr>
        <w:t xml:space="preserve">n’étaient </w:t>
      </w:r>
      <w:r w:rsidR="00A35E49">
        <w:rPr>
          <w:lang w:val="fr-CA"/>
        </w:rPr>
        <w:t xml:space="preserve">pas </w:t>
      </w:r>
      <w:r w:rsidR="00430FF6" w:rsidRPr="00511BC1">
        <w:rPr>
          <w:lang w:val="fr-CA"/>
        </w:rPr>
        <w:t>de qualité suffisante pour pallier le caractère inadéquat de ses installations, la surpopulation et les longs déplacements.</w:t>
      </w:r>
      <w:r w:rsidR="00547189" w:rsidRPr="00511BC1">
        <w:rPr>
          <w:lang w:val="fr-CA"/>
        </w:rPr>
        <w:t xml:space="preserve"> </w:t>
      </w:r>
      <w:r w:rsidR="00430FF6" w:rsidRPr="00511BC1">
        <w:rPr>
          <w:lang w:val="fr-CA"/>
        </w:rPr>
        <w:t>Selon lui, l’écart entre les écoles de la minorité linguistique et celles de la majorité était tel qu’il avait pour effet de limiter l’inscription et de contribuer à l’assimilation</w:t>
      </w:r>
      <w:r w:rsidRPr="00511BC1">
        <w:rPr>
          <w:lang w:val="fr-CA"/>
        </w:rPr>
        <w:t>.</w:t>
      </w:r>
      <w:r w:rsidR="00547189" w:rsidRPr="00511BC1">
        <w:rPr>
          <w:lang w:val="fr-CA"/>
        </w:rPr>
        <w:t xml:space="preserve"> </w:t>
      </w:r>
      <w:r w:rsidR="00430FF6" w:rsidRPr="00511BC1">
        <w:rPr>
          <w:lang w:val="fr-CA"/>
        </w:rPr>
        <w:t xml:space="preserve">Il n’y a aucune erreur de </w:t>
      </w:r>
      <w:r w:rsidRPr="00511BC1">
        <w:rPr>
          <w:lang w:val="fr-CA"/>
        </w:rPr>
        <w:t>principe</w:t>
      </w:r>
      <w:r w:rsidR="00430FF6" w:rsidRPr="00511BC1">
        <w:rPr>
          <w:lang w:val="fr-CA"/>
        </w:rPr>
        <w:t xml:space="preserve"> dans l’analyse du juge saisi de la requête</w:t>
      </w:r>
      <w:r w:rsidRPr="00511BC1">
        <w:rPr>
          <w:lang w:val="fr-CA"/>
        </w:rPr>
        <w:t>.</w:t>
      </w:r>
    </w:p>
    <w:p w:rsidR="00252775" w:rsidRPr="00511BC1" w:rsidRDefault="00252775" w:rsidP="004B15C3">
      <w:pPr>
        <w:pStyle w:val="SCCNormalDoubleSpacing"/>
        <w:widowControl w:val="0"/>
        <w:spacing w:before="480" w:after="480"/>
        <w:rPr>
          <w:lang w:val="fr-CA"/>
        </w:rPr>
      </w:pPr>
      <w:r w:rsidRPr="00511BC1">
        <w:rPr>
          <w:lang w:val="fr-CA"/>
        </w:rPr>
        <w:tab/>
      </w:r>
      <w:r w:rsidR="00D70459" w:rsidRPr="00511BC1">
        <w:rPr>
          <w:lang w:val="fr-CA"/>
        </w:rPr>
        <w:t>Le jugement déclaratoire du juge saisi de la requête</w:t>
      </w:r>
      <w:r w:rsidR="00607718" w:rsidRPr="00511BC1">
        <w:rPr>
          <w:lang w:val="fr-CA"/>
        </w:rPr>
        <w:t xml:space="preserve"> équivaut à une déclaration portant qu’il y a, à première vue, violation de l’</w:t>
      </w:r>
      <w:r w:rsidR="00547189" w:rsidRPr="00511BC1">
        <w:rPr>
          <w:lang w:val="fr-CA"/>
        </w:rPr>
        <w:t>art.</w:t>
      </w:r>
      <w:r w:rsidR="00225C08">
        <w:rPr>
          <w:lang w:val="fr-CA"/>
        </w:rPr>
        <w:t xml:space="preserve"> </w:t>
      </w:r>
      <w:r w:rsidRPr="00511BC1">
        <w:rPr>
          <w:lang w:val="fr-CA"/>
        </w:rPr>
        <w:t>23,</w:t>
      </w:r>
      <w:r w:rsidR="00607718" w:rsidRPr="00511BC1">
        <w:rPr>
          <w:lang w:val="fr-CA"/>
        </w:rPr>
        <w:t xml:space="preserve"> sous réserve de l’établissement futur de la responsabilité, d’une justification de la violation </w:t>
      </w:r>
      <w:r w:rsidRPr="00511BC1">
        <w:rPr>
          <w:lang w:val="fr-CA"/>
        </w:rPr>
        <w:t>(</w:t>
      </w:r>
      <w:r w:rsidR="00607718" w:rsidRPr="00511BC1">
        <w:rPr>
          <w:lang w:val="fr-CA"/>
        </w:rPr>
        <w:t>s’il y a lieu) et d’une réparation concrète.</w:t>
      </w:r>
      <w:r w:rsidR="00547189" w:rsidRPr="00511BC1">
        <w:rPr>
          <w:lang w:val="fr-CA"/>
        </w:rPr>
        <w:t xml:space="preserve"> </w:t>
      </w:r>
      <w:r w:rsidR="00607718" w:rsidRPr="00511BC1">
        <w:rPr>
          <w:lang w:val="fr-CA"/>
        </w:rPr>
        <w:t xml:space="preserve">Si les enfants de titulaires des droits garantis par </w:t>
      </w:r>
      <w:r w:rsidR="00607718" w:rsidRPr="00511BC1">
        <w:rPr>
          <w:lang w:val="fr-CA"/>
        </w:rPr>
        <w:lastRenderedPageBreak/>
        <w:t>l’</w:t>
      </w:r>
      <w:r w:rsidR="00547189" w:rsidRPr="00511BC1">
        <w:rPr>
          <w:lang w:val="fr-CA"/>
        </w:rPr>
        <w:t>art.</w:t>
      </w:r>
      <w:r w:rsidR="00225C08">
        <w:rPr>
          <w:lang w:val="fr-CA"/>
        </w:rPr>
        <w:t xml:space="preserve"> </w:t>
      </w:r>
      <w:r w:rsidR="00607718" w:rsidRPr="00511BC1">
        <w:rPr>
          <w:lang w:val="fr-CA"/>
        </w:rPr>
        <w:t>23 ont droit à une expérience éducative équivalente à celle des enfants de la majorité, il n’y a aucune différence entre une conclusion d’absence d’équivalence et une conclusion selon laquelle les titulaires de droits n’ont pas reçu les services auxquels ils ont droit en vertu de l’</w:t>
      </w:r>
      <w:r w:rsidR="00547189" w:rsidRPr="00511BC1">
        <w:rPr>
          <w:lang w:val="fr-CA"/>
        </w:rPr>
        <w:t>art.</w:t>
      </w:r>
      <w:r w:rsidR="00225C08">
        <w:rPr>
          <w:lang w:val="fr-CA"/>
        </w:rPr>
        <w:t xml:space="preserve"> </w:t>
      </w:r>
      <w:r w:rsidR="00607718" w:rsidRPr="00511BC1">
        <w:rPr>
          <w:lang w:val="fr-CA"/>
        </w:rPr>
        <w:t>23.</w:t>
      </w:r>
      <w:r w:rsidR="00547189" w:rsidRPr="00511BC1">
        <w:rPr>
          <w:lang w:val="fr-CA"/>
        </w:rPr>
        <w:t xml:space="preserve"> </w:t>
      </w:r>
      <w:r w:rsidR="00607718" w:rsidRPr="00511BC1">
        <w:rPr>
          <w:lang w:val="fr-CA"/>
        </w:rPr>
        <w:t xml:space="preserve">Cependant, puisqu’aucune responsabilité n’a encore été attribuée pour cette violation </w:t>
      </w:r>
      <w:r w:rsidRPr="00511BC1">
        <w:rPr>
          <w:lang w:val="fr-CA"/>
        </w:rPr>
        <w:t>―</w:t>
      </w:r>
      <w:r w:rsidR="00607718" w:rsidRPr="00511BC1">
        <w:rPr>
          <w:lang w:val="fr-CA"/>
        </w:rPr>
        <w:t xml:space="preserve"> et qu’il</w:t>
      </w:r>
      <w:r w:rsidR="00C71B55" w:rsidRPr="00511BC1">
        <w:rPr>
          <w:lang w:val="fr-CA"/>
        </w:rPr>
        <w:t xml:space="preserve"> demeure possible que la ou les parties responsables tentent de la justifier </w:t>
      </w:r>
      <w:r w:rsidRPr="00511BC1">
        <w:rPr>
          <w:lang w:val="fr-CA"/>
        </w:rPr>
        <w:t xml:space="preserve">― </w:t>
      </w:r>
      <w:r w:rsidR="00C71B55" w:rsidRPr="00511BC1">
        <w:rPr>
          <w:lang w:val="fr-CA"/>
        </w:rPr>
        <w:t xml:space="preserve">on ne peut affirmer que le jugement déclaratoire rendu par le juge constitue une conclusion complète selon laquelle il y a eu violation de la </w:t>
      </w:r>
      <w:r w:rsidRPr="00511BC1">
        <w:rPr>
          <w:i/>
          <w:lang w:val="fr-CA"/>
        </w:rPr>
        <w:t>Charte</w:t>
      </w:r>
      <w:r w:rsidRPr="00511BC1">
        <w:rPr>
          <w:lang w:val="fr-CA"/>
        </w:rPr>
        <w:t xml:space="preserve">. </w:t>
      </w:r>
    </w:p>
    <w:p w:rsidR="004D7D95" w:rsidRPr="00511BC1" w:rsidRDefault="00252775" w:rsidP="004B15C3">
      <w:pPr>
        <w:pStyle w:val="SCCNormalDoubleSpacing"/>
        <w:widowControl w:val="0"/>
        <w:spacing w:before="480" w:after="480"/>
        <w:rPr>
          <w:lang w:val="fr-CA"/>
        </w:rPr>
      </w:pPr>
      <w:r w:rsidRPr="00511BC1">
        <w:rPr>
          <w:lang w:val="fr-CA"/>
        </w:rPr>
        <w:tab/>
      </w:r>
      <w:r w:rsidR="00A94C3C" w:rsidRPr="00511BC1">
        <w:rPr>
          <w:lang w:val="fr-CA"/>
        </w:rPr>
        <w:t xml:space="preserve">Dans une instance qui a été officiellement divisée en étapes </w:t>
      </w:r>
      <w:r w:rsidR="00D5655F" w:rsidRPr="00511BC1">
        <w:rPr>
          <w:lang w:val="fr-CA"/>
        </w:rPr>
        <w:t>afin de distinguer la question de l’équivalence réelle des autres élé</w:t>
      </w:r>
      <w:r w:rsidRPr="00511BC1">
        <w:rPr>
          <w:lang w:val="fr-CA"/>
        </w:rPr>
        <w:t>ments</w:t>
      </w:r>
      <w:r w:rsidR="00D5655F" w:rsidRPr="00511BC1">
        <w:rPr>
          <w:lang w:val="fr-CA"/>
        </w:rPr>
        <w:t xml:space="preserve"> de l’analyse fondée sur l’</w:t>
      </w:r>
      <w:r w:rsidR="00547189" w:rsidRPr="00511BC1">
        <w:rPr>
          <w:lang w:val="fr-CA"/>
        </w:rPr>
        <w:t>art.</w:t>
      </w:r>
      <w:r w:rsidR="00225C08">
        <w:rPr>
          <w:lang w:val="fr-CA"/>
        </w:rPr>
        <w:t xml:space="preserve"> </w:t>
      </w:r>
      <w:r w:rsidR="00D5655F" w:rsidRPr="00511BC1">
        <w:rPr>
          <w:lang w:val="fr-CA"/>
        </w:rPr>
        <w:t>23</w:t>
      </w:r>
      <w:r w:rsidRPr="00511BC1">
        <w:rPr>
          <w:lang w:val="fr-CA"/>
        </w:rPr>
        <w:t>,</w:t>
      </w:r>
      <w:r w:rsidR="00D5655F" w:rsidRPr="00511BC1">
        <w:rPr>
          <w:lang w:val="fr-CA"/>
        </w:rPr>
        <w:t xml:space="preserve"> la preuve qui ne permet pas de répondre à cette </w:t>
      </w:r>
      <w:r w:rsidRPr="00511BC1">
        <w:rPr>
          <w:lang w:val="fr-CA"/>
        </w:rPr>
        <w:t>question</w:t>
      </w:r>
      <w:r w:rsidR="00D5655F" w:rsidRPr="00511BC1">
        <w:rPr>
          <w:lang w:val="fr-CA"/>
        </w:rPr>
        <w:t xml:space="preserve"> n’est habituellement pas pertinente</w:t>
      </w:r>
      <w:r w:rsidRPr="00511BC1">
        <w:rPr>
          <w:lang w:val="fr-CA"/>
        </w:rPr>
        <w:t>.</w:t>
      </w:r>
      <w:r w:rsidR="00547189" w:rsidRPr="00511BC1">
        <w:rPr>
          <w:lang w:val="fr-CA"/>
        </w:rPr>
        <w:t xml:space="preserve"> </w:t>
      </w:r>
      <w:r w:rsidR="00D5655F" w:rsidRPr="00511BC1">
        <w:rPr>
          <w:lang w:val="fr-CA"/>
        </w:rPr>
        <w:t xml:space="preserve">Si on envisage la chose sous cet angle, le juge saisi de la requête pouvait radier les passages des actes de procédure de la province </w:t>
      </w:r>
      <w:r w:rsidR="00953C19" w:rsidRPr="00511BC1">
        <w:rPr>
          <w:lang w:val="fr-CA"/>
        </w:rPr>
        <w:t xml:space="preserve">car ils n’étaient pas pertinents </w:t>
      </w:r>
      <w:r w:rsidR="00C64AA8" w:rsidRPr="00511BC1">
        <w:rPr>
          <w:lang w:val="fr-CA"/>
        </w:rPr>
        <w:t>pour l’analyse de l’équivalence réelle.</w:t>
      </w:r>
      <w:r w:rsidR="00547189" w:rsidRPr="00511BC1">
        <w:rPr>
          <w:lang w:val="fr-CA"/>
        </w:rPr>
        <w:t xml:space="preserve"> </w:t>
      </w:r>
    </w:p>
    <w:p w:rsidR="004D7D95" w:rsidRPr="00511BC1" w:rsidRDefault="004D7D95" w:rsidP="004B15C3">
      <w:pPr>
        <w:pStyle w:val="SCCNormalDoubleSpacing"/>
        <w:widowControl w:val="0"/>
        <w:spacing w:after="720" w:line="240" w:lineRule="auto"/>
        <w:outlineLvl w:val="0"/>
        <w:rPr>
          <w:b/>
          <w:lang w:val="fr-CA"/>
        </w:rPr>
      </w:pPr>
      <w:r w:rsidRPr="00511BC1">
        <w:rPr>
          <w:b/>
          <w:lang w:val="fr-CA"/>
        </w:rPr>
        <w:t>Jurisprudence</w:t>
      </w:r>
    </w:p>
    <w:p w:rsidR="004D7D95" w:rsidRPr="00511BC1" w:rsidRDefault="004D7D95" w:rsidP="004B15C3">
      <w:pPr>
        <w:pStyle w:val="SCCNormalDoubleSpacing"/>
        <w:widowControl w:val="0"/>
        <w:spacing w:before="480" w:after="480"/>
      </w:pPr>
      <w:r w:rsidRPr="00511BC1">
        <w:rPr>
          <w:lang w:val="fr-CA"/>
        </w:rPr>
        <w:tab/>
      </w:r>
      <w:r w:rsidR="00D66654" w:rsidRPr="00511BC1">
        <w:rPr>
          <w:b/>
          <w:lang w:val="fr-CA"/>
        </w:rPr>
        <w:t>Arrêt</w:t>
      </w:r>
      <w:r w:rsidR="00D66654">
        <w:rPr>
          <w:b/>
          <w:lang w:val="fr-CA"/>
        </w:rPr>
        <w:t xml:space="preserve"> appliqué</w:t>
      </w:r>
      <w:r w:rsidR="00225C08">
        <w:rPr>
          <w:b/>
          <w:lang w:val="fr-CA"/>
        </w:rPr>
        <w:t> :</w:t>
      </w:r>
      <w:r w:rsidR="00D66654">
        <w:rPr>
          <w:b/>
          <w:lang w:val="fr-CA"/>
        </w:rPr>
        <w:t xml:space="preserve"> </w:t>
      </w:r>
      <w:r w:rsidR="00D66654" w:rsidRPr="00511BC1">
        <w:rPr>
          <w:i/>
          <w:iCs/>
          <w:lang w:val="fr-CA" w:bidi="en-US"/>
        </w:rPr>
        <w:t>Carter c. Canada (Procureur général)</w:t>
      </w:r>
      <w:r w:rsidR="00D66654" w:rsidRPr="00511BC1">
        <w:rPr>
          <w:iCs/>
          <w:lang w:val="fr-CA" w:bidi="en-US"/>
        </w:rPr>
        <w:t>, 2015 CSC 5</w:t>
      </w:r>
      <w:r w:rsidR="008D45D3">
        <w:rPr>
          <w:iCs/>
          <w:lang w:val="fr-CA" w:bidi="en-US"/>
        </w:rPr>
        <w:t>, [2015] 1 R.C.S. 331</w:t>
      </w:r>
      <w:r w:rsidR="00D66654" w:rsidRPr="00511BC1">
        <w:rPr>
          <w:iCs/>
          <w:lang w:val="fr-CA" w:bidi="en-US"/>
        </w:rPr>
        <w:t xml:space="preserve">; </w:t>
      </w:r>
      <w:r w:rsidR="00D66654">
        <w:rPr>
          <w:b/>
          <w:lang w:val="fr-CA"/>
        </w:rPr>
        <w:t>a</w:t>
      </w:r>
      <w:r w:rsidRPr="00511BC1">
        <w:rPr>
          <w:b/>
          <w:lang w:val="fr-CA"/>
        </w:rPr>
        <w:t>rrêt</w:t>
      </w:r>
      <w:r w:rsidR="0091294A">
        <w:rPr>
          <w:b/>
          <w:lang w:val="fr-CA"/>
        </w:rPr>
        <w:t xml:space="preserve"> analysé</w:t>
      </w:r>
      <w:r w:rsidR="00225C08">
        <w:rPr>
          <w:b/>
          <w:lang w:val="fr-CA"/>
        </w:rPr>
        <w:t> :</w:t>
      </w:r>
      <w:r w:rsidR="0091294A">
        <w:rPr>
          <w:b/>
          <w:lang w:val="fr-CA"/>
        </w:rPr>
        <w:t xml:space="preserve"> </w:t>
      </w:r>
      <w:r w:rsidR="0091294A" w:rsidRPr="00511BC1">
        <w:rPr>
          <w:i/>
          <w:lang w:val="fr-CA" w:bidi="en-US"/>
        </w:rPr>
        <w:t>Mahe c. Alberta</w:t>
      </w:r>
      <w:r w:rsidR="0091294A" w:rsidRPr="00511BC1">
        <w:rPr>
          <w:lang w:val="fr-CA" w:bidi="en-US"/>
        </w:rPr>
        <w:t xml:space="preserve">, [1990] 1 R.C.S. 342; </w:t>
      </w:r>
      <w:r w:rsidR="0091294A" w:rsidRPr="0091294A">
        <w:rPr>
          <w:b/>
          <w:lang w:val="fr-CA" w:bidi="en-US"/>
        </w:rPr>
        <w:t>arrêts</w:t>
      </w:r>
      <w:r w:rsidR="0091294A">
        <w:rPr>
          <w:lang w:val="fr-CA" w:bidi="en-US"/>
        </w:rPr>
        <w:t xml:space="preserve"> </w:t>
      </w:r>
      <w:r w:rsidRPr="00511BC1">
        <w:rPr>
          <w:b/>
          <w:lang w:val="fr-CA"/>
        </w:rPr>
        <w:t>mentionnés</w:t>
      </w:r>
      <w:r w:rsidR="00225C08">
        <w:rPr>
          <w:b/>
          <w:lang w:val="fr-CA"/>
        </w:rPr>
        <w:t> :</w:t>
      </w:r>
      <w:r w:rsidRPr="00511BC1">
        <w:rPr>
          <w:lang w:val="fr-CA"/>
        </w:rPr>
        <w:t xml:space="preserve"> </w:t>
      </w:r>
      <w:r w:rsidR="00BE0845" w:rsidRPr="00511BC1">
        <w:rPr>
          <w:i/>
          <w:lang w:val="fr-CA"/>
        </w:rPr>
        <w:t>Assn. des Parents Francophones (Colombie</w:t>
      </w:r>
      <w:r w:rsidR="00225C08">
        <w:rPr>
          <w:i/>
          <w:lang w:val="fr-CA"/>
        </w:rPr>
        <w:t>-</w:t>
      </w:r>
      <w:r w:rsidR="00BE0845" w:rsidRPr="00511BC1">
        <w:rPr>
          <w:i/>
          <w:lang w:val="fr-CA"/>
        </w:rPr>
        <w:t xml:space="preserve">Britannique) c. British Columbia </w:t>
      </w:r>
      <w:r w:rsidR="00BE0845" w:rsidRPr="00511BC1">
        <w:rPr>
          <w:lang w:val="fr-CA"/>
        </w:rPr>
        <w:t>(1996)</w:t>
      </w:r>
      <w:r w:rsidR="00066F2C" w:rsidRPr="00511BC1">
        <w:rPr>
          <w:lang w:val="fr-CA"/>
        </w:rPr>
        <w:t>, 27 B.C.L.R. (3d) 83;</w:t>
      </w:r>
      <w:r w:rsidR="00CF6FF9" w:rsidRPr="00511BC1">
        <w:rPr>
          <w:rFonts w:eastAsiaTheme="minorHAnsi"/>
          <w:i/>
          <w:szCs w:val="24"/>
          <w:lang w:val="fr-CA" w:eastAsia="en-US" w:bidi="en-US"/>
        </w:rPr>
        <w:t xml:space="preserve"> </w:t>
      </w:r>
      <w:r w:rsidR="003A483E" w:rsidRPr="00511BC1">
        <w:rPr>
          <w:i/>
          <w:lang w:val="fr-CA" w:bidi="en-US"/>
        </w:rPr>
        <w:t>Doucet</w:t>
      </w:r>
      <w:r w:rsidR="00225C08">
        <w:rPr>
          <w:i/>
          <w:lang w:val="fr-CA" w:bidi="en-US"/>
        </w:rPr>
        <w:t>-</w:t>
      </w:r>
      <w:r w:rsidR="003A483E" w:rsidRPr="00511BC1">
        <w:rPr>
          <w:i/>
          <w:lang w:val="fr-CA" w:bidi="en-US"/>
        </w:rPr>
        <w:t>Boudreau c</w:t>
      </w:r>
      <w:r w:rsidR="00CF6FF9" w:rsidRPr="00511BC1">
        <w:rPr>
          <w:i/>
          <w:lang w:val="fr-CA" w:bidi="en-US"/>
        </w:rPr>
        <w:t xml:space="preserve">. </w:t>
      </w:r>
      <w:r w:rsidR="003A483E" w:rsidRPr="00511BC1">
        <w:rPr>
          <w:i/>
          <w:lang w:val="fr-CA" w:bidi="en-US"/>
        </w:rPr>
        <w:t>Nouvelle</w:t>
      </w:r>
      <w:r w:rsidR="00225C08">
        <w:rPr>
          <w:i/>
          <w:lang w:val="fr-CA" w:bidi="en-US"/>
        </w:rPr>
        <w:t>-</w:t>
      </w:r>
      <w:r w:rsidR="003A483E" w:rsidRPr="00511BC1">
        <w:rPr>
          <w:i/>
          <w:lang w:val="fr-CA" w:bidi="en-US"/>
        </w:rPr>
        <w:t>Écosse (Ministre de l’Éducation</w:t>
      </w:r>
      <w:r w:rsidR="00CF6FF9" w:rsidRPr="00511BC1">
        <w:rPr>
          <w:i/>
          <w:lang w:val="fr-CA" w:bidi="en-US"/>
        </w:rPr>
        <w:t>)</w:t>
      </w:r>
      <w:r w:rsidR="00CF6FF9" w:rsidRPr="00511BC1">
        <w:rPr>
          <w:lang w:val="fr-CA" w:bidi="en-US"/>
        </w:rPr>
        <w:t>,</w:t>
      </w:r>
      <w:r w:rsidR="00CF6FF9" w:rsidRPr="00511BC1">
        <w:rPr>
          <w:i/>
          <w:lang w:val="fr-CA" w:bidi="en-US"/>
        </w:rPr>
        <w:t xml:space="preserve"> </w:t>
      </w:r>
      <w:r w:rsidR="00CF6FF9" w:rsidRPr="00511BC1">
        <w:rPr>
          <w:lang w:val="fr-CA" w:bidi="en-US"/>
        </w:rPr>
        <w:t xml:space="preserve">2003 </w:t>
      </w:r>
      <w:r w:rsidR="003A483E" w:rsidRPr="00511BC1">
        <w:rPr>
          <w:lang w:val="fr-CA" w:bidi="en-US"/>
        </w:rPr>
        <w:t>CSC</w:t>
      </w:r>
      <w:r w:rsidR="00CF6FF9" w:rsidRPr="00511BC1">
        <w:rPr>
          <w:lang w:val="fr-CA" w:bidi="en-US"/>
        </w:rPr>
        <w:t xml:space="preserve"> 62, [2003] 3 </w:t>
      </w:r>
      <w:r w:rsidR="00AE557A" w:rsidRPr="00511BC1">
        <w:rPr>
          <w:lang w:val="fr-CA" w:bidi="en-US"/>
        </w:rPr>
        <w:t>R.C.S.</w:t>
      </w:r>
      <w:r w:rsidR="00CF6FF9" w:rsidRPr="00511BC1">
        <w:rPr>
          <w:lang w:val="fr-CA" w:bidi="en-US"/>
        </w:rPr>
        <w:t xml:space="preserve"> 3; </w:t>
      </w:r>
      <w:r w:rsidR="007E399F" w:rsidRPr="00511BC1">
        <w:rPr>
          <w:i/>
          <w:lang w:val="fr-CA" w:bidi="en-US"/>
        </w:rPr>
        <w:t>Arsenault</w:t>
      </w:r>
      <w:r w:rsidR="00225C08">
        <w:rPr>
          <w:i/>
          <w:lang w:val="fr-CA" w:bidi="en-US"/>
        </w:rPr>
        <w:t>-</w:t>
      </w:r>
      <w:r w:rsidR="007E399F" w:rsidRPr="00511BC1">
        <w:rPr>
          <w:i/>
          <w:lang w:val="fr-CA" w:bidi="en-US"/>
        </w:rPr>
        <w:t>Cameron c</w:t>
      </w:r>
      <w:r w:rsidR="00A70FE1" w:rsidRPr="00511BC1">
        <w:rPr>
          <w:i/>
          <w:lang w:val="fr-CA" w:bidi="en-US"/>
        </w:rPr>
        <w:t xml:space="preserve">. </w:t>
      </w:r>
      <w:r w:rsidR="007E399F" w:rsidRPr="00511BC1">
        <w:rPr>
          <w:i/>
          <w:lang w:val="fr-CA" w:bidi="en-US"/>
        </w:rPr>
        <w:t>Île</w:t>
      </w:r>
      <w:r w:rsidR="00225C08">
        <w:rPr>
          <w:i/>
          <w:lang w:val="fr-CA" w:bidi="en-US"/>
        </w:rPr>
        <w:t>-</w:t>
      </w:r>
      <w:r w:rsidR="007E399F" w:rsidRPr="00511BC1">
        <w:rPr>
          <w:i/>
          <w:lang w:val="fr-CA" w:bidi="en-US"/>
        </w:rPr>
        <w:t>du</w:t>
      </w:r>
      <w:r w:rsidR="00225C08">
        <w:rPr>
          <w:i/>
          <w:lang w:val="fr-CA" w:bidi="en-US"/>
        </w:rPr>
        <w:t>-</w:t>
      </w:r>
      <w:r w:rsidR="007E399F" w:rsidRPr="00511BC1">
        <w:rPr>
          <w:i/>
          <w:lang w:val="fr-CA" w:bidi="en-US"/>
        </w:rPr>
        <w:t>Prince</w:t>
      </w:r>
      <w:r w:rsidR="00225C08">
        <w:rPr>
          <w:i/>
          <w:lang w:val="fr-CA" w:bidi="en-US"/>
        </w:rPr>
        <w:t>-</w:t>
      </w:r>
      <w:r w:rsidR="002606AF" w:rsidRPr="00511BC1">
        <w:rPr>
          <w:i/>
          <w:lang w:val="fr-CA" w:bidi="en-US"/>
        </w:rPr>
        <w:t>Édouard</w:t>
      </w:r>
      <w:r w:rsidR="00A70FE1" w:rsidRPr="00511BC1">
        <w:rPr>
          <w:lang w:val="fr-CA" w:bidi="en-US"/>
        </w:rPr>
        <w:t xml:space="preserve">, 2000 </w:t>
      </w:r>
      <w:r w:rsidR="002606AF" w:rsidRPr="00511BC1">
        <w:rPr>
          <w:lang w:val="fr-CA" w:bidi="en-US"/>
        </w:rPr>
        <w:t>CSC</w:t>
      </w:r>
      <w:r w:rsidR="00A70FE1" w:rsidRPr="00511BC1">
        <w:rPr>
          <w:lang w:val="fr-CA" w:bidi="en-US"/>
        </w:rPr>
        <w:t xml:space="preserve"> 1, [2000] 1 </w:t>
      </w:r>
      <w:r w:rsidR="002606AF" w:rsidRPr="00511BC1">
        <w:rPr>
          <w:lang w:val="fr-CA" w:bidi="en-US"/>
        </w:rPr>
        <w:t>R.C.S</w:t>
      </w:r>
      <w:r w:rsidR="00A70FE1" w:rsidRPr="00511BC1">
        <w:rPr>
          <w:lang w:val="fr-CA" w:bidi="en-US"/>
        </w:rPr>
        <w:t xml:space="preserve">. 3; </w:t>
      </w:r>
      <w:r w:rsidR="00EA0B78" w:rsidRPr="00511BC1">
        <w:rPr>
          <w:i/>
          <w:lang w:val="fr-CA" w:bidi="en-US"/>
        </w:rPr>
        <w:t xml:space="preserve">Renvoi relatif à la Loi sur les </w:t>
      </w:r>
      <w:r w:rsidR="00EA0B78" w:rsidRPr="00511BC1">
        <w:rPr>
          <w:i/>
          <w:lang w:val="fr-CA" w:bidi="en-US"/>
        </w:rPr>
        <w:lastRenderedPageBreak/>
        <w:t xml:space="preserve">écoles publiques (Man.), </w:t>
      </w:r>
      <w:r w:rsidR="00547189" w:rsidRPr="00511BC1">
        <w:rPr>
          <w:i/>
          <w:lang w:val="fr-CA" w:bidi="en-US"/>
        </w:rPr>
        <w:t>art.</w:t>
      </w:r>
      <w:r w:rsidR="00225C08">
        <w:rPr>
          <w:i/>
          <w:lang w:val="fr-CA" w:bidi="en-US"/>
        </w:rPr>
        <w:t xml:space="preserve"> </w:t>
      </w:r>
      <w:r w:rsidR="00EA0B78" w:rsidRPr="00511BC1">
        <w:rPr>
          <w:i/>
          <w:lang w:val="fr-CA" w:bidi="en-US"/>
        </w:rPr>
        <w:t>79(3), (4) et (7)</w:t>
      </w:r>
      <w:r w:rsidR="00A70FE1" w:rsidRPr="00511BC1">
        <w:rPr>
          <w:lang w:val="fr-CA" w:bidi="en-US"/>
        </w:rPr>
        <w:t xml:space="preserve">, [1993] 1 </w:t>
      </w:r>
      <w:r w:rsidR="00EA0B78" w:rsidRPr="00511BC1">
        <w:rPr>
          <w:lang w:val="fr-CA" w:bidi="en-US"/>
        </w:rPr>
        <w:t>R.C.S.</w:t>
      </w:r>
      <w:r w:rsidR="00A70FE1" w:rsidRPr="00511BC1">
        <w:rPr>
          <w:lang w:val="fr-CA" w:bidi="en-US"/>
        </w:rPr>
        <w:t xml:space="preserve"> 839; </w:t>
      </w:r>
      <w:r w:rsidR="00F6321A" w:rsidRPr="00511BC1">
        <w:rPr>
          <w:i/>
          <w:iCs/>
          <w:lang w:val="fr-CA" w:bidi="en-US"/>
        </w:rPr>
        <w:t>Multani c</w:t>
      </w:r>
      <w:r w:rsidR="00C33E4D" w:rsidRPr="00511BC1">
        <w:rPr>
          <w:i/>
          <w:iCs/>
          <w:lang w:val="fr-CA" w:bidi="en-US"/>
        </w:rPr>
        <w:t>. Commission scolaire Marguerite</w:t>
      </w:r>
      <w:r w:rsidR="00225C08">
        <w:rPr>
          <w:i/>
          <w:iCs/>
          <w:lang w:val="fr-CA" w:bidi="en-US"/>
        </w:rPr>
        <w:t>-</w:t>
      </w:r>
      <w:r w:rsidR="00C33E4D" w:rsidRPr="00511BC1">
        <w:rPr>
          <w:i/>
          <w:iCs/>
          <w:lang w:val="fr-CA" w:bidi="en-US"/>
        </w:rPr>
        <w:t>Bourgeoys</w:t>
      </w:r>
      <w:r w:rsidR="00C33E4D" w:rsidRPr="00511BC1">
        <w:rPr>
          <w:lang w:val="fr-CA" w:bidi="en-US"/>
        </w:rPr>
        <w:t xml:space="preserve">, 2006 </w:t>
      </w:r>
      <w:r w:rsidR="00F6321A" w:rsidRPr="00511BC1">
        <w:rPr>
          <w:lang w:val="fr-CA" w:bidi="en-US"/>
        </w:rPr>
        <w:t>CSC</w:t>
      </w:r>
      <w:r w:rsidR="00C33E4D" w:rsidRPr="00511BC1">
        <w:rPr>
          <w:lang w:val="fr-CA" w:bidi="en-US"/>
        </w:rPr>
        <w:t xml:space="preserve"> 6, [2006] 1 </w:t>
      </w:r>
      <w:r w:rsidR="00F6321A" w:rsidRPr="00511BC1">
        <w:rPr>
          <w:lang w:val="fr-CA" w:bidi="en-US"/>
        </w:rPr>
        <w:t>R.C.S</w:t>
      </w:r>
      <w:r w:rsidR="00721D75" w:rsidRPr="00511BC1">
        <w:rPr>
          <w:lang w:val="fr-CA" w:bidi="en-US"/>
        </w:rPr>
        <w:t>. 256</w:t>
      </w:r>
      <w:r w:rsidR="00C33E4D" w:rsidRPr="00511BC1">
        <w:rPr>
          <w:lang w:val="fr-CA" w:bidi="en-US"/>
        </w:rPr>
        <w:t xml:space="preserve">; </w:t>
      </w:r>
      <w:r w:rsidR="00092B73" w:rsidRPr="00511BC1">
        <w:rPr>
          <w:i/>
          <w:lang w:val="fr-CA" w:bidi="en-US"/>
        </w:rPr>
        <w:t>Solski (Tuteur de) c</w:t>
      </w:r>
      <w:r w:rsidR="00BC1674" w:rsidRPr="00511BC1">
        <w:rPr>
          <w:i/>
          <w:lang w:val="fr-CA" w:bidi="en-US"/>
        </w:rPr>
        <w:t xml:space="preserve">. </w:t>
      </w:r>
      <w:r w:rsidR="00092B73" w:rsidRPr="00511BC1">
        <w:rPr>
          <w:i/>
          <w:lang w:val="fr-CA" w:bidi="en-US"/>
        </w:rPr>
        <w:t>Québec</w:t>
      </w:r>
      <w:r w:rsidR="00BC1674" w:rsidRPr="00511BC1">
        <w:rPr>
          <w:i/>
          <w:lang w:val="fr-CA" w:bidi="en-US"/>
        </w:rPr>
        <w:t xml:space="preserve"> (</w:t>
      </w:r>
      <w:r w:rsidR="00092B73" w:rsidRPr="00511BC1">
        <w:rPr>
          <w:i/>
          <w:lang w:val="fr-CA" w:bidi="en-US"/>
        </w:rPr>
        <w:t>Procureur général</w:t>
      </w:r>
      <w:r w:rsidR="00BC1674" w:rsidRPr="00511BC1">
        <w:rPr>
          <w:i/>
          <w:lang w:val="fr-CA" w:bidi="en-US"/>
        </w:rPr>
        <w:t>)</w:t>
      </w:r>
      <w:r w:rsidR="00BC1674" w:rsidRPr="00511BC1">
        <w:rPr>
          <w:lang w:val="fr-CA" w:bidi="en-US"/>
        </w:rPr>
        <w:t xml:space="preserve">, 2005 </w:t>
      </w:r>
      <w:r w:rsidR="00092B73" w:rsidRPr="00511BC1">
        <w:rPr>
          <w:lang w:val="fr-CA" w:bidi="en-US"/>
        </w:rPr>
        <w:t>CSC</w:t>
      </w:r>
      <w:r w:rsidR="00BC1674" w:rsidRPr="00511BC1">
        <w:rPr>
          <w:lang w:val="fr-CA" w:bidi="en-US"/>
        </w:rPr>
        <w:t xml:space="preserve"> 14, [2005] 1 </w:t>
      </w:r>
      <w:r w:rsidR="00092B73" w:rsidRPr="00511BC1">
        <w:rPr>
          <w:lang w:val="fr-CA" w:bidi="en-US"/>
        </w:rPr>
        <w:t>R.C.S</w:t>
      </w:r>
      <w:r w:rsidR="00BC1674" w:rsidRPr="00511BC1">
        <w:rPr>
          <w:lang w:val="fr-CA" w:bidi="en-US"/>
        </w:rPr>
        <w:t xml:space="preserve">. 201; </w:t>
      </w:r>
      <w:r w:rsidR="00427F09" w:rsidRPr="00511BC1">
        <w:rPr>
          <w:i/>
          <w:lang w:val="fr-CA" w:bidi="en-US"/>
        </w:rPr>
        <w:t>Hryniak c</w:t>
      </w:r>
      <w:r w:rsidR="007F4E8D" w:rsidRPr="00511BC1">
        <w:rPr>
          <w:i/>
          <w:lang w:val="fr-CA" w:bidi="en-US"/>
        </w:rPr>
        <w:t>. Mauldin</w:t>
      </w:r>
      <w:r w:rsidR="007F4E8D" w:rsidRPr="00511BC1">
        <w:rPr>
          <w:lang w:val="fr-CA" w:bidi="en-US"/>
        </w:rPr>
        <w:t xml:space="preserve">, 2014 </w:t>
      </w:r>
      <w:r w:rsidR="00427F09" w:rsidRPr="00511BC1">
        <w:rPr>
          <w:lang w:val="fr-CA" w:bidi="en-US"/>
        </w:rPr>
        <w:t>CSC</w:t>
      </w:r>
      <w:r w:rsidR="007F4E8D" w:rsidRPr="00511BC1">
        <w:rPr>
          <w:lang w:val="fr-CA" w:bidi="en-US"/>
        </w:rPr>
        <w:t xml:space="preserve"> 7, [2014] </w:t>
      </w:r>
      <w:r w:rsidR="00427F09" w:rsidRPr="00511BC1">
        <w:rPr>
          <w:lang w:val="fr-CA" w:bidi="en-US"/>
        </w:rPr>
        <w:t>1 R.C.S</w:t>
      </w:r>
      <w:r w:rsidR="007F4E8D" w:rsidRPr="00511BC1">
        <w:rPr>
          <w:lang w:val="fr-CA" w:bidi="en-US"/>
        </w:rPr>
        <w:t xml:space="preserve">. 87; </w:t>
      </w:r>
      <w:r w:rsidR="00107FE1" w:rsidRPr="00511BC1">
        <w:rPr>
          <w:i/>
          <w:iCs/>
          <w:lang w:val="fr-CA" w:bidi="en-US"/>
        </w:rPr>
        <w:t>Hamilton c</w:t>
      </w:r>
      <w:r w:rsidR="00997EAF" w:rsidRPr="00511BC1">
        <w:rPr>
          <w:i/>
          <w:iCs/>
          <w:lang w:val="fr-CA" w:bidi="en-US"/>
        </w:rPr>
        <w:t>. Open Window Bakery Ltd.</w:t>
      </w:r>
      <w:r w:rsidR="00997EAF" w:rsidRPr="00511BC1">
        <w:rPr>
          <w:iCs/>
          <w:lang w:val="fr-CA" w:bidi="en-US"/>
        </w:rPr>
        <w:t xml:space="preserve">, 2004 </w:t>
      </w:r>
      <w:r w:rsidR="00107FE1" w:rsidRPr="00511BC1">
        <w:rPr>
          <w:iCs/>
          <w:lang w:val="fr-CA" w:bidi="en-US"/>
        </w:rPr>
        <w:t>CSC</w:t>
      </w:r>
      <w:r w:rsidR="00997EAF" w:rsidRPr="00511BC1">
        <w:rPr>
          <w:iCs/>
          <w:lang w:val="fr-CA" w:bidi="en-US"/>
        </w:rPr>
        <w:t xml:space="preserve"> 9</w:t>
      </w:r>
      <w:r w:rsidR="00107FE1" w:rsidRPr="00511BC1">
        <w:rPr>
          <w:iCs/>
          <w:lang w:val="fr-CA" w:bidi="en-US"/>
        </w:rPr>
        <w:t>, [2004] 1 R.C.S. 303</w:t>
      </w:r>
      <w:r w:rsidR="00997EAF" w:rsidRPr="00511BC1">
        <w:rPr>
          <w:iCs/>
          <w:lang w:val="fr-CA" w:bidi="en-US"/>
        </w:rPr>
        <w:t xml:space="preserve">; </w:t>
      </w:r>
      <w:r w:rsidR="0019643C" w:rsidRPr="00511BC1">
        <w:rPr>
          <w:i/>
          <w:iCs/>
          <w:lang w:val="fr-CA" w:bidi="en-US"/>
        </w:rPr>
        <w:t>Colombie</w:t>
      </w:r>
      <w:r w:rsidR="00225C08">
        <w:rPr>
          <w:i/>
          <w:iCs/>
          <w:lang w:val="fr-CA" w:bidi="en-US"/>
        </w:rPr>
        <w:t>-</w:t>
      </w:r>
      <w:r w:rsidR="0019643C" w:rsidRPr="00511BC1">
        <w:rPr>
          <w:i/>
          <w:iCs/>
          <w:lang w:val="fr-CA" w:bidi="en-US"/>
        </w:rPr>
        <w:t>Britannique</w:t>
      </w:r>
      <w:r w:rsidR="008B0F22" w:rsidRPr="00511BC1">
        <w:rPr>
          <w:i/>
          <w:iCs/>
          <w:lang w:val="fr-CA" w:bidi="en-US"/>
        </w:rPr>
        <w:t xml:space="preserve"> (Ministre des Forêts) c. Bande indienne Okanagan</w:t>
      </w:r>
      <w:r w:rsidR="00B73237" w:rsidRPr="00511BC1">
        <w:rPr>
          <w:iCs/>
          <w:lang w:val="fr-CA" w:bidi="en-US"/>
        </w:rPr>
        <w:t xml:space="preserve">, 2003 </w:t>
      </w:r>
      <w:r w:rsidR="008B0F22" w:rsidRPr="00511BC1">
        <w:rPr>
          <w:iCs/>
          <w:lang w:val="fr-CA" w:bidi="en-US"/>
        </w:rPr>
        <w:t>CSC</w:t>
      </w:r>
      <w:r w:rsidR="00B73237" w:rsidRPr="00511BC1">
        <w:rPr>
          <w:iCs/>
          <w:lang w:val="fr-CA" w:bidi="en-US"/>
        </w:rPr>
        <w:t xml:space="preserve"> 71, [2003] </w:t>
      </w:r>
      <w:r w:rsidR="008B0F22" w:rsidRPr="00511BC1">
        <w:rPr>
          <w:iCs/>
          <w:lang w:val="fr-CA" w:bidi="en-US"/>
        </w:rPr>
        <w:t>3 R.C.S</w:t>
      </w:r>
      <w:r w:rsidR="00B73237" w:rsidRPr="00511BC1">
        <w:rPr>
          <w:iCs/>
          <w:lang w:val="fr-CA" w:bidi="en-US"/>
        </w:rPr>
        <w:t xml:space="preserve">. 371; </w:t>
      </w:r>
      <w:r w:rsidR="000C0737" w:rsidRPr="00511BC1">
        <w:rPr>
          <w:i/>
          <w:iCs/>
          <w:lang w:val="fr-CA" w:bidi="en-US"/>
        </w:rPr>
        <w:t>Victoria (City) c</w:t>
      </w:r>
      <w:r w:rsidR="00A84709" w:rsidRPr="00511BC1">
        <w:rPr>
          <w:i/>
          <w:iCs/>
          <w:lang w:val="fr-CA" w:bidi="en-US"/>
        </w:rPr>
        <w:t>. Adams</w:t>
      </w:r>
      <w:r w:rsidR="00A84709" w:rsidRPr="00511BC1">
        <w:rPr>
          <w:iCs/>
          <w:lang w:val="fr-CA" w:bidi="en-US"/>
        </w:rPr>
        <w:t xml:space="preserve">, 2009 BCCA 563, 100 B.C.L.R. (4th) 28; </w:t>
      </w:r>
      <w:r w:rsidR="001321F3" w:rsidRPr="00511BC1">
        <w:rPr>
          <w:i/>
          <w:iCs/>
          <w:lang w:val="fr-CA" w:bidi="en-US"/>
        </w:rPr>
        <w:t>Arsenault</w:t>
      </w:r>
      <w:r w:rsidR="00225C08">
        <w:rPr>
          <w:i/>
          <w:iCs/>
          <w:lang w:val="fr-CA" w:bidi="en-US"/>
        </w:rPr>
        <w:t>-</w:t>
      </w:r>
      <w:r w:rsidR="001321F3" w:rsidRPr="00511BC1">
        <w:rPr>
          <w:i/>
          <w:iCs/>
          <w:lang w:val="fr-CA" w:bidi="en-US"/>
        </w:rPr>
        <w:t>Cameron c</w:t>
      </w:r>
      <w:r w:rsidR="00A10B97" w:rsidRPr="00511BC1">
        <w:rPr>
          <w:i/>
          <w:iCs/>
          <w:lang w:val="fr-CA" w:bidi="en-US"/>
        </w:rPr>
        <w:t>. Prince Edward Island</w:t>
      </w:r>
      <w:r w:rsidR="001F3621" w:rsidRPr="00511BC1">
        <w:rPr>
          <w:i/>
          <w:iCs/>
          <w:lang w:val="fr-CA" w:bidi="en-US"/>
        </w:rPr>
        <w:t xml:space="preserve"> </w:t>
      </w:r>
      <w:r w:rsidR="001F3621" w:rsidRPr="00511BC1">
        <w:rPr>
          <w:iCs/>
          <w:lang w:val="fr-CA" w:bidi="en-US"/>
        </w:rPr>
        <w:t>(1997), 149</w:t>
      </w:r>
      <w:r w:rsidR="00A10B97" w:rsidRPr="00511BC1">
        <w:rPr>
          <w:iCs/>
          <w:lang w:val="fr-CA" w:bidi="en-US"/>
        </w:rPr>
        <w:t xml:space="preserve"> Nfld. </w:t>
      </w:r>
      <w:r w:rsidR="001F3621" w:rsidRPr="00511BC1">
        <w:rPr>
          <w:iCs/>
          <w:lang w:val="en-US" w:bidi="en-US"/>
        </w:rPr>
        <w:t>&amp; P.E.I.R. 96</w:t>
      </w:r>
      <w:r w:rsidR="00A10B97" w:rsidRPr="00511BC1">
        <w:rPr>
          <w:iCs/>
          <w:lang w:val="en-US" w:bidi="en-US"/>
        </w:rPr>
        <w:t xml:space="preserve">; </w:t>
      </w:r>
      <w:r w:rsidR="007002E0" w:rsidRPr="00511BC1">
        <w:rPr>
          <w:i/>
          <w:iCs/>
          <w:lang w:val="en-US" w:bidi="en-US"/>
        </w:rPr>
        <w:t>Marchand c</w:t>
      </w:r>
      <w:r w:rsidR="00A10B97" w:rsidRPr="00511BC1">
        <w:rPr>
          <w:i/>
          <w:iCs/>
          <w:lang w:val="en-US" w:bidi="en-US"/>
        </w:rPr>
        <w:t>. Simcoe County Board of Education</w:t>
      </w:r>
      <w:r w:rsidR="00A10B97" w:rsidRPr="00511BC1">
        <w:rPr>
          <w:iCs/>
          <w:lang w:val="en-US" w:bidi="en-US"/>
        </w:rPr>
        <w:t xml:space="preserve"> (1986), 12 C.P.C. (2d) 140</w:t>
      </w:r>
      <w:r w:rsidR="002C5EF0" w:rsidRPr="00511BC1">
        <w:rPr>
          <w:iCs/>
          <w:lang w:val="en-US" w:bidi="en-US"/>
        </w:rPr>
        <w:t>.</w:t>
      </w:r>
    </w:p>
    <w:p w:rsidR="004D7D95" w:rsidRPr="00511BC1" w:rsidRDefault="004D7D95" w:rsidP="004B15C3">
      <w:pPr>
        <w:pStyle w:val="SCCNormalDoubleSpacing"/>
        <w:widowControl w:val="0"/>
        <w:spacing w:after="720" w:line="240" w:lineRule="auto"/>
        <w:outlineLvl w:val="0"/>
        <w:rPr>
          <w:b/>
          <w:lang w:val="fr-CA"/>
        </w:rPr>
      </w:pPr>
      <w:r w:rsidRPr="00511BC1">
        <w:rPr>
          <w:b/>
          <w:lang w:val="fr-CA"/>
        </w:rPr>
        <w:t>Lois et règlements cités</w:t>
      </w:r>
    </w:p>
    <w:p w:rsidR="00066F2C" w:rsidRPr="00511BC1" w:rsidRDefault="00066F2C" w:rsidP="004B15C3">
      <w:pPr>
        <w:pStyle w:val="SCCNormalDoubleSpacing"/>
        <w:widowControl w:val="0"/>
        <w:spacing w:after="720" w:line="240" w:lineRule="auto"/>
        <w:outlineLvl w:val="0"/>
        <w:rPr>
          <w:lang w:val="fr-CA"/>
        </w:rPr>
      </w:pPr>
      <w:r w:rsidRPr="00511BC1">
        <w:rPr>
          <w:i/>
          <w:lang w:val="fr-CA"/>
        </w:rPr>
        <w:t>Charte canadienne des droits et libertés</w:t>
      </w:r>
      <w:r w:rsidRPr="00511BC1">
        <w:rPr>
          <w:lang w:val="fr-CA"/>
        </w:rPr>
        <w:t xml:space="preserve">, </w:t>
      </w:r>
      <w:r w:rsidR="00547189" w:rsidRPr="00511BC1">
        <w:rPr>
          <w:lang w:val="fr-CA"/>
        </w:rPr>
        <w:t>art.</w:t>
      </w:r>
      <w:r w:rsidR="00225C08">
        <w:rPr>
          <w:lang w:val="fr-CA"/>
        </w:rPr>
        <w:t xml:space="preserve"> </w:t>
      </w:r>
      <w:r w:rsidR="0076349C" w:rsidRPr="00511BC1">
        <w:rPr>
          <w:lang w:val="fr-CA"/>
        </w:rPr>
        <w:t xml:space="preserve">1, </w:t>
      </w:r>
      <w:r w:rsidRPr="00511BC1">
        <w:rPr>
          <w:lang w:val="fr-CA"/>
        </w:rPr>
        <w:t>23</w:t>
      </w:r>
      <w:r w:rsidR="005558B3" w:rsidRPr="00511BC1">
        <w:rPr>
          <w:lang w:val="fr-CA"/>
        </w:rPr>
        <w:t>, 24(1)</w:t>
      </w:r>
      <w:r w:rsidRPr="00511BC1">
        <w:rPr>
          <w:lang w:val="fr-CA"/>
        </w:rPr>
        <w:t>.</w:t>
      </w:r>
    </w:p>
    <w:p w:rsidR="004D7D95" w:rsidRPr="00511BC1" w:rsidRDefault="004D7D95" w:rsidP="004B15C3">
      <w:pPr>
        <w:pStyle w:val="SCCNormalDoubleSpacing"/>
        <w:widowControl w:val="0"/>
        <w:spacing w:after="720" w:line="240" w:lineRule="auto"/>
        <w:outlineLvl w:val="0"/>
        <w:rPr>
          <w:b/>
          <w:lang w:val="fr-CA"/>
        </w:rPr>
      </w:pPr>
      <w:r w:rsidRPr="00511BC1">
        <w:rPr>
          <w:b/>
          <w:lang w:val="fr-CA"/>
        </w:rPr>
        <w:t>Doctrine et autres documents cités</w:t>
      </w:r>
    </w:p>
    <w:p w:rsidR="00D81E91" w:rsidRPr="00511BC1" w:rsidRDefault="00D81E91" w:rsidP="004B15C3">
      <w:pPr>
        <w:pStyle w:val="SCCNormalDoubleSpacing"/>
        <w:widowControl w:val="0"/>
        <w:spacing w:after="240" w:line="240" w:lineRule="auto"/>
        <w:ind w:left="1166" w:hanging="1166"/>
        <w:rPr>
          <w:lang w:val="fr-CA" w:bidi="en-US"/>
        </w:rPr>
      </w:pPr>
      <w:r w:rsidRPr="00511BC1">
        <w:rPr>
          <w:lang w:val="fr-CA" w:bidi="en-US"/>
        </w:rPr>
        <w:t xml:space="preserve">Bastarache, Michel. </w:t>
      </w:r>
      <w:r w:rsidR="00225C08">
        <w:rPr>
          <w:lang w:val="fr-CA" w:bidi="en-US"/>
        </w:rPr>
        <w:t>« </w:t>
      </w:r>
      <w:r w:rsidRPr="00511BC1">
        <w:rPr>
          <w:lang w:val="fr-CA" w:bidi="en-US"/>
        </w:rPr>
        <w:t>Les droits scolaires des minorités linguistiques provinciales</w:t>
      </w:r>
      <w:r w:rsidR="00225C08">
        <w:rPr>
          <w:lang w:val="fr-CA" w:bidi="en-US"/>
        </w:rPr>
        <w:t> :</w:t>
      </w:r>
      <w:r w:rsidR="0089455C" w:rsidRPr="00511BC1">
        <w:rPr>
          <w:lang w:val="fr-CA" w:bidi="en-US"/>
        </w:rPr>
        <w:t xml:space="preserve"> l’article</w:t>
      </w:r>
      <w:r w:rsidR="00225C08">
        <w:rPr>
          <w:lang w:val="fr-CA" w:bidi="en-US"/>
        </w:rPr>
        <w:t xml:space="preserve"> </w:t>
      </w:r>
      <w:r w:rsidRPr="00511BC1">
        <w:rPr>
          <w:lang w:val="fr-CA" w:bidi="en-US"/>
        </w:rPr>
        <w:t>23 de la Charte canadienne des droits et libertés</w:t>
      </w:r>
      <w:r w:rsidR="00225C08">
        <w:rPr>
          <w:lang w:val="fr-CA" w:bidi="en-US"/>
        </w:rPr>
        <w:t> »</w:t>
      </w:r>
      <w:r w:rsidRPr="00511BC1">
        <w:rPr>
          <w:lang w:val="fr-CA" w:bidi="en-US"/>
        </w:rPr>
        <w:t>, dans G.</w:t>
      </w:r>
      <w:r w:rsidR="00225C08">
        <w:rPr>
          <w:lang w:val="fr-CA" w:bidi="en-US"/>
        </w:rPr>
        <w:t>-</w:t>
      </w:r>
      <w:r w:rsidR="0089455C" w:rsidRPr="00511BC1">
        <w:rPr>
          <w:lang w:val="fr-CA" w:bidi="en-US"/>
        </w:rPr>
        <w:t>A.</w:t>
      </w:r>
      <w:r w:rsidR="00225C08">
        <w:rPr>
          <w:lang w:val="fr-CA" w:bidi="en-US"/>
        </w:rPr>
        <w:t xml:space="preserve"> </w:t>
      </w:r>
      <w:r w:rsidRPr="00511BC1">
        <w:rPr>
          <w:lang w:val="fr-CA" w:bidi="en-US"/>
        </w:rPr>
        <w:t xml:space="preserve">Beaudoin </w:t>
      </w:r>
      <w:r w:rsidR="0089455C" w:rsidRPr="00511BC1">
        <w:rPr>
          <w:lang w:val="fr-CA" w:bidi="en-US"/>
        </w:rPr>
        <w:t>et E.</w:t>
      </w:r>
      <w:r w:rsidR="00225C08">
        <w:rPr>
          <w:lang w:val="fr-CA" w:bidi="en-US"/>
        </w:rPr>
        <w:t xml:space="preserve"> </w:t>
      </w:r>
      <w:r w:rsidRPr="00511BC1">
        <w:rPr>
          <w:lang w:val="fr-CA" w:bidi="en-US"/>
        </w:rPr>
        <w:t xml:space="preserve">Ratushny, dir., </w:t>
      </w:r>
      <w:r w:rsidRPr="00511BC1">
        <w:rPr>
          <w:i/>
          <w:lang w:val="fr-CA" w:bidi="en-US"/>
        </w:rPr>
        <w:t>Charte canadienne des droits et libertés</w:t>
      </w:r>
      <w:r w:rsidRPr="00511BC1">
        <w:rPr>
          <w:lang w:val="fr-CA" w:bidi="en-US"/>
        </w:rPr>
        <w:t>, 2</w:t>
      </w:r>
      <w:r w:rsidRPr="00511BC1">
        <w:rPr>
          <w:vertAlign w:val="superscript"/>
          <w:lang w:val="fr-CA" w:bidi="en-US"/>
        </w:rPr>
        <w:t>e</w:t>
      </w:r>
      <w:r w:rsidRPr="00511BC1">
        <w:rPr>
          <w:lang w:val="fr-CA" w:bidi="en-US"/>
        </w:rPr>
        <w:t xml:space="preserve"> éd., Montréal, Wilso</w:t>
      </w:r>
      <w:r w:rsidR="002348BE">
        <w:rPr>
          <w:lang w:val="fr-CA" w:bidi="en-US"/>
        </w:rPr>
        <w:t>n &amp; Lafleur, 1989, 757</w:t>
      </w:r>
      <w:r w:rsidRPr="00511BC1">
        <w:rPr>
          <w:lang w:val="fr-CA" w:bidi="en-US"/>
        </w:rPr>
        <w:t xml:space="preserve">. </w:t>
      </w:r>
    </w:p>
    <w:p w:rsidR="00D81E91" w:rsidRPr="00511BC1" w:rsidRDefault="00D81E91" w:rsidP="004B15C3">
      <w:pPr>
        <w:pStyle w:val="SCCNormalDoubleSpacing"/>
        <w:widowControl w:val="0"/>
        <w:spacing w:after="240" w:line="240" w:lineRule="auto"/>
        <w:ind w:left="1166" w:hanging="1166"/>
        <w:rPr>
          <w:lang w:val="fr-CA"/>
        </w:rPr>
      </w:pPr>
      <w:r w:rsidRPr="00511BC1">
        <w:rPr>
          <w:lang w:val="fr-CA"/>
        </w:rPr>
        <w:t xml:space="preserve">Canada. Commission royale d’enquête sur le bilinguisme et le biculturalisme. </w:t>
      </w:r>
      <w:r w:rsidRPr="00511BC1">
        <w:rPr>
          <w:i/>
          <w:lang w:val="fr-CA"/>
        </w:rPr>
        <w:t>Rapport de la Commission royale d’enquête sur le bilinguisme et le biculturalisme</w:t>
      </w:r>
      <w:r w:rsidRPr="00511BC1">
        <w:rPr>
          <w:lang w:val="fr-CA"/>
        </w:rPr>
        <w:t>, Livre</w:t>
      </w:r>
      <w:r w:rsidR="00225C08">
        <w:rPr>
          <w:lang w:val="fr-CA"/>
        </w:rPr>
        <w:t xml:space="preserve"> </w:t>
      </w:r>
      <w:r w:rsidR="00F735D2" w:rsidRPr="00511BC1">
        <w:rPr>
          <w:lang w:val="fr-CA"/>
        </w:rPr>
        <w:t>II</w:t>
      </w:r>
      <w:r w:rsidRPr="00511BC1">
        <w:rPr>
          <w:lang w:val="fr-CA"/>
        </w:rPr>
        <w:t xml:space="preserve">, </w:t>
      </w:r>
      <w:r w:rsidRPr="00511BC1">
        <w:rPr>
          <w:i/>
          <w:lang w:val="fr-CA"/>
        </w:rPr>
        <w:t>L’éducation</w:t>
      </w:r>
      <w:r w:rsidRPr="00511BC1">
        <w:rPr>
          <w:lang w:val="fr-CA"/>
        </w:rPr>
        <w:t>, Ottawa, Imprimeur de la Reine, 1968.</w:t>
      </w:r>
    </w:p>
    <w:p w:rsidR="00D81E91" w:rsidRPr="00511BC1" w:rsidRDefault="00D81E91" w:rsidP="004B15C3">
      <w:pPr>
        <w:pStyle w:val="SCCNormalDoubleSpacing"/>
        <w:widowControl w:val="0"/>
        <w:spacing w:after="240" w:line="240" w:lineRule="auto"/>
        <w:ind w:left="1166" w:hanging="1166"/>
        <w:rPr>
          <w:lang w:val="fr-CA" w:bidi="en-US"/>
        </w:rPr>
      </w:pPr>
      <w:r w:rsidRPr="00511BC1">
        <w:rPr>
          <w:lang w:val="fr-CA" w:bidi="en-US"/>
        </w:rPr>
        <w:t xml:space="preserve">Doucet, Michel. </w:t>
      </w:r>
      <w:r w:rsidR="00225C08">
        <w:rPr>
          <w:lang w:val="fr-CA" w:bidi="en-US"/>
        </w:rPr>
        <w:t>« </w:t>
      </w:r>
      <w:r w:rsidR="0089455C" w:rsidRPr="00511BC1">
        <w:rPr>
          <w:lang w:val="fr-CA" w:bidi="en-US"/>
        </w:rPr>
        <w:t>L’article</w:t>
      </w:r>
      <w:r w:rsidR="00225C08">
        <w:rPr>
          <w:lang w:val="fr-CA" w:bidi="en-US"/>
        </w:rPr>
        <w:t xml:space="preserve"> </w:t>
      </w:r>
      <w:r w:rsidRPr="00511BC1">
        <w:rPr>
          <w:lang w:val="fr-CA" w:bidi="en-US"/>
        </w:rPr>
        <w:t xml:space="preserve">23 de la </w:t>
      </w:r>
      <w:r w:rsidRPr="00511BC1">
        <w:rPr>
          <w:i/>
          <w:lang w:val="fr-CA" w:bidi="en-US"/>
        </w:rPr>
        <w:t>Charte canadienne des droits et libertés</w:t>
      </w:r>
      <w:r w:rsidR="00225C08">
        <w:rPr>
          <w:lang w:val="fr-CA" w:bidi="en-US"/>
        </w:rPr>
        <w:t> »</w:t>
      </w:r>
      <w:r w:rsidRPr="00511BC1">
        <w:rPr>
          <w:lang w:val="fr-CA" w:bidi="en-US"/>
        </w:rPr>
        <w:t xml:space="preserve"> (2013), 62 </w:t>
      </w:r>
      <w:r w:rsidRPr="00511BC1">
        <w:rPr>
          <w:i/>
          <w:lang w:val="fr-CA" w:bidi="en-US"/>
        </w:rPr>
        <w:t>S.C.L.R.</w:t>
      </w:r>
      <w:r w:rsidRPr="00511BC1">
        <w:rPr>
          <w:lang w:val="fr-CA" w:bidi="en-US"/>
        </w:rPr>
        <w:t xml:space="preserve"> (2d) 421.</w:t>
      </w:r>
    </w:p>
    <w:p w:rsidR="00AE1182" w:rsidRPr="00511BC1" w:rsidRDefault="00D81E91" w:rsidP="004B15C3">
      <w:pPr>
        <w:pStyle w:val="SCCNormalDoubleSpacing"/>
        <w:widowControl w:val="0"/>
        <w:spacing w:after="240" w:line="240" w:lineRule="auto"/>
        <w:ind w:left="1166" w:hanging="1166"/>
        <w:rPr>
          <w:lang w:val="en-US" w:bidi="en-US"/>
        </w:rPr>
      </w:pPr>
      <w:r w:rsidRPr="00511BC1">
        <w:rPr>
          <w:lang w:val="en-US" w:bidi="en-US"/>
        </w:rPr>
        <w:t>Hogg,</w:t>
      </w:r>
      <w:r w:rsidR="0089455C" w:rsidRPr="00511BC1">
        <w:rPr>
          <w:lang w:val="en-US" w:bidi="en-US"/>
        </w:rPr>
        <w:t xml:space="preserve"> Peter</w:t>
      </w:r>
      <w:r w:rsidR="00225C08">
        <w:rPr>
          <w:lang w:val="en-US" w:bidi="en-US"/>
        </w:rPr>
        <w:t xml:space="preserve"> </w:t>
      </w:r>
      <w:r w:rsidRPr="00511BC1">
        <w:rPr>
          <w:lang w:val="en-US" w:bidi="en-US"/>
        </w:rPr>
        <w:t xml:space="preserve">W. </w:t>
      </w:r>
      <w:r w:rsidRPr="00511BC1">
        <w:rPr>
          <w:i/>
          <w:lang w:val="en-US" w:bidi="en-US"/>
        </w:rPr>
        <w:t>Constitutional Law of Canada</w:t>
      </w:r>
      <w:r w:rsidRPr="00511BC1">
        <w:rPr>
          <w:lang w:val="en-US" w:bidi="en-US"/>
        </w:rPr>
        <w:t>, 5th ed. Supp., Toronto, Thomson/Carswell, 2007 (updated 2014, release</w:t>
      </w:r>
      <w:r w:rsidR="00225C08">
        <w:rPr>
          <w:lang w:val="en-US" w:bidi="en-US"/>
        </w:rPr>
        <w:t xml:space="preserve"> </w:t>
      </w:r>
      <w:r w:rsidRPr="00511BC1">
        <w:rPr>
          <w:lang w:val="en-US" w:bidi="en-US"/>
        </w:rPr>
        <w:t xml:space="preserve">1). </w:t>
      </w:r>
    </w:p>
    <w:p w:rsidR="00AE1182" w:rsidRPr="00511BC1" w:rsidRDefault="00AE1182" w:rsidP="004B15C3">
      <w:pPr>
        <w:pStyle w:val="SCCNormalDoubleSpacing"/>
        <w:widowControl w:val="0"/>
        <w:spacing w:after="240" w:line="240" w:lineRule="auto"/>
        <w:ind w:left="1166" w:hanging="1166"/>
        <w:rPr>
          <w:lang w:val="fr-CA" w:bidi="en-US"/>
        </w:rPr>
      </w:pPr>
      <w:r w:rsidRPr="00511BC1">
        <w:rPr>
          <w:lang w:val="fr-CA" w:bidi="en-US"/>
        </w:rPr>
        <w:lastRenderedPageBreak/>
        <w:t xml:space="preserve">Landry, Rodrigue, et Réal Allard. </w:t>
      </w:r>
      <w:r w:rsidR="00225C08">
        <w:rPr>
          <w:lang w:val="fr-CA" w:bidi="en-US"/>
        </w:rPr>
        <w:t>« </w:t>
      </w:r>
      <w:r w:rsidRPr="00511BC1">
        <w:rPr>
          <w:lang w:val="fr-CA" w:bidi="en-US"/>
        </w:rPr>
        <w:t>L’exogamie et le maintien de deux langues</w:t>
      </w:r>
      <w:r w:rsidR="006945C4" w:rsidRPr="00511BC1">
        <w:rPr>
          <w:lang w:val="fr-CA" w:bidi="en-US"/>
        </w:rPr>
        <w:t xml:space="preserve"> et de deux cultures</w:t>
      </w:r>
      <w:r w:rsidR="00225C08">
        <w:rPr>
          <w:lang w:val="fr-CA" w:bidi="en-US"/>
        </w:rPr>
        <w:t> :</w:t>
      </w:r>
      <w:r w:rsidR="006945C4" w:rsidRPr="00511BC1">
        <w:rPr>
          <w:lang w:val="fr-CA" w:bidi="en-US"/>
        </w:rPr>
        <w:t xml:space="preserve"> le rôle de la francité familioscolaire</w:t>
      </w:r>
      <w:r w:rsidR="00225C08">
        <w:rPr>
          <w:lang w:val="fr-CA" w:bidi="en-US"/>
        </w:rPr>
        <w:t> »</w:t>
      </w:r>
      <w:r w:rsidR="005224A5" w:rsidRPr="00511BC1">
        <w:rPr>
          <w:lang w:val="fr-CA" w:bidi="en-US"/>
        </w:rPr>
        <w:t xml:space="preserve"> (1997)</w:t>
      </w:r>
      <w:r w:rsidR="006945C4" w:rsidRPr="00511BC1">
        <w:rPr>
          <w:lang w:val="fr-CA" w:bidi="en-US"/>
        </w:rPr>
        <w:t xml:space="preserve">, 23 </w:t>
      </w:r>
      <w:r w:rsidR="006945C4" w:rsidRPr="00511BC1">
        <w:rPr>
          <w:i/>
          <w:lang w:val="fr-CA" w:bidi="en-US"/>
        </w:rPr>
        <w:t xml:space="preserve">Revue des sciences de l’éducation </w:t>
      </w:r>
      <w:r w:rsidR="005224A5" w:rsidRPr="00511BC1">
        <w:rPr>
          <w:lang w:val="fr-CA" w:bidi="en-US"/>
        </w:rPr>
        <w:t xml:space="preserve">561. </w:t>
      </w:r>
    </w:p>
    <w:p w:rsidR="00D81E91" w:rsidRPr="00511BC1" w:rsidRDefault="00D81E91" w:rsidP="004B15C3">
      <w:pPr>
        <w:pStyle w:val="SCCNormalDoubleSpacing"/>
        <w:widowControl w:val="0"/>
        <w:spacing w:after="720" w:line="240" w:lineRule="auto"/>
        <w:ind w:left="1166" w:hanging="1166"/>
        <w:rPr>
          <w:lang w:val="fr-CA" w:bidi="en-US"/>
        </w:rPr>
      </w:pPr>
      <w:r w:rsidRPr="00511BC1">
        <w:rPr>
          <w:lang w:val="fr-CA" w:bidi="en-US"/>
        </w:rPr>
        <w:t xml:space="preserve">Power, Mark, et Pierre Foucher. </w:t>
      </w:r>
      <w:r w:rsidR="00225C08">
        <w:rPr>
          <w:lang w:val="fr-CA" w:bidi="en-US"/>
        </w:rPr>
        <w:t>« </w:t>
      </w:r>
      <w:r w:rsidRPr="00511BC1">
        <w:rPr>
          <w:lang w:val="fr-CA" w:bidi="en-US"/>
        </w:rPr>
        <w:t>Language Rights and Education</w:t>
      </w:r>
      <w:r w:rsidR="00225C08">
        <w:rPr>
          <w:lang w:val="fr-CA" w:bidi="en-US"/>
        </w:rPr>
        <w:t> »</w:t>
      </w:r>
      <w:r w:rsidRPr="00511BC1">
        <w:rPr>
          <w:lang w:val="fr-CA" w:bidi="en-US"/>
        </w:rPr>
        <w:t>, dans G.</w:t>
      </w:r>
      <w:r w:rsidR="00225C08">
        <w:rPr>
          <w:lang w:val="fr-CA" w:bidi="en-US"/>
        </w:rPr>
        <w:t>-</w:t>
      </w:r>
      <w:r w:rsidR="0089455C" w:rsidRPr="00511BC1">
        <w:rPr>
          <w:lang w:val="fr-CA" w:bidi="en-US"/>
        </w:rPr>
        <w:t>A.</w:t>
      </w:r>
      <w:r w:rsidR="00225C08">
        <w:rPr>
          <w:lang w:val="fr-CA" w:bidi="en-US"/>
        </w:rPr>
        <w:t xml:space="preserve"> </w:t>
      </w:r>
      <w:r w:rsidRPr="00511BC1">
        <w:rPr>
          <w:lang w:val="fr-CA" w:bidi="en-US"/>
        </w:rPr>
        <w:t>Beaudoin et E.</w:t>
      </w:r>
      <w:r w:rsidR="00225C08">
        <w:rPr>
          <w:lang w:val="fr-CA" w:bidi="en-US"/>
        </w:rPr>
        <w:t xml:space="preserve"> </w:t>
      </w:r>
      <w:r w:rsidRPr="00511BC1">
        <w:rPr>
          <w:lang w:val="fr-CA" w:bidi="en-US"/>
        </w:rPr>
        <w:t xml:space="preserve">Mendes, dir., </w:t>
      </w:r>
      <w:r w:rsidRPr="00511BC1">
        <w:rPr>
          <w:i/>
          <w:lang w:val="fr-CA" w:bidi="en-US"/>
        </w:rPr>
        <w:t>Charte canadienne des droits et libertés</w:t>
      </w:r>
      <w:r w:rsidRPr="00511BC1">
        <w:rPr>
          <w:lang w:val="fr-CA" w:bidi="en-US"/>
        </w:rPr>
        <w:t>, 4</w:t>
      </w:r>
      <w:r w:rsidRPr="00511BC1">
        <w:rPr>
          <w:vertAlign w:val="superscript"/>
          <w:lang w:val="fr-CA" w:bidi="en-US"/>
        </w:rPr>
        <w:t>e</w:t>
      </w:r>
      <w:r w:rsidRPr="00511BC1">
        <w:rPr>
          <w:lang w:val="fr-CA" w:bidi="en-US"/>
        </w:rPr>
        <w:t xml:space="preserve"> éd.</w:t>
      </w:r>
      <w:r w:rsidR="002801F1" w:rsidRPr="00511BC1">
        <w:rPr>
          <w:lang w:val="fr-CA" w:bidi="en-US"/>
        </w:rPr>
        <w:t>,</w:t>
      </w:r>
      <w:r w:rsidRPr="00511BC1">
        <w:rPr>
          <w:lang w:val="fr-CA" w:bidi="en-US"/>
        </w:rPr>
        <w:t xml:space="preserve"> Markham (Ont.), LexisNexis Canada, 2005, 1095. </w:t>
      </w:r>
    </w:p>
    <w:p w:rsidR="002541DE" w:rsidRPr="00511BC1" w:rsidRDefault="004D7D95" w:rsidP="004B15C3">
      <w:pPr>
        <w:pStyle w:val="SCCNormalDoubleSpacing"/>
        <w:widowControl w:val="0"/>
        <w:spacing w:before="480" w:after="480"/>
        <w:rPr>
          <w:lang w:val="fr-CA"/>
        </w:rPr>
      </w:pPr>
      <w:r w:rsidRPr="00511BC1">
        <w:rPr>
          <w:lang w:val="fr-CA"/>
        </w:rPr>
        <w:tab/>
      </w:r>
      <w:r w:rsidR="00DB48E0" w:rsidRPr="00511BC1">
        <w:rPr>
          <w:lang w:val="fr-CA"/>
        </w:rPr>
        <w:t>POURVOI contre des</w:t>
      </w:r>
      <w:r w:rsidRPr="00511BC1">
        <w:rPr>
          <w:lang w:val="fr-CA"/>
        </w:rPr>
        <w:t xml:space="preserve"> arrêt</w:t>
      </w:r>
      <w:r w:rsidR="00DB48E0" w:rsidRPr="00511BC1">
        <w:rPr>
          <w:lang w:val="fr-CA"/>
        </w:rPr>
        <w:t>s</w:t>
      </w:r>
      <w:r w:rsidRPr="00511BC1">
        <w:rPr>
          <w:lang w:val="fr-CA"/>
        </w:rPr>
        <w:t xml:space="preserve"> de la Cour d’appel de la </w:t>
      </w:r>
      <w:r w:rsidR="00CF6FC4" w:rsidRPr="00511BC1">
        <w:rPr>
          <w:lang w:val="fr-CA"/>
        </w:rPr>
        <w:t>Colombie</w:t>
      </w:r>
      <w:r w:rsidR="00225C08">
        <w:rPr>
          <w:lang w:val="fr-CA"/>
        </w:rPr>
        <w:t>-</w:t>
      </w:r>
      <w:r w:rsidR="00CF6FC4" w:rsidRPr="00511BC1">
        <w:rPr>
          <w:lang w:val="fr-CA"/>
        </w:rPr>
        <w:t>Britannique</w:t>
      </w:r>
      <w:r w:rsidR="000178E2" w:rsidRPr="00511BC1">
        <w:rPr>
          <w:lang w:val="fr-CA"/>
        </w:rPr>
        <w:t xml:space="preserve"> </w:t>
      </w:r>
      <w:r w:rsidR="002541DE" w:rsidRPr="00511BC1">
        <w:rPr>
          <w:lang w:val="fr-CA"/>
        </w:rPr>
        <w:t xml:space="preserve">(les juges Saunders, Bennett et Hinkson), 2013 BCCA 407, 49 B.C.L.R. (5th) 246, 342 B.C.A.C. 251, 585 W.A.C. 251, 367 D.L.R. (4th) 387, 291 C.R.R. (2d) 106, 44 C.P.C. (7th) 122, [2014] 1 W.W.R. 1, [2013] B.C.J. </w:t>
      </w:r>
      <w:r w:rsidR="00547189" w:rsidRPr="00511BC1">
        <w:rPr>
          <w:lang w:val="fr-CA"/>
        </w:rPr>
        <w:t>No.</w:t>
      </w:r>
      <w:r w:rsidR="00225C08">
        <w:rPr>
          <w:lang w:val="fr-CA"/>
        </w:rPr>
        <w:t xml:space="preserve"> </w:t>
      </w:r>
      <w:r w:rsidR="002541DE" w:rsidRPr="00511BC1">
        <w:rPr>
          <w:lang w:val="fr-CA"/>
        </w:rPr>
        <w:t>2057 (QL), 2013 CarswellBC 2799</w:t>
      </w:r>
      <w:r w:rsidR="00312A92" w:rsidRPr="00511BC1">
        <w:rPr>
          <w:lang w:val="fr-CA"/>
        </w:rPr>
        <w:t xml:space="preserve"> (WL Can.)</w:t>
      </w:r>
      <w:r w:rsidR="002A2B24" w:rsidRPr="00511BC1">
        <w:rPr>
          <w:lang w:val="fr-CA"/>
        </w:rPr>
        <w:t>;</w:t>
      </w:r>
      <w:r w:rsidR="00CF6FC4" w:rsidRPr="00511BC1">
        <w:rPr>
          <w:lang w:val="fr-CA"/>
        </w:rPr>
        <w:t xml:space="preserve"> et 2014 BCCA 40, 54 B.C.L.R. (5th) 79, 350 B.C.A.C. 142, [2014] 4 W.W.R. 528, 58 C.P.C. (7th) 230, [2014] B.C.J. </w:t>
      </w:r>
      <w:r w:rsidR="00547189" w:rsidRPr="00511BC1">
        <w:rPr>
          <w:lang w:val="fr-CA"/>
        </w:rPr>
        <w:t>No.</w:t>
      </w:r>
      <w:r w:rsidR="00225C08">
        <w:rPr>
          <w:lang w:val="fr-CA"/>
        </w:rPr>
        <w:t xml:space="preserve"> </w:t>
      </w:r>
      <w:r w:rsidR="00CF6FC4" w:rsidRPr="00511BC1">
        <w:rPr>
          <w:lang w:val="fr-CA"/>
        </w:rPr>
        <w:t>155 (QL), 2014 CarswellBC 225 (WL Can.)</w:t>
      </w:r>
      <w:r w:rsidR="00720923" w:rsidRPr="00511BC1">
        <w:rPr>
          <w:lang w:val="fr-CA"/>
        </w:rPr>
        <w:t>,</w:t>
      </w:r>
      <w:r w:rsidR="002541DE" w:rsidRPr="00511BC1">
        <w:rPr>
          <w:lang w:val="fr-CA"/>
        </w:rPr>
        <w:t xml:space="preserve"> </w:t>
      </w:r>
      <w:r w:rsidR="00720923" w:rsidRPr="00511BC1">
        <w:rPr>
          <w:lang w:val="fr-CA"/>
        </w:rPr>
        <w:t>qui ont</w:t>
      </w:r>
      <w:r w:rsidR="002541DE" w:rsidRPr="00511BC1">
        <w:rPr>
          <w:lang w:val="fr-CA"/>
        </w:rPr>
        <w:t xml:space="preserve"> infirmé </w:t>
      </w:r>
      <w:r w:rsidR="00D46508" w:rsidRPr="00511BC1">
        <w:rPr>
          <w:lang w:val="fr-CA"/>
        </w:rPr>
        <w:t>des</w:t>
      </w:r>
      <w:r w:rsidR="002541DE" w:rsidRPr="00511BC1">
        <w:rPr>
          <w:lang w:val="fr-CA"/>
        </w:rPr>
        <w:t xml:space="preserve"> décision</w:t>
      </w:r>
      <w:r w:rsidR="00D46508" w:rsidRPr="00511BC1">
        <w:rPr>
          <w:lang w:val="fr-CA"/>
        </w:rPr>
        <w:t>s</w:t>
      </w:r>
      <w:r w:rsidR="002541DE" w:rsidRPr="00511BC1">
        <w:rPr>
          <w:lang w:val="fr-CA"/>
        </w:rPr>
        <w:t xml:space="preserve"> du juge Will</w:t>
      </w:r>
      <w:r w:rsidR="00DC05F0" w:rsidRPr="00511BC1">
        <w:rPr>
          <w:lang w:val="fr-CA"/>
        </w:rPr>
        <w:t>c</w:t>
      </w:r>
      <w:r w:rsidR="002541DE" w:rsidRPr="00511BC1">
        <w:rPr>
          <w:lang w:val="fr-CA"/>
        </w:rPr>
        <w:t xml:space="preserve">ock, </w:t>
      </w:r>
      <w:r w:rsidR="00D46508" w:rsidRPr="00511BC1">
        <w:rPr>
          <w:lang w:val="fr-CA"/>
        </w:rPr>
        <w:t xml:space="preserve">2011 BCSC 1495, 21 C.P.C. (7th) 111, [2011] B.C.J. </w:t>
      </w:r>
      <w:r w:rsidR="00547189" w:rsidRPr="00511BC1">
        <w:rPr>
          <w:lang w:val="fr-CA"/>
        </w:rPr>
        <w:t>No.</w:t>
      </w:r>
      <w:r w:rsidR="00225C08">
        <w:rPr>
          <w:lang w:val="fr-CA"/>
        </w:rPr>
        <w:t xml:space="preserve"> </w:t>
      </w:r>
      <w:r w:rsidR="00D46508" w:rsidRPr="00511BC1">
        <w:rPr>
          <w:lang w:val="fr-CA"/>
        </w:rPr>
        <w:t>2096 (QL), 2011 CarswellBC 3303</w:t>
      </w:r>
      <w:r w:rsidR="00312A92" w:rsidRPr="00511BC1">
        <w:rPr>
          <w:lang w:val="fr-CA"/>
        </w:rPr>
        <w:t xml:space="preserve"> (WL Can.)</w:t>
      </w:r>
      <w:r w:rsidR="002A2B24" w:rsidRPr="00511BC1">
        <w:rPr>
          <w:lang w:val="fr-CA"/>
        </w:rPr>
        <w:t>;</w:t>
      </w:r>
      <w:r w:rsidR="00720923" w:rsidRPr="00511BC1">
        <w:rPr>
          <w:lang w:val="fr-CA"/>
        </w:rPr>
        <w:t xml:space="preserve"> </w:t>
      </w:r>
      <w:r w:rsidR="002541DE" w:rsidRPr="00511BC1">
        <w:rPr>
          <w:lang w:val="fr-CA"/>
        </w:rPr>
        <w:t xml:space="preserve">2012 BCSC 1614, 39 B.C.L.R. (5th) 144, 270 C.R.R. (2d) 220, [2013] 2 W.W.R. 528, [2012] B.C.J. </w:t>
      </w:r>
      <w:r w:rsidR="00547189" w:rsidRPr="00511BC1">
        <w:rPr>
          <w:lang w:val="fr-CA"/>
        </w:rPr>
        <w:t>No.</w:t>
      </w:r>
      <w:r w:rsidR="00225C08">
        <w:rPr>
          <w:lang w:val="fr-CA"/>
        </w:rPr>
        <w:t xml:space="preserve"> </w:t>
      </w:r>
      <w:r w:rsidR="002541DE" w:rsidRPr="00511BC1">
        <w:rPr>
          <w:lang w:val="fr-CA"/>
        </w:rPr>
        <w:t>2247 (QL), 2012 CarswellBC 3373</w:t>
      </w:r>
      <w:r w:rsidR="00312A92" w:rsidRPr="00511BC1">
        <w:rPr>
          <w:lang w:val="fr-CA"/>
        </w:rPr>
        <w:t xml:space="preserve"> (WL Can.)</w:t>
      </w:r>
      <w:r w:rsidR="002A2B24" w:rsidRPr="00511BC1">
        <w:rPr>
          <w:lang w:val="fr-CA"/>
        </w:rPr>
        <w:t>;</w:t>
      </w:r>
      <w:r w:rsidR="00720923" w:rsidRPr="00511BC1">
        <w:rPr>
          <w:lang w:val="fr-CA"/>
        </w:rPr>
        <w:t xml:space="preserve"> et 2013 BCSC 1111, 49 B.C.L.R. (5th) 189, [2013] 10 W.W.R. 602, 40 C.P.C. (7th) 274, 61 Admin. </w:t>
      </w:r>
      <w:r w:rsidR="00720923" w:rsidRPr="00511BC1">
        <w:t xml:space="preserve">L.R. (5th) 310, [2013] B.C.J. </w:t>
      </w:r>
      <w:r w:rsidR="00547189" w:rsidRPr="00511BC1">
        <w:t>No.</w:t>
      </w:r>
      <w:r w:rsidR="00225C08">
        <w:t xml:space="preserve"> </w:t>
      </w:r>
      <w:r w:rsidR="00720923" w:rsidRPr="00511BC1">
        <w:t>1352 (QL), 2013 CarswellBC 1871 (WL Can.)</w:t>
      </w:r>
      <w:r w:rsidR="002541DE" w:rsidRPr="00511BC1">
        <w:t xml:space="preserve">. </w:t>
      </w:r>
      <w:r w:rsidR="002541DE" w:rsidRPr="00511BC1">
        <w:rPr>
          <w:lang w:val="fr-CA"/>
        </w:rPr>
        <w:t xml:space="preserve">Pourvoi </w:t>
      </w:r>
      <w:r w:rsidR="00720923" w:rsidRPr="00511BC1">
        <w:rPr>
          <w:lang w:val="fr-CA"/>
        </w:rPr>
        <w:t>accueilli</w:t>
      </w:r>
      <w:r w:rsidR="002541DE" w:rsidRPr="00511BC1">
        <w:rPr>
          <w:lang w:val="fr-CA"/>
        </w:rPr>
        <w:t>.</w:t>
      </w:r>
    </w:p>
    <w:p w:rsidR="009270E7" w:rsidRPr="00511BC1" w:rsidRDefault="0089455C" w:rsidP="004B15C3">
      <w:pPr>
        <w:pStyle w:val="SCCNormalDoubleSpacing"/>
        <w:widowControl w:val="0"/>
        <w:spacing w:before="480" w:after="480"/>
        <w:rPr>
          <w:lang w:val="fr-CA"/>
        </w:rPr>
      </w:pPr>
      <w:r w:rsidRPr="00511BC1">
        <w:rPr>
          <w:rStyle w:val="SCCCounselNameChar"/>
          <w:lang w:val="fr-CA"/>
        </w:rPr>
        <w:tab/>
        <w:t>Nicolas</w:t>
      </w:r>
      <w:r w:rsidR="00225C08">
        <w:rPr>
          <w:rStyle w:val="SCCCounselNameChar"/>
          <w:lang w:val="fr-CA"/>
        </w:rPr>
        <w:t xml:space="preserve"> </w:t>
      </w:r>
      <w:r w:rsidR="00E227CE" w:rsidRPr="00511BC1">
        <w:rPr>
          <w:rStyle w:val="SCCCounselNameChar"/>
          <w:lang w:val="fr-CA"/>
        </w:rPr>
        <w:t>M. Rouleau</w:t>
      </w:r>
      <w:r w:rsidR="00381D8F" w:rsidRPr="00511BC1">
        <w:rPr>
          <w:rStyle w:val="SCCCounselNameChar"/>
          <w:lang w:val="fr-CA"/>
        </w:rPr>
        <w:t xml:space="preserve"> </w:t>
      </w:r>
      <w:r w:rsidR="00381D8F" w:rsidRPr="00511BC1">
        <w:rPr>
          <w:rStyle w:val="SCCCounselNameChar"/>
          <w:i w:val="0"/>
          <w:lang w:val="fr-CA"/>
        </w:rPr>
        <w:t xml:space="preserve">et </w:t>
      </w:r>
      <w:r w:rsidR="00381D8F" w:rsidRPr="00511BC1">
        <w:rPr>
          <w:rStyle w:val="SCCCounselNameChar"/>
          <w:lang w:val="fr-CA"/>
        </w:rPr>
        <w:t>Joseph Pagé</w:t>
      </w:r>
      <w:r w:rsidR="00E227CE" w:rsidRPr="00511BC1">
        <w:rPr>
          <w:rStyle w:val="SCCCounselPartyRoleChar"/>
          <w:lang w:val="fr-CA"/>
        </w:rPr>
        <w:t>, pour l</w:t>
      </w:r>
      <w:r w:rsidR="00381D8F" w:rsidRPr="00511BC1">
        <w:rPr>
          <w:rStyle w:val="SCCCounselPartyRoleChar"/>
          <w:lang w:val="fr-CA"/>
        </w:rPr>
        <w:t xml:space="preserve">es </w:t>
      </w:r>
      <w:r w:rsidR="00E227CE" w:rsidRPr="00511BC1">
        <w:rPr>
          <w:rStyle w:val="SCCCounselPartyRoleChar"/>
          <w:lang w:val="fr-CA"/>
        </w:rPr>
        <w:t>appelant</w:t>
      </w:r>
      <w:r w:rsidR="00381D8F" w:rsidRPr="00511BC1">
        <w:rPr>
          <w:rStyle w:val="SCCCounselPartyRoleChar"/>
          <w:lang w:val="fr-CA"/>
        </w:rPr>
        <w:t>s l’</w:t>
      </w:r>
      <w:r w:rsidR="00381D8F" w:rsidRPr="00511BC1">
        <w:rPr>
          <w:lang w:val="fr-CA"/>
        </w:rPr>
        <w:t>Association des parents de l’école Rose</w:t>
      </w:r>
      <w:r w:rsidR="00225C08">
        <w:rPr>
          <w:lang w:val="fr-CA"/>
        </w:rPr>
        <w:t>-</w:t>
      </w:r>
      <w:r w:rsidR="00381D8F" w:rsidRPr="00511BC1">
        <w:rPr>
          <w:lang w:val="fr-CA"/>
        </w:rPr>
        <w:t>des</w:t>
      </w:r>
      <w:r w:rsidR="00225C08">
        <w:rPr>
          <w:lang w:val="fr-CA"/>
        </w:rPr>
        <w:t>-</w:t>
      </w:r>
      <w:r w:rsidR="00381D8F" w:rsidRPr="00511BC1">
        <w:rPr>
          <w:lang w:val="fr-CA"/>
        </w:rPr>
        <w:t xml:space="preserve">vents et </w:t>
      </w:r>
      <w:r w:rsidR="00F90848" w:rsidRPr="00511BC1">
        <w:rPr>
          <w:lang w:val="fr-CA"/>
        </w:rPr>
        <w:t>autres</w:t>
      </w:r>
      <w:r w:rsidR="00381D8F" w:rsidRPr="00511BC1">
        <w:rPr>
          <w:lang w:val="fr-CA"/>
        </w:rPr>
        <w:t xml:space="preserve">. </w:t>
      </w:r>
    </w:p>
    <w:p w:rsidR="00381D8F" w:rsidRPr="00511BC1" w:rsidRDefault="00E227CE" w:rsidP="004B15C3">
      <w:pPr>
        <w:pStyle w:val="SCCNormalDoubleSpacing"/>
        <w:widowControl w:val="0"/>
        <w:spacing w:before="480" w:after="480"/>
        <w:rPr>
          <w:lang w:val="fr-CA"/>
        </w:rPr>
      </w:pPr>
      <w:r w:rsidRPr="00511BC1">
        <w:rPr>
          <w:rStyle w:val="SCCCounselNameChar"/>
          <w:lang w:val="fr-CA"/>
        </w:rPr>
        <w:tab/>
      </w:r>
      <w:r w:rsidR="00C94C23">
        <w:rPr>
          <w:rStyle w:val="SCCCounselNameChar"/>
          <w:lang w:val="fr-CA"/>
        </w:rPr>
        <w:t>Robert</w:t>
      </w:r>
      <w:r w:rsidR="00225C08">
        <w:rPr>
          <w:rStyle w:val="SCCCounselNameChar"/>
          <w:lang w:val="fr-CA"/>
        </w:rPr>
        <w:t xml:space="preserve"> </w:t>
      </w:r>
      <w:r w:rsidR="002801F1" w:rsidRPr="00511BC1">
        <w:rPr>
          <w:rStyle w:val="SCCCounselNameChar"/>
          <w:lang w:val="fr-CA"/>
        </w:rPr>
        <w:t xml:space="preserve">W. </w:t>
      </w:r>
      <w:r w:rsidR="00381D8F" w:rsidRPr="00511BC1">
        <w:rPr>
          <w:rStyle w:val="SCCCounselNameChar"/>
          <w:lang w:val="fr-CA"/>
        </w:rPr>
        <w:t>Grant</w:t>
      </w:r>
      <w:r w:rsidR="00D757EE" w:rsidRPr="00511BC1">
        <w:rPr>
          <w:rStyle w:val="SCCCounselNameChar"/>
          <w:i w:val="0"/>
          <w:lang w:val="fr-CA"/>
        </w:rPr>
        <w:t>,</w:t>
      </w:r>
      <w:r w:rsidR="00D757EE" w:rsidRPr="00511BC1">
        <w:rPr>
          <w:rStyle w:val="SCCCounselNameChar"/>
          <w:lang w:val="fr-CA"/>
        </w:rPr>
        <w:t xml:space="preserve"> c.r.</w:t>
      </w:r>
      <w:r w:rsidR="00381D8F" w:rsidRPr="00511BC1">
        <w:rPr>
          <w:rStyle w:val="SCCCounselNameChar"/>
          <w:i w:val="0"/>
          <w:lang w:val="fr-CA"/>
        </w:rPr>
        <w:t>,</w:t>
      </w:r>
      <w:r w:rsidR="00381D8F" w:rsidRPr="00511BC1">
        <w:rPr>
          <w:rStyle w:val="SCCCounselNameChar"/>
          <w:lang w:val="fr-CA"/>
        </w:rPr>
        <w:t xml:space="preserve"> Jean</w:t>
      </w:r>
      <w:r w:rsidR="00225C08">
        <w:rPr>
          <w:rStyle w:val="SCCCounselNameChar"/>
          <w:lang w:val="fr-CA"/>
        </w:rPr>
        <w:t>-</w:t>
      </w:r>
      <w:r w:rsidR="00381D8F" w:rsidRPr="00511BC1">
        <w:rPr>
          <w:rStyle w:val="SCCCounselNameChar"/>
          <w:lang w:val="fr-CA"/>
        </w:rPr>
        <w:t>Pierre Hachey</w:t>
      </w:r>
      <w:r w:rsidR="00381D8F" w:rsidRPr="00511BC1">
        <w:rPr>
          <w:rStyle w:val="SCCCounselNameChar"/>
          <w:i w:val="0"/>
          <w:lang w:val="fr-CA"/>
        </w:rPr>
        <w:t>,</w:t>
      </w:r>
      <w:r w:rsidR="00381D8F" w:rsidRPr="00511BC1">
        <w:rPr>
          <w:rStyle w:val="SCCCounselNameChar"/>
          <w:lang w:val="fr-CA"/>
        </w:rPr>
        <w:t xml:space="preserve"> </w:t>
      </w:r>
      <w:r w:rsidRPr="00511BC1">
        <w:rPr>
          <w:rStyle w:val="SCCCounselNameChar"/>
          <w:lang w:val="fr-CA"/>
        </w:rPr>
        <w:t>Mark</w:t>
      </w:r>
      <w:r w:rsidR="00225C08">
        <w:rPr>
          <w:rStyle w:val="SCCCounselNameChar"/>
          <w:lang w:val="fr-CA"/>
        </w:rPr>
        <w:t xml:space="preserve"> </w:t>
      </w:r>
      <w:r w:rsidRPr="00511BC1">
        <w:rPr>
          <w:rStyle w:val="SCCCounselNameChar"/>
          <w:lang w:val="fr-CA"/>
        </w:rPr>
        <w:t>C. Power</w:t>
      </w:r>
      <w:r w:rsidR="00381D8F" w:rsidRPr="00511BC1">
        <w:rPr>
          <w:rStyle w:val="SCCCounselSeparatorChar"/>
          <w:lang w:val="fr-CA"/>
        </w:rPr>
        <w:t xml:space="preserve"> et</w:t>
      </w:r>
      <w:r w:rsidRPr="00511BC1">
        <w:rPr>
          <w:rStyle w:val="SCCCounselSeparatorChar"/>
          <w:lang w:val="fr-CA"/>
        </w:rPr>
        <w:t xml:space="preserve"> </w:t>
      </w:r>
      <w:r w:rsidR="000178E2" w:rsidRPr="00511BC1">
        <w:rPr>
          <w:rStyle w:val="SCCCounselNameChar"/>
          <w:lang w:val="fr-CA"/>
        </w:rPr>
        <w:t>David</w:t>
      </w:r>
      <w:r w:rsidR="00225C08">
        <w:rPr>
          <w:rStyle w:val="SCCCounselNameChar"/>
          <w:lang w:val="fr-CA"/>
        </w:rPr>
        <w:t xml:space="preserve"> </w:t>
      </w:r>
      <w:r w:rsidR="00C94C23">
        <w:rPr>
          <w:rStyle w:val="SCCCounselNameChar"/>
          <w:lang w:val="fr-CA"/>
        </w:rPr>
        <w:t>P.</w:t>
      </w:r>
      <w:r w:rsidR="00225C08">
        <w:rPr>
          <w:rStyle w:val="SCCCounselNameChar"/>
          <w:lang w:val="fr-CA"/>
        </w:rPr>
        <w:t xml:space="preserve"> </w:t>
      </w:r>
      <w:r w:rsidRPr="00511BC1">
        <w:rPr>
          <w:rStyle w:val="SCCCounselNameChar"/>
          <w:lang w:val="fr-CA"/>
        </w:rPr>
        <w:t>Taylor</w:t>
      </w:r>
      <w:r w:rsidRPr="00511BC1">
        <w:rPr>
          <w:rStyle w:val="SCCCounselPartyRoleChar"/>
          <w:lang w:val="fr-CA"/>
        </w:rPr>
        <w:t>, pour l</w:t>
      </w:r>
      <w:r w:rsidR="00381D8F" w:rsidRPr="00511BC1">
        <w:rPr>
          <w:rStyle w:val="SCCCounselPartyRoleChar"/>
          <w:lang w:val="fr-CA"/>
        </w:rPr>
        <w:t xml:space="preserve">’appelant le </w:t>
      </w:r>
      <w:r w:rsidR="00381D8F" w:rsidRPr="00511BC1">
        <w:rPr>
          <w:lang w:val="fr-CA"/>
        </w:rPr>
        <w:t>Conseil scolaire francophone de la Colombie</w:t>
      </w:r>
      <w:r w:rsidR="00225C08">
        <w:rPr>
          <w:lang w:val="fr-CA"/>
        </w:rPr>
        <w:t>-</w:t>
      </w:r>
      <w:r w:rsidR="00381D8F" w:rsidRPr="00511BC1">
        <w:rPr>
          <w:lang w:val="fr-CA"/>
        </w:rPr>
        <w:t>Britannique.</w:t>
      </w:r>
    </w:p>
    <w:p w:rsidR="009270E7" w:rsidRPr="00511BC1" w:rsidRDefault="00E227CE" w:rsidP="004B15C3">
      <w:pPr>
        <w:pStyle w:val="SCCNormalDoubleSpacing"/>
        <w:widowControl w:val="0"/>
        <w:spacing w:before="480" w:after="480"/>
        <w:rPr>
          <w:lang w:val="fr-CA"/>
        </w:rPr>
      </w:pPr>
      <w:r w:rsidRPr="00511BC1">
        <w:rPr>
          <w:rStyle w:val="SCCCounselNameChar"/>
          <w:lang w:val="fr-CA"/>
        </w:rPr>
        <w:lastRenderedPageBreak/>
        <w:tab/>
      </w:r>
      <w:r w:rsidR="0089455C" w:rsidRPr="00511BC1">
        <w:rPr>
          <w:rStyle w:val="SCCCounselNameChar"/>
          <w:lang w:val="fr-CA"/>
        </w:rPr>
        <w:t>Leonard</w:t>
      </w:r>
      <w:r w:rsidR="00225C08">
        <w:rPr>
          <w:rStyle w:val="SCCCounselNameChar"/>
          <w:lang w:val="fr-CA"/>
        </w:rPr>
        <w:t xml:space="preserve"> </w:t>
      </w:r>
      <w:r w:rsidR="008675C9" w:rsidRPr="00511BC1">
        <w:rPr>
          <w:rStyle w:val="SCCCounselNameChar"/>
          <w:lang w:val="fr-CA"/>
        </w:rPr>
        <w:t>T. Doust</w:t>
      </w:r>
      <w:r w:rsidR="008675C9" w:rsidRPr="00511BC1">
        <w:rPr>
          <w:rStyle w:val="SCCCounselNameChar"/>
          <w:i w:val="0"/>
          <w:lang w:val="fr-CA"/>
        </w:rPr>
        <w:t>,</w:t>
      </w:r>
      <w:r w:rsidR="008675C9" w:rsidRPr="00511BC1">
        <w:rPr>
          <w:rStyle w:val="SCCCounselNameChar"/>
          <w:lang w:val="fr-CA"/>
        </w:rPr>
        <w:t xml:space="preserve"> c.r.</w:t>
      </w:r>
      <w:r w:rsidR="008675C9" w:rsidRPr="00511BC1">
        <w:rPr>
          <w:rStyle w:val="SCCCounselPartyRoleChar"/>
          <w:lang w:val="fr-CA"/>
        </w:rPr>
        <w:t xml:space="preserve">, </w:t>
      </w:r>
      <w:r w:rsidRPr="00511BC1">
        <w:rPr>
          <w:rStyle w:val="SCCCounselNameChar"/>
          <w:lang w:val="fr-CA"/>
        </w:rPr>
        <w:t>Karrie Wolfe</w:t>
      </w:r>
      <w:r w:rsidR="008675C9" w:rsidRPr="00511BC1">
        <w:rPr>
          <w:rStyle w:val="SCCCounselSeparatorChar"/>
          <w:lang w:val="fr-CA"/>
        </w:rPr>
        <w:t xml:space="preserve"> et</w:t>
      </w:r>
      <w:r w:rsidRPr="00511BC1">
        <w:rPr>
          <w:rStyle w:val="SCCCounselSeparatorChar"/>
          <w:lang w:val="fr-CA"/>
        </w:rPr>
        <w:t xml:space="preserve"> </w:t>
      </w:r>
      <w:r w:rsidR="0089455C" w:rsidRPr="00511BC1">
        <w:rPr>
          <w:rStyle w:val="SCCCounselNameChar"/>
          <w:lang w:val="fr-CA"/>
        </w:rPr>
        <w:t>Warren</w:t>
      </w:r>
      <w:r w:rsidR="00225C08">
        <w:rPr>
          <w:rStyle w:val="SCCCounselNameChar"/>
          <w:lang w:val="fr-CA"/>
        </w:rPr>
        <w:t xml:space="preserve"> </w:t>
      </w:r>
      <w:r w:rsidRPr="00511BC1">
        <w:rPr>
          <w:rStyle w:val="SCCCounselNameChar"/>
          <w:lang w:val="fr-CA"/>
        </w:rPr>
        <w:t>B. Milman</w:t>
      </w:r>
      <w:r w:rsidR="008675C9" w:rsidRPr="00511BC1">
        <w:rPr>
          <w:rStyle w:val="SCCCounselSeparatorChar"/>
          <w:lang w:val="fr-CA"/>
        </w:rPr>
        <w:t xml:space="preserve">, </w:t>
      </w:r>
      <w:r w:rsidRPr="00511BC1">
        <w:rPr>
          <w:rStyle w:val="SCCCounselPartyRoleChar"/>
          <w:lang w:val="fr-CA"/>
        </w:rPr>
        <w:t>pour l</w:t>
      </w:r>
      <w:r w:rsidR="008675C9" w:rsidRPr="00511BC1">
        <w:rPr>
          <w:rStyle w:val="SCCCounselPartyRoleChar"/>
          <w:lang w:val="fr-CA"/>
        </w:rPr>
        <w:t xml:space="preserve">es </w:t>
      </w:r>
      <w:r w:rsidRPr="00511BC1">
        <w:rPr>
          <w:rStyle w:val="SCCCounselPartyRoleChar"/>
          <w:lang w:val="fr-CA"/>
        </w:rPr>
        <w:t>intimé</w:t>
      </w:r>
      <w:r w:rsidR="008675C9" w:rsidRPr="00511BC1">
        <w:rPr>
          <w:rStyle w:val="SCCCounselPartyRoleChar"/>
          <w:lang w:val="fr-CA"/>
        </w:rPr>
        <w:t>s</w:t>
      </w:r>
      <w:r w:rsidRPr="00511BC1">
        <w:rPr>
          <w:rStyle w:val="SCCCounselPartyRoleChar"/>
          <w:lang w:val="fr-CA"/>
        </w:rPr>
        <w:t>.</w:t>
      </w:r>
    </w:p>
    <w:p w:rsidR="009270E7" w:rsidRPr="00511BC1" w:rsidRDefault="00DB04DE" w:rsidP="004B15C3">
      <w:pPr>
        <w:pStyle w:val="SCCNormalDoubleSpacing"/>
        <w:widowControl w:val="0"/>
        <w:spacing w:before="480" w:after="480"/>
        <w:rPr>
          <w:lang w:val="fr-CA"/>
        </w:rPr>
      </w:pPr>
      <w:r w:rsidRPr="00511BC1">
        <w:rPr>
          <w:rStyle w:val="SCCCounselNameChar"/>
          <w:lang w:val="fr-CA"/>
        </w:rPr>
        <w:tab/>
      </w:r>
      <w:r w:rsidR="0089455C" w:rsidRPr="00511BC1">
        <w:rPr>
          <w:rStyle w:val="SCCCounselNameChar"/>
          <w:lang w:val="fr-CA"/>
        </w:rPr>
        <w:t>Alan</w:t>
      </w:r>
      <w:r w:rsidR="00225C08">
        <w:rPr>
          <w:rStyle w:val="SCCCounselNameChar"/>
          <w:lang w:val="fr-CA"/>
        </w:rPr>
        <w:t xml:space="preserve"> </w:t>
      </w:r>
      <w:r w:rsidR="00E227CE" w:rsidRPr="00511BC1">
        <w:rPr>
          <w:rStyle w:val="SCCCounselNameChar"/>
          <w:lang w:val="fr-CA"/>
        </w:rPr>
        <w:t>F. Jacobson</w:t>
      </w:r>
      <w:r w:rsidR="00E227CE" w:rsidRPr="00511BC1">
        <w:rPr>
          <w:rStyle w:val="SCCCounselSeparatorChar"/>
          <w:lang w:val="fr-CA"/>
        </w:rPr>
        <w:t xml:space="preserve"> et </w:t>
      </w:r>
      <w:r w:rsidR="00E227CE" w:rsidRPr="00511BC1">
        <w:rPr>
          <w:rStyle w:val="SCCCounselNameChar"/>
          <w:lang w:val="fr-CA"/>
        </w:rPr>
        <w:t>Barbara</w:t>
      </w:r>
      <w:r w:rsidR="00225C08">
        <w:rPr>
          <w:rStyle w:val="SCCCounselNameChar"/>
          <w:lang w:val="fr-CA"/>
        </w:rPr>
        <w:t xml:space="preserve"> </w:t>
      </w:r>
      <w:r w:rsidR="00E227CE" w:rsidRPr="00511BC1">
        <w:rPr>
          <w:rStyle w:val="SCCCounselNameChar"/>
          <w:lang w:val="fr-CA"/>
        </w:rPr>
        <w:t>C. Mysko</w:t>
      </w:r>
      <w:r w:rsidR="00E227CE" w:rsidRPr="00511BC1">
        <w:rPr>
          <w:rStyle w:val="SCCCounselPartyRoleChar"/>
          <w:lang w:val="fr-CA"/>
        </w:rPr>
        <w:t>, pour l</w:t>
      </w:r>
      <w:r w:rsidRPr="00511BC1">
        <w:rPr>
          <w:rStyle w:val="SCCCounselPartyRoleChar"/>
          <w:lang w:val="fr-CA"/>
        </w:rPr>
        <w:t>’</w:t>
      </w:r>
      <w:r w:rsidR="00E227CE" w:rsidRPr="00511BC1">
        <w:rPr>
          <w:rStyle w:val="SCCCounselPartyRoleChar"/>
          <w:lang w:val="fr-CA"/>
        </w:rPr>
        <w:t>intervenant</w:t>
      </w:r>
      <w:r w:rsidRPr="00511BC1">
        <w:rPr>
          <w:rStyle w:val="SCCCounselPartyRoleChar"/>
          <w:lang w:val="fr-CA"/>
        </w:rPr>
        <w:t xml:space="preserve"> le p</w:t>
      </w:r>
      <w:r w:rsidR="00E227CE" w:rsidRPr="00511BC1">
        <w:rPr>
          <w:rStyle w:val="SCCCounselPartyRoleChar"/>
          <w:lang w:val="fr-CA"/>
        </w:rPr>
        <w:t>rocureur général de la Saskatchewan.</w:t>
      </w:r>
    </w:p>
    <w:p w:rsidR="00EE6218" w:rsidRPr="00511BC1" w:rsidRDefault="00EE6218" w:rsidP="004B15C3">
      <w:pPr>
        <w:pStyle w:val="SCCNormalDoubleSpacing"/>
        <w:widowControl w:val="0"/>
        <w:spacing w:before="480" w:after="480"/>
        <w:outlineLvl w:val="0"/>
        <w:rPr>
          <w:rStyle w:val="SCCCounselPartyRoleChar"/>
          <w:lang w:val="fr-CA"/>
        </w:rPr>
      </w:pPr>
      <w:r w:rsidRPr="00511BC1">
        <w:rPr>
          <w:rStyle w:val="SCCCounselNameChar"/>
          <w:lang w:val="fr-CA"/>
        </w:rPr>
        <w:tab/>
        <w:t>Randy Steele</w:t>
      </w:r>
      <w:r w:rsidRPr="00511BC1">
        <w:rPr>
          <w:rStyle w:val="SCCCounselPartyRoleChar"/>
          <w:lang w:val="fr-CA"/>
        </w:rPr>
        <w:t>, pour l’intervenant le procureur général de l’Alberta.</w:t>
      </w:r>
    </w:p>
    <w:p w:rsidR="00EE6218" w:rsidRPr="00511BC1" w:rsidRDefault="00EE6218" w:rsidP="004B15C3">
      <w:pPr>
        <w:pStyle w:val="SCCNormalDoubleSpacing"/>
        <w:widowControl w:val="0"/>
        <w:spacing w:before="480" w:after="480"/>
        <w:rPr>
          <w:rStyle w:val="SCCCounselPartyRoleChar"/>
          <w:lang w:val="fr-CA"/>
        </w:rPr>
      </w:pPr>
      <w:r w:rsidRPr="00511BC1">
        <w:rPr>
          <w:rStyle w:val="SCCCounselNameChar"/>
          <w:lang w:val="fr-CA"/>
        </w:rPr>
        <w:tab/>
        <w:t>François Baril</w:t>
      </w:r>
      <w:r w:rsidRPr="00511BC1">
        <w:rPr>
          <w:rStyle w:val="SCCCounselPartyRoleChar"/>
          <w:lang w:val="fr-CA"/>
        </w:rPr>
        <w:t>, pour l’intervenant le procureur général des Territoires du Nord</w:t>
      </w:r>
      <w:r w:rsidR="00225C08">
        <w:rPr>
          <w:rStyle w:val="SCCCounselPartyRoleChar"/>
          <w:lang w:val="fr-CA"/>
        </w:rPr>
        <w:t>-</w:t>
      </w:r>
      <w:r w:rsidRPr="00511BC1">
        <w:rPr>
          <w:rStyle w:val="SCCCounselPartyRoleChar"/>
          <w:lang w:val="fr-CA"/>
        </w:rPr>
        <w:t>Ouest.</w:t>
      </w:r>
    </w:p>
    <w:p w:rsidR="00EE6218" w:rsidRPr="00511BC1" w:rsidRDefault="00EE6218" w:rsidP="004B15C3">
      <w:pPr>
        <w:pStyle w:val="SCCNormalDoubleSpacing"/>
        <w:widowControl w:val="0"/>
        <w:spacing w:before="480" w:after="480"/>
        <w:rPr>
          <w:lang w:val="fr-CA"/>
        </w:rPr>
      </w:pPr>
      <w:r w:rsidRPr="00511BC1">
        <w:rPr>
          <w:rStyle w:val="SCCCounselNameChar"/>
          <w:lang w:val="fr-CA"/>
        </w:rPr>
        <w:tab/>
        <w:t>Maxime Faille</w:t>
      </w:r>
      <w:r w:rsidRPr="00511BC1">
        <w:rPr>
          <w:rStyle w:val="SCCCounselSeparatorChar"/>
          <w:lang w:val="fr-CA"/>
        </w:rPr>
        <w:t xml:space="preserve">, </w:t>
      </w:r>
      <w:r w:rsidRPr="00511BC1">
        <w:rPr>
          <w:rStyle w:val="SCCCounselNameChar"/>
          <w:lang w:val="fr-CA"/>
        </w:rPr>
        <w:t>Guy Régimbald</w:t>
      </w:r>
      <w:r w:rsidRPr="00511BC1">
        <w:rPr>
          <w:rStyle w:val="SCCCounselSeparatorChar"/>
          <w:lang w:val="fr-CA"/>
        </w:rPr>
        <w:t xml:space="preserve"> et </w:t>
      </w:r>
      <w:r w:rsidRPr="00511BC1">
        <w:rPr>
          <w:rStyle w:val="SCCCounselNameChar"/>
          <w:lang w:val="fr-CA"/>
        </w:rPr>
        <w:t>Pippa Lawson</w:t>
      </w:r>
      <w:r w:rsidRPr="00511BC1">
        <w:rPr>
          <w:rStyle w:val="SCCCounselPartyRoleChar"/>
          <w:lang w:val="fr-CA"/>
        </w:rPr>
        <w:t>, pour l</w:t>
      </w:r>
      <w:r w:rsidR="00D048E0" w:rsidRPr="00511BC1">
        <w:rPr>
          <w:rStyle w:val="SCCCounselPartyRoleChar"/>
          <w:lang w:val="fr-CA"/>
        </w:rPr>
        <w:t>’</w:t>
      </w:r>
      <w:r w:rsidRPr="00511BC1">
        <w:rPr>
          <w:rStyle w:val="SCCCounselPartyRoleChar"/>
          <w:lang w:val="fr-CA"/>
        </w:rPr>
        <w:t>intervenant</w:t>
      </w:r>
      <w:r w:rsidR="00D048E0" w:rsidRPr="00511BC1">
        <w:rPr>
          <w:rStyle w:val="SCCCounselPartyRoleChar"/>
          <w:lang w:val="fr-CA"/>
        </w:rPr>
        <w:t xml:space="preserve"> le procureur général du </w:t>
      </w:r>
      <w:r w:rsidR="00506433" w:rsidRPr="00511BC1">
        <w:rPr>
          <w:rStyle w:val="SCCCounselPartyRoleChar"/>
          <w:lang w:val="fr-CA"/>
        </w:rPr>
        <w:t xml:space="preserve">Territoire du </w:t>
      </w:r>
      <w:r w:rsidR="00D048E0" w:rsidRPr="00511BC1">
        <w:rPr>
          <w:rStyle w:val="SCCCounselPartyRoleChar"/>
          <w:lang w:val="fr-CA"/>
        </w:rPr>
        <w:t>Yukon</w:t>
      </w:r>
      <w:r w:rsidRPr="00511BC1">
        <w:rPr>
          <w:rStyle w:val="SCCCounselPartyRoleChar"/>
          <w:lang w:val="fr-CA"/>
        </w:rPr>
        <w:t>.</w:t>
      </w:r>
    </w:p>
    <w:p w:rsidR="009270E7" w:rsidRPr="00511BC1" w:rsidRDefault="00E227CE" w:rsidP="004B15C3">
      <w:pPr>
        <w:pStyle w:val="SCCNormalDoubleSpacing"/>
        <w:widowControl w:val="0"/>
        <w:spacing w:before="480" w:after="480"/>
        <w:rPr>
          <w:lang w:val="fr-CA"/>
        </w:rPr>
      </w:pPr>
      <w:r w:rsidRPr="00511BC1">
        <w:rPr>
          <w:rStyle w:val="SCCCounselNameChar"/>
          <w:lang w:val="fr-CA"/>
        </w:rPr>
        <w:tab/>
        <w:t>Christine Ruest Norrena</w:t>
      </w:r>
      <w:r w:rsidRPr="00511BC1">
        <w:rPr>
          <w:rStyle w:val="SCCCounselSeparatorChar"/>
          <w:lang w:val="fr-CA"/>
        </w:rPr>
        <w:t xml:space="preserve"> et </w:t>
      </w:r>
      <w:r w:rsidRPr="00511BC1">
        <w:rPr>
          <w:rStyle w:val="SCCCounselNameChar"/>
          <w:lang w:val="fr-CA"/>
        </w:rPr>
        <w:t>Isabelle Bousquet</w:t>
      </w:r>
      <w:r w:rsidRPr="00511BC1">
        <w:rPr>
          <w:rStyle w:val="SCCCounselPartyRoleChar"/>
          <w:lang w:val="fr-CA"/>
        </w:rPr>
        <w:t>, pour l</w:t>
      </w:r>
      <w:r w:rsidR="009A5537" w:rsidRPr="00511BC1">
        <w:rPr>
          <w:rStyle w:val="SCCCounselPartyRoleChar"/>
          <w:lang w:val="fr-CA"/>
        </w:rPr>
        <w:t>’</w:t>
      </w:r>
      <w:r w:rsidRPr="00511BC1">
        <w:rPr>
          <w:rStyle w:val="SCCCounselPartyRoleChar"/>
          <w:lang w:val="fr-CA"/>
        </w:rPr>
        <w:t>intervenant</w:t>
      </w:r>
      <w:r w:rsidR="009A5537" w:rsidRPr="00511BC1">
        <w:rPr>
          <w:rStyle w:val="SCCCounselPartyRoleChar"/>
          <w:lang w:val="fr-CA"/>
        </w:rPr>
        <w:t xml:space="preserve"> le</w:t>
      </w:r>
      <w:r w:rsidR="00D5282E" w:rsidRPr="00511BC1">
        <w:rPr>
          <w:rStyle w:val="SCCCounselPartyRoleChar"/>
          <w:lang w:val="fr-CA"/>
        </w:rPr>
        <w:t xml:space="preserve"> c</w:t>
      </w:r>
      <w:r w:rsidRPr="00511BC1">
        <w:rPr>
          <w:rStyle w:val="SCCCounselPartyRoleChar"/>
          <w:lang w:val="fr-CA"/>
        </w:rPr>
        <w:t>ommissaire aux langues officielles du Canada.</w:t>
      </w:r>
    </w:p>
    <w:p w:rsidR="003D6A81" w:rsidRPr="00511BC1" w:rsidRDefault="0089455C" w:rsidP="004B15C3">
      <w:pPr>
        <w:pStyle w:val="SCCNormalDoubleSpacing"/>
        <w:widowControl w:val="0"/>
        <w:spacing w:before="480" w:after="480"/>
        <w:rPr>
          <w:rStyle w:val="SCCCounselPartyRoleChar"/>
          <w:lang w:val="fr-CA"/>
        </w:rPr>
      </w:pPr>
      <w:r w:rsidRPr="00511BC1">
        <w:rPr>
          <w:rStyle w:val="SCCCounselNameChar"/>
          <w:lang w:val="fr-CA"/>
        </w:rPr>
        <w:tab/>
        <w:t>Roger</w:t>
      </w:r>
      <w:r w:rsidR="00225C08">
        <w:rPr>
          <w:rStyle w:val="SCCCounselNameChar"/>
          <w:lang w:val="fr-CA"/>
        </w:rPr>
        <w:t xml:space="preserve"> </w:t>
      </w:r>
      <w:r w:rsidR="00E227CE" w:rsidRPr="00511BC1">
        <w:rPr>
          <w:rStyle w:val="SCCCounselNameChar"/>
          <w:lang w:val="fr-CA"/>
        </w:rPr>
        <w:t>J.</w:t>
      </w:r>
      <w:r w:rsidR="00225C08">
        <w:rPr>
          <w:rStyle w:val="SCCCounselNameChar"/>
          <w:lang w:val="fr-CA"/>
        </w:rPr>
        <w:t xml:space="preserve"> </w:t>
      </w:r>
      <w:r w:rsidR="00E227CE" w:rsidRPr="00511BC1">
        <w:rPr>
          <w:rStyle w:val="SCCCounselNameChar"/>
          <w:lang w:val="fr-CA"/>
        </w:rPr>
        <w:t>F. Lepage</w:t>
      </w:r>
      <w:r w:rsidR="00E227CE" w:rsidRPr="00511BC1">
        <w:rPr>
          <w:rStyle w:val="SCCCounselSeparatorChar"/>
          <w:lang w:val="fr-CA"/>
        </w:rPr>
        <w:t xml:space="preserve"> et </w:t>
      </w:r>
      <w:r w:rsidR="00547189" w:rsidRPr="00511BC1">
        <w:rPr>
          <w:rStyle w:val="SCCCounselNameChar"/>
          <w:lang w:val="fr-CA"/>
        </w:rPr>
        <w:t>Francis</w:t>
      </w:r>
      <w:r w:rsidR="00225C08">
        <w:rPr>
          <w:rStyle w:val="SCCCounselNameChar"/>
          <w:lang w:val="fr-CA"/>
        </w:rPr>
        <w:t xml:space="preserve"> </w:t>
      </w:r>
      <w:r w:rsidR="00547189" w:rsidRPr="00511BC1">
        <w:rPr>
          <w:rStyle w:val="SCCCounselNameChar"/>
          <w:lang w:val="fr-CA"/>
        </w:rPr>
        <w:t xml:space="preserve">P. </w:t>
      </w:r>
      <w:r w:rsidR="00E227CE" w:rsidRPr="00511BC1">
        <w:rPr>
          <w:rStyle w:val="SCCCounselNameChar"/>
          <w:lang w:val="fr-CA"/>
        </w:rPr>
        <w:t>Poulin</w:t>
      </w:r>
      <w:r w:rsidR="00E227CE" w:rsidRPr="00511BC1">
        <w:rPr>
          <w:rStyle w:val="SCCCounselPartyRoleChar"/>
          <w:lang w:val="fr-CA"/>
        </w:rPr>
        <w:t>, pour l</w:t>
      </w:r>
      <w:r w:rsidR="009A5537" w:rsidRPr="00511BC1">
        <w:rPr>
          <w:rStyle w:val="SCCCounselPartyRoleChar"/>
          <w:lang w:val="fr-CA"/>
        </w:rPr>
        <w:t xml:space="preserve">es </w:t>
      </w:r>
      <w:r w:rsidR="00E227CE" w:rsidRPr="00511BC1">
        <w:rPr>
          <w:rStyle w:val="SCCCounselPartyRoleChar"/>
          <w:lang w:val="fr-CA"/>
        </w:rPr>
        <w:t>intervenant</w:t>
      </w:r>
      <w:r w:rsidR="009A5537" w:rsidRPr="00511BC1">
        <w:rPr>
          <w:rStyle w:val="SCCCounselPartyRoleChar"/>
          <w:lang w:val="fr-CA"/>
        </w:rPr>
        <w:t xml:space="preserve">s </w:t>
      </w:r>
      <w:r w:rsidR="003D6A81" w:rsidRPr="00511BC1">
        <w:rPr>
          <w:rStyle w:val="SCCCounselPartyRoleChar"/>
          <w:lang w:val="fr-CA"/>
        </w:rPr>
        <w:t xml:space="preserve">la </w:t>
      </w:r>
      <w:r w:rsidR="00F66F64" w:rsidRPr="00511BC1">
        <w:rPr>
          <w:rStyle w:val="SCCCounselPartyRoleChar"/>
          <w:lang w:val="fr-CA"/>
        </w:rPr>
        <w:t xml:space="preserve">Commission scolaire francophone, </w:t>
      </w:r>
      <w:r w:rsidR="009A5537" w:rsidRPr="00511BC1">
        <w:rPr>
          <w:rStyle w:val="SCCCounselPartyRoleChar"/>
          <w:lang w:val="fr-CA"/>
        </w:rPr>
        <w:t>Territoires du Nord</w:t>
      </w:r>
      <w:r w:rsidR="00225C08">
        <w:rPr>
          <w:rStyle w:val="SCCCounselPartyRoleChar"/>
          <w:lang w:val="fr-CA"/>
        </w:rPr>
        <w:t>-</w:t>
      </w:r>
      <w:r w:rsidR="009A5537" w:rsidRPr="00511BC1">
        <w:rPr>
          <w:rStyle w:val="SCCCounselPartyRoleChar"/>
          <w:lang w:val="fr-CA"/>
        </w:rPr>
        <w:t>Ouest</w:t>
      </w:r>
      <w:r w:rsidR="003D6A81" w:rsidRPr="00511BC1">
        <w:rPr>
          <w:rStyle w:val="SCCCounselPartyRoleChar"/>
          <w:lang w:val="fr-CA"/>
        </w:rPr>
        <w:t>, la Fé</w:t>
      </w:r>
      <w:r w:rsidR="00E227CE" w:rsidRPr="00511BC1">
        <w:rPr>
          <w:rStyle w:val="SCCCounselPartyRoleChar"/>
          <w:lang w:val="fr-CA"/>
        </w:rPr>
        <w:t>dération nationale des conseils scolaires francophones</w:t>
      </w:r>
      <w:r w:rsidR="003D6A81" w:rsidRPr="00511BC1">
        <w:rPr>
          <w:rStyle w:val="SCCCounselPartyRoleChar"/>
          <w:lang w:val="fr-CA"/>
        </w:rPr>
        <w:t xml:space="preserve">, le </w:t>
      </w:r>
      <w:r w:rsidR="00E227CE" w:rsidRPr="00511BC1">
        <w:rPr>
          <w:rStyle w:val="SCCCounselPartyRoleChar"/>
          <w:lang w:val="fr-CA"/>
        </w:rPr>
        <w:t>Conseil des écoles fransaskoises</w:t>
      </w:r>
      <w:r w:rsidR="003D6A81" w:rsidRPr="00511BC1">
        <w:rPr>
          <w:rStyle w:val="SCCCounselPartyRoleChar"/>
          <w:lang w:val="fr-CA"/>
        </w:rPr>
        <w:t xml:space="preserve"> et la </w:t>
      </w:r>
      <w:r w:rsidR="00E227CE" w:rsidRPr="00511BC1">
        <w:rPr>
          <w:rStyle w:val="SCCCounselPartyRoleChar"/>
          <w:lang w:val="fr-CA"/>
        </w:rPr>
        <w:t>Commission scolaire francophone du Yukon</w:t>
      </w:r>
      <w:r w:rsidR="003D6A81" w:rsidRPr="00511BC1">
        <w:rPr>
          <w:rStyle w:val="SCCCounselPartyRoleChar"/>
          <w:lang w:val="fr-CA"/>
        </w:rPr>
        <w:t>.</w:t>
      </w:r>
    </w:p>
    <w:p w:rsidR="004B15C3" w:rsidRPr="006743D4" w:rsidRDefault="006743D4" w:rsidP="004B15C3">
      <w:pPr>
        <w:pStyle w:val="JudgeJuge"/>
        <w:widowControl w:val="0"/>
        <w:spacing w:before="480"/>
        <w:rPr>
          <w:smallCaps w:val="0"/>
          <w:lang w:val="fr-CA"/>
        </w:rPr>
      </w:pPr>
      <w:r w:rsidRPr="006743D4">
        <w:rPr>
          <w:smallCaps w:val="0"/>
          <w:lang w:val="fr-CA"/>
        </w:rPr>
        <w:tab/>
        <w:t>Versi</w:t>
      </w:r>
      <w:r>
        <w:rPr>
          <w:smallCaps w:val="0"/>
          <w:lang w:val="fr-CA"/>
        </w:rPr>
        <w:t>on française du jug</w:t>
      </w:r>
      <w:r w:rsidR="00EF245B">
        <w:rPr>
          <w:smallCaps w:val="0"/>
          <w:lang w:val="fr-CA"/>
        </w:rPr>
        <w:t>e</w:t>
      </w:r>
      <w:r>
        <w:rPr>
          <w:smallCaps w:val="0"/>
          <w:lang w:val="fr-CA"/>
        </w:rPr>
        <w:t>ment de la Cour rendu par</w:t>
      </w:r>
    </w:p>
    <w:p w:rsidR="004B15C3" w:rsidRPr="00131B59" w:rsidRDefault="006743D4" w:rsidP="004B15C3">
      <w:pPr>
        <w:pStyle w:val="ParaNoNdepar-AltN"/>
        <w:widowControl w:val="0"/>
        <w:rPr>
          <w:rFonts w:cs="Times New Roman"/>
          <w:lang w:val="fr-CA"/>
        </w:rPr>
      </w:pPr>
      <w:r w:rsidRPr="006743D4">
        <w:rPr>
          <w:smallCaps/>
          <w:lang w:val="fr-CA"/>
        </w:rPr>
        <w:lastRenderedPageBreak/>
        <w:t>La juge Karakatsanis</w:t>
      </w:r>
      <w:r w:rsidRPr="00131B59">
        <w:rPr>
          <w:lang w:val="fr-CA"/>
        </w:rPr>
        <w:t xml:space="preserve"> — </w:t>
      </w:r>
      <w:r w:rsidR="004B15C3" w:rsidRPr="00131B59">
        <w:rPr>
          <w:rFonts w:cs="Times New Roman"/>
          <w:lang w:val="fr-CA"/>
        </w:rPr>
        <w:t>Le présent pourvoi met en lumière une nouvelle génération de questions liées aux droits à l’instruction dans la langue de la minorité. Dans quelles circonstances la qualité de l’instruction dans la langue de la minorité équivaut</w:t>
      </w:r>
      <w:r w:rsidR="00225C08">
        <w:rPr>
          <w:rFonts w:cs="Times New Roman"/>
          <w:lang w:val="fr-CA"/>
        </w:rPr>
        <w:t>-</w:t>
      </w:r>
      <w:r w:rsidR="004B15C3" w:rsidRPr="00131B59">
        <w:rPr>
          <w:rFonts w:cs="Times New Roman"/>
          <w:lang w:val="fr-CA"/>
        </w:rPr>
        <w:t>elle à celle de l’instruction dans la langue de la majorité? Quels sont les facteurs à prendre en considération pour déterminer s’il y a équivalence?</w:t>
      </w:r>
    </w:p>
    <w:p w:rsidR="004B15C3" w:rsidRPr="00131B59" w:rsidRDefault="004B15C3" w:rsidP="004B15C3">
      <w:pPr>
        <w:pStyle w:val="ParaNoNdepar-AltN"/>
        <w:widowControl w:val="0"/>
        <w:rPr>
          <w:rFonts w:cs="Times New Roman"/>
          <w:lang w:val="fr-CA"/>
        </w:rPr>
      </w:pPr>
      <w:r w:rsidRPr="00131B59">
        <w:rPr>
          <w:rFonts w:cs="Times New Roman"/>
          <w:lang w:val="fr-CA"/>
        </w:rPr>
        <w:t>Ces questions sont au cœur du présent pourvoi. Elles font intervenir l’art.</w:t>
      </w:r>
      <w:r w:rsidR="00225C08">
        <w:rPr>
          <w:rFonts w:cs="Times New Roman"/>
          <w:lang w:val="fr-CA"/>
        </w:rPr>
        <w:t xml:space="preserve"> </w:t>
      </w:r>
      <w:r w:rsidRPr="00131B59">
        <w:rPr>
          <w:rFonts w:cs="Times New Roman"/>
          <w:lang w:val="fr-CA"/>
        </w:rPr>
        <w:t xml:space="preserve">23 de la </w:t>
      </w:r>
      <w:r w:rsidRPr="00131B59">
        <w:rPr>
          <w:rFonts w:cs="Times New Roman"/>
          <w:i/>
          <w:lang w:val="fr-CA"/>
        </w:rPr>
        <w:t>Charte canadienne des droits et libertés</w:t>
      </w:r>
      <w:r w:rsidRPr="00131B59">
        <w:rPr>
          <w:rFonts w:cs="Times New Roman"/>
          <w:lang w:val="fr-CA"/>
        </w:rPr>
        <w:t xml:space="preserve">, soit la disposition relative à l’instruction dans la langue de la minorité qui garantit aux titulaires de droits linguistiques minoritaires le droit de faire instruire leurs enfants, aux niveaux primaire et secondaire, en français ou en anglais. Bien que la Cour ait examiné ce droit garanti par la </w:t>
      </w:r>
      <w:r w:rsidRPr="00131B59">
        <w:rPr>
          <w:rFonts w:cs="Times New Roman"/>
          <w:i/>
          <w:lang w:val="fr-CA"/>
        </w:rPr>
        <w:t>Charte</w:t>
      </w:r>
      <w:r w:rsidRPr="00131B59">
        <w:rPr>
          <w:rFonts w:cs="Times New Roman"/>
          <w:lang w:val="fr-CA"/>
        </w:rPr>
        <w:t xml:space="preserve"> à plusieurs reprises au cours des 30</w:t>
      </w:r>
      <w:r w:rsidR="00225C08">
        <w:rPr>
          <w:rFonts w:cs="Times New Roman"/>
          <w:lang w:val="fr-CA"/>
        </w:rPr>
        <w:t xml:space="preserve"> </w:t>
      </w:r>
      <w:r w:rsidRPr="00131B59">
        <w:rPr>
          <w:rFonts w:cs="Times New Roman"/>
          <w:lang w:val="fr-CA"/>
        </w:rPr>
        <w:t xml:space="preserve">dernières années, le présent pourvoi illustre l’évolution des différends en matière d’instruction dans la langue de la minorité depuis l’adoption de la </w:t>
      </w:r>
      <w:r w:rsidRPr="00131B59">
        <w:rPr>
          <w:rFonts w:cs="Times New Roman"/>
          <w:i/>
          <w:lang w:val="fr-CA"/>
        </w:rPr>
        <w:t>Charte</w:t>
      </w:r>
      <w:r w:rsidR="00225C08" w:rsidRPr="00390AD3">
        <w:rPr>
          <w:rFonts w:cs="Times New Roman"/>
          <w:lang w:val="fr-CA"/>
        </w:rPr>
        <w:t> :</w:t>
      </w:r>
      <w:r w:rsidRPr="00131B59">
        <w:rPr>
          <w:rFonts w:cs="Times New Roman"/>
          <w:lang w:val="fr-CA"/>
        </w:rPr>
        <w:t xml:space="preserve"> au lieu de mettre l’accent sur le droit initial d’un groupe à un certain niveau de services d’enseignement dans la langue de la minorité, le pourvoi soulève la question de savoir comment un tribunal peut décider si un groupe reçoit, dans les faits, les services auxquels il a droit.</w:t>
      </w:r>
    </w:p>
    <w:p w:rsidR="004B15C3" w:rsidRPr="00131B59" w:rsidRDefault="004B15C3" w:rsidP="004B15C3">
      <w:pPr>
        <w:pStyle w:val="ParaNoNdepar-AltN"/>
        <w:widowControl w:val="0"/>
        <w:rPr>
          <w:rFonts w:cs="Times New Roman"/>
          <w:lang w:val="fr-CA"/>
        </w:rPr>
      </w:pPr>
      <w:r w:rsidRPr="00131B59">
        <w:rPr>
          <w:rFonts w:cs="Times New Roman"/>
          <w:lang w:val="fr-CA"/>
        </w:rPr>
        <w:t>Il est bien établi que, lorsque le nombre d’enfants de titulaires de droits linguistiques minoritaires justifie le plus haut niveau de services prévu à l’art.</w:t>
      </w:r>
      <w:r w:rsidR="00225C08">
        <w:rPr>
          <w:rFonts w:cs="Times New Roman"/>
          <w:lang w:val="fr-CA"/>
        </w:rPr>
        <w:t xml:space="preserve"> </w:t>
      </w:r>
      <w:r w:rsidRPr="00131B59">
        <w:rPr>
          <w:rFonts w:cs="Times New Roman"/>
          <w:lang w:val="fr-CA"/>
        </w:rPr>
        <w:t xml:space="preserve">23, ces titulaires de droits doivent bénéficier d’une instruction et d’établissements d’enseignement de qualité équivalente à ceux offerts à la majorité de langue officielle de la province ou du territoire en question. La Cour a reconnu dans sa jurisprudence </w:t>
      </w:r>
      <w:r w:rsidRPr="00131B59">
        <w:rPr>
          <w:rFonts w:cs="Times New Roman"/>
          <w:lang w:val="fr-CA"/>
        </w:rPr>
        <w:lastRenderedPageBreak/>
        <w:t>qu’étant donné la nature réparatrice des droits reconnus à l’art.</w:t>
      </w:r>
      <w:r w:rsidR="00225C08">
        <w:rPr>
          <w:rFonts w:cs="Times New Roman"/>
          <w:lang w:val="fr-CA"/>
        </w:rPr>
        <w:t xml:space="preserve"> </w:t>
      </w:r>
      <w:r w:rsidRPr="00131B59">
        <w:rPr>
          <w:rFonts w:cs="Times New Roman"/>
          <w:lang w:val="fr-CA"/>
        </w:rPr>
        <w:t>23, l’égalité peut avoir un sens distinct de celui de l’égalité formelle. Cette égalité doit être réelle. Dans le présent pourvoi, nous sommes appelés à donner des indications sur la façon de mesurer l’équivalence. Nous devons aussi établir l’importance d’une constatation qu’il n’y a pas d’équivalence et décider si l’absence d’équivalence constitue une violation de l’art.</w:t>
      </w:r>
      <w:r w:rsidR="00225C08">
        <w:rPr>
          <w:rFonts w:cs="Times New Roman"/>
          <w:lang w:val="fr-CA"/>
        </w:rPr>
        <w:t xml:space="preserve"> </w:t>
      </w:r>
      <w:r w:rsidRPr="00131B59">
        <w:rPr>
          <w:rFonts w:cs="Times New Roman"/>
          <w:lang w:val="fr-CA"/>
        </w:rPr>
        <w:t xml:space="preserve">23 de la </w:t>
      </w:r>
      <w:r w:rsidRPr="00131B59">
        <w:rPr>
          <w:rFonts w:cs="Times New Roman"/>
          <w:i/>
          <w:lang w:val="fr-CA"/>
        </w:rPr>
        <w:t>Charte</w:t>
      </w:r>
      <w:r w:rsidRPr="00131B59">
        <w:rPr>
          <w:rFonts w:cs="Times New Roman"/>
          <w:lang w:val="fr-CA"/>
        </w:rPr>
        <w:t xml:space="preserve">. </w:t>
      </w:r>
    </w:p>
    <w:p w:rsidR="004B15C3" w:rsidRPr="00131B59" w:rsidRDefault="004B15C3" w:rsidP="004B15C3">
      <w:pPr>
        <w:pStyle w:val="ParaNoNdepar-AltN"/>
        <w:widowControl w:val="0"/>
        <w:rPr>
          <w:rFonts w:cs="Times New Roman"/>
          <w:lang w:val="fr-CA"/>
        </w:rPr>
      </w:pPr>
      <w:r w:rsidRPr="00131B59">
        <w:rPr>
          <w:rFonts w:cs="Times New Roman"/>
          <w:lang w:val="fr-CA"/>
        </w:rPr>
        <w:t>En l’espèce, les parents d’enfants qui fréquentent une école primaire de langue française ont poursuivi le conseil scolaire et le gouvernement provincial et ont sollicité un jugement déclarant que les services d’enseignement n’étaient pas équivalents à ceux dispensés par les écoles de langue anglaise du secteur. À mon avis, ils avaient droit à ce jugement déclaratoire. Par conséquent, je suis d’avis d’accueillir le pourvoi et de rétablir le jugement déclaratoire du juge saisi de la requête.</w:t>
      </w:r>
    </w:p>
    <w:p w:rsidR="004B15C3" w:rsidRPr="00131B59" w:rsidRDefault="004B15C3" w:rsidP="004B15C3">
      <w:pPr>
        <w:pStyle w:val="Title1LevelTitre1Niveau-AltL"/>
        <w:widowControl w:val="0"/>
        <w:numPr>
          <w:ilvl w:val="0"/>
          <w:numId w:val="8"/>
        </w:numPr>
        <w:rPr>
          <w:rFonts w:cs="Times New Roman"/>
          <w:lang w:val="fr-CA"/>
        </w:rPr>
      </w:pPr>
      <w:r w:rsidRPr="00131B59">
        <w:rPr>
          <w:rFonts w:cs="Times New Roman"/>
          <w:lang w:val="fr-CA"/>
        </w:rPr>
        <w:t>Faits</w:t>
      </w:r>
    </w:p>
    <w:p w:rsidR="004B15C3" w:rsidRPr="00131B59" w:rsidRDefault="004B15C3" w:rsidP="004B15C3">
      <w:pPr>
        <w:pStyle w:val="ParaNoNdepar-AltN"/>
        <w:widowControl w:val="0"/>
        <w:rPr>
          <w:rFonts w:cs="Times New Roman"/>
          <w:lang w:val="fr-CA"/>
        </w:rPr>
      </w:pPr>
      <w:r w:rsidRPr="00131B59">
        <w:rPr>
          <w:rFonts w:cs="Times New Roman"/>
          <w:lang w:val="fr-CA"/>
        </w:rPr>
        <w:t>L’école élémentaire Rose</w:t>
      </w:r>
      <w:r w:rsidR="00225C08">
        <w:rPr>
          <w:rFonts w:cs="Times New Roman"/>
          <w:lang w:val="fr-CA"/>
        </w:rPr>
        <w:t>-</w:t>
      </w:r>
      <w:r w:rsidRPr="00131B59">
        <w:rPr>
          <w:rFonts w:cs="Times New Roman"/>
          <w:lang w:val="fr-CA"/>
        </w:rPr>
        <w:t>des</w:t>
      </w:r>
      <w:r w:rsidR="00225C08">
        <w:rPr>
          <w:rFonts w:cs="Times New Roman"/>
          <w:lang w:val="fr-CA"/>
        </w:rPr>
        <w:t>-</w:t>
      </w:r>
      <w:r w:rsidRPr="00131B59">
        <w:rPr>
          <w:rFonts w:cs="Times New Roman"/>
          <w:lang w:val="fr-CA"/>
        </w:rPr>
        <w:t>vents (RDV) est la seule école primaire de langue française financée à même les fonds publics qui dessert les élèves résidant à l’ouest de la rue</w:t>
      </w:r>
      <w:r w:rsidR="00225C08">
        <w:rPr>
          <w:rFonts w:cs="Times New Roman"/>
          <w:lang w:val="fr-CA"/>
        </w:rPr>
        <w:t xml:space="preserve"> </w:t>
      </w:r>
      <w:r w:rsidRPr="00131B59">
        <w:rPr>
          <w:rFonts w:cs="Times New Roman"/>
          <w:lang w:val="fr-CA"/>
        </w:rPr>
        <w:t>Main dans la ville de Vancouver. Elle a vu le jour en 2001, cinq ans après que la Cour suprême de la Colombie</w:t>
      </w:r>
      <w:r w:rsidR="00225C08">
        <w:rPr>
          <w:rFonts w:cs="Times New Roman"/>
          <w:lang w:val="fr-CA"/>
        </w:rPr>
        <w:t>-</w:t>
      </w:r>
      <w:r w:rsidRPr="00131B59">
        <w:rPr>
          <w:rFonts w:cs="Times New Roman"/>
          <w:lang w:val="fr-CA"/>
        </w:rPr>
        <w:t>Britannique eut décidé que le nombre d’enfants de titulaires de droits linguistiques dans la région de Vancouver et du Lower Mainland et dans la région de Victoria justifiait le plus haut niveau de gestion et de contrôle prévu à l’art.</w:t>
      </w:r>
      <w:r w:rsidR="00225C08">
        <w:rPr>
          <w:rFonts w:cs="Times New Roman"/>
          <w:lang w:val="fr-CA"/>
        </w:rPr>
        <w:t xml:space="preserve"> </w:t>
      </w:r>
      <w:r w:rsidRPr="00131B59">
        <w:rPr>
          <w:rFonts w:cs="Times New Roman"/>
          <w:lang w:val="fr-CA"/>
        </w:rPr>
        <w:t>23</w:t>
      </w:r>
      <w:r w:rsidRPr="00131B59">
        <w:rPr>
          <w:rFonts w:cs="Times New Roman"/>
          <w:szCs w:val="24"/>
          <w:lang w:val="fr-CA"/>
        </w:rPr>
        <w:t xml:space="preserve"> (</w:t>
      </w:r>
      <w:r w:rsidRPr="00131B59">
        <w:rPr>
          <w:rFonts w:cs="Times New Roman"/>
          <w:i/>
          <w:szCs w:val="24"/>
          <w:lang w:val="fr-CA"/>
        </w:rPr>
        <w:t>A</w:t>
      </w:r>
      <w:r>
        <w:rPr>
          <w:rFonts w:cs="Times New Roman"/>
          <w:i/>
          <w:szCs w:val="24"/>
          <w:lang w:val="fr-CA"/>
        </w:rPr>
        <w:t>ss</w:t>
      </w:r>
      <w:r w:rsidR="006743D4">
        <w:rPr>
          <w:rFonts w:cs="Times New Roman"/>
          <w:i/>
          <w:szCs w:val="24"/>
          <w:lang w:val="fr-CA"/>
        </w:rPr>
        <w:t>n</w:t>
      </w:r>
      <w:r>
        <w:rPr>
          <w:rFonts w:cs="Times New Roman"/>
          <w:i/>
          <w:szCs w:val="24"/>
          <w:lang w:val="fr-CA"/>
        </w:rPr>
        <w:t xml:space="preserve">. </w:t>
      </w:r>
      <w:r w:rsidRPr="00131B59">
        <w:rPr>
          <w:rFonts w:cs="Times New Roman"/>
          <w:i/>
          <w:szCs w:val="24"/>
          <w:lang w:val="fr-CA"/>
        </w:rPr>
        <w:t>d</w:t>
      </w:r>
      <w:r w:rsidRPr="00131B59">
        <w:rPr>
          <w:rFonts w:cs="Times New Roman"/>
          <w:i/>
          <w:lang w:val="fr-CA"/>
        </w:rPr>
        <w:t>es Parents Francophones (Colombie</w:t>
      </w:r>
      <w:r w:rsidR="00225C08">
        <w:rPr>
          <w:rFonts w:cs="Times New Roman"/>
          <w:i/>
          <w:lang w:val="fr-CA"/>
        </w:rPr>
        <w:t>-</w:t>
      </w:r>
      <w:r w:rsidRPr="00131B59">
        <w:rPr>
          <w:rFonts w:cs="Times New Roman"/>
          <w:i/>
          <w:lang w:val="fr-CA"/>
        </w:rPr>
        <w:t xml:space="preserve">Britannique) c. British Columbia </w:t>
      </w:r>
      <w:r w:rsidRPr="00131B59">
        <w:rPr>
          <w:rFonts w:cs="Times New Roman"/>
          <w:lang w:val="fr-CA"/>
        </w:rPr>
        <w:t xml:space="preserve">(1996), 27 B.C.L.R. (3d) 83). La cour a conclu que </w:t>
      </w:r>
      <w:r w:rsidRPr="00131B59">
        <w:rPr>
          <w:rFonts w:cs="Times New Roman"/>
          <w:lang w:val="fr-CA"/>
        </w:rPr>
        <w:lastRenderedPageBreak/>
        <w:t>la législature de la Colombie</w:t>
      </w:r>
      <w:r w:rsidR="00225C08">
        <w:rPr>
          <w:rFonts w:cs="Times New Roman"/>
          <w:lang w:val="fr-CA"/>
        </w:rPr>
        <w:t>-</w:t>
      </w:r>
      <w:r w:rsidRPr="00131B59">
        <w:rPr>
          <w:rFonts w:cs="Times New Roman"/>
          <w:lang w:val="fr-CA"/>
        </w:rPr>
        <w:t>Britannique ne pouvait plus retarder la mise en place d’un système approprié d’enseignement dans la langue de la minorité.</w:t>
      </w:r>
    </w:p>
    <w:p w:rsidR="004B15C3" w:rsidRPr="00131B59" w:rsidRDefault="004B15C3" w:rsidP="004B15C3">
      <w:pPr>
        <w:pStyle w:val="ParaNoNdepar-AltN"/>
        <w:widowControl w:val="0"/>
        <w:rPr>
          <w:rFonts w:cs="Times New Roman"/>
          <w:lang w:val="fr-CA"/>
        </w:rPr>
      </w:pPr>
      <w:r w:rsidRPr="00131B59">
        <w:rPr>
          <w:rFonts w:cs="Times New Roman"/>
          <w:lang w:val="fr-CA"/>
        </w:rPr>
        <w:t>Comme l’a conclu le juge saisi de la requête, le nombre d’inscriptions à RDV augmente depuis 2001 et l’école, qui partage actuellement ses locaux avec une école secondaire de langue française, est de plus en plus surpeuplée. En 2012, RDV ava</w:t>
      </w:r>
      <w:r>
        <w:rPr>
          <w:rFonts w:cs="Times New Roman"/>
          <w:lang w:val="fr-CA"/>
        </w:rPr>
        <w:t>it une capacité nominale de 215</w:t>
      </w:r>
      <w:r w:rsidR="00225C08">
        <w:rPr>
          <w:rFonts w:cs="Times New Roman"/>
          <w:lang w:val="fr-CA"/>
        </w:rPr>
        <w:t xml:space="preserve"> </w:t>
      </w:r>
      <w:r w:rsidRPr="00131B59">
        <w:rPr>
          <w:rFonts w:cs="Times New Roman"/>
          <w:lang w:val="fr-CA"/>
        </w:rPr>
        <w:t>élèves et une capacité opérationnelle de 199</w:t>
      </w:r>
      <w:r w:rsidR="00225C08">
        <w:rPr>
          <w:rFonts w:cs="Times New Roman"/>
          <w:lang w:val="fr-CA"/>
        </w:rPr>
        <w:t xml:space="preserve"> </w:t>
      </w:r>
      <w:r w:rsidRPr="00131B59">
        <w:rPr>
          <w:rFonts w:cs="Times New Roman"/>
          <w:lang w:val="fr-CA"/>
        </w:rPr>
        <w:t>élèves. On dénombrait 344</w:t>
      </w:r>
      <w:r w:rsidR="00225C08">
        <w:rPr>
          <w:rFonts w:cs="Times New Roman"/>
          <w:lang w:val="fr-CA"/>
        </w:rPr>
        <w:t xml:space="preserve"> </w:t>
      </w:r>
      <w:r w:rsidRPr="00131B59">
        <w:rPr>
          <w:rFonts w:cs="Times New Roman"/>
          <w:lang w:val="fr-CA"/>
        </w:rPr>
        <w:t>inscriptions en 2011 et ce nombre augmente d’année en année.</w:t>
      </w:r>
    </w:p>
    <w:p w:rsidR="004B15C3" w:rsidRPr="00131B59" w:rsidRDefault="004B15C3" w:rsidP="004B15C3">
      <w:pPr>
        <w:pStyle w:val="ParaNoNdepar-AltN"/>
        <w:widowControl w:val="0"/>
        <w:rPr>
          <w:rFonts w:cs="Times New Roman"/>
          <w:lang w:val="fr-CA"/>
        </w:rPr>
      </w:pPr>
      <w:r w:rsidRPr="00131B59">
        <w:rPr>
          <w:rFonts w:cs="Times New Roman"/>
          <w:lang w:val="fr-CA"/>
        </w:rPr>
        <w:t>RDV est une petite école aux couloirs étroits et il n’y a aucun crochet à manteaux ni casier. L’espace de rangement est insuffisant, ce qui aurait, dit</w:t>
      </w:r>
      <w:r w:rsidR="00225C08">
        <w:rPr>
          <w:rFonts w:cs="Times New Roman"/>
          <w:lang w:val="fr-CA"/>
        </w:rPr>
        <w:t>-</w:t>
      </w:r>
      <w:r w:rsidRPr="00131B59">
        <w:rPr>
          <w:rFonts w:cs="Times New Roman"/>
          <w:lang w:val="fr-CA"/>
        </w:rPr>
        <w:t>on, contribué à la propagation de poux chez les élèves. Il n’y a aucun local adaptable dans l’école. Les toilettes sont inadéquates. La bibliothèque est très petite et les salles de classe sont beaucoup plus petites que celles des autres écoles. Seulement trois salles de classe ont la superficie recommandée. Deux salles de classe sont dépourvues de fenêtres. Le terrain de jeux est divisé en petites sections. Étant donné l’entente de partage des locaux conclue avec l’école secondaire, l’espace mis à la disposition de RDV diminuera sans doute au cours des prochaines années.</w:t>
      </w:r>
    </w:p>
    <w:p w:rsidR="004B15C3" w:rsidRPr="00131B59" w:rsidRDefault="004B15C3" w:rsidP="004B15C3">
      <w:pPr>
        <w:pStyle w:val="ParaNoNdepar-AltN"/>
        <w:widowControl w:val="0"/>
        <w:rPr>
          <w:rFonts w:cs="Times New Roman"/>
          <w:lang w:val="fr-CA"/>
        </w:rPr>
      </w:pPr>
      <w:r w:rsidRPr="00131B59">
        <w:rPr>
          <w:rFonts w:cs="Times New Roman"/>
          <w:lang w:val="fr-CA"/>
        </w:rPr>
        <w:t>À l’opposé, les écoles de langue anglaise situées dans la zone desservie par RDV sont plus grandes, disposent de salles de classe plus grandes et de terrains de jeux plus vastes et en meilleur état ainsi que de bibliothèques plus spacieuses.</w:t>
      </w:r>
    </w:p>
    <w:p w:rsidR="004B15C3" w:rsidRPr="00131B59" w:rsidRDefault="004B15C3" w:rsidP="004B15C3">
      <w:pPr>
        <w:pStyle w:val="ParaNoNdepar-AltN"/>
        <w:widowControl w:val="0"/>
        <w:rPr>
          <w:rFonts w:cs="Times New Roman"/>
          <w:lang w:val="fr-CA"/>
        </w:rPr>
      </w:pPr>
      <w:r>
        <w:rPr>
          <w:rFonts w:cs="Times New Roman"/>
          <w:lang w:val="fr-CA"/>
        </w:rPr>
        <w:lastRenderedPageBreak/>
        <w:t>En 2012, 293</w:t>
      </w:r>
      <w:r w:rsidRPr="00131B59">
        <w:rPr>
          <w:rFonts w:cs="Times New Roman"/>
          <w:lang w:val="fr-CA"/>
        </w:rPr>
        <w:t xml:space="preserve"> des </w:t>
      </w:r>
      <w:r>
        <w:rPr>
          <w:rFonts w:cs="Times New Roman"/>
          <w:lang w:val="fr-CA"/>
        </w:rPr>
        <w:t>344</w:t>
      </w:r>
      <w:r w:rsidRPr="00131B59">
        <w:rPr>
          <w:rFonts w:cs="Times New Roman"/>
          <w:lang w:val="fr-CA"/>
        </w:rPr>
        <w:t xml:space="preserve"> élèves qui fréquentaient </w:t>
      </w:r>
      <w:r>
        <w:rPr>
          <w:rFonts w:cs="Times New Roman"/>
          <w:lang w:val="fr-CA"/>
        </w:rPr>
        <w:t xml:space="preserve">alors </w:t>
      </w:r>
      <w:r w:rsidRPr="00131B59">
        <w:rPr>
          <w:rFonts w:cs="Times New Roman"/>
          <w:lang w:val="fr-CA"/>
        </w:rPr>
        <w:t xml:space="preserve">RDV se rendaient à l’école en autobus. Aucun de ces élèves du primaire n’habite à l’intérieur de la </w:t>
      </w:r>
      <w:r w:rsidR="00225C08">
        <w:rPr>
          <w:rFonts w:cs="Times New Roman"/>
          <w:lang w:val="fr-CA"/>
        </w:rPr>
        <w:t>« </w:t>
      </w:r>
      <w:r w:rsidRPr="00131B59">
        <w:rPr>
          <w:rFonts w:cs="Times New Roman"/>
          <w:lang w:val="fr-CA"/>
        </w:rPr>
        <w:t>distance de marche</w:t>
      </w:r>
      <w:r w:rsidR="00225C08">
        <w:rPr>
          <w:rFonts w:cs="Times New Roman"/>
          <w:lang w:val="fr-CA"/>
        </w:rPr>
        <w:t> »</w:t>
      </w:r>
      <w:r w:rsidRPr="00131B59">
        <w:rPr>
          <w:rFonts w:cs="Times New Roman"/>
          <w:lang w:val="fr-CA"/>
        </w:rPr>
        <w:t xml:space="preserve"> d’un kilomètre. Le trajet en autobus de plus des deux tiers de ces élèves dure plus de 30</w:t>
      </w:r>
      <w:r w:rsidR="00225C08">
        <w:rPr>
          <w:rFonts w:cs="Times New Roman"/>
          <w:lang w:val="fr-CA"/>
        </w:rPr>
        <w:t xml:space="preserve"> </w:t>
      </w:r>
      <w:r w:rsidRPr="00131B59">
        <w:rPr>
          <w:rFonts w:cs="Times New Roman"/>
          <w:lang w:val="fr-CA"/>
        </w:rPr>
        <w:t>minutes. Or, la plupart des élèves qui fréquentent les écoles de langue anglaise du secteur habitent à moins d’un kilomètre de leur école.</w:t>
      </w:r>
    </w:p>
    <w:p w:rsidR="004B15C3" w:rsidRPr="00131B59" w:rsidRDefault="004B15C3" w:rsidP="004B15C3">
      <w:pPr>
        <w:pStyle w:val="ParaNoNdepar-AltN"/>
        <w:widowControl w:val="0"/>
        <w:rPr>
          <w:rFonts w:cs="Times New Roman"/>
          <w:lang w:val="fr-CA"/>
        </w:rPr>
      </w:pPr>
      <w:r w:rsidRPr="00131B59">
        <w:rPr>
          <w:rFonts w:cs="Times New Roman"/>
          <w:lang w:val="fr-CA"/>
        </w:rPr>
        <w:t>Le ministre de l’Éducation de la Colombie</w:t>
      </w:r>
      <w:r w:rsidR="00225C08">
        <w:rPr>
          <w:rFonts w:cs="Times New Roman"/>
          <w:lang w:val="fr-CA"/>
        </w:rPr>
        <w:t>-</w:t>
      </w:r>
      <w:r w:rsidRPr="00131B59">
        <w:rPr>
          <w:rFonts w:cs="Times New Roman"/>
          <w:lang w:val="fr-CA"/>
        </w:rPr>
        <w:t>Britannique a reconnu que RDV est [</w:t>
      </w:r>
      <w:r w:rsidRPr="00131B59">
        <w:rPr>
          <w:rFonts w:cs="Times New Roman"/>
          <w:smallCaps/>
          <w:lang w:val="fr-CA"/>
        </w:rPr>
        <w:t>traduction</w:t>
      </w:r>
      <w:r w:rsidRPr="00131B59">
        <w:rPr>
          <w:rFonts w:cs="Times New Roman"/>
          <w:lang w:val="fr-CA"/>
        </w:rPr>
        <w:t xml:space="preserve">] </w:t>
      </w:r>
      <w:r w:rsidR="00225C08">
        <w:rPr>
          <w:rFonts w:cs="Times New Roman"/>
          <w:lang w:val="fr-CA"/>
        </w:rPr>
        <w:t>« </w:t>
      </w:r>
      <w:r w:rsidRPr="00131B59">
        <w:rPr>
          <w:rFonts w:cs="Times New Roman"/>
          <w:lang w:val="fr-CA"/>
        </w:rPr>
        <w:t>surpeuplée</w:t>
      </w:r>
      <w:r w:rsidR="00225C08">
        <w:rPr>
          <w:rFonts w:cs="Times New Roman"/>
          <w:lang w:val="fr-CA"/>
        </w:rPr>
        <w:t> »</w:t>
      </w:r>
      <w:r w:rsidRPr="00131B59">
        <w:rPr>
          <w:rFonts w:cs="Times New Roman"/>
          <w:lang w:val="fr-CA"/>
        </w:rPr>
        <w:t>. La construction d’une nouvelle école de langue française à Vancouver est une [</w:t>
      </w:r>
      <w:r w:rsidRPr="00131B59">
        <w:rPr>
          <w:rFonts w:cs="Times New Roman"/>
          <w:smallCaps/>
          <w:lang w:val="fr-CA"/>
        </w:rPr>
        <w:t>traduction</w:t>
      </w:r>
      <w:r w:rsidRPr="00131B59">
        <w:rPr>
          <w:rFonts w:cs="Times New Roman"/>
          <w:lang w:val="fr-CA"/>
        </w:rPr>
        <w:t xml:space="preserve">] </w:t>
      </w:r>
      <w:r w:rsidR="00225C08">
        <w:rPr>
          <w:rFonts w:cs="Times New Roman"/>
          <w:lang w:val="fr-CA"/>
        </w:rPr>
        <w:t>« </w:t>
      </w:r>
      <w:r w:rsidRPr="00131B59">
        <w:rPr>
          <w:rFonts w:cs="Times New Roman"/>
          <w:lang w:val="fr-CA"/>
        </w:rPr>
        <w:t>grande priorité</w:t>
      </w:r>
      <w:r w:rsidR="00225C08">
        <w:rPr>
          <w:rFonts w:cs="Times New Roman"/>
          <w:lang w:val="fr-CA"/>
        </w:rPr>
        <w:t> »</w:t>
      </w:r>
      <w:r w:rsidRPr="00131B59">
        <w:rPr>
          <w:rFonts w:cs="Times New Roman"/>
          <w:lang w:val="fr-CA"/>
        </w:rPr>
        <w:t xml:space="preserve"> pour le ministère de l’Éducation depuis au moins 2008</w:t>
      </w:r>
      <w:r>
        <w:rPr>
          <w:rFonts w:cs="Times New Roman"/>
          <w:lang w:val="fr-CA"/>
        </w:rPr>
        <w:t xml:space="preserve"> </w:t>
      </w:r>
      <w:r w:rsidRPr="00131B59">
        <w:rPr>
          <w:rFonts w:cs="Times New Roman"/>
          <w:lang w:val="fr-CA"/>
        </w:rPr>
        <w:t>(d.a., vol.</w:t>
      </w:r>
      <w:r w:rsidR="00225C08">
        <w:rPr>
          <w:rFonts w:cs="Times New Roman"/>
          <w:lang w:val="fr-CA"/>
        </w:rPr>
        <w:t xml:space="preserve"> </w:t>
      </w:r>
      <w:r w:rsidRPr="00131B59">
        <w:rPr>
          <w:rFonts w:cs="Times New Roman"/>
          <w:lang w:val="fr-CA"/>
        </w:rPr>
        <w:t>II, p.</w:t>
      </w:r>
      <w:r w:rsidR="00225C08">
        <w:rPr>
          <w:rFonts w:cs="Times New Roman"/>
          <w:lang w:val="fr-CA"/>
        </w:rPr>
        <w:t xml:space="preserve"> </w:t>
      </w:r>
      <w:r w:rsidRPr="00131B59">
        <w:rPr>
          <w:rFonts w:cs="Times New Roman"/>
          <w:lang w:val="fr-CA"/>
        </w:rPr>
        <w:t>104). Le Conseil scolaire francophone de la Colombie</w:t>
      </w:r>
      <w:r w:rsidR="00225C08">
        <w:rPr>
          <w:rFonts w:cs="Times New Roman"/>
          <w:lang w:val="fr-CA"/>
        </w:rPr>
        <w:t>-</w:t>
      </w:r>
      <w:r w:rsidRPr="00131B59">
        <w:rPr>
          <w:rFonts w:cs="Times New Roman"/>
          <w:lang w:val="fr-CA"/>
        </w:rPr>
        <w:t>Britannique (CSF), soit le conseil scolaire francophone responsable de RDV, reconnaît qu’il y a surpopulation, que les installations ne respectent pas les normes et que les trajets en autobus sont longs.</w:t>
      </w:r>
    </w:p>
    <w:p w:rsidR="004B15C3" w:rsidRPr="00131B59" w:rsidRDefault="004B15C3" w:rsidP="004B15C3">
      <w:pPr>
        <w:pStyle w:val="ParaNoNdepar-AltN"/>
        <w:widowControl w:val="0"/>
        <w:rPr>
          <w:rFonts w:cs="Times New Roman"/>
          <w:lang w:val="fr-CA"/>
        </w:rPr>
      </w:pPr>
      <w:r w:rsidRPr="00131B59">
        <w:rPr>
          <w:rFonts w:cs="Times New Roman"/>
          <w:lang w:val="fr-CA"/>
        </w:rPr>
        <w:t>En 2010, l’Association des parents de l’école Rose</w:t>
      </w:r>
      <w:r w:rsidR="00225C08">
        <w:rPr>
          <w:rFonts w:cs="Times New Roman"/>
          <w:lang w:val="fr-CA"/>
        </w:rPr>
        <w:t>-</w:t>
      </w:r>
      <w:r w:rsidRPr="00131B59">
        <w:rPr>
          <w:rFonts w:cs="Times New Roman"/>
          <w:lang w:val="fr-CA"/>
        </w:rPr>
        <w:t>des</w:t>
      </w:r>
      <w:r w:rsidR="00225C08">
        <w:rPr>
          <w:rFonts w:cs="Times New Roman"/>
          <w:lang w:val="fr-CA"/>
        </w:rPr>
        <w:t>-</w:t>
      </w:r>
      <w:r w:rsidRPr="00131B59">
        <w:rPr>
          <w:rFonts w:cs="Times New Roman"/>
          <w:lang w:val="fr-CA"/>
        </w:rPr>
        <w:t xml:space="preserve">vents </w:t>
      </w:r>
      <w:r>
        <w:rPr>
          <w:rFonts w:cs="Times New Roman"/>
          <w:lang w:val="fr-CA"/>
        </w:rPr>
        <w:t xml:space="preserve">et Joseph </w:t>
      </w:r>
      <w:r w:rsidRPr="00131B59">
        <w:rPr>
          <w:rFonts w:cs="Times New Roman"/>
          <w:lang w:val="fr-CA"/>
        </w:rPr>
        <w:t>Pagé, en son propre nom et en qualité de représentant des parents d’enfants inscrits à RDV (</w:t>
      </w:r>
      <w:r w:rsidR="00225C08">
        <w:rPr>
          <w:rFonts w:cs="Times New Roman"/>
          <w:lang w:val="fr-CA"/>
        </w:rPr>
        <w:t>« </w:t>
      </w:r>
      <w:r w:rsidRPr="00131B59">
        <w:rPr>
          <w:rFonts w:cs="Times New Roman"/>
          <w:lang w:val="fr-CA"/>
        </w:rPr>
        <w:t>les Parents</w:t>
      </w:r>
      <w:r w:rsidR="00225C08">
        <w:rPr>
          <w:rFonts w:cs="Times New Roman"/>
          <w:lang w:val="fr-CA"/>
        </w:rPr>
        <w:t> »</w:t>
      </w:r>
      <w:r w:rsidRPr="00131B59">
        <w:rPr>
          <w:rFonts w:cs="Times New Roman"/>
          <w:lang w:val="fr-CA"/>
        </w:rPr>
        <w:t>), ont déposé une requête dans laquelle le ministre de l’Éducation, le procureur général de la Colombie</w:t>
      </w:r>
      <w:r w:rsidR="00225C08">
        <w:rPr>
          <w:rFonts w:cs="Times New Roman"/>
          <w:lang w:val="fr-CA"/>
        </w:rPr>
        <w:t>-</w:t>
      </w:r>
      <w:r w:rsidRPr="00131B59">
        <w:rPr>
          <w:rFonts w:cs="Times New Roman"/>
          <w:lang w:val="fr-CA"/>
        </w:rPr>
        <w:t xml:space="preserve">Britannique (collectivement </w:t>
      </w:r>
      <w:r w:rsidR="00225C08">
        <w:rPr>
          <w:rFonts w:cs="Times New Roman"/>
          <w:lang w:val="fr-CA"/>
        </w:rPr>
        <w:t>« </w:t>
      </w:r>
      <w:r w:rsidRPr="00131B59">
        <w:rPr>
          <w:rFonts w:cs="Times New Roman"/>
          <w:lang w:val="fr-CA"/>
        </w:rPr>
        <w:t>la Province</w:t>
      </w:r>
      <w:r w:rsidR="00225C08">
        <w:rPr>
          <w:rFonts w:cs="Times New Roman"/>
          <w:lang w:val="fr-CA"/>
        </w:rPr>
        <w:t> »</w:t>
      </w:r>
      <w:r w:rsidRPr="00131B59">
        <w:rPr>
          <w:rFonts w:cs="Times New Roman"/>
          <w:lang w:val="fr-CA"/>
        </w:rPr>
        <w:t>) et le CSF</w:t>
      </w:r>
      <w:r w:rsidRPr="00131B59">
        <w:rPr>
          <w:rStyle w:val="FootnoteReference"/>
          <w:rFonts w:cs="Times New Roman"/>
          <w:lang w:val="fr-CA"/>
        </w:rPr>
        <w:footnoteReference w:id="1"/>
      </w:r>
      <w:r w:rsidRPr="00131B59">
        <w:rPr>
          <w:rFonts w:cs="Times New Roman"/>
          <w:lang w:val="fr-CA"/>
        </w:rPr>
        <w:t xml:space="preserve"> sont désignés à titre de défendeurs. Les requérants sollicitaient un jugement déclarant que les droits à l’instruction dans la langue de la minorité que confère aux Parents l’art.</w:t>
      </w:r>
      <w:r w:rsidR="00225C08">
        <w:rPr>
          <w:rFonts w:cs="Times New Roman"/>
          <w:lang w:val="fr-CA"/>
        </w:rPr>
        <w:t xml:space="preserve"> </w:t>
      </w:r>
      <w:r w:rsidRPr="00131B59">
        <w:rPr>
          <w:rFonts w:cs="Times New Roman"/>
          <w:lang w:val="fr-CA"/>
        </w:rPr>
        <w:t xml:space="preserve">23 de la </w:t>
      </w:r>
      <w:r w:rsidRPr="00131B59">
        <w:rPr>
          <w:rFonts w:cs="Times New Roman"/>
          <w:i/>
          <w:lang w:val="fr-CA"/>
        </w:rPr>
        <w:t>Charte</w:t>
      </w:r>
      <w:r w:rsidRPr="00131B59">
        <w:rPr>
          <w:rFonts w:cs="Times New Roman"/>
          <w:lang w:val="fr-CA"/>
        </w:rPr>
        <w:t xml:space="preserve"> avaient été violés. Les Parents affirmaient que les installations de l’école RDV n’étaient pas équivalentes à celles des écoles de </w:t>
      </w:r>
      <w:r w:rsidRPr="00131B59">
        <w:rPr>
          <w:rFonts w:cs="Times New Roman"/>
          <w:lang w:val="fr-CA"/>
        </w:rPr>
        <w:lastRenderedPageBreak/>
        <w:t>langue anglaise du secteur. Cependant, ils ont cherché à éluder la question de l’attribution d’une responsabilité pour les lacunes alléguées pendant la première étape de l’instance. Ils espéraient que le prononcé d’un jugement déclaratoire à la première étape soit suffisant pour obtenir une réponse favorable du gouvernement.</w:t>
      </w:r>
    </w:p>
    <w:p w:rsidR="004B15C3" w:rsidRPr="00131B59" w:rsidRDefault="004B15C3" w:rsidP="004B15C3">
      <w:pPr>
        <w:pStyle w:val="ParaNoNdepar-AltN"/>
        <w:widowControl w:val="0"/>
        <w:rPr>
          <w:rFonts w:cs="Times New Roman"/>
          <w:lang w:val="fr-CA"/>
        </w:rPr>
      </w:pPr>
      <w:r w:rsidRPr="00131B59">
        <w:rPr>
          <w:rFonts w:cs="Times New Roman"/>
          <w:lang w:val="fr-CA"/>
        </w:rPr>
        <w:t>Le CSF convient avec les Parents que les installations mises à la disposition des titulaires de droits dans la zone desservie par RDV sont inadéquates. Toutefois, il impute ces lacunes au financement insuffisant de la Province, qui paye les dépenses en immobilisations séparément des dépenses normales de fonctionnement. La Province nie que les installations de RDV sont inadéquates, mais soutient que, si elles le sont, c’est au CSF, à titre d’organisme chargé de gérer et de contrôler le système d’éducation dans la langue de la minorité au nom des titulaires de droits, qu’en incombe la responsabilité.</w:t>
      </w:r>
    </w:p>
    <w:p w:rsidR="004B15C3" w:rsidRPr="00131B59" w:rsidRDefault="004B15C3" w:rsidP="004B15C3">
      <w:pPr>
        <w:pStyle w:val="ParaNoNdepar-AltN"/>
        <w:widowControl w:val="0"/>
        <w:rPr>
          <w:rFonts w:cs="Times New Roman"/>
          <w:lang w:val="fr-CA"/>
        </w:rPr>
      </w:pPr>
      <w:r w:rsidRPr="00131B59">
        <w:rPr>
          <w:rFonts w:cs="Times New Roman"/>
          <w:lang w:val="fr-CA"/>
        </w:rPr>
        <w:t>Dans une action distincte introduite plus tard en 2010, le CSF, la Fédération des parents francophones de Colombie</w:t>
      </w:r>
      <w:r w:rsidR="00225C08">
        <w:rPr>
          <w:rFonts w:cs="Times New Roman"/>
          <w:lang w:val="fr-CA"/>
        </w:rPr>
        <w:t>-</w:t>
      </w:r>
      <w:r w:rsidRPr="00131B59">
        <w:rPr>
          <w:rFonts w:cs="Times New Roman"/>
          <w:lang w:val="fr-CA"/>
        </w:rPr>
        <w:t>Britannique</w:t>
      </w:r>
      <w:r w:rsidRPr="00131B59">
        <w:rPr>
          <w:rStyle w:val="FootnoteReference"/>
          <w:rFonts w:cs="Times New Roman"/>
          <w:lang w:val="fr-CA"/>
        </w:rPr>
        <w:footnoteReference w:id="2"/>
      </w:r>
      <w:r w:rsidRPr="00131B59">
        <w:rPr>
          <w:rFonts w:cs="Times New Roman"/>
          <w:lang w:val="fr-CA"/>
        </w:rPr>
        <w:t xml:space="preserve"> et 33</w:t>
      </w:r>
      <w:r w:rsidR="00225C08">
        <w:rPr>
          <w:rFonts w:cs="Times New Roman"/>
          <w:lang w:val="fr-CA"/>
        </w:rPr>
        <w:t xml:space="preserve"> </w:t>
      </w:r>
      <w:r w:rsidRPr="00131B59">
        <w:rPr>
          <w:rFonts w:cs="Times New Roman"/>
          <w:lang w:val="fr-CA"/>
        </w:rPr>
        <w:t>parents ont poursuivi la Province, alléguant qu’elle avait violé l’art.</w:t>
      </w:r>
      <w:r w:rsidR="00225C08">
        <w:rPr>
          <w:rFonts w:cs="Times New Roman"/>
          <w:lang w:val="fr-CA"/>
        </w:rPr>
        <w:t xml:space="preserve"> </w:t>
      </w:r>
      <w:r w:rsidRPr="00131B59">
        <w:rPr>
          <w:rFonts w:cs="Times New Roman"/>
          <w:lang w:val="fr-CA"/>
        </w:rPr>
        <w:t xml:space="preserve">23 de la </w:t>
      </w:r>
      <w:r w:rsidRPr="00131B59">
        <w:rPr>
          <w:rFonts w:cs="Times New Roman"/>
          <w:i/>
          <w:lang w:val="fr-CA"/>
        </w:rPr>
        <w:t>Charte</w:t>
      </w:r>
      <w:r w:rsidRPr="00131B59">
        <w:rPr>
          <w:rFonts w:cs="Times New Roman"/>
          <w:lang w:val="fr-CA"/>
        </w:rPr>
        <w:t xml:space="preserve"> sur tout son territoire et que des problèmes systémiques minaient le régime de financement des immobilisations instauré par le ministère de l’Éducation pour l’enseignement dans la langue de la minorité. Bien que cette action ne fasse pas l’objet du présent pourvoi, elle permettra peut</w:t>
      </w:r>
      <w:r w:rsidR="00225C08">
        <w:rPr>
          <w:rFonts w:cs="Times New Roman"/>
          <w:lang w:val="fr-CA"/>
        </w:rPr>
        <w:t>-</w:t>
      </w:r>
      <w:r w:rsidRPr="00131B59">
        <w:rPr>
          <w:rFonts w:cs="Times New Roman"/>
          <w:lang w:val="fr-CA"/>
        </w:rPr>
        <w:t>être de régler quelques</w:t>
      </w:r>
      <w:r w:rsidR="00225C08">
        <w:rPr>
          <w:rFonts w:cs="Times New Roman"/>
          <w:lang w:val="fr-CA"/>
        </w:rPr>
        <w:t>-</w:t>
      </w:r>
      <w:r w:rsidRPr="00131B59">
        <w:rPr>
          <w:rFonts w:cs="Times New Roman"/>
          <w:lang w:val="fr-CA"/>
        </w:rPr>
        <w:t xml:space="preserve">unes des questions en suspens soulevées </w:t>
      </w:r>
      <w:r w:rsidRPr="00131B59">
        <w:rPr>
          <w:rFonts w:cs="Times New Roman"/>
          <w:lang w:val="fr-CA"/>
        </w:rPr>
        <w:lastRenderedPageBreak/>
        <w:t>dans la requête.</w:t>
      </w:r>
    </w:p>
    <w:p w:rsidR="004B15C3" w:rsidRPr="00131B59" w:rsidRDefault="004B15C3" w:rsidP="004B15C3">
      <w:pPr>
        <w:pStyle w:val="Title1LevelTitre1Niveau-AltL"/>
        <w:widowControl w:val="0"/>
        <w:numPr>
          <w:ilvl w:val="0"/>
          <w:numId w:val="8"/>
        </w:numPr>
        <w:rPr>
          <w:rFonts w:cs="Times New Roman"/>
          <w:lang w:val="fr-CA"/>
        </w:rPr>
      </w:pPr>
      <w:r w:rsidRPr="00131B59">
        <w:rPr>
          <w:rFonts w:cs="Times New Roman"/>
          <w:lang w:val="fr-CA"/>
        </w:rPr>
        <w:t xml:space="preserve">Historique judiciaire </w:t>
      </w:r>
    </w:p>
    <w:p w:rsidR="004B15C3" w:rsidRPr="00131B59" w:rsidRDefault="004B15C3" w:rsidP="004B15C3">
      <w:pPr>
        <w:pStyle w:val="Title2LevelTitre2Niveau"/>
        <w:widowControl w:val="0"/>
        <w:numPr>
          <w:ilvl w:val="1"/>
          <w:numId w:val="8"/>
        </w:numPr>
        <w:rPr>
          <w:rFonts w:cs="Times New Roman"/>
          <w:lang w:val="fr-CA"/>
        </w:rPr>
      </w:pPr>
      <w:r w:rsidRPr="00131B59">
        <w:rPr>
          <w:rFonts w:cs="Times New Roman"/>
          <w:lang w:val="fr-CA"/>
        </w:rPr>
        <w:t>Cour suprême de la Colombie</w:t>
      </w:r>
      <w:r w:rsidR="00225C08">
        <w:rPr>
          <w:rFonts w:cs="Times New Roman"/>
          <w:lang w:val="fr-CA"/>
        </w:rPr>
        <w:t>-</w:t>
      </w:r>
      <w:r w:rsidRPr="00131B59">
        <w:rPr>
          <w:rFonts w:cs="Times New Roman"/>
          <w:lang w:val="fr-CA"/>
        </w:rPr>
        <w:t xml:space="preserve">Britannique </w:t>
      </w:r>
    </w:p>
    <w:p w:rsidR="004B15C3" w:rsidRPr="00131B59" w:rsidRDefault="004B15C3" w:rsidP="004B15C3">
      <w:pPr>
        <w:pStyle w:val="ParaNoNdepar-AltN"/>
        <w:widowControl w:val="0"/>
        <w:rPr>
          <w:rFonts w:cs="Times New Roman"/>
          <w:szCs w:val="24"/>
          <w:lang w:val="fr-CA"/>
        </w:rPr>
      </w:pPr>
      <w:r w:rsidRPr="00131B59">
        <w:rPr>
          <w:rFonts w:cs="Times New Roman"/>
          <w:szCs w:val="24"/>
          <w:lang w:val="fr-CA"/>
        </w:rPr>
        <w:t>La présente affaire constitue la première étape de ce qui pourrait être une instance à étapes multiples. Le juge Willcock, siégeant alors à la Cour suprême de la Colombie</w:t>
      </w:r>
      <w:r w:rsidR="00225C08">
        <w:rPr>
          <w:rFonts w:cs="Times New Roman"/>
          <w:szCs w:val="24"/>
          <w:lang w:val="fr-CA"/>
        </w:rPr>
        <w:t>-</w:t>
      </w:r>
      <w:r w:rsidRPr="00131B59">
        <w:rPr>
          <w:rFonts w:cs="Times New Roman"/>
          <w:szCs w:val="24"/>
          <w:lang w:val="fr-CA"/>
        </w:rPr>
        <w:t>Britannique, a présidé l’audition de la requête. Il a décidé de diviser l’instance en étapes vu le caractère déclaratoire de la réparation demandée par les Parents et la possibilité que l’issue de la première phase mette fin au différend</w:t>
      </w:r>
      <w:r>
        <w:rPr>
          <w:rFonts w:cs="Times New Roman"/>
          <w:szCs w:val="24"/>
          <w:lang w:val="fr-CA"/>
        </w:rPr>
        <w:t xml:space="preserve"> (2011 </w:t>
      </w:r>
      <w:r w:rsidRPr="00131B59">
        <w:rPr>
          <w:rFonts w:cs="Times New Roman"/>
          <w:szCs w:val="24"/>
          <w:lang w:val="fr-CA"/>
        </w:rPr>
        <w:t>BCSC 1495, 21 C.P.C. (7th) 111). Ce faisant, il a pris en considération l’utilisation efficiente des ressources judiciaires et la nécessité cruciale de tenir à temps la promesse contenue à l’art.</w:t>
      </w:r>
      <w:r w:rsidR="00225C08">
        <w:rPr>
          <w:rFonts w:cs="Times New Roman"/>
          <w:szCs w:val="24"/>
          <w:lang w:val="fr-CA"/>
        </w:rPr>
        <w:t xml:space="preserve"> </w:t>
      </w:r>
      <w:r w:rsidRPr="00131B59">
        <w:rPr>
          <w:rFonts w:cs="Times New Roman"/>
          <w:szCs w:val="24"/>
          <w:lang w:val="fr-CA"/>
        </w:rPr>
        <w:t>23 pour éviter les risques d’assimilation dus aux atermoiements, en s’appuyant sur l’arrêt</w:t>
      </w:r>
      <w:r w:rsidRPr="00131B59">
        <w:rPr>
          <w:rFonts w:cs="Times New Roman"/>
          <w:i/>
          <w:szCs w:val="24"/>
          <w:lang w:val="fr-CA"/>
        </w:rPr>
        <w:t xml:space="preserve"> Doucet</w:t>
      </w:r>
      <w:r w:rsidR="00225C08">
        <w:rPr>
          <w:rFonts w:cs="Times New Roman"/>
          <w:i/>
          <w:szCs w:val="24"/>
          <w:lang w:val="fr-CA"/>
        </w:rPr>
        <w:t>-</w:t>
      </w:r>
      <w:r w:rsidRPr="00131B59">
        <w:rPr>
          <w:rFonts w:cs="Times New Roman"/>
          <w:i/>
          <w:szCs w:val="24"/>
          <w:lang w:val="fr-CA"/>
        </w:rPr>
        <w:t>Boudreau c. Nouvelle</w:t>
      </w:r>
      <w:r w:rsidR="00225C08">
        <w:rPr>
          <w:rFonts w:cs="Times New Roman"/>
          <w:i/>
          <w:szCs w:val="24"/>
          <w:lang w:val="fr-CA"/>
        </w:rPr>
        <w:t>-</w:t>
      </w:r>
      <w:r w:rsidRPr="00131B59">
        <w:rPr>
          <w:rFonts w:cs="Times New Roman"/>
          <w:i/>
          <w:szCs w:val="24"/>
          <w:lang w:val="fr-CA"/>
        </w:rPr>
        <w:t>Écosse (Ministre de l’Éducation)</w:t>
      </w:r>
      <w:r w:rsidRPr="00131B59">
        <w:rPr>
          <w:rFonts w:cs="Times New Roman"/>
          <w:szCs w:val="24"/>
          <w:lang w:val="fr-CA"/>
        </w:rPr>
        <w:t>, 2003 CSC 62, [2003] 3 R.C.S. 3, par.</w:t>
      </w:r>
      <w:r w:rsidR="00225C08">
        <w:rPr>
          <w:rFonts w:cs="Times New Roman"/>
          <w:szCs w:val="24"/>
          <w:lang w:val="fr-CA"/>
        </w:rPr>
        <w:t xml:space="preserve"> </w:t>
      </w:r>
      <w:r w:rsidRPr="00131B59">
        <w:rPr>
          <w:rFonts w:cs="Times New Roman"/>
          <w:szCs w:val="24"/>
          <w:lang w:val="fr-CA"/>
        </w:rPr>
        <w:t>29.</w:t>
      </w:r>
    </w:p>
    <w:p w:rsidR="004B15C3" w:rsidRPr="00131B59" w:rsidRDefault="004B15C3" w:rsidP="004B15C3">
      <w:pPr>
        <w:pStyle w:val="ParaNoNdepar-AltN"/>
        <w:widowControl w:val="0"/>
        <w:rPr>
          <w:rFonts w:cs="Times New Roman"/>
          <w:lang w:val="fr-CA"/>
        </w:rPr>
      </w:pPr>
      <w:r w:rsidRPr="00131B59">
        <w:rPr>
          <w:rFonts w:cs="Times New Roman"/>
          <w:lang w:val="fr-CA"/>
        </w:rPr>
        <w:t>Le pourvoi qui nous occupe porte sur la première étape. Le juge devait décider si les Parents bénéficiaient d’un enseignement et d’installations équivalents à ceux des écoles de la majorité linguistique, comme le garantit l’art.</w:t>
      </w:r>
      <w:r w:rsidR="00225C08">
        <w:rPr>
          <w:rFonts w:cs="Times New Roman"/>
          <w:lang w:val="fr-CA"/>
        </w:rPr>
        <w:t xml:space="preserve"> </w:t>
      </w:r>
      <w:r w:rsidRPr="00131B59">
        <w:rPr>
          <w:rFonts w:cs="Times New Roman"/>
          <w:lang w:val="fr-CA"/>
        </w:rPr>
        <w:t xml:space="preserve">23 de la </w:t>
      </w:r>
      <w:r w:rsidRPr="00131B59">
        <w:rPr>
          <w:rFonts w:cs="Times New Roman"/>
          <w:i/>
          <w:lang w:val="fr-CA"/>
        </w:rPr>
        <w:t>Charte</w:t>
      </w:r>
      <w:r w:rsidRPr="00131B59">
        <w:rPr>
          <w:rFonts w:cs="Times New Roman"/>
          <w:lang w:val="fr-CA"/>
        </w:rPr>
        <w:t xml:space="preserve">. Avant de passer à cette étape, le juge a radié certains passages des actes de procédure de la Province au motif qu’ils n’étaient pas pertinents quant au premier stade de l’instance (2011 BCSC 1495). La Province a par ailleurs demandé pendant l’audience un ajournement afin de présenter des éléments de preuve additionnels sur différents </w:t>
      </w:r>
      <w:r w:rsidRPr="00131B59">
        <w:rPr>
          <w:rFonts w:cs="Times New Roman"/>
          <w:lang w:val="fr-CA"/>
        </w:rPr>
        <w:lastRenderedPageBreak/>
        <w:t>points, y compris la responsabilité de toute violation de l’art.</w:t>
      </w:r>
      <w:r w:rsidR="00225C08">
        <w:rPr>
          <w:rFonts w:cs="Times New Roman"/>
          <w:lang w:val="fr-CA"/>
        </w:rPr>
        <w:t xml:space="preserve"> </w:t>
      </w:r>
      <w:r w:rsidRPr="00131B59">
        <w:rPr>
          <w:rFonts w:cs="Times New Roman"/>
          <w:lang w:val="fr-CA"/>
        </w:rPr>
        <w:t>23. Le juge a rejeté la demande d’ajournement (2012 BCSC 1206).</w:t>
      </w:r>
    </w:p>
    <w:p w:rsidR="004B15C3" w:rsidRPr="00131B59" w:rsidRDefault="004B15C3" w:rsidP="004B15C3">
      <w:pPr>
        <w:pStyle w:val="ParaNoNdepar-AltN"/>
        <w:widowControl w:val="0"/>
        <w:rPr>
          <w:rFonts w:cs="Times New Roman"/>
          <w:iCs/>
          <w:lang w:val="fr-CA"/>
        </w:rPr>
      </w:pPr>
      <w:r w:rsidRPr="00131B59">
        <w:rPr>
          <w:rFonts w:cs="Times New Roman"/>
          <w:lang w:val="fr-CA"/>
        </w:rPr>
        <w:t xml:space="preserve">Dans ses motifs de jugement rendus au terme de la première étape de l’instance, le juge a conclu que l’établissement d’enseignement fourni aux Parents n’est pas de qualité équivalente aux établissements d’enseignement mis à la disposition des élèves de la majorité linguistique dans le même secteur (2012 BCSC 1614, 39 B.C.L.R. (5th) 144). Il a jugé que, malgré la grande qualité de l’enseignement et les bons résultats scolaires, les installations de RDV sont inadéquates, et que les longs déplacements de nombreux élèves ne sont pas contrebalancés par des installations ou des programmes de qualité supérieure. </w:t>
      </w:r>
      <w:r w:rsidR="00390AD3">
        <w:rPr>
          <w:rFonts w:cs="Times New Roman"/>
          <w:lang w:val="fr-CA"/>
        </w:rPr>
        <w:t xml:space="preserve">À mon avis, l’écart avait pour effet de limiter l’inscription et de contribuer à l’assimilation. </w:t>
      </w:r>
      <w:r w:rsidRPr="00131B59">
        <w:rPr>
          <w:rFonts w:cs="Times New Roman"/>
          <w:lang w:val="fr-CA"/>
        </w:rPr>
        <w:t>Il a conclu que les installations ne peuvent satisfaire à la norme d’équivalence établie par l’art.</w:t>
      </w:r>
      <w:r w:rsidR="00225C08">
        <w:rPr>
          <w:rFonts w:cs="Times New Roman"/>
          <w:lang w:val="fr-CA"/>
        </w:rPr>
        <w:t xml:space="preserve"> </w:t>
      </w:r>
      <w:r w:rsidRPr="00131B59">
        <w:rPr>
          <w:rFonts w:cs="Times New Roman"/>
          <w:lang w:val="fr-CA"/>
        </w:rPr>
        <w:t xml:space="preserve">23 de la </w:t>
      </w:r>
      <w:r w:rsidRPr="00131B59">
        <w:rPr>
          <w:rFonts w:cs="Times New Roman"/>
          <w:i/>
          <w:lang w:val="fr-CA"/>
        </w:rPr>
        <w:t>Charte</w:t>
      </w:r>
      <w:r w:rsidRPr="00131B59">
        <w:rPr>
          <w:rFonts w:cs="Times New Roman"/>
          <w:lang w:val="fr-CA"/>
        </w:rPr>
        <w:t>. Il n’a imputé aucune responsabilité pour ce manquement à la norme constitutionnelle.</w:t>
      </w:r>
    </w:p>
    <w:p w:rsidR="004B15C3" w:rsidRPr="00131B59" w:rsidRDefault="004B15C3" w:rsidP="004B15C3">
      <w:pPr>
        <w:pStyle w:val="ParaNoNdepar-AltN"/>
        <w:widowControl w:val="0"/>
        <w:rPr>
          <w:rFonts w:cs="Times New Roman"/>
          <w:iCs/>
          <w:lang w:val="fr-CA"/>
        </w:rPr>
      </w:pPr>
      <w:r w:rsidRPr="00131B59">
        <w:rPr>
          <w:rFonts w:cs="Times New Roman"/>
          <w:lang w:val="fr-CA"/>
        </w:rPr>
        <w:t>Le juge a prononcé [</w:t>
      </w:r>
      <w:r w:rsidRPr="00131B59">
        <w:rPr>
          <w:rFonts w:cs="Times New Roman"/>
          <w:smallCaps/>
          <w:lang w:val="fr-CA"/>
        </w:rPr>
        <w:t>traduction</w:t>
      </w:r>
      <w:r w:rsidRPr="00131B59">
        <w:rPr>
          <w:rFonts w:cs="Times New Roman"/>
          <w:lang w:val="fr-CA"/>
        </w:rPr>
        <w:t xml:space="preserve">] </w:t>
      </w:r>
      <w:r w:rsidR="00225C08">
        <w:rPr>
          <w:rFonts w:cs="Times New Roman"/>
          <w:lang w:val="fr-CA"/>
        </w:rPr>
        <w:t>« </w:t>
      </w:r>
      <w:r w:rsidRPr="00131B59">
        <w:rPr>
          <w:rFonts w:cs="Times New Roman"/>
          <w:lang w:val="fr-CA"/>
        </w:rPr>
        <w:t>un jugement déclaratoire en faveur des parents [</w:t>
      </w:r>
      <w:r w:rsidR="00225C08">
        <w:rPr>
          <w:rFonts w:cs="Times New Roman"/>
          <w:lang w:val="fr-CA"/>
        </w:rPr>
        <w:t>. . .</w:t>
      </w:r>
      <w:r w:rsidRPr="00131B59">
        <w:rPr>
          <w:rFonts w:cs="Times New Roman"/>
          <w:lang w:val="fr-CA"/>
        </w:rPr>
        <w:t>] portant qu’ils n’ont pas accès aux établissements d’enseignement dans la langue de la minorité que leur garantit l’art.</w:t>
      </w:r>
      <w:r w:rsidR="00225C08">
        <w:rPr>
          <w:rFonts w:cs="Times New Roman"/>
          <w:lang w:val="fr-CA"/>
        </w:rPr>
        <w:t xml:space="preserve"> </w:t>
      </w:r>
      <w:r w:rsidRPr="00131B59">
        <w:rPr>
          <w:rFonts w:cs="Times New Roman"/>
          <w:lang w:val="fr-CA"/>
        </w:rPr>
        <w:t xml:space="preserve">23 de la </w:t>
      </w:r>
      <w:r w:rsidRPr="00131B59">
        <w:rPr>
          <w:rFonts w:cs="Times New Roman"/>
          <w:i/>
          <w:lang w:val="fr-CA"/>
        </w:rPr>
        <w:t>Charte canadienne des droits et libertés</w:t>
      </w:r>
      <w:r w:rsidR="00225C08">
        <w:rPr>
          <w:rFonts w:cs="Times New Roman"/>
          <w:lang w:val="fr-CA"/>
        </w:rPr>
        <w:t xml:space="preserve"> » </w:t>
      </w:r>
      <w:r w:rsidRPr="00131B59">
        <w:rPr>
          <w:rFonts w:cs="Times New Roman"/>
          <w:lang w:val="fr-CA"/>
        </w:rPr>
        <w:t>(</w:t>
      </w:r>
      <w:r w:rsidRPr="00131B59">
        <w:rPr>
          <w:rFonts w:cs="Times New Roman"/>
          <w:iCs/>
          <w:lang w:val="fr-CA"/>
        </w:rPr>
        <w:t>par.</w:t>
      </w:r>
      <w:r w:rsidR="00225C08">
        <w:rPr>
          <w:rFonts w:cs="Times New Roman"/>
          <w:iCs/>
          <w:lang w:val="fr-CA"/>
        </w:rPr>
        <w:t xml:space="preserve"> </w:t>
      </w:r>
      <w:r w:rsidRPr="00131B59">
        <w:rPr>
          <w:rFonts w:cs="Times New Roman"/>
          <w:iCs/>
          <w:lang w:val="fr-CA"/>
        </w:rPr>
        <w:t>160). Il s’est aussi déclaré compétent pour entendre les autres demandes dans ce litige si le résultat de la première étape de l’instance ne permettait pas de faciliter le règlement des questions opposant les parties.</w:t>
      </w:r>
    </w:p>
    <w:p w:rsidR="004B15C3" w:rsidRPr="00131B59" w:rsidRDefault="004B15C3" w:rsidP="004B15C3">
      <w:pPr>
        <w:pStyle w:val="ParaNoNdepar-AltN"/>
        <w:widowControl w:val="0"/>
        <w:rPr>
          <w:rFonts w:cs="Times New Roman"/>
          <w:iCs/>
          <w:lang w:val="fr-CA"/>
        </w:rPr>
      </w:pPr>
      <w:r w:rsidRPr="00131B59">
        <w:rPr>
          <w:rFonts w:cs="Times New Roman"/>
          <w:iCs/>
          <w:lang w:val="fr-CA"/>
        </w:rPr>
        <w:t xml:space="preserve">Le juge a accordé des dépens spéciaux aux Parents devant toutes les cours </w:t>
      </w:r>
      <w:r w:rsidRPr="00131B59">
        <w:rPr>
          <w:rFonts w:cs="Times New Roman"/>
          <w:iCs/>
          <w:lang w:val="fr-CA"/>
        </w:rPr>
        <w:lastRenderedPageBreak/>
        <w:t>et au CSF pour toutes les procédures en cours le 4</w:t>
      </w:r>
      <w:r w:rsidR="00225C08">
        <w:rPr>
          <w:rFonts w:cs="Times New Roman"/>
          <w:iCs/>
          <w:lang w:val="fr-CA"/>
        </w:rPr>
        <w:t xml:space="preserve"> </w:t>
      </w:r>
      <w:r w:rsidRPr="00131B59">
        <w:rPr>
          <w:rFonts w:cs="Times New Roman"/>
          <w:iCs/>
          <w:lang w:val="fr-CA"/>
        </w:rPr>
        <w:t xml:space="preserve">novembre 2011 ou après cette date </w:t>
      </w:r>
      <w:r w:rsidRPr="00131B59">
        <w:rPr>
          <w:rFonts w:cs="Times New Roman"/>
          <w:lang w:val="fr-CA"/>
        </w:rPr>
        <w:t>(2013 BCSC 1111, 49 B.C.L.R. (5th) 189)</w:t>
      </w:r>
      <w:r w:rsidRPr="00131B59">
        <w:rPr>
          <w:rFonts w:cs="Times New Roman"/>
          <w:iCs/>
          <w:lang w:val="fr-CA"/>
        </w:rPr>
        <w:t>. Estimant que la conduite de la Province ne méritait ni reproche ni réprimande</w:t>
      </w:r>
      <w:r w:rsidRPr="00131B59">
        <w:rPr>
          <w:rFonts w:cs="Times New Roman"/>
          <w:lang w:val="fr-CA"/>
        </w:rPr>
        <w:t>, le juge a tout de même conclu que les requérants et le CSF avaient droit à des dépens spéciaux en tant que parties à un litige d’intérêt public.</w:t>
      </w:r>
    </w:p>
    <w:p w:rsidR="004B15C3" w:rsidRPr="00131B59" w:rsidRDefault="004B15C3" w:rsidP="004B15C3">
      <w:pPr>
        <w:pStyle w:val="Title2LevelTitre2Niveau"/>
        <w:widowControl w:val="0"/>
        <w:numPr>
          <w:ilvl w:val="1"/>
          <w:numId w:val="8"/>
        </w:numPr>
        <w:rPr>
          <w:rFonts w:cs="Times New Roman"/>
          <w:lang w:val="fr-CA"/>
        </w:rPr>
      </w:pPr>
      <w:r w:rsidRPr="00131B59">
        <w:rPr>
          <w:rFonts w:cs="Times New Roman"/>
          <w:lang w:val="fr-CA"/>
        </w:rPr>
        <w:t>Cour d’appel de la Colombie</w:t>
      </w:r>
      <w:r w:rsidR="00225C08">
        <w:rPr>
          <w:rFonts w:cs="Times New Roman"/>
          <w:lang w:val="fr-CA"/>
        </w:rPr>
        <w:t>-</w:t>
      </w:r>
      <w:r w:rsidRPr="00131B59">
        <w:rPr>
          <w:rFonts w:cs="Times New Roman"/>
          <w:lang w:val="fr-CA"/>
        </w:rPr>
        <w:t>Britannique</w:t>
      </w:r>
    </w:p>
    <w:p w:rsidR="004B15C3" w:rsidRPr="00131B59" w:rsidRDefault="004B15C3" w:rsidP="004B15C3">
      <w:pPr>
        <w:pStyle w:val="ParaNoNdepar-AltN"/>
        <w:widowControl w:val="0"/>
        <w:rPr>
          <w:rFonts w:cs="Times New Roman"/>
          <w:lang w:val="fr-CA"/>
        </w:rPr>
      </w:pPr>
      <w:r w:rsidRPr="00131B59">
        <w:rPr>
          <w:rFonts w:cs="Times New Roman"/>
          <w:lang w:val="fr-CA"/>
        </w:rPr>
        <w:t>La Cour d’appel de la Colombie</w:t>
      </w:r>
      <w:r w:rsidR="00225C08">
        <w:rPr>
          <w:rFonts w:cs="Times New Roman"/>
          <w:lang w:val="fr-CA"/>
        </w:rPr>
        <w:t>-</w:t>
      </w:r>
      <w:r w:rsidRPr="00131B59">
        <w:rPr>
          <w:rFonts w:cs="Times New Roman"/>
          <w:lang w:val="fr-CA"/>
        </w:rPr>
        <w:t>Britannique a accueilli l’appel de la Province. Le juge Hinkson (avec l’accord des juges Saunders et Bennett) a conclu que certains paragraphes radiés par le juge n’auraient pas dû l’être puisqu’ils n’étaient pas manifestement dépourvus de pertinence pour la première étape de l’instance (2013</w:t>
      </w:r>
      <w:r w:rsidR="00225C08">
        <w:rPr>
          <w:rFonts w:cs="Times New Roman"/>
          <w:lang w:val="fr-CA"/>
        </w:rPr>
        <w:t xml:space="preserve"> </w:t>
      </w:r>
      <w:r w:rsidRPr="00131B59">
        <w:rPr>
          <w:rFonts w:cs="Times New Roman"/>
          <w:lang w:val="fr-CA"/>
        </w:rPr>
        <w:t>BCCA 407, 49 B.C.L.R. (5th) 246). La Cour d’appel a estimé que les coûts et les considérations pratiques peuvent s’avérer pertinents dans l’analyse de l’équivalence à la première étape. Se fondant sur les précisions apportées en mars</w:t>
      </w:r>
      <w:r>
        <w:rPr>
          <w:rFonts w:cs="Times New Roman"/>
          <w:lang w:val="fr-CA"/>
        </w:rPr>
        <w:t xml:space="preserve"> </w:t>
      </w:r>
      <w:r w:rsidRPr="00131B59">
        <w:rPr>
          <w:rFonts w:cs="Times New Roman"/>
          <w:lang w:val="fr-CA"/>
        </w:rPr>
        <w:t>2012 par le juge à son ordonnance de division en étapes de 2011, elle a aussi conclu que les motifs du jugement allaient au</w:t>
      </w:r>
      <w:r w:rsidR="00225C08">
        <w:rPr>
          <w:rFonts w:cs="Times New Roman"/>
          <w:lang w:val="fr-CA"/>
        </w:rPr>
        <w:t>-</w:t>
      </w:r>
      <w:r w:rsidRPr="00131B59">
        <w:rPr>
          <w:rFonts w:cs="Times New Roman"/>
          <w:lang w:val="fr-CA"/>
        </w:rPr>
        <w:t>delà de ce que le juge avait dit vouloir régler au cours de la première étape de l’instance. La Province avait donc été injustement privée de la possibilité de recueillir d’autres éléments de preuve pour appuyer sa défense selon laquelle toute différence entre les établissements ne constituait pas une atteinte aux droits garantis aux Parents par l’art.</w:t>
      </w:r>
      <w:r w:rsidR="00225C08">
        <w:rPr>
          <w:rFonts w:cs="Times New Roman"/>
          <w:lang w:val="fr-CA"/>
        </w:rPr>
        <w:t xml:space="preserve"> </w:t>
      </w:r>
      <w:r w:rsidRPr="00131B59">
        <w:rPr>
          <w:rFonts w:cs="Times New Roman"/>
          <w:lang w:val="fr-CA"/>
        </w:rPr>
        <w:t>23.</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La Cour d’appel a annulé l’ordonnance radiant certains paragraphes des actes de procédure de la Province. Elle a également annulé le jugement déclaratoire </w:t>
      </w:r>
      <w:r w:rsidRPr="00131B59">
        <w:rPr>
          <w:rFonts w:cs="Times New Roman"/>
          <w:lang w:val="fr-CA"/>
        </w:rPr>
        <w:lastRenderedPageBreak/>
        <w:t>du juge</w:t>
      </w:r>
      <w:r>
        <w:rPr>
          <w:rFonts w:cs="Times New Roman"/>
          <w:lang w:val="fr-CA"/>
        </w:rPr>
        <w:t xml:space="preserve"> </w:t>
      </w:r>
      <w:r w:rsidRPr="00131B59">
        <w:rPr>
          <w:rFonts w:cs="Times New Roman"/>
          <w:lang w:val="fr-CA"/>
        </w:rPr>
        <w:t>Willcock daté du 31</w:t>
      </w:r>
      <w:r w:rsidR="00225C08">
        <w:rPr>
          <w:rFonts w:cs="Times New Roman"/>
          <w:lang w:val="fr-CA"/>
        </w:rPr>
        <w:t xml:space="preserve"> </w:t>
      </w:r>
      <w:r w:rsidRPr="00131B59">
        <w:rPr>
          <w:rFonts w:cs="Times New Roman"/>
          <w:lang w:val="fr-CA"/>
        </w:rPr>
        <w:t>octobre 2012 et a ordonné que la requête soit renvoyée à la Cour suprême de la Colombie</w:t>
      </w:r>
      <w:r w:rsidR="00225C08">
        <w:rPr>
          <w:rFonts w:cs="Times New Roman"/>
          <w:lang w:val="fr-CA"/>
        </w:rPr>
        <w:t>-</w:t>
      </w:r>
      <w:r w:rsidRPr="00131B59">
        <w:rPr>
          <w:rFonts w:cs="Times New Roman"/>
          <w:lang w:val="fr-CA"/>
        </w:rPr>
        <w:t>Britannique. La Cour d’appel a annulé en outre l’octroi des dépens spéciaux (2014 BCCA 40, 54 B.C.L.R. (5th) 79).</w:t>
      </w:r>
    </w:p>
    <w:p w:rsidR="004B15C3" w:rsidRPr="00131B59" w:rsidRDefault="004B15C3" w:rsidP="004B15C3">
      <w:pPr>
        <w:pStyle w:val="Title1LevelTitre1Niveau-AltL"/>
        <w:widowControl w:val="0"/>
        <w:numPr>
          <w:ilvl w:val="0"/>
          <w:numId w:val="8"/>
        </w:numPr>
        <w:rPr>
          <w:rFonts w:cs="Times New Roman"/>
          <w:lang w:val="fr-CA"/>
        </w:rPr>
      </w:pPr>
      <w:r w:rsidRPr="00131B59">
        <w:rPr>
          <w:rFonts w:cs="Times New Roman"/>
          <w:lang w:val="fr-CA"/>
        </w:rPr>
        <w:t>Questions en litige</w:t>
      </w:r>
    </w:p>
    <w:p w:rsidR="004B15C3" w:rsidRPr="00131B59" w:rsidRDefault="004B15C3" w:rsidP="004B15C3">
      <w:pPr>
        <w:pStyle w:val="ParaNoNdepar-AltN"/>
        <w:widowControl w:val="0"/>
        <w:rPr>
          <w:rFonts w:cs="Times New Roman"/>
          <w:lang w:val="fr-CA"/>
        </w:rPr>
      </w:pPr>
      <w:r w:rsidRPr="00131B59">
        <w:rPr>
          <w:rFonts w:cs="Times New Roman"/>
          <w:lang w:val="fr-CA"/>
        </w:rPr>
        <w:t>Le présent pourvoi soulève à la fois des questions de fond et de procédure.</w:t>
      </w:r>
    </w:p>
    <w:p w:rsidR="004B15C3" w:rsidRPr="00131B59" w:rsidRDefault="004B15C3" w:rsidP="004B15C3">
      <w:pPr>
        <w:pStyle w:val="ParaNoNdepar-AltN"/>
        <w:widowControl w:val="0"/>
        <w:rPr>
          <w:rFonts w:cs="Times New Roman"/>
          <w:lang w:val="fr-CA"/>
        </w:rPr>
      </w:pPr>
      <w:r w:rsidRPr="00131B59">
        <w:rPr>
          <w:rFonts w:cs="Times New Roman"/>
          <w:lang w:val="fr-CA"/>
        </w:rPr>
        <w:t>Premièrement, comment le tribunal doit</w:t>
      </w:r>
      <w:r w:rsidR="00225C08">
        <w:rPr>
          <w:rFonts w:cs="Times New Roman"/>
          <w:lang w:val="fr-CA"/>
        </w:rPr>
        <w:t>-</w:t>
      </w:r>
      <w:r w:rsidRPr="00131B59">
        <w:rPr>
          <w:rFonts w:cs="Times New Roman"/>
          <w:lang w:val="fr-CA"/>
        </w:rPr>
        <w:t>il apprécier le rapport d’équivalence réelle entre un établissement scolaire dans la langue de la minorité et des établissements scolaires dans la langue de la majorité, afin de déterminer si l’établissement scolaire dans la langue de la minorité respecte l’art.</w:t>
      </w:r>
      <w:r w:rsidR="00225C08">
        <w:rPr>
          <w:rFonts w:cs="Times New Roman"/>
          <w:lang w:val="fr-CA"/>
        </w:rPr>
        <w:t xml:space="preserve"> </w:t>
      </w:r>
      <w:r w:rsidRPr="00131B59">
        <w:rPr>
          <w:rFonts w:cs="Times New Roman"/>
          <w:lang w:val="fr-CA"/>
        </w:rPr>
        <w:t xml:space="preserve">23 de la </w:t>
      </w:r>
      <w:r w:rsidRPr="00131B59">
        <w:rPr>
          <w:rFonts w:cs="Times New Roman"/>
          <w:i/>
          <w:lang w:val="fr-CA"/>
        </w:rPr>
        <w:t>Charte</w:t>
      </w:r>
      <w:r w:rsidRPr="00131B59">
        <w:rPr>
          <w:rFonts w:cs="Times New Roman"/>
          <w:lang w:val="fr-CA"/>
        </w:rPr>
        <w:t>? Plus particulièrement, les coûts et les considérations pratiques sont</w:t>
      </w:r>
      <w:r w:rsidR="00225C08">
        <w:rPr>
          <w:rFonts w:cs="Times New Roman"/>
          <w:lang w:val="fr-CA"/>
        </w:rPr>
        <w:t>-</w:t>
      </w:r>
      <w:r w:rsidRPr="00131B59">
        <w:rPr>
          <w:rFonts w:cs="Times New Roman"/>
          <w:lang w:val="fr-CA"/>
        </w:rPr>
        <w:t>ils pertinents pour l’analyse de l’équivalence fondée sur l’art.</w:t>
      </w:r>
      <w:r w:rsidR="00225C08">
        <w:rPr>
          <w:rFonts w:cs="Times New Roman"/>
          <w:lang w:val="fr-CA"/>
        </w:rPr>
        <w:t xml:space="preserve"> </w:t>
      </w:r>
      <w:r w:rsidRPr="00131B59">
        <w:rPr>
          <w:rFonts w:cs="Times New Roman"/>
          <w:lang w:val="fr-CA"/>
        </w:rPr>
        <w:t>23? Est</w:t>
      </w:r>
      <w:r w:rsidR="00225C08">
        <w:rPr>
          <w:rFonts w:cs="Times New Roman"/>
          <w:lang w:val="fr-CA"/>
        </w:rPr>
        <w:t>-</w:t>
      </w:r>
      <w:r w:rsidRPr="00131B59">
        <w:rPr>
          <w:rFonts w:cs="Times New Roman"/>
          <w:lang w:val="fr-CA"/>
        </w:rPr>
        <w:t xml:space="preserve">il nécessaire de déterminer qui, d’une province, d’un territoire ou d’un conseil scolaire, est responsable de la violation avant même de conclure à une violation </w:t>
      </w:r>
      <w:r w:rsidRPr="00131B59">
        <w:rPr>
          <w:rFonts w:cs="Times New Roman"/>
          <w:i/>
          <w:lang w:val="fr-CA"/>
        </w:rPr>
        <w:t>prima facie</w:t>
      </w:r>
      <w:r w:rsidRPr="00131B59">
        <w:rPr>
          <w:rFonts w:cs="Times New Roman"/>
          <w:lang w:val="fr-CA"/>
        </w:rPr>
        <w:t xml:space="preserve"> de l’art.</w:t>
      </w:r>
      <w:r w:rsidR="00225C08">
        <w:rPr>
          <w:rFonts w:cs="Times New Roman"/>
          <w:lang w:val="fr-CA"/>
        </w:rPr>
        <w:t xml:space="preserve"> </w:t>
      </w:r>
      <w:r w:rsidRPr="00131B59">
        <w:rPr>
          <w:rFonts w:cs="Times New Roman"/>
          <w:lang w:val="fr-CA"/>
        </w:rPr>
        <w:t>23?</w:t>
      </w:r>
    </w:p>
    <w:p w:rsidR="004B15C3" w:rsidRPr="00131B59" w:rsidRDefault="004B15C3" w:rsidP="004B15C3">
      <w:pPr>
        <w:pStyle w:val="ParaNoNdepar-AltN"/>
        <w:widowControl w:val="0"/>
        <w:rPr>
          <w:rFonts w:cs="Times New Roman"/>
          <w:lang w:val="fr-CA"/>
        </w:rPr>
      </w:pPr>
      <w:r w:rsidRPr="00131B59">
        <w:rPr>
          <w:rFonts w:cs="Times New Roman"/>
          <w:lang w:val="fr-CA"/>
        </w:rPr>
        <w:t>Deuxièmement, la procédure adoptée par le juge saisi de la requête pour gérer l’instance était</w:t>
      </w:r>
      <w:r w:rsidR="00225C08">
        <w:rPr>
          <w:rFonts w:cs="Times New Roman"/>
          <w:lang w:val="fr-CA"/>
        </w:rPr>
        <w:t>-</w:t>
      </w:r>
      <w:r w:rsidRPr="00131B59">
        <w:rPr>
          <w:rFonts w:cs="Times New Roman"/>
          <w:lang w:val="fr-CA"/>
        </w:rPr>
        <w:t>elle inéquitable sur le plan procédural?</w:t>
      </w:r>
    </w:p>
    <w:p w:rsidR="004B15C3" w:rsidRPr="00131B59" w:rsidRDefault="004B15C3" w:rsidP="004B15C3">
      <w:pPr>
        <w:pStyle w:val="Title1LevelTitre1Niveau-AltL"/>
        <w:widowControl w:val="0"/>
        <w:numPr>
          <w:ilvl w:val="0"/>
          <w:numId w:val="8"/>
        </w:numPr>
        <w:rPr>
          <w:rFonts w:cs="Times New Roman"/>
          <w:lang w:val="fr-CA"/>
        </w:rPr>
      </w:pPr>
      <w:r w:rsidRPr="00131B59">
        <w:rPr>
          <w:rFonts w:cs="Times New Roman"/>
          <w:lang w:val="fr-CA"/>
        </w:rPr>
        <w:t>Analyse</w:t>
      </w:r>
    </w:p>
    <w:p w:rsidR="004B15C3" w:rsidRPr="00131B59" w:rsidRDefault="00DD5EEC" w:rsidP="004B15C3">
      <w:pPr>
        <w:pStyle w:val="Title2LevelTitre2Niveau"/>
        <w:widowControl w:val="0"/>
        <w:numPr>
          <w:ilvl w:val="1"/>
          <w:numId w:val="8"/>
        </w:numPr>
        <w:spacing w:before="0"/>
        <w:rPr>
          <w:rFonts w:cs="Times New Roman"/>
          <w:i w:val="0"/>
          <w:lang w:val="fr-CA"/>
        </w:rPr>
      </w:pPr>
      <w:r>
        <w:rPr>
          <w:rFonts w:cs="Times New Roman"/>
          <w:lang w:val="fr-CA"/>
        </w:rPr>
        <w:t xml:space="preserve">Équivalence au sens de l’art. </w:t>
      </w:r>
      <w:r w:rsidR="004B15C3" w:rsidRPr="00131B59">
        <w:rPr>
          <w:rFonts w:cs="Times New Roman"/>
          <w:lang w:val="fr-CA"/>
        </w:rPr>
        <w:t xml:space="preserve">23 de la Charte </w:t>
      </w:r>
    </w:p>
    <w:p w:rsidR="004B15C3" w:rsidRPr="00131B59" w:rsidRDefault="004B15C3" w:rsidP="004B15C3">
      <w:pPr>
        <w:pStyle w:val="Title3LevelTitre3Niveau"/>
        <w:widowControl w:val="0"/>
        <w:numPr>
          <w:ilvl w:val="2"/>
          <w:numId w:val="8"/>
        </w:numPr>
        <w:spacing w:before="0"/>
        <w:rPr>
          <w:rFonts w:cs="Times New Roman"/>
          <w:lang w:val="fr-CA"/>
        </w:rPr>
      </w:pPr>
      <w:r w:rsidRPr="00131B59">
        <w:rPr>
          <w:rFonts w:cs="Times New Roman"/>
          <w:lang w:val="fr-CA"/>
        </w:rPr>
        <w:lastRenderedPageBreak/>
        <w:t>Principes de base et interprétation de l’art</w:t>
      </w:r>
      <w:r w:rsidR="00DD5EEC">
        <w:rPr>
          <w:rFonts w:cs="Times New Roman"/>
          <w:lang w:val="fr-CA"/>
        </w:rPr>
        <w:t>.</w:t>
      </w:r>
      <w:r w:rsidR="00225C08">
        <w:rPr>
          <w:rFonts w:cs="Times New Roman"/>
          <w:lang w:val="fr-CA"/>
        </w:rPr>
        <w:t xml:space="preserve"> </w:t>
      </w:r>
      <w:r w:rsidRPr="00131B59">
        <w:rPr>
          <w:rFonts w:cs="Times New Roman"/>
          <w:lang w:val="fr-CA"/>
        </w:rPr>
        <w:t xml:space="preserve">23 </w:t>
      </w:r>
    </w:p>
    <w:p w:rsidR="004B15C3" w:rsidRPr="00131B59" w:rsidRDefault="004B15C3" w:rsidP="004B15C3">
      <w:pPr>
        <w:pStyle w:val="ParaNoNdepar-AltN"/>
        <w:widowControl w:val="0"/>
        <w:rPr>
          <w:rFonts w:cs="Times New Roman"/>
          <w:lang w:val="fr-CA"/>
        </w:rPr>
      </w:pPr>
      <w:r w:rsidRPr="00131B59">
        <w:rPr>
          <w:rFonts w:cs="Times New Roman"/>
          <w:lang w:val="fr-CA"/>
        </w:rPr>
        <w:t>L’article</w:t>
      </w:r>
      <w:r w:rsidR="00225C08">
        <w:rPr>
          <w:rFonts w:cs="Times New Roman"/>
          <w:lang w:val="fr-CA"/>
        </w:rPr>
        <w:t xml:space="preserve"> </w:t>
      </w:r>
      <w:r w:rsidRPr="00131B59">
        <w:rPr>
          <w:rFonts w:cs="Times New Roman"/>
          <w:lang w:val="fr-CA"/>
        </w:rPr>
        <w:t xml:space="preserve">23 de la </w:t>
      </w:r>
      <w:r w:rsidRPr="00131B59">
        <w:rPr>
          <w:rFonts w:cs="Times New Roman"/>
          <w:i/>
          <w:lang w:val="fr-CA"/>
        </w:rPr>
        <w:t xml:space="preserve">Charte </w:t>
      </w:r>
      <w:r w:rsidRPr="00131B59">
        <w:rPr>
          <w:rFonts w:cs="Times New Roman"/>
          <w:lang w:val="fr-CA"/>
        </w:rPr>
        <w:t>garantit aux titulaires de droits linguistiques minoritaires le droit de faire instruire leurs enfants en français ou en anglais, selon le cas</w:t>
      </w:r>
      <w:r w:rsidR="00225C08">
        <w:rPr>
          <w:rFonts w:cs="Times New Roman"/>
          <w:lang w:val="fr-CA"/>
        </w:rPr>
        <w:t> :</w:t>
      </w:r>
    </w:p>
    <w:p w:rsidR="004B15C3" w:rsidRPr="00131B59" w:rsidRDefault="004B15C3" w:rsidP="004B15C3">
      <w:pPr>
        <w:pStyle w:val="Citation-AltC"/>
        <w:widowControl w:val="0"/>
        <w:spacing w:after="240"/>
        <w:ind w:hanging="1166"/>
        <w:contextualSpacing w:val="0"/>
        <w:rPr>
          <w:lang w:val="fr-CA"/>
        </w:rPr>
      </w:pPr>
      <w:r w:rsidRPr="00131B59">
        <w:rPr>
          <w:b/>
          <w:bCs/>
          <w:lang w:val="fr-CA"/>
        </w:rPr>
        <w:tab/>
      </w:r>
      <w:r w:rsidR="00DD5EEC">
        <w:rPr>
          <w:b/>
          <w:bCs/>
          <w:lang w:val="fr-CA"/>
        </w:rPr>
        <w:tab/>
      </w:r>
      <w:r w:rsidRPr="00131B59">
        <w:rPr>
          <w:b/>
          <w:bCs/>
          <w:lang w:val="fr-CA"/>
        </w:rPr>
        <w:t xml:space="preserve">23. </w:t>
      </w:r>
      <w:r w:rsidRPr="00131B59">
        <w:rPr>
          <w:lang w:val="fr-CA"/>
        </w:rPr>
        <w:t xml:space="preserve"> (1) Les citoyens canadiens</w:t>
      </w:r>
      <w:r w:rsidR="00225C08">
        <w:rPr>
          <w:lang w:val="fr-CA"/>
        </w:rPr>
        <w:t> :</w:t>
      </w:r>
      <w:r w:rsidRPr="00131B59">
        <w:rPr>
          <w:lang w:val="fr-CA"/>
        </w:rPr>
        <w:t xml:space="preserve"> </w:t>
      </w:r>
    </w:p>
    <w:p w:rsidR="004B15C3" w:rsidRPr="00131B59" w:rsidRDefault="004B15C3" w:rsidP="004B15C3">
      <w:pPr>
        <w:pStyle w:val="Citation-AltC"/>
        <w:widowControl w:val="0"/>
        <w:tabs>
          <w:tab w:val="left" w:pos="1800"/>
        </w:tabs>
        <w:spacing w:after="240"/>
        <w:ind w:left="1440" w:hanging="1440"/>
        <w:contextualSpacing w:val="0"/>
        <w:rPr>
          <w:lang w:val="fr-CA"/>
        </w:rPr>
      </w:pPr>
      <w:r w:rsidRPr="00131B59">
        <w:rPr>
          <w:i/>
          <w:iCs/>
          <w:lang w:val="fr-CA"/>
        </w:rPr>
        <w:tab/>
        <w:t>a</w:t>
      </w:r>
      <w:r w:rsidRPr="00131B59">
        <w:rPr>
          <w:lang w:val="fr-CA"/>
        </w:rPr>
        <w:t>)</w:t>
      </w:r>
      <w:r w:rsidRPr="00131B59">
        <w:rPr>
          <w:lang w:val="fr-CA"/>
        </w:rPr>
        <w:tab/>
        <w:t xml:space="preserve">dont la première langue apprise et encore comprise est celle de la minorité francophone ou anglophone de la province où ils résident, </w:t>
      </w:r>
    </w:p>
    <w:p w:rsidR="004B15C3" w:rsidRPr="00131B59" w:rsidRDefault="004B15C3" w:rsidP="004B15C3">
      <w:pPr>
        <w:pStyle w:val="Citation-AltC"/>
        <w:widowControl w:val="0"/>
        <w:tabs>
          <w:tab w:val="left" w:pos="1800"/>
        </w:tabs>
        <w:spacing w:after="240"/>
        <w:ind w:left="1440" w:hanging="1440"/>
        <w:contextualSpacing w:val="0"/>
        <w:rPr>
          <w:lang w:val="fr-CA"/>
        </w:rPr>
      </w:pPr>
      <w:r w:rsidRPr="00131B59">
        <w:rPr>
          <w:i/>
          <w:iCs/>
          <w:lang w:val="fr-CA"/>
        </w:rPr>
        <w:tab/>
        <w:t>b</w:t>
      </w:r>
      <w:r w:rsidRPr="00131B59">
        <w:rPr>
          <w:lang w:val="fr-CA"/>
        </w:rPr>
        <w:t>)</w:t>
      </w:r>
      <w:r w:rsidRPr="00131B59">
        <w:rPr>
          <w:lang w:val="fr-CA"/>
        </w:rPr>
        <w:tab/>
        <w:t>qui ont reçu leur instruction, au niveau primaire, en français ou en anglais au Canada et qui résident dans une province où la langue dans laquelle ils ont reçu cette instruction est celle de la minorité francophone ou anglophone de la province,</w:t>
      </w:r>
    </w:p>
    <w:p w:rsidR="004B15C3" w:rsidRPr="00131B59" w:rsidRDefault="004B15C3" w:rsidP="004B15C3">
      <w:pPr>
        <w:pStyle w:val="Citation-AltC"/>
        <w:widowControl w:val="0"/>
        <w:spacing w:after="240"/>
        <w:ind w:hanging="1166"/>
        <w:contextualSpacing w:val="0"/>
        <w:rPr>
          <w:lang w:val="fr-CA"/>
        </w:rPr>
      </w:pPr>
      <w:r w:rsidRPr="00131B59">
        <w:rPr>
          <w:lang w:val="fr-CA"/>
        </w:rPr>
        <w:tab/>
        <w:t>ont, dans l’un ou l’autre cas, le droit d’y faire instruire leurs enfants, aux niveaux primaire et secondaire, dans cette langue.</w:t>
      </w:r>
    </w:p>
    <w:p w:rsidR="004B15C3" w:rsidRPr="00131B59" w:rsidRDefault="004B15C3" w:rsidP="004B15C3">
      <w:pPr>
        <w:pStyle w:val="Citation-AltC"/>
        <w:widowControl w:val="0"/>
        <w:tabs>
          <w:tab w:val="left" w:pos="1440"/>
        </w:tabs>
        <w:spacing w:after="240"/>
        <w:ind w:hanging="1166"/>
        <w:contextualSpacing w:val="0"/>
        <w:rPr>
          <w:lang w:val="fr-CA"/>
        </w:rPr>
      </w:pPr>
      <w:r w:rsidRPr="00131B59">
        <w:rPr>
          <w:lang w:val="fr-CA"/>
        </w:rPr>
        <w:tab/>
      </w:r>
      <w:r w:rsidRPr="00131B59">
        <w:rPr>
          <w:lang w:val="fr-CA"/>
        </w:rPr>
        <w:tab/>
        <w:t>(2) Les citoyens canadiens dont un enfant a reçu ou reçoit son instruction, au niveau primaire ou secondaire, en français ou en anglais au Canada ont le droit de faire instruire tous leurs enfants, aux niveaux primaire et secondaire, dans la langue de cette instruction.</w:t>
      </w:r>
    </w:p>
    <w:p w:rsidR="004B15C3" w:rsidRPr="00131B59" w:rsidRDefault="004B15C3" w:rsidP="004B15C3">
      <w:pPr>
        <w:pStyle w:val="Citation-AltC"/>
        <w:widowControl w:val="0"/>
        <w:tabs>
          <w:tab w:val="left" w:pos="1440"/>
        </w:tabs>
        <w:spacing w:after="240"/>
        <w:ind w:hanging="1166"/>
        <w:contextualSpacing w:val="0"/>
        <w:rPr>
          <w:lang w:val="fr-CA"/>
        </w:rPr>
      </w:pPr>
      <w:r w:rsidRPr="00131B59">
        <w:rPr>
          <w:lang w:val="fr-CA"/>
        </w:rPr>
        <w:tab/>
      </w:r>
      <w:r w:rsidRPr="00131B59">
        <w:rPr>
          <w:lang w:val="fr-CA"/>
        </w:rPr>
        <w:tab/>
        <w:t>(3) Le droit reconnu aux citoyens canadiens par les paragraphes</w:t>
      </w:r>
      <w:r w:rsidR="00225C08">
        <w:rPr>
          <w:lang w:val="fr-CA"/>
        </w:rPr>
        <w:t xml:space="preserve"> </w:t>
      </w:r>
      <w:r w:rsidRPr="00131B59">
        <w:rPr>
          <w:lang w:val="fr-CA"/>
        </w:rPr>
        <w:t>(1) et (2) de faire instruire leurs enfants, aux niveaux primaire et secondaire, dans la langue de la minorité francophone ou anglophone d’une province</w:t>
      </w:r>
      <w:r w:rsidR="00225C08">
        <w:rPr>
          <w:lang w:val="fr-CA"/>
        </w:rPr>
        <w:t> :</w:t>
      </w:r>
      <w:r w:rsidRPr="00131B59">
        <w:rPr>
          <w:lang w:val="fr-CA"/>
        </w:rPr>
        <w:t xml:space="preserve"> </w:t>
      </w:r>
    </w:p>
    <w:p w:rsidR="004B15C3" w:rsidRPr="00131B59" w:rsidRDefault="004B15C3" w:rsidP="004B15C3">
      <w:pPr>
        <w:pStyle w:val="Citation-AltC"/>
        <w:widowControl w:val="0"/>
        <w:tabs>
          <w:tab w:val="left" w:pos="1800"/>
        </w:tabs>
        <w:spacing w:after="240"/>
        <w:ind w:left="1440" w:hanging="1440"/>
        <w:contextualSpacing w:val="0"/>
        <w:rPr>
          <w:lang w:val="fr-CA"/>
        </w:rPr>
      </w:pPr>
      <w:r w:rsidRPr="00131B59">
        <w:rPr>
          <w:i/>
          <w:iCs/>
          <w:lang w:val="fr-CA"/>
        </w:rPr>
        <w:tab/>
        <w:t>a</w:t>
      </w:r>
      <w:r w:rsidRPr="00131B59">
        <w:rPr>
          <w:lang w:val="fr-CA"/>
        </w:rPr>
        <w:t>)</w:t>
      </w:r>
      <w:r w:rsidRPr="00131B59">
        <w:rPr>
          <w:lang w:val="fr-CA"/>
        </w:rPr>
        <w:tab/>
        <w:t xml:space="preserve">s’exerce partout dans la province où le nombre des enfants des citoyens qui ont ce droit est suffisant pour justifier à leur endroit la prestation, sur les fonds publics, de l’instruction dans la langue de la minorité; </w:t>
      </w:r>
    </w:p>
    <w:p w:rsidR="004B15C3" w:rsidRPr="00131B59" w:rsidRDefault="004B15C3" w:rsidP="004B15C3">
      <w:pPr>
        <w:pStyle w:val="Citation-AltC"/>
        <w:widowControl w:val="0"/>
        <w:tabs>
          <w:tab w:val="left" w:pos="1800"/>
        </w:tabs>
        <w:ind w:left="1440" w:hanging="1440"/>
        <w:contextualSpacing w:val="0"/>
        <w:rPr>
          <w:lang w:val="fr-CA"/>
        </w:rPr>
      </w:pPr>
      <w:r w:rsidRPr="00131B59">
        <w:rPr>
          <w:i/>
          <w:iCs/>
          <w:lang w:val="fr-CA"/>
        </w:rPr>
        <w:tab/>
        <w:t>b</w:t>
      </w:r>
      <w:r w:rsidRPr="00131B59">
        <w:rPr>
          <w:lang w:val="fr-CA"/>
        </w:rPr>
        <w:t>)</w:t>
      </w:r>
      <w:r w:rsidRPr="00131B59">
        <w:rPr>
          <w:lang w:val="fr-CA"/>
        </w:rPr>
        <w:tab/>
      </w:r>
      <w:r w:rsidRPr="00131B59">
        <w:rPr>
          <w:iCs/>
          <w:lang w:val="fr-CA"/>
        </w:rPr>
        <w:t>comprend</w:t>
      </w:r>
      <w:r w:rsidRPr="00131B59">
        <w:rPr>
          <w:lang w:val="fr-CA"/>
        </w:rPr>
        <w:t>, lorsque le nombre de ces enfants le justifie, le droit de les faire instruire dans des établissements d’enseignement de la minorité linguistique financés sur les fonds publics.</w:t>
      </w:r>
    </w:p>
    <w:p w:rsidR="004B15C3" w:rsidRPr="00131B59" w:rsidRDefault="004B15C3" w:rsidP="004B15C3">
      <w:pPr>
        <w:pStyle w:val="ParaNoNdepar-AltN"/>
        <w:widowControl w:val="0"/>
        <w:rPr>
          <w:rFonts w:cs="Times New Roman"/>
          <w:lang w:val="fr-CA"/>
        </w:rPr>
      </w:pPr>
      <w:r w:rsidRPr="00131B59">
        <w:rPr>
          <w:rFonts w:cs="Times New Roman"/>
          <w:lang w:val="fr-CA"/>
        </w:rPr>
        <w:t>Le droit réparateur conféré par l’art</w:t>
      </w:r>
      <w:r w:rsidR="00DD5EEC">
        <w:rPr>
          <w:rFonts w:cs="Times New Roman"/>
          <w:lang w:val="fr-CA"/>
        </w:rPr>
        <w:t>.</w:t>
      </w:r>
      <w:r w:rsidR="00225C08">
        <w:rPr>
          <w:rFonts w:cs="Times New Roman"/>
          <w:lang w:val="fr-CA"/>
        </w:rPr>
        <w:t xml:space="preserve"> </w:t>
      </w:r>
      <w:r w:rsidRPr="00131B59">
        <w:rPr>
          <w:rFonts w:cs="Times New Roman"/>
          <w:lang w:val="fr-CA"/>
        </w:rPr>
        <w:t xml:space="preserve">23 diffère de bien d’autres droits </w:t>
      </w:r>
      <w:r w:rsidRPr="00131B59">
        <w:rPr>
          <w:rFonts w:cs="Times New Roman"/>
          <w:lang w:val="fr-CA"/>
        </w:rPr>
        <w:lastRenderedPageBreak/>
        <w:t xml:space="preserve">reconnus par la </w:t>
      </w:r>
      <w:r w:rsidRPr="00131B59">
        <w:rPr>
          <w:rFonts w:cs="Times New Roman"/>
          <w:i/>
          <w:lang w:val="fr-CA"/>
        </w:rPr>
        <w:t>Charte</w:t>
      </w:r>
      <w:r w:rsidRPr="00131B59">
        <w:rPr>
          <w:rFonts w:cs="Times New Roman"/>
          <w:lang w:val="fr-CA"/>
        </w:rPr>
        <w:t>. Il s’agit d’une balise importante de l’engagement du Canada envers le bilinguisme et le biculturalisme, élément fondateur de notre pays. Il impose aux provinces et aux territoires l’obligation constitutionnelle de fournir un enseignement dans la langue de la minorité aux enfants des titulaires des droits garantis par l’art.</w:t>
      </w:r>
      <w:r w:rsidR="00225C08">
        <w:rPr>
          <w:rFonts w:cs="Times New Roman"/>
          <w:lang w:val="fr-CA"/>
        </w:rPr>
        <w:t xml:space="preserve"> </w:t>
      </w:r>
      <w:r w:rsidRPr="00131B59">
        <w:rPr>
          <w:rFonts w:cs="Times New Roman"/>
          <w:lang w:val="fr-CA"/>
        </w:rPr>
        <w:t>23 lorsque le nombre le justifie. Cet engagement distingue le Canada des autres pays, comme le juge Vickers, de la Cour suprême de la Colombie</w:t>
      </w:r>
      <w:r w:rsidR="00225C08">
        <w:rPr>
          <w:rFonts w:cs="Times New Roman"/>
          <w:lang w:val="fr-CA"/>
        </w:rPr>
        <w:t>-</w:t>
      </w:r>
      <w:r w:rsidRPr="00131B59">
        <w:rPr>
          <w:rFonts w:cs="Times New Roman"/>
          <w:lang w:val="fr-CA"/>
        </w:rPr>
        <w:t xml:space="preserve">Britannique, l’a expliqué dans </w:t>
      </w:r>
      <w:r w:rsidRPr="00131B59">
        <w:rPr>
          <w:rFonts w:cs="Times New Roman"/>
          <w:i/>
          <w:lang w:val="fr-CA"/>
        </w:rPr>
        <w:t>Assn. des Parents Francophones</w:t>
      </w:r>
      <w:r w:rsidR="00225C08">
        <w:rPr>
          <w:rFonts w:cs="Times New Roman"/>
          <w:lang w:val="fr-CA"/>
        </w:rPr>
        <w:t> :</w:t>
      </w:r>
      <w:r w:rsidRPr="00131B59">
        <w:rPr>
          <w:rFonts w:cs="Times New Roman"/>
          <w:lang w:val="fr-CA"/>
        </w:rPr>
        <w:t xml:space="preserve"> </w:t>
      </w:r>
    </w:p>
    <w:p w:rsidR="004B15C3" w:rsidRPr="00131B59" w:rsidRDefault="004B15C3" w:rsidP="004B15C3">
      <w:pPr>
        <w:pStyle w:val="Citation-AltC"/>
        <w:widowControl w:val="0"/>
        <w:spacing w:after="240"/>
        <w:ind w:hanging="1166"/>
        <w:contextualSpacing w:val="0"/>
        <w:rPr>
          <w:i/>
          <w:lang w:val="fr-CA"/>
        </w:rPr>
      </w:pPr>
      <w:r w:rsidRPr="00131B59">
        <w:rPr>
          <w:lang w:val="fr-CA"/>
        </w:rPr>
        <w:tab/>
        <w:t>[</w:t>
      </w:r>
      <w:r w:rsidRPr="00131B59">
        <w:rPr>
          <w:smallCaps/>
          <w:lang w:val="fr-CA"/>
        </w:rPr>
        <w:t>traduction</w:t>
      </w:r>
      <w:r w:rsidRPr="00131B59">
        <w:rPr>
          <w:lang w:val="fr-CA"/>
        </w:rPr>
        <w:t>]  Depuis sa création, le Canada apporte au monde entier une histoire et une culture qui lui sont propres en matière de collaboration et de tolérance. Ces valeurs sont ancrées dans l’engagement des Français et des Anglais — que la géographie, un passé marqué par la discorde, la langue et la culture avaient autrefois séparés — à vivre ensemble, à travailler ensemble et à partager les ressources d’une nouvelle nation. L’article</w:t>
      </w:r>
      <w:r w:rsidR="00225C08">
        <w:rPr>
          <w:lang w:val="fr-CA"/>
        </w:rPr>
        <w:t xml:space="preserve"> </w:t>
      </w:r>
      <w:r w:rsidRPr="00131B59">
        <w:rPr>
          <w:lang w:val="fr-CA"/>
        </w:rPr>
        <w:t xml:space="preserve">23 reprend un élément fondamental de cet engagement en ce qui concerne la langue et la culture et reconnaît la vision et la confiance des bâtisseurs de notre nation. La place distincte qu’occupe le Canada dans le concert des nations du monde dépend du respect par les gouvernements de l’engagement conclu il y a plus de deux siècles et qui a été confirmé par la génération actuelle de Canadiens par l’adoption de dispositions particulières de la </w:t>
      </w:r>
      <w:r w:rsidRPr="00131B59">
        <w:rPr>
          <w:i/>
          <w:lang w:val="fr-CA"/>
        </w:rPr>
        <w:t>Charte canadienne des droits et libertés</w:t>
      </w:r>
      <w:r w:rsidRPr="00131B59">
        <w:rPr>
          <w:lang w:val="fr-CA"/>
        </w:rPr>
        <w:t>. [par.</w:t>
      </w:r>
      <w:r w:rsidR="00225C08">
        <w:rPr>
          <w:lang w:val="fr-CA"/>
        </w:rPr>
        <w:t xml:space="preserve"> </w:t>
      </w:r>
      <w:r w:rsidRPr="00131B59">
        <w:rPr>
          <w:lang w:val="fr-CA"/>
        </w:rPr>
        <w:t xml:space="preserve">24] </w:t>
      </w:r>
    </w:p>
    <w:p w:rsidR="004B15C3" w:rsidRPr="00131B59" w:rsidRDefault="004B15C3" w:rsidP="004B15C3">
      <w:pPr>
        <w:pStyle w:val="ParaNoNdepar-AltN"/>
        <w:widowControl w:val="0"/>
        <w:rPr>
          <w:rFonts w:cs="Times New Roman"/>
          <w:lang w:val="fr-CA"/>
        </w:rPr>
      </w:pPr>
      <w:r w:rsidRPr="00131B59">
        <w:rPr>
          <w:rFonts w:cs="Times New Roman"/>
          <w:lang w:val="fr-CA"/>
        </w:rPr>
        <w:t>L’article</w:t>
      </w:r>
      <w:r w:rsidR="00225C08">
        <w:rPr>
          <w:rFonts w:cs="Times New Roman"/>
          <w:lang w:val="fr-CA"/>
        </w:rPr>
        <w:t xml:space="preserve"> </w:t>
      </w:r>
      <w:r w:rsidRPr="00131B59">
        <w:rPr>
          <w:rFonts w:cs="Times New Roman"/>
          <w:lang w:val="fr-CA"/>
        </w:rPr>
        <w:t xml:space="preserve">23 vise la préservation de la culture et de la langue. Comme l’a souligné la Commission royale d’enquête sur le bilinguisme et le biculturalisme, </w:t>
      </w:r>
      <w:r w:rsidR="00225C08">
        <w:rPr>
          <w:rFonts w:cs="Times New Roman"/>
          <w:lang w:val="fr-CA"/>
        </w:rPr>
        <w:t>« </w:t>
      </w:r>
      <w:r w:rsidRPr="00131B59">
        <w:rPr>
          <w:rFonts w:cs="Times New Roman"/>
          <w:lang w:val="fr-CA"/>
        </w:rPr>
        <w:t>langue et culture ne sont pas synonymes, mais le dynamisme de la première est indispensable à la préservation intégrale de la seconde</w:t>
      </w:r>
      <w:r w:rsidR="00225C08">
        <w:rPr>
          <w:rFonts w:cs="Times New Roman"/>
          <w:lang w:val="fr-CA"/>
        </w:rPr>
        <w:t> »</w:t>
      </w:r>
      <w:r w:rsidRPr="00131B59">
        <w:rPr>
          <w:rFonts w:cs="Times New Roman"/>
          <w:lang w:val="fr-CA"/>
        </w:rPr>
        <w:t xml:space="preserve"> (</w:t>
      </w:r>
      <w:r w:rsidRPr="00131B59">
        <w:rPr>
          <w:rFonts w:cs="Times New Roman"/>
          <w:i/>
          <w:lang w:val="fr-CA"/>
        </w:rPr>
        <w:t>Rapport de la Commission royale d’enquête sur le bilinguisme et le biculturalisme</w:t>
      </w:r>
      <w:r w:rsidRPr="00131B59">
        <w:rPr>
          <w:rFonts w:cs="Times New Roman"/>
          <w:lang w:val="fr-CA"/>
        </w:rPr>
        <w:t xml:space="preserve">, </w:t>
      </w:r>
      <w:r w:rsidR="00DD5EEC">
        <w:rPr>
          <w:rFonts w:cs="Times New Roman"/>
          <w:lang w:val="fr-CA"/>
        </w:rPr>
        <w:t>Livre</w:t>
      </w:r>
      <w:r w:rsidR="00225C08">
        <w:rPr>
          <w:rFonts w:cs="Times New Roman"/>
          <w:lang w:val="fr-CA"/>
        </w:rPr>
        <w:t xml:space="preserve"> </w:t>
      </w:r>
      <w:r w:rsidRPr="00131B59">
        <w:rPr>
          <w:rFonts w:cs="Times New Roman"/>
          <w:lang w:val="fr-CA"/>
        </w:rPr>
        <w:t xml:space="preserve">II, </w:t>
      </w:r>
      <w:r w:rsidRPr="00131B59">
        <w:rPr>
          <w:rFonts w:cs="Times New Roman"/>
          <w:i/>
          <w:lang w:val="fr-CA"/>
        </w:rPr>
        <w:t>L’éducation</w:t>
      </w:r>
      <w:r w:rsidRPr="00131B59">
        <w:rPr>
          <w:rFonts w:cs="Times New Roman"/>
          <w:lang w:val="fr-CA"/>
        </w:rPr>
        <w:t xml:space="preserve"> (1968), p.</w:t>
      </w:r>
      <w:r w:rsidR="00225C08">
        <w:rPr>
          <w:rFonts w:cs="Times New Roman"/>
          <w:lang w:val="fr-CA"/>
        </w:rPr>
        <w:t xml:space="preserve"> </w:t>
      </w:r>
      <w:r w:rsidRPr="00131B59">
        <w:rPr>
          <w:rFonts w:cs="Times New Roman"/>
          <w:lang w:val="fr-CA"/>
        </w:rPr>
        <w:t xml:space="preserve">8). Ainsi que notre Cour l’a fait remarquer dans l’arrêt </w:t>
      </w:r>
      <w:r w:rsidRPr="00131B59">
        <w:rPr>
          <w:rFonts w:cs="Times New Roman"/>
          <w:i/>
          <w:lang w:val="fr-CA"/>
        </w:rPr>
        <w:t>Mahe c. Alberta</w:t>
      </w:r>
      <w:r w:rsidRPr="00131B59">
        <w:rPr>
          <w:rFonts w:cs="Times New Roman"/>
          <w:lang w:val="fr-CA"/>
        </w:rPr>
        <w:t>,</w:t>
      </w:r>
      <w:r w:rsidR="00DD5EEC">
        <w:rPr>
          <w:rFonts w:cs="Times New Roman"/>
          <w:lang w:val="fr-CA"/>
        </w:rPr>
        <w:t xml:space="preserve"> </w:t>
      </w:r>
      <w:r w:rsidR="00DD5EEC" w:rsidRPr="00131B59">
        <w:rPr>
          <w:rFonts w:cs="Times New Roman"/>
          <w:lang w:val="fr-CA"/>
        </w:rPr>
        <w:t>[1990] 1 R.C.S. 342, p.</w:t>
      </w:r>
      <w:r w:rsidR="00DD5EEC">
        <w:rPr>
          <w:rFonts w:cs="Times New Roman"/>
          <w:lang w:val="fr-CA"/>
        </w:rPr>
        <w:t xml:space="preserve"> </w:t>
      </w:r>
      <w:r w:rsidR="00DD5EEC" w:rsidRPr="00131B59">
        <w:rPr>
          <w:rFonts w:cs="Times New Roman"/>
          <w:lang w:val="fr-CA"/>
        </w:rPr>
        <w:t>362</w:t>
      </w:r>
      <w:r w:rsidR="00DD5EEC">
        <w:rPr>
          <w:rFonts w:cs="Times New Roman"/>
          <w:lang w:val="fr-CA"/>
        </w:rPr>
        <w:t>,</w:t>
      </w:r>
      <w:r w:rsidRPr="00131B59">
        <w:rPr>
          <w:rFonts w:cs="Times New Roman"/>
          <w:lang w:val="fr-CA"/>
        </w:rPr>
        <w:t xml:space="preserve"> </w:t>
      </w:r>
      <w:r w:rsidR="00225C08">
        <w:rPr>
          <w:rFonts w:cs="Times New Roman"/>
          <w:lang w:val="fr-CA"/>
        </w:rPr>
        <w:t>« </w:t>
      </w:r>
      <w:r w:rsidRPr="00131B59">
        <w:rPr>
          <w:rFonts w:cs="Times New Roman"/>
          <w:lang w:val="fr-CA"/>
        </w:rPr>
        <w:t xml:space="preserve">toute garantie générale de droits linguistiques, surtout dans le domaine de l’éducation, est indissociable d’une préoccupation à l’égard de la culture </w:t>
      </w:r>
      <w:r w:rsidRPr="00131B59">
        <w:rPr>
          <w:rFonts w:cs="Times New Roman"/>
          <w:lang w:val="fr-CA"/>
        </w:rPr>
        <w:lastRenderedPageBreak/>
        <w:t>véhiculée par la langue en question. Une langue est plus qu’un simple moyen de communication; elle fait partie intégrante de l’identité et de la culture du peuple qui la parle</w:t>
      </w:r>
      <w:r w:rsidR="00225C08">
        <w:rPr>
          <w:rFonts w:cs="Times New Roman"/>
          <w:lang w:val="fr-CA"/>
        </w:rPr>
        <w:t> » :</w:t>
      </w:r>
      <w:r w:rsidRPr="00131B59">
        <w:rPr>
          <w:rFonts w:cs="Times New Roman"/>
          <w:lang w:val="fr-CA"/>
        </w:rPr>
        <w:t xml:space="preserve"> voir aussi M.</w:t>
      </w:r>
      <w:r w:rsidR="00225C08">
        <w:rPr>
          <w:rFonts w:cs="Times New Roman"/>
          <w:lang w:val="fr-CA"/>
        </w:rPr>
        <w:t xml:space="preserve"> </w:t>
      </w:r>
      <w:r w:rsidRPr="00131B59">
        <w:rPr>
          <w:rFonts w:cs="Times New Roman"/>
          <w:lang w:val="fr-CA"/>
        </w:rPr>
        <w:t xml:space="preserve">Bastarache, </w:t>
      </w:r>
      <w:r w:rsidR="00225C08">
        <w:rPr>
          <w:rFonts w:cs="Times New Roman"/>
          <w:lang w:val="fr-CA"/>
        </w:rPr>
        <w:t>« </w:t>
      </w:r>
      <w:r w:rsidRPr="00131B59">
        <w:rPr>
          <w:rFonts w:cs="Times New Roman"/>
          <w:lang w:val="fr-CA"/>
        </w:rPr>
        <w:t>Les droits scolaires des minorités linguistiques provinciales</w:t>
      </w:r>
      <w:r w:rsidR="00225C08">
        <w:rPr>
          <w:rFonts w:cs="Times New Roman"/>
          <w:lang w:val="fr-CA"/>
        </w:rPr>
        <w:t> :</w:t>
      </w:r>
      <w:r w:rsidRPr="00131B59">
        <w:rPr>
          <w:rFonts w:cs="Times New Roman"/>
          <w:lang w:val="fr-CA"/>
        </w:rPr>
        <w:t xml:space="preserve"> l’article</w:t>
      </w:r>
      <w:r w:rsidR="00225C08">
        <w:rPr>
          <w:rFonts w:cs="Times New Roman"/>
          <w:lang w:val="fr-CA"/>
        </w:rPr>
        <w:t xml:space="preserve"> </w:t>
      </w:r>
      <w:r w:rsidRPr="00131B59">
        <w:rPr>
          <w:rFonts w:cs="Times New Roman"/>
          <w:lang w:val="fr-CA"/>
        </w:rPr>
        <w:t xml:space="preserve">23 de la </w:t>
      </w:r>
      <w:r w:rsidRPr="00DD5EEC">
        <w:rPr>
          <w:rFonts w:cs="Times New Roman"/>
          <w:lang w:val="fr-CA"/>
        </w:rPr>
        <w:t>Charte canadienne des droits et libertés</w:t>
      </w:r>
      <w:r w:rsidR="00225C08">
        <w:rPr>
          <w:rFonts w:cs="Times New Roman"/>
          <w:lang w:val="fr-CA"/>
        </w:rPr>
        <w:t> »</w:t>
      </w:r>
      <w:r w:rsidRPr="00131B59">
        <w:rPr>
          <w:rFonts w:cs="Times New Roman"/>
          <w:lang w:val="fr-CA"/>
        </w:rPr>
        <w:t>, dans G.</w:t>
      </w:r>
      <w:r w:rsidR="00225C08">
        <w:rPr>
          <w:rFonts w:cs="Times New Roman"/>
          <w:lang w:val="fr-CA"/>
        </w:rPr>
        <w:t>-</w:t>
      </w:r>
      <w:r w:rsidRPr="00131B59">
        <w:rPr>
          <w:rFonts w:cs="Times New Roman"/>
          <w:lang w:val="fr-CA"/>
        </w:rPr>
        <w:t>A.</w:t>
      </w:r>
      <w:r w:rsidR="00225C08">
        <w:rPr>
          <w:rFonts w:cs="Times New Roman"/>
          <w:lang w:val="fr-CA"/>
        </w:rPr>
        <w:t xml:space="preserve"> </w:t>
      </w:r>
      <w:r w:rsidRPr="00131B59">
        <w:rPr>
          <w:rFonts w:cs="Times New Roman"/>
          <w:lang w:val="fr-CA"/>
        </w:rPr>
        <w:t>Beaudoin et E.</w:t>
      </w:r>
      <w:r w:rsidR="00225C08">
        <w:rPr>
          <w:rFonts w:cs="Times New Roman"/>
          <w:lang w:val="fr-CA"/>
        </w:rPr>
        <w:t xml:space="preserve"> </w:t>
      </w:r>
      <w:r w:rsidRPr="00131B59">
        <w:rPr>
          <w:rFonts w:cs="Times New Roman"/>
          <w:lang w:val="fr-CA"/>
        </w:rPr>
        <w:t xml:space="preserve">Ratushny, dir., </w:t>
      </w:r>
      <w:r w:rsidRPr="00131B59">
        <w:rPr>
          <w:rFonts w:cs="Times New Roman"/>
          <w:i/>
          <w:lang w:val="fr-CA"/>
        </w:rPr>
        <w:t xml:space="preserve">Charte canadienne des droits et libertés </w:t>
      </w:r>
      <w:r w:rsidRPr="00131B59">
        <w:rPr>
          <w:rFonts w:cs="Times New Roman"/>
          <w:lang w:val="fr-CA"/>
        </w:rPr>
        <w:t>(2</w:t>
      </w:r>
      <w:r w:rsidRPr="00131B59">
        <w:rPr>
          <w:rFonts w:cs="Times New Roman"/>
          <w:vertAlign w:val="superscript"/>
          <w:lang w:val="fr-CA"/>
        </w:rPr>
        <w:t>e</w:t>
      </w:r>
      <w:r w:rsidR="00225C08">
        <w:rPr>
          <w:rFonts w:cs="Times New Roman"/>
          <w:lang w:val="fr-CA"/>
        </w:rPr>
        <w:t xml:space="preserve"> </w:t>
      </w:r>
      <w:r w:rsidRPr="00131B59">
        <w:rPr>
          <w:rFonts w:cs="Times New Roman"/>
          <w:lang w:val="fr-CA"/>
        </w:rPr>
        <w:t>éd. 1989), 75</w:t>
      </w:r>
      <w:r w:rsidR="00DD5EEC">
        <w:rPr>
          <w:rFonts w:cs="Times New Roman"/>
          <w:lang w:val="fr-CA"/>
        </w:rPr>
        <w:t>7</w:t>
      </w:r>
      <w:r w:rsidRPr="00131B59">
        <w:rPr>
          <w:rFonts w:cs="Times New Roman"/>
          <w:lang w:val="fr-CA"/>
        </w:rPr>
        <w:t>, p.</w:t>
      </w:r>
      <w:r w:rsidR="00225C08">
        <w:rPr>
          <w:rFonts w:cs="Times New Roman"/>
          <w:lang w:val="fr-CA"/>
        </w:rPr>
        <w:t xml:space="preserve"> </w:t>
      </w:r>
      <w:r w:rsidRPr="00131B59">
        <w:rPr>
          <w:rFonts w:cs="Times New Roman"/>
          <w:lang w:val="fr-CA"/>
        </w:rPr>
        <w:t>766.</w:t>
      </w:r>
    </w:p>
    <w:p w:rsidR="004B15C3" w:rsidRPr="00131B59" w:rsidRDefault="004B15C3" w:rsidP="004B15C3">
      <w:pPr>
        <w:pStyle w:val="ParaNoNdepar-AltN"/>
        <w:widowControl w:val="0"/>
        <w:rPr>
          <w:rFonts w:cs="Times New Roman"/>
          <w:lang w:val="fr-CA"/>
        </w:rPr>
      </w:pPr>
      <w:r w:rsidRPr="00131B59">
        <w:rPr>
          <w:rFonts w:cs="Times New Roman"/>
          <w:lang w:val="fr-CA"/>
        </w:rPr>
        <w:t>L’article</w:t>
      </w:r>
      <w:r w:rsidR="00225C08">
        <w:rPr>
          <w:rFonts w:cs="Times New Roman"/>
          <w:lang w:val="fr-CA"/>
        </w:rPr>
        <w:t xml:space="preserve"> </w:t>
      </w:r>
      <w:r w:rsidRPr="00131B59">
        <w:rPr>
          <w:rFonts w:cs="Times New Roman"/>
          <w:lang w:val="fr-CA"/>
        </w:rPr>
        <w:t>23 avait pour objet de remédier à l’érosion de groupes minoritaires de langue officielle ou d’empêcher cette érosion de manière à faire des deux groupes linguistiques officiels du Canada des partenaires égaux dans le domaine de l’éducation</w:t>
      </w:r>
      <w:r w:rsidR="00225C08">
        <w:rPr>
          <w:rFonts w:cs="Times New Roman"/>
          <w:lang w:val="fr-CA"/>
        </w:rPr>
        <w:t> :</w:t>
      </w:r>
      <w:r w:rsidRPr="00131B59">
        <w:rPr>
          <w:rFonts w:cs="Times New Roman"/>
          <w:lang w:val="fr-CA"/>
        </w:rPr>
        <w:t xml:space="preserve"> </w:t>
      </w:r>
      <w:r w:rsidRPr="00131B59">
        <w:rPr>
          <w:rFonts w:cs="Times New Roman"/>
          <w:i/>
          <w:lang w:val="fr-CA"/>
        </w:rPr>
        <w:t>Arsenault</w:t>
      </w:r>
      <w:r w:rsidR="00225C08">
        <w:rPr>
          <w:rFonts w:cs="Times New Roman"/>
          <w:i/>
          <w:lang w:val="fr-CA"/>
        </w:rPr>
        <w:t>-</w:t>
      </w:r>
      <w:r w:rsidRPr="00131B59">
        <w:rPr>
          <w:rFonts w:cs="Times New Roman"/>
          <w:i/>
          <w:lang w:val="fr-CA"/>
        </w:rPr>
        <w:t>Cameron c. Île</w:t>
      </w:r>
      <w:r w:rsidR="00225C08">
        <w:rPr>
          <w:rFonts w:cs="Times New Roman"/>
          <w:i/>
          <w:lang w:val="fr-CA"/>
        </w:rPr>
        <w:t>-</w:t>
      </w:r>
      <w:r w:rsidRPr="00131B59">
        <w:rPr>
          <w:rFonts w:cs="Times New Roman"/>
          <w:i/>
          <w:lang w:val="fr-CA"/>
        </w:rPr>
        <w:t>du</w:t>
      </w:r>
      <w:r w:rsidR="00225C08">
        <w:rPr>
          <w:rFonts w:cs="Times New Roman"/>
          <w:i/>
          <w:lang w:val="fr-CA"/>
        </w:rPr>
        <w:t>-</w:t>
      </w:r>
      <w:r w:rsidRPr="00131B59">
        <w:rPr>
          <w:rFonts w:cs="Times New Roman"/>
          <w:i/>
          <w:lang w:val="fr-CA"/>
        </w:rPr>
        <w:t>Prince</w:t>
      </w:r>
      <w:r w:rsidR="00225C08">
        <w:rPr>
          <w:rFonts w:cs="Times New Roman"/>
          <w:i/>
          <w:lang w:val="fr-CA"/>
        </w:rPr>
        <w:t>-</w:t>
      </w:r>
      <w:r w:rsidRPr="00131B59">
        <w:rPr>
          <w:rFonts w:cs="Times New Roman"/>
          <w:i/>
          <w:lang w:val="fr-CA"/>
        </w:rPr>
        <w:t>Édouard</w:t>
      </w:r>
      <w:r w:rsidRPr="00131B59">
        <w:rPr>
          <w:rFonts w:cs="Times New Roman"/>
          <w:lang w:val="fr-CA"/>
        </w:rPr>
        <w:t>, 2000 CSC 1, [2000] 1 R.C.S. 3, par.</w:t>
      </w:r>
      <w:r w:rsidR="00225C08">
        <w:rPr>
          <w:rFonts w:cs="Times New Roman"/>
          <w:lang w:val="fr-CA"/>
        </w:rPr>
        <w:t xml:space="preserve"> </w:t>
      </w:r>
      <w:r w:rsidRPr="00131B59">
        <w:rPr>
          <w:rFonts w:cs="Times New Roman"/>
          <w:lang w:val="fr-CA"/>
        </w:rPr>
        <w:t xml:space="preserve">26; </w:t>
      </w:r>
      <w:r w:rsidRPr="00131B59">
        <w:rPr>
          <w:rFonts w:cs="Times New Roman"/>
          <w:i/>
          <w:lang w:val="fr-CA"/>
        </w:rPr>
        <w:t>Mahe</w:t>
      </w:r>
      <w:r w:rsidRPr="00131B59">
        <w:rPr>
          <w:rFonts w:cs="Times New Roman"/>
          <w:lang w:val="fr-CA"/>
        </w:rPr>
        <w:t>, p.</w:t>
      </w:r>
      <w:r w:rsidR="00225C08">
        <w:rPr>
          <w:rFonts w:cs="Times New Roman"/>
          <w:lang w:val="fr-CA"/>
        </w:rPr>
        <w:t xml:space="preserve"> </w:t>
      </w:r>
      <w:r w:rsidRPr="00131B59">
        <w:rPr>
          <w:rFonts w:cs="Times New Roman"/>
          <w:lang w:val="fr-CA"/>
        </w:rPr>
        <w:t>364. L’éducation dans la langue de la minorité est primordiale pour assurer le maintien de ce partenariat</w:t>
      </w:r>
      <w:r w:rsidR="00225C08">
        <w:rPr>
          <w:rFonts w:cs="Times New Roman"/>
          <w:lang w:val="fr-CA"/>
        </w:rPr>
        <w:t> :</w:t>
      </w:r>
    </w:p>
    <w:p w:rsidR="004B15C3" w:rsidRPr="00131B59" w:rsidRDefault="004B15C3" w:rsidP="004B15C3">
      <w:pPr>
        <w:pStyle w:val="Citation-AltC"/>
        <w:widowControl w:val="0"/>
        <w:ind w:hanging="1166"/>
        <w:contextualSpacing w:val="0"/>
        <w:rPr>
          <w:lang w:val="fr-CA"/>
        </w:rPr>
      </w:pPr>
      <w:r w:rsidRPr="00131B59">
        <w:rPr>
          <w:lang w:val="fr-CA"/>
        </w:rPr>
        <w:tab/>
      </w:r>
      <w:r w:rsidRPr="00131B59">
        <w:rPr>
          <w:lang w:val="fr-CA"/>
        </w:rPr>
        <w:tab/>
        <w:t>Le principe d’égalité comporte, pour un groupe minoritaire, la possibilité de maintenir son identité linguistique et culturelle. [</w:t>
      </w:r>
      <w:r w:rsidR="00225C08">
        <w:rPr>
          <w:lang w:val="fr-CA"/>
        </w:rPr>
        <w:t>. . .</w:t>
      </w:r>
      <w:r w:rsidRPr="00131B59">
        <w:rPr>
          <w:lang w:val="fr-CA"/>
        </w:rPr>
        <w:t>] La perte progressive de la langue maternelle sera alors inévitable, sans la présence d’établissements qui en fassent le véhicule de l’instruction et rehaussent son prestige d’une sorte de reconnaissance sociale. Dans les écoles de la minorité de langue officielle, il est possible d’adapter le programme de façon à mettre en r</w:t>
      </w:r>
      <w:r w:rsidR="002E7130">
        <w:rPr>
          <w:lang w:val="fr-CA"/>
        </w:rPr>
        <w:t>elief son patrimoine culturel. [</w:t>
      </w:r>
      <w:r w:rsidRPr="00131B59">
        <w:rPr>
          <w:i/>
          <w:lang w:val="fr-CA"/>
        </w:rPr>
        <w:t>Rapport de la Commission royale</w:t>
      </w:r>
      <w:r w:rsidRPr="00131B59">
        <w:rPr>
          <w:lang w:val="fr-CA"/>
        </w:rPr>
        <w:t>, p.</w:t>
      </w:r>
      <w:r w:rsidR="00225C08">
        <w:rPr>
          <w:lang w:val="fr-CA"/>
        </w:rPr>
        <w:t xml:space="preserve"> </w:t>
      </w:r>
      <w:r w:rsidRPr="00131B59">
        <w:rPr>
          <w:lang w:val="fr-CA"/>
        </w:rPr>
        <w:t>9</w:t>
      </w:r>
      <w:r w:rsidR="002E7130">
        <w:rPr>
          <w:lang w:val="fr-CA"/>
        </w:rPr>
        <w:t>]</w:t>
      </w:r>
    </w:p>
    <w:p w:rsidR="004B15C3" w:rsidRPr="00131B59" w:rsidRDefault="003747CE" w:rsidP="004B15C3">
      <w:pPr>
        <w:pStyle w:val="ContinueParaSuitedupar-AltP"/>
        <w:widowControl w:val="0"/>
        <w:rPr>
          <w:rFonts w:cs="Times New Roman"/>
          <w:lang w:val="fr-CA"/>
        </w:rPr>
      </w:pPr>
      <w:r>
        <w:rPr>
          <w:rFonts w:cs="Times New Roman"/>
          <w:lang w:val="fr-CA"/>
        </w:rPr>
        <w:t>En effet</w:t>
      </w:r>
      <w:r w:rsidR="004B15C3" w:rsidRPr="00131B59">
        <w:rPr>
          <w:rFonts w:cs="Times New Roman"/>
          <w:lang w:val="fr-CA"/>
        </w:rPr>
        <w:t>, dans les communautés linguistiques minoritaires, les écoles sont un instrument primaire de transmission de la langue et, donc, de la culture</w:t>
      </w:r>
      <w:r w:rsidR="00225C08">
        <w:rPr>
          <w:rFonts w:cs="Times New Roman"/>
          <w:lang w:val="fr-CA"/>
        </w:rPr>
        <w:t> :</w:t>
      </w:r>
      <w:r w:rsidR="004B15C3" w:rsidRPr="00131B59">
        <w:rPr>
          <w:rFonts w:cs="Times New Roman"/>
          <w:lang w:val="fr-CA"/>
        </w:rPr>
        <w:t xml:space="preserve"> </w:t>
      </w:r>
      <w:r w:rsidR="004B15C3" w:rsidRPr="00131B59">
        <w:rPr>
          <w:rFonts w:cs="Times New Roman"/>
          <w:i/>
          <w:lang w:val="fr-CA"/>
        </w:rPr>
        <w:t>Mahe</w:t>
      </w:r>
      <w:r w:rsidR="004B15C3" w:rsidRPr="00131B59">
        <w:rPr>
          <w:rFonts w:cs="Times New Roman"/>
          <w:lang w:val="fr-CA"/>
        </w:rPr>
        <w:t>, p.</w:t>
      </w:r>
      <w:r w:rsidR="00225C08">
        <w:rPr>
          <w:rFonts w:cs="Times New Roman"/>
          <w:lang w:val="fr-CA"/>
        </w:rPr>
        <w:t xml:space="preserve"> </w:t>
      </w:r>
      <w:r w:rsidR="004B15C3" w:rsidRPr="00131B59">
        <w:rPr>
          <w:rFonts w:cs="Times New Roman"/>
          <w:lang w:val="fr-CA"/>
        </w:rPr>
        <w:t>362</w:t>
      </w:r>
      <w:r w:rsidR="00225C08">
        <w:rPr>
          <w:rFonts w:cs="Times New Roman"/>
          <w:lang w:val="fr-CA"/>
        </w:rPr>
        <w:t>-</w:t>
      </w:r>
      <w:r w:rsidR="004B15C3" w:rsidRPr="00131B59">
        <w:rPr>
          <w:rFonts w:cs="Times New Roman"/>
          <w:lang w:val="fr-CA"/>
        </w:rPr>
        <w:t xml:space="preserve">363. Dans bon nombre de ces communautés, les changements démographiques et l’évolution du rôle des établissements religieux ont fait des écoles locales de la </w:t>
      </w:r>
      <w:r w:rsidR="004B15C3" w:rsidRPr="00131B59">
        <w:rPr>
          <w:rFonts w:cs="Times New Roman"/>
          <w:lang w:val="fr-CA"/>
        </w:rPr>
        <w:lastRenderedPageBreak/>
        <w:t>minorité linguistique des centres communautaires essentiels</w:t>
      </w:r>
      <w:r w:rsidR="00225C08">
        <w:rPr>
          <w:rFonts w:cs="Times New Roman"/>
          <w:lang w:val="fr-CA"/>
        </w:rPr>
        <w:t xml:space="preserve"> </w:t>
      </w:r>
      <w:r w:rsidR="004B15C3" w:rsidRPr="00131B59">
        <w:rPr>
          <w:rFonts w:cs="Times New Roman"/>
          <w:lang w:val="fr-CA"/>
        </w:rPr>
        <w:t>(M.</w:t>
      </w:r>
      <w:r w:rsidR="00225C08">
        <w:rPr>
          <w:rFonts w:cs="Times New Roman"/>
          <w:lang w:val="fr-CA"/>
        </w:rPr>
        <w:t xml:space="preserve"> </w:t>
      </w:r>
      <w:r w:rsidR="004B15C3" w:rsidRPr="00131B59">
        <w:rPr>
          <w:rFonts w:cs="Times New Roman"/>
          <w:lang w:val="fr-CA"/>
        </w:rPr>
        <w:t>Power et P.</w:t>
      </w:r>
      <w:r w:rsidR="00225C08">
        <w:rPr>
          <w:rFonts w:cs="Times New Roman"/>
          <w:lang w:val="fr-CA"/>
        </w:rPr>
        <w:t xml:space="preserve"> </w:t>
      </w:r>
      <w:r w:rsidR="004B15C3" w:rsidRPr="00131B59">
        <w:rPr>
          <w:rFonts w:cs="Times New Roman"/>
          <w:lang w:val="fr-CA"/>
        </w:rPr>
        <w:t xml:space="preserve">Foucher, </w:t>
      </w:r>
      <w:r w:rsidR="00225C08">
        <w:rPr>
          <w:rFonts w:cs="Times New Roman"/>
          <w:lang w:val="fr-CA"/>
        </w:rPr>
        <w:t>« </w:t>
      </w:r>
      <w:r w:rsidR="004B15C3" w:rsidRPr="00131B59">
        <w:rPr>
          <w:rFonts w:cs="Times New Roman"/>
          <w:lang w:val="fr-CA"/>
        </w:rPr>
        <w:t>Language Rights and Education</w:t>
      </w:r>
      <w:r w:rsidR="00225C08">
        <w:rPr>
          <w:rFonts w:cs="Times New Roman"/>
          <w:lang w:val="fr-CA"/>
        </w:rPr>
        <w:t> »</w:t>
      </w:r>
      <w:r w:rsidR="004B15C3" w:rsidRPr="00131B59">
        <w:rPr>
          <w:rFonts w:cs="Times New Roman"/>
          <w:lang w:val="fr-CA"/>
        </w:rPr>
        <w:t>, dans G.</w:t>
      </w:r>
      <w:r w:rsidR="00225C08">
        <w:rPr>
          <w:rFonts w:cs="Times New Roman"/>
          <w:lang w:val="fr-CA"/>
        </w:rPr>
        <w:t>-</w:t>
      </w:r>
      <w:r w:rsidR="004B15C3" w:rsidRPr="00131B59">
        <w:rPr>
          <w:rFonts w:cs="Times New Roman"/>
          <w:lang w:val="fr-CA"/>
        </w:rPr>
        <w:t>A.</w:t>
      </w:r>
      <w:r w:rsidR="00225C08">
        <w:rPr>
          <w:rFonts w:cs="Times New Roman"/>
          <w:lang w:val="fr-CA"/>
        </w:rPr>
        <w:t xml:space="preserve"> </w:t>
      </w:r>
      <w:r w:rsidR="004B15C3" w:rsidRPr="00131B59">
        <w:rPr>
          <w:rFonts w:cs="Times New Roman"/>
          <w:lang w:val="fr-CA"/>
        </w:rPr>
        <w:t>Beaudoin et E.</w:t>
      </w:r>
      <w:r w:rsidR="00225C08">
        <w:rPr>
          <w:rFonts w:cs="Times New Roman"/>
          <w:lang w:val="fr-CA"/>
        </w:rPr>
        <w:t xml:space="preserve"> </w:t>
      </w:r>
      <w:r w:rsidR="004B15C3" w:rsidRPr="00131B59">
        <w:rPr>
          <w:rFonts w:cs="Times New Roman"/>
          <w:lang w:val="fr-CA"/>
        </w:rPr>
        <w:t xml:space="preserve">Mendes, dir., </w:t>
      </w:r>
      <w:r w:rsidR="004B15C3">
        <w:rPr>
          <w:rFonts w:cs="Times New Roman"/>
          <w:i/>
          <w:lang w:val="fr-CA"/>
        </w:rPr>
        <w:t xml:space="preserve">Charte </w:t>
      </w:r>
      <w:r w:rsidR="004B15C3" w:rsidRPr="00131B59">
        <w:rPr>
          <w:rFonts w:cs="Times New Roman"/>
          <w:i/>
          <w:lang w:val="fr-CA"/>
        </w:rPr>
        <w:t>canadienne des droits et libertés</w:t>
      </w:r>
      <w:r w:rsidR="004B15C3" w:rsidRPr="00131B59">
        <w:rPr>
          <w:rFonts w:cs="Times New Roman"/>
          <w:lang w:val="fr-CA"/>
        </w:rPr>
        <w:t xml:space="preserve"> (4</w:t>
      </w:r>
      <w:r w:rsidR="004B15C3" w:rsidRPr="00131B59">
        <w:rPr>
          <w:rFonts w:cs="Times New Roman"/>
          <w:vertAlign w:val="superscript"/>
          <w:lang w:val="fr-CA"/>
        </w:rPr>
        <w:t>e</w:t>
      </w:r>
      <w:r w:rsidR="00225C08">
        <w:rPr>
          <w:rFonts w:cs="Times New Roman"/>
          <w:lang w:val="fr-CA"/>
        </w:rPr>
        <w:t xml:space="preserve"> </w:t>
      </w:r>
      <w:r w:rsidR="004B15C3" w:rsidRPr="00131B59">
        <w:rPr>
          <w:rFonts w:cs="Times New Roman"/>
          <w:lang w:val="fr-CA"/>
        </w:rPr>
        <w:t>éd. 2005), 1095, p.</w:t>
      </w:r>
      <w:r w:rsidR="00225C08">
        <w:rPr>
          <w:rFonts w:cs="Times New Roman"/>
          <w:lang w:val="fr-CA"/>
        </w:rPr>
        <w:t xml:space="preserve"> </w:t>
      </w:r>
      <w:r w:rsidR="004B15C3" w:rsidRPr="00131B59">
        <w:rPr>
          <w:rFonts w:cs="Times New Roman"/>
          <w:lang w:val="fr-CA"/>
        </w:rPr>
        <w:t>1100</w:t>
      </w:r>
      <w:r w:rsidR="00793978">
        <w:rPr>
          <w:rFonts w:cs="Times New Roman"/>
          <w:lang w:val="fr-CA"/>
        </w:rPr>
        <w:t>-</w:t>
      </w:r>
      <w:r w:rsidR="004B15C3" w:rsidRPr="00131B59">
        <w:rPr>
          <w:rFonts w:cs="Times New Roman"/>
          <w:lang w:val="fr-CA"/>
        </w:rPr>
        <w:t>1101).</w:t>
      </w:r>
    </w:p>
    <w:p w:rsidR="004B15C3" w:rsidRPr="00131B59" w:rsidRDefault="004B15C3" w:rsidP="004B15C3">
      <w:pPr>
        <w:pStyle w:val="ParaNoNdepar-AltN"/>
        <w:widowControl w:val="0"/>
        <w:rPr>
          <w:rFonts w:cs="Times New Roman"/>
          <w:lang w:val="fr-CA"/>
        </w:rPr>
      </w:pPr>
      <w:r w:rsidRPr="00131B59">
        <w:rPr>
          <w:rFonts w:cs="Times New Roman"/>
          <w:lang w:val="fr-CA"/>
        </w:rPr>
        <w:t>L’un des traits distinctifs de l’art.</w:t>
      </w:r>
      <w:r w:rsidR="00225C08">
        <w:rPr>
          <w:rFonts w:cs="Times New Roman"/>
          <w:lang w:val="fr-CA"/>
        </w:rPr>
        <w:t xml:space="preserve"> </w:t>
      </w:r>
      <w:r w:rsidRPr="00131B59">
        <w:rPr>
          <w:rFonts w:cs="Times New Roman"/>
          <w:lang w:val="fr-CA"/>
        </w:rPr>
        <w:t>23 est qu’il est particulièrement vulnérable à l’inaction ou aux atermoiements des gouvernements. Le fait de tarder à mettre en œuvre le droit accordé par cet article ou de remédier aux violations de celui</w:t>
      </w:r>
      <w:r w:rsidR="00225C08">
        <w:rPr>
          <w:rFonts w:cs="Times New Roman"/>
          <w:lang w:val="fr-CA"/>
        </w:rPr>
        <w:t>-</w:t>
      </w:r>
      <w:r w:rsidRPr="00131B59">
        <w:rPr>
          <w:rFonts w:cs="Times New Roman"/>
          <w:lang w:val="fr-CA"/>
        </w:rPr>
        <w:t>ci peut entraîner l’assimilation et gêner l’exercice du droit lui</w:t>
      </w:r>
      <w:r w:rsidR="00225C08">
        <w:rPr>
          <w:rFonts w:cs="Times New Roman"/>
          <w:lang w:val="fr-CA"/>
        </w:rPr>
        <w:t>-</w:t>
      </w:r>
      <w:r w:rsidRPr="00131B59">
        <w:rPr>
          <w:rFonts w:cs="Times New Roman"/>
          <w:lang w:val="fr-CA"/>
        </w:rPr>
        <w:t>même. Comme la Cour l’a déjà indiqué, le risque d’assimilation et d’érosion culturelle augmente avec les années scolaires qui s’écoulent sans que les gouvernements respectent les obligations que leur impose l’art.</w:t>
      </w:r>
      <w:r w:rsidR="00225C08">
        <w:rPr>
          <w:rFonts w:cs="Times New Roman"/>
          <w:lang w:val="fr-CA"/>
        </w:rPr>
        <w:t xml:space="preserve"> </w:t>
      </w:r>
      <w:r w:rsidRPr="00131B59">
        <w:rPr>
          <w:rFonts w:cs="Times New Roman"/>
          <w:lang w:val="fr-CA"/>
        </w:rPr>
        <w:t>23</w:t>
      </w:r>
      <w:r>
        <w:rPr>
          <w:rFonts w:cs="Times New Roman"/>
          <w:lang w:val="fr-CA"/>
        </w:rPr>
        <w:t xml:space="preserve"> </w:t>
      </w:r>
      <w:r w:rsidRPr="00131B59">
        <w:rPr>
          <w:rFonts w:cs="Times New Roman"/>
          <w:lang w:val="fr-CA"/>
        </w:rPr>
        <w:t>(</w:t>
      </w:r>
      <w:r w:rsidRPr="00131B59">
        <w:rPr>
          <w:rFonts w:cs="Times New Roman"/>
          <w:i/>
          <w:lang w:val="fr-CA"/>
        </w:rPr>
        <w:t>Doucet</w:t>
      </w:r>
      <w:r w:rsidR="00225C08">
        <w:rPr>
          <w:rFonts w:cs="Times New Roman"/>
          <w:i/>
          <w:lang w:val="fr-CA"/>
        </w:rPr>
        <w:t>-</w:t>
      </w:r>
      <w:r w:rsidRPr="00131B59">
        <w:rPr>
          <w:rFonts w:cs="Times New Roman"/>
          <w:i/>
          <w:lang w:val="fr-CA"/>
        </w:rPr>
        <w:t>Boudreau</w:t>
      </w:r>
      <w:r w:rsidRPr="00131B59">
        <w:rPr>
          <w:rFonts w:cs="Times New Roman"/>
          <w:lang w:val="fr-CA"/>
        </w:rPr>
        <w:t>, par.</w:t>
      </w:r>
      <w:r w:rsidR="00225C08">
        <w:rPr>
          <w:rFonts w:cs="Times New Roman"/>
          <w:lang w:val="fr-CA"/>
        </w:rPr>
        <w:t xml:space="preserve"> </w:t>
      </w:r>
      <w:r w:rsidR="00793978">
        <w:rPr>
          <w:rFonts w:cs="Times New Roman"/>
          <w:lang w:val="fr-CA"/>
        </w:rPr>
        <w:t>29). Laissé à lui-</w:t>
      </w:r>
      <w:r w:rsidRPr="00131B59">
        <w:rPr>
          <w:rFonts w:cs="Times New Roman"/>
          <w:lang w:val="fr-CA"/>
        </w:rPr>
        <w:t>même, le droit à l’enseignement dans la langue de la minorité risque de disparaître entièrement dans une collectivité donnée. Par conséquent, il est essentiel de veiller à mettre en œuvre avec vigilance les droits reconnus par l’art.</w:t>
      </w:r>
      <w:r w:rsidR="00225C08">
        <w:rPr>
          <w:rFonts w:cs="Times New Roman"/>
          <w:lang w:val="fr-CA"/>
        </w:rPr>
        <w:t xml:space="preserve"> </w:t>
      </w:r>
      <w:r w:rsidRPr="00131B59">
        <w:rPr>
          <w:rFonts w:cs="Times New Roman"/>
          <w:lang w:val="fr-CA"/>
        </w:rPr>
        <w:t>23 et de remédier à temps aux violations.</w:t>
      </w:r>
    </w:p>
    <w:p w:rsidR="004B15C3" w:rsidRPr="00131B59" w:rsidRDefault="004B15C3" w:rsidP="004B15C3">
      <w:pPr>
        <w:pStyle w:val="Title3LevelTitre3Niveau"/>
        <w:widowControl w:val="0"/>
        <w:numPr>
          <w:ilvl w:val="2"/>
          <w:numId w:val="8"/>
        </w:numPr>
        <w:rPr>
          <w:rFonts w:cs="Times New Roman"/>
          <w:lang w:val="fr-CA"/>
        </w:rPr>
      </w:pPr>
      <w:r w:rsidRPr="00131B59">
        <w:rPr>
          <w:rFonts w:cs="Times New Roman"/>
          <w:lang w:val="fr-CA"/>
        </w:rPr>
        <w:t>Les critères relatifs aux droits garantis par l’art.</w:t>
      </w:r>
      <w:r w:rsidR="00225C08">
        <w:rPr>
          <w:rFonts w:cs="Times New Roman"/>
          <w:lang w:val="fr-CA"/>
        </w:rPr>
        <w:t xml:space="preserve"> </w:t>
      </w:r>
      <w:r w:rsidRPr="00131B59">
        <w:rPr>
          <w:rFonts w:cs="Times New Roman"/>
          <w:lang w:val="fr-CA"/>
        </w:rPr>
        <w:t>23</w:t>
      </w:r>
      <w:r w:rsidR="00225C08">
        <w:rPr>
          <w:rFonts w:cs="Times New Roman"/>
          <w:lang w:val="fr-CA"/>
        </w:rPr>
        <w:t> :</w:t>
      </w:r>
      <w:r w:rsidRPr="00131B59">
        <w:rPr>
          <w:rFonts w:cs="Times New Roman"/>
          <w:lang w:val="fr-CA"/>
        </w:rPr>
        <w:t xml:space="preserve"> </w:t>
      </w:r>
      <w:r w:rsidR="00225C08">
        <w:rPr>
          <w:rFonts w:cs="Times New Roman"/>
          <w:lang w:val="fr-CA"/>
        </w:rPr>
        <w:t>« </w:t>
      </w:r>
      <w:r w:rsidRPr="00131B59">
        <w:rPr>
          <w:rFonts w:cs="Times New Roman"/>
          <w:lang w:val="fr-CA"/>
        </w:rPr>
        <w:t>la justification par le nombre</w:t>
      </w:r>
      <w:r w:rsidR="00225C08">
        <w:rPr>
          <w:rFonts w:cs="Times New Roman"/>
          <w:lang w:val="fr-CA"/>
        </w:rPr>
        <w:t> »</w:t>
      </w:r>
      <w:r w:rsidRPr="00131B59">
        <w:rPr>
          <w:rFonts w:cs="Times New Roman"/>
          <w:lang w:val="fr-CA"/>
        </w:rPr>
        <w:t xml:space="preserve"> et </w:t>
      </w:r>
      <w:r w:rsidR="00225C08">
        <w:rPr>
          <w:rFonts w:cs="Times New Roman"/>
          <w:lang w:val="fr-CA"/>
        </w:rPr>
        <w:t>« </w:t>
      </w:r>
      <w:r w:rsidRPr="00131B59">
        <w:rPr>
          <w:rFonts w:cs="Times New Roman"/>
          <w:lang w:val="fr-CA"/>
        </w:rPr>
        <w:t>l’échelle variable</w:t>
      </w:r>
      <w:r w:rsidR="00225C08">
        <w:rPr>
          <w:rFonts w:cs="Times New Roman"/>
          <w:lang w:val="fr-CA"/>
        </w:rPr>
        <w:t> »</w:t>
      </w:r>
      <w:r w:rsidRPr="00131B59">
        <w:rPr>
          <w:rFonts w:cs="Times New Roman"/>
          <w:lang w:val="fr-CA"/>
        </w:rPr>
        <w:t xml:space="preserve"> </w:t>
      </w:r>
    </w:p>
    <w:p w:rsidR="004B15C3" w:rsidRPr="00131B59" w:rsidRDefault="004B15C3" w:rsidP="004B15C3">
      <w:pPr>
        <w:pStyle w:val="ParaNoNdepar-AltN"/>
        <w:widowControl w:val="0"/>
        <w:rPr>
          <w:rFonts w:cs="Times New Roman"/>
          <w:lang w:val="fr-CA"/>
        </w:rPr>
      </w:pPr>
      <w:r w:rsidRPr="00131B59">
        <w:rPr>
          <w:rFonts w:cs="Times New Roman"/>
          <w:lang w:val="fr-CA"/>
        </w:rPr>
        <w:t>Le droit à des établissements d’enseignement de qualité équivalente à ceux de la majorité que confère l’art</w:t>
      </w:r>
      <w:r w:rsidR="00671F9E">
        <w:rPr>
          <w:rFonts w:cs="Times New Roman"/>
          <w:lang w:val="fr-CA"/>
        </w:rPr>
        <w:t>.</w:t>
      </w:r>
      <w:r w:rsidR="00225C08">
        <w:rPr>
          <w:rFonts w:cs="Times New Roman"/>
          <w:lang w:val="fr-CA"/>
        </w:rPr>
        <w:t xml:space="preserve"> </w:t>
      </w:r>
      <w:r w:rsidRPr="00131B59">
        <w:rPr>
          <w:rFonts w:cs="Times New Roman"/>
          <w:lang w:val="fr-CA"/>
        </w:rPr>
        <w:t xml:space="preserve">23 aux titulaires de droits linguistiques minoritaires quand le nombre d’enfants le justifie constitue un moyen de contrer l’assimilation qui se produit quand les enfants de ces titulaires de droits fréquentent les écoles de la majorité linguistique. Dans l’arrêt </w:t>
      </w:r>
      <w:r w:rsidRPr="00131B59">
        <w:rPr>
          <w:rFonts w:cs="Times New Roman"/>
          <w:i/>
          <w:lang w:val="fr-CA"/>
        </w:rPr>
        <w:t>Mahe</w:t>
      </w:r>
      <w:r w:rsidRPr="00131B59">
        <w:rPr>
          <w:rFonts w:cs="Times New Roman"/>
          <w:lang w:val="fr-CA"/>
        </w:rPr>
        <w:t>, la Cour a expliqué que l’art.</w:t>
      </w:r>
      <w:r w:rsidR="00225C08">
        <w:rPr>
          <w:rFonts w:cs="Times New Roman"/>
          <w:lang w:val="fr-CA"/>
        </w:rPr>
        <w:t xml:space="preserve"> </w:t>
      </w:r>
      <w:r w:rsidRPr="00131B59">
        <w:rPr>
          <w:rFonts w:cs="Times New Roman"/>
          <w:lang w:val="fr-CA"/>
        </w:rPr>
        <w:lastRenderedPageBreak/>
        <w:t xml:space="preserve">23 garantissait une </w:t>
      </w:r>
      <w:r w:rsidR="00225C08">
        <w:rPr>
          <w:rFonts w:cs="Times New Roman"/>
          <w:lang w:val="fr-CA"/>
        </w:rPr>
        <w:t>« </w:t>
      </w:r>
      <w:r w:rsidRPr="00131B59">
        <w:rPr>
          <w:rFonts w:cs="Times New Roman"/>
          <w:lang w:val="fr-CA"/>
        </w:rPr>
        <w:t>échelle variable</w:t>
      </w:r>
      <w:r w:rsidR="00225C08">
        <w:rPr>
          <w:rFonts w:cs="Times New Roman"/>
          <w:lang w:val="fr-CA"/>
        </w:rPr>
        <w:t> »</w:t>
      </w:r>
      <w:r w:rsidRPr="00131B59">
        <w:rPr>
          <w:rFonts w:cs="Times New Roman"/>
          <w:lang w:val="fr-CA"/>
        </w:rPr>
        <w:t xml:space="preserve"> de droits à l’instruction dans la langue de la minorité (p.</w:t>
      </w:r>
      <w:r w:rsidR="00225C08">
        <w:rPr>
          <w:rFonts w:cs="Times New Roman"/>
          <w:lang w:val="fr-CA"/>
        </w:rPr>
        <w:t xml:space="preserve"> </w:t>
      </w:r>
      <w:r w:rsidRPr="00131B59">
        <w:rPr>
          <w:rFonts w:cs="Times New Roman"/>
          <w:lang w:val="fr-CA"/>
        </w:rPr>
        <w:t>366). À la limite supérieure de l’échelle variable, le nombre justifie la fourniture du plus haut niveau de services à la communauté linguistique minoritaire. Dans un tel cas, les titulaires de droits doivent bénéficier d’établissements d’enseignement complets, distincts de ceux offerts à la majorité linguistique, mais de qualité équivalente (</w:t>
      </w:r>
      <w:r w:rsidRPr="00131B59">
        <w:rPr>
          <w:rFonts w:cs="Times New Roman"/>
          <w:i/>
          <w:lang w:val="fr-CA"/>
        </w:rPr>
        <w:t>Renvoi relatif à la Loi sur les écoles publiques (Man.), art.</w:t>
      </w:r>
      <w:r w:rsidR="00225C08">
        <w:rPr>
          <w:rFonts w:cs="Times New Roman"/>
          <w:i/>
          <w:lang w:val="fr-CA"/>
        </w:rPr>
        <w:t xml:space="preserve"> </w:t>
      </w:r>
      <w:r w:rsidRPr="00131B59">
        <w:rPr>
          <w:rFonts w:cs="Times New Roman"/>
          <w:i/>
          <w:lang w:val="fr-CA"/>
        </w:rPr>
        <w:t>79(3), (4) et (7)</w:t>
      </w:r>
      <w:r w:rsidRPr="00131B59">
        <w:rPr>
          <w:rFonts w:cs="Times New Roman"/>
          <w:lang w:val="fr-CA"/>
        </w:rPr>
        <w:t>, [1993] 1 R.C.S. 839, p.</w:t>
      </w:r>
      <w:r w:rsidR="00225C08">
        <w:rPr>
          <w:rFonts w:cs="Times New Roman"/>
          <w:lang w:val="fr-CA"/>
        </w:rPr>
        <w:t xml:space="preserve"> </w:t>
      </w:r>
      <w:r w:rsidRPr="00131B59">
        <w:rPr>
          <w:rFonts w:cs="Times New Roman"/>
          <w:lang w:val="fr-CA"/>
        </w:rPr>
        <w:t>854</w:t>
      </w:r>
      <w:r w:rsidR="00671F9E">
        <w:rPr>
          <w:rFonts w:cs="Times New Roman"/>
          <w:lang w:val="fr-CA"/>
        </w:rPr>
        <w:t>-</w:t>
      </w:r>
      <w:r w:rsidRPr="00131B59">
        <w:rPr>
          <w:rFonts w:cs="Times New Roman"/>
          <w:lang w:val="fr-CA"/>
        </w:rPr>
        <w:t xml:space="preserve">855; </w:t>
      </w:r>
      <w:r w:rsidRPr="00131B59">
        <w:rPr>
          <w:rFonts w:cs="Times New Roman"/>
          <w:i/>
          <w:lang w:val="fr-CA"/>
        </w:rPr>
        <w:t>Mahe</w:t>
      </w:r>
      <w:r w:rsidRPr="00131B59">
        <w:rPr>
          <w:rFonts w:cs="Times New Roman"/>
          <w:lang w:val="fr-CA"/>
        </w:rPr>
        <w:t>, p.</w:t>
      </w:r>
      <w:r w:rsidR="00225C08">
        <w:rPr>
          <w:rFonts w:cs="Times New Roman"/>
          <w:lang w:val="fr-CA"/>
        </w:rPr>
        <w:t xml:space="preserve"> </w:t>
      </w:r>
      <w:r w:rsidRPr="00131B59">
        <w:rPr>
          <w:rFonts w:cs="Times New Roman"/>
          <w:lang w:val="fr-CA"/>
        </w:rPr>
        <w:t>378). Ces établissements doivent être accessibles et situés, si possible, dans la collectivité où habitent les enfants (</w:t>
      </w:r>
      <w:r w:rsidRPr="00131B59">
        <w:rPr>
          <w:rFonts w:cs="Times New Roman"/>
          <w:i/>
          <w:lang w:val="fr-CA"/>
        </w:rPr>
        <w:t>Arsenault</w:t>
      </w:r>
      <w:r w:rsidR="00225C08">
        <w:rPr>
          <w:rFonts w:cs="Times New Roman"/>
          <w:i/>
          <w:lang w:val="fr-CA"/>
        </w:rPr>
        <w:t>-</w:t>
      </w:r>
      <w:r w:rsidRPr="00131B59">
        <w:rPr>
          <w:rFonts w:cs="Times New Roman"/>
          <w:i/>
          <w:lang w:val="fr-CA"/>
        </w:rPr>
        <w:t>Cameron</w:t>
      </w:r>
      <w:r w:rsidRPr="00131B59">
        <w:rPr>
          <w:rFonts w:cs="Times New Roman"/>
          <w:lang w:val="fr-CA"/>
        </w:rPr>
        <w:t>, par.</w:t>
      </w:r>
      <w:r w:rsidR="00225C08">
        <w:rPr>
          <w:rFonts w:cs="Times New Roman"/>
          <w:lang w:val="fr-CA"/>
        </w:rPr>
        <w:t xml:space="preserve"> </w:t>
      </w:r>
      <w:r w:rsidRPr="00131B59">
        <w:rPr>
          <w:rFonts w:cs="Times New Roman"/>
          <w:lang w:val="fr-CA"/>
        </w:rPr>
        <w:t>56). Le niveau supérieur de l’échelle variable prévoit la création de conseils scolaires séparés pour la minorité linguistique (</w:t>
      </w:r>
      <w:r w:rsidRPr="00131B59">
        <w:rPr>
          <w:rFonts w:cs="Times New Roman"/>
          <w:i/>
          <w:lang w:val="fr-CA"/>
        </w:rPr>
        <w:t>Mahe</w:t>
      </w:r>
      <w:r w:rsidRPr="00131B59">
        <w:rPr>
          <w:rFonts w:cs="Times New Roman"/>
          <w:lang w:val="fr-CA"/>
        </w:rPr>
        <w:t>, p.</w:t>
      </w:r>
      <w:r w:rsidR="00225C08">
        <w:rPr>
          <w:rFonts w:cs="Times New Roman"/>
          <w:lang w:val="fr-CA"/>
        </w:rPr>
        <w:t xml:space="preserve"> </w:t>
      </w:r>
      <w:r w:rsidRPr="00131B59">
        <w:rPr>
          <w:rFonts w:cs="Times New Roman"/>
          <w:lang w:val="fr-CA"/>
        </w:rPr>
        <w:t>374).</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Dans l’arrêt </w:t>
      </w:r>
      <w:r w:rsidRPr="00131B59">
        <w:rPr>
          <w:rFonts w:cs="Times New Roman"/>
          <w:i/>
          <w:lang w:val="fr-CA"/>
        </w:rPr>
        <w:t>Mahe</w:t>
      </w:r>
      <w:r w:rsidRPr="00131B59">
        <w:rPr>
          <w:rFonts w:cs="Times New Roman"/>
          <w:lang w:val="fr-CA"/>
        </w:rPr>
        <w:t>, la Cour a conclu que les coûts et les considérations pratiques sont pertinents pour déterminer où se situe, sur l’échelle variable des droits prévus à l’art.</w:t>
      </w:r>
      <w:r w:rsidR="00225C08">
        <w:rPr>
          <w:rFonts w:cs="Times New Roman"/>
          <w:lang w:val="fr-CA"/>
        </w:rPr>
        <w:t xml:space="preserve"> </w:t>
      </w:r>
      <w:r w:rsidRPr="00131B59">
        <w:rPr>
          <w:rFonts w:cs="Times New Roman"/>
          <w:lang w:val="fr-CA"/>
        </w:rPr>
        <w:t>23, une communauté linguistique minoritaire donnée, même si les considérations pédagogiques ont généralement plus de poids (p.</w:t>
      </w:r>
      <w:r w:rsidR="00225C08">
        <w:rPr>
          <w:rFonts w:cs="Times New Roman"/>
          <w:lang w:val="fr-CA"/>
        </w:rPr>
        <w:t xml:space="preserve"> </w:t>
      </w:r>
      <w:r>
        <w:rPr>
          <w:rFonts w:cs="Times New Roman"/>
          <w:lang w:val="fr-CA"/>
        </w:rPr>
        <w:t>384</w:t>
      </w:r>
      <w:r w:rsidR="00225C08">
        <w:rPr>
          <w:rFonts w:cs="Times New Roman"/>
          <w:lang w:val="fr-CA"/>
        </w:rPr>
        <w:t>-</w:t>
      </w:r>
      <w:r w:rsidRPr="00131B59">
        <w:rPr>
          <w:rFonts w:cs="Times New Roman"/>
          <w:lang w:val="fr-CA"/>
        </w:rPr>
        <w:t>385). Une fois qu’il est établi que le nombre d’enfants commande le plus haut niveau de services, l’art.</w:t>
      </w:r>
      <w:r w:rsidR="00225C08">
        <w:rPr>
          <w:rFonts w:cs="Times New Roman"/>
          <w:lang w:val="fr-CA"/>
        </w:rPr>
        <w:t xml:space="preserve"> </w:t>
      </w:r>
      <w:r w:rsidRPr="00131B59">
        <w:rPr>
          <w:rFonts w:cs="Times New Roman"/>
          <w:lang w:val="fr-CA"/>
        </w:rPr>
        <w:t xml:space="preserve">23 exige que la qualité des services soit essentiellement équivalente à celle des services offerts aux élèves de la majorité linguistique. Il est également impératif que les parents de la minorité linguistique </w:t>
      </w:r>
      <w:r w:rsidRPr="00131B59">
        <w:rPr>
          <w:rFonts w:cs="Times New Roman"/>
          <w:spacing w:val="-3"/>
          <w:lang w:val="fr-CA"/>
        </w:rPr>
        <w:t>aient un certain degré de gestion et de contrôle à l’égard des établissements d’enseignement où leurs enfants se font instruire (p.</w:t>
      </w:r>
      <w:r w:rsidR="00225C08">
        <w:rPr>
          <w:rFonts w:cs="Times New Roman"/>
          <w:spacing w:val="-3"/>
          <w:lang w:val="fr-CA"/>
        </w:rPr>
        <w:t xml:space="preserve"> </w:t>
      </w:r>
      <w:r>
        <w:rPr>
          <w:rFonts w:cs="Times New Roman"/>
          <w:spacing w:val="-3"/>
          <w:lang w:val="fr-CA"/>
        </w:rPr>
        <w:t>371</w:t>
      </w:r>
      <w:r w:rsidR="00225C08">
        <w:rPr>
          <w:rFonts w:cs="Times New Roman"/>
          <w:spacing w:val="-3"/>
          <w:lang w:val="fr-CA"/>
        </w:rPr>
        <w:t>-</w:t>
      </w:r>
      <w:r w:rsidRPr="00131B59">
        <w:rPr>
          <w:rFonts w:cs="Times New Roman"/>
          <w:spacing w:val="-3"/>
          <w:lang w:val="fr-CA"/>
        </w:rPr>
        <w:t xml:space="preserve">372). Cette gestion et ce contrôle sont vitaux pour assurer l’épanouissement de la langue et de la culture minoritaires en milieu scolaire. </w:t>
      </w:r>
    </w:p>
    <w:p w:rsidR="004B15C3" w:rsidRPr="00131B59" w:rsidRDefault="004B15C3" w:rsidP="004B15C3">
      <w:pPr>
        <w:pStyle w:val="ParaNoNdepar-AltN"/>
        <w:widowControl w:val="0"/>
        <w:rPr>
          <w:rFonts w:cs="Times New Roman"/>
          <w:lang w:val="fr-CA"/>
        </w:rPr>
      </w:pPr>
      <w:r w:rsidRPr="00131B59">
        <w:rPr>
          <w:rFonts w:cs="Times New Roman"/>
          <w:lang w:val="fr-CA"/>
        </w:rPr>
        <w:lastRenderedPageBreak/>
        <w:t xml:space="preserve">Comme la Cour l’a fait remarquer dans l’arrêt </w:t>
      </w:r>
      <w:r w:rsidRPr="00131B59">
        <w:rPr>
          <w:rFonts w:cs="Times New Roman"/>
          <w:i/>
          <w:lang w:val="fr-CA"/>
        </w:rPr>
        <w:t>Mahe</w:t>
      </w:r>
      <w:r w:rsidRPr="00131B59">
        <w:rPr>
          <w:rFonts w:cs="Times New Roman"/>
          <w:lang w:val="fr-CA"/>
        </w:rPr>
        <w:t xml:space="preserve">, </w:t>
      </w:r>
      <w:r w:rsidR="00225C08">
        <w:rPr>
          <w:rFonts w:cs="Times New Roman"/>
          <w:lang w:val="fr-CA"/>
        </w:rPr>
        <w:t>« </w:t>
      </w:r>
      <w:r w:rsidRPr="00131B59">
        <w:rPr>
          <w:rFonts w:cs="Times New Roman"/>
          <w:lang w:val="fr-CA"/>
        </w:rPr>
        <w:t>il va de soi que, dans les situations où le degré [le plus élevé] de gestion et de contrôle [</w:t>
      </w:r>
      <w:r w:rsidR="00225C08">
        <w:rPr>
          <w:rFonts w:cs="Times New Roman"/>
          <w:lang w:val="fr-CA"/>
        </w:rPr>
        <w:t>. . .</w:t>
      </w:r>
      <w:r w:rsidRPr="00131B59">
        <w:rPr>
          <w:rFonts w:cs="Times New Roman"/>
          <w:lang w:val="fr-CA"/>
        </w:rPr>
        <w:t>] est justifié, la qualité de l’éducation donnée à la minorité devrait en principe être égale à celle de l’éducation dispensée à la majorité</w:t>
      </w:r>
      <w:r w:rsidR="00225C08">
        <w:rPr>
          <w:rFonts w:cs="Times New Roman"/>
          <w:lang w:val="fr-CA"/>
        </w:rPr>
        <w:t> »</w:t>
      </w:r>
      <w:r w:rsidRPr="00131B59">
        <w:rPr>
          <w:rFonts w:cs="Times New Roman"/>
          <w:lang w:val="fr-CA"/>
        </w:rPr>
        <w:t xml:space="preserve"> (p.</w:t>
      </w:r>
      <w:r w:rsidR="00225C08">
        <w:rPr>
          <w:rFonts w:cs="Times New Roman"/>
          <w:lang w:val="fr-CA"/>
        </w:rPr>
        <w:t xml:space="preserve"> </w:t>
      </w:r>
      <w:r w:rsidRPr="00131B59">
        <w:rPr>
          <w:rFonts w:cs="Times New Roman"/>
          <w:lang w:val="fr-CA"/>
        </w:rPr>
        <w:t>378). Par contre, il n’est pas nécessaire que l’enseignement offert soit identique. L’article</w:t>
      </w:r>
      <w:r w:rsidR="00225C08">
        <w:rPr>
          <w:rFonts w:cs="Times New Roman"/>
          <w:lang w:val="fr-CA"/>
        </w:rPr>
        <w:t xml:space="preserve"> </w:t>
      </w:r>
      <w:r w:rsidRPr="00131B59">
        <w:rPr>
          <w:rFonts w:cs="Times New Roman"/>
          <w:lang w:val="fr-CA"/>
        </w:rPr>
        <w:t xml:space="preserve">23 n’a pas pour objet l’adoption d’une conception formelle de l’égalité qui viserait principalement à traiter de la même façon les groupes majoritaires et minoritaires de langue officielle. Dans </w:t>
      </w:r>
      <w:r w:rsidRPr="00131B59">
        <w:rPr>
          <w:rFonts w:cs="Times New Roman"/>
          <w:i/>
          <w:lang w:val="fr-CA"/>
        </w:rPr>
        <w:t>Arsenault</w:t>
      </w:r>
      <w:r w:rsidR="00225C08">
        <w:rPr>
          <w:rFonts w:cs="Times New Roman"/>
          <w:i/>
          <w:lang w:val="fr-CA"/>
        </w:rPr>
        <w:t>-</w:t>
      </w:r>
      <w:r w:rsidRPr="00131B59">
        <w:rPr>
          <w:rFonts w:cs="Times New Roman"/>
          <w:i/>
          <w:lang w:val="fr-CA"/>
        </w:rPr>
        <w:t>Cameron</w:t>
      </w:r>
      <w:r w:rsidRPr="00131B59">
        <w:rPr>
          <w:rFonts w:cs="Times New Roman"/>
          <w:lang w:val="fr-CA"/>
        </w:rPr>
        <w:t>, la Cour a mis en garde contre l’application, dans une analyse fondée sur l’art.</w:t>
      </w:r>
      <w:r w:rsidR="00225C08">
        <w:rPr>
          <w:rFonts w:cs="Times New Roman"/>
          <w:lang w:val="fr-CA"/>
        </w:rPr>
        <w:t xml:space="preserve"> </w:t>
      </w:r>
      <w:r w:rsidRPr="00131B59">
        <w:rPr>
          <w:rFonts w:cs="Times New Roman"/>
          <w:lang w:val="fr-CA"/>
        </w:rPr>
        <w:t>23, des normes d’accessibilité et de pédagogie visant la majorité linguistique, vu l’importance des droits prévus à l’art.</w:t>
      </w:r>
      <w:r w:rsidR="00225C08">
        <w:rPr>
          <w:rFonts w:cs="Times New Roman"/>
          <w:lang w:val="fr-CA"/>
        </w:rPr>
        <w:t xml:space="preserve"> </w:t>
      </w:r>
      <w:r w:rsidRPr="00131B59">
        <w:rPr>
          <w:rFonts w:cs="Times New Roman"/>
          <w:lang w:val="fr-CA"/>
        </w:rPr>
        <w:t>23 pour l’épanouissement et la préservation de la langue et de la culture de la minorité (par.</w:t>
      </w:r>
      <w:r w:rsidR="00225C08">
        <w:rPr>
          <w:rFonts w:cs="Times New Roman"/>
          <w:lang w:val="fr-CA"/>
        </w:rPr>
        <w:t xml:space="preserve"> </w:t>
      </w:r>
      <w:r w:rsidR="00671F9E">
        <w:rPr>
          <w:rFonts w:cs="Times New Roman"/>
          <w:lang w:val="fr-CA"/>
        </w:rPr>
        <w:t>39-40 et 49-</w:t>
      </w:r>
      <w:r w:rsidRPr="00131B59">
        <w:rPr>
          <w:rFonts w:cs="Times New Roman"/>
          <w:lang w:val="fr-CA"/>
        </w:rPr>
        <w:t>51).</w:t>
      </w:r>
    </w:p>
    <w:p w:rsidR="004B15C3" w:rsidRPr="00131B59" w:rsidRDefault="004B15C3" w:rsidP="004B15C3">
      <w:pPr>
        <w:pStyle w:val="Title3LevelTitre3Niveau"/>
        <w:widowControl w:val="0"/>
        <w:numPr>
          <w:ilvl w:val="2"/>
          <w:numId w:val="8"/>
        </w:numPr>
        <w:rPr>
          <w:rFonts w:cs="Times New Roman"/>
          <w:lang w:val="fr-CA"/>
        </w:rPr>
      </w:pPr>
      <w:r w:rsidRPr="00131B59">
        <w:rPr>
          <w:rFonts w:cs="Times New Roman"/>
          <w:lang w:val="fr-CA"/>
        </w:rPr>
        <w:t>Quel est le critère d’équivalence?</w:t>
      </w:r>
    </w:p>
    <w:p w:rsidR="004B15C3" w:rsidRPr="00131B59" w:rsidRDefault="004B15C3" w:rsidP="004B15C3">
      <w:pPr>
        <w:pStyle w:val="ParaNoNdepar-AltN"/>
        <w:widowControl w:val="0"/>
        <w:rPr>
          <w:rFonts w:cs="Times New Roman"/>
          <w:lang w:val="fr-CA"/>
        </w:rPr>
      </w:pPr>
      <w:r w:rsidRPr="00131B59">
        <w:rPr>
          <w:rFonts w:cs="Times New Roman"/>
          <w:lang w:val="fr-CA"/>
        </w:rPr>
        <w:t>Comme je l’ai déjà indiqué, l’art.</w:t>
      </w:r>
      <w:r w:rsidR="00225C08">
        <w:rPr>
          <w:rFonts w:cs="Times New Roman"/>
          <w:lang w:val="fr-CA"/>
        </w:rPr>
        <w:t xml:space="preserve"> </w:t>
      </w:r>
      <w:r w:rsidRPr="00131B59">
        <w:rPr>
          <w:rFonts w:cs="Times New Roman"/>
          <w:lang w:val="fr-CA"/>
        </w:rPr>
        <w:t xml:space="preserve">23 vise principalement </w:t>
      </w:r>
      <w:r w:rsidR="00225C08">
        <w:rPr>
          <w:rFonts w:cs="Times New Roman"/>
          <w:lang w:val="fr-CA"/>
        </w:rPr>
        <w:t>« </w:t>
      </w:r>
      <w:r w:rsidRPr="00131B59">
        <w:rPr>
          <w:rFonts w:cs="Times New Roman"/>
          <w:lang w:val="fr-CA"/>
        </w:rPr>
        <w:t>à remédier, à l’échelle nationale, à l’érosion historique progressive de groupes de langue officielle</w:t>
      </w:r>
      <w:r w:rsidR="00225C08">
        <w:rPr>
          <w:rFonts w:cs="Times New Roman"/>
          <w:lang w:val="fr-CA"/>
        </w:rPr>
        <w:t> » :</w:t>
      </w:r>
      <w:r w:rsidRPr="00131B59">
        <w:rPr>
          <w:rFonts w:cs="Times New Roman"/>
          <w:lang w:val="fr-CA"/>
        </w:rPr>
        <w:t xml:space="preserve"> </w:t>
      </w:r>
      <w:r w:rsidRPr="00131B59">
        <w:rPr>
          <w:rFonts w:cs="Times New Roman"/>
          <w:i/>
          <w:lang w:val="fr-CA"/>
        </w:rPr>
        <w:t>Arsenault</w:t>
      </w:r>
      <w:r w:rsidR="00225C08">
        <w:rPr>
          <w:rFonts w:cs="Times New Roman"/>
          <w:i/>
          <w:lang w:val="fr-CA"/>
        </w:rPr>
        <w:t>-</w:t>
      </w:r>
      <w:r w:rsidRPr="00131B59">
        <w:rPr>
          <w:rFonts w:cs="Times New Roman"/>
          <w:i/>
          <w:lang w:val="fr-CA"/>
        </w:rPr>
        <w:t>Cameron</w:t>
      </w:r>
      <w:r w:rsidRPr="00131B59">
        <w:rPr>
          <w:rFonts w:cs="Times New Roman"/>
          <w:lang w:val="fr-CA"/>
        </w:rPr>
        <w:t>,</w:t>
      </w:r>
      <w:r w:rsidRPr="00131B59">
        <w:rPr>
          <w:rFonts w:cs="Times New Roman"/>
          <w:i/>
          <w:lang w:val="fr-CA"/>
        </w:rPr>
        <w:t xml:space="preserve"> </w:t>
      </w:r>
      <w:r w:rsidRPr="00131B59">
        <w:rPr>
          <w:rFonts w:cs="Times New Roman"/>
          <w:lang w:val="fr-CA"/>
        </w:rPr>
        <w:t>par.</w:t>
      </w:r>
      <w:r w:rsidR="00225C08">
        <w:rPr>
          <w:rFonts w:cs="Times New Roman"/>
          <w:lang w:val="fr-CA"/>
        </w:rPr>
        <w:t xml:space="preserve"> </w:t>
      </w:r>
      <w:r w:rsidRPr="00131B59">
        <w:rPr>
          <w:rFonts w:cs="Times New Roman"/>
          <w:lang w:val="fr-CA"/>
        </w:rPr>
        <w:t xml:space="preserve">26; voir aussi </w:t>
      </w:r>
      <w:r w:rsidRPr="00131B59">
        <w:rPr>
          <w:rFonts w:cs="Times New Roman"/>
          <w:i/>
          <w:lang w:val="fr-CA"/>
        </w:rPr>
        <w:t>Mahe</w:t>
      </w:r>
      <w:r w:rsidRPr="00131B59">
        <w:rPr>
          <w:rFonts w:cs="Times New Roman"/>
          <w:lang w:val="fr-CA"/>
        </w:rPr>
        <w:t>,</w:t>
      </w:r>
      <w:r w:rsidRPr="00131B59">
        <w:rPr>
          <w:rFonts w:cs="Times New Roman"/>
          <w:i/>
          <w:lang w:val="fr-CA"/>
        </w:rPr>
        <w:t xml:space="preserve"> </w:t>
      </w:r>
      <w:r w:rsidRPr="00131B59">
        <w:rPr>
          <w:rFonts w:cs="Times New Roman"/>
          <w:lang w:val="fr-CA"/>
        </w:rPr>
        <w:t>p.</w:t>
      </w:r>
      <w:r w:rsidR="00225C08">
        <w:rPr>
          <w:rFonts w:cs="Times New Roman"/>
          <w:lang w:val="fr-CA"/>
        </w:rPr>
        <w:t xml:space="preserve"> </w:t>
      </w:r>
      <w:r w:rsidRPr="00131B59">
        <w:rPr>
          <w:rFonts w:cs="Times New Roman"/>
          <w:lang w:val="fr-CA"/>
        </w:rPr>
        <w:t>364. Vu la nature réparatrice de l’art.</w:t>
      </w:r>
      <w:r w:rsidR="00225C08">
        <w:rPr>
          <w:rFonts w:cs="Times New Roman"/>
          <w:lang w:val="fr-CA"/>
        </w:rPr>
        <w:t xml:space="preserve"> </w:t>
      </w:r>
      <w:r w:rsidRPr="00131B59">
        <w:rPr>
          <w:rFonts w:cs="Times New Roman"/>
          <w:lang w:val="fr-CA"/>
        </w:rPr>
        <w:t>23 et les défis particuliers à relever pour protéger la langue et la culture de la minorité et prévenir l’assimilation, l’équivalence, dans le contexte de l’art.</w:t>
      </w:r>
      <w:r w:rsidR="00225C08">
        <w:rPr>
          <w:rFonts w:cs="Times New Roman"/>
          <w:lang w:val="fr-CA"/>
        </w:rPr>
        <w:t xml:space="preserve"> </w:t>
      </w:r>
      <w:r w:rsidRPr="00131B59">
        <w:rPr>
          <w:rFonts w:cs="Times New Roman"/>
          <w:lang w:val="fr-CA"/>
        </w:rPr>
        <w:t>23, peut vouloir dire autre chose que l’équivalence formelle.</w:t>
      </w:r>
    </w:p>
    <w:p w:rsidR="004B15C3" w:rsidRPr="00131B59" w:rsidRDefault="004B15C3" w:rsidP="004B15C3">
      <w:pPr>
        <w:pStyle w:val="ParaNoNdepar-AltN"/>
        <w:widowControl w:val="0"/>
        <w:rPr>
          <w:rFonts w:cs="Times New Roman"/>
          <w:lang w:val="fr-CA"/>
        </w:rPr>
      </w:pPr>
      <w:r w:rsidRPr="00131B59">
        <w:rPr>
          <w:rFonts w:cs="Times New Roman"/>
          <w:lang w:val="fr-CA"/>
        </w:rPr>
        <w:t>Pour donner effet aux droits garantis par l’art.</w:t>
      </w:r>
      <w:r w:rsidR="00225C08">
        <w:rPr>
          <w:rFonts w:cs="Times New Roman"/>
          <w:lang w:val="fr-CA"/>
        </w:rPr>
        <w:t xml:space="preserve"> </w:t>
      </w:r>
      <w:r w:rsidRPr="00131B59">
        <w:rPr>
          <w:rFonts w:cs="Times New Roman"/>
          <w:lang w:val="fr-CA"/>
        </w:rPr>
        <w:t xml:space="preserve">23, l’accent devrait alors être mis sur l’équivalence réelle plutôt que sur les coûts par personne et les autres indicateurs d’équivalence formelle. En l’espèce, la preuve indique que le CSF touche </w:t>
      </w:r>
      <w:r w:rsidRPr="00131B59">
        <w:rPr>
          <w:rFonts w:cs="Times New Roman"/>
          <w:lang w:val="fr-CA"/>
        </w:rPr>
        <w:lastRenderedPageBreak/>
        <w:t>une prime de 15</w:t>
      </w:r>
      <w:r w:rsidR="00225C08">
        <w:rPr>
          <w:rFonts w:cs="Times New Roman"/>
          <w:lang w:val="fr-CA"/>
        </w:rPr>
        <w:t xml:space="preserve"> </w:t>
      </w:r>
      <w:r w:rsidR="00671F9E">
        <w:rPr>
          <w:rFonts w:cs="Times New Roman"/>
          <w:lang w:val="fr-CA"/>
        </w:rPr>
        <w:t>pour 100</w:t>
      </w:r>
      <w:r w:rsidRPr="00131B59">
        <w:rPr>
          <w:rFonts w:cs="Times New Roman"/>
          <w:lang w:val="fr-CA"/>
        </w:rPr>
        <w:t xml:space="preserve"> dans le cadre du financement opérationnel qu’il reçoit de la Province, comparativement aux autres conseils scolaires de la province. Vu les économies d’échelle, il n’est pas étonnant que les coûts par personne soient plus élevés pour un conseil scolaire ou une école de la minorité linguistique (</w:t>
      </w:r>
      <w:r w:rsidRPr="00131B59">
        <w:rPr>
          <w:rFonts w:cs="Times New Roman"/>
          <w:i/>
          <w:lang w:val="fr-CA"/>
        </w:rPr>
        <w:t>Mahe</w:t>
      </w:r>
      <w:r w:rsidRPr="00131B59">
        <w:rPr>
          <w:rFonts w:cs="Times New Roman"/>
          <w:lang w:val="fr-CA"/>
        </w:rPr>
        <w:t>, p.</w:t>
      </w:r>
      <w:r w:rsidR="00225C08">
        <w:rPr>
          <w:rFonts w:cs="Times New Roman"/>
          <w:lang w:val="fr-CA"/>
        </w:rPr>
        <w:t xml:space="preserve"> </w:t>
      </w:r>
      <w:r w:rsidRPr="00131B59">
        <w:rPr>
          <w:rFonts w:cs="Times New Roman"/>
          <w:lang w:val="fr-CA"/>
        </w:rPr>
        <w:t>378). Cependant, aucune somme précise par personne ne pourra satisfaire aux exigences de l’art.</w:t>
      </w:r>
      <w:r w:rsidR="00225C08">
        <w:rPr>
          <w:rFonts w:cs="Times New Roman"/>
          <w:lang w:val="fr-CA"/>
        </w:rPr>
        <w:t xml:space="preserve"> </w:t>
      </w:r>
      <w:r w:rsidRPr="00131B59">
        <w:rPr>
          <w:rFonts w:cs="Times New Roman"/>
          <w:lang w:val="fr-CA"/>
        </w:rPr>
        <w:t>23 dans un cas donné. En revanche, ce qui est primordial, c’est que l’expérience éducative des enfants de titulaires des droits garantis par l’art.</w:t>
      </w:r>
      <w:r w:rsidR="00225C08">
        <w:rPr>
          <w:rFonts w:cs="Times New Roman"/>
          <w:lang w:val="fr-CA"/>
        </w:rPr>
        <w:t xml:space="preserve"> </w:t>
      </w:r>
      <w:r w:rsidRPr="00131B59">
        <w:rPr>
          <w:rFonts w:cs="Times New Roman"/>
          <w:lang w:val="fr-CA"/>
        </w:rPr>
        <w:t xml:space="preserve">23 à la limite supérieure de l’échelle variable soit de qualité réellement semblable à l’expérience éducative des élèves de la majorité linguistique. Comme la Cour l’a fait remarquer dans l’arrêt </w:t>
      </w:r>
      <w:r w:rsidRPr="00131B59">
        <w:rPr>
          <w:rFonts w:cs="Times New Roman"/>
          <w:i/>
          <w:lang w:val="fr-CA"/>
        </w:rPr>
        <w:t>Arsenault</w:t>
      </w:r>
      <w:r w:rsidR="00225C08">
        <w:rPr>
          <w:rFonts w:cs="Times New Roman"/>
          <w:i/>
          <w:lang w:val="fr-CA"/>
        </w:rPr>
        <w:t>-</w:t>
      </w:r>
      <w:r w:rsidRPr="00131B59">
        <w:rPr>
          <w:rFonts w:cs="Times New Roman"/>
          <w:i/>
          <w:lang w:val="fr-CA"/>
        </w:rPr>
        <w:t>Cameron</w:t>
      </w:r>
      <w:r w:rsidRPr="00131B59">
        <w:rPr>
          <w:rFonts w:cs="Times New Roman"/>
          <w:lang w:val="fr-CA"/>
        </w:rPr>
        <w:t xml:space="preserve">, </w:t>
      </w:r>
      <w:r w:rsidR="00225C08">
        <w:rPr>
          <w:rFonts w:cs="Times New Roman"/>
          <w:lang w:val="fr-CA"/>
        </w:rPr>
        <w:t>« </w:t>
      </w:r>
      <w:r w:rsidRPr="00131B59">
        <w:rPr>
          <w:rFonts w:cs="Times New Roman"/>
          <w:lang w:val="fr-CA"/>
        </w:rPr>
        <w:t>[l]’article</w:t>
      </w:r>
      <w:r w:rsidR="00225C08">
        <w:rPr>
          <w:rFonts w:cs="Times New Roman"/>
          <w:lang w:val="fr-CA"/>
        </w:rPr>
        <w:t xml:space="preserve"> </w:t>
      </w:r>
      <w:r w:rsidRPr="00131B59">
        <w:rPr>
          <w:rFonts w:cs="Times New Roman"/>
          <w:lang w:val="fr-CA"/>
        </w:rPr>
        <w:t>23 repose sur la prémisse que l’égalité réelle exige que les minorités de langue officielle soient traitées différemment, si nécessaire, suivant leur situation et leurs besoins particuliers, afin de leur assurer un niveau d’éducation équivalent à celui de la majorité de langue officielle</w:t>
      </w:r>
      <w:r w:rsidR="00225C08">
        <w:rPr>
          <w:rFonts w:cs="Times New Roman"/>
          <w:lang w:val="fr-CA"/>
        </w:rPr>
        <w:t> »</w:t>
      </w:r>
      <w:r w:rsidRPr="00131B59">
        <w:rPr>
          <w:rFonts w:cs="Times New Roman"/>
          <w:lang w:val="fr-CA"/>
        </w:rPr>
        <w:t xml:space="preserve"> (par.</w:t>
      </w:r>
      <w:r w:rsidR="00225C08">
        <w:rPr>
          <w:rFonts w:cs="Times New Roman"/>
          <w:lang w:val="fr-CA"/>
        </w:rPr>
        <w:t xml:space="preserve"> </w:t>
      </w:r>
      <w:r w:rsidRPr="00131B59">
        <w:rPr>
          <w:rFonts w:cs="Times New Roman"/>
          <w:lang w:val="fr-CA"/>
        </w:rPr>
        <w:t>31).</w:t>
      </w:r>
    </w:p>
    <w:p w:rsidR="004B15C3" w:rsidRPr="00131B59" w:rsidRDefault="00671F9E" w:rsidP="00671F9E">
      <w:pPr>
        <w:pStyle w:val="Title4LevelTitre4Niveau"/>
        <w:widowControl w:val="0"/>
        <w:numPr>
          <w:ilvl w:val="0"/>
          <w:numId w:val="0"/>
        </w:numPr>
        <w:tabs>
          <w:tab w:val="left" w:pos="1170"/>
        </w:tabs>
        <w:ind w:left="1170" w:hanging="594"/>
        <w:rPr>
          <w:rFonts w:cs="Times New Roman"/>
          <w:lang w:val="fr-CA"/>
        </w:rPr>
      </w:pPr>
      <w:r w:rsidRPr="00671F9E">
        <w:rPr>
          <w:rFonts w:cs="Times New Roman"/>
          <w:i w:val="0"/>
          <w:lang w:val="fr-CA"/>
        </w:rPr>
        <w:t>a)</w:t>
      </w:r>
      <w:r>
        <w:rPr>
          <w:rFonts w:cs="Times New Roman"/>
          <w:lang w:val="fr-CA"/>
        </w:rPr>
        <w:tab/>
      </w:r>
      <w:r w:rsidR="004B15C3" w:rsidRPr="00131B59">
        <w:rPr>
          <w:rFonts w:cs="Times New Roman"/>
          <w:lang w:val="fr-CA"/>
        </w:rPr>
        <w:t>Quelle perspective analytique est pertinente lorsqu’il s’agit d’évaluer l’équivalence?</w:t>
      </w:r>
    </w:p>
    <w:p w:rsidR="004B15C3" w:rsidRPr="00131B59" w:rsidRDefault="004B15C3" w:rsidP="004B15C3">
      <w:pPr>
        <w:pStyle w:val="ParaNoNdepar-AltN"/>
        <w:widowControl w:val="0"/>
        <w:rPr>
          <w:rFonts w:cs="Times New Roman"/>
          <w:lang w:val="fr-CA"/>
        </w:rPr>
      </w:pPr>
      <w:r w:rsidRPr="00131B59">
        <w:rPr>
          <w:rFonts w:cs="Times New Roman"/>
          <w:lang w:val="fr-CA"/>
        </w:rPr>
        <w:t>La première étape de toute analyse fondée sur l’art.</w:t>
      </w:r>
      <w:r w:rsidR="00225C08">
        <w:rPr>
          <w:rFonts w:cs="Times New Roman"/>
          <w:lang w:val="fr-CA"/>
        </w:rPr>
        <w:t xml:space="preserve"> </w:t>
      </w:r>
      <w:r w:rsidRPr="00131B59">
        <w:rPr>
          <w:rFonts w:cs="Times New Roman"/>
          <w:lang w:val="fr-CA"/>
        </w:rPr>
        <w:t xml:space="preserve">23 consiste à déterminer ce dont doivent bénéficier les parents titulaires du droit. Il faut pour cela établir le niveau de services que justifie leur nombre dans une collectivité donnée. En l’espèce, un tribunal a déjà décidé, et les parties conviennent, que le nombre justifie le plus haut niveau d’instruction et d’établissements d’enseignement en langue française, ce qui suppose nécessairement un élément de gestion et de contrôle pour les </w:t>
      </w:r>
      <w:r w:rsidRPr="00131B59">
        <w:rPr>
          <w:rFonts w:cs="Times New Roman"/>
          <w:lang w:val="fr-CA"/>
        </w:rPr>
        <w:lastRenderedPageBreak/>
        <w:t>titulaires de droits. Cela étant établi, il s’agit en l’espèce de savoir comment déterminer si les Parents bénéficient effectivement de l’équivalence réelle à laquelle ils ont droit.</w:t>
      </w:r>
    </w:p>
    <w:p w:rsidR="004B15C3" w:rsidRPr="00131B59" w:rsidRDefault="004B15C3" w:rsidP="004B15C3">
      <w:pPr>
        <w:pStyle w:val="ParaNoNdepar-AltN"/>
        <w:widowControl w:val="0"/>
        <w:rPr>
          <w:rFonts w:cs="Times New Roman"/>
          <w:lang w:val="fr-CA"/>
        </w:rPr>
      </w:pPr>
      <w:r w:rsidRPr="00131B59">
        <w:rPr>
          <w:rFonts w:cs="Times New Roman"/>
          <w:lang w:val="fr-CA"/>
        </w:rPr>
        <w:t>Dans l’évaluation de l’équivalence, la méthode téléologique exige du tribunal qu’il tienne compte des choix offerts en matière d’éducation du point de vue des titulaires des droits garantis à l’art.</w:t>
      </w:r>
      <w:r w:rsidR="00225C08">
        <w:rPr>
          <w:rFonts w:cs="Times New Roman"/>
          <w:lang w:val="fr-CA"/>
        </w:rPr>
        <w:t xml:space="preserve"> </w:t>
      </w:r>
      <w:r w:rsidRPr="00131B59">
        <w:rPr>
          <w:rFonts w:cs="Times New Roman"/>
          <w:lang w:val="fr-CA"/>
        </w:rPr>
        <w:t>23. Des parents raisonnables qui détiennent ces droits seraient</w:t>
      </w:r>
      <w:r w:rsidR="00225C08">
        <w:rPr>
          <w:rFonts w:cs="Times New Roman"/>
          <w:lang w:val="fr-CA"/>
        </w:rPr>
        <w:t>-</w:t>
      </w:r>
      <w:r w:rsidRPr="00131B59">
        <w:rPr>
          <w:rFonts w:cs="Times New Roman"/>
          <w:lang w:val="fr-CA"/>
        </w:rPr>
        <w:t xml:space="preserve">ils dissuadés d’envoyer leurs enfants dans une école de la minorité linguistique parce que l’école est </w:t>
      </w:r>
      <w:r>
        <w:rPr>
          <w:rFonts w:cs="Times New Roman"/>
          <w:lang w:val="fr-CA"/>
        </w:rPr>
        <w:t>véritablement</w:t>
      </w:r>
      <w:r w:rsidRPr="00131B59">
        <w:rPr>
          <w:rFonts w:cs="Times New Roman"/>
          <w:lang w:val="fr-CA"/>
        </w:rPr>
        <w:t xml:space="preserve"> inférieure à une école de la majorité linguistique où ils peuvent les inscrire? Dans l’affirmative, l’objet de cette disposition réparatrice est menacé. Si l’expérience éducative, prise globalement, est suffisamment supérieure dans les écoles de la majorité linguistique, ce fait pourrait affaiblir la volonté des parents de faire instruire leurs enfants dans la langue de la minorité, ce qui, du coup, risque d’entraîner l’assimilation. L’analyse de l’équivalence doit donc être axée sur des comparaisons susceptibles de compromettre l’exercice des droits garantis par l’art.</w:t>
      </w:r>
      <w:r w:rsidR="00225C08">
        <w:rPr>
          <w:rFonts w:cs="Times New Roman"/>
          <w:lang w:val="fr-CA"/>
        </w:rPr>
        <w:t xml:space="preserve"> </w:t>
      </w:r>
      <w:r w:rsidRPr="00131B59">
        <w:rPr>
          <w:rFonts w:cs="Times New Roman"/>
          <w:lang w:val="fr-CA"/>
        </w:rPr>
        <w:t xml:space="preserve">23 de la </w:t>
      </w:r>
      <w:r w:rsidRPr="00131B59">
        <w:rPr>
          <w:rFonts w:cs="Times New Roman"/>
          <w:i/>
          <w:lang w:val="fr-CA"/>
        </w:rPr>
        <w:t>Charte</w:t>
      </w:r>
      <w:r w:rsidRPr="00131B59">
        <w:rPr>
          <w:rFonts w:cs="Times New Roman"/>
          <w:lang w:val="fr-CA"/>
        </w:rPr>
        <w:t xml:space="preserve">. </w:t>
      </w:r>
    </w:p>
    <w:p w:rsidR="004B15C3" w:rsidRPr="00131B59" w:rsidRDefault="00671F9E" w:rsidP="00671F9E">
      <w:pPr>
        <w:pStyle w:val="Title4LevelTitre4Niveau"/>
        <w:widowControl w:val="0"/>
        <w:numPr>
          <w:ilvl w:val="0"/>
          <w:numId w:val="0"/>
        </w:numPr>
        <w:tabs>
          <w:tab w:val="left" w:pos="1170"/>
        </w:tabs>
        <w:ind w:left="1170" w:hanging="594"/>
        <w:rPr>
          <w:rFonts w:cs="Times New Roman"/>
          <w:lang w:val="fr-CA"/>
        </w:rPr>
      </w:pPr>
      <w:r w:rsidRPr="00671F9E">
        <w:rPr>
          <w:rFonts w:cs="Times New Roman"/>
          <w:i w:val="0"/>
          <w:lang w:val="fr-CA"/>
        </w:rPr>
        <w:t>b)</w:t>
      </w:r>
      <w:r>
        <w:rPr>
          <w:rFonts w:cs="Times New Roman"/>
          <w:lang w:val="fr-CA"/>
        </w:rPr>
        <w:tab/>
      </w:r>
      <w:r w:rsidR="004B15C3" w:rsidRPr="00131B59">
        <w:rPr>
          <w:rFonts w:cs="Times New Roman"/>
          <w:lang w:val="fr-CA"/>
        </w:rPr>
        <w:t>Quelle portée géographique est pertinente pour évaluer l’équivalence?</w:t>
      </w:r>
    </w:p>
    <w:p w:rsidR="004B15C3" w:rsidRPr="00131B59" w:rsidRDefault="004B15C3" w:rsidP="004B15C3">
      <w:pPr>
        <w:pStyle w:val="ParaNoNdepar-AltN"/>
        <w:widowControl w:val="0"/>
        <w:rPr>
          <w:rFonts w:cs="Times New Roman"/>
          <w:lang w:val="fr-CA"/>
        </w:rPr>
      </w:pPr>
      <w:r w:rsidRPr="00131B59">
        <w:rPr>
          <w:rFonts w:cs="Times New Roman"/>
          <w:lang w:val="fr-CA"/>
        </w:rPr>
        <w:t>Comme l’a précisé la Cour, le libellé de l’art.</w:t>
      </w:r>
      <w:r w:rsidR="00225C08">
        <w:rPr>
          <w:rFonts w:cs="Times New Roman"/>
          <w:lang w:val="fr-CA"/>
        </w:rPr>
        <w:t xml:space="preserve"> </w:t>
      </w:r>
      <w:r w:rsidRPr="00131B59">
        <w:rPr>
          <w:rFonts w:cs="Times New Roman"/>
          <w:lang w:val="fr-CA"/>
        </w:rPr>
        <w:t xml:space="preserve">23 et son objet consistant à prévenir l’érosion de groupes minoritaires de langue officielle exigent tous deux que l’on se demande si le nombre d’élèves </w:t>
      </w:r>
      <w:r w:rsidR="00225C08">
        <w:rPr>
          <w:rFonts w:cs="Times New Roman"/>
          <w:lang w:val="fr-CA"/>
        </w:rPr>
        <w:t>« </w:t>
      </w:r>
      <w:r w:rsidRPr="00131B59">
        <w:rPr>
          <w:rFonts w:cs="Times New Roman"/>
          <w:lang w:val="fr-CA"/>
        </w:rPr>
        <w:t>partout dans la province</w:t>
      </w:r>
      <w:r w:rsidR="00225C08">
        <w:rPr>
          <w:rFonts w:cs="Times New Roman"/>
          <w:lang w:val="fr-CA"/>
        </w:rPr>
        <w:t> »</w:t>
      </w:r>
      <w:r w:rsidRPr="00131B59">
        <w:rPr>
          <w:rFonts w:cs="Times New Roman"/>
          <w:lang w:val="fr-CA"/>
        </w:rPr>
        <w:t xml:space="preserve"> justifie l’application des droits garantis par l’art.</w:t>
      </w:r>
      <w:r w:rsidR="00225C08">
        <w:rPr>
          <w:rFonts w:cs="Times New Roman"/>
          <w:lang w:val="fr-CA"/>
        </w:rPr>
        <w:t xml:space="preserve"> </w:t>
      </w:r>
      <w:r w:rsidRPr="00131B59">
        <w:rPr>
          <w:rFonts w:cs="Times New Roman"/>
          <w:lang w:val="fr-CA"/>
        </w:rPr>
        <w:t>23 (</w:t>
      </w:r>
      <w:r w:rsidRPr="00131B59">
        <w:rPr>
          <w:rFonts w:cs="Times New Roman"/>
          <w:i/>
          <w:lang w:val="fr-CA"/>
        </w:rPr>
        <w:t>Mahe</w:t>
      </w:r>
      <w:r w:rsidRPr="00131B59">
        <w:rPr>
          <w:rFonts w:cs="Times New Roman"/>
          <w:lang w:val="fr-CA"/>
        </w:rPr>
        <w:t>, p.</w:t>
      </w:r>
      <w:r w:rsidR="00225C08">
        <w:rPr>
          <w:rFonts w:cs="Times New Roman"/>
          <w:lang w:val="fr-CA"/>
        </w:rPr>
        <w:t xml:space="preserve"> </w:t>
      </w:r>
      <w:r w:rsidRPr="00131B59">
        <w:rPr>
          <w:rFonts w:cs="Times New Roman"/>
          <w:lang w:val="fr-CA"/>
        </w:rPr>
        <w:t xml:space="preserve">386; </w:t>
      </w:r>
      <w:r w:rsidRPr="00131B59">
        <w:rPr>
          <w:rFonts w:cs="Times New Roman"/>
          <w:i/>
          <w:lang w:val="fr-CA"/>
        </w:rPr>
        <w:t>Arsenault</w:t>
      </w:r>
      <w:r w:rsidR="00225C08">
        <w:rPr>
          <w:rFonts w:cs="Times New Roman"/>
          <w:i/>
          <w:lang w:val="fr-CA"/>
        </w:rPr>
        <w:t>-</w:t>
      </w:r>
      <w:r w:rsidRPr="00131B59">
        <w:rPr>
          <w:rFonts w:cs="Times New Roman"/>
          <w:i/>
          <w:lang w:val="fr-CA"/>
        </w:rPr>
        <w:t>Cameron</w:t>
      </w:r>
      <w:r w:rsidRPr="00131B59">
        <w:rPr>
          <w:rFonts w:cs="Times New Roman"/>
          <w:lang w:val="fr-CA"/>
        </w:rPr>
        <w:t>,</w:t>
      </w:r>
      <w:r w:rsidRPr="00131B59">
        <w:rPr>
          <w:rFonts w:cs="Times New Roman"/>
          <w:i/>
          <w:lang w:val="fr-CA"/>
        </w:rPr>
        <w:t xml:space="preserve"> </w:t>
      </w:r>
      <w:r w:rsidRPr="00131B59">
        <w:rPr>
          <w:rFonts w:cs="Times New Roman"/>
          <w:lang w:val="fr-CA"/>
        </w:rPr>
        <w:t>par.</w:t>
      </w:r>
      <w:r w:rsidR="00225C08">
        <w:rPr>
          <w:rFonts w:cs="Times New Roman"/>
          <w:lang w:val="fr-CA"/>
        </w:rPr>
        <w:t xml:space="preserve"> </w:t>
      </w:r>
      <w:r w:rsidRPr="00131B59">
        <w:rPr>
          <w:rFonts w:cs="Times New Roman"/>
          <w:lang w:val="fr-CA"/>
        </w:rPr>
        <w:t>56</w:t>
      </w:r>
      <w:r w:rsidR="00ED7028">
        <w:rPr>
          <w:rFonts w:cs="Times New Roman"/>
          <w:lang w:val="fr-CA"/>
        </w:rPr>
        <w:t>-</w:t>
      </w:r>
      <w:r w:rsidRPr="00131B59">
        <w:rPr>
          <w:rFonts w:cs="Times New Roman"/>
          <w:lang w:val="fr-CA"/>
        </w:rPr>
        <w:t xml:space="preserve">57). Pour cette raison, il faut avoir une vision locale puisque c’est la collectivité </w:t>
      </w:r>
      <w:r w:rsidRPr="00131B59">
        <w:rPr>
          <w:rFonts w:cs="Times New Roman"/>
          <w:lang w:val="fr-CA"/>
        </w:rPr>
        <w:lastRenderedPageBreak/>
        <w:t xml:space="preserve">locale qui bénéficie des avantages linguistiques et culturels d’un enseignement dans la langue de la minorité. </w:t>
      </w:r>
    </w:p>
    <w:p w:rsidR="004B15C3" w:rsidRPr="00131B59" w:rsidRDefault="004B15C3" w:rsidP="004B15C3">
      <w:pPr>
        <w:pStyle w:val="ParaNoNdepar-AltN"/>
        <w:widowControl w:val="0"/>
        <w:rPr>
          <w:rFonts w:cs="Times New Roman"/>
          <w:lang w:val="fr-CA"/>
        </w:rPr>
      </w:pPr>
      <w:r w:rsidRPr="00131B59">
        <w:rPr>
          <w:rFonts w:cs="Times New Roman"/>
          <w:lang w:val="fr-CA"/>
        </w:rPr>
        <w:t>Si les titulaires de droits se demandent quelle école devrait fréquenter leur enfant ou s’il y a lieu de retirer leur enfant d’une école de la minorité linguistique, ils songeront aux écoles de la majorité linguistique des environs comme solutions de rechange. Ainsi, le groupe de comparaison qui conviendra généralement à l’évaluation de l’équivalence réelle d’une école de la minorité linguistique sera constitué des écoles avoisinantes de la majorité linguistique qui représentent une solution de rechange réaliste pour les titulaires de droits. Comparer les installations d’une école de la minorité linguistique à des établissements de l’extérieur du secteur ne permettrait pas de brosser un portrait réaliste des choix qui s’offrent aux titulaires de droits, qui ne peuvent pas envoyer leurs enfants à une école située à l’autre bout de la province. Bien sûr, l’étendue géographique précise du groupe de comparaison et l’utilité relative de ce genre de comparaison varient selon les circonstances (</w:t>
      </w:r>
      <w:r w:rsidRPr="00131B59">
        <w:rPr>
          <w:rFonts w:cs="Times New Roman"/>
          <w:i/>
          <w:lang w:val="fr-CA"/>
        </w:rPr>
        <w:t>Arsenault</w:t>
      </w:r>
      <w:r w:rsidR="00225C08">
        <w:rPr>
          <w:rFonts w:cs="Times New Roman"/>
          <w:i/>
          <w:lang w:val="fr-CA"/>
        </w:rPr>
        <w:t>-</w:t>
      </w:r>
      <w:r w:rsidRPr="00131B59">
        <w:rPr>
          <w:rFonts w:cs="Times New Roman"/>
          <w:i/>
          <w:lang w:val="fr-CA"/>
        </w:rPr>
        <w:t>Cameron</w:t>
      </w:r>
      <w:r w:rsidRPr="00131B59">
        <w:rPr>
          <w:rFonts w:cs="Times New Roman"/>
          <w:lang w:val="fr-CA"/>
        </w:rPr>
        <w:t>, par.</w:t>
      </w:r>
      <w:r w:rsidR="00225C08">
        <w:rPr>
          <w:rFonts w:cs="Times New Roman"/>
          <w:lang w:val="fr-CA"/>
        </w:rPr>
        <w:t xml:space="preserve"> </w:t>
      </w:r>
      <w:r w:rsidRPr="00131B59">
        <w:rPr>
          <w:rFonts w:cs="Times New Roman"/>
          <w:lang w:val="fr-CA"/>
        </w:rPr>
        <w:t>57).</w:t>
      </w:r>
    </w:p>
    <w:p w:rsidR="004B15C3" w:rsidRPr="00131B59" w:rsidRDefault="00671F9E" w:rsidP="00671F9E">
      <w:pPr>
        <w:pStyle w:val="Title4LevelTitre4Niveau"/>
        <w:widowControl w:val="0"/>
        <w:numPr>
          <w:ilvl w:val="0"/>
          <w:numId w:val="0"/>
        </w:numPr>
        <w:tabs>
          <w:tab w:val="left" w:pos="1170"/>
        </w:tabs>
        <w:ind w:left="1170" w:hanging="594"/>
        <w:rPr>
          <w:rFonts w:cs="Times New Roman"/>
          <w:lang w:val="fr-CA"/>
        </w:rPr>
      </w:pPr>
      <w:r w:rsidRPr="00671F9E">
        <w:rPr>
          <w:rFonts w:cs="Times New Roman"/>
          <w:i w:val="0"/>
          <w:lang w:val="fr-CA"/>
        </w:rPr>
        <w:t>c)</w:t>
      </w:r>
      <w:r>
        <w:rPr>
          <w:rFonts w:cs="Times New Roman"/>
          <w:lang w:val="fr-CA"/>
        </w:rPr>
        <w:tab/>
      </w:r>
      <w:r w:rsidR="004B15C3" w:rsidRPr="00131B59">
        <w:rPr>
          <w:rFonts w:cs="Times New Roman"/>
          <w:lang w:val="fr-CA"/>
        </w:rPr>
        <w:t>Quels facteurs faut</w:t>
      </w:r>
      <w:r w:rsidR="00225C08">
        <w:rPr>
          <w:rFonts w:cs="Times New Roman"/>
          <w:lang w:val="fr-CA"/>
        </w:rPr>
        <w:t>-</w:t>
      </w:r>
      <w:r w:rsidR="004B15C3" w:rsidRPr="00131B59">
        <w:rPr>
          <w:rFonts w:cs="Times New Roman"/>
          <w:lang w:val="fr-CA"/>
        </w:rPr>
        <w:t>il comparer dans l’évaluation de l’équivalence?</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Comme le prétend la Province, aucune école n’est susceptible d’être considérée par tous les parents comme étant égale ou supérieure, à tous égards, aux écoles voisines. Dans l’exercice de comparaison, il faut être conscient des divers facteurs dont les parents raisonnables tiennent compte pour évaluer l’équivalence. Le fait qu’une école laisse à désirer dans un domaine ne signifie pas qu’elle n’est pas </w:t>
      </w:r>
      <w:r w:rsidRPr="00131B59">
        <w:rPr>
          <w:rFonts w:cs="Times New Roman"/>
          <w:lang w:val="fr-CA"/>
        </w:rPr>
        <w:lastRenderedPageBreak/>
        <w:t xml:space="preserve">équivalente de façon générale. Plus particulièrement, la qualité de l’instruction et celle des établissements peuvent être des éléments de comparaison importants. D’ailleurs, dans l’arrêt </w:t>
      </w:r>
      <w:r w:rsidRPr="00131B59">
        <w:rPr>
          <w:rFonts w:cs="Times New Roman"/>
          <w:i/>
          <w:lang w:val="fr-CA"/>
        </w:rPr>
        <w:t>Mahe</w:t>
      </w:r>
      <w:r w:rsidRPr="00131B59">
        <w:rPr>
          <w:rFonts w:cs="Times New Roman"/>
          <w:lang w:val="fr-CA"/>
        </w:rPr>
        <w:t xml:space="preserve">, le juge en chef Dickson a rejeté une approche qui traiterait l’instruction et les établissements comme des </w:t>
      </w:r>
      <w:r w:rsidR="00225C08">
        <w:rPr>
          <w:rFonts w:cs="Times New Roman"/>
          <w:lang w:val="fr-CA"/>
        </w:rPr>
        <w:t>« </w:t>
      </w:r>
      <w:r w:rsidRPr="00131B59">
        <w:rPr>
          <w:rFonts w:cs="Times New Roman"/>
          <w:lang w:val="fr-CA"/>
        </w:rPr>
        <w:t>droits distincts</w:t>
      </w:r>
      <w:r w:rsidR="00225C08">
        <w:rPr>
          <w:rFonts w:cs="Times New Roman"/>
          <w:lang w:val="fr-CA"/>
        </w:rPr>
        <w:t> »</w:t>
      </w:r>
      <w:r w:rsidRPr="00131B59">
        <w:rPr>
          <w:rFonts w:cs="Times New Roman"/>
          <w:lang w:val="fr-CA"/>
        </w:rPr>
        <w:t xml:space="preserve"> au titre de l’art.</w:t>
      </w:r>
      <w:r w:rsidR="00225C08">
        <w:rPr>
          <w:rFonts w:cs="Times New Roman"/>
          <w:lang w:val="fr-CA"/>
        </w:rPr>
        <w:t xml:space="preserve"> </w:t>
      </w:r>
      <w:r w:rsidRPr="00131B59">
        <w:rPr>
          <w:rFonts w:cs="Times New Roman"/>
          <w:lang w:val="fr-CA"/>
        </w:rPr>
        <w:t xml:space="preserve">23 de la </w:t>
      </w:r>
      <w:r w:rsidRPr="00131B59">
        <w:rPr>
          <w:rFonts w:cs="Times New Roman"/>
          <w:i/>
          <w:lang w:val="fr-CA"/>
        </w:rPr>
        <w:t>Charte</w:t>
      </w:r>
      <w:r w:rsidRPr="00131B59">
        <w:rPr>
          <w:rFonts w:cs="Times New Roman"/>
          <w:lang w:val="fr-CA"/>
        </w:rPr>
        <w:t>, et les associerait à différents seuils numériques. Il a plutôt décidé d’examiner ensemble l’instruction et les établissements au moment de déterminer la portée du droit reconnu par l’art.</w:t>
      </w:r>
      <w:r w:rsidR="00225C08">
        <w:rPr>
          <w:rFonts w:cs="Times New Roman"/>
          <w:lang w:val="fr-CA"/>
        </w:rPr>
        <w:t xml:space="preserve"> </w:t>
      </w:r>
      <w:r w:rsidRPr="00131B59">
        <w:rPr>
          <w:rFonts w:cs="Times New Roman"/>
          <w:lang w:val="fr-CA"/>
        </w:rPr>
        <w:t>23 (p.</w:t>
      </w:r>
      <w:r w:rsidR="00225C08">
        <w:rPr>
          <w:rFonts w:cs="Times New Roman"/>
          <w:lang w:val="fr-CA"/>
        </w:rPr>
        <w:t xml:space="preserve"> </w:t>
      </w:r>
      <w:r w:rsidRPr="00131B59">
        <w:rPr>
          <w:rFonts w:cs="Times New Roman"/>
          <w:lang w:val="fr-CA"/>
        </w:rPr>
        <w:t>366). Une telle approche est compatible avec l’objet de l’art.</w:t>
      </w:r>
      <w:r w:rsidR="00225C08">
        <w:rPr>
          <w:rFonts w:cs="Times New Roman"/>
          <w:lang w:val="fr-CA"/>
        </w:rPr>
        <w:t xml:space="preserve"> </w:t>
      </w:r>
      <w:r w:rsidRPr="00131B59">
        <w:rPr>
          <w:rFonts w:cs="Times New Roman"/>
          <w:lang w:val="fr-CA"/>
        </w:rPr>
        <w:t xml:space="preserve">23. Il va de soi que les mêmes considérations valent lorsqu’il s’agit de comparer les écoles de la minorité et celles de la majorité pour déterminer si elles sont équivalentes. La qualité de l’instruction et celle des établissements peuvent être de bons indicateurs d’équivalence et sont, à juste titre, examinées ensemble. </w:t>
      </w:r>
    </w:p>
    <w:p w:rsidR="004B15C3" w:rsidRPr="00131B59" w:rsidRDefault="004B15C3" w:rsidP="004B15C3">
      <w:pPr>
        <w:pStyle w:val="ParaNoNdepar-AltN"/>
        <w:widowControl w:val="0"/>
        <w:rPr>
          <w:rFonts w:cs="Times New Roman"/>
          <w:lang w:val="fr-CA"/>
        </w:rPr>
      </w:pPr>
      <w:r w:rsidRPr="00131B59">
        <w:rPr>
          <w:rFonts w:cs="Times New Roman"/>
          <w:lang w:val="fr-CA"/>
        </w:rPr>
        <w:t>Par conséquent, la comparaison est de nature contextuelle et holistique, tenant compte non seulement des installations matérielles, mais aussi de plusieurs autres facteurs, y compris la qualité de l’instruction, les résultats scolaires, les activités parascolaires et le temps de déplacement. Une telle approche s’apparente à la façon dont les parents prennent des décisions relatives à l’instruction de leurs enfants. Bien entendu, la mesure dans laquelle un facteur donné constitue une question en litige dans l’appréciation de l’équivalence est fonction des circonstances de l’affaire. On examine ensemble les facteurs pertinents pour décider si, globalement, l’expérience éducative est inférieure au point de pouvoir dissuader les titulaires de droits d’inscrire leurs enfants dans une école de la minorité linguistique.</w:t>
      </w:r>
    </w:p>
    <w:p w:rsidR="004B15C3" w:rsidRPr="00131B59" w:rsidRDefault="004B15C3" w:rsidP="004B15C3">
      <w:pPr>
        <w:pStyle w:val="ParaNoNdepar-AltN"/>
        <w:widowControl w:val="0"/>
        <w:rPr>
          <w:rFonts w:cs="Times New Roman"/>
          <w:lang w:val="fr-CA"/>
        </w:rPr>
      </w:pPr>
      <w:r w:rsidRPr="00131B59">
        <w:rPr>
          <w:rFonts w:cs="Times New Roman"/>
          <w:lang w:val="fr-CA"/>
        </w:rPr>
        <w:lastRenderedPageBreak/>
        <w:t>En conséquence, le fait qu’une école de la minorité linguistique soit plus vieille que les écoles de la majorité des environs n’est pas, lorsque pris isolément, suffisant pour conclure à l’absence d’équivalence. Les écoles peuvent remplir leur fonction longtemps, et il se peut que des écoles plus vieilles disposent d’installations inférieures à celles d’écoles plus récentes. L’âge avancé d’une école de la minorité linguistique ne pousserait pas, en temps normal, un parent raisonnable, titulaire de droits, à retirer son enfant de l’école, surtout en présence d’autres points forts de l’expérience éducative. Essentiellement, l’âge d’une école et la qualité de ses installations matérielles ne sont que deux des multiples facteurs</w:t>
      </w:r>
      <w:r w:rsidR="006562F0">
        <w:rPr>
          <w:rFonts w:cs="Times New Roman"/>
          <w:lang w:val="fr-CA"/>
        </w:rPr>
        <w:t xml:space="preserve"> à considérer</w:t>
      </w:r>
      <w:r w:rsidRPr="00131B59">
        <w:rPr>
          <w:rFonts w:cs="Times New Roman"/>
          <w:lang w:val="fr-CA"/>
        </w:rPr>
        <w:t>. Plusieurs autres considérations impératives entrent dans la comparaison à laquelle se livre un parent raisonnable</w:t>
      </w:r>
      <w:r w:rsidR="00225C08">
        <w:rPr>
          <w:rFonts w:cs="Times New Roman"/>
          <w:lang w:val="fr-CA"/>
        </w:rPr>
        <w:t> :</w:t>
      </w:r>
      <w:r w:rsidRPr="00131B59">
        <w:rPr>
          <w:rFonts w:cs="Times New Roman"/>
          <w:lang w:val="fr-CA"/>
        </w:rPr>
        <w:t xml:space="preserve"> la compétence des enseignants, le programme et les occasions culturelles qu’offre une école de la minorité linguistique sont tous pertinents. Un parent ne s’attend pas, et ne saurait raisonnablement s’attendre, à ce que tous les aspects de l’expérience éducative soient les </w:t>
      </w:r>
      <w:r w:rsidR="00225C08">
        <w:rPr>
          <w:rFonts w:cs="Times New Roman"/>
          <w:lang w:val="fr-CA"/>
        </w:rPr>
        <w:t>« </w:t>
      </w:r>
      <w:r w:rsidRPr="00131B59">
        <w:rPr>
          <w:rFonts w:cs="Times New Roman"/>
          <w:lang w:val="fr-CA"/>
        </w:rPr>
        <w:t>meilleurs possible</w:t>
      </w:r>
      <w:r w:rsidR="00225C08">
        <w:rPr>
          <w:rFonts w:cs="Times New Roman"/>
          <w:lang w:val="fr-CA"/>
        </w:rPr>
        <w:t> »</w:t>
      </w:r>
      <w:r w:rsidRPr="00131B59">
        <w:rPr>
          <w:rFonts w:cs="Times New Roman"/>
          <w:lang w:val="fr-CA"/>
        </w:rPr>
        <w:t xml:space="preserve">. Comme je l’ai déjà souligné, la comparaison est de nature holistique. </w:t>
      </w:r>
    </w:p>
    <w:p w:rsidR="004B15C3" w:rsidRPr="00131B59" w:rsidRDefault="004B15C3" w:rsidP="004B15C3">
      <w:pPr>
        <w:pStyle w:val="ParaNoNdepar-AltN"/>
        <w:widowControl w:val="0"/>
        <w:rPr>
          <w:rFonts w:cs="Times New Roman"/>
          <w:lang w:val="fr-CA"/>
        </w:rPr>
      </w:pPr>
      <w:r w:rsidRPr="00131B59">
        <w:rPr>
          <w:rFonts w:cs="Times New Roman"/>
          <w:lang w:val="fr-CA"/>
        </w:rPr>
        <w:t>En fin de compte, l’évaluation est axée sur l’</w:t>
      </w:r>
      <w:r w:rsidRPr="00131B59">
        <w:rPr>
          <w:rFonts w:cs="Times New Roman"/>
          <w:i/>
          <w:lang w:val="fr-CA"/>
        </w:rPr>
        <w:t>équivalence réelle</w:t>
      </w:r>
      <w:r w:rsidRPr="00131B59">
        <w:rPr>
          <w:rFonts w:cs="Times New Roman"/>
          <w:lang w:val="fr-CA"/>
        </w:rPr>
        <w:t xml:space="preserve"> de l’expérience éducative. Si, dans l’ensemble, l’expérience est équivalente, les exigences de l’art.</w:t>
      </w:r>
      <w:r w:rsidR="00225C08">
        <w:rPr>
          <w:rFonts w:cs="Times New Roman"/>
          <w:lang w:val="fr-CA"/>
        </w:rPr>
        <w:t xml:space="preserve"> </w:t>
      </w:r>
      <w:r w:rsidRPr="00131B59">
        <w:rPr>
          <w:rFonts w:cs="Times New Roman"/>
          <w:lang w:val="fr-CA"/>
        </w:rPr>
        <w:t>23 sont respectées.</w:t>
      </w:r>
    </w:p>
    <w:p w:rsidR="004B15C3" w:rsidRPr="00131B59" w:rsidRDefault="004B15C3" w:rsidP="004B15C3">
      <w:pPr>
        <w:pStyle w:val="ParaNoNdepar-AltN"/>
        <w:widowControl w:val="0"/>
        <w:rPr>
          <w:rFonts w:cs="Times New Roman"/>
          <w:lang w:val="fr-CA"/>
        </w:rPr>
      </w:pPr>
      <w:r w:rsidRPr="00131B59">
        <w:rPr>
          <w:rFonts w:cs="Times New Roman"/>
          <w:lang w:val="fr-CA"/>
        </w:rPr>
        <w:t>Pour sa part, la Province a proposé un critère très différent pour mesurer l’équivalence au titre de l’art.</w:t>
      </w:r>
      <w:r w:rsidR="00225C08">
        <w:rPr>
          <w:rFonts w:cs="Times New Roman"/>
          <w:lang w:val="fr-CA"/>
        </w:rPr>
        <w:t xml:space="preserve"> </w:t>
      </w:r>
      <w:r w:rsidRPr="00131B59">
        <w:rPr>
          <w:rFonts w:cs="Times New Roman"/>
          <w:lang w:val="fr-CA"/>
        </w:rPr>
        <w:t xml:space="preserve">23. Ce critère comprend quatre éléments distincts. Premièrement, le tribunal examine les allégations d’infériorité; deuxièmement, il </w:t>
      </w:r>
      <w:r w:rsidRPr="00131B59">
        <w:rPr>
          <w:rFonts w:cs="Times New Roman"/>
          <w:lang w:val="fr-CA"/>
        </w:rPr>
        <w:lastRenderedPageBreak/>
        <w:t>soupèse les lacunes par rapport aux avantages relatifs de l’école de la minorité linguistique afin de déterminer l’incidence qu’ils ont sur l’assimilation; troisièmement, il examine les décisions en matière d’attribution de ressources du conseil scolaire de la minorité linguistique et décide si les lacunes sont imputables à un financement insuffisant; enfin, il évalue l’étendue de l’assimilation attribuable aux points faibles allégués en fonction des avantages pratiques que présentent les autres possibilités.</w:t>
      </w:r>
    </w:p>
    <w:p w:rsidR="004B15C3" w:rsidRPr="00131B59" w:rsidRDefault="004B15C3" w:rsidP="004B15C3">
      <w:pPr>
        <w:pStyle w:val="ParaNoNdepar-AltN"/>
        <w:widowControl w:val="0"/>
        <w:rPr>
          <w:rFonts w:cs="Times New Roman"/>
          <w:u w:val="single"/>
          <w:lang w:val="fr-CA"/>
        </w:rPr>
      </w:pPr>
      <w:r w:rsidRPr="00131B59">
        <w:rPr>
          <w:rFonts w:cs="Times New Roman"/>
          <w:lang w:val="fr-CA"/>
        </w:rPr>
        <w:t>À mon avis, un tel critère est inutilement complexe et rigide. Non seulement introduit</w:t>
      </w:r>
      <w:r w:rsidR="00225C08">
        <w:rPr>
          <w:rFonts w:cs="Times New Roman"/>
          <w:lang w:val="fr-CA"/>
        </w:rPr>
        <w:t>-</w:t>
      </w:r>
      <w:r w:rsidRPr="00131B59">
        <w:rPr>
          <w:rFonts w:cs="Times New Roman"/>
          <w:lang w:val="fr-CA"/>
        </w:rPr>
        <w:t>il des éléments inutiles dans l’analyse de l’équivalence, mais il oblige aussi à décider qui, de la Province ou du conseil scolaire local, est responsable de la non</w:t>
      </w:r>
      <w:r w:rsidR="00225C08">
        <w:rPr>
          <w:rFonts w:cs="Times New Roman"/>
          <w:lang w:val="fr-CA"/>
        </w:rPr>
        <w:t>-</w:t>
      </w:r>
      <w:r w:rsidRPr="00131B59">
        <w:rPr>
          <w:rFonts w:cs="Times New Roman"/>
          <w:lang w:val="fr-CA"/>
        </w:rPr>
        <w:t xml:space="preserve">équivalence, même si cet exercice n’est d’aucun secours pour déterminer si une école de la minorité linguistique est équivalente à ses homologues de la majorité. Ce critère obligerait également le tribunal à sauter une étape pour examiner les réparations concrètes possibles, sous prétexte d’évaluer les avantages pratiques des autres possibilités, même si les parties ne cherchent pas à obtenir de réparation concrète. Pour toutes ces raisons, je rejette cette méthode d’évaluation de l’équivalence. </w:t>
      </w:r>
    </w:p>
    <w:p w:rsidR="004B15C3" w:rsidRPr="00131B59" w:rsidRDefault="004B15C3" w:rsidP="004B15C3">
      <w:pPr>
        <w:pStyle w:val="Title3LevelTitre3Niveau"/>
        <w:widowControl w:val="0"/>
        <w:numPr>
          <w:ilvl w:val="2"/>
          <w:numId w:val="8"/>
        </w:numPr>
        <w:rPr>
          <w:rFonts w:cs="Times New Roman"/>
          <w:lang w:val="fr-CA"/>
        </w:rPr>
      </w:pPr>
      <w:r w:rsidRPr="00131B59">
        <w:rPr>
          <w:rFonts w:cs="Times New Roman"/>
          <w:lang w:val="fr-CA"/>
        </w:rPr>
        <w:t>Les coûts et les considérations pratiques ont</w:t>
      </w:r>
      <w:r w:rsidR="00225C08">
        <w:rPr>
          <w:rFonts w:cs="Times New Roman"/>
          <w:lang w:val="fr-CA"/>
        </w:rPr>
        <w:t>-</w:t>
      </w:r>
      <w:r w:rsidRPr="00131B59">
        <w:rPr>
          <w:rFonts w:cs="Times New Roman"/>
          <w:lang w:val="fr-CA"/>
        </w:rPr>
        <w:t>ils leur place dans le critère d’équivalence?</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La Cour d’appel a conclu que les coûts et les considérations pratiques peuvent, dans certains cas, jouer un rôle dans l’analyse de l’équivalence. La Province </w:t>
      </w:r>
      <w:r w:rsidRPr="00131B59">
        <w:rPr>
          <w:rFonts w:cs="Times New Roman"/>
          <w:lang w:val="fr-CA"/>
        </w:rPr>
        <w:lastRenderedPageBreak/>
        <w:t>soutient qu’il faut tenir compte des coûts et des considérations pratiques dans chaque décision sur les droits garantis par l’art.</w:t>
      </w:r>
      <w:r w:rsidR="00225C08">
        <w:rPr>
          <w:rFonts w:cs="Times New Roman"/>
          <w:lang w:val="fr-CA"/>
        </w:rPr>
        <w:t xml:space="preserve"> </w:t>
      </w:r>
      <w:r w:rsidRPr="00131B59">
        <w:rPr>
          <w:rFonts w:cs="Times New Roman"/>
          <w:lang w:val="fr-CA"/>
        </w:rPr>
        <w:t>23. Par conséquent, lorsqu’il est question d’améliorer des installations ou d’en construire de nouvelles pour un groupe de titulaires des droits garantis par l’art.</w:t>
      </w:r>
      <w:r w:rsidR="00225C08">
        <w:rPr>
          <w:rFonts w:cs="Times New Roman"/>
          <w:lang w:val="fr-CA"/>
        </w:rPr>
        <w:t xml:space="preserve"> </w:t>
      </w:r>
      <w:r w:rsidRPr="00131B59">
        <w:rPr>
          <w:rFonts w:cs="Times New Roman"/>
          <w:lang w:val="fr-CA"/>
        </w:rPr>
        <w:t>23, les coûts et les considérations pratiques jouent dans l’examen de la question de savoir si les installations existantes sont équivalentes.</w:t>
      </w:r>
    </w:p>
    <w:p w:rsidR="004B15C3" w:rsidRPr="00131B59" w:rsidRDefault="004B15C3" w:rsidP="004B15C3">
      <w:pPr>
        <w:pStyle w:val="ParaNoNdepar-AltN"/>
        <w:widowControl w:val="0"/>
        <w:rPr>
          <w:rFonts w:cs="Times New Roman"/>
          <w:lang w:val="fr-CA"/>
        </w:rPr>
      </w:pPr>
      <w:r w:rsidRPr="00131B59">
        <w:rPr>
          <w:rFonts w:cs="Times New Roman"/>
          <w:lang w:val="fr-CA"/>
        </w:rPr>
        <w:t>En revanche, les Parents et le CSF affirment qu’il ne faut tenir compte des coûts et des considérations pratiques que pour déterminer où, sur l’échelle variable, se situe un groupe de titulaires de droits. Une fois qu’il a été établi que ce groupe a droit au plus haut niveau de services d’enseignement prévu par l’art.</w:t>
      </w:r>
      <w:r w:rsidR="00225C08">
        <w:rPr>
          <w:rFonts w:cs="Times New Roman"/>
          <w:lang w:val="fr-CA"/>
        </w:rPr>
        <w:t xml:space="preserve"> </w:t>
      </w:r>
      <w:r w:rsidRPr="00131B59">
        <w:rPr>
          <w:rFonts w:cs="Times New Roman"/>
          <w:lang w:val="fr-CA"/>
        </w:rPr>
        <w:t>23, il a le droit de recevoir des services de qualité équivalente à ceux offerts à la majorité, peu importe les coûts ou les considérations pratiques.</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À mon avis, les coûts et les considérations pratiques sont pertinents pour établir le niveau de services dont doit bénéficier un groupe de titulaires de droits selon l’échelle variable. La Province se méprend sur la nature de l’analyse de l’équivalence et confond le droit à des services et l’équivalence. Les titulaires ont droit à des services d’enseignement équivalents. L’analyse de l’équivalence s’attache donc aux faits, et non à la reconnaissance d’un droit. Le tribunal aura déjà examiné les coûts et les considérations pratiques dans le cadre de l’analyse de la </w:t>
      </w:r>
      <w:r w:rsidR="00225C08">
        <w:rPr>
          <w:rFonts w:cs="Times New Roman"/>
          <w:lang w:val="fr-CA"/>
        </w:rPr>
        <w:t>« </w:t>
      </w:r>
      <w:r w:rsidRPr="00131B59">
        <w:rPr>
          <w:rFonts w:cs="Times New Roman"/>
          <w:lang w:val="fr-CA"/>
        </w:rPr>
        <w:t>justification par le nombre</w:t>
      </w:r>
      <w:r w:rsidR="00225C08">
        <w:rPr>
          <w:rFonts w:cs="Times New Roman"/>
          <w:lang w:val="fr-CA"/>
        </w:rPr>
        <w:t> »</w:t>
      </w:r>
      <w:r w:rsidRPr="00131B59">
        <w:rPr>
          <w:rFonts w:cs="Times New Roman"/>
          <w:lang w:val="fr-CA"/>
        </w:rPr>
        <w:t xml:space="preserve"> pour déterminer l’étendue des droits que confère l’art.</w:t>
      </w:r>
      <w:r w:rsidR="00225C08">
        <w:rPr>
          <w:rFonts w:cs="Times New Roman"/>
          <w:lang w:val="fr-CA"/>
        </w:rPr>
        <w:t xml:space="preserve"> </w:t>
      </w:r>
      <w:r w:rsidRPr="00131B59">
        <w:rPr>
          <w:rFonts w:cs="Times New Roman"/>
          <w:lang w:val="fr-CA"/>
        </w:rPr>
        <w:t xml:space="preserve">23 au groupe linguistique minoritaire. Ce serait compromettre cette analyse que d’examiner </w:t>
      </w:r>
      <w:r w:rsidRPr="00131B59">
        <w:rPr>
          <w:rFonts w:cs="Times New Roman"/>
          <w:i/>
          <w:lang w:val="fr-CA"/>
        </w:rPr>
        <w:t xml:space="preserve">de </w:t>
      </w:r>
      <w:r w:rsidRPr="00131B59">
        <w:rPr>
          <w:rFonts w:cs="Times New Roman"/>
          <w:i/>
          <w:lang w:val="fr-CA"/>
        </w:rPr>
        <w:lastRenderedPageBreak/>
        <w:t xml:space="preserve">nouveau </w:t>
      </w:r>
      <w:r w:rsidRPr="00131B59">
        <w:rPr>
          <w:rFonts w:cs="Times New Roman"/>
          <w:lang w:val="fr-CA"/>
        </w:rPr>
        <w:t xml:space="preserve">les coûts et les considérations pratiques, après que le niveau approprié de services d’enseignement eut déjà été fixé. Une telle approche n’est ni logique ni fondée sur des principes. Par conséquent, il n’est pas opportun pour les gouvernements provinciaux ou territoriaux de soulever des questions liées aux considérations pratiques ou aux coûts dans le cadre de l’analyse de l’équivalence factuelle entre les écoles de la minorité linguistique et celles de la majorité linguistique. </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Comme la Cour l’a indiqué dans </w:t>
      </w:r>
      <w:r w:rsidRPr="00131B59">
        <w:rPr>
          <w:rFonts w:cs="Times New Roman"/>
          <w:i/>
          <w:lang w:val="fr-CA"/>
        </w:rPr>
        <w:t>Mahe</w:t>
      </w:r>
      <w:r w:rsidRPr="00131B59">
        <w:rPr>
          <w:rFonts w:cs="Times New Roman"/>
          <w:lang w:val="fr-CA"/>
        </w:rPr>
        <w:t>, les coûts sont habituellement subordonnés aux besoins pédagogiques lorsque vient le temps de déterminer le niveau de services que justifie le nombre d’élèves (p.</w:t>
      </w:r>
      <w:r w:rsidR="00225C08">
        <w:rPr>
          <w:rFonts w:cs="Times New Roman"/>
          <w:lang w:val="fr-CA"/>
        </w:rPr>
        <w:t xml:space="preserve"> </w:t>
      </w:r>
      <w:r w:rsidRPr="00131B59">
        <w:rPr>
          <w:rFonts w:cs="Times New Roman"/>
          <w:lang w:val="fr-CA"/>
        </w:rPr>
        <w:t>384</w:t>
      </w:r>
      <w:r w:rsidR="00671F9E">
        <w:rPr>
          <w:rFonts w:cs="Times New Roman"/>
          <w:lang w:val="fr-CA"/>
        </w:rPr>
        <w:t>-</w:t>
      </w:r>
      <w:r w:rsidRPr="00131B59">
        <w:rPr>
          <w:rFonts w:cs="Times New Roman"/>
          <w:lang w:val="fr-CA"/>
        </w:rPr>
        <w:t xml:space="preserve">385). Les fonds affectés aux écoles de la minorité linguistique devraient être </w:t>
      </w:r>
      <w:r w:rsidRPr="00131B59">
        <w:rPr>
          <w:rFonts w:cs="Times New Roman"/>
          <w:i/>
          <w:lang w:val="fr-CA"/>
        </w:rPr>
        <w:t>au moins</w:t>
      </w:r>
      <w:r w:rsidRPr="00131B59">
        <w:rPr>
          <w:rFonts w:cs="Times New Roman"/>
          <w:lang w:val="fr-CA"/>
        </w:rPr>
        <w:t xml:space="preserve"> équivalents, en proportion du nombre d’élèves, aux fonds affectés aux écoles de la majorité (p.</w:t>
      </w:r>
      <w:r w:rsidR="00225C08">
        <w:rPr>
          <w:rFonts w:cs="Times New Roman"/>
          <w:lang w:val="fr-CA"/>
        </w:rPr>
        <w:t xml:space="preserve"> </w:t>
      </w:r>
      <w:r w:rsidRPr="00131B59">
        <w:rPr>
          <w:rFonts w:cs="Times New Roman"/>
          <w:lang w:val="fr-CA"/>
        </w:rPr>
        <w:t>378). Cependant, les besoins pédagogiques permettront, dans la plupart des cas, d’éviter l’imposition à l’État de charges pécuniaires irréalistes (p.</w:t>
      </w:r>
      <w:r w:rsidR="00225C08">
        <w:rPr>
          <w:rFonts w:cs="Times New Roman"/>
          <w:lang w:val="fr-CA"/>
        </w:rPr>
        <w:t xml:space="preserve"> </w:t>
      </w:r>
      <w:r w:rsidRPr="00131B59">
        <w:rPr>
          <w:rFonts w:cs="Times New Roman"/>
          <w:lang w:val="fr-CA"/>
        </w:rPr>
        <w:t>385). Par exemple, il ne serait pas logique, tant sur le plan pédagogique que financier, d’ouvrir une école pour seulement 10</w:t>
      </w:r>
      <w:r w:rsidR="00225C08">
        <w:rPr>
          <w:rFonts w:cs="Times New Roman"/>
          <w:lang w:val="fr-CA"/>
        </w:rPr>
        <w:t xml:space="preserve"> </w:t>
      </w:r>
      <w:r w:rsidRPr="00131B59">
        <w:rPr>
          <w:rFonts w:cs="Times New Roman"/>
          <w:lang w:val="fr-CA"/>
        </w:rPr>
        <w:t>élèves dans un centre urbain. Cela vaut en général pour les services d’enseignement offerts dans l’une ou l’autre langue.</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Toutefois, lorsqu’il a déjà été établi, par exemple dans un litige antérieur, que le nombre justifiait la prestation de services équivalents, l’analyse de la </w:t>
      </w:r>
      <w:r w:rsidR="00225C08">
        <w:rPr>
          <w:rFonts w:cs="Times New Roman"/>
          <w:lang w:val="fr-CA"/>
        </w:rPr>
        <w:t>« </w:t>
      </w:r>
      <w:r w:rsidRPr="00131B59">
        <w:rPr>
          <w:rFonts w:cs="Times New Roman"/>
          <w:lang w:val="fr-CA"/>
        </w:rPr>
        <w:t>justification par le nombre</w:t>
      </w:r>
      <w:r w:rsidR="00225C08">
        <w:rPr>
          <w:rFonts w:cs="Times New Roman"/>
          <w:lang w:val="fr-CA"/>
        </w:rPr>
        <w:t> »</w:t>
      </w:r>
      <w:r w:rsidRPr="00131B59">
        <w:rPr>
          <w:rFonts w:cs="Times New Roman"/>
          <w:lang w:val="fr-CA"/>
        </w:rPr>
        <w:t xml:space="preserve"> peut devenir en quelque sorte une question de forme. À moins que la preuve d’une baisse du nombre d’élèves amène à se demander si la </w:t>
      </w:r>
      <w:r w:rsidRPr="00131B59">
        <w:rPr>
          <w:rFonts w:cs="Times New Roman"/>
          <w:lang w:val="fr-CA"/>
        </w:rPr>
        <w:lastRenderedPageBreak/>
        <w:t>communauté se situe toujours à la limite supérieure de l’échelle variable, il est peu probable que le droit à un niveau préalablement fixé d’instruction et d’établissements soit contesté. En ce qui concerne les titulaires de droits situés au niveau supérieur de l’échelle, il est peut</w:t>
      </w:r>
      <w:r w:rsidR="00225C08">
        <w:rPr>
          <w:rFonts w:cs="Times New Roman"/>
          <w:lang w:val="fr-CA"/>
        </w:rPr>
        <w:t>-</w:t>
      </w:r>
      <w:r w:rsidRPr="00131B59">
        <w:rPr>
          <w:rFonts w:cs="Times New Roman"/>
          <w:lang w:val="fr-CA"/>
        </w:rPr>
        <w:t>être plus utile de se demander s’ils reçoivent les services d’enseignement équivalents que leur garantit l’art.</w:t>
      </w:r>
      <w:r w:rsidR="00225C08">
        <w:rPr>
          <w:rFonts w:cs="Times New Roman"/>
          <w:lang w:val="fr-CA"/>
        </w:rPr>
        <w:t xml:space="preserve"> </w:t>
      </w:r>
      <w:r w:rsidRPr="00131B59">
        <w:rPr>
          <w:rFonts w:cs="Times New Roman"/>
          <w:lang w:val="fr-CA"/>
        </w:rPr>
        <w:t>23. Les coûts et les considérations pratiques ne jouent aucun rôle dans l’examen des conditions minimales d’équivalence scolaire.</w:t>
      </w:r>
    </w:p>
    <w:p w:rsidR="004B15C3" w:rsidRPr="00131B59" w:rsidRDefault="004B15C3" w:rsidP="004B15C3">
      <w:pPr>
        <w:pStyle w:val="ParaNoNdepar-AltN"/>
        <w:widowControl w:val="0"/>
        <w:rPr>
          <w:rFonts w:cs="Times New Roman"/>
          <w:lang w:val="fr-CA"/>
        </w:rPr>
      </w:pPr>
      <w:r w:rsidRPr="00131B59">
        <w:rPr>
          <w:rFonts w:cs="Times New Roman"/>
          <w:lang w:val="fr-CA"/>
        </w:rPr>
        <w:t>Il se peut que les coûts et les considérations pratiques redeviennent pertinents si une partie responsable cherche à justifier une violation de l’art.</w:t>
      </w:r>
      <w:r w:rsidR="00225C08">
        <w:rPr>
          <w:rFonts w:cs="Times New Roman"/>
          <w:lang w:val="fr-CA"/>
        </w:rPr>
        <w:t xml:space="preserve"> </w:t>
      </w:r>
      <w:r w:rsidRPr="00131B59">
        <w:rPr>
          <w:rFonts w:cs="Times New Roman"/>
          <w:lang w:val="fr-CA"/>
        </w:rPr>
        <w:t xml:space="preserve">23 en vertu de l’article premier de la </w:t>
      </w:r>
      <w:r w:rsidRPr="00131B59">
        <w:rPr>
          <w:rFonts w:cs="Times New Roman"/>
          <w:i/>
          <w:lang w:val="fr-CA"/>
        </w:rPr>
        <w:t>Charte</w:t>
      </w:r>
      <w:r w:rsidRPr="00131B59">
        <w:rPr>
          <w:rFonts w:cs="Times New Roman"/>
          <w:lang w:val="fr-CA"/>
        </w:rPr>
        <w:t xml:space="preserve">. De plus, les coûts et les considérations pratiques peuvent s’avérer pertinents quand un tribunal cherche à concevoir une réparation </w:t>
      </w:r>
      <w:r w:rsidR="00225C08">
        <w:rPr>
          <w:rFonts w:cs="Times New Roman"/>
          <w:lang w:val="fr-CA"/>
        </w:rPr>
        <w:t>« </w:t>
      </w:r>
      <w:r w:rsidRPr="00131B59">
        <w:rPr>
          <w:rFonts w:cs="Times New Roman"/>
          <w:lang w:val="fr-CA"/>
        </w:rPr>
        <w:t>convenable et juste</w:t>
      </w:r>
      <w:r w:rsidR="00225C08">
        <w:rPr>
          <w:rFonts w:cs="Times New Roman"/>
          <w:lang w:val="fr-CA"/>
        </w:rPr>
        <w:t> »</w:t>
      </w:r>
      <w:r w:rsidRPr="00131B59">
        <w:rPr>
          <w:rFonts w:cs="Times New Roman"/>
          <w:lang w:val="fr-CA"/>
        </w:rPr>
        <w:t xml:space="preserve"> eu égard aux circonstances en vertu du par.</w:t>
      </w:r>
      <w:r w:rsidR="00225C08">
        <w:rPr>
          <w:rFonts w:cs="Times New Roman"/>
          <w:lang w:val="fr-CA"/>
        </w:rPr>
        <w:t xml:space="preserve"> </w:t>
      </w:r>
      <w:r w:rsidRPr="00131B59">
        <w:rPr>
          <w:rFonts w:cs="Times New Roman"/>
          <w:lang w:val="fr-CA"/>
        </w:rPr>
        <w:t xml:space="preserve">24(1) de la </w:t>
      </w:r>
      <w:r w:rsidRPr="00131B59">
        <w:rPr>
          <w:rFonts w:cs="Times New Roman"/>
          <w:i/>
          <w:lang w:val="fr-CA"/>
        </w:rPr>
        <w:t>Charte</w:t>
      </w:r>
      <w:r w:rsidRPr="00131B59">
        <w:rPr>
          <w:rFonts w:cs="Times New Roman"/>
          <w:lang w:val="fr-CA"/>
        </w:rPr>
        <w:t>. Donc, la conclusion qu’il y a violation de l’art.</w:t>
      </w:r>
      <w:r w:rsidR="00225C08">
        <w:rPr>
          <w:rFonts w:cs="Times New Roman"/>
          <w:lang w:val="fr-CA"/>
        </w:rPr>
        <w:t xml:space="preserve"> </w:t>
      </w:r>
      <w:r w:rsidRPr="00131B59">
        <w:rPr>
          <w:rFonts w:cs="Times New Roman"/>
          <w:lang w:val="fr-CA"/>
        </w:rPr>
        <w:t xml:space="preserve">23 ne donnera pas automatiquement lieu à l’ouverture d’une nouvelle école pour les titulaires de droits. Il existe un tiraillement constant dans la conciliation de priorités concurrentes, entre la disponibilité de moyens financiers et les pressions exercées sur le trésor public. Pour concevoir une réparation, le tribunal tient compte des coûts et des considérations pratiques qui font partie de la prestation de tous les services d’enseignement </w:t>
      </w:r>
      <w:r w:rsidRPr="00131B59">
        <w:rPr>
          <w:rFonts w:cs="Times New Roman"/>
          <w:iCs/>
          <w:lang w:val="fr-CA"/>
        </w:rPr>
        <w:t xml:space="preserve">― tant pour les écoles de la majorité linguistique que pour celles de la minorité. Nous ne sommes toutefois pas </w:t>
      </w:r>
      <w:r w:rsidRPr="00131B59">
        <w:rPr>
          <w:rFonts w:cs="Times New Roman"/>
          <w:lang w:val="fr-CA"/>
        </w:rPr>
        <w:t xml:space="preserve">saisis de cette question en l’espèce. </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En résumé, on tient compte des coûts et des considérations pratiques pour </w:t>
      </w:r>
      <w:r w:rsidRPr="00131B59">
        <w:rPr>
          <w:rFonts w:cs="Times New Roman"/>
          <w:lang w:val="fr-CA"/>
        </w:rPr>
        <w:lastRenderedPageBreak/>
        <w:t>déterminer où se situe une communauté linguistique minoritaire sur l’échelle variable des droits garantis par l’art.</w:t>
      </w:r>
      <w:r w:rsidR="00225C08">
        <w:rPr>
          <w:rFonts w:cs="Times New Roman"/>
          <w:lang w:val="fr-CA"/>
        </w:rPr>
        <w:t xml:space="preserve"> </w:t>
      </w:r>
      <w:r w:rsidRPr="00131B59">
        <w:rPr>
          <w:rFonts w:cs="Times New Roman"/>
          <w:lang w:val="fr-CA"/>
        </w:rPr>
        <w:t>23. Si cette communauté a droit au plus haut niveau de services d’enseignement, au même titre que la communauté majoritaire, il n’est pas nécessaire de tenir compte des coûts et considérations pratiques pour décider si les titulaires des droits reçoivent les services auxquels ils ont droit. Il peut toutefois arriver que les coûts et les considérations pratiques s’avèrent pertinents lorsqu’on tente de justifier une violation de l’art.</w:t>
      </w:r>
      <w:r w:rsidR="00225C08">
        <w:rPr>
          <w:rFonts w:cs="Times New Roman"/>
          <w:lang w:val="fr-CA"/>
        </w:rPr>
        <w:t xml:space="preserve"> </w:t>
      </w:r>
      <w:r w:rsidRPr="00131B59">
        <w:rPr>
          <w:rFonts w:cs="Times New Roman"/>
          <w:lang w:val="fr-CA"/>
        </w:rPr>
        <w:t>23 ou de concevoir une réparation convenable et juste par suite d’une violation.</w:t>
      </w:r>
      <w:r w:rsidRPr="00131B59" w:rsidDel="008A102B">
        <w:rPr>
          <w:rFonts w:cs="Times New Roman"/>
          <w:lang w:val="fr-CA"/>
        </w:rPr>
        <w:t xml:space="preserve"> </w:t>
      </w:r>
    </w:p>
    <w:p w:rsidR="004B15C3" w:rsidRPr="00131B59" w:rsidRDefault="004B15C3" w:rsidP="004B15C3">
      <w:pPr>
        <w:pStyle w:val="Title2LevelTitre2Niveau"/>
        <w:widowControl w:val="0"/>
        <w:numPr>
          <w:ilvl w:val="1"/>
          <w:numId w:val="8"/>
        </w:numPr>
        <w:rPr>
          <w:rFonts w:cs="Times New Roman"/>
          <w:lang w:val="fr-CA"/>
        </w:rPr>
      </w:pPr>
      <w:r w:rsidRPr="00131B59">
        <w:rPr>
          <w:rFonts w:cs="Times New Roman"/>
          <w:lang w:val="fr-CA"/>
        </w:rPr>
        <w:t xml:space="preserve">Application en l’espèce </w:t>
      </w:r>
    </w:p>
    <w:p w:rsidR="004B15C3" w:rsidRPr="00131B59" w:rsidRDefault="004B15C3" w:rsidP="004B15C3">
      <w:pPr>
        <w:pStyle w:val="Title3LevelTitre3Niveau"/>
        <w:widowControl w:val="0"/>
        <w:numPr>
          <w:ilvl w:val="2"/>
          <w:numId w:val="8"/>
        </w:numPr>
        <w:rPr>
          <w:rFonts w:cs="Times New Roman"/>
          <w:lang w:val="fr-CA"/>
        </w:rPr>
      </w:pPr>
      <w:r w:rsidRPr="00131B59">
        <w:rPr>
          <w:rFonts w:cs="Times New Roman"/>
          <w:lang w:val="fr-CA"/>
        </w:rPr>
        <w:t>Équivalence</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En l’espèce, le juge saisi de la requête a tiré un certain nombre de conclusions de fait en ce qui concerne RDV et les écoles de langue anglaise des environs. Il a relevé plusieurs lacunes graves à RDV, comparativement aux écoles de langue anglaise du secteur. Bon nombre de ces lacunes sont exposées au début des présents motifs et elles sont frappantes. </w:t>
      </w:r>
    </w:p>
    <w:p w:rsidR="004B15C3" w:rsidRPr="00131B59" w:rsidRDefault="004B15C3" w:rsidP="004B15C3">
      <w:pPr>
        <w:pStyle w:val="ParaNoNdepar-AltN"/>
        <w:widowControl w:val="0"/>
        <w:rPr>
          <w:rFonts w:cs="Times New Roman"/>
          <w:lang w:val="fr-CA"/>
        </w:rPr>
      </w:pPr>
      <w:r w:rsidRPr="00131B59">
        <w:rPr>
          <w:rFonts w:cs="Times New Roman"/>
          <w:lang w:val="fr-CA"/>
        </w:rPr>
        <w:t>Le juge a aussi déterminé qu’au moins 710</w:t>
      </w:r>
      <w:r w:rsidR="00225C08">
        <w:rPr>
          <w:rFonts w:cs="Times New Roman"/>
          <w:lang w:val="fr-CA"/>
        </w:rPr>
        <w:t xml:space="preserve"> </w:t>
      </w:r>
      <w:r w:rsidRPr="00131B59">
        <w:rPr>
          <w:rFonts w:cs="Times New Roman"/>
          <w:lang w:val="fr-CA"/>
        </w:rPr>
        <w:t>élèves admissibles habitaient le secteur desservi par RDV et a conclu que la population francophone du secteur justifiait la fourniture d’établissements d’enseignement primaire pouvant accueillir environ 500</w:t>
      </w:r>
      <w:r w:rsidR="00225C08">
        <w:rPr>
          <w:rFonts w:cs="Times New Roman"/>
          <w:lang w:val="fr-CA"/>
        </w:rPr>
        <w:t xml:space="preserve"> </w:t>
      </w:r>
      <w:r w:rsidRPr="00131B59">
        <w:rPr>
          <w:rFonts w:cs="Times New Roman"/>
          <w:lang w:val="fr-CA"/>
        </w:rPr>
        <w:t>élèves. En 2011, 344 élèves étaient inscrits à RDV, alors que la capacité opérationnelle de l’école n’est que de 199</w:t>
      </w:r>
      <w:r w:rsidR="00225C08">
        <w:rPr>
          <w:rFonts w:cs="Times New Roman"/>
          <w:lang w:val="fr-CA"/>
        </w:rPr>
        <w:t xml:space="preserve"> </w:t>
      </w:r>
      <w:r w:rsidRPr="00131B59">
        <w:rPr>
          <w:rFonts w:cs="Times New Roman"/>
          <w:lang w:val="fr-CA"/>
        </w:rPr>
        <w:t xml:space="preserve">élèves. Non seulement RDV est </w:t>
      </w:r>
      <w:r w:rsidRPr="00131B59">
        <w:rPr>
          <w:rFonts w:cs="Times New Roman"/>
          <w:lang w:val="fr-CA"/>
        </w:rPr>
        <w:lastRenderedPageBreak/>
        <w:t>surpeuplée, mais elle ne satisfait pas à la demande.</w:t>
      </w:r>
    </w:p>
    <w:p w:rsidR="004B15C3" w:rsidRPr="00131B59" w:rsidRDefault="004B15C3" w:rsidP="004B15C3">
      <w:pPr>
        <w:pStyle w:val="ParaNoNdepar-AltN"/>
        <w:widowControl w:val="0"/>
        <w:rPr>
          <w:rFonts w:cs="Times New Roman"/>
          <w:lang w:val="fr-CA"/>
        </w:rPr>
      </w:pPr>
      <w:r w:rsidRPr="00131B59">
        <w:rPr>
          <w:rFonts w:cs="Times New Roman"/>
          <w:lang w:val="fr-CA"/>
        </w:rPr>
        <w:t>Comme je l’ai déjà mentionné, la Cour suprême de la Colombie</w:t>
      </w:r>
      <w:r w:rsidR="00225C08">
        <w:rPr>
          <w:rFonts w:cs="Times New Roman"/>
          <w:lang w:val="fr-CA"/>
        </w:rPr>
        <w:t>-</w:t>
      </w:r>
      <w:r w:rsidRPr="00131B59">
        <w:rPr>
          <w:rFonts w:cs="Times New Roman"/>
          <w:lang w:val="fr-CA"/>
        </w:rPr>
        <w:t>Britannique a conclu en 1996 que le nombre d’enfants de titulaires de droits dans la région de Vancouver et du Lower Mainland et dans celle de Victoria justifiait le niveau maximum de gestion et de contrôle prévu par l’art.</w:t>
      </w:r>
      <w:r w:rsidR="00225C08">
        <w:rPr>
          <w:rFonts w:cs="Times New Roman"/>
          <w:lang w:val="fr-CA"/>
        </w:rPr>
        <w:t xml:space="preserve"> </w:t>
      </w:r>
      <w:r w:rsidRPr="00131B59">
        <w:rPr>
          <w:rFonts w:cs="Times New Roman"/>
          <w:lang w:val="fr-CA"/>
        </w:rPr>
        <w:t xml:space="preserve">23 de la </w:t>
      </w:r>
      <w:r w:rsidRPr="00131B59">
        <w:rPr>
          <w:rFonts w:cs="Times New Roman"/>
          <w:i/>
          <w:lang w:val="fr-CA"/>
        </w:rPr>
        <w:t>Charte</w:t>
      </w:r>
      <w:r w:rsidR="00225C08">
        <w:rPr>
          <w:rFonts w:cs="Times New Roman"/>
          <w:szCs w:val="24"/>
          <w:lang w:val="fr-CA"/>
        </w:rPr>
        <w:t> :</w:t>
      </w:r>
      <w:r w:rsidRPr="00131B59">
        <w:rPr>
          <w:rFonts w:cs="Times New Roman"/>
          <w:lang w:val="fr-CA"/>
        </w:rPr>
        <w:t xml:space="preserve"> voir </w:t>
      </w:r>
      <w:r w:rsidRPr="00131B59">
        <w:rPr>
          <w:rFonts w:cs="Times New Roman"/>
          <w:i/>
          <w:lang w:val="fr-CA"/>
        </w:rPr>
        <w:t>Assn. des Parents Francophones</w:t>
      </w:r>
      <w:r w:rsidRPr="00131B59">
        <w:rPr>
          <w:rFonts w:cs="Times New Roman"/>
          <w:lang w:val="fr-CA"/>
        </w:rPr>
        <w:t>. En 1996, la communauté linguistique minoritaire de Vancouver et de Victoria comptait un nombre suffisant de membres pour que ceux</w:t>
      </w:r>
      <w:r w:rsidR="00225C08">
        <w:rPr>
          <w:rFonts w:cs="Times New Roman"/>
          <w:lang w:val="fr-CA"/>
        </w:rPr>
        <w:t>-</w:t>
      </w:r>
      <w:r w:rsidRPr="00131B59">
        <w:rPr>
          <w:rFonts w:cs="Times New Roman"/>
          <w:lang w:val="fr-CA"/>
        </w:rPr>
        <w:t>ci aient droit au plus haut niveau de services d’enseignement prévu par l’échelle variable</w:t>
      </w:r>
      <w:r w:rsidR="00225C08">
        <w:rPr>
          <w:rFonts w:cs="Times New Roman"/>
          <w:lang w:val="fr-CA"/>
        </w:rPr>
        <w:t> :</w:t>
      </w:r>
      <w:r w:rsidRPr="00131B59">
        <w:rPr>
          <w:rFonts w:cs="Times New Roman"/>
          <w:lang w:val="fr-CA"/>
        </w:rPr>
        <w:t xml:space="preserve"> on recensait 8</w:t>
      </w:r>
      <w:r w:rsidR="00225C08">
        <w:rPr>
          <w:rFonts w:cs="Times New Roman"/>
          <w:lang w:val="fr-CA"/>
        </w:rPr>
        <w:t xml:space="preserve"> </w:t>
      </w:r>
      <w:r w:rsidRPr="00131B59">
        <w:rPr>
          <w:rFonts w:cs="Times New Roman"/>
          <w:lang w:val="fr-CA"/>
        </w:rPr>
        <w:t>725</w:t>
      </w:r>
      <w:r w:rsidR="00225C08">
        <w:rPr>
          <w:rFonts w:cs="Times New Roman"/>
          <w:lang w:val="fr-CA"/>
        </w:rPr>
        <w:t xml:space="preserve"> </w:t>
      </w:r>
      <w:r w:rsidRPr="00131B59">
        <w:rPr>
          <w:rFonts w:cs="Times New Roman"/>
          <w:lang w:val="fr-CA"/>
        </w:rPr>
        <w:t>enfants admissibles en 1991 (par.</w:t>
      </w:r>
      <w:r w:rsidR="00225C08">
        <w:rPr>
          <w:rFonts w:cs="Times New Roman"/>
          <w:lang w:val="fr-CA"/>
        </w:rPr>
        <w:t xml:space="preserve"> </w:t>
      </w:r>
      <w:r w:rsidRPr="00131B59">
        <w:rPr>
          <w:rFonts w:cs="Times New Roman"/>
          <w:lang w:val="fr-CA"/>
        </w:rPr>
        <w:t>44 et 53). Nul n’a laissé entendre dans le présent pourvoi que les chiffres actuels sont moins frappants. Il demeure évident que le nombre de titulaires de droits habitant à l’ouest de la rue Main à Vancouver justifie le plus haut niveau de services et, par conséquent, la fourniture d’établissements d’enseignement équivalents aux écoles de langue anglaise des environs.</w:t>
      </w:r>
    </w:p>
    <w:p w:rsidR="004B15C3" w:rsidRPr="00131B59" w:rsidRDefault="004B15C3" w:rsidP="004B15C3">
      <w:pPr>
        <w:pStyle w:val="ParaNoNdepar-AltN"/>
        <w:widowControl w:val="0"/>
        <w:rPr>
          <w:rFonts w:cs="Times New Roman"/>
          <w:lang w:val="fr-CA"/>
        </w:rPr>
      </w:pPr>
      <w:r w:rsidRPr="00131B59">
        <w:rPr>
          <w:rFonts w:cs="Times New Roman"/>
          <w:lang w:val="fr-CA"/>
        </w:rPr>
        <w:t>Le juge saisi de la requête a appliqué le bon critère pour évaluer l’équivalence. Dans ses motifs, il a ainsi décrit le critère à appliquer</w:t>
      </w:r>
      <w:r w:rsidR="00225C08">
        <w:rPr>
          <w:rFonts w:cs="Times New Roman"/>
          <w:lang w:val="fr-CA"/>
        </w:rPr>
        <w:t> :</w:t>
      </w:r>
    </w:p>
    <w:p w:rsidR="004B15C3" w:rsidRPr="00131B59" w:rsidRDefault="004B15C3" w:rsidP="004B15C3">
      <w:pPr>
        <w:pStyle w:val="Citation-AltC"/>
        <w:widowControl w:val="0"/>
        <w:ind w:hanging="1166"/>
        <w:contextualSpacing w:val="0"/>
        <w:rPr>
          <w:lang w:val="fr-CA"/>
        </w:rPr>
      </w:pPr>
      <w:r w:rsidRPr="00131B59">
        <w:rPr>
          <w:lang w:val="fr-CA"/>
        </w:rPr>
        <w:tab/>
      </w:r>
      <w:r w:rsidR="003E1EBB">
        <w:rPr>
          <w:lang w:val="fr-CA"/>
        </w:rPr>
        <w:tab/>
      </w:r>
      <w:r w:rsidRPr="00131B59">
        <w:rPr>
          <w:lang w:val="fr-CA"/>
        </w:rPr>
        <w:t>[</w:t>
      </w:r>
      <w:r w:rsidRPr="00131B59">
        <w:rPr>
          <w:smallCaps/>
          <w:lang w:val="fr-CA"/>
        </w:rPr>
        <w:t>traduction</w:t>
      </w:r>
      <w:r w:rsidRPr="00131B59">
        <w:rPr>
          <w:lang w:val="fr-CA"/>
        </w:rPr>
        <w:t>]  J’estime que, pour mesurer l’équivalence, il me faut examiner principalement les facteurs qui influent sur la décision des parents d’inscrire leur enfant dans une école. Je dois examiner la preuve des qualités esthétiques des établissements et leur intégrité structurale, ainsi que la preuve des résultats scolaires. Il faut garder à l’esprit le principal objectif d’éviter l’assimilation linguistique</w:t>
      </w:r>
      <w:r w:rsidR="005F5756">
        <w:rPr>
          <w:lang w:val="fr-CA"/>
        </w:rPr>
        <w:t>.</w:t>
      </w:r>
      <w:r w:rsidRPr="00131B59">
        <w:rPr>
          <w:lang w:val="fr-CA"/>
        </w:rPr>
        <w:t xml:space="preserve"> [2012 BCSC 1614, par.</w:t>
      </w:r>
      <w:r w:rsidR="00225C08">
        <w:rPr>
          <w:lang w:val="fr-CA"/>
        </w:rPr>
        <w:t xml:space="preserve"> </w:t>
      </w:r>
      <w:r w:rsidRPr="00131B59">
        <w:rPr>
          <w:lang w:val="fr-CA"/>
        </w:rPr>
        <w:t>135]</w:t>
      </w:r>
    </w:p>
    <w:p w:rsidR="004B15C3" w:rsidRPr="00131B59" w:rsidRDefault="004B15C3" w:rsidP="004B15C3">
      <w:pPr>
        <w:pStyle w:val="ContinueParaSuitedupar-AltP"/>
        <w:widowControl w:val="0"/>
        <w:rPr>
          <w:rFonts w:cs="Times New Roman"/>
          <w:lang w:val="fr-CA"/>
        </w:rPr>
      </w:pPr>
      <w:r w:rsidRPr="00131B59">
        <w:rPr>
          <w:rFonts w:cs="Times New Roman"/>
          <w:lang w:val="fr-CA"/>
        </w:rPr>
        <w:lastRenderedPageBreak/>
        <w:t>Le juge savait manifestement que les établissements et les résultats scolaires sont tous deux pertinents. En ce qui concerne les résultats scolaires, il a conclu que ceux-ci doivent être pris en considération dans la mesure où ils contribuent à l’inscription, mais qu’ils ne se substituent pas à une mesure complète de l’équivalence. En l’espèce, il a souligné ce qui suit</w:t>
      </w:r>
      <w:r w:rsidR="00225C08">
        <w:rPr>
          <w:rFonts w:cs="Times New Roman"/>
          <w:lang w:val="fr-CA"/>
        </w:rPr>
        <w:t> :</w:t>
      </w:r>
      <w:r w:rsidRPr="00131B59">
        <w:rPr>
          <w:rFonts w:cs="Times New Roman"/>
          <w:lang w:val="fr-CA"/>
        </w:rPr>
        <w:t xml:space="preserve"> [</w:t>
      </w:r>
      <w:r w:rsidRPr="00131B59">
        <w:rPr>
          <w:rFonts w:cs="Times New Roman"/>
          <w:smallCaps/>
          <w:lang w:val="fr-CA"/>
        </w:rPr>
        <w:t>traduction</w:t>
      </w:r>
      <w:r w:rsidRPr="00131B59">
        <w:rPr>
          <w:rFonts w:cs="Times New Roman"/>
          <w:lang w:val="fr-CA"/>
        </w:rPr>
        <w:t xml:space="preserve">] </w:t>
      </w:r>
      <w:r w:rsidR="00225C08">
        <w:rPr>
          <w:rFonts w:cs="Times New Roman"/>
          <w:lang w:val="fr-CA"/>
        </w:rPr>
        <w:t>« </w:t>
      </w:r>
      <w:r w:rsidRPr="00131B59">
        <w:rPr>
          <w:rFonts w:cs="Times New Roman"/>
          <w:lang w:val="fr-CA"/>
        </w:rPr>
        <w:t>[L]es parents et le CSF ne contestent pas la position du gouvernement selon laquelle les résultats scolaires sont assez bons. Les parents sont satisfaits de la qualité de l’instruction que reçoivent leurs enfants</w:t>
      </w:r>
      <w:r w:rsidR="00225C08">
        <w:rPr>
          <w:rFonts w:cs="Times New Roman"/>
          <w:lang w:val="fr-CA"/>
        </w:rPr>
        <w:t> »</w:t>
      </w:r>
      <w:r w:rsidRPr="00131B59">
        <w:rPr>
          <w:rFonts w:cs="Times New Roman"/>
          <w:lang w:val="fr-CA"/>
        </w:rPr>
        <w:t xml:space="preserve"> (par.</w:t>
      </w:r>
      <w:r w:rsidR="00225C08">
        <w:rPr>
          <w:rFonts w:cs="Times New Roman"/>
          <w:lang w:val="fr-CA"/>
        </w:rPr>
        <w:t xml:space="preserve"> </w:t>
      </w:r>
      <w:r w:rsidRPr="00131B59">
        <w:rPr>
          <w:rFonts w:cs="Times New Roman"/>
          <w:lang w:val="fr-CA"/>
        </w:rPr>
        <w:t>138).</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Le juge a comparé RDV aux écoles de langue anglaise du secteur concerné de Vancouver. Dans les circonstances, il s’agit là d’une étendue géographique qui convient pour évaluer l’équivalence. </w:t>
      </w:r>
    </w:p>
    <w:p w:rsidR="004B15C3" w:rsidRPr="00131B59" w:rsidRDefault="004B15C3" w:rsidP="004B15C3">
      <w:pPr>
        <w:pStyle w:val="ParaNoNdepar-AltN"/>
        <w:widowControl w:val="0"/>
        <w:rPr>
          <w:rFonts w:cs="Times New Roman"/>
          <w:lang w:val="fr-CA"/>
        </w:rPr>
      </w:pPr>
      <w:r w:rsidRPr="00131B59">
        <w:rPr>
          <w:rFonts w:cs="Times New Roman"/>
          <w:lang w:val="fr-CA"/>
        </w:rPr>
        <w:t>Après avoir examiné la preuve, le juge a conclu que RDV n’équivalait pas aux écoles de la majorité linguistique du secteur</w:t>
      </w:r>
      <w:r w:rsidR="00225C08">
        <w:rPr>
          <w:rFonts w:cs="Times New Roman"/>
          <w:lang w:val="fr-CA"/>
        </w:rPr>
        <w:t> :</w:t>
      </w:r>
    </w:p>
    <w:p w:rsidR="004B15C3" w:rsidRPr="00131B59" w:rsidRDefault="004B15C3" w:rsidP="004B15C3">
      <w:pPr>
        <w:pStyle w:val="Citation-AltC"/>
        <w:widowControl w:val="0"/>
        <w:ind w:hanging="1166"/>
        <w:contextualSpacing w:val="0"/>
        <w:rPr>
          <w:lang w:val="fr-CA"/>
        </w:rPr>
      </w:pPr>
      <w:r w:rsidRPr="00131B59">
        <w:rPr>
          <w:lang w:val="fr-CA"/>
        </w:rPr>
        <w:tab/>
      </w:r>
      <w:r w:rsidR="003E1EBB">
        <w:rPr>
          <w:lang w:val="fr-CA"/>
        </w:rPr>
        <w:tab/>
      </w:r>
      <w:r w:rsidRPr="00131B59">
        <w:rPr>
          <w:lang w:val="fr-CA"/>
        </w:rPr>
        <w:t>[</w:t>
      </w:r>
      <w:r w:rsidRPr="00131B59">
        <w:rPr>
          <w:smallCaps/>
          <w:lang w:val="fr-CA"/>
        </w:rPr>
        <w:t>traduction</w:t>
      </w:r>
      <w:r w:rsidRPr="00131B59">
        <w:rPr>
          <w:lang w:val="fr-CA"/>
        </w:rPr>
        <w:t>]  Je suis [</w:t>
      </w:r>
      <w:r w:rsidR="00225C08">
        <w:rPr>
          <w:lang w:val="fr-CA"/>
        </w:rPr>
        <w:t>. . .</w:t>
      </w:r>
      <w:r w:rsidRPr="00131B59">
        <w:rPr>
          <w:lang w:val="fr-CA"/>
        </w:rPr>
        <w:t>] prêt à dire, vu la preuve concernant les installations fournies aux élèves de Rose</w:t>
      </w:r>
      <w:r w:rsidR="00225C08">
        <w:rPr>
          <w:lang w:val="fr-CA"/>
        </w:rPr>
        <w:t>-</w:t>
      </w:r>
      <w:r w:rsidRPr="00131B59">
        <w:rPr>
          <w:lang w:val="fr-CA"/>
        </w:rPr>
        <w:t>des</w:t>
      </w:r>
      <w:r w:rsidR="00225C08">
        <w:rPr>
          <w:lang w:val="fr-CA"/>
        </w:rPr>
        <w:t>-</w:t>
      </w:r>
      <w:r w:rsidRPr="00131B59">
        <w:rPr>
          <w:lang w:val="fr-CA"/>
        </w:rPr>
        <w:t>vents, que les longs déplacements ne sont, en l’espèce, clairement pas contrebalancés par des installations ou des programmes de qualité supérieure et que, conjugués à des établissements inadéquats, ces longs déplacements dissuadent les parents d’inscrire leurs enfants, maintiennent le statu quo et vont à l’encontre des objets de l’art.</w:t>
      </w:r>
      <w:r w:rsidR="00225C08">
        <w:rPr>
          <w:lang w:val="fr-CA"/>
        </w:rPr>
        <w:t xml:space="preserve"> </w:t>
      </w:r>
      <w:r w:rsidRPr="00131B59">
        <w:rPr>
          <w:lang w:val="fr-CA"/>
        </w:rPr>
        <w:t xml:space="preserve">23 de la </w:t>
      </w:r>
      <w:r w:rsidRPr="00131B59">
        <w:rPr>
          <w:i/>
          <w:lang w:val="fr-CA"/>
        </w:rPr>
        <w:t>Charte</w:t>
      </w:r>
      <w:r w:rsidR="003E1EBB">
        <w:rPr>
          <w:lang w:val="fr-CA"/>
        </w:rPr>
        <w:t xml:space="preserve">. </w:t>
      </w:r>
      <w:r w:rsidRPr="00131B59">
        <w:rPr>
          <w:lang w:val="fr-CA"/>
        </w:rPr>
        <w:t>[</w:t>
      </w:r>
      <w:r w:rsidR="00225C08">
        <w:rPr>
          <w:lang w:val="fr-CA"/>
        </w:rPr>
        <w:t>. . .</w:t>
      </w:r>
      <w:r w:rsidRPr="00131B59">
        <w:rPr>
          <w:lang w:val="fr-CA"/>
        </w:rPr>
        <w:t>] Ce que la preuve permet d’affirmer, c’est que, collectivement, les établissements</w:t>
      </w:r>
      <w:r w:rsidR="005F5756">
        <w:rPr>
          <w:lang w:val="fr-CA"/>
        </w:rPr>
        <w:t xml:space="preserve"> et</w:t>
      </w:r>
      <w:r w:rsidRPr="00131B59">
        <w:rPr>
          <w:lang w:val="fr-CA"/>
        </w:rPr>
        <w:t xml:space="preserve"> les services de transport offerts aux enfants des titulaires de droits de la ville de Vancouver habitant à l’ouest de la rue Main ne permettent pas de satisfaire à la norme d’équivalence nécessaire pour respecter la garantie constitutionnelle établie par l’art.</w:t>
      </w:r>
      <w:r w:rsidR="00225C08">
        <w:rPr>
          <w:lang w:val="fr-CA"/>
        </w:rPr>
        <w:t xml:space="preserve"> </w:t>
      </w:r>
      <w:r w:rsidRPr="00131B59">
        <w:rPr>
          <w:lang w:val="fr-CA"/>
        </w:rPr>
        <w:t xml:space="preserve">23. </w:t>
      </w:r>
      <w:r w:rsidRPr="00131B59">
        <w:rPr>
          <w:lang w:val="en-US"/>
        </w:rPr>
        <w:t>[</w:t>
      </w:r>
      <w:r w:rsidRPr="00131B59">
        <w:rPr>
          <w:lang w:val="fr-CA"/>
        </w:rPr>
        <w:t>par.</w:t>
      </w:r>
      <w:r w:rsidR="00225C08">
        <w:rPr>
          <w:lang w:val="fr-CA"/>
        </w:rPr>
        <w:t xml:space="preserve"> </w:t>
      </w:r>
      <w:r w:rsidRPr="00131B59">
        <w:rPr>
          <w:lang w:val="fr-CA"/>
        </w:rPr>
        <w:t>157]</w:t>
      </w:r>
    </w:p>
    <w:p w:rsidR="004B15C3" w:rsidRPr="00131B59" w:rsidRDefault="004B15C3" w:rsidP="004B15C3">
      <w:pPr>
        <w:pStyle w:val="ParaNoNdepar-AltN"/>
        <w:widowControl w:val="0"/>
        <w:rPr>
          <w:rFonts w:cs="Times New Roman"/>
          <w:lang w:val="fr-CA"/>
        </w:rPr>
      </w:pPr>
      <w:r w:rsidRPr="00131B59">
        <w:rPr>
          <w:rFonts w:cs="Times New Roman"/>
          <w:lang w:val="fr-CA"/>
        </w:rPr>
        <w:lastRenderedPageBreak/>
        <w:t xml:space="preserve">Le juge a évalué les facteurs pertinents de façon exhaustive et holistique. Il a souligné la grande qualité de l’instruction et les bons résultats scolaires. Toutefois, au moment d’établir l’équivalence réelle globale, il a conclu que les programmes offerts à RDV n’étaient pas de qualité </w:t>
      </w:r>
      <w:r w:rsidRPr="00131B59">
        <w:rPr>
          <w:rFonts w:cs="Times New Roman"/>
          <w:i/>
          <w:lang w:val="fr-CA"/>
        </w:rPr>
        <w:t>suffisante</w:t>
      </w:r>
      <w:r w:rsidRPr="00131B59">
        <w:rPr>
          <w:rFonts w:cs="Times New Roman"/>
          <w:lang w:val="fr-CA"/>
        </w:rPr>
        <w:t xml:space="preserve"> pour pallier le caractère inadéquat de ses installations, la surpopulation et les longs déplacements. Selon lui, l’écart entre les écoles de la minorité linguistique et celles de la majorité était tel qu’il avait pour effet de limiter l’inscription et de contribuer à l’assimilation. Je ne relève aucune erreur de principe dans son analyse.</w:t>
      </w:r>
    </w:p>
    <w:p w:rsidR="004B15C3" w:rsidRPr="00131B59" w:rsidRDefault="004B15C3" w:rsidP="004B15C3">
      <w:pPr>
        <w:pStyle w:val="Title3LevelTitre3Niveau"/>
        <w:widowControl w:val="0"/>
        <w:numPr>
          <w:ilvl w:val="2"/>
          <w:numId w:val="8"/>
        </w:numPr>
        <w:rPr>
          <w:rFonts w:cs="Times New Roman"/>
          <w:lang w:val="fr-CA"/>
        </w:rPr>
      </w:pPr>
      <w:r w:rsidRPr="00131B59">
        <w:rPr>
          <w:rFonts w:cs="Times New Roman"/>
          <w:lang w:val="fr-CA"/>
        </w:rPr>
        <w:t xml:space="preserve">Le jugement déclaratoire </w:t>
      </w:r>
    </w:p>
    <w:p w:rsidR="004B15C3" w:rsidRPr="00131B59" w:rsidRDefault="004B15C3" w:rsidP="004B15C3">
      <w:pPr>
        <w:pStyle w:val="ParaNoNdepar-AltN"/>
        <w:widowControl w:val="0"/>
        <w:rPr>
          <w:rFonts w:cs="Times New Roman"/>
          <w:lang w:val="fr-CA"/>
        </w:rPr>
      </w:pPr>
      <w:r w:rsidRPr="00131B59">
        <w:rPr>
          <w:rFonts w:cs="Times New Roman"/>
          <w:lang w:val="fr-CA"/>
        </w:rPr>
        <w:t>À l’issue de la première étape de l’instance, le juge saisi de la requête a prononcé un jugement déclaratoire selon lequel les titulaires de droits du secteur désigné [</w:t>
      </w:r>
      <w:r w:rsidRPr="00131B59">
        <w:rPr>
          <w:rFonts w:cs="Times New Roman"/>
          <w:smallCaps/>
          <w:lang w:val="fr-CA"/>
        </w:rPr>
        <w:t>traduction</w:t>
      </w:r>
      <w:r w:rsidRPr="00131B59">
        <w:rPr>
          <w:rFonts w:cs="Times New Roman"/>
          <w:lang w:val="fr-CA"/>
        </w:rPr>
        <w:t xml:space="preserve">] </w:t>
      </w:r>
      <w:r w:rsidR="00225C08">
        <w:rPr>
          <w:rFonts w:cs="Times New Roman"/>
          <w:lang w:val="fr-CA"/>
        </w:rPr>
        <w:t>« </w:t>
      </w:r>
      <w:r w:rsidRPr="00131B59">
        <w:rPr>
          <w:rFonts w:cs="Times New Roman"/>
          <w:lang w:val="fr-CA"/>
        </w:rPr>
        <w:t>ne bénéficient pas des établissements d’enseignement dans la langue de la minorité qui leur sont garantis par l’art.</w:t>
      </w:r>
      <w:r w:rsidR="00225C08">
        <w:rPr>
          <w:rFonts w:cs="Times New Roman"/>
          <w:lang w:val="fr-CA"/>
        </w:rPr>
        <w:t xml:space="preserve"> </w:t>
      </w:r>
      <w:r w:rsidRPr="00131B59">
        <w:rPr>
          <w:rFonts w:cs="Times New Roman"/>
          <w:lang w:val="fr-CA"/>
        </w:rPr>
        <w:t>23</w:t>
      </w:r>
      <w:r w:rsidR="00225C08">
        <w:rPr>
          <w:rFonts w:cs="Times New Roman"/>
          <w:lang w:val="fr-CA"/>
        </w:rPr>
        <w:t> »</w:t>
      </w:r>
      <w:r w:rsidRPr="00131B59">
        <w:rPr>
          <w:rFonts w:cs="Times New Roman"/>
          <w:lang w:val="fr-CA"/>
        </w:rPr>
        <w:t xml:space="preserve"> (2012 BCSC 1614, par.</w:t>
      </w:r>
      <w:r w:rsidR="00225C08">
        <w:rPr>
          <w:rFonts w:cs="Times New Roman"/>
          <w:lang w:val="fr-CA"/>
        </w:rPr>
        <w:t xml:space="preserve"> </w:t>
      </w:r>
      <w:r w:rsidRPr="00131B59">
        <w:rPr>
          <w:rFonts w:cs="Times New Roman"/>
          <w:lang w:val="fr-CA"/>
        </w:rPr>
        <w:t>160).</w:t>
      </w:r>
    </w:p>
    <w:p w:rsidR="004B15C3" w:rsidRPr="00131B59" w:rsidRDefault="004B15C3" w:rsidP="004B15C3">
      <w:pPr>
        <w:pStyle w:val="ParaNoNdepar-AltN"/>
        <w:widowControl w:val="0"/>
        <w:rPr>
          <w:rFonts w:cs="Times New Roman"/>
          <w:lang w:val="fr-CA"/>
        </w:rPr>
      </w:pPr>
      <w:r w:rsidRPr="00131B59">
        <w:rPr>
          <w:rFonts w:cs="Times New Roman"/>
          <w:lang w:val="fr-CA"/>
        </w:rPr>
        <w:t>Selon la Province, un tribunal ne peut pas conclure qu’un groupe de titulaires des droits garantis par l’art.</w:t>
      </w:r>
      <w:r w:rsidR="00225C08">
        <w:rPr>
          <w:rFonts w:cs="Times New Roman"/>
          <w:lang w:val="fr-CA"/>
        </w:rPr>
        <w:t xml:space="preserve"> </w:t>
      </w:r>
      <w:r w:rsidRPr="00131B59">
        <w:rPr>
          <w:rFonts w:cs="Times New Roman"/>
          <w:lang w:val="fr-CA"/>
        </w:rPr>
        <w:t>23 ne reçoit pas les services auxquels il a droit si la question de la responsabilité n’a pas été tranchée. À son avis, la conclusion qu’une école de la minorité linguistique n’est pas équivalente n’équivaut pas à une conclusion selon laquelle il y a violation de l’art.</w:t>
      </w:r>
      <w:r w:rsidR="00225C08">
        <w:rPr>
          <w:rFonts w:cs="Times New Roman"/>
          <w:lang w:val="fr-CA"/>
        </w:rPr>
        <w:t xml:space="preserve"> </w:t>
      </w:r>
      <w:r w:rsidRPr="00131B59">
        <w:rPr>
          <w:rFonts w:cs="Times New Roman"/>
          <w:lang w:val="fr-CA"/>
        </w:rPr>
        <w:t xml:space="preserve">23. </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Les Parents ne sont pas de cet avis. Pour eux, la conclusion du juge en est </w:t>
      </w:r>
      <w:r w:rsidRPr="00131B59">
        <w:rPr>
          <w:rFonts w:cs="Times New Roman"/>
          <w:lang w:val="fr-CA"/>
        </w:rPr>
        <w:lastRenderedPageBreak/>
        <w:t>une suivant laquelle il y a violation de l’art.</w:t>
      </w:r>
      <w:r w:rsidR="00225C08">
        <w:rPr>
          <w:rFonts w:cs="Times New Roman"/>
          <w:lang w:val="fr-CA"/>
        </w:rPr>
        <w:t xml:space="preserve"> </w:t>
      </w:r>
      <w:r w:rsidRPr="00131B59">
        <w:rPr>
          <w:rFonts w:cs="Times New Roman"/>
          <w:lang w:val="fr-CA"/>
        </w:rPr>
        <w:t>23, mais où le juge n’en attribue pas la responsabilité. Les Parents estiment qu’un jugement déclaratoire pourrait suffire à lui seul pour faciliter le règlement de la situation. L’article premier n’a pas été invoqué et n’a pas été longuement débattu jusqu’à maintenant dans l’instance.</w:t>
      </w:r>
    </w:p>
    <w:p w:rsidR="004B15C3" w:rsidRPr="00131B59" w:rsidRDefault="004B15C3" w:rsidP="004B15C3">
      <w:pPr>
        <w:pStyle w:val="ParaNoNdepar-AltN"/>
        <w:widowControl w:val="0"/>
        <w:rPr>
          <w:rFonts w:cs="Times New Roman"/>
          <w:lang w:val="fr-CA"/>
        </w:rPr>
      </w:pPr>
      <w:r w:rsidRPr="00131B59">
        <w:rPr>
          <w:rFonts w:cs="Times New Roman"/>
          <w:lang w:val="fr-CA"/>
        </w:rPr>
        <w:t>À mon avis, le jugement déclaratoire prononcé par le juge en l’espèce constitue une déclaration limitée, ou faite à première vue, de violation de l’art.</w:t>
      </w:r>
      <w:r w:rsidR="00225C08">
        <w:rPr>
          <w:rFonts w:cs="Times New Roman"/>
          <w:lang w:val="fr-CA"/>
        </w:rPr>
        <w:t xml:space="preserve"> </w:t>
      </w:r>
      <w:r w:rsidRPr="00131B59">
        <w:rPr>
          <w:rFonts w:cs="Times New Roman"/>
          <w:lang w:val="fr-CA"/>
        </w:rPr>
        <w:t>23. Dans ces circonstances, où les enfants de titulaires des droits garantis par l’art.</w:t>
      </w:r>
      <w:r w:rsidR="00225C08">
        <w:rPr>
          <w:rFonts w:cs="Times New Roman"/>
          <w:lang w:val="fr-CA"/>
        </w:rPr>
        <w:t xml:space="preserve"> </w:t>
      </w:r>
      <w:r w:rsidRPr="00131B59">
        <w:rPr>
          <w:rFonts w:cs="Times New Roman"/>
          <w:lang w:val="fr-CA"/>
        </w:rPr>
        <w:t>23 ont droit à une expérience éducative équivalente à celle des enfants de la majorité, il n’y a aucune différence entre une conclusion d’absence d’équivalence et une conclusion selon laquelle les titulaires de droits n’ont pas reçu les services auxquels ils ont droit en vertu de l’art.</w:t>
      </w:r>
      <w:r w:rsidR="00225C08">
        <w:rPr>
          <w:rFonts w:cs="Times New Roman"/>
          <w:lang w:val="fr-CA"/>
        </w:rPr>
        <w:t xml:space="preserve"> </w:t>
      </w:r>
      <w:r w:rsidRPr="00131B59">
        <w:rPr>
          <w:rFonts w:cs="Times New Roman"/>
          <w:lang w:val="fr-CA"/>
        </w:rPr>
        <w:t xml:space="preserve">23. En fait, à moins qu’elle puisse être justifiée au sens de l’article premier, l’absence d’équivalence viole les droits garantis aux demandeurs par la </w:t>
      </w:r>
      <w:r w:rsidRPr="00131B59">
        <w:rPr>
          <w:rFonts w:cs="Times New Roman"/>
          <w:i/>
          <w:lang w:val="fr-CA"/>
        </w:rPr>
        <w:t>Charte</w:t>
      </w:r>
      <w:r w:rsidRPr="00131B59">
        <w:rPr>
          <w:rFonts w:cs="Times New Roman"/>
          <w:lang w:val="fr-CA"/>
        </w:rPr>
        <w:t>. Autrement dit, par quel autre moyen pourrait</w:t>
      </w:r>
      <w:r w:rsidR="00225C08">
        <w:rPr>
          <w:rFonts w:cs="Times New Roman"/>
          <w:lang w:val="fr-CA"/>
        </w:rPr>
        <w:t>-</w:t>
      </w:r>
      <w:r w:rsidRPr="00131B59">
        <w:rPr>
          <w:rFonts w:cs="Times New Roman"/>
          <w:lang w:val="fr-CA"/>
        </w:rPr>
        <w:t xml:space="preserve">on valider une violation, si ce n’est qu’en justifiant l’omission de fournir des services équivalents ou d’allouer suffisamment de ressources? Cependant, puisqu’aucune responsabilité n’a encore été attribuée pour cette violation ― et qu’il demeure possible que la ou les parties responsables tentent de la justifier ― on ne peut affirmer que le jugement déclaratoire rendu par le juge constitue une conclusion complète selon laquelle il y a violation de la </w:t>
      </w:r>
      <w:r w:rsidRPr="00131B59">
        <w:rPr>
          <w:rFonts w:cs="Times New Roman"/>
          <w:i/>
          <w:lang w:val="fr-CA"/>
        </w:rPr>
        <w:t>Charte</w:t>
      </w:r>
      <w:r w:rsidRPr="00131B59">
        <w:rPr>
          <w:rFonts w:cs="Times New Roman"/>
          <w:lang w:val="fr-CA"/>
        </w:rPr>
        <w:t>. D’ailleurs, le fait que le juge a soigneusement formulé son jugement déclaratoire indique qu’il était conscient de ces difficultés.</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Il peut être </w:t>
      </w:r>
      <w:r>
        <w:rPr>
          <w:rFonts w:cs="Times New Roman"/>
          <w:lang w:val="fr-CA"/>
        </w:rPr>
        <w:t>pertinent</w:t>
      </w:r>
      <w:r w:rsidRPr="00131B59">
        <w:rPr>
          <w:rFonts w:cs="Times New Roman"/>
          <w:lang w:val="fr-CA"/>
        </w:rPr>
        <w:t xml:space="preserve"> d’établir qui est responsable de la violation pour </w:t>
      </w:r>
      <w:r w:rsidRPr="00131B59">
        <w:rPr>
          <w:rFonts w:cs="Times New Roman"/>
          <w:lang w:val="fr-CA"/>
        </w:rPr>
        <w:lastRenderedPageBreak/>
        <w:t xml:space="preserve">concevoir une réparation convenable s’il est nécessaire d’en accorder une. Même s’il était conclu à une étape ultérieure de l’instance que le CSF est la seule partie responsable de l’absence d’équivalence, cette conclusion ne compromettrait pas le jugement déclaratoire prononcé par le juge au terme de la première étape. La </w:t>
      </w:r>
      <w:r w:rsidRPr="00131B59">
        <w:rPr>
          <w:rFonts w:cs="Times New Roman"/>
          <w:i/>
          <w:lang w:val="fr-CA"/>
        </w:rPr>
        <w:t>Charte</w:t>
      </w:r>
      <w:r w:rsidRPr="00131B59">
        <w:rPr>
          <w:rFonts w:cs="Times New Roman"/>
          <w:lang w:val="fr-CA"/>
        </w:rPr>
        <w:t xml:space="preserve"> lie à la fois la Province et le CSF</w:t>
      </w:r>
      <w:r w:rsidR="00225C08">
        <w:rPr>
          <w:rFonts w:cs="Times New Roman"/>
          <w:lang w:val="fr-CA"/>
        </w:rPr>
        <w:t> :</w:t>
      </w:r>
      <w:r w:rsidRPr="00131B59">
        <w:rPr>
          <w:rFonts w:cs="Times New Roman"/>
          <w:lang w:val="fr-CA"/>
        </w:rPr>
        <w:t xml:space="preserve"> voir </w:t>
      </w:r>
      <w:r w:rsidRPr="00131B59">
        <w:rPr>
          <w:rFonts w:cs="Times New Roman"/>
          <w:i/>
          <w:iCs/>
          <w:lang w:val="fr-CA"/>
        </w:rPr>
        <w:t>Multani</w:t>
      </w:r>
      <w:r w:rsidRPr="00131B59">
        <w:rPr>
          <w:rFonts w:cs="Times New Roman"/>
          <w:i/>
          <w:iCs/>
          <w:spacing w:val="-6"/>
          <w:lang w:val="fr-CA"/>
        </w:rPr>
        <w:t xml:space="preserve"> c</w:t>
      </w:r>
      <w:r w:rsidRPr="00131B59">
        <w:rPr>
          <w:rFonts w:cs="Times New Roman"/>
          <w:i/>
          <w:iCs/>
          <w:lang w:val="fr-CA"/>
        </w:rPr>
        <w:t>.</w:t>
      </w:r>
      <w:r w:rsidRPr="00131B59">
        <w:rPr>
          <w:rFonts w:cs="Times New Roman"/>
          <w:i/>
          <w:iCs/>
          <w:spacing w:val="-5"/>
          <w:lang w:val="fr-CA"/>
        </w:rPr>
        <w:t xml:space="preserve"> </w:t>
      </w:r>
      <w:r w:rsidRPr="00131B59">
        <w:rPr>
          <w:rFonts w:cs="Times New Roman"/>
          <w:i/>
          <w:iCs/>
          <w:spacing w:val="-1"/>
          <w:lang w:val="fr-CA"/>
        </w:rPr>
        <w:t>Commission</w:t>
      </w:r>
      <w:r w:rsidRPr="00131B59">
        <w:rPr>
          <w:rFonts w:cs="Times New Roman"/>
          <w:i/>
          <w:iCs/>
          <w:spacing w:val="-4"/>
          <w:lang w:val="fr-CA"/>
        </w:rPr>
        <w:t xml:space="preserve"> </w:t>
      </w:r>
      <w:r w:rsidRPr="00131B59">
        <w:rPr>
          <w:rFonts w:cs="Times New Roman"/>
          <w:i/>
          <w:iCs/>
          <w:spacing w:val="-1"/>
          <w:lang w:val="fr-CA"/>
        </w:rPr>
        <w:t>scolaire</w:t>
      </w:r>
      <w:r w:rsidRPr="00131B59">
        <w:rPr>
          <w:rFonts w:cs="Times New Roman"/>
          <w:i/>
          <w:iCs/>
          <w:spacing w:val="-6"/>
          <w:lang w:val="fr-CA"/>
        </w:rPr>
        <w:t xml:space="preserve"> </w:t>
      </w:r>
      <w:r w:rsidRPr="00131B59">
        <w:rPr>
          <w:rFonts w:cs="Times New Roman"/>
          <w:i/>
          <w:iCs/>
          <w:lang w:val="fr-CA"/>
        </w:rPr>
        <w:t>Marguerite</w:t>
      </w:r>
      <w:r w:rsidR="00225C08">
        <w:rPr>
          <w:rFonts w:cs="Times New Roman"/>
          <w:i/>
          <w:iCs/>
          <w:lang w:val="fr-CA"/>
        </w:rPr>
        <w:t>-</w:t>
      </w:r>
      <w:r w:rsidRPr="00131B59">
        <w:rPr>
          <w:rFonts w:cs="Times New Roman"/>
          <w:i/>
          <w:iCs/>
          <w:lang w:val="fr-CA"/>
        </w:rPr>
        <w:t>Bourgeoys</w:t>
      </w:r>
      <w:r w:rsidRPr="00131B59">
        <w:rPr>
          <w:rFonts w:cs="Times New Roman"/>
          <w:lang w:val="fr-CA"/>
        </w:rPr>
        <w:t>, 2006 CSC 6,</w:t>
      </w:r>
      <w:r w:rsidRPr="00131B59">
        <w:rPr>
          <w:rFonts w:cs="Times New Roman"/>
          <w:spacing w:val="-4"/>
          <w:lang w:val="fr-CA"/>
        </w:rPr>
        <w:t xml:space="preserve"> </w:t>
      </w:r>
      <w:r w:rsidRPr="00131B59">
        <w:rPr>
          <w:rFonts w:cs="Times New Roman"/>
          <w:lang w:val="fr-CA"/>
        </w:rPr>
        <w:t>[2006]</w:t>
      </w:r>
      <w:r w:rsidRPr="00131B59">
        <w:rPr>
          <w:rFonts w:cs="Times New Roman"/>
          <w:spacing w:val="-5"/>
          <w:lang w:val="fr-CA"/>
        </w:rPr>
        <w:t xml:space="preserve"> </w:t>
      </w:r>
      <w:r w:rsidRPr="00131B59">
        <w:rPr>
          <w:rFonts w:cs="Times New Roman"/>
          <w:lang w:val="fr-CA"/>
        </w:rPr>
        <w:t>1</w:t>
      </w:r>
      <w:r w:rsidRPr="00131B59">
        <w:rPr>
          <w:rFonts w:cs="Times New Roman"/>
          <w:spacing w:val="-6"/>
          <w:lang w:val="fr-CA"/>
        </w:rPr>
        <w:t xml:space="preserve"> R.C.S</w:t>
      </w:r>
      <w:r w:rsidRPr="00131B59">
        <w:rPr>
          <w:rFonts w:cs="Times New Roman"/>
          <w:spacing w:val="-1"/>
          <w:lang w:val="fr-CA"/>
        </w:rPr>
        <w:t>.</w:t>
      </w:r>
      <w:r w:rsidRPr="00131B59">
        <w:rPr>
          <w:rFonts w:cs="Times New Roman"/>
          <w:spacing w:val="-5"/>
          <w:lang w:val="fr-CA"/>
        </w:rPr>
        <w:t xml:space="preserve"> </w:t>
      </w:r>
      <w:r w:rsidRPr="00131B59">
        <w:rPr>
          <w:rFonts w:cs="Times New Roman"/>
          <w:lang w:val="fr-CA"/>
        </w:rPr>
        <w:t xml:space="preserve">256, </w:t>
      </w:r>
      <w:r w:rsidRPr="00131B59">
        <w:rPr>
          <w:rFonts w:cs="Times New Roman"/>
          <w:spacing w:val="-1"/>
          <w:lang w:val="fr-CA"/>
        </w:rPr>
        <w:t>par.</w:t>
      </w:r>
      <w:r w:rsidR="00225C08">
        <w:rPr>
          <w:rFonts w:cs="Times New Roman"/>
          <w:spacing w:val="-1"/>
          <w:lang w:val="fr-CA"/>
        </w:rPr>
        <w:t xml:space="preserve"> </w:t>
      </w:r>
      <w:r w:rsidRPr="00131B59">
        <w:rPr>
          <w:rFonts w:cs="Times New Roman"/>
          <w:spacing w:val="-1"/>
          <w:lang w:val="fr-CA"/>
        </w:rPr>
        <w:t>22</w:t>
      </w:r>
      <w:r w:rsidRPr="00131B59">
        <w:rPr>
          <w:rFonts w:cs="Times New Roman"/>
          <w:lang w:val="fr-CA"/>
        </w:rPr>
        <w:t>. Les provinces ont à leur disposition des mécanismes qui leur permettent de voir à la bonne gouvernance des conseils scolaires. Même si l’on attribuait seulement au CSF la responsabilité de la violation, le CSF et la Province pourraient devoir agir et engager certaines dépenses pour atteindre et maintenir l’équivalence scolaire à RDV.</w:t>
      </w:r>
    </w:p>
    <w:p w:rsidR="004B15C3" w:rsidRPr="00131B59" w:rsidRDefault="004B15C3" w:rsidP="004B15C3">
      <w:pPr>
        <w:pStyle w:val="ParaNoNdepar-AltN"/>
        <w:widowControl w:val="0"/>
        <w:rPr>
          <w:rFonts w:cs="Times New Roman"/>
          <w:u w:val="single"/>
          <w:lang w:val="fr-CA"/>
        </w:rPr>
      </w:pPr>
      <w:r w:rsidRPr="00131B59">
        <w:rPr>
          <w:rFonts w:cs="Times New Roman"/>
          <w:lang w:val="fr-CA"/>
        </w:rPr>
        <w:t>En résumé, le jugement déclaratoire du juge selon lequel les titulaires des droits n’ont pas bénéficié de l’équivalence accordée par l’art.</w:t>
      </w:r>
      <w:r w:rsidR="00225C08">
        <w:rPr>
          <w:rFonts w:cs="Times New Roman"/>
          <w:lang w:val="fr-CA"/>
        </w:rPr>
        <w:t xml:space="preserve"> </w:t>
      </w:r>
      <w:r w:rsidRPr="00131B59">
        <w:rPr>
          <w:rFonts w:cs="Times New Roman"/>
          <w:lang w:val="fr-CA"/>
        </w:rPr>
        <w:t>23 équivaut à une déclaration portant qu’il y a, à première vue, violation de l’art.</w:t>
      </w:r>
      <w:r w:rsidR="00225C08">
        <w:rPr>
          <w:rFonts w:cs="Times New Roman"/>
          <w:lang w:val="fr-CA"/>
        </w:rPr>
        <w:t xml:space="preserve"> </w:t>
      </w:r>
      <w:r w:rsidRPr="00131B59">
        <w:rPr>
          <w:rFonts w:cs="Times New Roman"/>
          <w:lang w:val="fr-CA"/>
        </w:rPr>
        <w:t xml:space="preserve">23, sous réserve de l’établissement futur de la responsabilité, d’une justification de la violation (s’il y a lieu) et d’une réparation concrète. </w:t>
      </w:r>
    </w:p>
    <w:p w:rsidR="004B15C3" w:rsidRPr="00131B59" w:rsidRDefault="004B15C3" w:rsidP="004B15C3">
      <w:pPr>
        <w:pStyle w:val="Title3LevelTitre3Niveau"/>
        <w:widowControl w:val="0"/>
        <w:numPr>
          <w:ilvl w:val="2"/>
          <w:numId w:val="8"/>
        </w:numPr>
        <w:rPr>
          <w:rFonts w:cs="Times New Roman"/>
          <w:lang w:val="fr-CA"/>
        </w:rPr>
      </w:pPr>
      <w:r w:rsidRPr="00131B59">
        <w:rPr>
          <w:rFonts w:cs="Times New Roman"/>
          <w:lang w:val="fr-CA"/>
        </w:rPr>
        <w:t xml:space="preserve">L’effet du jugement déclaratoire </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À ce stade de l’instance, aucune réparation concrète n’a encore été accordée. Le juge saisi de la requête n’a donné aucune directive précise à la Province ou au CSF. </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Cela dit, la tradition au Canada veut que les représentants de l’État </w:t>
      </w:r>
      <w:r w:rsidRPr="00131B59">
        <w:rPr>
          <w:rFonts w:cs="Times New Roman"/>
          <w:lang w:val="fr-CA"/>
        </w:rPr>
        <w:lastRenderedPageBreak/>
        <w:t xml:space="preserve">prennent au sérieux les jugements déclaratoires fondés sur la </w:t>
      </w:r>
      <w:r w:rsidRPr="00131B59">
        <w:rPr>
          <w:rFonts w:cs="Times New Roman"/>
          <w:i/>
          <w:lang w:val="fr-CA"/>
        </w:rPr>
        <w:t>Charte</w:t>
      </w:r>
      <w:r w:rsidR="00225C08">
        <w:rPr>
          <w:rFonts w:cs="Times New Roman"/>
          <w:lang w:val="fr-CA"/>
        </w:rPr>
        <w:t> :</w:t>
      </w:r>
      <w:r w:rsidRPr="00131B59">
        <w:rPr>
          <w:rFonts w:cs="Times New Roman"/>
          <w:lang w:val="fr-CA"/>
        </w:rPr>
        <w:t xml:space="preserve"> voir, p.</w:t>
      </w:r>
      <w:r w:rsidR="00225C08">
        <w:rPr>
          <w:rFonts w:cs="Times New Roman"/>
          <w:lang w:val="fr-CA"/>
        </w:rPr>
        <w:t xml:space="preserve"> </w:t>
      </w:r>
      <w:r w:rsidRPr="00131B59">
        <w:rPr>
          <w:rFonts w:cs="Times New Roman"/>
          <w:lang w:val="fr-CA"/>
        </w:rPr>
        <w:t>ex</w:t>
      </w:r>
      <w:r w:rsidR="00E85A24">
        <w:rPr>
          <w:rFonts w:cs="Times New Roman"/>
          <w:lang w:val="fr-CA"/>
        </w:rPr>
        <w:t>.</w:t>
      </w:r>
      <w:r w:rsidRPr="00131B59">
        <w:rPr>
          <w:rFonts w:cs="Times New Roman"/>
          <w:lang w:val="fr-CA"/>
        </w:rPr>
        <w:t>, P.</w:t>
      </w:r>
      <w:r w:rsidR="00225C08">
        <w:rPr>
          <w:rFonts w:cs="Times New Roman"/>
          <w:lang w:val="fr-CA"/>
        </w:rPr>
        <w:t xml:space="preserve"> </w:t>
      </w:r>
      <w:r w:rsidRPr="00131B59">
        <w:rPr>
          <w:rFonts w:cs="Times New Roman"/>
          <w:lang w:val="fr-CA"/>
        </w:rPr>
        <w:t>W.</w:t>
      </w:r>
      <w:r w:rsidR="00225C08">
        <w:rPr>
          <w:rFonts w:cs="Times New Roman"/>
          <w:lang w:val="fr-CA"/>
        </w:rPr>
        <w:t xml:space="preserve"> </w:t>
      </w:r>
      <w:r w:rsidRPr="00131B59">
        <w:rPr>
          <w:rFonts w:cs="Times New Roman"/>
          <w:lang w:val="fr-CA"/>
        </w:rPr>
        <w:t xml:space="preserve">Hogg, </w:t>
      </w:r>
      <w:r w:rsidRPr="00131B59">
        <w:rPr>
          <w:rFonts w:cs="Times New Roman"/>
          <w:i/>
          <w:lang w:val="fr-CA"/>
        </w:rPr>
        <w:t>Constitutional Law of Canada</w:t>
      </w:r>
      <w:r w:rsidRPr="00131B59">
        <w:rPr>
          <w:rFonts w:cs="Times New Roman"/>
          <w:lang w:val="fr-CA"/>
        </w:rPr>
        <w:t xml:space="preserve"> (5</w:t>
      </w:r>
      <w:r w:rsidRPr="00131B59">
        <w:rPr>
          <w:rFonts w:cs="Times New Roman"/>
          <w:vertAlign w:val="superscript"/>
          <w:lang w:val="fr-CA"/>
        </w:rPr>
        <w:t>e</w:t>
      </w:r>
      <w:r w:rsidR="00225C08">
        <w:rPr>
          <w:rFonts w:cs="Times New Roman"/>
          <w:lang w:val="fr-CA"/>
        </w:rPr>
        <w:t xml:space="preserve"> </w:t>
      </w:r>
      <w:r w:rsidRPr="00131B59">
        <w:rPr>
          <w:rFonts w:cs="Times New Roman"/>
          <w:lang w:val="fr-CA"/>
        </w:rPr>
        <w:t>éd. suppl.), p.</w:t>
      </w:r>
      <w:r w:rsidR="00225C08">
        <w:rPr>
          <w:rFonts w:cs="Times New Roman"/>
          <w:lang w:val="fr-CA"/>
        </w:rPr>
        <w:t xml:space="preserve"> </w:t>
      </w:r>
      <w:r w:rsidRPr="00131B59">
        <w:rPr>
          <w:rFonts w:cs="Times New Roman"/>
          <w:lang w:val="fr-CA"/>
        </w:rPr>
        <w:t>40</w:t>
      </w:r>
      <w:r w:rsidR="00225C08">
        <w:rPr>
          <w:rFonts w:cs="Times New Roman"/>
          <w:lang w:val="fr-CA"/>
        </w:rPr>
        <w:t>-</w:t>
      </w:r>
      <w:r w:rsidRPr="00131B59">
        <w:rPr>
          <w:rFonts w:cs="Times New Roman"/>
          <w:lang w:val="fr-CA"/>
        </w:rPr>
        <w:t xml:space="preserve">37. Comme l’a fait remarquer la Cour dans l’arrêt </w:t>
      </w:r>
      <w:r w:rsidRPr="00131B59">
        <w:rPr>
          <w:rFonts w:cs="Times New Roman"/>
          <w:i/>
          <w:lang w:val="fr-CA"/>
        </w:rPr>
        <w:t>Doucet</w:t>
      </w:r>
      <w:r w:rsidR="00225C08">
        <w:rPr>
          <w:rFonts w:cs="Times New Roman"/>
          <w:i/>
          <w:lang w:val="fr-CA"/>
        </w:rPr>
        <w:t>-</w:t>
      </w:r>
      <w:r w:rsidRPr="00131B59">
        <w:rPr>
          <w:rFonts w:cs="Times New Roman"/>
          <w:i/>
          <w:lang w:val="fr-CA"/>
        </w:rPr>
        <w:t>Boudreau</w:t>
      </w:r>
      <w:r w:rsidRPr="00131B59">
        <w:rPr>
          <w:rFonts w:cs="Times New Roman"/>
          <w:lang w:val="fr-CA"/>
        </w:rPr>
        <w:t xml:space="preserve">, </w:t>
      </w:r>
      <w:r w:rsidR="00225C08">
        <w:rPr>
          <w:rFonts w:cs="Times New Roman"/>
          <w:lang w:val="fr-CA"/>
        </w:rPr>
        <w:t>« </w:t>
      </w:r>
      <w:r w:rsidRPr="00131B59">
        <w:rPr>
          <w:rFonts w:cs="Times New Roman"/>
          <w:lang w:val="fr-CA"/>
        </w:rPr>
        <w:t>[e]n choisissant ce type de réparation, on tient pour acquis que le gouvernement en question se conformera rapidement et entièrement au jugement rendu</w:t>
      </w:r>
      <w:r w:rsidR="00225C08">
        <w:rPr>
          <w:rFonts w:cs="Times New Roman"/>
          <w:lang w:val="fr-CA"/>
        </w:rPr>
        <w:t> »</w:t>
      </w:r>
      <w:r w:rsidRPr="00131B59">
        <w:rPr>
          <w:rFonts w:cs="Times New Roman"/>
          <w:lang w:val="fr-CA"/>
        </w:rPr>
        <w:t xml:space="preserve"> (par.</w:t>
      </w:r>
      <w:r w:rsidR="00225C08">
        <w:rPr>
          <w:rFonts w:cs="Times New Roman"/>
          <w:lang w:val="fr-CA"/>
        </w:rPr>
        <w:t xml:space="preserve"> </w:t>
      </w:r>
      <w:r w:rsidRPr="00131B59">
        <w:rPr>
          <w:rFonts w:cs="Times New Roman"/>
          <w:lang w:val="fr-CA"/>
        </w:rPr>
        <w:t>62). C’est d’ailleurs une des raisons pour lesquelles les tribunaux choisissent souvent de rendre des jugements déclaratoires dans le contexte de l’art.</w:t>
      </w:r>
      <w:r w:rsidR="00225C08">
        <w:rPr>
          <w:rFonts w:cs="Times New Roman"/>
          <w:lang w:val="fr-CA"/>
        </w:rPr>
        <w:t xml:space="preserve"> </w:t>
      </w:r>
      <w:r w:rsidRPr="00131B59">
        <w:rPr>
          <w:rFonts w:cs="Times New Roman"/>
          <w:lang w:val="fr-CA"/>
        </w:rPr>
        <w:t>23 (M.</w:t>
      </w:r>
      <w:r w:rsidR="00225C08">
        <w:rPr>
          <w:rFonts w:cs="Times New Roman"/>
          <w:lang w:val="fr-CA"/>
        </w:rPr>
        <w:t xml:space="preserve"> </w:t>
      </w:r>
      <w:r w:rsidRPr="00131B59">
        <w:rPr>
          <w:rFonts w:cs="Times New Roman"/>
          <w:lang w:val="fr-CA"/>
        </w:rPr>
        <w:t xml:space="preserve">Doucet, </w:t>
      </w:r>
      <w:r w:rsidR="00225C08">
        <w:rPr>
          <w:rFonts w:cs="Times New Roman"/>
          <w:lang w:val="fr-CA"/>
        </w:rPr>
        <w:t>« </w:t>
      </w:r>
      <w:r w:rsidRPr="00131B59">
        <w:rPr>
          <w:rFonts w:cs="Times New Roman"/>
          <w:lang w:val="fr-CA"/>
        </w:rPr>
        <w:t>L’article</w:t>
      </w:r>
      <w:r w:rsidR="00225C08">
        <w:rPr>
          <w:rFonts w:cs="Times New Roman"/>
          <w:lang w:val="fr-CA"/>
        </w:rPr>
        <w:t xml:space="preserve"> </w:t>
      </w:r>
      <w:r w:rsidRPr="00131B59">
        <w:rPr>
          <w:rFonts w:cs="Times New Roman"/>
          <w:lang w:val="fr-CA"/>
        </w:rPr>
        <w:t xml:space="preserve">23 de la </w:t>
      </w:r>
      <w:r w:rsidRPr="00131B59">
        <w:rPr>
          <w:rFonts w:cs="Times New Roman"/>
          <w:i/>
          <w:lang w:val="fr-CA"/>
        </w:rPr>
        <w:t>Charte canadienne des droits et libertés</w:t>
      </w:r>
      <w:r w:rsidR="00225C08" w:rsidRPr="00225C08">
        <w:rPr>
          <w:rFonts w:cs="Times New Roman"/>
          <w:lang w:val="fr-CA"/>
        </w:rPr>
        <w:t> »</w:t>
      </w:r>
      <w:r w:rsidRPr="00131B59">
        <w:rPr>
          <w:rFonts w:cs="Times New Roman"/>
          <w:lang w:val="fr-CA"/>
        </w:rPr>
        <w:t xml:space="preserve"> (2013), 62 </w:t>
      </w:r>
      <w:r w:rsidRPr="00131B59">
        <w:rPr>
          <w:rFonts w:cs="Times New Roman"/>
          <w:i/>
          <w:lang w:val="fr-CA"/>
        </w:rPr>
        <w:t>S.C.L.R.</w:t>
      </w:r>
      <w:r w:rsidRPr="00131B59">
        <w:rPr>
          <w:rFonts w:cs="Times New Roman"/>
          <w:lang w:val="fr-CA"/>
        </w:rPr>
        <w:t xml:space="preserve"> (2d) 421, p.</w:t>
      </w:r>
      <w:r w:rsidR="00225C08">
        <w:rPr>
          <w:rFonts w:cs="Times New Roman"/>
          <w:lang w:val="fr-CA"/>
        </w:rPr>
        <w:t xml:space="preserve"> </w:t>
      </w:r>
      <w:r w:rsidRPr="00131B59">
        <w:rPr>
          <w:rFonts w:cs="Times New Roman"/>
          <w:lang w:val="fr-CA"/>
        </w:rPr>
        <w:t>462</w:t>
      </w:r>
      <w:r w:rsidR="00225C08">
        <w:rPr>
          <w:rFonts w:cs="Times New Roman"/>
          <w:lang w:val="fr-CA"/>
        </w:rPr>
        <w:t>-</w:t>
      </w:r>
      <w:r w:rsidRPr="00131B59">
        <w:rPr>
          <w:rFonts w:cs="Times New Roman"/>
          <w:lang w:val="fr-CA"/>
        </w:rPr>
        <w:t>463).</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Les Parents espèrent qu’à la suite de ce jugement déclaratoire, les principaux acteurs </w:t>
      </w:r>
      <w:r w:rsidRPr="00131B59">
        <w:rPr>
          <w:rFonts w:cs="Times New Roman"/>
          <w:iCs/>
          <w:lang w:val="fr-CA"/>
        </w:rPr>
        <w:t>― la Province et le CSF ― reconnaîtront la nécessité de s’occuper sans délai des installations inadéquates de RDV. Ils espèrent qu’ils n’auront pas à attendre l’issue du litige provincial, ou de toute autre étape subséquente de la présente instance.</w:t>
      </w:r>
    </w:p>
    <w:p w:rsidR="004B15C3" w:rsidRPr="00131B59" w:rsidRDefault="004B15C3" w:rsidP="004B15C3">
      <w:pPr>
        <w:pStyle w:val="ParaNoNdepar-AltN"/>
        <w:widowControl w:val="0"/>
        <w:rPr>
          <w:rFonts w:cs="Times New Roman"/>
          <w:lang w:val="fr-CA"/>
        </w:rPr>
      </w:pPr>
      <w:r w:rsidRPr="00131B59">
        <w:rPr>
          <w:rFonts w:cs="Times New Roman"/>
          <w:iCs/>
          <w:lang w:val="fr-CA"/>
        </w:rPr>
        <w:t>Dans son jugement déclaratoire rendu au terme de la première étape, le juge s’en remet aux parties en leur permettant de choisir elles</w:t>
      </w:r>
      <w:r w:rsidR="00225C08">
        <w:rPr>
          <w:rFonts w:cs="Times New Roman"/>
          <w:iCs/>
          <w:lang w:val="fr-CA"/>
        </w:rPr>
        <w:t>-</w:t>
      </w:r>
      <w:r w:rsidRPr="00131B59">
        <w:rPr>
          <w:rFonts w:cs="Times New Roman"/>
          <w:iCs/>
          <w:lang w:val="fr-CA"/>
        </w:rPr>
        <w:t xml:space="preserve">mêmes la meilleure façon de procéder pour remédier à l’absence d’équivalence (voir </w:t>
      </w:r>
      <w:r w:rsidRPr="00131B59">
        <w:rPr>
          <w:rFonts w:cs="Times New Roman"/>
          <w:i/>
          <w:iCs/>
          <w:lang w:val="fr-CA"/>
        </w:rPr>
        <w:t>Mahe</w:t>
      </w:r>
      <w:r w:rsidRPr="00131B59">
        <w:rPr>
          <w:rFonts w:cs="Times New Roman"/>
          <w:iCs/>
          <w:lang w:val="fr-CA"/>
        </w:rPr>
        <w:t>,</w:t>
      </w:r>
      <w:r w:rsidRPr="00131B59">
        <w:rPr>
          <w:rFonts w:cs="Times New Roman"/>
          <w:i/>
          <w:iCs/>
          <w:lang w:val="fr-CA"/>
        </w:rPr>
        <w:t xml:space="preserve"> </w:t>
      </w:r>
      <w:r w:rsidRPr="00131B59">
        <w:rPr>
          <w:rFonts w:cs="Times New Roman"/>
          <w:iCs/>
          <w:lang w:val="fr-CA"/>
        </w:rPr>
        <w:t>p.</w:t>
      </w:r>
      <w:r w:rsidR="00225C08">
        <w:rPr>
          <w:rFonts w:cs="Times New Roman"/>
          <w:iCs/>
          <w:lang w:val="fr-CA"/>
        </w:rPr>
        <w:t xml:space="preserve"> </w:t>
      </w:r>
      <w:r w:rsidRPr="00131B59">
        <w:rPr>
          <w:rFonts w:cs="Times New Roman"/>
          <w:iCs/>
          <w:lang w:val="fr-CA"/>
        </w:rPr>
        <w:t>392</w:t>
      </w:r>
      <w:r w:rsidR="00225C08">
        <w:rPr>
          <w:rFonts w:cs="Times New Roman"/>
          <w:iCs/>
          <w:lang w:val="fr-CA"/>
        </w:rPr>
        <w:t>-</w:t>
      </w:r>
      <w:r w:rsidRPr="00131B59">
        <w:rPr>
          <w:rFonts w:cs="Times New Roman"/>
          <w:iCs/>
          <w:lang w:val="fr-CA"/>
        </w:rPr>
        <w:t>393). Lorsqu’un ministère provincial de l’éducation et un conseil scolaire de la minorité linguistique ne s’entendent pas sur la meilleure façon d’assurer le respect des exigences de l’art.</w:t>
      </w:r>
      <w:r w:rsidR="00225C08">
        <w:rPr>
          <w:rFonts w:cs="Times New Roman"/>
          <w:iCs/>
          <w:lang w:val="fr-CA"/>
        </w:rPr>
        <w:t xml:space="preserve"> </w:t>
      </w:r>
      <w:r w:rsidRPr="00131B59">
        <w:rPr>
          <w:rFonts w:cs="Times New Roman"/>
          <w:iCs/>
          <w:lang w:val="fr-CA"/>
        </w:rPr>
        <w:t>23, ils doivent tenter, dans la mesure du possible, de régler eux</w:t>
      </w:r>
      <w:r w:rsidR="00225C08">
        <w:rPr>
          <w:rFonts w:cs="Times New Roman"/>
          <w:iCs/>
          <w:lang w:val="fr-CA"/>
        </w:rPr>
        <w:t>-</w:t>
      </w:r>
      <w:r w:rsidRPr="00131B59">
        <w:rPr>
          <w:rFonts w:cs="Times New Roman"/>
          <w:iCs/>
          <w:lang w:val="fr-CA"/>
        </w:rPr>
        <w:t>mêmes le différend.</w:t>
      </w:r>
      <w:r w:rsidRPr="00131B59">
        <w:rPr>
          <w:rFonts w:cs="Times New Roman"/>
          <w:lang w:val="fr-CA"/>
        </w:rPr>
        <w:t xml:space="preserve"> Si les parents peuvent être représentés au sein des conseils scolaires, et ainsi avoir une certaine influence sur leurs priorités, il reste que ces </w:t>
      </w:r>
      <w:r w:rsidRPr="00131B59">
        <w:rPr>
          <w:rFonts w:cs="Times New Roman"/>
          <w:lang w:val="fr-CA"/>
        </w:rPr>
        <w:lastRenderedPageBreak/>
        <w:t>derniers sont aussi des acteurs gouvernementaux. Ce n’est pas exploiter le point fort institutionnel des tribunaux que de demander aux juges de s’engager à fond dans des questions opérationnelles, en rendant par exemple des décisions détaillées sur la construction d’un nouvel établissement scolaire. Malgré les pressions concurrentes exercées sur les ressources et les imperfections de la gestion quotidienne d’un système d’éducation, l’art.</w:t>
      </w:r>
      <w:r w:rsidR="00225C08">
        <w:rPr>
          <w:rFonts w:cs="Times New Roman"/>
          <w:lang w:val="fr-CA"/>
        </w:rPr>
        <w:t xml:space="preserve"> </w:t>
      </w:r>
      <w:r w:rsidRPr="00131B59">
        <w:rPr>
          <w:rFonts w:cs="Times New Roman"/>
          <w:lang w:val="fr-CA"/>
        </w:rPr>
        <w:t xml:space="preserve">23 de la </w:t>
      </w:r>
      <w:r w:rsidRPr="00131B59">
        <w:rPr>
          <w:rFonts w:cs="Times New Roman"/>
          <w:i/>
          <w:lang w:val="fr-CA"/>
        </w:rPr>
        <w:t>Charte</w:t>
      </w:r>
      <w:r w:rsidRPr="00131B59">
        <w:rPr>
          <w:rFonts w:cs="Times New Roman"/>
          <w:lang w:val="fr-CA"/>
        </w:rPr>
        <w:t xml:space="preserve"> exige de toutes les parties intéressées qu’elles fassent preuve de bonne foi pour que les titulaires de droits bénéficient d’une équivalence réelle. </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Comme la Cour l’a fait observer dans </w:t>
      </w:r>
      <w:r w:rsidRPr="00131B59">
        <w:rPr>
          <w:rFonts w:cs="Times New Roman"/>
          <w:i/>
          <w:lang w:val="fr-CA"/>
        </w:rPr>
        <w:t>Doucet</w:t>
      </w:r>
      <w:r w:rsidR="00225C08">
        <w:rPr>
          <w:rFonts w:cs="Times New Roman"/>
          <w:i/>
          <w:lang w:val="fr-CA"/>
        </w:rPr>
        <w:t>-</w:t>
      </w:r>
      <w:r w:rsidRPr="00131B59">
        <w:rPr>
          <w:rFonts w:cs="Times New Roman"/>
          <w:i/>
          <w:lang w:val="fr-CA"/>
        </w:rPr>
        <w:t>Boudreau</w:t>
      </w:r>
      <w:r w:rsidRPr="00131B59">
        <w:rPr>
          <w:rFonts w:cs="Times New Roman"/>
          <w:lang w:val="fr-CA"/>
        </w:rPr>
        <w:t xml:space="preserve">, </w:t>
      </w:r>
      <w:r w:rsidR="00225C08">
        <w:rPr>
          <w:rFonts w:cs="Times New Roman"/>
          <w:lang w:val="fr-CA"/>
        </w:rPr>
        <w:t>« </w:t>
      </w:r>
      <w:r w:rsidRPr="00131B59">
        <w:rPr>
          <w:rFonts w:cs="Times New Roman"/>
          <w:lang w:val="fr-CA"/>
        </w:rPr>
        <w:t>[l]e risque d’assimilation [</w:t>
      </w:r>
      <w:r w:rsidR="00225C08">
        <w:rPr>
          <w:rFonts w:cs="Times New Roman"/>
          <w:lang w:val="fr-CA"/>
        </w:rPr>
        <w:t>. . .</w:t>
      </w:r>
      <w:r w:rsidRPr="00131B59">
        <w:rPr>
          <w:rFonts w:cs="Times New Roman"/>
          <w:lang w:val="fr-CA"/>
        </w:rPr>
        <w:t>] augment[e] avec les années scolaires qui s’écoulent sans que les gouvernements exécutent les obligations que leur impose l’art.</w:t>
      </w:r>
      <w:r w:rsidR="00225C08">
        <w:rPr>
          <w:rFonts w:cs="Times New Roman"/>
          <w:lang w:val="fr-CA"/>
        </w:rPr>
        <w:t xml:space="preserve"> </w:t>
      </w:r>
      <w:r w:rsidRPr="00131B59">
        <w:rPr>
          <w:rFonts w:cs="Times New Roman"/>
          <w:lang w:val="fr-CA"/>
        </w:rPr>
        <w:t>23</w:t>
      </w:r>
      <w:r w:rsidR="00225C08">
        <w:rPr>
          <w:rFonts w:cs="Times New Roman"/>
          <w:lang w:val="fr-CA"/>
        </w:rPr>
        <w:t> »</w:t>
      </w:r>
      <w:r w:rsidRPr="00131B59">
        <w:rPr>
          <w:rFonts w:cs="Times New Roman"/>
          <w:lang w:val="fr-CA"/>
        </w:rPr>
        <w:t>, ce qui contrecarre les objectifs réparateurs de l’art.</w:t>
      </w:r>
      <w:r w:rsidR="00225C08">
        <w:rPr>
          <w:rFonts w:cs="Times New Roman"/>
          <w:lang w:val="fr-CA"/>
        </w:rPr>
        <w:t xml:space="preserve"> </w:t>
      </w:r>
      <w:r w:rsidRPr="00131B59">
        <w:rPr>
          <w:rFonts w:cs="Times New Roman"/>
          <w:lang w:val="fr-CA"/>
        </w:rPr>
        <w:t>23 (par.</w:t>
      </w:r>
      <w:r w:rsidR="00225C08">
        <w:rPr>
          <w:rFonts w:cs="Times New Roman"/>
          <w:lang w:val="fr-CA"/>
        </w:rPr>
        <w:t xml:space="preserve"> </w:t>
      </w:r>
      <w:r w:rsidRPr="00131B59">
        <w:rPr>
          <w:rFonts w:cs="Times New Roman"/>
          <w:lang w:val="fr-CA"/>
        </w:rPr>
        <w:t>29). La</w:t>
      </w:r>
      <w:r w:rsidRPr="00131B59">
        <w:rPr>
          <w:rFonts w:cs="Times New Roman"/>
          <w:iCs/>
          <w:lang w:val="fr-CA"/>
        </w:rPr>
        <w:t xml:space="preserve"> situation est urgente.</w:t>
      </w:r>
    </w:p>
    <w:p w:rsidR="004B15C3" w:rsidRPr="00131B59" w:rsidRDefault="004B15C3" w:rsidP="004B15C3">
      <w:pPr>
        <w:pStyle w:val="Title3LevelTitre3Niveau"/>
        <w:widowControl w:val="0"/>
        <w:numPr>
          <w:ilvl w:val="2"/>
          <w:numId w:val="8"/>
        </w:numPr>
        <w:rPr>
          <w:rFonts w:cs="Times New Roman"/>
          <w:lang w:val="fr-CA"/>
        </w:rPr>
      </w:pPr>
      <w:r w:rsidRPr="00131B59">
        <w:rPr>
          <w:rFonts w:cs="Times New Roman"/>
          <w:lang w:val="fr-CA"/>
        </w:rPr>
        <w:t>Organisation de l’instance</w:t>
      </w:r>
    </w:p>
    <w:p w:rsidR="004B15C3" w:rsidRPr="00131B59" w:rsidRDefault="00DE6802" w:rsidP="00DE6802">
      <w:pPr>
        <w:pStyle w:val="Title4LevelTitre4Niveau"/>
        <w:widowControl w:val="0"/>
        <w:numPr>
          <w:ilvl w:val="0"/>
          <w:numId w:val="0"/>
        </w:numPr>
        <w:tabs>
          <w:tab w:val="left" w:pos="1170"/>
        </w:tabs>
        <w:ind w:left="1170" w:hanging="594"/>
        <w:rPr>
          <w:rFonts w:cs="Times New Roman"/>
          <w:lang w:val="fr-CA"/>
        </w:rPr>
      </w:pPr>
      <w:r w:rsidRPr="00DE6802">
        <w:rPr>
          <w:rFonts w:cs="Times New Roman"/>
          <w:i w:val="0"/>
          <w:lang w:val="fr-CA"/>
        </w:rPr>
        <w:t>a)</w:t>
      </w:r>
      <w:r>
        <w:rPr>
          <w:rFonts w:cs="Times New Roman"/>
          <w:lang w:val="fr-CA"/>
        </w:rPr>
        <w:tab/>
      </w:r>
      <w:r w:rsidR="004B15C3" w:rsidRPr="00131B59">
        <w:rPr>
          <w:rFonts w:cs="Times New Roman"/>
          <w:lang w:val="fr-CA"/>
        </w:rPr>
        <w:t xml:space="preserve">Ordonnance de division en étapes du juge Willcock </w:t>
      </w:r>
    </w:p>
    <w:p w:rsidR="004B15C3" w:rsidRPr="00131B59" w:rsidRDefault="004B15C3" w:rsidP="004B15C3">
      <w:pPr>
        <w:pStyle w:val="ParaNoNdepar-AltN"/>
        <w:widowControl w:val="0"/>
        <w:rPr>
          <w:rFonts w:cs="Times New Roman"/>
          <w:lang w:val="fr-CA"/>
        </w:rPr>
      </w:pPr>
      <w:r w:rsidRPr="00131B59">
        <w:rPr>
          <w:rFonts w:cs="Times New Roman"/>
          <w:lang w:val="fr-CA"/>
        </w:rPr>
        <w:t>Correctement structurée, formulée et comprise, l’ordonnance de division en étapes de l’instance peut faciliter l’accès à la justice en prévoyant que l’instance se déroulera de façon à ce que les questions susceptibles d’être traitées plus rapidement soient résolues en premier, et en réservant l’examen des questions plus accaparantes ou complexes aux étapes ultérieures, surtout si celles</w:t>
      </w:r>
      <w:r w:rsidR="00225C08">
        <w:rPr>
          <w:rFonts w:cs="Times New Roman"/>
          <w:lang w:val="fr-CA"/>
        </w:rPr>
        <w:t>-</w:t>
      </w:r>
      <w:r w:rsidRPr="00131B59">
        <w:rPr>
          <w:rFonts w:cs="Times New Roman"/>
          <w:lang w:val="fr-CA"/>
        </w:rPr>
        <w:t xml:space="preserve">ci pourraient s’avérer inutiles. La division en étapes peut se révéler particulièrement importante dans les litiges </w:t>
      </w:r>
      <w:r w:rsidRPr="00131B59">
        <w:rPr>
          <w:rFonts w:cs="Times New Roman"/>
          <w:lang w:val="fr-CA"/>
        </w:rPr>
        <w:lastRenderedPageBreak/>
        <w:t>mettant en cause l’art.</w:t>
      </w:r>
      <w:r w:rsidR="00225C08">
        <w:rPr>
          <w:rFonts w:cs="Times New Roman"/>
          <w:lang w:val="fr-CA"/>
        </w:rPr>
        <w:t xml:space="preserve"> </w:t>
      </w:r>
      <w:r w:rsidRPr="00131B59">
        <w:rPr>
          <w:rFonts w:cs="Times New Roman"/>
          <w:lang w:val="fr-CA"/>
        </w:rPr>
        <w:t xml:space="preserve">23 de la </w:t>
      </w:r>
      <w:r w:rsidRPr="00131B59">
        <w:rPr>
          <w:rFonts w:cs="Times New Roman"/>
          <w:i/>
          <w:lang w:val="fr-CA"/>
        </w:rPr>
        <w:t>Charte</w:t>
      </w:r>
      <w:r w:rsidRPr="00131B59">
        <w:rPr>
          <w:rFonts w:cs="Times New Roman"/>
          <w:lang w:val="fr-CA"/>
        </w:rPr>
        <w:t>. C’est pourquoi il est normal que les titulaires de droits à l’instruction dans la langue de la minorité demandent qu’il soit statué avec diligence sur la question de savoir s’ils reçoivent ou non les services exigés par l’art.</w:t>
      </w:r>
      <w:r w:rsidR="00225C08">
        <w:rPr>
          <w:rFonts w:cs="Times New Roman"/>
          <w:lang w:val="fr-CA"/>
        </w:rPr>
        <w:t xml:space="preserve"> </w:t>
      </w:r>
      <w:r w:rsidRPr="00131B59">
        <w:rPr>
          <w:rFonts w:cs="Times New Roman"/>
          <w:lang w:val="fr-CA"/>
        </w:rPr>
        <w:t>23.</w:t>
      </w:r>
    </w:p>
    <w:p w:rsidR="004B15C3" w:rsidRPr="00131B59" w:rsidRDefault="004B15C3" w:rsidP="004B15C3">
      <w:pPr>
        <w:pStyle w:val="ParaNoNdepar-AltN"/>
        <w:widowControl w:val="0"/>
        <w:rPr>
          <w:rFonts w:cs="Times New Roman"/>
          <w:lang w:val="fr-CA"/>
        </w:rPr>
      </w:pPr>
      <w:r w:rsidRPr="00131B59">
        <w:rPr>
          <w:rFonts w:cs="Times New Roman"/>
          <w:lang w:val="fr-CA"/>
        </w:rPr>
        <w:t>Cet intérêt à obtenir promptement une décision sur les droits garantis par l’art.</w:t>
      </w:r>
      <w:r w:rsidR="00225C08">
        <w:rPr>
          <w:rFonts w:cs="Times New Roman"/>
          <w:lang w:val="fr-CA"/>
        </w:rPr>
        <w:t xml:space="preserve"> </w:t>
      </w:r>
      <w:r w:rsidRPr="00131B59">
        <w:rPr>
          <w:rFonts w:cs="Times New Roman"/>
          <w:lang w:val="fr-CA"/>
        </w:rPr>
        <w:t>23 ne signifie pas que les règles d’équité procédurale habituelles cessent de s’appliquer. Cependant, il relève du pouvoir discrétionnaire du juge de recourir à la division en étapes de l’instance ou à toute autre mesure novatrice pour structurer l’instance.</w:t>
      </w:r>
    </w:p>
    <w:p w:rsidR="004B15C3" w:rsidRPr="00131B59" w:rsidRDefault="004B15C3" w:rsidP="004B15C3">
      <w:pPr>
        <w:pStyle w:val="ParaNoNdepar-AltN"/>
        <w:widowControl w:val="0"/>
        <w:rPr>
          <w:rFonts w:cs="Times New Roman"/>
          <w:lang w:val="fr-CA"/>
        </w:rPr>
      </w:pPr>
      <w:r w:rsidRPr="00131B59">
        <w:rPr>
          <w:rFonts w:cs="Times New Roman"/>
          <w:lang w:val="fr-CA"/>
        </w:rPr>
        <w:t>En l’espèce, le juge saisi de la requête a divisé l’instance en étapes vu la portée restreinte de la réparation sollicitée par les Parents, et il a tenu compte de l’utilisation efficiente des ressources judiciaires et de la nature particulière de l’art.</w:t>
      </w:r>
      <w:r w:rsidR="00225C08">
        <w:rPr>
          <w:rFonts w:cs="Times New Roman"/>
          <w:lang w:val="fr-CA"/>
        </w:rPr>
        <w:t xml:space="preserve"> </w:t>
      </w:r>
      <w:r w:rsidRPr="00131B59">
        <w:rPr>
          <w:rFonts w:cs="Times New Roman"/>
          <w:lang w:val="fr-CA"/>
        </w:rPr>
        <w:t>23. L’imputation de la responsabilité de la violation a été réservée à une étape ultérieure de l’instance, au besoin.</w:t>
      </w:r>
    </w:p>
    <w:p w:rsidR="004B15C3" w:rsidRPr="00131B59" w:rsidRDefault="004B15C3" w:rsidP="004B15C3">
      <w:pPr>
        <w:pStyle w:val="ParaNoNdepar-AltN"/>
        <w:widowControl w:val="0"/>
        <w:rPr>
          <w:rFonts w:cs="Times New Roman"/>
          <w:lang w:val="fr-CA"/>
        </w:rPr>
      </w:pPr>
      <w:r w:rsidRPr="00131B59">
        <w:rPr>
          <w:rFonts w:cs="Times New Roman"/>
          <w:lang w:val="fr-CA"/>
        </w:rPr>
        <w:t>De plus, le litige en cours entre le CSF et la Province porte sur le partage de la responsabilité pour les violations alléguées de l’art.</w:t>
      </w:r>
      <w:r w:rsidR="00225C08">
        <w:rPr>
          <w:rFonts w:cs="Times New Roman"/>
          <w:lang w:val="fr-CA"/>
        </w:rPr>
        <w:t xml:space="preserve"> </w:t>
      </w:r>
      <w:r w:rsidRPr="00131B59">
        <w:rPr>
          <w:rFonts w:cs="Times New Roman"/>
          <w:lang w:val="fr-CA"/>
        </w:rPr>
        <w:t>23 à l’échelle de la province. L’issue de ce litige peut avoir des répercussions sur le déroulement de l’instance faisant l’objet du présent pourvoi. Du point de vue des Parents, l’issue du litige provincial pourrait rendre inutile la poursuite de l’instance.</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L’imputation d’une responsabilité pour la violation en cause ne peut avoir </w:t>
      </w:r>
      <w:r w:rsidRPr="00131B59">
        <w:rPr>
          <w:rFonts w:cs="Times New Roman"/>
          <w:lang w:val="fr-CA"/>
        </w:rPr>
        <w:lastRenderedPageBreak/>
        <w:t>lieu qu’à la prochaine étape de l’instance. Le partage de la responsabilité permettra de déterminer sur qui repose le fardeau de justifier la violation de l’art.</w:t>
      </w:r>
      <w:r w:rsidR="00225C08">
        <w:rPr>
          <w:rFonts w:cs="Times New Roman"/>
          <w:lang w:val="fr-CA"/>
        </w:rPr>
        <w:t xml:space="preserve"> </w:t>
      </w:r>
      <w:r w:rsidRPr="00131B59">
        <w:rPr>
          <w:rFonts w:cs="Times New Roman"/>
          <w:lang w:val="fr-CA"/>
        </w:rPr>
        <w:t xml:space="preserve">23 si l’on invoque un argument relatif à l’article premier. De même, la responsabilité serait fort probablement partagée avant que des ordonnances de réparation sur le fond ne soient rendues. </w:t>
      </w:r>
    </w:p>
    <w:p w:rsidR="004B15C3" w:rsidRPr="00131B59" w:rsidRDefault="00DE6802" w:rsidP="00DE6802">
      <w:pPr>
        <w:pStyle w:val="Title4LevelTitre4Niveau"/>
        <w:widowControl w:val="0"/>
        <w:numPr>
          <w:ilvl w:val="0"/>
          <w:numId w:val="0"/>
        </w:numPr>
        <w:tabs>
          <w:tab w:val="left" w:pos="1170"/>
        </w:tabs>
        <w:ind w:left="1170" w:hanging="594"/>
        <w:rPr>
          <w:rFonts w:cs="Times New Roman"/>
          <w:lang w:val="fr-CA"/>
        </w:rPr>
      </w:pPr>
      <w:r w:rsidRPr="00DE6802">
        <w:rPr>
          <w:rFonts w:cs="Times New Roman"/>
          <w:i w:val="0"/>
          <w:lang w:val="fr-CA"/>
        </w:rPr>
        <w:t>b)</w:t>
      </w:r>
      <w:r>
        <w:rPr>
          <w:rFonts w:cs="Times New Roman"/>
          <w:lang w:val="fr-CA"/>
        </w:rPr>
        <w:tab/>
      </w:r>
      <w:r w:rsidR="004B15C3" w:rsidRPr="00131B59">
        <w:rPr>
          <w:rFonts w:cs="Times New Roman"/>
          <w:lang w:val="fr-CA"/>
        </w:rPr>
        <w:t>Radiation</w:t>
      </w:r>
      <w:r w:rsidR="004B15C3">
        <w:rPr>
          <w:rFonts w:cs="Times New Roman"/>
          <w:lang w:val="fr-CA"/>
        </w:rPr>
        <w:t xml:space="preserve"> de passage</w:t>
      </w:r>
      <w:r w:rsidR="004B15C3" w:rsidRPr="00131B59">
        <w:rPr>
          <w:rFonts w:cs="Times New Roman"/>
          <w:lang w:val="fr-CA"/>
        </w:rPr>
        <w:t xml:space="preserve"> des actes de procédure et directives en matière de procédure </w:t>
      </w:r>
    </w:p>
    <w:p w:rsidR="004B15C3" w:rsidRPr="00131B59" w:rsidRDefault="004B15C3" w:rsidP="004B15C3">
      <w:pPr>
        <w:pStyle w:val="ParaNoNdepar-AltN"/>
        <w:widowControl w:val="0"/>
        <w:rPr>
          <w:rFonts w:cs="Times New Roman"/>
          <w:lang w:val="fr-CA"/>
        </w:rPr>
      </w:pPr>
      <w:r w:rsidRPr="00131B59">
        <w:rPr>
          <w:rFonts w:cs="Times New Roman"/>
          <w:lang w:val="fr-CA"/>
        </w:rPr>
        <w:t>Vu la division en étapes de l’instruction de la requête, les sections des actes de procédure de la Province qui ont été radiées par le juge n’étaient pas pertinentes pour l’analyse de l’équivalence à la première étape. Dans les circonstances, il était loisible au juge de radier ces passages. De plus, le juge pouvait refuser d’entendre des témoignages sur la question de la responsabilité pour les lacunes relevées à RDV, le cas échéant. Bien que la communication par le juge de la division en étapes de l’instruction de la requête ne fût pas aussi claire qu’elle aurait pu l’être, cela n’a causé aucun préjudice aux parties. Il a toujours été évident que le juge n’imputerait aucune responsabilité pour toute violation de l’art.</w:t>
      </w:r>
      <w:r w:rsidR="00225C08">
        <w:rPr>
          <w:rFonts w:cs="Times New Roman"/>
          <w:lang w:val="fr-CA"/>
        </w:rPr>
        <w:t xml:space="preserve"> </w:t>
      </w:r>
      <w:r w:rsidRPr="00131B59">
        <w:rPr>
          <w:rFonts w:cs="Times New Roman"/>
          <w:lang w:val="fr-CA"/>
        </w:rPr>
        <w:t>23 ni ne concevrait de réparation à la première étape.</w:t>
      </w:r>
    </w:p>
    <w:p w:rsidR="004B15C3" w:rsidRPr="00131B59" w:rsidRDefault="004B15C3" w:rsidP="004B15C3">
      <w:pPr>
        <w:pStyle w:val="ParaNoNdepar-AltN"/>
        <w:widowControl w:val="0"/>
        <w:rPr>
          <w:rFonts w:cs="Times New Roman"/>
          <w:lang w:val="fr-CA"/>
        </w:rPr>
      </w:pPr>
      <w:r w:rsidRPr="00131B59">
        <w:rPr>
          <w:rFonts w:cs="Times New Roman"/>
          <w:lang w:val="fr-CA"/>
        </w:rPr>
        <w:t>L</w:t>
      </w:r>
      <w:r>
        <w:rPr>
          <w:rFonts w:cs="Times New Roman"/>
          <w:lang w:val="fr-CA"/>
        </w:rPr>
        <w:t>e passage radié de l</w:t>
      </w:r>
      <w:r w:rsidRPr="00131B59">
        <w:rPr>
          <w:rFonts w:cs="Times New Roman"/>
          <w:lang w:val="fr-CA"/>
        </w:rPr>
        <w:t xml:space="preserve">’acte de procédure de la Province, selon lequel un grand nombre de ses établissements scolaires pourraient être améliorés, rénovés ou remplacés, n’a aucun rapport avec la question de savoir si les enfants des titulaires de droits bénéficient d’une instruction et d’établissements équivalents à ceux dont </w:t>
      </w:r>
      <w:r w:rsidRPr="00131B59">
        <w:rPr>
          <w:rFonts w:cs="Times New Roman"/>
          <w:lang w:val="fr-CA"/>
        </w:rPr>
        <w:lastRenderedPageBreak/>
        <w:t xml:space="preserve">disposent les élèves de la majorité linguistique se trouvant dans une situation semblable. De même, </w:t>
      </w:r>
      <w:r>
        <w:rPr>
          <w:rFonts w:cs="Times New Roman"/>
          <w:lang w:val="fr-CA"/>
        </w:rPr>
        <w:t xml:space="preserve">le passage radié de </w:t>
      </w:r>
      <w:r w:rsidRPr="00131B59">
        <w:rPr>
          <w:rFonts w:cs="Times New Roman"/>
          <w:lang w:val="fr-CA"/>
        </w:rPr>
        <w:t xml:space="preserve">l’acte de procédure de la Province, selon lequel l’assimilation a bien d’autres causes que les installations inadéquates, n’aide pas le tribunal à évaluer l’équivalence réelle entre les écoles de la minorité linguistique et celles de la majorité. De plus, </w:t>
      </w:r>
      <w:r>
        <w:rPr>
          <w:rFonts w:cs="Times New Roman"/>
          <w:lang w:val="fr-CA"/>
        </w:rPr>
        <w:t xml:space="preserve">le passage de </w:t>
      </w:r>
      <w:r w:rsidRPr="00131B59">
        <w:rPr>
          <w:rFonts w:cs="Times New Roman"/>
          <w:lang w:val="fr-CA"/>
        </w:rPr>
        <w:t>l’acte de procédure de la Province voulant qu’il y ait plusieurs raisons pour lesquelles les titulaires de droits peuvent décider de ne pas envoyer leurs enfants à RDV n’a rien à voir lui non plus avec la question de l’équivalence. Je conviens qu’il peut y avoir des cas où un parent pourrait retirer son enfant de RDV pour une raison autre que l’absence d’équivalence. Or, cette possibilité ne réfute pas la preuve que d’</w:t>
      </w:r>
      <w:r w:rsidRPr="00131B59">
        <w:rPr>
          <w:rFonts w:cs="Times New Roman"/>
          <w:i/>
          <w:lang w:val="fr-CA"/>
        </w:rPr>
        <w:t>autres</w:t>
      </w:r>
      <w:r w:rsidRPr="00131B59">
        <w:rPr>
          <w:rFonts w:cs="Times New Roman"/>
          <w:lang w:val="fr-CA"/>
        </w:rPr>
        <w:t xml:space="preserve"> élèves n’ont pas été inscrits ou ont été retirés de l’école à cause des longs déplacements ou des installations inadéquates. L’acte de procédure radié n’a donc aucun rapport avec la question de l’équivalence. </w:t>
      </w:r>
    </w:p>
    <w:p w:rsidR="004B15C3" w:rsidRPr="00131B59" w:rsidRDefault="004B15C3" w:rsidP="004B15C3">
      <w:pPr>
        <w:pStyle w:val="ParaNoNdepar-AltN"/>
        <w:widowControl w:val="0"/>
        <w:rPr>
          <w:rFonts w:cs="Times New Roman"/>
          <w:lang w:val="fr-CA"/>
        </w:rPr>
      </w:pPr>
      <w:r w:rsidRPr="00131B59">
        <w:rPr>
          <w:rFonts w:cs="Times New Roman"/>
          <w:lang w:val="fr-CA"/>
        </w:rPr>
        <w:t>L</w:t>
      </w:r>
      <w:r>
        <w:rPr>
          <w:rFonts w:cs="Times New Roman"/>
          <w:lang w:val="fr-CA"/>
        </w:rPr>
        <w:t>e passage radié de l</w:t>
      </w:r>
      <w:r w:rsidRPr="00131B59">
        <w:rPr>
          <w:rFonts w:cs="Times New Roman"/>
          <w:lang w:val="fr-CA"/>
        </w:rPr>
        <w:t>’acte de procédure de la Province, selon lequel la plupart des élèves de RDV sont des enfants de couples exogames et la diminution de l’utilisation du français à la maison s’explique par l’incidence de ces couples, est également hors de propos. D’après les termes exprès de l’art.</w:t>
      </w:r>
      <w:r w:rsidR="00225C08">
        <w:rPr>
          <w:rFonts w:cs="Times New Roman"/>
          <w:lang w:val="fr-CA"/>
        </w:rPr>
        <w:t xml:space="preserve"> </w:t>
      </w:r>
      <w:r w:rsidRPr="00131B59">
        <w:rPr>
          <w:rFonts w:cs="Times New Roman"/>
          <w:lang w:val="fr-CA"/>
        </w:rPr>
        <w:t xml:space="preserve">23, le membre d’un couple exogame peut détenir </w:t>
      </w:r>
      <w:r w:rsidR="00927F61">
        <w:rPr>
          <w:rFonts w:cs="Times New Roman"/>
          <w:lang w:val="fr-CA"/>
        </w:rPr>
        <w:t>des</w:t>
      </w:r>
      <w:r w:rsidRPr="00131B59">
        <w:rPr>
          <w:rFonts w:cs="Times New Roman"/>
          <w:lang w:val="fr-CA"/>
        </w:rPr>
        <w:t xml:space="preserve"> droit</w:t>
      </w:r>
      <w:r w:rsidR="00927F61">
        <w:rPr>
          <w:rFonts w:cs="Times New Roman"/>
          <w:lang w:val="fr-CA"/>
        </w:rPr>
        <w:t>s</w:t>
      </w:r>
      <w:r w:rsidRPr="00131B59">
        <w:rPr>
          <w:rFonts w:cs="Times New Roman"/>
          <w:lang w:val="fr-CA"/>
        </w:rPr>
        <w:t>. Les enfants issus des unions dont un membre est titulaire de</w:t>
      </w:r>
      <w:r w:rsidR="00927F61">
        <w:rPr>
          <w:rFonts w:cs="Times New Roman"/>
          <w:lang w:val="fr-CA"/>
        </w:rPr>
        <w:t>s</w:t>
      </w:r>
      <w:r w:rsidRPr="00131B59">
        <w:rPr>
          <w:rFonts w:cs="Times New Roman"/>
          <w:lang w:val="fr-CA"/>
        </w:rPr>
        <w:t xml:space="preserve"> droit</w:t>
      </w:r>
      <w:r w:rsidR="00927F61">
        <w:rPr>
          <w:rFonts w:cs="Times New Roman"/>
          <w:lang w:val="fr-CA"/>
        </w:rPr>
        <w:t>s</w:t>
      </w:r>
      <w:r w:rsidRPr="00131B59">
        <w:rPr>
          <w:rFonts w:cs="Times New Roman"/>
          <w:lang w:val="fr-CA"/>
        </w:rPr>
        <w:t xml:space="preserve"> peuvent fréquenter les écoles de la minorité linguistique. Comme l’a souligné la Cour, le par.</w:t>
      </w:r>
      <w:r w:rsidR="00225C08">
        <w:rPr>
          <w:rFonts w:cs="Times New Roman"/>
          <w:lang w:val="fr-CA"/>
        </w:rPr>
        <w:t xml:space="preserve"> </w:t>
      </w:r>
      <w:r w:rsidRPr="00131B59">
        <w:rPr>
          <w:rFonts w:cs="Times New Roman"/>
          <w:lang w:val="fr-CA"/>
        </w:rPr>
        <w:t xml:space="preserve">23(2) s’applique </w:t>
      </w:r>
      <w:r w:rsidR="00225C08">
        <w:rPr>
          <w:rFonts w:cs="Times New Roman"/>
          <w:lang w:val="fr-CA"/>
        </w:rPr>
        <w:t>« </w:t>
      </w:r>
      <w:r w:rsidRPr="00131B59">
        <w:rPr>
          <w:rFonts w:cs="Times New Roman"/>
          <w:lang w:val="fr-CA"/>
        </w:rPr>
        <w:t>indépendamment de la possibilité que les parents ou les enfants admissibles ne soient pas francophones ou anglophones ou qu’ils ne parlent pas ces langues à la maison</w:t>
      </w:r>
      <w:r w:rsidR="00225C08">
        <w:rPr>
          <w:rFonts w:cs="Times New Roman"/>
          <w:lang w:val="fr-CA"/>
        </w:rPr>
        <w:t> »</w:t>
      </w:r>
      <w:r w:rsidRPr="00131B59">
        <w:rPr>
          <w:rFonts w:cs="Times New Roman"/>
          <w:lang w:val="fr-CA"/>
        </w:rPr>
        <w:t xml:space="preserve"> (</w:t>
      </w:r>
      <w:r w:rsidRPr="00131B59">
        <w:rPr>
          <w:rFonts w:cs="Times New Roman"/>
          <w:i/>
          <w:lang w:val="fr-CA"/>
        </w:rPr>
        <w:t xml:space="preserve">Solski (Tuteur de) c. </w:t>
      </w:r>
      <w:r w:rsidRPr="00131B59">
        <w:rPr>
          <w:rFonts w:cs="Times New Roman"/>
          <w:i/>
          <w:lang w:val="fr-CA"/>
        </w:rPr>
        <w:lastRenderedPageBreak/>
        <w:t>Québec (Procureur général)</w:t>
      </w:r>
      <w:r w:rsidRPr="00131B59">
        <w:rPr>
          <w:rFonts w:cs="Times New Roman"/>
          <w:lang w:val="fr-CA"/>
        </w:rPr>
        <w:t>, 2005 CSC 14, [2005] 1 R.C.S. 201, par.</w:t>
      </w:r>
      <w:r w:rsidR="00225C08">
        <w:rPr>
          <w:rFonts w:cs="Times New Roman"/>
          <w:lang w:val="fr-CA"/>
        </w:rPr>
        <w:t xml:space="preserve"> </w:t>
      </w:r>
      <w:r w:rsidRPr="00131B59">
        <w:rPr>
          <w:rFonts w:cs="Times New Roman"/>
          <w:lang w:val="fr-CA"/>
        </w:rPr>
        <w:t>31). En fait, une école française peut jouer un rôle crucial dans la transmission de la langue et de la culture françaises alors qu’il est plus difficile pour un des parents de le faire dans un contexte minoritaire</w:t>
      </w:r>
      <w:r w:rsidR="00225C08">
        <w:rPr>
          <w:rFonts w:cs="Times New Roman"/>
          <w:lang w:val="fr-CA"/>
        </w:rPr>
        <w:t> :</w:t>
      </w:r>
      <w:r w:rsidRPr="00131B59">
        <w:rPr>
          <w:rFonts w:cs="Times New Roman"/>
          <w:lang w:val="fr-CA"/>
        </w:rPr>
        <w:t xml:space="preserve"> voir R.</w:t>
      </w:r>
      <w:r w:rsidR="00225C08">
        <w:rPr>
          <w:rFonts w:cs="Times New Roman"/>
          <w:lang w:val="fr-CA"/>
        </w:rPr>
        <w:t xml:space="preserve"> </w:t>
      </w:r>
      <w:r w:rsidRPr="00131B59">
        <w:rPr>
          <w:rFonts w:cs="Times New Roman"/>
          <w:lang w:val="fr-CA"/>
        </w:rPr>
        <w:t>Landry et R.</w:t>
      </w:r>
      <w:r w:rsidR="00225C08">
        <w:rPr>
          <w:rFonts w:cs="Times New Roman"/>
          <w:lang w:val="fr-CA"/>
        </w:rPr>
        <w:t xml:space="preserve"> </w:t>
      </w:r>
      <w:r w:rsidRPr="00131B59">
        <w:rPr>
          <w:rFonts w:cs="Times New Roman"/>
          <w:lang w:val="fr-CA"/>
        </w:rPr>
        <w:t xml:space="preserve">Allard, </w:t>
      </w:r>
      <w:r w:rsidR="00225C08">
        <w:rPr>
          <w:rFonts w:cs="Times New Roman"/>
          <w:lang w:val="fr-CA"/>
        </w:rPr>
        <w:t>« </w:t>
      </w:r>
      <w:r w:rsidRPr="00131B59">
        <w:rPr>
          <w:rFonts w:cs="Times New Roman"/>
          <w:lang w:val="fr-CA"/>
        </w:rPr>
        <w:t>L’exogamie et le maintien de deux langues et de deux cultures</w:t>
      </w:r>
      <w:r w:rsidR="00225C08">
        <w:rPr>
          <w:rFonts w:cs="Times New Roman"/>
          <w:lang w:val="fr-CA"/>
        </w:rPr>
        <w:t> :</w:t>
      </w:r>
      <w:r w:rsidRPr="00131B59">
        <w:rPr>
          <w:rFonts w:cs="Times New Roman"/>
          <w:lang w:val="fr-CA"/>
        </w:rPr>
        <w:t xml:space="preserve"> le rôle de la francité familioscolaire</w:t>
      </w:r>
      <w:r w:rsidR="00225C08">
        <w:rPr>
          <w:rFonts w:cs="Times New Roman"/>
          <w:lang w:val="fr-CA"/>
        </w:rPr>
        <w:t> »</w:t>
      </w:r>
      <w:r w:rsidRPr="00131B59">
        <w:rPr>
          <w:rFonts w:cs="Times New Roman"/>
          <w:lang w:val="fr-CA"/>
        </w:rPr>
        <w:t xml:space="preserve"> (1997), 23</w:t>
      </w:r>
      <w:r w:rsidR="00DE6802">
        <w:rPr>
          <w:rFonts w:cs="Times New Roman"/>
          <w:lang w:val="fr-CA"/>
        </w:rPr>
        <w:t xml:space="preserve"> </w:t>
      </w:r>
      <w:r w:rsidRPr="00131B59">
        <w:rPr>
          <w:rFonts w:cs="Times New Roman"/>
          <w:i/>
          <w:lang w:val="fr-CA"/>
        </w:rPr>
        <w:t>Revue des sciences de l’éducation</w:t>
      </w:r>
      <w:r w:rsidR="00DE6802">
        <w:rPr>
          <w:rFonts w:cs="Times New Roman"/>
          <w:i/>
          <w:lang w:val="fr-CA"/>
        </w:rPr>
        <w:t xml:space="preserve"> </w:t>
      </w:r>
      <w:r w:rsidRPr="00131B59">
        <w:rPr>
          <w:rFonts w:cs="Times New Roman"/>
          <w:lang w:val="fr-CA"/>
        </w:rPr>
        <w:t>561.</w:t>
      </w:r>
    </w:p>
    <w:p w:rsidR="004B15C3" w:rsidRPr="00131B59" w:rsidRDefault="004B15C3" w:rsidP="004B15C3">
      <w:pPr>
        <w:pStyle w:val="ParaNoNdepar-AltN"/>
        <w:widowControl w:val="0"/>
        <w:rPr>
          <w:rFonts w:cs="Times New Roman"/>
          <w:lang w:val="fr-CA"/>
        </w:rPr>
      </w:pPr>
      <w:r w:rsidRPr="00131B59">
        <w:rPr>
          <w:rFonts w:cs="Times New Roman"/>
          <w:lang w:val="fr-CA"/>
        </w:rPr>
        <w:t>La pertinence s’apprécie en fonction des faits en cause. En l’espèce, la question qui oriente l’analyse de l’équivalence réelle entre les établissements de la minorité linguistique et ceux de la majorité linguistique est la suivante</w:t>
      </w:r>
      <w:r w:rsidR="00225C08">
        <w:rPr>
          <w:rFonts w:cs="Times New Roman"/>
          <w:lang w:val="fr-CA"/>
        </w:rPr>
        <w:t> :</w:t>
      </w:r>
      <w:r w:rsidRPr="00131B59">
        <w:rPr>
          <w:rFonts w:cs="Times New Roman"/>
          <w:lang w:val="fr-CA"/>
        </w:rPr>
        <w:t xml:space="preserve"> des titulaires de droits raisonnables seraient</w:t>
      </w:r>
      <w:r w:rsidR="00225C08">
        <w:rPr>
          <w:rFonts w:cs="Times New Roman"/>
          <w:lang w:val="fr-CA"/>
        </w:rPr>
        <w:t>-</w:t>
      </w:r>
      <w:r w:rsidRPr="00131B59">
        <w:rPr>
          <w:rFonts w:cs="Times New Roman"/>
          <w:lang w:val="fr-CA"/>
        </w:rPr>
        <w:t>ils dissuadés d’envoyer leurs enfants dans une école de la minorité parce qu’elle est de qualité inférieure à une école de la majorité où ils peuvent les inscrire? Dans une instance qui a été officiellement divisée en étapes afin de distinguer cette question des autres éléments de l’analyse fondée sur l’art.</w:t>
      </w:r>
      <w:r w:rsidR="00225C08">
        <w:rPr>
          <w:rFonts w:cs="Times New Roman"/>
          <w:lang w:val="fr-CA"/>
        </w:rPr>
        <w:t xml:space="preserve"> </w:t>
      </w:r>
      <w:r w:rsidRPr="00131B59">
        <w:rPr>
          <w:rFonts w:cs="Times New Roman"/>
          <w:lang w:val="fr-CA"/>
        </w:rPr>
        <w:t>23, la preuve qui ne permet pas de répondre à la question n’est habituellement pas pertinente. Si on envisage la chose sous cet angle, il est clair que le juge saisi de la requête pouvait radier les passages des actes de procédure de la Province.</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Loin d’être injuste pour les parties, le fait de limiter la preuve pouvant être présentée à chaque étape de l’instance respecte les directives données par la Cour dans </w:t>
      </w:r>
      <w:r w:rsidRPr="00131B59">
        <w:rPr>
          <w:rFonts w:cs="Times New Roman"/>
          <w:i/>
          <w:lang w:val="fr-CA"/>
        </w:rPr>
        <w:t>Hryniak c. Mauldin</w:t>
      </w:r>
      <w:r w:rsidRPr="00131B59">
        <w:rPr>
          <w:rFonts w:cs="Times New Roman"/>
          <w:lang w:val="fr-CA"/>
        </w:rPr>
        <w:t xml:space="preserve">, 2014 CSC 7, [2014] 1 R.C.S. 87. Les juges doivent gérer activement le processus judiciaire en harmonie avec le principe de la proportionnalité, en tenant compte de l’accès équitable à un règlement abordable, expéditif et juste des </w:t>
      </w:r>
      <w:r w:rsidRPr="00131B59">
        <w:rPr>
          <w:rFonts w:cs="Times New Roman"/>
          <w:lang w:val="fr-CA"/>
        </w:rPr>
        <w:lastRenderedPageBreak/>
        <w:t>demandes</w:t>
      </w:r>
      <w:r w:rsidR="00225C08">
        <w:rPr>
          <w:rFonts w:cs="Times New Roman"/>
          <w:lang w:val="fr-CA"/>
        </w:rPr>
        <w:t> :</w:t>
      </w:r>
      <w:r w:rsidRPr="00131B59">
        <w:rPr>
          <w:rFonts w:cs="Times New Roman"/>
          <w:lang w:val="fr-CA"/>
        </w:rPr>
        <w:t xml:space="preserve"> </w:t>
      </w:r>
      <w:r w:rsidRPr="00131B59">
        <w:rPr>
          <w:rFonts w:cs="Times New Roman"/>
          <w:i/>
          <w:lang w:val="fr-CA"/>
        </w:rPr>
        <w:t>Hryniak</w:t>
      </w:r>
      <w:r w:rsidRPr="00131B59">
        <w:rPr>
          <w:rFonts w:cs="Times New Roman"/>
          <w:lang w:val="fr-CA"/>
        </w:rPr>
        <w:t>,</w:t>
      </w:r>
      <w:r w:rsidRPr="00131B59">
        <w:rPr>
          <w:rFonts w:cs="Times New Roman"/>
          <w:i/>
          <w:lang w:val="fr-CA"/>
        </w:rPr>
        <w:t xml:space="preserve"> </w:t>
      </w:r>
      <w:r w:rsidRPr="00131B59">
        <w:rPr>
          <w:rFonts w:cs="Times New Roman"/>
          <w:lang w:val="fr-CA"/>
        </w:rPr>
        <w:t>par.</w:t>
      </w:r>
      <w:r w:rsidR="00225C08">
        <w:rPr>
          <w:rFonts w:cs="Times New Roman"/>
          <w:lang w:val="fr-CA"/>
        </w:rPr>
        <w:t xml:space="preserve"> </w:t>
      </w:r>
      <w:r w:rsidRPr="00131B59">
        <w:rPr>
          <w:rFonts w:cs="Times New Roman"/>
          <w:lang w:val="fr-CA"/>
        </w:rPr>
        <w:t>32 et 5. Ces considérations s’appliquent tout autant aux litiges mettant en cause l’art.</w:t>
      </w:r>
      <w:r w:rsidR="00225C08">
        <w:rPr>
          <w:rFonts w:cs="Times New Roman"/>
          <w:lang w:val="fr-CA"/>
        </w:rPr>
        <w:t xml:space="preserve"> </w:t>
      </w:r>
      <w:r w:rsidRPr="00131B59">
        <w:rPr>
          <w:rFonts w:cs="Times New Roman"/>
          <w:lang w:val="fr-CA"/>
        </w:rPr>
        <w:t xml:space="preserve">23. </w:t>
      </w:r>
    </w:p>
    <w:p w:rsidR="004B15C3" w:rsidRPr="00131B59" w:rsidRDefault="004B15C3" w:rsidP="004B15C3">
      <w:pPr>
        <w:pStyle w:val="ParaNoNdepar-AltN"/>
        <w:widowControl w:val="0"/>
        <w:rPr>
          <w:rFonts w:cs="Times New Roman"/>
          <w:lang w:val="fr-CA"/>
        </w:rPr>
      </w:pPr>
      <w:r w:rsidRPr="00131B59">
        <w:rPr>
          <w:rFonts w:cs="Times New Roman"/>
          <w:lang w:val="fr-CA"/>
        </w:rPr>
        <w:t>Une partie ou la totalité des actes de procédure radiés de la Province peut s’avérer pertinente à une étape ultérieure de l’instance. Cependant, compte tenu de la façon dont le juge a organisé le déroulement de l’instance, ils ne sont pas utiles à la première étape en cause dans le présent pourvoi. Bien sûr, la décision qu’il a rendue à la première étape ne porte pas atteinte au droit d’une partie ou de plusieurs d’entre elles de présenter une requête en modification de leurs actes de procédure lors des étapes suivantes de l’instance.</w:t>
      </w:r>
    </w:p>
    <w:p w:rsidR="004B15C3" w:rsidRPr="00131B59" w:rsidRDefault="004B15C3" w:rsidP="004B15C3">
      <w:pPr>
        <w:pStyle w:val="ParaNoNdepar-AltN"/>
        <w:widowControl w:val="0"/>
        <w:rPr>
          <w:rFonts w:cs="Times New Roman"/>
          <w:lang w:val="fr-CA"/>
        </w:rPr>
      </w:pPr>
      <w:r w:rsidRPr="00131B59">
        <w:rPr>
          <w:rFonts w:cs="Times New Roman"/>
          <w:lang w:val="fr-CA"/>
        </w:rPr>
        <w:t>Pour les mêmes raisons, il n’était pas inapproprié pour le juge de rejeter la demande d’ajournement que la Province avait présentée en vue de produire de nouveaux éléments de preuve au cours de la première étape de l’instance. Ces éléments de preuve additionnels que la Province voulait produire n’étaient guère pertinents pour les questions en litige à la première étape, et le juge a conclu que le préjudice susceptible d’être causé par le délai l’emportait sur la pertinence marginale des éléments de preuve.</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Étant donné l’absence de pertinence des actes de procédure radiés, la Cour d’appel a eu tort d’annuler l’ordonnance de radiation des actes de procédure de même que le jugement déclaratoire du juge. </w:t>
      </w:r>
    </w:p>
    <w:p w:rsidR="004B15C3" w:rsidRPr="00131B59" w:rsidRDefault="004B15C3" w:rsidP="004B15C3">
      <w:pPr>
        <w:pStyle w:val="Title1LevelTitre1Niveau-AltL"/>
        <w:widowControl w:val="0"/>
        <w:numPr>
          <w:ilvl w:val="0"/>
          <w:numId w:val="8"/>
        </w:numPr>
        <w:rPr>
          <w:rFonts w:cs="Times New Roman"/>
          <w:lang w:val="fr-CA"/>
        </w:rPr>
      </w:pPr>
      <w:r w:rsidRPr="00131B59">
        <w:rPr>
          <w:rFonts w:cs="Times New Roman"/>
          <w:lang w:val="fr-CA"/>
        </w:rPr>
        <w:t>Dispositif</w:t>
      </w:r>
    </w:p>
    <w:p w:rsidR="004B15C3" w:rsidRPr="00131B59" w:rsidRDefault="004B15C3" w:rsidP="004B15C3">
      <w:pPr>
        <w:pStyle w:val="ParaNoNdepar-AltN"/>
        <w:widowControl w:val="0"/>
        <w:rPr>
          <w:rFonts w:cs="Times New Roman"/>
          <w:lang w:val="fr-CA"/>
        </w:rPr>
      </w:pPr>
      <w:r w:rsidRPr="00131B59">
        <w:rPr>
          <w:rFonts w:cs="Times New Roman"/>
          <w:lang w:val="fr-CA"/>
        </w:rPr>
        <w:lastRenderedPageBreak/>
        <w:t>Le pourvoi est accueilli et le jugement déclaratoire du juge saisi de la requête est rétabli. L’affaire sera renvoyée à la Cour suprême de la Colombie</w:t>
      </w:r>
      <w:r w:rsidR="00225C08">
        <w:rPr>
          <w:rFonts w:cs="Times New Roman"/>
          <w:lang w:val="fr-CA"/>
        </w:rPr>
        <w:t>-</w:t>
      </w:r>
      <w:r w:rsidRPr="00131B59">
        <w:rPr>
          <w:rFonts w:cs="Times New Roman"/>
          <w:lang w:val="fr-CA"/>
        </w:rPr>
        <w:t>Britannique pour la prochaine étape de l’instruction de la requête si cela s’avère nécessaire.</w:t>
      </w:r>
    </w:p>
    <w:p w:rsidR="004B15C3" w:rsidRPr="00131B59" w:rsidRDefault="004B15C3" w:rsidP="004B15C3">
      <w:pPr>
        <w:pStyle w:val="Title1LevelTitre1Niveau-AltL"/>
        <w:widowControl w:val="0"/>
        <w:numPr>
          <w:ilvl w:val="0"/>
          <w:numId w:val="8"/>
        </w:numPr>
        <w:rPr>
          <w:rFonts w:cs="Times New Roman"/>
          <w:lang w:val="fr-CA"/>
        </w:rPr>
      </w:pPr>
      <w:r w:rsidRPr="00131B59">
        <w:rPr>
          <w:rFonts w:cs="Times New Roman"/>
          <w:lang w:val="fr-CA"/>
        </w:rPr>
        <w:t>Dépens</w:t>
      </w:r>
    </w:p>
    <w:p w:rsidR="004B15C3" w:rsidRPr="00131B59" w:rsidRDefault="004B15C3" w:rsidP="004B15C3">
      <w:pPr>
        <w:pStyle w:val="ParaNoNdepar-AltN"/>
        <w:widowControl w:val="0"/>
        <w:rPr>
          <w:rFonts w:cs="Times New Roman"/>
          <w:iCs/>
          <w:lang w:val="fr-CA"/>
        </w:rPr>
      </w:pPr>
      <w:r w:rsidRPr="00131B59">
        <w:rPr>
          <w:rFonts w:cs="Times New Roman"/>
          <w:lang w:val="fr-CA"/>
        </w:rPr>
        <w:t xml:space="preserve">Le juge a accordé des dépens spéciaux aux Parents </w:t>
      </w:r>
      <w:r w:rsidRPr="00131B59">
        <w:rPr>
          <w:rFonts w:cs="Times New Roman"/>
          <w:iCs/>
          <w:lang w:val="fr-CA"/>
        </w:rPr>
        <w:t>devant toutes les cours et au CSF pour toutes les procédures en cours le 4</w:t>
      </w:r>
      <w:r w:rsidR="00225C08">
        <w:rPr>
          <w:rFonts w:cs="Times New Roman"/>
          <w:iCs/>
          <w:lang w:val="fr-CA"/>
        </w:rPr>
        <w:t xml:space="preserve"> </w:t>
      </w:r>
      <w:r w:rsidRPr="00131B59">
        <w:rPr>
          <w:rFonts w:cs="Times New Roman"/>
          <w:iCs/>
          <w:lang w:val="fr-CA"/>
        </w:rPr>
        <w:t>novembre 2011 ou après cette date. Il l’a fait pour le motif que les Parents et le CSF étaient des parties à un litige d’intérêt public qui ont eu gain de cause.</w:t>
      </w:r>
      <w:r w:rsidRPr="00131B59">
        <w:rPr>
          <w:rFonts w:cs="Times New Roman"/>
          <w:lang w:val="fr-CA"/>
        </w:rPr>
        <w:t xml:space="preserve"> La Cour d’appel a annulé </w:t>
      </w:r>
      <w:r w:rsidRPr="00131B59">
        <w:rPr>
          <w:rFonts w:cs="Times New Roman"/>
          <w:iCs/>
          <w:lang w:val="fr-CA"/>
        </w:rPr>
        <w:t>l’adjudication des dépens spéciaux parce que les Parents et le CSF n’avaient plus gain de cause. Comme la Cour rétablit le jugement déclaratoire du juge, sauf erreur de principe ou attribution de dépens nettement erronée, son adjudication de dépens spéciaux doit aussi être rétablie</w:t>
      </w:r>
      <w:r w:rsidR="00225C08">
        <w:rPr>
          <w:rFonts w:cs="Times New Roman"/>
          <w:iCs/>
          <w:lang w:val="fr-CA"/>
        </w:rPr>
        <w:t> :</w:t>
      </w:r>
      <w:r w:rsidRPr="00131B59">
        <w:rPr>
          <w:rFonts w:cs="Times New Roman"/>
          <w:iCs/>
          <w:lang w:val="fr-CA"/>
        </w:rPr>
        <w:t xml:space="preserve"> voir </w:t>
      </w:r>
      <w:r w:rsidRPr="00131B59">
        <w:rPr>
          <w:rFonts w:cs="Times New Roman"/>
          <w:i/>
          <w:iCs/>
          <w:lang w:val="fr-CA"/>
        </w:rPr>
        <w:t>Hamilton c. Open Window Bakery Ltd.</w:t>
      </w:r>
      <w:r w:rsidRPr="00131B59">
        <w:rPr>
          <w:rFonts w:cs="Times New Roman"/>
          <w:iCs/>
          <w:lang w:val="fr-CA"/>
        </w:rPr>
        <w:t>, 2004 CSC 9, [2004] 1 R.C.S. 303, par.</w:t>
      </w:r>
      <w:r w:rsidR="00225C08">
        <w:rPr>
          <w:rFonts w:cs="Times New Roman"/>
          <w:iCs/>
          <w:lang w:val="fr-CA"/>
        </w:rPr>
        <w:t xml:space="preserve"> </w:t>
      </w:r>
      <w:r w:rsidRPr="00131B59">
        <w:rPr>
          <w:rFonts w:cs="Times New Roman"/>
          <w:iCs/>
          <w:lang w:val="fr-CA"/>
        </w:rPr>
        <w:t>27.</w:t>
      </w:r>
    </w:p>
    <w:p w:rsidR="004B15C3" w:rsidRPr="00131B59" w:rsidRDefault="004B15C3" w:rsidP="004B15C3">
      <w:pPr>
        <w:pStyle w:val="ParaNoNdepar-AltN"/>
        <w:widowControl w:val="0"/>
        <w:rPr>
          <w:rFonts w:cs="Times New Roman"/>
          <w:lang w:val="fr-CA"/>
        </w:rPr>
      </w:pPr>
      <w:r w:rsidRPr="00131B59">
        <w:rPr>
          <w:rFonts w:cs="Times New Roman"/>
          <w:iCs/>
          <w:lang w:val="fr-CA"/>
        </w:rPr>
        <w:t xml:space="preserve">Comme la Cour l’a récemment souligné dans l’arrêt </w:t>
      </w:r>
      <w:r w:rsidRPr="00131B59">
        <w:rPr>
          <w:rFonts w:cs="Times New Roman"/>
          <w:i/>
          <w:iCs/>
          <w:lang w:val="fr-CA"/>
        </w:rPr>
        <w:t>Carter c. Can</w:t>
      </w:r>
      <w:r w:rsidRPr="00131B59">
        <w:rPr>
          <w:rFonts w:cs="Times New Roman"/>
          <w:i/>
          <w:lang w:val="fr-CA"/>
        </w:rPr>
        <w:t>ada (Procureur général)</w:t>
      </w:r>
      <w:r w:rsidRPr="00131B59">
        <w:rPr>
          <w:rFonts w:cs="Times New Roman"/>
          <w:lang w:val="fr-CA"/>
        </w:rPr>
        <w:t xml:space="preserve">, 2015 CSC 5, </w:t>
      </w:r>
      <w:r w:rsidR="005A7CB9">
        <w:rPr>
          <w:rFonts w:cs="Times New Roman"/>
          <w:lang w:val="fr-CA"/>
        </w:rPr>
        <w:t xml:space="preserve">[2015] 1 R.C.S. 331, </w:t>
      </w:r>
      <w:r w:rsidRPr="00131B59">
        <w:rPr>
          <w:rFonts w:cs="Times New Roman"/>
          <w:lang w:val="fr-CA"/>
        </w:rPr>
        <w:t>la norme d’octroi de dépens spéciaux est élevée; seuls des cas exceptionnels justifient pareil traitement</w:t>
      </w:r>
      <w:r>
        <w:rPr>
          <w:rFonts w:cs="Times New Roman"/>
          <w:lang w:val="fr-CA"/>
        </w:rPr>
        <w:t xml:space="preserve"> </w:t>
      </w:r>
      <w:r w:rsidRPr="00131B59">
        <w:rPr>
          <w:rFonts w:cs="Times New Roman"/>
          <w:lang w:val="fr-CA"/>
        </w:rPr>
        <w:t>(par.</w:t>
      </w:r>
      <w:r w:rsidR="00225C08">
        <w:rPr>
          <w:rFonts w:cs="Times New Roman"/>
          <w:lang w:val="fr-CA"/>
        </w:rPr>
        <w:t xml:space="preserve"> </w:t>
      </w:r>
      <w:r w:rsidRPr="00131B59">
        <w:rPr>
          <w:rFonts w:cs="Times New Roman"/>
          <w:lang w:val="fr-CA"/>
        </w:rPr>
        <w:t xml:space="preserve">139). La Cour a affirmé que le critère relatif aux dépens spéciaux était une modification du critère applicable à la provision pour frais énoncé dans </w:t>
      </w:r>
      <w:r w:rsidRPr="00131B59">
        <w:rPr>
          <w:rFonts w:cs="Times New Roman"/>
          <w:i/>
          <w:lang w:val="fr-CA"/>
        </w:rPr>
        <w:t>Colombie</w:t>
      </w:r>
      <w:r w:rsidR="00225C08">
        <w:rPr>
          <w:rFonts w:cs="Times New Roman"/>
          <w:i/>
          <w:lang w:val="fr-CA"/>
        </w:rPr>
        <w:t>-</w:t>
      </w:r>
      <w:r w:rsidRPr="00131B59">
        <w:rPr>
          <w:rFonts w:cs="Times New Roman"/>
          <w:i/>
          <w:lang w:val="fr-CA"/>
        </w:rPr>
        <w:t>Britannique (Ministre des Forêts) c. Bande indienne Okanagan</w:t>
      </w:r>
      <w:r w:rsidRPr="00131B59">
        <w:rPr>
          <w:rFonts w:cs="Times New Roman"/>
          <w:lang w:val="fr-CA"/>
        </w:rPr>
        <w:t xml:space="preserve">, 2003 CSC 71, [2003] R.C.S. 371. Le critère d’octroi de dépens spéciaux établi dans </w:t>
      </w:r>
      <w:r w:rsidRPr="00131B59">
        <w:rPr>
          <w:rFonts w:cs="Times New Roman"/>
          <w:i/>
          <w:lang w:val="fr-CA"/>
        </w:rPr>
        <w:t>Carter</w:t>
      </w:r>
      <w:r w:rsidRPr="00131B59">
        <w:rPr>
          <w:rFonts w:cs="Times New Roman"/>
          <w:lang w:val="fr-CA"/>
        </w:rPr>
        <w:t xml:space="preserve"> comporte deux conditions</w:t>
      </w:r>
      <w:r w:rsidR="00225C08">
        <w:rPr>
          <w:rFonts w:cs="Times New Roman"/>
          <w:lang w:val="fr-CA"/>
        </w:rPr>
        <w:t> :</w:t>
      </w:r>
      <w:r w:rsidRPr="00131B59">
        <w:rPr>
          <w:rFonts w:cs="Times New Roman"/>
          <w:lang w:val="fr-CA"/>
        </w:rPr>
        <w:t xml:space="preserve"> </w:t>
      </w:r>
    </w:p>
    <w:p w:rsidR="004B15C3" w:rsidRPr="00131B59" w:rsidRDefault="004B15C3" w:rsidP="004B15C3">
      <w:pPr>
        <w:pStyle w:val="Citation-AltC"/>
        <w:widowControl w:val="0"/>
        <w:spacing w:after="240"/>
        <w:ind w:left="1168" w:hanging="1166"/>
        <w:contextualSpacing w:val="0"/>
        <w:rPr>
          <w:lang w:val="fr-CA"/>
        </w:rPr>
      </w:pPr>
      <w:r w:rsidRPr="00131B59">
        <w:rPr>
          <w:lang w:val="fr-CA"/>
        </w:rPr>
        <w:lastRenderedPageBreak/>
        <w:tab/>
        <w:t>Premièrement, l’affaire doit porter sur des questions d’intérêt public véritablement exceptionnelles. Il ne suffit pas que les questions soulevées n’aient pas encore été tranchées ou qu’elles dépassent le cadre des intérêts du plaideur qui a gain de cause</w:t>
      </w:r>
      <w:r w:rsidR="00225C08">
        <w:rPr>
          <w:lang w:val="fr-CA"/>
        </w:rPr>
        <w:t> :</w:t>
      </w:r>
      <w:r w:rsidRPr="00131B59">
        <w:rPr>
          <w:lang w:val="fr-CA"/>
        </w:rPr>
        <w:t xml:space="preserve"> elles doivent aussi avoir une incidence importante et généralisée sur la société. Deuxièmement, en plus de démontrer qu’ils n’ont dans le litige aucun intérêt personnel, propriétal ou pécuniaire qui justifierait l’instance pour des raisons d’ordre économique, les demandeurs doivent démontrer qu’il n’aurait pas été possible de poursuivre l’instance en question a</w:t>
      </w:r>
      <w:r w:rsidR="00927F61">
        <w:rPr>
          <w:lang w:val="fr-CA"/>
        </w:rPr>
        <w:t>vec une aide financière privée</w:t>
      </w:r>
      <w:r w:rsidR="00225C08">
        <w:rPr>
          <w:lang w:val="fr-CA"/>
        </w:rPr>
        <w:t>. . .</w:t>
      </w:r>
      <w:r w:rsidRPr="00131B59">
        <w:rPr>
          <w:lang w:val="fr-CA"/>
        </w:rPr>
        <w:t xml:space="preserve"> </w:t>
      </w:r>
    </w:p>
    <w:p w:rsidR="004B15C3" w:rsidRPr="00131B59" w:rsidRDefault="004B15C3" w:rsidP="004B15C3">
      <w:pPr>
        <w:pStyle w:val="Citation-AltC"/>
        <w:widowControl w:val="0"/>
        <w:tabs>
          <w:tab w:val="left" w:pos="1440"/>
        </w:tabs>
        <w:ind w:hanging="1166"/>
        <w:contextualSpacing w:val="0"/>
        <w:rPr>
          <w:lang w:val="fr-CA"/>
        </w:rPr>
      </w:pPr>
      <w:r w:rsidRPr="00131B59">
        <w:rPr>
          <w:lang w:val="fr-CA"/>
        </w:rPr>
        <w:tab/>
      </w:r>
      <w:r w:rsidRPr="00131B59">
        <w:rPr>
          <w:lang w:val="fr-CA"/>
        </w:rPr>
        <w:tab/>
        <w:t>Lorsque ces critères sont respectés, le tribunal a le pouvoir discrétionnaire de déroger à la règle habituelle en matière de dépens et d’octroyer des dépens spéciaux. [par.</w:t>
      </w:r>
      <w:r w:rsidR="00225C08">
        <w:rPr>
          <w:lang w:val="fr-CA"/>
        </w:rPr>
        <w:t xml:space="preserve"> </w:t>
      </w:r>
      <w:r w:rsidRPr="00131B59">
        <w:rPr>
          <w:lang w:val="fr-CA"/>
        </w:rPr>
        <w:t>140 et 141]</w:t>
      </w:r>
    </w:p>
    <w:p w:rsidR="004B15C3" w:rsidRPr="00131B59" w:rsidRDefault="004B15C3" w:rsidP="004B15C3">
      <w:pPr>
        <w:pStyle w:val="ContinueParaSuitedupar-AltP"/>
        <w:widowControl w:val="0"/>
        <w:rPr>
          <w:rFonts w:cs="Times New Roman"/>
          <w:lang w:val="fr-CA"/>
        </w:rPr>
      </w:pPr>
      <w:r w:rsidRPr="00131B59">
        <w:rPr>
          <w:rFonts w:cs="Times New Roman"/>
          <w:lang w:val="fr-CA"/>
        </w:rPr>
        <w:t xml:space="preserve">La Cour a ajouté que seuls les frais dont on établit le caractère </w:t>
      </w:r>
      <w:r w:rsidR="00225C08">
        <w:rPr>
          <w:rFonts w:cs="Times New Roman"/>
          <w:lang w:val="fr-CA"/>
        </w:rPr>
        <w:t>« </w:t>
      </w:r>
      <w:r w:rsidRPr="00131B59">
        <w:rPr>
          <w:rFonts w:cs="Times New Roman"/>
          <w:lang w:val="fr-CA"/>
        </w:rPr>
        <w:t>raisonnable et prudent</w:t>
      </w:r>
      <w:r w:rsidR="00225C08">
        <w:rPr>
          <w:rFonts w:cs="Times New Roman"/>
          <w:lang w:val="fr-CA"/>
        </w:rPr>
        <w:t> »</w:t>
      </w:r>
      <w:r w:rsidRPr="00131B59">
        <w:rPr>
          <w:rFonts w:cs="Times New Roman"/>
          <w:lang w:val="fr-CA"/>
        </w:rPr>
        <w:t xml:space="preserve"> seront couverts par les dépens spéciaux</w:t>
      </w:r>
      <w:r w:rsidR="00225C08">
        <w:rPr>
          <w:rFonts w:cs="Times New Roman"/>
          <w:lang w:val="fr-CA"/>
        </w:rPr>
        <w:t xml:space="preserve"> </w:t>
      </w:r>
      <w:r w:rsidRPr="00131B59">
        <w:rPr>
          <w:rFonts w:cs="Times New Roman"/>
          <w:lang w:val="fr-CA"/>
        </w:rPr>
        <w:t>(par.</w:t>
      </w:r>
      <w:r w:rsidR="00225C08">
        <w:rPr>
          <w:rFonts w:cs="Times New Roman"/>
          <w:lang w:val="fr-CA"/>
        </w:rPr>
        <w:t xml:space="preserve"> </w:t>
      </w:r>
      <w:r w:rsidRPr="00131B59">
        <w:rPr>
          <w:rFonts w:cs="Times New Roman"/>
          <w:lang w:val="fr-CA"/>
        </w:rPr>
        <w:t>142).</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En l’espèce, le juge ne disposait pas de la décision de la Cour dans </w:t>
      </w:r>
      <w:r w:rsidRPr="00131B59">
        <w:rPr>
          <w:rFonts w:cs="Times New Roman"/>
          <w:i/>
          <w:lang w:val="fr-CA"/>
        </w:rPr>
        <w:t>Carter</w:t>
      </w:r>
      <w:r w:rsidRPr="00131B59">
        <w:rPr>
          <w:rFonts w:cs="Times New Roman"/>
          <w:lang w:val="fr-CA"/>
        </w:rPr>
        <w:t xml:space="preserve">, mais ses motifs concernant les dépens démontrent qu’il était sensible aux considérations exposées dans cet arrêt. Il était aussi manifestement conscient du caractère exceptionnel de l’octroi de ces dépens, comme en fait foi son utilisation fréquente des mots </w:t>
      </w:r>
      <w:r w:rsidR="00225C08">
        <w:rPr>
          <w:rFonts w:cs="Times New Roman"/>
          <w:lang w:val="fr-CA"/>
        </w:rPr>
        <w:t>« </w:t>
      </w:r>
      <w:r w:rsidRPr="00131B59">
        <w:rPr>
          <w:rFonts w:cs="Times New Roman"/>
          <w:lang w:val="fr-CA"/>
        </w:rPr>
        <w:t>exceptionnel</w:t>
      </w:r>
      <w:r w:rsidR="00225C08">
        <w:rPr>
          <w:rFonts w:cs="Times New Roman"/>
          <w:lang w:val="fr-CA"/>
        </w:rPr>
        <w:t> »</w:t>
      </w:r>
      <w:r w:rsidRPr="00131B59">
        <w:rPr>
          <w:rFonts w:cs="Times New Roman"/>
          <w:lang w:val="fr-CA"/>
        </w:rPr>
        <w:t xml:space="preserve"> et </w:t>
      </w:r>
      <w:r w:rsidR="00225C08">
        <w:rPr>
          <w:rFonts w:cs="Times New Roman"/>
          <w:lang w:val="fr-CA"/>
        </w:rPr>
        <w:t>« </w:t>
      </w:r>
      <w:r w:rsidRPr="00131B59">
        <w:rPr>
          <w:rFonts w:cs="Times New Roman"/>
          <w:lang w:val="fr-CA"/>
        </w:rPr>
        <w:t>exception</w:t>
      </w:r>
      <w:r w:rsidR="00225C08">
        <w:rPr>
          <w:rFonts w:cs="Times New Roman"/>
          <w:lang w:val="fr-CA"/>
        </w:rPr>
        <w:t> »</w:t>
      </w:r>
      <w:r w:rsidRPr="00131B59">
        <w:rPr>
          <w:rFonts w:cs="Times New Roman"/>
          <w:lang w:val="fr-CA"/>
        </w:rPr>
        <w:t xml:space="preserve"> dans ses motifs. </w:t>
      </w:r>
    </w:p>
    <w:p w:rsidR="004B15C3" w:rsidRPr="00131B59" w:rsidRDefault="004B15C3" w:rsidP="004B15C3">
      <w:pPr>
        <w:pStyle w:val="ParaNoNdepar-AltN"/>
        <w:widowControl w:val="0"/>
        <w:rPr>
          <w:rFonts w:cs="Times New Roman"/>
          <w:lang w:val="fr-CA"/>
        </w:rPr>
      </w:pPr>
      <w:r w:rsidRPr="00131B59">
        <w:rPr>
          <w:rFonts w:cs="Times New Roman"/>
          <w:lang w:val="fr-CA"/>
        </w:rPr>
        <w:t>Le juge a conclu que l’affaire dont il était saisi avait une incidence importante et généralisée sur la société</w:t>
      </w:r>
      <w:r w:rsidR="00225C08">
        <w:rPr>
          <w:rFonts w:cs="Times New Roman"/>
          <w:lang w:val="fr-CA"/>
        </w:rPr>
        <w:t> :</w:t>
      </w:r>
      <w:r w:rsidRPr="00131B59">
        <w:rPr>
          <w:rFonts w:cs="Times New Roman"/>
          <w:lang w:val="fr-CA"/>
        </w:rPr>
        <w:t xml:space="preserve"> </w:t>
      </w:r>
    </w:p>
    <w:p w:rsidR="004B15C3" w:rsidRPr="00131B59" w:rsidRDefault="004B15C3" w:rsidP="004B15C3">
      <w:pPr>
        <w:pStyle w:val="Citation-AltC"/>
        <w:widowControl w:val="0"/>
        <w:ind w:hanging="1166"/>
        <w:contextualSpacing w:val="0"/>
        <w:rPr>
          <w:lang w:val="fr-CA"/>
        </w:rPr>
      </w:pPr>
      <w:r w:rsidRPr="00131B59">
        <w:rPr>
          <w:lang w:val="fr-CA"/>
        </w:rPr>
        <w:tab/>
        <w:t>[</w:t>
      </w:r>
      <w:r w:rsidRPr="00131B59">
        <w:rPr>
          <w:smallCaps/>
          <w:lang w:val="fr-CA"/>
        </w:rPr>
        <w:t>traduction</w:t>
      </w:r>
      <w:r w:rsidRPr="00131B59">
        <w:rPr>
          <w:lang w:val="fr-CA"/>
        </w:rPr>
        <w:t xml:space="preserve">]  Les questions revêtaient une importance pour le public puisqu’elles portaient sur des principes constitutionnels et le caractère suffisant des mesures prises pour protéger la culture de la minorité linguistique, ce que l’on considère comme un objectif important pour tous les Canadiens et les Canadiennes, vu sa place dans la </w:t>
      </w:r>
      <w:r w:rsidRPr="00131B59">
        <w:rPr>
          <w:i/>
          <w:lang w:val="fr-CA"/>
        </w:rPr>
        <w:t>Charte</w:t>
      </w:r>
      <w:r w:rsidRPr="00131B59">
        <w:rPr>
          <w:lang w:val="fr-CA"/>
        </w:rPr>
        <w:t xml:space="preserve">. L’affaire fait donc intervenir des valeurs et des politiques sociales fondamentales. </w:t>
      </w:r>
      <w:r w:rsidRPr="00131B59">
        <w:rPr>
          <w:lang w:val="fr-CA"/>
        </w:rPr>
        <w:lastRenderedPageBreak/>
        <w:t>[2013 BCSC 1111, par.</w:t>
      </w:r>
      <w:r w:rsidR="00225C08">
        <w:rPr>
          <w:lang w:val="fr-CA"/>
        </w:rPr>
        <w:t xml:space="preserve"> </w:t>
      </w:r>
      <w:r w:rsidRPr="00131B59">
        <w:rPr>
          <w:lang w:val="fr-CA"/>
        </w:rPr>
        <w:t>72]</w:t>
      </w:r>
    </w:p>
    <w:p w:rsidR="004B15C3" w:rsidRPr="00131B59" w:rsidRDefault="004B15C3" w:rsidP="004B15C3">
      <w:pPr>
        <w:pStyle w:val="ContinueParaSuitedupar-AltP"/>
        <w:widowControl w:val="0"/>
        <w:rPr>
          <w:rFonts w:cs="Times New Roman"/>
          <w:lang w:val="fr-CA"/>
        </w:rPr>
      </w:pPr>
      <w:r w:rsidRPr="00131B59">
        <w:rPr>
          <w:rFonts w:cs="Times New Roman"/>
          <w:lang w:val="fr-CA"/>
        </w:rPr>
        <w:t xml:space="preserve">Comme l’exige l’arrêt </w:t>
      </w:r>
      <w:r w:rsidRPr="00131B59">
        <w:rPr>
          <w:rFonts w:cs="Times New Roman"/>
          <w:i/>
          <w:lang w:val="fr-CA"/>
        </w:rPr>
        <w:t>Carter</w:t>
      </w:r>
      <w:r w:rsidRPr="00131B59">
        <w:rPr>
          <w:rFonts w:cs="Times New Roman"/>
          <w:lang w:val="fr-CA"/>
        </w:rPr>
        <w:t>, ces conclusions vont au</w:t>
      </w:r>
      <w:r w:rsidR="00225C08">
        <w:rPr>
          <w:rFonts w:cs="Times New Roman"/>
          <w:lang w:val="fr-CA"/>
        </w:rPr>
        <w:t>-</w:t>
      </w:r>
      <w:r w:rsidRPr="00131B59">
        <w:rPr>
          <w:rFonts w:cs="Times New Roman"/>
          <w:lang w:val="fr-CA"/>
        </w:rPr>
        <w:t xml:space="preserve">delà des exigences fondamentales énoncées dans </w:t>
      </w:r>
      <w:r w:rsidRPr="00131B59">
        <w:rPr>
          <w:rFonts w:cs="Times New Roman"/>
          <w:i/>
          <w:lang w:val="fr-CA"/>
        </w:rPr>
        <w:t>Victoria (City) c. Adams</w:t>
      </w:r>
      <w:r w:rsidRPr="00131B59">
        <w:rPr>
          <w:rFonts w:cs="Times New Roman"/>
          <w:lang w:val="fr-CA"/>
        </w:rPr>
        <w:t>, 2009 BCCA 563, 100</w:t>
      </w:r>
      <w:r w:rsidR="00225C08">
        <w:rPr>
          <w:rFonts w:cs="Times New Roman"/>
          <w:lang w:val="fr-CA"/>
        </w:rPr>
        <w:t xml:space="preserve"> </w:t>
      </w:r>
      <w:r w:rsidRPr="00131B59">
        <w:rPr>
          <w:rFonts w:cs="Times New Roman"/>
          <w:lang w:val="fr-CA"/>
        </w:rPr>
        <w:t>B.C.L.R. (4th) 28.</w:t>
      </w:r>
    </w:p>
    <w:p w:rsidR="004B15C3" w:rsidRPr="00131B59" w:rsidRDefault="004B15C3" w:rsidP="004B15C3">
      <w:pPr>
        <w:pStyle w:val="ParaNoNdepar-AltN"/>
        <w:widowControl w:val="0"/>
        <w:rPr>
          <w:rFonts w:cs="Times New Roman"/>
          <w:lang w:val="fr-CA"/>
        </w:rPr>
      </w:pPr>
      <w:r w:rsidRPr="00131B59">
        <w:rPr>
          <w:rFonts w:cs="Times New Roman"/>
          <w:lang w:val="fr-CA"/>
        </w:rPr>
        <w:t xml:space="preserve">En outre, le juge saisi de la requête a conclu que l’intérêt des Parents et du CSF ne permettait pas de justifier l’instance pour des raisons d’ordre économique compte tenu de leurs moyens et du coût élevé du litige. En ce qui concerne la capacité des parents d’assumer les frais du litige, le juge a cité les motifs rédigés par le juge LeBel au nom de la majorité dans l’arrêt </w:t>
      </w:r>
      <w:r w:rsidRPr="00131B59">
        <w:rPr>
          <w:rFonts w:cs="Times New Roman"/>
          <w:i/>
          <w:iCs/>
          <w:lang w:val="fr-CA"/>
        </w:rPr>
        <w:t>Okanagan</w:t>
      </w:r>
      <w:r w:rsidRPr="00131B59">
        <w:rPr>
          <w:rFonts w:cs="Times New Roman"/>
          <w:iCs/>
          <w:lang w:val="fr-CA"/>
        </w:rPr>
        <w:t xml:space="preserve"> sur l’importance que les </w:t>
      </w:r>
      <w:r w:rsidRPr="00131B59">
        <w:rPr>
          <w:rFonts w:cs="Times New Roman"/>
          <w:lang w:val="fr-CA"/>
        </w:rPr>
        <w:t xml:space="preserve">parties aux ressources limitées aient accès à la justice garantie par la </w:t>
      </w:r>
      <w:r w:rsidRPr="00131B59">
        <w:rPr>
          <w:rFonts w:cs="Times New Roman"/>
          <w:i/>
          <w:lang w:val="fr-CA"/>
        </w:rPr>
        <w:t>Charte</w:t>
      </w:r>
      <w:r w:rsidR="00225C08">
        <w:rPr>
          <w:rFonts w:cs="Times New Roman"/>
          <w:lang w:val="fr-CA"/>
        </w:rPr>
        <w:t> :</w:t>
      </w:r>
      <w:r w:rsidRPr="00131B59">
        <w:rPr>
          <w:rFonts w:cs="Times New Roman"/>
          <w:lang w:val="fr-CA"/>
        </w:rPr>
        <w:t xml:space="preserve"> </w:t>
      </w:r>
    </w:p>
    <w:p w:rsidR="004B15C3" w:rsidRPr="00131B59" w:rsidRDefault="004B15C3" w:rsidP="004B15C3">
      <w:pPr>
        <w:pStyle w:val="Citation-AltC"/>
        <w:widowControl w:val="0"/>
        <w:ind w:hanging="1166"/>
        <w:contextualSpacing w:val="0"/>
        <w:rPr>
          <w:lang w:val="fr-CA"/>
        </w:rPr>
      </w:pPr>
      <w:r w:rsidRPr="00131B59">
        <w:rPr>
          <w:lang w:val="fr-CA"/>
        </w:rPr>
        <w:tab/>
        <w:t>Dans des cas spéciaux où des parties aux ressources limitées cherchent à faire respecter leurs droits constitutionnels, les tribunaux exercent souvent leur pouvoir discrétionnaire d’adjudication des dépens de façon à ne pas les mettre dans une situation difficile que pourrait causer l’application des règles traditionnelles. Ils contribuent ainsi à aider les citoyens ordinaires à avoir accès au système juridique lorsqu’ils cherchent à régler des questions qui revêtent de l’importance pour l’ensemble de la collectivité. [par.</w:t>
      </w:r>
      <w:r w:rsidR="00225C08">
        <w:rPr>
          <w:lang w:val="fr-CA"/>
        </w:rPr>
        <w:t xml:space="preserve"> </w:t>
      </w:r>
      <w:r w:rsidRPr="00131B59">
        <w:rPr>
          <w:lang w:val="fr-CA"/>
        </w:rPr>
        <w:t>27]</w:t>
      </w:r>
    </w:p>
    <w:p w:rsidR="004B15C3" w:rsidRPr="00131B59" w:rsidRDefault="004B15C3" w:rsidP="004B15C3">
      <w:pPr>
        <w:pStyle w:val="ContinueParaSuitedupar-AltP"/>
        <w:widowControl w:val="0"/>
        <w:rPr>
          <w:rFonts w:cs="Times New Roman"/>
          <w:lang w:val="fr-CA"/>
        </w:rPr>
      </w:pPr>
      <w:r w:rsidRPr="00131B59">
        <w:rPr>
          <w:rFonts w:cs="Times New Roman"/>
          <w:lang w:val="fr-CA"/>
        </w:rPr>
        <w:t>Le juge a songé à la capacité limitée des Parents d’assumer les frais de l’instance. De plus, il a souligné la capacité supérieure de la province d’assumer ces dépenses et l’incapacité du CSF de les assumer sans nuire aux élèves, et risquer du même coup d’entraîner d’autres violations de l’art.</w:t>
      </w:r>
      <w:r w:rsidR="00225C08">
        <w:rPr>
          <w:rFonts w:cs="Times New Roman"/>
          <w:lang w:val="fr-CA"/>
        </w:rPr>
        <w:t xml:space="preserve"> </w:t>
      </w:r>
      <w:r w:rsidRPr="00131B59">
        <w:rPr>
          <w:rFonts w:cs="Times New Roman"/>
          <w:lang w:val="fr-CA"/>
        </w:rPr>
        <w:t xml:space="preserve">23. Bien que, selon </w:t>
      </w:r>
      <w:r w:rsidRPr="00131B59">
        <w:rPr>
          <w:rFonts w:cs="Times New Roman"/>
          <w:i/>
          <w:lang w:val="fr-CA"/>
        </w:rPr>
        <w:t>Carter</w:t>
      </w:r>
      <w:r w:rsidRPr="00131B59">
        <w:rPr>
          <w:rFonts w:cs="Times New Roman"/>
          <w:lang w:val="fr-CA"/>
        </w:rPr>
        <w:t xml:space="preserve">, le fait que la partie déboutée soit plus en mesure de supporter le coût de l’instance ne peut en soi justifier </w:t>
      </w:r>
      <w:r w:rsidRPr="00131B59">
        <w:rPr>
          <w:rFonts w:cs="Times New Roman"/>
          <w:lang w:val="fr-CA"/>
        </w:rPr>
        <w:lastRenderedPageBreak/>
        <w:t>l’octroi de dépens spéciaux, ce fait demeure une considération pertinente</w:t>
      </w:r>
      <w:r w:rsidR="00225C08">
        <w:rPr>
          <w:rFonts w:cs="Times New Roman"/>
          <w:lang w:val="fr-CA"/>
        </w:rPr>
        <w:t> :</w:t>
      </w:r>
      <w:r w:rsidRPr="00131B59">
        <w:rPr>
          <w:rFonts w:cs="Times New Roman"/>
          <w:lang w:val="fr-CA"/>
        </w:rPr>
        <w:t xml:space="preserve"> </w:t>
      </w:r>
      <w:r w:rsidRPr="00131B59">
        <w:rPr>
          <w:rFonts w:cs="Times New Roman"/>
          <w:i/>
          <w:lang w:val="fr-CA"/>
        </w:rPr>
        <w:t>Carter</w:t>
      </w:r>
      <w:r w:rsidRPr="00131B59">
        <w:rPr>
          <w:rFonts w:cs="Times New Roman"/>
          <w:lang w:val="fr-CA"/>
        </w:rPr>
        <w:t>, par.</w:t>
      </w:r>
      <w:r w:rsidR="00225C08">
        <w:rPr>
          <w:rFonts w:cs="Times New Roman"/>
          <w:lang w:val="fr-CA"/>
        </w:rPr>
        <w:t xml:space="preserve"> </w:t>
      </w:r>
      <w:r w:rsidRPr="00131B59">
        <w:rPr>
          <w:rFonts w:cs="Times New Roman"/>
          <w:lang w:val="fr-CA"/>
        </w:rPr>
        <w:t>137.</w:t>
      </w:r>
    </w:p>
    <w:p w:rsidR="004B15C3" w:rsidRPr="00131B59" w:rsidRDefault="004B15C3" w:rsidP="004B15C3">
      <w:pPr>
        <w:pStyle w:val="ParaNoNdepar-AltN"/>
        <w:widowControl w:val="0"/>
        <w:rPr>
          <w:rFonts w:cs="Times New Roman"/>
          <w:lang w:val="fr-CA"/>
        </w:rPr>
      </w:pPr>
      <w:r w:rsidRPr="00131B59">
        <w:rPr>
          <w:rFonts w:cs="Times New Roman"/>
          <w:lang w:val="fr-CA"/>
        </w:rPr>
        <w:t>Le type de litige en cause dans le présent pourvoi est inhabituel. L’article</w:t>
      </w:r>
      <w:r w:rsidR="00225C08">
        <w:rPr>
          <w:rFonts w:cs="Times New Roman"/>
          <w:lang w:val="fr-CA"/>
        </w:rPr>
        <w:t xml:space="preserve"> </w:t>
      </w:r>
      <w:r w:rsidRPr="00131B59">
        <w:rPr>
          <w:rFonts w:cs="Times New Roman"/>
          <w:lang w:val="fr-CA"/>
        </w:rPr>
        <w:t>23 reconnaissait déjà aux Parents un droit à l’instruction dans la langue de la minorité, et leur requête avait pour principal objet de contraindre la Province et le CSF à s’acquitter des obligations existantes. Ce processus a soulevé de nouvelles questions de droit en ce qui a trait à l’analyse de l’équivalence faite en application de l’art.</w:t>
      </w:r>
      <w:r w:rsidR="00225C08">
        <w:rPr>
          <w:rFonts w:cs="Times New Roman"/>
          <w:lang w:val="fr-CA"/>
        </w:rPr>
        <w:t xml:space="preserve"> </w:t>
      </w:r>
      <w:r w:rsidRPr="00131B59">
        <w:rPr>
          <w:rFonts w:cs="Times New Roman"/>
          <w:lang w:val="fr-CA"/>
        </w:rPr>
        <w:t>23. En sollicitant un simple jugement déclarant qu’il n’y avait pas équivalence au sens de l’art.</w:t>
      </w:r>
      <w:r w:rsidR="00225C08">
        <w:rPr>
          <w:rFonts w:cs="Times New Roman"/>
          <w:lang w:val="fr-CA"/>
        </w:rPr>
        <w:t xml:space="preserve"> </w:t>
      </w:r>
      <w:r w:rsidRPr="00131B59">
        <w:rPr>
          <w:rFonts w:cs="Times New Roman"/>
          <w:lang w:val="fr-CA"/>
        </w:rPr>
        <w:t>23, sans chercher à obtenir au départ une réparation concrète, les Parents souhaitaient de toute évidence régler certaines questions à l’extérieur de la salle d’audience, en négociant avec la Province et le CSF.</w:t>
      </w:r>
    </w:p>
    <w:p w:rsidR="004B15C3" w:rsidRPr="00131B59" w:rsidRDefault="004B15C3" w:rsidP="004B15C3">
      <w:pPr>
        <w:pStyle w:val="ParaNoNdepar-AltN"/>
        <w:widowControl w:val="0"/>
        <w:rPr>
          <w:rFonts w:cs="Times New Roman"/>
        </w:rPr>
      </w:pPr>
      <w:r w:rsidRPr="00131B59">
        <w:rPr>
          <w:rFonts w:cs="Times New Roman"/>
          <w:lang w:val="fr-CA"/>
        </w:rPr>
        <w:t>Même s’il est abordé de manière aussi concentrée, un litige de cette nature demeure un lourd fardeau pour un petit groupe de parents. C’est pour cette raison que les tribunaux ont, par le passé, accordé des dépens spéciaux dans des affaires de violations de l’art.</w:t>
      </w:r>
      <w:r w:rsidR="00225C08">
        <w:rPr>
          <w:rFonts w:cs="Times New Roman"/>
          <w:lang w:val="fr-CA"/>
        </w:rPr>
        <w:t xml:space="preserve"> </w:t>
      </w:r>
      <w:r w:rsidRPr="00131B59">
        <w:rPr>
          <w:rFonts w:cs="Times New Roman"/>
          <w:lang w:val="fr-CA"/>
        </w:rPr>
        <w:t>23 où les titulaires de droits avaient déployé des efforts soutenus afin de signaler ces violations au gouvernement avant d’intenter des poursuites</w:t>
      </w:r>
      <w:r w:rsidR="00225C08">
        <w:rPr>
          <w:rFonts w:cs="Times New Roman"/>
          <w:lang w:val="fr-CA"/>
        </w:rPr>
        <w:t> :</w:t>
      </w:r>
      <w:r w:rsidRPr="00131B59">
        <w:rPr>
          <w:rFonts w:cs="Times New Roman"/>
          <w:lang w:val="fr-CA"/>
        </w:rPr>
        <w:t xml:space="preserve"> voir </w:t>
      </w:r>
      <w:r w:rsidRPr="00131B59">
        <w:rPr>
          <w:rFonts w:cs="Times New Roman"/>
          <w:i/>
          <w:lang w:val="fr-CA"/>
        </w:rPr>
        <w:t>Doucet</w:t>
      </w:r>
      <w:r w:rsidR="00225C08">
        <w:rPr>
          <w:rFonts w:cs="Times New Roman"/>
          <w:i/>
          <w:lang w:val="fr-CA"/>
        </w:rPr>
        <w:t>-</w:t>
      </w:r>
      <w:r w:rsidRPr="00131B59">
        <w:rPr>
          <w:rFonts w:cs="Times New Roman"/>
          <w:i/>
          <w:lang w:val="fr-CA"/>
        </w:rPr>
        <w:t>Boudreau</w:t>
      </w:r>
      <w:r w:rsidRPr="00131B59">
        <w:rPr>
          <w:rFonts w:cs="Times New Roman"/>
          <w:lang w:val="fr-CA"/>
        </w:rPr>
        <w:t>, par.</w:t>
      </w:r>
      <w:r w:rsidR="00225C08">
        <w:rPr>
          <w:rFonts w:cs="Times New Roman"/>
          <w:lang w:val="fr-CA"/>
        </w:rPr>
        <w:t xml:space="preserve"> </w:t>
      </w:r>
      <w:r w:rsidRPr="00131B59">
        <w:rPr>
          <w:rFonts w:cs="Times New Roman"/>
          <w:lang w:val="fr-CA"/>
        </w:rPr>
        <w:t>90;</w:t>
      </w:r>
      <w:r w:rsidRPr="00131B59">
        <w:rPr>
          <w:rFonts w:cs="Times New Roman"/>
          <w:spacing w:val="-8"/>
          <w:lang w:val="fr-CA"/>
        </w:rPr>
        <w:t xml:space="preserve"> </w:t>
      </w:r>
      <w:r w:rsidRPr="00131B59">
        <w:rPr>
          <w:rFonts w:cs="Times New Roman"/>
          <w:i/>
          <w:lang w:val="fr-CA"/>
        </w:rPr>
        <w:t>Arsenault</w:t>
      </w:r>
      <w:r w:rsidR="00225C08">
        <w:rPr>
          <w:rFonts w:cs="Times New Roman"/>
          <w:i/>
          <w:lang w:val="fr-CA"/>
        </w:rPr>
        <w:t>-</w:t>
      </w:r>
      <w:r w:rsidRPr="00131B59">
        <w:rPr>
          <w:rFonts w:cs="Times New Roman"/>
          <w:i/>
          <w:lang w:val="fr-CA"/>
        </w:rPr>
        <w:t>Cameron</w:t>
      </w:r>
      <w:r w:rsidRPr="00131B59">
        <w:rPr>
          <w:rFonts w:cs="Times New Roman"/>
          <w:lang w:val="fr-CA"/>
        </w:rPr>
        <w:t>,</w:t>
      </w:r>
      <w:r w:rsidRPr="00131B59">
        <w:rPr>
          <w:rFonts w:cs="Times New Roman"/>
          <w:spacing w:val="-4"/>
          <w:lang w:val="fr-CA"/>
        </w:rPr>
        <w:t xml:space="preserve"> </w:t>
      </w:r>
      <w:r w:rsidRPr="00131B59">
        <w:rPr>
          <w:rFonts w:cs="Times New Roman"/>
          <w:lang w:val="fr-CA"/>
        </w:rPr>
        <w:t>par.</w:t>
      </w:r>
      <w:r w:rsidR="00225C08">
        <w:rPr>
          <w:rFonts w:cs="Times New Roman"/>
          <w:lang w:val="fr-CA"/>
        </w:rPr>
        <w:t xml:space="preserve"> </w:t>
      </w:r>
      <w:r w:rsidRPr="00131B59">
        <w:rPr>
          <w:rFonts w:cs="Times New Roman"/>
          <w:lang w:val="fr-CA"/>
        </w:rPr>
        <w:t>63;</w:t>
      </w:r>
      <w:r w:rsidRPr="00131B59">
        <w:rPr>
          <w:rFonts w:cs="Times New Roman"/>
          <w:spacing w:val="70"/>
          <w:w w:val="99"/>
          <w:lang w:val="fr-CA"/>
        </w:rPr>
        <w:t xml:space="preserve"> </w:t>
      </w:r>
      <w:r w:rsidRPr="00131B59">
        <w:rPr>
          <w:rFonts w:cs="Times New Roman"/>
          <w:i/>
          <w:lang w:val="fr-CA"/>
        </w:rPr>
        <w:t>Arsenault</w:t>
      </w:r>
      <w:r w:rsidR="00225C08">
        <w:rPr>
          <w:rFonts w:cs="Times New Roman"/>
          <w:i/>
          <w:lang w:val="fr-CA"/>
        </w:rPr>
        <w:t>-</w:t>
      </w:r>
      <w:r w:rsidRPr="00131B59">
        <w:rPr>
          <w:rFonts w:cs="Times New Roman"/>
          <w:i/>
          <w:lang w:val="fr-CA"/>
        </w:rPr>
        <w:t>Cameron</w:t>
      </w:r>
      <w:r w:rsidRPr="00131B59">
        <w:rPr>
          <w:rFonts w:cs="Times New Roman"/>
          <w:i/>
          <w:spacing w:val="-6"/>
          <w:lang w:val="fr-CA"/>
        </w:rPr>
        <w:t xml:space="preserve"> </w:t>
      </w:r>
      <w:r w:rsidRPr="00131B59">
        <w:rPr>
          <w:rFonts w:cs="Times New Roman"/>
          <w:i/>
          <w:lang w:val="fr-CA"/>
        </w:rPr>
        <w:t>c.</w:t>
      </w:r>
      <w:r w:rsidRPr="00131B59">
        <w:rPr>
          <w:rFonts w:cs="Times New Roman"/>
          <w:i/>
          <w:spacing w:val="-5"/>
          <w:lang w:val="fr-CA"/>
        </w:rPr>
        <w:t xml:space="preserve"> </w:t>
      </w:r>
      <w:r w:rsidRPr="00131B59">
        <w:rPr>
          <w:rFonts w:cs="Times New Roman"/>
          <w:i/>
          <w:lang w:val="fr-CA"/>
        </w:rPr>
        <w:t>Prince</w:t>
      </w:r>
      <w:r w:rsidRPr="00131B59">
        <w:rPr>
          <w:rFonts w:cs="Times New Roman"/>
          <w:i/>
          <w:spacing w:val="-6"/>
          <w:lang w:val="fr-CA"/>
        </w:rPr>
        <w:t xml:space="preserve"> </w:t>
      </w:r>
      <w:r w:rsidRPr="00131B59">
        <w:rPr>
          <w:rFonts w:cs="Times New Roman"/>
          <w:i/>
          <w:lang w:val="fr-CA"/>
        </w:rPr>
        <w:t>Edward</w:t>
      </w:r>
      <w:r w:rsidRPr="00131B59">
        <w:rPr>
          <w:rFonts w:cs="Times New Roman"/>
          <w:i/>
          <w:spacing w:val="-6"/>
          <w:lang w:val="fr-CA"/>
        </w:rPr>
        <w:t xml:space="preserve"> </w:t>
      </w:r>
      <w:r w:rsidRPr="00131B59">
        <w:rPr>
          <w:rFonts w:cs="Times New Roman"/>
          <w:i/>
          <w:lang w:val="fr-CA"/>
        </w:rPr>
        <w:t xml:space="preserve">Island </w:t>
      </w:r>
      <w:r w:rsidRPr="00131B59">
        <w:rPr>
          <w:rFonts w:cs="Times New Roman"/>
          <w:lang w:val="fr-CA"/>
        </w:rPr>
        <w:t>(1997)</w:t>
      </w:r>
      <w:r w:rsidRPr="00131B59">
        <w:rPr>
          <w:rFonts w:cs="Times New Roman"/>
          <w:spacing w:val="-2"/>
          <w:lang w:val="fr-CA"/>
        </w:rPr>
        <w:t>,</w:t>
      </w:r>
      <w:r w:rsidRPr="00131B59">
        <w:rPr>
          <w:rFonts w:cs="Times New Roman"/>
          <w:spacing w:val="-5"/>
          <w:lang w:val="fr-CA"/>
        </w:rPr>
        <w:t xml:space="preserve"> </w:t>
      </w:r>
      <w:r w:rsidRPr="00131B59">
        <w:rPr>
          <w:rStyle w:val="nowrap"/>
          <w:rFonts w:cs="Times New Roman"/>
          <w:lang w:val="fr-CA"/>
        </w:rPr>
        <w:t xml:space="preserve">149 Nfld. </w:t>
      </w:r>
      <w:r w:rsidRPr="00131B59">
        <w:rPr>
          <w:rStyle w:val="nowrap"/>
          <w:rFonts w:cs="Times New Roman"/>
        </w:rPr>
        <w:t>&amp; P.E.I.R. 96 (C.S.Î.</w:t>
      </w:r>
      <w:r w:rsidR="00225C08">
        <w:rPr>
          <w:rStyle w:val="nowrap"/>
          <w:rFonts w:cs="Times New Roman"/>
        </w:rPr>
        <w:t>-</w:t>
      </w:r>
      <w:r w:rsidRPr="00131B59">
        <w:rPr>
          <w:rStyle w:val="nowrap"/>
          <w:rFonts w:cs="Times New Roman"/>
        </w:rPr>
        <w:t>P.</w:t>
      </w:r>
      <w:r w:rsidR="00225C08">
        <w:rPr>
          <w:rStyle w:val="nowrap"/>
          <w:rFonts w:cs="Times New Roman"/>
        </w:rPr>
        <w:t>-</w:t>
      </w:r>
      <w:r w:rsidRPr="00131B59">
        <w:rPr>
          <w:rStyle w:val="nowrap"/>
          <w:rFonts w:cs="Times New Roman"/>
        </w:rPr>
        <w:t>É., 1</w:t>
      </w:r>
      <w:r w:rsidRPr="00131B59">
        <w:rPr>
          <w:rStyle w:val="nowrap"/>
          <w:rFonts w:cs="Times New Roman"/>
          <w:vertAlign w:val="superscript"/>
        </w:rPr>
        <w:t>re</w:t>
      </w:r>
      <w:r w:rsidRPr="00131B59">
        <w:rPr>
          <w:rStyle w:val="nowrap"/>
          <w:rFonts w:cs="Times New Roman"/>
        </w:rPr>
        <w:t xml:space="preserve"> inst.), </w:t>
      </w:r>
      <w:r w:rsidRPr="00131B59">
        <w:rPr>
          <w:rFonts w:cs="Times New Roman"/>
        </w:rPr>
        <w:t>par.</w:t>
      </w:r>
      <w:r w:rsidR="00225C08">
        <w:rPr>
          <w:rFonts w:cs="Times New Roman"/>
        </w:rPr>
        <w:t xml:space="preserve"> </w:t>
      </w:r>
      <w:r w:rsidR="00652398">
        <w:rPr>
          <w:rFonts w:cs="Times New Roman"/>
        </w:rPr>
        <w:t>12-</w:t>
      </w:r>
      <w:r w:rsidRPr="00131B59">
        <w:rPr>
          <w:rFonts w:cs="Times New Roman"/>
        </w:rPr>
        <w:t xml:space="preserve">14; </w:t>
      </w:r>
      <w:r w:rsidRPr="00131B59">
        <w:rPr>
          <w:rFonts w:cs="Times New Roman"/>
          <w:i/>
        </w:rPr>
        <w:t>Marchand</w:t>
      </w:r>
      <w:r w:rsidRPr="00131B59">
        <w:rPr>
          <w:rFonts w:cs="Times New Roman"/>
          <w:i/>
          <w:spacing w:val="-4"/>
        </w:rPr>
        <w:t xml:space="preserve"> </w:t>
      </w:r>
      <w:r w:rsidRPr="00131B59">
        <w:rPr>
          <w:rFonts w:cs="Times New Roman"/>
          <w:i/>
        </w:rPr>
        <w:t>c.</w:t>
      </w:r>
      <w:r w:rsidRPr="00131B59">
        <w:rPr>
          <w:rFonts w:cs="Times New Roman"/>
          <w:i/>
          <w:spacing w:val="-3"/>
        </w:rPr>
        <w:t xml:space="preserve"> </w:t>
      </w:r>
      <w:r w:rsidRPr="00131B59">
        <w:rPr>
          <w:rFonts w:cs="Times New Roman"/>
          <w:i/>
        </w:rPr>
        <w:t>Simcoe</w:t>
      </w:r>
      <w:r w:rsidRPr="00131B59">
        <w:rPr>
          <w:rFonts w:cs="Times New Roman"/>
          <w:i/>
          <w:spacing w:val="-5"/>
        </w:rPr>
        <w:t xml:space="preserve"> </w:t>
      </w:r>
      <w:r w:rsidRPr="00131B59">
        <w:rPr>
          <w:rFonts w:cs="Times New Roman"/>
          <w:i/>
        </w:rPr>
        <w:t>County</w:t>
      </w:r>
      <w:r w:rsidRPr="00131B59">
        <w:rPr>
          <w:rFonts w:cs="Times New Roman"/>
          <w:i/>
          <w:spacing w:val="-4"/>
        </w:rPr>
        <w:t xml:space="preserve"> </w:t>
      </w:r>
      <w:r w:rsidRPr="00131B59">
        <w:rPr>
          <w:rFonts w:cs="Times New Roman"/>
          <w:i/>
        </w:rPr>
        <w:t>Board</w:t>
      </w:r>
      <w:r w:rsidRPr="00131B59">
        <w:rPr>
          <w:rFonts w:cs="Times New Roman"/>
          <w:i/>
          <w:spacing w:val="-6"/>
        </w:rPr>
        <w:t xml:space="preserve"> </w:t>
      </w:r>
      <w:r w:rsidRPr="00131B59">
        <w:rPr>
          <w:rFonts w:cs="Times New Roman"/>
          <w:i/>
        </w:rPr>
        <w:t>of</w:t>
      </w:r>
      <w:r w:rsidRPr="00131B59">
        <w:rPr>
          <w:rFonts w:cs="Times New Roman"/>
          <w:i/>
          <w:spacing w:val="-4"/>
        </w:rPr>
        <w:t xml:space="preserve"> </w:t>
      </w:r>
      <w:r w:rsidRPr="00131B59">
        <w:rPr>
          <w:rFonts w:cs="Times New Roman"/>
          <w:i/>
        </w:rPr>
        <w:t>Education</w:t>
      </w:r>
      <w:r w:rsidRPr="00131B59">
        <w:rPr>
          <w:rFonts w:cs="Times New Roman"/>
          <w:spacing w:val="-4"/>
        </w:rPr>
        <w:t xml:space="preserve"> </w:t>
      </w:r>
      <w:r w:rsidRPr="00131B59">
        <w:rPr>
          <w:rFonts w:cs="Times New Roman"/>
        </w:rPr>
        <w:t>(1986),</w:t>
      </w:r>
      <w:r w:rsidRPr="00131B59">
        <w:rPr>
          <w:rFonts w:cs="Times New Roman"/>
          <w:spacing w:val="-3"/>
        </w:rPr>
        <w:t xml:space="preserve"> </w:t>
      </w:r>
      <w:r w:rsidRPr="00131B59">
        <w:rPr>
          <w:rFonts w:cs="Times New Roman"/>
        </w:rPr>
        <w:t>12</w:t>
      </w:r>
      <w:r w:rsidRPr="00131B59">
        <w:rPr>
          <w:rFonts w:cs="Times New Roman"/>
          <w:spacing w:val="-4"/>
        </w:rPr>
        <w:t xml:space="preserve"> </w:t>
      </w:r>
      <w:r w:rsidRPr="00131B59">
        <w:rPr>
          <w:rFonts w:cs="Times New Roman"/>
        </w:rPr>
        <w:t>C.P.C.</w:t>
      </w:r>
      <w:r w:rsidRPr="00131B59">
        <w:rPr>
          <w:rFonts w:cs="Times New Roman"/>
          <w:spacing w:val="-4"/>
        </w:rPr>
        <w:t xml:space="preserve"> </w:t>
      </w:r>
      <w:r w:rsidRPr="00131B59">
        <w:rPr>
          <w:rFonts w:cs="Times New Roman"/>
        </w:rPr>
        <w:t>(2d)</w:t>
      </w:r>
      <w:r w:rsidRPr="00131B59">
        <w:rPr>
          <w:rFonts w:cs="Times New Roman"/>
          <w:spacing w:val="-6"/>
        </w:rPr>
        <w:t xml:space="preserve"> </w:t>
      </w:r>
      <w:r w:rsidRPr="00131B59">
        <w:rPr>
          <w:rFonts w:cs="Times New Roman"/>
        </w:rPr>
        <w:t>140</w:t>
      </w:r>
      <w:r w:rsidRPr="00131B59">
        <w:rPr>
          <w:rFonts w:cs="Times New Roman"/>
          <w:spacing w:val="-3"/>
        </w:rPr>
        <w:t xml:space="preserve"> </w:t>
      </w:r>
      <w:r w:rsidRPr="00131B59">
        <w:rPr>
          <w:rFonts w:cs="Times New Roman"/>
        </w:rPr>
        <w:t>(H.C.</w:t>
      </w:r>
      <w:r w:rsidRPr="00131B59">
        <w:rPr>
          <w:rFonts w:cs="Times New Roman"/>
          <w:spacing w:val="-4"/>
        </w:rPr>
        <w:t xml:space="preserve"> </w:t>
      </w:r>
      <w:r w:rsidRPr="00131B59">
        <w:rPr>
          <w:rFonts w:cs="Times New Roman"/>
        </w:rPr>
        <w:t>Ont.), p.</w:t>
      </w:r>
      <w:r w:rsidR="00225C08">
        <w:rPr>
          <w:rFonts w:cs="Times New Roman"/>
        </w:rPr>
        <w:t xml:space="preserve"> </w:t>
      </w:r>
      <w:r w:rsidRPr="00131B59">
        <w:rPr>
          <w:rFonts w:cs="Times New Roman"/>
        </w:rPr>
        <w:t>142</w:t>
      </w:r>
      <w:r w:rsidR="00652398">
        <w:rPr>
          <w:rFonts w:cs="Times New Roman"/>
        </w:rPr>
        <w:t>-</w:t>
      </w:r>
      <w:r w:rsidRPr="00131B59">
        <w:rPr>
          <w:rFonts w:cs="Times New Roman"/>
        </w:rPr>
        <w:t>143.</w:t>
      </w:r>
    </w:p>
    <w:p w:rsidR="004B15C3" w:rsidRPr="00131B59" w:rsidRDefault="004B15C3" w:rsidP="004B15C3">
      <w:pPr>
        <w:pStyle w:val="ParaNoNdepar-AltN"/>
        <w:widowControl w:val="0"/>
        <w:tabs>
          <w:tab w:val="clear" w:pos="1152"/>
          <w:tab w:val="left" w:pos="1166"/>
        </w:tabs>
        <w:rPr>
          <w:rFonts w:cs="Times New Roman"/>
          <w:lang w:val="fr-CA"/>
        </w:rPr>
      </w:pPr>
      <w:r w:rsidRPr="00131B59">
        <w:rPr>
          <w:rFonts w:cs="Times New Roman"/>
          <w:lang w:val="fr-CA"/>
        </w:rPr>
        <w:t xml:space="preserve">Dans ces circonstances, les dépens accordés par le juge seront rétablis. Je </w:t>
      </w:r>
      <w:r w:rsidRPr="00131B59">
        <w:rPr>
          <w:rFonts w:cs="Times New Roman"/>
          <w:lang w:val="fr-CA"/>
        </w:rPr>
        <w:lastRenderedPageBreak/>
        <w:t>suis également d’avis d’octroyer des dépens spéciaux pour les procédures d’appel aux Parents et au CSF.</w:t>
      </w:r>
    </w:p>
    <w:p w:rsidR="004D7D95" w:rsidRPr="00511BC1" w:rsidRDefault="00670472" w:rsidP="004B15C3">
      <w:pPr>
        <w:pStyle w:val="SCCNormalDoubleSpacing"/>
        <w:widowControl w:val="0"/>
        <w:spacing w:before="480" w:after="480"/>
        <w:rPr>
          <w:i/>
          <w:lang w:val="fr-CA"/>
        </w:rPr>
      </w:pPr>
      <w:r w:rsidRPr="00511BC1">
        <w:rPr>
          <w:lang w:val="fr-CA"/>
        </w:rPr>
        <w:tab/>
      </w:r>
      <w:r w:rsidR="00D03BEA" w:rsidRPr="00511BC1">
        <w:rPr>
          <w:i/>
          <w:lang w:val="fr-CA"/>
        </w:rPr>
        <w:t>Pourvoi accueilli</w:t>
      </w:r>
      <w:r w:rsidR="001B2EF5" w:rsidRPr="00511BC1">
        <w:rPr>
          <w:i/>
          <w:lang w:val="fr-CA"/>
        </w:rPr>
        <w:t xml:space="preserve"> avec dépens</w:t>
      </w:r>
      <w:r w:rsidRPr="00511BC1">
        <w:rPr>
          <w:i/>
          <w:lang w:val="fr-CA"/>
        </w:rPr>
        <w:t>.</w:t>
      </w:r>
    </w:p>
    <w:p w:rsidR="00D03BEA" w:rsidRPr="00511BC1" w:rsidRDefault="003A2675" w:rsidP="004B15C3">
      <w:pPr>
        <w:pStyle w:val="SCCLawFirm"/>
        <w:widowControl w:val="0"/>
        <w:spacing w:before="480" w:after="480"/>
        <w:rPr>
          <w:lang w:val="fr-CA"/>
        </w:rPr>
      </w:pPr>
      <w:r w:rsidRPr="00511BC1">
        <w:rPr>
          <w:lang w:val="fr-CA"/>
        </w:rPr>
        <w:tab/>
      </w:r>
      <w:r w:rsidR="00D03BEA" w:rsidRPr="00511BC1">
        <w:rPr>
          <w:lang w:val="fr-CA"/>
        </w:rPr>
        <w:t>Procureurs des appelants l’Association des parents de l’école Rose</w:t>
      </w:r>
      <w:r w:rsidR="00225C08">
        <w:rPr>
          <w:lang w:val="fr-CA"/>
        </w:rPr>
        <w:t>-</w:t>
      </w:r>
      <w:r w:rsidR="00D03BEA" w:rsidRPr="00511BC1">
        <w:rPr>
          <w:lang w:val="fr-CA"/>
        </w:rPr>
        <w:t>des</w:t>
      </w:r>
      <w:r w:rsidR="00225C08">
        <w:rPr>
          <w:lang w:val="fr-CA"/>
        </w:rPr>
        <w:t>-</w:t>
      </w:r>
      <w:r w:rsidR="00D03BEA" w:rsidRPr="00511BC1">
        <w:rPr>
          <w:lang w:val="fr-CA"/>
        </w:rPr>
        <w:t>vents et autres</w:t>
      </w:r>
      <w:r w:rsidR="00225C08">
        <w:rPr>
          <w:lang w:val="fr-CA"/>
        </w:rPr>
        <w:t xml:space="preserve"> : </w:t>
      </w:r>
      <w:r w:rsidR="00547189" w:rsidRPr="00511BC1">
        <w:rPr>
          <w:lang w:val="fr-CA"/>
        </w:rPr>
        <w:t>Nicolas</w:t>
      </w:r>
      <w:r w:rsidR="00225C08">
        <w:rPr>
          <w:lang w:val="fr-CA"/>
        </w:rPr>
        <w:t xml:space="preserve"> </w:t>
      </w:r>
      <w:r w:rsidR="00D03BEA" w:rsidRPr="00511BC1">
        <w:rPr>
          <w:lang w:val="fr-CA"/>
        </w:rPr>
        <w:t>M. Rouleau, société professionnelle, Toronto; Joseph Pagé, Va</w:t>
      </w:r>
      <w:r w:rsidR="00927F61">
        <w:rPr>
          <w:lang w:val="fr-CA"/>
        </w:rPr>
        <w:t>n</w:t>
      </w:r>
      <w:r w:rsidR="00D03BEA" w:rsidRPr="00511BC1">
        <w:rPr>
          <w:lang w:val="fr-CA"/>
        </w:rPr>
        <w:t>couver.</w:t>
      </w:r>
    </w:p>
    <w:p w:rsidR="00D03BEA" w:rsidRPr="00511BC1" w:rsidRDefault="00D03BEA" w:rsidP="004B15C3">
      <w:pPr>
        <w:pStyle w:val="SCCLawFirm"/>
        <w:widowControl w:val="0"/>
        <w:spacing w:before="480" w:after="480"/>
        <w:rPr>
          <w:lang w:val="fr-CA"/>
        </w:rPr>
      </w:pPr>
      <w:r w:rsidRPr="00511BC1">
        <w:rPr>
          <w:lang w:val="fr-CA"/>
        </w:rPr>
        <w:tab/>
        <w:t>Procureurs de l’appelant le Conseil scolaire francophone de la Colombie</w:t>
      </w:r>
      <w:r w:rsidR="00225C08">
        <w:rPr>
          <w:lang w:val="fr-CA"/>
        </w:rPr>
        <w:t>-</w:t>
      </w:r>
      <w:r w:rsidRPr="00511BC1">
        <w:rPr>
          <w:lang w:val="fr-CA"/>
        </w:rPr>
        <w:t>Britannique</w:t>
      </w:r>
      <w:r w:rsidR="00225C08">
        <w:rPr>
          <w:lang w:val="fr-CA"/>
        </w:rPr>
        <w:t xml:space="preserve"> : </w:t>
      </w:r>
      <w:r w:rsidRPr="00511BC1">
        <w:rPr>
          <w:lang w:val="fr-CA"/>
        </w:rPr>
        <w:t>Gall, Legge, Grant &amp; Munroe, Vancouver; Juristes Power, Ottawa.</w:t>
      </w:r>
    </w:p>
    <w:p w:rsidR="00D03BEA" w:rsidRPr="00511BC1" w:rsidRDefault="00D03BEA" w:rsidP="004B15C3">
      <w:pPr>
        <w:pStyle w:val="SCCLawFirm"/>
        <w:widowControl w:val="0"/>
        <w:spacing w:before="480" w:after="480"/>
        <w:rPr>
          <w:lang w:val="fr-CA"/>
        </w:rPr>
      </w:pPr>
      <w:r w:rsidRPr="00511BC1">
        <w:rPr>
          <w:lang w:val="fr-CA"/>
        </w:rPr>
        <w:tab/>
        <w:t>Procureurs des intimés</w:t>
      </w:r>
      <w:r w:rsidR="00225C08">
        <w:rPr>
          <w:lang w:val="fr-CA"/>
        </w:rPr>
        <w:t xml:space="preserve"> : </w:t>
      </w:r>
      <w:r w:rsidRPr="00511BC1">
        <w:rPr>
          <w:lang w:val="fr-CA"/>
        </w:rPr>
        <w:t>Procureur général de la Colombie</w:t>
      </w:r>
      <w:r w:rsidR="00225C08">
        <w:rPr>
          <w:lang w:val="fr-CA"/>
        </w:rPr>
        <w:t>-</w:t>
      </w:r>
      <w:r w:rsidRPr="00511BC1">
        <w:rPr>
          <w:lang w:val="fr-CA"/>
        </w:rPr>
        <w:t>Britannique, Victoria; McCarthy Tétrault, Vancouver.</w:t>
      </w:r>
    </w:p>
    <w:p w:rsidR="00D03BEA" w:rsidRPr="00511BC1" w:rsidRDefault="00D03BEA" w:rsidP="004B15C3">
      <w:pPr>
        <w:pStyle w:val="SCCLawFirm"/>
        <w:widowControl w:val="0"/>
        <w:spacing w:before="480" w:after="480"/>
        <w:rPr>
          <w:lang w:val="fr-CA"/>
        </w:rPr>
      </w:pPr>
      <w:r w:rsidRPr="00511BC1">
        <w:rPr>
          <w:lang w:val="fr-CA"/>
        </w:rPr>
        <w:tab/>
        <w:t>Procureur de l’intervenant le procureur général de la Saskatchewan</w:t>
      </w:r>
      <w:r w:rsidR="00225C08">
        <w:rPr>
          <w:lang w:val="fr-CA"/>
        </w:rPr>
        <w:t xml:space="preserve"> : </w:t>
      </w:r>
      <w:r w:rsidRPr="00511BC1">
        <w:rPr>
          <w:lang w:val="fr-CA"/>
        </w:rPr>
        <w:t>Procureur général de la Saskatchewan, Regina.</w:t>
      </w:r>
    </w:p>
    <w:p w:rsidR="00D03BEA" w:rsidRPr="00511BC1" w:rsidRDefault="00D03BEA" w:rsidP="004B15C3">
      <w:pPr>
        <w:pStyle w:val="SCCLawFirm"/>
        <w:widowControl w:val="0"/>
        <w:spacing w:before="480" w:after="480"/>
        <w:rPr>
          <w:lang w:val="fr-CA"/>
        </w:rPr>
      </w:pPr>
      <w:r w:rsidRPr="00511BC1">
        <w:rPr>
          <w:lang w:val="fr-CA"/>
        </w:rPr>
        <w:tab/>
        <w:t>Procureur de l’intervenant le procureur général de l’Alberta</w:t>
      </w:r>
      <w:r w:rsidR="00225C08">
        <w:rPr>
          <w:lang w:val="fr-CA"/>
        </w:rPr>
        <w:t xml:space="preserve"> : </w:t>
      </w:r>
      <w:r w:rsidRPr="00511BC1">
        <w:rPr>
          <w:lang w:val="fr-CA"/>
        </w:rPr>
        <w:t>Procureur général de l’Alberta, Edmonton.</w:t>
      </w:r>
    </w:p>
    <w:p w:rsidR="00D03BEA" w:rsidRPr="00511BC1" w:rsidRDefault="00D03BEA" w:rsidP="004B15C3">
      <w:pPr>
        <w:pStyle w:val="SCCLawFirm"/>
        <w:widowControl w:val="0"/>
        <w:spacing w:before="480" w:after="480"/>
        <w:rPr>
          <w:lang w:val="fr-CA"/>
        </w:rPr>
      </w:pPr>
      <w:r w:rsidRPr="00511BC1">
        <w:rPr>
          <w:lang w:val="fr-CA"/>
        </w:rPr>
        <w:tab/>
        <w:t>Procureurs de l’intervenant le procureur général des Territoires du Nord</w:t>
      </w:r>
      <w:r w:rsidR="00225C08">
        <w:rPr>
          <w:lang w:val="fr-CA"/>
        </w:rPr>
        <w:t>-</w:t>
      </w:r>
      <w:r w:rsidRPr="00511BC1">
        <w:rPr>
          <w:lang w:val="fr-CA"/>
        </w:rPr>
        <w:t>Ouest</w:t>
      </w:r>
      <w:r w:rsidR="00225C08">
        <w:rPr>
          <w:lang w:val="fr-CA"/>
        </w:rPr>
        <w:t xml:space="preserve"> : </w:t>
      </w:r>
      <w:r w:rsidRPr="00511BC1">
        <w:rPr>
          <w:lang w:val="fr-CA"/>
        </w:rPr>
        <w:t>Gowling Lafleur Henderson, Ottawa.</w:t>
      </w:r>
    </w:p>
    <w:p w:rsidR="00D03BEA" w:rsidRPr="00511BC1" w:rsidRDefault="00D03BEA" w:rsidP="004B15C3">
      <w:pPr>
        <w:pStyle w:val="SCCLawFirm"/>
        <w:widowControl w:val="0"/>
        <w:spacing w:before="480" w:after="480"/>
        <w:rPr>
          <w:lang w:val="fr-CA"/>
        </w:rPr>
      </w:pPr>
      <w:r w:rsidRPr="00511BC1">
        <w:rPr>
          <w:lang w:val="fr-CA"/>
        </w:rPr>
        <w:lastRenderedPageBreak/>
        <w:tab/>
        <w:t xml:space="preserve">Procureurs de l’intervenant le procureur général du </w:t>
      </w:r>
      <w:r w:rsidR="007D449C" w:rsidRPr="00511BC1">
        <w:rPr>
          <w:lang w:val="fr-CA"/>
        </w:rPr>
        <w:t>T</w:t>
      </w:r>
      <w:r w:rsidR="00506433" w:rsidRPr="00511BC1">
        <w:rPr>
          <w:lang w:val="fr-CA"/>
        </w:rPr>
        <w:t xml:space="preserve">erritoire du </w:t>
      </w:r>
      <w:r w:rsidRPr="00511BC1">
        <w:rPr>
          <w:lang w:val="fr-CA"/>
        </w:rPr>
        <w:t>Yukon</w:t>
      </w:r>
      <w:r w:rsidR="00225C08">
        <w:rPr>
          <w:lang w:val="fr-CA"/>
        </w:rPr>
        <w:t xml:space="preserve"> : </w:t>
      </w:r>
      <w:r w:rsidRPr="00511BC1">
        <w:rPr>
          <w:lang w:val="fr-CA"/>
        </w:rPr>
        <w:t>Procureur général du Yukon, Whitehorse; Gowling Lafleur Henderson, Ottawa.</w:t>
      </w:r>
    </w:p>
    <w:p w:rsidR="00D03BEA" w:rsidRPr="00511BC1" w:rsidRDefault="00D03BEA" w:rsidP="004B15C3">
      <w:pPr>
        <w:pStyle w:val="SCCLawFirm"/>
        <w:widowControl w:val="0"/>
        <w:spacing w:before="480" w:after="480"/>
        <w:rPr>
          <w:lang w:val="fr-CA"/>
        </w:rPr>
      </w:pPr>
      <w:r w:rsidRPr="00511BC1">
        <w:rPr>
          <w:lang w:val="fr-CA"/>
        </w:rPr>
        <w:tab/>
        <w:t>Procureur de l’intervenant le commissaire aux langues officielles du Canada</w:t>
      </w:r>
      <w:r w:rsidR="00225C08">
        <w:rPr>
          <w:lang w:val="fr-CA"/>
        </w:rPr>
        <w:t xml:space="preserve"> : </w:t>
      </w:r>
      <w:r w:rsidRPr="00511BC1">
        <w:rPr>
          <w:lang w:val="fr-CA"/>
        </w:rPr>
        <w:t>Commissariat aux langues officielles, Gatineau.</w:t>
      </w:r>
    </w:p>
    <w:p w:rsidR="00296878" w:rsidRDefault="00D03BEA" w:rsidP="004B15C3">
      <w:pPr>
        <w:pStyle w:val="SCCLawFirm"/>
        <w:widowControl w:val="0"/>
        <w:spacing w:before="480" w:after="480"/>
        <w:rPr>
          <w:b/>
          <w:i w:val="0"/>
          <w:lang w:val="fr-CA"/>
        </w:rPr>
      </w:pPr>
      <w:r w:rsidRPr="00511BC1">
        <w:rPr>
          <w:lang w:val="fr-CA"/>
        </w:rPr>
        <w:tab/>
        <w:t>Procureurs des intervenants la Commission scolaire francophone, Territoires du Nord</w:t>
      </w:r>
      <w:r w:rsidR="00225C08">
        <w:rPr>
          <w:lang w:val="fr-CA"/>
        </w:rPr>
        <w:t>-</w:t>
      </w:r>
      <w:r w:rsidRPr="00511BC1">
        <w:rPr>
          <w:lang w:val="fr-CA"/>
        </w:rPr>
        <w:t>Ouest, la Fédération nationale des conseils scolaires francophones, le Conseil des écoles fransaskoises et la Commission scolaire francophone du Yukon</w:t>
      </w:r>
      <w:r w:rsidR="00225C08">
        <w:rPr>
          <w:lang w:val="fr-CA"/>
        </w:rPr>
        <w:t xml:space="preserve"> : </w:t>
      </w:r>
      <w:r w:rsidRPr="00511BC1">
        <w:rPr>
          <w:lang w:val="fr-CA"/>
        </w:rPr>
        <w:t>Miller Thomson, Regina.</w:t>
      </w:r>
    </w:p>
    <w:p w:rsidR="004B15C3" w:rsidRPr="004B15C3" w:rsidRDefault="004B15C3" w:rsidP="004B15C3">
      <w:pPr>
        <w:pStyle w:val="SCCNormalDoubleSpacing"/>
        <w:widowControl w:val="0"/>
        <w:rPr>
          <w:lang w:val="fr-CA"/>
        </w:rPr>
      </w:pPr>
    </w:p>
    <w:sectPr w:rsidR="004B15C3" w:rsidRPr="004B15C3"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C5" w:rsidRDefault="00AA28C5">
      <w:r>
        <w:separator/>
      </w:r>
    </w:p>
  </w:endnote>
  <w:endnote w:type="continuationSeparator" w:id="0">
    <w:p w:rsidR="00AA28C5" w:rsidRDefault="00AA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C5" w:rsidRDefault="00AA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C5" w:rsidRDefault="00AA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C5" w:rsidRDefault="00AA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C5" w:rsidRDefault="00AA28C5">
      <w:r>
        <w:separator/>
      </w:r>
    </w:p>
  </w:footnote>
  <w:footnote w:type="continuationSeparator" w:id="0">
    <w:p w:rsidR="00AA28C5" w:rsidRDefault="00AA28C5">
      <w:r>
        <w:continuationSeparator/>
      </w:r>
    </w:p>
  </w:footnote>
  <w:footnote w:id="1">
    <w:p w:rsidR="00AA28C5" w:rsidRPr="00A40717" w:rsidRDefault="00AA28C5" w:rsidP="00AA28C5">
      <w:pPr>
        <w:pStyle w:val="FootnoteText"/>
        <w:tabs>
          <w:tab w:val="left" w:pos="180"/>
        </w:tabs>
        <w:spacing w:before="240"/>
        <w:ind w:left="180" w:hanging="180"/>
        <w:jc w:val="both"/>
        <w:rPr>
          <w:lang w:val="fr-CA"/>
        </w:rPr>
      </w:pPr>
      <w:r w:rsidRPr="00A40717">
        <w:rPr>
          <w:rStyle w:val="FootnoteReference"/>
          <w:lang w:val="fr-CA"/>
        </w:rPr>
        <w:footnoteRef/>
      </w:r>
      <w:r>
        <w:rPr>
          <w:lang w:val="fr-CA"/>
        </w:rPr>
        <w:t xml:space="preserve"> </w:t>
      </w:r>
      <w:r>
        <w:rPr>
          <w:lang w:val="fr-CA"/>
        </w:rPr>
        <w:tab/>
        <w:t>Même s’il a été</w:t>
      </w:r>
      <w:r w:rsidRPr="00A40717">
        <w:rPr>
          <w:lang w:val="fr-CA"/>
        </w:rPr>
        <w:t xml:space="preserve"> désigné </w:t>
      </w:r>
      <w:r>
        <w:rPr>
          <w:lang w:val="fr-CA"/>
        </w:rPr>
        <w:t xml:space="preserve">comme intimé </w:t>
      </w:r>
      <w:r w:rsidRPr="00A40717">
        <w:rPr>
          <w:lang w:val="fr-CA"/>
        </w:rPr>
        <w:t xml:space="preserve">dans la </w:t>
      </w:r>
      <w:r>
        <w:rPr>
          <w:lang w:val="fr-CA"/>
        </w:rPr>
        <w:t>requête</w:t>
      </w:r>
      <w:r w:rsidRPr="00A40717">
        <w:rPr>
          <w:lang w:val="fr-CA"/>
        </w:rPr>
        <w:t xml:space="preserve">, le CSF </w:t>
      </w:r>
      <w:r>
        <w:rPr>
          <w:lang w:val="fr-CA"/>
        </w:rPr>
        <w:t>a appuyé la position des Parents et il possède la qualité d’appelant dans</w:t>
      </w:r>
      <w:r w:rsidRPr="00A40717">
        <w:rPr>
          <w:lang w:val="fr-CA"/>
        </w:rPr>
        <w:t xml:space="preserve"> </w:t>
      </w:r>
      <w:r>
        <w:rPr>
          <w:lang w:val="fr-CA"/>
        </w:rPr>
        <w:t>le pourvoi interjeté devant la Cour.</w:t>
      </w:r>
    </w:p>
  </w:footnote>
  <w:footnote w:id="2">
    <w:p w:rsidR="00AA28C5" w:rsidRPr="00A40717" w:rsidRDefault="00AA28C5" w:rsidP="000C1D7E">
      <w:pPr>
        <w:pStyle w:val="FootnoteText"/>
        <w:spacing w:before="240"/>
        <w:ind w:left="180" w:hanging="180"/>
        <w:jc w:val="both"/>
        <w:rPr>
          <w:sz w:val="21"/>
          <w:szCs w:val="21"/>
          <w:lang w:val="fr-CA"/>
        </w:rPr>
      </w:pPr>
      <w:r w:rsidRPr="00A40717">
        <w:rPr>
          <w:rStyle w:val="FootnoteReference"/>
          <w:lang w:val="fr-CA"/>
        </w:rPr>
        <w:footnoteRef/>
      </w:r>
      <w:r>
        <w:rPr>
          <w:lang w:val="fr-CA"/>
        </w:rPr>
        <w:tab/>
        <w:t>La Fédération est un organisme à but non lucratif qui représente 28 associations de parents</w:t>
      </w:r>
      <w:r w:rsidRPr="00A40717">
        <w:rPr>
          <w:lang w:val="fr-CA"/>
        </w:rPr>
        <w:t xml:space="preserve"> </w:t>
      </w:r>
      <w:r>
        <w:rPr>
          <w:lang w:val="fr-CA"/>
        </w:rPr>
        <w:t xml:space="preserve">d’enfants fréquentant les écoles du CSF et 13 </w:t>
      </w:r>
      <w:r w:rsidRPr="00A40717">
        <w:rPr>
          <w:lang w:val="fr-CA"/>
        </w:rPr>
        <w:t>associations</w:t>
      </w:r>
      <w:r>
        <w:rPr>
          <w:lang w:val="fr-CA"/>
        </w:rPr>
        <w:t xml:space="preserve"> de parents d’élèves fréquentant des établissements préscolaires de langue française</w:t>
      </w:r>
      <w:r w:rsidRPr="00A40717">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C5" w:rsidRDefault="00AA2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C5" w:rsidRPr="00450352" w:rsidRDefault="00AA28C5"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C5" w:rsidRDefault="00AA2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9E61DE"/>
    <w:multiLevelType w:val="hybridMultilevel"/>
    <w:tmpl w:val="92B83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8F7588"/>
    <w:multiLevelType w:val="hybridMultilevel"/>
    <w:tmpl w:val="A2F2C5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8D6A5E"/>
    <w:multiLevelType w:val="hybridMultilevel"/>
    <w:tmpl w:val="96E65D2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21"/>
  </w:num>
  <w:num w:numId="3">
    <w:abstractNumId w:val="11"/>
  </w:num>
  <w:num w:numId="4">
    <w:abstractNumId w:val="10"/>
  </w:num>
  <w:num w:numId="5">
    <w:abstractNumId w:val="18"/>
  </w:num>
  <w:num w:numId="6">
    <w:abstractNumId w:val="19"/>
  </w:num>
  <w:num w:numId="7">
    <w:abstractNumId w:val="16"/>
  </w:num>
  <w:num w:numId="8">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3"/>
  </w:num>
  <w:num w:numId="10">
    <w:abstractNumId w:val="14"/>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2"/>
  </w:num>
  <w:num w:numId="24">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5">
    <w:abstractNumId w:val="16"/>
  </w:num>
  <w:num w:numId="26">
    <w:abstractNumId w:val="16"/>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178E2"/>
    <w:rsid w:val="0002259F"/>
    <w:rsid w:val="00023FC7"/>
    <w:rsid w:val="00025198"/>
    <w:rsid w:val="000578A3"/>
    <w:rsid w:val="000648CC"/>
    <w:rsid w:val="00066F2C"/>
    <w:rsid w:val="00092B73"/>
    <w:rsid w:val="00097F5C"/>
    <w:rsid w:val="000A0098"/>
    <w:rsid w:val="000A7A7D"/>
    <w:rsid w:val="000C0737"/>
    <w:rsid w:val="000C1842"/>
    <w:rsid w:val="000C1D7E"/>
    <w:rsid w:val="000C59B8"/>
    <w:rsid w:val="000C6AF0"/>
    <w:rsid w:val="000D036D"/>
    <w:rsid w:val="000D0A77"/>
    <w:rsid w:val="000D699E"/>
    <w:rsid w:val="000E1FFD"/>
    <w:rsid w:val="000F7993"/>
    <w:rsid w:val="00101AE6"/>
    <w:rsid w:val="00104F33"/>
    <w:rsid w:val="00107FE1"/>
    <w:rsid w:val="00111DE2"/>
    <w:rsid w:val="001125EF"/>
    <w:rsid w:val="00116B38"/>
    <w:rsid w:val="00123DFE"/>
    <w:rsid w:val="001321F3"/>
    <w:rsid w:val="00135406"/>
    <w:rsid w:val="00135972"/>
    <w:rsid w:val="001426A9"/>
    <w:rsid w:val="00154D7C"/>
    <w:rsid w:val="001570B0"/>
    <w:rsid w:val="0015752C"/>
    <w:rsid w:val="00157737"/>
    <w:rsid w:val="0016264F"/>
    <w:rsid w:val="00165277"/>
    <w:rsid w:val="00170592"/>
    <w:rsid w:val="001720F7"/>
    <w:rsid w:val="001724DC"/>
    <w:rsid w:val="0018284A"/>
    <w:rsid w:val="00195D83"/>
    <w:rsid w:val="0019643C"/>
    <w:rsid w:val="001A00C1"/>
    <w:rsid w:val="001B2EF5"/>
    <w:rsid w:val="001B33E0"/>
    <w:rsid w:val="001B4573"/>
    <w:rsid w:val="001C0D82"/>
    <w:rsid w:val="001C779F"/>
    <w:rsid w:val="001D2AC1"/>
    <w:rsid w:val="001D4E88"/>
    <w:rsid w:val="001E2886"/>
    <w:rsid w:val="001E7109"/>
    <w:rsid w:val="001F3621"/>
    <w:rsid w:val="00220FC2"/>
    <w:rsid w:val="00221D3F"/>
    <w:rsid w:val="002222F4"/>
    <w:rsid w:val="00224FC0"/>
    <w:rsid w:val="00225C08"/>
    <w:rsid w:val="00225EA4"/>
    <w:rsid w:val="00226957"/>
    <w:rsid w:val="00226EAF"/>
    <w:rsid w:val="00231A5C"/>
    <w:rsid w:val="00231F3A"/>
    <w:rsid w:val="002348BE"/>
    <w:rsid w:val="002361DC"/>
    <w:rsid w:val="002406EE"/>
    <w:rsid w:val="00243EC8"/>
    <w:rsid w:val="002458C2"/>
    <w:rsid w:val="00250E98"/>
    <w:rsid w:val="002521E3"/>
    <w:rsid w:val="00252775"/>
    <w:rsid w:val="00253698"/>
    <w:rsid w:val="002541DE"/>
    <w:rsid w:val="002606AF"/>
    <w:rsid w:val="0026332C"/>
    <w:rsid w:val="00270D93"/>
    <w:rsid w:val="002745CC"/>
    <w:rsid w:val="002801F1"/>
    <w:rsid w:val="0028109F"/>
    <w:rsid w:val="00296878"/>
    <w:rsid w:val="002A2B24"/>
    <w:rsid w:val="002B6BCF"/>
    <w:rsid w:val="002B6FBE"/>
    <w:rsid w:val="002B7924"/>
    <w:rsid w:val="002C10A6"/>
    <w:rsid w:val="002C5EF0"/>
    <w:rsid w:val="002D28C3"/>
    <w:rsid w:val="002D39A4"/>
    <w:rsid w:val="002E343F"/>
    <w:rsid w:val="002E61A2"/>
    <w:rsid w:val="002E6705"/>
    <w:rsid w:val="002E7130"/>
    <w:rsid w:val="0030329A"/>
    <w:rsid w:val="0031086F"/>
    <w:rsid w:val="00312A92"/>
    <w:rsid w:val="0031414C"/>
    <w:rsid w:val="00314E01"/>
    <w:rsid w:val="0032089D"/>
    <w:rsid w:val="00322246"/>
    <w:rsid w:val="003310DE"/>
    <w:rsid w:val="00331D64"/>
    <w:rsid w:val="003323B0"/>
    <w:rsid w:val="00340A49"/>
    <w:rsid w:val="0035169A"/>
    <w:rsid w:val="0035259D"/>
    <w:rsid w:val="003566CD"/>
    <w:rsid w:val="00364B18"/>
    <w:rsid w:val="003747CE"/>
    <w:rsid w:val="00381D8F"/>
    <w:rsid w:val="003843CC"/>
    <w:rsid w:val="00390AD3"/>
    <w:rsid w:val="003A125D"/>
    <w:rsid w:val="003A2675"/>
    <w:rsid w:val="003A483E"/>
    <w:rsid w:val="003A4C70"/>
    <w:rsid w:val="003B0C4F"/>
    <w:rsid w:val="003B215F"/>
    <w:rsid w:val="003C799C"/>
    <w:rsid w:val="003D0399"/>
    <w:rsid w:val="003D24DE"/>
    <w:rsid w:val="003D6A81"/>
    <w:rsid w:val="003E1C71"/>
    <w:rsid w:val="003E1EBB"/>
    <w:rsid w:val="003E2DD4"/>
    <w:rsid w:val="003E6828"/>
    <w:rsid w:val="003F327B"/>
    <w:rsid w:val="003F33FC"/>
    <w:rsid w:val="00406166"/>
    <w:rsid w:val="0040704B"/>
    <w:rsid w:val="00407568"/>
    <w:rsid w:val="00410A55"/>
    <w:rsid w:val="00411300"/>
    <w:rsid w:val="00413F17"/>
    <w:rsid w:val="00415417"/>
    <w:rsid w:val="00426659"/>
    <w:rsid w:val="00427F09"/>
    <w:rsid w:val="00430FF6"/>
    <w:rsid w:val="00450352"/>
    <w:rsid w:val="00454BDB"/>
    <w:rsid w:val="00461925"/>
    <w:rsid w:val="00465132"/>
    <w:rsid w:val="00480C90"/>
    <w:rsid w:val="0048396F"/>
    <w:rsid w:val="00493C18"/>
    <w:rsid w:val="004A600C"/>
    <w:rsid w:val="004A6118"/>
    <w:rsid w:val="004B15C3"/>
    <w:rsid w:val="004C478D"/>
    <w:rsid w:val="004D23EC"/>
    <w:rsid w:val="004D7D95"/>
    <w:rsid w:val="004E2C26"/>
    <w:rsid w:val="00506433"/>
    <w:rsid w:val="00506F96"/>
    <w:rsid w:val="00511BC1"/>
    <w:rsid w:val="005125A8"/>
    <w:rsid w:val="00514E8E"/>
    <w:rsid w:val="00517549"/>
    <w:rsid w:val="00520ABC"/>
    <w:rsid w:val="00521AE8"/>
    <w:rsid w:val="005224A5"/>
    <w:rsid w:val="00527180"/>
    <w:rsid w:val="00530722"/>
    <w:rsid w:val="00535557"/>
    <w:rsid w:val="00542C8A"/>
    <w:rsid w:val="00547189"/>
    <w:rsid w:val="00550717"/>
    <w:rsid w:val="005551CB"/>
    <w:rsid w:val="00555291"/>
    <w:rsid w:val="005558B3"/>
    <w:rsid w:val="00566AD1"/>
    <w:rsid w:val="005739CF"/>
    <w:rsid w:val="00583EDE"/>
    <w:rsid w:val="00584D85"/>
    <w:rsid w:val="005966C3"/>
    <w:rsid w:val="005A3BD7"/>
    <w:rsid w:val="005A6079"/>
    <w:rsid w:val="005A7CB9"/>
    <w:rsid w:val="005B34D9"/>
    <w:rsid w:val="005C630C"/>
    <w:rsid w:val="005D0995"/>
    <w:rsid w:val="005D2956"/>
    <w:rsid w:val="005E022E"/>
    <w:rsid w:val="005E4698"/>
    <w:rsid w:val="005F5756"/>
    <w:rsid w:val="00603924"/>
    <w:rsid w:val="00607718"/>
    <w:rsid w:val="00610539"/>
    <w:rsid w:val="00613969"/>
    <w:rsid w:val="00621E63"/>
    <w:rsid w:val="00625C35"/>
    <w:rsid w:val="00627B0A"/>
    <w:rsid w:val="00633374"/>
    <w:rsid w:val="00647E49"/>
    <w:rsid w:val="00652398"/>
    <w:rsid w:val="006562F0"/>
    <w:rsid w:val="00656313"/>
    <w:rsid w:val="006565F4"/>
    <w:rsid w:val="00665DD6"/>
    <w:rsid w:val="00670472"/>
    <w:rsid w:val="00671F9E"/>
    <w:rsid w:val="006743D4"/>
    <w:rsid w:val="00675A10"/>
    <w:rsid w:val="006828ED"/>
    <w:rsid w:val="00684EEA"/>
    <w:rsid w:val="006945C4"/>
    <w:rsid w:val="0069689B"/>
    <w:rsid w:val="006A6AAC"/>
    <w:rsid w:val="006B3CD8"/>
    <w:rsid w:val="006B576D"/>
    <w:rsid w:val="006B5FF5"/>
    <w:rsid w:val="006C040E"/>
    <w:rsid w:val="006F0915"/>
    <w:rsid w:val="006F30AF"/>
    <w:rsid w:val="007002E0"/>
    <w:rsid w:val="00701759"/>
    <w:rsid w:val="00703400"/>
    <w:rsid w:val="00705C15"/>
    <w:rsid w:val="007110F6"/>
    <w:rsid w:val="007208D1"/>
    <w:rsid w:val="00720923"/>
    <w:rsid w:val="00721D75"/>
    <w:rsid w:val="00744518"/>
    <w:rsid w:val="00747288"/>
    <w:rsid w:val="00747DD3"/>
    <w:rsid w:val="007549C8"/>
    <w:rsid w:val="0076349C"/>
    <w:rsid w:val="00766D14"/>
    <w:rsid w:val="00767A0F"/>
    <w:rsid w:val="0077220B"/>
    <w:rsid w:val="007845CA"/>
    <w:rsid w:val="00785E43"/>
    <w:rsid w:val="00791272"/>
    <w:rsid w:val="00793978"/>
    <w:rsid w:val="007A05F6"/>
    <w:rsid w:val="007A1AC5"/>
    <w:rsid w:val="007B4267"/>
    <w:rsid w:val="007B6F4A"/>
    <w:rsid w:val="007C0BAF"/>
    <w:rsid w:val="007D2DA2"/>
    <w:rsid w:val="007D449C"/>
    <w:rsid w:val="007E1C47"/>
    <w:rsid w:val="007E337A"/>
    <w:rsid w:val="007E399F"/>
    <w:rsid w:val="007E430B"/>
    <w:rsid w:val="007E5C70"/>
    <w:rsid w:val="007F2FF5"/>
    <w:rsid w:val="007F3F08"/>
    <w:rsid w:val="007F4E8D"/>
    <w:rsid w:val="00804CC6"/>
    <w:rsid w:val="00814FD3"/>
    <w:rsid w:val="00817190"/>
    <w:rsid w:val="00820389"/>
    <w:rsid w:val="008260E2"/>
    <w:rsid w:val="008322BD"/>
    <w:rsid w:val="00834F73"/>
    <w:rsid w:val="00864C8A"/>
    <w:rsid w:val="00864CF8"/>
    <w:rsid w:val="008675C9"/>
    <w:rsid w:val="00874914"/>
    <w:rsid w:val="00891422"/>
    <w:rsid w:val="00892E1A"/>
    <w:rsid w:val="0089455C"/>
    <w:rsid w:val="008A0C4B"/>
    <w:rsid w:val="008B0F22"/>
    <w:rsid w:val="008B1FEC"/>
    <w:rsid w:val="008B2B6F"/>
    <w:rsid w:val="008B660A"/>
    <w:rsid w:val="008B723A"/>
    <w:rsid w:val="008C01DA"/>
    <w:rsid w:val="008D45D3"/>
    <w:rsid w:val="008E0D7F"/>
    <w:rsid w:val="008E3267"/>
    <w:rsid w:val="008F2674"/>
    <w:rsid w:val="008F78E9"/>
    <w:rsid w:val="0091294A"/>
    <w:rsid w:val="009179F9"/>
    <w:rsid w:val="00917C7A"/>
    <w:rsid w:val="00924C93"/>
    <w:rsid w:val="009270E7"/>
    <w:rsid w:val="00927F61"/>
    <w:rsid w:val="00933E5E"/>
    <w:rsid w:val="00935218"/>
    <w:rsid w:val="00937550"/>
    <w:rsid w:val="00937C52"/>
    <w:rsid w:val="009403F3"/>
    <w:rsid w:val="00953C19"/>
    <w:rsid w:val="009555B7"/>
    <w:rsid w:val="009567AA"/>
    <w:rsid w:val="009602C9"/>
    <w:rsid w:val="00967374"/>
    <w:rsid w:val="00972A34"/>
    <w:rsid w:val="00982B87"/>
    <w:rsid w:val="00993F15"/>
    <w:rsid w:val="00994895"/>
    <w:rsid w:val="00997EAF"/>
    <w:rsid w:val="009A343A"/>
    <w:rsid w:val="009A4169"/>
    <w:rsid w:val="009A5537"/>
    <w:rsid w:val="009A56B2"/>
    <w:rsid w:val="009B2F23"/>
    <w:rsid w:val="009B57B3"/>
    <w:rsid w:val="009B5907"/>
    <w:rsid w:val="009D2920"/>
    <w:rsid w:val="009D5AEB"/>
    <w:rsid w:val="009F0E33"/>
    <w:rsid w:val="009F0F04"/>
    <w:rsid w:val="00A01508"/>
    <w:rsid w:val="00A10B97"/>
    <w:rsid w:val="00A149DF"/>
    <w:rsid w:val="00A1755C"/>
    <w:rsid w:val="00A21B90"/>
    <w:rsid w:val="00A22AAC"/>
    <w:rsid w:val="00A35E49"/>
    <w:rsid w:val="00A35F59"/>
    <w:rsid w:val="00A400D1"/>
    <w:rsid w:val="00A41805"/>
    <w:rsid w:val="00A44706"/>
    <w:rsid w:val="00A45467"/>
    <w:rsid w:val="00A51882"/>
    <w:rsid w:val="00A52AFB"/>
    <w:rsid w:val="00A548CB"/>
    <w:rsid w:val="00A5521C"/>
    <w:rsid w:val="00A643E7"/>
    <w:rsid w:val="00A70FE1"/>
    <w:rsid w:val="00A73C38"/>
    <w:rsid w:val="00A76A44"/>
    <w:rsid w:val="00A84709"/>
    <w:rsid w:val="00A94C3C"/>
    <w:rsid w:val="00A9702F"/>
    <w:rsid w:val="00AA0D92"/>
    <w:rsid w:val="00AA28C5"/>
    <w:rsid w:val="00AA5288"/>
    <w:rsid w:val="00AB670D"/>
    <w:rsid w:val="00AE1182"/>
    <w:rsid w:val="00AE557A"/>
    <w:rsid w:val="00AE6421"/>
    <w:rsid w:val="00AF03C5"/>
    <w:rsid w:val="00B000D8"/>
    <w:rsid w:val="00B00F75"/>
    <w:rsid w:val="00B145B6"/>
    <w:rsid w:val="00B160C6"/>
    <w:rsid w:val="00B23D31"/>
    <w:rsid w:val="00B279AD"/>
    <w:rsid w:val="00B279EB"/>
    <w:rsid w:val="00B45BC6"/>
    <w:rsid w:val="00B47BC5"/>
    <w:rsid w:val="00B50C81"/>
    <w:rsid w:val="00B557F8"/>
    <w:rsid w:val="00B6486F"/>
    <w:rsid w:val="00B64FB5"/>
    <w:rsid w:val="00B67339"/>
    <w:rsid w:val="00B728EB"/>
    <w:rsid w:val="00B73237"/>
    <w:rsid w:val="00B815FC"/>
    <w:rsid w:val="00B8192D"/>
    <w:rsid w:val="00B93FBC"/>
    <w:rsid w:val="00BA76CD"/>
    <w:rsid w:val="00BA7DA0"/>
    <w:rsid w:val="00BB2EE4"/>
    <w:rsid w:val="00BB3262"/>
    <w:rsid w:val="00BB4C92"/>
    <w:rsid w:val="00BB7AB1"/>
    <w:rsid w:val="00BC1092"/>
    <w:rsid w:val="00BC1674"/>
    <w:rsid w:val="00BC2108"/>
    <w:rsid w:val="00BC794B"/>
    <w:rsid w:val="00BD0E9E"/>
    <w:rsid w:val="00BD1BEC"/>
    <w:rsid w:val="00BD32FF"/>
    <w:rsid w:val="00BE0845"/>
    <w:rsid w:val="00BE1499"/>
    <w:rsid w:val="00BF635B"/>
    <w:rsid w:val="00BF6FE9"/>
    <w:rsid w:val="00C02092"/>
    <w:rsid w:val="00C16425"/>
    <w:rsid w:val="00C24D91"/>
    <w:rsid w:val="00C26DB2"/>
    <w:rsid w:val="00C33E4D"/>
    <w:rsid w:val="00C51651"/>
    <w:rsid w:val="00C53F14"/>
    <w:rsid w:val="00C600CF"/>
    <w:rsid w:val="00C6084F"/>
    <w:rsid w:val="00C62A66"/>
    <w:rsid w:val="00C64AA8"/>
    <w:rsid w:val="00C66359"/>
    <w:rsid w:val="00C6644B"/>
    <w:rsid w:val="00C71458"/>
    <w:rsid w:val="00C71B55"/>
    <w:rsid w:val="00C7246E"/>
    <w:rsid w:val="00C7538B"/>
    <w:rsid w:val="00C77613"/>
    <w:rsid w:val="00C828E7"/>
    <w:rsid w:val="00C86719"/>
    <w:rsid w:val="00C90B08"/>
    <w:rsid w:val="00C921DD"/>
    <w:rsid w:val="00C94C23"/>
    <w:rsid w:val="00CA6391"/>
    <w:rsid w:val="00CC2B04"/>
    <w:rsid w:val="00CE036E"/>
    <w:rsid w:val="00CE3171"/>
    <w:rsid w:val="00CE677F"/>
    <w:rsid w:val="00CE6EE5"/>
    <w:rsid w:val="00CF1601"/>
    <w:rsid w:val="00CF6FC4"/>
    <w:rsid w:val="00CF6FF9"/>
    <w:rsid w:val="00D0172F"/>
    <w:rsid w:val="00D01E33"/>
    <w:rsid w:val="00D02A58"/>
    <w:rsid w:val="00D03BEA"/>
    <w:rsid w:val="00D048E0"/>
    <w:rsid w:val="00D068A7"/>
    <w:rsid w:val="00D070B4"/>
    <w:rsid w:val="00D17476"/>
    <w:rsid w:val="00D24EDE"/>
    <w:rsid w:val="00D26B33"/>
    <w:rsid w:val="00D32086"/>
    <w:rsid w:val="00D37A3F"/>
    <w:rsid w:val="00D423F0"/>
    <w:rsid w:val="00D4431D"/>
    <w:rsid w:val="00D46508"/>
    <w:rsid w:val="00D4667A"/>
    <w:rsid w:val="00D5282E"/>
    <w:rsid w:val="00D5655F"/>
    <w:rsid w:val="00D63A1C"/>
    <w:rsid w:val="00D66654"/>
    <w:rsid w:val="00D70459"/>
    <w:rsid w:val="00D7516F"/>
    <w:rsid w:val="00D757EE"/>
    <w:rsid w:val="00D81E91"/>
    <w:rsid w:val="00D839D5"/>
    <w:rsid w:val="00D9400D"/>
    <w:rsid w:val="00D95F8E"/>
    <w:rsid w:val="00DA0590"/>
    <w:rsid w:val="00DB04DE"/>
    <w:rsid w:val="00DB48E0"/>
    <w:rsid w:val="00DB7E13"/>
    <w:rsid w:val="00DC05F0"/>
    <w:rsid w:val="00DC1739"/>
    <w:rsid w:val="00DC1788"/>
    <w:rsid w:val="00DD4825"/>
    <w:rsid w:val="00DD5EEC"/>
    <w:rsid w:val="00DD674B"/>
    <w:rsid w:val="00DE02BA"/>
    <w:rsid w:val="00DE319C"/>
    <w:rsid w:val="00DE6802"/>
    <w:rsid w:val="00DF0CA8"/>
    <w:rsid w:val="00DF2B48"/>
    <w:rsid w:val="00DF49A7"/>
    <w:rsid w:val="00E07EE2"/>
    <w:rsid w:val="00E07FD1"/>
    <w:rsid w:val="00E13AC0"/>
    <w:rsid w:val="00E17D48"/>
    <w:rsid w:val="00E227CE"/>
    <w:rsid w:val="00E24573"/>
    <w:rsid w:val="00E25E1E"/>
    <w:rsid w:val="00E27EE7"/>
    <w:rsid w:val="00E31BCC"/>
    <w:rsid w:val="00E35404"/>
    <w:rsid w:val="00E36F41"/>
    <w:rsid w:val="00E45109"/>
    <w:rsid w:val="00E47B7A"/>
    <w:rsid w:val="00E504B8"/>
    <w:rsid w:val="00E56A44"/>
    <w:rsid w:val="00E60269"/>
    <w:rsid w:val="00E64D1F"/>
    <w:rsid w:val="00E85A24"/>
    <w:rsid w:val="00E96766"/>
    <w:rsid w:val="00E97830"/>
    <w:rsid w:val="00EA0B78"/>
    <w:rsid w:val="00EB0F4C"/>
    <w:rsid w:val="00EC0D86"/>
    <w:rsid w:val="00EC5CCB"/>
    <w:rsid w:val="00EC7722"/>
    <w:rsid w:val="00ED7028"/>
    <w:rsid w:val="00EE0830"/>
    <w:rsid w:val="00EE1648"/>
    <w:rsid w:val="00EE6218"/>
    <w:rsid w:val="00EE6CB8"/>
    <w:rsid w:val="00EF0683"/>
    <w:rsid w:val="00EF245B"/>
    <w:rsid w:val="00F0070C"/>
    <w:rsid w:val="00F00EB7"/>
    <w:rsid w:val="00F21F2A"/>
    <w:rsid w:val="00F25F54"/>
    <w:rsid w:val="00F33665"/>
    <w:rsid w:val="00F36AB6"/>
    <w:rsid w:val="00F37A09"/>
    <w:rsid w:val="00F409CE"/>
    <w:rsid w:val="00F4379D"/>
    <w:rsid w:val="00F50D2D"/>
    <w:rsid w:val="00F56C8B"/>
    <w:rsid w:val="00F62639"/>
    <w:rsid w:val="00F6321A"/>
    <w:rsid w:val="00F66810"/>
    <w:rsid w:val="00F66F64"/>
    <w:rsid w:val="00F735D2"/>
    <w:rsid w:val="00F84DF4"/>
    <w:rsid w:val="00F85C97"/>
    <w:rsid w:val="00F90848"/>
    <w:rsid w:val="00F914F0"/>
    <w:rsid w:val="00FB37D2"/>
    <w:rsid w:val="00FB4738"/>
    <w:rsid w:val="00FC4EFB"/>
    <w:rsid w:val="00FC5950"/>
    <w:rsid w:val="00FD068D"/>
    <w:rsid w:val="00FD4F28"/>
    <w:rsid w:val="00FE6784"/>
    <w:rsid w:val="00FE7A8B"/>
    <w:rsid w:val="00FF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15C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4B15C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4B15C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4B15C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4B15C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4B15C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4B15C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DocumentMap">
    <w:name w:val="Document Map"/>
    <w:basedOn w:val="Normal"/>
    <w:link w:val="DocumentMapChar"/>
    <w:uiPriority w:val="99"/>
    <w:semiHidden/>
    <w:unhideWhenUsed/>
    <w:rsid w:val="00BE1499"/>
    <w:rPr>
      <w:rFonts w:ascii="Tahoma" w:hAnsi="Tahoma" w:cs="Tahoma"/>
      <w:sz w:val="16"/>
      <w:szCs w:val="16"/>
    </w:rPr>
  </w:style>
  <w:style w:type="character" w:customStyle="1" w:styleId="DocumentMapChar">
    <w:name w:val="Document Map Char"/>
    <w:basedOn w:val="DefaultParagraphFont"/>
    <w:link w:val="DocumentMap"/>
    <w:uiPriority w:val="99"/>
    <w:semiHidden/>
    <w:rsid w:val="00BE1499"/>
    <w:rPr>
      <w:rFonts w:ascii="Tahoma" w:hAnsi="Tahoma" w:cs="Tahoma"/>
      <w:sz w:val="16"/>
      <w:szCs w:val="16"/>
    </w:rPr>
  </w:style>
  <w:style w:type="paragraph" w:customStyle="1" w:styleId="ParaNoNdepar-AltN">
    <w:name w:val="Para. No. / Nº de par. - Alt N"/>
    <w:qFormat/>
    <w:rsid w:val="00252775"/>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4B15C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4B15C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4B15C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4B15C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4B15C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4B15C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4B15C3"/>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4B15C3"/>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4B15C3"/>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4B15C3"/>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4B15C3"/>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4B15C3"/>
    <w:rPr>
      <w:b/>
      <w:sz w:val="24"/>
    </w:rPr>
  </w:style>
  <w:style w:type="table" w:styleId="TableGrid">
    <w:name w:val="Table Grid"/>
    <w:basedOn w:val="TableNormal"/>
    <w:uiPriority w:val="59"/>
    <w:rsid w:val="004B15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B15C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B15C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4B15C3"/>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4B15C3"/>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B15C3"/>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4B15C3"/>
    <w:pPr>
      <w:numPr>
        <w:ilvl w:val="2"/>
      </w:numPr>
    </w:pPr>
  </w:style>
  <w:style w:type="paragraph" w:customStyle="1" w:styleId="Title4LevelTitre4Niveau">
    <w:name w:val="Title 4 Level / Titre 4 Niveau"/>
    <w:basedOn w:val="Title3LevelTitre3Niveau"/>
    <w:next w:val="ParaNoNdepar-AltN"/>
    <w:uiPriority w:val="4"/>
    <w:qFormat/>
    <w:rsid w:val="004B15C3"/>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4B15C3"/>
    <w:pPr>
      <w:numPr>
        <w:ilvl w:val="4"/>
      </w:numPr>
    </w:pPr>
  </w:style>
  <w:style w:type="paragraph" w:styleId="TOC1">
    <w:name w:val="toc 1"/>
    <w:basedOn w:val="Normal"/>
    <w:next w:val="Normal"/>
    <w:autoRedefine/>
    <w:uiPriority w:val="39"/>
    <w:unhideWhenUsed/>
    <w:rsid w:val="004B15C3"/>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4B15C3"/>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4B15C3"/>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4B15C3"/>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4B15C3"/>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4B15C3"/>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4B15C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B15C3"/>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B15C3"/>
    <w:pPr>
      <w:numPr>
        <w:ilvl w:val="5"/>
      </w:numPr>
    </w:pPr>
    <w:rPr>
      <w:i/>
      <w:u w:val="none"/>
    </w:rPr>
  </w:style>
  <w:style w:type="paragraph" w:styleId="FootnoteText">
    <w:name w:val="footnote text"/>
    <w:basedOn w:val="Normal"/>
    <w:link w:val="FootnoteTextChar"/>
    <w:uiPriority w:val="99"/>
    <w:unhideWhenUsed/>
    <w:rsid w:val="004B15C3"/>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rsid w:val="004B15C3"/>
    <w:rPr>
      <w:rFonts w:eastAsiaTheme="minorHAnsi" w:cstheme="minorBidi"/>
      <w:lang w:val="en-US" w:eastAsia="en-US" w:bidi="en-US"/>
    </w:rPr>
  </w:style>
  <w:style w:type="character" w:styleId="FootnoteReference">
    <w:name w:val="footnote reference"/>
    <w:basedOn w:val="DefaultParagraphFont"/>
    <w:uiPriority w:val="99"/>
    <w:unhideWhenUsed/>
    <w:rsid w:val="004B15C3"/>
    <w:rPr>
      <w:vertAlign w:val="superscript"/>
    </w:rPr>
  </w:style>
  <w:style w:type="paragraph" w:styleId="ListParagraph">
    <w:name w:val="List Paragraph"/>
    <w:basedOn w:val="Normal"/>
    <w:uiPriority w:val="34"/>
    <w:rsid w:val="004B15C3"/>
    <w:pPr>
      <w:ind w:left="720"/>
      <w:contextualSpacing/>
    </w:pPr>
    <w:rPr>
      <w:rFonts w:eastAsiaTheme="minorHAnsi" w:cstheme="minorBidi"/>
      <w:szCs w:val="22"/>
      <w:lang w:val="en-US" w:eastAsia="en-US" w:bidi="en-US"/>
    </w:rPr>
  </w:style>
  <w:style w:type="paragraph" w:customStyle="1" w:styleId="para1">
    <w:name w:val="para1"/>
    <w:basedOn w:val="Normal"/>
    <w:rsid w:val="004B15C3"/>
    <w:pPr>
      <w:spacing w:before="100" w:beforeAutospacing="1" w:after="100" w:afterAutospacing="1"/>
      <w:jc w:val="both"/>
    </w:pPr>
    <w:rPr>
      <w:rFonts w:ascii="Arial" w:eastAsiaTheme="minorHAnsi" w:hAnsi="Arial" w:cs="Arial"/>
      <w:szCs w:val="22"/>
      <w:lang w:val="en-US" w:eastAsia="en-US" w:bidi="en-US"/>
    </w:rPr>
  </w:style>
  <w:style w:type="character" w:styleId="CommentReference">
    <w:name w:val="annotation reference"/>
    <w:basedOn w:val="DefaultParagraphFont"/>
    <w:uiPriority w:val="99"/>
    <w:semiHidden/>
    <w:unhideWhenUsed/>
    <w:rsid w:val="004B15C3"/>
    <w:rPr>
      <w:sz w:val="16"/>
      <w:szCs w:val="16"/>
    </w:rPr>
  </w:style>
  <w:style w:type="paragraph" w:styleId="CommentText">
    <w:name w:val="annotation text"/>
    <w:basedOn w:val="Normal"/>
    <w:link w:val="CommentTextChar"/>
    <w:uiPriority w:val="99"/>
    <w:unhideWhenUsed/>
    <w:rsid w:val="004B15C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4B15C3"/>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4B15C3"/>
    <w:rPr>
      <w:b/>
      <w:bCs/>
    </w:rPr>
  </w:style>
  <w:style w:type="character" w:customStyle="1" w:styleId="CommentSubjectChar">
    <w:name w:val="Comment Subject Char"/>
    <w:basedOn w:val="CommentTextChar"/>
    <w:link w:val="CommentSubject"/>
    <w:uiPriority w:val="99"/>
    <w:semiHidden/>
    <w:rsid w:val="004B15C3"/>
    <w:rPr>
      <w:rFonts w:eastAsiaTheme="minorHAnsi" w:cstheme="minorBidi"/>
      <w:b/>
      <w:bCs/>
      <w:szCs w:val="22"/>
      <w:lang w:val="en-US" w:eastAsia="en-US" w:bidi="en-US"/>
    </w:rPr>
  </w:style>
  <w:style w:type="paragraph" w:customStyle="1" w:styleId="11">
    <w:name w:val="11"/>
    <w:basedOn w:val="Normal"/>
    <w:rsid w:val="004B15C3"/>
    <w:pPr>
      <w:autoSpaceDE w:val="0"/>
      <w:autoSpaceDN w:val="0"/>
      <w:ind w:hanging="720"/>
    </w:pPr>
    <w:rPr>
      <w:rFonts w:eastAsiaTheme="minorHAnsi" w:cstheme="minorBidi"/>
      <w:szCs w:val="22"/>
      <w:lang w:val="en-US" w:eastAsia="en-US" w:bidi="en-US"/>
    </w:rPr>
  </w:style>
  <w:style w:type="character" w:customStyle="1" w:styleId="nowrap">
    <w:name w:val="nowrap"/>
    <w:basedOn w:val="DefaultParagraphFont"/>
    <w:rsid w:val="004B15C3"/>
  </w:style>
  <w:style w:type="paragraph" w:customStyle="1" w:styleId="scjnon-number1">
    <w:name w:val="scjnon-number1"/>
    <w:basedOn w:val="Normal"/>
    <w:rsid w:val="004B15C3"/>
    <w:pPr>
      <w:spacing w:after="240"/>
    </w:pPr>
    <w:rPr>
      <w:rFonts w:ascii="Arial (W1)" w:eastAsiaTheme="minorHAnsi" w:hAnsi="Arial (W1)" w:cstheme="minorBidi"/>
      <w:szCs w:val="22"/>
      <w:lang w:val="en-US" w:eastAsia="en-US" w:bidi="en-US"/>
    </w:rPr>
  </w:style>
  <w:style w:type="paragraph" w:customStyle="1" w:styleId="scjnumber1">
    <w:name w:val="scjnumber1"/>
    <w:basedOn w:val="Normal"/>
    <w:rsid w:val="004B15C3"/>
    <w:pPr>
      <w:spacing w:after="240"/>
    </w:pPr>
    <w:rPr>
      <w:rFonts w:ascii="Arial (W1)" w:eastAsiaTheme="minorHAnsi" w:hAnsi="Arial (W1)" w:cstheme="minorBidi"/>
      <w:szCs w:val="22"/>
      <w:lang w:val="en-US" w:eastAsia="en-US" w:bidi="en-US"/>
    </w:rPr>
  </w:style>
  <w:style w:type="character" w:customStyle="1" w:styleId="JudgeJugeChar">
    <w:name w:val="Judge / Juge Char"/>
    <w:basedOn w:val="DefaultParagraphFont"/>
    <w:link w:val="JudgeJuge"/>
    <w:uiPriority w:val="3"/>
    <w:rsid w:val="004B15C3"/>
    <w:rPr>
      <w:smallCaps/>
      <w:sz w:val="24"/>
    </w:rPr>
  </w:style>
  <w:style w:type="paragraph" w:styleId="NoSpacing">
    <w:name w:val="No Spacing"/>
    <w:uiPriority w:val="1"/>
    <w:rsid w:val="004B15C3"/>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4B15C3"/>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4B15C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4B15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B15C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4B15C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4B15C3"/>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4B15C3"/>
    <w:rPr>
      <w:i/>
      <w:iCs/>
    </w:rPr>
  </w:style>
  <w:style w:type="paragraph" w:styleId="IntenseQuote">
    <w:name w:val="Intense Quote"/>
    <w:basedOn w:val="Normal"/>
    <w:next w:val="Normal"/>
    <w:link w:val="IntenseQuoteChar"/>
    <w:uiPriority w:val="30"/>
    <w:rsid w:val="004B15C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4B15C3"/>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4B15C3"/>
    <w:rPr>
      <w:i/>
      <w:iCs/>
      <w:color w:val="808080" w:themeColor="text1" w:themeTint="7F"/>
    </w:rPr>
  </w:style>
  <w:style w:type="character" w:styleId="IntenseEmphasis">
    <w:name w:val="Intense Emphasis"/>
    <w:basedOn w:val="DefaultParagraphFont"/>
    <w:uiPriority w:val="21"/>
    <w:rsid w:val="004B15C3"/>
    <w:rPr>
      <w:b/>
      <w:bCs/>
      <w:i/>
      <w:iCs/>
      <w:color w:val="4F81BD" w:themeColor="accent1"/>
    </w:rPr>
  </w:style>
  <w:style w:type="character" w:styleId="SubtleReference">
    <w:name w:val="Subtle Reference"/>
    <w:basedOn w:val="DefaultParagraphFont"/>
    <w:uiPriority w:val="31"/>
    <w:rsid w:val="004B15C3"/>
    <w:rPr>
      <w:smallCaps/>
      <w:color w:val="C0504D" w:themeColor="accent2"/>
      <w:u w:val="single"/>
    </w:rPr>
  </w:style>
  <w:style w:type="character" w:styleId="IntenseReference">
    <w:name w:val="Intense Reference"/>
    <w:basedOn w:val="DefaultParagraphFont"/>
    <w:uiPriority w:val="32"/>
    <w:rsid w:val="004B15C3"/>
    <w:rPr>
      <w:b/>
      <w:bCs/>
      <w:smallCaps/>
      <w:color w:val="C0504D" w:themeColor="accent2"/>
      <w:spacing w:val="5"/>
      <w:u w:val="single"/>
    </w:rPr>
  </w:style>
  <w:style w:type="character" w:styleId="BookTitle">
    <w:name w:val="Book Title"/>
    <w:basedOn w:val="DefaultParagraphFont"/>
    <w:uiPriority w:val="33"/>
    <w:rsid w:val="004B15C3"/>
    <w:rPr>
      <w:b/>
      <w:bCs/>
      <w:smallCaps/>
      <w:spacing w:val="5"/>
    </w:rPr>
  </w:style>
  <w:style w:type="paragraph" w:styleId="Revision">
    <w:name w:val="Revision"/>
    <w:hidden/>
    <w:uiPriority w:val="99"/>
    <w:semiHidden/>
    <w:rsid w:val="004B15C3"/>
    <w:rPr>
      <w:rFonts w:eastAsiaTheme="minorHAnsi" w:cstheme="minorBidi"/>
      <w:sz w:val="24"/>
      <w:szCs w:val="22"/>
      <w:lang w:val="en-US" w:eastAsia="en-US" w:bidi="en-US"/>
    </w:rPr>
  </w:style>
  <w:style w:type="character" w:styleId="Hyperlink">
    <w:name w:val="Hyperlink"/>
    <w:basedOn w:val="DefaultParagraphFont"/>
    <w:uiPriority w:val="99"/>
    <w:unhideWhenUsed/>
    <w:rsid w:val="004B15C3"/>
    <w:rPr>
      <w:color w:val="0000FF" w:themeColor="hyperlink"/>
      <w:u w:val="single"/>
    </w:rPr>
  </w:style>
  <w:style w:type="character" w:customStyle="1" w:styleId="SCCLsocPartyRoleChar">
    <w:name w:val="SCC.Lsoc.PartyRole Char"/>
    <w:basedOn w:val="DefaultParagraphFont"/>
    <w:rsid w:val="00123DFE"/>
    <w:rPr>
      <w:lang w:val="fr-CA"/>
    </w:rPr>
  </w:style>
  <w:style w:type="paragraph" w:customStyle="1" w:styleId="SCCLsocPrefix">
    <w:name w:val="SCC.Lsoc.Prefix"/>
    <w:basedOn w:val="Normal"/>
    <w:next w:val="Normal"/>
    <w:link w:val="SCCLsocPrefixChar"/>
    <w:rsid w:val="00123DF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123DFE"/>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8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59598-0737-4C88-BC44-E2CA831B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12855</Words>
  <Characters>73280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2015-05-04T21:03:00Z</dcterms:created>
  <dcterms:modified xsi:type="dcterms:W3CDTF">2015-10-05T15:14:00Z</dcterms:modified>
</cp:coreProperties>
</file>