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EB" w:rsidRDefault="006859EB" w:rsidP="006859E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41028" r:id="rId8"/>
        </w:object>
      </w:r>
      <w:r>
        <w:t xml:space="preserve"> </w:t>
      </w:r>
      <w:r>
        <w:ptab w:relativeTo="margin" w:alignment="right" w:leader="none"/>
      </w:r>
    </w:p>
    <w:p w:rsidR="006859EB" w:rsidRDefault="006859EB" w:rsidP="006859EB">
      <w:pPr>
        <w:pStyle w:val="Header"/>
      </w:pPr>
    </w:p>
    <w:p w:rsidR="006859EB" w:rsidRPr="001E12E2" w:rsidRDefault="006859EB" w:rsidP="006859EB">
      <w:pPr>
        <w:jc w:val="center"/>
        <w:rPr>
          <w:b/>
        </w:rPr>
      </w:pPr>
      <w:r w:rsidRPr="001E12E2">
        <w:rPr>
          <w:b/>
        </w:rPr>
        <w:t>COUR SUPRÊME DU CANADA</w:t>
      </w:r>
    </w:p>
    <w:p w:rsidR="006859EB" w:rsidRDefault="006859EB" w:rsidP="006859E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6859EB" w:rsidRPr="001E12E2" w:rsidTr="00461A24">
        <w:trPr>
          <w:cantSplit/>
        </w:trPr>
        <w:tc>
          <w:tcPr>
            <w:tcW w:w="6768" w:type="dxa"/>
          </w:tcPr>
          <w:p w:rsidR="006859EB" w:rsidRPr="006859EB" w:rsidRDefault="006859EB" w:rsidP="00461A24">
            <w:pPr>
              <w:rPr>
                <w:lang w:val="fr-CA"/>
              </w:rPr>
            </w:pPr>
            <w:r w:rsidRPr="006859EB">
              <w:rPr>
                <w:b/>
                <w:smallCaps/>
                <w:lang w:val="fr-CA"/>
              </w:rPr>
              <w:t>Référence :</w:t>
            </w:r>
            <w:r w:rsidRPr="006859EB">
              <w:rPr>
                <w:lang w:val="fr-CA"/>
              </w:rPr>
              <w:t xml:space="preserve"> R. </w:t>
            </w:r>
            <w:r w:rsidRPr="006859EB">
              <w:rPr>
                <w:i/>
                <w:lang w:val="fr-CA"/>
              </w:rPr>
              <w:t>c.</w:t>
            </w:r>
            <w:r w:rsidRPr="006859EB">
              <w:rPr>
                <w:lang w:val="fr-CA"/>
              </w:rPr>
              <w:t xml:space="preserve"> Rodgerson, 2015 CSC 38</w:t>
            </w:r>
            <w:r w:rsidR="00B90794">
              <w:rPr>
                <w:lang w:val="fr-CA"/>
              </w:rPr>
              <w:t>, [2015] 2 R.C.S. 760</w:t>
            </w:r>
            <w:bookmarkStart w:id="0" w:name="_GoBack"/>
            <w:bookmarkEnd w:id="0"/>
          </w:p>
        </w:tc>
        <w:tc>
          <w:tcPr>
            <w:tcW w:w="2808" w:type="dxa"/>
          </w:tcPr>
          <w:p w:rsidR="006859EB" w:rsidRPr="001E12E2" w:rsidRDefault="006859EB" w:rsidP="00461A24">
            <w:r w:rsidRPr="001E12E2">
              <w:rPr>
                <w:b/>
                <w:smallCaps/>
              </w:rPr>
              <w:t>Date</w:t>
            </w:r>
            <w:r>
              <w:rPr>
                <w:b/>
                <w:smallCaps/>
              </w:rPr>
              <w:t> :</w:t>
            </w:r>
            <w:r w:rsidRPr="001E12E2">
              <w:t xml:space="preserve"> </w:t>
            </w:r>
            <w:r>
              <w:t>20150717</w:t>
            </w:r>
          </w:p>
          <w:p w:rsidR="006859EB" w:rsidRPr="001E12E2" w:rsidRDefault="006859EB" w:rsidP="00461A24">
            <w:r w:rsidRPr="001E12E2">
              <w:rPr>
                <w:b/>
                <w:smallCaps/>
              </w:rPr>
              <w:t>Do</w:t>
            </w:r>
            <w:r>
              <w:rPr>
                <w:b/>
                <w:smallCaps/>
              </w:rPr>
              <w:t>ssier :</w:t>
            </w:r>
            <w:r w:rsidRPr="001E12E2">
              <w:t xml:space="preserve"> </w:t>
            </w:r>
            <w:r>
              <w:t>35947</w:t>
            </w:r>
          </w:p>
        </w:tc>
      </w:tr>
    </w:tbl>
    <w:p w:rsidR="006859EB" w:rsidRPr="001E12E2" w:rsidRDefault="006859EB" w:rsidP="006859EB"/>
    <w:p w:rsidR="006859EB" w:rsidRDefault="006859EB" w:rsidP="006859EB">
      <w:pPr>
        <w:pStyle w:val="SCCLsocPrefix"/>
      </w:pPr>
      <w:r>
        <w:t>Entre :</w:t>
      </w:r>
    </w:p>
    <w:p w:rsidR="006859EB" w:rsidRPr="00B90794" w:rsidRDefault="006859EB" w:rsidP="006859EB">
      <w:pPr>
        <w:pStyle w:val="SCCLsocParty"/>
        <w:spacing w:after="0"/>
        <w:jc w:val="center"/>
        <w:rPr>
          <w:b/>
        </w:rPr>
      </w:pPr>
      <w:r w:rsidRPr="00B90794">
        <w:rPr>
          <w:b/>
        </w:rPr>
        <w:t>Sa Majesté la Reine</w:t>
      </w:r>
    </w:p>
    <w:p w:rsidR="006859EB" w:rsidRPr="006859EB" w:rsidRDefault="006859EB" w:rsidP="006859EB">
      <w:pPr>
        <w:jc w:val="center"/>
        <w:rPr>
          <w:lang w:val="fr-CA"/>
        </w:rPr>
      </w:pPr>
      <w:r w:rsidRPr="006859EB">
        <w:rPr>
          <w:lang w:val="fr-CA"/>
        </w:rPr>
        <w:t>Appelante</w:t>
      </w:r>
    </w:p>
    <w:p w:rsidR="006859EB" w:rsidRPr="006859EB" w:rsidRDefault="006859EB" w:rsidP="006859EB">
      <w:pPr>
        <w:pStyle w:val="SCCLsocVersus"/>
        <w:spacing w:after="0"/>
        <w:jc w:val="center"/>
        <w:rPr>
          <w:i w:val="0"/>
          <w:lang w:val="fr-CA"/>
        </w:rPr>
      </w:pPr>
      <w:r w:rsidRPr="006859EB">
        <w:rPr>
          <w:i w:val="0"/>
          <w:lang w:val="fr-CA"/>
        </w:rPr>
        <w:t>et</w:t>
      </w:r>
    </w:p>
    <w:p w:rsidR="006859EB" w:rsidRPr="00B90794" w:rsidRDefault="006859EB" w:rsidP="006859EB">
      <w:pPr>
        <w:pStyle w:val="SCCLsocParty"/>
        <w:spacing w:after="0"/>
        <w:jc w:val="center"/>
        <w:rPr>
          <w:b/>
        </w:rPr>
      </w:pPr>
      <w:r w:rsidRPr="00B90794">
        <w:rPr>
          <w:b/>
        </w:rPr>
        <w:t>Jason Rodgerson</w:t>
      </w:r>
    </w:p>
    <w:p w:rsidR="006859EB" w:rsidRPr="006859EB" w:rsidRDefault="006859EB" w:rsidP="006859EB">
      <w:pPr>
        <w:jc w:val="center"/>
        <w:rPr>
          <w:lang w:val="fr-CA"/>
        </w:rPr>
      </w:pPr>
      <w:r w:rsidRPr="006859EB">
        <w:rPr>
          <w:lang w:val="fr-CA"/>
        </w:rPr>
        <w:t>Intimé</w:t>
      </w:r>
    </w:p>
    <w:p w:rsidR="006859EB" w:rsidRPr="006859EB" w:rsidRDefault="006859EB" w:rsidP="006859EB">
      <w:pPr>
        <w:rPr>
          <w:lang w:val="fr-CA"/>
        </w:rPr>
      </w:pPr>
    </w:p>
    <w:p w:rsidR="006859EB" w:rsidRPr="006859EB" w:rsidRDefault="006859EB" w:rsidP="006859EB">
      <w:pPr>
        <w:jc w:val="center"/>
        <w:rPr>
          <w:b/>
          <w:smallCaps/>
          <w:lang w:val="fr-CA"/>
        </w:rPr>
      </w:pPr>
      <w:r w:rsidRPr="006859EB">
        <w:rPr>
          <w:b/>
          <w:smallCaps/>
          <w:lang w:val="fr-CA"/>
        </w:rPr>
        <w:t>Traduction française officielle</w:t>
      </w:r>
    </w:p>
    <w:p w:rsidR="006859EB" w:rsidRPr="006859EB" w:rsidRDefault="006859EB" w:rsidP="006859EB">
      <w:pPr>
        <w:rPr>
          <w:lang w:val="fr-CA"/>
        </w:rPr>
      </w:pPr>
    </w:p>
    <w:p w:rsidR="006859EB" w:rsidRPr="006859EB" w:rsidRDefault="006859EB" w:rsidP="006859EB">
      <w:pPr>
        <w:rPr>
          <w:lang w:val="fr-CA"/>
        </w:rPr>
      </w:pPr>
      <w:r w:rsidRPr="006859EB">
        <w:rPr>
          <w:b/>
          <w:smallCaps/>
          <w:lang w:val="fr-CA"/>
        </w:rPr>
        <w:t>Coram :</w:t>
      </w:r>
      <w:r w:rsidRPr="006859EB">
        <w:rPr>
          <w:lang w:val="fr-CA"/>
        </w:rPr>
        <w:t xml:space="preserve"> Les juges Abella, Rothstein, Cromwell, Moldaver et Karakatsanis</w:t>
      </w:r>
    </w:p>
    <w:p w:rsidR="006859EB" w:rsidRPr="006859EB" w:rsidRDefault="006859EB" w:rsidP="006859E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859EB" w:rsidRPr="006859EB" w:rsidTr="00461A24">
        <w:trPr>
          <w:cantSplit/>
        </w:trPr>
        <w:tc>
          <w:tcPr>
            <w:tcW w:w="3618" w:type="dxa"/>
          </w:tcPr>
          <w:p w:rsidR="006859EB" w:rsidRPr="006859EB" w:rsidRDefault="006859EB" w:rsidP="00461A24">
            <w:pPr>
              <w:rPr>
                <w:b/>
                <w:smallCaps/>
                <w:lang w:val="fr-CA"/>
              </w:rPr>
            </w:pPr>
            <w:r w:rsidRPr="006859EB">
              <w:rPr>
                <w:b/>
                <w:smallCaps/>
                <w:lang w:val="fr-CA"/>
              </w:rPr>
              <w:t>Motifs de jugement :</w:t>
            </w:r>
          </w:p>
          <w:p w:rsidR="006859EB" w:rsidRPr="006859EB" w:rsidRDefault="006859EB" w:rsidP="00461A24">
            <w:pPr>
              <w:rPr>
                <w:lang w:val="fr-CA"/>
              </w:rPr>
            </w:pPr>
            <w:r w:rsidRPr="006859EB">
              <w:rPr>
                <w:lang w:val="fr-CA"/>
              </w:rPr>
              <w:t>(par. 1 à 56)</w:t>
            </w:r>
          </w:p>
        </w:tc>
        <w:tc>
          <w:tcPr>
            <w:tcW w:w="5958" w:type="dxa"/>
          </w:tcPr>
          <w:p w:rsidR="006859EB" w:rsidRPr="006859EB" w:rsidRDefault="006859EB" w:rsidP="00461A24">
            <w:pPr>
              <w:rPr>
                <w:lang w:val="fr-CA"/>
              </w:rPr>
            </w:pPr>
            <w:r w:rsidRPr="006859EB">
              <w:rPr>
                <w:lang w:val="fr-CA"/>
              </w:rPr>
              <w:t>Le juge Moldaver (avec l’accord des juges Abella, Rothstein, Cromwell et Karakatsanis)</w:t>
            </w:r>
          </w:p>
        </w:tc>
      </w:tr>
    </w:tbl>
    <w:p w:rsidR="006859EB" w:rsidRPr="006859EB" w:rsidRDefault="006859EB" w:rsidP="006859EB">
      <w:pPr>
        <w:rPr>
          <w:lang w:val="fr-CA"/>
        </w:rPr>
      </w:pPr>
    </w:p>
    <w:p w:rsidR="006859EB" w:rsidRPr="006859EB" w:rsidRDefault="006859EB" w:rsidP="006859EB">
      <w:pPr>
        <w:rPr>
          <w:lang w:val="fr-CA"/>
        </w:rPr>
      </w:pPr>
    </w:p>
    <w:p w:rsidR="006859EB" w:rsidRPr="006859EB" w:rsidRDefault="006859EB" w:rsidP="006859EB">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6859EB" w:rsidRDefault="006859EB" w:rsidP="00AF284E">
      <w:pPr>
        <w:widowControl w:val="0"/>
        <w:spacing w:after="720"/>
        <w:jc w:val="both"/>
        <w:rPr>
          <w:lang w:val="fr-CA"/>
        </w:rPr>
      </w:pPr>
    </w:p>
    <w:p w:rsidR="002D6514" w:rsidRPr="001F72F4" w:rsidRDefault="001F72F4" w:rsidP="00AF284E">
      <w:pPr>
        <w:widowControl w:val="0"/>
        <w:spacing w:after="720"/>
        <w:jc w:val="both"/>
        <w:rPr>
          <w:lang w:val="fr-CA"/>
        </w:rPr>
      </w:pPr>
      <w:r>
        <w:rPr>
          <w:lang w:val="fr-CA"/>
        </w:rPr>
        <w:t>R</w:t>
      </w:r>
      <w:r w:rsidR="002D6514" w:rsidRPr="001F72F4">
        <w:rPr>
          <w:lang w:val="fr-CA"/>
        </w:rPr>
        <w:t xml:space="preserve">. </w:t>
      </w:r>
      <w:r w:rsidR="002D6514" w:rsidRPr="001F72F4">
        <w:rPr>
          <w:i/>
          <w:lang w:val="fr-CA"/>
        </w:rPr>
        <w:t>c.</w:t>
      </w:r>
      <w:r w:rsidR="002D6514" w:rsidRPr="001F72F4">
        <w:rPr>
          <w:lang w:val="fr-CA"/>
        </w:rPr>
        <w:t xml:space="preserve"> </w:t>
      </w:r>
      <w:r>
        <w:rPr>
          <w:lang w:val="fr-CA"/>
        </w:rPr>
        <w:t>R</w:t>
      </w:r>
      <w:r w:rsidR="002D6514" w:rsidRPr="001F72F4">
        <w:rPr>
          <w:lang w:val="fr-CA"/>
        </w:rPr>
        <w:t>odgerson</w:t>
      </w:r>
      <w:r>
        <w:rPr>
          <w:lang w:val="fr-CA"/>
        </w:rPr>
        <w:t xml:space="preserve">, </w:t>
      </w:r>
      <w:r w:rsidRPr="00C53C3A">
        <w:rPr>
          <w:lang w:val="fr-CA"/>
        </w:rPr>
        <w:t>2015 CSC 38</w:t>
      </w:r>
      <w:r>
        <w:rPr>
          <w:lang w:val="fr-CA"/>
        </w:rPr>
        <w:t>, [2015] 2 R.C.S. 760</w:t>
      </w:r>
    </w:p>
    <w:p w:rsidR="002D6514" w:rsidRPr="002D6514" w:rsidRDefault="002D6514" w:rsidP="00AF284E">
      <w:pPr>
        <w:pStyle w:val="SCCLsocLastPartyInRole"/>
        <w:widowControl w:val="0"/>
        <w:rPr>
          <w:b w:val="0"/>
          <w:lang w:val="fr-CA"/>
        </w:rPr>
      </w:pPr>
      <w:r w:rsidRPr="00C53C3A">
        <w:rPr>
          <w:lang w:val="fr-CA"/>
        </w:rPr>
        <w:t>Sa Majesté la Reine</w:t>
      </w:r>
      <w:r w:rsidRPr="00C53C3A">
        <w:rPr>
          <w:rStyle w:val="SCCLsocPartyRole"/>
          <w:lang w:val="fr-CA"/>
        </w:rPr>
        <w:tab/>
      </w:r>
      <w:r w:rsidRPr="002D6514">
        <w:rPr>
          <w:rStyle w:val="SCCLsocPartyRole"/>
          <w:lang w:val="fr-CA"/>
        </w:rPr>
        <w:t>Appelante</w:t>
      </w:r>
    </w:p>
    <w:p w:rsidR="002D6514" w:rsidRPr="00C53C3A" w:rsidRDefault="002D6514" w:rsidP="00AF284E">
      <w:pPr>
        <w:pStyle w:val="SCCLsocVersus"/>
        <w:widowControl w:val="0"/>
        <w:rPr>
          <w:lang w:val="fr-CA"/>
        </w:rPr>
      </w:pPr>
      <w:r w:rsidRPr="00C53C3A">
        <w:rPr>
          <w:lang w:val="fr-CA"/>
        </w:rPr>
        <w:t>c.</w:t>
      </w:r>
    </w:p>
    <w:p w:rsidR="002D6514" w:rsidRPr="002D6514" w:rsidRDefault="002D6514" w:rsidP="00AF284E">
      <w:pPr>
        <w:pStyle w:val="SCCLsocLastPartyInRole"/>
        <w:widowControl w:val="0"/>
        <w:rPr>
          <w:b w:val="0"/>
          <w:lang w:val="fr-CA"/>
        </w:rPr>
      </w:pPr>
      <w:r w:rsidRPr="00C53C3A">
        <w:rPr>
          <w:lang w:val="fr-CA"/>
        </w:rPr>
        <w:t>Jason Rodgerson</w:t>
      </w:r>
      <w:r w:rsidRPr="00C53C3A">
        <w:rPr>
          <w:rStyle w:val="SCCLsocPartyRole"/>
          <w:lang w:val="fr-CA"/>
        </w:rPr>
        <w:tab/>
      </w:r>
      <w:r w:rsidRPr="002D6514">
        <w:rPr>
          <w:rStyle w:val="SCCLsocPartyRole"/>
          <w:lang w:val="fr-CA"/>
        </w:rPr>
        <w:t>Intimé</w:t>
      </w:r>
    </w:p>
    <w:p w:rsidR="002D6514" w:rsidRPr="00C53C3A" w:rsidRDefault="002D6514" w:rsidP="00AF284E">
      <w:pPr>
        <w:widowControl w:val="0"/>
        <w:spacing w:after="720"/>
        <w:jc w:val="both"/>
        <w:rPr>
          <w:b/>
          <w:lang w:val="fr-CA"/>
        </w:rPr>
      </w:pPr>
      <w:r w:rsidRPr="00C53C3A">
        <w:rPr>
          <w:b/>
          <w:lang w:val="fr-CA"/>
        </w:rPr>
        <w:lastRenderedPageBreak/>
        <w:t xml:space="preserve">Répertorié : R. </w:t>
      </w:r>
      <w:r w:rsidRPr="00C53C3A">
        <w:rPr>
          <w:b/>
          <w:i/>
          <w:lang w:val="fr-CA"/>
        </w:rPr>
        <w:t>c.</w:t>
      </w:r>
      <w:r w:rsidRPr="00C53C3A">
        <w:rPr>
          <w:b/>
          <w:lang w:val="fr-CA"/>
        </w:rPr>
        <w:t xml:space="preserve"> Rodgerson</w:t>
      </w:r>
    </w:p>
    <w:p w:rsidR="002D6514" w:rsidRPr="00C53C3A" w:rsidRDefault="002D6514" w:rsidP="00AF284E">
      <w:pPr>
        <w:pStyle w:val="SCCSystemYear"/>
        <w:widowControl w:val="0"/>
        <w:spacing w:after="720"/>
        <w:jc w:val="both"/>
        <w:rPr>
          <w:lang w:val="fr-CA"/>
        </w:rPr>
      </w:pPr>
      <w:r w:rsidRPr="00C53C3A">
        <w:rPr>
          <w:lang w:val="fr-CA"/>
        </w:rPr>
        <w:t>2015 CSC 38</w:t>
      </w:r>
    </w:p>
    <w:p w:rsidR="002D6514" w:rsidRPr="00C53C3A" w:rsidRDefault="002D6514" w:rsidP="00AF284E">
      <w:pPr>
        <w:widowControl w:val="0"/>
        <w:spacing w:after="720"/>
        <w:jc w:val="both"/>
        <w:rPr>
          <w:lang w:val="fr-CA"/>
        </w:rPr>
      </w:pPr>
      <w:r w:rsidRPr="00C53C3A">
        <w:rPr>
          <w:lang w:val="fr-CA"/>
        </w:rPr>
        <w:t>N</w:t>
      </w:r>
      <w:r w:rsidRPr="00C53C3A">
        <w:rPr>
          <w:vertAlign w:val="superscript"/>
          <w:lang w:val="fr-CA"/>
        </w:rPr>
        <w:t>o</w:t>
      </w:r>
      <w:r w:rsidRPr="00C53C3A">
        <w:rPr>
          <w:lang w:val="fr-CA"/>
        </w:rPr>
        <w:t xml:space="preserve"> du greffe : 35947.</w:t>
      </w:r>
    </w:p>
    <w:p w:rsidR="002D6514" w:rsidRPr="00C53C3A" w:rsidRDefault="002D6514" w:rsidP="00AF284E">
      <w:pPr>
        <w:widowControl w:val="0"/>
        <w:spacing w:after="720"/>
        <w:jc w:val="both"/>
        <w:rPr>
          <w:lang w:val="fr-CA"/>
        </w:rPr>
      </w:pPr>
      <w:r w:rsidRPr="00C53C3A">
        <w:rPr>
          <w:lang w:val="fr-CA"/>
        </w:rPr>
        <w:t>2015 : 14 janvier; 2015 : 17 juillet.</w:t>
      </w:r>
    </w:p>
    <w:p w:rsidR="002D6514" w:rsidRPr="00C53C3A" w:rsidRDefault="002D6514" w:rsidP="00AF284E">
      <w:pPr>
        <w:widowControl w:val="0"/>
        <w:spacing w:after="720"/>
        <w:jc w:val="both"/>
        <w:rPr>
          <w:lang w:val="fr-CA"/>
        </w:rPr>
      </w:pPr>
      <w:r w:rsidRPr="00C53C3A">
        <w:rPr>
          <w:lang w:val="fr-CA"/>
        </w:rPr>
        <w:t>Présents : Les juges Abella, Rothstein, Cromwell, Moldaver et Karakatsanis.</w:t>
      </w:r>
    </w:p>
    <w:p w:rsidR="002D6514" w:rsidRPr="00C53C3A" w:rsidRDefault="002D6514" w:rsidP="00AF284E">
      <w:pPr>
        <w:widowControl w:val="0"/>
        <w:spacing w:after="720"/>
        <w:jc w:val="both"/>
        <w:rPr>
          <w:smallCaps/>
          <w:lang w:val="fr-CA"/>
        </w:rPr>
      </w:pPr>
      <w:r w:rsidRPr="00C53C3A">
        <w:rPr>
          <w:smallCaps/>
          <w:lang w:val="fr-CA"/>
        </w:rPr>
        <w:t>en appel de la cour d</w:t>
      </w:r>
      <w:r w:rsidR="004C6C13">
        <w:rPr>
          <w:smallCaps/>
          <w:lang w:val="fr-CA"/>
        </w:rPr>
        <w:t>’</w:t>
      </w:r>
      <w:r w:rsidRPr="00C53C3A">
        <w:rPr>
          <w:smallCaps/>
          <w:lang w:val="fr-CA"/>
        </w:rPr>
        <w:t>appel de l</w:t>
      </w:r>
      <w:r w:rsidR="004C6C13">
        <w:rPr>
          <w:smallCaps/>
          <w:lang w:val="fr-CA"/>
        </w:rPr>
        <w:t>’</w:t>
      </w:r>
      <w:r w:rsidRPr="00C53C3A">
        <w:rPr>
          <w:smallCaps/>
          <w:lang w:val="fr-CA"/>
        </w:rPr>
        <w:t>ontario</w:t>
      </w:r>
    </w:p>
    <w:p w:rsidR="002D6514" w:rsidRPr="00C53C3A" w:rsidRDefault="002D6514" w:rsidP="00AF284E">
      <w:pPr>
        <w:pStyle w:val="SCCNormalDoubleSpacing"/>
        <w:widowControl w:val="0"/>
        <w:spacing w:after="480"/>
        <w:rPr>
          <w:i/>
          <w:lang w:val="fr-CA"/>
        </w:rPr>
      </w:pPr>
      <w:r w:rsidRPr="00C53C3A">
        <w:rPr>
          <w:i/>
          <w:lang w:val="fr-CA"/>
        </w:rPr>
        <w:tab/>
        <w:t>Droit criminel — Meurtre — Exposé au jury — Preuve — Comportement postérieur à l</w:t>
      </w:r>
      <w:r w:rsidR="004C6C13">
        <w:rPr>
          <w:i/>
          <w:lang w:val="fr-CA"/>
        </w:rPr>
        <w:t>’</w:t>
      </w:r>
      <w:r w:rsidRPr="00C53C3A">
        <w:rPr>
          <w:i/>
          <w:lang w:val="fr-CA"/>
        </w:rPr>
        <w:t>infraction — Après avoir tué la victime, l</w:t>
      </w:r>
      <w:r w:rsidR="004C6C13">
        <w:rPr>
          <w:i/>
          <w:lang w:val="fr-CA"/>
        </w:rPr>
        <w:t>’</w:t>
      </w:r>
      <w:r w:rsidRPr="00C53C3A">
        <w:rPr>
          <w:i/>
          <w:lang w:val="fr-CA"/>
        </w:rPr>
        <w:t>accusé a dissimulé son corps et nettoyé les lieux du décès — L</w:t>
      </w:r>
      <w:r w:rsidR="004C6C13">
        <w:rPr>
          <w:i/>
          <w:lang w:val="fr-CA"/>
        </w:rPr>
        <w:t>’</w:t>
      </w:r>
      <w:r w:rsidRPr="00C53C3A">
        <w:rPr>
          <w:i/>
          <w:lang w:val="fr-CA"/>
        </w:rPr>
        <w:t>accusé a tenté d</w:t>
      </w:r>
      <w:r w:rsidR="004C6C13">
        <w:rPr>
          <w:i/>
          <w:lang w:val="fr-CA"/>
        </w:rPr>
        <w:t>’</w:t>
      </w:r>
      <w:r w:rsidRPr="00C53C3A">
        <w:rPr>
          <w:i/>
          <w:lang w:val="fr-CA"/>
        </w:rPr>
        <w:t>échapper aux policiers et leur a menti — Directives du juge du procès au jury quant à l</w:t>
      </w:r>
      <w:r w:rsidR="004C6C13">
        <w:rPr>
          <w:i/>
          <w:lang w:val="fr-CA"/>
        </w:rPr>
        <w:t>’</w:t>
      </w:r>
      <w:r w:rsidRPr="00C53C3A">
        <w:rPr>
          <w:i/>
          <w:lang w:val="fr-CA"/>
        </w:rPr>
        <w:t>utilisation qu</w:t>
      </w:r>
      <w:r w:rsidR="004C6C13">
        <w:rPr>
          <w:i/>
          <w:lang w:val="fr-CA"/>
        </w:rPr>
        <w:t>’</w:t>
      </w:r>
      <w:r w:rsidRPr="00C53C3A">
        <w:rPr>
          <w:i/>
          <w:lang w:val="fr-CA"/>
        </w:rPr>
        <w:t>il pouvait faire du comportement de l</w:t>
      </w:r>
      <w:r w:rsidR="004C6C13">
        <w:rPr>
          <w:i/>
          <w:lang w:val="fr-CA"/>
        </w:rPr>
        <w:t>’</w:t>
      </w:r>
      <w:r w:rsidRPr="00C53C3A">
        <w:rPr>
          <w:i/>
          <w:lang w:val="fr-CA"/>
        </w:rPr>
        <w:t>accusé postérieur à l</w:t>
      </w:r>
      <w:r w:rsidR="004C6C13">
        <w:rPr>
          <w:i/>
          <w:lang w:val="fr-CA"/>
        </w:rPr>
        <w:t>’</w:t>
      </w:r>
      <w:r w:rsidRPr="00C53C3A">
        <w:rPr>
          <w:i/>
          <w:lang w:val="fr-CA"/>
        </w:rPr>
        <w:t>infraction dans son appréciation de l</w:t>
      </w:r>
      <w:r w:rsidR="004C6C13">
        <w:rPr>
          <w:i/>
          <w:lang w:val="fr-CA"/>
        </w:rPr>
        <w:t>’</w:t>
      </w:r>
      <w:r w:rsidRPr="00C53C3A">
        <w:rPr>
          <w:i/>
          <w:lang w:val="fr-CA"/>
        </w:rPr>
        <w:t>intention requise pour commettre un meurtre — Le juge du procès a</w:t>
      </w:r>
      <w:r w:rsidRPr="00C53C3A">
        <w:rPr>
          <w:i/>
          <w:lang w:val="fr-CA"/>
        </w:rPr>
        <w:noBreakHyphen/>
        <w:t>t</w:t>
      </w:r>
      <w:r w:rsidRPr="00C53C3A">
        <w:rPr>
          <w:i/>
          <w:lang w:val="fr-CA"/>
        </w:rPr>
        <w:noBreakHyphen/>
        <w:t>il commis une erreur dans ses directives au jury concernant la dissimulation et le nettoyage? — Dans l</w:t>
      </w:r>
      <w:r w:rsidR="004C6C13">
        <w:rPr>
          <w:i/>
          <w:lang w:val="fr-CA"/>
        </w:rPr>
        <w:t>’</w:t>
      </w:r>
      <w:r w:rsidRPr="00C53C3A">
        <w:rPr>
          <w:i/>
          <w:lang w:val="fr-CA"/>
        </w:rPr>
        <w:t>affirmative, cette erreur, combinée aux directives erronées relatives au fait que l</w:t>
      </w:r>
      <w:r w:rsidR="004C6C13">
        <w:rPr>
          <w:i/>
          <w:lang w:val="fr-CA"/>
        </w:rPr>
        <w:t>’</w:t>
      </w:r>
      <w:r w:rsidRPr="00C53C3A">
        <w:rPr>
          <w:i/>
          <w:lang w:val="fr-CA"/>
        </w:rPr>
        <w:t>accusé avait tenté d</w:t>
      </w:r>
      <w:r w:rsidR="004C6C13">
        <w:rPr>
          <w:i/>
          <w:lang w:val="fr-CA"/>
        </w:rPr>
        <w:t>’</w:t>
      </w:r>
      <w:r w:rsidRPr="00C53C3A">
        <w:rPr>
          <w:i/>
          <w:lang w:val="fr-CA"/>
        </w:rPr>
        <w:t>échapper aux policiers et leur avait menti, était</w:t>
      </w:r>
      <w:r w:rsidRPr="00C53C3A">
        <w:rPr>
          <w:i/>
          <w:lang w:val="fr-CA"/>
        </w:rPr>
        <w:noBreakHyphen/>
        <w:t>elle fatale? — Effet préjudiciable, sur le système de justice criminelle, des directive</w:t>
      </w:r>
      <w:r w:rsidR="00E007BB">
        <w:rPr>
          <w:i/>
          <w:lang w:val="fr-CA"/>
        </w:rPr>
        <w:t>s au jury longues et complexes.</w:t>
      </w:r>
    </w:p>
    <w:p w:rsidR="002D6514" w:rsidRPr="00C53C3A" w:rsidRDefault="002D6514" w:rsidP="00AF284E">
      <w:pPr>
        <w:pStyle w:val="SCCNormalDoubleSpacing"/>
        <w:widowControl w:val="0"/>
        <w:spacing w:after="480"/>
        <w:rPr>
          <w:lang w:val="fr-CA"/>
        </w:rPr>
      </w:pPr>
      <w:r w:rsidRPr="00C53C3A">
        <w:rPr>
          <w:lang w:val="fr-CA"/>
        </w:rPr>
        <w:lastRenderedPageBreak/>
        <w:tab/>
        <w:t>R a été accusé du meurtre au premier degré de Y. Au procès, nul n</w:t>
      </w:r>
      <w:r w:rsidR="004C6C13">
        <w:rPr>
          <w:lang w:val="fr-CA"/>
        </w:rPr>
        <w:t>’</w:t>
      </w:r>
      <w:r w:rsidRPr="00C53C3A">
        <w:rPr>
          <w:lang w:val="fr-CA"/>
        </w:rPr>
        <w:t>a contesté que R avait causé la mort de Y. En défense, R a invoqué principalement la légitime défense, mais il a aussi invoqué l</w:t>
      </w:r>
      <w:r w:rsidR="004C6C13">
        <w:rPr>
          <w:lang w:val="fr-CA"/>
        </w:rPr>
        <w:t>’</w:t>
      </w:r>
      <w:r w:rsidRPr="00C53C3A">
        <w:rPr>
          <w:lang w:val="fr-CA"/>
        </w:rPr>
        <w:t>absence d</w:t>
      </w:r>
      <w:r w:rsidR="004C6C13">
        <w:rPr>
          <w:lang w:val="fr-CA"/>
        </w:rPr>
        <w:t>’</w:t>
      </w:r>
      <w:r w:rsidRPr="00C53C3A">
        <w:rPr>
          <w:lang w:val="fr-CA"/>
        </w:rPr>
        <w:t>intention, la provocation et l</w:t>
      </w:r>
      <w:r w:rsidR="004C6C13">
        <w:rPr>
          <w:lang w:val="fr-CA"/>
        </w:rPr>
        <w:t>’</w:t>
      </w:r>
      <w:r w:rsidRPr="00C53C3A">
        <w:rPr>
          <w:lang w:val="fr-CA"/>
        </w:rPr>
        <w:t>absence de preuve établissant le meurtre au premier degré. Il a témoigné que Y et lui ont eu des rapports sexuels consensuels, qu</w:t>
      </w:r>
      <w:r w:rsidR="004C6C13">
        <w:rPr>
          <w:lang w:val="fr-CA"/>
        </w:rPr>
        <w:t>’</w:t>
      </w:r>
      <w:r w:rsidRPr="00C53C3A">
        <w:rPr>
          <w:lang w:val="fr-CA"/>
        </w:rPr>
        <w:t>ils ont eu ensuite une violente querelle et que Y l</w:t>
      </w:r>
      <w:r w:rsidR="004C6C13">
        <w:rPr>
          <w:lang w:val="fr-CA"/>
        </w:rPr>
        <w:t>’</w:t>
      </w:r>
      <w:r w:rsidRPr="00C53C3A">
        <w:rPr>
          <w:lang w:val="fr-CA"/>
        </w:rPr>
        <w:t>a attaqué avec un couteau. I</w:t>
      </w:r>
      <w:r>
        <w:rPr>
          <w:lang w:val="fr-CA"/>
        </w:rPr>
        <w:t>l s</w:t>
      </w:r>
      <w:r w:rsidR="004C6C13">
        <w:rPr>
          <w:lang w:val="fr-CA"/>
        </w:rPr>
        <w:t>’</w:t>
      </w:r>
      <w:r w:rsidRPr="00C53C3A">
        <w:rPr>
          <w:lang w:val="fr-CA"/>
        </w:rPr>
        <w:t xml:space="preserve">en </w:t>
      </w:r>
      <w:r>
        <w:rPr>
          <w:lang w:val="fr-CA"/>
        </w:rPr>
        <w:t>est</w:t>
      </w:r>
      <w:r w:rsidRPr="00C53C3A">
        <w:rPr>
          <w:lang w:val="fr-CA"/>
        </w:rPr>
        <w:t xml:space="preserve"> </w:t>
      </w:r>
      <w:r>
        <w:rPr>
          <w:lang w:val="fr-CA"/>
        </w:rPr>
        <w:t xml:space="preserve">suivi une altercation au terme de laquelle Y a trouvé la </w:t>
      </w:r>
      <w:r w:rsidRPr="00C53C3A">
        <w:rPr>
          <w:lang w:val="fr-CA"/>
        </w:rPr>
        <w:t>mort. R a maintenu qu</w:t>
      </w:r>
      <w:r w:rsidR="004C6C13">
        <w:rPr>
          <w:lang w:val="fr-CA"/>
        </w:rPr>
        <w:t>’</w:t>
      </w:r>
      <w:r w:rsidRPr="00C53C3A">
        <w:rPr>
          <w:lang w:val="fr-CA"/>
        </w:rPr>
        <w:t>il n</w:t>
      </w:r>
      <w:r w:rsidR="004C6C13">
        <w:rPr>
          <w:lang w:val="fr-CA"/>
        </w:rPr>
        <w:t>’</w:t>
      </w:r>
      <w:r w:rsidRPr="00C53C3A">
        <w:rPr>
          <w:lang w:val="fr-CA"/>
        </w:rPr>
        <w:t>avait pas l</w:t>
      </w:r>
      <w:r w:rsidR="004C6C13">
        <w:rPr>
          <w:lang w:val="fr-CA"/>
        </w:rPr>
        <w:t>’</w:t>
      </w:r>
      <w:r w:rsidRPr="00C53C3A">
        <w:rPr>
          <w:lang w:val="fr-CA"/>
        </w:rPr>
        <w:t>intention de tuer ou de blesser grièvement Y. Il a plutôt expliqué n</w:t>
      </w:r>
      <w:r w:rsidR="004C6C13">
        <w:rPr>
          <w:lang w:val="fr-CA"/>
        </w:rPr>
        <w:t>’</w:t>
      </w:r>
      <w:r w:rsidRPr="00C53C3A">
        <w:rPr>
          <w:lang w:val="fr-CA"/>
        </w:rPr>
        <w:t>avoir employé qu</w:t>
      </w:r>
      <w:r w:rsidR="004C6C13">
        <w:rPr>
          <w:lang w:val="fr-CA"/>
        </w:rPr>
        <w:t>’</w:t>
      </w:r>
      <w:r w:rsidRPr="00C53C3A">
        <w:rPr>
          <w:lang w:val="fr-CA"/>
        </w:rPr>
        <w:t xml:space="preserve">une force modérée et que le décès de Y était accidentel. Pour réfuter la thèse de R concernant la </w:t>
      </w:r>
      <w:r>
        <w:rPr>
          <w:lang w:val="fr-CA"/>
        </w:rPr>
        <w:t>force employée et la question de l</w:t>
      </w:r>
      <w:r w:rsidR="004C6C13">
        <w:rPr>
          <w:lang w:val="fr-CA"/>
        </w:rPr>
        <w:t>’</w:t>
      </w:r>
      <w:r>
        <w:rPr>
          <w:lang w:val="fr-CA"/>
        </w:rPr>
        <w:t>intention</w:t>
      </w:r>
      <w:r w:rsidRPr="00C53C3A">
        <w:rPr>
          <w:lang w:val="fr-CA"/>
        </w:rPr>
        <w:t>, l</w:t>
      </w:r>
      <w:r w:rsidR="004C6C13">
        <w:rPr>
          <w:lang w:val="fr-CA"/>
        </w:rPr>
        <w:t>’</w:t>
      </w:r>
      <w:r w:rsidRPr="00C53C3A">
        <w:rPr>
          <w:lang w:val="fr-CA"/>
        </w:rPr>
        <w:t>avocat du ministère public s</w:t>
      </w:r>
      <w:r w:rsidR="004C6C13">
        <w:rPr>
          <w:lang w:val="fr-CA"/>
        </w:rPr>
        <w:t>’</w:t>
      </w:r>
      <w:r w:rsidRPr="00C53C3A">
        <w:rPr>
          <w:lang w:val="fr-CA"/>
        </w:rPr>
        <w:t>est fondé sur l</w:t>
      </w:r>
      <w:r w:rsidR="004C6C13">
        <w:rPr>
          <w:lang w:val="fr-CA"/>
        </w:rPr>
        <w:t>’</w:t>
      </w:r>
      <w:r w:rsidRPr="00C53C3A">
        <w:rPr>
          <w:lang w:val="fr-CA"/>
        </w:rPr>
        <w:t>analyse médicolégale des blessures subies par Y et sur les résultats de l</w:t>
      </w:r>
      <w:r w:rsidR="004C6C13">
        <w:rPr>
          <w:lang w:val="fr-CA"/>
        </w:rPr>
        <w:t>’</w:t>
      </w:r>
      <w:r w:rsidRPr="00C53C3A">
        <w:rPr>
          <w:lang w:val="fr-CA"/>
        </w:rPr>
        <w:t>analyse des taches de sang trouvées à la résidence de R, ainsi que sur la preuve des efforts que R avait déployés après l</w:t>
      </w:r>
      <w:r w:rsidR="004C6C13">
        <w:rPr>
          <w:lang w:val="fr-CA"/>
        </w:rPr>
        <w:t>’</w:t>
      </w:r>
      <w:r w:rsidRPr="00C53C3A">
        <w:rPr>
          <w:lang w:val="fr-CA"/>
        </w:rPr>
        <w:t>infraction pour dissimuler le corps de Y et nettoyer les lieux de son décès. Le ministère public a aussi présenté des éléments de preuve démontrant que R avait tenté d</w:t>
      </w:r>
      <w:r w:rsidR="004C6C13">
        <w:rPr>
          <w:lang w:val="fr-CA"/>
        </w:rPr>
        <w:t>’</w:t>
      </w:r>
      <w:r w:rsidRPr="00C53C3A">
        <w:rPr>
          <w:lang w:val="fr-CA"/>
        </w:rPr>
        <w:t>échapper aux policiers et leur avait d</w:t>
      </w:r>
      <w:r w:rsidR="004C6C13">
        <w:rPr>
          <w:lang w:val="fr-CA"/>
        </w:rPr>
        <w:t>’</w:t>
      </w:r>
      <w:r w:rsidRPr="00C53C3A">
        <w:rPr>
          <w:lang w:val="fr-CA"/>
        </w:rPr>
        <w:t>abord menti au sujet de la personne responsable du décès de Y.</w:t>
      </w:r>
    </w:p>
    <w:p w:rsidR="002D6514" w:rsidRPr="00C53C3A" w:rsidRDefault="002D6514" w:rsidP="00AF284E">
      <w:pPr>
        <w:pStyle w:val="SCCNormalDoubleSpacing"/>
        <w:widowControl w:val="0"/>
        <w:spacing w:after="480"/>
        <w:rPr>
          <w:lang w:val="fr-CA"/>
        </w:rPr>
      </w:pPr>
      <w:r w:rsidRPr="00C53C3A">
        <w:rPr>
          <w:lang w:val="fr-CA"/>
        </w:rPr>
        <w:tab/>
        <w:t>Un jury a reconnu R coupable de meurtre au second degré</w:t>
      </w:r>
      <w:r>
        <w:rPr>
          <w:lang w:val="fr-CA"/>
        </w:rPr>
        <w:t xml:space="preserve">. </w:t>
      </w:r>
      <w:r w:rsidRPr="00C53C3A">
        <w:rPr>
          <w:lang w:val="fr-CA"/>
        </w:rPr>
        <w:t>En appel de sa déclaration de culpabilité, R a maintenu que le juge du procès n</w:t>
      </w:r>
      <w:r w:rsidR="004C6C13">
        <w:rPr>
          <w:lang w:val="fr-CA"/>
        </w:rPr>
        <w:t>’</w:t>
      </w:r>
      <w:r w:rsidRPr="00C53C3A">
        <w:rPr>
          <w:lang w:val="fr-CA"/>
        </w:rPr>
        <w:t>avait pas bien expliqué aux jurés les diverses façons dont ils pouvaient utiliser le comportement postérieur à l</w:t>
      </w:r>
      <w:r w:rsidR="004C6C13">
        <w:rPr>
          <w:lang w:val="fr-CA"/>
        </w:rPr>
        <w:t>’</w:t>
      </w:r>
      <w:r w:rsidRPr="00C53C3A">
        <w:rPr>
          <w:lang w:val="fr-CA"/>
        </w:rPr>
        <w:t>infraction de R et les façons dont ils ne pouvaient pas l</w:t>
      </w:r>
      <w:r w:rsidR="004C6C13">
        <w:rPr>
          <w:lang w:val="fr-CA"/>
        </w:rPr>
        <w:t>’</w:t>
      </w:r>
      <w:r w:rsidRPr="00C53C3A">
        <w:rPr>
          <w:lang w:val="fr-CA"/>
        </w:rPr>
        <w:t>utiliser. La Cour d</w:t>
      </w:r>
      <w:r w:rsidR="004C6C13">
        <w:rPr>
          <w:lang w:val="fr-CA"/>
        </w:rPr>
        <w:t>’</w:t>
      </w:r>
      <w:r w:rsidRPr="00C53C3A">
        <w:rPr>
          <w:lang w:val="fr-CA"/>
        </w:rPr>
        <w:t>appel à la majorité a accepté cet argument et a ordonné la tenue d</w:t>
      </w:r>
      <w:r w:rsidR="004C6C13">
        <w:rPr>
          <w:lang w:val="fr-CA"/>
        </w:rPr>
        <w:t>’</w:t>
      </w:r>
      <w:r w:rsidRPr="00C53C3A">
        <w:rPr>
          <w:lang w:val="fr-CA"/>
        </w:rPr>
        <w:t>un nouveau procès sur l</w:t>
      </w:r>
      <w:r w:rsidR="004C6C13">
        <w:rPr>
          <w:lang w:val="fr-CA"/>
        </w:rPr>
        <w:t>’</w:t>
      </w:r>
      <w:r w:rsidRPr="00C53C3A">
        <w:rPr>
          <w:lang w:val="fr-CA"/>
        </w:rPr>
        <w:t>accusation de meurtre au second degré.</w:t>
      </w:r>
    </w:p>
    <w:p w:rsidR="002D6514" w:rsidRPr="00C53C3A" w:rsidRDefault="002D6514" w:rsidP="00AF284E">
      <w:pPr>
        <w:pStyle w:val="SCCNormalDoubleSpacing"/>
        <w:widowControl w:val="0"/>
        <w:spacing w:after="480"/>
        <w:rPr>
          <w:lang w:val="fr-CA"/>
        </w:rPr>
      </w:pPr>
      <w:r w:rsidRPr="00C53C3A">
        <w:rPr>
          <w:lang w:val="fr-CA"/>
        </w:rPr>
        <w:lastRenderedPageBreak/>
        <w:tab/>
      </w:r>
      <w:r w:rsidRPr="00C53C3A">
        <w:rPr>
          <w:i/>
          <w:lang w:val="fr-CA"/>
        </w:rPr>
        <w:t>Arrêt</w:t>
      </w:r>
      <w:r w:rsidRPr="00C53C3A">
        <w:rPr>
          <w:lang w:val="fr-CA"/>
        </w:rPr>
        <w:t> : Le pourvoi est rejeté.</w:t>
      </w:r>
    </w:p>
    <w:p w:rsidR="002D6514" w:rsidRPr="00C53C3A" w:rsidRDefault="002D6514" w:rsidP="00AF284E">
      <w:pPr>
        <w:pStyle w:val="SCCNormalDoubleSpacing"/>
        <w:widowControl w:val="0"/>
        <w:spacing w:after="480"/>
        <w:rPr>
          <w:lang w:val="fr-CA"/>
        </w:rPr>
      </w:pPr>
      <w:r w:rsidRPr="00C53C3A">
        <w:rPr>
          <w:lang w:val="fr-CA"/>
        </w:rPr>
        <w:tab/>
        <w:t>Le ministère public admet que le juge du procès a commis une erreur en disant aux jurés qu</w:t>
      </w:r>
      <w:r w:rsidR="004C6C13">
        <w:rPr>
          <w:lang w:val="fr-CA"/>
        </w:rPr>
        <w:t>’</w:t>
      </w:r>
      <w:r w:rsidRPr="00C53C3A">
        <w:rPr>
          <w:lang w:val="fr-CA"/>
        </w:rPr>
        <w:t>ils pouvaient, pour se prononcer sur la question de l</w:t>
      </w:r>
      <w:r w:rsidR="004C6C13">
        <w:rPr>
          <w:lang w:val="fr-CA"/>
        </w:rPr>
        <w:t>’</w:t>
      </w:r>
      <w:r w:rsidRPr="00C53C3A">
        <w:rPr>
          <w:lang w:val="fr-CA"/>
        </w:rPr>
        <w:t>intention, prendre en compte le fait que R avait tenté d</w:t>
      </w:r>
      <w:r w:rsidR="004C6C13">
        <w:rPr>
          <w:lang w:val="fr-CA"/>
        </w:rPr>
        <w:t>’</w:t>
      </w:r>
      <w:r w:rsidRPr="00C53C3A">
        <w:rPr>
          <w:lang w:val="fr-CA"/>
        </w:rPr>
        <w:t>échapper aux policiers et leur avait menti. Les directives relatives aux autres comportements de R postérieurs à l</w:t>
      </w:r>
      <w:r w:rsidR="004C6C13">
        <w:rPr>
          <w:lang w:val="fr-CA"/>
        </w:rPr>
        <w:t>’</w:t>
      </w:r>
      <w:r w:rsidRPr="00C53C3A">
        <w:rPr>
          <w:lang w:val="fr-CA"/>
        </w:rPr>
        <w:t xml:space="preserve">infraction, soit la dissimulation du corps de </w:t>
      </w:r>
      <w:r>
        <w:rPr>
          <w:lang w:val="fr-CA"/>
        </w:rPr>
        <w:t xml:space="preserve">Y </w:t>
      </w:r>
      <w:r w:rsidRPr="00C53C3A">
        <w:rPr>
          <w:lang w:val="fr-CA"/>
        </w:rPr>
        <w:t xml:space="preserve">et le nettoyage des lieux de son décès, sont au cœur du présent pourvoi. </w:t>
      </w:r>
    </w:p>
    <w:p w:rsidR="002D6514" w:rsidRPr="00C53C3A" w:rsidRDefault="002D6514" w:rsidP="00AF284E">
      <w:pPr>
        <w:pStyle w:val="SCCNormalDoubleSpacing"/>
        <w:widowControl w:val="0"/>
        <w:spacing w:after="480"/>
        <w:rPr>
          <w:lang w:val="fr-CA"/>
        </w:rPr>
      </w:pPr>
      <w:r w:rsidRPr="00C53C3A">
        <w:rPr>
          <w:lang w:val="fr-CA"/>
        </w:rPr>
        <w:tab/>
        <w:t>Pour établir que R était coupable de meurtre plutôt que d</w:t>
      </w:r>
      <w:r w:rsidR="004C6C13">
        <w:rPr>
          <w:lang w:val="fr-CA"/>
        </w:rPr>
        <w:t>’</w:t>
      </w:r>
      <w:r w:rsidRPr="00C53C3A">
        <w:rPr>
          <w:lang w:val="fr-CA"/>
        </w:rPr>
        <w:t>homicide involontaire coupable, le ministère public devait prouver qu</w:t>
      </w:r>
      <w:r w:rsidR="004C6C13">
        <w:rPr>
          <w:lang w:val="fr-CA"/>
        </w:rPr>
        <w:t>’</w:t>
      </w:r>
      <w:r w:rsidRPr="00C53C3A">
        <w:rPr>
          <w:lang w:val="fr-CA"/>
        </w:rPr>
        <w:t>il avait l</w:t>
      </w:r>
      <w:r w:rsidR="004C6C13">
        <w:rPr>
          <w:lang w:val="fr-CA"/>
        </w:rPr>
        <w:t>’</w:t>
      </w:r>
      <w:r w:rsidRPr="00C53C3A">
        <w:rPr>
          <w:lang w:val="fr-CA"/>
        </w:rPr>
        <w:t>intention de causer la mort de Y ou de lui infliger des lésions corporelles qu</w:t>
      </w:r>
      <w:r w:rsidR="004C6C13">
        <w:rPr>
          <w:lang w:val="fr-CA"/>
        </w:rPr>
        <w:t>’</w:t>
      </w:r>
      <w:r w:rsidRPr="00C53C3A">
        <w:rPr>
          <w:lang w:val="fr-CA"/>
        </w:rPr>
        <w:t>il savait être de nature à causer la mort. La pierre angulaire de sa thèse résidait dans la nature et la gravité des blessures subies par Y ainsi que le degré de force requis pour les lui infliger. Le ministère public a plaidé que la preuve médicolégale révélait une altercation physique plus prolongée et violente que ce que R avait laissé entendre dans sa version des faits.</w:t>
      </w:r>
    </w:p>
    <w:p w:rsidR="002D6514" w:rsidRPr="00C53C3A" w:rsidRDefault="002D6514" w:rsidP="00AF284E">
      <w:pPr>
        <w:pStyle w:val="SCCNormalDoubleSpacing"/>
        <w:widowControl w:val="0"/>
        <w:spacing w:after="480"/>
        <w:rPr>
          <w:lang w:val="fr-CA"/>
        </w:rPr>
      </w:pPr>
      <w:r w:rsidRPr="00C53C3A">
        <w:rPr>
          <w:lang w:val="fr-CA"/>
        </w:rPr>
        <w:tab/>
        <w:t>Il est relativement aisé de comprendre de quelle façon les efforts déployés par R pour dissimuler le corps et nettoyer les lieux pouvaient étayer l</w:t>
      </w:r>
      <w:r w:rsidR="004C6C13">
        <w:rPr>
          <w:lang w:val="fr-CA"/>
        </w:rPr>
        <w:t>’</w:t>
      </w:r>
      <w:r w:rsidRPr="00C53C3A">
        <w:rPr>
          <w:lang w:val="fr-CA"/>
        </w:rPr>
        <w:t>inférence qu</w:t>
      </w:r>
      <w:r w:rsidR="004C6C13">
        <w:rPr>
          <w:lang w:val="fr-CA"/>
        </w:rPr>
        <w:t>’</w:t>
      </w:r>
      <w:r w:rsidRPr="00C53C3A">
        <w:rPr>
          <w:lang w:val="fr-CA"/>
        </w:rPr>
        <w:t>il a agi de façon illégale. Toutefois, ces efforts pouvaient également permettre de conclure que R avait tenté de dissimuler le corps de Y et de nettoyer les lieux de son décès afin de dissimuler la nature et la gravité des blessures qu</w:t>
      </w:r>
      <w:r w:rsidR="004C6C13">
        <w:rPr>
          <w:lang w:val="fr-CA"/>
        </w:rPr>
        <w:t>’</w:t>
      </w:r>
      <w:r w:rsidRPr="00C53C3A">
        <w:rPr>
          <w:lang w:val="fr-CA"/>
        </w:rPr>
        <w:t>elle avait subies, ainsi que le degré de force requis pour les infliger. Ces éléments auraient à leur tour pu être pertinents pour trancher la question de l</w:t>
      </w:r>
      <w:r w:rsidR="004C6C13">
        <w:rPr>
          <w:lang w:val="fr-CA"/>
        </w:rPr>
        <w:t>’</w:t>
      </w:r>
      <w:r w:rsidRPr="00C53C3A">
        <w:rPr>
          <w:lang w:val="fr-CA"/>
        </w:rPr>
        <w:t xml:space="preserve">intention requise pour commettre un </w:t>
      </w:r>
      <w:r w:rsidRPr="00C53C3A">
        <w:rPr>
          <w:lang w:val="fr-CA"/>
        </w:rPr>
        <w:lastRenderedPageBreak/>
        <w:t>meurtre : plus les blessures étaient graves et plus la force requise pour les infliger était grande, plus il était possible d</w:t>
      </w:r>
      <w:r w:rsidR="004C6C13">
        <w:rPr>
          <w:lang w:val="fr-CA"/>
        </w:rPr>
        <w:t>’</w:t>
      </w:r>
      <w:r w:rsidRPr="00C53C3A">
        <w:rPr>
          <w:lang w:val="fr-CA"/>
        </w:rPr>
        <w:t>en déduire qu</w:t>
      </w:r>
      <w:r w:rsidR="004C6C13">
        <w:rPr>
          <w:lang w:val="fr-CA"/>
        </w:rPr>
        <w:t>’</w:t>
      </w:r>
      <w:r w:rsidRPr="00C53C3A">
        <w:rPr>
          <w:lang w:val="fr-CA"/>
        </w:rPr>
        <w:t>il avait l</w:t>
      </w:r>
      <w:r w:rsidR="004C6C13">
        <w:rPr>
          <w:lang w:val="fr-CA"/>
        </w:rPr>
        <w:t>’</w:t>
      </w:r>
      <w:r w:rsidRPr="00C53C3A">
        <w:rPr>
          <w:lang w:val="fr-CA"/>
        </w:rPr>
        <w:t>intention de la tuer ou de lui causer des lésions corporelles qu</w:t>
      </w:r>
      <w:r w:rsidR="004C6C13">
        <w:rPr>
          <w:lang w:val="fr-CA"/>
        </w:rPr>
        <w:t>’</w:t>
      </w:r>
      <w:r w:rsidRPr="00C53C3A">
        <w:rPr>
          <w:lang w:val="fr-CA"/>
        </w:rPr>
        <w:t>il savait être de nature à causer la mort.</w:t>
      </w:r>
    </w:p>
    <w:p w:rsidR="002D6514" w:rsidRPr="00C53C3A" w:rsidRDefault="002D6514" w:rsidP="00AF284E">
      <w:pPr>
        <w:pStyle w:val="SCCNormalDoubleSpacing"/>
        <w:widowControl w:val="0"/>
        <w:spacing w:after="480"/>
        <w:rPr>
          <w:lang w:val="fr-CA"/>
        </w:rPr>
      </w:pPr>
      <w:r w:rsidRPr="00C53C3A">
        <w:rPr>
          <w:lang w:val="fr-CA"/>
        </w:rPr>
        <w:tab/>
        <w:t>Ce raisonnement par déduction était ténu et la pertinence de la preuve était faible. Le juge du procès aurait dû aider le jury en lui donnant des directives précises sur la façon d</w:t>
      </w:r>
      <w:r w:rsidR="004C6C13">
        <w:rPr>
          <w:lang w:val="fr-CA"/>
        </w:rPr>
        <w:t>’</w:t>
      </w:r>
      <w:r w:rsidRPr="00C53C3A">
        <w:rPr>
          <w:lang w:val="fr-CA"/>
        </w:rPr>
        <w:t>utiliser ces éléments de preuve pour l</w:t>
      </w:r>
      <w:r w:rsidR="004C6C13">
        <w:rPr>
          <w:lang w:val="fr-CA"/>
        </w:rPr>
        <w:t>’</w:t>
      </w:r>
      <w:r w:rsidRPr="00C53C3A">
        <w:rPr>
          <w:lang w:val="fr-CA"/>
        </w:rPr>
        <w:t>examen de la question de l</w:t>
      </w:r>
      <w:r w:rsidR="004C6C13">
        <w:rPr>
          <w:lang w:val="fr-CA"/>
        </w:rPr>
        <w:t>’</w:t>
      </w:r>
      <w:r w:rsidRPr="00C53C3A">
        <w:rPr>
          <w:lang w:val="fr-CA"/>
        </w:rPr>
        <w:t>intention. Cependant, les sections des directives au jury concernant l</w:t>
      </w:r>
      <w:r w:rsidR="004C6C13">
        <w:rPr>
          <w:lang w:val="fr-CA"/>
        </w:rPr>
        <w:t>’</w:t>
      </w:r>
      <w:r w:rsidRPr="00C53C3A">
        <w:rPr>
          <w:lang w:val="fr-CA"/>
        </w:rPr>
        <w:t>intention n</w:t>
      </w:r>
      <w:r w:rsidR="004C6C13">
        <w:rPr>
          <w:lang w:val="fr-CA"/>
        </w:rPr>
        <w:t>’</w:t>
      </w:r>
      <w:r w:rsidRPr="00C53C3A">
        <w:rPr>
          <w:lang w:val="fr-CA"/>
        </w:rPr>
        <w:t>ont pas établi de lien entre, d</w:t>
      </w:r>
      <w:r w:rsidR="004C6C13">
        <w:rPr>
          <w:lang w:val="fr-CA"/>
        </w:rPr>
        <w:t>’</w:t>
      </w:r>
      <w:r w:rsidRPr="00C53C3A">
        <w:rPr>
          <w:lang w:val="fr-CA"/>
        </w:rPr>
        <w:t>une part, les éléments de preuve relatifs à la dissimulation et au nettoyage et, d</w:t>
      </w:r>
      <w:r w:rsidR="004C6C13">
        <w:rPr>
          <w:lang w:val="fr-CA"/>
        </w:rPr>
        <w:t>’</w:t>
      </w:r>
      <w:r w:rsidRPr="00C53C3A">
        <w:rPr>
          <w:lang w:val="fr-CA"/>
        </w:rPr>
        <w:t>autre part, la nature et la gravité des blessures infligées à Y ainsi que la force requise pour les infliger. Les directives ont plutôt simplement répété l</w:t>
      </w:r>
      <w:r w:rsidR="004C6C13">
        <w:rPr>
          <w:lang w:val="fr-CA"/>
        </w:rPr>
        <w:t>’</w:t>
      </w:r>
      <w:r w:rsidRPr="00C53C3A">
        <w:rPr>
          <w:lang w:val="fr-CA"/>
        </w:rPr>
        <w:t>existence de ces éléments de preuve et ont dit aux jurés qu</w:t>
      </w:r>
      <w:r w:rsidR="004C6C13">
        <w:rPr>
          <w:lang w:val="fr-CA"/>
        </w:rPr>
        <w:t>’</w:t>
      </w:r>
      <w:r w:rsidRPr="00C53C3A">
        <w:rPr>
          <w:lang w:val="fr-CA"/>
        </w:rPr>
        <w:t>ils devaient en tenir compte au même titre que tous les autres éléments de preuve. Il s</w:t>
      </w:r>
      <w:r w:rsidR="004C6C13">
        <w:rPr>
          <w:lang w:val="fr-CA"/>
        </w:rPr>
        <w:t>’</w:t>
      </w:r>
      <w:r w:rsidRPr="00C53C3A">
        <w:rPr>
          <w:lang w:val="fr-CA"/>
        </w:rPr>
        <w:t>agissait là d</w:t>
      </w:r>
      <w:r w:rsidR="004C6C13">
        <w:rPr>
          <w:lang w:val="fr-CA"/>
        </w:rPr>
        <w:t>’</w:t>
      </w:r>
      <w:r w:rsidRPr="00C53C3A">
        <w:rPr>
          <w:lang w:val="fr-CA"/>
        </w:rPr>
        <w:t>une erreur de droit qui créait un risque que le jury déclare R coupable de meurtre en se fondant uniquement sur l</w:t>
      </w:r>
      <w:r w:rsidR="004C6C13">
        <w:rPr>
          <w:lang w:val="fr-CA"/>
        </w:rPr>
        <w:t>’</w:t>
      </w:r>
      <w:r w:rsidRPr="00C53C3A">
        <w:rPr>
          <w:lang w:val="fr-CA"/>
        </w:rPr>
        <w:t>inférence plus générale que la dissimulation et le nettoyage indiquaient que R était conscient de sa culpabilité et qu</w:t>
      </w:r>
      <w:r w:rsidR="004C6C13">
        <w:rPr>
          <w:lang w:val="fr-CA"/>
        </w:rPr>
        <w:t>’</w:t>
      </w:r>
      <w:r w:rsidRPr="00C53C3A">
        <w:rPr>
          <w:lang w:val="fr-CA"/>
        </w:rPr>
        <w:t>il voulait empêcher que l</w:t>
      </w:r>
      <w:r w:rsidR="004C6C13">
        <w:rPr>
          <w:lang w:val="fr-CA"/>
        </w:rPr>
        <w:t>’</w:t>
      </w:r>
      <w:r w:rsidRPr="00C53C3A">
        <w:rPr>
          <w:lang w:val="fr-CA"/>
        </w:rPr>
        <w:t>on découvre qu</w:t>
      </w:r>
      <w:r w:rsidR="004C6C13">
        <w:rPr>
          <w:lang w:val="fr-CA"/>
        </w:rPr>
        <w:t>’</w:t>
      </w:r>
      <w:r w:rsidRPr="00C53C3A">
        <w:rPr>
          <w:lang w:val="fr-CA"/>
        </w:rPr>
        <w:t>il avait causé illégalement la mort de quelqu</w:t>
      </w:r>
      <w:r w:rsidR="004C6C13">
        <w:rPr>
          <w:lang w:val="fr-CA"/>
        </w:rPr>
        <w:t>’</w:t>
      </w:r>
      <w:r w:rsidRPr="00C53C3A">
        <w:rPr>
          <w:lang w:val="fr-CA"/>
        </w:rPr>
        <w:t>un.</w:t>
      </w:r>
    </w:p>
    <w:p w:rsidR="002D6514" w:rsidRPr="00C53C3A" w:rsidRDefault="002D6514" w:rsidP="00AF284E">
      <w:pPr>
        <w:pStyle w:val="SCCNormalDoubleSpacing"/>
        <w:widowControl w:val="0"/>
        <w:spacing w:after="480"/>
        <w:rPr>
          <w:lang w:val="fr-CA"/>
        </w:rPr>
      </w:pPr>
      <w:r w:rsidRPr="00C53C3A">
        <w:rPr>
          <w:lang w:val="fr-CA"/>
        </w:rPr>
        <w:tab/>
        <w:t>Après que le jury eût écarté la légitime défense, la question de l</w:t>
      </w:r>
      <w:r w:rsidR="004C6C13">
        <w:rPr>
          <w:lang w:val="fr-CA"/>
        </w:rPr>
        <w:t>’</w:t>
      </w:r>
      <w:r w:rsidRPr="00C53C3A">
        <w:rPr>
          <w:lang w:val="fr-CA"/>
        </w:rPr>
        <w:t>intention de R devenait la question cruciale au procès. En outre, la preuve du ministère public n</w:t>
      </w:r>
      <w:r w:rsidR="004C6C13">
        <w:rPr>
          <w:lang w:val="fr-CA"/>
        </w:rPr>
        <w:t>’</w:t>
      </w:r>
      <w:r w:rsidRPr="00C53C3A">
        <w:rPr>
          <w:lang w:val="fr-CA"/>
        </w:rPr>
        <w:t>était pas accablante. En conséquence, la disposition réparatrice ne s</w:t>
      </w:r>
      <w:r w:rsidR="004C6C13">
        <w:rPr>
          <w:lang w:val="fr-CA"/>
        </w:rPr>
        <w:t>’</w:t>
      </w:r>
      <w:r w:rsidRPr="00C53C3A">
        <w:rPr>
          <w:lang w:val="fr-CA"/>
        </w:rPr>
        <w:t>applique pas et R a droit à un nouveau procès pour meurtre au second degré.</w:t>
      </w:r>
    </w:p>
    <w:p w:rsidR="002D6514" w:rsidRPr="00C53C3A" w:rsidRDefault="002D6514" w:rsidP="00AF284E">
      <w:pPr>
        <w:pStyle w:val="SCCNormalDoubleSpacing"/>
        <w:widowControl w:val="0"/>
        <w:spacing w:after="480"/>
        <w:rPr>
          <w:lang w:val="fr-CA"/>
        </w:rPr>
      </w:pPr>
      <w:r w:rsidRPr="00C53C3A">
        <w:rPr>
          <w:lang w:val="fr-CA"/>
        </w:rPr>
        <w:lastRenderedPageBreak/>
        <w:tab/>
        <w:t xml:space="preserve">Le ministère </w:t>
      </w:r>
      <w:r w:rsidR="004C6C13">
        <w:rPr>
          <w:lang w:val="fr-CA"/>
        </w:rPr>
        <w:t>public et le juge dissident en C</w:t>
      </w:r>
      <w:r w:rsidRPr="00C53C3A">
        <w:rPr>
          <w:lang w:val="fr-CA"/>
        </w:rPr>
        <w:t>our d</w:t>
      </w:r>
      <w:r w:rsidR="004C6C13">
        <w:rPr>
          <w:lang w:val="fr-CA"/>
        </w:rPr>
        <w:t>’</w:t>
      </w:r>
      <w:r w:rsidRPr="00C53C3A">
        <w:rPr>
          <w:lang w:val="fr-CA"/>
        </w:rPr>
        <w:t>appel se sont dits préoccupés par le fait qu</w:t>
      </w:r>
      <w:r w:rsidR="004C6C13">
        <w:rPr>
          <w:lang w:val="fr-CA"/>
        </w:rPr>
        <w:t>’</w:t>
      </w:r>
      <w:r w:rsidRPr="00C53C3A">
        <w:rPr>
          <w:lang w:val="fr-CA"/>
        </w:rPr>
        <w:t>exiger des directives plus précises sur les éléments de preuve relatifs à la dissimulation et au nettoyage pourrait alimenter davantage la tendance vers des exposés au jury plus longs et plus complexes. Bien que ces préoccupations soient légitimes, quelques modestes modifications auraient produit un exposé sans erreurs de droit. Par ailleurs, un grand nombre des directives qui y figuraient auraient pu et auraient dû être supprimées. La longueur, les redites et la complexité de l</w:t>
      </w:r>
      <w:r w:rsidR="004C6C13">
        <w:rPr>
          <w:lang w:val="fr-CA"/>
        </w:rPr>
        <w:t>’</w:t>
      </w:r>
      <w:r w:rsidRPr="00C53C3A">
        <w:rPr>
          <w:lang w:val="fr-CA"/>
        </w:rPr>
        <w:t>exposé au jury n</w:t>
      </w:r>
      <w:r w:rsidR="004C6C13">
        <w:rPr>
          <w:lang w:val="fr-CA"/>
        </w:rPr>
        <w:t>’</w:t>
      </w:r>
      <w:r w:rsidRPr="00C53C3A">
        <w:rPr>
          <w:lang w:val="fr-CA"/>
        </w:rPr>
        <w:t>étaient pas justifiées.</w:t>
      </w:r>
    </w:p>
    <w:p w:rsidR="002D6514" w:rsidRPr="00C53C3A" w:rsidRDefault="002D6514" w:rsidP="00AF284E">
      <w:pPr>
        <w:pStyle w:val="SCCNormalDoubleSpacing"/>
        <w:widowControl w:val="0"/>
        <w:spacing w:after="480"/>
        <w:rPr>
          <w:lang w:val="fr-CA"/>
        </w:rPr>
      </w:pPr>
      <w:r w:rsidRPr="00C53C3A">
        <w:rPr>
          <w:lang w:val="fr-CA"/>
        </w:rPr>
        <w:tab/>
        <w:t>Le juge du procès doit atteindre un équilibre délicat en rédigeant un exposé au jury qui est à la fois complet et compréhensible. Il va tout autant à l</w:t>
      </w:r>
      <w:r w:rsidR="004C6C13">
        <w:rPr>
          <w:lang w:val="fr-CA"/>
        </w:rPr>
        <w:t>’</w:t>
      </w:r>
      <w:r w:rsidRPr="00C53C3A">
        <w:rPr>
          <w:lang w:val="fr-CA"/>
        </w:rPr>
        <w:t>encontre de ce rôle de donner des directives trop longues que de faire un exposé trop court. Les juges du procès ont entrepris de citer de longs passages de recueils de modèles de directives pour protéger leurs verdicts contre les appels. Mais les recueils de modèles de directives ne se transforment pas nécessairement en directives modèles. Ils sont là pour guider, non pour prescrire. Le défaut d</w:t>
      </w:r>
      <w:r w:rsidR="004C6C13">
        <w:rPr>
          <w:lang w:val="fr-CA"/>
        </w:rPr>
        <w:t>’</w:t>
      </w:r>
      <w:r w:rsidRPr="00C53C3A">
        <w:rPr>
          <w:lang w:val="fr-CA"/>
        </w:rPr>
        <w:t>isoler les questions critiques dans une affaire et d</w:t>
      </w:r>
      <w:r w:rsidR="004C6C13">
        <w:rPr>
          <w:lang w:val="fr-CA"/>
        </w:rPr>
        <w:t>’</w:t>
      </w:r>
      <w:r w:rsidRPr="00C53C3A">
        <w:rPr>
          <w:lang w:val="fr-CA"/>
        </w:rPr>
        <w:t>adapter les exposés à ces questions rend inévitablement les directives moins utiles au jury. L</w:t>
      </w:r>
      <w:r w:rsidR="004C6C13">
        <w:rPr>
          <w:lang w:val="fr-CA"/>
        </w:rPr>
        <w:t>’</w:t>
      </w:r>
      <w:r w:rsidRPr="00C53C3A">
        <w:rPr>
          <w:lang w:val="fr-CA"/>
        </w:rPr>
        <w:t>objectif fondamental des directives au jury doit être d</w:t>
      </w:r>
      <w:r w:rsidR="004C6C13">
        <w:rPr>
          <w:lang w:val="fr-CA"/>
        </w:rPr>
        <w:t>’</w:t>
      </w:r>
      <w:r w:rsidRPr="00C53C3A">
        <w:rPr>
          <w:lang w:val="fr-CA"/>
        </w:rPr>
        <w:t>éduquer et non de compliquer les choses.</w:t>
      </w:r>
    </w:p>
    <w:p w:rsidR="002D6514" w:rsidRPr="00C53C3A" w:rsidRDefault="002D6514" w:rsidP="00AF284E">
      <w:pPr>
        <w:pStyle w:val="SCCNormalDoubleSpacing"/>
        <w:widowControl w:val="0"/>
        <w:spacing w:after="480"/>
        <w:rPr>
          <w:b/>
          <w:lang w:val="fr-CA"/>
        </w:rPr>
      </w:pPr>
      <w:r w:rsidRPr="00C53C3A">
        <w:rPr>
          <w:b/>
          <w:lang w:val="fr-CA"/>
        </w:rPr>
        <w:t>Jurisprudence</w:t>
      </w:r>
    </w:p>
    <w:p w:rsidR="002D6514" w:rsidRPr="00C53C3A" w:rsidRDefault="002D6514" w:rsidP="00AF284E">
      <w:pPr>
        <w:pStyle w:val="SCCNormalDoubleSpacing"/>
        <w:widowControl w:val="0"/>
        <w:spacing w:after="480"/>
        <w:rPr>
          <w:b/>
          <w:lang w:val="fr-CA"/>
        </w:rPr>
      </w:pPr>
      <w:r w:rsidRPr="00C53C3A">
        <w:rPr>
          <w:lang w:val="fr-CA"/>
        </w:rPr>
        <w:tab/>
      </w:r>
      <w:r w:rsidRPr="00C53C3A">
        <w:rPr>
          <w:b/>
          <w:lang w:val="fr-CA"/>
        </w:rPr>
        <w:t>Arrêts mentionnés :</w:t>
      </w:r>
      <w:r w:rsidRPr="00C53C3A">
        <w:rPr>
          <w:lang w:val="fr-CA"/>
        </w:rPr>
        <w:t xml:space="preserve"> </w:t>
      </w:r>
      <w:r w:rsidRPr="00C53C3A">
        <w:rPr>
          <w:i/>
          <w:lang w:val="fr-CA"/>
        </w:rPr>
        <w:t>R. c. Morin</w:t>
      </w:r>
      <w:r w:rsidRPr="00C53C3A">
        <w:rPr>
          <w:lang w:val="fr-CA"/>
        </w:rPr>
        <w:t xml:space="preserve">, [1988] 2 R.C.S. 345; </w:t>
      </w:r>
      <w:r w:rsidRPr="00C53C3A">
        <w:rPr>
          <w:i/>
          <w:lang w:val="fr-CA"/>
        </w:rPr>
        <w:t>R. c. White</w:t>
      </w:r>
      <w:r w:rsidRPr="00C53C3A">
        <w:rPr>
          <w:lang w:val="fr-CA"/>
        </w:rPr>
        <w:t xml:space="preserve">, [1998] 2 R.C.S. 72; </w:t>
      </w:r>
      <w:r w:rsidRPr="00C53C3A">
        <w:rPr>
          <w:i/>
          <w:lang w:val="fr-CA"/>
        </w:rPr>
        <w:t>R. c. White</w:t>
      </w:r>
      <w:r w:rsidRPr="00C53C3A">
        <w:rPr>
          <w:lang w:val="fr-CA"/>
        </w:rPr>
        <w:t xml:space="preserve">, 2011 CSC 13, [2011] 1 R.C.S. 433; </w:t>
      </w:r>
      <w:r w:rsidRPr="00C53C3A">
        <w:rPr>
          <w:i/>
          <w:lang w:val="fr-CA"/>
        </w:rPr>
        <w:t>R. c. Daley</w:t>
      </w:r>
      <w:r w:rsidRPr="00C53C3A">
        <w:rPr>
          <w:lang w:val="fr-CA"/>
        </w:rPr>
        <w:t xml:space="preserve">, 2007 </w:t>
      </w:r>
      <w:r w:rsidRPr="00C53C3A">
        <w:rPr>
          <w:lang w:val="fr-CA"/>
        </w:rPr>
        <w:lastRenderedPageBreak/>
        <w:t xml:space="preserve">CSC 53, [2007] 3 R.C.S. 523; </w:t>
      </w:r>
      <w:r w:rsidRPr="00C53C3A">
        <w:rPr>
          <w:i/>
          <w:lang w:val="fr-CA"/>
        </w:rPr>
        <w:t>R. c. Jack</w:t>
      </w:r>
      <w:r w:rsidRPr="00C53C3A">
        <w:rPr>
          <w:lang w:val="fr-CA"/>
        </w:rPr>
        <w:t xml:space="preserve"> (1993), 88 Man. R. (2d) 93, conf. par [1994] 2 R.C.S. 310; </w:t>
      </w:r>
      <w:r w:rsidRPr="00C53C3A">
        <w:rPr>
          <w:i/>
          <w:lang w:val="fr-CA"/>
        </w:rPr>
        <w:t>R. c. Jacquard</w:t>
      </w:r>
      <w:r w:rsidRPr="00C53C3A">
        <w:rPr>
          <w:lang w:val="fr-CA"/>
        </w:rPr>
        <w:t xml:space="preserve">, [1997] 1 R.C.S. 314; </w:t>
      </w:r>
      <w:r w:rsidRPr="00C53C3A">
        <w:rPr>
          <w:i/>
          <w:lang w:val="fr-CA"/>
        </w:rPr>
        <w:t>R. c. Hebert</w:t>
      </w:r>
      <w:r w:rsidRPr="00C53C3A">
        <w:rPr>
          <w:lang w:val="fr-CA"/>
        </w:rPr>
        <w:t xml:space="preserve">, [1996] 2 R.C.S. 272; </w:t>
      </w:r>
      <w:r w:rsidRPr="00C53C3A">
        <w:rPr>
          <w:i/>
          <w:lang w:val="fr-CA"/>
        </w:rPr>
        <w:t>R. c. Mathisen</w:t>
      </w:r>
      <w:r w:rsidRPr="00C53C3A">
        <w:rPr>
          <w:lang w:val="fr-CA"/>
        </w:rPr>
        <w:t xml:space="preserve">, 2008 ONCA 747, 239 C.C.C. (3d) 63; </w:t>
      </w:r>
      <w:r w:rsidRPr="00C53C3A">
        <w:rPr>
          <w:i/>
          <w:lang w:val="fr-CA"/>
        </w:rPr>
        <w:t>R. c. Pintar</w:t>
      </w:r>
      <w:r w:rsidRPr="00C53C3A">
        <w:rPr>
          <w:lang w:val="fr-CA"/>
        </w:rPr>
        <w:t xml:space="preserve"> (1996), 30 O.R. (3d) 483; </w:t>
      </w:r>
      <w:r w:rsidRPr="00C53C3A">
        <w:rPr>
          <w:i/>
          <w:lang w:val="fr-CA"/>
        </w:rPr>
        <w:t>R. c. Mack</w:t>
      </w:r>
      <w:r w:rsidRPr="00C53C3A">
        <w:rPr>
          <w:lang w:val="fr-CA"/>
        </w:rPr>
        <w:t xml:space="preserve">, 2014 CSC 58, [2014] 3 R.C.S. 3; </w:t>
      </w:r>
      <w:r w:rsidRPr="00C53C3A">
        <w:rPr>
          <w:i/>
          <w:lang w:val="fr-CA"/>
        </w:rPr>
        <w:t>R. c. McNeil</w:t>
      </w:r>
      <w:r w:rsidRPr="00C53C3A">
        <w:rPr>
          <w:lang w:val="fr-CA"/>
        </w:rPr>
        <w:t xml:space="preserve"> (2006), 84 O.R. (3d) 125; </w:t>
      </w:r>
      <w:r w:rsidRPr="00C53C3A">
        <w:rPr>
          <w:i/>
          <w:lang w:val="fr-CA"/>
        </w:rPr>
        <w:t>R. c. Zebedee</w:t>
      </w:r>
      <w:r w:rsidRPr="00C53C3A">
        <w:rPr>
          <w:lang w:val="fr-CA"/>
        </w:rPr>
        <w:t xml:space="preserve"> (2006), 81 O.R. (3d) 583.</w:t>
      </w:r>
    </w:p>
    <w:p w:rsidR="002D6514" w:rsidRPr="00C53C3A" w:rsidRDefault="002D6514" w:rsidP="00AF284E">
      <w:pPr>
        <w:pStyle w:val="SCCNormalDoubleSpacing"/>
        <w:widowControl w:val="0"/>
        <w:spacing w:after="720" w:line="240" w:lineRule="auto"/>
        <w:rPr>
          <w:b/>
          <w:lang w:val="fr-CA"/>
        </w:rPr>
      </w:pPr>
      <w:r w:rsidRPr="00C53C3A">
        <w:rPr>
          <w:b/>
          <w:lang w:val="fr-CA"/>
        </w:rPr>
        <w:t>Lois et règlements cités</w:t>
      </w:r>
    </w:p>
    <w:p w:rsidR="002D6514" w:rsidRPr="00C53C3A" w:rsidRDefault="002D6514" w:rsidP="00AF284E">
      <w:pPr>
        <w:pStyle w:val="SCCNormalDoubleSpacing"/>
        <w:widowControl w:val="0"/>
        <w:spacing w:after="720" w:line="240" w:lineRule="auto"/>
        <w:ind w:left="540" w:hanging="540"/>
        <w:rPr>
          <w:lang w:val="fr-CA"/>
        </w:rPr>
      </w:pPr>
      <w:r w:rsidRPr="00C53C3A">
        <w:rPr>
          <w:i/>
          <w:lang w:val="fr-CA"/>
        </w:rPr>
        <w:t>Code criminel</w:t>
      </w:r>
      <w:r w:rsidRPr="00C53C3A">
        <w:rPr>
          <w:lang w:val="fr-CA"/>
        </w:rPr>
        <w:t>, L.R.C. 1985, c. C</w:t>
      </w:r>
      <w:r w:rsidRPr="00C53C3A">
        <w:rPr>
          <w:lang w:val="fr-CA"/>
        </w:rPr>
        <w:noBreakHyphen/>
        <w:t>46, art. 34(1) [mod. 2012, c. 9, art. 2], (2) [</w:t>
      </w:r>
      <w:r w:rsidRPr="00C53C3A">
        <w:rPr>
          <w:i/>
          <w:lang w:val="fr-CA"/>
        </w:rPr>
        <w:t>idem</w:t>
      </w:r>
      <w:r w:rsidRPr="00C53C3A">
        <w:rPr>
          <w:lang w:val="fr-CA"/>
        </w:rPr>
        <w:t>], 35 [</w:t>
      </w:r>
      <w:r w:rsidRPr="00C53C3A">
        <w:rPr>
          <w:i/>
          <w:lang w:val="fr-CA"/>
        </w:rPr>
        <w:t>idem</w:t>
      </w:r>
      <w:r w:rsidRPr="00C53C3A">
        <w:rPr>
          <w:lang w:val="fr-CA"/>
        </w:rPr>
        <w:t>], 686(1)</w:t>
      </w:r>
      <w:r w:rsidRPr="00C53C3A">
        <w:rPr>
          <w:i/>
          <w:lang w:val="fr-CA"/>
        </w:rPr>
        <w:t>b</w:t>
      </w:r>
      <w:r w:rsidRPr="00C53C3A">
        <w:rPr>
          <w:lang w:val="fr-CA"/>
        </w:rPr>
        <w:t>)(iii).</w:t>
      </w:r>
    </w:p>
    <w:p w:rsidR="002D6514" w:rsidRPr="00C53C3A" w:rsidRDefault="002D6514" w:rsidP="00AF284E">
      <w:pPr>
        <w:pStyle w:val="SCCNormalDoubleSpacing"/>
        <w:widowControl w:val="0"/>
        <w:spacing w:after="720" w:line="240" w:lineRule="auto"/>
        <w:rPr>
          <w:b/>
          <w:lang w:val="fr-CA"/>
        </w:rPr>
      </w:pPr>
      <w:r w:rsidRPr="00C53C3A">
        <w:rPr>
          <w:b/>
          <w:lang w:val="fr-CA"/>
        </w:rPr>
        <w:t>Doctrine et autres documents cités</w:t>
      </w:r>
    </w:p>
    <w:p w:rsidR="002D6514" w:rsidRPr="00C53C3A" w:rsidRDefault="002D6514" w:rsidP="00AF284E">
      <w:pPr>
        <w:pStyle w:val="SCCNormalDoubleSpacing"/>
        <w:widowControl w:val="0"/>
        <w:spacing w:after="240" w:line="240" w:lineRule="auto"/>
        <w:ind w:left="539" w:hanging="539"/>
      </w:pPr>
      <w:r w:rsidRPr="001F72F4">
        <w:rPr>
          <w:lang w:val="fr-CA"/>
        </w:rPr>
        <w:t xml:space="preserve">Granger, Christopher. </w:t>
      </w:r>
      <w:r w:rsidRPr="00C53C3A">
        <w:rPr>
          <w:i/>
        </w:rPr>
        <w:t>The Criminal Jury Trial in Canada</w:t>
      </w:r>
      <w:r w:rsidRPr="00C53C3A">
        <w:t>, 2nd ed., Scarborough (Ont.), Carswell, 1996.</w:t>
      </w:r>
    </w:p>
    <w:p w:rsidR="002D6514" w:rsidRPr="00C53C3A" w:rsidRDefault="002D6514" w:rsidP="00AF284E">
      <w:pPr>
        <w:pStyle w:val="SCCNormalDoubleSpacing"/>
        <w:widowControl w:val="0"/>
        <w:spacing w:after="240" w:line="240" w:lineRule="auto"/>
        <w:ind w:left="539" w:hanging="539"/>
      </w:pPr>
      <w:r w:rsidRPr="00C53C3A">
        <w:t xml:space="preserve">Watt, David. </w:t>
      </w:r>
      <w:r w:rsidRPr="00C53C3A">
        <w:rPr>
          <w:i/>
        </w:rPr>
        <w:t>Helping Jurors Understand</w:t>
      </w:r>
      <w:r w:rsidRPr="00C53C3A">
        <w:t>, Toronto, Thomson Carswell, 2007.</w:t>
      </w:r>
    </w:p>
    <w:p w:rsidR="002D6514" w:rsidRPr="00C53C3A" w:rsidRDefault="002D6514" w:rsidP="00AF284E">
      <w:pPr>
        <w:pStyle w:val="SCCNormalDoubleSpacing"/>
        <w:widowControl w:val="0"/>
        <w:spacing w:after="720" w:line="240" w:lineRule="auto"/>
        <w:ind w:left="539" w:hanging="539"/>
      </w:pPr>
      <w:r w:rsidRPr="00C53C3A">
        <w:t xml:space="preserve">Watt, David. </w:t>
      </w:r>
      <w:r w:rsidRPr="00C53C3A">
        <w:rPr>
          <w:i/>
        </w:rPr>
        <w:t>Ontario Specimen Jury Instructions (Criminal)</w:t>
      </w:r>
      <w:r w:rsidRPr="00C53C3A">
        <w:t>, Toronto, Thomson Carswell, 2003.</w:t>
      </w:r>
    </w:p>
    <w:p w:rsidR="002D6514" w:rsidRPr="00C53C3A" w:rsidRDefault="002D6514" w:rsidP="00AF284E">
      <w:pPr>
        <w:pStyle w:val="SCCNormalDoubleSpacing"/>
        <w:widowControl w:val="0"/>
        <w:spacing w:after="480"/>
        <w:rPr>
          <w:lang w:val="fr-CA"/>
        </w:rPr>
      </w:pPr>
      <w:r w:rsidRPr="00C53C3A">
        <w:rPr>
          <w:lang w:val="en-US"/>
        </w:rPr>
        <w:tab/>
      </w:r>
      <w:r w:rsidRPr="00C53C3A">
        <w:rPr>
          <w:lang w:val="fr-CA"/>
        </w:rPr>
        <w:t>POURVOI contre un arrêt de la Cour d</w:t>
      </w:r>
      <w:r w:rsidR="004C6C13">
        <w:rPr>
          <w:lang w:val="fr-CA"/>
        </w:rPr>
        <w:t>’</w:t>
      </w:r>
      <w:r w:rsidRPr="00C53C3A">
        <w:rPr>
          <w:lang w:val="fr-CA"/>
        </w:rPr>
        <w:t>appel de l</w:t>
      </w:r>
      <w:r w:rsidR="004C6C13">
        <w:rPr>
          <w:lang w:val="fr-CA"/>
        </w:rPr>
        <w:t>’</w:t>
      </w:r>
      <w:r w:rsidRPr="00C53C3A">
        <w:rPr>
          <w:lang w:val="fr-CA"/>
        </w:rPr>
        <w:t>Ontario (les juges Doherty, Feldman et MacPherson), 2014 ONCA 366, 319 O.A.C. 254, 309 C.C.C. (3d) 535, [2014] O.J. No. 2232 (QL), 2014 CarswellOnt 5936 (WL Can.), qui a annulé la déclaration de culpabilité de meurtre au deuxième degré prononcée contre l</w:t>
      </w:r>
      <w:r w:rsidR="004C6C13">
        <w:rPr>
          <w:lang w:val="fr-CA"/>
        </w:rPr>
        <w:t>’</w:t>
      </w:r>
      <w:r w:rsidRPr="00C53C3A">
        <w:rPr>
          <w:lang w:val="fr-CA"/>
        </w:rPr>
        <w:t>accusé et ordonné la tenue d</w:t>
      </w:r>
      <w:r w:rsidR="004C6C13">
        <w:rPr>
          <w:lang w:val="fr-CA"/>
        </w:rPr>
        <w:t>’</w:t>
      </w:r>
      <w:r w:rsidRPr="00C53C3A">
        <w:rPr>
          <w:lang w:val="fr-CA"/>
        </w:rPr>
        <w:t>un nouveau procès. Pourvoi rejeté.</w:t>
      </w:r>
    </w:p>
    <w:p w:rsidR="002D6514" w:rsidRPr="00C53C3A" w:rsidRDefault="002D6514" w:rsidP="00AF284E">
      <w:pPr>
        <w:pStyle w:val="SCCNormalDoubleSpacing"/>
        <w:widowControl w:val="0"/>
        <w:spacing w:after="480"/>
        <w:rPr>
          <w:lang w:val="fr-CA"/>
        </w:rPr>
      </w:pPr>
      <w:r w:rsidRPr="00C53C3A">
        <w:rPr>
          <w:i/>
          <w:lang w:val="fr-CA"/>
        </w:rPr>
        <w:tab/>
        <w:t>Megan Stephens</w:t>
      </w:r>
      <w:r w:rsidRPr="00C53C3A">
        <w:rPr>
          <w:lang w:val="fr-CA"/>
        </w:rPr>
        <w:t>, pour l</w:t>
      </w:r>
      <w:r w:rsidR="004C6C13">
        <w:rPr>
          <w:lang w:val="fr-CA"/>
        </w:rPr>
        <w:t>’</w:t>
      </w:r>
      <w:r w:rsidRPr="00C53C3A">
        <w:rPr>
          <w:lang w:val="fr-CA"/>
        </w:rPr>
        <w:t>appelante.</w:t>
      </w:r>
    </w:p>
    <w:p w:rsidR="002D6514" w:rsidRDefault="002D6514" w:rsidP="00AF284E">
      <w:pPr>
        <w:pStyle w:val="SCCNormalDoubleSpacing"/>
        <w:widowControl w:val="0"/>
        <w:spacing w:after="480"/>
        <w:rPr>
          <w:lang w:val="fr-CA"/>
        </w:rPr>
      </w:pPr>
      <w:r w:rsidRPr="00C53C3A">
        <w:rPr>
          <w:i/>
          <w:lang w:val="fr-CA"/>
        </w:rPr>
        <w:lastRenderedPageBreak/>
        <w:tab/>
        <w:t>Christopher Hicks</w:t>
      </w:r>
      <w:r w:rsidRPr="00C53C3A">
        <w:rPr>
          <w:lang w:val="fr-CA"/>
        </w:rPr>
        <w:t xml:space="preserve"> et </w:t>
      </w:r>
      <w:r w:rsidRPr="00C53C3A">
        <w:rPr>
          <w:i/>
          <w:lang w:val="fr-CA"/>
        </w:rPr>
        <w:t>Kristin Bailey</w:t>
      </w:r>
      <w:r w:rsidRPr="00C53C3A">
        <w:rPr>
          <w:lang w:val="fr-CA"/>
        </w:rPr>
        <w:t>, pour l</w:t>
      </w:r>
      <w:r w:rsidR="004C6C13">
        <w:rPr>
          <w:lang w:val="fr-CA"/>
        </w:rPr>
        <w:t>’</w:t>
      </w:r>
      <w:r w:rsidRPr="00C53C3A">
        <w:rPr>
          <w:lang w:val="fr-CA"/>
        </w:rPr>
        <w:t>intimé.</w:t>
      </w:r>
    </w:p>
    <w:p w:rsidR="002D6514" w:rsidRDefault="002D6514" w:rsidP="00AF284E">
      <w:pPr>
        <w:pStyle w:val="SCCNormalDoubleSpacing"/>
        <w:widowControl w:val="0"/>
        <w:spacing w:after="480"/>
        <w:rPr>
          <w:lang w:val="fr-CA"/>
        </w:rPr>
      </w:pPr>
      <w:r>
        <w:rPr>
          <w:lang w:val="fr-CA"/>
        </w:rPr>
        <w:tab/>
        <w:t xml:space="preserve">Version française du jugement </w:t>
      </w:r>
      <w:r w:rsidR="004A5BEC">
        <w:rPr>
          <w:lang w:val="fr-CA"/>
        </w:rPr>
        <w:t xml:space="preserve">de la Cour </w:t>
      </w:r>
      <w:r>
        <w:rPr>
          <w:lang w:val="fr-CA"/>
        </w:rPr>
        <w:t>rendu par</w:t>
      </w:r>
    </w:p>
    <w:p w:rsidR="002D6514" w:rsidRPr="00E6549A" w:rsidRDefault="002D6514" w:rsidP="00AF284E">
      <w:pPr>
        <w:pStyle w:val="JudgeJuge"/>
        <w:widowControl w:val="0"/>
        <w:spacing w:before="480"/>
        <w:rPr>
          <w:rFonts w:cs="Times New Roman"/>
          <w:lang w:val="fr-CA"/>
        </w:rPr>
      </w:pPr>
      <w:r w:rsidRPr="00E6549A">
        <w:rPr>
          <w:rFonts w:cs="Times New Roman"/>
          <w:lang w:val="de-DE"/>
        </w:rPr>
        <w:tab/>
      </w:r>
      <w:r w:rsidRPr="00E6549A">
        <w:rPr>
          <w:rFonts w:cs="Times New Roman"/>
          <w:lang w:val="fr-CA"/>
        </w:rPr>
        <w:t xml:space="preserve">Le juge Moldaver  — </w:t>
      </w:r>
    </w:p>
    <w:p w:rsidR="002D6514" w:rsidRPr="00E6549A" w:rsidRDefault="002D6514" w:rsidP="00AF284E">
      <w:pPr>
        <w:pStyle w:val="Title1LevelTitre1Niveau-AltL"/>
        <w:widowControl w:val="0"/>
        <w:ind w:left="578" w:hanging="578"/>
        <w:rPr>
          <w:rFonts w:cs="Times New Roman"/>
          <w:lang w:val="fr-CA"/>
        </w:rPr>
      </w:pPr>
      <w:r w:rsidRPr="00E6549A">
        <w:rPr>
          <w:rFonts w:cs="Times New Roman"/>
          <w:lang w:val="fr-CA"/>
        </w:rPr>
        <w:t>Aperçu</w:t>
      </w:r>
    </w:p>
    <w:p w:rsidR="002D6514" w:rsidRPr="00E6549A" w:rsidRDefault="002D6514" w:rsidP="00AF284E">
      <w:pPr>
        <w:pStyle w:val="ParaNoNdepar-AltN"/>
        <w:widowControl w:val="0"/>
        <w:rPr>
          <w:rFonts w:cs="Times New Roman"/>
          <w:lang w:val="fr-CA"/>
        </w:rPr>
      </w:pPr>
      <w:r w:rsidRPr="00E6549A">
        <w:rPr>
          <w:rFonts w:cs="Times New Roman"/>
          <w:lang w:val="fr-CA"/>
        </w:rPr>
        <w:t>Jason Rodgerson a été accusé du meurtre au premier degré d</w:t>
      </w:r>
      <w:r w:rsidR="004C6C13">
        <w:rPr>
          <w:rFonts w:cs="Times New Roman"/>
          <w:lang w:val="fr-CA"/>
        </w:rPr>
        <w:t>’</w:t>
      </w:r>
      <w:r w:rsidRPr="00E6549A">
        <w:rPr>
          <w:rFonts w:cs="Times New Roman"/>
          <w:lang w:val="fr-CA"/>
        </w:rPr>
        <w:t>Amber Young. Il a été jugé par un tribunal composé d</w:t>
      </w:r>
      <w:r w:rsidR="004C6C13">
        <w:rPr>
          <w:rFonts w:cs="Times New Roman"/>
          <w:lang w:val="fr-CA"/>
        </w:rPr>
        <w:t>’</w:t>
      </w:r>
      <w:r w:rsidRPr="00E6549A">
        <w:rPr>
          <w:rFonts w:cs="Times New Roman"/>
          <w:lang w:val="fr-CA"/>
        </w:rPr>
        <w:t>un juge et d</w:t>
      </w:r>
      <w:r w:rsidR="004C6C13">
        <w:rPr>
          <w:rFonts w:cs="Times New Roman"/>
          <w:lang w:val="fr-CA"/>
        </w:rPr>
        <w:t>’</w:t>
      </w:r>
      <w:r w:rsidRPr="00E6549A">
        <w:rPr>
          <w:rFonts w:cs="Times New Roman"/>
          <w:lang w:val="fr-CA"/>
        </w:rPr>
        <w:t>un jury et il a été reconnu coupable de meurtre au second degré.</w:t>
      </w:r>
    </w:p>
    <w:p w:rsidR="002D6514" w:rsidRPr="00E6549A" w:rsidRDefault="002D6514" w:rsidP="00AF284E">
      <w:pPr>
        <w:pStyle w:val="ParaNoNdepar-AltN"/>
        <w:widowControl w:val="0"/>
        <w:rPr>
          <w:rFonts w:cs="Times New Roman"/>
          <w:lang w:val="fr-CA"/>
        </w:rPr>
      </w:pPr>
      <w:r w:rsidRPr="00E6549A">
        <w:rPr>
          <w:rFonts w:cs="Times New Roman"/>
          <w:lang w:val="fr-CA"/>
        </w:rPr>
        <w:t>Au procès, nul n</w:t>
      </w:r>
      <w:r w:rsidR="004C6C13">
        <w:rPr>
          <w:rFonts w:cs="Times New Roman"/>
          <w:lang w:val="fr-CA"/>
        </w:rPr>
        <w:t>’</w:t>
      </w:r>
      <w:r w:rsidRPr="00E6549A">
        <w:rPr>
          <w:rFonts w:cs="Times New Roman"/>
          <w:lang w:val="fr-CA"/>
        </w:rPr>
        <w:t>a contesté que M. Rodgerson avait causé la mort de M</w:t>
      </w:r>
      <w:r w:rsidRPr="00E6549A">
        <w:rPr>
          <w:rFonts w:eastAsia="MS Mincho" w:cs="Times New Roman"/>
          <w:vertAlign w:val="superscript"/>
          <w:lang w:val="fr-CA"/>
        </w:rPr>
        <w:t>me</w:t>
      </w:r>
      <w:r w:rsidRPr="00E6549A">
        <w:rPr>
          <w:rFonts w:cs="Times New Roman"/>
          <w:lang w:val="fr-CA"/>
        </w:rPr>
        <w:t> Young. Ce dernier a plutôt invoqué comme principal moyen de défense qu</w:t>
      </w:r>
      <w:r w:rsidR="004C6C13">
        <w:rPr>
          <w:rFonts w:cs="Times New Roman"/>
          <w:lang w:val="fr-CA"/>
        </w:rPr>
        <w:t>’</w:t>
      </w:r>
      <w:r w:rsidRPr="00E6549A">
        <w:rPr>
          <w:rFonts w:cs="Times New Roman"/>
          <w:lang w:val="fr-CA"/>
        </w:rPr>
        <w:t>il avait agi en légitime défense lorsqu</w:t>
      </w:r>
      <w:r w:rsidR="004C6C13">
        <w:rPr>
          <w:rFonts w:cs="Times New Roman"/>
          <w:lang w:val="fr-CA"/>
        </w:rPr>
        <w:t>’</w:t>
      </w:r>
      <w:r w:rsidRPr="00E6549A">
        <w:rPr>
          <w:rFonts w:cs="Times New Roman"/>
          <w:lang w:val="fr-CA"/>
        </w:rPr>
        <w:t>il l</w:t>
      </w:r>
      <w:r w:rsidR="004C6C13">
        <w:rPr>
          <w:rFonts w:cs="Times New Roman"/>
          <w:lang w:val="fr-CA"/>
        </w:rPr>
        <w:t>’</w:t>
      </w:r>
      <w:r w:rsidRPr="00E6549A">
        <w:rPr>
          <w:rFonts w:cs="Times New Roman"/>
          <w:lang w:val="fr-CA"/>
        </w:rPr>
        <w:t>a tuée. À titre subsidiaire, il a invoqué l</w:t>
      </w:r>
      <w:r w:rsidR="004C6C13">
        <w:rPr>
          <w:rFonts w:cs="Times New Roman"/>
          <w:lang w:val="fr-CA"/>
        </w:rPr>
        <w:t>’</w:t>
      </w:r>
      <w:r w:rsidRPr="00E6549A">
        <w:rPr>
          <w:rFonts w:cs="Times New Roman"/>
          <w:lang w:val="fr-CA"/>
        </w:rPr>
        <w:t>absence d</w:t>
      </w:r>
      <w:r w:rsidR="004C6C13">
        <w:rPr>
          <w:rFonts w:cs="Times New Roman"/>
          <w:lang w:val="fr-CA"/>
        </w:rPr>
        <w:t>’</w:t>
      </w:r>
      <w:r w:rsidRPr="00E6549A">
        <w:rPr>
          <w:rFonts w:cs="Times New Roman"/>
          <w:lang w:val="fr-CA"/>
        </w:rPr>
        <w:t>intention et la provocation dans le but de faire réduire l</w:t>
      </w:r>
      <w:r w:rsidR="004C6C13">
        <w:rPr>
          <w:rFonts w:cs="Times New Roman"/>
          <w:lang w:val="fr-CA"/>
        </w:rPr>
        <w:t>’</w:t>
      </w:r>
      <w:r w:rsidRPr="00E6549A">
        <w:rPr>
          <w:rFonts w:cs="Times New Roman"/>
          <w:lang w:val="fr-CA"/>
        </w:rPr>
        <w:t>accusation de meurtre à celle d</w:t>
      </w:r>
      <w:r w:rsidR="004C6C13">
        <w:rPr>
          <w:rFonts w:cs="Times New Roman"/>
          <w:lang w:val="fr-CA"/>
        </w:rPr>
        <w:t>’</w:t>
      </w:r>
      <w:r w:rsidRPr="00E6549A">
        <w:rPr>
          <w:rFonts w:cs="Times New Roman"/>
          <w:lang w:val="fr-CA"/>
        </w:rPr>
        <w:t>homicide involontaire coupable. Enfin, il a maintenu que suivant la preuve, le crime de meurtre au premier degré n</w:t>
      </w:r>
      <w:r w:rsidR="004C6C13">
        <w:rPr>
          <w:rFonts w:cs="Times New Roman"/>
          <w:lang w:val="fr-CA"/>
        </w:rPr>
        <w:t>’</w:t>
      </w:r>
      <w:r w:rsidRPr="00E6549A">
        <w:rPr>
          <w:rFonts w:cs="Times New Roman"/>
          <w:lang w:val="fr-CA"/>
        </w:rPr>
        <w:t>avait pas été établi.</w:t>
      </w:r>
    </w:p>
    <w:p w:rsidR="002D6514" w:rsidRPr="00E6549A" w:rsidRDefault="002D6514" w:rsidP="00AF284E">
      <w:pPr>
        <w:pStyle w:val="ParaNoNdepar-AltN"/>
        <w:widowControl w:val="0"/>
        <w:rPr>
          <w:rFonts w:cs="Times New Roman"/>
          <w:lang w:val="fr-CA"/>
        </w:rPr>
      </w:pPr>
      <w:r w:rsidRPr="00E6549A">
        <w:rPr>
          <w:rFonts w:cs="Times New Roman"/>
          <w:lang w:val="fr-CA"/>
        </w:rPr>
        <w:t>Dans le cadre de son allégation de légitime défense, M. Rodgerson a admis avoir employé la force contre M</w:t>
      </w:r>
      <w:r w:rsidRPr="00E6549A">
        <w:rPr>
          <w:rFonts w:eastAsia="MS Mincho" w:cs="Times New Roman"/>
          <w:vertAlign w:val="superscript"/>
          <w:lang w:val="fr-CA"/>
        </w:rPr>
        <w:t>me</w:t>
      </w:r>
      <w:r w:rsidRPr="00E6549A">
        <w:rPr>
          <w:rFonts w:cs="Times New Roman"/>
          <w:lang w:val="fr-CA"/>
        </w:rPr>
        <w:t> Young au moment de son décès. Il a toutefois maintenu que la force en question était modérée et qu</w:t>
      </w:r>
      <w:r w:rsidR="004C6C13">
        <w:rPr>
          <w:rFonts w:cs="Times New Roman"/>
          <w:lang w:val="fr-CA"/>
        </w:rPr>
        <w:t>’</w:t>
      </w:r>
      <w:r w:rsidRPr="00E6549A">
        <w:rPr>
          <w:rFonts w:cs="Times New Roman"/>
          <w:lang w:val="fr-CA"/>
        </w:rPr>
        <w:t>elle visait uniquement à le protéger contre la mort ou contre des lésions corporelles graves. En faisant usage de cette force, il n</w:t>
      </w:r>
      <w:r w:rsidR="004C6C13">
        <w:rPr>
          <w:rFonts w:cs="Times New Roman"/>
          <w:lang w:val="fr-CA"/>
        </w:rPr>
        <w:t>’</w:t>
      </w:r>
      <w:r w:rsidRPr="00E6549A">
        <w:rPr>
          <w:rFonts w:cs="Times New Roman"/>
          <w:lang w:val="fr-CA"/>
        </w:rPr>
        <w:t>avait pas l</w:t>
      </w:r>
      <w:r w:rsidR="004C6C13">
        <w:rPr>
          <w:rFonts w:cs="Times New Roman"/>
          <w:lang w:val="fr-CA"/>
        </w:rPr>
        <w:t>’</w:t>
      </w:r>
      <w:r w:rsidRPr="00E6549A">
        <w:rPr>
          <w:rFonts w:cs="Times New Roman"/>
          <w:lang w:val="fr-CA"/>
        </w:rPr>
        <w:t>intention de tuer ou de blesser grièvement M</w:t>
      </w:r>
      <w:r w:rsidRPr="00E6549A">
        <w:rPr>
          <w:rFonts w:eastAsia="MS Mincho" w:cs="Times New Roman"/>
          <w:vertAlign w:val="superscript"/>
          <w:lang w:val="fr-CA"/>
        </w:rPr>
        <w:t>me</w:t>
      </w:r>
      <w:r w:rsidRPr="00E6549A">
        <w:rPr>
          <w:rFonts w:cs="Times New Roman"/>
          <w:lang w:val="fr-CA"/>
        </w:rPr>
        <w:t xml:space="preserve"> Young. </w:t>
      </w:r>
      <w:r w:rsidRPr="00E6549A">
        <w:rPr>
          <w:rFonts w:cs="Times New Roman"/>
          <w:lang w:val="fr-CA"/>
        </w:rPr>
        <w:lastRenderedPageBreak/>
        <w:t xml:space="preserve">Selon lui, le décès causé par le recours à la force était purement accidentel. </w:t>
      </w:r>
    </w:p>
    <w:p w:rsidR="002D6514" w:rsidRPr="00E6549A" w:rsidRDefault="002D6514" w:rsidP="00AF284E">
      <w:pPr>
        <w:pStyle w:val="ParaNoNdepar-AltN"/>
        <w:widowControl w:val="0"/>
        <w:rPr>
          <w:rFonts w:cs="Times New Roman"/>
          <w:lang w:val="fr-CA"/>
        </w:rPr>
      </w:pPr>
      <w:r w:rsidRPr="00E6549A">
        <w:rPr>
          <w:rFonts w:cs="Times New Roman"/>
          <w:lang w:val="fr-CA"/>
        </w:rPr>
        <w:t>Le ministère public a tenté de réfuter la thèse de M. Rodgerson suivant laquelle la force employée était modérée et ne visait pas à tuer ou à blesser grièvement M</w:t>
      </w:r>
      <w:r w:rsidRPr="00E6549A">
        <w:rPr>
          <w:rFonts w:eastAsia="MS Mincho" w:cs="Times New Roman"/>
          <w:vertAlign w:val="superscript"/>
          <w:lang w:val="fr-CA"/>
        </w:rPr>
        <w:t>me</w:t>
      </w:r>
      <w:r w:rsidRPr="00E6549A">
        <w:rPr>
          <w:rFonts w:cs="Times New Roman"/>
          <w:lang w:val="fr-CA"/>
        </w:rPr>
        <w:t> Young. À cette fin, l</w:t>
      </w:r>
      <w:r w:rsidR="004C6C13">
        <w:rPr>
          <w:rFonts w:cs="Times New Roman"/>
          <w:lang w:val="fr-CA"/>
        </w:rPr>
        <w:t>’</w:t>
      </w:r>
      <w:r w:rsidRPr="00E6549A">
        <w:rPr>
          <w:rFonts w:cs="Times New Roman"/>
          <w:lang w:val="fr-CA"/>
        </w:rPr>
        <w:t>avocat du ministère public s</w:t>
      </w:r>
      <w:r w:rsidR="004C6C13">
        <w:rPr>
          <w:rFonts w:cs="Times New Roman"/>
          <w:lang w:val="fr-CA"/>
        </w:rPr>
        <w:t>’</w:t>
      </w:r>
      <w:r w:rsidRPr="00E6549A">
        <w:rPr>
          <w:rFonts w:cs="Times New Roman"/>
          <w:lang w:val="fr-CA"/>
        </w:rPr>
        <w:t>est fondé en partie sur certains aspects du comportement de M. Rodgerson postérieur à l</w:t>
      </w:r>
      <w:r w:rsidR="004C6C13">
        <w:rPr>
          <w:rFonts w:cs="Times New Roman"/>
          <w:lang w:val="fr-CA"/>
        </w:rPr>
        <w:t>’</w:t>
      </w:r>
      <w:r w:rsidRPr="00E6549A">
        <w:rPr>
          <w:rFonts w:cs="Times New Roman"/>
          <w:lang w:val="fr-CA"/>
        </w:rPr>
        <w:t>infraction, notamment sur les efforts qu</w:t>
      </w:r>
      <w:r w:rsidR="004C6C13">
        <w:rPr>
          <w:rFonts w:cs="Times New Roman"/>
          <w:lang w:val="fr-CA"/>
        </w:rPr>
        <w:t>’</w:t>
      </w:r>
      <w:r w:rsidRPr="00E6549A">
        <w:rPr>
          <w:rFonts w:cs="Times New Roman"/>
          <w:lang w:val="fr-CA"/>
        </w:rPr>
        <w:t>il avait déployés pour dissimuler le corps de la victime dans la cour arrière de sa maison et pour nettoyer les lieux où elle était décédée.</w:t>
      </w:r>
    </w:p>
    <w:p w:rsidR="002D6514" w:rsidRPr="00E6549A" w:rsidRDefault="002D6514" w:rsidP="00AF284E">
      <w:pPr>
        <w:pStyle w:val="ParaNoNdepar-AltN"/>
        <w:widowControl w:val="0"/>
        <w:rPr>
          <w:rFonts w:cs="Times New Roman"/>
          <w:lang w:val="fr-CA"/>
        </w:rPr>
      </w:pPr>
      <w:r w:rsidRPr="00E6549A">
        <w:rPr>
          <w:rFonts w:cs="Times New Roman"/>
          <w:lang w:val="fr-CA"/>
        </w:rPr>
        <w:t>Le ministère public a également présenté au procès d</w:t>
      </w:r>
      <w:r w:rsidR="004C6C13">
        <w:rPr>
          <w:rFonts w:cs="Times New Roman"/>
          <w:lang w:val="fr-CA"/>
        </w:rPr>
        <w:t>’</w:t>
      </w:r>
      <w:r w:rsidRPr="00E6549A">
        <w:rPr>
          <w:rFonts w:cs="Times New Roman"/>
          <w:lang w:val="fr-CA"/>
        </w:rPr>
        <w:t>autres éléments de preuve au sujet du comportement de l</w:t>
      </w:r>
      <w:r w:rsidR="004C6C13">
        <w:rPr>
          <w:rFonts w:cs="Times New Roman"/>
          <w:lang w:val="fr-CA"/>
        </w:rPr>
        <w:t>’</w:t>
      </w:r>
      <w:r w:rsidRPr="00E6549A">
        <w:rPr>
          <w:rFonts w:cs="Times New Roman"/>
          <w:lang w:val="fr-CA"/>
        </w:rPr>
        <w:t>accusé après l</w:t>
      </w:r>
      <w:r w:rsidR="004C6C13">
        <w:rPr>
          <w:rFonts w:cs="Times New Roman"/>
          <w:lang w:val="fr-CA"/>
        </w:rPr>
        <w:t>’</w:t>
      </w:r>
      <w:r w:rsidRPr="00E6549A">
        <w:rPr>
          <w:rFonts w:cs="Times New Roman"/>
          <w:lang w:val="fr-CA"/>
        </w:rPr>
        <w:t>infraction. Plus précisément, le ministère public a présenté des éléments de preuve démontrant que M. Rodgerson avait tenté d</w:t>
      </w:r>
      <w:r w:rsidR="004C6C13">
        <w:rPr>
          <w:rFonts w:cs="Times New Roman"/>
          <w:lang w:val="fr-CA"/>
        </w:rPr>
        <w:t>’</w:t>
      </w:r>
      <w:r w:rsidRPr="00E6549A">
        <w:rPr>
          <w:rFonts w:cs="Times New Roman"/>
          <w:lang w:val="fr-CA"/>
        </w:rPr>
        <w:t>échapper aux policiers lorsque ceux-ci s</w:t>
      </w:r>
      <w:r w:rsidR="004C6C13">
        <w:rPr>
          <w:rFonts w:cs="Times New Roman"/>
          <w:lang w:val="fr-CA"/>
        </w:rPr>
        <w:t>’</w:t>
      </w:r>
      <w:r w:rsidRPr="00E6549A">
        <w:rPr>
          <w:rFonts w:cs="Times New Roman"/>
          <w:lang w:val="fr-CA"/>
        </w:rPr>
        <w:t>étaient présentés pour perquisitionner chez lui, et qu</w:t>
      </w:r>
      <w:r w:rsidR="004C6C13">
        <w:rPr>
          <w:rFonts w:cs="Times New Roman"/>
          <w:lang w:val="fr-CA"/>
        </w:rPr>
        <w:t>’</w:t>
      </w:r>
      <w:r w:rsidRPr="00E6549A">
        <w:rPr>
          <w:rFonts w:cs="Times New Roman"/>
          <w:lang w:val="fr-CA"/>
        </w:rPr>
        <w:t>il leur avait d</w:t>
      </w:r>
      <w:r w:rsidR="004C6C13">
        <w:rPr>
          <w:rFonts w:cs="Times New Roman"/>
          <w:lang w:val="fr-CA"/>
        </w:rPr>
        <w:t>’</w:t>
      </w:r>
      <w:r w:rsidRPr="00E6549A">
        <w:rPr>
          <w:rFonts w:cs="Times New Roman"/>
          <w:lang w:val="fr-CA"/>
        </w:rPr>
        <w:t>abord menti sur l</w:t>
      </w:r>
      <w:r w:rsidR="004C6C13">
        <w:rPr>
          <w:rFonts w:cs="Times New Roman"/>
          <w:lang w:val="fr-CA"/>
        </w:rPr>
        <w:t>’</w:t>
      </w:r>
      <w:r w:rsidRPr="00E6549A">
        <w:rPr>
          <w:rFonts w:cs="Times New Roman"/>
          <w:lang w:val="fr-CA"/>
        </w:rPr>
        <w:t>identité de la personne responsable de la mort de M</w:t>
      </w:r>
      <w:r w:rsidRPr="00E6549A">
        <w:rPr>
          <w:rFonts w:eastAsia="MS Mincho" w:cs="Times New Roman"/>
          <w:vertAlign w:val="superscript"/>
          <w:lang w:val="fr-CA"/>
        </w:rPr>
        <w:t>me</w:t>
      </w:r>
      <w:r w:rsidRPr="00E6549A">
        <w:rPr>
          <w:rFonts w:cs="Times New Roman"/>
          <w:lang w:val="fr-CA"/>
        </w:rPr>
        <w:t> Young. Les parties reconnaissent que ces éléments de preuve n</w:t>
      </w:r>
      <w:r w:rsidR="004C6C13">
        <w:rPr>
          <w:rFonts w:cs="Times New Roman"/>
          <w:lang w:val="fr-CA"/>
        </w:rPr>
        <w:t>’</w:t>
      </w:r>
      <w:r w:rsidRPr="00E6549A">
        <w:rPr>
          <w:rFonts w:cs="Times New Roman"/>
          <w:lang w:val="fr-CA"/>
        </w:rPr>
        <w:t>ont eu aucune incidence sur la question de l</w:t>
      </w:r>
      <w:r w:rsidR="004C6C13">
        <w:rPr>
          <w:rFonts w:cs="Times New Roman"/>
          <w:lang w:val="fr-CA"/>
        </w:rPr>
        <w:t>’</w:t>
      </w:r>
      <w:r w:rsidRPr="00E6549A">
        <w:rPr>
          <w:rFonts w:cs="Times New Roman"/>
          <w:lang w:val="fr-CA"/>
        </w:rPr>
        <w:t>intention de M. Rodgerson.</w:t>
      </w:r>
    </w:p>
    <w:p w:rsidR="002D6514" w:rsidRPr="00E6549A" w:rsidRDefault="002D6514" w:rsidP="00AF284E">
      <w:pPr>
        <w:pStyle w:val="ParaNoNdepar-AltN"/>
        <w:widowControl w:val="0"/>
        <w:rPr>
          <w:rFonts w:cs="Times New Roman"/>
          <w:lang w:val="fr-CA"/>
        </w:rPr>
      </w:pPr>
      <w:r w:rsidRPr="00E6549A">
        <w:rPr>
          <w:rFonts w:cs="Times New Roman"/>
          <w:lang w:val="fr-CA"/>
        </w:rPr>
        <w:t>Au procès, M. Rodgerson a plaidé que les éléments de preuve relatifs à la dissimulation et au nettoyage des lieux n</w:t>
      </w:r>
      <w:r w:rsidR="004C6C13">
        <w:rPr>
          <w:rFonts w:cs="Times New Roman"/>
          <w:lang w:val="fr-CA"/>
        </w:rPr>
        <w:t>’</w:t>
      </w:r>
      <w:r w:rsidRPr="00E6549A">
        <w:rPr>
          <w:rFonts w:cs="Times New Roman"/>
          <w:lang w:val="fr-CA"/>
        </w:rPr>
        <w:t>avaient aucun rapport avec la question de son intention. Le juge du procès n</w:t>
      </w:r>
      <w:r w:rsidR="004C6C13">
        <w:rPr>
          <w:rFonts w:cs="Times New Roman"/>
          <w:lang w:val="fr-CA"/>
        </w:rPr>
        <w:t>’</w:t>
      </w:r>
      <w:r w:rsidRPr="00E6549A">
        <w:rPr>
          <w:rFonts w:cs="Times New Roman"/>
          <w:lang w:val="fr-CA"/>
        </w:rPr>
        <w:t>était pas de cet avis. Toutefois, dans son exposé au jury, le juge n</w:t>
      </w:r>
      <w:r w:rsidR="004C6C13">
        <w:rPr>
          <w:rFonts w:cs="Times New Roman"/>
          <w:lang w:val="fr-CA"/>
        </w:rPr>
        <w:t>’</w:t>
      </w:r>
      <w:r w:rsidRPr="00E6549A">
        <w:rPr>
          <w:rFonts w:cs="Times New Roman"/>
          <w:lang w:val="fr-CA"/>
        </w:rPr>
        <w:t>a pas expliqué le cadre limité et quelque peu nuancé à l</w:t>
      </w:r>
      <w:r w:rsidR="004C6C13">
        <w:rPr>
          <w:rFonts w:cs="Times New Roman"/>
          <w:lang w:val="fr-CA"/>
        </w:rPr>
        <w:t>’</w:t>
      </w:r>
      <w:r w:rsidRPr="00E6549A">
        <w:rPr>
          <w:rFonts w:cs="Times New Roman"/>
          <w:lang w:val="fr-CA"/>
        </w:rPr>
        <w:t>intérieur duquel les éléments de preuve relatifs à la dissimulation et au nettoyage pouvaient être utilisés pour démontrer l</w:t>
      </w:r>
      <w:r w:rsidR="004C6C13">
        <w:rPr>
          <w:rFonts w:cs="Times New Roman"/>
          <w:lang w:val="fr-CA"/>
        </w:rPr>
        <w:t>’</w:t>
      </w:r>
      <w:r w:rsidRPr="00E6549A">
        <w:rPr>
          <w:rFonts w:cs="Times New Roman"/>
          <w:lang w:val="fr-CA"/>
        </w:rPr>
        <w:t>intention requise pour commettre un meurtre. Il n</w:t>
      </w:r>
      <w:r w:rsidR="004C6C13">
        <w:rPr>
          <w:rFonts w:cs="Times New Roman"/>
          <w:lang w:val="fr-CA"/>
        </w:rPr>
        <w:t>’</w:t>
      </w:r>
      <w:r w:rsidRPr="00E6549A">
        <w:rPr>
          <w:rFonts w:cs="Times New Roman"/>
          <w:lang w:val="fr-CA"/>
        </w:rPr>
        <w:t xml:space="preserve">a pas non plus précisé aux jurés que les autres agissements de M. Rodgerson après </w:t>
      </w:r>
      <w:r w:rsidRPr="00E6549A">
        <w:rPr>
          <w:rFonts w:cs="Times New Roman"/>
          <w:lang w:val="fr-CA"/>
        </w:rPr>
        <w:lastRenderedPageBreak/>
        <w:t>l</w:t>
      </w:r>
      <w:r w:rsidR="004C6C13">
        <w:rPr>
          <w:rFonts w:cs="Times New Roman"/>
          <w:lang w:val="fr-CA"/>
        </w:rPr>
        <w:t>’</w:t>
      </w:r>
      <w:r w:rsidRPr="00E6549A">
        <w:rPr>
          <w:rFonts w:cs="Times New Roman"/>
          <w:lang w:val="fr-CA"/>
        </w:rPr>
        <w:t>infraction — le fait qu</w:t>
      </w:r>
      <w:r w:rsidR="004C6C13">
        <w:rPr>
          <w:rFonts w:cs="Times New Roman"/>
          <w:lang w:val="fr-CA"/>
        </w:rPr>
        <w:t>’</w:t>
      </w:r>
      <w:r w:rsidRPr="00E6549A">
        <w:rPr>
          <w:rFonts w:cs="Times New Roman"/>
          <w:lang w:val="fr-CA"/>
        </w:rPr>
        <w:t>il avait tenté d</w:t>
      </w:r>
      <w:r w:rsidR="004C6C13">
        <w:rPr>
          <w:rFonts w:cs="Times New Roman"/>
          <w:lang w:val="fr-CA"/>
        </w:rPr>
        <w:t>’</w:t>
      </w:r>
      <w:r w:rsidRPr="00E6549A">
        <w:rPr>
          <w:rFonts w:cs="Times New Roman"/>
          <w:lang w:val="fr-CA"/>
        </w:rPr>
        <w:t>échapper aux policiers et de les induire en erreur — ne pouvaient servir à établir l</w:t>
      </w:r>
      <w:r w:rsidR="004C6C13">
        <w:rPr>
          <w:rFonts w:cs="Times New Roman"/>
          <w:lang w:val="fr-CA"/>
        </w:rPr>
        <w:t>’</w:t>
      </w:r>
      <w:r w:rsidRPr="00E6549A">
        <w:rPr>
          <w:rFonts w:cs="Times New Roman"/>
          <w:lang w:val="fr-CA"/>
        </w:rPr>
        <w:t>intention. Au lieu de limiter, comme il aurait dû le faire, l</w:t>
      </w:r>
      <w:r w:rsidR="004C6C13">
        <w:rPr>
          <w:rFonts w:cs="Times New Roman"/>
          <w:lang w:val="fr-CA"/>
        </w:rPr>
        <w:t>’</w:t>
      </w:r>
      <w:r w:rsidRPr="00E6549A">
        <w:rPr>
          <w:rFonts w:cs="Times New Roman"/>
          <w:lang w:val="fr-CA"/>
        </w:rPr>
        <w:t>utilisation de ces éléments de preuve de sorte qu</w:t>
      </w:r>
      <w:r w:rsidR="004C6C13">
        <w:rPr>
          <w:rFonts w:cs="Times New Roman"/>
          <w:lang w:val="fr-CA"/>
        </w:rPr>
        <w:t>’</w:t>
      </w:r>
      <w:r w:rsidRPr="00E6549A">
        <w:rPr>
          <w:rFonts w:cs="Times New Roman"/>
          <w:lang w:val="fr-CA"/>
        </w:rPr>
        <w:t xml:space="preserve">ils ne servent que pour écarter le moyen de la </w:t>
      </w:r>
      <w:r w:rsidR="0029287C" w:rsidRPr="00E6549A">
        <w:rPr>
          <w:rFonts w:cs="Times New Roman"/>
          <w:lang w:val="fr-CA"/>
        </w:rPr>
        <w:t xml:space="preserve">légitime </w:t>
      </w:r>
      <w:r w:rsidRPr="00E6549A">
        <w:rPr>
          <w:rFonts w:cs="Times New Roman"/>
          <w:lang w:val="fr-CA"/>
        </w:rPr>
        <w:t>défense et pour établir que M</w:t>
      </w:r>
      <w:r w:rsidRPr="00E6549A">
        <w:rPr>
          <w:rFonts w:eastAsia="MS Mincho" w:cs="Times New Roman"/>
          <w:vertAlign w:val="superscript"/>
          <w:lang w:val="fr-CA"/>
        </w:rPr>
        <w:t>me</w:t>
      </w:r>
      <w:r w:rsidRPr="00E6549A">
        <w:rPr>
          <w:rFonts w:cs="Times New Roman"/>
          <w:lang w:val="fr-CA"/>
        </w:rPr>
        <w:t> Young était décédée par suite d</w:t>
      </w:r>
      <w:r w:rsidR="004C6C13">
        <w:rPr>
          <w:rFonts w:cs="Times New Roman"/>
          <w:lang w:val="fr-CA"/>
        </w:rPr>
        <w:t>’</w:t>
      </w:r>
      <w:r w:rsidRPr="00E6549A">
        <w:rPr>
          <w:rFonts w:cs="Times New Roman"/>
          <w:lang w:val="fr-CA"/>
        </w:rPr>
        <w:t>un acte illégal, le juge du procès a aussi permis aux jurés d</w:t>
      </w:r>
      <w:r w:rsidR="004C6C13">
        <w:rPr>
          <w:rFonts w:cs="Times New Roman"/>
          <w:lang w:val="fr-CA"/>
        </w:rPr>
        <w:t>’</w:t>
      </w:r>
      <w:r w:rsidRPr="00E6549A">
        <w:rPr>
          <w:rFonts w:cs="Times New Roman"/>
          <w:lang w:val="fr-CA"/>
        </w:rPr>
        <w:t>en tenir compte pour se prononcer sur la question de l</w:t>
      </w:r>
      <w:r w:rsidR="004C6C13">
        <w:rPr>
          <w:rFonts w:cs="Times New Roman"/>
          <w:lang w:val="fr-CA"/>
        </w:rPr>
        <w:t>’</w:t>
      </w:r>
      <w:r w:rsidRPr="00E6549A">
        <w:rPr>
          <w:rFonts w:cs="Times New Roman"/>
          <w:lang w:val="fr-CA"/>
        </w:rPr>
        <w:t>intention. Par son verdict, le jury a de toute évidence estimé que M. Rodgerson avait l</w:t>
      </w:r>
      <w:r w:rsidR="004C6C13">
        <w:rPr>
          <w:rFonts w:cs="Times New Roman"/>
          <w:lang w:val="fr-CA"/>
        </w:rPr>
        <w:t>’</w:t>
      </w:r>
      <w:r w:rsidRPr="00E6549A">
        <w:rPr>
          <w:rFonts w:cs="Times New Roman"/>
          <w:lang w:val="fr-CA"/>
        </w:rPr>
        <w:t>intention requise pour commettre un meurtre.</w:t>
      </w:r>
    </w:p>
    <w:p w:rsidR="002D6514" w:rsidRPr="00E6549A" w:rsidRDefault="002D6514" w:rsidP="00AF284E">
      <w:pPr>
        <w:pStyle w:val="ParaNoNdepar-AltN"/>
        <w:widowControl w:val="0"/>
        <w:rPr>
          <w:rFonts w:cs="Times New Roman"/>
          <w:lang w:val="fr-CA"/>
        </w:rPr>
      </w:pPr>
      <w:r w:rsidRPr="00E6549A">
        <w:rPr>
          <w:rFonts w:cs="Times New Roman"/>
          <w:lang w:val="fr-CA"/>
        </w:rPr>
        <w:t>Dans le cadre de l</w:t>
      </w:r>
      <w:r w:rsidR="004C6C13">
        <w:rPr>
          <w:rFonts w:cs="Times New Roman"/>
          <w:lang w:val="fr-CA"/>
        </w:rPr>
        <w:t>’</w:t>
      </w:r>
      <w:r w:rsidRPr="00E6549A">
        <w:rPr>
          <w:rFonts w:cs="Times New Roman"/>
          <w:lang w:val="fr-CA"/>
        </w:rPr>
        <w:t>appel de sa déclaration de culpabilité devant la Cour d</w:t>
      </w:r>
      <w:r w:rsidR="004C6C13">
        <w:rPr>
          <w:rFonts w:cs="Times New Roman"/>
          <w:lang w:val="fr-CA"/>
        </w:rPr>
        <w:t>’</w:t>
      </w:r>
      <w:r w:rsidRPr="00E6549A">
        <w:rPr>
          <w:rFonts w:cs="Times New Roman"/>
          <w:lang w:val="fr-CA"/>
        </w:rPr>
        <w:t>appel de l</w:t>
      </w:r>
      <w:r w:rsidR="004C6C13">
        <w:rPr>
          <w:rFonts w:cs="Times New Roman"/>
          <w:lang w:val="fr-CA"/>
        </w:rPr>
        <w:t>’</w:t>
      </w:r>
      <w:r w:rsidRPr="00E6549A">
        <w:rPr>
          <w:rFonts w:cs="Times New Roman"/>
          <w:lang w:val="fr-CA"/>
        </w:rPr>
        <w:t>Ontario, M. Rodgerson a invoqué plusieurs moyens d</w:t>
      </w:r>
      <w:r w:rsidR="004C6C13">
        <w:rPr>
          <w:rFonts w:cs="Times New Roman"/>
          <w:lang w:val="fr-CA"/>
        </w:rPr>
        <w:t>’</w:t>
      </w:r>
      <w:r w:rsidRPr="00E6549A">
        <w:rPr>
          <w:rFonts w:cs="Times New Roman"/>
          <w:lang w:val="fr-CA"/>
        </w:rPr>
        <w:t>appel portant sur les directives données aux jurés. Il a notamment reproché au juge du procès de ne pas avoir bien expliqué aux jurés les diverses façons dont ils pouvaient utiliser le comportement postérieur à l</w:t>
      </w:r>
      <w:r w:rsidR="004C6C13">
        <w:rPr>
          <w:rFonts w:cs="Times New Roman"/>
          <w:lang w:val="fr-CA"/>
        </w:rPr>
        <w:t>’</w:t>
      </w:r>
      <w:r w:rsidRPr="00E6549A">
        <w:rPr>
          <w:rFonts w:cs="Times New Roman"/>
          <w:lang w:val="fr-CA"/>
        </w:rPr>
        <w:t>infraction de M. Rodgerson, et les façons dont ils ne pouvaient pas l</w:t>
      </w:r>
      <w:r w:rsidR="004C6C13">
        <w:rPr>
          <w:rFonts w:cs="Times New Roman"/>
          <w:lang w:val="fr-CA"/>
        </w:rPr>
        <w:t>’</w:t>
      </w:r>
      <w:r w:rsidRPr="00E6549A">
        <w:rPr>
          <w:rFonts w:cs="Times New Roman"/>
          <w:lang w:val="fr-CA"/>
        </w:rPr>
        <w:t>utiliser.</w:t>
      </w:r>
    </w:p>
    <w:p w:rsidR="002D6514" w:rsidRPr="00E6549A" w:rsidRDefault="002D6514" w:rsidP="00AF284E">
      <w:pPr>
        <w:pStyle w:val="ParaNoNdepar-AltN"/>
        <w:widowControl w:val="0"/>
        <w:rPr>
          <w:rFonts w:cs="Times New Roman"/>
          <w:lang w:val="fr-CA"/>
        </w:rPr>
      </w:pPr>
      <w:r w:rsidRPr="00E6549A">
        <w:rPr>
          <w:rFonts w:cs="Times New Roman"/>
          <w:lang w:val="fr-CA"/>
        </w:rPr>
        <w:t>Au nom des juges majoritaires de la Cour d</w:t>
      </w:r>
      <w:r w:rsidR="004C6C13">
        <w:rPr>
          <w:rFonts w:cs="Times New Roman"/>
          <w:lang w:val="fr-CA"/>
        </w:rPr>
        <w:t>’</w:t>
      </w:r>
      <w:r w:rsidRPr="00E6549A">
        <w:rPr>
          <w:rFonts w:cs="Times New Roman"/>
          <w:lang w:val="fr-CA"/>
        </w:rPr>
        <w:t xml:space="preserve">appel, le juge Doherty a conclu que : (1) la preuve relative à la tentative de M. Rodgerson </w:t>
      </w:r>
      <w:r w:rsidR="00951B1A">
        <w:rPr>
          <w:rFonts w:cs="Times New Roman"/>
          <w:lang w:val="fr-CA"/>
        </w:rPr>
        <w:t>d’</w:t>
      </w:r>
      <w:r w:rsidRPr="00E6549A">
        <w:rPr>
          <w:rFonts w:cs="Times New Roman"/>
          <w:lang w:val="fr-CA"/>
        </w:rPr>
        <w:t>échapper aux policiers et aux mensonges faits aux policiers n</w:t>
      </w:r>
      <w:r w:rsidR="004C6C13">
        <w:rPr>
          <w:rFonts w:cs="Times New Roman"/>
          <w:lang w:val="fr-CA"/>
        </w:rPr>
        <w:t>’</w:t>
      </w:r>
      <w:r w:rsidRPr="00E6549A">
        <w:rPr>
          <w:rFonts w:cs="Times New Roman"/>
          <w:lang w:val="fr-CA"/>
        </w:rPr>
        <w:t>était pas pertinente pour déterminer s</w:t>
      </w:r>
      <w:r w:rsidR="004C6C13">
        <w:rPr>
          <w:rFonts w:cs="Times New Roman"/>
          <w:lang w:val="fr-CA"/>
        </w:rPr>
        <w:t>’</w:t>
      </w:r>
      <w:r w:rsidRPr="00E6549A">
        <w:rPr>
          <w:rFonts w:cs="Times New Roman"/>
          <w:lang w:val="fr-CA"/>
        </w:rPr>
        <w:t>il avait l</w:t>
      </w:r>
      <w:r w:rsidR="004C6C13">
        <w:rPr>
          <w:rFonts w:cs="Times New Roman"/>
          <w:lang w:val="fr-CA"/>
        </w:rPr>
        <w:t>’</w:t>
      </w:r>
      <w:r w:rsidRPr="00E6549A">
        <w:rPr>
          <w:rFonts w:cs="Times New Roman"/>
          <w:lang w:val="fr-CA"/>
        </w:rPr>
        <w:t>intention requise pour commettre un meurtre; (2) le juge du procès avait commis une erreur en disant au jury qu</w:t>
      </w:r>
      <w:r w:rsidR="004C6C13">
        <w:rPr>
          <w:rFonts w:cs="Times New Roman"/>
          <w:lang w:val="fr-CA"/>
        </w:rPr>
        <w:t>’</w:t>
      </w:r>
      <w:r w:rsidRPr="00E6549A">
        <w:rPr>
          <w:rFonts w:cs="Times New Roman"/>
          <w:lang w:val="fr-CA"/>
        </w:rPr>
        <w:t>il pouvait, dans son appréciation de l</w:t>
      </w:r>
      <w:r w:rsidR="004C6C13">
        <w:rPr>
          <w:rFonts w:cs="Times New Roman"/>
          <w:lang w:val="fr-CA"/>
        </w:rPr>
        <w:t>’</w:t>
      </w:r>
      <w:r w:rsidRPr="00E6549A">
        <w:rPr>
          <w:rFonts w:cs="Times New Roman"/>
          <w:lang w:val="fr-CA"/>
        </w:rPr>
        <w:t xml:space="preserve">intention, prendre en compte la preuve concernant la tentative de fuite et les mensonges de M. Rodgerson; (3) les éléments de preuve relatifs à la dissimulation et </w:t>
      </w:r>
      <w:r w:rsidRPr="00E6549A">
        <w:rPr>
          <w:rFonts w:cs="Times New Roman"/>
          <w:lang w:val="fr-CA"/>
        </w:rPr>
        <w:lastRenderedPageBreak/>
        <w:t>au nettoyage des lieux par M. Rodgerson étaient pertinents pour se prononcer sur la question de l</w:t>
      </w:r>
      <w:r w:rsidR="004C6C13">
        <w:rPr>
          <w:rFonts w:cs="Times New Roman"/>
          <w:lang w:val="fr-CA"/>
        </w:rPr>
        <w:t>’</w:t>
      </w:r>
      <w:r w:rsidRPr="00E6549A">
        <w:rPr>
          <w:rFonts w:cs="Times New Roman"/>
          <w:lang w:val="fr-CA"/>
        </w:rPr>
        <w:t>intention, mais que le juge du procès n</w:t>
      </w:r>
      <w:r w:rsidR="004C6C13">
        <w:rPr>
          <w:rFonts w:cs="Times New Roman"/>
          <w:lang w:val="fr-CA"/>
        </w:rPr>
        <w:t>’</w:t>
      </w:r>
      <w:r w:rsidRPr="00E6549A">
        <w:rPr>
          <w:rFonts w:cs="Times New Roman"/>
          <w:lang w:val="fr-CA"/>
        </w:rPr>
        <w:t xml:space="preserve">avait pas donné de directives au jury sur la façon limitée dont ces éléments de preuve pouvaient être utilisés à cette fin; (4) la disposition réparatrice du </w:t>
      </w:r>
      <w:r w:rsidRPr="00E6549A">
        <w:rPr>
          <w:rFonts w:cs="Times New Roman"/>
          <w:i/>
          <w:iCs/>
          <w:lang w:val="fr-CA"/>
        </w:rPr>
        <w:t>Code criminel</w:t>
      </w:r>
      <w:r w:rsidRPr="00E6549A">
        <w:rPr>
          <w:rFonts w:cs="Times New Roman"/>
          <w:lang w:val="fr-CA"/>
        </w:rPr>
        <w:t>, L.R.C. 1985, c. C</w:t>
      </w:r>
      <w:r w:rsidRPr="00E6549A">
        <w:rPr>
          <w:rFonts w:cs="Times New Roman"/>
          <w:lang w:val="fr-CA"/>
        </w:rPr>
        <w:noBreakHyphen/>
        <w:t>46, le sous</w:t>
      </w:r>
      <w:r w:rsidRPr="00E6549A">
        <w:rPr>
          <w:rFonts w:cs="Times New Roman"/>
          <w:i/>
          <w:iCs/>
          <w:lang w:val="fr-CA"/>
        </w:rPr>
        <w:noBreakHyphen/>
      </w:r>
      <w:r w:rsidRPr="00E6549A">
        <w:rPr>
          <w:rFonts w:cs="Times New Roman"/>
          <w:lang w:val="fr-CA"/>
        </w:rPr>
        <w:t>al. 686(1)</w:t>
      </w:r>
      <w:r w:rsidRPr="00E6549A">
        <w:rPr>
          <w:rFonts w:cs="Times New Roman"/>
          <w:i/>
          <w:iCs/>
          <w:lang w:val="fr-CA"/>
        </w:rPr>
        <w:t>b</w:t>
      </w:r>
      <w:r w:rsidRPr="00E6549A">
        <w:rPr>
          <w:rFonts w:cs="Times New Roman"/>
          <w:lang w:val="fr-CA"/>
        </w:rPr>
        <w:t>)(iii), ne s</w:t>
      </w:r>
      <w:r w:rsidR="004C6C13">
        <w:rPr>
          <w:rFonts w:cs="Times New Roman"/>
          <w:lang w:val="fr-CA"/>
        </w:rPr>
        <w:t>’</w:t>
      </w:r>
      <w:r w:rsidRPr="00E6549A">
        <w:rPr>
          <w:rFonts w:cs="Times New Roman"/>
          <w:lang w:val="fr-CA"/>
        </w:rPr>
        <w:t>appliquait pas (2014 ONCA 366, 319 O.A.C. 254). En conséquence, les juges majoritaires ont ordonné la tenue d</w:t>
      </w:r>
      <w:r w:rsidR="004C6C13">
        <w:rPr>
          <w:rFonts w:cs="Times New Roman"/>
          <w:lang w:val="fr-CA"/>
        </w:rPr>
        <w:t>’</w:t>
      </w:r>
      <w:r w:rsidRPr="00E6549A">
        <w:rPr>
          <w:rFonts w:cs="Times New Roman"/>
          <w:lang w:val="fr-CA"/>
        </w:rPr>
        <w:t>un nouveau procès.</w:t>
      </w:r>
    </w:p>
    <w:p w:rsidR="002D6514" w:rsidRPr="00E6549A" w:rsidRDefault="002D6514" w:rsidP="00AF284E">
      <w:pPr>
        <w:pStyle w:val="ParaNoNdepar-AltN"/>
        <w:widowControl w:val="0"/>
        <w:rPr>
          <w:rFonts w:cs="Times New Roman"/>
          <w:lang w:val="fr-CA"/>
        </w:rPr>
      </w:pPr>
      <w:r w:rsidRPr="00E6549A">
        <w:rPr>
          <w:rFonts w:cs="Times New Roman"/>
          <w:lang w:val="fr-CA"/>
        </w:rPr>
        <w:t>Le juge MacPherson, dissident, a convenu avec les juges majoritaires que le juge du procès avait commis une erreur dans ses directives au sujet de l</w:t>
      </w:r>
      <w:r w:rsidR="004C6C13">
        <w:rPr>
          <w:rFonts w:cs="Times New Roman"/>
          <w:lang w:val="fr-CA"/>
        </w:rPr>
        <w:t>’</w:t>
      </w:r>
      <w:r w:rsidRPr="00E6549A">
        <w:rPr>
          <w:rFonts w:cs="Times New Roman"/>
          <w:lang w:val="fr-CA"/>
        </w:rPr>
        <w:t>utilisation du fait que M. Rodgerson avait tenté d</w:t>
      </w:r>
      <w:r w:rsidR="004C6C13">
        <w:rPr>
          <w:rFonts w:cs="Times New Roman"/>
          <w:lang w:val="fr-CA"/>
        </w:rPr>
        <w:t>’</w:t>
      </w:r>
      <w:r w:rsidRPr="00E6549A">
        <w:rPr>
          <w:rFonts w:cs="Times New Roman"/>
          <w:lang w:val="fr-CA"/>
        </w:rPr>
        <w:t>échapper aux policiers et leur avait menti. Il a estimé que, prise isolément, cette erreur était mineure. Au sujet des éléments de preuve relatifs à la dissimulation et au nettoyage, il n</w:t>
      </w:r>
      <w:r w:rsidR="004C6C13">
        <w:rPr>
          <w:rFonts w:cs="Times New Roman"/>
          <w:lang w:val="fr-CA"/>
        </w:rPr>
        <w:t>’</w:t>
      </w:r>
      <w:r w:rsidRPr="00E6549A">
        <w:rPr>
          <w:rFonts w:cs="Times New Roman"/>
          <w:lang w:val="fr-CA"/>
        </w:rPr>
        <w:t>était pas d</w:t>
      </w:r>
      <w:r w:rsidR="004C6C13">
        <w:rPr>
          <w:rFonts w:cs="Times New Roman"/>
          <w:lang w:val="fr-CA"/>
        </w:rPr>
        <w:t>’</w:t>
      </w:r>
      <w:r w:rsidRPr="00E6549A">
        <w:rPr>
          <w:rFonts w:cs="Times New Roman"/>
          <w:lang w:val="fr-CA"/>
        </w:rPr>
        <w:t>accord avec la conclusion des juges majoritaires suivant laquelle des instructions plus précises étaient nécessaires. À son avis, la mise en garde générale que le juge du procès avait servie aux jurés dans ses directives au sujet des dangers que comportait la prise en compte des éléments de preuve relatifs au comportement postérieur à l</w:t>
      </w:r>
      <w:r w:rsidR="004C6C13">
        <w:rPr>
          <w:rFonts w:cs="Times New Roman"/>
          <w:lang w:val="fr-CA"/>
        </w:rPr>
        <w:t>’</w:t>
      </w:r>
      <w:r w:rsidRPr="00E6549A">
        <w:rPr>
          <w:rFonts w:cs="Times New Roman"/>
          <w:lang w:val="fr-CA"/>
        </w:rPr>
        <w:t>infraction était suffisante. Comme il n</w:t>
      </w:r>
      <w:r w:rsidR="004C6C13">
        <w:rPr>
          <w:rFonts w:cs="Times New Roman"/>
          <w:lang w:val="fr-CA"/>
        </w:rPr>
        <w:t>’</w:t>
      </w:r>
      <w:r w:rsidRPr="00E6549A">
        <w:rPr>
          <w:rFonts w:cs="Times New Roman"/>
          <w:lang w:val="fr-CA"/>
        </w:rPr>
        <w:t>avait décelé qu</w:t>
      </w:r>
      <w:r w:rsidR="004C6C13">
        <w:rPr>
          <w:rFonts w:cs="Times New Roman"/>
          <w:lang w:val="fr-CA"/>
        </w:rPr>
        <w:t>’</w:t>
      </w:r>
      <w:r w:rsidRPr="00E6549A">
        <w:rPr>
          <w:rFonts w:cs="Times New Roman"/>
          <w:lang w:val="fr-CA"/>
        </w:rPr>
        <w:t>une seule erreur mineure dans l</w:t>
      </w:r>
      <w:r w:rsidR="004C6C13">
        <w:rPr>
          <w:rFonts w:cs="Times New Roman"/>
          <w:lang w:val="fr-CA"/>
        </w:rPr>
        <w:t>’</w:t>
      </w:r>
      <w:r w:rsidRPr="00E6549A">
        <w:rPr>
          <w:rFonts w:cs="Times New Roman"/>
          <w:lang w:val="fr-CA"/>
        </w:rPr>
        <w:t>exposé au jury, le juge MacPherson aurait appliqué la disposition réparatrice et il aurait rejeté l</w:t>
      </w:r>
      <w:r w:rsidR="004C6C13">
        <w:rPr>
          <w:rFonts w:cs="Times New Roman"/>
          <w:lang w:val="fr-CA"/>
        </w:rPr>
        <w:t>’</w:t>
      </w:r>
      <w:r w:rsidRPr="00E6549A">
        <w:rPr>
          <w:rFonts w:cs="Times New Roman"/>
          <w:lang w:val="fr-CA"/>
        </w:rPr>
        <w:t>appel.</w:t>
      </w:r>
    </w:p>
    <w:p w:rsidR="002D6514" w:rsidRPr="00E6549A" w:rsidRDefault="002D6514" w:rsidP="00AF284E">
      <w:pPr>
        <w:pStyle w:val="ParaNoNdepar-AltN"/>
        <w:widowControl w:val="0"/>
        <w:rPr>
          <w:rFonts w:cs="Times New Roman"/>
          <w:lang w:val="fr-CA"/>
        </w:rPr>
      </w:pPr>
      <w:r w:rsidRPr="00E6549A">
        <w:rPr>
          <w:rFonts w:cs="Times New Roman"/>
          <w:lang w:val="fr-CA"/>
        </w:rPr>
        <w:t>La seule question en litige devant notre Cour est de savoir si les juges majoritaires ont eu raison de conclure que le juge du procès avait commis une erreur dans ses directives relatives à la dissimulation et au nettoyage et, dans l</w:t>
      </w:r>
      <w:r w:rsidR="004C6C13">
        <w:rPr>
          <w:rFonts w:cs="Times New Roman"/>
          <w:lang w:val="fr-CA"/>
        </w:rPr>
        <w:t>’</w:t>
      </w:r>
      <w:r w:rsidRPr="00E6549A">
        <w:rPr>
          <w:rFonts w:cs="Times New Roman"/>
          <w:lang w:val="fr-CA"/>
        </w:rPr>
        <w:t xml:space="preserve">affirmative, si </w:t>
      </w:r>
      <w:r w:rsidRPr="00E6549A">
        <w:rPr>
          <w:rFonts w:cs="Times New Roman"/>
          <w:lang w:val="fr-CA"/>
        </w:rPr>
        <w:lastRenderedPageBreak/>
        <w:t>cette erreur — combinée aux directives erronées relatives au fait que M. Rodgerson avait tenté d</w:t>
      </w:r>
      <w:r w:rsidR="004C6C13">
        <w:rPr>
          <w:rFonts w:cs="Times New Roman"/>
          <w:lang w:val="fr-CA"/>
        </w:rPr>
        <w:t>’</w:t>
      </w:r>
      <w:r w:rsidRPr="00E6549A">
        <w:rPr>
          <w:rFonts w:cs="Times New Roman"/>
          <w:lang w:val="fr-CA"/>
        </w:rPr>
        <w:t>échapper aux policiers et leur avait menti — était fatale. Je conclus que les juges majoritaires avaient raison sur les deux points et je confirmerais l</w:t>
      </w:r>
      <w:r w:rsidR="004C6C13">
        <w:rPr>
          <w:rFonts w:cs="Times New Roman"/>
          <w:lang w:val="fr-CA"/>
        </w:rPr>
        <w:t>’</w:t>
      </w:r>
      <w:r w:rsidRPr="00E6549A">
        <w:rPr>
          <w:rFonts w:cs="Times New Roman"/>
          <w:lang w:val="fr-CA"/>
        </w:rPr>
        <w:t>ordonnance relative à la tenue d</w:t>
      </w:r>
      <w:r w:rsidR="004C6C13">
        <w:rPr>
          <w:rFonts w:cs="Times New Roman"/>
          <w:lang w:val="fr-CA"/>
        </w:rPr>
        <w:t>’</w:t>
      </w:r>
      <w:r w:rsidRPr="00E6549A">
        <w:rPr>
          <w:rFonts w:cs="Times New Roman"/>
          <w:lang w:val="fr-CA"/>
        </w:rPr>
        <w:t>un nouveau procès. Toutefois, avant d</w:t>
      </w:r>
      <w:r w:rsidR="004C6C13">
        <w:rPr>
          <w:rFonts w:cs="Times New Roman"/>
          <w:lang w:val="fr-CA"/>
        </w:rPr>
        <w:t>’</w:t>
      </w:r>
      <w:r w:rsidRPr="00E6549A">
        <w:rPr>
          <w:rFonts w:cs="Times New Roman"/>
          <w:lang w:val="fr-CA"/>
        </w:rPr>
        <w:t>aborder ces questions, j</w:t>
      </w:r>
      <w:r w:rsidR="004C6C13">
        <w:rPr>
          <w:rFonts w:cs="Times New Roman"/>
          <w:lang w:val="fr-CA"/>
        </w:rPr>
        <w:t>’</w:t>
      </w:r>
      <w:r w:rsidRPr="00E6549A">
        <w:rPr>
          <w:rFonts w:cs="Times New Roman"/>
          <w:lang w:val="fr-CA"/>
        </w:rPr>
        <w:t>estime qu</w:t>
      </w:r>
      <w:r w:rsidR="004C6C13">
        <w:rPr>
          <w:rFonts w:cs="Times New Roman"/>
          <w:lang w:val="fr-CA"/>
        </w:rPr>
        <w:t>’</w:t>
      </w:r>
      <w:r w:rsidRPr="00E6549A">
        <w:rPr>
          <w:rFonts w:cs="Times New Roman"/>
          <w:lang w:val="fr-CA"/>
        </w:rPr>
        <w:t>il est nécessaire d</w:t>
      </w:r>
      <w:r w:rsidR="004C6C13">
        <w:rPr>
          <w:rFonts w:cs="Times New Roman"/>
          <w:lang w:val="fr-CA"/>
        </w:rPr>
        <w:t>’</w:t>
      </w:r>
      <w:r w:rsidRPr="00E6549A">
        <w:rPr>
          <w:rFonts w:cs="Times New Roman"/>
          <w:lang w:val="fr-CA"/>
        </w:rPr>
        <w:t>examiner les circonstances entourant le décès de M</w:t>
      </w:r>
      <w:r w:rsidRPr="00E6549A">
        <w:rPr>
          <w:rFonts w:eastAsia="MS Mincho" w:cs="Times New Roman"/>
          <w:vertAlign w:val="superscript"/>
          <w:lang w:val="fr-CA"/>
        </w:rPr>
        <w:t>me</w:t>
      </w:r>
      <w:r w:rsidRPr="00E6549A">
        <w:rPr>
          <w:rFonts w:cs="Times New Roman"/>
          <w:lang w:val="fr-CA"/>
        </w:rPr>
        <w:t> Young et de résumer les éléments de preuve pertinents présentés au procès de M. Rodgerson.</w:t>
      </w:r>
    </w:p>
    <w:p w:rsidR="002D6514" w:rsidRPr="00E6549A" w:rsidRDefault="002D6514" w:rsidP="00AF284E">
      <w:pPr>
        <w:pStyle w:val="Title1LevelTitre1Niveau-AltL"/>
        <w:widowControl w:val="0"/>
        <w:ind w:left="578" w:hanging="578"/>
        <w:rPr>
          <w:rFonts w:cs="Times New Roman"/>
          <w:lang w:val="fr-CA"/>
        </w:rPr>
      </w:pPr>
      <w:r w:rsidRPr="00E6549A">
        <w:rPr>
          <w:rFonts w:cs="Times New Roman"/>
          <w:lang w:val="fr-CA"/>
        </w:rPr>
        <w:t>Contexte factuel</w:t>
      </w:r>
    </w:p>
    <w:p w:rsidR="002D6514" w:rsidRPr="00E6549A" w:rsidRDefault="002D6514" w:rsidP="00AF284E">
      <w:pPr>
        <w:pStyle w:val="Title2LevelTitre2Niveau"/>
        <w:widowControl w:val="0"/>
        <w:ind w:left="578" w:hanging="578"/>
        <w:rPr>
          <w:rFonts w:cs="Times New Roman"/>
          <w:lang w:val="fr-CA"/>
        </w:rPr>
      </w:pPr>
      <w:r w:rsidRPr="00E6549A">
        <w:rPr>
          <w:rFonts w:cs="Times New Roman"/>
          <w:lang w:val="fr-CA"/>
        </w:rPr>
        <w:t>Le décès de M</w:t>
      </w:r>
      <w:r w:rsidRPr="00E6549A">
        <w:rPr>
          <w:rFonts w:eastAsia="MS Mincho" w:cs="Times New Roman"/>
          <w:iCs w:val="0"/>
          <w:vertAlign w:val="superscript"/>
          <w:lang w:val="fr-CA"/>
        </w:rPr>
        <w:t>me</w:t>
      </w:r>
      <w:r w:rsidRPr="00E6549A">
        <w:rPr>
          <w:rFonts w:cs="Times New Roman"/>
          <w:lang w:val="fr-CA"/>
        </w:rPr>
        <w:t> Young</w:t>
      </w:r>
    </w:p>
    <w:p w:rsidR="002D6514" w:rsidRPr="00E6549A" w:rsidRDefault="002D6514" w:rsidP="00AF284E">
      <w:pPr>
        <w:pStyle w:val="ParaNoNdepar-AltN"/>
        <w:widowControl w:val="0"/>
        <w:rPr>
          <w:rFonts w:cs="Times New Roman"/>
          <w:lang w:val="fr-CA"/>
        </w:rPr>
      </w:pPr>
      <w:r>
        <w:rPr>
          <w:rFonts w:cs="Times New Roman"/>
          <w:lang w:val="fr-CA"/>
        </w:rPr>
        <w:t xml:space="preserve">Le 26 octobre </w:t>
      </w:r>
      <w:r w:rsidRPr="00E6549A">
        <w:rPr>
          <w:rFonts w:cs="Times New Roman"/>
          <w:lang w:val="fr-CA"/>
        </w:rPr>
        <w:t>2008, M. Rodgerson et M</w:t>
      </w:r>
      <w:r w:rsidRPr="00E6549A">
        <w:rPr>
          <w:rFonts w:eastAsia="MS Mincho" w:cs="Times New Roman"/>
          <w:vertAlign w:val="superscript"/>
          <w:lang w:val="fr-CA"/>
        </w:rPr>
        <w:t>me</w:t>
      </w:r>
      <w:r w:rsidRPr="00E6549A">
        <w:rPr>
          <w:rFonts w:cs="Times New Roman"/>
          <w:lang w:val="fr-CA"/>
        </w:rPr>
        <w:t> Young se sont rencontrés pour la première fois dans un bar d</w:t>
      </w:r>
      <w:r w:rsidR="004C6C13">
        <w:rPr>
          <w:rFonts w:cs="Times New Roman"/>
          <w:lang w:val="fr-CA"/>
        </w:rPr>
        <w:t>’</w:t>
      </w:r>
      <w:r w:rsidRPr="00E6549A">
        <w:rPr>
          <w:rFonts w:cs="Times New Roman"/>
          <w:lang w:val="fr-CA"/>
        </w:rPr>
        <w:t>Oshawa, en Ontario. Ils avaient tous les deux bu plus tôt le même jour, et M</w:t>
      </w:r>
      <w:r w:rsidRPr="00E6549A">
        <w:rPr>
          <w:rFonts w:eastAsia="MS Mincho" w:cs="Times New Roman"/>
          <w:vertAlign w:val="superscript"/>
          <w:lang w:val="fr-CA"/>
        </w:rPr>
        <w:t>me</w:t>
      </w:r>
      <w:r w:rsidRPr="00E6549A">
        <w:rPr>
          <w:rFonts w:cs="Times New Roman"/>
          <w:lang w:val="fr-CA"/>
        </w:rPr>
        <w:t> Young avait aussi pris divers médicaments sur ordonnance. Ils ont parlé et bu ensemble au bar et M</w:t>
      </w:r>
      <w:r w:rsidRPr="00E6549A">
        <w:rPr>
          <w:rFonts w:eastAsia="MS Mincho" w:cs="Times New Roman"/>
          <w:vertAlign w:val="superscript"/>
          <w:lang w:val="fr-CA"/>
        </w:rPr>
        <w:t>me</w:t>
      </w:r>
      <w:r w:rsidRPr="00E6549A">
        <w:rPr>
          <w:rFonts w:cs="Times New Roman"/>
          <w:lang w:val="fr-CA"/>
        </w:rPr>
        <w:t> Young a donné à M. Rodgerson un comprimé d</w:t>
      </w:r>
      <w:r w:rsidR="004C6C13">
        <w:rPr>
          <w:rFonts w:cs="Times New Roman"/>
          <w:lang w:val="fr-CA"/>
        </w:rPr>
        <w:t>’</w:t>
      </w:r>
      <w:r w:rsidRPr="00E6549A">
        <w:rPr>
          <w:rFonts w:cs="Times New Roman"/>
          <w:lang w:val="fr-CA"/>
        </w:rPr>
        <w:t>ecstasy. Elle lui a dit qu</w:t>
      </w:r>
      <w:r w:rsidR="004C6C13">
        <w:rPr>
          <w:rFonts w:cs="Times New Roman"/>
          <w:lang w:val="fr-CA"/>
        </w:rPr>
        <w:t>’</w:t>
      </w:r>
      <w:r w:rsidRPr="00E6549A">
        <w:rPr>
          <w:rFonts w:cs="Times New Roman"/>
          <w:lang w:val="fr-CA"/>
        </w:rPr>
        <w:t>il valait cinq dollars. Après avoir quitté le bar, M</w:t>
      </w:r>
      <w:r w:rsidRPr="00E6549A">
        <w:rPr>
          <w:rFonts w:eastAsia="MS Mincho" w:cs="Times New Roman"/>
          <w:vertAlign w:val="superscript"/>
          <w:lang w:val="fr-CA"/>
        </w:rPr>
        <w:t>me</w:t>
      </w:r>
      <w:r w:rsidRPr="00E6549A">
        <w:rPr>
          <w:rFonts w:cs="Times New Roman"/>
          <w:lang w:val="fr-CA"/>
        </w:rPr>
        <w:t> Young a accompagné M. Rodgerson chez lui. Alors qu</w:t>
      </w:r>
      <w:r w:rsidR="004C6C13">
        <w:rPr>
          <w:rFonts w:cs="Times New Roman"/>
          <w:lang w:val="fr-CA"/>
        </w:rPr>
        <w:t>’</w:t>
      </w:r>
      <w:r w:rsidRPr="00E6549A">
        <w:rPr>
          <w:rFonts w:cs="Times New Roman"/>
          <w:lang w:val="fr-CA"/>
        </w:rPr>
        <w:t>ils étaient au salon, M</w:t>
      </w:r>
      <w:r w:rsidRPr="00E6549A">
        <w:rPr>
          <w:rFonts w:eastAsia="MS Mincho" w:cs="Times New Roman"/>
          <w:vertAlign w:val="superscript"/>
          <w:lang w:val="fr-CA"/>
        </w:rPr>
        <w:t>me</w:t>
      </w:r>
      <w:r w:rsidRPr="00E6549A">
        <w:rPr>
          <w:rFonts w:cs="Times New Roman"/>
          <w:lang w:val="fr-CA"/>
        </w:rPr>
        <w:t> Young a demandé à plusieurs reprises à M. Rodgerson de lui donner les cinq dollars qu</w:t>
      </w:r>
      <w:r w:rsidR="004C6C13">
        <w:rPr>
          <w:rFonts w:cs="Times New Roman"/>
          <w:lang w:val="fr-CA"/>
        </w:rPr>
        <w:t>’</w:t>
      </w:r>
      <w:r w:rsidRPr="00E6549A">
        <w:rPr>
          <w:rFonts w:cs="Times New Roman"/>
          <w:lang w:val="fr-CA"/>
        </w:rPr>
        <w:t>il lui devait.</w:t>
      </w:r>
    </w:p>
    <w:p w:rsidR="002D6514" w:rsidRPr="00E6549A" w:rsidRDefault="002D6514" w:rsidP="00AF284E">
      <w:pPr>
        <w:pStyle w:val="ParaNoNdepar-AltN"/>
        <w:widowControl w:val="0"/>
        <w:rPr>
          <w:rFonts w:cs="Times New Roman"/>
          <w:lang w:val="fr-CA"/>
        </w:rPr>
      </w:pPr>
      <w:r w:rsidRPr="00E6549A">
        <w:rPr>
          <w:rFonts w:cs="Times New Roman"/>
          <w:lang w:val="fr-CA"/>
        </w:rPr>
        <w:t>M. Rodgerson est la seule personne qui a été témoin du décès de M</w:t>
      </w:r>
      <w:r w:rsidRPr="00E6549A">
        <w:rPr>
          <w:rFonts w:eastAsia="MS Mincho" w:cs="Times New Roman"/>
          <w:vertAlign w:val="superscript"/>
          <w:lang w:val="fr-CA"/>
        </w:rPr>
        <w:t>me</w:t>
      </w:r>
      <w:r w:rsidRPr="00E6549A">
        <w:rPr>
          <w:rFonts w:cs="Times New Roman"/>
          <w:lang w:val="fr-CA"/>
        </w:rPr>
        <w:t> Young. Au procès, il a témoigné que lui et M</w:t>
      </w:r>
      <w:r w:rsidRPr="00E6549A">
        <w:rPr>
          <w:rFonts w:eastAsia="MS Mincho" w:cs="Times New Roman"/>
          <w:vertAlign w:val="superscript"/>
          <w:lang w:val="fr-CA"/>
        </w:rPr>
        <w:t>me</w:t>
      </w:r>
      <w:r w:rsidRPr="00E6549A">
        <w:rPr>
          <w:rFonts w:cs="Times New Roman"/>
          <w:lang w:val="fr-CA"/>
        </w:rPr>
        <w:t> Young avaient eu des rapports sexuels consensuels, d</w:t>
      </w:r>
      <w:r w:rsidR="004C6C13">
        <w:rPr>
          <w:rFonts w:cs="Times New Roman"/>
          <w:lang w:val="fr-CA"/>
        </w:rPr>
        <w:t>’</w:t>
      </w:r>
      <w:r w:rsidRPr="00E6549A">
        <w:rPr>
          <w:rFonts w:cs="Times New Roman"/>
          <w:lang w:val="fr-CA"/>
        </w:rPr>
        <w:t xml:space="preserve">abord dans le salon, puis dans sa chambre. Selon </w:t>
      </w:r>
      <w:r w:rsidRPr="00E6549A">
        <w:rPr>
          <w:rFonts w:cs="Times New Roman"/>
          <w:lang w:val="fr-CA"/>
        </w:rPr>
        <w:lastRenderedPageBreak/>
        <w:t>M. Rodgerson, peu après être passé à la chambre, il a perdu tout intérêt pour M</w:t>
      </w:r>
      <w:r w:rsidRPr="00E6549A">
        <w:rPr>
          <w:rFonts w:eastAsia="MS Mincho" w:cs="Times New Roman"/>
          <w:vertAlign w:val="superscript"/>
          <w:lang w:val="fr-CA"/>
        </w:rPr>
        <w:t>me</w:t>
      </w:r>
      <w:r w:rsidRPr="00E6549A">
        <w:rPr>
          <w:rFonts w:cs="Times New Roman"/>
          <w:lang w:val="fr-CA"/>
        </w:rPr>
        <w:t> Young et il lui a suggéré de retourner au bar ensemble. M</w:t>
      </w:r>
      <w:r w:rsidRPr="00E6549A">
        <w:rPr>
          <w:rFonts w:eastAsia="MS Mincho" w:cs="Times New Roman"/>
          <w:vertAlign w:val="superscript"/>
          <w:lang w:val="fr-CA"/>
        </w:rPr>
        <w:t>me</w:t>
      </w:r>
      <w:r w:rsidRPr="00E6549A">
        <w:rPr>
          <w:rFonts w:cs="Times New Roman"/>
          <w:lang w:val="fr-CA"/>
        </w:rPr>
        <w:t> Young a demandé de nouveau à M. Rodgerson l</w:t>
      </w:r>
      <w:r w:rsidR="004C6C13">
        <w:rPr>
          <w:rFonts w:cs="Times New Roman"/>
          <w:lang w:val="fr-CA"/>
        </w:rPr>
        <w:t>’</w:t>
      </w:r>
      <w:r w:rsidRPr="00E6549A">
        <w:rPr>
          <w:rFonts w:cs="Times New Roman"/>
          <w:lang w:val="fr-CA"/>
        </w:rPr>
        <w:t>argent qu</w:t>
      </w:r>
      <w:r w:rsidR="004C6C13">
        <w:rPr>
          <w:rFonts w:cs="Times New Roman"/>
          <w:lang w:val="fr-CA"/>
        </w:rPr>
        <w:t>’</w:t>
      </w:r>
      <w:r w:rsidRPr="00E6549A">
        <w:rPr>
          <w:rFonts w:cs="Times New Roman"/>
          <w:lang w:val="fr-CA"/>
        </w:rPr>
        <w:t>il lui devait, ce à quoi il lui a répondu : [</w:t>
      </w:r>
      <w:r w:rsidRPr="00E6549A">
        <w:rPr>
          <w:rFonts w:cs="Times New Roman"/>
          <w:smallCaps/>
          <w:lang w:val="fr-CA"/>
        </w:rPr>
        <w:t>traduction</w:t>
      </w:r>
      <w:r>
        <w:rPr>
          <w:rFonts w:cs="Times New Roman"/>
          <w:lang w:val="fr-CA"/>
        </w:rPr>
        <w:t xml:space="preserve">] </w:t>
      </w:r>
      <w:r w:rsidRPr="00E6549A">
        <w:rPr>
          <w:rFonts w:cs="Times New Roman"/>
          <w:lang w:val="fr-CA"/>
        </w:rPr>
        <w:t>« T</w:t>
      </w:r>
      <w:r w:rsidR="004C6C13">
        <w:rPr>
          <w:rFonts w:cs="Times New Roman"/>
          <w:lang w:val="fr-CA"/>
        </w:rPr>
        <w:t>’</w:t>
      </w:r>
      <w:r w:rsidRPr="00E6549A">
        <w:rPr>
          <w:rFonts w:cs="Times New Roman"/>
          <w:lang w:val="fr-CA"/>
        </w:rPr>
        <w:t>es quoi, toi? Une espèce de pute? » M. Rodgerson a expliqué que M</w:t>
      </w:r>
      <w:r w:rsidRPr="00E6549A">
        <w:rPr>
          <w:rFonts w:eastAsia="MS Mincho" w:cs="Times New Roman"/>
          <w:vertAlign w:val="superscript"/>
          <w:lang w:val="fr-CA"/>
        </w:rPr>
        <w:t>me</w:t>
      </w:r>
      <w:r w:rsidRPr="00E6549A">
        <w:rPr>
          <w:rFonts w:cs="Times New Roman"/>
          <w:lang w:val="fr-CA"/>
        </w:rPr>
        <w:t> Young a alors réagi en l</w:t>
      </w:r>
      <w:r w:rsidR="004C6C13">
        <w:rPr>
          <w:rFonts w:cs="Times New Roman"/>
          <w:lang w:val="fr-CA"/>
        </w:rPr>
        <w:t>’</w:t>
      </w:r>
      <w:r w:rsidRPr="00E6549A">
        <w:rPr>
          <w:rFonts w:cs="Times New Roman"/>
          <w:lang w:val="fr-CA"/>
        </w:rPr>
        <w:t>attaquant avec un couteau et qu</w:t>
      </w:r>
      <w:r w:rsidR="004C6C13">
        <w:rPr>
          <w:rFonts w:cs="Times New Roman"/>
          <w:lang w:val="fr-CA"/>
        </w:rPr>
        <w:t>’</w:t>
      </w:r>
      <w:r w:rsidRPr="00E6549A">
        <w:rPr>
          <w:rFonts w:cs="Times New Roman"/>
          <w:lang w:val="fr-CA"/>
        </w:rPr>
        <w:t>ils en sont venus aux coups. Cette altercation a atteint son paroxysme lorsqu</w:t>
      </w:r>
      <w:r w:rsidR="004C6C13">
        <w:rPr>
          <w:rFonts w:cs="Times New Roman"/>
          <w:lang w:val="fr-CA"/>
        </w:rPr>
        <w:t>’</w:t>
      </w:r>
      <w:r w:rsidRPr="00E6549A">
        <w:rPr>
          <w:rFonts w:cs="Times New Roman"/>
          <w:lang w:val="fr-CA"/>
        </w:rPr>
        <w:t>il a placé son avant</w:t>
      </w:r>
      <w:r w:rsidRPr="00E6549A">
        <w:rPr>
          <w:rFonts w:cs="Times New Roman"/>
          <w:lang w:val="fr-CA"/>
        </w:rPr>
        <w:noBreakHyphen/>
        <w:t>bras sur le visage de M</w:t>
      </w:r>
      <w:r w:rsidRPr="00E6549A">
        <w:rPr>
          <w:rFonts w:eastAsia="MS Mincho" w:cs="Times New Roman"/>
          <w:vertAlign w:val="superscript"/>
          <w:lang w:val="fr-CA"/>
        </w:rPr>
        <w:t>me</w:t>
      </w:r>
      <w:r w:rsidRPr="00E6549A">
        <w:rPr>
          <w:rFonts w:cs="Times New Roman"/>
          <w:lang w:val="fr-CA"/>
        </w:rPr>
        <w:t> Young jusqu</w:t>
      </w:r>
      <w:r w:rsidR="004C6C13">
        <w:rPr>
          <w:rFonts w:cs="Times New Roman"/>
          <w:lang w:val="fr-CA"/>
        </w:rPr>
        <w:t>’</w:t>
      </w:r>
      <w:r w:rsidRPr="00E6549A">
        <w:rPr>
          <w:rFonts w:cs="Times New Roman"/>
          <w:lang w:val="fr-CA"/>
        </w:rPr>
        <w:t>à ce qu</w:t>
      </w:r>
      <w:r w:rsidR="004C6C13">
        <w:rPr>
          <w:rFonts w:cs="Times New Roman"/>
          <w:lang w:val="fr-CA"/>
        </w:rPr>
        <w:t>’</w:t>
      </w:r>
      <w:r w:rsidRPr="00E6549A">
        <w:rPr>
          <w:rFonts w:cs="Times New Roman"/>
          <w:lang w:val="fr-CA"/>
        </w:rPr>
        <w:t>elle semble perdre con</w:t>
      </w:r>
      <w:r w:rsidR="00E01891">
        <w:rPr>
          <w:rFonts w:cs="Times New Roman"/>
          <w:lang w:val="fr-CA"/>
        </w:rPr>
        <w:t>naissanc</w:t>
      </w:r>
      <w:r w:rsidRPr="00E6549A">
        <w:rPr>
          <w:rFonts w:cs="Times New Roman"/>
          <w:lang w:val="fr-CA"/>
        </w:rPr>
        <w:t>e. Peu après, M. Rodgerson s</w:t>
      </w:r>
      <w:r w:rsidR="004C6C13">
        <w:rPr>
          <w:rFonts w:cs="Times New Roman"/>
          <w:lang w:val="fr-CA"/>
        </w:rPr>
        <w:t>’</w:t>
      </w:r>
      <w:r w:rsidRPr="00E6549A">
        <w:rPr>
          <w:rFonts w:cs="Times New Roman"/>
          <w:lang w:val="fr-CA"/>
        </w:rPr>
        <w:t>est lui aussi évanoui. Il affirme qu</w:t>
      </w:r>
      <w:r w:rsidR="004C6C13">
        <w:rPr>
          <w:rFonts w:cs="Times New Roman"/>
          <w:lang w:val="fr-CA"/>
        </w:rPr>
        <w:t>’</w:t>
      </w:r>
      <w:r w:rsidRPr="00E6549A">
        <w:rPr>
          <w:rFonts w:cs="Times New Roman"/>
          <w:lang w:val="fr-CA"/>
        </w:rPr>
        <w:t>il ignorait que M</w:t>
      </w:r>
      <w:r w:rsidRPr="00E6549A">
        <w:rPr>
          <w:rFonts w:eastAsia="MS Mincho" w:cs="Times New Roman"/>
          <w:vertAlign w:val="superscript"/>
          <w:lang w:val="fr-CA"/>
        </w:rPr>
        <w:t>me</w:t>
      </w:r>
      <w:r w:rsidRPr="00E6549A">
        <w:rPr>
          <w:rFonts w:cs="Times New Roman"/>
          <w:lang w:val="fr-CA"/>
        </w:rPr>
        <w:t> Young était morte jusqu</w:t>
      </w:r>
      <w:r w:rsidR="004C6C13">
        <w:rPr>
          <w:rFonts w:cs="Times New Roman"/>
          <w:lang w:val="fr-CA"/>
        </w:rPr>
        <w:t>’</w:t>
      </w:r>
      <w:r w:rsidRPr="00E6549A">
        <w:rPr>
          <w:rFonts w:cs="Times New Roman"/>
          <w:lang w:val="fr-CA"/>
        </w:rPr>
        <w:t>à ce qu</w:t>
      </w:r>
      <w:r w:rsidR="004C6C13">
        <w:rPr>
          <w:rFonts w:cs="Times New Roman"/>
          <w:lang w:val="fr-CA"/>
        </w:rPr>
        <w:t>’</w:t>
      </w:r>
      <w:r w:rsidRPr="00E6549A">
        <w:rPr>
          <w:rFonts w:cs="Times New Roman"/>
          <w:lang w:val="fr-CA"/>
        </w:rPr>
        <w:t>il se réveille le lendemain.</w:t>
      </w:r>
    </w:p>
    <w:p w:rsidR="002D6514" w:rsidRPr="00E6549A" w:rsidRDefault="002D6514" w:rsidP="00AF284E">
      <w:pPr>
        <w:pStyle w:val="Title2LevelTitre2Niveau"/>
        <w:widowControl w:val="0"/>
        <w:ind w:left="578" w:hanging="578"/>
        <w:rPr>
          <w:rFonts w:cs="Times New Roman"/>
          <w:lang w:val="fr-CA"/>
        </w:rPr>
      </w:pPr>
      <w:r w:rsidRPr="00E6549A">
        <w:rPr>
          <w:rFonts w:cs="Times New Roman"/>
          <w:lang w:val="fr-CA"/>
        </w:rPr>
        <w:t>Comportement de M. Rodgerson postérieur à l</w:t>
      </w:r>
      <w:r w:rsidR="004C6C13">
        <w:rPr>
          <w:rFonts w:cs="Times New Roman"/>
          <w:lang w:val="fr-CA"/>
        </w:rPr>
        <w:t>’</w:t>
      </w:r>
      <w:r w:rsidRPr="00E6549A">
        <w:rPr>
          <w:rFonts w:cs="Times New Roman"/>
          <w:lang w:val="fr-CA"/>
        </w:rPr>
        <w:t xml:space="preserve">infraction </w:t>
      </w:r>
    </w:p>
    <w:p w:rsidR="002D6514" w:rsidRPr="00E6549A" w:rsidRDefault="002D6514" w:rsidP="00AF284E">
      <w:pPr>
        <w:pStyle w:val="ParaNoNdepar-AltN"/>
        <w:widowControl w:val="0"/>
        <w:rPr>
          <w:rFonts w:cs="Times New Roman"/>
          <w:lang w:val="fr-CA"/>
        </w:rPr>
      </w:pPr>
      <w:r w:rsidRPr="00E6549A">
        <w:rPr>
          <w:rFonts w:cs="Times New Roman"/>
          <w:lang w:val="fr-CA"/>
        </w:rPr>
        <w:t>M. Rodgerson a fait beaucoup d</w:t>
      </w:r>
      <w:r w:rsidR="004C6C13">
        <w:rPr>
          <w:rFonts w:cs="Times New Roman"/>
          <w:lang w:val="fr-CA"/>
        </w:rPr>
        <w:t>’</w:t>
      </w:r>
      <w:r w:rsidRPr="00E6549A">
        <w:rPr>
          <w:rFonts w:cs="Times New Roman"/>
          <w:lang w:val="fr-CA"/>
        </w:rPr>
        <w:t>efforts pour dissimuler le corps de M</w:t>
      </w:r>
      <w:r w:rsidRPr="00E6549A">
        <w:rPr>
          <w:rFonts w:eastAsia="MS Mincho" w:cs="Times New Roman"/>
          <w:vertAlign w:val="superscript"/>
          <w:lang w:val="fr-CA"/>
        </w:rPr>
        <w:t>me</w:t>
      </w:r>
      <w:r w:rsidRPr="00E6549A">
        <w:rPr>
          <w:rFonts w:cs="Times New Roman"/>
          <w:lang w:val="fr-CA"/>
        </w:rPr>
        <w:t> Young et nettoyer les lieux de son décès. Il a acheté du javellisant, des gants de caoutchouc et des sacs à ordures, et il a creusé une tombe peu profonde dans la cour arrière de sa maison. Il a ensuite traîné le corps de M</w:t>
      </w:r>
      <w:r w:rsidRPr="00E6549A">
        <w:rPr>
          <w:rFonts w:eastAsia="MS Mincho" w:cs="Times New Roman"/>
          <w:vertAlign w:val="superscript"/>
          <w:lang w:val="fr-CA"/>
        </w:rPr>
        <w:t>me</w:t>
      </w:r>
      <w:r w:rsidRPr="00E6549A">
        <w:rPr>
          <w:rFonts w:cs="Times New Roman"/>
          <w:lang w:val="fr-CA"/>
        </w:rPr>
        <w:t> Young de la chambre jusqu</w:t>
      </w:r>
      <w:r w:rsidR="004C6C13">
        <w:rPr>
          <w:rFonts w:cs="Times New Roman"/>
          <w:lang w:val="fr-CA"/>
        </w:rPr>
        <w:t>’</w:t>
      </w:r>
      <w:r w:rsidRPr="00E6549A">
        <w:rPr>
          <w:rFonts w:cs="Times New Roman"/>
          <w:lang w:val="fr-CA"/>
        </w:rPr>
        <w:t>à la cour arrière. Il a retiré ses vêtements et ses bijoux, a déposé son corps dans la tombe, a versé du javellisant dans le trou et l</w:t>
      </w:r>
      <w:r w:rsidR="004C6C13">
        <w:rPr>
          <w:rFonts w:cs="Times New Roman"/>
          <w:lang w:val="fr-CA"/>
        </w:rPr>
        <w:t>’</w:t>
      </w:r>
      <w:r w:rsidRPr="00E6549A">
        <w:rPr>
          <w:rFonts w:cs="Times New Roman"/>
          <w:lang w:val="fr-CA"/>
        </w:rPr>
        <w:t>a rempli de terre. Il est ensuite retourné dans la maison et a retiré le matelas maculé de sang de la chambre. Il a découpé le tapis taché de sang et l</w:t>
      </w:r>
      <w:r w:rsidR="004C6C13">
        <w:rPr>
          <w:rFonts w:cs="Times New Roman"/>
          <w:lang w:val="fr-CA"/>
        </w:rPr>
        <w:t>’</w:t>
      </w:r>
      <w:r w:rsidRPr="00E6549A">
        <w:rPr>
          <w:rFonts w:cs="Times New Roman"/>
          <w:lang w:val="fr-CA"/>
        </w:rPr>
        <w:t>a jeté dans des sacs à ordures avec les chaussures de M</w:t>
      </w:r>
      <w:r w:rsidRPr="00E6549A">
        <w:rPr>
          <w:rFonts w:eastAsia="MS Mincho" w:cs="Times New Roman"/>
          <w:vertAlign w:val="superscript"/>
          <w:lang w:val="fr-CA"/>
        </w:rPr>
        <w:t>me</w:t>
      </w:r>
      <w:r w:rsidRPr="00E6549A">
        <w:rPr>
          <w:rFonts w:cs="Times New Roman"/>
          <w:lang w:val="fr-CA"/>
        </w:rPr>
        <w:t> Young et les vestiges de leurs ébats sexuels. Il a également brisé le téléphone cellulaire de M</w:t>
      </w:r>
      <w:r w:rsidRPr="00E6549A">
        <w:rPr>
          <w:rFonts w:eastAsia="MS Mincho" w:cs="Times New Roman"/>
          <w:vertAlign w:val="superscript"/>
          <w:lang w:val="fr-CA"/>
        </w:rPr>
        <w:t>me</w:t>
      </w:r>
      <w:r w:rsidRPr="00E6549A">
        <w:rPr>
          <w:rFonts w:cs="Times New Roman"/>
          <w:lang w:val="fr-CA"/>
        </w:rPr>
        <w:t> Young et en a retiré la pile. Enfin, il s</w:t>
      </w:r>
      <w:r w:rsidR="004C6C13">
        <w:rPr>
          <w:rFonts w:cs="Times New Roman"/>
          <w:lang w:val="fr-CA"/>
        </w:rPr>
        <w:t>’</w:t>
      </w:r>
      <w:r w:rsidRPr="00E6549A">
        <w:rPr>
          <w:rFonts w:cs="Times New Roman"/>
          <w:lang w:val="fr-CA"/>
        </w:rPr>
        <w:t xml:space="preserve">est servi du javellisant pour nettoyer le sang et les autres vestiges de leurs activités sexuelles et de leur altercation </w:t>
      </w:r>
      <w:r w:rsidRPr="00E6549A">
        <w:rPr>
          <w:rFonts w:cs="Times New Roman"/>
          <w:lang w:val="fr-CA"/>
        </w:rPr>
        <w:lastRenderedPageBreak/>
        <w:t>sur le tapis du salon, le plancher de la cuisine et les murs de la chambre.</w:t>
      </w:r>
    </w:p>
    <w:p w:rsidR="002D6514" w:rsidRPr="00E6549A" w:rsidRDefault="002D6514" w:rsidP="00AF284E">
      <w:pPr>
        <w:pStyle w:val="ParaNoNdepar-AltN"/>
        <w:widowControl w:val="0"/>
        <w:rPr>
          <w:rFonts w:cs="Times New Roman"/>
          <w:lang w:val="fr-CA"/>
        </w:rPr>
      </w:pPr>
      <w:r w:rsidRPr="00E6549A">
        <w:rPr>
          <w:rFonts w:cs="Times New Roman"/>
          <w:lang w:val="fr-CA"/>
        </w:rPr>
        <w:t>Quelques jours après la mort de M</w:t>
      </w:r>
      <w:r w:rsidRPr="00E6549A">
        <w:rPr>
          <w:rFonts w:eastAsia="MS Mincho" w:cs="Times New Roman"/>
          <w:vertAlign w:val="superscript"/>
          <w:lang w:val="fr-CA"/>
        </w:rPr>
        <w:t>me</w:t>
      </w:r>
      <w:r w:rsidRPr="00E6549A">
        <w:rPr>
          <w:rFonts w:cs="Times New Roman"/>
          <w:lang w:val="fr-CA"/>
        </w:rPr>
        <w:t> Young, le 29 octobre, des policiers ont exécuté un mandat de perquisition en se présentant à la résidence de M. Rodgerson. À l</w:t>
      </w:r>
      <w:r w:rsidR="004C6C13">
        <w:rPr>
          <w:rFonts w:cs="Times New Roman"/>
          <w:lang w:val="fr-CA"/>
        </w:rPr>
        <w:t>’</w:t>
      </w:r>
      <w:r w:rsidRPr="00E6549A">
        <w:rPr>
          <w:rFonts w:cs="Times New Roman"/>
          <w:lang w:val="fr-CA"/>
        </w:rPr>
        <w:t>arrivée des policiers, M. Rodgerson a tenté de s</w:t>
      </w:r>
      <w:r w:rsidR="004C6C13">
        <w:rPr>
          <w:rFonts w:cs="Times New Roman"/>
          <w:lang w:val="fr-CA"/>
        </w:rPr>
        <w:t>’</w:t>
      </w:r>
      <w:r w:rsidRPr="00E6549A">
        <w:rPr>
          <w:rFonts w:cs="Times New Roman"/>
          <w:lang w:val="fr-CA"/>
        </w:rPr>
        <w:t>enfuir, mais il a rapidement été attrapé et arrêté près des marches devant sa maison. Lors de son premier interrogatoire de la police, il a fait plusieurs fausses déclarations pour tenter de se disculper en laissant entendre que quelqu</w:t>
      </w:r>
      <w:r w:rsidR="004C6C13">
        <w:rPr>
          <w:rFonts w:cs="Times New Roman"/>
          <w:lang w:val="fr-CA"/>
        </w:rPr>
        <w:t>’</w:t>
      </w:r>
      <w:r w:rsidRPr="00E6549A">
        <w:rPr>
          <w:rFonts w:cs="Times New Roman"/>
          <w:lang w:val="fr-CA"/>
        </w:rPr>
        <w:t>un d</w:t>
      </w:r>
      <w:r w:rsidR="004C6C13">
        <w:rPr>
          <w:rFonts w:cs="Times New Roman"/>
          <w:lang w:val="fr-CA"/>
        </w:rPr>
        <w:t>’</w:t>
      </w:r>
      <w:r w:rsidRPr="00E6549A">
        <w:rPr>
          <w:rFonts w:cs="Times New Roman"/>
          <w:lang w:val="fr-CA"/>
        </w:rPr>
        <w:t>autre avait tué M</w:t>
      </w:r>
      <w:r w:rsidRPr="00E6549A">
        <w:rPr>
          <w:rFonts w:eastAsia="MS Mincho" w:cs="Times New Roman"/>
          <w:vertAlign w:val="superscript"/>
          <w:lang w:val="fr-CA"/>
        </w:rPr>
        <w:t>me</w:t>
      </w:r>
      <w:r w:rsidRPr="00E6549A">
        <w:rPr>
          <w:rFonts w:cs="Times New Roman"/>
          <w:lang w:val="fr-CA"/>
        </w:rPr>
        <w:t xml:space="preserve"> Young. </w:t>
      </w:r>
    </w:p>
    <w:p w:rsidR="002D6514" w:rsidRPr="00E6549A" w:rsidRDefault="002D6514" w:rsidP="00AF284E">
      <w:pPr>
        <w:pStyle w:val="Title2LevelTitre2Niveau"/>
        <w:widowControl w:val="0"/>
        <w:ind w:left="578" w:hanging="578"/>
        <w:rPr>
          <w:rFonts w:cs="Times New Roman"/>
          <w:lang w:val="fr-CA"/>
        </w:rPr>
      </w:pPr>
      <w:r w:rsidRPr="00E6549A">
        <w:rPr>
          <w:rFonts w:cs="Times New Roman"/>
          <w:lang w:val="fr-CA"/>
        </w:rPr>
        <w:t>La preuve médicolégale</w:t>
      </w:r>
    </w:p>
    <w:p w:rsidR="002D6514" w:rsidRPr="00E6549A" w:rsidRDefault="002D6514" w:rsidP="00AF284E">
      <w:pPr>
        <w:pStyle w:val="ParaNoNdepar-AltN"/>
        <w:widowControl w:val="0"/>
        <w:rPr>
          <w:rFonts w:cs="Times New Roman"/>
          <w:lang w:val="fr-CA"/>
        </w:rPr>
      </w:pPr>
      <w:r w:rsidRPr="00E6549A">
        <w:rPr>
          <w:rFonts w:cs="Times New Roman"/>
          <w:lang w:val="fr-CA"/>
        </w:rPr>
        <w:t>Au procès, le ministère public s</w:t>
      </w:r>
      <w:r w:rsidR="004C6C13">
        <w:rPr>
          <w:rFonts w:cs="Times New Roman"/>
          <w:lang w:val="fr-CA"/>
        </w:rPr>
        <w:t>’</w:t>
      </w:r>
      <w:r w:rsidRPr="00E6549A">
        <w:rPr>
          <w:rFonts w:cs="Times New Roman"/>
          <w:lang w:val="fr-CA"/>
        </w:rPr>
        <w:t>est appuyé sur le témoignage de deux témoins experts clés : le docteur Michael Pollanen, le médecin légiste qui a procédé à l</w:t>
      </w:r>
      <w:r w:rsidR="004C6C13">
        <w:rPr>
          <w:rFonts w:cs="Times New Roman"/>
          <w:lang w:val="fr-CA"/>
        </w:rPr>
        <w:t>’</w:t>
      </w:r>
      <w:r w:rsidRPr="00E6549A">
        <w:rPr>
          <w:rFonts w:cs="Times New Roman"/>
          <w:lang w:val="fr-CA"/>
        </w:rPr>
        <w:t>autopsie de M</w:t>
      </w:r>
      <w:r w:rsidRPr="00E6549A">
        <w:rPr>
          <w:rFonts w:eastAsia="MS Mincho" w:cs="Times New Roman"/>
          <w:vertAlign w:val="superscript"/>
          <w:lang w:val="fr-CA"/>
        </w:rPr>
        <w:t>me</w:t>
      </w:r>
      <w:r w:rsidRPr="00E6549A">
        <w:rPr>
          <w:rFonts w:cs="Times New Roman"/>
          <w:lang w:val="fr-CA"/>
        </w:rPr>
        <w:t> Young, et M. David Sibley, l</w:t>
      </w:r>
      <w:r w:rsidR="004C6C13">
        <w:rPr>
          <w:rFonts w:cs="Times New Roman"/>
          <w:lang w:val="fr-CA"/>
        </w:rPr>
        <w:t>’</w:t>
      </w:r>
      <w:r w:rsidRPr="00E6549A">
        <w:rPr>
          <w:rFonts w:cs="Times New Roman"/>
          <w:lang w:val="fr-CA"/>
        </w:rPr>
        <w:t>analyste médicolégal qui a analysé la morphologie des traces de sang à la résidence de M. Rodgerson. Le ministère public a également fait témoigner la docteure Marie Elliot, une toxicologue judiciaire qui a analysé la teneur en drogue et en alcool du sang de M</w:t>
      </w:r>
      <w:r w:rsidRPr="00E6549A">
        <w:rPr>
          <w:rFonts w:eastAsia="MS Mincho" w:cs="Times New Roman"/>
          <w:vertAlign w:val="superscript"/>
          <w:lang w:val="fr-CA"/>
        </w:rPr>
        <w:t>me</w:t>
      </w:r>
      <w:r w:rsidRPr="00E6549A">
        <w:rPr>
          <w:rFonts w:cs="Times New Roman"/>
          <w:lang w:val="fr-CA"/>
        </w:rPr>
        <w:t> Young.</w:t>
      </w:r>
    </w:p>
    <w:p w:rsidR="002D6514" w:rsidRPr="00E6549A" w:rsidRDefault="002D6514" w:rsidP="00AF284E">
      <w:pPr>
        <w:pStyle w:val="ParaNoNdepar-AltN"/>
        <w:widowControl w:val="0"/>
        <w:rPr>
          <w:rFonts w:cs="Times New Roman"/>
          <w:lang w:val="fr-CA"/>
        </w:rPr>
      </w:pPr>
      <w:r w:rsidRPr="00E6549A">
        <w:rPr>
          <w:rFonts w:cs="Times New Roman"/>
          <w:lang w:val="fr-CA"/>
        </w:rPr>
        <w:t>Le docteur Pollanen a décrit les blessures constatées au visage et à la tête de M</w:t>
      </w:r>
      <w:r w:rsidRPr="00E6549A">
        <w:rPr>
          <w:rFonts w:eastAsia="MS Mincho" w:cs="Times New Roman"/>
          <w:vertAlign w:val="superscript"/>
          <w:lang w:val="fr-CA"/>
        </w:rPr>
        <w:t>me</w:t>
      </w:r>
      <w:r w:rsidRPr="00E6549A">
        <w:rPr>
          <w:rFonts w:cs="Times New Roman"/>
          <w:lang w:val="fr-CA"/>
        </w:rPr>
        <w:t> Young et notamment des ecchymoses, des écorchures, et des entailles à l</w:t>
      </w:r>
      <w:r w:rsidR="004C6C13">
        <w:rPr>
          <w:rFonts w:cs="Times New Roman"/>
          <w:lang w:val="fr-CA"/>
        </w:rPr>
        <w:t>’</w:t>
      </w:r>
      <w:r w:rsidRPr="00E6549A">
        <w:rPr>
          <w:rFonts w:cs="Times New Roman"/>
          <w:lang w:val="fr-CA"/>
        </w:rPr>
        <w:t>intérieur de ses lèvres. Même s</w:t>
      </w:r>
      <w:r w:rsidR="004C6C13">
        <w:rPr>
          <w:rFonts w:cs="Times New Roman"/>
          <w:lang w:val="fr-CA"/>
        </w:rPr>
        <w:t>’</w:t>
      </w:r>
      <w:r w:rsidRPr="00E6549A">
        <w:rPr>
          <w:rFonts w:cs="Times New Roman"/>
          <w:lang w:val="fr-CA"/>
        </w:rPr>
        <w:t>il ne pouvait déterminer avec certitude la cause du décès, il a expliqué que le type de blessures observées était compatible avec une mort par suffocation. M. Sibley a expliqué les résultats de son analyse des taches de sang, ce qui a permis de mieux comprendre la nature de l</w:t>
      </w:r>
      <w:r w:rsidR="004C6C13">
        <w:rPr>
          <w:rFonts w:cs="Times New Roman"/>
          <w:lang w:val="fr-CA"/>
        </w:rPr>
        <w:t>’</w:t>
      </w:r>
      <w:r w:rsidRPr="00E6549A">
        <w:rPr>
          <w:rFonts w:cs="Times New Roman"/>
          <w:lang w:val="fr-CA"/>
        </w:rPr>
        <w:t xml:space="preserve">altercation physique entre </w:t>
      </w:r>
      <w:r w:rsidRPr="00E6549A">
        <w:rPr>
          <w:rFonts w:cs="Times New Roman"/>
          <w:lang w:val="fr-CA"/>
        </w:rPr>
        <w:lastRenderedPageBreak/>
        <w:t>M. Rodgerson et M</w:t>
      </w:r>
      <w:r w:rsidRPr="00E6549A">
        <w:rPr>
          <w:rFonts w:eastAsia="MS Mincho" w:cs="Times New Roman"/>
          <w:vertAlign w:val="superscript"/>
          <w:lang w:val="fr-CA"/>
        </w:rPr>
        <w:t>me</w:t>
      </w:r>
      <w:r w:rsidRPr="00E6549A">
        <w:rPr>
          <w:rFonts w:cs="Times New Roman"/>
          <w:lang w:val="fr-CA"/>
        </w:rPr>
        <w:t xml:space="preserve"> Young, ainsi que les efforts déployés par M. Rodgerson pour nettoyer les lieux après le décès. </w:t>
      </w:r>
    </w:p>
    <w:p w:rsidR="002D6514" w:rsidRPr="00E6549A" w:rsidRDefault="002D6514" w:rsidP="00AF284E">
      <w:pPr>
        <w:pStyle w:val="Title1LevelTitre1Niveau-AltL"/>
        <w:widowControl w:val="0"/>
        <w:ind w:left="578" w:hanging="578"/>
        <w:rPr>
          <w:rFonts w:cs="Times New Roman"/>
          <w:lang w:val="fr-CA"/>
        </w:rPr>
      </w:pPr>
      <w:r w:rsidRPr="00E6549A">
        <w:rPr>
          <w:rFonts w:cs="Times New Roman"/>
          <w:lang w:val="fr-CA"/>
        </w:rPr>
        <w:t>Analyse</w:t>
      </w:r>
    </w:p>
    <w:p w:rsidR="002D6514" w:rsidRPr="00E6549A" w:rsidRDefault="002D6514" w:rsidP="00AF284E">
      <w:pPr>
        <w:pStyle w:val="Title2LevelTitre2Niveau"/>
        <w:widowControl w:val="0"/>
        <w:ind w:left="578" w:hanging="578"/>
        <w:jc w:val="both"/>
        <w:rPr>
          <w:rFonts w:cs="Times New Roman"/>
          <w:lang w:val="fr-CA"/>
        </w:rPr>
      </w:pPr>
      <w:bookmarkStart w:id="1" w:name="_Toc400549494"/>
      <w:r w:rsidRPr="00E6549A">
        <w:rPr>
          <w:rFonts w:cs="Times New Roman"/>
          <w:lang w:val="fr-CA"/>
        </w:rPr>
        <w:t>Pertinence de la dissimulation et du nettoyage après l</w:t>
      </w:r>
      <w:r w:rsidR="004C6C13">
        <w:rPr>
          <w:rFonts w:cs="Times New Roman"/>
          <w:lang w:val="fr-CA"/>
        </w:rPr>
        <w:t>’</w:t>
      </w:r>
      <w:r w:rsidRPr="00E6549A">
        <w:rPr>
          <w:rFonts w:cs="Times New Roman"/>
          <w:lang w:val="fr-CA"/>
        </w:rPr>
        <w:t>infraction pour déterminer l</w:t>
      </w:r>
      <w:r w:rsidR="004C6C13">
        <w:rPr>
          <w:rFonts w:cs="Times New Roman"/>
          <w:lang w:val="fr-CA"/>
        </w:rPr>
        <w:t>’</w:t>
      </w:r>
      <w:r w:rsidRPr="00E6549A">
        <w:rPr>
          <w:rFonts w:cs="Times New Roman"/>
          <w:lang w:val="fr-CA"/>
        </w:rPr>
        <w:t xml:space="preserve">intention de </w:t>
      </w:r>
      <w:bookmarkEnd w:id="1"/>
      <w:r w:rsidRPr="00E6549A">
        <w:rPr>
          <w:rFonts w:cs="Times New Roman"/>
          <w:lang w:val="fr-CA"/>
        </w:rPr>
        <w:t>M. Rodgerson</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Le ministère public admet que le juge du procès a commis une erreur en disant aux jurés qu</w:t>
      </w:r>
      <w:r w:rsidR="004C6C13">
        <w:rPr>
          <w:rFonts w:cs="Times New Roman"/>
          <w:lang w:val="fr-CA"/>
        </w:rPr>
        <w:t>’</w:t>
      </w:r>
      <w:r w:rsidRPr="00E6549A">
        <w:rPr>
          <w:rFonts w:cs="Times New Roman"/>
          <w:lang w:val="fr-CA"/>
        </w:rPr>
        <w:t>ils pouvaient, pour se prononcer sur la question de l</w:t>
      </w:r>
      <w:r w:rsidR="004C6C13">
        <w:rPr>
          <w:rFonts w:cs="Times New Roman"/>
          <w:lang w:val="fr-CA"/>
        </w:rPr>
        <w:t>’</w:t>
      </w:r>
      <w:r w:rsidRPr="00E6549A">
        <w:rPr>
          <w:rFonts w:cs="Times New Roman"/>
          <w:lang w:val="fr-CA"/>
        </w:rPr>
        <w:t>intention, prendre en compte le fait que M. Rodgerson avait tenté d</w:t>
      </w:r>
      <w:r w:rsidR="004C6C13">
        <w:rPr>
          <w:rFonts w:cs="Times New Roman"/>
          <w:lang w:val="fr-CA"/>
        </w:rPr>
        <w:t>’</w:t>
      </w:r>
      <w:r w:rsidRPr="00E6549A">
        <w:rPr>
          <w:rFonts w:cs="Times New Roman"/>
          <w:lang w:val="fr-CA"/>
        </w:rPr>
        <w:t>échapper aux policiers et leur avait menti (m.a., par. 5). Ce sont les autres comportements de M. Rodgerson postérieurs à l</w:t>
      </w:r>
      <w:r w:rsidR="004C6C13">
        <w:rPr>
          <w:rFonts w:cs="Times New Roman"/>
          <w:lang w:val="fr-CA"/>
        </w:rPr>
        <w:t>’</w:t>
      </w:r>
      <w:r w:rsidRPr="00E6549A">
        <w:rPr>
          <w:rFonts w:cs="Times New Roman"/>
          <w:lang w:val="fr-CA"/>
        </w:rPr>
        <w:t>infraction — la dissimulation du corps de M</w:t>
      </w:r>
      <w:r w:rsidRPr="00E6549A">
        <w:rPr>
          <w:rFonts w:eastAsia="MS Mincho" w:cs="Times New Roman"/>
          <w:vertAlign w:val="superscript"/>
          <w:lang w:val="fr-CA"/>
        </w:rPr>
        <w:t>me</w:t>
      </w:r>
      <w:r w:rsidRPr="00E6549A">
        <w:rPr>
          <w:rFonts w:cs="Times New Roman"/>
          <w:lang w:val="fr-CA"/>
        </w:rPr>
        <w:t xml:space="preserve"> Young et le nettoyage des lieux de son décès — qui sont au cœur du présent pourvoi. </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La Cour d</w:t>
      </w:r>
      <w:r w:rsidR="004C6C13">
        <w:rPr>
          <w:rFonts w:cs="Times New Roman"/>
          <w:lang w:val="fr-CA"/>
        </w:rPr>
        <w:t>’</w:t>
      </w:r>
      <w:r w:rsidRPr="00E6549A">
        <w:rPr>
          <w:rFonts w:cs="Times New Roman"/>
          <w:lang w:val="fr-CA"/>
        </w:rPr>
        <w:t>appel a rejeté à l</w:t>
      </w:r>
      <w:r w:rsidR="004C6C13">
        <w:rPr>
          <w:rFonts w:cs="Times New Roman"/>
          <w:lang w:val="fr-CA"/>
        </w:rPr>
        <w:t>’</w:t>
      </w:r>
      <w:r w:rsidRPr="00E6549A">
        <w:rPr>
          <w:rFonts w:cs="Times New Roman"/>
          <w:lang w:val="fr-CA"/>
        </w:rPr>
        <w:t>unanimité l</w:t>
      </w:r>
      <w:r w:rsidR="004C6C13">
        <w:rPr>
          <w:rFonts w:cs="Times New Roman"/>
          <w:lang w:val="fr-CA"/>
        </w:rPr>
        <w:t>’</w:t>
      </w:r>
      <w:r w:rsidRPr="00E6549A">
        <w:rPr>
          <w:rFonts w:cs="Times New Roman"/>
          <w:lang w:val="fr-CA"/>
        </w:rPr>
        <w:t>argument de M. Rodgerson suivant lequel les éléments de preuve relatifs à la dissimulation et au nettoyage n</w:t>
      </w:r>
      <w:r w:rsidR="004C6C13">
        <w:rPr>
          <w:rFonts w:cs="Times New Roman"/>
          <w:lang w:val="fr-CA"/>
        </w:rPr>
        <w:t>’</w:t>
      </w:r>
      <w:r w:rsidRPr="00E6549A">
        <w:rPr>
          <w:rFonts w:cs="Times New Roman"/>
          <w:lang w:val="fr-CA"/>
        </w:rPr>
        <w:t>étaient pas pertinents pour établir l</w:t>
      </w:r>
      <w:r w:rsidR="004C6C13">
        <w:rPr>
          <w:rFonts w:cs="Times New Roman"/>
          <w:lang w:val="fr-CA"/>
        </w:rPr>
        <w:t>’</w:t>
      </w:r>
      <w:r w:rsidRPr="00E6549A">
        <w:rPr>
          <w:rFonts w:cs="Times New Roman"/>
          <w:lang w:val="fr-CA"/>
        </w:rPr>
        <w:t>intention requise pour commettre un meurtre. La Cour d</w:t>
      </w:r>
      <w:r w:rsidR="004C6C13">
        <w:rPr>
          <w:rFonts w:cs="Times New Roman"/>
          <w:lang w:val="fr-CA"/>
        </w:rPr>
        <w:t>’</w:t>
      </w:r>
      <w:r w:rsidRPr="00E6549A">
        <w:rPr>
          <w:rFonts w:cs="Times New Roman"/>
          <w:lang w:val="fr-CA"/>
        </w:rPr>
        <w:t xml:space="preserve">appel était toutefois divisée sur la question de savoir si le juge du procès avait donné aux jurés des directives suffisantes quant à </w:t>
      </w:r>
      <w:r w:rsidRPr="00E6549A">
        <w:rPr>
          <w:rFonts w:cs="Times New Roman"/>
          <w:i/>
          <w:iCs/>
          <w:lang w:val="fr-CA"/>
        </w:rPr>
        <w:t xml:space="preserve">la façon </w:t>
      </w:r>
      <w:r w:rsidRPr="00E6549A">
        <w:rPr>
          <w:rFonts w:cs="Times New Roman"/>
          <w:lang w:val="fr-CA"/>
        </w:rPr>
        <w:t>dont ils pouvaient utiliser ces éléments de preuve pour se prononcer sur la question de l</w:t>
      </w:r>
      <w:r w:rsidR="004C6C13">
        <w:rPr>
          <w:rFonts w:cs="Times New Roman"/>
          <w:lang w:val="fr-CA"/>
        </w:rPr>
        <w:t>’</w:t>
      </w:r>
      <w:r w:rsidRPr="00E6549A">
        <w:rPr>
          <w:rFonts w:cs="Times New Roman"/>
          <w:lang w:val="fr-CA"/>
        </w:rPr>
        <w:t>intention. Avant de déterminer si les juges majoritaires ont eu raison de conclure que l</w:t>
      </w:r>
      <w:r w:rsidR="004C6C13">
        <w:rPr>
          <w:rFonts w:cs="Times New Roman"/>
          <w:lang w:val="fr-CA"/>
        </w:rPr>
        <w:t>’</w:t>
      </w:r>
      <w:r w:rsidRPr="00E6549A">
        <w:rPr>
          <w:rFonts w:cs="Times New Roman"/>
          <w:lang w:val="fr-CA"/>
        </w:rPr>
        <w:t>insuffisance de directives constituait une erreur de droit, il est d</w:t>
      </w:r>
      <w:r w:rsidR="004C6C13">
        <w:rPr>
          <w:rFonts w:cs="Times New Roman"/>
          <w:lang w:val="fr-CA"/>
        </w:rPr>
        <w:t>’</w:t>
      </w:r>
      <w:r w:rsidRPr="00E6549A">
        <w:rPr>
          <w:rFonts w:cs="Times New Roman"/>
          <w:lang w:val="fr-CA"/>
        </w:rPr>
        <w:t xml:space="preserve">abord nécessaire de préciser, à titre préliminaire, la mesure dans laquelle les éléments de preuve relatifs à la dissimulation </w:t>
      </w:r>
      <w:r w:rsidRPr="00E6549A">
        <w:rPr>
          <w:rFonts w:cs="Times New Roman"/>
          <w:lang w:val="fr-CA"/>
        </w:rPr>
        <w:lastRenderedPageBreak/>
        <w:t>et au nettoyage après l</w:t>
      </w:r>
      <w:r w:rsidR="004C6C13">
        <w:rPr>
          <w:rFonts w:cs="Times New Roman"/>
          <w:lang w:val="fr-CA"/>
        </w:rPr>
        <w:t>’</w:t>
      </w:r>
      <w:r w:rsidRPr="00E6549A">
        <w:rPr>
          <w:rFonts w:cs="Times New Roman"/>
          <w:lang w:val="fr-CA"/>
        </w:rPr>
        <w:t>infraction ont une valeur probante pour ce qui est de la question de l</w:t>
      </w:r>
      <w:r w:rsidR="004C6C13">
        <w:rPr>
          <w:rFonts w:cs="Times New Roman"/>
          <w:lang w:val="fr-CA"/>
        </w:rPr>
        <w:t>’</w:t>
      </w:r>
      <w:r w:rsidRPr="00E6549A">
        <w:rPr>
          <w:rFonts w:cs="Times New Roman"/>
          <w:lang w:val="fr-CA"/>
        </w:rPr>
        <w:t>intention de M. Rodgerson.</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Pour établir que M. Rodgerson était coupable de meurtre plutôt que d</w:t>
      </w:r>
      <w:r w:rsidR="004C6C13">
        <w:rPr>
          <w:rFonts w:cs="Times New Roman"/>
          <w:lang w:val="fr-CA"/>
        </w:rPr>
        <w:t>’</w:t>
      </w:r>
      <w:r w:rsidRPr="00E6549A">
        <w:rPr>
          <w:rFonts w:cs="Times New Roman"/>
          <w:lang w:val="fr-CA"/>
        </w:rPr>
        <w:t>homicide involontaire coupable, le ministère public devait prouver soit qu</w:t>
      </w:r>
      <w:r w:rsidR="004C6C13">
        <w:rPr>
          <w:rFonts w:cs="Times New Roman"/>
          <w:lang w:val="fr-CA"/>
        </w:rPr>
        <w:t>’</w:t>
      </w:r>
      <w:r w:rsidRPr="00E6549A">
        <w:rPr>
          <w:rFonts w:cs="Times New Roman"/>
          <w:lang w:val="fr-CA"/>
        </w:rPr>
        <w:t>il avait l</w:t>
      </w:r>
      <w:r w:rsidR="004C6C13">
        <w:rPr>
          <w:rFonts w:cs="Times New Roman"/>
          <w:lang w:val="fr-CA"/>
        </w:rPr>
        <w:t>’</w:t>
      </w:r>
      <w:r w:rsidRPr="00E6549A">
        <w:rPr>
          <w:rFonts w:cs="Times New Roman"/>
          <w:lang w:val="fr-CA"/>
        </w:rPr>
        <w:t>intention de causer la mort de M</w:t>
      </w:r>
      <w:r w:rsidRPr="00E6549A">
        <w:rPr>
          <w:rFonts w:eastAsia="MS Mincho" w:cs="Times New Roman"/>
          <w:vertAlign w:val="superscript"/>
          <w:lang w:val="fr-CA"/>
        </w:rPr>
        <w:t>me</w:t>
      </w:r>
      <w:r w:rsidRPr="00E6549A">
        <w:rPr>
          <w:rFonts w:cs="Times New Roman"/>
          <w:lang w:val="fr-CA"/>
        </w:rPr>
        <w:t> Young, soit qu</w:t>
      </w:r>
      <w:r w:rsidR="004C6C13">
        <w:rPr>
          <w:rFonts w:cs="Times New Roman"/>
          <w:lang w:val="fr-CA"/>
        </w:rPr>
        <w:t>’</w:t>
      </w:r>
      <w:r w:rsidRPr="00E6549A">
        <w:rPr>
          <w:rFonts w:cs="Times New Roman"/>
          <w:lang w:val="fr-CA"/>
        </w:rPr>
        <w:t>il avait l</w:t>
      </w:r>
      <w:r w:rsidR="004C6C13">
        <w:rPr>
          <w:rFonts w:cs="Times New Roman"/>
          <w:lang w:val="fr-CA"/>
        </w:rPr>
        <w:t>’</w:t>
      </w:r>
      <w:r w:rsidRPr="00E6549A">
        <w:rPr>
          <w:rFonts w:cs="Times New Roman"/>
          <w:lang w:val="fr-CA"/>
        </w:rPr>
        <w:t>intention de lui infliger des lésions corporelles qu</w:t>
      </w:r>
      <w:r w:rsidR="004C6C13">
        <w:rPr>
          <w:rFonts w:cs="Times New Roman"/>
          <w:lang w:val="fr-CA"/>
        </w:rPr>
        <w:t>’</w:t>
      </w:r>
      <w:r w:rsidRPr="00E6549A">
        <w:rPr>
          <w:rFonts w:cs="Times New Roman"/>
          <w:lang w:val="fr-CA"/>
        </w:rPr>
        <w:t>il savait être de nature à causer la mort. À cet égard, la nature et la gravité des blessures subies par M</w:t>
      </w:r>
      <w:r w:rsidRPr="00E6549A">
        <w:rPr>
          <w:rFonts w:eastAsia="MS Mincho" w:cs="Times New Roman"/>
          <w:vertAlign w:val="superscript"/>
          <w:lang w:val="fr-CA"/>
        </w:rPr>
        <w:t>me</w:t>
      </w:r>
      <w:r w:rsidRPr="00E6549A">
        <w:rPr>
          <w:rFonts w:cs="Times New Roman"/>
          <w:lang w:val="fr-CA"/>
        </w:rPr>
        <w:t> Young ainsi que le degré de force requis pour les lui infliger constituaient la pierre angulaire de la thèse du ministère public. Plus les blessures infligées par M. Rodgerson étaient graves et plus grande était la force requise pour les lui infliger, plus il était possible de conclure qu</w:t>
      </w:r>
      <w:r w:rsidR="004C6C13">
        <w:rPr>
          <w:rFonts w:cs="Times New Roman"/>
          <w:lang w:val="fr-CA"/>
        </w:rPr>
        <w:t>’</w:t>
      </w:r>
      <w:r w:rsidRPr="00E6549A">
        <w:rPr>
          <w:rFonts w:cs="Times New Roman"/>
          <w:lang w:val="fr-CA"/>
        </w:rPr>
        <w:t>il avait l</w:t>
      </w:r>
      <w:r w:rsidR="004C6C13">
        <w:rPr>
          <w:rFonts w:cs="Times New Roman"/>
          <w:lang w:val="fr-CA"/>
        </w:rPr>
        <w:t>’</w:t>
      </w:r>
      <w:r w:rsidRPr="00E6549A">
        <w:rPr>
          <w:rFonts w:cs="Times New Roman"/>
          <w:lang w:val="fr-CA"/>
        </w:rPr>
        <w:t>intention de tuer M</w:t>
      </w:r>
      <w:r w:rsidRPr="00E6549A">
        <w:rPr>
          <w:rFonts w:eastAsia="MS Mincho" w:cs="Times New Roman"/>
          <w:vertAlign w:val="superscript"/>
          <w:lang w:val="fr-CA"/>
        </w:rPr>
        <w:t>me</w:t>
      </w:r>
      <w:r w:rsidRPr="00E6549A">
        <w:rPr>
          <w:rFonts w:cs="Times New Roman"/>
          <w:lang w:val="fr-CA"/>
        </w:rPr>
        <w:t> Young ou de lui causer des blessures graves. Pour démontrer que la nature et la gravité des blessures ainsi que le degré de force employé permettaient de conclure à un meurtre, le ministère public a exposé en preuve le rapport d</w:t>
      </w:r>
      <w:r w:rsidR="004C6C13">
        <w:rPr>
          <w:rFonts w:cs="Times New Roman"/>
          <w:lang w:val="fr-CA"/>
        </w:rPr>
        <w:t>’</w:t>
      </w:r>
      <w:r w:rsidRPr="00E6549A">
        <w:rPr>
          <w:rFonts w:cs="Times New Roman"/>
          <w:lang w:val="fr-CA"/>
        </w:rPr>
        <w:t>autopsie du docteur Pollanen et l</w:t>
      </w:r>
      <w:r w:rsidR="004C6C13">
        <w:rPr>
          <w:rFonts w:cs="Times New Roman"/>
          <w:lang w:val="fr-CA"/>
        </w:rPr>
        <w:t>’</w:t>
      </w:r>
      <w:r w:rsidRPr="00E6549A">
        <w:rPr>
          <w:rFonts w:cs="Times New Roman"/>
          <w:lang w:val="fr-CA"/>
        </w:rPr>
        <w:t xml:space="preserve">analyse morphologique des taches de sang faite par M. Sibley. </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Il est relativement aisé de comprendre de quelle façon les efforts déployés par M. Rodgerson pour dissimuler le corps et nettoyer les lieux pouvaient étayer l</w:t>
      </w:r>
      <w:r w:rsidR="004C6C13">
        <w:rPr>
          <w:rFonts w:cs="Times New Roman"/>
          <w:lang w:val="fr-CA"/>
        </w:rPr>
        <w:t>’</w:t>
      </w:r>
      <w:r w:rsidRPr="00E6549A">
        <w:rPr>
          <w:rFonts w:cs="Times New Roman"/>
          <w:lang w:val="fr-CA"/>
        </w:rPr>
        <w:t>inférence qu</w:t>
      </w:r>
      <w:r w:rsidR="004C6C13">
        <w:rPr>
          <w:rFonts w:cs="Times New Roman"/>
          <w:lang w:val="fr-CA"/>
        </w:rPr>
        <w:t>’</w:t>
      </w:r>
      <w:r w:rsidRPr="00E6549A">
        <w:rPr>
          <w:rFonts w:cs="Times New Roman"/>
          <w:lang w:val="fr-CA"/>
        </w:rPr>
        <w:t>il a agi de façon illégale. Le jury aurait raisonnablement pu conclure qu</w:t>
      </w:r>
      <w:r w:rsidR="004C6C13">
        <w:rPr>
          <w:rFonts w:cs="Times New Roman"/>
          <w:lang w:val="fr-CA"/>
        </w:rPr>
        <w:t>’</w:t>
      </w:r>
      <w:r w:rsidRPr="00E6549A">
        <w:rPr>
          <w:rFonts w:cs="Times New Roman"/>
          <w:lang w:val="fr-CA"/>
        </w:rPr>
        <w:t>il tentait de dissimuler les preuves d</w:t>
      </w:r>
      <w:r w:rsidR="004C6C13">
        <w:rPr>
          <w:rFonts w:cs="Times New Roman"/>
          <w:lang w:val="fr-CA"/>
        </w:rPr>
        <w:t>’</w:t>
      </w:r>
      <w:r w:rsidRPr="00E6549A">
        <w:rPr>
          <w:rFonts w:cs="Times New Roman"/>
          <w:lang w:val="fr-CA"/>
        </w:rPr>
        <w:t>un crime qu</w:t>
      </w:r>
      <w:r w:rsidR="004C6C13">
        <w:rPr>
          <w:rFonts w:cs="Times New Roman"/>
          <w:lang w:val="fr-CA"/>
        </w:rPr>
        <w:t>’</w:t>
      </w:r>
      <w:r w:rsidRPr="00E6549A">
        <w:rPr>
          <w:rFonts w:cs="Times New Roman"/>
          <w:lang w:val="fr-CA"/>
        </w:rPr>
        <w:t>il avait commis — soit celui d</w:t>
      </w:r>
      <w:r w:rsidR="004C6C13">
        <w:rPr>
          <w:rFonts w:cs="Times New Roman"/>
          <w:lang w:val="fr-CA"/>
        </w:rPr>
        <w:t>’</w:t>
      </w:r>
      <w:r w:rsidRPr="00E6549A">
        <w:rPr>
          <w:rFonts w:cs="Times New Roman"/>
          <w:lang w:val="fr-CA"/>
        </w:rPr>
        <w:t xml:space="preserve">avoir causé </w:t>
      </w:r>
      <w:r w:rsidRPr="00E6549A">
        <w:rPr>
          <w:rFonts w:cs="Times New Roman"/>
          <w:iCs/>
          <w:lang w:val="fr-CA"/>
        </w:rPr>
        <w:t>illégalement</w:t>
      </w:r>
      <w:r w:rsidRPr="00E6549A">
        <w:rPr>
          <w:rFonts w:cs="Times New Roman"/>
          <w:i/>
          <w:iCs/>
          <w:lang w:val="fr-CA"/>
        </w:rPr>
        <w:t xml:space="preserve"> </w:t>
      </w:r>
      <w:r w:rsidRPr="00E6549A">
        <w:rPr>
          <w:rFonts w:cs="Times New Roman"/>
          <w:iCs/>
          <w:lang w:val="fr-CA"/>
        </w:rPr>
        <w:t>la mort de</w:t>
      </w:r>
      <w:r w:rsidRPr="00E6549A">
        <w:rPr>
          <w:rFonts w:cs="Times New Roman"/>
          <w:i/>
          <w:iCs/>
          <w:lang w:val="fr-CA"/>
        </w:rPr>
        <w:t xml:space="preserve"> </w:t>
      </w:r>
      <w:r w:rsidRPr="00E6549A">
        <w:rPr>
          <w:rFonts w:cs="Times New Roman"/>
          <w:lang w:val="fr-CA"/>
        </w:rPr>
        <w:t>M</w:t>
      </w:r>
      <w:r w:rsidRPr="00E6549A">
        <w:rPr>
          <w:rFonts w:eastAsia="MS Mincho" w:cs="Times New Roman"/>
          <w:vertAlign w:val="superscript"/>
          <w:lang w:val="fr-CA"/>
        </w:rPr>
        <w:t>me</w:t>
      </w:r>
      <w:r w:rsidRPr="00E6549A">
        <w:rPr>
          <w:rFonts w:cs="Times New Roman"/>
          <w:lang w:val="fr-CA"/>
        </w:rPr>
        <w:t xml:space="preserve"> Young. Toutefois, ces efforts pouvaient également permettre de conclure aussi que M. Rodgerson tentait non seulement de </w:t>
      </w:r>
      <w:r w:rsidRPr="00E6549A">
        <w:rPr>
          <w:rFonts w:cs="Times New Roman"/>
          <w:lang w:val="fr-CA"/>
        </w:rPr>
        <w:lastRenderedPageBreak/>
        <w:t xml:space="preserve">cacher </w:t>
      </w:r>
      <w:r w:rsidRPr="00E6549A">
        <w:rPr>
          <w:rFonts w:cs="Times New Roman"/>
          <w:i/>
          <w:iCs/>
          <w:lang w:val="fr-CA"/>
        </w:rPr>
        <w:t xml:space="preserve">le fait </w:t>
      </w:r>
      <w:r w:rsidRPr="00E6549A">
        <w:rPr>
          <w:rFonts w:cs="Times New Roman"/>
          <w:lang w:val="fr-CA"/>
        </w:rPr>
        <w:t>qu</w:t>
      </w:r>
      <w:r w:rsidR="004C6C13">
        <w:rPr>
          <w:rFonts w:cs="Times New Roman"/>
          <w:lang w:val="fr-CA"/>
        </w:rPr>
        <w:t>’</w:t>
      </w:r>
      <w:r w:rsidRPr="00E6549A">
        <w:rPr>
          <w:rFonts w:cs="Times New Roman"/>
          <w:lang w:val="fr-CA"/>
        </w:rPr>
        <w:t xml:space="preserve">un crime avait été commis, mais aussi de cacher </w:t>
      </w:r>
      <w:r w:rsidRPr="00E6549A">
        <w:rPr>
          <w:rFonts w:cs="Times New Roman"/>
          <w:i/>
          <w:iCs/>
          <w:lang w:val="fr-CA"/>
        </w:rPr>
        <w:t xml:space="preserve">la gravité </w:t>
      </w:r>
      <w:r w:rsidRPr="00E6549A">
        <w:rPr>
          <w:rFonts w:cs="Times New Roman"/>
          <w:lang w:val="fr-CA"/>
        </w:rPr>
        <w:t>de ce crime. En d</w:t>
      </w:r>
      <w:r w:rsidR="004C6C13">
        <w:rPr>
          <w:rFonts w:cs="Times New Roman"/>
          <w:lang w:val="fr-CA"/>
        </w:rPr>
        <w:t>’</w:t>
      </w:r>
      <w:r w:rsidRPr="00E6549A">
        <w:rPr>
          <w:rFonts w:cs="Times New Roman"/>
          <w:lang w:val="fr-CA"/>
        </w:rPr>
        <w:t>autres mots, le jury aurait raisonnablement pu conclure que M. Rodgerson cherchait à dissimuler le corps de M</w:t>
      </w:r>
      <w:r w:rsidRPr="00E6549A">
        <w:rPr>
          <w:rFonts w:eastAsia="MS Mincho" w:cs="Times New Roman"/>
          <w:vertAlign w:val="superscript"/>
          <w:lang w:val="fr-CA"/>
        </w:rPr>
        <w:t>me</w:t>
      </w:r>
      <w:r w:rsidRPr="00E6549A">
        <w:rPr>
          <w:rFonts w:cs="Times New Roman"/>
          <w:lang w:val="fr-CA"/>
        </w:rPr>
        <w:t> Young et à nettoyer les lieux de son décès afin de dissimuler la nature et la gravité des blessures subies par M</w:t>
      </w:r>
      <w:r w:rsidRPr="00E6549A">
        <w:rPr>
          <w:rFonts w:eastAsia="MS Mincho" w:cs="Times New Roman"/>
          <w:vertAlign w:val="superscript"/>
          <w:lang w:val="fr-CA"/>
        </w:rPr>
        <w:t>me</w:t>
      </w:r>
      <w:r w:rsidRPr="00E6549A">
        <w:rPr>
          <w:rFonts w:cs="Times New Roman"/>
          <w:lang w:val="fr-CA"/>
        </w:rPr>
        <w:t xml:space="preserve"> Young et le degré de force requis pour les lui infliger. </w:t>
      </w:r>
      <w:r w:rsidR="00E01891">
        <w:rPr>
          <w:rFonts w:cs="Times New Roman"/>
          <w:lang w:val="fr-CA"/>
        </w:rPr>
        <w:t xml:space="preserve">Comme </w:t>
      </w:r>
      <w:r w:rsidRPr="00E6549A">
        <w:rPr>
          <w:rFonts w:cs="Times New Roman"/>
          <w:lang w:val="fr-CA"/>
        </w:rPr>
        <w:t>indiqué précédemment, plus les blessures infligées étaient graves et plus grande était la force requise pour les infliger, plus il était possible de conclure qu</w:t>
      </w:r>
      <w:r w:rsidR="004C6C13">
        <w:rPr>
          <w:rFonts w:cs="Times New Roman"/>
          <w:lang w:val="fr-CA"/>
        </w:rPr>
        <w:t>’</w:t>
      </w:r>
      <w:r w:rsidRPr="00E6549A">
        <w:rPr>
          <w:rFonts w:cs="Times New Roman"/>
          <w:lang w:val="fr-CA"/>
        </w:rPr>
        <w:t>il avait l</w:t>
      </w:r>
      <w:r w:rsidR="004C6C13">
        <w:rPr>
          <w:rFonts w:cs="Times New Roman"/>
          <w:lang w:val="fr-CA"/>
        </w:rPr>
        <w:t>’</w:t>
      </w:r>
      <w:r w:rsidRPr="00E6549A">
        <w:rPr>
          <w:rFonts w:cs="Times New Roman"/>
          <w:lang w:val="fr-CA"/>
        </w:rPr>
        <w:t>intention de tuer M</w:t>
      </w:r>
      <w:r w:rsidRPr="00E6549A">
        <w:rPr>
          <w:rFonts w:eastAsia="MS Mincho" w:cs="Times New Roman"/>
          <w:vertAlign w:val="superscript"/>
          <w:lang w:val="fr-CA"/>
        </w:rPr>
        <w:t>me</w:t>
      </w:r>
      <w:r w:rsidRPr="00E6549A">
        <w:rPr>
          <w:rFonts w:cs="Times New Roman"/>
          <w:lang w:val="fr-CA"/>
        </w:rPr>
        <w:t> Young ou de lui causer des lésions corporelles qu</w:t>
      </w:r>
      <w:r w:rsidR="004C6C13">
        <w:rPr>
          <w:rFonts w:cs="Times New Roman"/>
          <w:lang w:val="fr-CA"/>
        </w:rPr>
        <w:t>’</w:t>
      </w:r>
      <w:r w:rsidRPr="00E6549A">
        <w:rPr>
          <w:rFonts w:cs="Times New Roman"/>
          <w:lang w:val="fr-CA"/>
        </w:rPr>
        <w:t>il savait de nature à causer la mort. Ce n</w:t>
      </w:r>
      <w:r w:rsidR="004C6C13">
        <w:rPr>
          <w:rFonts w:cs="Times New Roman"/>
          <w:lang w:val="fr-CA"/>
        </w:rPr>
        <w:t>’</w:t>
      </w:r>
      <w:r w:rsidRPr="00E6549A">
        <w:rPr>
          <w:rFonts w:cs="Times New Roman"/>
          <w:lang w:val="fr-CA"/>
        </w:rPr>
        <w:t>est pas la seule conclusion qui pouvait se dégager de la dissimulation et du nettoyage, mais c</w:t>
      </w:r>
      <w:r w:rsidR="004C6C13">
        <w:rPr>
          <w:rFonts w:cs="Times New Roman"/>
          <w:lang w:val="fr-CA"/>
        </w:rPr>
        <w:t>’</w:t>
      </w:r>
      <w:r w:rsidRPr="00E6549A">
        <w:rPr>
          <w:rFonts w:cs="Times New Roman"/>
          <w:lang w:val="fr-CA"/>
        </w:rPr>
        <w:t>est une conclusion que le jury pouvait tirer.</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À cet égard, la dissimulation et le nettoyage postérieurs à l</w:t>
      </w:r>
      <w:r w:rsidR="004C6C13">
        <w:rPr>
          <w:rFonts w:cs="Times New Roman"/>
          <w:lang w:val="fr-CA"/>
        </w:rPr>
        <w:t>’</w:t>
      </w:r>
      <w:r w:rsidRPr="00E6549A">
        <w:rPr>
          <w:rFonts w:cs="Times New Roman"/>
          <w:lang w:val="fr-CA"/>
        </w:rPr>
        <w:t xml:space="preserve">infraction constituent simplement </w:t>
      </w:r>
      <w:r w:rsidRPr="00E6549A">
        <w:rPr>
          <w:rFonts w:cs="Times New Roman"/>
          <w:i/>
          <w:iCs/>
          <w:lang w:val="fr-CA"/>
        </w:rPr>
        <w:t xml:space="preserve">certains </w:t>
      </w:r>
      <w:r w:rsidRPr="00E6549A">
        <w:rPr>
          <w:rFonts w:cs="Times New Roman"/>
          <w:lang w:val="fr-CA"/>
        </w:rPr>
        <w:t xml:space="preserve">des éléments de preuve dont le jury pouvait tenir compte — en plus du témoignage </w:t>
      </w:r>
      <w:r>
        <w:rPr>
          <w:rFonts w:cs="Times New Roman"/>
          <w:lang w:val="fr-CA"/>
        </w:rPr>
        <w:t xml:space="preserve">du docteur </w:t>
      </w:r>
      <w:r w:rsidRPr="00E6549A">
        <w:rPr>
          <w:rFonts w:cs="Times New Roman"/>
          <w:lang w:val="fr-CA"/>
        </w:rPr>
        <w:t>Pollanen et de M. Sibley — pour décider de la nature et de la gravité des blessures et du degré de force requis pour les infliger. Bien que la signification de la preuve médicolégale ait été vigoureusement contestée au procès, l</w:t>
      </w:r>
      <w:r w:rsidR="004C6C13">
        <w:rPr>
          <w:rFonts w:cs="Times New Roman"/>
          <w:lang w:val="fr-CA"/>
        </w:rPr>
        <w:t>’</w:t>
      </w:r>
      <w:r w:rsidRPr="00E6549A">
        <w:rPr>
          <w:rFonts w:cs="Times New Roman"/>
          <w:lang w:val="fr-CA"/>
        </w:rPr>
        <w:t>interprétation qu</w:t>
      </w:r>
      <w:r w:rsidR="004C6C13">
        <w:rPr>
          <w:rFonts w:cs="Times New Roman"/>
          <w:lang w:val="fr-CA"/>
        </w:rPr>
        <w:t>’</w:t>
      </w:r>
      <w:r w:rsidRPr="00E6549A">
        <w:rPr>
          <w:rFonts w:cs="Times New Roman"/>
          <w:lang w:val="fr-CA"/>
        </w:rPr>
        <w:t>en a donnée le ministère public était qu</w:t>
      </w:r>
      <w:r w:rsidR="004C6C13">
        <w:rPr>
          <w:rFonts w:cs="Times New Roman"/>
          <w:lang w:val="fr-CA"/>
        </w:rPr>
        <w:t>’</w:t>
      </w:r>
      <w:r w:rsidRPr="00E6549A">
        <w:rPr>
          <w:rFonts w:cs="Times New Roman"/>
          <w:lang w:val="fr-CA"/>
        </w:rPr>
        <w:t>elle révélait une altercation physique plus prolongée et violente que ce que M. Rodgerson avait laissé entendre dans sa version des faits. Il était loisible au jury de considérer que la dissimulation et le nettoyage postérieurs à l</w:t>
      </w:r>
      <w:r w:rsidR="004C6C13">
        <w:rPr>
          <w:rFonts w:cs="Times New Roman"/>
          <w:lang w:val="fr-CA"/>
        </w:rPr>
        <w:t>’</w:t>
      </w:r>
      <w:r w:rsidRPr="00E6549A">
        <w:rPr>
          <w:rFonts w:cs="Times New Roman"/>
          <w:lang w:val="fr-CA"/>
        </w:rPr>
        <w:t>infraction constituaient des éléments de preuve qui tendaient à confirmer cette interprétation.</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Sur ce point, j</w:t>
      </w:r>
      <w:r w:rsidR="004C6C13">
        <w:rPr>
          <w:rFonts w:cs="Times New Roman"/>
          <w:lang w:val="fr-CA"/>
        </w:rPr>
        <w:t>’</w:t>
      </w:r>
      <w:r w:rsidRPr="00E6549A">
        <w:rPr>
          <w:rFonts w:cs="Times New Roman"/>
          <w:lang w:val="fr-CA"/>
        </w:rPr>
        <w:t>en arrive à la même conclusion que la Cour d</w:t>
      </w:r>
      <w:r w:rsidR="004C6C13">
        <w:rPr>
          <w:rFonts w:cs="Times New Roman"/>
          <w:lang w:val="fr-CA"/>
        </w:rPr>
        <w:t>’</w:t>
      </w:r>
      <w:r w:rsidRPr="00E6549A">
        <w:rPr>
          <w:rFonts w:cs="Times New Roman"/>
          <w:lang w:val="fr-CA"/>
        </w:rPr>
        <w:t xml:space="preserve">appel. Le </w:t>
      </w:r>
      <w:r w:rsidRPr="00E6549A">
        <w:rPr>
          <w:rFonts w:cs="Times New Roman"/>
          <w:lang w:val="fr-CA"/>
        </w:rPr>
        <w:lastRenderedPageBreak/>
        <w:t>juge Doherty a résumé comme suit le raisonnement par déduction nécessaire :</w:t>
      </w:r>
    </w:p>
    <w:p w:rsidR="002D6514" w:rsidRPr="00E6549A" w:rsidRDefault="002D6514" w:rsidP="00AF284E">
      <w:pPr>
        <w:pStyle w:val="Citation-AltC"/>
        <w:widowControl w:val="0"/>
        <w:ind w:left="1168" w:hanging="1168"/>
        <w:rPr>
          <w:rFonts w:cs="Times New Roman"/>
          <w:lang w:val="fr-CA"/>
        </w:rPr>
      </w:pPr>
      <w:r>
        <w:rPr>
          <w:rFonts w:cs="Times New Roman"/>
          <w:lang w:val="fr-CA"/>
        </w:rPr>
        <w:tab/>
      </w:r>
      <w:r>
        <w:rPr>
          <w:rFonts w:cs="Times New Roman"/>
          <w:lang w:val="fr-CA"/>
        </w:rPr>
        <w:tab/>
      </w:r>
      <w:r w:rsidRPr="00E6549A">
        <w:rPr>
          <w:rFonts w:cs="Times New Roman"/>
          <w:lang w:val="fr-CA"/>
        </w:rPr>
        <w:t>[</w:t>
      </w:r>
      <w:r w:rsidRPr="00E6549A">
        <w:rPr>
          <w:rFonts w:cs="Times New Roman"/>
          <w:smallCaps/>
          <w:lang w:val="fr-CA"/>
        </w:rPr>
        <w:t>traduction</w:t>
      </w:r>
      <w:r w:rsidRPr="00E6549A">
        <w:rPr>
          <w:rFonts w:cs="Times New Roman"/>
          <w:lang w:val="fr-CA"/>
        </w:rPr>
        <w:t>] Avant que le comportement postérieur à l</w:t>
      </w:r>
      <w:r w:rsidR="004C6C13">
        <w:rPr>
          <w:rFonts w:cs="Times New Roman"/>
          <w:lang w:val="fr-CA"/>
        </w:rPr>
        <w:t>’</w:t>
      </w:r>
      <w:r w:rsidRPr="00E6549A">
        <w:rPr>
          <w:rFonts w:cs="Times New Roman"/>
          <w:lang w:val="fr-CA"/>
        </w:rPr>
        <w:t>infraction relatif à la dissimulation du corps et au nettoyage des lieux de l</w:t>
      </w:r>
      <w:r w:rsidR="004C6C13">
        <w:rPr>
          <w:rFonts w:cs="Times New Roman"/>
          <w:lang w:val="fr-CA"/>
        </w:rPr>
        <w:t>’</w:t>
      </w:r>
      <w:r w:rsidRPr="00E6549A">
        <w:rPr>
          <w:rFonts w:cs="Times New Roman"/>
          <w:lang w:val="fr-CA"/>
        </w:rPr>
        <w:t>homicide puisse aider le ministère public à établir l</w:t>
      </w:r>
      <w:r w:rsidR="004C6C13">
        <w:rPr>
          <w:rFonts w:cs="Times New Roman"/>
          <w:lang w:val="fr-CA"/>
        </w:rPr>
        <w:t>’</w:t>
      </w:r>
      <w:r w:rsidRPr="00E6549A">
        <w:rPr>
          <w:rFonts w:cs="Times New Roman"/>
          <w:lang w:val="fr-CA"/>
        </w:rPr>
        <w:t>état d</w:t>
      </w:r>
      <w:r w:rsidR="004C6C13">
        <w:rPr>
          <w:rFonts w:cs="Times New Roman"/>
          <w:lang w:val="fr-CA"/>
        </w:rPr>
        <w:t>’</w:t>
      </w:r>
      <w:r w:rsidRPr="00E6549A">
        <w:rPr>
          <w:rFonts w:cs="Times New Roman"/>
          <w:lang w:val="fr-CA"/>
        </w:rPr>
        <w:t>esprit de l</w:t>
      </w:r>
      <w:r w:rsidR="004C6C13">
        <w:rPr>
          <w:rFonts w:cs="Times New Roman"/>
          <w:lang w:val="fr-CA"/>
        </w:rPr>
        <w:t>’</w:t>
      </w:r>
      <w:r w:rsidRPr="00E6549A">
        <w:rPr>
          <w:rFonts w:cs="Times New Roman"/>
          <w:lang w:val="fr-CA"/>
        </w:rPr>
        <w:t xml:space="preserve">appelant, le jury devait </w:t>
      </w:r>
      <w:r w:rsidRPr="00E6549A">
        <w:rPr>
          <w:rFonts w:cs="Times New Roman"/>
          <w:iCs/>
          <w:u w:val="single"/>
          <w:lang w:val="fr-CA"/>
        </w:rPr>
        <w:t>en premier lieu</w:t>
      </w:r>
      <w:r w:rsidRPr="00E6549A">
        <w:rPr>
          <w:rFonts w:cs="Times New Roman"/>
          <w:lang w:val="fr-CA"/>
        </w:rPr>
        <w:t xml:space="preserve"> être convaincu qu</w:t>
      </w:r>
      <w:r w:rsidR="004C6C13">
        <w:rPr>
          <w:rFonts w:cs="Times New Roman"/>
          <w:lang w:val="fr-CA"/>
        </w:rPr>
        <w:t>’</w:t>
      </w:r>
      <w:r w:rsidRPr="00E6549A">
        <w:rPr>
          <w:rFonts w:cs="Times New Roman"/>
          <w:lang w:val="fr-CA"/>
        </w:rPr>
        <w:t>il y avait eu un échange de coups prolongé et sanglant au cours duquel l</w:t>
      </w:r>
      <w:r w:rsidR="004C6C13">
        <w:rPr>
          <w:rFonts w:cs="Times New Roman"/>
          <w:lang w:val="fr-CA"/>
        </w:rPr>
        <w:t>’</w:t>
      </w:r>
      <w:r w:rsidRPr="00E6549A">
        <w:rPr>
          <w:rFonts w:cs="Times New Roman"/>
          <w:lang w:val="fr-CA"/>
        </w:rPr>
        <w:t>appelant avait frappé M</w:t>
      </w:r>
      <w:r w:rsidRPr="00E6549A">
        <w:rPr>
          <w:rFonts w:eastAsia="MS Mincho" w:cs="Times New Roman"/>
          <w:vertAlign w:val="superscript"/>
          <w:lang w:val="fr-CA"/>
        </w:rPr>
        <w:t>me</w:t>
      </w:r>
      <w:r w:rsidRPr="00E6549A">
        <w:rPr>
          <w:rFonts w:cs="Times New Roman"/>
          <w:lang w:val="fr-CA"/>
        </w:rPr>
        <w:t xml:space="preserve"> Young à la tête ou au visage à plusieurs reprises ou, du moins, plus de deux fois. Le jury ne pouvait venir à cette conclusion </w:t>
      </w:r>
      <w:r w:rsidRPr="00E6549A">
        <w:rPr>
          <w:rFonts w:cs="Times New Roman"/>
          <w:u w:val="single"/>
          <w:lang w:val="fr-CA"/>
        </w:rPr>
        <w:t>qu</w:t>
      </w:r>
      <w:r w:rsidR="004C6C13">
        <w:rPr>
          <w:rFonts w:cs="Times New Roman"/>
          <w:u w:val="single"/>
          <w:lang w:val="fr-CA"/>
        </w:rPr>
        <w:t>’</w:t>
      </w:r>
      <w:r w:rsidRPr="00E6549A">
        <w:rPr>
          <w:rFonts w:cs="Times New Roman"/>
          <w:iCs/>
          <w:u w:val="single"/>
          <w:lang w:val="fr-CA"/>
        </w:rPr>
        <w:t>après</w:t>
      </w:r>
      <w:r w:rsidRPr="00E6549A">
        <w:rPr>
          <w:rFonts w:cs="Times New Roman"/>
          <w:i/>
          <w:iCs/>
          <w:lang w:val="fr-CA"/>
        </w:rPr>
        <w:t xml:space="preserve"> </w:t>
      </w:r>
      <w:r w:rsidRPr="00E6549A">
        <w:rPr>
          <w:rFonts w:cs="Times New Roman"/>
          <w:lang w:val="fr-CA"/>
        </w:rPr>
        <w:t xml:space="preserve">avoir examiné attentivement les interprétations opposées de la preuve médicolégale qui lui avait était soumise. </w:t>
      </w:r>
      <w:r w:rsidRPr="00E6549A">
        <w:rPr>
          <w:rFonts w:cs="Times New Roman"/>
          <w:iCs/>
          <w:u w:val="single"/>
          <w:lang w:val="fr-CA"/>
        </w:rPr>
        <w:t>En second lieu</w:t>
      </w:r>
      <w:r w:rsidRPr="00E6549A">
        <w:rPr>
          <w:rFonts w:cs="Times New Roman"/>
          <w:lang w:val="fr-CA"/>
        </w:rPr>
        <w:t>, le jury devait être convaincu que l</w:t>
      </w:r>
      <w:r w:rsidR="004C6C13">
        <w:rPr>
          <w:rFonts w:cs="Times New Roman"/>
          <w:lang w:val="fr-CA"/>
        </w:rPr>
        <w:t>’</w:t>
      </w:r>
      <w:r w:rsidRPr="00E6549A">
        <w:rPr>
          <w:rFonts w:cs="Times New Roman"/>
          <w:lang w:val="fr-CA"/>
        </w:rPr>
        <w:t>appelant avait adopté ce comportement postérieur à l</w:t>
      </w:r>
      <w:r w:rsidR="004C6C13">
        <w:rPr>
          <w:rFonts w:cs="Times New Roman"/>
          <w:lang w:val="fr-CA"/>
        </w:rPr>
        <w:t>’</w:t>
      </w:r>
      <w:r w:rsidRPr="00E6549A">
        <w:rPr>
          <w:rFonts w:cs="Times New Roman"/>
          <w:lang w:val="fr-CA"/>
        </w:rPr>
        <w:t>infraction afin de détruire des éléments de preuve qui révéleraient une altercation et des actes de violence beaucoup plus intenses que ceux qu</w:t>
      </w:r>
      <w:r w:rsidR="004C6C13">
        <w:rPr>
          <w:rFonts w:cs="Times New Roman"/>
          <w:lang w:val="fr-CA"/>
        </w:rPr>
        <w:t>’</w:t>
      </w:r>
      <w:r w:rsidRPr="00E6549A">
        <w:rPr>
          <w:rFonts w:cs="Times New Roman"/>
          <w:lang w:val="fr-CA"/>
        </w:rPr>
        <w:t>il avait admis dans son témoignage. [Je souligne; par. 76.]</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Je ne suis pas en désaccord avec cette description des différentes inférences requises pour que les éléments de preuve relatifs à la dissimulation et au nettoyage puissent servir dans l</w:t>
      </w:r>
      <w:r w:rsidR="004C6C13">
        <w:rPr>
          <w:rFonts w:cs="Times New Roman"/>
          <w:lang w:val="fr-CA"/>
        </w:rPr>
        <w:t>’</w:t>
      </w:r>
      <w:r w:rsidRPr="00E6549A">
        <w:rPr>
          <w:rFonts w:cs="Times New Roman"/>
          <w:lang w:val="fr-CA"/>
        </w:rPr>
        <w:t>examen de la question de l</w:t>
      </w:r>
      <w:r w:rsidR="004C6C13">
        <w:rPr>
          <w:rFonts w:cs="Times New Roman"/>
          <w:lang w:val="fr-CA"/>
        </w:rPr>
        <w:t>’</w:t>
      </w:r>
      <w:r w:rsidRPr="00E6549A">
        <w:rPr>
          <w:rFonts w:cs="Times New Roman"/>
          <w:lang w:val="fr-CA"/>
        </w:rPr>
        <w:t>intention. Je crains toutefois que ce paragraphe puisse être mal interprété de façon à laisser entendre que, sur cette question, il n</w:t>
      </w:r>
      <w:r w:rsidR="004C6C13">
        <w:rPr>
          <w:rFonts w:cs="Times New Roman"/>
          <w:lang w:val="fr-CA"/>
        </w:rPr>
        <w:t>’</w:t>
      </w:r>
      <w:r w:rsidRPr="00E6549A">
        <w:rPr>
          <w:rFonts w:cs="Times New Roman"/>
          <w:lang w:val="fr-CA"/>
        </w:rPr>
        <w:t xml:space="preserve">aurait </w:t>
      </w:r>
      <w:r w:rsidRPr="00E6549A">
        <w:rPr>
          <w:rFonts w:cs="Times New Roman"/>
          <w:i/>
          <w:iCs/>
          <w:lang w:val="fr-CA"/>
        </w:rPr>
        <w:t>absolument pas</w:t>
      </w:r>
      <w:r w:rsidRPr="00E6549A">
        <w:rPr>
          <w:rFonts w:cs="Times New Roman"/>
          <w:lang w:val="fr-CA"/>
        </w:rPr>
        <w:t xml:space="preserve"> été permis au jury de tenir compte des éléments de preuve relatifs à la dissimulation et au nettoyage s</w:t>
      </w:r>
      <w:r w:rsidR="004C6C13">
        <w:rPr>
          <w:rFonts w:cs="Times New Roman"/>
          <w:lang w:val="fr-CA"/>
        </w:rPr>
        <w:t>’</w:t>
      </w:r>
      <w:r w:rsidRPr="00E6549A">
        <w:rPr>
          <w:rFonts w:cs="Times New Roman"/>
          <w:lang w:val="fr-CA"/>
        </w:rPr>
        <w:t>il n</w:t>
      </w:r>
      <w:r w:rsidR="004C6C13">
        <w:rPr>
          <w:rFonts w:cs="Times New Roman"/>
          <w:lang w:val="fr-CA"/>
        </w:rPr>
        <w:t>’</w:t>
      </w:r>
      <w:r w:rsidRPr="00E6549A">
        <w:rPr>
          <w:rFonts w:cs="Times New Roman"/>
          <w:lang w:val="fr-CA"/>
        </w:rPr>
        <w:t>est pas d</w:t>
      </w:r>
      <w:r w:rsidR="004C6C13">
        <w:rPr>
          <w:rFonts w:cs="Times New Roman"/>
          <w:lang w:val="fr-CA"/>
        </w:rPr>
        <w:t>’</w:t>
      </w:r>
      <w:r w:rsidRPr="00E6549A">
        <w:rPr>
          <w:rFonts w:cs="Times New Roman"/>
          <w:lang w:val="fr-CA"/>
        </w:rPr>
        <w:t>abord convaincu, en se fondant sur d</w:t>
      </w:r>
      <w:r w:rsidR="004C6C13">
        <w:rPr>
          <w:rFonts w:cs="Times New Roman"/>
          <w:lang w:val="fr-CA"/>
        </w:rPr>
        <w:t>’</w:t>
      </w:r>
      <w:r w:rsidRPr="00E6549A">
        <w:rPr>
          <w:rFonts w:cs="Times New Roman"/>
          <w:i/>
          <w:iCs/>
          <w:lang w:val="fr-CA"/>
        </w:rPr>
        <w:t xml:space="preserve">autres </w:t>
      </w:r>
      <w:r w:rsidRPr="00E6549A">
        <w:rPr>
          <w:rFonts w:cs="Times New Roman"/>
          <w:lang w:val="fr-CA"/>
        </w:rPr>
        <w:t>éléments de preuve, que l</w:t>
      </w:r>
      <w:r w:rsidR="004C6C13">
        <w:rPr>
          <w:rFonts w:cs="Times New Roman"/>
          <w:lang w:val="fr-CA"/>
        </w:rPr>
        <w:t>’</w:t>
      </w:r>
      <w:r w:rsidRPr="00E6549A">
        <w:rPr>
          <w:rFonts w:cs="Times New Roman"/>
          <w:lang w:val="fr-CA"/>
        </w:rPr>
        <w:t>altercation entre M. Rodgerson et M</w:t>
      </w:r>
      <w:r w:rsidRPr="00E6549A">
        <w:rPr>
          <w:rFonts w:eastAsia="MS Mincho" w:cs="Times New Roman"/>
          <w:vertAlign w:val="superscript"/>
          <w:lang w:val="fr-CA"/>
        </w:rPr>
        <w:t>me</w:t>
      </w:r>
      <w:r w:rsidRPr="00E6549A">
        <w:rPr>
          <w:rFonts w:cs="Times New Roman"/>
          <w:lang w:val="fr-CA"/>
        </w:rPr>
        <w:t> Young revêtait une forme particulière. Je n</w:t>
      </w:r>
      <w:r w:rsidR="004C6C13">
        <w:rPr>
          <w:rFonts w:cs="Times New Roman"/>
          <w:lang w:val="fr-CA"/>
        </w:rPr>
        <w:t>’</w:t>
      </w:r>
      <w:r w:rsidRPr="00E6549A">
        <w:rPr>
          <w:rFonts w:cs="Times New Roman"/>
          <w:lang w:val="fr-CA"/>
        </w:rPr>
        <w:t>attribue pas une telle interprétation au juge Doherty, mais je tiens à éviter toute confusion à ce propos. À mon avis, une telle approche compliquerait inutilement l</w:t>
      </w:r>
      <w:r w:rsidR="004C6C13">
        <w:rPr>
          <w:rFonts w:cs="Times New Roman"/>
          <w:lang w:val="fr-CA"/>
        </w:rPr>
        <w:t>’</w:t>
      </w:r>
      <w:r w:rsidRPr="00E6549A">
        <w:rPr>
          <w:rFonts w:cs="Times New Roman"/>
          <w:lang w:val="fr-CA"/>
        </w:rPr>
        <w:t>analyse déjà complexe à laquelle le jury doit se livrer. De plus, elle constituerait une exigence injustifiée, du fait qu</w:t>
      </w:r>
      <w:r w:rsidR="004C6C13">
        <w:rPr>
          <w:rFonts w:cs="Times New Roman"/>
          <w:lang w:val="fr-CA"/>
        </w:rPr>
        <w:t>’</w:t>
      </w:r>
      <w:r w:rsidRPr="00E6549A">
        <w:rPr>
          <w:rFonts w:cs="Times New Roman"/>
          <w:lang w:val="fr-CA"/>
        </w:rPr>
        <w:t>elle obligerait à compartimenter la preuve de façon artificielle avant que le jury puisse l</w:t>
      </w:r>
      <w:r w:rsidR="004C6C13">
        <w:rPr>
          <w:rFonts w:cs="Times New Roman"/>
          <w:lang w:val="fr-CA"/>
        </w:rPr>
        <w:t>’</w:t>
      </w:r>
      <w:r w:rsidRPr="00E6549A">
        <w:rPr>
          <w:rFonts w:cs="Times New Roman"/>
          <w:lang w:val="fr-CA"/>
        </w:rPr>
        <w:t xml:space="preserve">examiner. La jurisprudence déconseille ce type de cloisonnement de la </w:t>
      </w:r>
      <w:r w:rsidRPr="00E6549A">
        <w:rPr>
          <w:rFonts w:cs="Times New Roman"/>
          <w:lang w:val="fr-CA"/>
        </w:rPr>
        <w:lastRenderedPageBreak/>
        <w:t xml:space="preserve">preuve : voir </w:t>
      </w:r>
      <w:r w:rsidRPr="00E6549A">
        <w:rPr>
          <w:rFonts w:cs="Times New Roman"/>
          <w:i/>
          <w:iCs/>
          <w:lang w:val="fr-CA"/>
        </w:rPr>
        <w:t>R. c. Morin</w:t>
      </w:r>
      <w:r w:rsidRPr="00E6549A">
        <w:rPr>
          <w:rFonts w:cs="Times New Roman"/>
          <w:lang w:val="fr-CA"/>
        </w:rPr>
        <w:t>, [1988] 2 R.C.S. 345. Le jury avait le droit de tenir compte simultanément et comme un tout de la preuve médicolégale et de la preuve de la dissimulation et du nettoyage postérieurs à l</w:t>
      </w:r>
      <w:r w:rsidR="004C6C13">
        <w:rPr>
          <w:rFonts w:cs="Times New Roman"/>
          <w:lang w:val="fr-CA"/>
        </w:rPr>
        <w:t>’</w:t>
      </w:r>
      <w:r w:rsidRPr="00E6549A">
        <w:rPr>
          <w:rFonts w:cs="Times New Roman"/>
          <w:lang w:val="fr-CA"/>
        </w:rPr>
        <w:t>infraction pour déterminer la nature et la gravité des blessures subies par M</w:t>
      </w:r>
      <w:r w:rsidRPr="00E6549A">
        <w:rPr>
          <w:rFonts w:eastAsia="MS Mincho" w:cs="Times New Roman"/>
          <w:vertAlign w:val="superscript"/>
          <w:lang w:val="fr-CA"/>
        </w:rPr>
        <w:t>me</w:t>
      </w:r>
      <w:r w:rsidRPr="00E6549A">
        <w:rPr>
          <w:rFonts w:cs="Times New Roman"/>
          <w:lang w:val="fr-CA"/>
        </w:rPr>
        <w:t xml:space="preserve"> Young et le degré de force requis pour les lui infliger. </w:t>
      </w:r>
    </w:p>
    <w:p w:rsidR="002D6514" w:rsidRPr="00E6549A" w:rsidRDefault="002D6514" w:rsidP="00AF284E">
      <w:pPr>
        <w:pStyle w:val="Title2LevelTitre2Niveau"/>
        <w:widowControl w:val="0"/>
        <w:ind w:left="578" w:hanging="578"/>
        <w:jc w:val="both"/>
        <w:rPr>
          <w:rFonts w:cs="Times New Roman"/>
          <w:lang w:val="fr-CA"/>
        </w:rPr>
      </w:pPr>
      <w:r w:rsidRPr="00E6549A">
        <w:rPr>
          <w:rFonts w:cs="Times New Roman"/>
          <w:lang w:val="fr-CA"/>
        </w:rPr>
        <w:t>Le juge du procès n</w:t>
      </w:r>
      <w:r w:rsidR="004C6C13">
        <w:rPr>
          <w:rFonts w:cs="Times New Roman"/>
          <w:lang w:val="fr-CA"/>
        </w:rPr>
        <w:t>’</w:t>
      </w:r>
      <w:r w:rsidRPr="00E6549A">
        <w:rPr>
          <w:rFonts w:cs="Times New Roman"/>
          <w:lang w:val="fr-CA"/>
        </w:rPr>
        <w:t>a pas donné de directives adéquates au jury sur l</w:t>
      </w:r>
      <w:r w:rsidR="004C6C13">
        <w:rPr>
          <w:rFonts w:cs="Times New Roman"/>
          <w:lang w:val="fr-CA"/>
        </w:rPr>
        <w:t>’</w:t>
      </w:r>
      <w:r w:rsidRPr="00E6549A">
        <w:rPr>
          <w:rFonts w:cs="Times New Roman"/>
          <w:lang w:val="fr-CA"/>
        </w:rPr>
        <w:t>utilisation de la preuve relative à la dissimulation et au nettoyage postérieurs à l</w:t>
      </w:r>
      <w:r w:rsidR="004C6C13">
        <w:rPr>
          <w:rFonts w:cs="Times New Roman"/>
          <w:lang w:val="fr-CA"/>
        </w:rPr>
        <w:t>’</w:t>
      </w:r>
      <w:r w:rsidRPr="00E6549A">
        <w:rPr>
          <w:rFonts w:cs="Times New Roman"/>
          <w:lang w:val="fr-CA"/>
        </w:rPr>
        <w:t>infraction pour évaluer l</w:t>
      </w:r>
      <w:r w:rsidR="004C6C13">
        <w:rPr>
          <w:rFonts w:cs="Times New Roman"/>
          <w:lang w:val="fr-CA"/>
        </w:rPr>
        <w:t>’</w:t>
      </w:r>
      <w:r w:rsidRPr="00E6549A">
        <w:rPr>
          <w:rFonts w:cs="Times New Roman"/>
          <w:lang w:val="fr-CA"/>
        </w:rPr>
        <w:t>intention de M. Rodgerson</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Je suis d</w:t>
      </w:r>
      <w:r w:rsidR="004C6C13">
        <w:rPr>
          <w:rFonts w:cs="Times New Roman"/>
          <w:lang w:val="fr-CA"/>
        </w:rPr>
        <w:t>’</w:t>
      </w:r>
      <w:r w:rsidRPr="00E6549A">
        <w:rPr>
          <w:rFonts w:cs="Times New Roman"/>
          <w:lang w:val="fr-CA"/>
        </w:rPr>
        <w:t>accord avec les juges majoritaires de la Cour d</w:t>
      </w:r>
      <w:r w:rsidR="004C6C13">
        <w:rPr>
          <w:rFonts w:cs="Times New Roman"/>
          <w:lang w:val="fr-CA"/>
        </w:rPr>
        <w:t>’</w:t>
      </w:r>
      <w:r w:rsidRPr="00E6549A">
        <w:rPr>
          <w:rFonts w:cs="Times New Roman"/>
          <w:lang w:val="fr-CA"/>
        </w:rPr>
        <w:t>appel pour affirmer que le juge du procès a commis une erreur dans ses directives aux jurés en ne leur donnant pas d</w:t>
      </w:r>
      <w:r w:rsidR="004C6C13">
        <w:rPr>
          <w:rFonts w:cs="Times New Roman"/>
          <w:lang w:val="fr-CA"/>
        </w:rPr>
        <w:t>’</w:t>
      </w:r>
      <w:r w:rsidRPr="00E6549A">
        <w:rPr>
          <w:rFonts w:cs="Times New Roman"/>
          <w:lang w:val="fr-CA"/>
        </w:rPr>
        <w:t>indications suffisantes sur la façon dont ils pouvaient se servir de la preuve relative à la dissimulation et au nettoyage pour se prononcer sur la question de l</w:t>
      </w:r>
      <w:r w:rsidR="004C6C13">
        <w:rPr>
          <w:rFonts w:cs="Times New Roman"/>
          <w:lang w:val="fr-CA"/>
        </w:rPr>
        <w:t>’</w:t>
      </w:r>
      <w:r w:rsidRPr="00E6549A">
        <w:rPr>
          <w:rFonts w:cs="Times New Roman"/>
          <w:lang w:val="fr-CA"/>
        </w:rPr>
        <w:t xml:space="preserve">intention. </w:t>
      </w:r>
    </w:p>
    <w:p w:rsidR="002D6514" w:rsidRPr="00E6549A" w:rsidRDefault="002D6514" w:rsidP="00AF284E">
      <w:pPr>
        <w:pStyle w:val="Title3LevelTitre3Niveau"/>
        <w:widowControl w:val="0"/>
        <w:ind w:left="1156" w:hanging="578"/>
        <w:jc w:val="both"/>
        <w:rPr>
          <w:rFonts w:cs="Times New Roman"/>
          <w:lang w:val="fr-CA"/>
        </w:rPr>
      </w:pPr>
      <w:r w:rsidRPr="00E6549A">
        <w:rPr>
          <w:rFonts w:cs="Times New Roman"/>
          <w:lang w:val="fr-CA"/>
        </w:rPr>
        <w:t>Les directives du juge du procès relatives au comportement postérieur à l</w:t>
      </w:r>
      <w:r w:rsidR="004C6C13">
        <w:rPr>
          <w:rFonts w:cs="Times New Roman"/>
          <w:lang w:val="fr-CA"/>
        </w:rPr>
        <w:t>’</w:t>
      </w:r>
      <w:r w:rsidRPr="00E6549A">
        <w:rPr>
          <w:rFonts w:cs="Times New Roman"/>
          <w:lang w:val="fr-CA"/>
        </w:rPr>
        <w:t xml:space="preserve">infraction </w:t>
      </w:r>
    </w:p>
    <w:p w:rsidR="002D6514" w:rsidRPr="00E6549A" w:rsidRDefault="002D6514" w:rsidP="00AF284E">
      <w:pPr>
        <w:pStyle w:val="ParaNoNdepar-AltN"/>
        <w:widowControl w:val="0"/>
        <w:tabs>
          <w:tab w:val="clear" w:pos="1152"/>
          <w:tab w:val="left" w:pos="1166"/>
        </w:tabs>
        <w:spacing w:before="0"/>
        <w:rPr>
          <w:rFonts w:cs="Times New Roman"/>
          <w:lang w:val="fr-CA"/>
        </w:rPr>
      </w:pPr>
      <w:r w:rsidRPr="00E6549A">
        <w:rPr>
          <w:rFonts w:cs="Times New Roman"/>
          <w:lang w:val="fr-CA"/>
        </w:rPr>
        <w:t>Dans ses longues directives aux jurés, le juge du procès a mentionné à plusieurs reprises les mesures prises par M. Rodgerson pour dissimuler le corps et nettoyer les lieux. Il a d</w:t>
      </w:r>
      <w:r w:rsidR="004C6C13">
        <w:rPr>
          <w:rFonts w:cs="Times New Roman"/>
          <w:lang w:val="fr-CA"/>
        </w:rPr>
        <w:t>’</w:t>
      </w:r>
      <w:r w:rsidRPr="00E6549A">
        <w:rPr>
          <w:rFonts w:cs="Times New Roman"/>
          <w:lang w:val="fr-CA"/>
        </w:rPr>
        <w:t>abord donné des « directives générales » sur le comportement postérieur à l</w:t>
      </w:r>
      <w:r w:rsidR="004C6C13">
        <w:rPr>
          <w:rFonts w:cs="Times New Roman"/>
          <w:lang w:val="fr-CA"/>
        </w:rPr>
        <w:t>’</w:t>
      </w:r>
      <w:r w:rsidRPr="00E6549A">
        <w:rPr>
          <w:rFonts w:cs="Times New Roman"/>
          <w:lang w:val="fr-CA"/>
        </w:rPr>
        <w:t xml:space="preserve">infraction, dans lesquelles il a donné un aperçu général des diverses utilisations permises de ce type de preuve, et il a mis le jury en garde contre les dangers que comporte habituellement une preuve de ce genre. En particulier, comme </w:t>
      </w:r>
      <w:r w:rsidRPr="00E6549A">
        <w:rPr>
          <w:rFonts w:cs="Times New Roman"/>
          <w:lang w:val="fr-CA"/>
        </w:rPr>
        <w:lastRenderedPageBreak/>
        <w:t>le juge MacPherson l</w:t>
      </w:r>
      <w:r w:rsidR="004C6C13">
        <w:rPr>
          <w:rFonts w:cs="Times New Roman"/>
          <w:lang w:val="fr-CA"/>
        </w:rPr>
        <w:t>’</w:t>
      </w:r>
      <w:r w:rsidRPr="00E6549A">
        <w:rPr>
          <w:rFonts w:cs="Times New Roman"/>
          <w:lang w:val="fr-CA"/>
        </w:rPr>
        <w:t>a fait observer dans ses motifs, les directives que le juge du procès a données aux jurés étaient conformes à la mise en garde qui s</w:t>
      </w:r>
      <w:r w:rsidR="004C6C13">
        <w:rPr>
          <w:rFonts w:cs="Times New Roman"/>
          <w:lang w:val="fr-CA"/>
        </w:rPr>
        <w:t>’</w:t>
      </w:r>
      <w:r w:rsidRPr="00E6549A">
        <w:rPr>
          <w:rFonts w:cs="Times New Roman"/>
          <w:lang w:val="fr-CA"/>
        </w:rPr>
        <w:t xml:space="preserve">impose telle que formulée par notre Cour dans les arrêts </w:t>
      </w:r>
      <w:r w:rsidRPr="00E6549A">
        <w:rPr>
          <w:rFonts w:cs="Times New Roman"/>
          <w:i/>
          <w:iCs/>
          <w:lang w:val="fr-CA"/>
        </w:rPr>
        <w:t>R. c. White</w:t>
      </w:r>
      <w:r w:rsidRPr="00E6549A">
        <w:rPr>
          <w:rFonts w:cs="Times New Roman"/>
          <w:iCs/>
          <w:lang w:val="fr-CA"/>
        </w:rPr>
        <w:t>,</w:t>
      </w:r>
      <w:r w:rsidRPr="00E6549A">
        <w:rPr>
          <w:rFonts w:cs="Times New Roman"/>
          <w:i/>
          <w:iCs/>
          <w:lang w:val="fr-CA"/>
        </w:rPr>
        <w:t xml:space="preserve"> </w:t>
      </w:r>
      <w:r w:rsidRPr="00E6549A">
        <w:rPr>
          <w:rFonts w:cs="Times New Roman"/>
          <w:lang w:val="fr-CA"/>
        </w:rPr>
        <w:t>[1998] 2 R.C.S. 72 (« </w:t>
      </w:r>
      <w:r w:rsidRPr="00E6549A">
        <w:rPr>
          <w:rFonts w:cs="Times New Roman"/>
          <w:i/>
          <w:iCs/>
          <w:lang w:val="fr-CA"/>
        </w:rPr>
        <w:t>White 1998 </w:t>
      </w:r>
      <w:r w:rsidRPr="00E6549A">
        <w:rPr>
          <w:rFonts w:cs="Times New Roman"/>
          <w:lang w:val="fr-CA"/>
        </w:rPr>
        <w:t xml:space="preserve">»), et </w:t>
      </w:r>
      <w:r w:rsidRPr="00E6549A">
        <w:rPr>
          <w:rFonts w:cs="Times New Roman"/>
          <w:i/>
          <w:iCs/>
          <w:lang w:val="fr-CA"/>
        </w:rPr>
        <w:t>R. c. White</w:t>
      </w:r>
      <w:r w:rsidRPr="00E6549A">
        <w:rPr>
          <w:rFonts w:cs="Times New Roman"/>
          <w:lang w:val="fr-CA"/>
        </w:rPr>
        <w:t>, 2011 CSC 13, [2011] 1 R.C.S. 433 (« </w:t>
      </w:r>
      <w:r w:rsidRPr="00E6549A">
        <w:rPr>
          <w:rFonts w:cs="Times New Roman"/>
          <w:i/>
          <w:iCs/>
          <w:lang w:val="fr-CA"/>
        </w:rPr>
        <w:t>White 2011 </w:t>
      </w:r>
      <w:r w:rsidRPr="00E6549A">
        <w:rPr>
          <w:rFonts w:cs="Times New Roman"/>
          <w:lang w:val="fr-CA"/>
        </w:rPr>
        <w:t>»). Le juge du procès a déclaré ce qui suit :</w:t>
      </w:r>
    </w:p>
    <w:p w:rsidR="002D6514" w:rsidRDefault="002D6514" w:rsidP="00AF284E">
      <w:pPr>
        <w:pStyle w:val="Citation-AltC"/>
        <w:widowControl w:val="0"/>
        <w:spacing w:after="0"/>
        <w:ind w:left="1168" w:hanging="1168"/>
        <w:rPr>
          <w:rFonts w:cs="Times New Roman"/>
          <w:lang w:val="fr-CA"/>
        </w:rPr>
      </w:pPr>
      <w:r>
        <w:rPr>
          <w:rFonts w:cs="Times New Roman"/>
          <w:lang w:val="fr-CA"/>
        </w:rPr>
        <w:tab/>
      </w:r>
      <w:r w:rsidRPr="00E6549A">
        <w:rPr>
          <w:rFonts w:cs="Times New Roman"/>
          <w:lang w:val="fr-CA"/>
        </w:rPr>
        <w:t>[</w:t>
      </w:r>
      <w:r w:rsidRPr="00E6549A">
        <w:rPr>
          <w:rFonts w:cs="Times New Roman"/>
          <w:smallCaps/>
          <w:lang w:val="fr-CA"/>
        </w:rPr>
        <w:t>traduction</w:t>
      </w:r>
      <w:r w:rsidRPr="00E6549A">
        <w:rPr>
          <w:rFonts w:cs="Times New Roman"/>
          <w:lang w:val="fr-CA"/>
        </w:rPr>
        <w:t xml:space="preserve">] </w:t>
      </w:r>
    </w:p>
    <w:p w:rsidR="004C6C13" w:rsidRPr="00E6549A" w:rsidRDefault="004C6C13" w:rsidP="00AF284E">
      <w:pPr>
        <w:pStyle w:val="Citation-AltC"/>
        <w:widowControl w:val="0"/>
        <w:spacing w:after="0"/>
        <w:ind w:left="1168" w:hanging="1168"/>
        <w:rPr>
          <w:rFonts w:cs="Times New Roman"/>
          <w:lang w:val="fr-CA"/>
        </w:rPr>
      </w:pPr>
    </w:p>
    <w:p w:rsidR="002D6514" w:rsidRPr="00E6549A" w:rsidRDefault="002D6514" w:rsidP="00AF284E">
      <w:pPr>
        <w:pStyle w:val="Citation-AltC"/>
        <w:widowControl w:val="0"/>
        <w:spacing w:after="240"/>
        <w:ind w:left="1168" w:hanging="1168"/>
        <w:rPr>
          <w:rFonts w:cs="Times New Roman"/>
          <w:lang w:val="fr-CA"/>
        </w:rPr>
      </w:pPr>
      <w:r>
        <w:rPr>
          <w:rFonts w:cs="Times New Roman"/>
          <w:lang w:val="fr-CA"/>
        </w:rPr>
        <w:tab/>
      </w:r>
      <w:r w:rsidR="00083138">
        <w:rPr>
          <w:rFonts w:cs="Times New Roman"/>
          <w:lang w:val="fr-CA"/>
        </w:rPr>
        <w:t>3. . . . j</w:t>
      </w:r>
      <w:r w:rsidRPr="00E6549A">
        <w:rPr>
          <w:rFonts w:cs="Times New Roman"/>
          <w:lang w:val="fr-CA"/>
        </w:rPr>
        <w:t xml:space="preserve">e tiens à vous </w:t>
      </w:r>
      <w:r w:rsidRPr="00E6549A">
        <w:rPr>
          <w:rFonts w:cs="Times New Roman"/>
          <w:i/>
          <w:lang w:val="fr-CA"/>
        </w:rPr>
        <w:t>mettre en garde</w:t>
      </w:r>
      <w:r w:rsidRPr="00E6549A">
        <w:rPr>
          <w:rFonts w:cs="Times New Roman"/>
          <w:lang w:val="fr-CA"/>
        </w:rPr>
        <w:t xml:space="preserve"> contre un danger potentiel en ce qui a trait au comportement postérieur à l</w:t>
      </w:r>
      <w:r w:rsidR="004C6C13">
        <w:rPr>
          <w:rFonts w:cs="Times New Roman"/>
          <w:lang w:val="fr-CA"/>
        </w:rPr>
        <w:t>’</w:t>
      </w:r>
      <w:r w:rsidRPr="00E6549A">
        <w:rPr>
          <w:rFonts w:cs="Times New Roman"/>
          <w:lang w:val="fr-CA"/>
        </w:rPr>
        <w:t>infraction. La valeur probante du comportement postérieur à l</w:t>
      </w:r>
      <w:r w:rsidR="004C6C13">
        <w:rPr>
          <w:rFonts w:cs="Times New Roman"/>
          <w:lang w:val="fr-CA"/>
        </w:rPr>
        <w:t>’</w:t>
      </w:r>
      <w:r w:rsidRPr="00E6549A">
        <w:rPr>
          <w:rFonts w:cs="Times New Roman"/>
          <w:lang w:val="fr-CA"/>
        </w:rPr>
        <w:t>infraction peut sembler plus grande qu</w:t>
      </w:r>
      <w:r w:rsidR="004C6C13">
        <w:rPr>
          <w:rFonts w:cs="Times New Roman"/>
          <w:lang w:val="fr-CA"/>
        </w:rPr>
        <w:t>’</w:t>
      </w:r>
      <w:r w:rsidRPr="00E6549A">
        <w:rPr>
          <w:rFonts w:cs="Times New Roman"/>
          <w:lang w:val="fr-CA"/>
        </w:rPr>
        <w:t>elle ne l</w:t>
      </w:r>
      <w:r w:rsidR="004C6C13">
        <w:rPr>
          <w:rFonts w:cs="Times New Roman"/>
          <w:lang w:val="fr-CA"/>
        </w:rPr>
        <w:t>’</w:t>
      </w:r>
      <w:r w:rsidRPr="00E6549A">
        <w:rPr>
          <w:rFonts w:cs="Times New Roman"/>
          <w:lang w:val="fr-CA"/>
        </w:rPr>
        <w:t>est en réalité et il peut, de par sa nature même, être moins fiable qu</w:t>
      </w:r>
      <w:r w:rsidR="004C6C13">
        <w:rPr>
          <w:rFonts w:cs="Times New Roman"/>
          <w:lang w:val="fr-CA"/>
        </w:rPr>
        <w:t>’</w:t>
      </w:r>
      <w:r w:rsidRPr="00E6549A">
        <w:rPr>
          <w:rFonts w:cs="Times New Roman"/>
          <w:lang w:val="fr-CA"/>
        </w:rPr>
        <w:t>il ne le semble, ou être compatible avec d</w:t>
      </w:r>
      <w:r w:rsidR="004C6C13">
        <w:rPr>
          <w:rFonts w:cs="Times New Roman"/>
          <w:lang w:val="fr-CA"/>
        </w:rPr>
        <w:t>’</w:t>
      </w:r>
      <w:r w:rsidRPr="00E6549A">
        <w:rPr>
          <w:rFonts w:cs="Times New Roman"/>
          <w:lang w:val="fr-CA"/>
        </w:rPr>
        <w:t>autres explications moins évidentes que celles avancées par l</w:t>
      </w:r>
      <w:r w:rsidR="004C6C13">
        <w:rPr>
          <w:rFonts w:cs="Times New Roman"/>
          <w:lang w:val="fr-CA"/>
        </w:rPr>
        <w:t>’</w:t>
      </w:r>
      <w:r w:rsidRPr="00E6549A">
        <w:rPr>
          <w:rFonts w:cs="Times New Roman"/>
          <w:lang w:val="fr-CA"/>
        </w:rPr>
        <w:t>avocat du ministère public. Vous devez examiner avec prudence la preuve relative au comportement postérieur à l</w:t>
      </w:r>
      <w:r w:rsidR="004C6C13">
        <w:rPr>
          <w:rFonts w:cs="Times New Roman"/>
          <w:lang w:val="fr-CA"/>
        </w:rPr>
        <w:t>’</w:t>
      </w:r>
      <w:r w:rsidRPr="00E6549A">
        <w:rPr>
          <w:rFonts w:cs="Times New Roman"/>
          <w:lang w:val="fr-CA"/>
        </w:rPr>
        <w:t>infraction et tenir compte de la mise en garde que je vous ai faite. Je vous demande également de réserver votre jugement final au sujet [. . .] du comportement postérieur à l</w:t>
      </w:r>
      <w:r w:rsidR="004C6C13">
        <w:rPr>
          <w:rFonts w:cs="Times New Roman"/>
          <w:lang w:val="fr-CA"/>
        </w:rPr>
        <w:t>’</w:t>
      </w:r>
      <w:r w:rsidRPr="00E6549A">
        <w:rPr>
          <w:rFonts w:cs="Times New Roman"/>
          <w:lang w:val="fr-CA"/>
        </w:rPr>
        <w:t>infraction de Jason Rodgerson jusqu</w:t>
      </w:r>
      <w:r w:rsidR="004C6C13">
        <w:rPr>
          <w:rFonts w:cs="Times New Roman"/>
          <w:lang w:val="fr-CA"/>
        </w:rPr>
        <w:t>’</w:t>
      </w:r>
      <w:r w:rsidRPr="00E6549A">
        <w:rPr>
          <w:rFonts w:cs="Times New Roman"/>
          <w:lang w:val="fr-CA"/>
        </w:rPr>
        <w:t xml:space="preserve">à ce que </w:t>
      </w:r>
      <w:r w:rsidRPr="00E6549A">
        <w:rPr>
          <w:rFonts w:cs="Times New Roman"/>
          <w:i/>
          <w:iCs/>
          <w:lang w:val="fr-CA"/>
        </w:rPr>
        <w:t>tous</w:t>
      </w:r>
      <w:r w:rsidRPr="00E6549A">
        <w:rPr>
          <w:rFonts w:cs="Times New Roman"/>
          <w:lang w:val="fr-CA"/>
        </w:rPr>
        <w:t xml:space="preserve"> les éléments de preuve aient été examinés au cours de vos délibérations.</w:t>
      </w:r>
    </w:p>
    <w:p w:rsidR="002D6514" w:rsidRPr="00E6549A" w:rsidRDefault="002D6514" w:rsidP="00AF284E">
      <w:pPr>
        <w:pStyle w:val="Citation-AltC"/>
        <w:widowControl w:val="0"/>
        <w:ind w:left="1168" w:hanging="1168"/>
        <w:rPr>
          <w:rFonts w:cs="Times New Roman"/>
          <w:lang w:val="fr-CA"/>
        </w:rPr>
      </w:pPr>
      <w:r>
        <w:rPr>
          <w:rFonts w:cs="Times New Roman"/>
          <w:lang w:val="fr-CA"/>
        </w:rPr>
        <w:tab/>
      </w:r>
      <w:r w:rsidRPr="00E6549A">
        <w:rPr>
          <w:rFonts w:cs="Times New Roman"/>
          <w:lang w:val="fr-CA"/>
        </w:rPr>
        <w:t>4. Ce qu</w:t>
      </w:r>
      <w:r w:rsidR="004C6C13">
        <w:rPr>
          <w:rFonts w:cs="Times New Roman"/>
          <w:lang w:val="fr-CA"/>
        </w:rPr>
        <w:t>’</w:t>
      </w:r>
      <w:r w:rsidRPr="00E6549A">
        <w:rPr>
          <w:rFonts w:cs="Times New Roman"/>
          <w:lang w:val="fr-CA"/>
        </w:rPr>
        <w:t xml:space="preserve">une personne a dit ou fait </w:t>
      </w:r>
      <w:r w:rsidRPr="00E6549A">
        <w:rPr>
          <w:rFonts w:cs="Times New Roman"/>
          <w:i/>
          <w:iCs/>
          <w:lang w:val="fr-CA"/>
        </w:rPr>
        <w:t xml:space="preserve">après </w:t>
      </w:r>
      <w:r w:rsidRPr="00E6549A">
        <w:rPr>
          <w:rFonts w:cs="Times New Roman"/>
          <w:lang w:val="fr-CA"/>
        </w:rPr>
        <w:t>qu</w:t>
      </w:r>
      <w:r w:rsidR="004C6C13">
        <w:rPr>
          <w:rFonts w:cs="Times New Roman"/>
          <w:lang w:val="fr-CA"/>
        </w:rPr>
        <w:t>’</w:t>
      </w:r>
      <w:r w:rsidRPr="00E6549A">
        <w:rPr>
          <w:rFonts w:cs="Times New Roman"/>
          <w:lang w:val="fr-CA"/>
        </w:rPr>
        <w:t xml:space="preserve">une infraction a été commise </w:t>
      </w:r>
      <w:r w:rsidRPr="00E6549A">
        <w:rPr>
          <w:rFonts w:cs="Times New Roman"/>
          <w:i/>
          <w:iCs/>
          <w:lang w:val="fr-CA"/>
        </w:rPr>
        <w:t xml:space="preserve">peut </w:t>
      </w:r>
      <w:r w:rsidRPr="00E6549A">
        <w:rPr>
          <w:rFonts w:cs="Times New Roman"/>
          <w:lang w:val="fr-CA"/>
        </w:rPr>
        <w:t>indiquer qu</w:t>
      </w:r>
      <w:r w:rsidR="004C6C13">
        <w:rPr>
          <w:rFonts w:cs="Times New Roman"/>
          <w:lang w:val="fr-CA"/>
        </w:rPr>
        <w:t>’</w:t>
      </w:r>
      <w:r w:rsidRPr="00E6549A">
        <w:rPr>
          <w:rFonts w:cs="Times New Roman"/>
          <w:lang w:val="fr-CA"/>
        </w:rPr>
        <w:t>elle a agi ou parlé d</w:t>
      </w:r>
      <w:r w:rsidR="004C6C13">
        <w:rPr>
          <w:rFonts w:cs="Times New Roman"/>
          <w:lang w:val="fr-CA"/>
        </w:rPr>
        <w:t>’</w:t>
      </w:r>
      <w:r w:rsidRPr="00E6549A">
        <w:rPr>
          <w:rFonts w:cs="Times New Roman"/>
          <w:lang w:val="fr-CA"/>
        </w:rPr>
        <w:t>une façon qui, suivant la logique et l</w:t>
      </w:r>
      <w:r w:rsidR="004C6C13">
        <w:rPr>
          <w:rFonts w:cs="Times New Roman"/>
          <w:lang w:val="fr-CA"/>
        </w:rPr>
        <w:t>’</w:t>
      </w:r>
      <w:r w:rsidRPr="00E6549A">
        <w:rPr>
          <w:rFonts w:cs="Times New Roman"/>
          <w:lang w:val="fr-CA"/>
        </w:rPr>
        <w:t>expérience humaine, est compatible avec la conduite d</w:t>
      </w:r>
      <w:r w:rsidR="004C6C13">
        <w:rPr>
          <w:rFonts w:cs="Times New Roman"/>
          <w:lang w:val="fr-CA"/>
        </w:rPr>
        <w:t>’</w:t>
      </w:r>
      <w:r w:rsidRPr="00E6549A">
        <w:rPr>
          <w:rFonts w:cs="Times New Roman"/>
          <w:lang w:val="fr-CA"/>
        </w:rPr>
        <w:t>une personne qui a commis l</w:t>
      </w:r>
      <w:r w:rsidR="004C6C13">
        <w:rPr>
          <w:rFonts w:cs="Times New Roman"/>
          <w:lang w:val="fr-CA"/>
        </w:rPr>
        <w:t>’</w:t>
      </w:r>
      <w:r w:rsidRPr="00E6549A">
        <w:rPr>
          <w:rFonts w:cs="Times New Roman"/>
          <w:lang w:val="fr-CA"/>
        </w:rPr>
        <w:t>infraction et incompatible avec la conduite d</w:t>
      </w:r>
      <w:r w:rsidR="004C6C13">
        <w:rPr>
          <w:rFonts w:cs="Times New Roman"/>
          <w:lang w:val="fr-CA"/>
        </w:rPr>
        <w:t>’</w:t>
      </w:r>
      <w:r w:rsidRPr="00E6549A">
        <w:rPr>
          <w:rFonts w:cs="Times New Roman"/>
          <w:lang w:val="fr-CA"/>
        </w:rPr>
        <w:t>une personne qui ne l</w:t>
      </w:r>
      <w:r w:rsidR="004C6C13">
        <w:rPr>
          <w:rFonts w:cs="Times New Roman"/>
          <w:lang w:val="fr-CA"/>
        </w:rPr>
        <w:t>’</w:t>
      </w:r>
      <w:r w:rsidRPr="00E6549A">
        <w:rPr>
          <w:rFonts w:cs="Times New Roman"/>
          <w:lang w:val="fr-CA"/>
        </w:rPr>
        <w:t>a pas commise. Par contre, il peut exister d</w:t>
      </w:r>
      <w:r w:rsidR="004C6C13">
        <w:rPr>
          <w:rFonts w:cs="Times New Roman"/>
          <w:lang w:val="fr-CA"/>
        </w:rPr>
        <w:t>’</w:t>
      </w:r>
      <w:r w:rsidRPr="00E6549A">
        <w:rPr>
          <w:rFonts w:cs="Times New Roman"/>
          <w:lang w:val="fr-CA"/>
        </w:rPr>
        <w:t>autres explications relativement à ce que Jason Rodgerson a dit ou a fait par la suite, de sorte que ce comportement n</w:t>
      </w:r>
      <w:r w:rsidR="004C6C13">
        <w:rPr>
          <w:rFonts w:cs="Times New Roman"/>
          <w:lang w:val="fr-CA"/>
        </w:rPr>
        <w:t>’</w:t>
      </w:r>
      <w:r w:rsidRPr="00E6549A">
        <w:rPr>
          <w:rFonts w:cs="Times New Roman"/>
          <w:lang w:val="fr-CA"/>
        </w:rPr>
        <w:t>est pas utile pour décider s</w:t>
      </w:r>
      <w:r w:rsidR="004C6C13">
        <w:rPr>
          <w:rFonts w:cs="Times New Roman"/>
          <w:lang w:val="fr-CA"/>
        </w:rPr>
        <w:t>’</w:t>
      </w:r>
      <w:r w:rsidRPr="00E6549A">
        <w:rPr>
          <w:rFonts w:cs="Times New Roman"/>
          <w:lang w:val="fr-CA"/>
        </w:rPr>
        <w:t>il a agi de façon illégale ou s</w:t>
      </w:r>
      <w:r w:rsidR="004C6C13">
        <w:rPr>
          <w:rFonts w:cs="Times New Roman"/>
          <w:lang w:val="fr-CA"/>
        </w:rPr>
        <w:t>’</w:t>
      </w:r>
      <w:r w:rsidRPr="00E6549A">
        <w:rPr>
          <w:rFonts w:cs="Times New Roman"/>
          <w:lang w:val="fr-CA"/>
        </w:rPr>
        <w:t>il avait ou non l</w:t>
      </w:r>
      <w:r w:rsidR="004C6C13">
        <w:rPr>
          <w:rFonts w:cs="Times New Roman"/>
          <w:lang w:val="fr-CA"/>
        </w:rPr>
        <w:t>’</w:t>
      </w:r>
      <w:r w:rsidRPr="00E6549A">
        <w:rPr>
          <w:rFonts w:cs="Times New Roman"/>
          <w:lang w:val="fr-CA"/>
        </w:rPr>
        <w:t>i</w:t>
      </w:r>
      <w:r w:rsidR="004C6C13">
        <w:rPr>
          <w:rFonts w:cs="Times New Roman"/>
          <w:lang w:val="fr-CA"/>
        </w:rPr>
        <w:t>ntention de tuer Amber Young. [En i</w:t>
      </w:r>
      <w:r w:rsidRPr="00E6549A">
        <w:rPr>
          <w:rFonts w:cs="Times New Roman"/>
          <w:lang w:val="fr-CA"/>
        </w:rPr>
        <w:t>talique dans l</w:t>
      </w:r>
      <w:r w:rsidR="004C6C13">
        <w:rPr>
          <w:rFonts w:cs="Times New Roman"/>
          <w:lang w:val="fr-CA"/>
        </w:rPr>
        <w:t>’</w:t>
      </w:r>
      <w:r w:rsidRPr="00E6549A">
        <w:rPr>
          <w:rFonts w:cs="Times New Roman"/>
          <w:lang w:val="fr-CA"/>
        </w:rPr>
        <w:t>original; d.a., vol. IX, p. 63.]</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 xml:space="preserve">Du début à la fin de son exposé, le juge du procès est constamment revenu sur les éléments de preuve portant sur la dissimulation et le nettoyage pour donner des directives aux jurés sur les éléments constitutifs des infractions pertinentes et sur les moyens de défense de M. Rodgerson. Chaque fois, il a donné le même type </w:t>
      </w:r>
      <w:r w:rsidRPr="00E6549A">
        <w:rPr>
          <w:rFonts w:cs="Times New Roman"/>
          <w:lang w:val="fr-CA"/>
        </w:rPr>
        <w:lastRenderedPageBreak/>
        <w:t>d</w:t>
      </w:r>
      <w:r w:rsidR="004C6C13">
        <w:rPr>
          <w:rFonts w:cs="Times New Roman"/>
          <w:lang w:val="fr-CA"/>
        </w:rPr>
        <w:t>’</w:t>
      </w:r>
      <w:r w:rsidRPr="00E6549A">
        <w:rPr>
          <w:rFonts w:cs="Times New Roman"/>
          <w:lang w:val="fr-CA"/>
        </w:rPr>
        <w:t>instructions générales. Il n</w:t>
      </w:r>
      <w:r w:rsidR="004C6C13">
        <w:rPr>
          <w:rFonts w:cs="Times New Roman"/>
          <w:lang w:val="fr-CA"/>
        </w:rPr>
        <w:t>’</w:t>
      </w:r>
      <w:r w:rsidRPr="00E6549A">
        <w:rPr>
          <w:rFonts w:cs="Times New Roman"/>
          <w:lang w:val="fr-CA"/>
        </w:rPr>
        <w:t>a fait aucune distinction entre le fait d</w:t>
      </w:r>
      <w:r w:rsidR="004C6C13">
        <w:rPr>
          <w:rFonts w:cs="Times New Roman"/>
          <w:lang w:val="fr-CA"/>
        </w:rPr>
        <w:t>’</w:t>
      </w:r>
      <w:r w:rsidRPr="00E6549A">
        <w:rPr>
          <w:rFonts w:cs="Times New Roman"/>
          <w:lang w:val="fr-CA"/>
        </w:rPr>
        <w:t>utiliser les éléments de preuve relatifs à la dissimulation et au nettoyage pour évaluer si la mort de M</w:t>
      </w:r>
      <w:r w:rsidRPr="00E6549A">
        <w:rPr>
          <w:rFonts w:eastAsia="MS Mincho" w:cs="Times New Roman"/>
          <w:vertAlign w:val="superscript"/>
          <w:lang w:val="fr-CA"/>
        </w:rPr>
        <w:t>me</w:t>
      </w:r>
      <w:r w:rsidRPr="00E6549A">
        <w:rPr>
          <w:rFonts w:cs="Times New Roman"/>
          <w:lang w:val="fr-CA"/>
        </w:rPr>
        <w:t> Young résultait d</w:t>
      </w:r>
      <w:r w:rsidR="004C6C13">
        <w:rPr>
          <w:rFonts w:cs="Times New Roman"/>
          <w:lang w:val="fr-CA"/>
        </w:rPr>
        <w:t>’</w:t>
      </w:r>
      <w:r w:rsidRPr="00E6549A">
        <w:rPr>
          <w:rFonts w:cs="Times New Roman"/>
          <w:lang w:val="fr-CA"/>
        </w:rPr>
        <w:t>un acte illégal et le fait d</w:t>
      </w:r>
      <w:r w:rsidR="004C6C13">
        <w:rPr>
          <w:rFonts w:cs="Times New Roman"/>
          <w:lang w:val="fr-CA"/>
        </w:rPr>
        <w:t>’</w:t>
      </w:r>
      <w:r w:rsidRPr="00E6549A">
        <w:rPr>
          <w:rFonts w:cs="Times New Roman"/>
          <w:lang w:val="fr-CA"/>
        </w:rPr>
        <w:t>utiliser ces mêmes éléments de preuve pour déterminer l</w:t>
      </w:r>
      <w:r w:rsidR="004C6C13">
        <w:rPr>
          <w:rFonts w:cs="Times New Roman"/>
          <w:lang w:val="fr-CA"/>
        </w:rPr>
        <w:t>’</w:t>
      </w:r>
      <w:r w:rsidRPr="00E6549A">
        <w:rPr>
          <w:rFonts w:cs="Times New Roman"/>
          <w:lang w:val="fr-CA"/>
        </w:rPr>
        <w:t>intention de M. Rodgerson. Chaque fois, il a simplement expliqué aux jurés que [</w:t>
      </w:r>
      <w:r w:rsidRPr="00E6549A">
        <w:rPr>
          <w:rFonts w:cs="Times New Roman"/>
          <w:smallCaps/>
          <w:lang w:val="fr-CA"/>
        </w:rPr>
        <w:t>traduction</w:t>
      </w:r>
      <w:r w:rsidRPr="00E6549A">
        <w:rPr>
          <w:rFonts w:cs="Times New Roman"/>
          <w:lang w:val="fr-CA"/>
        </w:rPr>
        <w:t>] « [l]à encore, vous devez tenir compte du comportement postérieur à l</w:t>
      </w:r>
      <w:r w:rsidR="004C6C13">
        <w:rPr>
          <w:rFonts w:cs="Times New Roman"/>
          <w:lang w:val="fr-CA"/>
        </w:rPr>
        <w:t>’</w:t>
      </w:r>
      <w:r w:rsidRPr="00E6549A">
        <w:rPr>
          <w:rFonts w:cs="Times New Roman"/>
          <w:lang w:val="fr-CA"/>
        </w:rPr>
        <w:t>infraction que je vous ai déjà mentionné » ou dit quelque chose en ce sens (d.a., vol. IX, p. 119). À quelques reprises, le juge du procès a offert un bref résumé factuel des éléments de preuve pertinents, alors qu</w:t>
      </w:r>
      <w:r w:rsidR="004C6C13">
        <w:rPr>
          <w:rFonts w:cs="Times New Roman"/>
          <w:lang w:val="fr-CA"/>
        </w:rPr>
        <w:t>’</w:t>
      </w:r>
      <w:r w:rsidRPr="00E6549A">
        <w:rPr>
          <w:rFonts w:cs="Times New Roman"/>
          <w:lang w:val="fr-CA"/>
        </w:rPr>
        <w:t>à d</w:t>
      </w:r>
      <w:r w:rsidR="004C6C13">
        <w:rPr>
          <w:rFonts w:cs="Times New Roman"/>
          <w:lang w:val="fr-CA"/>
        </w:rPr>
        <w:t>’</w:t>
      </w:r>
      <w:r w:rsidRPr="00E6549A">
        <w:rPr>
          <w:rFonts w:cs="Times New Roman"/>
          <w:lang w:val="fr-CA"/>
        </w:rPr>
        <w:t>autres moments, il ne l</w:t>
      </w:r>
      <w:r w:rsidR="004C6C13">
        <w:rPr>
          <w:rFonts w:cs="Times New Roman"/>
          <w:lang w:val="fr-CA"/>
        </w:rPr>
        <w:t>’</w:t>
      </w:r>
      <w:r w:rsidRPr="00E6549A">
        <w:rPr>
          <w:rFonts w:cs="Times New Roman"/>
          <w:lang w:val="fr-CA"/>
        </w:rPr>
        <w:t>a pas fait. Il n</w:t>
      </w:r>
      <w:r w:rsidR="004C6C13">
        <w:rPr>
          <w:rFonts w:cs="Times New Roman"/>
          <w:lang w:val="fr-CA"/>
        </w:rPr>
        <w:t>’</w:t>
      </w:r>
      <w:r w:rsidRPr="00E6549A">
        <w:rPr>
          <w:rFonts w:cs="Times New Roman"/>
          <w:lang w:val="fr-CA"/>
        </w:rPr>
        <w:t xml:space="preserve">a toutefois jamais aidé le jury à comprendre </w:t>
      </w:r>
      <w:r w:rsidRPr="00E6549A">
        <w:rPr>
          <w:rFonts w:cs="Times New Roman"/>
          <w:i/>
          <w:iCs/>
          <w:lang w:val="fr-CA"/>
        </w:rPr>
        <w:t xml:space="preserve">de quelle manière </w:t>
      </w:r>
      <w:r w:rsidRPr="00E6549A">
        <w:rPr>
          <w:rFonts w:cs="Times New Roman"/>
          <w:lang w:val="fr-CA"/>
        </w:rPr>
        <w:t>il pouvait utiliser les éléments de preuve relatifs à la dissimulation et au nettoyage pour décider si M. Rodgerson possédait l</w:t>
      </w:r>
      <w:r w:rsidR="004C6C13">
        <w:rPr>
          <w:rFonts w:cs="Times New Roman"/>
          <w:lang w:val="fr-CA"/>
        </w:rPr>
        <w:t>’</w:t>
      </w:r>
      <w:r w:rsidRPr="00E6549A">
        <w:rPr>
          <w:rFonts w:cs="Times New Roman"/>
          <w:lang w:val="fr-CA"/>
        </w:rPr>
        <w:t>intention requise pour commettre un meurtre. Il n</w:t>
      </w:r>
      <w:r w:rsidR="004C6C13">
        <w:rPr>
          <w:rFonts w:cs="Times New Roman"/>
          <w:lang w:val="fr-CA"/>
        </w:rPr>
        <w:t>’</w:t>
      </w:r>
      <w:r w:rsidRPr="00E6549A">
        <w:rPr>
          <w:rFonts w:cs="Times New Roman"/>
          <w:lang w:val="fr-CA"/>
        </w:rPr>
        <w:t>a pas expliqué non plus comment le raisonnement par déduction était différent sur cette question par rapport à celle de savoir si M. Rodgerson avait agi de façon illégale.</w:t>
      </w:r>
    </w:p>
    <w:p w:rsidR="002D6514" w:rsidRPr="00E6549A" w:rsidRDefault="002D6514" w:rsidP="00AF284E">
      <w:pPr>
        <w:pStyle w:val="Title3LevelTitre3Niveau"/>
        <w:widowControl w:val="0"/>
        <w:ind w:left="1156" w:hanging="578"/>
        <w:rPr>
          <w:rFonts w:cs="Times New Roman"/>
          <w:lang w:val="fr-CA"/>
        </w:rPr>
      </w:pPr>
      <w:r w:rsidRPr="00E6549A">
        <w:rPr>
          <w:rFonts w:cs="Times New Roman"/>
          <w:lang w:val="fr-CA"/>
        </w:rPr>
        <w:t>La nécessité de directives plus précises</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Le jury avait le droit de tenir compte des éléments de preuve relatifs à la dissimulation et au nettoyage pour examiner l</w:t>
      </w:r>
      <w:r w:rsidR="004C6C13">
        <w:rPr>
          <w:rFonts w:cs="Times New Roman"/>
          <w:lang w:val="fr-CA"/>
        </w:rPr>
        <w:t>’</w:t>
      </w:r>
      <w:r w:rsidRPr="00E6549A">
        <w:rPr>
          <w:rFonts w:cs="Times New Roman"/>
          <w:lang w:val="fr-CA"/>
        </w:rPr>
        <w:t>allégation de légitime défense de M. Rodgerson et la question de savoir s</w:t>
      </w:r>
      <w:r w:rsidR="004C6C13">
        <w:rPr>
          <w:rFonts w:cs="Times New Roman"/>
          <w:lang w:val="fr-CA"/>
        </w:rPr>
        <w:t>’</w:t>
      </w:r>
      <w:r w:rsidRPr="00E6549A">
        <w:rPr>
          <w:rFonts w:cs="Times New Roman"/>
          <w:lang w:val="fr-CA"/>
        </w:rPr>
        <w:t xml:space="preserve">il avait causé </w:t>
      </w:r>
      <w:r w:rsidRPr="00E6549A">
        <w:rPr>
          <w:rFonts w:cs="Times New Roman"/>
          <w:i/>
          <w:iCs/>
          <w:lang w:val="fr-CA"/>
        </w:rPr>
        <w:t xml:space="preserve">illégalement </w:t>
      </w:r>
      <w:r w:rsidRPr="00E6549A">
        <w:rPr>
          <w:rFonts w:cs="Times New Roman"/>
          <w:iCs/>
          <w:lang w:val="fr-CA"/>
        </w:rPr>
        <w:t>la mort de</w:t>
      </w:r>
      <w:r w:rsidRPr="00E6549A">
        <w:rPr>
          <w:rFonts w:cs="Times New Roman"/>
          <w:i/>
          <w:iCs/>
          <w:lang w:val="fr-CA"/>
        </w:rPr>
        <w:t xml:space="preserve"> </w:t>
      </w:r>
      <w:r w:rsidRPr="00E6549A">
        <w:rPr>
          <w:rFonts w:cs="Times New Roman"/>
          <w:lang w:val="fr-CA"/>
        </w:rPr>
        <w:t>M</w:t>
      </w:r>
      <w:r w:rsidRPr="00E6549A">
        <w:rPr>
          <w:rFonts w:eastAsia="MS Mincho" w:cs="Times New Roman"/>
          <w:vertAlign w:val="superscript"/>
          <w:lang w:val="fr-CA"/>
        </w:rPr>
        <w:t>me</w:t>
      </w:r>
      <w:r w:rsidRPr="00E6549A">
        <w:rPr>
          <w:rFonts w:cs="Times New Roman"/>
          <w:lang w:val="fr-CA"/>
        </w:rPr>
        <w:t> Young. Il avait également le droit de tenir compte de ces éléments de preuve pour déterminer si M. Rodgerson avait l</w:t>
      </w:r>
      <w:r w:rsidR="004C6C13">
        <w:rPr>
          <w:rFonts w:cs="Times New Roman"/>
          <w:lang w:val="fr-CA"/>
        </w:rPr>
        <w:t>’</w:t>
      </w:r>
      <w:r w:rsidRPr="00E6549A">
        <w:rPr>
          <w:rFonts w:cs="Times New Roman"/>
          <w:lang w:val="fr-CA"/>
        </w:rPr>
        <w:t xml:space="preserve">intention requise pour commettre un meurtre. En ce qui concerne la légitime défense et le fait de causer illégalement la </w:t>
      </w:r>
      <w:r w:rsidRPr="00E6549A">
        <w:rPr>
          <w:rFonts w:cs="Times New Roman"/>
          <w:lang w:val="fr-CA"/>
        </w:rPr>
        <w:lastRenderedPageBreak/>
        <w:t>mort, la pertinence des éléments de preuve relatifs à la dissimulation et au nettoyage et la nature des conclusions qu</w:t>
      </w:r>
      <w:r w:rsidR="004C6C13">
        <w:rPr>
          <w:rFonts w:cs="Times New Roman"/>
          <w:lang w:val="fr-CA"/>
        </w:rPr>
        <w:t>’</w:t>
      </w:r>
      <w:r w:rsidRPr="00E6549A">
        <w:rPr>
          <w:rFonts w:cs="Times New Roman"/>
          <w:lang w:val="fr-CA"/>
        </w:rPr>
        <w:t>on pouvait en tirer relevaient du simple bon sens. La dissimulation du corps et le nettoyage des lieux où M</w:t>
      </w:r>
      <w:r w:rsidRPr="00E6549A">
        <w:rPr>
          <w:rFonts w:eastAsia="MS Mincho" w:cs="Times New Roman"/>
          <w:vertAlign w:val="superscript"/>
          <w:lang w:val="fr-CA"/>
        </w:rPr>
        <w:t>me</w:t>
      </w:r>
      <w:r w:rsidRPr="00E6549A">
        <w:rPr>
          <w:rFonts w:cs="Times New Roman"/>
          <w:lang w:val="fr-CA"/>
        </w:rPr>
        <w:t> Young était décédée pouvaient être considérés comme des éléments de preuve tendant à démontrer que M. Rodgerson savait qu</w:t>
      </w:r>
      <w:r w:rsidR="004C6C13">
        <w:rPr>
          <w:rFonts w:cs="Times New Roman"/>
          <w:lang w:val="fr-CA"/>
        </w:rPr>
        <w:t>’</w:t>
      </w:r>
      <w:r w:rsidRPr="00E6549A">
        <w:rPr>
          <w:rFonts w:cs="Times New Roman"/>
          <w:lang w:val="fr-CA"/>
        </w:rPr>
        <w:t>il avait causé illégalement la mort de M</w:t>
      </w:r>
      <w:r w:rsidRPr="00E6549A">
        <w:rPr>
          <w:rFonts w:eastAsia="MS Mincho" w:cs="Times New Roman"/>
          <w:vertAlign w:val="superscript"/>
          <w:lang w:val="fr-CA"/>
        </w:rPr>
        <w:t>me</w:t>
      </w:r>
      <w:r w:rsidRPr="00E6549A">
        <w:rPr>
          <w:rFonts w:cs="Times New Roman"/>
          <w:lang w:val="fr-CA"/>
        </w:rPr>
        <w:t> Young et qu</w:t>
      </w:r>
      <w:r w:rsidR="004C6C13">
        <w:rPr>
          <w:rFonts w:cs="Times New Roman"/>
          <w:lang w:val="fr-CA"/>
        </w:rPr>
        <w:t>’</w:t>
      </w:r>
      <w:r w:rsidRPr="00E6549A">
        <w:rPr>
          <w:rFonts w:cs="Times New Roman"/>
          <w:lang w:val="fr-CA"/>
        </w:rPr>
        <w:t>il tentait de camoufler le meurtre. Toutefois, lorsque le jury est passé à la question de l</w:t>
      </w:r>
      <w:r w:rsidR="004C6C13">
        <w:rPr>
          <w:rFonts w:cs="Times New Roman"/>
          <w:lang w:val="fr-CA"/>
        </w:rPr>
        <w:t>’</w:t>
      </w:r>
      <w:r w:rsidRPr="00E6549A">
        <w:rPr>
          <w:rFonts w:cs="Times New Roman"/>
          <w:lang w:val="fr-CA"/>
        </w:rPr>
        <w:t>intention requise pour commettre un meurtre, ce simple raisonnement par déduction devenait tout à fait inutile. La pertinence limitée de ce comportement postérieur à l</w:t>
      </w:r>
      <w:r w:rsidR="004C6C13">
        <w:rPr>
          <w:rFonts w:cs="Times New Roman"/>
          <w:lang w:val="fr-CA"/>
        </w:rPr>
        <w:t>’</w:t>
      </w:r>
      <w:r w:rsidRPr="00E6549A">
        <w:rPr>
          <w:rFonts w:cs="Times New Roman"/>
          <w:lang w:val="fr-CA"/>
        </w:rPr>
        <w:t>infraction, en rapport avec la question de l</w:t>
      </w:r>
      <w:r w:rsidR="004C6C13">
        <w:rPr>
          <w:rFonts w:cs="Times New Roman"/>
          <w:lang w:val="fr-CA"/>
        </w:rPr>
        <w:t>’</w:t>
      </w:r>
      <w:r w:rsidRPr="00E6549A">
        <w:rPr>
          <w:rFonts w:cs="Times New Roman"/>
          <w:lang w:val="fr-CA"/>
        </w:rPr>
        <w:t>intention, reposait plutôt sur l</w:t>
      </w:r>
      <w:r w:rsidR="004C6C13">
        <w:rPr>
          <w:rFonts w:cs="Times New Roman"/>
          <w:lang w:val="fr-CA"/>
        </w:rPr>
        <w:t>’</w:t>
      </w:r>
      <w:r w:rsidRPr="00E6549A">
        <w:rPr>
          <w:rFonts w:cs="Times New Roman"/>
          <w:lang w:val="fr-CA"/>
        </w:rPr>
        <w:t>inférence plus étroite suivante : le jury pouvait raisonnablement conclure que M. Rodgerson avait dissimulé le corps de M</w:t>
      </w:r>
      <w:r w:rsidRPr="00E6549A">
        <w:rPr>
          <w:rFonts w:eastAsia="MS Mincho" w:cs="Times New Roman"/>
          <w:vertAlign w:val="superscript"/>
          <w:lang w:val="fr-CA"/>
        </w:rPr>
        <w:t>me</w:t>
      </w:r>
      <w:r w:rsidRPr="00E6549A">
        <w:rPr>
          <w:rFonts w:cs="Times New Roman"/>
          <w:lang w:val="fr-CA"/>
        </w:rPr>
        <w:t> Young et nettoyé les lieux de son décès afin de dissimuler la nature et la gravité de ses blessures et le degré de force requis pour les infliger.</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Dans les sections des directives au jury concernant la question de l</w:t>
      </w:r>
      <w:r w:rsidR="004C6C13">
        <w:rPr>
          <w:rFonts w:cs="Times New Roman"/>
          <w:lang w:val="fr-CA"/>
        </w:rPr>
        <w:t>’</w:t>
      </w:r>
      <w:r w:rsidRPr="00E6549A">
        <w:rPr>
          <w:rFonts w:cs="Times New Roman"/>
          <w:lang w:val="fr-CA"/>
        </w:rPr>
        <w:t>intention, le juge du procès n</w:t>
      </w:r>
      <w:r w:rsidR="004C6C13">
        <w:rPr>
          <w:rFonts w:cs="Times New Roman"/>
          <w:lang w:val="fr-CA"/>
        </w:rPr>
        <w:t>’</w:t>
      </w:r>
      <w:r w:rsidRPr="00E6549A">
        <w:rPr>
          <w:rFonts w:cs="Times New Roman"/>
          <w:lang w:val="fr-CA"/>
        </w:rPr>
        <w:t>a pas établi de lien entre, d</w:t>
      </w:r>
      <w:r w:rsidR="004C6C13">
        <w:rPr>
          <w:rFonts w:cs="Times New Roman"/>
          <w:lang w:val="fr-CA"/>
        </w:rPr>
        <w:t>’</w:t>
      </w:r>
      <w:r w:rsidRPr="00E6549A">
        <w:rPr>
          <w:rFonts w:cs="Times New Roman"/>
          <w:lang w:val="fr-CA"/>
        </w:rPr>
        <w:t>une part, les éléments de preuve relatifs à la dissimulation et au nettoyage et, d</w:t>
      </w:r>
      <w:r w:rsidR="004C6C13">
        <w:rPr>
          <w:rFonts w:cs="Times New Roman"/>
          <w:lang w:val="fr-CA"/>
        </w:rPr>
        <w:t>’</w:t>
      </w:r>
      <w:r w:rsidRPr="00E6549A">
        <w:rPr>
          <w:rFonts w:cs="Times New Roman"/>
          <w:lang w:val="fr-CA"/>
        </w:rPr>
        <w:t>autre part, la nature et la gravité des blessures infligées à M</w:t>
      </w:r>
      <w:r w:rsidRPr="00E6549A">
        <w:rPr>
          <w:rFonts w:eastAsia="MS Mincho" w:cs="Times New Roman"/>
          <w:vertAlign w:val="superscript"/>
          <w:lang w:val="fr-CA"/>
        </w:rPr>
        <w:t>me</w:t>
      </w:r>
      <w:r w:rsidRPr="00E6549A">
        <w:rPr>
          <w:rFonts w:cs="Times New Roman"/>
          <w:lang w:val="fr-CA"/>
        </w:rPr>
        <w:t> Young ainsi que la force requise pour les infliger. Dans ses directives, il a plutôt simplement répété l</w:t>
      </w:r>
      <w:r w:rsidR="004C6C13">
        <w:rPr>
          <w:rFonts w:cs="Times New Roman"/>
          <w:lang w:val="fr-CA"/>
        </w:rPr>
        <w:t>’</w:t>
      </w:r>
      <w:r w:rsidRPr="00E6549A">
        <w:rPr>
          <w:rFonts w:cs="Times New Roman"/>
          <w:lang w:val="fr-CA"/>
        </w:rPr>
        <w:t>existence des éléments de preuve et a dit aux jurés qu</w:t>
      </w:r>
      <w:r w:rsidR="004C6C13">
        <w:rPr>
          <w:rFonts w:cs="Times New Roman"/>
          <w:lang w:val="fr-CA"/>
        </w:rPr>
        <w:t>’</w:t>
      </w:r>
      <w:r w:rsidRPr="00E6549A">
        <w:rPr>
          <w:rFonts w:cs="Times New Roman"/>
          <w:lang w:val="fr-CA"/>
        </w:rPr>
        <w:t>ils devaient en tenir compte au même titre que tous les éléments de preuve présentés au procès. Il s</w:t>
      </w:r>
      <w:r w:rsidR="004C6C13">
        <w:rPr>
          <w:rFonts w:cs="Times New Roman"/>
          <w:lang w:val="fr-CA"/>
        </w:rPr>
        <w:t>’</w:t>
      </w:r>
      <w:r w:rsidRPr="00E6549A">
        <w:rPr>
          <w:rFonts w:cs="Times New Roman"/>
          <w:lang w:val="fr-CA"/>
        </w:rPr>
        <w:t>agissait là d</w:t>
      </w:r>
      <w:r w:rsidR="004C6C13">
        <w:rPr>
          <w:rFonts w:cs="Times New Roman"/>
          <w:lang w:val="fr-CA"/>
        </w:rPr>
        <w:t>’</w:t>
      </w:r>
      <w:r w:rsidRPr="00E6549A">
        <w:rPr>
          <w:rFonts w:cs="Times New Roman"/>
          <w:lang w:val="fr-CA"/>
        </w:rPr>
        <w:t>une erreur de droit. Ayant d</w:t>
      </w:r>
      <w:r w:rsidR="004C6C13">
        <w:rPr>
          <w:rFonts w:cs="Times New Roman"/>
          <w:lang w:val="fr-CA"/>
        </w:rPr>
        <w:t>’</w:t>
      </w:r>
      <w:r w:rsidRPr="00E6549A">
        <w:rPr>
          <w:rFonts w:cs="Times New Roman"/>
          <w:lang w:val="fr-CA"/>
        </w:rPr>
        <w:t>abord utilisé d</w:t>
      </w:r>
      <w:r w:rsidR="004C6C13">
        <w:rPr>
          <w:rFonts w:cs="Times New Roman"/>
          <w:lang w:val="fr-CA"/>
        </w:rPr>
        <w:t>’</w:t>
      </w:r>
      <w:r w:rsidRPr="00E6549A">
        <w:rPr>
          <w:rFonts w:cs="Times New Roman"/>
          <w:lang w:val="fr-CA"/>
        </w:rPr>
        <w:t xml:space="preserve">une manière qui tombe sous le sens les éléments de preuve relatifs à la dissimulation et au nettoyage en se fondant sur des inférences claires et faciles à tirer, </w:t>
      </w:r>
      <w:r w:rsidRPr="00E6549A">
        <w:rPr>
          <w:rFonts w:cs="Times New Roman"/>
          <w:lang w:val="fr-CA"/>
        </w:rPr>
        <w:lastRenderedPageBreak/>
        <w:t>les jurés risquaient de continuer à se fonder sur la preuve de la même manière pour se prononcer sur la question de l</w:t>
      </w:r>
      <w:r w:rsidR="004C6C13">
        <w:rPr>
          <w:rFonts w:cs="Times New Roman"/>
          <w:lang w:val="fr-CA"/>
        </w:rPr>
        <w:t>’</w:t>
      </w:r>
      <w:r w:rsidRPr="00E6549A">
        <w:rPr>
          <w:rFonts w:cs="Times New Roman"/>
          <w:lang w:val="fr-CA"/>
        </w:rPr>
        <w:t>intention. Le défaut d</w:t>
      </w:r>
      <w:r w:rsidR="004C6C13">
        <w:rPr>
          <w:rFonts w:cs="Times New Roman"/>
          <w:lang w:val="fr-CA"/>
        </w:rPr>
        <w:t>’</w:t>
      </w:r>
      <w:r w:rsidRPr="00E6549A">
        <w:rPr>
          <w:rFonts w:cs="Times New Roman"/>
          <w:lang w:val="fr-CA"/>
        </w:rPr>
        <w:t>expliquer au jury l</w:t>
      </w:r>
      <w:r w:rsidR="004C6C13">
        <w:rPr>
          <w:rFonts w:cs="Times New Roman"/>
          <w:lang w:val="fr-CA"/>
        </w:rPr>
        <w:t>’</w:t>
      </w:r>
      <w:r w:rsidRPr="00E6549A">
        <w:rPr>
          <w:rFonts w:cs="Times New Roman"/>
          <w:lang w:val="fr-CA"/>
        </w:rPr>
        <w:t>utilisation plus restreinte qu</w:t>
      </w:r>
      <w:r w:rsidR="004C6C13">
        <w:rPr>
          <w:rFonts w:cs="Times New Roman"/>
          <w:lang w:val="fr-CA"/>
        </w:rPr>
        <w:t>’</w:t>
      </w:r>
      <w:r w:rsidRPr="00E6549A">
        <w:rPr>
          <w:rFonts w:cs="Times New Roman"/>
          <w:lang w:val="fr-CA"/>
        </w:rPr>
        <w:t>il devait faire de ces éléments de preuve créait un risque que le jury déclare M. Rodgerson coupable de meurtre en se fondant uniquement sur l</w:t>
      </w:r>
      <w:r w:rsidR="004C6C13">
        <w:rPr>
          <w:rFonts w:cs="Times New Roman"/>
          <w:lang w:val="fr-CA"/>
        </w:rPr>
        <w:t>’</w:t>
      </w:r>
      <w:r w:rsidRPr="00E6549A">
        <w:rPr>
          <w:rFonts w:cs="Times New Roman"/>
          <w:lang w:val="fr-CA"/>
        </w:rPr>
        <w:t>inférence plus générale qui avait été antérieurement jugée suffisante, soit que la dissimulation et le nettoyage indiquaient que M. Rodgerson était conscient de sa culpabilité et qu</w:t>
      </w:r>
      <w:r w:rsidR="004C6C13">
        <w:rPr>
          <w:rFonts w:cs="Times New Roman"/>
          <w:lang w:val="fr-CA"/>
        </w:rPr>
        <w:t>’</w:t>
      </w:r>
      <w:r w:rsidRPr="00E6549A">
        <w:rPr>
          <w:rFonts w:cs="Times New Roman"/>
          <w:lang w:val="fr-CA"/>
        </w:rPr>
        <w:t>il voulait empêcher que l</w:t>
      </w:r>
      <w:r w:rsidR="004C6C13">
        <w:rPr>
          <w:rFonts w:cs="Times New Roman"/>
          <w:lang w:val="fr-CA"/>
        </w:rPr>
        <w:t>’</w:t>
      </w:r>
      <w:r w:rsidRPr="00E6549A">
        <w:rPr>
          <w:rFonts w:cs="Times New Roman"/>
          <w:lang w:val="fr-CA"/>
        </w:rPr>
        <w:t>on découvre qu</w:t>
      </w:r>
      <w:r w:rsidR="004C6C13">
        <w:rPr>
          <w:rFonts w:cs="Times New Roman"/>
          <w:lang w:val="fr-CA"/>
        </w:rPr>
        <w:t>’</w:t>
      </w:r>
      <w:r w:rsidRPr="00E6549A">
        <w:rPr>
          <w:rFonts w:cs="Times New Roman"/>
          <w:lang w:val="fr-CA"/>
        </w:rPr>
        <w:t>il avait causé illégalement la mort de quelqu</w:t>
      </w:r>
      <w:r w:rsidR="004C6C13">
        <w:rPr>
          <w:rFonts w:cs="Times New Roman"/>
          <w:lang w:val="fr-CA"/>
        </w:rPr>
        <w:t>’</w:t>
      </w:r>
      <w:r w:rsidRPr="00E6549A">
        <w:rPr>
          <w:rFonts w:cs="Times New Roman"/>
          <w:lang w:val="fr-CA"/>
        </w:rPr>
        <w:t xml:space="preserve">un. </w:t>
      </w:r>
    </w:p>
    <w:p w:rsidR="002D6514" w:rsidRPr="00E6549A" w:rsidRDefault="002D6514" w:rsidP="00AF284E">
      <w:pPr>
        <w:pStyle w:val="ParaNoNdepar-AltN"/>
        <w:widowControl w:val="0"/>
        <w:rPr>
          <w:rFonts w:cs="Times New Roman"/>
          <w:lang w:val="fr-CA"/>
        </w:rPr>
      </w:pPr>
      <w:r w:rsidRPr="00E6549A">
        <w:rPr>
          <w:rFonts w:cs="Times New Roman"/>
          <w:lang w:val="fr-CA"/>
        </w:rPr>
        <w:t>Le jury avait besoin de directives plus précises. Il n</w:t>
      </w:r>
      <w:r w:rsidR="004C6C13">
        <w:rPr>
          <w:rFonts w:cs="Times New Roman"/>
          <w:lang w:val="fr-CA"/>
        </w:rPr>
        <w:t>’</w:t>
      </w:r>
      <w:r w:rsidRPr="00E6549A">
        <w:rPr>
          <w:rFonts w:cs="Times New Roman"/>
          <w:lang w:val="fr-CA"/>
        </w:rPr>
        <w:t>était pas nécessaire qu</w:t>
      </w:r>
      <w:r w:rsidR="004C6C13">
        <w:rPr>
          <w:rFonts w:cs="Times New Roman"/>
          <w:lang w:val="fr-CA"/>
        </w:rPr>
        <w:t>’</w:t>
      </w:r>
      <w:r w:rsidRPr="00E6549A">
        <w:rPr>
          <w:rFonts w:cs="Times New Roman"/>
          <w:lang w:val="fr-CA"/>
        </w:rPr>
        <w:t>elles soient longues ou complexes. Après avoir d</w:t>
      </w:r>
      <w:r w:rsidR="004C6C13">
        <w:rPr>
          <w:rFonts w:cs="Times New Roman"/>
          <w:lang w:val="fr-CA"/>
        </w:rPr>
        <w:t>’</w:t>
      </w:r>
      <w:r w:rsidRPr="00E6549A">
        <w:rPr>
          <w:rFonts w:cs="Times New Roman"/>
          <w:lang w:val="fr-CA"/>
        </w:rPr>
        <w:t>abord expliqué au jury le lien factuel qui existait entre, d</w:t>
      </w:r>
      <w:r w:rsidR="004C6C13">
        <w:rPr>
          <w:rFonts w:cs="Times New Roman"/>
          <w:lang w:val="fr-CA"/>
        </w:rPr>
        <w:t>’</w:t>
      </w:r>
      <w:r w:rsidRPr="00E6549A">
        <w:rPr>
          <w:rFonts w:cs="Times New Roman"/>
          <w:lang w:val="fr-CA"/>
        </w:rPr>
        <w:t>une part, les efforts de M. Rodgerson pour dissimuler le corps et nettoyer les lieux et, d</w:t>
      </w:r>
      <w:r w:rsidR="004C6C13">
        <w:rPr>
          <w:rFonts w:cs="Times New Roman"/>
          <w:lang w:val="fr-CA"/>
        </w:rPr>
        <w:t>’</w:t>
      </w:r>
      <w:r w:rsidRPr="00E6549A">
        <w:rPr>
          <w:rFonts w:cs="Times New Roman"/>
          <w:lang w:val="fr-CA"/>
        </w:rPr>
        <w:t>autre part, le fait qu</w:t>
      </w:r>
      <w:r w:rsidR="004C6C13">
        <w:rPr>
          <w:rFonts w:cs="Times New Roman"/>
          <w:lang w:val="fr-CA"/>
        </w:rPr>
        <w:t>’</w:t>
      </w:r>
      <w:r w:rsidRPr="00E6549A">
        <w:rPr>
          <w:rFonts w:cs="Times New Roman"/>
          <w:lang w:val="fr-CA"/>
        </w:rPr>
        <w:t>il avait ainsi réussi à dissimuler les blessures infligées à M</w:t>
      </w:r>
      <w:r w:rsidRPr="00E6549A">
        <w:rPr>
          <w:rFonts w:eastAsia="MS Mincho" w:cs="Times New Roman"/>
          <w:vertAlign w:val="superscript"/>
          <w:lang w:val="fr-CA"/>
        </w:rPr>
        <w:t>me</w:t>
      </w:r>
      <w:r w:rsidRPr="00E6549A">
        <w:rPr>
          <w:rFonts w:cs="Times New Roman"/>
          <w:lang w:val="fr-CA"/>
        </w:rPr>
        <w:t> Young et les taches de sang sur les lieux, il suffisait que le juge du procès ajoute quelques phrases selon le modèle suivant :</w:t>
      </w:r>
    </w:p>
    <w:p w:rsidR="002D6514" w:rsidRPr="00E6549A" w:rsidRDefault="002D6514" w:rsidP="00AF284E">
      <w:pPr>
        <w:pStyle w:val="Citation-AltC"/>
        <w:widowControl w:val="0"/>
        <w:spacing w:line="480" w:lineRule="auto"/>
        <w:ind w:left="0"/>
        <w:rPr>
          <w:rFonts w:cs="Times New Roman"/>
          <w:lang w:val="fr-CA"/>
        </w:rPr>
      </w:pPr>
      <w:r w:rsidRPr="00E6549A">
        <w:rPr>
          <w:rFonts w:cs="Times New Roman"/>
          <w:lang w:val="fr-CA"/>
        </w:rPr>
        <w:t>La nature et la gravité des blessures ainsi que le degré de force requis pour les infliger sont des facteurs que vous pouvez prendre en compte pour apprécier l</w:t>
      </w:r>
      <w:r w:rsidR="004C6C13">
        <w:rPr>
          <w:rFonts w:cs="Times New Roman"/>
          <w:lang w:val="fr-CA"/>
        </w:rPr>
        <w:t>’</w:t>
      </w:r>
      <w:r w:rsidRPr="00E6549A">
        <w:rPr>
          <w:rFonts w:cs="Times New Roman"/>
          <w:lang w:val="fr-CA"/>
        </w:rPr>
        <w:t>intention de M. Rodgerson au moment où il a causé le décès de M</w:t>
      </w:r>
      <w:r w:rsidRPr="00E6549A">
        <w:rPr>
          <w:rFonts w:eastAsia="MS Mincho" w:cs="Times New Roman"/>
          <w:vertAlign w:val="superscript"/>
          <w:lang w:val="fr-CA"/>
        </w:rPr>
        <w:t>me</w:t>
      </w:r>
      <w:r w:rsidRPr="00E6549A">
        <w:rPr>
          <w:rFonts w:cs="Times New Roman"/>
          <w:lang w:val="fr-CA"/>
        </w:rPr>
        <w:t> Young. À cet égard, vous pouvez tenir compte des éléments de preuve relatifs aux efforts de dissimulation et de nettoyage de M. Rodgerson pour déterminer s</w:t>
      </w:r>
      <w:r w:rsidR="004C6C13">
        <w:rPr>
          <w:rFonts w:cs="Times New Roman"/>
          <w:lang w:val="fr-CA"/>
        </w:rPr>
        <w:t>’</w:t>
      </w:r>
      <w:r w:rsidRPr="00E6549A">
        <w:rPr>
          <w:rFonts w:cs="Times New Roman"/>
          <w:lang w:val="fr-CA"/>
        </w:rPr>
        <w:t>il avait l</w:t>
      </w:r>
      <w:r w:rsidR="004C6C13">
        <w:rPr>
          <w:rFonts w:cs="Times New Roman"/>
          <w:lang w:val="fr-CA"/>
        </w:rPr>
        <w:t>’</w:t>
      </w:r>
      <w:r w:rsidRPr="00E6549A">
        <w:rPr>
          <w:rFonts w:cs="Times New Roman"/>
          <w:lang w:val="fr-CA"/>
        </w:rPr>
        <w:t>intention de tuer M</w:t>
      </w:r>
      <w:r w:rsidRPr="00E6549A">
        <w:rPr>
          <w:rFonts w:eastAsia="MS Mincho" w:cs="Times New Roman"/>
          <w:vertAlign w:val="superscript"/>
          <w:lang w:val="fr-CA"/>
        </w:rPr>
        <w:t>me</w:t>
      </w:r>
      <w:r w:rsidRPr="00E6549A">
        <w:rPr>
          <w:rFonts w:cs="Times New Roman"/>
          <w:lang w:val="fr-CA"/>
        </w:rPr>
        <w:t> Young ou de lui causer des lésions corporelles graves qu</w:t>
      </w:r>
      <w:r w:rsidR="004C6C13">
        <w:rPr>
          <w:rFonts w:cs="Times New Roman"/>
          <w:lang w:val="fr-CA"/>
        </w:rPr>
        <w:t>’</w:t>
      </w:r>
      <w:r w:rsidRPr="00E6549A">
        <w:rPr>
          <w:rFonts w:cs="Times New Roman"/>
          <w:lang w:val="fr-CA"/>
        </w:rPr>
        <w:t>il savait de nature à causer la mort. Sur cette question, vous devrez examiner ces éléments de preuve d</w:t>
      </w:r>
      <w:r w:rsidR="004C6C13">
        <w:rPr>
          <w:rFonts w:cs="Times New Roman"/>
          <w:lang w:val="fr-CA"/>
        </w:rPr>
        <w:t>’</w:t>
      </w:r>
      <w:r w:rsidRPr="00E6549A">
        <w:rPr>
          <w:rFonts w:cs="Times New Roman"/>
          <w:lang w:val="fr-CA"/>
        </w:rPr>
        <w:t xml:space="preserve">une manière </w:t>
      </w:r>
      <w:r w:rsidRPr="00E6549A">
        <w:rPr>
          <w:rFonts w:cs="Times New Roman"/>
          <w:lang w:val="fr-CA"/>
        </w:rPr>
        <w:lastRenderedPageBreak/>
        <w:t>différente de celle que je vous ai indiquée précédemment. Vous pouvez conclure que M. Rodgerson a tenté de dissimuler le corps de M</w:t>
      </w:r>
      <w:r w:rsidRPr="00E6549A">
        <w:rPr>
          <w:rFonts w:eastAsia="MS Mincho" w:cs="Times New Roman"/>
          <w:vertAlign w:val="superscript"/>
          <w:lang w:val="fr-CA"/>
        </w:rPr>
        <w:t>me</w:t>
      </w:r>
      <w:r w:rsidRPr="00E6549A">
        <w:rPr>
          <w:rFonts w:cs="Times New Roman"/>
          <w:lang w:val="fr-CA"/>
        </w:rPr>
        <w:t> Young et de nettoyer le lieu de son décès afin de dissimuler la nature et la gravité des blessures subies par M</w:t>
      </w:r>
      <w:r w:rsidRPr="00E6549A">
        <w:rPr>
          <w:rFonts w:eastAsia="MS Mincho" w:cs="Times New Roman"/>
          <w:vertAlign w:val="superscript"/>
          <w:lang w:val="fr-CA"/>
        </w:rPr>
        <w:t>me</w:t>
      </w:r>
      <w:r w:rsidRPr="00E6549A">
        <w:rPr>
          <w:rFonts w:cs="Times New Roman"/>
          <w:lang w:val="fr-CA"/>
        </w:rPr>
        <w:t> Young et le degré de force requis pour les lui infliger. Vous pouvez tirer ou non cette conclusion — vous en déciderez — mais, si vous tirez cette conclusion, vous pouvez tenir compte de ces éléments de preuve ainsi que de tous les autres éléments de preuve pertinents pour déterminer si M. Rodgerson avait l</w:t>
      </w:r>
      <w:r w:rsidR="004C6C13">
        <w:rPr>
          <w:rFonts w:cs="Times New Roman"/>
          <w:lang w:val="fr-CA"/>
        </w:rPr>
        <w:t>’</w:t>
      </w:r>
      <w:r w:rsidRPr="00E6549A">
        <w:rPr>
          <w:rFonts w:cs="Times New Roman"/>
          <w:lang w:val="fr-CA"/>
        </w:rPr>
        <w:t xml:space="preserve">intention requise pour commettre un meurtre. </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Lorsqu</w:t>
      </w:r>
      <w:r w:rsidR="004C6C13">
        <w:rPr>
          <w:rFonts w:cs="Times New Roman"/>
          <w:lang w:val="fr-CA"/>
        </w:rPr>
        <w:t>’</w:t>
      </w:r>
      <w:r w:rsidRPr="00E6549A">
        <w:rPr>
          <w:rFonts w:cs="Times New Roman"/>
          <w:lang w:val="fr-CA"/>
        </w:rPr>
        <w:t>il élabore son exposé à l</w:t>
      </w:r>
      <w:r w:rsidR="004C6C13">
        <w:rPr>
          <w:rFonts w:cs="Times New Roman"/>
          <w:lang w:val="fr-CA"/>
        </w:rPr>
        <w:t>’</w:t>
      </w:r>
      <w:r w:rsidRPr="00E6549A">
        <w:rPr>
          <w:rFonts w:cs="Times New Roman"/>
          <w:lang w:val="fr-CA"/>
        </w:rPr>
        <w:t>intention du jury, le juge du procès a l</w:t>
      </w:r>
      <w:r w:rsidR="004C6C13">
        <w:rPr>
          <w:rFonts w:cs="Times New Roman"/>
          <w:lang w:val="fr-CA"/>
        </w:rPr>
        <w:t>’</w:t>
      </w:r>
      <w:r w:rsidRPr="00E6549A">
        <w:rPr>
          <w:rFonts w:cs="Times New Roman"/>
          <w:lang w:val="fr-CA"/>
        </w:rPr>
        <w:t>obligation générale d</w:t>
      </w:r>
      <w:r w:rsidR="004C6C13">
        <w:rPr>
          <w:rFonts w:cs="Times New Roman"/>
          <w:lang w:val="fr-CA"/>
        </w:rPr>
        <w:t>’</w:t>
      </w:r>
      <w:r w:rsidRPr="00E6549A">
        <w:rPr>
          <w:rFonts w:cs="Times New Roman"/>
          <w:lang w:val="fr-CA"/>
        </w:rPr>
        <w:t>informer le jury des éléments de preuve pertinents et de l</w:t>
      </w:r>
      <w:r w:rsidR="004C6C13">
        <w:rPr>
          <w:rFonts w:cs="Times New Roman"/>
          <w:lang w:val="fr-CA"/>
        </w:rPr>
        <w:t>’</w:t>
      </w:r>
      <w:r w:rsidRPr="00E6549A">
        <w:rPr>
          <w:rFonts w:cs="Times New Roman"/>
          <w:lang w:val="fr-CA"/>
        </w:rPr>
        <w:t>aider à établir les liens nécessaires entre ces éléments de preuve et les questions dont le jury doit tenir compte pour parvenir à un verdict. L</w:t>
      </w:r>
      <w:r w:rsidR="004C6C13">
        <w:rPr>
          <w:rFonts w:cs="Times New Roman"/>
          <w:lang w:val="fr-CA"/>
        </w:rPr>
        <w:t>’</w:t>
      </w:r>
      <w:r w:rsidRPr="00E6549A">
        <w:rPr>
          <w:rFonts w:cs="Times New Roman"/>
          <w:lang w:val="fr-CA"/>
        </w:rPr>
        <w:t>abondance des détails requis varie en fonction du contexte. Ainsi que le juge Bastarache l</w:t>
      </w:r>
      <w:r w:rsidR="004C6C13">
        <w:rPr>
          <w:rFonts w:cs="Times New Roman"/>
          <w:lang w:val="fr-CA"/>
        </w:rPr>
        <w:t>’</w:t>
      </w:r>
      <w:r w:rsidRPr="00E6549A">
        <w:rPr>
          <w:rFonts w:cs="Times New Roman"/>
          <w:lang w:val="fr-CA"/>
        </w:rPr>
        <w:t>a déclaré au nom des juges majoritaires de notre Cour dans l</w:t>
      </w:r>
      <w:r w:rsidR="004C6C13">
        <w:rPr>
          <w:rFonts w:cs="Times New Roman"/>
          <w:lang w:val="fr-CA"/>
        </w:rPr>
        <w:t>’</w:t>
      </w:r>
      <w:r w:rsidRPr="00E6549A">
        <w:rPr>
          <w:rFonts w:cs="Times New Roman"/>
          <w:lang w:val="fr-CA"/>
        </w:rPr>
        <w:t xml:space="preserve">arrêt </w:t>
      </w:r>
      <w:r w:rsidRPr="00E6549A">
        <w:rPr>
          <w:rFonts w:cs="Times New Roman"/>
          <w:i/>
          <w:iCs/>
          <w:lang w:val="fr-CA"/>
        </w:rPr>
        <w:t>R. c. Daley</w:t>
      </w:r>
      <w:r w:rsidRPr="00E6549A">
        <w:rPr>
          <w:rFonts w:cs="Times New Roman"/>
          <w:lang w:val="fr-CA"/>
        </w:rPr>
        <w:t>, 2007 CSC 53, [2007] 3 R.C.S. 523 :</w:t>
      </w:r>
    </w:p>
    <w:p w:rsidR="002D6514" w:rsidRPr="00E6549A" w:rsidRDefault="002D6514" w:rsidP="00AF284E">
      <w:pPr>
        <w:pStyle w:val="Citation-AltC"/>
        <w:widowControl w:val="0"/>
        <w:spacing w:after="480"/>
        <w:ind w:hanging="1166"/>
        <w:rPr>
          <w:rFonts w:cs="Times New Roman"/>
          <w:lang w:val="en-US"/>
        </w:rPr>
      </w:pPr>
      <w:r>
        <w:rPr>
          <w:rFonts w:cs="Times New Roman"/>
          <w:lang w:val="fr-CA"/>
        </w:rPr>
        <w:tab/>
      </w:r>
      <w:r>
        <w:rPr>
          <w:rFonts w:cs="Times New Roman"/>
          <w:lang w:val="fr-CA"/>
        </w:rPr>
        <w:tab/>
      </w:r>
      <w:r w:rsidRPr="00E6549A">
        <w:rPr>
          <w:rFonts w:cs="Times New Roman"/>
          <w:lang w:val="fr-CA"/>
        </w:rPr>
        <w:t>L</w:t>
      </w:r>
      <w:r w:rsidR="004C6C13">
        <w:rPr>
          <w:rFonts w:cs="Times New Roman"/>
          <w:lang w:val="fr-CA"/>
        </w:rPr>
        <w:t>’</w:t>
      </w:r>
      <w:r w:rsidRPr="00E6549A">
        <w:rPr>
          <w:rFonts w:cs="Times New Roman"/>
          <w:lang w:val="fr-CA"/>
        </w:rPr>
        <w:t xml:space="preserve">étendue de la récapitulation de la preuve </w:t>
      </w:r>
      <w:r w:rsidR="00617219">
        <w:rPr>
          <w:rFonts w:cs="Times New Roman"/>
          <w:lang w:val="fr-CA"/>
        </w:rPr>
        <w:t>[</w:t>
      </w:r>
      <w:r w:rsidR="00617219" w:rsidRPr="0030430B">
        <w:rPr>
          <w:rFonts w:cs="Times New Roman"/>
          <w:smallCaps/>
          <w:lang w:val="fr-CA"/>
        </w:rPr>
        <w:t>traduction</w:t>
      </w:r>
      <w:r w:rsidR="00617219">
        <w:rPr>
          <w:rFonts w:cs="Times New Roman"/>
          <w:lang w:val="fr-CA"/>
        </w:rPr>
        <w:t xml:space="preserve">] </w:t>
      </w:r>
      <w:r w:rsidRPr="00E6549A">
        <w:rPr>
          <w:rFonts w:cs="Times New Roman"/>
          <w:lang w:val="fr-CA"/>
        </w:rPr>
        <w:t>« variera en fonction des cas, et le critère à appliquer est celui de l</w:t>
      </w:r>
      <w:r w:rsidR="004C6C13">
        <w:rPr>
          <w:rFonts w:cs="Times New Roman"/>
          <w:lang w:val="fr-CA"/>
        </w:rPr>
        <w:t>’</w:t>
      </w:r>
      <w:r w:rsidRPr="00E6549A">
        <w:rPr>
          <w:rFonts w:cs="Times New Roman"/>
          <w:lang w:val="fr-CA"/>
        </w:rPr>
        <w:t>équité. L</w:t>
      </w:r>
      <w:r w:rsidR="004C6C13">
        <w:rPr>
          <w:rFonts w:cs="Times New Roman"/>
          <w:lang w:val="fr-CA"/>
        </w:rPr>
        <w:t>’</w:t>
      </w:r>
      <w:r w:rsidRPr="00E6549A">
        <w:rPr>
          <w:rFonts w:cs="Times New Roman"/>
          <w:lang w:val="fr-CA"/>
        </w:rPr>
        <w:t>accusé a droit à un procès équitable et à une défense pleine et entière. Dans la mesure où l</w:t>
      </w:r>
      <w:r w:rsidR="004C6C13">
        <w:rPr>
          <w:rFonts w:cs="Times New Roman"/>
          <w:lang w:val="fr-CA"/>
        </w:rPr>
        <w:t>’</w:t>
      </w:r>
      <w:r w:rsidRPr="00E6549A">
        <w:rPr>
          <w:rFonts w:cs="Times New Roman"/>
          <w:lang w:val="fr-CA"/>
        </w:rPr>
        <w:t>exposé présente la preuve d</w:t>
      </w:r>
      <w:r w:rsidR="004C6C13">
        <w:rPr>
          <w:rFonts w:cs="Times New Roman"/>
          <w:lang w:val="fr-CA"/>
        </w:rPr>
        <w:t>’</w:t>
      </w:r>
      <w:r w:rsidRPr="00E6549A">
        <w:rPr>
          <w:rFonts w:cs="Times New Roman"/>
          <w:lang w:val="fr-CA"/>
        </w:rPr>
        <w:t xml:space="preserve">une façon qui permette au jury de bien comprendre les questions à trancher et la défense soumise, il est adéquat » . . . </w:t>
      </w:r>
      <w:r w:rsidRPr="00E6549A">
        <w:rPr>
          <w:rFonts w:cs="Times New Roman"/>
          <w:lang w:val="en-US"/>
        </w:rPr>
        <w:t xml:space="preserve">[par. 57] </w:t>
      </w:r>
    </w:p>
    <w:p w:rsidR="002D6514" w:rsidRPr="00E6549A" w:rsidRDefault="002D6514" w:rsidP="00AF284E">
      <w:pPr>
        <w:pStyle w:val="Citation-AltC"/>
        <w:widowControl w:val="0"/>
        <w:ind w:hanging="1166"/>
        <w:rPr>
          <w:rFonts w:cs="Times New Roman"/>
        </w:rPr>
      </w:pPr>
      <w:r w:rsidRPr="00E6549A">
        <w:rPr>
          <w:rFonts w:cs="Times New Roman"/>
        </w:rPr>
        <w:t xml:space="preserve">(Citant C. Granger, </w:t>
      </w:r>
      <w:r w:rsidRPr="00E6549A">
        <w:rPr>
          <w:rFonts w:cs="Times New Roman"/>
          <w:i/>
          <w:iCs/>
        </w:rPr>
        <w:t>The Criminal Jury Trial in Canada</w:t>
      </w:r>
      <w:r w:rsidRPr="00E6549A">
        <w:rPr>
          <w:rFonts w:cs="Times New Roman"/>
        </w:rPr>
        <w:t xml:space="preserve"> (2</w:t>
      </w:r>
      <w:r w:rsidRPr="00E6549A">
        <w:rPr>
          <w:rFonts w:cs="Times New Roman"/>
          <w:vertAlign w:val="superscript"/>
        </w:rPr>
        <w:t>e</w:t>
      </w:r>
      <w:r w:rsidRPr="00E6549A">
        <w:rPr>
          <w:rFonts w:cs="Times New Roman"/>
        </w:rPr>
        <w:t> éd. 1996), p. 249</w:t>
      </w:r>
      <w:r w:rsidR="00617219">
        <w:rPr>
          <w:rFonts w:cs="Times New Roman"/>
        </w:rPr>
        <w:t>.</w:t>
      </w:r>
      <w:r w:rsidRPr="00E6549A">
        <w:rPr>
          <w:rFonts w:cs="Times New Roman"/>
        </w:rPr>
        <w:t>)</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lastRenderedPageBreak/>
        <w:t>Je ne prétends pas que la preuve relative à la dissimulation et au nettoyage présentée en l</w:t>
      </w:r>
      <w:r w:rsidR="004C6C13">
        <w:rPr>
          <w:rFonts w:cs="Times New Roman"/>
          <w:lang w:val="fr-CA"/>
        </w:rPr>
        <w:t>’</w:t>
      </w:r>
      <w:r w:rsidRPr="00E6549A">
        <w:rPr>
          <w:rFonts w:cs="Times New Roman"/>
          <w:lang w:val="fr-CA"/>
        </w:rPr>
        <w:t>espèce était de nature technique ou particulièrement complexe. Toutefois, sa pertinence à l</w:t>
      </w:r>
      <w:r w:rsidR="004C6C13">
        <w:rPr>
          <w:rFonts w:cs="Times New Roman"/>
          <w:lang w:val="fr-CA"/>
        </w:rPr>
        <w:t>’</w:t>
      </w:r>
      <w:r w:rsidRPr="00E6549A">
        <w:rPr>
          <w:rFonts w:cs="Times New Roman"/>
          <w:lang w:val="fr-CA"/>
        </w:rPr>
        <w:t>égard de la question de l</w:t>
      </w:r>
      <w:r w:rsidR="004C6C13">
        <w:rPr>
          <w:rFonts w:cs="Times New Roman"/>
          <w:lang w:val="fr-CA"/>
        </w:rPr>
        <w:t>’</w:t>
      </w:r>
      <w:r w:rsidRPr="00E6549A">
        <w:rPr>
          <w:rFonts w:cs="Times New Roman"/>
          <w:lang w:val="fr-CA"/>
        </w:rPr>
        <w:t>intention était plus qu</w:t>
      </w:r>
      <w:r w:rsidR="004C6C13">
        <w:rPr>
          <w:rFonts w:cs="Times New Roman"/>
          <w:lang w:val="fr-CA"/>
        </w:rPr>
        <w:t>’</w:t>
      </w:r>
      <w:r w:rsidRPr="00E6549A">
        <w:rPr>
          <w:rFonts w:cs="Times New Roman"/>
          <w:lang w:val="fr-CA"/>
        </w:rPr>
        <w:t>une simple question de bon sens, et des directives plus précises étaient nécessaires pour présenter de façon compréhensible la preuve et les conclusions que le jury pouvait en tirer. Comme la Cour l</w:t>
      </w:r>
      <w:r w:rsidR="004C6C13">
        <w:rPr>
          <w:rFonts w:cs="Times New Roman"/>
          <w:lang w:val="fr-CA"/>
        </w:rPr>
        <w:t>’</w:t>
      </w:r>
      <w:r w:rsidRPr="00E6549A">
        <w:rPr>
          <w:rFonts w:cs="Times New Roman"/>
          <w:lang w:val="fr-CA"/>
        </w:rPr>
        <w:t>a expliqué dans l</w:t>
      </w:r>
      <w:r w:rsidR="004C6C13">
        <w:rPr>
          <w:rFonts w:cs="Times New Roman"/>
          <w:lang w:val="fr-CA"/>
        </w:rPr>
        <w:t>’</w:t>
      </w:r>
      <w:r w:rsidRPr="00E6549A">
        <w:rPr>
          <w:rFonts w:cs="Times New Roman"/>
          <w:lang w:val="fr-CA"/>
        </w:rPr>
        <w:t xml:space="preserve">arrêt </w:t>
      </w:r>
      <w:r w:rsidRPr="00E6549A">
        <w:rPr>
          <w:rFonts w:cs="Times New Roman"/>
          <w:i/>
          <w:iCs/>
          <w:lang w:val="fr-CA"/>
        </w:rPr>
        <w:t>Daley</w:t>
      </w:r>
      <w:r w:rsidRPr="00E6549A">
        <w:rPr>
          <w:rFonts w:cs="Times New Roman"/>
          <w:lang w:val="fr-CA"/>
        </w:rPr>
        <w:t>, « l</w:t>
      </w:r>
      <w:r w:rsidR="004C6C13">
        <w:rPr>
          <w:rFonts w:cs="Times New Roman"/>
          <w:lang w:val="fr-CA"/>
        </w:rPr>
        <w:t>’</w:t>
      </w:r>
      <w:r w:rsidRPr="00E6549A">
        <w:rPr>
          <w:rFonts w:cs="Times New Roman"/>
          <w:lang w:val="fr-CA"/>
        </w:rPr>
        <w:t xml:space="preserve">obligation du juge du procès [. . .] </w:t>
      </w:r>
      <w:r w:rsidR="00617219">
        <w:rPr>
          <w:rFonts w:cs="Times New Roman"/>
          <w:lang w:val="fr-CA"/>
        </w:rPr>
        <w:t>“</w:t>
      </w:r>
      <w:r w:rsidRPr="00E6549A">
        <w:rPr>
          <w:rFonts w:cs="Times New Roman"/>
          <w:lang w:val="fr-CA"/>
        </w:rPr>
        <w:t xml:space="preserve">consiste à expliquer les éléments de preuve déterminants ainsi que les règles de droit et à les rattacher aux questions fondamentales </w:t>
      </w:r>
      <w:r w:rsidRPr="00E6549A">
        <w:rPr>
          <w:rFonts w:cs="Times New Roman"/>
          <w:u w:val="single"/>
          <w:lang w:val="fr-CA"/>
        </w:rPr>
        <w:t>en des termes simples et intelligibles</w:t>
      </w:r>
      <w:r w:rsidR="00617219" w:rsidRPr="00E01891">
        <w:rPr>
          <w:rFonts w:cs="Times New Roman"/>
          <w:lang w:val="fr-CA"/>
        </w:rPr>
        <w:t>”</w:t>
      </w:r>
      <w:r w:rsidRPr="00E6549A">
        <w:rPr>
          <w:rFonts w:cs="Times New Roman"/>
          <w:lang w:val="fr-CA"/>
        </w:rPr>
        <w:t> » (par. 57 (je souligne), citant l</w:t>
      </w:r>
      <w:r w:rsidR="004C6C13">
        <w:rPr>
          <w:rFonts w:cs="Times New Roman"/>
          <w:lang w:val="fr-CA"/>
        </w:rPr>
        <w:t>’</w:t>
      </w:r>
      <w:r w:rsidRPr="00E6549A">
        <w:rPr>
          <w:rFonts w:cs="Times New Roman"/>
          <w:lang w:val="fr-CA"/>
        </w:rPr>
        <w:t xml:space="preserve">arrêt </w:t>
      </w:r>
      <w:r w:rsidRPr="00E6549A">
        <w:rPr>
          <w:rFonts w:cs="Times New Roman"/>
          <w:i/>
          <w:iCs/>
          <w:lang w:val="fr-CA"/>
        </w:rPr>
        <w:t>R. c. Jack</w:t>
      </w:r>
      <w:r w:rsidRPr="00E6549A">
        <w:rPr>
          <w:rFonts w:cs="Times New Roman"/>
          <w:lang w:val="fr-CA"/>
        </w:rPr>
        <w:t xml:space="preserve"> (1993), 88 Man. R. (2d) 93 (C.A.), par. 39, conf. par [1994] 2 R.C.S. 310). L</w:t>
      </w:r>
      <w:r w:rsidR="004C6C13">
        <w:rPr>
          <w:rFonts w:cs="Times New Roman"/>
          <w:lang w:val="fr-CA"/>
        </w:rPr>
        <w:t>’</w:t>
      </w:r>
      <w:r w:rsidRPr="00E6549A">
        <w:rPr>
          <w:rFonts w:cs="Times New Roman"/>
          <w:lang w:val="fr-CA"/>
        </w:rPr>
        <w:t>omission du juge du procès de le faire en l</w:t>
      </w:r>
      <w:r w:rsidR="004C6C13">
        <w:rPr>
          <w:rFonts w:cs="Times New Roman"/>
          <w:lang w:val="fr-CA"/>
        </w:rPr>
        <w:t>’</w:t>
      </w:r>
      <w:r w:rsidRPr="00E6549A">
        <w:rPr>
          <w:rFonts w:cs="Times New Roman"/>
          <w:lang w:val="fr-CA"/>
        </w:rPr>
        <w:t xml:space="preserve">espèce constitue une erreur de droit. </w:t>
      </w:r>
    </w:p>
    <w:p w:rsidR="002D6514" w:rsidRPr="00E6549A" w:rsidRDefault="002D6514" w:rsidP="00AF284E">
      <w:pPr>
        <w:pStyle w:val="Title3LevelTitre3Niveau"/>
        <w:widowControl w:val="0"/>
        <w:ind w:left="1156" w:hanging="578"/>
        <w:jc w:val="both"/>
        <w:rPr>
          <w:rFonts w:cs="Times New Roman"/>
          <w:lang w:val="fr-CA"/>
        </w:rPr>
      </w:pPr>
      <w:r w:rsidRPr="00E6549A">
        <w:rPr>
          <w:rFonts w:cs="Times New Roman"/>
          <w:lang w:val="fr-CA"/>
        </w:rPr>
        <w:t>L</w:t>
      </w:r>
      <w:r w:rsidR="004C6C13">
        <w:rPr>
          <w:rFonts w:cs="Times New Roman"/>
          <w:lang w:val="fr-CA"/>
        </w:rPr>
        <w:t>’</w:t>
      </w:r>
      <w:r w:rsidRPr="00E6549A">
        <w:rPr>
          <w:rFonts w:cs="Times New Roman"/>
          <w:lang w:val="fr-CA"/>
        </w:rPr>
        <w:t>obligation de donner des directives plus précises est conforme à la jurisprudence de notre Cour sur le comportement postérieur à l</w:t>
      </w:r>
      <w:r w:rsidR="004C6C13">
        <w:rPr>
          <w:rFonts w:cs="Times New Roman"/>
          <w:lang w:val="fr-CA"/>
        </w:rPr>
        <w:t>’</w:t>
      </w:r>
      <w:r w:rsidRPr="00E6549A">
        <w:rPr>
          <w:rFonts w:cs="Times New Roman"/>
          <w:lang w:val="fr-CA"/>
        </w:rPr>
        <w:t>infraction</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Le juge MacPherson, dissident, n</w:t>
      </w:r>
      <w:r w:rsidR="004C6C13">
        <w:rPr>
          <w:rFonts w:cs="Times New Roman"/>
          <w:lang w:val="fr-CA"/>
        </w:rPr>
        <w:t>’</w:t>
      </w:r>
      <w:r w:rsidRPr="00E6549A">
        <w:rPr>
          <w:rFonts w:cs="Times New Roman"/>
          <w:lang w:val="fr-CA"/>
        </w:rPr>
        <w:t>a décelé aucune erreur dans les instructions données par le juge du procès au sujet de la dissimulation et du nettoyage postérieurs à l</w:t>
      </w:r>
      <w:r w:rsidR="004C6C13">
        <w:rPr>
          <w:rFonts w:cs="Times New Roman"/>
          <w:lang w:val="fr-CA"/>
        </w:rPr>
        <w:t>’</w:t>
      </w:r>
      <w:r w:rsidRPr="00E6549A">
        <w:rPr>
          <w:rFonts w:cs="Times New Roman"/>
          <w:lang w:val="fr-CA"/>
        </w:rPr>
        <w:t>infraction. Il a conclu que les directives données au jury étaient conformes aux exigences en matière de directives relatives au comportement postérieur à l</w:t>
      </w:r>
      <w:r w:rsidR="004C6C13">
        <w:rPr>
          <w:rFonts w:cs="Times New Roman"/>
          <w:lang w:val="fr-CA"/>
        </w:rPr>
        <w:t>’</w:t>
      </w:r>
      <w:r w:rsidRPr="00E6549A">
        <w:rPr>
          <w:rFonts w:cs="Times New Roman"/>
          <w:lang w:val="fr-CA"/>
        </w:rPr>
        <w:t xml:space="preserve">infraction établies dans les arrêts </w:t>
      </w:r>
      <w:r w:rsidRPr="00E6549A">
        <w:rPr>
          <w:rFonts w:cs="Times New Roman"/>
          <w:i/>
          <w:iCs/>
          <w:lang w:val="fr-CA"/>
        </w:rPr>
        <w:t>White 1998</w:t>
      </w:r>
      <w:r w:rsidRPr="00E6549A">
        <w:rPr>
          <w:rFonts w:cs="Times New Roman"/>
          <w:lang w:val="fr-CA"/>
        </w:rPr>
        <w:t xml:space="preserve"> et </w:t>
      </w:r>
      <w:r w:rsidRPr="00E6549A">
        <w:rPr>
          <w:rFonts w:cs="Times New Roman"/>
          <w:i/>
          <w:iCs/>
          <w:lang w:val="fr-CA"/>
        </w:rPr>
        <w:t>White 2011</w:t>
      </w:r>
      <w:r w:rsidRPr="00E6549A">
        <w:rPr>
          <w:rFonts w:cs="Times New Roman"/>
          <w:lang w:val="fr-CA"/>
        </w:rPr>
        <w:t>.</w:t>
      </w:r>
    </w:p>
    <w:p w:rsidR="002D6514" w:rsidRPr="00E6549A" w:rsidRDefault="002D6514" w:rsidP="00AF284E">
      <w:pPr>
        <w:pStyle w:val="ParaNoNdepar-AltN"/>
        <w:widowControl w:val="0"/>
        <w:rPr>
          <w:rFonts w:cs="Times New Roman"/>
          <w:lang w:val="fr-CA"/>
        </w:rPr>
      </w:pPr>
      <w:r w:rsidRPr="00E6549A">
        <w:rPr>
          <w:rFonts w:cs="Times New Roman"/>
          <w:lang w:val="fr-CA"/>
        </w:rPr>
        <w:t>Ces deux arrêts concernent l</w:t>
      </w:r>
      <w:r w:rsidR="004C6C13">
        <w:rPr>
          <w:rFonts w:cs="Times New Roman"/>
          <w:lang w:val="fr-CA"/>
        </w:rPr>
        <w:t>’</w:t>
      </w:r>
      <w:r w:rsidRPr="00E6549A">
        <w:rPr>
          <w:rFonts w:cs="Times New Roman"/>
          <w:lang w:val="fr-CA"/>
        </w:rPr>
        <w:t>obligation du juge du procès de mettre le jury en garde contre les dangers que présente le comportement postérieur à l</w:t>
      </w:r>
      <w:r w:rsidR="004C6C13">
        <w:rPr>
          <w:rFonts w:cs="Times New Roman"/>
          <w:lang w:val="fr-CA"/>
        </w:rPr>
        <w:t>’</w:t>
      </w:r>
      <w:r w:rsidRPr="00E6549A">
        <w:rPr>
          <w:rFonts w:cs="Times New Roman"/>
          <w:lang w:val="fr-CA"/>
        </w:rPr>
        <w:t>infraction en général. Je suis d</w:t>
      </w:r>
      <w:r w:rsidR="004C6C13">
        <w:rPr>
          <w:rFonts w:cs="Times New Roman"/>
          <w:lang w:val="fr-CA"/>
        </w:rPr>
        <w:t>’</w:t>
      </w:r>
      <w:r w:rsidRPr="00E6549A">
        <w:rPr>
          <w:rFonts w:cs="Times New Roman"/>
          <w:lang w:val="fr-CA"/>
        </w:rPr>
        <w:t xml:space="preserve">accord avec le juge MacPherson pour dire que, dans </w:t>
      </w:r>
      <w:r w:rsidRPr="00E6549A">
        <w:rPr>
          <w:rFonts w:cs="Times New Roman"/>
          <w:lang w:val="fr-CA"/>
        </w:rPr>
        <w:lastRenderedPageBreak/>
        <w:t>le cas qui nous occupe, les directives données au jury contenaient une mise en garde suffisante contre ces dangers. En toute déférence, je ne partage cependant pas son avis que cette conclusion tranche le sort du présent pourvoi.</w:t>
      </w:r>
    </w:p>
    <w:p w:rsidR="002D6514" w:rsidRPr="00E6549A" w:rsidRDefault="002D6514" w:rsidP="00AF284E">
      <w:pPr>
        <w:pStyle w:val="ParaNoNdepar-AltN"/>
        <w:widowControl w:val="0"/>
        <w:rPr>
          <w:rFonts w:cs="Times New Roman"/>
          <w:lang w:val="fr-CA"/>
        </w:rPr>
      </w:pPr>
      <w:r w:rsidRPr="00E6549A">
        <w:rPr>
          <w:rFonts w:cs="Times New Roman"/>
          <w:lang w:val="fr-CA"/>
        </w:rPr>
        <w:t>L</w:t>
      </w:r>
      <w:r w:rsidR="004C6C13">
        <w:rPr>
          <w:rFonts w:cs="Times New Roman"/>
          <w:lang w:val="fr-CA"/>
        </w:rPr>
        <w:t>’</w:t>
      </w:r>
      <w:r w:rsidRPr="00E6549A">
        <w:rPr>
          <w:rFonts w:cs="Times New Roman"/>
          <w:lang w:val="fr-CA"/>
        </w:rPr>
        <w:t>erreur de droit que comportent les directives au jury réside dans le fait qu</w:t>
      </w:r>
      <w:r w:rsidR="004C6C13">
        <w:rPr>
          <w:rFonts w:cs="Times New Roman"/>
          <w:lang w:val="fr-CA"/>
        </w:rPr>
        <w:t>’</w:t>
      </w:r>
      <w:r w:rsidRPr="00E6549A">
        <w:rPr>
          <w:rFonts w:cs="Times New Roman"/>
          <w:lang w:val="fr-CA"/>
        </w:rPr>
        <w:t>elles n</w:t>
      </w:r>
      <w:r w:rsidR="004C6C13">
        <w:rPr>
          <w:rFonts w:cs="Times New Roman"/>
          <w:lang w:val="fr-CA"/>
        </w:rPr>
        <w:t>’</w:t>
      </w:r>
      <w:r w:rsidRPr="00E6549A">
        <w:rPr>
          <w:rFonts w:cs="Times New Roman"/>
          <w:lang w:val="fr-CA"/>
        </w:rPr>
        <w:t>ont pas aidé le jury à comprendre la pertinence limitée et quelque peu nuancée des éléments de preuve relatifs à la dissimulation et au nettoyage en ce qui concerne la question de l</w:t>
      </w:r>
      <w:r w:rsidR="004C6C13">
        <w:rPr>
          <w:rFonts w:cs="Times New Roman"/>
          <w:lang w:val="fr-CA"/>
        </w:rPr>
        <w:t>’</w:t>
      </w:r>
      <w:r w:rsidRPr="00E6549A">
        <w:rPr>
          <w:rFonts w:cs="Times New Roman"/>
          <w:lang w:val="fr-CA"/>
        </w:rPr>
        <w:t>intention de commettre un meurtre. Cette erreur n</w:t>
      </w:r>
      <w:r w:rsidR="004C6C13">
        <w:rPr>
          <w:rFonts w:cs="Times New Roman"/>
          <w:lang w:val="fr-CA"/>
        </w:rPr>
        <w:t>’</w:t>
      </w:r>
      <w:r w:rsidRPr="00E6549A">
        <w:rPr>
          <w:rFonts w:cs="Times New Roman"/>
          <w:lang w:val="fr-CA"/>
        </w:rPr>
        <w:t>a rien à voir avec la mise en garde qui doit être formulée au sujet des dangers que présente le comportement postérieur à l</w:t>
      </w:r>
      <w:r w:rsidR="004C6C13">
        <w:rPr>
          <w:rFonts w:cs="Times New Roman"/>
          <w:lang w:val="fr-CA"/>
        </w:rPr>
        <w:t>’</w:t>
      </w:r>
      <w:r w:rsidRPr="00E6549A">
        <w:rPr>
          <w:rFonts w:cs="Times New Roman"/>
          <w:lang w:val="fr-CA"/>
        </w:rPr>
        <w:t xml:space="preserve">infraction en général. Les arrêts </w:t>
      </w:r>
      <w:r w:rsidRPr="00E6549A">
        <w:rPr>
          <w:rFonts w:cs="Times New Roman"/>
          <w:i/>
          <w:iCs/>
          <w:lang w:val="fr-CA"/>
        </w:rPr>
        <w:t>White 1998</w:t>
      </w:r>
      <w:r w:rsidRPr="00E6549A">
        <w:rPr>
          <w:rFonts w:cs="Times New Roman"/>
          <w:lang w:val="fr-CA"/>
        </w:rPr>
        <w:t xml:space="preserve"> et </w:t>
      </w:r>
      <w:r w:rsidRPr="00E6549A">
        <w:rPr>
          <w:rFonts w:cs="Times New Roman"/>
          <w:i/>
          <w:iCs/>
          <w:lang w:val="fr-CA"/>
        </w:rPr>
        <w:t>White 2011</w:t>
      </w:r>
      <w:r w:rsidRPr="00E6549A">
        <w:rPr>
          <w:rFonts w:cs="Times New Roman"/>
          <w:lang w:val="fr-CA"/>
        </w:rPr>
        <w:t xml:space="preserve"> ne peuvent être invoqués pour dissocier les directives données au jury sur le comportement postérieur à l</w:t>
      </w:r>
      <w:r w:rsidR="004C6C13">
        <w:rPr>
          <w:rFonts w:cs="Times New Roman"/>
          <w:lang w:val="fr-CA"/>
        </w:rPr>
        <w:t>’</w:t>
      </w:r>
      <w:r w:rsidRPr="00E6549A">
        <w:rPr>
          <w:rFonts w:cs="Times New Roman"/>
          <w:lang w:val="fr-CA"/>
        </w:rPr>
        <w:t>infraction des contestations fondées sur d</w:t>
      </w:r>
      <w:r w:rsidR="004C6C13">
        <w:rPr>
          <w:rFonts w:cs="Times New Roman"/>
          <w:lang w:val="fr-CA"/>
        </w:rPr>
        <w:t>’</w:t>
      </w:r>
      <w:r w:rsidRPr="00E6549A">
        <w:rPr>
          <w:rFonts w:cs="Times New Roman"/>
          <w:lang w:val="fr-CA"/>
        </w:rPr>
        <w:t>autres motifs. Ils ne contribuent nullement à circonscrire le besoin de formuler des instructions spécifiques lorsque la pertinence des éléments de preuve sur une question particulière n</w:t>
      </w:r>
      <w:r w:rsidR="004C6C13">
        <w:rPr>
          <w:rFonts w:cs="Times New Roman"/>
          <w:lang w:val="fr-CA"/>
        </w:rPr>
        <w:t>’</w:t>
      </w:r>
      <w:r w:rsidRPr="00E6549A">
        <w:rPr>
          <w:rFonts w:cs="Times New Roman"/>
          <w:lang w:val="fr-CA"/>
        </w:rPr>
        <w:t xml:space="preserve">est pas évidente et que le jury pourrait être naturellement porté à faire fausse route. Il est donc nécessaire, mais pas toujours suffisant, de bien mettre en garde le jury conformément aux arrêts </w:t>
      </w:r>
      <w:r w:rsidRPr="00E6549A">
        <w:rPr>
          <w:rFonts w:cs="Times New Roman"/>
          <w:i/>
          <w:iCs/>
          <w:lang w:val="fr-CA"/>
        </w:rPr>
        <w:t>White 1998</w:t>
      </w:r>
      <w:r w:rsidRPr="00E6549A">
        <w:rPr>
          <w:rFonts w:cs="Times New Roman"/>
          <w:lang w:val="fr-CA"/>
        </w:rPr>
        <w:t xml:space="preserve"> et </w:t>
      </w:r>
      <w:r w:rsidRPr="00E6549A">
        <w:rPr>
          <w:rFonts w:cs="Times New Roman"/>
          <w:i/>
          <w:iCs/>
          <w:lang w:val="fr-CA"/>
        </w:rPr>
        <w:t>White 2011</w:t>
      </w:r>
      <w:r w:rsidRPr="00E6549A">
        <w:rPr>
          <w:rFonts w:cs="Times New Roman"/>
          <w:lang w:val="fr-CA"/>
        </w:rPr>
        <w:t>.</w:t>
      </w:r>
    </w:p>
    <w:p w:rsidR="002D6514" w:rsidRPr="00E6549A" w:rsidRDefault="002D6514" w:rsidP="00AF284E">
      <w:pPr>
        <w:pStyle w:val="Title3LevelTitre3Niveau"/>
        <w:widowControl w:val="0"/>
        <w:ind w:left="1156" w:hanging="578"/>
        <w:rPr>
          <w:rFonts w:cs="Times New Roman"/>
          <w:lang w:val="fr-CA"/>
        </w:rPr>
      </w:pPr>
      <w:r w:rsidRPr="00E6549A">
        <w:rPr>
          <w:rFonts w:cs="Times New Roman"/>
          <w:lang w:val="fr-CA"/>
        </w:rPr>
        <w:t>Les « lacunes » des directives données au jury n</w:t>
      </w:r>
      <w:r w:rsidR="004C6C13">
        <w:rPr>
          <w:rFonts w:cs="Times New Roman"/>
          <w:lang w:val="fr-CA"/>
        </w:rPr>
        <w:t>’</w:t>
      </w:r>
      <w:r w:rsidRPr="00E6549A">
        <w:rPr>
          <w:rFonts w:cs="Times New Roman"/>
          <w:lang w:val="fr-CA"/>
        </w:rPr>
        <w:t>ont pas été comblées par la plaidoirie finale du ministère public</w:t>
      </w:r>
    </w:p>
    <w:p w:rsidR="002D6514" w:rsidRPr="00E6549A" w:rsidRDefault="002D6514" w:rsidP="00AF284E">
      <w:pPr>
        <w:pStyle w:val="ParaNoNdepar-AltN"/>
        <w:widowControl w:val="0"/>
        <w:rPr>
          <w:rFonts w:cs="Times New Roman"/>
          <w:lang w:val="fr-CA"/>
        </w:rPr>
      </w:pPr>
      <w:r w:rsidRPr="00E6549A">
        <w:rPr>
          <w:rFonts w:cs="Times New Roman"/>
          <w:lang w:val="fr-CA"/>
        </w:rPr>
        <w:t>Le ministère public affirme que les observations finales qu</w:t>
      </w:r>
      <w:r w:rsidR="004C6C13">
        <w:rPr>
          <w:rFonts w:cs="Times New Roman"/>
          <w:lang w:val="fr-CA"/>
        </w:rPr>
        <w:t>’</w:t>
      </w:r>
      <w:r w:rsidRPr="00E6549A">
        <w:rPr>
          <w:rFonts w:cs="Times New Roman"/>
          <w:lang w:val="fr-CA"/>
        </w:rPr>
        <w:t>il a présentées au procès [</w:t>
      </w:r>
      <w:r w:rsidRPr="00E6549A">
        <w:rPr>
          <w:rFonts w:cs="Times New Roman"/>
          <w:smallCaps/>
          <w:lang w:val="fr-CA"/>
        </w:rPr>
        <w:t>traduction</w:t>
      </w:r>
      <w:r w:rsidRPr="00E6549A">
        <w:rPr>
          <w:rFonts w:cs="Times New Roman"/>
          <w:lang w:val="fr-CA"/>
        </w:rPr>
        <w:t>] « auraient précisément comblé les “lacunes” des directives au jury qui préoccupaient les juges majoritaires de la Cour d</w:t>
      </w:r>
      <w:r w:rsidR="004C6C13">
        <w:rPr>
          <w:rFonts w:cs="Times New Roman"/>
          <w:lang w:val="fr-CA"/>
        </w:rPr>
        <w:t>’</w:t>
      </w:r>
      <w:r w:rsidRPr="00E6549A">
        <w:rPr>
          <w:rFonts w:cs="Times New Roman"/>
          <w:lang w:val="fr-CA"/>
        </w:rPr>
        <w:t xml:space="preserve">appel » (m.a., par. 62). </w:t>
      </w:r>
      <w:r w:rsidRPr="00E6549A">
        <w:rPr>
          <w:rFonts w:cs="Times New Roman"/>
          <w:lang w:val="fr-CA"/>
        </w:rPr>
        <w:lastRenderedPageBreak/>
        <w:t>Ainsi que les juges majoritaires de notre Cour l</w:t>
      </w:r>
      <w:r w:rsidR="004C6C13">
        <w:rPr>
          <w:rFonts w:cs="Times New Roman"/>
          <w:lang w:val="fr-CA"/>
        </w:rPr>
        <w:t>’</w:t>
      </w:r>
      <w:r w:rsidRPr="00E6549A">
        <w:rPr>
          <w:rFonts w:cs="Times New Roman"/>
          <w:lang w:val="fr-CA"/>
        </w:rPr>
        <w:t>ont déclaré dans l</w:t>
      </w:r>
      <w:r w:rsidR="004C6C13">
        <w:rPr>
          <w:rFonts w:cs="Times New Roman"/>
          <w:lang w:val="fr-CA"/>
        </w:rPr>
        <w:t>’</w:t>
      </w:r>
      <w:r w:rsidRPr="00E6549A">
        <w:rPr>
          <w:rFonts w:cs="Times New Roman"/>
          <w:lang w:val="fr-CA"/>
        </w:rPr>
        <w:t xml:space="preserve">arrêt </w:t>
      </w:r>
      <w:r w:rsidRPr="00E6549A">
        <w:rPr>
          <w:rFonts w:cs="Times New Roman"/>
          <w:i/>
          <w:iCs/>
          <w:lang w:val="fr-CA"/>
        </w:rPr>
        <w:t>Daley</w:t>
      </w:r>
      <w:r w:rsidRPr="00E6549A">
        <w:rPr>
          <w:rFonts w:cs="Times New Roman"/>
          <w:lang w:val="fr-CA"/>
        </w:rPr>
        <w:t>, « l</w:t>
      </w:r>
      <w:r w:rsidR="004C6C13">
        <w:rPr>
          <w:rFonts w:cs="Times New Roman"/>
          <w:lang w:val="fr-CA"/>
        </w:rPr>
        <w:t>’</w:t>
      </w:r>
      <w:r w:rsidRPr="00E6549A">
        <w:rPr>
          <w:rFonts w:cs="Times New Roman"/>
          <w:lang w:val="fr-CA"/>
        </w:rPr>
        <w:t>exposé au jury ne constitue pas une étape isolée; il s</w:t>
      </w:r>
      <w:r w:rsidR="004C6C13">
        <w:rPr>
          <w:rFonts w:cs="Times New Roman"/>
          <w:lang w:val="fr-CA"/>
        </w:rPr>
        <w:t>’</w:t>
      </w:r>
      <w:r w:rsidRPr="00E6549A">
        <w:rPr>
          <w:rFonts w:cs="Times New Roman"/>
          <w:lang w:val="fr-CA"/>
        </w:rPr>
        <w:t>inscrit dans le déroulement général du procès » et, en conséquence, « [l]</w:t>
      </w:r>
      <w:r w:rsidR="004C6C13">
        <w:rPr>
          <w:rFonts w:cs="Times New Roman"/>
          <w:lang w:val="fr-CA"/>
        </w:rPr>
        <w:t>’</w:t>
      </w:r>
      <w:r w:rsidRPr="00E6549A">
        <w:rPr>
          <w:rFonts w:cs="Times New Roman"/>
          <w:lang w:val="fr-CA"/>
        </w:rPr>
        <w:t>examen en appel de l</w:t>
      </w:r>
      <w:r w:rsidR="004C6C13">
        <w:rPr>
          <w:rFonts w:cs="Times New Roman"/>
          <w:lang w:val="fr-CA"/>
        </w:rPr>
        <w:t>’</w:t>
      </w:r>
      <w:r w:rsidRPr="00E6549A">
        <w:rPr>
          <w:rFonts w:cs="Times New Roman"/>
          <w:lang w:val="fr-CA"/>
        </w:rPr>
        <w:t>exposé au jury portera aussi sur les plaidoiries des avocats qui pourraient en combler les lacunes » (par. 58). Toutefois, vu l</w:t>
      </w:r>
      <w:r w:rsidR="004C6C13">
        <w:rPr>
          <w:rFonts w:cs="Times New Roman"/>
          <w:lang w:val="fr-CA"/>
        </w:rPr>
        <w:t>’</w:t>
      </w:r>
      <w:r w:rsidRPr="00E6549A">
        <w:rPr>
          <w:rFonts w:cs="Times New Roman"/>
          <w:lang w:val="fr-CA"/>
        </w:rPr>
        <w:t>ensemble des faits de la présente affaire, je ne suis pas convaincu que l</w:t>
      </w:r>
      <w:r w:rsidR="004C6C13">
        <w:rPr>
          <w:rFonts w:cs="Times New Roman"/>
          <w:lang w:val="fr-CA"/>
        </w:rPr>
        <w:t>’</w:t>
      </w:r>
      <w:r w:rsidRPr="00E6549A">
        <w:rPr>
          <w:rFonts w:cs="Times New Roman"/>
          <w:lang w:val="fr-CA"/>
        </w:rPr>
        <w:t>exposé final du ministère public était suffisant pour combler les lacunes de l</w:t>
      </w:r>
      <w:r w:rsidR="004C6C13">
        <w:rPr>
          <w:rFonts w:cs="Times New Roman"/>
          <w:lang w:val="fr-CA"/>
        </w:rPr>
        <w:t>’</w:t>
      </w:r>
      <w:r w:rsidRPr="00E6549A">
        <w:rPr>
          <w:rFonts w:cs="Times New Roman"/>
          <w:lang w:val="fr-CA"/>
        </w:rPr>
        <w:t>exposé du juge au jury.</w:t>
      </w:r>
    </w:p>
    <w:p w:rsidR="002D6514" w:rsidRPr="00E6549A" w:rsidRDefault="002D6514" w:rsidP="00AF284E">
      <w:pPr>
        <w:pStyle w:val="ParaNoNdepar-AltN"/>
        <w:widowControl w:val="0"/>
        <w:rPr>
          <w:rFonts w:cs="Times New Roman"/>
          <w:lang w:val="fr-CA"/>
        </w:rPr>
      </w:pPr>
      <w:r w:rsidRPr="00E6549A">
        <w:rPr>
          <w:rFonts w:cs="Times New Roman"/>
          <w:lang w:val="fr-CA"/>
        </w:rPr>
        <w:t>Dans son plaidoyer final, le ministère public a fait plusieurs déclarations qui présentaient une certaine utilité pour expliquer au jury en quoi les éléments de preuve relatifs à la dissimulation et au nettoyage avaient trait à la question de l</w:t>
      </w:r>
      <w:r w:rsidR="004C6C13">
        <w:rPr>
          <w:rFonts w:cs="Times New Roman"/>
          <w:lang w:val="fr-CA"/>
        </w:rPr>
        <w:t>’</w:t>
      </w:r>
      <w:r w:rsidRPr="00E6549A">
        <w:rPr>
          <w:rFonts w:cs="Times New Roman"/>
          <w:lang w:val="fr-CA"/>
        </w:rPr>
        <w:t>intention. Toutefois, ces déclarations étaient disséminées un peu partout dans un long plaidoyer final et bon nombre d</w:t>
      </w:r>
      <w:r w:rsidR="004C6C13">
        <w:rPr>
          <w:rFonts w:cs="Times New Roman"/>
          <w:lang w:val="fr-CA"/>
        </w:rPr>
        <w:t>’</w:t>
      </w:r>
      <w:r w:rsidRPr="00E6549A">
        <w:rPr>
          <w:rFonts w:cs="Times New Roman"/>
          <w:lang w:val="fr-CA"/>
        </w:rPr>
        <w:t>entre elles étaient vagues et indirectes. Mais surtout, à l</w:t>
      </w:r>
      <w:r w:rsidR="004C6C13">
        <w:rPr>
          <w:rFonts w:cs="Times New Roman"/>
          <w:lang w:val="fr-CA"/>
        </w:rPr>
        <w:t>’</w:t>
      </w:r>
      <w:r w:rsidRPr="00E6549A">
        <w:rPr>
          <w:rFonts w:cs="Times New Roman"/>
          <w:lang w:val="fr-CA"/>
        </w:rPr>
        <w:t>instar du juge du procès, le ministère public n</w:t>
      </w:r>
      <w:r w:rsidR="004C6C13">
        <w:rPr>
          <w:rFonts w:cs="Times New Roman"/>
          <w:lang w:val="fr-CA"/>
        </w:rPr>
        <w:t>’</w:t>
      </w:r>
      <w:r w:rsidRPr="00E6549A">
        <w:rPr>
          <w:rFonts w:cs="Times New Roman"/>
          <w:lang w:val="fr-CA"/>
        </w:rPr>
        <w:t>a jamais frappé juste. La plaidoirie finale du ministère public ne renfermait aucune description claire et simple de la façon dont le jury pouvait utiliser les éléments de preuve relatifs à la dissimulation et au nettoyage pour examiner la question de l</w:t>
      </w:r>
      <w:r w:rsidR="004C6C13">
        <w:rPr>
          <w:rFonts w:cs="Times New Roman"/>
          <w:lang w:val="fr-CA"/>
        </w:rPr>
        <w:t>’</w:t>
      </w:r>
      <w:r w:rsidRPr="00E6549A">
        <w:rPr>
          <w:rFonts w:cs="Times New Roman"/>
          <w:lang w:val="fr-CA"/>
        </w:rPr>
        <w:t>intention de M. Rodgerson. On ne trouve pas dans ces observations d</w:t>
      </w:r>
      <w:r w:rsidR="004C6C13">
        <w:rPr>
          <w:rFonts w:cs="Times New Roman"/>
          <w:lang w:val="fr-CA"/>
        </w:rPr>
        <w:t>’</w:t>
      </w:r>
      <w:r w:rsidRPr="00E6549A">
        <w:rPr>
          <w:rFonts w:cs="Times New Roman"/>
          <w:lang w:val="fr-CA"/>
        </w:rPr>
        <w:t>explication limpide de la conclusion qui pouvait être tirée, soit que, selon le juge Doherty, M. Rodgerson avait tenté de dissimuler le corps de M</w:t>
      </w:r>
      <w:r w:rsidRPr="00E6549A">
        <w:rPr>
          <w:rFonts w:eastAsia="MS Mincho" w:cs="Times New Roman"/>
          <w:vertAlign w:val="superscript"/>
          <w:lang w:val="fr-CA"/>
        </w:rPr>
        <w:t>me</w:t>
      </w:r>
      <w:r w:rsidRPr="00E6549A">
        <w:rPr>
          <w:rFonts w:cs="Times New Roman"/>
          <w:lang w:val="fr-CA"/>
        </w:rPr>
        <w:t> Young et de nettoyer les lieux où elle était décédée [</w:t>
      </w:r>
      <w:r w:rsidRPr="00E6549A">
        <w:rPr>
          <w:rFonts w:cs="Times New Roman"/>
          <w:smallCaps/>
          <w:lang w:val="fr-CA"/>
        </w:rPr>
        <w:t>traduction</w:t>
      </w:r>
      <w:r w:rsidRPr="00E6549A">
        <w:rPr>
          <w:rFonts w:cs="Times New Roman"/>
          <w:lang w:val="fr-CA"/>
        </w:rPr>
        <w:t>] « parce que les blessures infligées au corps et le sang sur les lieux révéleraient une agression compatible uniquement avec une intention d</w:t>
      </w:r>
      <w:r w:rsidR="004C6C13">
        <w:rPr>
          <w:rFonts w:cs="Times New Roman"/>
          <w:lang w:val="fr-CA"/>
        </w:rPr>
        <w:t>’</w:t>
      </w:r>
      <w:r w:rsidRPr="00E6549A">
        <w:rPr>
          <w:rFonts w:cs="Times New Roman"/>
          <w:lang w:val="fr-CA"/>
        </w:rPr>
        <w:t xml:space="preserve">infliger des lésions corporelles de nature à causer la mort » (par. 68). Par conséquent, les </w:t>
      </w:r>
      <w:r w:rsidRPr="00E6549A">
        <w:rPr>
          <w:rFonts w:cs="Times New Roman"/>
          <w:lang w:val="fr-CA"/>
        </w:rPr>
        <w:lastRenderedPageBreak/>
        <w:t>observations finales ne suffisaient pas pour combler les lacunes et corriger l</w:t>
      </w:r>
      <w:r w:rsidR="004C6C13">
        <w:rPr>
          <w:rFonts w:cs="Times New Roman"/>
          <w:lang w:val="fr-CA"/>
        </w:rPr>
        <w:t>’</w:t>
      </w:r>
      <w:r w:rsidRPr="00E6549A">
        <w:rPr>
          <w:rFonts w:cs="Times New Roman"/>
          <w:lang w:val="fr-CA"/>
        </w:rPr>
        <w:t>erreur de droit que comportait l</w:t>
      </w:r>
      <w:r w:rsidR="004C6C13">
        <w:rPr>
          <w:rFonts w:cs="Times New Roman"/>
          <w:lang w:val="fr-CA"/>
        </w:rPr>
        <w:t>’</w:t>
      </w:r>
      <w:r w:rsidRPr="00E6549A">
        <w:rPr>
          <w:rFonts w:cs="Times New Roman"/>
          <w:lang w:val="fr-CA"/>
        </w:rPr>
        <w:t>exposé du juge au jury.</w:t>
      </w:r>
    </w:p>
    <w:p w:rsidR="002D6514" w:rsidRPr="00E6549A" w:rsidRDefault="002D6514" w:rsidP="00AF284E">
      <w:pPr>
        <w:pStyle w:val="ParaNoNdepar-AltN"/>
        <w:widowControl w:val="0"/>
        <w:rPr>
          <w:rFonts w:cs="Times New Roman"/>
          <w:lang w:val="fr-CA"/>
        </w:rPr>
      </w:pPr>
      <w:r w:rsidRPr="00E6549A">
        <w:rPr>
          <w:rFonts w:cs="Times New Roman"/>
          <w:lang w:val="fr-CA"/>
        </w:rPr>
        <w:t>Je tiens également à faire observer, en ce qui concerne les directives relatives au fait que M. Rodgerson a tenté d</w:t>
      </w:r>
      <w:r w:rsidR="004C6C13">
        <w:rPr>
          <w:rFonts w:cs="Times New Roman"/>
          <w:lang w:val="fr-CA"/>
        </w:rPr>
        <w:t>’</w:t>
      </w:r>
      <w:r w:rsidRPr="00E6549A">
        <w:rPr>
          <w:rFonts w:cs="Times New Roman"/>
          <w:lang w:val="fr-CA"/>
        </w:rPr>
        <w:t>échapper aux policiers et leur a menti, que l</w:t>
      </w:r>
      <w:r w:rsidR="004C6C13">
        <w:rPr>
          <w:rFonts w:cs="Times New Roman"/>
          <w:lang w:val="fr-CA"/>
        </w:rPr>
        <w:t>’</w:t>
      </w:r>
      <w:r w:rsidRPr="00E6549A">
        <w:rPr>
          <w:rFonts w:cs="Times New Roman"/>
          <w:lang w:val="fr-CA"/>
        </w:rPr>
        <w:t>erreur de droit consistait en une directive erronée et non en une absence de directives. Le juge du procès a expliqué aux jurés qu</w:t>
      </w:r>
      <w:r w:rsidR="004C6C13">
        <w:rPr>
          <w:rFonts w:cs="Times New Roman"/>
          <w:lang w:val="fr-CA"/>
        </w:rPr>
        <w:t>’</w:t>
      </w:r>
      <w:r w:rsidRPr="00E6549A">
        <w:rPr>
          <w:rFonts w:cs="Times New Roman"/>
          <w:lang w:val="fr-CA"/>
        </w:rPr>
        <w:t>ils pouvaient utiliser les éléments de preuve en question pour en inférer que M. Rodgerson avait l</w:t>
      </w:r>
      <w:r w:rsidR="004C6C13">
        <w:rPr>
          <w:rFonts w:cs="Times New Roman"/>
          <w:lang w:val="fr-CA"/>
        </w:rPr>
        <w:t>’</w:t>
      </w:r>
      <w:r w:rsidRPr="00E6549A">
        <w:rPr>
          <w:rFonts w:cs="Times New Roman"/>
          <w:lang w:val="fr-CA"/>
        </w:rPr>
        <w:t>intention requise pour commettre un meurtre, alors qu</w:t>
      </w:r>
      <w:r w:rsidR="004C6C13">
        <w:rPr>
          <w:rFonts w:cs="Times New Roman"/>
          <w:lang w:val="fr-CA"/>
        </w:rPr>
        <w:t>’</w:t>
      </w:r>
      <w:r w:rsidRPr="00E6549A">
        <w:rPr>
          <w:rFonts w:cs="Times New Roman"/>
          <w:lang w:val="fr-CA"/>
        </w:rPr>
        <w:t>une telle inférence n</w:t>
      </w:r>
      <w:r w:rsidR="004C6C13">
        <w:rPr>
          <w:rFonts w:cs="Times New Roman"/>
          <w:lang w:val="fr-CA"/>
        </w:rPr>
        <w:t>’</w:t>
      </w:r>
      <w:r w:rsidRPr="00E6549A">
        <w:rPr>
          <w:rFonts w:cs="Times New Roman"/>
          <w:lang w:val="fr-CA"/>
        </w:rPr>
        <w:t>était pas possible. L</w:t>
      </w:r>
      <w:r w:rsidR="004C6C13">
        <w:rPr>
          <w:rFonts w:cs="Times New Roman"/>
          <w:lang w:val="fr-CA"/>
        </w:rPr>
        <w:t>’</w:t>
      </w:r>
      <w:r w:rsidRPr="00E6549A">
        <w:rPr>
          <w:rFonts w:cs="Times New Roman"/>
          <w:lang w:val="fr-CA"/>
        </w:rPr>
        <w:t>erreur n</w:t>
      </w:r>
      <w:r w:rsidR="004C6C13">
        <w:rPr>
          <w:rFonts w:cs="Times New Roman"/>
          <w:lang w:val="fr-CA"/>
        </w:rPr>
        <w:t>’</w:t>
      </w:r>
      <w:r w:rsidRPr="00E6549A">
        <w:rPr>
          <w:rFonts w:cs="Times New Roman"/>
          <w:lang w:val="fr-CA"/>
        </w:rPr>
        <w:t>avait rien à voir avec une lacune de l</w:t>
      </w:r>
      <w:r w:rsidR="004C6C13">
        <w:rPr>
          <w:rFonts w:cs="Times New Roman"/>
          <w:lang w:val="fr-CA"/>
        </w:rPr>
        <w:t>’</w:t>
      </w:r>
      <w:r w:rsidRPr="00E6549A">
        <w:rPr>
          <w:rFonts w:cs="Times New Roman"/>
          <w:lang w:val="fr-CA"/>
        </w:rPr>
        <w:t>exposé et pour cette raison, le principe visant à combler les lacunes dont il est question dans l</w:t>
      </w:r>
      <w:r w:rsidR="004C6C13">
        <w:rPr>
          <w:rFonts w:cs="Times New Roman"/>
          <w:lang w:val="fr-CA"/>
        </w:rPr>
        <w:t>’</w:t>
      </w:r>
      <w:r w:rsidRPr="00E6549A">
        <w:rPr>
          <w:rFonts w:cs="Times New Roman"/>
          <w:lang w:val="fr-CA"/>
        </w:rPr>
        <w:t xml:space="preserve">arrêt </w:t>
      </w:r>
      <w:r w:rsidRPr="00E6549A">
        <w:rPr>
          <w:rFonts w:cs="Times New Roman"/>
          <w:i/>
          <w:iCs/>
          <w:lang w:val="fr-CA"/>
        </w:rPr>
        <w:t>Daley</w:t>
      </w:r>
      <w:r w:rsidRPr="00E6549A">
        <w:rPr>
          <w:rFonts w:cs="Times New Roman"/>
          <w:lang w:val="fr-CA"/>
        </w:rPr>
        <w:t xml:space="preserve"> ne pouvait s</w:t>
      </w:r>
      <w:r w:rsidR="004C6C13">
        <w:rPr>
          <w:rFonts w:cs="Times New Roman"/>
          <w:lang w:val="fr-CA"/>
        </w:rPr>
        <w:t>’</w:t>
      </w:r>
      <w:r w:rsidRPr="00E6549A">
        <w:rPr>
          <w:rFonts w:cs="Times New Roman"/>
          <w:lang w:val="fr-CA"/>
        </w:rPr>
        <w:t>appliquer.</w:t>
      </w:r>
    </w:p>
    <w:p w:rsidR="002D6514" w:rsidRPr="00E6549A" w:rsidRDefault="002D6514" w:rsidP="00AF284E">
      <w:pPr>
        <w:pStyle w:val="Title2LevelTitre2Niveau"/>
        <w:widowControl w:val="0"/>
        <w:ind w:left="578" w:hanging="578"/>
        <w:rPr>
          <w:rFonts w:cs="Times New Roman"/>
          <w:lang w:val="fr-CA"/>
        </w:rPr>
      </w:pPr>
      <w:r w:rsidRPr="00E6549A">
        <w:rPr>
          <w:rFonts w:cs="Times New Roman"/>
          <w:lang w:val="fr-CA"/>
        </w:rPr>
        <w:t>La disposition réparatrice ne s</w:t>
      </w:r>
      <w:r w:rsidR="004C6C13">
        <w:rPr>
          <w:rFonts w:cs="Times New Roman"/>
          <w:lang w:val="fr-CA"/>
        </w:rPr>
        <w:t>’</w:t>
      </w:r>
      <w:r w:rsidRPr="00E6549A">
        <w:rPr>
          <w:rFonts w:cs="Times New Roman"/>
          <w:lang w:val="fr-CA"/>
        </w:rPr>
        <w:t>applique pas</w:t>
      </w:r>
    </w:p>
    <w:p w:rsidR="002D6514" w:rsidRPr="00E6549A" w:rsidRDefault="002D6514" w:rsidP="00AF284E">
      <w:pPr>
        <w:pStyle w:val="ParaNoNdepar-AltN"/>
        <w:widowControl w:val="0"/>
        <w:rPr>
          <w:rFonts w:cs="Times New Roman"/>
          <w:lang w:val="fr-CA"/>
        </w:rPr>
      </w:pPr>
      <w:r w:rsidRPr="00E6549A">
        <w:rPr>
          <w:rFonts w:cs="Times New Roman"/>
          <w:lang w:val="fr-CA"/>
        </w:rPr>
        <w:t>L</w:t>
      </w:r>
      <w:r w:rsidR="004C6C13">
        <w:rPr>
          <w:rFonts w:cs="Times New Roman"/>
          <w:lang w:val="fr-CA"/>
        </w:rPr>
        <w:t>’</w:t>
      </w:r>
      <w:r w:rsidRPr="00E6549A">
        <w:rPr>
          <w:rFonts w:cs="Times New Roman"/>
          <w:lang w:val="fr-CA"/>
        </w:rPr>
        <w:t>exposé au jury comportait deux erreurs de droit. En premier lieu, nul ne conteste que le juge du procès a commis une erreur en donnant pour directive au jury de tenir compte, pour se prononcer sur la question de l</w:t>
      </w:r>
      <w:r w:rsidR="004C6C13">
        <w:rPr>
          <w:rFonts w:cs="Times New Roman"/>
          <w:lang w:val="fr-CA"/>
        </w:rPr>
        <w:t>’</w:t>
      </w:r>
      <w:r w:rsidRPr="00E6549A">
        <w:rPr>
          <w:rFonts w:cs="Times New Roman"/>
          <w:lang w:val="fr-CA"/>
        </w:rPr>
        <w:t>intention, du fait que M. Rodgerson avait tenté d</w:t>
      </w:r>
      <w:r w:rsidR="004C6C13">
        <w:rPr>
          <w:rFonts w:cs="Times New Roman"/>
          <w:lang w:val="fr-CA"/>
        </w:rPr>
        <w:t>’</w:t>
      </w:r>
      <w:r w:rsidRPr="00E6549A">
        <w:rPr>
          <w:rFonts w:cs="Times New Roman"/>
          <w:lang w:val="fr-CA"/>
        </w:rPr>
        <w:t>échapper aux policiers et leur avait menti. En second lieu, le juge du procès a commis une erreur dans ses directives au jury en ce qui concerne les efforts de dissimulation et de nettoyage qu</w:t>
      </w:r>
      <w:r w:rsidR="004C6C13">
        <w:rPr>
          <w:rFonts w:cs="Times New Roman"/>
          <w:lang w:val="fr-CA"/>
        </w:rPr>
        <w:t>’</w:t>
      </w:r>
      <w:r w:rsidRPr="00E6549A">
        <w:rPr>
          <w:rFonts w:cs="Times New Roman"/>
          <w:lang w:val="fr-CA"/>
        </w:rPr>
        <w:t xml:space="preserve">a faits M. Rodgerson. </w:t>
      </w:r>
    </w:p>
    <w:p w:rsidR="002D6514" w:rsidRPr="00E6549A" w:rsidRDefault="002D6514" w:rsidP="00AF284E">
      <w:pPr>
        <w:pStyle w:val="ParaNoNdepar-AltN"/>
        <w:widowControl w:val="0"/>
        <w:rPr>
          <w:rFonts w:cs="Times New Roman"/>
          <w:lang w:val="fr-CA"/>
        </w:rPr>
      </w:pPr>
      <w:r w:rsidRPr="00E6549A">
        <w:rPr>
          <w:rFonts w:cs="Times New Roman"/>
          <w:lang w:val="fr-CA"/>
        </w:rPr>
        <w:t>Le ministère public soutient que, malgré ces erreurs, la disposition réparatrice devrait s</w:t>
      </w:r>
      <w:r w:rsidR="004C6C13">
        <w:rPr>
          <w:rFonts w:cs="Times New Roman"/>
          <w:lang w:val="fr-CA"/>
        </w:rPr>
        <w:t>’</w:t>
      </w:r>
      <w:r w:rsidRPr="00E6549A">
        <w:rPr>
          <w:rFonts w:cs="Times New Roman"/>
          <w:lang w:val="fr-CA"/>
        </w:rPr>
        <w:t>appliquer. Je souscris à l</w:t>
      </w:r>
      <w:r w:rsidR="004C6C13">
        <w:rPr>
          <w:rFonts w:cs="Times New Roman"/>
          <w:lang w:val="fr-CA"/>
        </w:rPr>
        <w:t>’</w:t>
      </w:r>
      <w:r w:rsidRPr="00E6549A">
        <w:rPr>
          <w:rFonts w:cs="Times New Roman"/>
          <w:lang w:val="fr-CA"/>
        </w:rPr>
        <w:t xml:space="preserve">analyse du juge Doherty sur ce point. </w:t>
      </w:r>
      <w:r w:rsidRPr="00E6549A">
        <w:rPr>
          <w:rFonts w:cs="Times New Roman"/>
          <w:lang w:val="fr-CA"/>
        </w:rPr>
        <w:lastRenderedPageBreak/>
        <w:t>Ainsi qu</w:t>
      </w:r>
      <w:r w:rsidR="004C6C13">
        <w:rPr>
          <w:rFonts w:cs="Times New Roman"/>
          <w:lang w:val="fr-CA"/>
        </w:rPr>
        <w:t>’</w:t>
      </w:r>
      <w:r w:rsidRPr="00E6549A">
        <w:rPr>
          <w:rFonts w:cs="Times New Roman"/>
          <w:lang w:val="fr-CA"/>
        </w:rPr>
        <w:t>il l</w:t>
      </w:r>
      <w:r w:rsidR="004C6C13">
        <w:rPr>
          <w:rFonts w:cs="Times New Roman"/>
          <w:lang w:val="fr-CA"/>
        </w:rPr>
        <w:t>’</w:t>
      </w:r>
      <w:r w:rsidRPr="00E6549A">
        <w:rPr>
          <w:rFonts w:cs="Times New Roman"/>
          <w:lang w:val="fr-CA"/>
        </w:rPr>
        <w:t>a fait observer, dès lors que le jury avait écarté la légitime défense, la question de l</w:t>
      </w:r>
      <w:r w:rsidR="004C6C13">
        <w:rPr>
          <w:rFonts w:cs="Times New Roman"/>
          <w:lang w:val="fr-CA"/>
        </w:rPr>
        <w:t>’</w:t>
      </w:r>
      <w:r w:rsidRPr="00E6549A">
        <w:rPr>
          <w:rFonts w:cs="Times New Roman"/>
          <w:lang w:val="fr-CA"/>
        </w:rPr>
        <w:t>intention de M. Rodgerson devenait [</w:t>
      </w:r>
      <w:r w:rsidRPr="00E6549A">
        <w:rPr>
          <w:rFonts w:cs="Times New Roman"/>
          <w:smallCaps/>
          <w:lang w:val="fr-CA"/>
        </w:rPr>
        <w:t>traduction</w:t>
      </w:r>
      <w:r w:rsidRPr="00E6549A">
        <w:rPr>
          <w:rFonts w:cs="Times New Roman"/>
          <w:lang w:val="fr-CA"/>
        </w:rPr>
        <w:t>]  « la question cruciale au procès » et les deux erreurs en question « portaient directement sur l</w:t>
      </w:r>
      <w:r w:rsidR="004C6C13">
        <w:rPr>
          <w:rFonts w:cs="Times New Roman"/>
          <w:lang w:val="fr-CA"/>
        </w:rPr>
        <w:t>’</w:t>
      </w:r>
      <w:r w:rsidRPr="00E6549A">
        <w:rPr>
          <w:rFonts w:cs="Times New Roman"/>
          <w:lang w:val="fr-CA"/>
        </w:rPr>
        <w:t>examen de cette question par le jury » (par. 79). De plus, la preuve du ministère public n</w:t>
      </w:r>
      <w:r w:rsidR="004C6C13">
        <w:rPr>
          <w:rFonts w:cs="Times New Roman"/>
          <w:lang w:val="fr-CA"/>
        </w:rPr>
        <w:t>’</w:t>
      </w:r>
      <w:r w:rsidRPr="00E6549A">
        <w:rPr>
          <w:rFonts w:cs="Times New Roman"/>
          <w:lang w:val="fr-CA"/>
        </w:rPr>
        <w:t>était pas accablante. La disposition réparatrice ne s</w:t>
      </w:r>
      <w:r w:rsidR="004C6C13">
        <w:rPr>
          <w:rFonts w:cs="Times New Roman"/>
          <w:lang w:val="fr-CA"/>
        </w:rPr>
        <w:t>’</w:t>
      </w:r>
      <w:r w:rsidRPr="00E6549A">
        <w:rPr>
          <w:rFonts w:cs="Times New Roman"/>
          <w:lang w:val="fr-CA"/>
        </w:rPr>
        <w:t>applique pas, et M. Rodgerson a droit à un nouveau procès pour meurtre au second degré.</w:t>
      </w:r>
    </w:p>
    <w:p w:rsidR="002D6514" w:rsidRPr="00E6549A" w:rsidRDefault="002D6514" w:rsidP="00AF284E">
      <w:pPr>
        <w:pStyle w:val="Title2LevelTitre2Niveau"/>
        <w:widowControl w:val="0"/>
        <w:ind w:left="578" w:hanging="578"/>
        <w:rPr>
          <w:rFonts w:cs="Times New Roman"/>
          <w:lang w:val="fr-CA"/>
        </w:rPr>
      </w:pPr>
      <w:r w:rsidRPr="00E6549A">
        <w:rPr>
          <w:rFonts w:cs="Times New Roman"/>
          <w:lang w:val="fr-CA"/>
        </w:rPr>
        <w:t>L</w:t>
      </w:r>
      <w:r w:rsidR="004C6C13">
        <w:rPr>
          <w:rFonts w:cs="Times New Roman"/>
          <w:lang w:val="fr-CA"/>
        </w:rPr>
        <w:t>’</w:t>
      </w:r>
      <w:r w:rsidRPr="00E6549A">
        <w:rPr>
          <w:rFonts w:cs="Times New Roman"/>
          <w:lang w:val="fr-CA"/>
        </w:rPr>
        <w:t xml:space="preserve">exposé au jury dans son ensemble </w:t>
      </w:r>
    </w:p>
    <w:p w:rsidR="002D6514" w:rsidRPr="00E6549A" w:rsidRDefault="002D6514" w:rsidP="00AF284E">
      <w:pPr>
        <w:pStyle w:val="ParaNoNdepar-AltN"/>
        <w:widowControl w:val="0"/>
        <w:tabs>
          <w:tab w:val="clear" w:pos="1152"/>
          <w:tab w:val="left" w:pos="1166"/>
        </w:tabs>
        <w:spacing w:before="120" w:after="120"/>
        <w:rPr>
          <w:rFonts w:cs="Times New Roman"/>
          <w:lang w:val="fr-CA"/>
        </w:rPr>
      </w:pPr>
      <w:r w:rsidRPr="00E6549A">
        <w:rPr>
          <w:rFonts w:cs="Times New Roman"/>
          <w:lang w:val="fr-CA"/>
        </w:rPr>
        <w:t>Dans son opinion dissidente, le juge MacPherson s</w:t>
      </w:r>
      <w:r w:rsidR="004C6C13">
        <w:rPr>
          <w:rFonts w:cs="Times New Roman"/>
          <w:lang w:val="fr-CA"/>
        </w:rPr>
        <w:t>’</w:t>
      </w:r>
      <w:r w:rsidRPr="00E6549A">
        <w:rPr>
          <w:rFonts w:cs="Times New Roman"/>
          <w:lang w:val="fr-CA"/>
        </w:rPr>
        <w:t>est dit préoccupé par le fait d</w:t>
      </w:r>
      <w:r w:rsidR="004C6C13">
        <w:rPr>
          <w:rFonts w:cs="Times New Roman"/>
          <w:lang w:val="fr-CA"/>
        </w:rPr>
        <w:t>’</w:t>
      </w:r>
      <w:r w:rsidRPr="00E6549A">
        <w:rPr>
          <w:rFonts w:cs="Times New Roman"/>
          <w:lang w:val="fr-CA"/>
        </w:rPr>
        <w:t>exiger des directives plus précises sur les éléments de preuve relatifs à la dissimulation et au nettoyage, en partie parce qu</w:t>
      </w:r>
      <w:r w:rsidR="004C6C13">
        <w:rPr>
          <w:rFonts w:cs="Times New Roman"/>
          <w:lang w:val="fr-CA"/>
        </w:rPr>
        <w:t>’</w:t>
      </w:r>
      <w:r w:rsidRPr="00E6549A">
        <w:rPr>
          <w:rFonts w:cs="Times New Roman"/>
          <w:lang w:val="fr-CA"/>
        </w:rPr>
        <w:t>il ne souhaitait pas alimenter davantage la tendance vers des exposés au jury plus longs et plus complexes. À son avis,</w:t>
      </w:r>
    </w:p>
    <w:p w:rsidR="002D6514" w:rsidRPr="00E6549A" w:rsidRDefault="002D6514" w:rsidP="00AF284E">
      <w:pPr>
        <w:pStyle w:val="Citation-AltC"/>
        <w:widowControl w:val="0"/>
        <w:ind w:left="1168" w:hanging="1168"/>
        <w:rPr>
          <w:rFonts w:cs="Times New Roman"/>
          <w:lang w:val="fr-CA"/>
        </w:rPr>
      </w:pPr>
      <w:r>
        <w:rPr>
          <w:rFonts w:cs="Times New Roman"/>
          <w:lang w:val="fr-CA"/>
        </w:rPr>
        <w:tab/>
      </w:r>
      <w:r w:rsidRPr="00E6549A">
        <w:rPr>
          <w:rFonts w:cs="Times New Roman"/>
          <w:lang w:val="fr-CA"/>
        </w:rPr>
        <w:t>[</w:t>
      </w:r>
      <w:r w:rsidRPr="00E6549A">
        <w:rPr>
          <w:rFonts w:cs="Times New Roman"/>
          <w:smallCaps/>
          <w:lang w:val="fr-CA"/>
        </w:rPr>
        <w:t>traduction</w:t>
      </w:r>
      <w:r w:rsidRPr="00E6549A">
        <w:rPr>
          <w:rFonts w:cs="Times New Roman"/>
          <w:lang w:val="fr-CA"/>
        </w:rPr>
        <w:t>] les juridictions d</w:t>
      </w:r>
      <w:r w:rsidR="004C6C13">
        <w:rPr>
          <w:rFonts w:cs="Times New Roman"/>
          <w:lang w:val="fr-CA"/>
        </w:rPr>
        <w:t>’</w:t>
      </w:r>
      <w:r w:rsidRPr="00E6549A">
        <w:rPr>
          <w:rFonts w:cs="Times New Roman"/>
          <w:lang w:val="fr-CA"/>
        </w:rPr>
        <w:t>appel devraient se garder d</w:t>
      </w:r>
      <w:r w:rsidR="004C6C13">
        <w:rPr>
          <w:rFonts w:cs="Times New Roman"/>
          <w:lang w:val="fr-CA"/>
        </w:rPr>
        <w:t>’</w:t>
      </w:r>
      <w:r w:rsidRPr="00E6549A">
        <w:rPr>
          <w:rFonts w:cs="Times New Roman"/>
          <w:lang w:val="fr-CA"/>
        </w:rPr>
        <w:t xml:space="preserve">allonger les directives aux jurys </w:t>
      </w:r>
      <w:r w:rsidR="005F5F2A">
        <w:rPr>
          <w:rFonts w:cs="Times New Roman"/>
          <w:lang w:val="fr-CA"/>
        </w:rPr>
        <w:t>[</w:t>
      </w:r>
      <w:r w:rsidRPr="00E6549A">
        <w:rPr>
          <w:rFonts w:cs="Times New Roman"/>
          <w:lang w:val="fr-CA"/>
        </w:rPr>
        <w:t>. . .</w:t>
      </w:r>
      <w:r w:rsidR="005F5F2A">
        <w:rPr>
          <w:rFonts w:cs="Times New Roman"/>
          <w:lang w:val="fr-CA"/>
        </w:rPr>
        <w:t>]</w:t>
      </w:r>
      <w:r w:rsidRPr="00E6549A">
        <w:rPr>
          <w:rFonts w:cs="Times New Roman"/>
          <w:lang w:val="fr-CA"/>
        </w:rPr>
        <w:t xml:space="preserve"> Selon un thème récurrent dans le discours actuel de la magistrature et du barreau, les directives aux jurys sont de nos jours moins utiles aux jurés qu</w:t>
      </w:r>
      <w:r w:rsidR="004C6C13">
        <w:rPr>
          <w:rFonts w:cs="Times New Roman"/>
          <w:lang w:val="fr-CA"/>
        </w:rPr>
        <w:t>’</w:t>
      </w:r>
      <w:r w:rsidRPr="00E6549A">
        <w:rPr>
          <w:rFonts w:cs="Times New Roman"/>
          <w:lang w:val="fr-CA"/>
        </w:rPr>
        <w:t>elles ne l</w:t>
      </w:r>
      <w:r w:rsidR="004C6C13">
        <w:rPr>
          <w:rFonts w:cs="Times New Roman"/>
          <w:lang w:val="fr-CA"/>
        </w:rPr>
        <w:t>’</w:t>
      </w:r>
      <w:r w:rsidRPr="00E6549A">
        <w:rPr>
          <w:rFonts w:cs="Times New Roman"/>
          <w:lang w:val="fr-CA"/>
        </w:rPr>
        <w:t>étaient par le passé. C</w:t>
      </w:r>
      <w:r w:rsidR="004C6C13">
        <w:rPr>
          <w:rFonts w:cs="Times New Roman"/>
          <w:lang w:val="fr-CA"/>
        </w:rPr>
        <w:t>’</w:t>
      </w:r>
      <w:r w:rsidRPr="00E6549A">
        <w:rPr>
          <w:rFonts w:cs="Times New Roman"/>
          <w:lang w:val="fr-CA"/>
        </w:rPr>
        <w:t>est parce que ces directives sont maintenant, surtout dans la plupart des procès pour meurtre, exceptionnellement longues et complexes, ce qui permet de douter de la compréhension et de l</w:t>
      </w:r>
      <w:r w:rsidR="004C6C13">
        <w:rPr>
          <w:rFonts w:cs="Times New Roman"/>
          <w:lang w:val="fr-CA"/>
        </w:rPr>
        <w:t>’</w:t>
      </w:r>
      <w:r w:rsidRPr="00E6549A">
        <w:rPr>
          <w:rFonts w:cs="Times New Roman"/>
          <w:lang w:val="fr-CA"/>
        </w:rPr>
        <w:t>aisance des jurés. [par. 103]</w:t>
      </w:r>
    </w:p>
    <w:p w:rsidR="002D6514" w:rsidRPr="00E6549A" w:rsidRDefault="002D6514" w:rsidP="00AF284E">
      <w:pPr>
        <w:pStyle w:val="ContinueParaSuitedupar-AltP"/>
        <w:widowControl w:val="0"/>
        <w:rPr>
          <w:rFonts w:cs="Times New Roman"/>
          <w:i/>
          <w:iCs/>
          <w:lang w:val="fr-CA"/>
        </w:rPr>
      </w:pPr>
      <w:r w:rsidRPr="00E6549A">
        <w:rPr>
          <w:rFonts w:cs="Times New Roman"/>
          <w:lang w:val="fr-CA"/>
        </w:rPr>
        <w:t>Dans son mémoire, l</w:t>
      </w:r>
      <w:r w:rsidR="004C6C13">
        <w:rPr>
          <w:rFonts w:cs="Times New Roman"/>
          <w:lang w:val="fr-CA"/>
        </w:rPr>
        <w:t>’</w:t>
      </w:r>
      <w:r w:rsidRPr="00E6549A">
        <w:rPr>
          <w:rFonts w:cs="Times New Roman"/>
          <w:lang w:val="fr-CA"/>
        </w:rPr>
        <w:t>avocate du ministère public, M</w:t>
      </w:r>
      <w:r w:rsidRPr="00E6549A">
        <w:rPr>
          <w:rFonts w:cs="Times New Roman"/>
          <w:vertAlign w:val="superscript"/>
          <w:lang w:val="fr-CA"/>
        </w:rPr>
        <w:t>me</w:t>
      </w:r>
      <w:r w:rsidRPr="00E6549A">
        <w:rPr>
          <w:rFonts w:cs="Times New Roman"/>
          <w:lang w:val="fr-CA"/>
        </w:rPr>
        <w:t> Stephens, reprend cette opinion en faisant observer que [</w:t>
      </w:r>
      <w:r w:rsidRPr="00E6549A">
        <w:rPr>
          <w:rFonts w:cs="Times New Roman"/>
          <w:smallCaps/>
          <w:lang w:val="fr-CA"/>
        </w:rPr>
        <w:t>traduction</w:t>
      </w:r>
      <w:r w:rsidRPr="00E6549A">
        <w:rPr>
          <w:rFonts w:cs="Times New Roman"/>
          <w:lang w:val="fr-CA"/>
        </w:rPr>
        <w:t xml:space="preserve">] « [c]et exposé était déjà incroyablement long et complexe » (par. 71). Citant les arrêts </w:t>
      </w:r>
      <w:r w:rsidRPr="00E6549A">
        <w:rPr>
          <w:rFonts w:cs="Times New Roman"/>
          <w:i/>
          <w:iCs/>
          <w:lang w:val="fr-CA"/>
        </w:rPr>
        <w:t>Daley</w:t>
      </w:r>
      <w:r w:rsidRPr="00E6549A">
        <w:rPr>
          <w:rFonts w:cs="Times New Roman"/>
          <w:iCs/>
          <w:lang w:val="fr-CA"/>
        </w:rPr>
        <w:t>, par. 56,</w:t>
      </w:r>
      <w:r w:rsidRPr="00E6549A">
        <w:rPr>
          <w:rFonts w:cs="Times New Roman"/>
          <w:lang w:val="fr-CA"/>
        </w:rPr>
        <w:t xml:space="preserve"> et </w:t>
      </w:r>
      <w:r w:rsidRPr="00E6549A">
        <w:rPr>
          <w:rFonts w:cs="Times New Roman"/>
          <w:i/>
          <w:iCs/>
          <w:lang w:val="fr-CA"/>
        </w:rPr>
        <w:t>R. c. Jacquard</w:t>
      </w:r>
      <w:r w:rsidRPr="00E6549A">
        <w:rPr>
          <w:rFonts w:cs="Times New Roman"/>
          <w:lang w:val="fr-CA"/>
        </w:rPr>
        <w:t>, [1997] 1 R.C.S. 314, par. 13, le ministère public souligne qu</w:t>
      </w:r>
      <w:r w:rsidR="004C6C13">
        <w:rPr>
          <w:rFonts w:cs="Times New Roman"/>
          <w:lang w:val="fr-CA"/>
        </w:rPr>
        <w:t>’</w:t>
      </w:r>
      <w:r w:rsidRPr="00E6549A">
        <w:rPr>
          <w:rFonts w:cs="Times New Roman"/>
          <w:lang w:val="fr-CA"/>
        </w:rPr>
        <w:t xml:space="preserve">« [i]l est </w:t>
      </w:r>
      <w:r w:rsidRPr="00E6549A">
        <w:rPr>
          <w:rFonts w:cs="Times New Roman"/>
          <w:lang w:val="fr-CA"/>
        </w:rPr>
        <w:lastRenderedPageBreak/>
        <w:t>souhaitable que l</w:t>
      </w:r>
      <w:r w:rsidR="004C6C13">
        <w:rPr>
          <w:rFonts w:cs="Times New Roman"/>
          <w:lang w:val="fr-CA"/>
        </w:rPr>
        <w:t>’</w:t>
      </w:r>
      <w:r w:rsidRPr="00E6549A">
        <w:rPr>
          <w:rFonts w:cs="Times New Roman"/>
          <w:lang w:val="fr-CA"/>
        </w:rPr>
        <w:t xml:space="preserve">exposé au jury soit concis » et que « le rôle du juge du procès est “de </w:t>
      </w:r>
      <w:r w:rsidRPr="00E6549A">
        <w:rPr>
          <w:rStyle w:val="highlight"/>
          <w:lang w:val="fr-CA"/>
        </w:rPr>
        <w:t>clarifier et de simplifier</w:t>
      </w:r>
      <w:r w:rsidRPr="00E6549A">
        <w:rPr>
          <w:rFonts w:cs="Times New Roman"/>
          <w:lang w:val="fr-CA"/>
        </w:rPr>
        <w:t>”</w:t>
      </w:r>
      <w:r w:rsidRPr="00E6549A">
        <w:rPr>
          <w:rStyle w:val="highlight"/>
          <w:lang w:val="fr-CA"/>
        </w:rPr>
        <w:t> » (</w:t>
      </w:r>
      <w:r w:rsidRPr="00E6549A">
        <w:rPr>
          <w:rFonts w:cs="Times New Roman"/>
          <w:lang w:val="fr-CA"/>
        </w:rPr>
        <w:t xml:space="preserve">par. 41). </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Bien que je ne partage pas cette opinion quant à la façon de trancher le présent pourvoi, je partage ces préoccupations au sujet de la prolifération des exposés aux jurys longs et inutilement complexes. En l</w:t>
      </w:r>
      <w:r w:rsidR="004C6C13">
        <w:rPr>
          <w:rFonts w:cs="Times New Roman"/>
          <w:lang w:val="fr-CA"/>
        </w:rPr>
        <w:t>’</w:t>
      </w:r>
      <w:r w:rsidRPr="00E6549A">
        <w:rPr>
          <w:rFonts w:cs="Times New Roman"/>
          <w:lang w:val="fr-CA"/>
        </w:rPr>
        <w:t>espèce, l</w:t>
      </w:r>
      <w:r w:rsidR="004C6C13">
        <w:rPr>
          <w:rFonts w:cs="Times New Roman"/>
          <w:lang w:val="fr-CA"/>
        </w:rPr>
        <w:t>’</w:t>
      </w:r>
      <w:r w:rsidRPr="00E6549A">
        <w:rPr>
          <w:rFonts w:cs="Times New Roman"/>
          <w:lang w:val="fr-CA"/>
        </w:rPr>
        <w:t>exposé au jury excède 200 pages et sa présentation a nécessité une journée complète d</w:t>
      </w:r>
      <w:r w:rsidR="004C6C13">
        <w:rPr>
          <w:rFonts w:cs="Times New Roman"/>
          <w:lang w:val="fr-CA"/>
        </w:rPr>
        <w:t>’</w:t>
      </w:r>
      <w:r w:rsidRPr="00E6549A">
        <w:rPr>
          <w:rFonts w:cs="Times New Roman"/>
          <w:lang w:val="fr-CA"/>
        </w:rPr>
        <w:t>audience. J</w:t>
      </w:r>
      <w:r w:rsidR="004C6C13">
        <w:rPr>
          <w:rFonts w:cs="Times New Roman"/>
          <w:lang w:val="fr-CA"/>
        </w:rPr>
        <w:t>’</w:t>
      </w:r>
      <w:r w:rsidRPr="00E6549A">
        <w:rPr>
          <w:rFonts w:cs="Times New Roman"/>
          <w:lang w:val="fr-CA"/>
        </w:rPr>
        <w:t>en suis venu à la conclusion que le juge du procès a commis une erreur en n</w:t>
      </w:r>
      <w:r w:rsidR="004C6C13">
        <w:rPr>
          <w:rFonts w:cs="Times New Roman"/>
          <w:lang w:val="fr-CA"/>
        </w:rPr>
        <w:t>’</w:t>
      </w:r>
      <w:r w:rsidRPr="00E6549A">
        <w:rPr>
          <w:rFonts w:cs="Times New Roman"/>
          <w:lang w:val="fr-CA"/>
        </w:rPr>
        <w:t>aidant pas suffisamment le jury à comprendre de quelle manière il devait utiliser les éléments de preuve relatifs à la dissimulation et au nettoyage postérieurs à l</w:t>
      </w:r>
      <w:r w:rsidR="004C6C13">
        <w:rPr>
          <w:rFonts w:cs="Times New Roman"/>
          <w:lang w:val="fr-CA"/>
        </w:rPr>
        <w:t>’</w:t>
      </w:r>
      <w:r w:rsidRPr="00E6549A">
        <w:rPr>
          <w:rFonts w:cs="Times New Roman"/>
          <w:lang w:val="fr-CA"/>
        </w:rPr>
        <w:t>infraction pour trancher la question de l</w:t>
      </w:r>
      <w:r w:rsidR="004C6C13">
        <w:rPr>
          <w:rFonts w:cs="Times New Roman"/>
          <w:lang w:val="fr-CA"/>
        </w:rPr>
        <w:t>’</w:t>
      </w:r>
      <w:r w:rsidRPr="00E6549A">
        <w:rPr>
          <w:rFonts w:cs="Times New Roman"/>
          <w:lang w:val="fr-CA"/>
        </w:rPr>
        <w:t>intention. J</w:t>
      </w:r>
      <w:r w:rsidR="004C6C13">
        <w:rPr>
          <w:rFonts w:cs="Times New Roman"/>
          <w:lang w:val="fr-CA"/>
        </w:rPr>
        <w:t>’</w:t>
      </w:r>
      <w:r w:rsidRPr="00E6549A">
        <w:rPr>
          <w:rFonts w:cs="Times New Roman"/>
          <w:lang w:val="fr-CA"/>
        </w:rPr>
        <w:t>écarte catégoriquement toutefois toute idée qu</w:t>
      </w:r>
      <w:r w:rsidR="004C6C13">
        <w:rPr>
          <w:rFonts w:cs="Times New Roman"/>
          <w:lang w:val="fr-CA"/>
        </w:rPr>
        <w:t>’</w:t>
      </w:r>
      <w:r w:rsidRPr="00E6549A">
        <w:rPr>
          <w:rFonts w:cs="Times New Roman"/>
          <w:lang w:val="fr-CA"/>
        </w:rPr>
        <w:t>un exposé au jury encore plus long était nécessaire en l</w:t>
      </w:r>
      <w:r w:rsidR="004C6C13">
        <w:rPr>
          <w:rFonts w:cs="Times New Roman"/>
          <w:lang w:val="fr-CA"/>
        </w:rPr>
        <w:t>’</w:t>
      </w:r>
      <w:r w:rsidRPr="00E6549A">
        <w:rPr>
          <w:rFonts w:cs="Times New Roman"/>
          <w:lang w:val="fr-CA"/>
        </w:rPr>
        <w:t xml:space="preserve">espèce. </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Je tiens d</w:t>
      </w:r>
      <w:r w:rsidR="004C6C13">
        <w:rPr>
          <w:rFonts w:cs="Times New Roman"/>
          <w:lang w:val="fr-CA"/>
        </w:rPr>
        <w:t>’</w:t>
      </w:r>
      <w:r w:rsidRPr="00E6549A">
        <w:rPr>
          <w:rFonts w:cs="Times New Roman"/>
          <w:lang w:val="fr-CA"/>
        </w:rPr>
        <w:t>entrée de jeu à faire observer qu</w:t>
      </w:r>
      <w:r w:rsidR="004C6C13">
        <w:rPr>
          <w:rFonts w:cs="Times New Roman"/>
          <w:lang w:val="fr-CA"/>
        </w:rPr>
        <w:t>’</w:t>
      </w:r>
      <w:r w:rsidRPr="00E6549A">
        <w:rPr>
          <w:rFonts w:cs="Times New Roman"/>
          <w:lang w:val="fr-CA"/>
        </w:rPr>
        <w:t xml:space="preserve">un exposé au </w:t>
      </w:r>
      <w:r w:rsidRPr="00E6549A">
        <w:rPr>
          <w:rStyle w:val="highlight"/>
          <w:lang w:val="fr-CA"/>
        </w:rPr>
        <w:t>jury</w:t>
      </w:r>
      <w:r w:rsidR="00646524">
        <w:rPr>
          <w:rStyle w:val="highlight"/>
          <w:lang w:val="fr-CA"/>
        </w:rPr>
        <w:t xml:space="preserve"> </w:t>
      </w:r>
      <w:r w:rsidR="00646524" w:rsidRPr="00E6549A">
        <w:rPr>
          <w:rStyle w:val="highlight"/>
          <w:lang w:val="fr-CA"/>
        </w:rPr>
        <w:t>peut</w:t>
      </w:r>
      <w:r w:rsidRPr="00E6549A">
        <w:rPr>
          <w:rStyle w:val="highlight"/>
          <w:lang w:val="fr-CA"/>
        </w:rPr>
        <w:t xml:space="preserve"> </w:t>
      </w:r>
      <w:r w:rsidRPr="00E6549A">
        <w:rPr>
          <w:rFonts w:cs="Times New Roman"/>
          <w:lang w:val="fr-CA"/>
        </w:rPr>
        <w:t>« </w:t>
      </w:r>
      <w:r w:rsidRPr="00E6549A">
        <w:rPr>
          <w:rStyle w:val="highlight"/>
          <w:lang w:val="fr-CA"/>
        </w:rPr>
        <w:t>prêt</w:t>
      </w:r>
      <w:r w:rsidR="00646524">
        <w:rPr>
          <w:rStyle w:val="highlight"/>
          <w:lang w:val="fr-CA"/>
        </w:rPr>
        <w:t>[</w:t>
      </w:r>
      <w:r w:rsidRPr="00E6549A">
        <w:rPr>
          <w:rStyle w:val="highlight"/>
          <w:lang w:val="fr-CA"/>
        </w:rPr>
        <w:t>er</w:t>
      </w:r>
      <w:r w:rsidR="00646524">
        <w:rPr>
          <w:rStyle w:val="highlight"/>
          <w:lang w:val="fr-CA"/>
        </w:rPr>
        <w:t>]</w:t>
      </w:r>
      <w:r w:rsidRPr="00E6549A">
        <w:rPr>
          <w:rStyle w:val="highlight"/>
          <w:lang w:val="fr-CA"/>
        </w:rPr>
        <w:t xml:space="preserve"> inutilement à confusion à un point tel qu</w:t>
      </w:r>
      <w:r w:rsidR="004C6C13">
        <w:rPr>
          <w:rStyle w:val="highlight"/>
          <w:lang w:val="fr-CA"/>
        </w:rPr>
        <w:t>’</w:t>
      </w:r>
      <w:r w:rsidRPr="00E6549A">
        <w:rPr>
          <w:rStyle w:val="highlight"/>
          <w:lang w:val="fr-CA"/>
        </w:rPr>
        <w:t>il</w:t>
      </w:r>
      <w:r w:rsidRPr="00E6549A">
        <w:rPr>
          <w:rFonts w:cs="Times New Roman"/>
          <w:lang w:val="fr-CA"/>
        </w:rPr>
        <w:t xml:space="preserve"> constitu[e] une erreur de droit » (</w:t>
      </w:r>
      <w:r w:rsidRPr="00E6549A">
        <w:rPr>
          <w:rFonts w:cs="Times New Roman"/>
          <w:i/>
          <w:iCs/>
          <w:lang w:val="fr-CA"/>
        </w:rPr>
        <w:t>R. c. Hebert</w:t>
      </w:r>
      <w:r w:rsidRPr="00E6549A">
        <w:rPr>
          <w:rFonts w:cs="Times New Roman"/>
          <w:lang w:val="fr-CA"/>
        </w:rPr>
        <w:t>, [1996] 2 R.C.S. 272, p. 277). De toute évidence, il est non seulement souhaitable, mais également nécessaire sur le plan juridique, de freiner l</w:t>
      </w:r>
      <w:r w:rsidR="004C6C13">
        <w:rPr>
          <w:rFonts w:cs="Times New Roman"/>
          <w:lang w:val="fr-CA"/>
        </w:rPr>
        <w:t>’</w:t>
      </w:r>
      <w:r w:rsidRPr="00E6549A">
        <w:rPr>
          <w:rFonts w:cs="Times New Roman"/>
          <w:lang w:val="fr-CA"/>
        </w:rPr>
        <w:t>extension sans réserve des directives aux jurys. M. Rodgerson ne prétend pas que, dans le cas qui nous occupe, l</w:t>
      </w:r>
      <w:r w:rsidR="004C6C13">
        <w:rPr>
          <w:rFonts w:cs="Times New Roman"/>
          <w:lang w:val="fr-CA"/>
        </w:rPr>
        <w:t>’</w:t>
      </w:r>
      <w:r w:rsidRPr="00E6549A">
        <w:rPr>
          <w:rFonts w:cs="Times New Roman"/>
          <w:lang w:val="fr-CA"/>
        </w:rPr>
        <w:t>exposé au jury était à ce point complexe et confus pour répondre au critère de l</w:t>
      </w:r>
      <w:r w:rsidR="004C6C13">
        <w:rPr>
          <w:rFonts w:cs="Times New Roman"/>
          <w:lang w:val="fr-CA"/>
        </w:rPr>
        <w:t>’</w:t>
      </w:r>
      <w:r w:rsidRPr="00E6549A">
        <w:rPr>
          <w:rFonts w:cs="Times New Roman"/>
          <w:lang w:val="fr-CA"/>
        </w:rPr>
        <w:t xml:space="preserve">arrêt </w:t>
      </w:r>
      <w:r w:rsidRPr="00E6549A">
        <w:rPr>
          <w:rFonts w:cs="Times New Roman"/>
          <w:i/>
          <w:iCs/>
          <w:lang w:val="fr-CA"/>
        </w:rPr>
        <w:t>Hebert.</w:t>
      </w:r>
      <w:r w:rsidRPr="00E6549A">
        <w:rPr>
          <w:rFonts w:cs="Times New Roman"/>
          <w:lang w:val="fr-CA"/>
        </w:rPr>
        <w:t xml:space="preserve"> Toutefois, après avoir examiné l</w:t>
      </w:r>
      <w:r w:rsidR="004C6C13">
        <w:rPr>
          <w:rFonts w:cs="Times New Roman"/>
          <w:lang w:val="fr-CA"/>
        </w:rPr>
        <w:t>’</w:t>
      </w:r>
      <w:r w:rsidRPr="00E6549A">
        <w:rPr>
          <w:rFonts w:cs="Times New Roman"/>
          <w:lang w:val="fr-CA"/>
        </w:rPr>
        <w:t>exposé en entier, je me sens contraint de formuler quelques observations sur les conséquences néfastes que les exposés au jury de plus en plus longs et complexes ont sur notre système de justice criminelle. Ce faisant, je n</w:t>
      </w:r>
      <w:r w:rsidR="004C6C13">
        <w:rPr>
          <w:rFonts w:cs="Times New Roman"/>
          <w:lang w:val="fr-CA"/>
        </w:rPr>
        <w:t>’</w:t>
      </w:r>
      <w:r w:rsidRPr="00E6549A">
        <w:rPr>
          <w:rFonts w:cs="Times New Roman"/>
          <w:lang w:val="fr-CA"/>
        </w:rPr>
        <w:t>ai nullement l</w:t>
      </w:r>
      <w:r w:rsidR="004C6C13">
        <w:rPr>
          <w:rFonts w:cs="Times New Roman"/>
          <w:lang w:val="fr-CA"/>
        </w:rPr>
        <w:t>’</w:t>
      </w:r>
      <w:r w:rsidRPr="00E6549A">
        <w:rPr>
          <w:rFonts w:cs="Times New Roman"/>
          <w:lang w:val="fr-CA"/>
        </w:rPr>
        <w:t xml:space="preserve">intention de manquer de respect </w:t>
      </w:r>
      <w:r w:rsidRPr="00E6549A">
        <w:rPr>
          <w:rFonts w:cs="Times New Roman"/>
          <w:lang w:val="fr-CA"/>
        </w:rPr>
        <w:lastRenderedPageBreak/>
        <w:t>envers le juge du procès, qui a de toute évidence consacré beaucoup de temps et d</w:t>
      </w:r>
      <w:r w:rsidR="004C6C13">
        <w:rPr>
          <w:rFonts w:cs="Times New Roman"/>
          <w:lang w:val="fr-CA"/>
        </w:rPr>
        <w:t>’</w:t>
      </w:r>
      <w:r w:rsidRPr="00E6549A">
        <w:rPr>
          <w:rFonts w:cs="Times New Roman"/>
          <w:lang w:val="fr-CA"/>
        </w:rPr>
        <w:t>énergie à la rédaction des directives en question.</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Les faits essentiels entourant le décès de M</w:t>
      </w:r>
      <w:r w:rsidRPr="00E6549A">
        <w:rPr>
          <w:rFonts w:eastAsia="MS Mincho" w:cs="Times New Roman"/>
          <w:vertAlign w:val="superscript"/>
          <w:lang w:val="fr-CA"/>
        </w:rPr>
        <w:t>me</w:t>
      </w:r>
      <w:r w:rsidRPr="00E6549A">
        <w:rPr>
          <w:rFonts w:cs="Times New Roman"/>
          <w:lang w:val="fr-CA"/>
        </w:rPr>
        <w:t> Young n</w:t>
      </w:r>
      <w:r w:rsidR="004C6C13">
        <w:rPr>
          <w:rFonts w:cs="Times New Roman"/>
          <w:lang w:val="fr-CA"/>
        </w:rPr>
        <w:t>’</w:t>
      </w:r>
      <w:r w:rsidRPr="00E6549A">
        <w:rPr>
          <w:rFonts w:cs="Times New Roman"/>
          <w:lang w:val="fr-CA"/>
        </w:rPr>
        <w:t>ont pas été contestés au procès. Le témoignage dans lequel M. Rodgerson a invoqué la légitime défense et la thèse contraire du ministère public étaient tous les deux clairs et facilement compréhensibles. Avec égards, la longueur, les redites et la complexité de l</w:t>
      </w:r>
      <w:r w:rsidR="004C6C13">
        <w:rPr>
          <w:rFonts w:cs="Times New Roman"/>
          <w:lang w:val="fr-CA"/>
        </w:rPr>
        <w:t>’</w:t>
      </w:r>
      <w:r w:rsidRPr="00E6549A">
        <w:rPr>
          <w:rFonts w:cs="Times New Roman"/>
          <w:lang w:val="fr-CA"/>
        </w:rPr>
        <w:t>exposé au jury n</w:t>
      </w:r>
      <w:r w:rsidR="004C6C13">
        <w:rPr>
          <w:rFonts w:cs="Times New Roman"/>
          <w:lang w:val="fr-CA"/>
        </w:rPr>
        <w:t>’</w:t>
      </w:r>
      <w:r w:rsidRPr="00E6549A">
        <w:rPr>
          <w:rFonts w:cs="Times New Roman"/>
          <w:lang w:val="fr-CA"/>
        </w:rPr>
        <w:t>étaient pas justifiées. Le produit final compliqué découlait d</w:t>
      </w:r>
      <w:r w:rsidR="004C6C13">
        <w:rPr>
          <w:rFonts w:cs="Times New Roman"/>
          <w:lang w:val="fr-CA"/>
        </w:rPr>
        <w:t>’</w:t>
      </w:r>
      <w:r w:rsidRPr="00E6549A">
        <w:rPr>
          <w:rFonts w:cs="Times New Roman"/>
          <w:lang w:val="fr-CA"/>
        </w:rPr>
        <w:t>un ensemble de décisions prises par le ministère public, l</w:t>
      </w:r>
      <w:r w:rsidR="004C6C13">
        <w:rPr>
          <w:rFonts w:cs="Times New Roman"/>
          <w:lang w:val="fr-CA"/>
        </w:rPr>
        <w:t>’</w:t>
      </w:r>
      <w:r w:rsidRPr="00E6549A">
        <w:rPr>
          <w:rFonts w:cs="Times New Roman"/>
          <w:lang w:val="fr-CA"/>
        </w:rPr>
        <w:t>avocat de la défense et le juge du procès. Chacun de ces acteurs, tant dans la présente affaire que dans le système judiciaire en général, est responsable de veiller à ce que les directives au jury soient aussi claires et compréhensibles que possible. Un exposé mécanique, répétitif et générique a peu de valeur et nuit souvent à la compréhension du jury. En fait, il peut se traduire et se traduit par des directives pour ainsi dire inutiles. Les exposés aux jurés devraient être soigneusement adaptés de manière à être axés sur les principaux éléments de preuve et les questions essentielles qui sont pertinents eu égard au contexte particulier de l</w:t>
      </w:r>
      <w:r w:rsidR="004C6C13">
        <w:rPr>
          <w:rFonts w:cs="Times New Roman"/>
          <w:lang w:val="fr-CA"/>
        </w:rPr>
        <w:t>’</w:t>
      </w:r>
      <w:r w:rsidRPr="00E6549A">
        <w:rPr>
          <w:rFonts w:cs="Times New Roman"/>
          <w:lang w:val="fr-CA"/>
        </w:rPr>
        <w:t>affaire.</w:t>
      </w:r>
    </w:p>
    <w:p w:rsidR="002D6514" w:rsidRPr="00E6549A" w:rsidRDefault="002D6514" w:rsidP="00AF284E">
      <w:pPr>
        <w:pStyle w:val="Title3LevelTitre3Niveau"/>
        <w:widowControl w:val="0"/>
        <w:ind w:left="1156" w:hanging="578"/>
        <w:rPr>
          <w:rFonts w:cs="Times New Roman"/>
          <w:lang w:val="fr-CA"/>
        </w:rPr>
      </w:pPr>
      <w:r w:rsidRPr="00E6549A">
        <w:rPr>
          <w:rFonts w:cs="Times New Roman"/>
          <w:lang w:val="fr-CA"/>
        </w:rPr>
        <w:t>Le rôle du ministère public</w:t>
      </w:r>
    </w:p>
    <w:p w:rsidR="002D6514" w:rsidRPr="00E6549A" w:rsidRDefault="002D6514" w:rsidP="00AF284E">
      <w:pPr>
        <w:pStyle w:val="ParaNoNdepar-AltN"/>
        <w:widowControl w:val="0"/>
        <w:rPr>
          <w:rFonts w:cs="Times New Roman"/>
          <w:lang w:val="fr-CA"/>
        </w:rPr>
      </w:pPr>
      <w:r w:rsidRPr="00E6549A">
        <w:rPr>
          <w:rFonts w:cs="Times New Roman"/>
          <w:lang w:val="fr-CA"/>
        </w:rPr>
        <w:t>Un facteur important qui a contribué aux directives longues et alambiquées données aux jurés en l</w:t>
      </w:r>
      <w:r w:rsidR="004C6C13">
        <w:rPr>
          <w:rFonts w:cs="Times New Roman"/>
          <w:lang w:val="fr-CA"/>
        </w:rPr>
        <w:t>’</w:t>
      </w:r>
      <w:r w:rsidRPr="00E6549A">
        <w:rPr>
          <w:rFonts w:cs="Times New Roman"/>
          <w:lang w:val="fr-CA"/>
        </w:rPr>
        <w:t>espèce est la décision que l</w:t>
      </w:r>
      <w:r w:rsidR="004C6C13">
        <w:rPr>
          <w:rFonts w:cs="Times New Roman"/>
          <w:lang w:val="fr-CA"/>
        </w:rPr>
        <w:t>’</w:t>
      </w:r>
      <w:r w:rsidRPr="00E6549A">
        <w:rPr>
          <w:rFonts w:cs="Times New Roman"/>
          <w:lang w:val="fr-CA"/>
        </w:rPr>
        <w:t>avocat du ministère public au procès (et non M</w:t>
      </w:r>
      <w:r w:rsidRPr="00E6549A">
        <w:rPr>
          <w:rFonts w:cs="Times New Roman"/>
          <w:vertAlign w:val="superscript"/>
          <w:lang w:val="fr-CA"/>
        </w:rPr>
        <w:t>me</w:t>
      </w:r>
      <w:r w:rsidRPr="00E6549A">
        <w:rPr>
          <w:rFonts w:cs="Times New Roman"/>
          <w:lang w:val="fr-CA"/>
        </w:rPr>
        <w:t> Stephens) a prise de porter des accusations de meurtre au premier degré. M</w:t>
      </w:r>
      <w:r w:rsidRPr="00E6549A">
        <w:rPr>
          <w:rFonts w:cs="Times New Roman"/>
          <w:vertAlign w:val="superscript"/>
          <w:lang w:val="fr-CA"/>
        </w:rPr>
        <w:t>me</w:t>
      </w:r>
      <w:r w:rsidRPr="00E6549A">
        <w:rPr>
          <w:rFonts w:cs="Times New Roman"/>
          <w:lang w:val="fr-CA"/>
        </w:rPr>
        <w:t> Stephens admet que le chef d</w:t>
      </w:r>
      <w:r w:rsidR="004C6C13">
        <w:rPr>
          <w:rFonts w:cs="Times New Roman"/>
          <w:lang w:val="fr-CA"/>
        </w:rPr>
        <w:t>’</w:t>
      </w:r>
      <w:r w:rsidRPr="00E6549A">
        <w:rPr>
          <w:rFonts w:cs="Times New Roman"/>
          <w:lang w:val="fr-CA"/>
        </w:rPr>
        <w:t xml:space="preserve">accusation de meurtre au </w:t>
      </w:r>
      <w:r w:rsidRPr="00E6549A">
        <w:rPr>
          <w:rFonts w:cs="Times New Roman"/>
          <w:lang w:val="fr-CA"/>
        </w:rPr>
        <w:lastRenderedPageBreak/>
        <w:t>premier degré [</w:t>
      </w:r>
      <w:r w:rsidRPr="00E6549A">
        <w:rPr>
          <w:rFonts w:cs="Times New Roman"/>
          <w:smallCaps/>
          <w:lang w:val="fr-CA"/>
        </w:rPr>
        <w:t>traduction</w:t>
      </w:r>
      <w:r w:rsidRPr="00E6549A">
        <w:rPr>
          <w:rFonts w:cs="Times New Roman"/>
          <w:lang w:val="fr-CA"/>
        </w:rPr>
        <w:t>] « reposait entièrement sur des preuves circonstancielles » (transcription, p. 8). J</w:t>
      </w:r>
      <w:r w:rsidR="004C6C13">
        <w:rPr>
          <w:rFonts w:cs="Times New Roman"/>
          <w:lang w:val="fr-CA"/>
        </w:rPr>
        <w:t>’</w:t>
      </w:r>
      <w:r w:rsidRPr="00E6549A">
        <w:rPr>
          <w:rFonts w:cs="Times New Roman"/>
          <w:lang w:val="fr-CA"/>
        </w:rPr>
        <w:t>irais plus loin en disant que les éléments de preuve à l</w:t>
      </w:r>
      <w:r w:rsidR="004C6C13">
        <w:rPr>
          <w:rFonts w:cs="Times New Roman"/>
          <w:lang w:val="fr-CA"/>
        </w:rPr>
        <w:t>’</w:t>
      </w:r>
      <w:r w:rsidRPr="00E6549A">
        <w:rPr>
          <w:rFonts w:cs="Times New Roman"/>
          <w:lang w:val="fr-CA"/>
        </w:rPr>
        <w:t>appui d</w:t>
      </w:r>
      <w:r w:rsidR="004C6C13">
        <w:rPr>
          <w:rFonts w:cs="Times New Roman"/>
          <w:lang w:val="fr-CA"/>
        </w:rPr>
        <w:t>’</w:t>
      </w:r>
      <w:r w:rsidRPr="00E6549A">
        <w:rPr>
          <w:rFonts w:cs="Times New Roman"/>
          <w:lang w:val="fr-CA"/>
        </w:rPr>
        <w:t>une accusation de meurtre au premier degré étaient extrêmement faibles et relevaient davantage de la spéculation que de déductions pouvant raisonnablement être tirées des preuves circonstancielles. Pour dire les choses simplement, j</w:t>
      </w:r>
      <w:r w:rsidR="004C6C13">
        <w:rPr>
          <w:rFonts w:cs="Times New Roman"/>
          <w:lang w:val="fr-CA"/>
        </w:rPr>
        <w:t>’</w:t>
      </w:r>
      <w:r w:rsidRPr="00E6549A">
        <w:rPr>
          <w:rFonts w:cs="Times New Roman"/>
          <w:lang w:val="fr-CA"/>
        </w:rPr>
        <w:t>ai du mal à voir comment la preuve pouvait satisfaire au critère préliminaire de la possibilité raisonnable d</w:t>
      </w:r>
      <w:r w:rsidR="004C6C13">
        <w:rPr>
          <w:rFonts w:cs="Times New Roman"/>
          <w:lang w:val="fr-CA"/>
        </w:rPr>
        <w:t>’</w:t>
      </w:r>
      <w:r w:rsidRPr="00E6549A">
        <w:rPr>
          <w:rFonts w:cs="Times New Roman"/>
          <w:lang w:val="fr-CA"/>
        </w:rPr>
        <w:t>obtenir une déclaration de culpabilité. La décision de porter des accusations de meurtre au premier degré obligeait le juge du procès à formuler des directives sur chacune des quatre thèses relatives au meurtre au premier degré par imputation avancées par le ministère public, à savoir que M. Rodgerson avait causé intentionnellement la mort de M</w:t>
      </w:r>
      <w:r w:rsidRPr="00E6549A">
        <w:rPr>
          <w:rFonts w:eastAsia="MS Mincho" w:cs="Times New Roman"/>
          <w:vertAlign w:val="superscript"/>
          <w:lang w:val="fr-CA"/>
        </w:rPr>
        <w:t>me</w:t>
      </w:r>
      <w:r w:rsidRPr="00E6549A">
        <w:rPr>
          <w:rFonts w:cs="Times New Roman"/>
          <w:lang w:val="fr-CA"/>
        </w:rPr>
        <w:t> Young dans l</w:t>
      </w:r>
      <w:r w:rsidR="004C6C13">
        <w:rPr>
          <w:rFonts w:cs="Times New Roman"/>
          <w:lang w:val="fr-CA"/>
        </w:rPr>
        <w:t>’</w:t>
      </w:r>
      <w:r w:rsidRPr="00E6549A">
        <w:rPr>
          <w:rFonts w:cs="Times New Roman"/>
          <w:lang w:val="fr-CA"/>
        </w:rPr>
        <w:t>une ou l</w:t>
      </w:r>
      <w:r w:rsidR="004C6C13">
        <w:rPr>
          <w:rFonts w:cs="Times New Roman"/>
          <w:lang w:val="fr-CA"/>
        </w:rPr>
        <w:t>’</w:t>
      </w:r>
      <w:r w:rsidRPr="00E6549A">
        <w:rPr>
          <w:rFonts w:cs="Times New Roman"/>
          <w:lang w:val="fr-CA"/>
        </w:rPr>
        <w:t>autre des situations suivantes : (1) une agression sexuelle; (2) une séquestration; (3) une tentative d</w:t>
      </w:r>
      <w:r w:rsidR="004C6C13">
        <w:rPr>
          <w:rFonts w:cs="Times New Roman"/>
          <w:lang w:val="fr-CA"/>
        </w:rPr>
        <w:t>’</w:t>
      </w:r>
      <w:r w:rsidRPr="00E6549A">
        <w:rPr>
          <w:rFonts w:cs="Times New Roman"/>
          <w:lang w:val="fr-CA"/>
        </w:rPr>
        <w:t>agression sexuelle; (4) une tentative de séquestration. De ce fait, l</w:t>
      </w:r>
      <w:r w:rsidR="004C6C13">
        <w:rPr>
          <w:rFonts w:cs="Times New Roman"/>
          <w:lang w:val="fr-CA"/>
        </w:rPr>
        <w:t>’</w:t>
      </w:r>
      <w:r w:rsidRPr="00E6549A">
        <w:rPr>
          <w:rFonts w:cs="Times New Roman"/>
          <w:lang w:val="fr-CA"/>
        </w:rPr>
        <w:t>exposé au jury a été augmenté de près de 40 pages.</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En l</w:t>
      </w:r>
      <w:r w:rsidR="004C6C13">
        <w:rPr>
          <w:rFonts w:cs="Times New Roman"/>
          <w:lang w:val="fr-CA"/>
        </w:rPr>
        <w:t>’</w:t>
      </w:r>
      <w:r w:rsidRPr="00E6549A">
        <w:rPr>
          <w:rFonts w:cs="Times New Roman"/>
          <w:lang w:val="fr-CA"/>
        </w:rPr>
        <w:t>espèce, le jury n</w:t>
      </w:r>
      <w:r w:rsidR="004C6C13">
        <w:rPr>
          <w:rFonts w:cs="Times New Roman"/>
          <w:lang w:val="fr-CA"/>
        </w:rPr>
        <w:t>’</w:t>
      </w:r>
      <w:r w:rsidRPr="00E6549A">
        <w:rPr>
          <w:rFonts w:cs="Times New Roman"/>
          <w:lang w:val="fr-CA"/>
        </w:rPr>
        <w:t>a pas reconnu M. Rodgerson coupable de meurtre au premier degré, mais plutôt de l</w:t>
      </w:r>
      <w:r w:rsidR="004C6C13">
        <w:rPr>
          <w:rFonts w:cs="Times New Roman"/>
          <w:lang w:val="fr-CA"/>
        </w:rPr>
        <w:t>’</w:t>
      </w:r>
      <w:r w:rsidRPr="00E6549A">
        <w:rPr>
          <w:rFonts w:cs="Times New Roman"/>
          <w:lang w:val="fr-CA"/>
        </w:rPr>
        <w:t>infraction moindre et incluse de meurtre au second degré. Par conséquent, lors d</w:t>
      </w:r>
      <w:r w:rsidR="004C6C13">
        <w:rPr>
          <w:rFonts w:cs="Times New Roman"/>
          <w:lang w:val="fr-CA"/>
        </w:rPr>
        <w:t>’</w:t>
      </w:r>
      <w:r w:rsidRPr="00E6549A">
        <w:rPr>
          <w:rFonts w:cs="Times New Roman"/>
          <w:lang w:val="fr-CA"/>
        </w:rPr>
        <w:t>un nouveau procès, seule l</w:t>
      </w:r>
      <w:r w:rsidR="004C6C13">
        <w:rPr>
          <w:rFonts w:cs="Times New Roman"/>
          <w:lang w:val="fr-CA"/>
        </w:rPr>
        <w:t>’</w:t>
      </w:r>
      <w:r w:rsidRPr="00E6549A">
        <w:rPr>
          <w:rFonts w:cs="Times New Roman"/>
          <w:lang w:val="fr-CA"/>
        </w:rPr>
        <w:t>accusation de meurtre au second degré sera soumise au jury, ce qui diminuera la complexité des directives au jury. Les mêmes préoccupations reviendront toutefois à l</w:t>
      </w:r>
      <w:r w:rsidR="004C6C13">
        <w:rPr>
          <w:rFonts w:cs="Times New Roman"/>
          <w:lang w:val="fr-CA"/>
        </w:rPr>
        <w:t>’</w:t>
      </w:r>
      <w:r w:rsidRPr="00E6549A">
        <w:rPr>
          <w:rFonts w:cs="Times New Roman"/>
          <w:lang w:val="fr-CA"/>
        </w:rPr>
        <w:t>avenir dans d</w:t>
      </w:r>
      <w:r w:rsidR="004C6C13">
        <w:rPr>
          <w:rFonts w:cs="Times New Roman"/>
          <w:lang w:val="fr-CA"/>
        </w:rPr>
        <w:t>’</w:t>
      </w:r>
      <w:r w:rsidRPr="00E6549A">
        <w:rPr>
          <w:rFonts w:cs="Times New Roman"/>
          <w:lang w:val="fr-CA"/>
        </w:rPr>
        <w:t>autres affaires. Certes, il est loisible au ministère public d</w:t>
      </w:r>
      <w:r w:rsidR="004C6C13">
        <w:rPr>
          <w:rFonts w:cs="Times New Roman"/>
          <w:lang w:val="fr-CA"/>
        </w:rPr>
        <w:t>’</w:t>
      </w:r>
      <w:r w:rsidRPr="00E6549A">
        <w:rPr>
          <w:rFonts w:cs="Times New Roman"/>
          <w:lang w:val="fr-CA"/>
        </w:rPr>
        <w:t>intenter des poursuites lorsque la preuve permettrait à un jury raisonnable de déclarer l</w:t>
      </w:r>
      <w:r w:rsidR="004C6C13">
        <w:rPr>
          <w:rFonts w:cs="Times New Roman"/>
          <w:lang w:val="fr-CA"/>
        </w:rPr>
        <w:t>’</w:t>
      </w:r>
      <w:r w:rsidRPr="00E6549A">
        <w:rPr>
          <w:rFonts w:cs="Times New Roman"/>
          <w:lang w:val="fr-CA"/>
        </w:rPr>
        <w:t>accusé coupable. Toutefois, une sorte d</w:t>
      </w:r>
      <w:r w:rsidR="004C6C13">
        <w:rPr>
          <w:rFonts w:cs="Times New Roman"/>
          <w:lang w:val="fr-CA"/>
        </w:rPr>
        <w:t>’</w:t>
      </w:r>
      <w:r w:rsidRPr="00E6549A">
        <w:rPr>
          <w:rFonts w:cs="Times New Roman"/>
          <w:lang w:val="fr-CA"/>
        </w:rPr>
        <w:t xml:space="preserve">analyse de rentabilité servirait également le système de justice. Lorsque les </w:t>
      </w:r>
      <w:r w:rsidRPr="00E6549A">
        <w:rPr>
          <w:rFonts w:cs="Times New Roman"/>
          <w:lang w:val="fr-CA"/>
        </w:rPr>
        <w:lastRenderedPageBreak/>
        <w:t>autres accusations ou les accusations plus sévères sont d</w:t>
      </w:r>
      <w:r w:rsidR="004C6C13">
        <w:rPr>
          <w:rFonts w:cs="Times New Roman"/>
          <w:lang w:val="fr-CA"/>
        </w:rPr>
        <w:t>’</w:t>
      </w:r>
      <w:r w:rsidRPr="00E6549A">
        <w:rPr>
          <w:rFonts w:cs="Times New Roman"/>
          <w:lang w:val="fr-CA"/>
        </w:rPr>
        <w:t>importance secondaire et que la poursuite relative à ces accusations nécessiterait un procès et des directives au jury beaucoup plus complexes, le ministère public devrait sérieusement se demander si l</w:t>
      </w:r>
      <w:r w:rsidR="004C6C13">
        <w:rPr>
          <w:rFonts w:cs="Times New Roman"/>
          <w:lang w:val="fr-CA"/>
        </w:rPr>
        <w:t>’</w:t>
      </w:r>
      <w:r w:rsidRPr="00E6549A">
        <w:rPr>
          <w:rFonts w:cs="Times New Roman"/>
          <w:lang w:val="fr-CA"/>
        </w:rPr>
        <w:t>intérêt public serait mieux servi en décidant dès le départ de ne pas intenter de poursuites relativement aux accusations d</w:t>
      </w:r>
      <w:r w:rsidR="004C6C13">
        <w:rPr>
          <w:rFonts w:cs="Times New Roman"/>
          <w:lang w:val="fr-CA"/>
        </w:rPr>
        <w:t>’</w:t>
      </w:r>
      <w:r w:rsidRPr="00E6549A">
        <w:rPr>
          <w:rFonts w:cs="Times New Roman"/>
          <w:lang w:val="fr-CA"/>
        </w:rPr>
        <w:t>importance secondaire, ou en décidant de ne pas y donner suite lorsque la preuve au procès est complète.</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Bien que le juge du procès doive agir avec prudence, je ne vois aucun inconvénient à ce qu</w:t>
      </w:r>
      <w:r w:rsidR="004C6C13">
        <w:rPr>
          <w:rFonts w:cs="Times New Roman"/>
          <w:lang w:val="fr-CA"/>
        </w:rPr>
        <w:t>’</w:t>
      </w:r>
      <w:r w:rsidRPr="00E6549A">
        <w:rPr>
          <w:rFonts w:cs="Times New Roman"/>
          <w:lang w:val="fr-CA"/>
        </w:rPr>
        <w:t>il interroge l</w:t>
      </w:r>
      <w:r w:rsidR="004C6C13">
        <w:rPr>
          <w:rFonts w:cs="Times New Roman"/>
          <w:lang w:val="fr-CA"/>
        </w:rPr>
        <w:t>’</w:t>
      </w:r>
      <w:r w:rsidRPr="00E6549A">
        <w:rPr>
          <w:rFonts w:cs="Times New Roman"/>
          <w:lang w:val="fr-CA"/>
        </w:rPr>
        <w:t>avocat du ministère public au sujet de l</w:t>
      </w:r>
      <w:r w:rsidR="004C6C13">
        <w:rPr>
          <w:rFonts w:cs="Times New Roman"/>
          <w:lang w:val="fr-CA"/>
        </w:rPr>
        <w:t>’</w:t>
      </w:r>
      <w:r w:rsidRPr="00E6549A">
        <w:rPr>
          <w:rFonts w:cs="Times New Roman"/>
          <w:lang w:val="fr-CA"/>
        </w:rPr>
        <w:t>efficacité de porter une ou des accusations plus graves dans des circonstances où la preuve excède à peine le seuil du verdict imposé. Mis à part le fait qu</w:t>
      </w:r>
      <w:r w:rsidR="004C6C13">
        <w:rPr>
          <w:rFonts w:cs="Times New Roman"/>
          <w:lang w:val="fr-CA"/>
        </w:rPr>
        <w:t>’</w:t>
      </w:r>
      <w:r w:rsidRPr="00E6549A">
        <w:rPr>
          <w:rFonts w:cs="Times New Roman"/>
          <w:lang w:val="fr-CA"/>
        </w:rPr>
        <w:t>elle augmente la longueur et la complexité de l</w:t>
      </w:r>
      <w:r w:rsidR="004C6C13">
        <w:rPr>
          <w:rFonts w:cs="Times New Roman"/>
          <w:lang w:val="fr-CA"/>
        </w:rPr>
        <w:t>’</w:t>
      </w:r>
      <w:r w:rsidRPr="00E6549A">
        <w:rPr>
          <w:rFonts w:cs="Times New Roman"/>
          <w:lang w:val="fr-CA"/>
        </w:rPr>
        <w:t>exposé au jury et qu</w:t>
      </w:r>
      <w:r w:rsidR="004C6C13">
        <w:rPr>
          <w:rFonts w:cs="Times New Roman"/>
          <w:lang w:val="fr-CA"/>
        </w:rPr>
        <w:t>’</w:t>
      </w:r>
      <w:r w:rsidRPr="00E6549A">
        <w:rPr>
          <w:rFonts w:cs="Times New Roman"/>
          <w:lang w:val="fr-CA"/>
        </w:rPr>
        <w:t>elle alourdit le fardeau imposé au jury lors de ses délibérations, la décision de porter des accusations pour une infraction plus grave risque de détourner l</w:t>
      </w:r>
      <w:r w:rsidR="004C6C13">
        <w:rPr>
          <w:rFonts w:cs="Times New Roman"/>
          <w:lang w:val="fr-CA"/>
        </w:rPr>
        <w:t>’</w:t>
      </w:r>
      <w:r w:rsidRPr="00E6549A">
        <w:rPr>
          <w:rFonts w:cs="Times New Roman"/>
          <w:lang w:val="fr-CA"/>
        </w:rPr>
        <w:t>attention du jury de la ou des questions cruciales dont l</w:t>
      </w:r>
      <w:r w:rsidR="004C6C13">
        <w:rPr>
          <w:rFonts w:cs="Times New Roman"/>
          <w:lang w:val="fr-CA"/>
        </w:rPr>
        <w:t>’</w:t>
      </w:r>
      <w:r w:rsidRPr="00E6549A">
        <w:rPr>
          <w:rFonts w:cs="Times New Roman"/>
          <w:lang w:val="fr-CA"/>
        </w:rPr>
        <w:t>issue de l</w:t>
      </w:r>
      <w:r w:rsidR="004C6C13">
        <w:rPr>
          <w:rFonts w:cs="Times New Roman"/>
          <w:lang w:val="fr-CA"/>
        </w:rPr>
        <w:t>’</w:t>
      </w:r>
      <w:r w:rsidRPr="00E6549A">
        <w:rPr>
          <w:rFonts w:cs="Times New Roman"/>
          <w:lang w:val="fr-CA"/>
        </w:rPr>
        <w:t xml:space="preserve">affaire dépend réellement. </w:t>
      </w:r>
    </w:p>
    <w:p w:rsidR="002D6514" w:rsidRPr="00E6549A" w:rsidRDefault="002D6514" w:rsidP="00AF284E">
      <w:pPr>
        <w:pStyle w:val="Title3LevelTitre3Niveau"/>
        <w:widowControl w:val="0"/>
        <w:ind w:left="1156" w:hanging="578"/>
        <w:rPr>
          <w:rFonts w:cs="Times New Roman"/>
          <w:lang w:val="fr-CA"/>
        </w:rPr>
      </w:pPr>
      <w:r w:rsidRPr="00E6549A">
        <w:rPr>
          <w:rFonts w:cs="Times New Roman"/>
          <w:lang w:val="fr-CA"/>
        </w:rPr>
        <w:t>Le rôle de l</w:t>
      </w:r>
      <w:r w:rsidR="004C6C13">
        <w:rPr>
          <w:rFonts w:cs="Times New Roman"/>
          <w:lang w:val="fr-CA"/>
        </w:rPr>
        <w:t>’</w:t>
      </w:r>
      <w:r w:rsidRPr="00E6549A">
        <w:rPr>
          <w:rFonts w:cs="Times New Roman"/>
          <w:lang w:val="fr-CA"/>
        </w:rPr>
        <w:t>avocat de la défense</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La thèse développée par la défense au procès était relativement simple. M. Rodgerson, qui témoignait pour sa propre défense, a affirmé que M</w:t>
      </w:r>
      <w:r w:rsidRPr="00E6549A">
        <w:rPr>
          <w:rFonts w:eastAsia="MS Mincho" w:cs="Times New Roman"/>
          <w:vertAlign w:val="superscript"/>
          <w:lang w:val="fr-CA"/>
        </w:rPr>
        <w:t>me</w:t>
      </w:r>
      <w:r w:rsidRPr="00E6549A">
        <w:rPr>
          <w:rFonts w:cs="Times New Roman"/>
          <w:lang w:val="fr-CA"/>
        </w:rPr>
        <w:t> Young l</w:t>
      </w:r>
      <w:r w:rsidR="004C6C13">
        <w:rPr>
          <w:rFonts w:cs="Times New Roman"/>
          <w:lang w:val="fr-CA"/>
        </w:rPr>
        <w:t>’</w:t>
      </w:r>
      <w:r w:rsidRPr="00E6549A">
        <w:rPr>
          <w:rFonts w:cs="Times New Roman"/>
          <w:lang w:val="fr-CA"/>
        </w:rPr>
        <w:t>avait attaqué inopinément avec un couteau et que, craignant pour sa vie, il avait recouru à la force physique uniquement pour se protéger. Il a poursuivi en disant que M</w:t>
      </w:r>
      <w:r w:rsidRPr="00E6549A">
        <w:rPr>
          <w:rFonts w:eastAsia="MS Mincho" w:cs="Times New Roman"/>
          <w:vertAlign w:val="superscript"/>
          <w:lang w:val="fr-CA"/>
        </w:rPr>
        <w:t>me</w:t>
      </w:r>
      <w:r w:rsidRPr="00E6549A">
        <w:rPr>
          <w:rFonts w:cs="Times New Roman"/>
          <w:lang w:val="fr-CA"/>
        </w:rPr>
        <w:t> Young était morte au cours de leur altercation mais qu</w:t>
      </w:r>
      <w:r w:rsidR="004C6C13">
        <w:rPr>
          <w:rFonts w:cs="Times New Roman"/>
          <w:lang w:val="fr-CA"/>
        </w:rPr>
        <w:t>’</w:t>
      </w:r>
      <w:r w:rsidRPr="00E6549A">
        <w:rPr>
          <w:rFonts w:cs="Times New Roman"/>
          <w:lang w:val="fr-CA"/>
        </w:rPr>
        <w:t>il n</w:t>
      </w:r>
      <w:r w:rsidR="004C6C13">
        <w:rPr>
          <w:rFonts w:cs="Times New Roman"/>
          <w:lang w:val="fr-CA"/>
        </w:rPr>
        <w:t>’</w:t>
      </w:r>
      <w:r w:rsidRPr="00E6549A">
        <w:rPr>
          <w:rFonts w:cs="Times New Roman"/>
          <w:lang w:val="fr-CA"/>
        </w:rPr>
        <w:t>avait pas eu l</w:t>
      </w:r>
      <w:r w:rsidR="004C6C13">
        <w:rPr>
          <w:rFonts w:cs="Times New Roman"/>
          <w:lang w:val="fr-CA"/>
        </w:rPr>
        <w:t>’</w:t>
      </w:r>
      <w:r w:rsidRPr="00E6549A">
        <w:rPr>
          <w:rFonts w:cs="Times New Roman"/>
          <w:lang w:val="fr-CA"/>
        </w:rPr>
        <w:t xml:space="preserve">intention de causer sa mort. Ce simple récit a donné lieu à des directives au jury sur </w:t>
      </w:r>
      <w:r w:rsidRPr="00E6549A">
        <w:rPr>
          <w:rFonts w:cs="Times New Roman"/>
          <w:lang w:val="fr-CA"/>
        </w:rPr>
        <w:lastRenderedPageBreak/>
        <w:t>la défense de l</w:t>
      </w:r>
      <w:r w:rsidR="004C6C13">
        <w:rPr>
          <w:rFonts w:cs="Times New Roman"/>
          <w:lang w:val="fr-CA"/>
        </w:rPr>
        <w:t>’</w:t>
      </w:r>
      <w:r w:rsidRPr="00E6549A">
        <w:rPr>
          <w:rFonts w:cs="Times New Roman"/>
          <w:lang w:val="fr-CA"/>
        </w:rPr>
        <w:t>accident attribuable à un « acte involontaire » et sur les trois moyens de légitime défense prévus aux par. 34(1) et 34(2) et à l</w:t>
      </w:r>
      <w:r w:rsidR="004C6C13">
        <w:rPr>
          <w:rFonts w:cs="Times New Roman"/>
          <w:lang w:val="fr-CA"/>
        </w:rPr>
        <w:t>’</w:t>
      </w:r>
      <w:r w:rsidRPr="00E6549A">
        <w:rPr>
          <w:rFonts w:cs="Times New Roman"/>
          <w:lang w:val="fr-CA"/>
        </w:rPr>
        <w:t xml:space="preserve">art. 35 du </w:t>
      </w:r>
      <w:r w:rsidRPr="00E6549A">
        <w:rPr>
          <w:rFonts w:cs="Times New Roman"/>
          <w:i/>
          <w:iCs/>
          <w:lang w:val="fr-CA"/>
        </w:rPr>
        <w:t>Code criminel</w:t>
      </w:r>
      <w:r w:rsidRPr="00E6549A">
        <w:rPr>
          <w:rFonts w:cs="Times New Roman"/>
          <w:lang w:val="fr-CA"/>
        </w:rPr>
        <w:t xml:space="preserve"> dans leur rédaction alors en vigueur (modifiés par L.C. 2012, c. 9, art. 2). Près du quart de l</w:t>
      </w:r>
      <w:r w:rsidR="004C6C13">
        <w:rPr>
          <w:rFonts w:cs="Times New Roman"/>
          <w:lang w:val="fr-CA"/>
        </w:rPr>
        <w:t>’</w:t>
      </w:r>
      <w:r w:rsidRPr="00E6549A">
        <w:rPr>
          <w:rFonts w:cs="Times New Roman"/>
          <w:lang w:val="fr-CA"/>
        </w:rPr>
        <w:t>exposé au jury a été consacré aux instructions sur ces quatre sujets, dont trois étaient inutiles et n</w:t>
      </w:r>
      <w:r w:rsidR="004C6C13">
        <w:rPr>
          <w:rFonts w:cs="Times New Roman"/>
          <w:lang w:val="fr-CA"/>
        </w:rPr>
        <w:t>’</w:t>
      </w:r>
      <w:r w:rsidRPr="00E6549A">
        <w:rPr>
          <w:rFonts w:cs="Times New Roman"/>
          <w:lang w:val="fr-CA"/>
        </w:rPr>
        <w:t>ont servi qu</w:t>
      </w:r>
      <w:r w:rsidR="004C6C13">
        <w:rPr>
          <w:rFonts w:cs="Times New Roman"/>
          <w:lang w:val="fr-CA"/>
        </w:rPr>
        <w:t>’</w:t>
      </w:r>
      <w:r w:rsidRPr="00E6549A">
        <w:rPr>
          <w:rFonts w:cs="Times New Roman"/>
          <w:lang w:val="fr-CA"/>
        </w:rPr>
        <w:t>à compliquer l</w:t>
      </w:r>
      <w:r w:rsidR="004C6C13">
        <w:rPr>
          <w:rFonts w:cs="Times New Roman"/>
          <w:lang w:val="fr-CA"/>
        </w:rPr>
        <w:t>’</w:t>
      </w:r>
      <w:r w:rsidRPr="00E6549A">
        <w:rPr>
          <w:rFonts w:cs="Times New Roman"/>
          <w:lang w:val="fr-CA"/>
        </w:rPr>
        <w:t>exposé.</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Tout d</w:t>
      </w:r>
      <w:r w:rsidR="004C6C13">
        <w:rPr>
          <w:rFonts w:cs="Times New Roman"/>
          <w:lang w:val="fr-CA"/>
        </w:rPr>
        <w:t>’</w:t>
      </w:r>
      <w:r w:rsidRPr="00E6549A">
        <w:rPr>
          <w:rFonts w:cs="Times New Roman"/>
          <w:lang w:val="fr-CA"/>
        </w:rPr>
        <w:t>abord, rien ne justifiait le juge de donner des directives sur la défense de l</w:t>
      </w:r>
      <w:r w:rsidR="004C6C13">
        <w:rPr>
          <w:rFonts w:cs="Times New Roman"/>
          <w:lang w:val="fr-CA"/>
        </w:rPr>
        <w:t>’</w:t>
      </w:r>
      <w:r w:rsidRPr="00E6549A">
        <w:rPr>
          <w:rFonts w:cs="Times New Roman"/>
          <w:lang w:val="fr-CA"/>
        </w:rPr>
        <w:t>accident attribuable à un « acte involontaire ». Bien que M. Rodgerson ait expliqué dans son témoignage que la mort de M</w:t>
      </w:r>
      <w:r w:rsidRPr="00E6549A">
        <w:rPr>
          <w:rFonts w:eastAsia="MS Mincho" w:cs="Times New Roman"/>
          <w:vertAlign w:val="superscript"/>
          <w:lang w:val="fr-CA"/>
        </w:rPr>
        <w:t>me</w:t>
      </w:r>
      <w:r w:rsidRPr="00E6549A">
        <w:rPr>
          <w:rFonts w:cs="Times New Roman"/>
          <w:lang w:val="fr-CA"/>
        </w:rPr>
        <w:t xml:space="preserve"> Young était accidentelle, cet accident mettait en cause la </w:t>
      </w:r>
      <w:r w:rsidRPr="00E6549A">
        <w:rPr>
          <w:rFonts w:cs="Times New Roman"/>
          <w:i/>
          <w:iCs/>
          <w:lang w:val="fr-CA"/>
        </w:rPr>
        <w:t>mens rea</w:t>
      </w:r>
      <w:r w:rsidRPr="00E6549A">
        <w:rPr>
          <w:rFonts w:cs="Times New Roman"/>
          <w:lang w:val="fr-CA"/>
        </w:rPr>
        <w:t xml:space="preserve"> — soit l</w:t>
      </w:r>
      <w:r w:rsidR="004C6C13">
        <w:rPr>
          <w:rFonts w:cs="Times New Roman"/>
          <w:lang w:val="fr-CA"/>
        </w:rPr>
        <w:t>’</w:t>
      </w:r>
      <w:r w:rsidRPr="00E6549A">
        <w:rPr>
          <w:rFonts w:cs="Times New Roman"/>
          <w:lang w:val="fr-CA"/>
        </w:rPr>
        <w:t>allégation de M. Rodgerson suivant laquelle il n</w:t>
      </w:r>
      <w:r w:rsidR="004C6C13">
        <w:rPr>
          <w:rFonts w:cs="Times New Roman"/>
          <w:lang w:val="fr-CA"/>
        </w:rPr>
        <w:t>’</w:t>
      </w:r>
      <w:r w:rsidRPr="00E6549A">
        <w:rPr>
          <w:rFonts w:cs="Times New Roman"/>
          <w:lang w:val="fr-CA"/>
        </w:rPr>
        <w:t>avait pas l</w:t>
      </w:r>
      <w:r w:rsidR="004C6C13">
        <w:rPr>
          <w:rFonts w:cs="Times New Roman"/>
          <w:lang w:val="fr-CA"/>
        </w:rPr>
        <w:t>’</w:t>
      </w:r>
      <w:r w:rsidRPr="00E6549A">
        <w:rPr>
          <w:rFonts w:cs="Times New Roman"/>
          <w:lang w:val="fr-CA"/>
        </w:rPr>
        <w:t>intention de causer la mort de M</w:t>
      </w:r>
      <w:r w:rsidRPr="00E6549A">
        <w:rPr>
          <w:rFonts w:eastAsia="MS Mincho" w:cs="Times New Roman"/>
          <w:vertAlign w:val="superscript"/>
          <w:lang w:val="fr-CA"/>
        </w:rPr>
        <w:t>me</w:t>
      </w:r>
      <w:r w:rsidRPr="00E6549A">
        <w:rPr>
          <w:rFonts w:cs="Times New Roman"/>
          <w:lang w:val="fr-CA"/>
        </w:rPr>
        <w:t> Young. Dans son plaidoyer pour le compte de M. Rodgerson, M. Hicks, qui n</w:t>
      </w:r>
      <w:r w:rsidR="004C6C13">
        <w:rPr>
          <w:rFonts w:cs="Times New Roman"/>
          <w:lang w:val="fr-CA"/>
        </w:rPr>
        <w:t>’</w:t>
      </w:r>
      <w:r w:rsidRPr="00E6549A">
        <w:rPr>
          <w:rFonts w:cs="Times New Roman"/>
          <w:lang w:val="fr-CA"/>
        </w:rPr>
        <w:t>était pas l</w:t>
      </w:r>
      <w:r w:rsidR="004C6C13">
        <w:rPr>
          <w:rFonts w:cs="Times New Roman"/>
          <w:lang w:val="fr-CA"/>
        </w:rPr>
        <w:t>’</w:t>
      </w:r>
      <w:r w:rsidRPr="00E6549A">
        <w:rPr>
          <w:rFonts w:cs="Times New Roman"/>
          <w:lang w:val="fr-CA"/>
        </w:rPr>
        <w:t>avocat de M. Rodgerson au procès, a reconnu que rien ne justifiait des directives sur un accident attribuable à un « acte involontaire », ajoutant qu</w:t>
      </w:r>
      <w:r w:rsidR="004C6C13">
        <w:rPr>
          <w:rFonts w:cs="Times New Roman"/>
          <w:lang w:val="fr-CA"/>
        </w:rPr>
        <w:t>’</w:t>
      </w:r>
      <w:r w:rsidRPr="00E6549A">
        <w:rPr>
          <w:rFonts w:cs="Times New Roman"/>
          <w:lang w:val="fr-CA"/>
        </w:rPr>
        <w:t>aucune directive à cet égard ne serait demandée si l</w:t>
      </w:r>
      <w:r w:rsidR="004C6C13">
        <w:rPr>
          <w:rFonts w:cs="Times New Roman"/>
          <w:lang w:val="fr-CA"/>
        </w:rPr>
        <w:t>’</w:t>
      </w:r>
      <w:r w:rsidRPr="00E6549A">
        <w:rPr>
          <w:rFonts w:cs="Times New Roman"/>
          <w:lang w:val="fr-CA"/>
        </w:rPr>
        <w:t>ordonnance concernant la tenue d</w:t>
      </w:r>
      <w:r w:rsidR="004C6C13">
        <w:rPr>
          <w:rFonts w:cs="Times New Roman"/>
          <w:lang w:val="fr-CA"/>
        </w:rPr>
        <w:t>’</w:t>
      </w:r>
      <w:r w:rsidRPr="00E6549A">
        <w:rPr>
          <w:rFonts w:cs="Times New Roman"/>
          <w:lang w:val="fr-CA"/>
        </w:rPr>
        <w:t>un nouveau procès était confirmée (transcription, p. 53)</w:t>
      </w:r>
      <w:r w:rsidRPr="00E6549A">
        <w:rPr>
          <w:rStyle w:val="FootnoteReference"/>
          <w:lang w:val="fr-CA"/>
        </w:rPr>
        <w:footnoteReference w:id="1"/>
      </w:r>
      <w:r w:rsidRPr="00E6549A">
        <w:rPr>
          <w:rFonts w:cs="Times New Roman"/>
          <w:lang w:val="fr-CA"/>
        </w:rPr>
        <w:t xml:space="preserve">. </w:t>
      </w:r>
      <w:r w:rsidR="00646524">
        <w:rPr>
          <w:rFonts w:cs="Times New Roman"/>
          <w:lang w:val="fr-CA"/>
        </w:rPr>
        <w:t xml:space="preserve"> </w:t>
      </w:r>
      <w:r w:rsidRPr="00E6549A">
        <w:rPr>
          <w:rFonts w:cs="Times New Roman"/>
          <w:lang w:val="fr-CA"/>
        </w:rPr>
        <w:t>M</w:t>
      </w:r>
      <w:r w:rsidR="00646524">
        <w:rPr>
          <w:rFonts w:cs="Times New Roman"/>
          <w:lang w:val="fr-CA"/>
        </w:rPr>
        <w:t>.</w:t>
      </w:r>
      <w:r w:rsidRPr="00E6549A">
        <w:rPr>
          <w:rFonts w:cs="Times New Roman"/>
          <w:lang w:val="fr-CA"/>
        </w:rPr>
        <w:t> Hicks a également reconnu qu</w:t>
      </w:r>
      <w:r w:rsidR="004C6C13">
        <w:rPr>
          <w:rFonts w:cs="Times New Roman"/>
          <w:lang w:val="fr-CA"/>
        </w:rPr>
        <w:t>’</w:t>
      </w:r>
      <w:r w:rsidRPr="00E6549A">
        <w:rPr>
          <w:rFonts w:cs="Times New Roman"/>
          <w:lang w:val="fr-CA"/>
        </w:rPr>
        <w:t xml:space="preserve">à lui seul, le par. 34(2) aurait englobé le moyen de la légitime défense invoqué par M. Rodgerson dans son </w:t>
      </w:r>
      <w:r w:rsidRPr="00E6549A">
        <w:rPr>
          <w:rFonts w:cs="Times New Roman"/>
          <w:lang w:val="fr-CA"/>
        </w:rPr>
        <w:lastRenderedPageBreak/>
        <w:t>témoignage (p. 53</w:t>
      </w:r>
      <w:r w:rsidRPr="00E6549A">
        <w:rPr>
          <w:rFonts w:cs="Times New Roman"/>
          <w:lang w:val="fr-CA"/>
        </w:rPr>
        <w:noBreakHyphen/>
        <w:t>54). Le paragraphe 34(2) aurait pu être invoqué si M. Rodgerson avait causé accidentellement la mort de M</w:t>
      </w:r>
      <w:r w:rsidRPr="00E6549A">
        <w:rPr>
          <w:rFonts w:eastAsia="MS Mincho" w:cs="Times New Roman"/>
          <w:vertAlign w:val="superscript"/>
          <w:lang w:val="fr-CA"/>
        </w:rPr>
        <w:t>me</w:t>
      </w:r>
      <w:r w:rsidRPr="00E6549A">
        <w:rPr>
          <w:rFonts w:cs="Times New Roman"/>
          <w:lang w:val="fr-CA"/>
        </w:rPr>
        <w:t> Young, ou s</w:t>
      </w:r>
      <w:r w:rsidR="004C6C13">
        <w:rPr>
          <w:rFonts w:cs="Times New Roman"/>
          <w:lang w:val="fr-CA"/>
        </w:rPr>
        <w:t>’</w:t>
      </w:r>
      <w:r w:rsidRPr="00E6549A">
        <w:rPr>
          <w:rFonts w:cs="Times New Roman"/>
          <w:lang w:val="fr-CA"/>
        </w:rPr>
        <w:t>il l</w:t>
      </w:r>
      <w:r w:rsidR="004C6C13">
        <w:rPr>
          <w:rFonts w:cs="Times New Roman"/>
          <w:lang w:val="fr-CA"/>
        </w:rPr>
        <w:t>’</w:t>
      </w:r>
      <w:r w:rsidRPr="00E6549A">
        <w:rPr>
          <w:rFonts w:cs="Times New Roman"/>
          <w:lang w:val="fr-CA"/>
        </w:rPr>
        <w:t xml:space="preserve">avait tuée intentionnellement : voir </w:t>
      </w:r>
      <w:r w:rsidRPr="00E6549A">
        <w:rPr>
          <w:rFonts w:cs="Times New Roman"/>
          <w:i/>
          <w:iCs/>
          <w:lang w:val="fr-CA"/>
        </w:rPr>
        <w:t>R. c. Pintar</w:t>
      </w:r>
      <w:r w:rsidRPr="00E6549A">
        <w:rPr>
          <w:rFonts w:cs="Times New Roman"/>
          <w:lang w:val="fr-CA"/>
        </w:rPr>
        <w:t xml:space="preserve"> (1996), </w:t>
      </w:r>
      <w:r w:rsidRPr="00E6549A">
        <w:rPr>
          <w:rStyle w:val="nowrap"/>
          <w:lang w:val="fr-CA"/>
        </w:rPr>
        <w:t>30 O.R. (3d) 483 (C.A.), p. 497</w:t>
      </w:r>
      <w:r w:rsidRPr="00E6549A">
        <w:rPr>
          <w:rFonts w:cs="Times New Roman"/>
          <w:lang w:val="fr-CA"/>
        </w:rPr>
        <w:t>. M. Rodgerson n</w:t>
      </w:r>
      <w:r w:rsidR="004C6C13">
        <w:rPr>
          <w:rFonts w:cs="Times New Roman"/>
          <w:lang w:val="fr-CA"/>
        </w:rPr>
        <w:t>’</w:t>
      </w:r>
      <w:r w:rsidRPr="00E6549A">
        <w:rPr>
          <w:rFonts w:cs="Times New Roman"/>
          <w:lang w:val="fr-CA"/>
        </w:rPr>
        <w:t>a retiré aucun avantage du fait que deux autres formes de la légitime défense ont été soumises au jury. Ces directives ne pouvaient que compliquer l</w:t>
      </w:r>
      <w:r w:rsidR="004C6C13">
        <w:rPr>
          <w:rFonts w:cs="Times New Roman"/>
          <w:lang w:val="fr-CA"/>
        </w:rPr>
        <w:t>’</w:t>
      </w:r>
      <w:r w:rsidRPr="00E6549A">
        <w:rPr>
          <w:rFonts w:cs="Times New Roman"/>
          <w:lang w:val="fr-CA"/>
        </w:rPr>
        <w:t>exposé et confondre le jury (</w:t>
      </w:r>
      <w:r w:rsidRPr="00E6549A">
        <w:rPr>
          <w:rFonts w:cs="Times New Roman"/>
          <w:i/>
          <w:lang w:val="fr-CA"/>
        </w:rPr>
        <w:t>Pintar</w:t>
      </w:r>
      <w:r>
        <w:rPr>
          <w:rFonts w:cs="Times New Roman"/>
          <w:lang w:val="fr-CA"/>
        </w:rPr>
        <w:t>,</w:t>
      </w:r>
      <w:r w:rsidRPr="00E6549A">
        <w:rPr>
          <w:rFonts w:cs="Times New Roman"/>
          <w:lang w:val="fr-CA"/>
        </w:rPr>
        <w:t xml:space="preserve"> p. 497)</w:t>
      </w:r>
      <w:r w:rsidRPr="00E6549A">
        <w:rPr>
          <w:rStyle w:val="nowrap"/>
          <w:lang w:val="fr-CA"/>
        </w:rPr>
        <w:t>.</w:t>
      </w:r>
    </w:p>
    <w:p w:rsidR="002D6514" w:rsidRPr="00E6549A" w:rsidRDefault="002D6514" w:rsidP="00AF284E">
      <w:pPr>
        <w:pStyle w:val="ParaNoNdepar-AltN"/>
        <w:widowControl w:val="0"/>
        <w:tabs>
          <w:tab w:val="clear" w:pos="1152"/>
          <w:tab w:val="left" w:pos="1166"/>
        </w:tabs>
        <w:rPr>
          <w:rFonts w:cs="Times New Roman"/>
          <w:lang w:val="fr-CA"/>
        </w:rPr>
      </w:pPr>
      <w:r w:rsidRPr="00E6549A">
        <w:rPr>
          <w:rFonts w:cs="Times New Roman"/>
          <w:lang w:val="fr-CA"/>
        </w:rPr>
        <w:t>Même s</w:t>
      </w:r>
      <w:r w:rsidR="004C6C13">
        <w:rPr>
          <w:rFonts w:cs="Times New Roman"/>
          <w:lang w:val="fr-CA"/>
        </w:rPr>
        <w:t>’</w:t>
      </w:r>
      <w:r w:rsidRPr="00E6549A">
        <w:rPr>
          <w:rFonts w:cs="Times New Roman"/>
          <w:lang w:val="fr-CA"/>
        </w:rPr>
        <w:t>il cherche évidemment à défendre son client par tous les moyens licites et éthiques possibles, l</w:t>
      </w:r>
      <w:r w:rsidR="004C6C13">
        <w:rPr>
          <w:rFonts w:cs="Times New Roman"/>
          <w:lang w:val="fr-CA"/>
        </w:rPr>
        <w:t>’</w:t>
      </w:r>
      <w:r w:rsidRPr="00E6549A">
        <w:rPr>
          <w:rFonts w:cs="Times New Roman"/>
          <w:lang w:val="fr-CA"/>
        </w:rPr>
        <w:t>avocat de la défense a l</w:t>
      </w:r>
      <w:r w:rsidR="004C6C13">
        <w:rPr>
          <w:rFonts w:cs="Times New Roman"/>
          <w:lang w:val="fr-CA"/>
        </w:rPr>
        <w:t>’</w:t>
      </w:r>
      <w:r w:rsidRPr="00E6549A">
        <w:rPr>
          <w:rFonts w:cs="Times New Roman"/>
          <w:lang w:val="fr-CA"/>
        </w:rPr>
        <w:t>obligation d</w:t>
      </w:r>
      <w:r w:rsidR="004C6C13">
        <w:rPr>
          <w:rFonts w:cs="Times New Roman"/>
          <w:lang w:val="fr-CA"/>
        </w:rPr>
        <w:t>’</w:t>
      </w:r>
      <w:r w:rsidRPr="00E6549A">
        <w:rPr>
          <w:rFonts w:cs="Times New Roman"/>
          <w:lang w:val="fr-CA"/>
        </w:rPr>
        <w:t>aider le juge du procès à élaborer un exposé qui donne au jury des directives claires et compréhensibles sur les moyens de défense que comporte effectivement la thèse de la défense. Si l</w:t>
      </w:r>
      <w:r w:rsidR="004C6C13">
        <w:rPr>
          <w:rFonts w:cs="Times New Roman"/>
          <w:lang w:val="fr-CA"/>
        </w:rPr>
        <w:t>’</w:t>
      </w:r>
      <w:r w:rsidRPr="00E6549A">
        <w:rPr>
          <w:rFonts w:cs="Times New Roman"/>
          <w:lang w:val="fr-CA"/>
        </w:rPr>
        <w:t>avocat de la défense au procès avait agi en ce sens, l</w:t>
      </w:r>
      <w:r w:rsidR="004C6C13">
        <w:rPr>
          <w:rFonts w:cs="Times New Roman"/>
          <w:lang w:val="fr-CA"/>
        </w:rPr>
        <w:t>’</w:t>
      </w:r>
      <w:r w:rsidRPr="00E6549A">
        <w:rPr>
          <w:rFonts w:cs="Times New Roman"/>
          <w:lang w:val="fr-CA"/>
        </w:rPr>
        <w:t>exposé aurait été plus court d</w:t>
      </w:r>
      <w:r w:rsidR="004C6C13">
        <w:rPr>
          <w:rFonts w:cs="Times New Roman"/>
          <w:lang w:val="fr-CA"/>
        </w:rPr>
        <w:t>’</w:t>
      </w:r>
      <w:r w:rsidRPr="00E6549A">
        <w:rPr>
          <w:rFonts w:cs="Times New Roman"/>
          <w:lang w:val="fr-CA"/>
        </w:rPr>
        <w:t xml:space="preserve">une cinquantaine de pages. </w:t>
      </w:r>
    </w:p>
    <w:p w:rsidR="002D6514" w:rsidRPr="00E6549A" w:rsidRDefault="002D6514" w:rsidP="00AF284E">
      <w:pPr>
        <w:pStyle w:val="Title3LevelTitre3Niveau"/>
        <w:widowControl w:val="0"/>
        <w:ind w:left="1156" w:hanging="578"/>
        <w:rPr>
          <w:rFonts w:cs="Times New Roman"/>
          <w:lang w:val="fr-CA"/>
        </w:rPr>
      </w:pPr>
      <w:r w:rsidRPr="00E6549A">
        <w:rPr>
          <w:rFonts w:cs="Times New Roman"/>
          <w:lang w:val="fr-CA"/>
        </w:rPr>
        <w:t>Le rôle du juge du procès</w:t>
      </w:r>
    </w:p>
    <w:p w:rsidR="002D6514" w:rsidRPr="00E6549A" w:rsidRDefault="002D6514" w:rsidP="00AF284E">
      <w:pPr>
        <w:pStyle w:val="ParaNoNdepar-AltN"/>
        <w:widowControl w:val="0"/>
        <w:rPr>
          <w:rFonts w:cs="Times New Roman"/>
          <w:lang w:val="fr-CA"/>
        </w:rPr>
      </w:pPr>
      <w:r w:rsidRPr="00E6549A">
        <w:rPr>
          <w:rFonts w:cs="Times New Roman"/>
          <w:lang w:val="fr-CA"/>
        </w:rPr>
        <w:t>Bien que l</w:t>
      </w:r>
      <w:r w:rsidR="004C6C13">
        <w:rPr>
          <w:rFonts w:cs="Times New Roman"/>
          <w:lang w:val="fr-CA"/>
        </w:rPr>
        <w:t>’</w:t>
      </w:r>
      <w:r w:rsidRPr="00E6549A">
        <w:rPr>
          <w:rFonts w:cs="Times New Roman"/>
          <w:lang w:val="fr-CA"/>
        </w:rPr>
        <w:t>avocat du ministère public et l</w:t>
      </w:r>
      <w:r w:rsidR="004C6C13">
        <w:rPr>
          <w:rFonts w:cs="Times New Roman"/>
          <w:lang w:val="fr-CA"/>
        </w:rPr>
        <w:t>’</w:t>
      </w:r>
      <w:r w:rsidRPr="00E6549A">
        <w:rPr>
          <w:rFonts w:cs="Times New Roman"/>
          <w:lang w:val="fr-CA"/>
        </w:rPr>
        <w:t>avocat de la défense aient chacun un rôle à jouer, c</w:t>
      </w:r>
      <w:r w:rsidR="004C6C13">
        <w:rPr>
          <w:rFonts w:cs="Times New Roman"/>
          <w:lang w:val="fr-CA"/>
        </w:rPr>
        <w:t>’</w:t>
      </w:r>
      <w:r w:rsidRPr="00E6549A">
        <w:rPr>
          <w:rFonts w:cs="Times New Roman"/>
          <w:lang w:val="fr-CA"/>
        </w:rPr>
        <w:t>est le juge du procès qui a le rôle le plus crucial et le plus ardu lorsqu</w:t>
      </w:r>
      <w:r w:rsidR="004C6C13">
        <w:rPr>
          <w:rFonts w:cs="Times New Roman"/>
          <w:lang w:val="fr-CA"/>
        </w:rPr>
        <w:t>’</w:t>
      </w:r>
      <w:r w:rsidRPr="00E6549A">
        <w:rPr>
          <w:rFonts w:cs="Times New Roman"/>
          <w:lang w:val="fr-CA"/>
        </w:rPr>
        <w:t>il s</w:t>
      </w:r>
      <w:r w:rsidR="004C6C13">
        <w:rPr>
          <w:rFonts w:cs="Times New Roman"/>
          <w:lang w:val="fr-CA"/>
        </w:rPr>
        <w:t>’</w:t>
      </w:r>
      <w:r w:rsidRPr="00E6549A">
        <w:rPr>
          <w:rFonts w:cs="Times New Roman"/>
          <w:lang w:val="fr-CA"/>
        </w:rPr>
        <w:t>agit de formuler des directives à l</w:t>
      </w:r>
      <w:r w:rsidR="004C6C13">
        <w:rPr>
          <w:rFonts w:cs="Times New Roman"/>
          <w:lang w:val="fr-CA"/>
        </w:rPr>
        <w:t>’</w:t>
      </w:r>
      <w:r w:rsidRPr="00E6549A">
        <w:rPr>
          <w:rFonts w:cs="Times New Roman"/>
          <w:lang w:val="fr-CA"/>
        </w:rPr>
        <w:t>intention du jury. Le juge du procès doit atteindre un équilibre délicat en rédigeant un exposé au jury qui est à la fois complet et compréhensible. Reconnaissant la difficulté inhérente à cette tâche, notre Cour a « maintes fois fait sienne » la démarche fonctionnelle dans l</w:t>
      </w:r>
      <w:r w:rsidR="004C6C13">
        <w:rPr>
          <w:rFonts w:cs="Times New Roman"/>
          <w:lang w:val="fr-CA"/>
        </w:rPr>
        <w:t>’</w:t>
      </w:r>
      <w:r w:rsidRPr="00E6549A">
        <w:rPr>
          <w:rFonts w:cs="Times New Roman"/>
          <w:lang w:val="fr-CA"/>
        </w:rPr>
        <w:t>examen des directives au jury (</w:t>
      </w:r>
      <w:r w:rsidRPr="00E6549A">
        <w:rPr>
          <w:rFonts w:cs="Times New Roman"/>
          <w:i/>
          <w:iCs/>
          <w:lang w:val="fr-CA"/>
        </w:rPr>
        <w:t>R. c. Mack</w:t>
      </w:r>
      <w:r w:rsidRPr="00E6549A">
        <w:rPr>
          <w:rFonts w:cs="Times New Roman"/>
          <w:lang w:val="fr-CA"/>
        </w:rPr>
        <w:t xml:space="preserve">, 2014 CSC 58, [2014] 3 R.C.S. 3, par. 49). Cette démarche fonctionnelle vise à « nous assurer que le critère que nous utilisons pour </w:t>
      </w:r>
      <w:r w:rsidRPr="00E6549A">
        <w:rPr>
          <w:rFonts w:cs="Times New Roman"/>
          <w:lang w:val="fr-CA"/>
        </w:rPr>
        <w:lastRenderedPageBreak/>
        <w:t>évaluer la justesse des directives du juge du procès au jury ne devienne pas trop exigeant », afin de diminuer « la multiplication des exposés interminables au cours desquels les juges citent souvent de longs extraits des décisions rendues en appel dans le simple but de protéger les verdicts contre les appels » (</w:t>
      </w:r>
      <w:r w:rsidRPr="00E6549A">
        <w:rPr>
          <w:rFonts w:cs="Times New Roman"/>
          <w:i/>
          <w:iCs/>
          <w:lang w:val="fr-CA"/>
        </w:rPr>
        <w:t>Jacquard</w:t>
      </w:r>
      <w:r w:rsidRPr="00E6549A">
        <w:rPr>
          <w:rFonts w:cs="Times New Roman"/>
          <w:lang w:val="fr-CA"/>
        </w:rPr>
        <w:t>, par. 1). Selon la démarche fonctionnelle, le rôle du juge du procès est « de clarifier et de simplifier » (</w:t>
      </w:r>
      <w:r w:rsidRPr="00E6549A">
        <w:rPr>
          <w:rFonts w:cs="Times New Roman"/>
          <w:i/>
          <w:iCs/>
          <w:lang w:val="fr-CA"/>
        </w:rPr>
        <w:t>ibid.</w:t>
      </w:r>
      <w:r w:rsidRPr="00E6549A">
        <w:rPr>
          <w:rFonts w:cs="Times New Roman"/>
          <w:iCs/>
          <w:lang w:val="fr-CA"/>
        </w:rPr>
        <w:t>,</w:t>
      </w:r>
      <w:r w:rsidRPr="00E6549A">
        <w:rPr>
          <w:rFonts w:cs="Times New Roman"/>
          <w:i/>
          <w:iCs/>
          <w:lang w:val="fr-CA"/>
        </w:rPr>
        <w:t xml:space="preserve"> </w:t>
      </w:r>
      <w:r w:rsidRPr="00E6549A">
        <w:rPr>
          <w:rFonts w:cs="Times New Roman"/>
          <w:lang w:val="fr-CA"/>
        </w:rPr>
        <w:t>par. 13). Il va tout autant à l</w:t>
      </w:r>
      <w:r w:rsidR="004C6C13">
        <w:rPr>
          <w:rFonts w:cs="Times New Roman"/>
          <w:lang w:val="fr-CA"/>
        </w:rPr>
        <w:t>’</w:t>
      </w:r>
      <w:r w:rsidRPr="00E6549A">
        <w:rPr>
          <w:rFonts w:cs="Times New Roman"/>
          <w:lang w:val="fr-CA"/>
        </w:rPr>
        <w:t>encontre de ce rôle de donner des directives trop longues que de faire un exposé trop court.</w:t>
      </w:r>
    </w:p>
    <w:p w:rsidR="002D6514" w:rsidRPr="00E6549A" w:rsidRDefault="002D6514" w:rsidP="00AF284E">
      <w:pPr>
        <w:pStyle w:val="ParaNoNdepar-AltN"/>
        <w:widowControl w:val="0"/>
        <w:rPr>
          <w:rFonts w:cs="Times New Roman"/>
          <w:lang w:val="fr-CA"/>
        </w:rPr>
      </w:pPr>
      <w:r w:rsidRPr="00E6549A">
        <w:rPr>
          <w:rFonts w:cs="Times New Roman"/>
          <w:lang w:val="fr-CA"/>
        </w:rPr>
        <w:t>Plus de 15 ans plus tard, les préoccupations soulevées dans l</w:t>
      </w:r>
      <w:r w:rsidR="004C6C13">
        <w:rPr>
          <w:rFonts w:cs="Times New Roman"/>
          <w:lang w:val="fr-CA"/>
        </w:rPr>
        <w:t>’</w:t>
      </w:r>
      <w:r w:rsidRPr="00E6549A">
        <w:rPr>
          <w:rFonts w:cs="Times New Roman"/>
          <w:lang w:val="fr-CA"/>
        </w:rPr>
        <w:t xml:space="preserve">arrêt </w:t>
      </w:r>
      <w:r w:rsidRPr="00E6549A">
        <w:rPr>
          <w:rFonts w:cs="Times New Roman"/>
          <w:i/>
          <w:iCs/>
          <w:lang w:val="fr-CA"/>
        </w:rPr>
        <w:t xml:space="preserve">Jacquard </w:t>
      </w:r>
      <w:r w:rsidRPr="00E6549A">
        <w:rPr>
          <w:rFonts w:cs="Times New Roman"/>
          <w:lang w:val="fr-CA"/>
        </w:rPr>
        <w:t>sont toujours d</w:t>
      </w:r>
      <w:r w:rsidR="004C6C13">
        <w:rPr>
          <w:rFonts w:cs="Times New Roman"/>
          <w:lang w:val="fr-CA"/>
        </w:rPr>
        <w:t>’</w:t>
      </w:r>
      <w:r w:rsidRPr="00E6549A">
        <w:rPr>
          <w:rFonts w:cs="Times New Roman"/>
          <w:lang w:val="fr-CA"/>
        </w:rPr>
        <w:t>actualité. Toutefois, au lieu de citer de larges extraits des décisions rendues en appel, les juges du procès ont entrepris de citer de longs passages de recueils de modèles de directives pour protéger leurs verdicts contre les appels. Il s</w:t>
      </w:r>
      <w:r w:rsidR="004C6C13">
        <w:rPr>
          <w:rFonts w:cs="Times New Roman"/>
          <w:lang w:val="fr-CA"/>
        </w:rPr>
        <w:t>’</w:t>
      </w:r>
      <w:r w:rsidRPr="00E6549A">
        <w:rPr>
          <w:rFonts w:cs="Times New Roman"/>
          <w:lang w:val="fr-CA"/>
        </w:rPr>
        <w:t>en est suivi un recours excessif à la reproduction mécanique d</w:t>
      </w:r>
      <w:r w:rsidR="004C6C13">
        <w:rPr>
          <w:rFonts w:cs="Times New Roman"/>
          <w:lang w:val="fr-CA"/>
        </w:rPr>
        <w:t>’</w:t>
      </w:r>
      <w:r w:rsidRPr="00E6549A">
        <w:rPr>
          <w:rFonts w:cs="Times New Roman"/>
          <w:lang w:val="fr-CA"/>
        </w:rPr>
        <w:t>extraits de directives modèles au jury. Mais les recueils de modèles de directives ne se transforment pas nécessairement en directives modèles. Ils sont un outil, non le produit final. Ils sont là pour guider, non pour prescrire. À mon avis, le défaut d</w:t>
      </w:r>
      <w:r w:rsidR="004C6C13">
        <w:rPr>
          <w:rFonts w:cs="Times New Roman"/>
          <w:lang w:val="fr-CA"/>
        </w:rPr>
        <w:t>’</w:t>
      </w:r>
      <w:r w:rsidRPr="00E6549A">
        <w:rPr>
          <w:rFonts w:cs="Times New Roman"/>
          <w:lang w:val="fr-CA"/>
        </w:rPr>
        <w:t>isoler les questions critiques dans une affaire et d</w:t>
      </w:r>
      <w:r w:rsidR="004C6C13">
        <w:rPr>
          <w:rFonts w:cs="Times New Roman"/>
          <w:lang w:val="fr-CA"/>
        </w:rPr>
        <w:t>’</w:t>
      </w:r>
      <w:r w:rsidRPr="00E6549A">
        <w:rPr>
          <w:rFonts w:cs="Times New Roman"/>
          <w:lang w:val="fr-CA"/>
        </w:rPr>
        <w:t xml:space="preserve">adapter les exposés à ces questions rend inévitablement les directives moins utiles au jury et les rend inutilement plus longues et plus complexes. </w:t>
      </w:r>
    </w:p>
    <w:p w:rsidR="002D6514" w:rsidRPr="00E6549A" w:rsidRDefault="002D6514" w:rsidP="00AF284E">
      <w:pPr>
        <w:pStyle w:val="ParaNoNdepar-AltN"/>
        <w:widowControl w:val="0"/>
        <w:tabs>
          <w:tab w:val="clear" w:pos="1152"/>
          <w:tab w:val="left" w:pos="1166"/>
        </w:tabs>
        <w:rPr>
          <w:rStyle w:val="nowrap"/>
          <w:lang w:val="fr-CA"/>
        </w:rPr>
      </w:pPr>
      <w:r w:rsidRPr="00E6549A">
        <w:rPr>
          <w:rFonts w:cs="Times New Roman"/>
          <w:lang w:val="fr-CA"/>
        </w:rPr>
        <w:t>Les tribunaux ont souligné à plusieurs reprises que l</w:t>
      </w:r>
      <w:r w:rsidR="004C6C13">
        <w:rPr>
          <w:rFonts w:cs="Times New Roman"/>
          <w:lang w:val="fr-CA"/>
        </w:rPr>
        <w:t>’</w:t>
      </w:r>
      <w:r w:rsidRPr="00E6549A">
        <w:rPr>
          <w:rFonts w:cs="Times New Roman"/>
          <w:lang w:val="fr-CA"/>
        </w:rPr>
        <w:t>exposé du jury doit [</w:t>
      </w:r>
      <w:r w:rsidRPr="00E6549A">
        <w:rPr>
          <w:rFonts w:cs="Times New Roman"/>
          <w:smallCaps/>
          <w:lang w:val="fr-CA"/>
        </w:rPr>
        <w:t>traduction</w:t>
      </w:r>
      <w:r w:rsidRPr="00E6549A">
        <w:rPr>
          <w:rFonts w:cs="Times New Roman"/>
          <w:lang w:val="fr-CA"/>
        </w:rPr>
        <w:t>] « être adapté aux faits de l</w:t>
      </w:r>
      <w:r w:rsidR="004C6C13">
        <w:rPr>
          <w:rFonts w:cs="Times New Roman"/>
          <w:lang w:val="fr-CA"/>
        </w:rPr>
        <w:t>’</w:t>
      </w:r>
      <w:r w:rsidRPr="00E6549A">
        <w:rPr>
          <w:rFonts w:cs="Times New Roman"/>
          <w:lang w:val="fr-CA"/>
        </w:rPr>
        <w:t>espèce » (</w:t>
      </w:r>
      <w:r w:rsidRPr="00E6549A">
        <w:rPr>
          <w:rFonts w:cs="Times New Roman"/>
          <w:i/>
          <w:iCs/>
          <w:lang w:val="fr-CA"/>
        </w:rPr>
        <w:t>R. c. McNeil</w:t>
      </w:r>
      <w:r w:rsidRPr="00E6549A">
        <w:rPr>
          <w:rFonts w:cs="Times New Roman"/>
          <w:lang w:val="fr-CA"/>
        </w:rPr>
        <w:t xml:space="preserve"> (2006), </w:t>
      </w:r>
      <w:r w:rsidRPr="00E6549A">
        <w:rPr>
          <w:rStyle w:val="nowrap"/>
          <w:lang w:val="fr-CA"/>
        </w:rPr>
        <w:t xml:space="preserve">84 O.R. (3d) 125 (C.A.), </w:t>
      </w:r>
      <w:r w:rsidRPr="00E6549A">
        <w:rPr>
          <w:rFonts w:cs="Times New Roman"/>
          <w:lang w:val="fr-CA"/>
        </w:rPr>
        <w:t>par. 21). Bien que « </w:t>
      </w:r>
      <w:r w:rsidR="00646524">
        <w:rPr>
          <w:rFonts w:cs="Times New Roman"/>
          <w:lang w:val="fr-CA"/>
        </w:rPr>
        <w:t>[</w:t>
      </w:r>
      <w:r w:rsidRPr="00E6549A">
        <w:rPr>
          <w:rFonts w:cs="Times New Roman"/>
          <w:lang w:val="fr-CA"/>
        </w:rPr>
        <w:t>l</w:t>
      </w:r>
      <w:r w:rsidR="00646524">
        <w:rPr>
          <w:rFonts w:cs="Times New Roman"/>
          <w:lang w:val="fr-CA"/>
        </w:rPr>
        <w:t>]</w:t>
      </w:r>
      <w:r w:rsidRPr="00E6549A">
        <w:rPr>
          <w:rFonts w:cs="Times New Roman"/>
          <w:lang w:val="fr-CA"/>
        </w:rPr>
        <w:t xml:space="preserve">es modèles de directives visent à proposer un point </w:t>
      </w:r>
      <w:r w:rsidRPr="00E6549A">
        <w:rPr>
          <w:rFonts w:cs="Times New Roman"/>
          <w:lang w:val="fr-CA"/>
        </w:rPr>
        <w:lastRenderedPageBreak/>
        <w:t>de départ au juge du procès », ils devront fréquemment être modifiés pour présenter aux jurés « les principes juridiques applicables sous une forme qui facilite leur application en fonction des circonstances spécifiques de l</w:t>
      </w:r>
      <w:r w:rsidR="004C6C13">
        <w:rPr>
          <w:rFonts w:cs="Times New Roman"/>
          <w:lang w:val="fr-CA"/>
        </w:rPr>
        <w:t>’</w:t>
      </w:r>
      <w:r w:rsidRPr="00E6549A">
        <w:rPr>
          <w:rFonts w:cs="Times New Roman"/>
          <w:lang w:val="fr-CA"/>
        </w:rPr>
        <w:t>espèce » (</w:t>
      </w:r>
      <w:r w:rsidRPr="00E6549A">
        <w:rPr>
          <w:rFonts w:cs="Times New Roman"/>
          <w:i/>
          <w:iCs/>
          <w:lang w:val="fr-CA"/>
        </w:rPr>
        <w:t>ibid.</w:t>
      </w:r>
      <w:r w:rsidRPr="00E6549A">
        <w:rPr>
          <w:rFonts w:cs="Times New Roman"/>
          <w:lang w:val="fr-CA"/>
        </w:rPr>
        <w:t>). Les juges du procès doivent [</w:t>
      </w:r>
      <w:r w:rsidRPr="00E6549A">
        <w:rPr>
          <w:rFonts w:cs="Times New Roman"/>
          <w:smallCaps/>
          <w:lang w:val="fr-CA"/>
        </w:rPr>
        <w:t>traduction</w:t>
      </w:r>
      <w:r w:rsidRPr="00E6549A">
        <w:rPr>
          <w:rFonts w:cs="Times New Roman"/>
          <w:lang w:val="fr-CA"/>
        </w:rPr>
        <w:t>] « séparer le bon grain de l</w:t>
      </w:r>
      <w:r w:rsidR="004C6C13">
        <w:rPr>
          <w:rFonts w:cs="Times New Roman"/>
          <w:lang w:val="fr-CA"/>
        </w:rPr>
        <w:t>’</w:t>
      </w:r>
      <w:r w:rsidRPr="00E6549A">
        <w:rPr>
          <w:rFonts w:cs="Times New Roman"/>
          <w:lang w:val="fr-CA"/>
        </w:rPr>
        <w:t>ivraie » lorsqu</w:t>
      </w:r>
      <w:r w:rsidR="004C6C13">
        <w:rPr>
          <w:rFonts w:cs="Times New Roman"/>
          <w:lang w:val="fr-CA"/>
        </w:rPr>
        <w:t>’</w:t>
      </w:r>
      <w:r w:rsidRPr="00E6549A">
        <w:rPr>
          <w:rFonts w:cs="Times New Roman"/>
          <w:lang w:val="fr-CA"/>
        </w:rPr>
        <w:t>ils déterminent les moyens de défense applicables, et ils doivent procéder à une « sélection attentive et circonspecte [. . .] pour éviter toute directive juridique inutile, inopportune ou non pertinente qui pourrait détourner l</w:t>
      </w:r>
      <w:r w:rsidR="004C6C13">
        <w:rPr>
          <w:rFonts w:cs="Times New Roman"/>
          <w:lang w:val="fr-CA"/>
        </w:rPr>
        <w:t>’</w:t>
      </w:r>
      <w:r w:rsidRPr="00E6549A">
        <w:rPr>
          <w:rFonts w:cs="Times New Roman"/>
          <w:lang w:val="fr-CA"/>
        </w:rPr>
        <w:t>attention du jury » des principales questions en litige dans le procès (</w:t>
      </w:r>
      <w:r w:rsidRPr="00E6549A">
        <w:rPr>
          <w:rFonts w:cs="Times New Roman"/>
          <w:i/>
          <w:iCs/>
          <w:lang w:val="fr-CA"/>
        </w:rPr>
        <w:t>Pintar</w:t>
      </w:r>
      <w:r w:rsidRPr="00E6549A">
        <w:rPr>
          <w:rFonts w:cs="Times New Roman"/>
          <w:iCs/>
          <w:lang w:val="fr-CA"/>
        </w:rPr>
        <w:t>,</w:t>
      </w:r>
      <w:r w:rsidRPr="00E6549A">
        <w:rPr>
          <w:rFonts w:cs="Times New Roman"/>
          <w:i/>
          <w:iCs/>
          <w:lang w:val="fr-CA"/>
        </w:rPr>
        <w:t xml:space="preserve"> </w:t>
      </w:r>
      <w:r w:rsidRPr="00E6549A">
        <w:rPr>
          <w:rStyle w:val="nowrap"/>
          <w:lang w:val="fr-CA"/>
        </w:rPr>
        <w:t xml:space="preserve">p. 494). </w:t>
      </w:r>
    </w:p>
    <w:p w:rsidR="002D6514" w:rsidRPr="00E6549A" w:rsidRDefault="002D6514" w:rsidP="00AF284E">
      <w:pPr>
        <w:pStyle w:val="ParaNoNdepar-AltN"/>
        <w:widowControl w:val="0"/>
        <w:tabs>
          <w:tab w:val="clear" w:pos="1152"/>
          <w:tab w:val="left" w:pos="1166"/>
        </w:tabs>
        <w:spacing w:before="0"/>
        <w:rPr>
          <w:rStyle w:val="nowrap"/>
          <w:lang w:val="fr-CA"/>
        </w:rPr>
      </w:pPr>
      <w:r w:rsidRPr="00E6549A">
        <w:rPr>
          <w:rStyle w:val="nowrap"/>
          <w:lang w:val="fr-CA"/>
        </w:rPr>
        <w:t>Ce principe a été retenu dans l</w:t>
      </w:r>
      <w:r w:rsidR="004C6C13">
        <w:rPr>
          <w:rStyle w:val="nowrap"/>
          <w:lang w:val="fr-CA"/>
        </w:rPr>
        <w:t>’</w:t>
      </w:r>
      <w:r w:rsidRPr="00E6549A">
        <w:rPr>
          <w:rStyle w:val="nowrap"/>
          <w:lang w:val="fr-CA"/>
        </w:rPr>
        <w:t xml:space="preserve">ouvrage </w:t>
      </w:r>
      <w:r w:rsidRPr="00E6549A">
        <w:rPr>
          <w:rFonts w:cs="Times New Roman"/>
          <w:i/>
          <w:lang w:val="fr-CA"/>
        </w:rPr>
        <w:t>Helping Jurors Understand</w:t>
      </w:r>
      <w:r w:rsidRPr="00E6549A">
        <w:rPr>
          <w:rFonts w:cs="Times New Roman"/>
          <w:lang w:val="fr-CA"/>
        </w:rPr>
        <w:t xml:space="preserve"> (2007), p. 82, publié </w:t>
      </w:r>
      <w:r w:rsidRPr="00E6549A">
        <w:rPr>
          <w:rStyle w:val="nowrap"/>
          <w:lang w:val="fr-CA"/>
        </w:rPr>
        <w:t>par nul autre que le juge Watt de la Cour d</w:t>
      </w:r>
      <w:r w:rsidR="004C6C13">
        <w:rPr>
          <w:rStyle w:val="nowrap"/>
          <w:lang w:val="fr-CA"/>
        </w:rPr>
        <w:t>’</w:t>
      </w:r>
      <w:r w:rsidRPr="00E6549A">
        <w:rPr>
          <w:rStyle w:val="nowrap"/>
          <w:lang w:val="fr-CA"/>
        </w:rPr>
        <w:t>appel de l</w:t>
      </w:r>
      <w:r w:rsidR="004C6C13">
        <w:rPr>
          <w:rStyle w:val="nowrap"/>
          <w:lang w:val="fr-CA"/>
        </w:rPr>
        <w:t>’</w:t>
      </w:r>
      <w:r w:rsidRPr="00E6549A">
        <w:rPr>
          <w:rStyle w:val="nowrap"/>
          <w:lang w:val="fr-CA"/>
        </w:rPr>
        <w:t>Ontario (alors juge de la Cour supérieure de justice), qui a également écrit pour les procès criminels l</w:t>
      </w:r>
      <w:r w:rsidR="004C6C13">
        <w:rPr>
          <w:rStyle w:val="nowrap"/>
          <w:lang w:val="fr-CA"/>
        </w:rPr>
        <w:t>’</w:t>
      </w:r>
      <w:r w:rsidRPr="00E6549A">
        <w:rPr>
          <w:rStyle w:val="nowrap"/>
          <w:lang w:val="fr-CA"/>
        </w:rPr>
        <w:t xml:space="preserve">ouvrage </w:t>
      </w:r>
      <w:r w:rsidRPr="00E6549A">
        <w:rPr>
          <w:rStyle w:val="nowrap"/>
          <w:i/>
          <w:iCs/>
          <w:lang w:val="fr-CA"/>
        </w:rPr>
        <w:t>Ontario Specimen Jury Instructions (Criminal)</w:t>
      </w:r>
      <w:r w:rsidRPr="00E6549A">
        <w:rPr>
          <w:rStyle w:val="nowrap"/>
          <w:iCs/>
          <w:lang w:val="fr-CA"/>
        </w:rPr>
        <w:t xml:space="preserve"> (2003)</w:t>
      </w:r>
      <w:r w:rsidRPr="00E6549A">
        <w:rPr>
          <w:rStyle w:val="nowrap"/>
          <w:lang w:val="fr-CA"/>
        </w:rPr>
        <w:t xml:space="preserve"> : </w:t>
      </w:r>
    </w:p>
    <w:p w:rsidR="002D6514" w:rsidRPr="00E6549A" w:rsidRDefault="002D6514" w:rsidP="00AF284E">
      <w:pPr>
        <w:pStyle w:val="Citation-AltC"/>
        <w:widowControl w:val="0"/>
        <w:ind w:left="1168" w:hanging="1168"/>
        <w:rPr>
          <w:rFonts w:cs="Times New Roman"/>
        </w:rPr>
      </w:pPr>
      <w:r>
        <w:rPr>
          <w:rFonts w:cs="Times New Roman"/>
          <w:lang w:val="fr-CA"/>
        </w:rPr>
        <w:tab/>
      </w:r>
      <w:r>
        <w:rPr>
          <w:rFonts w:cs="Times New Roman"/>
          <w:lang w:val="fr-CA"/>
        </w:rPr>
        <w:tab/>
      </w:r>
      <w:r w:rsidRPr="00E6549A">
        <w:rPr>
          <w:rFonts w:cs="Times New Roman"/>
          <w:lang w:val="fr-CA"/>
        </w:rPr>
        <w:t>[</w:t>
      </w:r>
      <w:r w:rsidRPr="00E6549A">
        <w:rPr>
          <w:rFonts w:cs="Times New Roman"/>
          <w:smallCaps/>
          <w:lang w:val="fr-CA"/>
        </w:rPr>
        <w:t>traduction</w:t>
      </w:r>
      <w:r w:rsidRPr="00E6549A">
        <w:rPr>
          <w:rFonts w:cs="Times New Roman"/>
          <w:lang w:val="fr-CA"/>
        </w:rPr>
        <w:t>] Un modèle offre un exemple. Une directive modèle offre un exemple d</w:t>
      </w:r>
      <w:r w:rsidR="004C6C13">
        <w:rPr>
          <w:rFonts w:cs="Times New Roman"/>
          <w:lang w:val="fr-CA"/>
        </w:rPr>
        <w:t>’</w:t>
      </w:r>
      <w:r w:rsidRPr="00E6549A">
        <w:rPr>
          <w:rFonts w:cs="Times New Roman"/>
          <w:lang w:val="fr-CA"/>
        </w:rPr>
        <w:t xml:space="preserve">une directive sur un sujet donné. Les directives modèles </w:t>
      </w:r>
      <w:r w:rsidRPr="00646524">
        <w:rPr>
          <w:rFonts w:cs="Times New Roman"/>
          <w:i/>
          <w:lang w:val="fr-CA"/>
        </w:rPr>
        <w:t>ne</w:t>
      </w:r>
      <w:r w:rsidRPr="00E6549A">
        <w:rPr>
          <w:rFonts w:cs="Times New Roman"/>
          <w:lang w:val="fr-CA"/>
        </w:rPr>
        <w:t xml:space="preserve"> donnent </w:t>
      </w:r>
      <w:r w:rsidRPr="00E6549A">
        <w:rPr>
          <w:rFonts w:cs="Times New Roman"/>
          <w:i/>
          <w:lang w:val="fr-CA"/>
        </w:rPr>
        <w:t>pas</w:t>
      </w:r>
      <w:r w:rsidRPr="00E6549A">
        <w:rPr>
          <w:rFonts w:cs="Times New Roman"/>
          <w:lang w:val="fr-CA"/>
        </w:rPr>
        <w:t xml:space="preserve"> d</w:t>
      </w:r>
      <w:r w:rsidR="004C6C13">
        <w:rPr>
          <w:rFonts w:cs="Times New Roman"/>
          <w:lang w:val="fr-CA"/>
        </w:rPr>
        <w:t>’</w:t>
      </w:r>
      <w:r w:rsidRPr="00E6549A">
        <w:rPr>
          <w:rFonts w:cs="Times New Roman"/>
          <w:lang w:val="fr-CA"/>
        </w:rPr>
        <w:t>instructions légalement exactes pour chaque situation qu</w:t>
      </w:r>
      <w:r w:rsidR="004C6C13">
        <w:rPr>
          <w:rFonts w:cs="Times New Roman"/>
          <w:lang w:val="fr-CA"/>
        </w:rPr>
        <w:t>’</w:t>
      </w:r>
      <w:r w:rsidRPr="00E6549A">
        <w:rPr>
          <w:rFonts w:cs="Times New Roman"/>
          <w:lang w:val="fr-CA"/>
        </w:rPr>
        <w:t>elles sont censées viser et elles ne prétendent pas le faire. Il n</w:t>
      </w:r>
      <w:r w:rsidR="004C6C13">
        <w:rPr>
          <w:rFonts w:cs="Times New Roman"/>
          <w:lang w:val="fr-CA"/>
        </w:rPr>
        <w:t>’</w:t>
      </w:r>
      <w:r w:rsidRPr="00E6549A">
        <w:rPr>
          <w:rFonts w:cs="Times New Roman"/>
          <w:lang w:val="fr-CA"/>
        </w:rPr>
        <w:t>existe pas de directives au jury universelles. Tout au plus, les modèles de directives offrent</w:t>
      </w:r>
      <w:r w:rsidRPr="00E6549A">
        <w:rPr>
          <w:rFonts w:cs="Times New Roman"/>
          <w:lang w:val="fr-CA"/>
        </w:rPr>
        <w:noBreakHyphen/>
        <w:t>ils des éléments de base permettant de formuler des instructions finales ou autres. Les particularités de chaque affaire détermineront la nature et l</w:t>
      </w:r>
      <w:r w:rsidR="004C6C13">
        <w:rPr>
          <w:rFonts w:cs="Times New Roman"/>
          <w:lang w:val="fr-CA"/>
        </w:rPr>
        <w:t>’</w:t>
      </w:r>
      <w:r w:rsidRPr="00E6549A">
        <w:rPr>
          <w:rFonts w:cs="Times New Roman"/>
          <w:lang w:val="fr-CA"/>
        </w:rPr>
        <w:t>ampleur des modifications requises pour assurer l</w:t>
      </w:r>
      <w:r w:rsidR="004C6C13">
        <w:rPr>
          <w:rFonts w:cs="Times New Roman"/>
          <w:lang w:val="fr-CA"/>
        </w:rPr>
        <w:t>’</w:t>
      </w:r>
      <w:r w:rsidRPr="00E6549A">
        <w:rPr>
          <w:rFonts w:cs="Times New Roman"/>
          <w:lang w:val="fr-CA"/>
        </w:rPr>
        <w:t xml:space="preserve">exactitude juridique. </w:t>
      </w:r>
      <w:r w:rsidRPr="00E6549A">
        <w:rPr>
          <w:rFonts w:cs="Times New Roman"/>
        </w:rPr>
        <w:t>[</w:t>
      </w:r>
      <w:r w:rsidR="00646524">
        <w:rPr>
          <w:rFonts w:cs="Times New Roman"/>
        </w:rPr>
        <w:t>En i</w:t>
      </w:r>
      <w:r w:rsidRPr="00E6549A">
        <w:rPr>
          <w:rFonts w:cs="Times New Roman"/>
        </w:rPr>
        <w:t>talique dans l</w:t>
      </w:r>
      <w:r w:rsidR="004C6C13">
        <w:rPr>
          <w:rFonts w:cs="Times New Roman"/>
        </w:rPr>
        <w:t>’</w:t>
      </w:r>
      <w:r w:rsidRPr="00E6549A">
        <w:rPr>
          <w:rFonts w:cs="Times New Roman"/>
        </w:rPr>
        <w:t>original.]</w:t>
      </w:r>
    </w:p>
    <w:p w:rsidR="002D6514" w:rsidRPr="00E6549A" w:rsidRDefault="002D6514" w:rsidP="00AF284E">
      <w:pPr>
        <w:pStyle w:val="ParaNoNdepar-AltN"/>
        <w:widowControl w:val="0"/>
        <w:rPr>
          <w:rFonts w:cs="Times New Roman"/>
          <w:lang w:val="fr-CA"/>
        </w:rPr>
      </w:pPr>
      <w:r w:rsidRPr="00E6549A">
        <w:rPr>
          <w:rFonts w:cs="Times New Roman"/>
          <w:lang w:val="fr-CA"/>
        </w:rPr>
        <w:t>En l</w:t>
      </w:r>
      <w:r w:rsidR="004C6C13">
        <w:rPr>
          <w:rFonts w:cs="Times New Roman"/>
          <w:lang w:val="fr-CA"/>
        </w:rPr>
        <w:t>’</w:t>
      </w:r>
      <w:r w:rsidRPr="00E6549A">
        <w:rPr>
          <w:rFonts w:cs="Times New Roman"/>
          <w:lang w:val="fr-CA"/>
        </w:rPr>
        <w:t xml:space="preserve">espèce, quelques modestes modifications auraient produit un exposé sans erreurs de droit. Par ailleurs, un grand nombre des directives qui y figuraient auraient pu et auraient dû être supprimées. Si, dans le cadre du nouveau procès de M. Rodgerson, des éléments de preuve essentiellement semblables sont présentés et </w:t>
      </w:r>
      <w:r w:rsidRPr="00E6549A">
        <w:rPr>
          <w:rFonts w:cs="Times New Roman"/>
          <w:lang w:val="fr-CA"/>
        </w:rPr>
        <w:lastRenderedPageBreak/>
        <w:t>que la position des parties relativement à ces éléments de preuve demeure la même, j</w:t>
      </w:r>
      <w:r w:rsidR="004C6C13">
        <w:rPr>
          <w:rFonts w:cs="Times New Roman"/>
          <w:lang w:val="fr-CA"/>
        </w:rPr>
        <w:t>’</w:t>
      </w:r>
      <w:r w:rsidRPr="00E6549A">
        <w:rPr>
          <w:rFonts w:cs="Times New Roman"/>
          <w:lang w:val="fr-CA"/>
        </w:rPr>
        <w:t>estime qu</w:t>
      </w:r>
      <w:r w:rsidR="004C6C13">
        <w:rPr>
          <w:rFonts w:cs="Times New Roman"/>
          <w:lang w:val="fr-CA"/>
        </w:rPr>
        <w:t>’</w:t>
      </w:r>
      <w:r w:rsidRPr="00E6549A">
        <w:rPr>
          <w:rFonts w:cs="Times New Roman"/>
          <w:lang w:val="fr-CA"/>
        </w:rPr>
        <w:t>un exposé au jury beaucoup plus simple suffirait. Il serait avantageux pour M. Rodgerson que le jury examine attentivement la preuve et les arguments qui constituent le fondement de sa défense, et qu</w:t>
      </w:r>
      <w:r w:rsidR="004C6C13">
        <w:rPr>
          <w:rFonts w:cs="Times New Roman"/>
          <w:lang w:val="fr-CA"/>
        </w:rPr>
        <w:t>’</w:t>
      </w:r>
      <w:r w:rsidRPr="00E6549A">
        <w:rPr>
          <w:rFonts w:cs="Times New Roman"/>
          <w:lang w:val="fr-CA"/>
        </w:rPr>
        <w:t>il ne se laisse pas distraire par des heures de directives générales répétitives qui ne font que créer de la confusion. Le ministère public bénéficierait également d</w:t>
      </w:r>
      <w:r w:rsidR="004C6C13">
        <w:rPr>
          <w:rFonts w:cs="Times New Roman"/>
          <w:lang w:val="fr-CA"/>
        </w:rPr>
        <w:t>’</w:t>
      </w:r>
      <w:r w:rsidRPr="00E6549A">
        <w:rPr>
          <w:rFonts w:cs="Times New Roman"/>
          <w:lang w:val="fr-CA"/>
        </w:rPr>
        <w:t>un exposé simplifié, expurgé de tout élément inutile susceptible de dissimuler des motifs d</w:t>
      </w:r>
      <w:r w:rsidR="004C6C13">
        <w:rPr>
          <w:rFonts w:cs="Times New Roman"/>
          <w:lang w:val="fr-CA"/>
        </w:rPr>
        <w:t>’</w:t>
      </w:r>
      <w:r w:rsidRPr="00E6549A">
        <w:rPr>
          <w:rFonts w:cs="Times New Roman"/>
          <w:lang w:val="fr-CA"/>
        </w:rPr>
        <w:t>appel d</w:t>
      </w:r>
      <w:r w:rsidR="004C6C13">
        <w:rPr>
          <w:rFonts w:cs="Times New Roman"/>
          <w:lang w:val="fr-CA"/>
        </w:rPr>
        <w:t>’</w:t>
      </w:r>
      <w:r w:rsidRPr="00E6549A">
        <w:rPr>
          <w:rFonts w:cs="Times New Roman"/>
          <w:lang w:val="fr-CA"/>
        </w:rPr>
        <w:t>une déclaration de culpabilité. Je ne veux pas paraître naïf et je reconnais qu</w:t>
      </w:r>
      <w:r w:rsidR="004C6C13">
        <w:rPr>
          <w:rFonts w:cs="Times New Roman"/>
          <w:lang w:val="fr-CA"/>
        </w:rPr>
        <w:t>’</w:t>
      </w:r>
      <w:r w:rsidRPr="00E6549A">
        <w:rPr>
          <w:rFonts w:cs="Times New Roman"/>
          <w:lang w:val="fr-CA"/>
        </w:rPr>
        <w:t>une méthode qui assure que « tout le monde sort gagnant » est plus facile à proposer qu</w:t>
      </w:r>
      <w:r w:rsidR="004C6C13">
        <w:rPr>
          <w:rFonts w:cs="Times New Roman"/>
          <w:lang w:val="fr-CA"/>
        </w:rPr>
        <w:t>’</w:t>
      </w:r>
      <w:r w:rsidRPr="00E6549A">
        <w:rPr>
          <w:rFonts w:cs="Times New Roman"/>
          <w:lang w:val="fr-CA"/>
        </w:rPr>
        <w:t>à réaliser. Néanmoins, je demeure fermement convaincu que [</w:t>
      </w:r>
      <w:r w:rsidRPr="00E6549A">
        <w:rPr>
          <w:rFonts w:cs="Times New Roman"/>
          <w:smallCaps/>
          <w:lang w:val="fr-CA"/>
        </w:rPr>
        <w:t>traduction</w:t>
      </w:r>
      <w:r w:rsidRPr="00E6549A">
        <w:rPr>
          <w:rFonts w:cs="Times New Roman"/>
          <w:lang w:val="fr-CA"/>
        </w:rPr>
        <w:t>] « le bon sens et le droit ne sont pas nécessairement incompatibles » et que l</w:t>
      </w:r>
      <w:r w:rsidR="004C6C13">
        <w:rPr>
          <w:rFonts w:cs="Times New Roman"/>
          <w:lang w:val="fr-CA"/>
        </w:rPr>
        <w:t>’</w:t>
      </w:r>
      <w:r w:rsidRPr="00E6549A">
        <w:rPr>
          <w:rFonts w:cs="Times New Roman"/>
          <w:lang w:val="fr-CA"/>
        </w:rPr>
        <w:t>objectif fondamental des directives au jury doit être « d</w:t>
      </w:r>
      <w:r w:rsidR="004C6C13">
        <w:rPr>
          <w:rFonts w:cs="Times New Roman"/>
          <w:lang w:val="fr-CA"/>
        </w:rPr>
        <w:t>’</w:t>
      </w:r>
      <w:r w:rsidRPr="00E6549A">
        <w:rPr>
          <w:rFonts w:cs="Times New Roman"/>
          <w:lang w:val="fr-CA"/>
        </w:rPr>
        <w:t>éduquer et non de compliquer les choses » (</w:t>
      </w:r>
      <w:r w:rsidRPr="00E6549A">
        <w:rPr>
          <w:rFonts w:cs="Times New Roman"/>
          <w:i/>
          <w:iCs/>
          <w:lang w:val="fr-CA"/>
        </w:rPr>
        <w:t>R. c. Zebedee</w:t>
      </w:r>
      <w:r w:rsidRPr="00E6549A">
        <w:rPr>
          <w:rFonts w:cs="Times New Roman"/>
          <w:lang w:val="fr-CA"/>
        </w:rPr>
        <w:t xml:space="preserve"> (2006), 81 O.R. (3d) 583 (C.A.), par. 82).</w:t>
      </w:r>
    </w:p>
    <w:p w:rsidR="002D6514" w:rsidRPr="00E6549A" w:rsidRDefault="002D6514" w:rsidP="00AF284E">
      <w:pPr>
        <w:pStyle w:val="Title1LevelTitre1Niveau-AltL"/>
        <w:widowControl w:val="0"/>
        <w:ind w:left="578" w:hanging="578"/>
        <w:rPr>
          <w:rFonts w:cs="Times New Roman"/>
          <w:lang w:val="fr-CA"/>
        </w:rPr>
      </w:pPr>
      <w:r w:rsidRPr="00E6549A">
        <w:rPr>
          <w:rFonts w:cs="Times New Roman"/>
          <w:lang w:val="fr-CA"/>
        </w:rPr>
        <w:t>Conclusion</w:t>
      </w:r>
    </w:p>
    <w:p w:rsidR="002D6514" w:rsidRPr="00E6549A" w:rsidRDefault="002D6514" w:rsidP="00AF284E">
      <w:pPr>
        <w:pStyle w:val="ParaNoNdepar-AltN"/>
        <w:widowControl w:val="0"/>
        <w:rPr>
          <w:rFonts w:cs="Times New Roman"/>
          <w:lang w:val="fr-CA"/>
        </w:rPr>
      </w:pPr>
      <w:r w:rsidRPr="00E6549A">
        <w:rPr>
          <w:rFonts w:cs="Times New Roman"/>
          <w:lang w:val="fr-CA"/>
        </w:rPr>
        <w:t>Il était loisible au jury de conclure que M. Rodgerson avait tenté de dissimuler le corps de M</w:t>
      </w:r>
      <w:r w:rsidRPr="00E6549A">
        <w:rPr>
          <w:rFonts w:eastAsia="MS Mincho" w:cs="Times New Roman"/>
          <w:vertAlign w:val="superscript"/>
          <w:lang w:val="fr-CA"/>
        </w:rPr>
        <w:t>me</w:t>
      </w:r>
      <w:r w:rsidRPr="00E6549A">
        <w:rPr>
          <w:rFonts w:cs="Times New Roman"/>
          <w:lang w:val="fr-CA"/>
        </w:rPr>
        <w:t> Young et de nettoyer les lieux de son décès afin de dissimuler la nature et la gravité des blessures qu</w:t>
      </w:r>
      <w:r w:rsidR="004C6C13">
        <w:rPr>
          <w:rFonts w:cs="Times New Roman"/>
          <w:lang w:val="fr-CA"/>
        </w:rPr>
        <w:t>’</w:t>
      </w:r>
      <w:r w:rsidRPr="00E6549A">
        <w:rPr>
          <w:rFonts w:cs="Times New Roman"/>
          <w:lang w:val="fr-CA"/>
        </w:rPr>
        <w:t>elle avait subies, ainsi que le degré de force requis pour les infliger. Ces éléments auraient à leur tour pu être pertinents pour trancher la question de savoir si M. Rodgerson avait l</w:t>
      </w:r>
      <w:r w:rsidR="004C6C13">
        <w:rPr>
          <w:rFonts w:cs="Times New Roman"/>
          <w:lang w:val="fr-CA"/>
        </w:rPr>
        <w:t>’</w:t>
      </w:r>
      <w:r w:rsidRPr="00E6549A">
        <w:rPr>
          <w:rFonts w:cs="Times New Roman"/>
          <w:lang w:val="fr-CA"/>
        </w:rPr>
        <w:t>intention requise pour commettre un meurtre : plus les blessures étaient graves et plus la force requise pour les infliger était grande, plus il était possible d</w:t>
      </w:r>
      <w:r w:rsidR="004C6C13">
        <w:rPr>
          <w:rFonts w:cs="Times New Roman"/>
          <w:lang w:val="fr-CA"/>
        </w:rPr>
        <w:t>’</w:t>
      </w:r>
      <w:r w:rsidRPr="00E6549A">
        <w:rPr>
          <w:rFonts w:cs="Times New Roman"/>
          <w:lang w:val="fr-CA"/>
        </w:rPr>
        <w:t xml:space="preserve">en déduire que M. Rodgerson avait </w:t>
      </w:r>
      <w:r w:rsidRPr="00E6549A">
        <w:rPr>
          <w:rFonts w:cs="Times New Roman"/>
          <w:lang w:val="fr-CA"/>
        </w:rPr>
        <w:lastRenderedPageBreak/>
        <w:t>l</w:t>
      </w:r>
      <w:r w:rsidR="004C6C13">
        <w:rPr>
          <w:rFonts w:cs="Times New Roman"/>
          <w:lang w:val="fr-CA"/>
        </w:rPr>
        <w:t>’</w:t>
      </w:r>
      <w:r w:rsidRPr="00E6549A">
        <w:rPr>
          <w:rFonts w:cs="Times New Roman"/>
          <w:lang w:val="fr-CA"/>
        </w:rPr>
        <w:t>intention de tuer M</w:t>
      </w:r>
      <w:r w:rsidRPr="00E6549A">
        <w:rPr>
          <w:rFonts w:eastAsia="MS Mincho" w:cs="Times New Roman"/>
          <w:vertAlign w:val="superscript"/>
          <w:lang w:val="fr-CA"/>
        </w:rPr>
        <w:t>me</w:t>
      </w:r>
      <w:r w:rsidRPr="00E6549A">
        <w:rPr>
          <w:rFonts w:cs="Times New Roman"/>
          <w:lang w:val="fr-CA"/>
        </w:rPr>
        <w:t> Young ou de lui causer des lésions corporelles qu</w:t>
      </w:r>
      <w:r w:rsidR="004C6C13">
        <w:rPr>
          <w:rFonts w:cs="Times New Roman"/>
          <w:lang w:val="fr-CA"/>
        </w:rPr>
        <w:t>’</w:t>
      </w:r>
      <w:r w:rsidRPr="00E6549A">
        <w:rPr>
          <w:rFonts w:cs="Times New Roman"/>
          <w:lang w:val="fr-CA"/>
        </w:rPr>
        <w:t>il savait être de nature à causer la mort.</w:t>
      </w:r>
    </w:p>
    <w:p w:rsidR="002D6514" w:rsidRPr="00E6549A" w:rsidRDefault="002D6514" w:rsidP="00AF284E">
      <w:pPr>
        <w:pStyle w:val="ParaNoNdepar-AltN"/>
        <w:widowControl w:val="0"/>
        <w:rPr>
          <w:rFonts w:cs="Times New Roman"/>
          <w:lang w:val="fr-CA"/>
        </w:rPr>
      </w:pPr>
      <w:r w:rsidRPr="00E6549A">
        <w:rPr>
          <w:rFonts w:cs="Times New Roman"/>
          <w:lang w:val="fr-CA"/>
        </w:rPr>
        <w:t>Ce raisonnement par déduction était ténu et la pertinence de la preuve était faible. Le juge du procès aurait dû aider le jury en lui donnant des directives précises sur la façon d</w:t>
      </w:r>
      <w:r w:rsidR="004C6C13">
        <w:rPr>
          <w:rFonts w:cs="Times New Roman"/>
          <w:lang w:val="fr-CA"/>
        </w:rPr>
        <w:t>’</w:t>
      </w:r>
      <w:r w:rsidRPr="00E6549A">
        <w:rPr>
          <w:rFonts w:cs="Times New Roman"/>
          <w:lang w:val="fr-CA"/>
        </w:rPr>
        <w:t>établir un lien entre, d</w:t>
      </w:r>
      <w:r w:rsidR="004C6C13">
        <w:rPr>
          <w:rFonts w:cs="Times New Roman"/>
          <w:lang w:val="fr-CA"/>
        </w:rPr>
        <w:t>’</w:t>
      </w:r>
      <w:r w:rsidRPr="00E6549A">
        <w:rPr>
          <w:rFonts w:cs="Times New Roman"/>
          <w:lang w:val="fr-CA"/>
        </w:rPr>
        <w:t>une part, les éléments de preuve relatifs à la dissimulation et au nettoyage et, d</w:t>
      </w:r>
      <w:r w:rsidR="004C6C13">
        <w:rPr>
          <w:rFonts w:cs="Times New Roman"/>
          <w:lang w:val="fr-CA"/>
        </w:rPr>
        <w:t>’</w:t>
      </w:r>
      <w:r w:rsidRPr="00E6549A">
        <w:rPr>
          <w:rFonts w:cs="Times New Roman"/>
          <w:lang w:val="fr-CA"/>
        </w:rPr>
        <w:t>autre part, la question de l</w:t>
      </w:r>
      <w:r w:rsidR="004C6C13">
        <w:rPr>
          <w:rFonts w:cs="Times New Roman"/>
          <w:lang w:val="fr-CA"/>
        </w:rPr>
        <w:t>’</w:t>
      </w:r>
      <w:r w:rsidRPr="00E6549A">
        <w:rPr>
          <w:rFonts w:cs="Times New Roman"/>
          <w:lang w:val="fr-CA"/>
        </w:rPr>
        <w:t>intention. Son défaut de le faire constitue une erreur de droit qui, combinée aux directives erronées qu</w:t>
      </w:r>
      <w:r w:rsidR="004C6C13">
        <w:rPr>
          <w:rFonts w:cs="Times New Roman"/>
          <w:lang w:val="fr-CA"/>
        </w:rPr>
        <w:t>’</w:t>
      </w:r>
      <w:r w:rsidRPr="00E6549A">
        <w:rPr>
          <w:rFonts w:cs="Times New Roman"/>
          <w:lang w:val="fr-CA"/>
        </w:rPr>
        <w:t>il a données au sujet du fait que M. Rodgerson avait tenté d</w:t>
      </w:r>
      <w:r w:rsidR="004C6C13">
        <w:rPr>
          <w:rFonts w:cs="Times New Roman"/>
          <w:lang w:val="fr-CA"/>
        </w:rPr>
        <w:t>’</w:t>
      </w:r>
      <w:r w:rsidRPr="00E6549A">
        <w:rPr>
          <w:rFonts w:cs="Times New Roman"/>
          <w:lang w:val="fr-CA"/>
        </w:rPr>
        <w:t>échapper aux policiers et leur avait menti, était suffisamment grave pour que la disposition réparatrice ne puisse s</w:t>
      </w:r>
      <w:r w:rsidR="004C6C13">
        <w:rPr>
          <w:rFonts w:cs="Times New Roman"/>
          <w:lang w:val="fr-CA"/>
        </w:rPr>
        <w:t>’</w:t>
      </w:r>
      <w:r w:rsidRPr="00E6549A">
        <w:rPr>
          <w:rFonts w:cs="Times New Roman"/>
          <w:lang w:val="fr-CA"/>
        </w:rPr>
        <w:t>appliquer. Je suis d</w:t>
      </w:r>
      <w:r w:rsidR="004C6C13">
        <w:rPr>
          <w:rFonts w:cs="Times New Roman"/>
          <w:lang w:val="fr-CA"/>
        </w:rPr>
        <w:t>’</w:t>
      </w:r>
      <w:r w:rsidRPr="00E6549A">
        <w:rPr>
          <w:rFonts w:cs="Times New Roman"/>
          <w:lang w:val="fr-CA"/>
        </w:rPr>
        <w:t>avis de rejeter le pourvoi formé par le ministère public et de confirmer le jugement par lequel la Cour d</w:t>
      </w:r>
      <w:r w:rsidR="004C6C13">
        <w:rPr>
          <w:rFonts w:cs="Times New Roman"/>
          <w:lang w:val="fr-CA"/>
        </w:rPr>
        <w:t>’</w:t>
      </w:r>
      <w:r w:rsidRPr="00E6549A">
        <w:rPr>
          <w:rFonts w:cs="Times New Roman"/>
          <w:lang w:val="fr-CA"/>
        </w:rPr>
        <w:t>appel a ordonné la tenue d</w:t>
      </w:r>
      <w:r w:rsidR="004C6C13">
        <w:rPr>
          <w:rFonts w:cs="Times New Roman"/>
          <w:lang w:val="fr-CA"/>
        </w:rPr>
        <w:t>’</w:t>
      </w:r>
      <w:r w:rsidRPr="00E6549A">
        <w:rPr>
          <w:rFonts w:cs="Times New Roman"/>
          <w:lang w:val="fr-CA"/>
        </w:rPr>
        <w:t>un nouveau procès pour meurtre au second degré.</w:t>
      </w:r>
    </w:p>
    <w:p w:rsidR="002D6514" w:rsidRPr="00C53C3A" w:rsidRDefault="002D6514" w:rsidP="00AF284E">
      <w:pPr>
        <w:pStyle w:val="SCCNormalDoubleSpacing"/>
        <w:widowControl w:val="0"/>
        <w:spacing w:after="480"/>
        <w:rPr>
          <w:lang w:val="fr-CA"/>
        </w:rPr>
      </w:pPr>
      <w:r w:rsidRPr="00C53C3A">
        <w:rPr>
          <w:lang w:val="fr-CA"/>
        </w:rPr>
        <w:tab/>
      </w:r>
      <w:r w:rsidRPr="00C53C3A">
        <w:rPr>
          <w:i/>
          <w:lang w:val="fr-CA"/>
        </w:rPr>
        <w:t>Pourvoi rejeté.</w:t>
      </w:r>
    </w:p>
    <w:p w:rsidR="002D6514" w:rsidRPr="00C53C3A" w:rsidRDefault="002D6514" w:rsidP="00AF284E">
      <w:pPr>
        <w:pStyle w:val="SCCLawFirm"/>
        <w:widowControl w:val="0"/>
        <w:spacing w:after="480"/>
        <w:rPr>
          <w:lang w:val="fr-CA"/>
        </w:rPr>
      </w:pPr>
      <w:r w:rsidRPr="00C53C3A">
        <w:rPr>
          <w:lang w:val="fr-CA"/>
        </w:rPr>
        <w:tab/>
        <w:t>Procureur de l</w:t>
      </w:r>
      <w:r w:rsidR="004C6C13">
        <w:rPr>
          <w:lang w:val="fr-CA"/>
        </w:rPr>
        <w:t>’</w:t>
      </w:r>
      <w:r w:rsidRPr="00C53C3A">
        <w:rPr>
          <w:lang w:val="fr-CA"/>
        </w:rPr>
        <w:t>appelante : Procureur général de l</w:t>
      </w:r>
      <w:r w:rsidR="004C6C13">
        <w:rPr>
          <w:lang w:val="fr-CA"/>
        </w:rPr>
        <w:t>’</w:t>
      </w:r>
      <w:r w:rsidRPr="00C53C3A">
        <w:rPr>
          <w:lang w:val="fr-CA"/>
        </w:rPr>
        <w:t>Ontario, Toronto.</w:t>
      </w:r>
    </w:p>
    <w:p w:rsidR="002D6514" w:rsidRPr="004A5BEC" w:rsidRDefault="002D6514" w:rsidP="00AF284E">
      <w:pPr>
        <w:pStyle w:val="SCCLawFirm"/>
        <w:widowControl w:val="0"/>
        <w:rPr>
          <w:lang w:val="fr-CA"/>
        </w:rPr>
      </w:pPr>
      <w:r w:rsidRPr="00C53C3A">
        <w:rPr>
          <w:lang w:val="fr-CA"/>
        </w:rPr>
        <w:tab/>
        <w:t>Procureurs de l</w:t>
      </w:r>
      <w:r w:rsidR="004C6C13">
        <w:rPr>
          <w:lang w:val="fr-CA"/>
        </w:rPr>
        <w:t>’</w:t>
      </w:r>
      <w:r w:rsidRPr="00C53C3A">
        <w:rPr>
          <w:lang w:val="fr-CA"/>
        </w:rPr>
        <w:t>intimé : Hicks Adams, Toronto.</w:t>
      </w:r>
      <w:r w:rsidRPr="004A5BEC">
        <w:rPr>
          <w:lang w:val="fr-CA"/>
        </w:rPr>
        <w:t xml:space="preserve"> </w:t>
      </w:r>
    </w:p>
    <w:p w:rsidR="00E005E9" w:rsidRPr="004A5BEC" w:rsidRDefault="00E005E9" w:rsidP="00AF284E">
      <w:pPr>
        <w:widowControl w:val="0"/>
        <w:rPr>
          <w:lang w:val="fr-CA"/>
        </w:rPr>
      </w:pPr>
    </w:p>
    <w:sectPr w:rsidR="00E005E9" w:rsidRPr="004A5BEC" w:rsidSect="00E007BB">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24" w:rsidRDefault="00646524" w:rsidP="002D6514">
      <w:r>
        <w:separator/>
      </w:r>
    </w:p>
  </w:endnote>
  <w:endnote w:type="continuationSeparator" w:id="0">
    <w:p w:rsidR="00646524" w:rsidRDefault="00646524" w:rsidP="002D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24" w:rsidRDefault="00646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24" w:rsidRDefault="00646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24" w:rsidRDefault="00646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24" w:rsidRDefault="00646524" w:rsidP="002D6514">
      <w:r>
        <w:separator/>
      </w:r>
    </w:p>
  </w:footnote>
  <w:footnote w:type="continuationSeparator" w:id="0">
    <w:p w:rsidR="00646524" w:rsidRDefault="00646524" w:rsidP="002D6514">
      <w:r>
        <w:continuationSeparator/>
      </w:r>
    </w:p>
  </w:footnote>
  <w:footnote w:id="1">
    <w:p w:rsidR="00646524" w:rsidRPr="00F264E5" w:rsidRDefault="00646524" w:rsidP="00646524">
      <w:pPr>
        <w:pStyle w:val="FootnoteText"/>
        <w:tabs>
          <w:tab w:val="left" w:pos="180"/>
        </w:tabs>
        <w:ind w:left="180" w:hanging="180"/>
        <w:jc w:val="both"/>
        <w:rPr>
          <w:rFonts w:cs="Times New Roman"/>
          <w:lang w:val="fr-CA"/>
        </w:rPr>
      </w:pPr>
      <w:r w:rsidRPr="00DD6E50">
        <w:rPr>
          <w:rStyle w:val="FootnoteReference"/>
          <w:lang w:val="fr-CA"/>
        </w:rPr>
        <w:footnoteRef/>
      </w:r>
      <w:r w:rsidRPr="00DD6E50">
        <w:rPr>
          <w:rFonts w:cs="Times New Roman"/>
          <w:lang w:val="fr-CA"/>
        </w:rPr>
        <w:t xml:space="preserve"> </w:t>
      </w:r>
      <w:r>
        <w:rPr>
          <w:rFonts w:cs="Times New Roman"/>
          <w:lang w:val="fr-CA"/>
        </w:rPr>
        <w:tab/>
      </w:r>
      <w:r w:rsidRPr="00DD6E50">
        <w:rPr>
          <w:rFonts w:cs="Times New Roman"/>
          <w:lang w:val="fr-CA"/>
        </w:rPr>
        <w:t>Au cours de la conférence préalable à l</w:t>
      </w:r>
      <w:r>
        <w:rPr>
          <w:rFonts w:cs="Times New Roman"/>
          <w:lang w:val="fr-CA"/>
        </w:rPr>
        <w:t>’</w:t>
      </w:r>
      <w:r w:rsidRPr="00DD6E50">
        <w:rPr>
          <w:rFonts w:cs="Times New Roman"/>
          <w:lang w:val="fr-CA"/>
        </w:rPr>
        <w:t>exposé</w:t>
      </w:r>
      <w:r>
        <w:rPr>
          <w:rFonts w:cs="Times New Roman"/>
          <w:lang w:val="fr-CA"/>
        </w:rPr>
        <w:t xml:space="preserve"> du juge au jury</w:t>
      </w:r>
      <w:r w:rsidRPr="00DD6E50">
        <w:rPr>
          <w:rFonts w:cs="Times New Roman"/>
          <w:lang w:val="fr-CA"/>
        </w:rPr>
        <w:t>, l</w:t>
      </w:r>
      <w:r>
        <w:rPr>
          <w:rFonts w:cs="Times New Roman"/>
          <w:lang w:val="fr-CA"/>
        </w:rPr>
        <w:t>’</w:t>
      </w:r>
      <w:r w:rsidRPr="00DD6E50">
        <w:rPr>
          <w:rFonts w:cs="Times New Roman"/>
          <w:lang w:val="fr-CA"/>
        </w:rPr>
        <w:t>avocat de la défense a invoqué l</w:t>
      </w:r>
      <w:r>
        <w:rPr>
          <w:rFonts w:cs="Times New Roman"/>
          <w:lang w:val="fr-CA"/>
        </w:rPr>
        <w:t>’</w:t>
      </w:r>
      <w:r w:rsidRPr="00DD6E50">
        <w:rPr>
          <w:rFonts w:cs="Times New Roman"/>
          <w:lang w:val="fr-CA"/>
        </w:rPr>
        <w:t xml:space="preserve">arrêt </w:t>
      </w:r>
      <w:r w:rsidRPr="00DD6E50">
        <w:rPr>
          <w:rFonts w:cs="Times New Roman"/>
          <w:i/>
          <w:iCs/>
          <w:lang w:val="fr-CA"/>
        </w:rPr>
        <w:t>R. c. Mathisen</w:t>
      </w:r>
      <w:r w:rsidRPr="00DD6E50">
        <w:rPr>
          <w:rFonts w:cs="Times New Roman"/>
          <w:lang w:val="fr-CA"/>
        </w:rPr>
        <w:t>, 2008 ONCA 747,</w:t>
      </w:r>
      <w:r>
        <w:rPr>
          <w:rFonts w:cs="Times New Roman"/>
          <w:lang w:val="fr-CA"/>
        </w:rPr>
        <w:t xml:space="preserve"> 239</w:t>
      </w:r>
      <w:r w:rsidRPr="00DD6E50">
        <w:rPr>
          <w:rFonts w:cs="Times New Roman"/>
          <w:lang w:val="fr-CA"/>
        </w:rPr>
        <w:t xml:space="preserve"> </w:t>
      </w:r>
      <w:r>
        <w:rPr>
          <w:rFonts w:cs="Times New Roman"/>
          <w:lang w:val="fr-CA"/>
        </w:rPr>
        <w:t xml:space="preserve">C.C.C. (3d) </w:t>
      </w:r>
      <w:r w:rsidRPr="00A7170E">
        <w:rPr>
          <w:rFonts w:cs="Times New Roman"/>
          <w:lang w:val="fr-CA"/>
        </w:rPr>
        <w:t>63, pour</w:t>
      </w:r>
      <w:r w:rsidRPr="00DD6E50">
        <w:rPr>
          <w:rFonts w:cs="Times New Roman"/>
          <w:lang w:val="fr-CA"/>
        </w:rPr>
        <w:t xml:space="preserve"> appuyer sa demande de directives sur la défense d</w:t>
      </w:r>
      <w:r>
        <w:rPr>
          <w:rFonts w:cs="Times New Roman"/>
          <w:lang w:val="fr-CA"/>
        </w:rPr>
        <w:t>’</w:t>
      </w:r>
      <w:r w:rsidRPr="00DD6E50">
        <w:rPr>
          <w:rFonts w:cs="Times New Roman"/>
          <w:lang w:val="fr-CA"/>
        </w:rPr>
        <w:t xml:space="preserve">accident </w:t>
      </w:r>
      <w:r w:rsidRPr="00A7170E">
        <w:rPr>
          <w:rFonts w:cs="Times New Roman"/>
          <w:lang w:val="fr-CA"/>
        </w:rPr>
        <w:t>attribuable</w:t>
      </w:r>
      <w:r w:rsidRPr="00DD6E50">
        <w:rPr>
          <w:rFonts w:cs="Times New Roman"/>
          <w:lang w:val="fr-CA"/>
        </w:rPr>
        <w:t xml:space="preserve"> à un « acte involontaire ». Le juge du procès a exprimé son scepticisme quant à l</w:t>
      </w:r>
      <w:r>
        <w:rPr>
          <w:rFonts w:cs="Times New Roman"/>
          <w:lang w:val="fr-CA"/>
        </w:rPr>
        <w:t>’</w:t>
      </w:r>
      <w:r w:rsidRPr="00DD6E50">
        <w:rPr>
          <w:rFonts w:cs="Times New Roman"/>
          <w:lang w:val="fr-CA"/>
        </w:rPr>
        <w:t>apparence de vraisemblance de ce moyen de défense au vu du dossier, mais a accepté de formuler des directives en ce sens parce que l</w:t>
      </w:r>
      <w:r>
        <w:rPr>
          <w:rFonts w:cs="Times New Roman"/>
          <w:lang w:val="fr-CA"/>
        </w:rPr>
        <w:t>’</w:t>
      </w:r>
      <w:r w:rsidRPr="00DD6E50">
        <w:rPr>
          <w:rFonts w:cs="Times New Roman"/>
          <w:lang w:val="fr-CA"/>
        </w:rPr>
        <w:t>avocat du ministère public ne s</w:t>
      </w:r>
      <w:r>
        <w:rPr>
          <w:rFonts w:cs="Times New Roman"/>
          <w:lang w:val="fr-CA"/>
        </w:rPr>
        <w:t>’</w:t>
      </w:r>
      <w:r w:rsidRPr="00DD6E50">
        <w:rPr>
          <w:rFonts w:cs="Times New Roman"/>
          <w:lang w:val="fr-CA"/>
        </w:rPr>
        <w:t>ét</w:t>
      </w:r>
      <w:r>
        <w:rPr>
          <w:rFonts w:cs="Times New Roman"/>
          <w:lang w:val="fr-CA"/>
        </w:rPr>
        <w:t>ait pas opposé à cette demande</w:t>
      </w:r>
      <w:r w:rsidRPr="00DD6E50">
        <w:rPr>
          <w:rFonts w:cs="Times New Roman"/>
          <w:lang w:val="fr-CA"/>
        </w:rPr>
        <w:t xml:space="preserve">. À mon avis, les faits de la présente affaire sur cette question offrent peu de </w:t>
      </w:r>
      <w:r>
        <w:rPr>
          <w:rFonts w:cs="Times New Roman"/>
          <w:lang w:val="fr-CA"/>
        </w:rPr>
        <w:t xml:space="preserve">ressemblance </w:t>
      </w:r>
      <w:r w:rsidRPr="00DD6E50">
        <w:rPr>
          <w:rFonts w:cs="Times New Roman"/>
          <w:lang w:val="fr-CA"/>
        </w:rPr>
        <w:t>avec ceux de l</w:t>
      </w:r>
      <w:r>
        <w:rPr>
          <w:rFonts w:cs="Times New Roman"/>
          <w:lang w:val="fr-CA"/>
        </w:rPr>
        <w:t>’</w:t>
      </w:r>
      <w:r w:rsidRPr="00DD6E50">
        <w:rPr>
          <w:rFonts w:cs="Times New Roman"/>
          <w:lang w:val="fr-CA"/>
        </w:rPr>
        <w:t xml:space="preserve">affaire </w:t>
      </w:r>
      <w:r w:rsidRPr="00DD6E50">
        <w:rPr>
          <w:rFonts w:cs="Times New Roman"/>
          <w:i/>
          <w:iCs/>
          <w:lang w:val="fr-CA"/>
        </w:rPr>
        <w:t>Mathisen</w:t>
      </w:r>
      <w:r w:rsidRPr="00DD6E50">
        <w:rPr>
          <w:rFonts w:cs="Times New Roman"/>
          <w:lang w:val="fr-CA"/>
        </w:rPr>
        <w:t>. En contre-interrogatoire, M. Rodgerson a expliqué qu</w:t>
      </w:r>
      <w:r>
        <w:rPr>
          <w:rFonts w:cs="Times New Roman"/>
          <w:lang w:val="fr-CA"/>
        </w:rPr>
        <w:t>’</w:t>
      </w:r>
      <w:r w:rsidRPr="00DD6E50">
        <w:rPr>
          <w:rFonts w:cs="Times New Roman"/>
          <w:lang w:val="fr-CA"/>
        </w:rPr>
        <w:t>il avait exercé une pression sur le visage de M</w:t>
      </w:r>
      <w:r w:rsidRPr="00DD6E50">
        <w:rPr>
          <w:rFonts w:eastAsia="MS Mincho" w:cs="Times New Roman"/>
          <w:sz w:val="24"/>
          <w:szCs w:val="24"/>
          <w:vertAlign w:val="superscript"/>
          <w:lang w:val="fr-CA"/>
        </w:rPr>
        <w:t>me</w:t>
      </w:r>
      <w:r w:rsidRPr="00DD6E50">
        <w:rPr>
          <w:rFonts w:cs="Times New Roman"/>
          <w:lang w:val="fr-CA"/>
        </w:rPr>
        <w:t> Young avec son bras en utilisant le degré de force qu</w:t>
      </w:r>
      <w:r>
        <w:rPr>
          <w:rFonts w:cs="Times New Roman"/>
          <w:lang w:val="fr-CA"/>
        </w:rPr>
        <w:t>’</w:t>
      </w:r>
      <w:r w:rsidRPr="00DD6E50">
        <w:rPr>
          <w:rFonts w:cs="Times New Roman"/>
          <w:lang w:val="fr-CA"/>
        </w:rPr>
        <w:t>il avait jugé nécessaire po</w:t>
      </w:r>
      <w:r>
        <w:rPr>
          <w:rFonts w:cs="Times New Roman"/>
          <w:lang w:val="fr-CA"/>
        </w:rPr>
        <w:t>ur l’empêcher de le poignarder</w:t>
      </w:r>
      <w:r w:rsidRPr="00DD6E50">
        <w:rPr>
          <w:rFonts w:cs="Times New Roman"/>
          <w:lang w:val="fr-CA"/>
        </w:rPr>
        <w:t>. Dans son plaidoyer final au jury, l</w:t>
      </w:r>
      <w:r>
        <w:rPr>
          <w:rFonts w:cs="Times New Roman"/>
          <w:lang w:val="fr-CA"/>
        </w:rPr>
        <w:t>’</w:t>
      </w:r>
      <w:r w:rsidRPr="00DD6E50">
        <w:rPr>
          <w:rFonts w:cs="Times New Roman"/>
          <w:lang w:val="fr-CA"/>
        </w:rPr>
        <w:t>avocat de la défense a répété que M. Rodgerson [</w:t>
      </w:r>
      <w:r w:rsidRPr="00DD6E50">
        <w:rPr>
          <w:rFonts w:cs="Times New Roman"/>
          <w:smallCaps/>
          <w:lang w:val="fr-CA"/>
        </w:rPr>
        <w:t>traduction</w:t>
      </w:r>
      <w:r w:rsidRPr="00DD6E50">
        <w:rPr>
          <w:rFonts w:cs="Times New Roman"/>
          <w:lang w:val="fr-CA"/>
        </w:rPr>
        <w:t>] « appuyait sur son visage aussi fort qu</w:t>
      </w:r>
      <w:r w:rsidR="00E01891">
        <w:rPr>
          <w:rFonts w:cs="Times New Roman"/>
          <w:lang w:val="fr-CA"/>
        </w:rPr>
        <w:t>[</w:t>
      </w:r>
      <w:r>
        <w:rPr>
          <w:rFonts w:cs="Times New Roman"/>
          <w:lang w:val="fr-CA"/>
        </w:rPr>
        <w:t>’</w:t>
      </w:r>
      <w:r w:rsidRPr="00DD6E50">
        <w:rPr>
          <w:rFonts w:cs="Times New Roman"/>
          <w:lang w:val="fr-CA"/>
        </w:rPr>
        <w:t>il</w:t>
      </w:r>
      <w:r w:rsidR="00E01891">
        <w:rPr>
          <w:rFonts w:cs="Times New Roman"/>
          <w:lang w:val="fr-CA"/>
        </w:rPr>
        <w:t>]</w:t>
      </w:r>
      <w:r w:rsidRPr="00DD6E50">
        <w:rPr>
          <w:rFonts w:cs="Times New Roman"/>
          <w:lang w:val="fr-CA"/>
        </w:rPr>
        <w:t xml:space="preserve"> le pouvai</w:t>
      </w:r>
      <w:r w:rsidR="00E01891">
        <w:rPr>
          <w:rFonts w:cs="Times New Roman"/>
          <w:lang w:val="fr-CA"/>
        </w:rPr>
        <w:t>[</w:t>
      </w:r>
      <w:r w:rsidRPr="00DD6E50">
        <w:rPr>
          <w:rFonts w:cs="Times New Roman"/>
          <w:lang w:val="fr-CA"/>
        </w:rPr>
        <w:t>t</w:t>
      </w:r>
      <w:r w:rsidR="00E01891">
        <w:rPr>
          <w:rFonts w:cs="Times New Roman"/>
          <w:lang w:val="fr-CA"/>
        </w:rPr>
        <w:t>]</w:t>
      </w:r>
      <w:r w:rsidRPr="00DD6E50">
        <w:rPr>
          <w:rFonts w:cs="Times New Roman"/>
          <w:lang w:val="fr-CA"/>
        </w:rPr>
        <w:t xml:space="preserve"> » </w:t>
      </w:r>
      <w:r>
        <w:rPr>
          <w:rFonts w:cs="Times New Roman"/>
          <w:lang w:val="fr-CA"/>
        </w:rPr>
        <w:t>(d.a.</w:t>
      </w:r>
      <w:r w:rsidRPr="00DD6E50">
        <w:rPr>
          <w:rFonts w:cs="Times New Roman"/>
          <w:lang w:val="fr-CA"/>
        </w:rPr>
        <w:t>, vol. VIII, p. 153</w:t>
      </w:r>
      <w:r>
        <w:rPr>
          <w:rFonts w:cs="Times New Roman"/>
          <w:lang w:val="fr-CA"/>
        </w:rPr>
        <w:t>)</w:t>
      </w:r>
      <w:r w:rsidRPr="00DD6E50">
        <w:rPr>
          <w:rFonts w:cs="Times New Roman"/>
          <w:lang w:val="fr-CA"/>
        </w:rPr>
        <w:t>. Selon le dossier et les arguments en question, rien ne permettait de donner des directives au jury sur la défense de l</w:t>
      </w:r>
      <w:r>
        <w:rPr>
          <w:rFonts w:cs="Times New Roman"/>
          <w:lang w:val="fr-CA"/>
        </w:rPr>
        <w:t>’</w:t>
      </w:r>
      <w:r w:rsidRPr="00DD6E50">
        <w:rPr>
          <w:rFonts w:cs="Times New Roman"/>
          <w:lang w:val="fr-CA"/>
        </w:rPr>
        <w:t xml:space="preserve">accident </w:t>
      </w:r>
      <w:r w:rsidRPr="00A7170E">
        <w:rPr>
          <w:rFonts w:cs="Times New Roman"/>
          <w:lang w:val="fr-CA"/>
        </w:rPr>
        <w:t>attribuable</w:t>
      </w:r>
      <w:r w:rsidRPr="00DD6E50">
        <w:rPr>
          <w:rFonts w:cs="Times New Roman"/>
          <w:lang w:val="fr-CA"/>
        </w:rPr>
        <w:t xml:space="preserve"> à un « acte involontaire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24" w:rsidRDefault="00646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24" w:rsidRPr="00450352" w:rsidRDefault="00646524" w:rsidP="00E00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24" w:rsidRDefault="00646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ascii="Times New Roman" w:hAnsi="Times New Roman" w:cs="Times New Roman" w:hint="default"/>
        <w:sz w:val="24"/>
        <w:szCs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pStyle w:val="Title4LevelTitre4Niveau"/>
      <w:lvlText w:val="(%4)"/>
      <w:lvlJc w:val="left"/>
      <w:pPr>
        <w:tabs>
          <w:tab w:val="num" w:pos="1152"/>
        </w:tabs>
        <w:ind w:left="1152" w:hanging="576"/>
      </w:pPr>
      <w:rPr>
        <w:rFonts w:ascii="Times New Roman" w:hAnsi="Times New Roman" w:cs="Times New Roman" w:hint="default"/>
        <w:b w:val="0"/>
        <w:bCs w:val="0"/>
        <w:i w:val="0"/>
        <w:iCs w:val="0"/>
      </w:rPr>
    </w:lvl>
    <w:lvl w:ilvl="4">
      <w:start w:val="1"/>
      <w:numFmt w:val="lowerRoman"/>
      <w:pStyle w:val="Title5LevelTitre5Niveau"/>
      <w:lvlText w:val="(%5)"/>
      <w:lvlJc w:val="left"/>
      <w:pPr>
        <w:tabs>
          <w:tab w:val="num" w:pos="1728"/>
        </w:tabs>
        <w:ind w:left="1728" w:hanging="576"/>
      </w:pPr>
      <w:rPr>
        <w:rFonts w:ascii="Times New Roman" w:hAnsi="Times New Roman" w:cs="Times New Roman" w:hint="default"/>
      </w:rPr>
    </w:lvl>
    <w:lvl w:ilvl="5">
      <w:start w:val="1"/>
      <w:numFmt w:val="decimal"/>
      <w:pStyle w:val="Title6LevelTitre6Niveau"/>
      <w:lvlText w:val="%6."/>
      <w:lvlJc w:val="left"/>
      <w:pPr>
        <w:tabs>
          <w:tab w:val="num" w:pos="1728"/>
        </w:tabs>
        <w:ind w:left="1728" w:hanging="576"/>
      </w:pPr>
      <w:rPr>
        <w:rFonts w:ascii="Times New Roman" w:hAnsi="Times New Roman" w:cs="Times New Roman" w:hint="default"/>
      </w:rPr>
    </w:lvl>
    <w:lvl w:ilvl="6">
      <w:start w:val="1"/>
      <w:numFmt w:val="decimal"/>
      <w:lvlText w:val="%7."/>
      <w:lvlJc w:val="left"/>
      <w:pPr>
        <w:ind w:left="8208" w:hanging="432"/>
      </w:pPr>
      <w:rPr>
        <w:rFonts w:ascii="Times New Roman" w:hAnsi="Times New Roman" w:cs="Times New Roman" w:hint="default"/>
      </w:rPr>
    </w:lvl>
    <w:lvl w:ilvl="7">
      <w:start w:val="1"/>
      <w:numFmt w:val="lowerLetter"/>
      <w:lvlText w:val="%8."/>
      <w:lvlJc w:val="left"/>
      <w:pPr>
        <w:ind w:left="8640" w:hanging="432"/>
      </w:pPr>
      <w:rPr>
        <w:rFonts w:ascii="Times New Roman" w:hAnsi="Times New Roman" w:cs="Times New Roman" w:hint="default"/>
      </w:rPr>
    </w:lvl>
    <w:lvl w:ilvl="8">
      <w:start w:val="1"/>
      <w:numFmt w:val="lowerRoman"/>
      <w:lvlText w:val="%9."/>
      <w:lvlJc w:val="left"/>
      <w:pPr>
        <w:ind w:left="9072" w:hanging="432"/>
      </w:pPr>
      <w:rPr>
        <w:rFonts w:ascii="Times New Roman" w:hAnsi="Times New Roman" w:cs="Times New Roman"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start w:val="1"/>
      <w:numFmt w:val="bullet"/>
      <w:lvlText w:val="o"/>
      <w:lvlJc w:val="left"/>
      <w:pPr>
        <w:ind w:left="3588" w:hanging="360"/>
      </w:pPr>
      <w:rPr>
        <w:rFonts w:ascii="Courier New" w:hAnsi="Courier New" w:cs="Courier New" w:hint="default"/>
      </w:rPr>
    </w:lvl>
    <w:lvl w:ilvl="2" w:tplc="10090005">
      <w:start w:val="1"/>
      <w:numFmt w:val="bullet"/>
      <w:lvlText w:val=""/>
      <w:lvlJc w:val="left"/>
      <w:pPr>
        <w:ind w:left="4308" w:hanging="360"/>
      </w:pPr>
      <w:rPr>
        <w:rFonts w:ascii="Wingdings" w:hAnsi="Wingdings" w:cs="Wingdings" w:hint="default"/>
      </w:rPr>
    </w:lvl>
    <w:lvl w:ilvl="3" w:tplc="10090001">
      <w:start w:val="1"/>
      <w:numFmt w:val="bullet"/>
      <w:lvlText w:val=""/>
      <w:lvlJc w:val="left"/>
      <w:pPr>
        <w:ind w:left="5028" w:hanging="360"/>
      </w:pPr>
      <w:rPr>
        <w:rFonts w:ascii="Symbol" w:hAnsi="Symbol" w:cs="Symbol" w:hint="default"/>
      </w:rPr>
    </w:lvl>
    <w:lvl w:ilvl="4" w:tplc="10090003">
      <w:start w:val="1"/>
      <w:numFmt w:val="bullet"/>
      <w:lvlText w:val="o"/>
      <w:lvlJc w:val="left"/>
      <w:pPr>
        <w:ind w:left="5748" w:hanging="360"/>
      </w:pPr>
      <w:rPr>
        <w:rFonts w:ascii="Courier New" w:hAnsi="Courier New" w:cs="Courier New" w:hint="default"/>
      </w:rPr>
    </w:lvl>
    <w:lvl w:ilvl="5" w:tplc="10090005">
      <w:start w:val="1"/>
      <w:numFmt w:val="bullet"/>
      <w:lvlText w:val=""/>
      <w:lvlJc w:val="left"/>
      <w:pPr>
        <w:ind w:left="6468" w:hanging="360"/>
      </w:pPr>
      <w:rPr>
        <w:rFonts w:ascii="Wingdings" w:hAnsi="Wingdings" w:cs="Wingdings" w:hint="default"/>
      </w:rPr>
    </w:lvl>
    <w:lvl w:ilvl="6" w:tplc="10090001">
      <w:start w:val="1"/>
      <w:numFmt w:val="bullet"/>
      <w:lvlText w:val=""/>
      <w:lvlJc w:val="left"/>
      <w:pPr>
        <w:ind w:left="7188" w:hanging="360"/>
      </w:pPr>
      <w:rPr>
        <w:rFonts w:ascii="Symbol" w:hAnsi="Symbol" w:cs="Symbol" w:hint="default"/>
      </w:rPr>
    </w:lvl>
    <w:lvl w:ilvl="7" w:tplc="10090003">
      <w:start w:val="1"/>
      <w:numFmt w:val="bullet"/>
      <w:lvlText w:val="o"/>
      <w:lvlJc w:val="left"/>
      <w:pPr>
        <w:ind w:left="7908" w:hanging="360"/>
      </w:pPr>
      <w:rPr>
        <w:rFonts w:ascii="Courier New" w:hAnsi="Courier New" w:cs="Courier New" w:hint="default"/>
      </w:rPr>
    </w:lvl>
    <w:lvl w:ilvl="8" w:tplc="10090005">
      <w:start w:val="1"/>
      <w:numFmt w:val="bullet"/>
      <w:lvlText w:val=""/>
      <w:lvlJc w:val="left"/>
      <w:pPr>
        <w:ind w:left="8628" w:hanging="360"/>
      </w:pPr>
      <w:rPr>
        <w:rFonts w:ascii="Wingdings" w:hAnsi="Wingdings" w:cs="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szCs w:val="24"/>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ascii="Times New Roman" w:hAnsi="Times New Roman" w:cs="Times New Roman" w:hint="default"/>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cs="Times New Roman" w:hint="default"/>
          <w:b w:val="0"/>
          <w:bCs w:val="0"/>
          <w:i w:val="0"/>
          <w:iCs w:val="0"/>
        </w:rPr>
      </w:lvl>
    </w:lvlOverride>
    <w:lvlOverride w:ilvl="4">
      <w:lvl w:ilvl="4">
        <w:start w:val="1"/>
        <w:numFmt w:val="lowerRoman"/>
        <w:pStyle w:val="Title5LevelTitre5Niveau"/>
        <w:lvlText w:val="(%5)"/>
        <w:lvlJc w:val="left"/>
        <w:pPr>
          <w:tabs>
            <w:tab w:val="num" w:pos="1728"/>
          </w:tabs>
          <w:ind w:left="1728" w:hanging="576"/>
        </w:pPr>
        <w:rPr>
          <w:rFonts w:ascii="Times New Roman" w:hAnsi="Times New Roman" w:cs="Times New Roman" w:hint="default"/>
        </w:rPr>
      </w:lvl>
    </w:lvlOverride>
    <w:lvlOverride w:ilvl="5">
      <w:lvl w:ilvl="5">
        <w:start w:val="1"/>
        <w:numFmt w:val="decimal"/>
        <w:pStyle w:val="Title6LevelTitre6Niveau"/>
        <w:lvlText w:val="%6."/>
        <w:lvlJc w:val="left"/>
        <w:pPr>
          <w:tabs>
            <w:tab w:val="num" w:pos="1728"/>
          </w:tabs>
          <w:ind w:left="1728" w:hanging="576"/>
        </w:pPr>
        <w:rPr>
          <w:rFonts w:ascii="Times New Roman" w:hAnsi="Times New Roman" w:cs="Times New Roman" w:hint="default"/>
          <w:b w:val="0"/>
          <w:bCs w:val="0"/>
          <w:i w:val="0"/>
          <w:iCs w:val="0"/>
        </w:rPr>
      </w:lvl>
    </w:lvlOverride>
    <w:lvlOverride w:ilvl="6">
      <w:lvl w:ilvl="6">
        <w:start w:val="1"/>
        <w:numFmt w:val="decimal"/>
        <w:lvlText w:val="%7."/>
        <w:lvlJc w:val="left"/>
        <w:pPr>
          <w:ind w:left="8208" w:hanging="432"/>
        </w:pPr>
        <w:rPr>
          <w:rFonts w:ascii="Times New Roman" w:hAnsi="Times New Roman" w:cs="Times New Roman" w:hint="default"/>
        </w:rPr>
      </w:lvl>
    </w:lvlOverride>
    <w:lvlOverride w:ilvl="7">
      <w:lvl w:ilvl="7">
        <w:start w:val="1"/>
        <w:numFmt w:val="lowerLetter"/>
        <w:lvlText w:val="%8."/>
        <w:lvlJc w:val="left"/>
        <w:pPr>
          <w:ind w:left="8640" w:hanging="432"/>
        </w:pPr>
        <w:rPr>
          <w:rFonts w:ascii="Times New Roman" w:hAnsi="Times New Roman" w:cs="Times New Roman" w:hint="default"/>
        </w:rPr>
      </w:lvl>
    </w:lvlOverride>
    <w:lvlOverride w:ilvl="8">
      <w:lvl w:ilvl="8">
        <w:start w:val="1"/>
        <w:numFmt w:val="lowerRoman"/>
        <w:lvlText w:val="%9."/>
        <w:lvlJc w:val="left"/>
        <w:pPr>
          <w:ind w:left="9072" w:hanging="432"/>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6514"/>
    <w:rsid w:val="00000793"/>
    <w:rsid w:val="00000E1C"/>
    <w:rsid w:val="000017E9"/>
    <w:rsid w:val="00001888"/>
    <w:rsid w:val="00004BE5"/>
    <w:rsid w:val="0000721C"/>
    <w:rsid w:val="00007418"/>
    <w:rsid w:val="00007F7D"/>
    <w:rsid w:val="00010080"/>
    <w:rsid w:val="00010E93"/>
    <w:rsid w:val="00011371"/>
    <w:rsid w:val="00011C46"/>
    <w:rsid w:val="000134F7"/>
    <w:rsid w:val="00013A0C"/>
    <w:rsid w:val="00013F1C"/>
    <w:rsid w:val="00015F6D"/>
    <w:rsid w:val="00016078"/>
    <w:rsid w:val="00017094"/>
    <w:rsid w:val="00020CC2"/>
    <w:rsid w:val="00021A39"/>
    <w:rsid w:val="0002226C"/>
    <w:rsid w:val="00022E23"/>
    <w:rsid w:val="0002338B"/>
    <w:rsid w:val="00023D3E"/>
    <w:rsid w:val="00025750"/>
    <w:rsid w:val="000257DC"/>
    <w:rsid w:val="00025A19"/>
    <w:rsid w:val="00025FF1"/>
    <w:rsid w:val="00026244"/>
    <w:rsid w:val="00027773"/>
    <w:rsid w:val="0002786F"/>
    <w:rsid w:val="00027E04"/>
    <w:rsid w:val="000312F7"/>
    <w:rsid w:val="00032600"/>
    <w:rsid w:val="0003274E"/>
    <w:rsid w:val="000328AB"/>
    <w:rsid w:val="00032A3E"/>
    <w:rsid w:val="000366C8"/>
    <w:rsid w:val="00036A7E"/>
    <w:rsid w:val="00036FBC"/>
    <w:rsid w:val="00040D63"/>
    <w:rsid w:val="0004114C"/>
    <w:rsid w:val="00041423"/>
    <w:rsid w:val="00041ADB"/>
    <w:rsid w:val="000431D4"/>
    <w:rsid w:val="00044BFC"/>
    <w:rsid w:val="00045320"/>
    <w:rsid w:val="00046CB8"/>
    <w:rsid w:val="00047148"/>
    <w:rsid w:val="00047190"/>
    <w:rsid w:val="00047295"/>
    <w:rsid w:val="0004737D"/>
    <w:rsid w:val="00047BED"/>
    <w:rsid w:val="00050A6A"/>
    <w:rsid w:val="000518E8"/>
    <w:rsid w:val="000520DD"/>
    <w:rsid w:val="00052CC4"/>
    <w:rsid w:val="00053847"/>
    <w:rsid w:val="00053DC8"/>
    <w:rsid w:val="00054267"/>
    <w:rsid w:val="000551DE"/>
    <w:rsid w:val="000559DB"/>
    <w:rsid w:val="00056179"/>
    <w:rsid w:val="000573FC"/>
    <w:rsid w:val="000579B2"/>
    <w:rsid w:val="000607CE"/>
    <w:rsid w:val="000614F0"/>
    <w:rsid w:val="000627BF"/>
    <w:rsid w:val="00062B92"/>
    <w:rsid w:val="000639E6"/>
    <w:rsid w:val="000648E1"/>
    <w:rsid w:val="00066011"/>
    <w:rsid w:val="00067491"/>
    <w:rsid w:val="0006785F"/>
    <w:rsid w:val="00067897"/>
    <w:rsid w:val="000679A8"/>
    <w:rsid w:val="00067C6E"/>
    <w:rsid w:val="00067F38"/>
    <w:rsid w:val="000704F7"/>
    <w:rsid w:val="000708EA"/>
    <w:rsid w:val="00070D08"/>
    <w:rsid w:val="00071D97"/>
    <w:rsid w:val="000724A8"/>
    <w:rsid w:val="00073921"/>
    <w:rsid w:val="0007393A"/>
    <w:rsid w:val="0007509A"/>
    <w:rsid w:val="000750F5"/>
    <w:rsid w:val="00076992"/>
    <w:rsid w:val="00077843"/>
    <w:rsid w:val="00080431"/>
    <w:rsid w:val="000807DE"/>
    <w:rsid w:val="000816A4"/>
    <w:rsid w:val="000824D9"/>
    <w:rsid w:val="00082784"/>
    <w:rsid w:val="00082A9B"/>
    <w:rsid w:val="00083138"/>
    <w:rsid w:val="00083144"/>
    <w:rsid w:val="00083A63"/>
    <w:rsid w:val="0008592D"/>
    <w:rsid w:val="000864DC"/>
    <w:rsid w:val="00087ABC"/>
    <w:rsid w:val="00087EFF"/>
    <w:rsid w:val="00090014"/>
    <w:rsid w:val="00091D31"/>
    <w:rsid w:val="00091F14"/>
    <w:rsid w:val="00094786"/>
    <w:rsid w:val="000952C5"/>
    <w:rsid w:val="00095A2E"/>
    <w:rsid w:val="00096CF2"/>
    <w:rsid w:val="000A0504"/>
    <w:rsid w:val="000A072A"/>
    <w:rsid w:val="000A132B"/>
    <w:rsid w:val="000A3F24"/>
    <w:rsid w:val="000A6131"/>
    <w:rsid w:val="000A642E"/>
    <w:rsid w:val="000A659E"/>
    <w:rsid w:val="000A66AD"/>
    <w:rsid w:val="000A69D0"/>
    <w:rsid w:val="000A6C65"/>
    <w:rsid w:val="000A7B79"/>
    <w:rsid w:val="000B0046"/>
    <w:rsid w:val="000B3033"/>
    <w:rsid w:val="000B3876"/>
    <w:rsid w:val="000B421C"/>
    <w:rsid w:val="000B42EA"/>
    <w:rsid w:val="000B4C48"/>
    <w:rsid w:val="000B54F7"/>
    <w:rsid w:val="000B625B"/>
    <w:rsid w:val="000B76F4"/>
    <w:rsid w:val="000C0097"/>
    <w:rsid w:val="000C02A5"/>
    <w:rsid w:val="000C1039"/>
    <w:rsid w:val="000C1DDF"/>
    <w:rsid w:val="000C2F6B"/>
    <w:rsid w:val="000C4BD0"/>
    <w:rsid w:val="000C5209"/>
    <w:rsid w:val="000D0302"/>
    <w:rsid w:val="000D2030"/>
    <w:rsid w:val="000D2356"/>
    <w:rsid w:val="000D23D6"/>
    <w:rsid w:val="000D3034"/>
    <w:rsid w:val="000D33E6"/>
    <w:rsid w:val="000D3F99"/>
    <w:rsid w:val="000D4F80"/>
    <w:rsid w:val="000D57F5"/>
    <w:rsid w:val="000D623B"/>
    <w:rsid w:val="000E041B"/>
    <w:rsid w:val="000E271E"/>
    <w:rsid w:val="000E3543"/>
    <w:rsid w:val="000E4936"/>
    <w:rsid w:val="000E6FCC"/>
    <w:rsid w:val="000E751B"/>
    <w:rsid w:val="000F09B8"/>
    <w:rsid w:val="000F0AFE"/>
    <w:rsid w:val="000F0C3E"/>
    <w:rsid w:val="000F2BC0"/>
    <w:rsid w:val="000F330E"/>
    <w:rsid w:val="000F3B8D"/>
    <w:rsid w:val="000F4124"/>
    <w:rsid w:val="000F4935"/>
    <w:rsid w:val="000F4D6B"/>
    <w:rsid w:val="000F62D6"/>
    <w:rsid w:val="000F695E"/>
    <w:rsid w:val="000F6C6C"/>
    <w:rsid w:val="001003BE"/>
    <w:rsid w:val="0010161E"/>
    <w:rsid w:val="0010174D"/>
    <w:rsid w:val="00102052"/>
    <w:rsid w:val="0010309A"/>
    <w:rsid w:val="00103628"/>
    <w:rsid w:val="00103879"/>
    <w:rsid w:val="001057E1"/>
    <w:rsid w:val="001061E3"/>
    <w:rsid w:val="00106EFE"/>
    <w:rsid w:val="00107160"/>
    <w:rsid w:val="00107581"/>
    <w:rsid w:val="00107EB3"/>
    <w:rsid w:val="0011025A"/>
    <w:rsid w:val="001103E1"/>
    <w:rsid w:val="0011058C"/>
    <w:rsid w:val="001106D4"/>
    <w:rsid w:val="00111683"/>
    <w:rsid w:val="0011211D"/>
    <w:rsid w:val="001122B2"/>
    <w:rsid w:val="00112464"/>
    <w:rsid w:val="00112A21"/>
    <w:rsid w:val="00112B3F"/>
    <w:rsid w:val="00115C4C"/>
    <w:rsid w:val="001166D0"/>
    <w:rsid w:val="00116C16"/>
    <w:rsid w:val="00116D00"/>
    <w:rsid w:val="00116FCF"/>
    <w:rsid w:val="001209A5"/>
    <w:rsid w:val="001209E6"/>
    <w:rsid w:val="001219BD"/>
    <w:rsid w:val="00125351"/>
    <w:rsid w:val="001268CA"/>
    <w:rsid w:val="00127393"/>
    <w:rsid w:val="0013030C"/>
    <w:rsid w:val="00130439"/>
    <w:rsid w:val="001314E3"/>
    <w:rsid w:val="00132220"/>
    <w:rsid w:val="00133322"/>
    <w:rsid w:val="001342FB"/>
    <w:rsid w:val="0013481D"/>
    <w:rsid w:val="001355B2"/>
    <w:rsid w:val="001355D0"/>
    <w:rsid w:val="00136263"/>
    <w:rsid w:val="00136715"/>
    <w:rsid w:val="001377CF"/>
    <w:rsid w:val="00137C6B"/>
    <w:rsid w:val="00137D6A"/>
    <w:rsid w:val="00142BB0"/>
    <w:rsid w:val="00142DDD"/>
    <w:rsid w:val="00145655"/>
    <w:rsid w:val="00147827"/>
    <w:rsid w:val="00147A8C"/>
    <w:rsid w:val="00147CCE"/>
    <w:rsid w:val="00150C87"/>
    <w:rsid w:val="00150E8F"/>
    <w:rsid w:val="00150EB7"/>
    <w:rsid w:val="001511E2"/>
    <w:rsid w:val="00151292"/>
    <w:rsid w:val="001535C0"/>
    <w:rsid w:val="00153DFC"/>
    <w:rsid w:val="00153FA6"/>
    <w:rsid w:val="0015450A"/>
    <w:rsid w:val="00156F3B"/>
    <w:rsid w:val="001576C5"/>
    <w:rsid w:val="00157E8B"/>
    <w:rsid w:val="001603DD"/>
    <w:rsid w:val="00160907"/>
    <w:rsid w:val="00160E84"/>
    <w:rsid w:val="001613BF"/>
    <w:rsid w:val="001615C3"/>
    <w:rsid w:val="00161974"/>
    <w:rsid w:val="00161C96"/>
    <w:rsid w:val="00162322"/>
    <w:rsid w:val="001626F9"/>
    <w:rsid w:val="00165A08"/>
    <w:rsid w:val="00165CA1"/>
    <w:rsid w:val="001678A2"/>
    <w:rsid w:val="001713CE"/>
    <w:rsid w:val="00172369"/>
    <w:rsid w:val="001726D1"/>
    <w:rsid w:val="00172B8D"/>
    <w:rsid w:val="00173CCE"/>
    <w:rsid w:val="00174466"/>
    <w:rsid w:val="001747B7"/>
    <w:rsid w:val="00174EF2"/>
    <w:rsid w:val="00175736"/>
    <w:rsid w:val="00175812"/>
    <w:rsid w:val="00176EB1"/>
    <w:rsid w:val="00177A17"/>
    <w:rsid w:val="00180C47"/>
    <w:rsid w:val="00180FAE"/>
    <w:rsid w:val="0018129C"/>
    <w:rsid w:val="00183AB5"/>
    <w:rsid w:val="00183E5B"/>
    <w:rsid w:val="001845B0"/>
    <w:rsid w:val="00185D8F"/>
    <w:rsid w:val="00190376"/>
    <w:rsid w:val="00190422"/>
    <w:rsid w:val="001906A4"/>
    <w:rsid w:val="00190C63"/>
    <w:rsid w:val="00191532"/>
    <w:rsid w:val="001917C7"/>
    <w:rsid w:val="001917D3"/>
    <w:rsid w:val="001930EC"/>
    <w:rsid w:val="00195B90"/>
    <w:rsid w:val="0019691E"/>
    <w:rsid w:val="00196D8A"/>
    <w:rsid w:val="001A0567"/>
    <w:rsid w:val="001A0FB5"/>
    <w:rsid w:val="001A104F"/>
    <w:rsid w:val="001A10BC"/>
    <w:rsid w:val="001A3EB6"/>
    <w:rsid w:val="001A4B7A"/>
    <w:rsid w:val="001A5BA6"/>
    <w:rsid w:val="001A605C"/>
    <w:rsid w:val="001A67EE"/>
    <w:rsid w:val="001A6FB9"/>
    <w:rsid w:val="001A7D84"/>
    <w:rsid w:val="001B0310"/>
    <w:rsid w:val="001B17AA"/>
    <w:rsid w:val="001B2197"/>
    <w:rsid w:val="001B24BF"/>
    <w:rsid w:val="001B2A8D"/>
    <w:rsid w:val="001B2ABF"/>
    <w:rsid w:val="001B31ED"/>
    <w:rsid w:val="001B36BF"/>
    <w:rsid w:val="001B474F"/>
    <w:rsid w:val="001B53A7"/>
    <w:rsid w:val="001B6093"/>
    <w:rsid w:val="001B63FE"/>
    <w:rsid w:val="001B6C2C"/>
    <w:rsid w:val="001B7DAC"/>
    <w:rsid w:val="001C05C3"/>
    <w:rsid w:val="001C0B1D"/>
    <w:rsid w:val="001C0BD8"/>
    <w:rsid w:val="001C0FA0"/>
    <w:rsid w:val="001C25DA"/>
    <w:rsid w:val="001C28D4"/>
    <w:rsid w:val="001C3056"/>
    <w:rsid w:val="001C3097"/>
    <w:rsid w:val="001C49A8"/>
    <w:rsid w:val="001C50A0"/>
    <w:rsid w:val="001C58F9"/>
    <w:rsid w:val="001C60BE"/>
    <w:rsid w:val="001C62CD"/>
    <w:rsid w:val="001C7233"/>
    <w:rsid w:val="001C7ECC"/>
    <w:rsid w:val="001D0004"/>
    <w:rsid w:val="001D02BE"/>
    <w:rsid w:val="001D0922"/>
    <w:rsid w:val="001D1073"/>
    <w:rsid w:val="001D11B0"/>
    <w:rsid w:val="001D1DC4"/>
    <w:rsid w:val="001D2135"/>
    <w:rsid w:val="001D2625"/>
    <w:rsid w:val="001D27D7"/>
    <w:rsid w:val="001D308C"/>
    <w:rsid w:val="001D3C1B"/>
    <w:rsid w:val="001D3CB8"/>
    <w:rsid w:val="001D4BC4"/>
    <w:rsid w:val="001D5BA5"/>
    <w:rsid w:val="001D62FA"/>
    <w:rsid w:val="001D7534"/>
    <w:rsid w:val="001E0C3D"/>
    <w:rsid w:val="001E0D98"/>
    <w:rsid w:val="001E1B8F"/>
    <w:rsid w:val="001E2ADB"/>
    <w:rsid w:val="001E3763"/>
    <w:rsid w:val="001E3BCA"/>
    <w:rsid w:val="001E4551"/>
    <w:rsid w:val="001E47AB"/>
    <w:rsid w:val="001E56E7"/>
    <w:rsid w:val="001E60CF"/>
    <w:rsid w:val="001E624A"/>
    <w:rsid w:val="001E625E"/>
    <w:rsid w:val="001E71AF"/>
    <w:rsid w:val="001E7411"/>
    <w:rsid w:val="001F0206"/>
    <w:rsid w:val="001F0621"/>
    <w:rsid w:val="001F20DD"/>
    <w:rsid w:val="001F357A"/>
    <w:rsid w:val="001F3F7E"/>
    <w:rsid w:val="001F4E6D"/>
    <w:rsid w:val="001F6648"/>
    <w:rsid w:val="001F72F4"/>
    <w:rsid w:val="001F79DE"/>
    <w:rsid w:val="001F7BB3"/>
    <w:rsid w:val="002002C3"/>
    <w:rsid w:val="002005CB"/>
    <w:rsid w:val="0020064B"/>
    <w:rsid w:val="00200B0E"/>
    <w:rsid w:val="002012BC"/>
    <w:rsid w:val="002012C2"/>
    <w:rsid w:val="0020147D"/>
    <w:rsid w:val="00202FD6"/>
    <w:rsid w:val="0020509A"/>
    <w:rsid w:val="00205141"/>
    <w:rsid w:val="002059BB"/>
    <w:rsid w:val="0020767D"/>
    <w:rsid w:val="00207BF6"/>
    <w:rsid w:val="00210C59"/>
    <w:rsid w:val="00210F9E"/>
    <w:rsid w:val="0021241A"/>
    <w:rsid w:val="002139BB"/>
    <w:rsid w:val="0021458C"/>
    <w:rsid w:val="0021573A"/>
    <w:rsid w:val="00215BE5"/>
    <w:rsid w:val="002167FC"/>
    <w:rsid w:val="00216A94"/>
    <w:rsid w:val="00217496"/>
    <w:rsid w:val="00217AEF"/>
    <w:rsid w:val="00220A6F"/>
    <w:rsid w:val="00221677"/>
    <w:rsid w:val="00222145"/>
    <w:rsid w:val="00222398"/>
    <w:rsid w:val="00222719"/>
    <w:rsid w:val="0022535E"/>
    <w:rsid w:val="002254F6"/>
    <w:rsid w:val="00225857"/>
    <w:rsid w:val="002260DF"/>
    <w:rsid w:val="002260FF"/>
    <w:rsid w:val="00227CBA"/>
    <w:rsid w:val="00230459"/>
    <w:rsid w:val="002308F9"/>
    <w:rsid w:val="00230F1D"/>
    <w:rsid w:val="00232810"/>
    <w:rsid w:val="00232D3F"/>
    <w:rsid w:val="002335B2"/>
    <w:rsid w:val="00234D8C"/>
    <w:rsid w:val="00234EB1"/>
    <w:rsid w:val="00236FF5"/>
    <w:rsid w:val="00237031"/>
    <w:rsid w:val="0024093E"/>
    <w:rsid w:val="002419CC"/>
    <w:rsid w:val="00241BB8"/>
    <w:rsid w:val="00242E70"/>
    <w:rsid w:val="00242E8F"/>
    <w:rsid w:val="0024334D"/>
    <w:rsid w:val="00243794"/>
    <w:rsid w:val="00243822"/>
    <w:rsid w:val="00243BDC"/>
    <w:rsid w:val="00243C2B"/>
    <w:rsid w:val="00245402"/>
    <w:rsid w:val="0024557B"/>
    <w:rsid w:val="00246469"/>
    <w:rsid w:val="00246A7F"/>
    <w:rsid w:val="00246BAD"/>
    <w:rsid w:val="00247ECF"/>
    <w:rsid w:val="00251886"/>
    <w:rsid w:val="0025221F"/>
    <w:rsid w:val="002522C1"/>
    <w:rsid w:val="00253617"/>
    <w:rsid w:val="002537C9"/>
    <w:rsid w:val="00253934"/>
    <w:rsid w:val="00254121"/>
    <w:rsid w:val="00255969"/>
    <w:rsid w:val="00256F50"/>
    <w:rsid w:val="002600A7"/>
    <w:rsid w:val="002610A3"/>
    <w:rsid w:val="00261D5A"/>
    <w:rsid w:val="002634C5"/>
    <w:rsid w:val="002635D4"/>
    <w:rsid w:val="0026394C"/>
    <w:rsid w:val="00263AEA"/>
    <w:rsid w:val="00263D5D"/>
    <w:rsid w:val="00265590"/>
    <w:rsid w:val="00265E5A"/>
    <w:rsid w:val="00265FAF"/>
    <w:rsid w:val="002669F8"/>
    <w:rsid w:val="0026729C"/>
    <w:rsid w:val="0026763E"/>
    <w:rsid w:val="00267A87"/>
    <w:rsid w:val="0027020F"/>
    <w:rsid w:val="00271494"/>
    <w:rsid w:val="00272DED"/>
    <w:rsid w:val="002734F5"/>
    <w:rsid w:val="002744C3"/>
    <w:rsid w:val="00274C6A"/>
    <w:rsid w:val="00275325"/>
    <w:rsid w:val="002768AE"/>
    <w:rsid w:val="00277C52"/>
    <w:rsid w:val="00281034"/>
    <w:rsid w:val="002816D5"/>
    <w:rsid w:val="002820B3"/>
    <w:rsid w:val="00282114"/>
    <w:rsid w:val="00282135"/>
    <w:rsid w:val="00283450"/>
    <w:rsid w:val="00283CDB"/>
    <w:rsid w:val="00286BCA"/>
    <w:rsid w:val="0028702C"/>
    <w:rsid w:val="002870A6"/>
    <w:rsid w:val="00287A25"/>
    <w:rsid w:val="00287DF2"/>
    <w:rsid w:val="00290A0B"/>
    <w:rsid w:val="0029193F"/>
    <w:rsid w:val="00291A1E"/>
    <w:rsid w:val="00291F30"/>
    <w:rsid w:val="0029248B"/>
    <w:rsid w:val="0029287C"/>
    <w:rsid w:val="00292ED2"/>
    <w:rsid w:val="002933ED"/>
    <w:rsid w:val="002939AD"/>
    <w:rsid w:val="00293A64"/>
    <w:rsid w:val="00294A76"/>
    <w:rsid w:val="00294ACA"/>
    <w:rsid w:val="00295F78"/>
    <w:rsid w:val="00297115"/>
    <w:rsid w:val="002A0198"/>
    <w:rsid w:val="002A24E2"/>
    <w:rsid w:val="002A29A7"/>
    <w:rsid w:val="002A3979"/>
    <w:rsid w:val="002A452D"/>
    <w:rsid w:val="002A4833"/>
    <w:rsid w:val="002A4851"/>
    <w:rsid w:val="002A4E2B"/>
    <w:rsid w:val="002A7CC0"/>
    <w:rsid w:val="002B23C1"/>
    <w:rsid w:val="002B267D"/>
    <w:rsid w:val="002B2A90"/>
    <w:rsid w:val="002B41E5"/>
    <w:rsid w:val="002B5953"/>
    <w:rsid w:val="002B77DB"/>
    <w:rsid w:val="002C118A"/>
    <w:rsid w:val="002C2E91"/>
    <w:rsid w:val="002C3C7E"/>
    <w:rsid w:val="002C4B76"/>
    <w:rsid w:val="002C5494"/>
    <w:rsid w:val="002C59D4"/>
    <w:rsid w:val="002C6123"/>
    <w:rsid w:val="002C62EC"/>
    <w:rsid w:val="002C645F"/>
    <w:rsid w:val="002C6AE9"/>
    <w:rsid w:val="002C6BF3"/>
    <w:rsid w:val="002C6F04"/>
    <w:rsid w:val="002D04AF"/>
    <w:rsid w:val="002D0C83"/>
    <w:rsid w:val="002D0F1C"/>
    <w:rsid w:val="002D1513"/>
    <w:rsid w:val="002D272D"/>
    <w:rsid w:val="002D393D"/>
    <w:rsid w:val="002D3A95"/>
    <w:rsid w:val="002D4AD7"/>
    <w:rsid w:val="002D5634"/>
    <w:rsid w:val="002D57FD"/>
    <w:rsid w:val="002D6514"/>
    <w:rsid w:val="002D670E"/>
    <w:rsid w:val="002D7C83"/>
    <w:rsid w:val="002D7E2E"/>
    <w:rsid w:val="002D7F55"/>
    <w:rsid w:val="002E03D4"/>
    <w:rsid w:val="002E0BD3"/>
    <w:rsid w:val="002E13D0"/>
    <w:rsid w:val="002E2088"/>
    <w:rsid w:val="002E2584"/>
    <w:rsid w:val="002E338D"/>
    <w:rsid w:val="002E37E4"/>
    <w:rsid w:val="002E3AB3"/>
    <w:rsid w:val="002E3C97"/>
    <w:rsid w:val="002E4630"/>
    <w:rsid w:val="002E5827"/>
    <w:rsid w:val="002E6E76"/>
    <w:rsid w:val="002E7345"/>
    <w:rsid w:val="002E7CE1"/>
    <w:rsid w:val="002F0FBA"/>
    <w:rsid w:val="002F2210"/>
    <w:rsid w:val="002F29D1"/>
    <w:rsid w:val="002F3A4D"/>
    <w:rsid w:val="002F5579"/>
    <w:rsid w:val="002F6AE4"/>
    <w:rsid w:val="002F6C5E"/>
    <w:rsid w:val="002F6DF3"/>
    <w:rsid w:val="0030288E"/>
    <w:rsid w:val="003031D1"/>
    <w:rsid w:val="003035CF"/>
    <w:rsid w:val="00303A1D"/>
    <w:rsid w:val="00303B3E"/>
    <w:rsid w:val="00303EE3"/>
    <w:rsid w:val="00303FDD"/>
    <w:rsid w:val="0030430B"/>
    <w:rsid w:val="003045AC"/>
    <w:rsid w:val="00304728"/>
    <w:rsid w:val="003049C5"/>
    <w:rsid w:val="0030585A"/>
    <w:rsid w:val="00306398"/>
    <w:rsid w:val="003100D2"/>
    <w:rsid w:val="00311F36"/>
    <w:rsid w:val="0031258F"/>
    <w:rsid w:val="00314C02"/>
    <w:rsid w:val="0031578E"/>
    <w:rsid w:val="00315EDD"/>
    <w:rsid w:val="003160E9"/>
    <w:rsid w:val="0031641C"/>
    <w:rsid w:val="00316AD6"/>
    <w:rsid w:val="00316CB4"/>
    <w:rsid w:val="003206C7"/>
    <w:rsid w:val="00323BAF"/>
    <w:rsid w:val="00324631"/>
    <w:rsid w:val="00325595"/>
    <w:rsid w:val="003265A2"/>
    <w:rsid w:val="0032682F"/>
    <w:rsid w:val="00326B1C"/>
    <w:rsid w:val="00330696"/>
    <w:rsid w:val="00331CA2"/>
    <w:rsid w:val="00331EB6"/>
    <w:rsid w:val="003329BF"/>
    <w:rsid w:val="003335F5"/>
    <w:rsid w:val="00333BDE"/>
    <w:rsid w:val="003341EE"/>
    <w:rsid w:val="00334F1A"/>
    <w:rsid w:val="003351A0"/>
    <w:rsid w:val="0033592B"/>
    <w:rsid w:val="00337B0C"/>
    <w:rsid w:val="00337DC3"/>
    <w:rsid w:val="00337DDF"/>
    <w:rsid w:val="00337FFA"/>
    <w:rsid w:val="003400A7"/>
    <w:rsid w:val="0034057A"/>
    <w:rsid w:val="00340748"/>
    <w:rsid w:val="00341D2F"/>
    <w:rsid w:val="00342E9C"/>
    <w:rsid w:val="003431D5"/>
    <w:rsid w:val="00343DC0"/>
    <w:rsid w:val="00345B3A"/>
    <w:rsid w:val="00346EB2"/>
    <w:rsid w:val="00347C80"/>
    <w:rsid w:val="0035142C"/>
    <w:rsid w:val="00351456"/>
    <w:rsid w:val="00351681"/>
    <w:rsid w:val="00352090"/>
    <w:rsid w:val="00352635"/>
    <w:rsid w:val="00353A40"/>
    <w:rsid w:val="00354531"/>
    <w:rsid w:val="003567F8"/>
    <w:rsid w:val="00357E50"/>
    <w:rsid w:val="0036149D"/>
    <w:rsid w:val="0036164C"/>
    <w:rsid w:val="00361BFC"/>
    <w:rsid w:val="00361CDA"/>
    <w:rsid w:val="00362D88"/>
    <w:rsid w:val="00363FC8"/>
    <w:rsid w:val="00367D99"/>
    <w:rsid w:val="00370784"/>
    <w:rsid w:val="00370786"/>
    <w:rsid w:val="00370F3D"/>
    <w:rsid w:val="003730D0"/>
    <w:rsid w:val="003731FC"/>
    <w:rsid w:val="00374EA6"/>
    <w:rsid w:val="00375D7B"/>
    <w:rsid w:val="003770BA"/>
    <w:rsid w:val="0037718E"/>
    <w:rsid w:val="00380DEE"/>
    <w:rsid w:val="003813DB"/>
    <w:rsid w:val="00381576"/>
    <w:rsid w:val="00381C38"/>
    <w:rsid w:val="0038312B"/>
    <w:rsid w:val="0038377D"/>
    <w:rsid w:val="00384255"/>
    <w:rsid w:val="00384365"/>
    <w:rsid w:val="00384EC5"/>
    <w:rsid w:val="00386600"/>
    <w:rsid w:val="00386975"/>
    <w:rsid w:val="00387120"/>
    <w:rsid w:val="0038746D"/>
    <w:rsid w:val="0038798C"/>
    <w:rsid w:val="003908D7"/>
    <w:rsid w:val="00390945"/>
    <w:rsid w:val="00391720"/>
    <w:rsid w:val="00391AAC"/>
    <w:rsid w:val="00392B95"/>
    <w:rsid w:val="0039338C"/>
    <w:rsid w:val="00393B08"/>
    <w:rsid w:val="00393D37"/>
    <w:rsid w:val="00394DEC"/>
    <w:rsid w:val="00395606"/>
    <w:rsid w:val="0039642A"/>
    <w:rsid w:val="0039661C"/>
    <w:rsid w:val="003979ED"/>
    <w:rsid w:val="003A031B"/>
    <w:rsid w:val="003A11AE"/>
    <w:rsid w:val="003A3015"/>
    <w:rsid w:val="003A324E"/>
    <w:rsid w:val="003A453B"/>
    <w:rsid w:val="003A4832"/>
    <w:rsid w:val="003A5BAA"/>
    <w:rsid w:val="003A5CBA"/>
    <w:rsid w:val="003A6FD4"/>
    <w:rsid w:val="003A705F"/>
    <w:rsid w:val="003B2891"/>
    <w:rsid w:val="003B2B4C"/>
    <w:rsid w:val="003B3F96"/>
    <w:rsid w:val="003B40BE"/>
    <w:rsid w:val="003B420C"/>
    <w:rsid w:val="003B66F9"/>
    <w:rsid w:val="003B74B7"/>
    <w:rsid w:val="003B7814"/>
    <w:rsid w:val="003C0894"/>
    <w:rsid w:val="003C0985"/>
    <w:rsid w:val="003C0F67"/>
    <w:rsid w:val="003C1D92"/>
    <w:rsid w:val="003C2AF1"/>
    <w:rsid w:val="003C2F3E"/>
    <w:rsid w:val="003C39D4"/>
    <w:rsid w:val="003C40E2"/>
    <w:rsid w:val="003C4114"/>
    <w:rsid w:val="003C4FB0"/>
    <w:rsid w:val="003C605E"/>
    <w:rsid w:val="003C65EE"/>
    <w:rsid w:val="003C74EF"/>
    <w:rsid w:val="003C7637"/>
    <w:rsid w:val="003C7952"/>
    <w:rsid w:val="003C7E90"/>
    <w:rsid w:val="003D0C40"/>
    <w:rsid w:val="003D13F6"/>
    <w:rsid w:val="003D1E74"/>
    <w:rsid w:val="003D216E"/>
    <w:rsid w:val="003D3381"/>
    <w:rsid w:val="003D3BD9"/>
    <w:rsid w:val="003D3DFA"/>
    <w:rsid w:val="003D4020"/>
    <w:rsid w:val="003D4040"/>
    <w:rsid w:val="003D4523"/>
    <w:rsid w:val="003D4D8D"/>
    <w:rsid w:val="003E1AB8"/>
    <w:rsid w:val="003E26D3"/>
    <w:rsid w:val="003E30DF"/>
    <w:rsid w:val="003E37BF"/>
    <w:rsid w:val="003E4C8E"/>
    <w:rsid w:val="003E539C"/>
    <w:rsid w:val="003E63B2"/>
    <w:rsid w:val="003E7229"/>
    <w:rsid w:val="003E773E"/>
    <w:rsid w:val="003E7C73"/>
    <w:rsid w:val="003F02C5"/>
    <w:rsid w:val="003F05DD"/>
    <w:rsid w:val="003F08B6"/>
    <w:rsid w:val="003F0C91"/>
    <w:rsid w:val="003F1366"/>
    <w:rsid w:val="003F1399"/>
    <w:rsid w:val="003F1B95"/>
    <w:rsid w:val="003F1E9D"/>
    <w:rsid w:val="003F2876"/>
    <w:rsid w:val="003F3F0E"/>
    <w:rsid w:val="003F432F"/>
    <w:rsid w:val="003F4503"/>
    <w:rsid w:val="003F480B"/>
    <w:rsid w:val="003F4C92"/>
    <w:rsid w:val="003F626D"/>
    <w:rsid w:val="003F63AC"/>
    <w:rsid w:val="003F7F0B"/>
    <w:rsid w:val="00400CA7"/>
    <w:rsid w:val="00400DFA"/>
    <w:rsid w:val="004010F5"/>
    <w:rsid w:val="00403290"/>
    <w:rsid w:val="00403F4E"/>
    <w:rsid w:val="004048B5"/>
    <w:rsid w:val="00404A4B"/>
    <w:rsid w:val="00405E64"/>
    <w:rsid w:val="00406986"/>
    <w:rsid w:val="00406F88"/>
    <w:rsid w:val="00407A3F"/>
    <w:rsid w:val="004100D6"/>
    <w:rsid w:val="004114DA"/>
    <w:rsid w:val="00411876"/>
    <w:rsid w:val="00412EF3"/>
    <w:rsid w:val="00414829"/>
    <w:rsid w:val="00414A82"/>
    <w:rsid w:val="00414B80"/>
    <w:rsid w:val="00415678"/>
    <w:rsid w:val="00416A80"/>
    <w:rsid w:val="00417EF6"/>
    <w:rsid w:val="00420E40"/>
    <w:rsid w:val="0042154E"/>
    <w:rsid w:val="00421C71"/>
    <w:rsid w:val="00423CB9"/>
    <w:rsid w:val="00423E7E"/>
    <w:rsid w:val="00425992"/>
    <w:rsid w:val="00430085"/>
    <w:rsid w:val="004302CB"/>
    <w:rsid w:val="00431207"/>
    <w:rsid w:val="004318AC"/>
    <w:rsid w:val="004318C2"/>
    <w:rsid w:val="00433028"/>
    <w:rsid w:val="00433184"/>
    <w:rsid w:val="0043463B"/>
    <w:rsid w:val="00434C0D"/>
    <w:rsid w:val="0043528E"/>
    <w:rsid w:val="0043543C"/>
    <w:rsid w:val="0043578A"/>
    <w:rsid w:val="00436221"/>
    <w:rsid w:val="004377EF"/>
    <w:rsid w:val="0044162C"/>
    <w:rsid w:val="00441A0A"/>
    <w:rsid w:val="00441AEE"/>
    <w:rsid w:val="0044284C"/>
    <w:rsid w:val="00442F96"/>
    <w:rsid w:val="004434F3"/>
    <w:rsid w:val="004448C1"/>
    <w:rsid w:val="0044535A"/>
    <w:rsid w:val="00445397"/>
    <w:rsid w:val="004456CC"/>
    <w:rsid w:val="00445811"/>
    <w:rsid w:val="00445C0E"/>
    <w:rsid w:val="004463F7"/>
    <w:rsid w:val="00446415"/>
    <w:rsid w:val="00446891"/>
    <w:rsid w:val="0045491F"/>
    <w:rsid w:val="00454B53"/>
    <w:rsid w:val="00454C05"/>
    <w:rsid w:val="00455A8F"/>
    <w:rsid w:val="00455C02"/>
    <w:rsid w:val="004566D3"/>
    <w:rsid w:val="004573B5"/>
    <w:rsid w:val="004601E8"/>
    <w:rsid w:val="00460465"/>
    <w:rsid w:val="004620DD"/>
    <w:rsid w:val="004624BF"/>
    <w:rsid w:val="00462734"/>
    <w:rsid w:val="00462784"/>
    <w:rsid w:val="00463459"/>
    <w:rsid w:val="00463CE1"/>
    <w:rsid w:val="00464F12"/>
    <w:rsid w:val="00464FC9"/>
    <w:rsid w:val="0046504D"/>
    <w:rsid w:val="00465B12"/>
    <w:rsid w:val="00466D0D"/>
    <w:rsid w:val="00466FD7"/>
    <w:rsid w:val="00471418"/>
    <w:rsid w:val="0047161B"/>
    <w:rsid w:val="00471984"/>
    <w:rsid w:val="00472A94"/>
    <w:rsid w:val="00472AAD"/>
    <w:rsid w:val="00474A65"/>
    <w:rsid w:val="00475EA5"/>
    <w:rsid w:val="004762ED"/>
    <w:rsid w:val="0047633D"/>
    <w:rsid w:val="0047768F"/>
    <w:rsid w:val="00477BB6"/>
    <w:rsid w:val="004801CD"/>
    <w:rsid w:val="00480C18"/>
    <w:rsid w:val="00481065"/>
    <w:rsid w:val="0048218D"/>
    <w:rsid w:val="0048241C"/>
    <w:rsid w:val="00483027"/>
    <w:rsid w:val="00483410"/>
    <w:rsid w:val="00484153"/>
    <w:rsid w:val="0048584E"/>
    <w:rsid w:val="00485B8F"/>
    <w:rsid w:val="004862A3"/>
    <w:rsid w:val="004875C2"/>
    <w:rsid w:val="00487A40"/>
    <w:rsid w:val="00490555"/>
    <w:rsid w:val="004907C0"/>
    <w:rsid w:val="00491B25"/>
    <w:rsid w:val="00491D15"/>
    <w:rsid w:val="00492E7A"/>
    <w:rsid w:val="0049361F"/>
    <w:rsid w:val="004940AE"/>
    <w:rsid w:val="00494390"/>
    <w:rsid w:val="00495820"/>
    <w:rsid w:val="00495BC9"/>
    <w:rsid w:val="00495FE0"/>
    <w:rsid w:val="004962BD"/>
    <w:rsid w:val="0049648E"/>
    <w:rsid w:val="00496A55"/>
    <w:rsid w:val="00497AB8"/>
    <w:rsid w:val="004A048D"/>
    <w:rsid w:val="004A09A3"/>
    <w:rsid w:val="004A1A66"/>
    <w:rsid w:val="004A1CFF"/>
    <w:rsid w:val="004A2198"/>
    <w:rsid w:val="004A23EB"/>
    <w:rsid w:val="004A289F"/>
    <w:rsid w:val="004A384E"/>
    <w:rsid w:val="004A44F0"/>
    <w:rsid w:val="004A476E"/>
    <w:rsid w:val="004A4CEB"/>
    <w:rsid w:val="004A5BC3"/>
    <w:rsid w:val="004A5BEC"/>
    <w:rsid w:val="004A7FE4"/>
    <w:rsid w:val="004B0358"/>
    <w:rsid w:val="004B1CAB"/>
    <w:rsid w:val="004B212F"/>
    <w:rsid w:val="004B302C"/>
    <w:rsid w:val="004B408D"/>
    <w:rsid w:val="004B469A"/>
    <w:rsid w:val="004B47C5"/>
    <w:rsid w:val="004B51F6"/>
    <w:rsid w:val="004B5F3E"/>
    <w:rsid w:val="004B6593"/>
    <w:rsid w:val="004B6EC3"/>
    <w:rsid w:val="004B7FD9"/>
    <w:rsid w:val="004C034B"/>
    <w:rsid w:val="004C0954"/>
    <w:rsid w:val="004C0F77"/>
    <w:rsid w:val="004C100A"/>
    <w:rsid w:val="004C1508"/>
    <w:rsid w:val="004C3CDE"/>
    <w:rsid w:val="004C4E46"/>
    <w:rsid w:val="004C53F6"/>
    <w:rsid w:val="004C54A1"/>
    <w:rsid w:val="004C5932"/>
    <w:rsid w:val="004C66B5"/>
    <w:rsid w:val="004C69F1"/>
    <w:rsid w:val="004C6C13"/>
    <w:rsid w:val="004C78F0"/>
    <w:rsid w:val="004D05D6"/>
    <w:rsid w:val="004D0616"/>
    <w:rsid w:val="004D114F"/>
    <w:rsid w:val="004D19F5"/>
    <w:rsid w:val="004D1A5B"/>
    <w:rsid w:val="004D22BD"/>
    <w:rsid w:val="004D29F5"/>
    <w:rsid w:val="004D3984"/>
    <w:rsid w:val="004D3CE9"/>
    <w:rsid w:val="004D4C6A"/>
    <w:rsid w:val="004D6D56"/>
    <w:rsid w:val="004D70AA"/>
    <w:rsid w:val="004D77B9"/>
    <w:rsid w:val="004D7F4E"/>
    <w:rsid w:val="004E16AA"/>
    <w:rsid w:val="004E1AF7"/>
    <w:rsid w:val="004E3150"/>
    <w:rsid w:val="004E3D2A"/>
    <w:rsid w:val="004E6028"/>
    <w:rsid w:val="004E781B"/>
    <w:rsid w:val="004F213B"/>
    <w:rsid w:val="004F2B95"/>
    <w:rsid w:val="004F2EDE"/>
    <w:rsid w:val="004F3145"/>
    <w:rsid w:val="004F336E"/>
    <w:rsid w:val="004F4581"/>
    <w:rsid w:val="004F47C1"/>
    <w:rsid w:val="004F4E7D"/>
    <w:rsid w:val="004F5782"/>
    <w:rsid w:val="004F60E6"/>
    <w:rsid w:val="004F6C4F"/>
    <w:rsid w:val="00502666"/>
    <w:rsid w:val="00502A82"/>
    <w:rsid w:val="00503630"/>
    <w:rsid w:val="00504162"/>
    <w:rsid w:val="0050448D"/>
    <w:rsid w:val="0050459D"/>
    <w:rsid w:val="00504F39"/>
    <w:rsid w:val="0050538B"/>
    <w:rsid w:val="00505F62"/>
    <w:rsid w:val="00510328"/>
    <w:rsid w:val="0051046B"/>
    <w:rsid w:val="005107F8"/>
    <w:rsid w:val="005114A1"/>
    <w:rsid w:val="00512D36"/>
    <w:rsid w:val="00513E2B"/>
    <w:rsid w:val="005152F5"/>
    <w:rsid w:val="00515365"/>
    <w:rsid w:val="0051555A"/>
    <w:rsid w:val="00515C41"/>
    <w:rsid w:val="00516227"/>
    <w:rsid w:val="00516F45"/>
    <w:rsid w:val="00517C6F"/>
    <w:rsid w:val="005217E1"/>
    <w:rsid w:val="005220EB"/>
    <w:rsid w:val="0052239A"/>
    <w:rsid w:val="00523F4D"/>
    <w:rsid w:val="00524663"/>
    <w:rsid w:val="0052483F"/>
    <w:rsid w:val="0052526D"/>
    <w:rsid w:val="005268ED"/>
    <w:rsid w:val="0052723C"/>
    <w:rsid w:val="00527EA1"/>
    <w:rsid w:val="00531778"/>
    <w:rsid w:val="0053271E"/>
    <w:rsid w:val="00532C67"/>
    <w:rsid w:val="00532E9A"/>
    <w:rsid w:val="005332DE"/>
    <w:rsid w:val="0053738C"/>
    <w:rsid w:val="005377FB"/>
    <w:rsid w:val="00537F94"/>
    <w:rsid w:val="00540CAA"/>
    <w:rsid w:val="005414C0"/>
    <w:rsid w:val="00541B7B"/>
    <w:rsid w:val="0054256C"/>
    <w:rsid w:val="0054327B"/>
    <w:rsid w:val="005438F6"/>
    <w:rsid w:val="00543F4D"/>
    <w:rsid w:val="00544954"/>
    <w:rsid w:val="00544ABF"/>
    <w:rsid w:val="00545432"/>
    <w:rsid w:val="00545C8F"/>
    <w:rsid w:val="005469A0"/>
    <w:rsid w:val="00547C20"/>
    <w:rsid w:val="00550AEF"/>
    <w:rsid w:val="00551192"/>
    <w:rsid w:val="005513FE"/>
    <w:rsid w:val="0055201F"/>
    <w:rsid w:val="005521B4"/>
    <w:rsid w:val="0055276C"/>
    <w:rsid w:val="0055292C"/>
    <w:rsid w:val="00553462"/>
    <w:rsid w:val="0055365D"/>
    <w:rsid w:val="005545FA"/>
    <w:rsid w:val="00554F4D"/>
    <w:rsid w:val="0055613D"/>
    <w:rsid w:val="005564BE"/>
    <w:rsid w:val="00560E12"/>
    <w:rsid w:val="00561562"/>
    <w:rsid w:val="00562189"/>
    <w:rsid w:val="00562A35"/>
    <w:rsid w:val="00562A79"/>
    <w:rsid w:val="00562B55"/>
    <w:rsid w:val="00563042"/>
    <w:rsid w:val="00564E64"/>
    <w:rsid w:val="00565DAE"/>
    <w:rsid w:val="00566BFC"/>
    <w:rsid w:val="00567086"/>
    <w:rsid w:val="00567803"/>
    <w:rsid w:val="005679A3"/>
    <w:rsid w:val="00567C0D"/>
    <w:rsid w:val="005719A5"/>
    <w:rsid w:val="005727D6"/>
    <w:rsid w:val="005728CE"/>
    <w:rsid w:val="00574101"/>
    <w:rsid w:val="005745C0"/>
    <w:rsid w:val="00575838"/>
    <w:rsid w:val="0057659D"/>
    <w:rsid w:val="0057699D"/>
    <w:rsid w:val="0058020E"/>
    <w:rsid w:val="00580725"/>
    <w:rsid w:val="00580D7D"/>
    <w:rsid w:val="00582335"/>
    <w:rsid w:val="0058286A"/>
    <w:rsid w:val="00582F50"/>
    <w:rsid w:val="00583349"/>
    <w:rsid w:val="00583A1A"/>
    <w:rsid w:val="00584884"/>
    <w:rsid w:val="00584A49"/>
    <w:rsid w:val="00585366"/>
    <w:rsid w:val="00585625"/>
    <w:rsid w:val="0058758F"/>
    <w:rsid w:val="00587DB0"/>
    <w:rsid w:val="00591668"/>
    <w:rsid w:val="00592BE1"/>
    <w:rsid w:val="00593AB0"/>
    <w:rsid w:val="005951EE"/>
    <w:rsid w:val="0059522D"/>
    <w:rsid w:val="00595BCC"/>
    <w:rsid w:val="0059654B"/>
    <w:rsid w:val="0059658D"/>
    <w:rsid w:val="00596946"/>
    <w:rsid w:val="00596C8C"/>
    <w:rsid w:val="00597BB8"/>
    <w:rsid w:val="005A029B"/>
    <w:rsid w:val="005A1683"/>
    <w:rsid w:val="005A1AEF"/>
    <w:rsid w:val="005A2CC1"/>
    <w:rsid w:val="005A325B"/>
    <w:rsid w:val="005A33B3"/>
    <w:rsid w:val="005A3879"/>
    <w:rsid w:val="005A3B3D"/>
    <w:rsid w:val="005A3E28"/>
    <w:rsid w:val="005A6992"/>
    <w:rsid w:val="005A7397"/>
    <w:rsid w:val="005B02F6"/>
    <w:rsid w:val="005B0889"/>
    <w:rsid w:val="005B1A7F"/>
    <w:rsid w:val="005B2EC3"/>
    <w:rsid w:val="005B36B0"/>
    <w:rsid w:val="005B41A6"/>
    <w:rsid w:val="005B48D8"/>
    <w:rsid w:val="005B6230"/>
    <w:rsid w:val="005B652A"/>
    <w:rsid w:val="005B7361"/>
    <w:rsid w:val="005C12F9"/>
    <w:rsid w:val="005C1E8B"/>
    <w:rsid w:val="005C34EF"/>
    <w:rsid w:val="005C432D"/>
    <w:rsid w:val="005C4E6C"/>
    <w:rsid w:val="005C4F76"/>
    <w:rsid w:val="005C5511"/>
    <w:rsid w:val="005C5965"/>
    <w:rsid w:val="005C5B93"/>
    <w:rsid w:val="005C5BAD"/>
    <w:rsid w:val="005C681B"/>
    <w:rsid w:val="005C73DF"/>
    <w:rsid w:val="005C74BC"/>
    <w:rsid w:val="005D11F3"/>
    <w:rsid w:val="005D147F"/>
    <w:rsid w:val="005D217E"/>
    <w:rsid w:val="005D279C"/>
    <w:rsid w:val="005D2B39"/>
    <w:rsid w:val="005D32D2"/>
    <w:rsid w:val="005D3F49"/>
    <w:rsid w:val="005D442D"/>
    <w:rsid w:val="005D4968"/>
    <w:rsid w:val="005D5BD9"/>
    <w:rsid w:val="005D6933"/>
    <w:rsid w:val="005D782C"/>
    <w:rsid w:val="005D7908"/>
    <w:rsid w:val="005E0522"/>
    <w:rsid w:val="005E30A3"/>
    <w:rsid w:val="005E3363"/>
    <w:rsid w:val="005E3A37"/>
    <w:rsid w:val="005E4A54"/>
    <w:rsid w:val="005E4DDE"/>
    <w:rsid w:val="005E5420"/>
    <w:rsid w:val="005E59AA"/>
    <w:rsid w:val="005E61B0"/>
    <w:rsid w:val="005E66E6"/>
    <w:rsid w:val="005F01A8"/>
    <w:rsid w:val="005F24CF"/>
    <w:rsid w:val="005F25C9"/>
    <w:rsid w:val="005F2DE4"/>
    <w:rsid w:val="005F30CA"/>
    <w:rsid w:val="005F4CF1"/>
    <w:rsid w:val="005F5F2A"/>
    <w:rsid w:val="005F7259"/>
    <w:rsid w:val="006022EA"/>
    <w:rsid w:val="00603395"/>
    <w:rsid w:val="00603FFD"/>
    <w:rsid w:val="00605950"/>
    <w:rsid w:val="00605C1E"/>
    <w:rsid w:val="00606088"/>
    <w:rsid w:val="00607BFE"/>
    <w:rsid w:val="00607D50"/>
    <w:rsid w:val="00607F0D"/>
    <w:rsid w:val="00610262"/>
    <w:rsid w:val="006104EB"/>
    <w:rsid w:val="006113F6"/>
    <w:rsid w:val="0061144E"/>
    <w:rsid w:val="006118DB"/>
    <w:rsid w:val="006134B7"/>
    <w:rsid w:val="00614CD8"/>
    <w:rsid w:val="00614DBF"/>
    <w:rsid w:val="006155CE"/>
    <w:rsid w:val="0061564F"/>
    <w:rsid w:val="00616281"/>
    <w:rsid w:val="00617219"/>
    <w:rsid w:val="006173C1"/>
    <w:rsid w:val="00621BBE"/>
    <w:rsid w:val="0062239E"/>
    <w:rsid w:val="00622BE7"/>
    <w:rsid w:val="006233A8"/>
    <w:rsid w:val="006236CE"/>
    <w:rsid w:val="00623E1D"/>
    <w:rsid w:val="0062540B"/>
    <w:rsid w:val="00626229"/>
    <w:rsid w:val="00630162"/>
    <w:rsid w:val="00630971"/>
    <w:rsid w:val="0063116C"/>
    <w:rsid w:val="00631F5F"/>
    <w:rsid w:val="006321DF"/>
    <w:rsid w:val="00632D8A"/>
    <w:rsid w:val="00632E6C"/>
    <w:rsid w:val="006330F4"/>
    <w:rsid w:val="0063350A"/>
    <w:rsid w:val="00633654"/>
    <w:rsid w:val="00634391"/>
    <w:rsid w:val="006344F7"/>
    <w:rsid w:val="00634FD8"/>
    <w:rsid w:val="006357C4"/>
    <w:rsid w:val="006363FB"/>
    <w:rsid w:val="00636F6A"/>
    <w:rsid w:val="0064014A"/>
    <w:rsid w:val="00640BE8"/>
    <w:rsid w:val="0064147F"/>
    <w:rsid w:val="00641583"/>
    <w:rsid w:val="00641662"/>
    <w:rsid w:val="0064190F"/>
    <w:rsid w:val="00643DDF"/>
    <w:rsid w:val="006454BF"/>
    <w:rsid w:val="00645B6F"/>
    <w:rsid w:val="00646524"/>
    <w:rsid w:val="006465C9"/>
    <w:rsid w:val="00647031"/>
    <w:rsid w:val="006470B3"/>
    <w:rsid w:val="006502AE"/>
    <w:rsid w:val="006506A7"/>
    <w:rsid w:val="00651305"/>
    <w:rsid w:val="006514AB"/>
    <w:rsid w:val="006518EF"/>
    <w:rsid w:val="006520E0"/>
    <w:rsid w:val="00652DCC"/>
    <w:rsid w:val="006537A6"/>
    <w:rsid w:val="00654C8A"/>
    <w:rsid w:val="00654DAF"/>
    <w:rsid w:val="006552E2"/>
    <w:rsid w:val="0065623D"/>
    <w:rsid w:val="00657CCE"/>
    <w:rsid w:val="00657D7A"/>
    <w:rsid w:val="00660207"/>
    <w:rsid w:val="00660C1B"/>
    <w:rsid w:val="0066159F"/>
    <w:rsid w:val="00661F7E"/>
    <w:rsid w:val="0066375F"/>
    <w:rsid w:val="00663D8D"/>
    <w:rsid w:val="00663DBC"/>
    <w:rsid w:val="00664D36"/>
    <w:rsid w:val="006653E7"/>
    <w:rsid w:val="006672BA"/>
    <w:rsid w:val="00667E96"/>
    <w:rsid w:val="00667F9B"/>
    <w:rsid w:val="00672C76"/>
    <w:rsid w:val="006734F0"/>
    <w:rsid w:val="00673510"/>
    <w:rsid w:val="00673D25"/>
    <w:rsid w:val="00674460"/>
    <w:rsid w:val="00674499"/>
    <w:rsid w:val="006745C7"/>
    <w:rsid w:val="00675EEC"/>
    <w:rsid w:val="0067642C"/>
    <w:rsid w:val="00676991"/>
    <w:rsid w:val="00677224"/>
    <w:rsid w:val="006772F5"/>
    <w:rsid w:val="00677E92"/>
    <w:rsid w:val="006812E6"/>
    <w:rsid w:val="00681E96"/>
    <w:rsid w:val="0068221E"/>
    <w:rsid w:val="006828FF"/>
    <w:rsid w:val="00682C16"/>
    <w:rsid w:val="00682E6A"/>
    <w:rsid w:val="0068388B"/>
    <w:rsid w:val="006844AE"/>
    <w:rsid w:val="00684D7D"/>
    <w:rsid w:val="006859EB"/>
    <w:rsid w:val="00685F47"/>
    <w:rsid w:val="006860F0"/>
    <w:rsid w:val="00686BCD"/>
    <w:rsid w:val="00686FCE"/>
    <w:rsid w:val="0068754A"/>
    <w:rsid w:val="0068784B"/>
    <w:rsid w:val="00690376"/>
    <w:rsid w:val="006907A3"/>
    <w:rsid w:val="00690DE1"/>
    <w:rsid w:val="006926B1"/>
    <w:rsid w:val="00692BCB"/>
    <w:rsid w:val="00693ED3"/>
    <w:rsid w:val="00693EF4"/>
    <w:rsid w:val="00693F0C"/>
    <w:rsid w:val="006955EE"/>
    <w:rsid w:val="0069588E"/>
    <w:rsid w:val="00695C41"/>
    <w:rsid w:val="00695DA2"/>
    <w:rsid w:val="00697D41"/>
    <w:rsid w:val="00697F3F"/>
    <w:rsid w:val="006A111C"/>
    <w:rsid w:val="006A12D5"/>
    <w:rsid w:val="006A15E8"/>
    <w:rsid w:val="006A289B"/>
    <w:rsid w:val="006A3365"/>
    <w:rsid w:val="006A3609"/>
    <w:rsid w:val="006A4151"/>
    <w:rsid w:val="006A41D6"/>
    <w:rsid w:val="006A584F"/>
    <w:rsid w:val="006A5D6D"/>
    <w:rsid w:val="006A6CEC"/>
    <w:rsid w:val="006A739A"/>
    <w:rsid w:val="006A77C0"/>
    <w:rsid w:val="006A7DC6"/>
    <w:rsid w:val="006B00F5"/>
    <w:rsid w:val="006B20A1"/>
    <w:rsid w:val="006B20A3"/>
    <w:rsid w:val="006B29BE"/>
    <w:rsid w:val="006B3695"/>
    <w:rsid w:val="006B4FFC"/>
    <w:rsid w:val="006B5AF5"/>
    <w:rsid w:val="006B5AF7"/>
    <w:rsid w:val="006B5BFC"/>
    <w:rsid w:val="006C232D"/>
    <w:rsid w:val="006C272D"/>
    <w:rsid w:val="006C3204"/>
    <w:rsid w:val="006C3595"/>
    <w:rsid w:val="006C3734"/>
    <w:rsid w:val="006C4517"/>
    <w:rsid w:val="006C4649"/>
    <w:rsid w:val="006C4A95"/>
    <w:rsid w:val="006C4CAB"/>
    <w:rsid w:val="006C533D"/>
    <w:rsid w:val="006C5C2B"/>
    <w:rsid w:val="006C6666"/>
    <w:rsid w:val="006C7B78"/>
    <w:rsid w:val="006D1379"/>
    <w:rsid w:val="006D2438"/>
    <w:rsid w:val="006D3DC6"/>
    <w:rsid w:val="006D40D3"/>
    <w:rsid w:val="006D42D6"/>
    <w:rsid w:val="006D6ED9"/>
    <w:rsid w:val="006E0395"/>
    <w:rsid w:val="006E0487"/>
    <w:rsid w:val="006E0D55"/>
    <w:rsid w:val="006E1395"/>
    <w:rsid w:val="006E1D73"/>
    <w:rsid w:val="006E21E3"/>
    <w:rsid w:val="006E24C0"/>
    <w:rsid w:val="006E57AC"/>
    <w:rsid w:val="006E57F0"/>
    <w:rsid w:val="006E58E2"/>
    <w:rsid w:val="006E64AA"/>
    <w:rsid w:val="006E72BF"/>
    <w:rsid w:val="006E76C7"/>
    <w:rsid w:val="006E77F2"/>
    <w:rsid w:val="006F0B2E"/>
    <w:rsid w:val="006F1AF9"/>
    <w:rsid w:val="006F2DB0"/>
    <w:rsid w:val="006F5A46"/>
    <w:rsid w:val="006F5C21"/>
    <w:rsid w:val="006F5EC3"/>
    <w:rsid w:val="006F643E"/>
    <w:rsid w:val="006F6C0C"/>
    <w:rsid w:val="00700FF1"/>
    <w:rsid w:val="007020EC"/>
    <w:rsid w:val="00702217"/>
    <w:rsid w:val="0070304A"/>
    <w:rsid w:val="00703533"/>
    <w:rsid w:val="00704A8D"/>
    <w:rsid w:val="00705E4F"/>
    <w:rsid w:val="00706701"/>
    <w:rsid w:val="00706F06"/>
    <w:rsid w:val="007072A5"/>
    <w:rsid w:val="007113F1"/>
    <w:rsid w:val="0071141C"/>
    <w:rsid w:val="00711618"/>
    <w:rsid w:val="007127DF"/>
    <w:rsid w:val="007148E5"/>
    <w:rsid w:val="007152C0"/>
    <w:rsid w:val="007153CF"/>
    <w:rsid w:val="00717C72"/>
    <w:rsid w:val="00720951"/>
    <w:rsid w:val="00721A48"/>
    <w:rsid w:val="00721B38"/>
    <w:rsid w:val="0072204A"/>
    <w:rsid w:val="00722966"/>
    <w:rsid w:val="007230AA"/>
    <w:rsid w:val="0072354E"/>
    <w:rsid w:val="0072443B"/>
    <w:rsid w:val="00724CFF"/>
    <w:rsid w:val="00724F01"/>
    <w:rsid w:val="00727CB8"/>
    <w:rsid w:val="00730566"/>
    <w:rsid w:val="00732004"/>
    <w:rsid w:val="0073250C"/>
    <w:rsid w:val="00732AB4"/>
    <w:rsid w:val="00733713"/>
    <w:rsid w:val="00733960"/>
    <w:rsid w:val="007374BF"/>
    <w:rsid w:val="00737B8B"/>
    <w:rsid w:val="00737FF3"/>
    <w:rsid w:val="00737FF6"/>
    <w:rsid w:val="007410F3"/>
    <w:rsid w:val="00741250"/>
    <w:rsid w:val="0074146A"/>
    <w:rsid w:val="00741BEC"/>
    <w:rsid w:val="00741C37"/>
    <w:rsid w:val="00742A63"/>
    <w:rsid w:val="00743508"/>
    <w:rsid w:val="00743620"/>
    <w:rsid w:val="0074459E"/>
    <w:rsid w:val="007447A2"/>
    <w:rsid w:val="00744CAD"/>
    <w:rsid w:val="00746136"/>
    <w:rsid w:val="00746428"/>
    <w:rsid w:val="007469F8"/>
    <w:rsid w:val="00747BEF"/>
    <w:rsid w:val="0075021C"/>
    <w:rsid w:val="00750B25"/>
    <w:rsid w:val="00750F8A"/>
    <w:rsid w:val="007517E6"/>
    <w:rsid w:val="00751936"/>
    <w:rsid w:val="00752322"/>
    <w:rsid w:val="00754D8A"/>
    <w:rsid w:val="00755082"/>
    <w:rsid w:val="00755598"/>
    <w:rsid w:val="00755A0E"/>
    <w:rsid w:val="00757E4E"/>
    <w:rsid w:val="00760ECD"/>
    <w:rsid w:val="007611DC"/>
    <w:rsid w:val="00761EF6"/>
    <w:rsid w:val="0076253E"/>
    <w:rsid w:val="00763C18"/>
    <w:rsid w:val="007655BF"/>
    <w:rsid w:val="00765806"/>
    <w:rsid w:val="007659CE"/>
    <w:rsid w:val="00765B52"/>
    <w:rsid w:val="0076609E"/>
    <w:rsid w:val="0076619A"/>
    <w:rsid w:val="00766A2E"/>
    <w:rsid w:val="00766D53"/>
    <w:rsid w:val="0076730A"/>
    <w:rsid w:val="00767F17"/>
    <w:rsid w:val="007709A6"/>
    <w:rsid w:val="00770FB8"/>
    <w:rsid w:val="00772D38"/>
    <w:rsid w:val="007735E0"/>
    <w:rsid w:val="00776379"/>
    <w:rsid w:val="007766C8"/>
    <w:rsid w:val="00776BB9"/>
    <w:rsid w:val="00777D2D"/>
    <w:rsid w:val="0078001C"/>
    <w:rsid w:val="00780BE4"/>
    <w:rsid w:val="00781A3E"/>
    <w:rsid w:val="0078407A"/>
    <w:rsid w:val="0078464F"/>
    <w:rsid w:val="00784D4F"/>
    <w:rsid w:val="00786B1E"/>
    <w:rsid w:val="00791350"/>
    <w:rsid w:val="007918F1"/>
    <w:rsid w:val="007927A1"/>
    <w:rsid w:val="007929D6"/>
    <w:rsid w:val="00792C8B"/>
    <w:rsid w:val="00792D22"/>
    <w:rsid w:val="00795999"/>
    <w:rsid w:val="0079642A"/>
    <w:rsid w:val="007969CF"/>
    <w:rsid w:val="007A0D1B"/>
    <w:rsid w:val="007A1AEE"/>
    <w:rsid w:val="007A32E3"/>
    <w:rsid w:val="007A4AE1"/>
    <w:rsid w:val="007A4C00"/>
    <w:rsid w:val="007A4DD0"/>
    <w:rsid w:val="007A66CE"/>
    <w:rsid w:val="007A66D5"/>
    <w:rsid w:val="007A72E4"/>
    <w:rsid w:val="007B0531"/>
    <w:rsid w:val="007B07AD"/>
    <w:rsid w:val="007B1537"/>
    <w:rsid w:val="007B1965"/>
    <w:rsid w:val="007B241B"/>
    <w:rsid w:val="007B28C7"/>
    <w:rsid w:val="007B337B"/>
    <w:rsid w:val="007B3AF0"/>
    <w:rsid w:val="007B3E84"/>
    <w:rsid w:val="007B3FB1"/>
    <w:rsid w:val="007B41A6"/>
    <w:rsid w:val="007B55CF"/>
    <w:rsid w:val="007B59AF"/>
    <w:rsid w:val="007B5A8E"/>
    <w:rsid w:val="007B5BEB"/>
    <w:rsid w:val="007C0205"/>
    <w:rsid w:val="007C027D"/>
    <w:rsid w:val="007C0353"/>
    <w:rsid w:val="007C0634"/>
    <w:rsid w:val="007C0E0C"/>
    <w:rsid w:val="007C1052"/>
    <w:rsid w:val="007C2CAF"/>
    <w:rsid w:val="007C2E6C"/>
    <w:rsid w:val="007C3E0A"/>
    <w:rsid w:val="007C4957"/>
    <w:rsid w:val="007C4AE4"/>
    <w:rsid w:val="007C4B60"/>
    <w:rsid w:val="007C6236"/>
    <w:rsid w:val="007C64F2"/>
    <w:rsid w:val="007C6583"/>
    <w:rsid w:val="007C77D9"/>
    <w:rsid w:val="007C7D39"/>
    <w:rsid w:val="007D10E2"/>
    <w:rsid w:val="007D1212"/>
    <w:rsid w:val="007D22E4"/>
    <w:rsid w:val="007D238A"/>
    <w:rsid w:val="007D28B6"/>
    <w:rsid w:val="007D28CC"/>
    <w:rsid w:val="007D2B87"/>
    <w:rsid w:val="007D3F16"/>
    <w:rsid w:val="007D43C3"/>
    <w:rsid w:val="007D4E0B"/>
    <w:rsid w:val="007D5909"/>
    <w:rsid w:val="007D70E1"/>
    <w:rsid w:val="007D7276"/>
    <w:rsid w:val="007D7534"/>
    <w:rsid w:val="007D7973"/>
    <w:rsid w:val="007D7E05"/>
    <w:rsid w:val="007E0205"/>
    <w:rsid w:val="007E0341"/>
    <w:rsid w:val="007E15DC"/>
    <w:rsid w:val="007E2312"/>
    <w:rsid w:val="007E2C47"/>
    <w:rsid w:val="007E3D1B"/>
    <w:rsid w:val="007E4605"/>
    <w:rsid w:val="007E52E3"/>
    <w:rsid w:val="007E531F"/>
    <w:rsid w:val="007E559F"/>
    <w:rsid w:val="007E570F"/>
    <w:rsid w:val="007E5B48"/>
    <w:rsid w:val="007E7222"/>
    <w:rsid w:val="007E793A"/>
    <w:rsid w:val="007F00B0"/>
    <w:rsid w:val="007F0B09"/>
    <w:rsid w:val="007F1652"/>
    <w:rsid w:val="007F1E50"/>
    <w:rsid w:val="007F27ED"/>
    <w:rsid w:val="007F3416"/>
    <w:rsid w:val="007F3451"/>
    <w:rsid w:val="007F49C7"/>
    <w:rsid w:val="007F5715"/>
    <w:rsid w:val="007F68ED"/>
    <w:rsid w:val="007F7309"/>
    <w:rsid w:val="00800A10"/>
    <w:rsid w:val="00801451"/>
    <w:rsid w:val="00802C28"/>
    <w:rsid w:val="008043F1"/>
    <w:rsid w:val="00804CE0"/>
    <w:rsid w:val="00805AD8"/>
    <w:rsid w:val="008065A5"/>
    <w:rsid w:val="008076EA"/>
    <w:rsid w:val="008111D7"/>
    <w:rsid w:val="00811418"/>
    <w:rsid w:val="00811888"/>
    <w:rsid w:val="00813A19"/>
    <w:rsid w:val="00814A81"/>
    <w:rsid w:val="00814D60"/>
    <w:rsid w:val="008151D9"/>
    <w:rsid w:val="00815824"/>
    <w:rsid w:val="00816309"/>
    <w:rsid w:val="00816B8D"/>
    <w:rsid w:val="00817EEA"/>
    <w:rsid w:val="008217F8"/>
    <w:rsid w:val="0082210E"/>
    <w:rsid w:val="00822136"/>
    <w:rsid w:val="00822588"/>
    <w:rsid w:val="00824C09"/>
    <w:rsid w:val="00825940"/>
    <w:rsid w:val="00825C2A"/>
    <w:rsid w:val="00826038"/>
    <w:rsid w:val="00827A48"/>
    <w:rsid w:val="00827B06"/>
    <w:rsid w:val="0083003D"/>
    <w:rsid w:val="008303C0"/>
    <w:rsid w:val="008308F9"/>
    <w:rsid w:val="008317F8"/>
    <w:rsid w:val="008319A6"/>
    <w:rsid w:val="008327B0"/>
    <w:rsid w:val="00833B97"/>
    <w:rsid w:val="0083407C"/>
    <w:rsid w:val="00834B21"/>
    <w:rsid w:val="00834C63"/>
    <w:rsid w:val="00836396"/>
    <w:rsid w:val="008376FA"/>
    <w:rsid w:val="00841630"/>
    <w:rsid w:val="008416B3"/>
    <w:rsid w:val="008428A2"/>
    <w:rsid w:val="00843180"/>
    <w:rsid w:val="008432E9"/>
    <w:rsid w:val="00845A46"/>
    <w:rsid w:val="00846181"/>
    <w:rsid w:val="008469CC"/>
    <w:rsid w:val="00846CA3"/>
    <w:rsid w:val="008477F5"/>
    <w:rsid w:val="00847C43"/>
    <w:rsid w:val="00850086"/>
    <w:rsid w:val="00850921"/>
    <w:rsid w:val="00852087"/>
    <w:rsid w:val="008521AB"/>
    <w:rsid w:val="0085229E"/>
    <w:rsid w:val="00852B2D"/>
    <w:rsid w:val="00853203"/>
    <w:rsid w:val="00854D0F"/>
    <w:rsid w:val="00856C40"/>
    <w:rsid w:val="00856F39"/>
    <w:rsid w:val="00857E64"/>
    <w:rsid w:val="00862431"/>
    <w:rsid w:val="0086253A"/>
    <w:rsid w:val="008628E3"/>
    <w:rsid w:val="0086323A"/>
    <w:rsid w:val="008642E1"/>
    <w:rsid w:val="00865441"/>
    <w:rsid w:val="008659D7"/>
    <w:rsid w:val="00865DD2"/>
    <w:rsid w:val="00866B4A"/>
    <w:rsid w:val="00866BAB"/>
    <w:rsid w:val="00867A70"/>
    <w:rsid w:val="00867AF5"/>
    <w:rsid w:val="00870F90"/>
    <w:rsid w:val="0087126A"/>
    <w:rsid w:val="00871314"/>
    <w:rsid w:val="008727E1"/>
    <w:rsid w:val="00873021"/>
    <w:rsid w:val="00873F6E"/>
    <w:rsid w:val="008747C9"/>
    <w:rsid w:val="00876705"/>
    <w:rsid w:val="00876E4B"/>
    <w:rsid w:val="00881223"/>
    <w:rsid w:val="00882760"/>
    <w:rsid w:val="00882A9F"/>
    <w:rsid w:val="00883964"/>
    <w:rsid w:val="00883AC8"/>
    <w:rsid w:val="008869EE"/>
    <w:rsid w:val="00887E4A"/>
    <w:rsid w:val="00887F37"/>
    <w:rsid w:val="00890CBB"/>
    <w:rsid w:val="008912B1"/>
    <w:rsid w:val="008914A6"/>
    <w:rsid w:val="00891AB7"/>
    <w:rsid w:val="008923BE"/>
    <w:rsid w:val="008925B4"/>
    <w:rsid w:val="008926BB"/>
    <w:rsid w:val="00893856"/>
    <w:rsid w:val="00893EA4"/>
    <w:rsid w:val="00894CAA"/>
    <w:rsid w:val="008965C1"/>
    <w:rsid w:val="008966ED"/>
    <w:rsid w:val="00897299"/>
    <w:rsid w:val="00897D02"/>
    <w:rsid w:val="008A03B7"/>
    <w:rsid w:val="008A0E9B"/>
    <w:rsid w:val="008A183B"/>
    <w:rsid w:val="008A1FE9"/>
    <w:rsid w:val="008A247E"/>
    <w:rsid w:val="008A3B0B"/>
    <w:rsid w:val="008A3C61"/>
    <w:rsid w:val="008A4206"/>
    <w:rsid w:val="008A480B"/>
    <w:rsid w:val="008A4AE3"/>
    <w:rsid w:val="008A4E8A"/>
    <w:rsid w:val="008A5466"/>
    <w:rsid w:val="008A5C30"/>
    <w:rsid w:val="008A624E"/>
    <w:rsid w:val="008A660E"/>
    <w:rsid w:val="008A68AD"/>
    <w:rsid w:val="008A7B8C"/>
    <w:rsid w:val="008B1B12"/>
    <w:rsid w:val="008B45A0"/>
    <w:rsid w:val="008B5734"/>
    <w:rsid w:val="008B64B7"/>
    <w:rsid w:val="008B6FE4"/>
    <w:rsid w:val="008B74E8"/>
    <w:rsid w:val="008C0E24"/>
    <w:rsid w:val="008C157F"/>
    <w:rsid w:val="008C1957"/>
    <w:rsid w:val="008C2F2C"/>
    <w:rsid w:val="008C5B8B"/>
    <w:rsid w:val="008C708B"/>
    <w:rsid w:val="008D0E14"/>
    <w:rsid w:val="008D14C5"/>
    <w:rsid w:val="008D20AE"/>
    <w:rsid w:val="008D3BA5"/>
    <w:rsid w:val="008D3F08"/>
    <w:rsid w:val="008D52C2"/>
    <w:rsid w:val="008D5660"/>
    <w:rsid w:val="008D5986"/>
    <w:rsid w:val="008D65CA"/>
    <w:rsid w:val="008D6659"/>
    <w:rsid w:val="008E0019"/>
    <w:rsid w:val="008E0BD8"/>
    <w:rsid w:val="008E0DAF"/>
    <w:rsid w:val="008E1015"/>
    <w:rsid w:val="008E1178"/>
    <w:rsid w:val="008E22B8"/>
    <w:rsid w:val="008E4183"/>
    <w:rsid w:val="008E4E49"/>
    <w:rsid w:val="008E53BD"/>
    <w:rsid w:val="008E619B"/>
    <w:rsid w:val="008E63A0"/>
    <w:rsid w:val="008E6CDD"/>
    <w:rsid w:val="008E6D14"/>
    <w:rsid w:val="008F026F"/>
    <w:rsid w:val="008F0F93"/>
    <w:rsid w:val="008F12AF"/>
    <w:rsid w:val="008F25A1"/>
    <w:rsid w:val="008F26B0"/>
    <w:rsid w:val="008F3253"/>
    <w:rsid w:val="008F35CD"/>
    <w:rsid w:val="008F3A1F"/>
    <w:rsid w:val="008F3A91"/>
    <w:rsid w:val="008F3CA4"/>
    <w:rsid w:val="008F6381"/>
    <w:rsid w:val="00900247"/>
    <w:rsid w:val="00900F2F"/>
    <w:rsid w:val="00901192"/>
    <w:rsid w:val="009014C6"/>
    <w:rsid w:val="009016B4"/>
    <w:rsid w:val="009029D6"/>
    <w:rsid w:val="00903705"/>
    <w:rsid w:val="009039B9"/>
    <w:rsid w:val="00904FCC"/>
    <w:rsid w:val="00905359"/>
    <w:rsid w:val="00905689"/>
    <w:rsid w:val="0090572B"/>
    <w:rsid w:val="00905C0D"/>
    <w:rsid w:val="009068FB"/>
    <w:rsid w:val="00906DFB"/>
    <w:rsid w:val="0090748B"/>
    <w:rsid w:val="00907D81"/>
    <w:rsid w:val="0091121A"/>
    <w:rsid w:val="00911398"/>
    <w:rsid w:val="00911BDB"/>
    <w:rsid w:val="00912A37"/>
    <w:rsid w:val="0091368B"/>
    <w:rsid w:val="009149DE"/>
    <w:rsid w:val="00915C26"/>
    <w:rsid w:val="0091746A"/>
    <w:rsid w:val="0091797B"/>
    <w:rsid w:val="00917D6C"/>
    <w:rsid w:val="00920D3E"/>
    <w:rsid w:val="0092321F"/>
    <w:rsid w:val="00923233"/>
    <w:rsid w:val="00923356"/>
    <w:rsid w:val="00923F56"/>
    <w:rsid w:val="00925D0E"/>
    <w:rsid w:val="00926365"/>
    <w:rsid w:val="009263C2"/>
    <w:rsid w:val="0092667C"/>
    <w:rsid w:val="00926A72"/>
    <w:rsid w:val="00927FF6"/>
    <w:rsid w:val="009304C4"/>
    <w:rsid w:val="0093291E"/>
    <w:rsid w:val="0093299C"/>
    <w:rsid w:val="0093309D"/>
    <w:rsid w:val="009342E4"/>
    <w:rsid w:val="009342F7"/>
    <w:rsid w:val="0093431E"/>
    <w:rsid w:val="00934586"/>
    <w:rsid w:val="00934CFB"/>
    <w:rsid w:val="00934DDF"/>
    <w:rsid w:val="00935076"/>
    <w:rsid w:val="00935508"/>
    <w:rsid w:val="00935FBE"/>
    <w:rsid w:val="00940F99"/>
    <w:rsid w:val="00942018"/>
    <w:rsid w:val="00942EC3"/>
    <w:rsid w:val="00943483"/>
    <w:rsid w:val="00943A23"/>
    <w:rsid w:val="00943D1D"/>
    <w:rsid w:val="00945341"/>
    <w:rsid w:val="00945C27"/>
    <w:rsid w:val="00946E10"/>
    <w:rsid w:val="00946F3F"/>
    <w:rsid w:val="0094768D"/>
    <w:rsid w:val="0095160F"/>
    <w:rsid w:val="00951B1A"/>
    <w:rsid w:val="00952A4D"/>
    <w:rsid w:val="0095377D"/>
    <w:rsid w:val="00954AEA"/>
    <w:rsid w:val="00955D3C"/>
    <w:rsid w:val="00955F0E"/>
    <w:rsid w:val="00956F38"/>
    <w:rsid w:val="0096206F"/>
    <w:rsid w:val="009624C1"/>
    <w:rsid w:val="00963DA4"/>
    <w:rsid w:val="00964AD2"/>
    <w:rsid w:val="00964E69"/>
    <w:rsid w:val="0096582F"/>
    <w:rsid w:val="009658D0"/>
    <w:rsid w:val="0096616C"/>
    <w:rsid w:val="00966957"/>
    <w:rsid w:val="00966A29"/>
    <w:rsid w:val="00966D87"/>
    <w:rsid w:val="00966F7B"/>
    <w:rsid w:val="009676AD"/>
    <w:rsid w:val="00967857"/>
    <w:rsid w:val="00970639"/>
    <w:rsid w:val="00970907"/>
    <w:rsid w:val="00970E8E"/>
    <w:rsid w:val="0097153B"/>
    <w:rsid w:val="00971620"/>
    <w:rsid w:val="00971D69"/>
    <w:rsid w:val="00972B08"/>
    <w:rsid w:val="00972DB8"/>
    <w:rsid w:val="00973C42"/>
    <w:rsid w:val="009762C4"/>
    <w:rsid w:val="00976F7C"/>
    <w:rsid w:val="0097710B"/>
    <w:rsid w:val="009778DD"/>
    <w:rsid w:val="00980C40"/>
    <w:rsid w:val="009817AC"/>
    <w:rsid w:val="00981ECD"/>
    <w:rsid w:val="009822A3"/>
    <w:rsid w:val="00983F85"/>
    <w:rsid w:val="00984C36"/>
    <w:rsid w:val="00985963"/>
    <w:rsid w:val="00986E21"/>
    <w:rsid w:val="00986F2A"/>
    <w:rsid w:val="0098773E"/>
    <w:rsid w:val="00987886"/>
    <w:rsid w:val="00990CB8"/>
    <w:rsid w:val="00990F34"/>
    <w:rsid w:val="00991D82"/>
    <w:rsid w:val="00991F58"/>
    <w:rsid w:val="009927C4"/>
    <w:rsid w:val="00995B0B"/>
    <w:rsid w:val="009966FA"/>
    <w:rsid w:val="00996E23"/>
    <w:rsid w:val="009974E7"/>
    <w:rsid w:val="00997B95"/>
    <w:rsid w:val="00997D44"/>
    <w:rsid w:val="009A0258"/>
    <w:rsid w:val="009A2CF7"/>
    <w:rsid w:val="009A2EFB"/>
    <w:rsid w:val="009A3896"/>
    <w:rsid w:val="009A3EA6"/>
    <w:rsid w:val="009A43E7"/>
    <w:rsid w:val="009A46B8"/>
    <w:rsid w:val="009A5AE1"/>
    <w:rsid w:val="009A6A18"/>
    <w:rsid w:val="009A6C19"/>
    <w:rsid w:val="009A738E"/>
    <w:rsid w:val="009B021E"/>
    <w:rsid w:val="009B02DF"/>
    <w:rsid w:val="009B072C"/>
    <w:rsid w:val="009B0AFC"/>
    <w:rsid w:val="009B31BD"/>
    <w:rsid w:val="009B3BA5"/>
    <w:rsid w:val="009B3DCE"/>
    <w:rsid w:val="009B4AE8"/>
    <w:rsid w:val="009B5BED"/>
    <w:rsid w:val="009B70C6"/>
    <w:rsid w:val="009B7388"/>
    <w:rsid w:val="009C0627"/>
    <w:rsid w:val="009C0675"/>
    <w:rsid w:val="009C0942"/>
    <w:rsid w:val="009C195B"/>
    <w:rsid w:val="009C3E6F"/>
    <w:rsid w:val="009C462A"/>
    <w:rsid w:val="009C7280"/>
    <w:rsid w:val="009D0232"/>
    <w:rsid w:val="009D103F"/>
    <w:rsid w:val="009D246A"/>
    <w:rsid w:val="009D28B9"/>
    <w:rsid w:val="009D34B0"/>
    <w:rsid w:val="009D3D1E"/>
    <w:rsid w:val="009D51D4"/>
    <w:rsid w:val="009D576B"/>
    <w:rsid w:val="009D6571"/>
    <w:rsid w:val="009D6FA0"/>
    <w:rsid w:val="009D742B"/>
    <w:rsid w:val="009E1978"/>
    <w:rsid w:val="009E3461"/>
    <w:rsid w:val="009E3D1C"/>
    <w:rsid w:val="009E3D80"/>
    <w:rsid w:val="009E50C0"/>
    <w:rsid w:val="009E6D95"/>
    <w:rsid w:val="009E6F90"/>
    <w:rsid w:val="009E7561"/>
    <w:rsid w:val="009E7E46"/>
    <w:rsid w:val="009F1AA5"/>
    <w:rsid w:val="009F36FF"/>
    <w:rsid w:val="009F392E"/>
    <w:rsid w:val="009F48F4"/>
    <w:rsid w:val="009F4934"/>
    <w:rsid w:val="00A01688"/>
    <w:rsid w:val="00A019D6"/>
    <w:rsid w:val="00A02468"/>
    <w:rsid w:val="00A032A6"/>
    <w:rsid w:val="00A0422E"/>
    <w:rsid w:val="00A051B2"/>
    <w:rsid w:val="00A0520D"/>
    <w:rsid w:val="00A05B65"/>
    <w:rsid w:val="00A065D5"/>
    <w:rsid w:val="00A06CF2"/>
    <w:rsid w:val="00A108D1"/>
    <w:rsid w:val="00A1187F"/>
    <w:rsid w:val="00A12583"/>
    <w:rsid w:val="00A154E9"/>
    <w:rsid w:val="00A16E81"/>
    <w:rsid w:val="00A17E0F"/>
    <w:rsid w:val="00A208C3"/>
    <w:rsid w:val="00A20A2A"/>
    <w:rsid w:val="00A20F7B"/>
    <w:rsid w:val="00A20FF6"/>
    <w:rsid w:val="00A22228"/>
    <w:rsid w:val="00A222B8"/>
    <w:rsid w:val="00A222DC"/>
    <w:rsid w:val="00A238B4"/>
    <w:rsid w:val="00A24FEE"/>
    <w:rsid w:val="00A250F6"/>
    <w:rsid w:val="00A25342"/>
    <w:rsid w:val="00A25751"/>
    <w:rsid w:val="00A25900"/>
    <w:rsid w:val="00A274AA"/>
    <w:rsid w:val="00A27E18"/>
    <w:rsid w:val="00A30392"/>
    <w:rsid w:val="00A307E9"/>
    <w:rsid w:val="00A311F8"/>
    <w:rsid w:val="00A32307"/>
    <w:rsid w:val="00A33848"/>
    <w:rsid w:val="00A33AC1"/>
    <w:rsid w:val="00A34676"/>
    <w:rsid w:val="00A352C6"/>
    <w:rsid w:val="00A358F4"/>
    <w:rsid w:val="00A35C56"/>
    <w:rsid w:val="00A36465"/>
    <w:rsid w:val="00A37049"/>
    <w:rsid w:val="00A404F9"/>
    <w:rsid w:val="00A40FFA"/>
    <w:rsid w:val="00A42167"/>
    <w:rsid w:val="00A428F3"/>
    <w:rsid w:val="00A42EED"/>
    <w:rsid w:val="00A43C38"/>
    <w:rsid w:val="00A43CBB"/>
    <w:rsid w:val="00A448AE"/>
    <w:rsid w:val="00A449EB"/>
    <w:rsid w:val="00A44E87"/>
    <w:rsid w:val="00A44EBE"/>
    <w:rsid w:val="00A451C4"/>
    <w:rsid w:val="00A45231"/>
    <w:rsid w:val="00A453B2"/>
    <w:rsid w:val="00A45CA4"/>
    <w:rsid w:val="00A468E1"/>
    <w:rsid w:val="00A46C78"/>
    <w:rsid w:val="00A46EA7"/>
    <w:rsid w:val="00A47692"/>
    <w:rsid w:val="00A50A81"/>
    <w:rsid w:val="00A5186F"/>
    <w:rsid w:val="00A51AE0"/>
    <w:rsid w:val="00A51CD2"/>
    <w:rsid w:val="00A52742"/>
    <w:rsid w:val="00A53B9C"/>
    <w:rsid w:val="00A53BDB"/>
    <w:rsid w:val="00A54D32"/>
    <w:rsid w:val="00A54EA4"/>
    <w:rsid w:val="00A557C8"/>
    <w:rsid w:val="00A56078"/>
    <w:rsid w:val="00A566E6"/>
    <w:rsid w:val="00A601E6"/>
    <w:rsid w:val="00A60D90"/>
    <w:rsid w:val="00A61024"/>
    <w:rsid w:val="00A61E25"/>
    <w:rsid w:val="00A6285D"/>
    <w:rsid w:val="00A642C1"/>
    <w:rsid w:val="00A643D4"/>
    <w:rsid w:val="00A64E7C"/>
    <w:rsid w:val="00A66DB7"/>
    <w:rsid w:val="00A716E8"/>
    <w:rsid w:val="00A72612"/>
    <w:rsid w:val="00A72E33"/>
    <w:rsid w:val="00A741FD"/>
    <w:rsid w:val="00A74331"/>
    <w:rsid w:val="00A748AA"/>
    <w:rsid w:val="00A749A0"/>
    <w:rsid w:val="00A75078"/>
    <w:rsid w:val="00A77C66"/>
    <w:rsid w:val="00A803CC"/>
    <w:rsid w:val="00A829B6"/>
    <w:rsid w:val="00A82A9B"/>
    <w:rsid w:val="00A82FC2"/>
    <w:rsid w:val="00A83774"/>
    <w:rsid w:val="00A83DB5"/>
    <w:rsid w:val="00A84935"/>
    <w:rsid w:val="00A85452"/>
    <w:rsid w:val="00A85FCF"/>
    <w:rsid w:val="00A877B8"/>
    <w:rsid w:val="00A90960"/>
    <w:rsid w:val="00A91D49"/>
    <w:rsid w:val="00A91D9B"/>
    <w:rsid w:val="00A92925"/>
    <w:rsid w:val="00A92D63"/>
    <w:rsid w:val="00A93099"/>
    <w:rsid w:val="00A936AE"/>
    <w:rsid w:val="00A939C6"/>
    <w:rsid w:val="00A945FE"/>
    <w:rsid w:val="00A95023"/>
    <w:rsid w:val="00A95C77"/>
    <w:rsid w:val="00A9652C"/>
    <w:rsid w:val="00A967B0"/>
    <w:rsid w:val="00A97777"/>
    <w:rsid w:val="00A97E72"/>
    <w:rsid w:val="00AA048E"/>
    <w:rsid w:val="00AA0770"/>
    <w:rsid w:val="00AA08B7"/>
    <w:rsid w:val="00AA0DD5"/>
    <w:rsid w:val="00AA1268"/>
    <w:rsid w:val="00AA2878"/>
    <w:rsid w:val="00AA319E"/>
    <w:rsid w:val="00AA338B"/>
    <w:rsid w:val="00AA39DD"/>
    <w:rsid w:val="00AA4B7A"/>
    <w:rsid w:val="00AA4BF4"/>
    <w:rsid w:val="00AA4CD7"/>
    <w:rsid w:val="00AA4E54"/>
    <w:rsid w:val="00AA5273"/>
    <w:rsid w:val="00AA5439"/>
    <w:rsid w:val="00AA63AD"/>
    <w:rsid w:val="00AA673B"/>
    <w:rsid w:val="00AA7763"/>
    <w:rsid w:val="00AB0066"/>
    <w:rsid w:val="00AB0BE1"/>
    <w:rsid w:val="00AB0FC0"/>
    <w:rsid w:val="00AB1C29"/>
    <w:rsid w:val="00AB338B"/>
    <w:rsid w:val="00AB3B64"/>
    <w:rsid w:val="00AB4AD6"/>
    <w:rsid w:val="00AB4D99"/>
    <w:rsid w:val="00AB7DC3"/>
    <w:rsid w:val="00AB7E18"/>
    <w:rsid w:val="00AB7FE1"/>
    <w:rsid w:val="00AC0A4B"/>
    <w:rsid w:val="00AC0D26"/>
    <w:rsid w:val="00AC1B9E"/>
    <w:rsid w:val="00AC1F0A"/>
    <w:rsid w:val="00AC228C"/>
    <w:rsid w:val="00AC44D2"/>
    <w:rsid w:val="00AC5EFC"/>
    <w:rsid w:val="00AD0072"/>
    <w:rsid w:val="00AD01EA"/>
    <w:rsid w:val="00AD1865"/>
    <w:rsid w:val="00AD1CD4"/>
    <w:rsid w:val="00AD246B"/>
    <w:rsid w:val="00AD4002"/>
    <w:rsid w:val="00AD49DE"/>
    <w:rsid w:val="00AD4B5A"/>
    <w:rsid w:val="00AD5672"/>
    <w:rsid w:val="00AD6C78"/>
    <w:rsid w:val="00AE0434"/>
    <w:rsid w:val="00AE0A3D"/>
    <w:rsid w:val="00AE0B2F"/>
    <w:rsid w:val="00AE0E9F"/>
    <w:rsid w:val="00AE15BA"/>
    <w:rsid w:val="00AE355D"/>
    <w:rsid w:val="00AE41F5"/>
    <w:rsid w:val="00AE4900"/>
    <w:rsid w:val="00AE498A"/>
    <w:rsid w:val="00AE4D72"/>
    <w:rsid w:val="00AE4FDE"/>
    <w:rsid w:val="00AE57F1"/>
    <w:rsid w:val="00AE5805"/>
    <w:rsid w:val="00AE701A"/>
    <w:rsid w:val="00AF0000"/>
    <w:rsid w:val="00AF06D8"/>
    <w:rsid w:val="00AF0A24"/>
    <w:rsid w:val="00AF163C"/>
    <w:rsid w:val="00AF22C2"/>
    <w:rsid w:val="00AF284E"/>
    <w:rsid w:val="00AF3971"/>
    <w:rsid w:val="00AF3D50"/>
    <w:rsid w:val="00AF3EFF"/>
    <w:rsid w:val="00AF491F"/>
    <w:rsid w:val="00AF4B33"/>
    <w:rsid w:val="00AF77BD"/>
    <w:rsid w:val="00B0041D"/>
    <w:rsid w:val="00B01201"/>
    <w:rsid w:val="00B0153B"/>
    <w:rsid w:val="00B02F63"/>
    <w:rsid w:val="00B0388D"/>
    <w:rsid w:val="00B045AA"/>
    <w:rsid w:val="00B046A5"/>
    <w:rsid w:val="00B04901"/>
    <w:rsid w:val="00B061C1"/>
    <w:rsid w:val="00B074C4"/>
    <w:rsid w:val="00B07D8F"/>
    <w:rsid w:val="00B10402"/>
    <w:rsid w:val="00B12868"/>
    <w:rsid w:val="00B128D4"/>
    <w:rsid w:val="00B1360C"/>
    <w:rsid w:val="00B1379B"/>
    <w:rsid w:val="00B142B1"/>
    <w:rsid w:val="00B146F4"/>
    <w:rsid w:val="00B14F1C"/>
    <w:rsid w:val="00B15BD1"/>
    <w:rsid w:val="00B17B40"/>
    <w:rsid w:val="00B21E30"/>
    <w:rsid w:val="00B2301D"/>
    <w:rsid w:val="00B24151"/>
    <w:rsid w:val="00B24919"/>
    <w:rsid w:val="00B26F43"/>
    <w:rsid w:val="00B30591"/>
    <w:rsid w:val="00B31F43"/>
    <w:rsid w:val="00B321B9"/>
    <w:rsid w:val="00B325E1"/>
    <w:rsid w:val="00B327AC"/>
    <w:rsid w:val="00B32807"/>
    <w:rsid w:val="00B3280C"/>
    <w:rsid w:val="00B3493F"/>
    <w:rsid w:val="00B34BCC"/>
    <w:rsid w:val="00B3515D"/>
    <w:rsid w:val="00B35D2A"/>
    <w:rsid w:val="00B35E2E"/>
    <w:rsid w:val="00B35EAF"/>
    <w:rsid w:val="00B3625E"/>
    <w:rsid w:val="00B36DED"/>
    <w:rsid w:val="00B37ADB"/>
    <w:rsid w:val="00B40328"/>
    <w:rsid w:val="00B40589"/>
    <w:rsid w:val="00B423C9"/>
    <w:rsid w:val="00B433D5"/>
    <w:rsid w:val="00B437AC"/>
    <w:rsid w:val="00B46682"/>
    <w:rsid w:val="00B46E74"/>
    <w:rsid w:val="00B471CB"/>
    <w:rsid w:val="00B4766C"/>
    <w:rsid w:val="00B47E2D"/>
    <w:rsid w:val="00B500C8"/>
    <w:rsid w:val="00B50643"/>
    <w:rsid w:val="00B50652"/>
    <w:rsid w:val="00B5106C"/>
    <w:rsid w:val="00B5133E"/>
    <w:rsid w:val="00B51EBD"/>
    <w:rsid w:val="00B52ED2"/>
    <w:rsid w:val="00B5445D"/>
    <w:rsid w:val="00B567CB"/>
    <w:rsid w:val="00B56C1D"/>
    <w:rsid w:val="00B60508"/>
    <w:rsid w:val="00B60F6B"/>
    <w:rsid w:val="00B613CF"/>
    <w:rsid w:val="00B61600"/>
    <w:rsid w:val="00B6179C"/>
    <w:rsid w:val="00B62068"/>
    <w:rsid w:val="00B630F5"/>
    <w:rsid w:val="00B63590"/>
    <w:rsid w:val="00B662F8"/>
    <w:rsid w:val="00B66750"/>
    <w:rsid w:val="00B66C19"/>
    <w:rsid w:val="00B6782F"/>
    <w:rsid w:val="00B702FF"/>
    <w:rsid w:val="00B710D7"/>
    <w:rsid w:val="00B71B15"/>
    <w:rsid w:val="00B72A88"/>
    <w:rsid w:val="00B73594"/>
    <w:rsid w:val="00B7509B"/>
    <w:rsid w:val="00B7715D"/>
    <w:rsid w:val="00B810E0"/>
    <w:rsid w:val="00B81170"/>
    <w:rsid w:val="00B82301"/>
    <w:rsid w:val="00B82578"/>
    <w:rsid w:val="00B83032"/>
    <w:rsid w:val="00B83B10"/>
    <w:rsid w:val="00B8402E"/>
    <w:rsid w:val="00B84F73"/>
    <w:rsid w:val="00B858E1"/>
    <w:rsid w:val="00B85B7F"/>
    <w:rsid w:val="00B85E48"/>
    <w:rsid w:val="00B90794"/>
    <w:rsid w:val="00B90F42"/>
    <w:rsid w:val="00B9182F"/>
    <w:rsid w:val="00B91D5F"/>
    <w:rsid w:val="00B92C0A"/>
    <w:rsid w:val="00B92C86"/>
    <w:rsid w:val="00B94415"/>
    <w:rsid w:val="00B94768"/>
    <w:rsid w:val="00B95B92"/>
    <w:rsid w:val="00B96B63"/>
    <w:rsid w:val="00B96C18"/>
    <w:rsid w:val="00B96F3B"/>
    <w:rsid w:val="00BA00CE"/>
    <w:rsid w:val="00BA00EB"/>
    <w:rsid w:val="00BA05FF"/>
    <w:rsid w:val="00BA0741"/>
    <w:rsid w:val="00BA18AC"/>
    <w:rsid w:val="00BA29A4"/>
    <w:rsid w:val="00BA2AB4"/>
    <w:rsid w:val="00BA2C24"/>
    <w:rsid w:val="00BA3796"/>
    <w:rsid w:val="00BA453A"/>
    <w:rsid w:val="00BA462B"/>
    <w:rsid w:val="00BA4A5E"/>
    <w:rsid w:val="00BA5485"/>
    <w:rsid w:val="00BA5C75"/>
    <w:rsid w:val="00BA626A"/>
    <w:rsid w:val="00BA6AAB"/>
    <w:rsid w:val="00BB03C9"/>
    <w:rsid w:val="00BB05FB"/>
    <w:rsid w:val="00BB0FCD"/>
    <w:rsid w:val="00BB177A"/>
    <w:rsid w:val="00BB1A6B"/>
    <w:rsid w:val="00BB3258"/>
    <w:rsid w:val="00BB34DE"/>
    <w:rsid w:val="00BB3659"/>
    <w:rsid w:val="00BB3AAD"/>
    <w:rsid w:val="00BB3C8C"/>
    <w:rsid w:val="00BB439B"/>
    <w:rsid w:val="00BB5A23"/>
    <w:rsid w:val="00BB5EE5"/>
    <w:rsid w:val="00BB6442"/>
    <w:rsid w:val="00BB696F"/>
    <w:rsid w:val="00BB7D71"/>
    <w:rsid w:val="00BC1113"/>
    <w:rsid w:val="00BC118E"/>
    <w:rsid w:val="00BC23ED"/>
    <w:rsid w:val="00BC24C5"/>
    <w:rsid w:val="00BC2D25"/>
    <w:rsid w:val="00BC484A"/>
    <w:rsid w:val="00BC52D1"/>
    <w:rsid w:val="00BC53ED"/>
    <w:rsid w:val="00BC6FFE"/>
    <w:rsid w:val="00BC70DB"/>
    <w:rsid w:val="00BC74D6"/>
    <w:rsid w:val="00BD0D71"/>
    <w:rsid w:val="00BD3307"/>
    <w:rsid w:val="00BD3503"/>
    <w:rsid w:val="00BD3D1B"/>
    <w:rsid w:val="00BD4492"/>
    <w:rsid w:val="00BD4C72"/>
    <w:rsid w:val="00BD50F2"/>
    <w:rsid w:val="00BD5CA2"/>
    <w:rsid w:val="00BD6699"/>
    <w:rsid w:val="00BD7164"/>
    <w:rsid w:val="00BD7972"/>
    <w:rsid w:val="00BD7B5E"/>
    <w:rsid w:val="00BE1432"/>
    <w:rsid w:val="00BE2E8D"/>
    <w:rsid w:val="00BE337E"/>
    <w:rsid w:val="00BE3B91"/>
    <w:rsid w:val="00BE417E"/>
    <w:rsid w:val="00BE42B2"/>
    <w:rsid w:val="00BE47EE"/>
    <w:rsid w:val="00BE4D26"/>
    <w:rsid w:val="00BE4D32"/>
    <w:rsid w:val="00BE5152"/>
    <w:rsid w:val="00BE5E74"/>
    <w:rsid w:val="00BF05CD"/>
    <w:rsid w:val="00BF1513"/>
    <w:rsid w:val="00BF284A"/>
    <w:rsid w:val="00BF32AB"/>
    <w:rsid w:val="00BF41AE"/>
    <w:rsid w:val="00BF4853"/>
    <w:rsid w:val="00BF48BC"/>
    <w:rsid w:val="00BF4D43"/>
    <w:rsid w:val="00BF7395"/>
    <w:rsid w:val="00C0032E"/>
    <w:rsid w:val="00C00EE5"/>
    <w:rsid w:val="00C013B7"/>
    <w:rsid w:val="00C01DCA"/>
    <w:rsid w:val="00C01EF4"/>
    <w:rsid w:val="00C02784"/>
    <w:rsid w:val="00C044FA"/>
    <w:rsid w:val="00C04786"/>
    <w:rsid w:val="00C04995"/>
    <w:rsid w:val="00C05FC2"/>
    <w:rsid w:val="00C069D7"/>
    <w:rsid w:val="00C06F9F"/>
    <w:rsid w:val="00C07022"/>
    <w:rsid w:val="00C072B7"/>
    <w:rsid w:val="00C075FB"/>
    <w:rsid w:val="00C078BF"/>
    <w:rsid w:val="00C11009"/>
    <w:rsid w:val="00C11043"/>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4FB8"/>
    <w:rsid w:val="00C3519D"/>
    <w:rsid w:val="00C36203"/>
    <w:rsid w:val="00C36489"/>
    <w:rsid w:val="00C4022B"/>
    <w:rsid w:val="00C408CF"/>
    <w:rsid w:val="00C40F18"/>
    <w:rsid w:val="00C417E7"/>
    <w:rsid w:val="00C4184D"/>
    <w:rsid w:val="00C424B5"/>
    <w:rsid w:val="00C4282D"/>
    <w:rsid w:val="00C4441B"/>
    <w:rsid w:val="00C47650"/>
    <w:rsid w:val="00C509D8"/>
    <w:rsid w:val="00C50C2F"/>
    <w:rsid w:val="00C50FB4"/>
    <w:rsid w:val="00C51A0F"/>
    <w:rsid w:val="00C52D1F"/>
    <w:rsid w:val="00C53BDE"/>
    <w:rsid w:val="00C53BEF"/>
    <w:rsid w:val="00C544DC"/>
    <w:rsid w:val="00C564BF"/>
    <w:rsid w:val="00C565E2"/>
    <w:rsid w:val="00C5787C"/>
    <w:rsid w:val="00C57D74"/>
    <w:rsid w:val="00C61416"/>
    <w:rsid w:val="00C6173D"/>
    <w:rsid w:val="00C6185B"/>
    <w:rsid w:val="00C62823"/>
    <w:rsid w:val="00C62B3C"/>
    <w:rsid w:val="00C62C1A"/>
    <w:rsid w:val="00C65122"/>
    <w:rsid w:val="00C660E6"/>
    <w:rsid w:val="00C66B2C"/>
    <w:rsid w:val="00C673C6"/>
    <w:rsid w:val="00C71E7C"/>
    <w:rsid w:val="00C72466"/>
    <w:rsid w:val="00C73BE3"/>
    <w:rsid w:val="00C740FB"/>
    <w:rsid w:val="00C74158"/>
    <w:rsid w:val="00C74895"/>
    <w:rsid w:val="00C751B4"/>
    <w:rsid w:val="00C75516"/>
    <w:rsid w:val="00C763A3"/>
    <w:rsid w:val="00C76534"/>
    <w:rsid w:val="00C7677E"/>
    <w:rsid w:val="00C77F9A"/>
    <w:rsid w:val="00C8108C"/>
    <w:rsid w:val="00C811CC"/>
    <w:rsid w:val="00C81DC0"/>
    <w:rsid w:val="00C82388"/>
    <w:rsid w:val="00C837C1"/>
    <w:rsid w:val="00C8398B"/>
    <w:rsid w:val="00C83EB1"/>
    <w:rsid w:val="00C85901"/>
    <w:rsid w:val="00C85B58"/>
    <w:rsid w:val="00C8634F"/>
    <w:rsid w:val="00C86402"/>
    <w:rsid w:val="00C87502"/>
    <w:rsid w:val="00C90233"/>
    <w:rsid w:val="00C902B0"/>
    <w:rsid w:val="00C90485"/>
    <w:rsid w:val="00C90CF5"/>
    <w:rsid w:val="00C914CF"/>
    <w:rsid w:val="00C91A70"/>
    <w:rsid w:val="00C92B27"/>
    <w:rsid w:val="00C92CA9"/>
    <w:rsid w:val="00C93003"/>
    <w:rsid w:val="00C9356A"/>
    <w:rsid w:val="00C939C7"/>
    <w:rsid w:val="00C94934"/>
    <w:rsid w:val="00C94C4A"/>
    <w:rsid w:val="00C94E36"/>
    <w:rsid w:val="00C96792"/>
    <w:rsid w:val="00C96F49"/>
    <w:rsid w:val="00C97369"/>
    <w:rsid w:val="00C979B4"/>
    <w:rsid w:val="00C97A86"/>
    <w:rsid w:val="00C97CA7"/>
    <w:rsid w:val="00CA0DE4"/>
    <w:rsid w:val="00CA0FCF"/>
    <w:rsid w:val="00CA10EB"/>
    <w:rsid w:val="00CA274A"/>
    <w:rsid w:val="00CA2C85"/>
    <w:rsid w:val="00CA47EE"/>
    <w:rsid w:val="00CA4829"/>
    <w:rsid w:val="00CA5435"/>
    <w:rsid w:val="00CA5718"/>
    <w:rsid w:val="00CA77D2"/>
    <w:rsid w:val="00CB212C"/>
    <w:rsid w:val="00CB2742"/>
    <w:rsid w:val="00CB2C35"/>
    <w:rsid w:val="00CB4CA4"/>
    <w:rsid w:val="00CB54FB"/>
    <w:rsid w:val="00CB6CC5"/>
    <w:rsid w:val="00CB73CE"/>
    <w:rsid w:val="00CC07D8"/>
    <w:rsid w:val="00CC28CE"/>
    <w:rsid w:val="00CC557F"/>
    <w:rsid w:val="00CC59C0"/>
    <w:rsid w:val="00CC75C1"/>
    <w:rsid w:val="00CC7952"/>
    <w:rsid w:val="00CD00F8"/>
    <w:rsid w:val="00CD056F"/>
    <w:rsid w:val="00CD0B8C"/>
    <w:rsid w:val="00CD107C"/>
    <w:rsid w:val="00CD13B3"/>
    <w:rsid w:val="00CD1BAF"/>
    <w:rsid w:val="00CD44D0"/>
    <w:rsid w:val="00CD4F7E"/>
    <w:rsid w:val="00CE0BD0"/>
    <w:rsid w:val="00CE140F"/>
    <w:rsid w:val="00CE1507"/>
    <w:rsid w:val="00CE2223"/>
    <w:rsid w:val="00CE2437"/>
    <w:rsid w:val="00CE29BF"/>
    <w:rsid w:val="00CE3BC9"/>
    <w:rsid w:val="00CE4904"/>
    <w:rsid w:val="00CE5CD6"/>
    <w:rsid w:val="00CE7EC6"/>
    <w:rsid w:val="00CF2716"/>
    <w:rsid w:val="00CF273E"/>
    <w:rsid w:val="00CF2983"/>
    <w:rsid w:val="00CF2CB1"/>
    <w:rsid w:val="00CF3168"/>
    <w:rsid w:val="00CF3E73"/>
    <w:rsid w:val="00CF4AFB"/>
    <w:rsid w:val="00CF69F2"/>
    <w:rsid w:val="00CF6E36"/>
    <w:rsid w:val="00CF6E6C"/>
    <w:rsid w:val="00CF7456"/>
    <w:rsid w:val="00CF7A17"/>
    <w:rsid w:val="00D004D2"/>
    <w:rsid w:val="00D022EC"/>
    <w:rsid w:val="00D03220"/>
    <w:rsid w:val="00D04D1F"/>
    <w:rsid w:val="00D05261"/>
    <w:rsid w:val="00D060B9"/>
    <w:rsid w:val="00D0616E"/>
    <w:rsid w:val="00D07750"/>
    <w:rsid w:val="00D10DA5"/>
    <w:rsid w:val="00D11100"/>
    <w:rsid w:val="00D1182F"/>
    <w:rsid w:val="00D120EF"/>
    <w:rsid w:val="00D12656"/>
    <w:rsid w:val="00D1360A"/>
    <w:rsid w:val="00D14329"/>
    <w:rsid w:val="00D1565B"/>
    <w:rsid w:val="00D15F8D"/>
    <w:rsid w:val="00D16544"/>
    <w:rsid w:val="00D16FE3"/>
    <w:rsid w:val="00D17111"/>
    <w:rsid w:val="00D17CF4"/>
    <w:rsid w:val="00D20332"/>
    <w:rsid w:val="00D20C51"/>
    <w:rsid w:val="00D21C65"/>
    <w:rsid w:val="00D21DBE"/>
    <w:rsid w:val="00D22EB6"/>
    <w:rsid w:val="00D2372F"/>
    <w:rsid w:val="00D23795"/>
    <w:rsid w:val="00D23974"/>
    <w:rsid w:val="00D26CD7"/>
    <w:rsid w:val="00D2764A"/>
    <w:rsid w:val="00D30B4C"/>
    <w:rsid w:val="00D3135C"/>
    <w:rsid w:val="00D336B2"/>
    <w:rsid w:val="00D3425E"/>
    <w:rsid w:val="00D36252"/>
    <w:rsid w:val="00D363BF"/>
    <w:rsid w:val="00D3647A"/>
    <w:rsid w:val="00D3655E"/>
    <w:rsid w:val="00D377A7"/>
    <w:rsid w:val="00D40AC3"/>
    <w:rsid w:val="00D41641"/>
    <w:rsid w:val="00D41E42"/>
    <w:rsid w:val="00D42BB3"/>
    <w:rsid w:val="00D43D70"/>
    <w:rsid w:val="00D4422C"/>
    <w:rsid w:val="00D45256"/>
    <w:rsid w:val="00D46188"/>
    <w:rsid w:val="00D46DC4"/>
    <w:rsid w:val="00D479A2"/>
    <w:rsid w:val="00D511EA"/>
    <w:rsid w:val="00D51E22"/>
    <w:rsid w:val="00D52442"/>
    <w:rsid w:val="00D525DB"/>
    <w:rsid w:val="00D559BE"/>
    <w:rsid w:val="00D574D0"/>
    <w:rsid w:val="00D57B29"/>
    <w:rsid w:val="00D606A2"/>
    <w:rsid w:val="00D62B5D"/>
    <w:rsid w:val="00D62DCC"/>
    <w:rsid w:val="00D632FB"/>
    <w:rsid w:val="00D634F5"/>
    <w:rsid w:val="00D63F0D"/>
    <w:rsid w:val="00D644E2"/>
    <w:rsid w:val="00D64B0F"/>
    <w:rsid w:val="00D64B5D"/>
    <w:rsid w:val="00D65035"/>
    <w:rsid w:val="00D65136"/>
    <w:rsid w:val="00D6581F"/>
    <w:rsid w:val="00D67372"/>
    <w:rsid w:val="00D67D74"/>
    <w:rsid w:val="00D706C9"/>
    <w:rsid w:val="00D709BE"/>
    <w:rsid w:val="00D72048"/>
    <w:rsid w:val="00D73085"/>
    <w:rsid w:val="00D73B2C"/>
    <w:rsid w:val="00D74F4C"/>
    <w:rsid w:val="00D758D3"/>
    <w:rsid w:val="00D763DF"/>
    <w:rsid w:val="00D76971"/>
    <w:rsid w:val="00D76B24"/>
    <w:rsid w:val="00D76CAE"/>
    <w:rsid w:val="00D83CEB"/>
    <w:rsid w:val="00D84E28"/>
    <w:rsid w:val="00D86CDC"/>
    <w:rsid w:val="00D87E84"/>
    <w:rsid w:val="00D9009C"/>
    <w:rsid w:val="00D90D79"/>
    <w:rsid w:val="00D91078"/>
    <w:rsid w:val="00D921C2"/>
    <w:rsid w:val="00D93D47"/>
    <w:rsid w:val="00D96C7E"/>
    <w:rsid w:val="00D96D16"/>
    <w:rsid w:val="00D96F4E"/>
    <w:rsid w:val="00D9743A"/>
    <w:rsid w:val="00DA05BE"/>
    <w:rsid w:val="00DA1CC3"/>
    <w:rsid w:val="00DA2974"/>
    <w:rsid w:val="00DA2D47"/>
    <w:rsid w:val="00DA30B6"/>
    <w:rsid w:val="00DA3461"/>
    <w:rsid w:val="00DA39FB"/>
    <w:rsid w:val="00DA5D03"/>
    <w:rsid w:val="00DA5DA0"/>
    <w:rsid w:val="00DA5EEF"/>
    <w:rsid w:val="00DA696C"/>
    <w:rsid w:val="00DA7ABD"/>
    <w:rsid w:val="00DB065D"/>
    <w:rsid w:val="00DB0D62"/>
    <w:rsid w:val="00DB1E04"/>
    <w:rsid w:val="00DB23DD"/>
    <w:rsid w:val="00DB26FE"/>
    <w:rsid w:val="00DB39BA"/>
    <w:rsid w:val="00DB4085"/>
    <w:rsid w:val="00DB42E9"/>
    <w:rsid w:val="00DB4AAC"/>
    <w:rsid w:val="00DB4C0B"/>
    <w:rsid w:val="00DB57B5"/>
    <w:rsid w:val="00DB6585"/>
    <w:rsid w:val="00DB68AC"/>
    <w:rsid w:val="00DB76E9"/>
    <w:rsid w:val="00DC0A4B"/>
    <w:rsid w:val="00DC0FA1"/>
    <w:rsid w:val="00DC18AF"/>
    <w:rsid w:val="00DC1B23"/>
    <w:rsid w:val="00DC3379"/>
    <w:rsid w:val="00DC5856"/>
    <w:rsid w:val="00DC5CDD"/>
    <w:rsid w:val="00DC6FFA"/>
    <w:rsid w:val="00DD0917"/>
    <w:rsid w:val="00DD1FA0"/>
    <w:rsid w:val="00DD1FC5"/>
    <w:rsid w:val="00DD220D"/>
    <w:rsid w:val="00DD2AF4"/>
    <w:rsid w:val="00DD56C9"/>
    <w:rsid w:val="00DD56D0"/>
    <w:rsid w:val="00DD6259"/>
    <w:rsid w:val="00DD6428"/>
    <w:rsid w:val="00DD6A8C"/>
    <w:rsid w:val="00DD7534"/>
    <w:rsid w:val="00DD76B9"/>
    <w:rsid w:val="00DD78DC"/>
    <w:rsid w:val="00DD7DE4"/>
    <w:rsid w:val="00DE0E84"/>
    <w:rsid w:val="00DE0EA3"/>
    <w:rsid w:val="00DE1A0B"/>
    <w:rsid w:val="00DE1D76"/>
    <w:rsid w:val="00DE26DE"/>
    <w:rsid w:val="00DE312A"/>
    <w:rsid w:val="00DE43B5"/>
    <w:rsid w:val="00DE4DEE"/>
    <w:rsid w:val="00DE681B"/>
    <w:rsid w:val="00DF041A"/>
    <w:rsid w:val="00DF0420"/>
    <w:rsid w:val="00DF1D03"/>
    <w:rsid w:val="00DF20DF"/>
    <w:rsid w:val="00DF3184"/>
    <w:rsid w:val="00DF4111"/>
    <w:rsid w:val="00DF454E"/>
    <w:rsid w:val="00DF47BE"/>
    <w:rsid w:val="00DF64CB"/>
    <w:rsid w:val="00DF71D7"/>
    <w:rsid w:val="00E00457"/>
    <w:rsid w:val="00E00487"/>
    <w:rsid w:val="00E005E9"/>
    <w:rsid w:val="00E007BB"/>
    <w:rsid w:val="00E00EDD"/>
    <w:rsid w:val="00E01891"/>
    <w:rsid w:val="00E01E7A"/>
    <w:rsid w:val="00E02786"/>
    <w:rsid w:val="00E032A6"/>
    <w:rsid w:val="00E03F63"/>
    <w:rsid w:val="00E060A0"/>
    <w:rsid w:val="00E06CFD"/>
    <w:rsid w:val="00E06D11"/>
    <w:rsid w:val="00E07668"/>
    <w:rsid w:val="00E103CF"/>
    <w:rsid w:val="00E122DB"/>
    <w:rsid w:val="00E139B3"/>
    <w:rsid w:val="00E167D0"/>
    <w:rsid w:val="00E16E8F"/>
    <w:rsid w:val="00E17177"/>
    <w:rsid w:val="00E1746A"/>
    <w:rsid w:val="00E17A61"/>
    <w:rsid w:val="00E2001E"/>
    <w:rsid w:val="00E21D30"/>
    <w:rsid w:val="00E22F4F"/>
    <w:rsid w:val="00E23B04"/>
    <w:rsid w:val="00E23DE9"/>
    <w:rsid w:val="00E23F04"/>
    <w:rsid w:val="00E2461D"/>
    <w:rsid w:val="00E2602D"/>
    <w:rsid w:val="00E26570"/>
    <w:rsid w:val="00E265AB"/>
    <w:rsid w:val="00E27666"/>
    <w:rsid w:val="00E27BB2"/>
    <w:rsid w:val="00E305D2"/>
    <w:rsid w:val="00E30698"/>
    <w:rsid w:val="00E3098E"/>
    <w:rsid w:val="00E319A1"/>
    <w:rsid w:val="00E31FB0"/>
    <w:rsid w:val="00E323A6"/>
    <w:rsid w:val="00E33406"/>
    <w:rsid w:val="00E34030"/>
    <w:rsid w:val="00E34337"/>
    <w:rsid w:val="00E353DD"/>
    <w:rsid w:val="00E35A80"/>
    <w:rsid w:val="00E365F4"/>
    <w:rsid w:val="00E3764F"/>
    <w:rsid w:val="00E37B36"/>
    <w:rsid w:val="00E41FC2"/>
    <w:rsid w:val="00E423EE"/>
    <w:rsid w:val="00E43253"/>
    <w:rsid w:val="00E43D46"/>
    <w:rsid w:val="00E446D5"/>
    <w:rsid w:val="00E44C34"/>
    <w:rsid w:val="00E44DF3"/>
    <w:rsid w:val="00E44E02"/>
    <w:rsid w:val="00E45F91"/>
    <w:rsid w:val="00E46754"/>
    <w:rsid w:val="00E46F1A"/>
    <w:rsid w:val="00E47872"/>
    <w:rsid w:val="00E501E6"/>
    <w:rsid w:val="00E50AC9"/>
    <w:rsid w:val="00E50DB4"/>
    <w:rsid w:val="00E511A3"/>
    <w:rsid w:val="00E51D63"/>
    <w:rsid w:val="00E52695"/>
    <w:rsid w:val="00E541C3"/>
    <w:rsid w:val="00E54315"/>
    <w:rsid w:val="00E5432F"/>
    <w:rsid w:val="00E55230"/>
    <w:rsid w:val="00E5568A"/>
    <w:rsid w:val="00E55998"/>
    <w:rsid w:val="00E570BE"/>
    <w:rsid w:val="00E57197"/>
    <w:rsid w:val="00E576B0"/>
    <w:rsid w:val="00E576E9"/>
    <w:rsid w:val="00E5771F"/>
    <w:rsid w:val="00E57967"/>
    <w:rsid w:val="00E607A6"/>
    <w:rsid w:val="00E60E38"/>
    <w:rsid w:val="00E610CB"/>
    <w:rsid w:val="00E62EDC"/>
    <w:rsid w:val="00E65476"/>
    <w:rsid w:val="00E65483"/>
    <w:rsid w:val="00E65928"/>
    <w:rsid w:val="00E659D7"/>
    <w:rsid w:val="00E65C30"/>
    <w:rsid w:val="00E667EF"/>
    <w:rsid w:val="00E67A7C"/>
    <w:rsid w:val="00E67ADF"/>
    <w:rsid w:val="00E70999"/>
    <w:rsid w:val="00E71C44"/>
    <w:rsid w:val="00E71E72"/>
    <w:rsid w:val="00E72483"/>
    <w:rsid w:val="00E75986"/>
    <w:rsid w:val="00E77A87"/>
    <w:rsid w:val="00E80286"/>
    <w:rsid w:val="00E80A05"/>
    <w:rsid w:val="00E818C1"/>
    <w:rsid w:val="00E820D0"/>
    <w:rsid w:val="00E830C0"/>
    <w:rsid w:val="00E84720"/>
    <w:rsid w:val="00E84A41"/>
    <w:rsid w:val="00E85C7F"/>
    <w:rsid w:val="00E85D9D"/>
    <w:rsid w:val="00E8643A"/>
    <w:rsid w:val="00E86A6B"/>
    <w:rsid w:val="00E90E89"/>
    <w:rsid w:val="00E9135E"/>
    <w:rsid w:val="00E919A4"/>
    <w:rsid w:val="00E91C2F"/>
    <w:rsid w:val="00E91DFD"/>
    <w:rsid w:val="00E91FC0"/>
    <w:rsid w:val="00E92224"/>
    <w:rsid w:val="00E93FD2"/>
    <w:rsid w:val="00E95999"/>
    <w:rsid w:val="00E96567"/>
    <w:rsid w:val="00E9702B"/>
    <w:rsid w:val="00E97D59"/>
    <w:rsid w:val="00EA0568"/>
    <w:rsid w:val="00EA099A"/>
    <w:rsid w:val="00EA1A62"/>
    <w:rsid w:val="00EA2167"/>
    <w:rsid w:val="00EA2834"/>
    <w:rsid w:val="00EA2BBF"/>
    <w:rsid w:val="00EA418D"/>
    <w:rsid w:val="00EA6E1B"/>
    <w:rsid w:val="00EA75AA"/>
    <w:rsid w:val="00EA7DA0"/>
    <w:rsid w:val="00EB148D"/>
    <w:rsid w:val="00EB1FD2"/>
    <w:rsid w:val="00EB233E"/>
    <w:rsid w:val="00EB285B"/>
    <w:rsid w:val="00EB294B"/>
    <w:rsid w:val="00EB4516"/>
    <w:rsid w:val="00EB4B86"/>
    <w:rsid w:val="00EB5018"/>
    <w:rsid w:val="00EB568C"/>
    <w:rsid w:val="00EB5A65"/>
    <w:rsid w:val="00EB63A8"/>
    <w:rsid w:val="00EB6DC4"/>
    <w:rsid w:val="00EB7669"/>
    <w:rsid w:val="00EC0EB7"/>
    <w:rsid w:val="00EC2402"/>
    <w:rsid w:val="00EC280C"/>
    <w:rsid w:val="00EC2E03"/>
    <w:rsid w:val="00EC4403"/>
    <w:rsid w:val="00EC4CA5"/>
    <w:rsid w:val="00EC5485"/>
    <w:rsid w:val="00EC5DCD"/>
    <w:rsid w:val="00EC6110"/>
    <w:rsid w:val="00EC645C"/>
    <w:rsid w:val="00EC7011"/>
    <w:rsid w:val="00ED25F9"/>
    <w:rsid w:val="00ED27BF"/>
    <w:rsid w:val="00ED288B"/>
    <w:rsid w:val="00ED353D"/>
    <w:rsid w:val="00ED43DB"/>
    <w:rsid w:val="00ED60CB"/>
    <w:rsid w:val="00ED6D67"/>
    <w:rsid w:val="00EE0521"/>
    <w:rsid w:val="00EE1778"/>
    <w:rsid w:val="00EE1BF7"/>
    <w:rsid w:val="00EE25B0"/>
    <w:rsid w:val="00EE263D"/>
    <w:rsid w:val="00EE3FC6"/>
    <w:rsid w:val="00EE53C4"/>
    <w:rsid w:val="00EE6011"/>
    <w:rsid w:val="00EE6D5D"/>
    <w:rsid w:val="00EE714B"/>
    <w:rsid w:val="00EF01AA"/>
    <w:rsid w:val="00EF2028"/>
    <w:rsid w:val="00EF24AE"/>
    <w:rsid w:val="00EF24E2"/>
    <w:rsid w:val="00EF2612"/>
    <w:rsid w:val="00EF26C7"/>
    <w:rsid w:val="00EF2810"/>
    <w:rsid w:val="00EF2B16"/>
    <w:rsid w:val="00EF335A"/>
    <w:rsid w:val="00EF3900"/>
    <w:rsid w:val="00EF3FE3"/>
    <w:rsid w:val="00EF57F6"/>
    <w:rsid w:val="00EF68DA"/>
    <w:rsid w:val="00EF7405"/>
    <w:rsid w:val="00EF7D8C"/>
    <w:rsid w:val="00EF7F4A"/>
    <w:rsid w:val="00F00015"/>
    <w:rsid w:val="00F00526"/>
    <w:rsid w:val="00F009B4"/>
    <w:rsid w:val="00F012BC"/>
    <w:rsid w:val="00F01EC8"/>
    <w:rsid w:val="00F023DD"/>
    <w:rsid w:val="00F03068"/>
    <w:rsid w:val="00F04A6F"/>
    <w:rsid w:val="00F0532D"/>
    <w:rsid w:val="00F056E6"/>
    <w:rsid w:val="00F06308"/>
    <w:rsid w:val="00F065D3"/>
    <w:rsid w:val="00F0793B"/>
    <w:rsid w:val="00F1008A"/>
    <w:rsid w:val="00F10AFD"/>
    <w:rsid w:val="00F10D98"/>
    <w:rsid w:val="00F10EC9"/>
    <w:rsid w:val="00F116E0"/>
    <w:rsid w:val="00F11785"/>
    <w:rsid w:val="00F12E41"/>
    <w:rsid w:val="00F1312C"/>
    <w:rsid w:val="00F1349E"/>
    <w:rsid w:val="00F15EBF"/>
    <w:rsid w:val="00F16176"/>
    <w:rsid w:val="00F163C3"/>
    <w:rsid w:val="00F164F4"/>
    <w:rsid w:val="00F17542"/>
    <w:rsid w:val="00F17948"/>
    <w:rsid w:val="00F17A70"/>
    <w:rsid w:val="00F17AE4"/>
    <w:rsid w:val="00F17C4E"/>
    <w:rsid w:val="00F20EAF"/>
    <w:rsid w:val="00F21103"/>
    <w:rsid w:val="00F21122"/>
    <w:rsid w:val="00F2149B"/>
    <w:rsid w:val="00F2164B"/>
    <w:rsid w:val="00F218A8"/>
    <w:rsid w:val="00F2222E"/>
    <w:rsid w:val="00F232F4"/>
    <w:rsid w:val="00F2362F"/>
    <w:rsid w:val="00F23CCC"/>
    <w:rsid w:val="00F256DB"/>
    <w:rsid w:val="00F258A5"/>
    <w:rsid w:val="00F26A77"/>
    <w:rsid w:val="00F27E8E"/>
    <w:rsid w:val="00F30672"/>
    <w:rsid w:val="00F30B0D"/>
    <w:rsid w:val="00F31876"/>
    <w:rsid w:val="00F32E4A"/>
    <w:rsid w:val="00F335DC"/>
    <w:rsid w:val="00F3363C"/>
    <w:rsid w:val="00F33CE0"/>
    <w:rsid w:val="00F35149"/>
    <w:rsid w:val="00F35290"/>
    <w:rsid w:val="00F35C16"/>
    <w:rsid w:val="00F36934"/>
    <w:rsid w:val="00F40271"/>
    <w:rsid w:val="00F40785"/>
    <w:rsid w:val="00F41147"/>
    <w:rsid w:val="00F41568"/>
    <w:rsid w:val="00F41FB6"/>
    <w:rsid w:val="00F42BE9"/>
    <w:rsid w:val="00F44349"/>
    <w:rsid w:val="00F44897"/>
    <w:rsid w:val="00F45439"/>
    <w:rsid w:val="00F4637A"/>
    <w:rsid w:val="00F4638D"/>
    <w:rsid w:val="00F47089"/>
    <w:rsid w:val="00F47E23"/>
    <w:rsid w:val="00F50C72"/>
    <w:rsid w:val="00F510B7"/>
    <w:rsid w:val="00F51AAA"/>
    <w:rsid w:val="00F51F1E"/>
    <w:rsid w:val="00F5292B"/>
    <w:rsid w:val="00F5294A"/>
    <w:rsid w:val="00F52B67"/>
    <w:rsid w:val="00F52DF7"/>
    <w:rsid w:val="00F53970"/>
    <w:rsid w:val="00F53F81"/>
    <w:rsid w:val="00F551F1"/>
    <w:rsid w:val="00F56F38"/>
    <w:rsid w:val="00F57169"/>
    <w:rsid w:val="00F573DE"/>
    <w:rsid w:val="00F57980"/>
    <w:rsid w:val="00F61D45"/>
    <w:rsid w:val="00F62580"/>
    <w:rsid w:val="00F6298B"/>
    <w:rsid w:val="00F62D58"/>
    <w:rsid w:val="00F63E92"/>
    <w:rsid w:val="00F653BC"/>
    <w:rsid w:val="00F6630A"/>
    <w:rsid w:val="00F666E9"/>
    <w:rsid w:val="00F67999"/>
    <w:rsid w:val="00F67AA9"/>
    <w:rsid w:val="00F70286"/>
    <w:rsid w:val="00F714DC"/>
    <w:rsid w:val="00F72AEE"/>
    <w:rsid w:val="00F7312D"/>
    <w:rsid w:val="00F74216"/>
    <w:rsid w:val="00F757EB"/>
    <w:rsid w:val="00F7645A"/>
    <w:rsid w:val="00F76924"/>
    <w:rsid w:val="00F77959"/>
    <w:rsid w:val="00F80DCD"/>
    <w:rsid w:val="00F81999"/>
    <w:rsid w:val="00F81AFB"/>
    <w:rsid w:val="00F81FAC"/>
    <w:rsid w:val="00F82213"/>
    <w:rsid w:val="00F828FC"/>
    <w:rsid w:val="00F85447"/>
    <w:rsid w:val="00F863FE"/>
    <w:rsid w:val="00F87044"/>
    <w:rsid w:val="00F9023C"/>
    <w:rsid w:val="00F90C4F"/>
    <w:rsid w:val="00F91EF9"/>
    <w:rsid w:val="00F92428"/>
    <w:rsid w:val="00F92938"/>
    <w:rsid w:val="00F94AB5"/>
    <w:rsid w:val="00F94C9B"/>
    <w:rsid w:val="00F96416"/>
    <w:rsid w:val="00F9699C"/>
    <w:rsid w:val="00FA2F34"/>
    <w:rsid w:val="00FA337B"/>
    <w:rsid w:val="00FA3698"/>
    <w:rsid w:val="00FA399C"/>
    <w:rsid w:val="00FA49F6"/>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8C0"/>
    <w:rsid w:val="00FC3A59"/>
    <w:rsid w:val="00FC406E"/>
    <w:rsid w:val="00FC50DC"/>
    <w:rsid w:val="00FC5553"/>
    <w:rsid w:val="00FC5780"/>
    <w:rsid w:val="00FC593D"/>
    <w:rsid w:val="00FC621B"/>
    <w:rsid w:val="00FC6237"/>
    <w:rsid w:val="00FC6B8C"/>
    <w:rsid w:val="00FD12AC"/>
    <w:rsid w:val="00FD3171"/>
    <w:rsid w:val="00FD35AF"/>
    <w:rsid w:val="00FD526B"/>
    <w:rsid w:val="00FD5A33"/>
    <w:rsid w:val="00FD6956"/>
    <w:rsid w:val="00FD7460"/>
    <w:rsid w:val="00FD750F"/>
    <w:rsid w:val="00FD7669"/>
    <w:rsid w:val="00FD7718"/>
    <w:rsid w:val="00FD7D4A"/>
    <w:rsid w:val="00FE27D0"/>
    <w:rsid w:val="00FE32E2"/>
    <w:rsid w:val="00FE3D28"/>
    <w:rsid w:val="00FE4713"/>
    <w:rsid w:val="00FE4986"/>
    <w:rsid w:val="00FE58D0"/>
    <w:rsid w:val="00FE5983"/>
    <w:rsid w:val="00FE6CC5"/>
    <w:rsid w:val="00FF097A"/>
    <w:rsid w:val="00FF27EB"/>
    <w:rsid w:val="00FF2A11"/>
    <w:rsid w:val="00FF3BAB"/>
    <w:rsid w:val="00FF3C8C"/>
    <w:rsid w:val="00FF417B"/>
    <w:rsid w:val="00FF4936"/>
    <w:rsid w:val="00FF4C88"/>
    <w:rsid w:val="00FF4CBA"/>
    <w:rsid w:val="00FF548A"/>
    <w:rsid w:val="00FF5F2B"/>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184EC4A-0D8E-4128-A1B2-E5D4FE0F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14"/>
    <w:rPr>
      <w:sz w:val="24"/>
    </w:rPr>
  </w:style>
  <w:style w:type="paragraph" w:styleId="Heading1">
    <w:name w:val="heading 1"/>
    <w:basedOn w:val="Normal"/>
    <w:next w:val="Normal"/>
    <w:link w:val="Heading1Char"/>
    <w:uiPriority w:val="9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D6514"/>
    <w:pPr>
      <w:keepNext/>
      <w:keepLines/>
      <w:spacing w:before="200"/>
      <w:outlineLvl w:val="1"/>
    </w:pPr>
    <w:rPr>
      <w:rFonts w:ascii="Cambria" w:eastAsiaTheme="minorEastAs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2D651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D6514"/>
    <w:rPr>
      <w:sz w:val="24"/>
    </w:rPr>
  </w:style>
  <w:style w:type="paragraph" w:styleId="Header">
    <w:name w:val="header"/>
    <w:basedOn w:val="Normal"/>
    <w:link w:val="HeaderChar"/>
    <w:uiPriority w:val="99"/>
    <w:unhideWhenUsed/>
    <w:rsid w:val="002D6514"/>
    <w:pPr>
      <w:tabs>
        <w:tab w:val="center" w:pos="4680"/>
        <w:tab w:val="right" w:pos="9360"/>
      </w:tabs>
    </w:pPr>
  </w:style>
  <w:style w:type="character" w:customStyle="1" w:styleId="HeaderChar">
    <w:name w:val="Header Char"/>
    <w:basedOn w:val="DefaultParagraphFont"/>
    <w:link w:val="Header"/>
    <w:uiPriority w:val="99"/>
    <w:rsid w:val="002D6514"/>
    <w:rPr>
      <w:sz w:val="24"/>
    </w:rPr>
  </w:style>
  <w:style w:type="paragraph" w:styleId="Footer">
    <w:name w:val="footer"/>
    <w:basedOn w:val="Normal"/>
    <w:link w:val="FooterChar"/>
    <w:uiPriority w:val="99"/>
    <w:unhideWhenUsed/>
    <w:rsid w:val="002D6514"/>
    <w:pPr>
      <w:tabs>
        <w:tab w:val="center" w:pos="4680"/>
        <w:tab w:val="right" w:pos="9360"/>
      </w:tabs>
    </w:pPr>
  </w:style>
  <w:style w:type="character" w:customStyle="1" w:styleId="FooterChar">
    <w:name w:val="Footer Char"/>
    <w:basedOn w:val="DefaultParagraphFont"/>
    <w:link w:val="Footer"/>
    <w:uiPriority w:val="99"/>
    <w:rsid w:val="002D6514"/>
    <w:rPr>
      <w:sz w:val="24"/>
    </w:rPr>
  </w:style>
  <w:style w:type="paragraph" w:customStyle="1" w:styleId="SCCLsocVersus">
    <w:name w:val="SCC.Lsoc.Versus"/>
    <w:basedOn w:val="Normal"/>
    <w:next w:val="Normal"/>
    <w:link w:val="SCCLsocVersusChar"/>
    <w:rsid w:val="002D6514"/>
    <w:pPr>
      <w:spacing w:after="720"/>
    </w:pPr>
    <w:rPr>
      <w:i/>
    </w:rPr>
  </w:style>
  <w:style w:type="character" w:customStyle="1" w:styleId="SCCLsocVersusChar">
    <w:name w:val="SCC.Lsoc.Versus Char"/>
    <w:basedOn w:val="DefaultParagraphFont"/>
    <w:link w:val="SCCLsocVersus"/>
    <w:rsid w:val="002D6514"/>
    <w:rPr>
      <w:i/>
      <w:sz w:val="24"/>
    </w:rPr>
  </w:style>
  <w:style w:type="character" w:customStyle="1" w:styleId="SCCLsocPartyRole">
    <w:name w:val="SCC.Lsoc.PartyRole"/>
    <w:basedOn w:val="SCCLsocLastPartyInRoleChar"/>
    <w:uiPriority w:val="1"/>
    <w:rsid w:val="002D6514"/>
    <w:rPr>
      <w:b/>
      <w:i/>
      <w:sz w:val="24"/>
    </w:rPr>
  </w:style>
  <w:style w:type="paragraph" w:customStyle="1" w:styleId="SCCSystemYear">
    <w:name w:val="SCC.SystemYear"/>
    <w:basedOn w:val="Normal"/>
    <w:next w:val="Normal"/>
    <w:link w:val="SCCSystemYearChar"/>
    <w:rsid w:val="002D6514"/>
    <w:rPr>
      <w:b/>
    </w:rPr>
  </w:style>
  <w:style w:type="character" w:customStyle="1" w:styleId="SCCSystemYearChar">
    <w:name w:val="SCC.SystemYear Char"/>
    <w:basedOn w:val="DefaultParagraphFont"/>
    <w:link w:val="SCCSystemYear"/>
    <w:rsid w:val="002D6514"/>
    <w:rPr>
      <w:b/>
      <w:sz w:val="24"/>
    </w:rPr>
  </w:style>
  <w:style w:type="paragraph" w:customStyle="1" w:styleId="SCCLawFirm">
    <w:name w:val="SCC.LawFirm"/>
    <w:basedOn w:val="SCCNormalDoubleSpacing"/>
    <w:next w:val="SCCNormalDoubleSpacing"/>
    <w:link w:val="SCCLawFirmChar"/>
    <w:rsid w:val="002D6514"/>
    <w:rPr>
      <w:i/>
    </w:rPr>
  </w:style>
  <w:style w:type="character" w:customStyle="1" w:styleId="SCCLawFirmChar">
    <w:name w:val="SCC.LawFirm Char"/>
    <w:basedOn w:val="SCCNormalDoubleSpacingChar"/>
    <w:link w:val="SCCLawFirm"/>
    <w:rsid w:val="002D6514"/>
    <w:rPr>
      <w:i/>
      <w:sz w:val="24"/>
    </w:rPr>
  </w:style>
  <w:style w:type="paragraph" w:customStyle="1" w:styleId="SCCLsocLastPartyInRole">
    <w:name w:val="SCC.Lsoc.LastPartyInRole"/>
    <w:basedOn w:val="Normal"/>
    <w:next w:val="Normal"/>
    <w:link w:val="SCCLsocLastPartyInRoleChar"/>
    <w:qFormat/>
    <w:rsid w:val="002D6514"/>
    <w:pPr>
      <w:tabs>
        <w:tab w:val="right" w:pos="8222"/>
      </w:tabs>
      <w:spacing w:after="720"/>
    </w:pPr>
    <w:rPr>
      <w:b/>
    </w:rPr>
  </w:style>
  <w:style w:type="character" w:customStyle="1" w:styleId="SCCLsocLastPartyInRoleChar">
    <w:name w:val="SCC.Lsoc.LastPartyInRole Char"/>
    <w:basedOn w:val="DefaultParagraphFont"/>
    <w:link w:val="SCCLsocLastPartyInRole"/>
    <w:rsid w:val="002D6514"/>
    <w:rPr>
      <w:b/>
      <w:sz w:val="24"/>
    </w:rPr>
  </w:style>
  <w:style w:type="character" w:customStyle="1" w:styleId="Heading2Char">
    <w:name w:val="Heading 2 Char"/>
    <w:basedOn w:val="DefaultParagraphFont"/>
    <w:link w:val="Heading2"/>
    <w:uiPriority w:val="99"/>
    <w:rsid w:val="002D6514"/>
    <w:rPr>
      <w:rFonts w:ascii="Cambria" w:eastAsiaTheme="minorEastAsia" w:hAnsi="Cambria" w:cs="Cambria"/>
      <w:b/>
      <w:bCs/>
      <w:sz w:val="26"/>
      <w:szCs w:val="26"/>
    </w:rPr>
  </w:style>
  <w:style w:type="paragraph" w:customStyle="1" w:styleId="SCCLsocOtherPartyRoleSeparator">
    <w:name w:val="SCC.Lsoc.OtherPartyRoleSeparator"/>
    <w:basedOn w:val="Normal"/>
    <w:next w:val="Normal"/>
    <w:uiPriority w:val="99"/>
    <w:rsid w:val="002D6514"/>
    <w:pPr>
      <w:spacing w:after="480"/>
    </w:pPr>
    <w:rPr>
      <w:rFonts w:eastAsiaTheme="minorEastAsia" w:cstheme="minorBidi"/>
      <w:sz w:val="22"/>
      <w:szCs w:val="22"/>
      <w:lang w:val="fr-CA" w:eastAsia="en-US"/>
    </w:rPr>
  </w:style>
  <w:style w:type="paragraph" w:customStyle="1" w:styleId="SCCLsocOtherPartySeparator">
    <w:name w:val="SCC.Lsoc.OtherPartySeparator"/>
    <w:basedOn w:val="Normal"/>
    <w:next w:val="Normal"/>
    <w:uiPriority w:val="99"/>
    <w:rsid w:val="002D6514"/>
    <w:pPr>
      <w:spacing w:after="480"/>
    </w:pPr>
    <w:rPr>
      <w:rFonts w:eastAsiaTheme="minorEastAsia" w:cstheme="minorBidi"/>
      <w:sz w:val="22"/>
      <w:szCs w:val="22"/>
      <w:lang w:val="fr-CA" w:eastAsia="en-US"/>
    </w:rPr>
  </w:style>
  <w:style w:type="paragraph" w:customStyle="1" w:styleId="SCCLsocParty">
    <w:name w:val="SCC.Lsoc.Party"/>
    <w:basedOn w:val="Normal"/>
    <w:next w:val="Normal"/>
    <w:rsid w:val="002D6514"/>
    <w:pPr>
      <w:spacing w:after="480"/>
      <w:jc w:val="both"/>
    </w:pPr>
    <w:rPr>
      <w:rFonts w:eastAsiaTheme="minorEastAsia" w:cstheme="minorBidi"/>
      <w:sz w:val="22"/>
      <w:szCs w:val="22"/>
      <w:lang w:val="fr-CA" w:eastAsia="en-US"/>
    </w:rPr>
  </w:style>
  <w:style w:type="paragraph" w:customStyle="1" w:styleId="SCCLsocSubfileSeparator">
    <w:name w:val="SCC.Lsoc.SubfileSeparator"/>
    <w:basedOn w:val="Normal"/>
    <w:next w:val="Normal"/>
    <w:uiPriority w:val="99"/>
    <w:rsid w:val="002D6514"/>
    <w:pPr>
      <w:spacing w:after="480"/>
    </w:pPr>
    <w:rPr>
      <w:rFonts w:eastAsiaTheme="minorEastAsia" w:cstheme="minorBidi"/>
      <w:sz w:val="22"/>
      <w:szCs w:val="22"/>
      <w:lang w:val="fr-CA" w:eastAsia="en-US"/>
    </w:rPr>
  </w:style>
  <w:style w:type="character" w:customStyle="1" w:styleId="SCCCoramChar">
    <w:name w:val="SCC.Coram Char"/>
    <w:uiPriority w:val="99"/>
    <w:rsid w:val="002D6514"/>
    <w:rPr>
      <w:rFonts w:eastAsia="Times New Roman"/>
      <w:sz w:val="22"/>
      <w:szCs w:val="22"/>
      <w:lang w:eastAsia="en-US"/>
    </w:rPr>
  </w:style>
  <w:style w:type="character" w:customStyle="1" w:styleId="SCCLsocOtherPartyRoleSeparatorChar">
    <w:name w:val="SCC.Lsoc.OtherPartyRoleSeparator Char"/>
    <w:uiPriority w:val="99"/>
    <w:rsid w:val="002D6514"/>
    <w:rPr>
      <w:rFonts w:eastAsia="Times New Roman"/>
      <w:sz w:val="22"/>
      <w:szCs w:val="22"/>
      <w:lang w:eastAsia="en-US"/>
    </w:rPr>
  </w:style>
  <w:style w:type="character" w:customStyle="1" w:styleId="SCCLsocOtherPartySeparatorChar">
    <w:name w:val="SCC.Lsoc.OtherPartySeparator Char"/>
    <w:uiPriority w:val="99"/>
    <w:rsid w:val="002D6514"/>
    <w:rPr>
      <w:rFonts w:eastAsia="Times New Roman"/>
      <w:sz w:val="22"/>
      <w:szCs w:val="22"/>
      <w:lang w:eastAsia="en-US"/>
    </w:rPr>
  </w:style>
  <w:style w:type="character" w:customStyle="1" w:styleId="SCCLsocPartyChar">
    <w:name w:val="SCC.Lsoc.Party Char"/>
    <w:rsid w:val="002D6514"/>
    <w:rPr>
      <w:rFonts w:eastAsia="Times New Roman"/>
      <w:sz w:val="22"/>
      <w:szCs w:val="22"/>
      <w:lang w:eastAsia="en-US"/>
    </w:rPr>
  </w:style>
  <w:style w:type="character" w:customStyle="1" w:styleId="SCCLsocSubfileSeparatorChar">
    <w:name w:val="SCC.Lsoc.SubfileSeparator Char"/>
    <w:uiPriority w:val="99"/>
    <w:rsid w:val="002D6514"/>
    <w:rPr>
      <w:rFonts w:eastAsia="Times New Roman"/>
      <w:sz w:val="22"/>
      <w:szCs w:val="22"/>
      <w:lang w:eastAsia="en-US"/>
    </w:rPr>
  </w:style>
  <w:style w:type="paragraph" w:customStyle="1" w:styleId="SCCBanSummary">
    <w:name w:val="SCC.BanSummary"/>
    <w:basedOn w:val="Normal"/>
    <w:next w:val="Normal"/>
    <w:uiPriority w:val="99"/>
    <w:rsid w:val="002D6514"/>
    <w:pPr>
      <w:jc w:val="right"/>
    </w:pPr>
    <w:rPr>
      <w:rFonts w:eastAsiaTheme="minorEastAsia" w:cstheme="minorBidi"/>
      <w:b/>
      <w:bCs/>
      <w:szCs w:val="24"/>
      <w:lang w:val="fr-CA" w:eastAsia="fr-FR"/>
    </w:rPr>
  </w:style>
  <w:style w:type="character" w:customStyle="1" w:styleId="SCCBanSummaryChar">
    <w:name w:val="SCC.BanSummary Char"/>
    <w:uiPriority w:val="99"/>
    <w:rsid w:val="002D6514"/>
    <w:rPr>
      <w:rFonts w:eastAsia="Times New Roman"/>
      <w:b/>
      <w:bCs/>
      <w:sz w:val="24"/>
      <w:szCs w:val="24"/>
    </w:rPr>
  </w:style>
  <w:style w:type="character" w:styleId="PlaceholderText">
    <w:name w:val="Placeholder Text"/>
    <w:basedOn w:val="DefaultParagraphFont"/>
    <w:uiPriority w:val="99"/>
    <w:rsid w:val="002D6514"/>
    <w:rPr>
      <w:rFonts w:ascii="Times New Roman" w:hAnsi="Times New Roman" w:cs="Times New Roman"/>
      <w:color w:val="808080"/>
    </w:rPr>
  </w:style>
  <w:style w:type="paragraph" w:styleId="BalloonText">
    <w:name w:val="Balloon Text"/>
    <w:basedOn w:val="Normal"/>
    <w:link w:val="BalloonTextChar"/>
    <w:uiPriority w:val="99"/>
    <w:rsid w:val="002D6514"/>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2D6514"/>
    <w:rPr>
      <w:rFonts w:ascii="Tahoma" w:eastAsiaTheme="minorEastAsia" w:hAnsi="Tahoma" w:cs="Tahoma"/>
      <w:sz w:val="16"/>
      <w:szCs w:val="16"/>
    </w:rPr>
  </w:style>
  <w:style w:type="paragraph" w:customStyle="1" w:styleId="Citation-AltC">
    <w:name w:val="Citation - Alt C"/>
    <w:uiPriority w:val="99"/>
    <w:rsid w:val="002D6514"/>
    <w:pPr>
      <w:spacing w:after="720"/>
      <w:ind w:left="1166"/>
      <w:jc w:val="both"/>
    </w:pPr>
    <w:rPr>
      <w:rFonts w:eastAsiaTheme="minorEastAsia" w:cstheme="minorBidi"/>
      <w:sz w:val="24"/>
      <w:szCs w:val="24"/>
    </w:rPr>
  </w:style>
  <w:style w:type="paragraph" w:customStyle="1" w:styleId="ContinueParaSuitedupar-AltP">
    <w:name w:val="Continue Para. / Suite du par. - Alt P"/>
    <w:next w:val="ParaNoNdepar-AltN"/>
    <w:uiPriority w:val="99"/>
    <w:rsid w:val="002D6514"/>
    <w:pPr>
      <w:spacing w:before="480" w:after="480" w:line="480" w:lineRule="auto"/>
      <w:jc w:val="both"/>
    </w:pPr>
    <w:rPr>
      <w:rFonts w:eastAsiaTheme="minorEastAsia" w:cstheme="minorBidi"/>
      <w:sz w:val="24"/>
      <w:szCs w:val="24"/>
      <w:lang w:eastAsia="en-US"/>
    </w:rPr>
  </w:style>
  <w:style w:type="paragraph" w:customStyle="1" w:styleId="JudgeJuge">
    <w:name w:val="Judge / Juge"/>
    <w:uiPriority w:val="99"/>
    <w:rsid w:val="002D6514"/>
    <w:pPr>
      <w:tabs>
        <w:tab w:val="left" w:pos="1166"/>
      </w:tabs>
      <w:spacing w:after="480" w:line="480" w:lineRule="auto"/>
    </w:pPr>
    <w:rPr>
      <w:rFonts w:eastAsiaTheme="minorEastAsia" w:cstheme="minorBidi"/>
      <w:smallCaps/>
      <w:sz w:val="24"/>
      <w:szCs w:val="24"/>
    </w:rPr>
  </w:style>
  <w:style w:type="paragraph" w:customStyle="1" w:styleId="ParaNoNdepar-AltN">
    <w:name w:val="Para. No. / Nº de par. - Alt N"/>
    <w:uiPriority w:val="99"/>
    <w:rsid w:val="002D6514"/>
    <w:pPr>
      <w:numPr>
        <w:numId w:val="6"/>
      </w:numPr>
      <w:spacing w:before="480" w:after="480" w:line="480" w:lineRule="auto"/>
      <w:jc w:val="both"/>
    </w:pPr>
    <w:rPr>
      <w:rFonts w:eastAsiaTheme="minorEastAsia" w:cstheme="minorBidi"/>
      <w:sz w:val="24"/>
      <w:szCs w:val="24"/>
      <w:lang w:eastAsia="en-US"/>
    </w:rPr>
  </w:style>
  <w:style w:type="paragraph" w:customStyle="1" w:styleId="Title1LevelTitre1Niveau-AltL">
    <w:name w:val="Title 1 Level / Titre 1 Niveau - Alt L"/>
    <w:next w:val="ParaNoNdepar-AltN"/>
    <w:uiPriority w:val="99"/>
    <w:rsid w:val="002D6514"/>
    <w:pPr>
      <w:numPr>
        <w:numId w:val="7"/>
      </w:numPr>
      <w:spacing w:before="480" w:after="720"/>
    </w:pPr>
    <w:rPr>
      <w:rFonts w:eastAsiaTheme="minorEastAsia" w:cstheme="minorBidi"/>
      <w:sz w:val="24"/>
      <w:szCs w:val="24"/>
      <w:u w:val="single"/>
      <w:lang w:eastAsia="en-US"/>
    </w:rPr>
  </w:style>
  <w:style w:type="paragraph" w:customStyle="1" w:styleId="Title2LevelTitre2Niveau">
    <w:name w:val="Title 2 Level / Titre 2 Niveau"/>
    <w:basedOn w:val="Title1LevelTitre1Niveau-AltL"/>
    <w:next w:val="ParaNoNdepar-AltN"/>
    <w:uiPriority w:val="99"/>
    <w:rsid w:val="002D6514"/>
    <w:pPr>
      <w:numPr>
        <w:ilvl w:val="1"/>
      </w:numPr>
    </w:pPr>
    <w:rPr>
      <w:i/>
      <w:iCs/>
      <w:u w:val="none"/>
    </w:rPr>
  </w:style>
  <w:style w:type="paragraph" w:customStyle="1" w:styleId="Title3LevelTitre3Niveau">
    <w:name w:val="Title 3 Level / Titre 3 Niveau"/>
    <w:basedOn w:val="Title1LevelTitre1Niveau-AltL"/>
    <w:next w:val="ParaNoNdepar-AltN"/>
    <w:uiPriority w:val="99"/>
    <w:rsid w:val="002D6514"/>
    <w:pPr>
      <w:numPr>
        <w:ilvl w:val="2"/>
      </w:numPr>
    </w:pPr>
  </w:style>
  <w:style w:type="paragraph" w:customStyle="1" w:styleId="Title4LevelTitre4Niveau">
    <w:name w:val="Title 4 Level / Titre 4 Niveau"/>
    <w:basedOn w:val="Title3LevelTitre3Niveau"/>
    <w:next w:val="ParaNoNdepar-AltN"/>
    <w:uiPriority w:val="99"/>
    <w:rsid w:val="002D6514"/>
    <w:pPr>
      <w:numPr>
        <w:ilvl w:val="3"/>
      </w:numPr>
    </w:pPr>
    <w:rPr>
      <w:i/>
      <w:iCs/>
      <w:u w:val="none"/>
    </w:rPr>
  </w:style>
  <w:style w:type="paragraph" w:customStyle="1" w:styleId="Title5LevelTitre5Niveau">
    <w:name w:val="Title 5 Level / Titre 5 Niveau"/>
    <w:basedOn w:val="Title1LevelTitre1Niveau-AltL"/>
    <w:next w:val="ParaNoNdepar-AltN"/>
    <w:uiPriority w:val="99"/>
    <w:rsid w:val="002D6514"/>
    <w:pPr>
      <w:numPr>
        <w:ilvl w:val="4"/>
      </w:numPr>
    </w:pPr>
  </w:style>
  <w:style w:type="paragraph" w:styleId="TOC1">
    <w:name w:val="toc 1"/>
    <w:basedOn w:val="Normal"/>
    <w:next w:val="Normal"/>
    <w:autoRedefine/>
    <w:uiPriority w:val="99"/>
    <w:rsid w:val="002D6514"/>
    <w:pPr>
      <w:tabs>
        <w:tab w:val="left" w:pos="360"/>
        <w:tab w:val="right" w:leader="dot" w:pos="8270"/>
      </w:tabs>
      <w:spacing w:before="120" w:after="120"/>
    </w:pPr>
    <w:rPr>
      <w:rFonts w:eastAsiaTheme="minorEastAsia" w:cstheme="minorBidi"/>
      <w:noProof/>
      <w:szCs w:val="24"/>
      <w:u w:val="single"/>
    </w:rPr>
  </w:style>
  <w:style w:type="paragraph" w:styleId="TOC2">
    <w:name w:val="toc 2"/>
    <w:basedOn w:val="Normal"/>
    <w:next w:val="Normal"/>
    <w:autoRedefine/>
    <w:uiPriority w:val="99"/>
    <w:rsid w:val="002D6514"/>
    <w:pPr>
      <w:tabs>
        <w:tab w:val="left" w:pos="720"/>
        <w:tab w:val="right" w:leader="dot" w:pos="8270"/>
      </w:tabs>
      <w:spacing w:before="120" w:after="120"/>
      <w:ind w:left="432" w:hanging="432"/>
    </w:pPr>
    <w:rPr>
      <w:rFonts w:eastAsiaTheme="minorEastAsia" w:cstheme="minorBidi"/>
      <w:i/>
      <w:iCs/>
      <w:szCs w:val="24"/>
    </w:rPr>
  </w:style>
  <w:style w:type="paragraph" w:styleId="TOC3">
    <w:name w:val="toc 3"/>
    <w:basedOn w:val="Normal"/>
    <w:next w:val="Normal"/>
    <w:autoRedefine/>
    <w:uiPriority w:val="99"/>
    <w:rsid w:val="002D6514"/>
    <w:pPr>
      <w:tabs>
        <w:tab w:val="left" w:pos="1080"/>
        <w:tab w:val="right" w:leader="dot" w:pos="8270"/>
      </w:tabs>
      <w:spacing w:before="120" w:after="120"/>
      <w:ind w:left="864" w:hanging="432"/>
    </w:pPr>
    <w:rPr>
      <w:rFonts w:eastAsiaTheme="minorEastAsia" w:cstheme="minorBidi"/>
      <w:noProof/>
      <w:szCs w:val="24"/>
      <w:u w:val="single"/>
    </w:rPr>
  </w:style>
  <w:style w:type="paragraph" w:styleId="TOC4">
    <w:name w:val="toc 4"/>
    <w:basedOn w:val="Normal"/>
    <w:next w:val="Normal"/>
    <w:autoRedefine/>
    <w:uiPriority w:val="99"/>
    <w:rsid w:val="002D6514"/>
    <w:pPr>
      <w:tabs>
        <w:tab w:val="left" w:pos="900"/>
        <w:tab w:val="right" w:leader="dot" w:pos="8270"/>
      </w:tabs>
      <w:spacing w:before="120" w:after="120"/>
      <w:ind w:left="900" w:hanging="450"/>
    </w:pPr>
    <w:rPr>
      <w:rFonts w:eastAsiaTheme="minorEastAsia" w:cstheme="minorBidi"/>
      <w:i/>
      <w:iCs/>
      <w:noProof/>
      <w:szCs w:val="24"/>
    </w:rPr>
  </w:style>
  <w:style w:type="paragraph" w:styleId="TOC5">
    <w:name w:val="toc 5"/>
    <w:basedOn w:val="Normal"/>
    <w:next w:val="Normal"/>
    <w:autoRedefine/>
    <w:uiPriority w:val="99"/>
    <w:rsid w:val="002D6514"/>
    <w:pPr>
      <w:tabs>
        <w:tab w:val="left" w:pos="1440"/>
        <w:tab w:val="right" w:leader="dot" w:pos="8270"/>
      </w:tabs>
      <w:spacing w:before="120" w:after="120"/>
      <w:ind w:left="1454" w:hanging="547"/>
    </w:pPr>
    <w:rPr>
      <w:rFonts w:eastAsiaTheme="minorEastAsia" w:cstheme="minorBidi"/>
      <w:noProof/>
      <w:szCs w:val="24"/>
      <w:u w:val="single"/>
    </w:rPr>
  </w:style>
  <w:style w:type="paragraph" w:styleId="TOC6">
    <w:name w:val="toc 6"/>
    <w:basedOn w:val="Normal"/>
    <w:next w:val="Normal"/>
    <w:autoRedefine/>
    <w:uiPriority w:val="99"/>
    <w:rsid w:val="002D6514"/>
    <w:pPr>
      <w:tabs>
        <w:tab w:val="left" w:pos="2160"/>
        <w:tab w:val="right" w:leader="dot" w:pos="8270"/>
      </w:tabs>
      <w:spacing w:after="100"/>
      <w:ind w:left="1800"/>
    </w:pPr>
    <w:rPr>
      <w:rFonts w:eastAsiaTheme="minorEastAsia" w:cstheme="minorBidi"/>
      <w:noProof/>
      <w:szCs w:val="24"/>
    </w:rPr>
  </w:style>
  <w:style w:type="paragraph" w:customStyle="1" w:styleId="TitleTitre-AltT">
    <w:name w:val="Title / Titre - Alt T"/>
    <w:next w:val="ParaNoNdepar-AltN"/>
    <w:uiPriority w:val="99"/>
    <w:rsid w:val="002D6514"/>
    <w:pPr>
      <w:tabs>
        <w:tab w:val="left" w:pos="360"/>
      </w:tabs>
      <w:spacing w:before="480" w:after="720"/>
      <w:ind w:left="360" w:hanging="360"/>
      <w:jc w:val="both"/>
    </w:pPr>
    <w:rPr>
      <w:rFonts w:eastAsiaTheme="minorEastAsia" w:cstheme="minorBidi"/>
      <w:sz w:val="24"/>
      <w:szCs w:val="24"/>
      <w:lang w:eastAsia="en-US"/>
    </w:rPr>
  </w:style>
  <w:style w:type="paragraph" w:customStyle="1" w:styleId="Title6LevelTitre6Niveau">
    <w:name w:val="Title 6 Level / Titre 6 Niveau"/>
    <w:basedOn w:val="Title5LevelTitre5Niveau"/>
    <w:next w:val="ParaNoNdepar-AltN"/>
    <w:uiPriority w:val="99"/>
    <w:rsid w:val="002D6514"/>
    <w:pPr>
      <w:numPr>
        <w:ilvl w:val="5"/>
      </w:numPr>
    </w:pPr>
    <w:rPr>
      <w:i/>
      <w:iCs/>
      <w:u w:val="none"/>
    </w:rPr>
  </w:style>
  <w:style w:type="character" w:styleId="SubtleEmphasis">
    <w:name w:val="Subtle Emphasis"/>
    <w:basedOn w:val="DefaultParagraphFont"/>
    <w:uiPriority w:val="99"/>
    <w:qFormat/>
    <w:rsid w:val="002D6514"/>
    <w:rPr>
      <w:rFonts w:ascii="Times New Roman" w:hAnsi="Times New Roman" w:cs="Times New Roman"/>
      <w:i/>
      <w:iCs/>
    </w:rPr>
  </w:style>
  <w:style w:type="paragraph" w:customStyle="1" w:styleId="BenchMemoText">
    <w:name w:val="Bench Memo Text"/>
    <w:basedOn w:val="Normal"/>
    <w:uiPriority w:val="99"/>
    <w:rsid w:val="002D6514"/>
    <w:pPr>
      <w:spacing w:before="120" w:after="240" w:line="360" w:lineRule="auto"/>
      <w:ind w:firstLine="720"/>
    </w:pPr>
    <w:rPr>
      <w:rFonts w:eastAsiaTheme="minorEastAsia" w:cstheme="minorBidi"/>
      <w:szCs w:val="24"/>
    </w:rPr>
  </w:style>
  <w:style w:type="character" w:customStyle="1" w:styleId="BenchMemoTextChar">
    <w:name w:val="Bench Memo Text Char"/>
    <w:basedOn w:val="DefaultParagraphFont"/>
    <w:uiPriority w:val="99"/>
    <w:rsid w:val="002D6514"/>
    <w:rPr>
      <w:rFonts w:ascii="Times New Roman" w:hAnsi="Times New Roman" w:cs="Times New Roman"/>
    </w:rPr>
  </w:style>
  <w:style w:type="paragraph" w:styleId="FootnoteText">
    <w:name w:val="footnote text"/>
    <w:basedOn w:val="Normal"/>
    <w:link w:val="FootnoteTextChar"/>
    <w:uiPriority w:val="99"/>
    <w:rsid w:val="002D6514"/>
    <w:rPr>
      <w:rFonts w:eastAsiaTheme="minorEastAsia" w:cstheme="minorBidi"/>
      <w:sz w:val="20"/>
    </w:rPr>
  </w:style>
  <w:style w:type="character" w:customStyle="1" w:styleId="FootnoteTextChar">
    <w:name w:val="Footnote Text Char"/>
    <w:basedOn w:val="DefaultParagraphFont"/>
    <w:link w:val="FootnoteText"/>
    <w:uiPriority w:val="99"/>
    <w:rsid w:val="002D6514"/>
    <w:rPr>
      <w:rFonts w:eastAsiaTheme="minorEastAsia" w:cstheme="minorBidi"/>
    </w:rPr>
  </w:style>
  <w:style w:type="character" w:styleId="FootnoteReference">
    <w:name w:val="footnote reference"/>
    <w:basedOn w:val="DefaultParagraphFont"/>
    <w:uiPriority w:val="99"/>
    <w:rsid w:val="002D6514"/>
    <w:rPr>
      <w:rFonts w:ascii="Times New Roman" w:hAnsi="Times New Roman" w:cs="Times New Roman"/>
      <w:vertAlign w:val="superscript"/>
    </w:rPr>
  </w:style>
  <w:style w:type="paragraph" w:customStyle="1" w:styleId="reasonsnumbering-altn1">
    <w:name w:val="reasonsnumbering-altn1"/>
    <w:basedOn w:val="Normal"/>
    <w:uiPriority w:val="99"/>
    <w:rsid w:val="002D6514"/>
    <w:pPr>
      <w:spacing w:after="480"/>
      <w:jc w:val="both"/>
    </w:pPr>
    <w:rPr>
      <w:rFonts w:eastAsiaTheme="minorEastAsia" w:cstheme="minorBidi"/>
      <w:szCs w:val="24"/>
    </w:rPr>
  </w:style>
  <w:style w:type="character" w:styleId="Hyperlink">
    <w:name w:val="Hyperlink"/>
    <w:basedOn w:val="DefaultParagraphFont"/>
    <w:uiPriority w:val="99"/>
    <w:rsid w:val="002D6514"/>
    <w:rPr>
      <w:rFonts w:ascii="Times New Roman" w:hAnsi="Times New Roman" w:cs="Times New Roman"/>
      <w:color w:val="0000FF"/>
      <w:u w:val="single"/>
    </w:rPr>
  </w:style>
  <w:style w:type="character" w:customStyle="1" w:styleId="term110">
    <w:name w:val="term110"/>
    <w:uiPriority w:val="99"/>
    <w:rsid w:val="002D6514"/>
    <w:rPr>
      <w:rFonts w:cstheme="minorBidi"/>
      <w:shd w:val="clear" w:color="auto" w:fill="auto"/>
    </w:rPr>
  </w:style>
  <w:style w:type="character" w:customStyle="1" w:styleId="nowrap">
    <w:name w:val="nowrap"/>
    <w:basedOn w:val="DefaultParagraphFont"/>
    <w:uiPriority w:val="99"/>
    <w:rsid w:val="002D6514"/>
    <w:rPr>
      <w:rFonts w:ascii="Times New Roman" w:hAnsi="Times New Roman" w:cs="Times New Roman"/>
    </w:rPr>
  </w:style>
  <w:style w:type="character" w:customStyle="1" w:styleId="highlight">
    <w:name w:val="highlight"/>
    <w:basedOn w:val="DefaultParagraphFont"/>
    <w:uiPriority w:val="99"/>
    <w:rsid w:val="002D6514"/>
    <w:rPr>
      <w:rFonts w:ascii="Times New Roman" w:hAnsi="Times New Roman" w:cs="Times New Roman"/>
    </w:rPr>
  </w:style>
  <w:style w:type="table" w:styleId="TableGrid">
    <w:name w:val="Table Grid"/>
    <w:basedOn w:val="TableNormal"/>
    <w:uiPriority w:val="59"/>
    <w:rsid w:val="006859E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859EB"/>
    <w:rPr>
      <w:lang w:val="fr-CA"/>
    </w:rPr>
  </w:style>
  <w:style w:type="paragraph" w:customStyle="1" w:styleId="SCCLsocPrefix">
    <w:name w:val="SCC.Lsoc.Prefix"/>
    <w:basedOn w:val="Normal"/>
    <w:next w:val="Normal"/>
    <w:link w:val="SCCLsocPrefixChar"/>
    <w:rsid w:val="006859E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859E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39</Pages>
  <Words>9196</Words>
  <Characters>52420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17</cp:revision>
  <dcterms:created xsi:type="dcterms:W3CDTF">2015-07-27T14:24:00Z</dcterms:created>
  <dcterms:modified xsi:type="dcterms:W3CDTF">2015-11-12T18:44:00Z</dcterms:modified>
</cp:coreProperties>
</file>