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89" w:rsidRDefault="00C24C89" w:rsidP="00C24C8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o:ole="">
            <v:imagedata r:id="rId8" o:title=""/>
          </v:shape>
          <o:OLEObject Type="Embed" ProgID="Presentations.Drawing.13" ShapeID="_x0000_i1025" DrawAspect="Content" ObjectID="_1540104540" r:id="rId9"/>
        </w:object>
      </w:r>
      <w:r>
        <w:t xml:space="preserve"> </w:t>
      </w:r>
      <w:r>
        <w:ptab w:relativeTo="margin" w:alignment="right" w:leader="none"/>
      </w:r>
    </w:p>
    <w:p w:rsidR="00C24C89" w:rsidRDefault="00C24C89" w:rsidP="00C24C89">
      <w:pPr>
        <w:pStyle w:val="Header"/>
      </w:pPr>
    </w:p>
    <w:p w:rsidR="00C24C89" w:rsidRPr="001E12E2" w:rsidRDefault="00C24C89" w:rsidP="00C24C89">
      <w:pPr>
        <w:jc w:val="center"/>
        <w:rPr>
          <w:b/>
        </w:rPr>
      </w:pPr>
      <w:r w:rsidRPr="001E12E2">
        <w:rPr>
          <w:b/>
        </w:rPr>
        <w:t>COUR SUPRÊME DU CANADA</w:t>
      </w:r>
    </w:p>
    <w:p w:rsidR="00C24C89" w:rsidRDefault="00C24C89" w:rsidP="00C24C8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C24C89" w:rsidRPr="0078432F" w:rsidTr="00D64A7F">
        <w:trPr>
          <w:cantSplit/>
        </w:trPr>
        <w:tc>
          <w:tcPr>
            <w:tcW w:w="5130" w:type="dxa"/>
          </w:tcPr>
          <w:p w:rsidR="00C24C89" w:rsidRPr="00C24C89" w:rsidRDefault="00C24C89" w:rsidP="006D79B6">
            <w:pPr>
              <w:ind w:left="-58"/>
              <w:rPr>
                <w:lang w:val="fr-CA"/>
              </w:rPr>
            </w:pPr>
            <w:r w:rsidRPr="00C24C89">
              <w:rPr>
                <w:b/>
                <w:smallCaps/>
                <w:lang w:val="fr-CA"/>
              </w:rPr>
              <w:t>Référence :</w:t>
            </w:r>
            <w:r w:rsidRPr="00C24C89">
              <w:rPr>
                <w:lang w:val="fr-CA"/>
              </w:rPr>
              <w:t xml:space="preserve"> </w:t>
            </w:r>
            <w:r w:rsidRPr="004D0708">
              <w:rPr>
                <w:rStyle w:val="SCCAppellantForRunningHeadChar"/>
                <w:smallCaps w:val="0"/>
                <w:lang w:val="fr-CA"/>
              </w:rPr>
              <w:t>Carter</w:t>
            </w:r>
            <w:r w:rsidRPr="004D0708">
              <w:rPr>
                <w:smallCaps/>
                <w:lang w:val="fr-CA"/>
              </w:rPr>
              <w:t xml:space="preserve"> </w:t>
            </w:r>
            <w:r w:rsidRPr="004D0708">
              <w:rPr>
                <w:i/>
                <w:lang w:val="fr-CA"/>
              </w:rPr>
              <w:t>c.</w:t>
            </w:r>
            <w:r w:rsidRPr="004D0708">
              <w:rPr>
                <w:smallCaps/>
                <w:lang w:val="fr-CA"/>
              </w:rPr>
              <w:t xml:space="preserve"> </w:t>
            </w:r>
            <w:r w:rsidRPr="004D0708">
              <w:rPr>
                <w:rStyle w:val="SCCRespondentForRunningHeadChar"/>
                <w:smallCaps w:val="0"/>
                <w:lang w:val="fr-CA"/>
              </w:rPr>
              <w:t xml:space="preserve">Canada (Procureur général), </w:t>
            </w:r>
            <w:r w:rsidRPr="00086872">
              <w:rPr>
                <w:lang w:val="fr-CA"/>
              </w:rPr>
              <w:t>2016 CSC </w:t>
            </w:r>
            <w:r>
              <w:rPr>
                <w:lang w:val="fr-CA"/>
              </w:rPr>
              <w:t>4, [2016] 1 R.C.S. 13</w:t>
            </w:r>
          </w:p>
        </w:tc>
        <w:tc>
          <w:tcPr>
            <w:tcW w:w="4446" w:type="dxa"/>
          </w:tcPr>
          <w:p w:rsidR="00C24C89" w:rsidRPr="00C24C89" w:rsidRDefault="00C24C89" w:rsidP="00D64A7F">
            <w:pPr>
              <w:rPr>
                <w:lang w:val="fr-CA"/>
              </w:rPr>
            </w:pPr>
            <w:r w:rsidRPr="00C24C89">
              <w:rPr>
                <w:b/>
                <w:smallCaps/>
                <w:lang w:val="fr-CA"/>
              </w:rPr>
              <w:t>Requête entendue :</w:t>
            </w:r>
            <w:r w:rsidRPr="00C24C89">
              <w:rPr>
                <w:lang w:val="fr-CA"/>
              </w:rPr>
              <w:t xml:space="preserve"> 11 janvier 2016</w:t>
            </w:r>
          </w:p>
          <w:p w:rsidR="00C24C89" w:rsidRPr="00C24C89" w:rsidRDefault="0078432F" w:rsidP="00D64A7F">
            <w:pPr>
              <w:rPr>
                <w:lang w:val="fr-CA"/>
              </w:rPr>
            </w:pPr>
            <w:r>
              <w:rPr>
                <w:b/>
                <w:smallCaps/>
                <w:lang w:val="fr-CA"/>
              </w:rPr>
              <w:t>Ordonnance</w:t>
            </w:r>
            <w:r w:rsidR="00C24C89" w:rsidRPr="00C24C89">
              <w:rPr>
                <w:b/>
                <w:smallCaps/>
                <w:lang w:val="fr-CA"/>
              </w:rPr>
              <w:t> :</w:t>
            </w:r>
            <w:r w:rsidR="00C24C89" w:rsidRPr="00C24C89">
              <w:rPr>
                <w:lang w:val="fr-CA"/>
              </w:rPr>
              <w:t xml:space="preserve"> 15 janvier 2016</w:t>
            </w:r>
          </w:p>
          <w:p w:rsidR="00C24C89" w:rsidRPr="0078432F" w:rsidRDefault="00C24C89" w:rsidP="00D64A7F">
            <w:pPr>
              <w:rPr>
                <w:lang w:val="fr-CA"/>
              </w:rPr>
            </w:pPr>
            <w:r w:rsidRPr="0078432F">
              <w:rPr>
                <w:b/>
                <w:smallCaps/>
                <w:lang w:val="fr-CA"/>
              </w:rPr>
              <w:t>Dossier :</w:t>
            </w:r>
            <w:r w:rsidRPr="0078432F">
              <w:rPr>
                <w:lang w:val="fr-CA"/>
              </w:rPr>
              <w:t xml:space="preserve"> </w:t>
            </w:r>
            <w:r w:rsidRPr="00086872">
              <w:rPr>
                <w:lang w:val="fr-CA"/>
              </w:rPr>
              <w:t>35591</w:t>
            </w:r>
          </w:p>
        </w:tc>
      </w:tr>
    </w:tbl>
    <w:p w:rsidR="00C24C89" w:rsidRPr="0078432F" w:rsidRDefault="00C24C89" w:rsidP="00C24C89">
      <w:pPr>
        <w:rPr>
          <w:lang w:val="fr-CA"/>
        </w:rPr>
      </w:pPr>
    </w:p>
    <w:p w:rsidR="00C24C89" w:rsidRDefault="00C24C89" w:rsidP="00C24C89">
      <w:pPr>
        <w:pStyle w:val="SCCLsocPrefix"/>
      </w:pPr>
      <w:r>
        <w:t>Entre :</w:t>
      </w:r>
    </w:p>
    <w:p w:rsidR="00C24C89" w:rsidRPr="00CD1C6E" w:rsidRDefault="00C24C89" w:rsidP="00C24C89">
      <w:pPr>
        <w:pStyle w:val="SCCLsocParty"/>
        <w:widowControl w:val="0"/>
        <w:jc w:val="center"/>
        <w:rPr>
          <w:lang w:val="fr-CA"/>
        </w:rPr>
      </w:pPr>
      <w:r w:rsidRPr="00CD1C6E">
        <w:rPr>
          <w:lang w:val="fr-CA"/>
        </w:rPr>
        <w:t xml:space="preserve">Lee Carter, </w:t>
      </w:r>
      <w:proofErr w:type="spellStart"/>
      <w:r w:rsidRPr="00CD1C6E">
        <w:rPr>
          <w:lang w:val="fr-CA"/>
        </w:rPr>
        <w:t>Hollis</w:t>
      </w:r>
      <w:proofErr w:type="spellEnd"/>
      <w:r w:rsidRPr="00CD1C6E">
        <w:rPr>
          <w:lang w:val="fr-CA"/>
        </w:rPr>
        <w:t xml:space="preserve"> Johnson, William </w:t>
      </w:r>
      <w:proofErr w:type="spellStart"/>
      <w:r w:rsidRPr="00CD1C6E">
        <w:rPr>
          <w:lang w:val="fr-CA"/>
        </w:rPr>
        <w:t>Shoichet</w:t>
      </w:r>
      <w:proofErr w:type="spellEnd"/>
      <w:r w:rsidRPr="00CD1C6E">
        <w:rPr>
          <w:lang w:val="fr-CA"/>
        </w:rPr>
        <w:t>, Association des</w:t>
      </w:r>
    </w:p>
    <w:p w:rsidR="00C24C89" w:rsidRPr="00C24C89" w:rsidRDefault="00C24C89" w:rsidP="00C24C89">
      <w:pPr>
        <w:pStyle w:val="SCCLsocParty"/>
        <w:jc w:val="center"/>
        <w:rPr>
          <w:lang w:val="fr-CA"/>
        </w:rPr>
      </w:pPr>
      <w:proofErr w:type="gramStart"/>
      <w:r w:rsidRPr="00CD1C6E">
        <w:rPr>
          <w:lang w:val="fr-CA"/>
        </w:rPr>
        <w:t>libertés</w:t>
      </w:r>
      <w:proofErr w:type="gramEnd"/>
      <w:r w:rsidRPr="00CD1C6E">
        <w:rPr>
          <w:lang w:val="fr-CA"/>
        </w:rPr>
        <w:t xml:space="preserve"> civiles de la Colombie-Britannique et Gloria Taylor</w:t>
      </w:r>
    </w:p>
    <w:p w:rsidR="00C24C89" w:rsidRPr="00C24C89" w:rsidRDefault="00C24C89" w:rsidP="00C24C89">
      <w:pPr>
        <w:jc w:val="center"/>
        <w:rPr>
          <w:lang w:val="fr-CA"/>
        </w:rPr>
      </w:pPr>
      <w:r w:rsidRPr="00C24C89">
        <w:rPr>
          <w:lang w:val="fr-CA"/>
        </w:rPr>
        <w:t>Appelants</w:t>
      </w:r>
    </w:p>
    <w:p w:rsidR="00C24C89" w:rsidRPr="00C24C89" w:rsidRDefault="00C24C89" w:rsidP="006F35D5">
      <w:pPr>
        <w:jc w:val="center"/>
        <w:rPr>
          <w:lang w:val="fr-CA"/>
        </w:rPr>
      </w:pPr>
    </w:p>
    <w:p w:rsidR="00C24C89" w:rsidRPr="00C24C89" w:rsidRDefault="00C24C89" w:rsidP="006F35D5">
      <w:pPr>
        <w:pStyle w:val="SCCLsocVersus"/>
        <w:spacing w:after="0"/>
        <w:jc w:val="center"/>
        <w:rPr>
          <w:i w:val="0"/>
          <w:lang w:val="fr-CA"/>
        </w:rPr>
      </w:pPr>
      <w:proofErr w:type="gramStart"/>
      <w:r w:rsidRPr="00C24C89">
        <w:rPr>
          <w:i w:val="0"/>
          <w:lang w:val="fr-CA"/>
        </w:rPr>
        <w:t>et</w:t>
      </w:r>
      <w:proofErr w:type="gramEnd"/>
    </w:p>
    <w:p w:rsidR="00C24C89" w:rsidRPr="00C24C89" w:rsidRDefault="00C24C89" w:rsidP="006F35D5">
      <w:pPr>
        <w:jc w:val="center"/>
        <w:rPr>
          <w:lang w:val="fr-CA"/>
        </w:rPr>
      </w:pPr>
    </w:p>
    <w:p w:rsidR="00C24C89" w:rsidRPr="00C24C89" w:rsidRDefault="00C24C89" w:rsidP="006F35D5">
      <w:pPr>
        <w:pStyle w:val="SCCLsocParty"/>
        <w:jc w:val="center"/>
        <w:rPr>
          <w:lang w:val="fr-CA"/>
        </w:rPr>
      </w:pPr>
      <w:r w:rsidRPr="00086872">
        <w:rPr>
          <w:lang w:val="fr-CA"/>
        </w:rPr>
        <w:t>Procureur général du Canada</w:t>
      </w:r>
    </w:p>
    <w:p w:rsidR="00C24C89" w:rsidRPr="00C24C89" w:rsidRDefault="00C24C89" w:rsidP="006F35D5">
      <w:pPr>
        <w:jc w:val="center"/>
        <w:rPr>
          <w:lang w:val="fr-CA"/>
        </w:rPr>
      </w:pPr>
      <w:r w:rsidRPr="00C24C89">
        <w:rPr>
          <w:lang w:val="fr-CA"/>
        </w:rPr>
        <w:t>Intimée</w:t>
      </w:r>
    </w:p>
    <w:p w:rsidR="00C24C89" w:rsidRPr="00C24C89" w:rsidRDefault="00C24C89" w:rsidP="006F35D5">
      <w:pPr>
        <w:jc w:val="center"/>
        <w:rPr>
          <w:b/>
          <w:smallCaps/>
          <w:lang w:val="fr-CA"/>
        </w:rPr>
      </w:pPr>
    </w:p>
    <w:p w:rsidR="00C24C89" w:rsidRPr="00C24C89" w:rsidRDefault="00C24C89" w:rsidP="006F35D5">
      <w:pPr>
        <w:rPr>
          <w:b/>
          <w:smallCaps/>
          <w:lang w:val="fr-CA"/>
        </w:rPr>
      </w:pPr>
      <w:r w:rsidRPr="00C24C89">
        <w:rPr>
          <w:b/>
          <w:smallCaps/>
          <w:lang w:val="fr-CA"/>
        </w:rPr>
        <w:t>Et entre :</w:t>
      </w:r>
    </w:p>
    <w:p w:rsidR="00C24C89" w:rsidRPr="00CD1C6E" w:rsidRDefault="00C24C89" w:rsidP="006F35D5">
      <w:pPr>
        <w:pStyle w:val="SCCLsocParty"/>
        <w:widowControl w:val="0"/>
        <w:jc w:val="center"/>
        <w:rPr>
          <w:lang w:val="fr-CA"/>
        </w:rPr>
      </w:pPr>
      <w:r w:rsidRPr="00CD1C6E">
        <w:rPr>
          <w:lang w:val="fr-CA"/>
        </w:rPr>
        <w:t xml:space="preserve">Lee Carter, </w:t>
      </w:r>
      <w:proofErr w:type="spellStart"/>
      <w:r w:rsidRPr="00CD1C6E">
        <w:rPr>
          <w:lang w:val="fr-CA"/>
        </w:rPr>
        <w:t>Hollis</w:t>
      </w:r>
      <w:proofErr w:type="spellEnd"/>
      <w:r w:rsidRPr="00CD1C6E">
        <w:rPr>
          <w:lang w:val="fr-CA"/>
        </w:rPr>
        <w:t xml:space="preserve"> Johnson, William </w:t>
      </w:r>
      <w:proofErr w:type="spellStart"/>
      <w:r w:rsidRPr="00CD1C6E">
        <w:rPr>
          <w:lang w:val="fr-CA"/>
        </w:rPr>
        <w:t>Shoichet</w:t>
      </w:r>
      <w:proofErr w:type="spellEnd"/>
      <w:r w:rsidRPr="00CD1C6E">
        <w:rPr>
          <w:lang w:val="fr-CA"/>
        </w:rPr>
        <w:t>, Association des</w:t>
      </w:r>
    </w:p>
    <w:p w:rsidR="00C24C89" w:rsidRPr="00C24C89" w:rsidRDefault="00C24C89" w:rsidP="006F35D5">
      <w:pPr>
        <w:pStyle w:val="SCCLsocParty"/>
        <w:jc w:val="center"/>
        <w:rPr>
          <w:lang w:val="fr-CA"/>
        </w:rPr>
      </w:pPr>
      <w:proofErr w:type="gramStart"/>
      <w:r w:rsidRPr="00CD1C6E">
        <w:rPr>
          <w:lang w:val="fr-CA"/>
        </w:rPr>
        <w:t>libertés</w:t>
      </w:r>
      <w:proofErr w:type="gramEnd"/>
      <w:r w:rsidRPr="00CD1C6E">
        <w:rPr>
          <w:lang w:val="fr-CA"/>
        </w:rPr>
        <w:t xml:space="preserve"> civiles de la Colombie-Britannique et Gloria Taylor</w:t>
      </w:r>
    </w:p>
    <w:p w:rsidR="00C24C89" w:rsidRPr="00C24C89" w:rsidRDefault="00C24C89" w:rsidP="006F35D5">
      <w:pPr>
        <w:jc w:val="center"/>
        <w:rPr>
          <w:lang w:val="fr-CA"/>
        </w:rPr>
      </w:pPr>
      <w:r w:rsidRPr="00C24C89">
        <w:rPr>
          <w:lang w:val="fr-CA"/>
        </w:rPr>
        <w:t>Appelants</w:t>
      </w:r>
    </w:p>
    <w:p w:rsidR="00C24C89" w:rsidRPr="00C24C89" w:rsidRDefault="00C24C89" w:rsidP="006F35D5">
      <w:pPr>
        <w:jc w:val="center"/>
        <w:rPr>
          <w:lang w:val="fr-CA"/>
        </w:rPr>
      </w:pPr>
    </w:p>
    <w:p w:rsidR="00C24C89" w:rsidRPr="00C24C89" w:rsidRDefault="00C24C89" w:rsidP="006F35D5">
      <w:pPr>
        <w:jc w:val="center"/>
        <w:rPr>
          <w:lang w:val="fr-CA"/>
        </w:rPr>
      </w:pPr>
      <w:proofErr w:type="gramStart"/>
      <w:r w:rsidRPr="00C24C89">
        <w:rPr>
          <w:lang w:val="fr-CA"/>
        </w:rPr>
        <w:t>et</w:t>
      </w:r>
      <w:proofErr w:type="gramEnd"/>
    </w:p>
    <w:p w:rsidR="00C24C89" w:rsidRPr="00C24C89" w:rsidRDefault="00C24C89" w:rsidP="006F35D5">
      <w:pPr>
        <w:jc w:val="center"/>
        <w:rPr>
          <w:lang w:val="fr-CA"/>
        </w:rPr>
      </w:pPr>
    </w:p>
    <w:p w:rsidR="00C24C89" w:rsidRPr="00086872" w:rsidRDefault="00C24C89" w:rsidP="006F35D5">
      <w:pPr>
        <w:pStyle w:val="SCCLsocParty"/>
        <w:widowControl w:val="0"/>
        <w:jc w:val="center"/>
        <w:rPr>
          <w:lang w:val="fr-CA"/>
        </w:rPr>
      </w:pPr>
      <w:r w:rsidRPr="00086872">
        <w:rPr>
          <w:lang w:val="fr-CA"/>
        </w:rPr>
        <w:t>Procureur général du Canada</w:t>
      </w:r>
      <w:r>
        <w:rPr>
          <w:lang w:val="fr-CA"/>
        </w:rPr>
        <w:t xml:space="preserve"> et</w:t>
      </w:r>
    </w:p>
    <w:p w:rsidR="00C24C89" w:rsidRPr="00C24C89" w:rsidRDefault="00C24C89" w:rsidP="006F35D5">
      <w:pPr>
        <w:jc w:val="center"/>
        <w:rPr>
          <w:b/>
          <w:lang w:val="fr-CA"/>
        </w:rPr>
      </w:pPr>
      <w:proofErr w:type="gramStart"/>
      <w:r w:rsidRPr="00775500">
        <w:rPr>
          <w:b/>
          <w:lang w:val="fr-CA"/>
        </w:rPr>
        <w:t>procureur</w:t>
      </w:r>
      <w:proofErr w:type="gramEnd"/>
      <w:r w:rsidRPr="00775500">
        <w:rPr>
          <w:b/>
          <w:lang w:val="fr-CA"/>
        </w:rPr>
        <w:t xml:space="preserve"> général de la Colombie-Britannique</w:t>
      </w:r>
    </w:p>
    <w:p w:rsidR="00C24C89" w:rsidRPr="00C24C89" w:rsidRDefault="00C24C89" w:rsidP="006F35D5">
      <w:pPr>
        <w:jc w:val="center"/>
        <w:rPr>
          <w:lang w:val="fr-CA"/>
        </w:rPr>
      </w:pPr>
      <w:r w:rsidRPr="00C24C89">
        <w:rPr>
          <w:lang w:val="fr-CA"/>
        </w:rPr>
        <w:t>Intimés</w:t>
      </w:r>
    </w:p>
    <w:p w:rsidR="00C24C89" w:rsidRPr="00C24C89" w:rsidRDefault="00C24C89" w:rsidP="006F35D5">
      <w:pPr>
        <w:jc w:val="center"/>
        <w:rPr>
          <w:lang w:val="fr-CA"/>
        </w:rPr>
      </w:pPr>
    </w:p>
    <w:p w:rsidR="00C24C89" w:rsidRPr="00C24C89" w:rsidRDefault="00C24C89" w:rsidP="006F35D5">
      <w:pPr>
        <w:jc w:val="center"/>
        <w:rPr>
          <w:lang w:val="fr-CA"/>
        </w:rPr>
      </w:pPr>
      <w:r w:rsidRPr="00C24C89">
        <w:rPr>
          <w:lang w:val="fr-CA"/>
        </w:rPr>
        <w:t>-et-</w:t>
      </w:r>
    </w:p>
    <w:p w:rsidR="00C24C89" w:rsidRPr="00C24C89" w:rsidRDefault="00C24C89" w:rsidP="006F35D5">
      <w:pPr>
        <w:jc w:val="center"/>
        <w:rPr>
          <w:lang w:val="fr-CA"/>
        </w:rPr>
      </w:pPr>
    </w:p>
    <w:p w:rsidR="00C24C89" w:rsidRPr="00086872" w:rsidRDefault="00C24C89" w:rsidP="006F35D5">
      <w:pPr>
        <w:pStyle w:val="SCCLsocParty"/>
        <w:widowControl w:val="0"/>
        <w:jc w:val="center"/>
        <w:rPr>
          <w:lang w:val="fr-CA"/>
        </w:rPr>
      </w:pPr>
      <w:r w:rsidRPr="00086872">
        <w:rPr>
          <w:lang w:val="fr-CA"/>
        </w:rPr>
        <w:t>Procureur général de l</w:t>
      </w:r>
      <w:r>
        <w:rPr>
          <w:lang w:val="fr-CA"/>
        </w:rPr>
        <w:t>’</w:t>
      </w:r>
      <w:r w:rsidRPr="00086872">
        <w:rPr>
          <w:lang w:val="fr-CA"/>
        </w:rPr>
        <w:t>Ontario,</w:t>
      </w:r>
    </w:p>
    <w:p w:rsidR="00C24C89" w:rsidRPr="00CD1C6E" w:rsidRDefault="00C24C89" w:rsidP="006F35D5">
      <w:pPr>
        <w:pStyle w:val="SCCLsocParty"/>
        <w:widowControl w:val="0"/>
        <w:jc w:val="center"/>
        <w:rPr>
          <w:lang w:val="fr-CA"/>
        </w:rPr>
      </w:pPr>
      <w:proofErr w:type="gramStart"/>
      <w:r w:rsidRPr="00CD1C6E">
        <w:rPr>
          <w:lang w:val="fr-CA"/>
        </w:rPr>
        <w:t>procureure</w:t>
      </w:r>
      <w:proofErr w:type="gramEnd"/>
      <w:r w:rsidRPr="00CD1C6E">
        <w:rPr>
          <w:lang w:val="fr-CA"/>
        </w:rPr>
        <w:t xml:space="preserve"> général</w:t>
      </w:r>
      <w:r>
        <w:rPr>
          <w:lang w:val="fr-CA"/>
        </w:rPr>
        <w:t>e</w:t>
      </w:r>
      <w:r w:rsidRPr="00CD1C6E">
        <w:rPr>
          <w:lang w:val="fr-CA"/>
        </w:rPr>
        <w:t xml:space="preserve"> du Québec,</w:t>
      </w:r>
    </w:p>
    <w:p w:rsidR="00C24C89" w:rsidRPr="00CD1C6E" w:rsidRDefault="00C24C89" w:rsidP="006F35D5">
      <w:pPr>
        <w:pStyle w:val="SCCLsocParty"/>
        <w:widowControl w:val="0"/>
        <w:jc w:val="center"/>
        <w:rPr>
          <w:lang w:val="fr-CA"/>
        </w:rPr>
      </w:pPr>
      <w:r w:rsidRPr="00CD1C6E">
        <w:rPr>
          <w:lang w:val="fr-CA"/>
        </w:rPr>
        <w:t>Conseil des Canadiens avec déficiences,</w:t>
      </w:r>
    </w:p>
    <w:p w:rsidR="00C24C89" w:rsidRPr="00CD1C6E" w:rsidRDefault="00C24C89" w:rsidP="006F35D5">
      <w:pPr>
        <w:pStyle w:val="SCCLsocParty"/>
        <w:widowControl w:val="0"/>
        <w:jc w:val="center"/>
        <w:rPr>
          <w:lang w:val="fr-CA"/>
        </w:rPr>
      </w:pPr>
      <w:r w:rsidRPr="00CD1C6E">
        <w:rPr>
          <w:lang w:val="fr-CA"/>
        </w:rPr>
        <w:t>Association canadienne pour l’intégration communautaire,</w:t>
      </w:r>
    </w:p>
    <w:p w:rsidR="00C24C89" w:rsidRPr="00CD1C6E" w:rsidRDefault="00C24C89" w:rsidP="006F35D5">
      <w:pPr>
        <w:pStyle w:val="SCCLsocParty"/>
        <w:widowControl w:val="0"/>
        <w:jc w:val="center"/>
        <w:rPr>
          <w:lang w:val="fr-CA"/>
        </w:rPr>
      </w:pPr>
      <w:r w:rsidRPr="00CD1C6E">
        <w:rPr>
          <w:lang w:val="fr-CA"/>
        </w:rPr>
        <w:t>Alliance des chrétiens en droit,</w:t>
      </w:r>
    </w:p>
    <w:p w:rsidR="00C24C89" w:rsidRDefault="00C24C89" w:rsidP="006F35D5">
      <w:pPr>
        <w:pStyle w:val="SCCLsocParty"/>
        <w:widowControl w:val="0"/>
        <w:jc w:val="center"/>
        <w:rPr>
          <w:lang w:val="fr-CA"/>
        </w:rPr>
      </w:pPr>
      <w:r w:rsidRPr="00CD1C6E">
        <w:rPr>
          <w:lang w:val="fr-CA"/>
        </w:rPr>
        <w:t>Réseau juridique canadien VIH/sida</w:t>
      </w:r>
      <w:r>
        <w:rPr>
          <w:lang w:val="fr-CA"/>
        </w:rPr>
        <w:t>,</w:t>
      </w:r>
    </w:p>
    <w:p w:rsidR="00C24C89" w:rsidRPr="004105FE" w:rsidRDefault="00C24C89" w:rsidP="006F35D5">
      <w:pPr>
        <w:pStyle w:val="SCCLsocParty"/>
        <w:widowControl w:val="0"/>
        <w:jc w:val="center"/>
        <w:rPr>
          <w:lang w:val="en-US"/>
        </w:rPr>
      </w:pPr>
      <w:r w:rsidRPr="004105FE">
        <w:rPr>
          <w:lang w:val="en-US"/>
        </w:rPr>
        <w:lastRenderedPageBreak/>
        <w:t>HIV &amp; AIDS Legal Clinic Ontario,</w:t>
      </w:r>
    </w:p>
    <w:p w:rsidR="00C24C89" w:rsidRPr="004105FE" w:rsidRDefault="00C24C89" w:rsidP="006F35D5">
      <w:pPr>
        <w:pStyle w:val="SCCLsocParty"/>
        <w:widowControl w:val="0"/>
        <w:jc w:val="center"/>
        <w:rPr>
          <w:lang w:val="en-US"/>
        </w:rPr>
      </w:pPr>
      <w:r w:rsidRPr="004105FE">
        <w:rPr>
          <w:lang w:val="en-US"/>
        </w:rPr>
        <w:t>Association for Reformed Political Action Canada,</w:t>
      </w:r>
    </w:p>
    <w:p w:rsidR="00C24C89" w:rsidRPr="00086872" w:rsidRDefault="00C24C89" w:rsidP="006F35D5">
      <w:pPr>
        <w:pStyle w:val="SCCLsocParty"/>
        <w:widowControl w:val="0"/>
        <w:jc w:val="center"/>
        <w:rPr>
          <w:lang w:val="fr-CA"/>
        </w:rPr>
      </w:pPr>
      <w:r w:rsidRPr="00086872">
        <w:rPr>
          <w:lang w:val="fr-CA"/>
        </w:rPr>
        <w:t>Collectif des médecins contre l</w:t>
      </w:r>
      <w:r>
        <w:rPr>
          <w:lang w:val="fr-CA"/>
        </w:rPr>
        <w:t>’</w:t>
      </w:r>
      <w:r w:rsidRPr="00086872">
        <w:rPr>
          <w:lang w:val="fr-CA"/>
        </w:rPr>
        <w:t>euthanasie,</w:t>
      </w:r>
    </w:p>
    <w:p w:rsidR="00C24C89" w:rsidRPr="004105FE" w:rsidRDefault="00C24C89" w:rsidP="006F35D5">
      <w:pPr>
        <w:pStyle w:val="SCCLsocParty"/>
        <w:widowControl w:val="0"/>
        <w:jc w:val="center"/>
        <w:rPr>
          <w:lang w:val="en-US"/>
        </w:rPr>
      </w:pPr>
      <w:r w:rsidRPr="004105FE">
        <w:rPr>
          <w:lang w:val="en-US"/>
        </w:rPr>
        <w:t xml:space="preserve">Alliance </w:t>
      </w:r>
      <w:proofErr w:type="spellStart"/>
      <w:r w:rsidRPr="004105FE">
        <w:rPr>
          <w:lang w:val="en-US"/>
        </w:rPr>
        <w:t>évangélique</w:t>
      </w:r>
      <w:proofErr w:type="spellEnd"/>
      <w:r w:rsidRPr="004105FE">
        <w:rPr>
          <w:lang w:val="en-US"/>
        </w:rPr>
        <w:t xml:space="preserve"> du Canada,</w:t>
      </w:r>
    </w:p>
    <w:p w:rsidR="00C24C89" w:rsidRPr="004105FE" w:rsidRDefault="00C24C89" w:rsidP="006F35D5">
      <w:pPr>
        <w:pStyle w:val="SCCLsocParty"/>
        <w:widowControl w:val="0"/>
        <w:jc w:val="center"/>
        <w:rPr>
          <w:lang w:val="en-US"/>
        </w:rPr>
      </w:pPr>
      <w:r w:rsidRPr="004105FE">
        <w:rPr>
          <w:lang w:val="en-US"/>
        </w:rPr>
        <w:t>Christian Medical and Dental Society of Canada,</w:t>
      </w:r>
    </w:p>
    <w:p w:rsidR="00C24C89" w:rsidRPr="004105FE" w:rsidRDefault="00C24C89" w:rsidP="006F35D5">
      <w:pPr>
        <w:pStyle w:val="SCCLsocParty"/>
        <w:widowControl w:val="0"/>
        <w:jc w:val="center"/>
        <w:rPr>
          <w:lang w:val="en-US"/>
        </w:rPr>
      </w:pPr>
      <w:r w:rsidRPr="004105FE">
        <w:rPr>
          <w:lang w:val="en-US"/>
        </w:rPr>
        <w:t>Canadian Federation of Catholic Physicians’ Societies,</w:t>
      </w:r>
    </w:p>
    <w:p w:rsidR="00C24C89" w:rsidRPr="004105FE" w:rsidRDefault="00C24C89" w:rsidP="006F35D5">
      <w:pPr>
        <w:pStyle w:val="SCCLsocParty"/>
        <w:widowControl w:val="0"/>
        <w:jc w:val="center"/>
        <w:rPr>
          <w:lang w:val="en-US"/>
        </w:rPr>
      </w:pPr>
      <w:r w:rsidRPr="004105FE">
        <w:rPr>
          <w:lang w:val="en-US"/>
        </w:rPr>
        <w:t>Dying With Dignity,</w:t>
      </w:r>
    </w:p>
    <w:p w:rsidR="00C24C89" w:rsidRPr="004105FE" w:rsidRDefault="00C24C89" w:rsidP="006F35D5">
      <w:pPr>
        <w:pStyle w:val="SCCLsocParty"/>
        <w:widowControl w:val="0"/>
        <w:jc w:val="center"/>
        <w:rPr>
          <w:lang w:val="en-US"/>
        </w:rPr>
      </w:pPr>
      <w:r w:rsidRPr="004105FE">
        <w:rPr>
          <w:lang w:val="en-US"/>
        </w:rPr>
        <w:t xml:space="preserve">Association </w:t>
      </w:r>
      <w:proofErr w:type="spellStart"/>
      <w:r w:rsidRPr="004105FE">
        <w:rPr>
          <w:lang w:val="en-US"/>
        </w:rPr>
        <w:t>médicale</w:t>
      </w:r>
      <w:proofErr w:type="spellEnd"/>
      <w:r w:rsidRPr="004105FE">
        <w:rPr>
          <w:lang w:val="en-US"/>
        </w:rPr>
        <w:t xml:space="preserve"> </w:t>
      </w:r>
      <w:proofErr w:type="spellStart"/>
      <w:r w:rsidRPr="004105FE">
        <w:rPr>
          <w:lang w:val="en-US"/>
        </w:rPr>
        <w:t>canadienne</w:t>
      </w:r>
      <w:proofErr w:type="spellEnd"/>
      <w:r w:rsidRPr="004105FE">
        <w:rPr>
          <w:lang w:val="en-US"/>
        </w:rPr>
        <w:t>,</w:t>
      </w:r>
    </w:p>
    <w:p w:rsidR="00C24C89" w:rsidRPr="00CD1C6E" w:rsidRDefault="00C24C89" w:rsidP="006F35D5">
      <w:pPr>
        <w:pStyle w:val="SCCLsocParty"/>
        <w:widowControl w:val="0"/>
        <w:jc w:val="center"/>
        <w:rPr>
          <w:lang w:val="fr-CA"/>
        </w:rPr>
      </w:pPr>
      <w:r w:rsidRPr="00CD1C6E">
        <w:rPr>
          <w:lang w:val="fr-CA"/>
        </w:rPr>
        <w:t>Alliance catholique canadienne de la santé,</w:t>
      </w:r>
    </w:p>
    <w:p w:rsidR="00C24C89" w:rsidRPr="004105FE" w:rsidRDefault="00C24C89" w:rsidP="006F35D5">
      <w:pPr>
        <w:pStyle w:val="SCCLsocParty"/>
        <w:widowControl w:val="0"/>
        <w:jc w:val="center"/>
        <w:rPr>
          <w:lang w:val="en-US"/>
        </w:rPr>
      </w:pPr>
      <w:r w:rsidRPr="004105FE">
        <w:rPr>
          <w:lang w:val="en-US"/>
        </w:rPr>
        <w:t>Criminal Lawyers’ Association (Ontario),</w:t>
      </w:r>
    </w:p>
    <w:p w:rsidR="00C24C89" w:rsidRPr="004105FE" w:rsidRDefault="00C24C89" w:rsidP="006F35D5">
      <w:pPr>
        <w:pStyle w:val="SCCLsocParty"/>
        <w:widowControl w:val="0"/>
        <w:jc w:val="center"/>
        <w:rPr>
          <w:lang w:val="en-US"/>
        </w:rPr>
      </w:pPr>
      <w:r w:rsidRPr="004105FE">
        <w:rPr>
          <w:lang w:val="en-US"/>
        </w:rPr>
        <w:t>Farewell Foundation for the Right to Die,</w:t>
      </w:r>
    </w:p>
    <w:p w:rsidR="00C24C89" w:rsidRPr="00086872" w:rsidRDefault="00C24C89" w:rsidP="006F35D5">
      <w:pPr>
        <w:pStyle w:val="SCCLsocParty"/>
        <w:widowControl w:val="0"/>
        <w:jc w:val="center"/>
        <w:rPr>
          <w:lang w:val="fr-CA"/>
        </w:rPr>
      </w:pPr>
      <w:r w:rsidRPr="00086872">
        <w:rPr>
          <w:lang w:val="fr-CA"/>
        </w:rPr>
        <w:t>Association québécoise pour le droit de mourir dans la dignité,</w:t>
      </w:r>
    </w:p>
    <w:p w:rsidR="00C24C89" w:rsidRPr="00CD1C6E" w:rsidRDefault="00C24C89" w:rsidP="006F35D5">
      <w:pPr>
        <w:pStyle w:val="SCCLsocParty"/>
        <w:widowControl w:val="0"/>
        <w:jc w:val="center"/>
        <w:rPr>
          <w:lang w:val="fr-CA"/>
        </w:rPr>
      </w:pPr>
      <w:r w:rsidRPr="00CD1C6E">
        <w:rPr>
          <w:lang w:val="fr-CA"/>
        </w:rPr>
        <w:t>Association canadienne des libertés civiles,</w:t>
      </w:r>
    </w:p>
    <w:p w:rsidR="00C24C89" w:rsidRPr="00CD1C6E" w:rsidRDefault="00C24C89" w:rsidP="006F35D5">
      <w:pPr>
        <w:pStyle w:val="SCCLsocParty"/>
        <w:widowControl w:val="0"/>
        <w:jc w:val="center"/>
        <w:rPr>
          <w:lang w:val="fr-CA"/>
        </w:rPr>
      </w:pPr>
      <w:r w:rsidRPr="00CD1C6E">
        <w:rPr>
          <w:lang w:val="fr-CA"/>
        </w:rPr>
        <w:t>Ligue catholique des droits de l’homme,</w:t>
      </w:r>
    </w:p>
    <w:p w:rsidR="00C24C89" w:rsidRPr="004105FE" w:rsidRDefault="00C24C89" w:rsidP="006F35D5">
      <w:pPr>
        <w:pStyle w:val="SCCLsocParty"/>
        <w:widowControl w:val="0"/>
        <w:jc w:val="center"/>
        <w:rPr>
          <w:lang w:val="en-US"/>
        </w:rPr>
      </w:pPr>
      <w:r w:rsidRPr="004105FE">
        <w:rPr>
          <w:lang w:val="en-US"/>
        </w:rPr>
        <w:t>Faith and Freedom Alliance,</w:t>
      </w:r>
    </w:p>
    <w:p w:rsidR="00C24C89" w:rsidRPr="004105FE" w:rsidRDefault="00C24C89" w:rsidP="006F35D5">
      <w:pPr>
        <w:pStyle w:val="SCCLsocParty"/>
        <w:widowControl w:val="0"/>
        <w:jc w:val="center"/>
        <w:rPr>
          <w:lang w:val="en-US"/>
        </w:rPr>
      </w:pPr>
      <w:r w:rsidRPr="004105FE">
        <w:rPr>
          <w:lang w:val="en-US"/>
        </w:rPr>
        <w:t>Protection of Conscience Project,</w:t>
      </w:r>
    </w:p>
    <w:p w:rsidR="00C24C89" w:rsidRPr="004105FE" w:rsidRDefault="00C24C89" w:rsidP="006F35D5">
      <w:pPr>
        <w:pStyle w:val="SCCLsocParty"/>
        <w:widowControl w:val="0"/>
        <w:jc w:val="center"/>
        <w:rPr>
          <w:lang w:val="en-US"/>
        </w:rPr>
      </w:pPr>
      <w:r w:rsidRPr="004105FE">
        <w:rPr>
          <w:lang w:val="en-US"/>
        </w:rPr>
        <w:t xml:space="preserve">Alliance of People </w:t>
      </w:r>
      <w:proofErr w:type="gramStart"/>
      <w:r w:rsidRPr="004105FE">
        <w:rPr>
          <w:lang w:val="en-US"/>
        </w:rPr>
        <w:t>With</w:t>
      </w:r>
      <w:proofErr w:type="gramEnd"/>
      <w:r w:rsidRPr="004105FE">
        <w:rPr>
          <w:lang w:val="en-US"/>
        </w:rPr>
        <w:t xml:space="preserve"> Disabilities Who are Supportive</w:t>
      </w:r>
    </w:p>
    <w:p w:rsidR="00C24C89" w:rsidRPr="004105FE" w:rsidRDefault="00C24C89" w:rsidP="006F35D5">
      <w:pPr>
        <w:pStyle w:val="SCCLsocParty"/>
        <w:widowControl w:val="0"/>
        <w:jc w:val="center"/>
        <w:rPr>
          <w:lang w:val="en-US"/>
        </w:rPr>
      </w:pPr>
      <w:proofErr w:type="gramStart"/>
      <w:r w:rsidRPr="004105FE">
        <w:rPr>
          <w:lang w:val="en-US"/>
        </w:rPr>
        <w:t>of</w:t>
      </w:r>
      <w:proofErr w:type="gramEnd"/>
      <w:r w:rsidRPr="004105FE">
        <w:rPr>
          <w:lang w:val="en-US"/>
        </w:rPr>
        <w:t xml:space="preserve"> Legal Assisted Dying Society,</w:t>
      </w:r>
    </w:p>
    <w:p w:rsidR="00C24C89" w:rsidRPr="00417790" w:rsidRDefault="00C24C89" w:rsidP="006F35D5">
      <w:pPr>
        <w:pStyle w:val="SCCLsocParty"/>
        <w:widowControl w:val="0"/>
        <w:jc w:val="center"/>
        <w:rPr>
          <w:lang w:val="fr-CA"/>
        </w:rPr>
      </w:pPr>
      <w:r w:rsidRPr="00417790">
        <w:rPr>
          <w:lang w:val="fr-CA"/>
        </w:rPr>
        <w:t>Conseil unitarien du Canada,</w:t>
      </w:r>
    </w:p>
    <w:p w:rsidR="00C24C89" w:rsidRDefault="00C24C89" w:rsidP="006F35D5">
      <w:pPr>
        <w:pStyle w:val="SCCLsocParty"/>
        <w:widowControl w:val="0"/>
        <w:jc w:val="center"/>
        <w:rPr>
          <w:lang w:val="fr-CA"/>
        </w:rPr>
      </w:pPr>
      <w:r w:rsidRPr="00CD1C6E">
        <w:rPr>
          <w:lang w:val="fr-CA"/>
        </w:rPr>
        <w:t xml:space="preserve">Coalition pour la prévention de l’euthanasie </w:t>
      </w:r>
      <w:r>
        <w:rPr>
          <w:lang w:val="fr-CA"/>
        </w:rPr>
        <w:t>et</w:t>
      </w:r>
    </w:p>
    <w:p w:rsidR="00C24C89" w:rsidRPr="004105FE" w:rsidRDefault="00C24C89" w:rsidP="006F35D5">
      <w:pPr>
        <w:jc w:val="center"/>
        <w:rPr>
          <w:b/>
          <w:lang w:val="en-US"/>
        </w:rPr>
      </w:pPr>
      <w:r w:rsidRPr="004105FE">
        <w:rPr>
          <w:b/>
          <w:lang w:val="en-US"/>
        </w:rPr>
        <w:t>Euthanasia Prevention Coalition — British Columbia</w:t>
      </w:r>
    </w:p>
    <w:p w:rsidR="00C24C89" w:rsidRPr="004105FE" w:rsidRDefault="00C24C89" w:rsidP="006F35D5">
      <w:pPr>
        <w:jc w:val="center"/>
        <w:rPr>
          <w:lang w:val="en-US"/>
        </w:rPr>
      </w:pPr>
      <w:proofErr w:type="spellStart"/>
      <w:r w:rsidRPr="004105FE">
        <w:rPr>
          <w:lang w:val="en-US"/>
        </w:rPr>
        <w:t>Intervenants</w:t>
      </w:r>
      <w:proofErr w:type="spellEnd"/>
    </w:p>
    <w:p w:rsidR="00C24C89" w:rsidRDefault="00C24C89" w:rsidP="00C24C89">
      <w:pPr>
        <w:jc w:val="center"/>
        <w:rPr>
          <w:lang w:val="en-US"/>
        </w:rPr>
      </w:pPr>
    </w:p>
    <w:p w:rsidR="00C24C89" w:rsidRPr="004105FE" w:rsidRDefault="00C24C89" w:rsidP="00C24C89">
      <w:pPr>
        <w:jc w:val="center"/>
        <w:rPr>
          <w:lang w:val="en-US"/>
        </w:rPr>
      </w:pPr>
    </w:p>
    <w:p w:rsidR="00C24C89" w:rsidRPr="00C24C89" w:rsidRDefault="00C24C89" w:rsidP="00C24C89">
      <w:pPr>
        <w:jc w:val="center"/>
        <w:rPr>
          <w:b/>
          <w:smallCaps/>
          <w:lang w:val="fr-CA"/>
        </w:rPr>
      </w:pPr>
      <w:r w:rsidRPr="00C24C89">
        <w:rPr>
          <w:b/>
          <w:smallCaps/>
          <w:lang w:val="fr-CA"/>
        </w:rPr>
        <w:t>Traduction française officielle</w:t>
      </w:r>
    </w:p>
    <w:p w:rsidR="00C24C89" w:rsidRPr="00C24C89" w:rsidRDefault="00C24C89" w:rsidP="00C24C89">
      <w:pPr>
        <w:rPr>
          <w:lang w:val="fr-CA"/>
        </w:rPr>
      </w:pPr>
    </w:p>
    <w:p w:rsidR="00C24C89" w:rsidRPr="00C24C89" w:rsidRDefault="00C24C89" w:rsidP="00C24C89">
      <w:pPr>
        <w:rPr>
          <w:lang w:val="fr-CA"/>
        </w:rPr>
      </w:pPr>
      <w:r w:rsidRPr="00C24C89">
        <w:rPr>
          <w:b/>
          <w:smallCaps/>
          <w:lang w:val="fr-CA"/>
        </w:rPr>
        <w:t>Coram :</w:t>
      </w:r>
      <w:r w:rsidRPr="00C24C89">
        <w:rPr>
          <w:lang w:val="fr-CA"/>
        </w:rPr>
        <w:t xml:space="preserve">   </w:t>
      </w:r>
      <w:r w:rsidRPr="00086872">
        <w:rPr>
          <w:lang w:val="fr-CA"/>
        </w:rPr>
        <w:t xml:space="preserve">La juge en chef </w:t>
      </w:r>
      <w:proofErr w:type="spellStart"/>
      <w:r w:rsidRPr="00086872">
        <w:rPr>
          <w:lang w:val="fr-CA"/>
        </w:rPr>
        <w:t>McLachlin</w:t>
      </w:r>
      <w:proofErr w:type="spellEnd"/>
      <w:r w:rsidRPr="00086872">
        <w:rPr>
          <w:lang w:val="fr-CA"/>
        </w:rPr>
        <w:t xml:space="preserve"> et les juges </w:t>
      </w:r>
      <w:r w:rsidRPr="0002075D">
        <w:rPr>
          <w:lang w:val="fr-CA"/>
        </w:rPr>
        <w:t xml:space="preserve">Abella, Cromwell, </w:t>
      </w:r>
      <w:proofErr w:type="spellStart"/>
      <w:r w:rsidRPr="0002075D">
        <w:rPr>
          <w:lang w:val="fr-CA"/>
        </w:rPr>
        <w:t>Moldaver</w:t>
      </w:r>
      <w:proofErr w:type="spellEnd"/>
      <w:r w:rsidRPr="0002075D">
        <w:rPr>
          <w:lang w:val="fr-CA"/>
        </w:rPr>
        <w:t xml:space="preserve">, </w:t>
      </w:r>
      <w:proofErr w:type="spellStart"/>
      <w:r w:rsidRPr="0002075D">
        <w:rPr>
          <w:lang w:val="fr-CA"/>
        </w:rPr>
        <w:t>Karakatsanis</w:t>
      </w:r>
      <w:proofErr w:type="spellEnd"/>
      <w:r w:rsidRPr="0002075D">
        <w:rPr>
          <w:lang w:val="fr-CA"/>
        </w:rPr>
        <w:t xml:space="preserve">, Wagner, Gascon, Côté </w:t>
      </w:r>
      <w:r>
        <w:rPr>
          <w:lang w:val="fr-CA"/>
        </w:rPr>
        <w:t>et</w:t>
      </w:r>
      <w:r w:rsidRPr="0002075D">
        <w:rPr>
          <w:lang w:val="fr-CA"/>
        </w:rPr>
        <w:t xml:space="preserve"> Brown</w:t>
      </w:r>
      <w:r w:rsidRPr="00C24C89">
        <w:rPr>
          <w:lang w:val="fr-CA"/>
        </w:rPr>
        <w:t xml:space="preserve"> </w:t>
      </w:r>
    </w:p>
    <w:p w:rsidR="00C24C89" w:rsidRPr="00C24C89" w:rsidRDefault="00C24C89" w:rsidP="00C24C8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24C89" w:rsidRPr="006F35D5" w:rsidTr="00D64A7F">
        <w:trPr>
          <w:cantSplit/>
        </w:trPr>
        <w:tc>
          <w:tcPr>
            <w:tcW w:w="3618" w:type="dxa"/>
          </w:tcPr>
          <w:p w:rsidR="00C24C89" w:rsidRPr="00C24C89" w:rsidRDefault="00C24C89" w:rsidP="00D64A7F">
            <w:pPr>
              <w:ind w:left="-58"/>
              <w:jc w:val="both"/>
              <w:rPr>
                <w:b/>
                <w:smallCaps/>
                <w:lang w:val="fr-CA"/>
              </w:rPr>
            </w:pPr>
            <w:r w:rsidRPr="00C24C89">
              <w:rPr>
                <w:b/>
                <w:smallCaps/>
                <w:lang w:val="fr-CA"/>
              </w:rPr>
              <w:t xml:space="preserve">Motifs de </w:t>
            </w:r>
            <w:r w:rsidR="009C07CA">
              <w:rPr>
                <w:b/>
                <w:smallCaps/>
                <w:lang w:val="fr-CA"/>
              </w:rPr>
              <w:t>l’ordonance</w:t>
            </w:r>
            <w:r w:rsidRPr="00C24C89">
              <w:rPr>
                <w:b/>
                <w:smallCaps/>
                <w:lang w:val="fr-CA"/>
              </w:rPr>
              <w:t xml:space="preserve"> conjoints  </w:t>
            </w:r>
            <w:r w:rsidRPr="00C24C89">
              <w:rPr>
                <w:smallCaps/>
                <w:lang w:val="fr-CA"/>
              </w:rPr>
              <w:t>(</w:t>
            </w:r>
            <w:r w:rsidRPr="00065F9B">
              <w:rPr>
                <w:lang w:val="fr-CA"/>
              </w:rPr>
              <w:t xml:space="preserve">requête en prorogation de la suspension de la </w:t>
            </w:r>
            <w:r w:rsidRPr="001D3EA8">
              <w:rPr>
                <w:lang w:val="fr-CA"/>
              </w:rPr>
              <w:t>prise</w:t>
            </w:r>
            <w:r w:rsidRPr="00065F9B">
              <w:rPr>
                <w:lang w:val="fr-CA"/>
              </w:rPr>
              <w:t xml:space="preserve"> d’effet d’une déclaration d’invalidité constitutionnelle</w:t>
            </w:r>
            <w:r w:rsidRPr="00C24C89">
              <w:rPr>
                <w:lang w:val="fr-CA"/>
              </w:rPr>
              <w:t xml:space="preserve"> prononcée dans </w:t>
            </w:r>
            <w:r w:rsidRPr="00C24C89">
              <w:rPr>
                <w:i/>
                <w:lang w:val="fr-CA"/>
              </w:rPr>
              <w:t>Carter c</w:t>
            </w:r>
            <w:r w:rsidRPr="001D3EA8">
              <w:rPr>
                <w:i/>
                <w:lang w:val="fr-CA"/>
              </w:rPr>
              <w:t>. Canada (</w:t>
            </w:r>
            <w:r w:rsidRPr="00C24C89">
              <w:rPr>
                <w:i/>
                <w:lang w:val="fr-CA"/>
              </w:rPr>
              <w:t>Procureur géné</w:t>
            </w:r>
            <w:r w:rsidRPr="001D3EA8">
              <w:rPr>
                <w:i/>
                <w:lang w:val="fr-CA"/>
              </w:rPr>
              <w:t>ral)</w:t>
            </w:r>
            <w:r w:rsidRPr="001D3EA8">
              <w:rPr>
                <w:lang w:val="fr-CA"/>
              </w:rPr>
              <w:t xml:space="preserve">, 2015 </w:t>
            </w:r>
            <w:r w:rsidRPr="00C24C89">
              <w:rPr>
                <w:lang w:val="fr-CA"/>
              </w:rPr>
              <w:t>CSC</w:t>
            </w:r>
            <w:r w:rsidRPr="001D3EA8">
              <w:rPr>
                <w:lang w:val="fr-CA"/>
              </w:rPr>
              <w:t xml:space="preserve"> 5, [2015] 1 </w:t>
            </w:r>
            <w:r w:rsidRPr="00C24C89">
              <w:rPr>
                <w:lang w:val="fr-CA"/>
              </w:rPr>
              <w:t>R.C.S</w:t>
            </w:r>
            <w:r w:rsidRPr="001D3EA8">
              <w:rPr>
                <w:lang w:val="fr-CA"/>
              </w:rPr>
              <w:t>. 331</w:t>
            </w:r>
            <w:r w:rsidRPr="00C24C89">
              <w:rPr>
                <w:smallCaps/>
                <w:lang w:val="fr-CA"/>
              </w:rPr>
              <w:t>)</w:t>
            </w:r>
            <w:r w:rsidRPr="00C24C89">
              <w:rPr>
                <w:b/>
                <w:smallCaps/>
                <w:lang w:val="fr-CA"/>
              </w:rPr>
              <w:t> :</w:t>
            </w:r>
          </w:p>
          <w:p w:rsidR="00C24C89" w:rsidRPr="00C24C89" w:rsidRDefault="00C24C89" w:rsidP="00D64A7F">
            <w:pPr>
              <w:ind w:left="-58"/>
              <w:rPr>
                <w:lang w:val="fr-CA"/>
              </w:rPr>
            </w:pPr>
            <w:r w:rsidRPr="00C24C89">
              <w:rPr>
                <w:lang w:val="fr-CA"/>
              </w:rPr>
              <w:t>(par. 1 à 7)</w:t>
            </w:r>
          </w:p>
          <w:p w:rsidR="00C24C89" w:rsidRPr="00C24C89" w:rsidRDefault="00C24C89" w:rsidP="00D64A7F">
            <w:pPr>
              <w:ind w:left="-58"/>
              <w:rPr>
                <w:lang w:val="fr-CA"/>
              </w:rPr>
            </w:pPr>
          </w:p>
          <w:p w:rsidR="00C24C89" w:rsidRPr="00C24C89" w:rsidRDefault="00C24C89" w:rsidP="00D64A7F">
            <w:pPr>
              <w:ind w:left="-58"/>
              <w:rPr>
                <w:lang w:val="fr-CA"/>
              </w:rPr>
            </w:pPr>
          </w:p>
          <w:p w:rsidR="00C24C89" w:rsidRPr="00C24C89" w:rsidRDefault="00C24C89" w:rsidP="00D64A7F">
            <w:pPr>
              <w:ind w:left="-58"/>
              <w:jc w:val="both"/>
              <w:rPr>
                <w:b/>
                <w:smallCaps/>
                <w:lang w:val="fr-CA"/>
              </w:rPr>
            </w:pPr>
            <w:r w:rsidRPr="00C24C89">
              <w:rPr>
                <w:b/>
                <w:smallCaps/>
                <w:lang w:val="fr-CA"/>
              </w:rPr>
              <w:t xml:space="preserve">Motifs conjoints </w:t>
            </w:r>
            <w:r w:rsidRPr="00B15129">
              <w:rPr>
                <w:b/>
                <w:smallCaps/>
                <w:lang w:val="fr-CA"/>
              </w:rPr>
              <w:t>dissidents</w:t>
            </w:r>
          </w:p>
          <w:p w:rsidR="00C24C89" w:rsidRPr="00C24C89" w:rsidRDefault="00C24C89" w:rsidP="00D64A7F">
            <w:pPr>
              <w:ind w:left="-58"/>
              <w:jc w:val="both"/>
              <w:rPr>
                <w:lang w:val="fr-CA"/>
              </w:rPr>
            </w:pPr>
            <w:r w:rsidRPr="00C24C89">
              <w:rPr>
                <w:b/>
                <w:smallCaps/>
                <w:lang w:val="fr-CA"/>
              </w:rPr>
              <w:t>en partie</w:t>
            </w:r>
            <w:r w:rsidRPr="00C24C89">
              <w:rPr>
                <w:lang w:val="fr-CA"/>
              </w:rPr>
              <w:t xml:space="preserve">: </w:t>
            </w:r>
          </w:p>
          <w:p w:rsidR="00C24C89" w:rsidRDefault="00C24C89" w:rsidP="00D64A7F">
            <w:pPr>
              <w:ind w:left="-58"/>
              <w:jc w:val="both"/>
            </w:pPr>
            <w:r>
              <w:t>(par. 8 à 15)</w:t>
            </w:r>
          </w:p>
          <w:p w:rsidR="00C24C89" w:rsidRDefault="00C24C89" w:rsidP="00D64A7F">
            <w:pPr>
              <w:ind w:left="-58"/>
            </w:pPr>
          </w:p>
          <w:p w:rsidR="00C24C89" w:rsidRPr="001E12E2" w:rsidRDefault="00C24C89" w:rsidP="00D64A7F">
            <w:pPr>
              <w:ind w:left="-58"/>
            </w:pPr>
          </w:p>
        </w:tc>
        <w:tc>
          <w:tcPr>
            <w:tcW w:w="5958" w:type="dxa"/>
          </w:tcPr>
          <w:p w:rsidR="00C24C89" w:rsidRPr="00C24C89" w:rsidRDefault="00C24C89" w:rsidP="00D64A7F">
            <w:pPr>
              <w:ind w:left="662"/>
              <w:rPr>
                <w:lang w:val="fr-CA"/>
              </w:rPr>
            </w:pPr>
            <w:r w:rsidRPr="00C24C89">
              <w:rPr>
                <w:lang w:val="fr-CA"/>
              </w:rPr>
              <w:t xml:space="preserve">Les juges </w:t>
            </w:r>
            <w:r w:rsidRPr="00B15129">
              <w:rPr>
                <w:lang w:val="fr-CA"/>
              </w:rPr>
              <w:t>Abella</w:t>
            </w:r>
            <w:r w:rsidRPr="00C24C89">
              <w:rPr>
                <w:lang w:val="fr-CA"/>
              </w:rPr>
              <w:t xml:space="preserve">, </w:t>
            </w:r>
            <w:proofErr w:type="spellStart"/>
            <w:r w:rsidRPr="00B15129">
              <w:rPr>
                <w:lang w:val="fr-CA"/>
              </w:rPr>
              <w:t>Karakatsanis</w:t>
            </w:r>
            <w:proofErr w:type="spellEnd"/>
            <w:r w:rsidRPr="00C24C89">
              <w:rPr>
                <w:lang w:val="fr-CA"/>
              </w:rPr>
              <w:t xml:space="preserve">, Wagner, Gascon et Côté </w:t>
            </w: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p>
          <w:p w:rsidR="00C24C89" w:rsidRPr="00C24C89" w:rsidRDefault="00C24C89" w:rsidP="00D64A7F">
            <w:pPr>
              <w:ind w:left="662"/>
              <w:rPr>
                <w:lang w:val="fr-CA"/>
              </w:rPr>
            </w:pPr>
            <w:r w:rsidRPr="00C24C89">
              <w:rPr>
                <w:lang w:val="fr-CA"/>
              </w:rPr>
              <w:t xml:space="preserve">La juge en chef </w:t>
            </w:r>
            <w:proofErr w:type="spellStart"/>
            <w:r w:rsidRPr="00C24C89">
              <w:rPr>
                <w:lang w:val="fr-CA"/>
              </w:rPr>
              <w:t>McLachlin</w:t>
            </w:r>
            <w:proofErr w:type="spellEnd"/>
            <w:r w:rsidRPr="00C24C89">
              <w:rPr>
                <w:lang w:val="fr-CA"/>
              </w:rPr>
              <w:t xml:space="preserve"> et les juges </w:t>
            </w:r>
            <w:proofErr w:type="spellStart"/>
            <w:r w:rsidRPr="00C24C89">
              <w:rPr>
                <w:lang w:val="fr-CA"/>
              </w:rPr>
              <w:t>Moldaver</w:t>
            </w:r>
            <w:proofErr w:type="spellEnd"/>
            <w:r w:rsidRPr="00C24C89">
              <w:rPr>
                <w:lang w:val="fr-CA"/>
              </w:rPr>
              <w:t>, Cromwell et Brown</w:t>
            </w:r>
          </w:p>
          <w:p w:rsidR="00C24C89" w:rsidRPr="00C24C89" w:rsidRDefault="00C24C89" w:rsidP="00D64A7F">
            <w:pPr>
              <w:ind w:left="662"/>
              <w:rPr>
                <w:lang w:val="fr-CA"/>
              </w:rPr>
            </w:pPr>
          </w:p>
        </w:tc>
      </w:tr>
    </w:tbl>
    <w:p w:rsidR="00C24C89" w:rsidRPr="00C24C89" w:rsidRDefault="00C24C89" w:rsidP="00C24C89">
      <w:pPr>
        <w:rPr>
          <w:lang w:val="fr-CA"/>
        </w:rPr>
      </w:pPr>
      <w:r>
        <w:rPr>
          <w:noProof/>
          <w:lang w:val="en-US" w:eastAsia="en-US"/>
        </w:rPr>
        <mc:AlternateContent>
          <mc:Choice Requires="wps">
            <w:drawing>
              <wp:anchor distT="0" distB="0" distL="114300" distR="114300" simplePos="0" relativeHeight="251659264" behindDoc="0" locked="0" layoutInCell="1" allowOverlap="1" wp14:anchorId="69974506" wp14:editId="6B3FF3B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E240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bookmarkStart w:id="0" w:name="_GoBack"/>
      <w:bookmarkEnd w:id="0"/>
    </w:p>
    <w:p w:rsidR="00C24C89" w:rsidRDefault="00C24C89" w:rsidP="00861E81">
      <w:pPr>
        <w:widowControl w:val="0"/>
        <w:spacing w:after="720"/>
        <w:jc w:val="both"/>
        <w:rPr>
          <w:rStyle w:val="SCCAppellantForRunningHeadChar"/>
          <w:smallCaps w:val="0"/>
          <w:lang w:val="fr-CA"/>
        </w:rPr>
      </w:pPr>
    </w:p>
    <w:p w:rsidR="004D7D95" w:rsidRPr="007C39E4" w:rsidRDefault="007C39E4" w:rsidP="00861E81">
      <w:pPr>
        <w:widowControl w:val="0"/>
        <w:spacing w:after="720"/>
        <w:jc w:val="both"/>
        <w:rPr>
          <w:smallCaps/>
          <w:lang w:val="fr-CA"/>
        </w:rPr>
      </w:pPr>
      <w:r>
        <w:rPr>
          <w:rStyle w:val="SCCAppellantForRunningHeadChar"/>
          <w:smallCaps w:val="0"/>
          <w:lang w:val="fr-CA"/>
        </w:rPr>
        <w:t>C</w:t>
      </w:r>
      <w:r w:rsidR="004D7D95" w:rsidRPr="007C39E4">
        <w:rPr>
          <w:rStyle w:val="SCCAppellantForRunningHeadChar"/>
          <w:smallCaps w:val="0"/>
          <w:lang w:val="fr-CA"/>
        </w:rPr>
        <w:t>arter</w:t>
      </w:r>
      <w:r w:rsidR="004D7D95" w:rsidRPr="007C39E4">
        <w:rPr>
          <w:smallCaps/>
          <w:lang w:val="fr-CA"/>
        </w:rPr>
        <w:t xml:space="preserve"> </w:t>
      </w:r>
      <w:r w:rsidR="004D7D95" w:rsidRPr="007C39E4">
        <w:rPr>
          <w:i/>
          <w:lang w:val="fr-CA"/>
        </w:rPr>
        <w:t>c.</w:t>
      </w:r>
      <w:r w:rsidR="004D7D95" w:rsidRPr="007C39E4">
        <w:rPr>
          <w:smallCaps/>
          <w:lang w:val="fr-CA"/>
        </w:rPr>
        <w:t xml:space="preserve"> </w:t>
      </w:r>
      <w:r>
        <w:rPr>
          <w:rStyle w:val="SCCRespondentForRunningHeadChar"/>
          <w:smallCaps w:val="0"/>
          <w:lang w:val="fr-CA"/>
        </w:rPr>
        <w:t xml:space="preserve">Canada </w:t>
      </w:r>
      <w:r w:rsidR="00EC539F">
        <w:rPr>
          <w:rStyle w:val="SCCRespondentForRunningHeadChar"/>
          <w:smallCaps w:val="0"/>
          <w:lang w:val="fr-CA"/>
        </w:rPr>
        <w:t xml:space="preserve">(Procureur général), </w:t>
      </w:r>
      <w:r w:rsidR="00EC539F" w:rsidRPr="00086872">
        <w:rPr>
          <w:lang w:val="fr-CA"/>
        </w:rPr>
        <w:t>2016 CSC </w:t>
      </w:r>
      <w:r w:rsidR="00EC539F">
        <w:rPr>
          <w:lang w:val="fr-CA"/>
        </w:rPr>
        <w:t xml:space="preserve">4, [2016] 1 </w:t>
      </w:r>
      <w:r w:rsidR="002E1F35">
        <w:rPr>
          <w:lang w:val="fr-CA"/>
        </w:rPr>
        <w:t>R.C.S.</w:t>
      </w:r>
      <w:r w:rsidR="00EC539F">
        <w:rPr>
          <w:lang w:val="fr-CA"/>
        </w:rPr>
        <w:t xml:space="preserve"> 13</w:t>
      </w:r>
    </w:p>
    <w:p w:rsidR="00CD1C6E" w:rsidRPr="00CD1C6E" w:rsidRDefault="00914AB1" w:rsidP="00861E81">
      <w:pPr>
        <w:pStyle w:val="SCCLsocParty"/>
        <w:widowControl w:val="0"/>
        <w:rPr>
          <w:lang w:val="fr-CA"/>
        </w:rPr>
      </w:pPr>
      <w:r w:rsidRPr="00CD1C6E">
        <w:rPr>
          <w:lang w:val="fr-CA"/>
        </w:rPr>
        <w:t>Lee Carter,</w:t>
      </w:r>
      <w:r w:rsidR="00CD1C6E" w:rsidRPr="00CD1C6E">
        <w:rPr>
          <w:lang w:val="fr-CA"/>
        </w:rPr>
        <w:t xml:space="preserve"> </w:t>
      </w:r>
      <w:proofErr w:type="spellStart"/>
      <w:r w:rsidRPr="00CD1C6E">
        <w:rPr>
          <w:lang w:val="fr-CA"/>
        </w:rPr>
        <w:t>Hollis</w:t>
      </w:r>
      <w:proofErr w:type="spellEnd"/>
      <w:r w:rsidRPr="00CD1C6E">
        <w:rPr>
          <w:lang w:val="fr-CA"/>
        </w:rPr>
        <w:t xml:space="preserve"> Johnson, William </w:t>
      </w:r>
      <w:proofErr w:type="spellStart"/>
      <w:r w:rsidRPr="00CD1C6E">
        <w:rPr>
          <w:lang w:val="fr-CA"/>
        </w:rPr>
        <w:t>Shoichet</w:t>
      </w:r>
      <w:proofErr w:type="spellEnd"/>
      <w:r w:rsidRPr="00CD1C6E">
        <w:rPr>
          <w:lang w:val="fr-CA"/>
        </w:rPr>
        <w:t xml:space="preserve">, </w:t>
      </w:r>
      <w:r w:rsidR="00CD1C6E" w:rsidRPr="00CD1C6E">
        <w:rPr>
          <w:lang w:val="fr-CA"/>
        </w:rPr>
        <w:t xml:space="preserve">Association des </w:t>
      </w:r>
    </w:p>
    <w:p w:rsidR="00E61CCD" w:rsidRPr="00CD1C6E" w:rsidRDefault="00CD1C6E" w:rsidP="00861E81">
      <w:pPr>
        <w:pStyle w:val="SCCLsocLastPartyInRole"/>
        <w:widowControl w:val="0"/>
        <w:rPr>
          <w:lang w:val="fr-CA"/>
        </w:rPr>
      </w:pPr>
      <w:proofErr w:type="gramStart"/>
      <w:r w:rsidRPr="00CD1C6E">
        <w:rPr>
          <w:lang w:val="fr-CA"/>
        </w:rPr>
        <w:t>libertés</w:t>
      </w:r>
      <w:proofErr w:type="gramEnd"/>
      <w:r w:rsidRPr="00CD1C6E">
        <w:rPr>
          <w:lang w:val="fr-CA"/>
        </w:rPr>
        <w:t xml:space="preserve"> civiles de la Colombie-Britannique</w:t>
      </w:r>
      <w:r w:rsidR="00914AB1" w:rsidRPr="00CD1C6E">
        <w:rPr>
          <w:lang w:val="fr-CA"/>
        </w:rPr>
        <w:t xml:space="preserve"> et Gloria Taylor</w:t>
      </w:r>
      <w:r w:rsidR="00914AB1" w:rsidRPr="00CD1C6E">
        <w:rPr>
          <w:rStyle w:val="SCCLsocPartyRole"/>
          <w:lang w:val="fr-CA"/>
        </w:rPr>
        <w:tab/>
        <w:t>Appelants</w:t>
      </w:r>
    </w:p>
    <w:p w:rsidR="00E61CCD" w:rsidRPr="00086872" w:rsidRDefault="00914AB1" w:rsidP="00861E81">
      <w:pPr>
        <w:pStyle w:val="SCCLsocVersus"/>
        <w:widowControl w:val="0"/>
        <w:rPr>
          <w:lang w:val="fr-CA"/>
        </w:rPr>
      </w:pPr>
      <w:proofErr w:type="gramStart"/>
      <w:r w:rsidRPr="00086872">
        <w:rPr>
          <w:lang w:val="fr-CA"/>
        </w:rPr>
        <w:t>c</w:t>
      </w:r>
      <w:proofErr w:type="gramEnd"/>
      <w:r w:rsidRPr="00086872">
        <w:rPr>
          <w:lang w:val="fr-CA"/>
        </w:rPr>
        <w:t>.</w:t>
      </w:r>
    </w:p>
    <w:p w:rsidR="00E61CCD" w:rsidRPr="00086872" w:rsidRDefault="00914AB1" w:rsidP="00861E81">
      <w:pPr>
        <w:pStyle w:val="SCCLsocLastPartyInRole"/>
        <w:widowControl w:val="0"/>
        <w:rPr>
          <w:lang w:val="fr-CA"/>
        </w:rPr>
      </w:pPr>
      <w:r w:rsidRPr="00086872">
        <w:rPr>
          <w:lang w:val="fr-CA"/>
        </w:rPr>
        <w:t>Procureur général du Canada</w:t>
      </w:r>
      <w:r w:rsidRPr="00086872">
        <w:rPr>
          <w:rStyle w:val="SCCLsocPartyRole"/>
          <w:lang w:val="fr-CA"/>
        </w:rPr>
        <w:tab/>
        <w:t>Intimé</w:t>
      </w:r>
    </w:p>
    <w:p w:rsidR="00E61CCD" w:rsidRPr="00417790" w:rsidRDefault="00914AB1" w:rsidP="00861E81">
      <w:pPr>
        <w:pStyle w:val="SCCLsocSubfileSeparator"/>
        <w:widowControl w:val="0"/>
        <w:rPr>
          <w:lang w:val="fr-CA"/>
        </w:rPr>
      </w:pPr>
      <w:r w:rsidRPr="00417790">
        <w:rPr>
          <w:lang w:val="fr-CA"/>
        </w:rPr>
        <w:t>- et -</w:t>
      </w:r>
    </w:p>
    <w:p w:rsidR="00CD1C6E" w:rsidRPr="00CD1C6E" w:rsidRDefault="00CD1C6E" w:rsidP="00861E81">
      <w:pPr>
        <w:pStyle w:val="SCCLsocParty"/>
        <w:widowControl w:val="0"/>
        <w:rPr>
          <w:lang w:val="fr-CA"/>
        </w:rPr>
      </w:pPr>
      <w:r w:rsidRPr="00CD1C6E">
        <w:rPr>
          <w:lang w:val="fr-CA"/>
        </w:rPr>
        <w:t xml:space="preserve">Lee Carter, </w:t>
      </w:r>
      <w:proofErr w:type="spellStart"/>
      <w:r w:rsidRPr="00CD1C6E">
        <w:rPr>
          <w:lang w:val="fr-CA"/>
        </w:rPr>
        <w:t>Hollis</w:t>
      </w:r>
      <w:proofErr w:type="spellEnd"/>
      <w:r w:rsidRPr="00CD1C6E">
        <w:rPr>
          <w:lang w:val="fr-CA"/>
        </w:rPr>
        <w:t xml:space="preserve"> Johnson, William </w:t>
      </w:r>
      <w:proofErr w:type="spellStart"/>
      <w:r w:rsidRPr="00CD1C6E">
        <w:rPr>
          <w:lang w:val="fr-CA"/>
        </w:rPr>
        <w:t>Shoichet</w:t>
      </w:r>
      <w:proofErr w:type="spellEnd"/>
      <w:r w:rsidRPr="00CD1C6E">
        <w:rPr>
          <w:lang w:val="fr-CA"/>
        </w:rPr>
        <w:t xml:space="preserve">, Association des </w:t>
      </w:r>
    </w:p>
    <w:p w:rsidR="00E61CCD" w:rsidRPr="00CD1C6E" w:rsidRDefault="00CD1C6E" w:rsidP="00861E81">
      <w:pPr>
        <w:pStyle w:val="SCCLsocLastPartyInRole"/>
        <w:widowControl w:val="0"/>
        <w:rPr>
          <w:lang w:val="fr-CA"/>
        </w:rPr>
      </w:pPr>
      <w:proofErr w:type="gramStart"/>
      <w:r w:rsidRPr="00CD1C6E">
        <w:rPr>
          <w:lang w:val="fr-CA"/>
        </w:rPr>
        <w:t>libertés</w:t>
      </w:r>
      <w:proofErr w:type="gramEnd"/>
      <w:r w:rsidRPr="00CD1C6E">
        <w:rPr>
          <w:lang w:val="fr-CA"/>
        </w:rPr>
        <w:t xml:space="preserve"> civiles de la Colombie-Britannique et Gloria Taylor</w:t>
      </w:r>
      <w:r w:rsidR="00914AB1" w:rsidRPr="00CD1C6E">
        <w:rPr>
          <w:rStyle w:val="SCCLsocPartyRole"/>
          <w:lang w:val="fr-CA"/>
        </w:rPr>
        <w:tab/>
        <w:t>Appelants</w:t>
      </w:r>
    </w:p>
    <w:p w:rsidR="00E61CCD" w:rsidRPr="00086872" w:rsidRDefault="00914AB1" w:rsidP="00861E81">
      <w:pPr>
        <w:pStyle w:val="SCCLsocVersus"/>
        <w:widowControl w:val="0"/>
        <w:rPr>
          <w:lang w:val="fr-CA"/>
        </w:rPr>
      </w:pPr>
      <w:proofErr w:type="gramStart"/>
      <w:r w:rsidRPr="00086872">
        <w:rPr>
          <w:lang w:val="fr-CA"/>
        </w:rPr>
        <w:t>c</w:t>
      </w:r>
      <w:proofErr w:type="gramEnd"/>
      <w:r w:rsidRPr="00086872">
        <w:rPr>
          <w:lang w:val="fr-CA"/>
        </w:rPr>
        <w:t>.</w:t>
      </w:r>
    </w:p>
    <w:p w:rsidR="00E61CCD" w:rsidRPr="00086872" w:rsidRDefault="00914AB1" w:rsidP="00861E81">
      <w:pPr>
        <w:pStyle w:val="SCCLsocParty"/>
        <w:widowControl w:val="0"/>
        <w:rPr>
          <w:lang w:val="fr-CA"/>
        </w:rPr>
      </w:pPr>
      <w:r w:rsidRPr="00086872">
        <w:rPr>
          <w:lang w:val="fr-CA"/>
        </w:rPr>
        <w:t>Procureur général du Canada</w:t>
      </w:r>
      <w:r w:rsidR="00CD1C6E">
        <w:rPr>
          <w:lang w:val="fr-CA"/>
        </w:rPr>
        <w:t xml:space="preserve"> et</w:t>
      </w:r>
    </w:p>
    <w:p w:rsidR="00E61CCD" w:rsidRPr="00086872" w:rsidRDefault="00CD1C6E" w:rsidP="00861E81">
      <w:pPr>
        <w:pStyle w:val="SCCLsocLastPartyInRole"/>
        <w:widowControl w:val="0"/>
        <w:rPr>
          <w:lang w:val="fr-CA"/>
        </w:rPr>
      </w:pPr>
      <w:proofErr w:type="gramStart"/>
      <w:r>
        <w:rPr>
          <w:lang w:val="fr-CA"/>
        </w:rPr>
        <w:t>p</w:t>
      </w:r>
      <w:r w:rsidR="00914AB1" w:rsidRPr="00086872">
        <w:rPr>
          <w:lang w:val="fr-CA"/>
        </w:rPr>
        <w:t>rocureur</w:t>
      </w:r>
      <w:proofErr w:type="gramEnd"/>
      <w:r w:rsidR="00914AB1" w:rsidRPr="00086872">
        <w:rPr>
          <w:lang w:val="fr-CA"/>
        </w:rPr>
        <w:t xml:space="preserve"> général de la Colombie-Britannique</w:t>
      </w:r>
      <w:r w:rsidR="00914AB1" w:rsidRPr="00086872">
        <w:rPr>
          <w:rStyle w:val="SCCLsocPartyRole"/>
          <w:lang w:val="fr-CA"/>
        </w:rPr>
        <w:tab/>
        <w:t>Intimés</w:t>
      </w:r>
    </w:p>
    <w:p w:rsidR="00E61CCD" w:rsidRPr="00086872" w:rsidRDefault="00914AB1" w:rsidP="00861E81">
      <w:pPr>
        <w:pStyle w:val="SCCLsocOtherPartySeparator"/>
        <w:widowControl w:val="0"/>
        <w:rPr>
          <w:lang w:val="fr-CA"/>
        </w:rPr>
      </w:pPr>
      <w:proofErr w:type="gramStart"/>
      <w:r w:rsidRPr="00086872">
        <w:rPr>
          <w:lang w:val="fr-CA"/>
        </w:rPr>
        <w:t>et</w:t>
      </w:r>
      <w:proofErr w:type="gramEnd"/>
    </w:p>
    <w:p w:rsidR="00E61CCD" w:rsidRPr="00086872" w:rsidRDefault="00914AB1" w:rsidP="00861E81">
      <w:pPr>
        <w:pStyle w:val="SCCLsocParty"/>
        <w:widowControl w:val="0"/>
        <w:rPr>
          <w:lang w:val="fr-CA"/>
        </w:rPr>
      </w:pPr>
      <w:r w:rsidRPr="00086872">
        <w:rPr>
          <w:lang w:val="fr-CA"/>
        </w:rPr>
        <w:t>Procureur général de l</w:t>
      </w:r>
      <w:r w:rsidR="00C6591A">
        <w:rPr>
          <w:lang w:val="fr-CA"/>
        </w:rPr>
        <w:t>’</w:t>
      </w:r>
      <w:r w:rsidRPr="00086872">
        <w:rPr>
          <w:lang w:val="fr-CA"/>
        </w:rPr>
        <w:t>Ontario,</w:t>
      </w:r>
    </w:p>
    <w:p w:rsidR="00E61CCD" w:rsidRPr="00CD1C6E" w:rsidRDefault="00CD1C6E" w:rsidP="00861E81">
      <w:pPr>
        <w:pStyle w:val="SCCLsocParty"/>
        <w:widowControl w:val="0"/>
        <w:rPr>
          <w:lang w:val="fr-CA"/>
        </w:rPr>
      </w:pPr>
      <w:proofErr w:type="gramStart"/>
      <w:r w:rsidRPr="00CD1C6E">
        <w:rPr>
          <w:lang w:val="fr-CA"/>
        </w:rPr>
        <w:t>p</w:t>
      </w:r>
      <w:r w:rsidR="00914AB1" w:rsidRPr="00CD1C6E">
        <w:rPr>
          <w:lang w:val="fr-CA"/>
        </w:rPr>
        <w:t>rocureure</w:t>
      </w:r>
      <w:proofErr w:type="gramEnd"/>
      <w:r w:rsidR="00914AB1" w:rsidRPr="00CD1C6E">
        <w:rPr>
          <w:lang w:val="fr-CA"/>
        </w:rPr>
        <w:t xml:space="preserve"> général</w:t>
      </w:r>
      <w:r w:rsidR="005A2DEE">
        <w:rPr>
          <w:lang w:val="fr-CA"/>
        </w:rPr>
        <w:t>e</w:t>
      </w:r>
      <w:r w:rsidR="00914AB1" w:rsidRPr="00CD1C6E">
        <w:rPr>
          <w:lang w:val="fr-CA"/>
        </w:rPr>
        <w:t xml:space="preserve"> du Québec,</w:t>
      </w:r>
    </w:p>
    <w:p w:rsidR="00CD1C6E" w:rsidRPr="00CD1C6E" w:rsidRDefault="00CD1C6E" w:rsidP="00861E81">
      <w:pPr>
        <w:pStyle w:val="SCCLsocParty"/>
        <w:widowControl w:val="0"/>
        <w:rPr>
          <w:lang w:val="fr-CA"/>
        </w:rPr>
      </w:pPr>
      <w:r w:rsidRPr="00CD1C6E">
        <w:rPr>
          <w:lang w:val="fr-CA"/>
        </w:rPr>
        <w:t>Conseil des Canadiens avec déficiences,</w:t>
      </w:r>
    </w:p>
    <w:p w:rsidR="00CD1C6E" w:rsidRPr="00CD1C6E" w:rsidRDefault="00CD1C6E" w:rsidP="00861E81">
      <w:pPr>
        <w:pStyle w:val="SCCLsocParty"/>
        <w:widowControl w:val="0"/>
        <w:rPr>
          <w:lang w:val="fr-CA"/>
        </w:rPr>
      </w:pPr>
      <w:r w:rsidRPr="00CD1C6E">
        <w:rPr>
          <w:lang w:val="fr-CA"/>
        </w:rPr>
        <w:t>Association canadienne pour l’intégration communautaire,</w:t>
      </w:r>
    </w:p>
    <w:p w:rsidR="00CD1C6E" w:rsidRPr="00CD1C6E" w:rsidRDefault="00CD1C6E" w:rsidP="00861E81">
      <w:pPr>
        <w:pStyle w:val="SCCLsocParty"/>
        <w:widowControl w:val="0"/>
        <w:rPr>
          <w:lang w:val="fr-CA"/>
        </w:rPr>
      </w:pPr>
      <w:r w:rsidRPr="00CD1C6E">
        <w:rPr>
          <w:lang w:val="fr-CA"/>
        </w:rPr>
        <w:t>Alliance des chrétiens en droit,</w:t>
      </w:r>
    </w:p>
    <w:p w:rsidR="00CD1C6E" w:rsidRDefault="00CD1C6E" w:rsidP="00861E81">
      <w:pPr>
        <w:pStyle w:val="SCCLsocParty"/>
        <w:widowControl w:val="0"/>
        <w:rPr>
          <w:lang w:val="fr-CA"/>
        </w:rPr>
      </w:pPr>
      <w:r w:rsidRPr="00CD1C6E">
        <w:rPr>
          <w:lang w:val="fr-CA"/>
        </w:rPr>
        <w:t>Réseau juridique canadien VIH/sida</w:t>
      </w:r>
      <w:r>
        <w:rPr>
          <w:lang w:val="fr-CA"/>
        </w:rPr>
        <w:t>,</w:t>
      </w:r>
    </w:p>
    <w:p w:rsidR="00E61CCD" w:rsidRPr="00CD1C6E" w:rsidRDefault="00914AB1" w:rsidP="00861E81">
      <w:pPr>
        <w:pStyle w:val="SCCLsocParty"/>
        <w:widowControl w:val="0"/>
      </w:pPr>
      <w:r w:rsidRPr="00CD1C6E">
        <w:t>H</w:t>
      </w:r>
      <w:r w:rsidR="00CD1C6E" w:rsidRPr="00CD1C6E">
        <w:t>IV &amp; AIDS Legal Clinic Ontario</w:t>
      </w:r>
      <w:r w:rsidRPr="00CD1C6E">
        <w:t>,</w:t>
      </w:r>
    </w:p>
    <w:p w:rsidR="00E61CCD" w:rsidRDefault="00914AB1" w:rsidP="00861E81">
      <w:pPr>
        <w:pStyle w:val="SCCLsocParty"/>
        <w:widowControl w:val="0"/>
      </w:pPr>
      <w:r>
        <w:t>Association for Reformed Political Action Canada,</w:t>
      </w:r>
    </w:p>
    <w:p w:rsidR="00E61CCD" w:rsidRPr="00086872" w:rsidRDefault="00914AB1" w:rsidP="00861E81">
      <w:pPr>
        <w:pStyle w:val="SCCLsocParty"/>
        <w:widowControl w:val="0"/>
        <w:rPr>
          <w:lang w:val="fr-CA"/>
        </w:rPr>
      </w:pPr>
      <w:r w:rsidRPr="00086872">
        <w:rPr>
          <w:lang w:val="fr-CA"/>
        </w:rPr>
        <w:t>Collectif des médecins contre l</w:t>
      </w:r>
      <w:r w:rsidR="00C6591A">
        <w:rPr>
          <w:lang w:val="fr-CA"/>
        </w:rPr>
        <w:t>’</w:t>
      </w:r>
      <w:r w:rsidRPr="00086872">
        <w:rPr>
          <w:lang w:val="fr-CA"/>
        </w:rPr>
        <w:t>euthanasie,</w:t>
      </w:r>
    </w:p>
    <w:p w:rsidR="00E61CCD" w:rsidRDefault="00CD1C6E" w:rsidP="00861E81">
      <w:pPr>
        <w:pStyle w:val="SCCLsocParty"/>
        <w:widowControl w:val="0"/>
      </w:pPr>
      <w:r w:rsidRPr="00CD1C6E">
        <w:t xml:space="preserve">Alliance </w:t>
      </w:r>
      <w:proofErr w:type="spellStart"/>
      <w:r w:rsidRPr="00CD1C6E">
        <w:t>évangélique</w:t>
      </w:r>
      <w:proofErr w:type="spellEnd"/>
      <w:r w:rsidRPr="00CD1C6E">
        <w:t xml:space="preserve"> du Canada</w:t>
      </w:r>
      <w:r w:rsidR="00914AB1">
        <w:t>,</w:t>
      </w:r>
    </w:p>
    <w:p w:rsidR="00E61CCD" w:rsidRDefault="00914AB1" w:rsidP="00861E81">
      <w:pPr>
        <w:pStyle w:val="SCCLsocParty"/>
        <w:widowControl w:val="0"/>
      </w:pPr>
      <w:r>
        <w:t>Christian Medical and Dental Society of Canada,</w:t>
      </w:r>
    </w:p>
    <w:p w:rsidR="00E61CCD" w:rsidRDefault="00914AB1" w:rsidP="00861E81">
      <w:pPr>
        <w:pStyle w:val="SCCLsocParty"/>
        <w:widowControl w:val="0"/>
      </w:pPr>
      <w:r>
        <w:t>Canadian Federation of Catholic Physicians</w:t>
      </w:r>
      <w:r w:rsidR="00C6591A">
        <w:t>’</w:t>
      </w:r>
      <w:r>
        <w:t xml:space="preserve"> Societies,</w:t>
      </w:r>
    </w:p>
    <w:p w:rsidR="00E61CCD" w:rsidRDefault="00CD1C6E" w:rsidP="00861E81">
      <w:pPr>
        <w:pStyle w:val="SCCLsocParty"/>
        <w:widowControl w:val="0"/>
      </w:pPr>
      <w:r>
        <w:t>Dying W</w:t>
      </w:r>
      <w:r w:rsidR="00914AB1">
        <w:t>ith Dignity,</w:t>
      </w:r>
    </w:p>
    <w:p w:rsidR="00CD1C6E" w:rsidRDefault="00CD1C6E" w:rsidP="00861E81">
      <w:pPr>
        <w:pStyle w:val="SCCLsocParty"/>
        <w:widowControl w:val="0"/>
      </w:pPr>
      <w:r>
        <w:t xml:space="preserve">Association </w:t>
      </w:r>
      <w:proofErr w:type="spellStart"/>
      <w:r>
        <w:t>médicale</w:t>
      </w:r>
      <w:proofErr w:type="spellEnd"/>
      <w:r>
        <w:t xml:space="preserve"> </w:t>
      </w:r>
      <w:proofErr w:type="spellStart"/>
      <w:r>
        <w:t>canadienne</w:t>
      </w:r>
      <w:proofErr w:type="spellEnd"/>
      <w:r>
        <w:t>,</w:t>
      </w:r>
    </w:p>
    <w:p w:rsidR="00E61CCD" w:rsidRPr="00CD1C6E" w:rsidRDefault="00CD1C6E" w:rsidP="00861E81">
      <w:pPr>
        <w:pStyle w:val="SCCLsocParty"/>
        <w:widowControl w:val="0"/>
        <w:rPr>
          <w:lang w:val="fr-CA"/>
        </w:rPr>
      </w:pPr>
      <w:r w:rsidRPr="00CD1C6E">
        <w:rPr>
          <w:lang w:val="fr-CA"/>
        </w:rPr>
        <w:t>Alliance catholique canadienne de la santé</w:t>
      </w:r>
      <w:r w:rsidR="00914AB1" w:rsidRPr="00CD1C6E">
        <w:rPr>
          <w:lang w:val="fr-CA"/>
        </w:rPr>
        <w:t>,</w:t>
      </w:r>
    </w:p>
    <w:p w:rsidR="00E61CCD" w:rsidRPr="00CD1C6E" w:rsidRDefault="00914AB1" w:rsidP="00861E81">
      <w:pPr>
        <w:pStyle w:val="SCCLsocParty"/>
        <w:widowControl w:val="0"/>
      </w:pPr>
      <w:r w:rsidRPr="00CD1C6E">
        <w:t>Criminal Lawyers</w:t>
      </w:r>
      <w:r w:rsidR="00C6591A" w:rsidRPr="00CD1C6E">
        <w:t>’</w:t>
      </w:r>
      <w:r w:rsidRPr="00CD1C6E">
        <w:t xml:space="preserve"> Association (Ontario),</w:t>
      </w:r>
    </w:p>
    <w:p w:rsidR="00E61CCD" w:rsidRPr="00CD1C6E" w:rsidRDefault="00CD1C6E" w:rsidP="00861E81">
      <w:pPr>
        <w:pStyle w:val="SCCLsocParty"/>
        <w:widowControl w:val="0"/>
      </w:pPr>
      <w:r w:rsidRPr="00CD1C6E">
        <w:t>Farewell Foundation for the Right to Die</w:t>
      </w:r>
      <w:r w:rsidR="00914AB1" w:rsidRPr="00CD1C6E">
        <w:t>,</w:t>
      </w:r>
    </w:p>
    <w:p w:rsidR="00E61CCD" w:rsidRPr="00086872" w:rsidRDefault="00914AB1" w:rsidP="00861E81">
      <w:pPr>
        <w:pStyle w:val="SCCLsocParty"/>
        <w:widowControl w:val="0"/>
        <w:rPr>
          <w:lang w:val="fr-CA"/>
        </w:rPr>
      </w:pPr>
      <w:r w:rsidRPr="00086872">
        <w:rPr>
          <w:lang w:val="fr-CA"/>
        </w:rPr>
        <w:t>Association québécoise pour le droit de mourir dans la dignité,</w:t>
      </w:r>
    </w:p>
    <w:p w:rsidR="00CD1C6E" w:rsidRPr="00CD1C6E" w:rsidRDefault="00CD1C6E" w:rsidP="00861E81">
      <w:pPr>
        <w:pStyle w:val="SCCLsocParty"/>
        <w:widowControl w:val="0"/>
        <w:rPr>
          <w:lang w:val="fr-CA"/>
        </w:rPr>
      </w:pPr>
      <w:r w:rsidRPr="00CD1C6E">
        <w:rPr>
          <w:lang w:val="fr-CA"/>
        </w:rPr>
        <w:t>Association canadienne des libertés civiles,</w:t>
      </w:r>
    </w:p>
    <w:p w:rsidR="00E61CCD" w:rsidRPr="00CD1C6E" w:rsidRDefault="00CD1C6E" w:rsidP="00861E81">
      <w:pPr>
        <w:pStyle w:val="SCCLsocParty"/>
        <w:widowControl w:val="0"/>
        <w:rPr>
          <w:lang w:val="fr-CA"/>
        </w:rPr>
      </w:pPr>
      <w:r w:rsidRPr="00CD1C6E">
        <w:rPr>
          <w:lang w:val="fr-CA"/>
        </w:rPr>
        <w:t>Ligue catholique des droits de l’homme</w:t>
      </w:r>
      <w:r w:rsidR="00914AB1" w:rsidRPr="00CD1C6E">
        <w:rPr>
          <w:lang w:val="fr-CA"/>
        </w:rPr>
        <w:t>,</w:t>
      </w:r>
    </w:p>
    <w:p w:rsidR="00CD1C6E" w:rsidRDefault="00914AB1" w:rsidP="00861E81">
      <w:pPr>
        <w:pStyle w:val="SCCLsocParty"/>
        <w:widowControl w:val="0"/>
      </w:pPr>
      <w:r>
        <w:t>Faith and Freedom Alliance</w:t>
      </w:r>
      <w:r w:rsidR="00CD1C6E">
        <w:t>,</w:t>
      </w:r>
    </w:p>
    <w:p w:rsidR="00E61CCD" w:rsidRDefault="00914AB1" w:rsidP="00861E81">
      <w:pPr>
        <w:pStyle w:val="SCCLsocParty"/>
        <w:widowControl w:val="0"/>
      </w:pPr>
      <w:r>
        <w:t>Protection of Conscience Project,</w:t>
      </w:r>
    </w:p>
    <w:p w:rsidR="00CD1C6E" w:rsidRDefault="00914AB1" w:rsidP="00861E81">
      <w:pPr>
        <w:pStyle w:val="SCCLsocParty"/>
        <w:widowControl w:val="0"/>
      </w:pPr>
      <w:r>
        <w:t xml:space="preserve">Alliance </w:t>
      </w:r>
      <w:r w:rsidR="00CD1C6E">
        <w:t>o</w:t>
      </w:r>
      <w:r>
        <w:t xml:space="preserve">f People </w:t>
      </w:r>
      <w:proofErr w:type="gramStart"/>
      <w:r>
        <w:t>With</w:t>
      </w:r>
      <w:proofErr w:type="gramEnd"/>
      <w:r>
        <w:t xml:space="preserve"> Disabilities Who </w:t>
      </w:r>
      <w:r w:rsidR="00CD1C6E">
        <w:t>a</w:t>
      </w:r>
      <w:r>
        <w:t xml:space="preserve">re Supportive </w:t>
      </w:r>
    </w:p>
    <w:p w:rsidR="00E61CCD" w:rsidRDefault="00914AB1" w:rsidP="00861E81">
      <w:pPr>
        <w:pStyle w:val="SCCLsocParty"/>
        <w:widowControl w:val="0"/>
      </w:pPr>
      <w:proofErr w:type="gramStart"/>
      <w:r>
        <w:t>of</w:t>
      </w:r>
      <w:proofErr w:type="gramEnd"/>
      <w:r>
        <w:t xml:space="preserve"> Legal Assisted Dying Society,</w:t>
      </w:r>
    </w:p>
    <w:p w:rsidR="00CD1C6E" w:rsidRPr="00417790" w:rsidRDefault="00CD1C6E" w:rsidP="00861E81">
      <w:pPr>
        <w:pStyle w:val="SCCLsocParty"/>
        <w:widowControl w:val="0"/>
        <w:rPr>
          <w:lang w:val="fr-CA"/>
        </w:rPr>
      </w:pPr>
      <w:r w:rsidRPr="00417790">
        <w:rPr>
          <w:lang w:val="fr-CA"/>
        </w:rPr>
        <w:t>Conseil unitarien du Canada,</w:t>
      </w:r>
    </w:p>
    <w:p w:rsidR="00CD1C6E" w:rsidRDefault="00CD1C6E" w:rsidP="00861E81">
      <w:pPr>
        <w:pStyle w:val="SCCLsocParty"/>
        <w:widowControl w:val="0"/>
        <w:rPr>
          <w:lang w:val="fr-CA"/>
        </w:rPr>
      </w:pPr>
      <w:r w:rsidRPr="00CD1C6E">
        <w:rPr>
          <w:lang w:val="fr-CA"/>
        </w:rPr>
        <w:t xml:space="preserve">Coalition pour la prévention de l’euthanasie </w:t>
      </w:r>
      <w:r>
        <w:rPr>
          <w:lang w:val="fr-CA"/>
        </w:rPr>
        <w:t xml:space="preserve">et </w:t>
      </w:r>
    </w:p>
    <w:p w:rsidR="00E61CCD" w:rsidRPr="00CD1C6E" w:rsidRDefault="00914AB1" w:rsidP="00861E81">
      <w:pPr>
        <w:pStyle w:val="SCCLsocLastPartyInRole"/>
        <w:widowControl w:val="0"/>
        <w:contextualSpacing/>
      </w:pPr>
      <w:r w:rsidRPr="00CD1C6E">
        <w:t xml:space="preserve">Euthanasia Prevention Coalition </w:t>
      </w:r>
      <w:r w:rsidR="00CD1C6E">
        <w:t>—</w:t>
      </w:r>
      <w:r w:rsidRPr="00CD1C6E">
        <w:t xml:space="preserve"> British Columbia</w:t>
      </w:r>
      <w:r w:rsidRPr="00CD1C6E">
        <w:rPr>
          <w:rStyle w:val="SCCLsocPartyRole"/>
        </w:rPr>
        <w:tab/>
      </w:r>
      <w:proofErr w:type="spellStart"/>
      <w:r w:rsidRPr="00CD1C6E">
        <w:rPr>
          <w:rStyle w:val="SCCLsocPartyRole"/>
        </w:rPr>
        <w:t>Intervenants</w:t>
      </w:r>
      <w:proofErr w:type="spellEnd"/>
    </w:p>
    <w:p w:rsidR="004D7D95" w:rsidRPr="00086872" w:rsidRDefault="0002075D" w:rsidP="00861E81">
      <w:pPr>
        <w:widowControl w:val="0"/>
        <w:spacing w:after="720"/>
        <w:jc w:val="both"/>
        <w:rPr>
          <w:b/>
          <w:lang w:val="fr-CA"/>
        </w:rPr>
      </w:pPr>
      <w:r>
        <w:rPr>
          <w:b/>
          <w:lang w:val="fr-CA"/>
        </w:rPr>
        <w:t>Répertorié : </w:t>
      </w:r>
      <w:r w:rsidR="004D7D95" w:rsidRPr="00086872">
        <w:rPr>
          <w:rStyle w:val="SCCAppellantForIndexChar"/>
          <w:lang w:val="fr-CA"/>
        </w:rPr>
        <w:t>Carter</w:t>
      </w:r>
      <w:r w:rsidR="004D7D95" w:rsidRPr="00BB4C92">
        <w:rPr>
          <w:b/>
          <w:lang w:val="fr-CA"/>
        </w:rPr>
        <w:t xml:space="preserve"> </w:t>
      </w:r>
      <w:r w:rsidR="004D7D95" w:rsidRPr="00BB4C92">
        <w:rPr>
          <w:b/>
          <w:i/>
          <w:lang w:val="fr-CA"/>
        </w:rPr>
        <w:t>c.</w:t>
      </w:r>
      <w:r w:rsidR="004D7D95" w:rsidRPr="00BB4C92">
        <w:rPr>
          <w:b/>
          <w:lang w:val="fr-CA"/>
        </w:rPr>
        <w:t xml:space="preserve"> </w:t>
      </w:r>
      <w:r>
        <w:rPr>
          <w:b/>
          <w:lang w:val="fr-CA"/>
        </w:rPr>
        <w:t>Canada (</w:t>
      </w:r>
      <w:r w:rsidR="004D7D95" w:rsidRPr="00086872">
        <w:rPr>
          <w:rStyle w:val="SCCRespondentForIndexChar"/>
          <w:lang w:val="fr-CA"/>
        </w:rPr>
        <w:t>Procureur général</w:t>
      </w:r>
      <w:r>
        <w:rPr>
          <w:rStyle w:val="SCCRespondentForIndexChar"/>
          <w:lang w:val="fr-CA"/>
        </w:rPr>
        <w:t>)</w:t>
      </w:r>
    </w:p>
    <w:p w:rsidR="004D7D95" w:rsidRPr="00086872" w:rsidRDefault="00D17B0E" w:rsidP="00861E81">
      <w:pPr>
        <w:pStyle w:val="SCCSystemYear"/>
        <w:widowControl w:val="0"/>
        <w:spacing w:after="720"/>
        <w:jc w:val="both"/>
        <w:rPr>
          <w:lang w:val="fr-CA"/>
        </w:rPr>
      </w:pPr>
      <w:r w:rsidRPr="00086872">
        <w:rPr>
          <w:lang w:val="fr-CA"/>
        </w:rPr>
        <w:t>2016</w:t>
      </w:r>
      <w:r w:rsidR="004D7D95" w:rsidRPr="00086872">
        <w:rPr>
          <w:lang w:val="fr-CA"/>
        </w:rPr>
        <w:t xml:space="preserve"> CSC </w:t>
      </w:r>
      <w:r w:rsidR="00AE2D6D">
        <w:rPr>
          <w:lang w:val="fr-CA"/>
        </w:rPr>
        <w:t>4</w:t>
      </w:r>
    </w:p>
    <w:p w:rsidR="004D7D95" w:rsidRPr="00086872" w:rsidRDefault="004D7D95" w:rsidP="00861E81">
      <w:pPr>
        <w:widowControl w:val="0"/>
        <w:spacing w:after="720"/>
        <w:jc w:val="both"/>
        <w:rPr>
          <w:lang w:val="fr-CA"/>
        </w:rPr>
      </w:pPr>
      <w:r w:rsidRPr="00086872">
        <w:rPr>
          <w:lang w:val="fr-CA"/>
        </w:rPr>
        <w:t>N</w:t>
      </w:r>
      <w:r w:rsidRPr="00086872">
        <w:rPr>
          <w:vertAlign w:val="superscript"/>
          <w:lang w:val="fr-CA"/>
        </w:rPr>
        <w:t>o</w:t>
      </w:r>
      <w:r w:rsidRPr="00086872">
        <w:rPr>
          <w:lang w:val="fr-CA"/>
        </w:rPr>
        <w:t xml:space="preserve"> du greffe : 35591.</w:t>
      </w:r>
    </w:p>
    <w:p w:rsidR="004D7D95" w:rsidRPr="00086872" w:rsidRDefault="00D17B0E" w:rsidP="00861E81">
      <w:pPr>
        <w:widowControl w:val="0"/>
        <w:spacing w:after="720"/>
        <w:jc w:val="both"/>
        <w:rPr>
          <w:lang w:val="fr-CA"/>
        </w:rPr>
      </w:pPr>
      <w:r w:rsidRPr="00086872">
        <w:rPr>
          <w:lang w:val="fr-CA"/>
        </w:rPr>
        <w:t>201</w:t>
      </w:r>
      <w:r w:rsidR="0002075D">
        <w:rPr>
          <w:lang w:val="fr-CA"/>
        </w:rPr>
        <w:t>6 </w:t>
      </w:r>
      <w:r w:rsidRPr="00086872">
        <w:rPr>
          <w:lang w:val="fr-CA"/>
        </w:rPr>
        <w:t>:</w:t>
      </w:r>
      <w:r w:rsidR="0002075D">
        <w:rPr>
          <w:lang w:val="fr-CA"/>
        </w:rPr>
        <w:t> </w:t>
      </w:r>
      <w:r w:rsidRPr="00086872">
        <w:rPr>
          <w:lang w:val="fr-CA"/>
        </w:rPr>
        <w:t>1</w:t>
      </w:r>
      <w:r w:rsidR="0002075D">
        <w:rPr>
          <w:lang w:val="fr-CA"/>
        </w:rPr>
        <w:t>1</w:t>
      </w:r>
      <w:r w:rsidRPr="00086872">
        <w:rPr>
          <w:lang w:val="fr-CA"/>
        </w:rPr>
        <w:t xml:space="preserve"> </w:t>
      </w:r>
      <w:r w:rsidR="0002075D">
        <w:rPr>
          <w:lang w:val="fr-CA"/>
        </w:rPr>
        <w:t>janvier</w:t>
      </w:r>
      <w:r w:rsidR="004D7D95" w:rsidRPr="00086872">
        <w:rPr>
          <w:lang w:val="fr-CA"/>
        </w:rPr>
        <w:t xml:space="preserve">; </w:t>
      </w:r>
      <w:r w:rsidR="0002075D">
        <w:rPr>
          <w:lang w:val="fr-CA"/>
        </w:rPr>
        <w:t>2</w:t>
      </w:r>
      <w:r w:rsidRPr="00086872">
        <w:rPr>
          <w:lang w:val="fr-CA"/>
        </w:rPr>
        <w:t>01</w:t>
      </w:r>
      <w:r w:rsidR="0002075D">
        <w:rPr>
          <w:lang w:val="fr-CA"/>
        </w:rPr>
        <w:t>6 </w:t>
      </w:r>
      <w:r w:rsidRPr="00086872">
        <w:rPr>
          <w:lang w:val="fr-CA"/>
        </w:rPr>
        <w:t>:</w:t>
      </w:r>
      <w:r w:rsidR="0002075D">
        <w:rPr>
          <w:lang w:val="fr-CA"/>
        </w:rPr>
        <w:t> </w:t>
      </w:r>
      <w:r w:rsidR="005E2BAC">
        <w:rPr>
          <w:lang w:val="fr-CA"/>
        </w:rPr>
        <w:t>15</w:t>
      </w:r>
      <w:r w:rsidRPr="00086872">
        <w:rPr>
          <w:lang w:val="fr-CA"/>
        </w:rPr>
        <w:t xml:space="preserve"> </w:t>
      </w:r>
      <w:r w:rsidR="0002075D">
        <w:rPr>
          <w:lang w:val="fr-CA"/>
        </w:rPr>
        <w:t>janvier</w:t>
      </w:r>
      <w:r w:rsidR="004D7D95" w:rsidRPr="00086872">
        <w:rPr>
          <w:lang w:val="fr-CA"/>
        </w:rPr>
        <w:t>.</w:t>
      </w:r>
    </w:p>
    <w:p w:rsidR="004D7D95" w:rsidRPr="00086872" w:rsidRDefault="004D7D95" w:rsidP="00861E81">
      <w:pPr>
        <w:widowControl w:val="0"/>
        <w:spacing w:after="720"/>
        <w:jc w:val="both"/>
        <w:rPr>
          <w:lang w:val="fr-CA"/>
        </w:rPr>
      </w:pPr>
      <w:r w:rsidRPr="00086872">
        <w:rPr>
          <w:lang w:val="fr-CA"/>
        </w:rPr>
        <w:t xml:space="preserve">Présents : La juge en chef McLachlin et les juges </w:t>
      </w:r>
      <w:r w:rsidR="0002075D" w:rsidRPr="0002075D">
        <w:rPr>
          <w:lang w:val="fr-CA"/>
        </w:rPr>
        <w:t xml:space="preserve">Abella, Cromwell, Moldaver, Karakatsanis, Wagner, Gascon, Côté </w:t>
      </w:r>
      <w:r w:rsidR="0002075D">
        <w:rPr>
          <w:lang w:val="fr-CA"/>
        </w:rPr>
        <w:t>et</w:t>
      </w:r>
      <w:r w:rsidR="0002075D" w:rsidRPr="0002075D">
        <w:rPr>
          <w:lang w:val="fr-CA"/>
        </w:rPr>
        <w:t xml:space="preserve"> Brown</w:t>
      </w:r>
      <w:r w:rsidRPr="00086872">
        <w:rPr>
          <w:lang w:val="fr-CA"/>
        </w:rPr>
        <w:t>.</w:t>
      </w:r>
    </w:p>
    <w:p w:rsidR="004D7D95" w:rsidRPr="0002075D" w:rsidRDefault="0002075D" w:rsidP="00861E81">
      <w:pPr>
        <w:widowControl w:val="0"/>
        <w:spacing w:after="720"/>
        <w:jc w:val="both"/>
        <w:rPr>
          <w:smallCaps/>
          <w:lang w:val="fr-CA"/>
        </w:rPr>
      </w:pPr>
      <w:r w:rsidRPr="00E53E53">
        <w:rPr>
          <w:smallCaps/>
          <w:lang w:val="fr-CA"/>
        </w:rPr>
        <w:t>requête en prorogation de</w:t>
      </w:r>
      <w:r w:rsidR="00E53E53" w:rsidRPr="00E53E53">
        <w:rPr>
          <w:smallCaps/>
          <w:lang w:val="fr-CA"/>
        </w:rPr>
        <w:t xml:space="preserve"> la</w:t>
      </w:r>
      <w:r w:rsidRPr="00E53E53">
        <w:rPr>
          <w:smallCaps/>
          <w:lang w:val="fr-CA"/>
        </w:rPr>
        <w:t xml:space="preserve"> suspension de</w:t>
      </w:r>
      <w:r w:rsidR="00E53E53" w:rsidRPr="00E53E53">
        <w:rPr>
          <w:smallCaps/>
          <w:lang w:val="fr-CA"/>
        </w:rPr>
        <w:t xml:space="preserve"> la prise d’effet d’une déclaration d</w:t>
      </w:r>
      <w:r w:rsidR="00C6591A" w:rsidRPr="00E53E53">
        <w:rPr>
          <w:smallCaps/>
          <w:lang w:val="fr-CA"/>
        </w:rPr>
        <w:t>’</w:t>
      </w:r>
      <w:r w:rsidRPr="00E53E53">
        <w:rPr>
          <w:smallCaps/>
          <w:lang w:val="fr-CA"/>
        </w:rPr>
        <w:t>in</w:t>
      </w:r>
      <w:r w:rsidR="00E53E53" w:rsidRPr="00E53E53">
        <w:rPr>
          <w:smallCaps/>
          <w:lang w:val="fr-CA"/>
        </w:rPr>
        <w:t xml:space="preserve">validité </w:t>
      </w:r>
      <w:r w:rsidRPr="00E53E53">
        <w:rPr>
          <w:smallCaps/>
          <w:lang w:val="fr-CA"/>
        </w:rPr>
        <w:t>constitution</w:t>
      </w:r>
      <w:r w:rsidR="00E53E53" w:rsidRPr="00E53E53">
        <w:rPr>
          <w:smallCaps/>
          <w:lang w:val="fr-CA"/>
        </w:rPr>
        <w:t>nelle</w:t>
      </w:r>
    </w:p>
    <w:p w:rsidR="004D7D95" w:rsidRPr="00FA32A2" w:rsidRDefault="004D7D95" w:rsidP="00861E81">
      <w:pPr>
        <w:pStyle w:val="SCCNormalDoubleSpacing"/>
        <w:widowControl w:val="0"/>
        <w:rPr>
          <w:i/>
          <w:lang w:val="fr-CA"/>
        </w:rPr>
      </w:pPr>
      <w:r w:rsidRPr="00BB4C92">
        <w:rPr>
          <w:lang w:val="fr-CA"/>
        </w:rPr>
        <w:tab/>
      </w:r>
      <w:r w:rsidR="00E53E53" w:rsidRPr="00FA32A2">
        <w:rPr>
          <w:i/>
          <w:lang w:val="fr-CA"/>
        </w:rPr>
        <w:t xml:space="preserve">Droit constitutionnel </w:t>
      </w:r>
      <w:r w:rsidR="006A1AB5" w:rsidRPr="00FA32A2">
        <w:rPr>
          <w:i/>
          <w:lang w:val="fr-CA"/>
        </w:rPr>
        <w:t xml:space="preserve">— </w:t>
      </w:r>
      <w:r w:rsidR="00E53E53" w:rsidRPr="00FA32A2">
        <w:rPr>
          <w:i/>
          <w:lang w:val="fr-CA"/>
        </w:rPr>
        <w:t xml:space="preserve">Charte des droits </w:t>
      </w:r>
      <w:r w:rsidR="006A1AB5" w:rsidRPr="00FA32A2">
        <w:rPr>
          <w:i/>
          <w:lang w:val="fr-CA"/>
        </w:rPr>
        <w:t>— R</w:t>
      </w:r>
      <w:r w:rsidR="00E53E53" w:rsidRPr="00FA32A2">
        <w:rPr>
          <w:i/>
          <w:lang w:val="fr-CA"/>
        </w:rPr>
        <w:t xml:space="preserve">éparation </w:t>
      </w:r>
      <w:r w:rsidR="006A1AB5" w:rsidRPr="00FA32A2">
        <w:rPr>
          <w:i/>
          <w:lang w:val="fr-CA"/>
        </w:rPr>
        <w:t xml:space="preserve">— </w:t>
      </w:r>
      <w:r w:rsidR="00742FCD" w:rsidRPr="00FA32A2">
        <w:rPr>
          <w:i/>
          <w:lang w:val="fr-CA"/>
        </w:rPr>
        <w:t xml:space="preserve">Jugements et ordonnances — </w:t>
      </w:r>
      <w:r w:rsidR="0033476F" w:rsidRPr="00FA32A2">
        <w:rPr>
          <w:i/>
          <w:lang w:val="fr-CA"/>
        </w:rPr>
        <w:t>Déclaration par la Cour, dans Carter c. Canada (Procureur général), selon laquelle les dispositions du Code criminel prohibant l’aide d’un médecin pour mourir sont inopérantes à certains égards et suspension de la prise d’effet de cette déclaration pour une période de 12 mois</w:t>
      </w:r>
      <w:r w:rsidR="00E53E53" w:rsidRPr="00FA32A2">
        <w:rPr>
          <w:i/>
          <w:lang w:val="fr-CA"/>
        </w:rPr>
        <w:t xml:space="preserve"> </w:t>
      </w:r>
      <w:r w:rsidR="006A1AB5" w:rsidRPr="00FA32A2">
        <w:rPr>
          <w:i/>
          <w:lang w:val="fr-CA"/>
        </w:rPr>
        <w:t xml:space="preserve">— </w:t>
      </w:r>
      <w:r w:rsidR="00FA32A2">
        <w:rPr>
          <w:i/>
          <w:lang w:val="fr-CA"/>
        </w:rPr>
        <w:t>Requête du p</w:t>
      </w:r>
      <w:r w:rsidR="00FA32A2" w:rsidRPr="00FA32A2">
        <w:rPr>
          <w:i/>
          <w:lang w:val="fr-CA"/>
        </w:rPr>
        <w:t>rocureur général du Canada sollicitant une prorogation de six mois de la suspension de la déclaration d’invalidité</w:t>
      </w:r>
      <w:r w:rsidR="00D90FD9">
        <w:rPr>
          <w:i/>
          <w:lang w:val="fr-CA"/>
        </w:rPr>
        <w:t xml:space="preserve"> </w:t>
      </w:r>
      <w:r w:rsidR="00FA32A2" w:rsidRPr="00FA32A2">
        <w:rPr>
          <w:i/>
          <w:lang w:val="fr-CA"/>
        </w:rPr>
        <w:t>— Prorogation de quatre mois justifiée en raison des délais occasionnés par la tenue d’une élection fédérale</w:t>
      </w:r>
      <w:r w:rsidR="00E53E53" w:rsidRPr="00FA32A2">
        <w:rPr>
          <w:i/>
          <w:lang w:val="fr-CA"/>
        </w:rPr>
        <w:t xml:space="preserve"> </w:t>
      </w:r>
      <w:r w:rsidR="006A1AB5" w:rsidRPr="00FA32A2">
        <w:rPr>
          <w:i/>
          <w:lang w:val="fr-CA"/>
        </w:rPr>
        <w:t xml:space="preserve">— </w:t>
      </w:r>
      <w:r w:rsidR="0033476F" w:rsidRPr="00FA32A2">
        <w:rPr>
          <w:i/>
          <w:lang w:val="fr-CA"/>
        </w:rPr>
        <w:t>Exemption de l’application de la prorogation accordée à la province</w:t>
      </w:r>
      <w:r w:rsidR="00742FCD" w:rsidRPr="00FA32A2">
        <w:rPr>
          <w:i/>
          <w:lang w:val="fr-CA"/>
        </w:rPr>
        <w:t xml:space="preserve"> de</w:t>
      </w:r>
      <w:r w:rsidR="00E53E53" w:rsidRPr="00FA32A2">
        <w:rPr>
          <w:i/>
          <w:lang w:val="fr-CA"/>
        </w:rPr>
        <w:t xml:space="preserve"> Québec soustraite à la prorogation quant aux art. 4 et 26 à 32 de la Loi concernant les soins de fin de vie, RLRQ, c. S-32.0001 </w:t>
      </w:r>
      <w:r w:rsidR="006A1AB5" w:rsidRPr="00FA32A2">
        <w:rPr>
          <w:i/>
          <w:lang w:val="fr-CA"/>
        </w:rPr>
        <w:t>—</w:t>
      </w:r>
      <w:r w:rsidR="00742FCD" w:rsidRPr="00FA32A2">
        <w:rPr>
          <w:i/>
          <w:lang w:val="fr-CA"/>
        </w:rPr>
        <w:t xml:space="preserve"> E</w:t>
      </w:r>
      <w:r w:rsidR="00E53E53" w:rsidRPr="00FA32A2">
        <w:rPr>
          <w:i/>
          <w:lang w:val="fr-CA"/>
        </w:rPr>
        <w:t>xemption accordée à ceux qui</w:t>
      </w:r>
      <w:r w:rsidR="00742FCD" w:rsidRPr="00FA32A2">
        <w:rPr>
          <w:i/>
          <w:lang w:val="fr-CA"/>
        </w:rPr>
        <w:t>,</w:t>
      </w:r>
      <w:r w:rsidR="00E53E53" w:rsidRPr="00FA32A2">
        <w:rPr>
          <w:i/>
          <w:lang w:val="fr-CA"/>
        </w:rPr>
        <w:t xml:space="preserve"> </w:t>
      </w:r>
      <w:r w:rsidR="00742FCD" w:rsidRPr="00FA32A2">
        <w:rPr>
          <w:i/>
          <w:lang w:val="fr-CA"/>
        </w:rPr>
        <w:t xml:space="preserve">pour la durée de la prorogation, </w:t>
      </w:r>
      <w:r w:rsidR="00E53E53" w:rsidRPr="00FA32A2">
        <w:rPr>
          <w:i/>
          <w:lang w:val="fr-CA"/>
        </w:rPr>
        <w:t xml:space="preserve">souhaitent demander de l’aide pour mettre fin à leurs jours sur le fondement </w:t>
      </w:r>
      <w:r w:rsidR="00742FCD" w:rsidRPr="00FA32A2">
        <w:rPr>
          <w:i/>
          <w:lang w:val="fr-CA"/>
        </w:rPr>
        <w:t>des critères dans</w:t>
      </w:r>
      <w:r w:rsidR="00E53E53" w:rsidRPr="00FA32A2">
        <w:rPr>
          <w:i/>
          <w:lang w:val="fr-CA"/>
        </w:rPr>
        <w:t xml:space="preserve"> Carter.</w:t>
      </w:r>
    </w:p>
    <w:p w:rsidR="004D7D95" w:rsidRPr="004D7D95" w:rsidRDefault="004D7D95" w:rsidP="00861E81">
      <w:pPr>
        <w:pStyle w:val="SCCNormalDoubleSpacing"/>
        <w:widowControl w:val="0"/>
        <w:rPr>
          <w:lang w:val="fr-CA"/>
        </w:rPr>
      </w:pPr>
    </w:p>
    <w:p w:rsidR="004D7D95" w:rsidRPr="004D7D95" w:rsidRDefault="004D7D95" w:rsidP="00856629">
      <w:pPr>
        <w:pStyle w:val="SCCNormalDoubleSpacing"/>
        <w:widowControl w:val="0"/>
        <w:spacing w:after="240" w:line="240" w:lineRule="auto"/>
        <w:rPr>
          <w:b/>
          <w:lang w:val="fr-CA"/>
        </w:rPr>
      </w:pPr>
      <w:r w:rsidRPr="004D7D95">
        <w:rPr>
          <w:b/>
          <w:lang w:val="fr-CA"/>
        </w:rPr>
        <w:t>Lois et règlements cités</w:t>
      </w:r>
    </w:p>
    <w:p w:rsidR="004D7D95" w:rsidRPr="004D7D95" w:rsidRDefault="004D7D95" w:rsidP="00861E81">
      <w:pPr>
        <w:pStyle w:val="SCCNormalDoubleSpacing"/>
        <w:widowControl w:val="0"/>
        <w:spacing w:line="240" w:lineRule="auto"/>
        <w:ind w:left="540" w:hanging="540"/>
        <w:rPr>
          <w:lang w:val="fr-CA"/>
        </w:rPr>
      </w:pPr>
    </w:p>
    <w:p w:rsidR="00C6591A" w:rsidRDefault="00C6591A" w:rsidP="00861E81">
      <w:pPr>
        <w:pStyle w:val="SCCNormalDoubleSpacing"/>
        <w:widowControl w:val="0"/>
        <w:spacing w:line="240" w:lineRule="auto"/>
        <w:ind w:left="540" w:hanging="540"/>
        <w:rPr>
          <w:lang w:val="fr-CA"/>
        </w:rPr>
      </w:pPr>
      <w:r>
        <w:rPr>
          <w:i/>
          <w:lang w:val="fr-CA"/>
        </w:rPr>
        <w:t>Code criminel</w:t>
      </w:r>
      <w:r>
        <w:rPr>
          <w:lang w:val="fr-CA"/>
        </w:rPr>
        <w:t>, L.R.C. 1985, c. C-46, art. 14, 241</w:t>
      </w:r>
      <w:r>
        <w:rPr>
          <w:i/>
          <w:lang w:val="fr-CA"/>
        </w:rPr>
        <w:t>b</w:t>
      </w:r>
      <w:r>
        <w:rPr>
          <w:lang w:val="fr-CA"/>
        </w:rPr>
        <w:t>).</w:t>
      </w:r>
    </w:p>
    <w:p w:rsidR="004D7D95" w:rsidRPr="004D7D95" w:rsidRDefault="004D7D95" w:rsidP="00861E81">
      <w:pPr>
        <w:pStyle w:val="SCCNormalDoubleSpacing"/>
        <w:widowControl w:val="0"/>
        <w:spacing w:line="240" w:lineRule="auto"/>
        <w:ind w:left="540" w:hanging="540"/>
        <w:rPr>
          <w:lang w:val="fr-CA"/>
        </w:rPr>
      </w:pPr>
    </w:p>
    <w:p w:rsidR="000A7872" w:rsidRDefault="000A7872" w:rsidP="00861E81">
      <w:pPr>
        <w:pStyle w:val="SCCNormalDoubleSpacing"/>
        <w:widowControl w:val="0"/>
        <w:spacing w:after="720" w:line="240" w:lineRule="auto"/>
        <w:ind w:left="547" w:hanging="547"/>
        <w:rPr>
          <w:lang w:val="fr-CA"/>
        </w:rPr>
      </w:pPr>
      <w:r w:rsidRPr="000A7872">
        <w:rPr>
          <w:i/>
          <w:lang w:val="fr-CA"/>
        </w:rPr>
        <w:t>Loi concernant les soins de fin de vie</w:t>
      </w:r>
      <w:r w:rsidRPr="000A7872">
        <w:rPr>
          <w:lang w:val="fr-CA"/>
        </w:rPr>
        <w:t xml:space="preserve">, RLRQ, c. </w:t>
      </w:r>
      <w:r w:rsidR="00D90FD9">
        <w:rPr>
          <w:lang w:val="fr-CA"/>
        </w:rPr>
        <w:t>S-</w:t>
      </w:r>
      <w:r w:rsidRPr="000A7872">
        <w:rPr>
          <w:lang w:val="fr-CA"/>
        </w:rPr>
        <w:t>32.0001</w:t>
      </w:r>
      <w:r w:rsidR="0082406C">
        <w:rPr>
          <w:lang w:val="fr-CA"/>
        </w:rPr>
        <w:t>, art. 4, 26 à 32</w:t>
      </w:r>
      <w:r w:rsidRPr="000A7872">
        <w:rPr>
          <w:lang w:val="fr-CA"/>
        </w:rPr>
        <w:t>.</w:t>
      </w:r>
    </w:p>
    <w:p w:rsidR="004D7D95" w:rsidRPr="004D7D95" w:rsidRDefault="004D7D95" w:rsidP="00861E81">
      <w:pPr>
        <w:pStyle w:val="SCCNormalDoubleSpacing"/>
        <w:widowControl w:val="0"/>
        <w:rPr>
          <w:lang w:val="fr-CA"/>
        </w:rPr>
      </w:pPr>
      <w:r w:rsidRPr="00151EC1">
        <w:rPr>
          <w:lang w:val="fr-CA"/>
        </w:rPr>
        <w:tab/>
      </w:r>
      <w:r w:rsidR="00C6591A" w:rsidRPr="00C6591A">
        <w:rPr>
          <w:caps/>
          <w:lang w:val="fr-CA"/>
        </w:rPr>
        <w:t>requête</w:t>
      </w:r>
      <w:r w:rsidR="00C6591A" w:rsidRPr="004D7D95">
        <w:rPr>
          <w:lang w:val="fr-CA"/>
        </w:rPr>
        <w:t xml:space="preserve"> </w:t>
      </w:r>
      <w:r w:rsidR="00B87ACE">
        <w:rPr>
          <w:lang w:val="fr-CA"/>
        </w:rPr>
        <w:t xml:space="preserve">visant à obtenir </w:t>
      </w:r>
      <w:r w:rsidR="00E53E53">
        <w:rPr>
          <w:lang w:val="fr-CA"/>
        </w:rPr>
        <w:t xml:space="preserve">une ordonnance prorogeant la suspension de la prise d’effet de la déclaration d’invalidité constitutionnelle prononcée </w:t>
      </w:r>
      <w:r w:rsidR="00E53E53" w:rsidRPr="00E53E53">
        <w:rPr>
          <w:lang w:val="fr-CA"/>
        </w:rPr>
        <w:t xml:space="preserve">dans </w:t>
      </w:r>
      <w:r w:rsidR="005E2BAC" w:rsidRPr="00E53E53">
        <w:rPr>
          <w:i/>
          <w:lang w:val="fr-CA"/>
        </w:rPr>
        <w:t>Carter c. Canada (Procureur général)</w:t>
      </w:r>
      <w:r w:rsidR="005E2BAC" w:rsidRPr="00E53E53">
        <w:rPr>
          <w:lang w:val="fr-CA"/>
        </w:rPr>
        <w:t>, 2015 CSC 5, [2015] 1 R.C.S. 331</w:t>
      </w:r>
      <w:r w:rsidR="00C6591A" w:rsidRPr="00E53E53">
        <w:rPr>
          <w:lang w:val="fr-CA"/>
        </w:rPr>
        <w:t>. Requ</w:t>
      </w:r>
      <w:r w:rsidR="00C6591A">
        <w:rPr>
          <w:lang w:val="fr-CA"/>
        </w:rPr>
        <w:t xml:space="preserve">ête </w:t>
      </w:r>
      <w:r w:rsidR="005E2BAC">
        <w:rPr>
          <w:lang w:val="fr-CA"/>
        </w:rPr>
        <w:t>accueillie en partie</w:t>
      </w:r>
      <w:r w:rsidR="006A1AB5">
        <w:rPr>
          <w:lang w:val="fr-CA"/>
        </w:rPr>
        <w:t>,</w:t>
      </w:r>
      <w:r w:rsidR="00E53E53">
        <w:rPr>
          <w:lang w:val="fr-CA"/>
        </w:rPr>
        <w:t xml:space="preserve"> </w:t>
      </w:r>
      <w:r w:rsidR="006A1AB5">
        <w:rPr>
          <w:lang w:val="fr-CA"/>
        </w:rPr>
        <w:t>l</w:t>
      </w:r>
      <w:r w:rsidR="00E53E53">
        <w:rPr>
          <w:lang w:val="fr-CA"/>
        </w:rPr>
        <w:t>a juge en chef McLachlin et les juges Cromwell, Moldaver et Brown sont dissidents en partie</w:t>
      </w:r>
      <w:r w:rsidR="00C6591A">
        <w:rPr>
          <w:lang w:val="fr-CA"/>
        </w:rPr>
        <w:t>.</w:t>
      </w:r>
    </w:p>
    <w:p w:rsidR="00C54874" w:rsidRPr="004D7D95" w:rsidRDefault="00C54874" w:rsidP="00861E81">
      <w:pPr>
        <w:pStyle w:val="SCCNormalDoubleSpacing"/>
        <w:widowControl w:val="0"/>
        <w:rPr>
          <w:lang w:val="fr-CA"/>
        </w:rPr>
      </w:pPr>
    </w:p>
    <w:p w:rsidR="003D4D88" w:rsidRPr="00CD1C6E" w:rsidRDefault="003D4D88" w:rsidP="00861E81">
      <w:pPr>
        <w:pStyle w:val="SCCNormalDoubleSpacing"/>
        <w:widowControl w:val="0"/>
        <w:rPr>
          <w:lang w:val="fr-CA"/>
        </w:rPr>
      </w:pPr>
      <w:r w:rsidRPr="00417790">
        <w:rPr>
          <w:rStyle w:val="SCCCounselNameChar"/>
          <w:rFonts w:eastAsiaTheme="majorEastAsia"/>
          <w:i w:val="0"/>
          <w:lang w:val="fr-CA"/>
        </w:rPr>
        <w:tab/>
      </w:r>
      <w:r w:rsidRPr="00CD1C6E">
        <w:rPr>
          <w:rStyle w:val="SCCCounselNameChar"/>
          <w:rFonts w:eastAsiaTheme="majorEastAsia"/>
          <w:lang w:val="fr-CA"/>
        </w:rPr>
        <w:t>Robert J. Frater</w:t>
      </w:r>
      <w:r w:rsidRPr="00CD1C6E">
        <w:rPr>
          <w:rStyle w:val="SCCCounselNameChar"/>
          <w:rFonts w:eastAsiaTheme="majorEastAsia"/>
          <w:i w:val="0"/>
          <w:lang w:val="fr-CA"/>
        </w:rPr>
        <w:t xml:space="preserve">, </w:t>
      </w:r>
      <w:proofErr w:type="spellStart"/>
      <w:proofErr w:type="gramStart"/>
      <w:r w:rsidRPr="00CD1C6E">
        <w:rPr>
          <w:rStyle w:val="SCCCounselNameChar"/>
          <w:rFonts w:eastAsiaTheme="majorEastAsia"/>
          <w:lang w:val="fr-CA"/>
        </w:rPr>
        <w:t>c.r</w:t>
      </w:r>
      <w:proofErr w:type="spellEnd"/>
      <w:r w:rsidRPr="00CD1C6E">
        <w:rPr>
          <w:rStyle w:val="SCCCounselNameChar"/>
          <w:rFonts w:eastAsiaTheme="majorEastAsia"/>
          <w:lang w:val="fr-CA"/>
        </w:rPr>
        <w:t>.</w:t>
      </w:r>
      <w:r w:rsidRPr="00CD1C6E">
        <w:rPr>
          <w:rStyle w:val="SCCCounselSeparatorChar"/>
          <w:lang w:val="fr-CA"/>
        </w:rPr>
        <w:t>,</w:t>
      </w:r>
      <w:proofErr w:type="gramEnd"/>
      <w:r w:rsidRPr="00CD1C6E">
        <w:rPr>
          <w:rStyle w:val="SCCCounselSeparatorChar"/>
          <w:lang w:val="fr-CA"/>
        </w:rPr>
        <w:t xml:space="preserve"> et </w:t>
      </w:r>
      <w:proofErr w:type="spellStart"/>
      <w:r w:rsidRPr="00CD1C6E">
        <w:rPr>
          <w:rStyle w:val="SCCCounselNameChar"/>
          <w:rFonts w:eastAsiaTheme="majorEastAsia"/>
          <w:lang w:val="fr-CA"/>
        </w:rPr>
        <w:t>Donnaree</w:t>
      </w:r>
      <w:proofErr w:type="spellEnd"/>
      <w:r w:rsidRPr="00CD1C6E">
        <w:rPr>
          <w:rStyle w:val="SCCCounselNameChar"/>
          <w:rFonts w:eastAsiaTheme="majorEastAsia"/>
          <w:lang w:val="fr-CA"/>
        </w:rPr>
        <w:t xml:space="preserve"> </w:t>
      </w:r>
      <w:proofErr w:type="spellStart"/>
      <w:r w:rsidRPr="00CD1C6E">
        <w:rPr>
          <w:rStyle w:val="SCCCounselNameChar"/>
          <w:rFonts w:eastAsiaTheme="majorEastAsia"/>
          <w:lang w:val="fr-CA"/>
        </w:rPr>
        <w:t>Nygard</w:t>
      </w:r>
      <w:proofErr w:type="spellEnd"/>
      <w:r w:rsidRPr="00CD1C6E">
        <w:rPr>
          <w:rStyle w:val="SCCCounselPartyRoleChar"/>
          <w:lang w:val="fr-CA"/>
        </w:rPr>
        <w:t xml:space="preserve">, pour </w:t>
      </w:r>
      <w:r w:rsidR="00542D7C">
        <w:rPr>
          <w:rStyle w:val="SCCCounselPartyRoleChar"/>
          <w:lang w:val="fr-CA"/>
        </w:rPr>
        <w:t>le requérant</w:t>
      </w:r>
      <w:r>
        <w:rPr>
          <w:rStyle w:val="SCCCounselPartyRoleChar"/>
          <w:lang w:val="fr-CA"/>
        </w:rPr>
        <w:t xml:space="preserve"> le procureur général du Canada</w:t>
      </w:r>
      <w:r w:rsidRPr="00CD1C6E">
        <w:rPr>
          <w:rStyle w:val="SCCCounselPartyRoleChar"/>
          <w:lang w:val="fr-CA"/>
        </w:rPr>
        <w:t>.</w:t>
      </w:r>
    </w:p>
    <w:p w:rsidR="003D4D88" w:rsidRPr="00CD1C6E" w:rsidRDefault="003D4D88" w:rsidP="00861E81">
      <w:pPr>
        <w:pStyle w:val="SCCNormalDoubleSpacing"/>
        <w:widowControl w:val="0"/>
        <w:rPr>
          <w:lang w:val="fr-CA"/>
        </w:rPr>
      </w:pPr>
    </w:p>
    <w:p w:rsidR="00E61CCD" w:rsidRPr="00086872" w:rsidRDefault="00CD1C6E" w:rsidP="00861E81">
      <w:pPr>
        <w:pStyle w:val="SCCNormalDoubleSpacing"/>
        <w:widowControl w:val="0"/>
        <w:rPr>
          <w:lang w:val="fr-CA"/>
        </w:rPr>
      </w:pPr>
      <w:r w:rsidRPr="00417790">
        <w:rPr>
          <w:rStyle w:val="SCCCounselNameChar"/>
          <w:rFonts w:eastAsiaTheme="majorEastAsia"/>
          <w:i w:val="0"/>
          <w:lang w:val="fr-CA"/>
        </w:rPr>
        <w:tab/>
      </w:r>
      <w:r w:rsidRPr="00CD1C6E">
        <w:rPr>
          <w:rStyle w:val="SCCCounselNameChar"/>
          <w:rFonts w:eastAsiaTheme="majorEastAsia"/>
          <w:lang w:val="fr-CA"/>
        </w:rPr>
        <w:t xml:space="preserve">Joseph J. </w:t>
      </w:r>
      <w:proofErr w:type="spellStart"/>
      <w:r w:rsidRPr="00CD1C6E">
        <w:rPr>
          <w:rStyle w:val="SCCCounselNameChar"/>
          <w:rFonts w:eastAsiaTheme="majorEastAsia"/>
          <w:lang w:val="fr-CA"/>
        </w:rPr>
        <w:t>Arvay</w:t>
      </w:r>
      <w:proofErr w:type="spellEnd"/>
      <w:r w:rsidRPr="00CD1C6E">
        <w:rPr>
          <w:rStyle w:val="SCCCounselNameChar"/>
          <w:rFonts w:eastAsiaTheme="majorEastAsia"/>
          <w:i w:val="0"/>
          <w:lang w:val="fr-CA"/>
        </w:rPr>
        <w:t xml:space="preserve">, </w:t>
      </w:r>
      <w:proofErr w:type="spellStart"/>
      <w:proofErr w:type="gramStart"/>
      <w:r>
        <w:rPr>
          <w:rStyle w:val="SCCCounselNameChar"/>
          <w:rFonts w:eastAsiaTheme="majorEastAsia"/>
          <w:lang w:val="fr-CA"/>
        </w:rPr>
        <w:t>c</w:t>
      </w:r>
      <w:r w:rsidRPr="00CD1C6E">
        <w:rPr>
          <w:rStyle w:val="SCCCounselNameChar"/>
          <w:rFonts w:eastAsiaTheme="majorEastAsia"/>
          <w:lang w:val="fr-CA"/>
        </w:rPr>
        <w:t>.</w:t>
      </w:r>
      <w:r>
        <w:rPr>
          <w:rStyle w:val="SCCCounselNameChar"/>
          <w:rFonts w:eastAsiaTheme="majorEastAsia"/>
          <w:lang w:val="fr-CA"/>
        </w:rPr>
        <w:t>r</w:t>
      </w:r>
      <w:proofErr w:type="spellEnd"/>
      <w:r w:rsidRPr="00CD1C6E">
        <w:rPr>
          <w:rStyle w:val="SCCCounselNameChar"/>
          <w:rFonts w:eastAsiaTheme="majorEastAsia"/>
          <w:lang w:val="fr-CA"/>
        </w:rPr>
        <w:t>.</w:t>
      </w:r>
      <w:r w:rsidRPr="00CD1C6E">
        <w:rPr>
          <w:rStyle w:val="SCCCounselSeparatorChar"/>
          <w:lang w:val="fr-CA"/>
        </w:rPr>
        <w:t>,</w:t>
      </w:r>
      <w:proofErr w:type="gramEnd"/>
      <w:r w:rsidRPr="00CD1C6E">
        <w:rPr>
          <w:rStyle w:val="SCCCounselSeparatorChar"/>
          <w:lang w:val="fr-CA"/>
        </w:rPr>
        <w:t xml:space="preserve"> </w:t>
      </w:r>
      <w:r w:rsidRPr="00CD1C6E">
        <w:rPr>
          <w:rStyle w:val="SCCCounselNameChar"/>
          <w:rFonts w:eastAsiaTheme="majorEastAsia"/>
          <w:lang w:val="fr-CA"/>
        </w:rPr>
        <w:t>Alison M. Latimer</w:t>
      </w:r>
      <w:r w:rsidRPr="00CD1C6E">
        <w:rPr>
          <w:rStyle w:val="SCCCounselSeparatorChar"/>
          <w:lang w:val="fr-CA"/>
        </w:rPr>
        <w:t xml:space="preserve"> et </w:t>
      </w:r>
      <w:r w:rsidRPr="00CD1C6E">
        <w:rPr>
          <w:rStyle w:val="SCCCounselNameChar"/>
          <w:rFonts w:eastAsiaTheme="majorEastAsia"/>
          <w:lang w:val="fr-CA"/>
        </w:rPr>
        <w:t>Sheila M. Tucker</w:t>
      </w:r>
      <w:r w:rsidR="00914AB1" w:rsidRPr="00086872">
        <w:rPr>
          <w:rStyle w:val="SCCCounselPartyRoleChar"/>
          <w:lang w:val="fr-CA"/>
        </w:rPr>
        <w:t>, pour l</w:t>
      </w:r>
      <w:r>
        <w:rPr>
          <w:rStyle w:val="SCCCounselPartyRoleChar"/>
          <w:lang w:val="fr-CA"/>
        </w:rPr>
        <w:t xml:space="preserve">es </w:t>
      </w:r>
      <w:r w:rsidR="00542D7C" w:rsidRPr="00542D7C">
        <w:rPr>
          <w:rStyle w:val="SCCCounselPartyRoleChar"/>
          <w:lang w:val="fr-CA"/>
        </w:rPr>
        <w:t xml:space="preserve">intimés </w:t>
      </w:r>
      <w:r w:rsidR="00F2342C">
        <w:rPr>
          <w:rStyle w:val="SCCCounselPartyRoleChar"/>
          <w:lang w:val="fr-CA"/>
        </w:rPr>
        <w:t>à la</w:t>
      </w:r>
      <w:r w:rsidR="00542D7C" w:rsidRPr="00542D7C">
        <w:rPr>
          <w:rStyle w:val="SCCCounselPartyRoleChar"/>
          <w:lang w:val="fr-CA"/>
        </w:rPr>
        <w:t xml:space="preserve"> requête</w:t>
      </w:r>
      <w:r w:rsidR="00542D7C">
        <w:rPr>
          <w:rStyle w:val="SCCCounselPartyRoleChar"/>
          <w:lang w:val="fr-CA"/>
        </w:rPr>
        <w:t xml:space="preserve"> </w:t>
      </w:r>
      <w:r w:rsidR="003D4D88">
        <w:rPr>
          <w:rStyle w:val="SCCCounselPartyRoleChar"/>
          <w:lang w:val="fr-CA"/>
        </w:rPr>
        <w:t>Lee Carter et autres</w:t>
      </w:r>
      <w:r w:rsidR="00914AB1" w:rsidRPr="00086872">
        <w:rPr>
          <w:rStyle w:val="SCCCounselPartyRoleChar"/>
          <w:lang w:val="fr-CA"/>
        </w:rPr>
        <w:t>.</w:t>
      </w:r>
    </w:p>
    <w:p w:rsidR="00E61CCD" w:rsidRPr="00086872" w:rsidRDefault="00E61CCD" w:rsidP="00861E81">
      <w:pPr>
        <w:pStyle w:val="SCCNormalDoubleSpacing"/>
        <w:widowControl w:val="0"/>
        <w:rPr>
          <w:lang w:val="fr-CA"/>
        </w:rPr>
      </w:pPr>
    </w:p>
    <w:p w:rsidR="00E61CCD" w:rsidRPr="005A2DEE" w:rsidRDefault="005A2DEE" w:rsidP="00861E81">
      <w:pPr>
        <w:pStyle w:val="SCCNormalDoubleSpacing"/>
        <w:widowControl w:val="0"/>
        <w:rPr>
          <w:lang w:val="fr-CA"/>
        </w:rPr>
      </w:pPr>
      <w:r w:rsidRPr="00417790">
        <w:rPr>
          <w:lang w:val="fr-CA"/>
        </w:rPr>
        <w:tab/>
      </w:r>
      <w:r w:rsidRPr="00C54874">
        <w:rPr>
          <w:lang w:val="fr-CA"/>
        </w:rPr>
        <w:t>Argumentation écrite seulement par</w:t>
      </w:r>
      <w:r w:rsidRPr="005A2DEE">
        <w:rPr>
          <w:i/>
          <w:lang w:val="fr-CA"/>
        </w:rPr>
        <w:t xml:space="preserve"> Jean M. Walters</w:t>
      </w:r>
      <w:r>
        <w:rPr>
          <w:lang w:val="fr-CA"/>
        </w:rPr>
        <w:t xml:space="preserve">, </w:t>
      </w:r>
      <w:r w:rsidR="00914AB1" w:rsidRPr="005A2DEE">
        <w:rPr>
          <w:rStyle w:val="SCCCounselPartyRoleChar"/>
          <w:lang w:val="fr-CA"/>
        </w:rPr>
        <w:t>pour l</w:t>
      </w:r>
      <w:r w:rsidR="00C6591A" w:rsidRPr="005A2DEE">
        <w:rPr>
          <w:rStyle w:val="SCCCounselPartyRoleChar"/>
          <w:lang w:val="fr-CA"/>
        </w:rPr>
        <w:t>’</w:t>
      </w:r>
      <w:r w:rsidR="00914AB1" w:rsidRPr="005A2DEE">
        <w:rPr>
          <w:rStyle w:val="SCCCounselPartyRoleChar"/>
          <w:lang w:val="fr-CA"/>
        </w:rPr>
        <w:t>intimé</w:t>
      </w:r>
      <w:r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00542D7C">
        <w:rPr>
          <w:rStyle w:val="SCCCounselPartyRoleChar"/>
          <w:lang w:val="fr-CA"/>
        </w:rPr>
        <w:t xml:space="preserve"> </w:t>
      </w:r>
      <w:r w:rsidRPr="005A2DEE">
        <w:rPr>
          <w:rStyle w:val="SCCCounselPartyRoleChar"/>
          <w:lang w:val="fr-CA"/>
        </w:rPr>
        <w:t>l</w:t>
      </w:r>
      <w:r>
        <w:rPr>
          <w:rStyle w:val="SCCCounselPartyRoleChar"/>
          <w:lang w:val="fr-CA"/>
        </w:rPr>
        <w:t>e</w:t>
      </w:r>
      <w:r w:rsidRPr="005A2DEE">
        <w:rPr>
          <w:rStyle w:val="SCCCounselPartyRoleChar"/>
          <w:lang w:val="fr-CA"/>
        </w:rPr>
        <w:t xml:space="preserve"> </w:t>
      </w:r>
      <w:r>
        <w:rPr>
          <w:lang w:val="fr-CA"/>
        </w:rPr>
        <w:t>p</w:t>
      </w:r>
      <w:r w:rsidRPr="00086872">
        <w:rPr>
          <w:lang w:val="fr-CA"/>
        </w:rPr>
        <w:t>rocureur général de la Colombie-Britannique</w:t>
      </w:r>
      <w:r w:rsidR="00914AB1" w:rsidRPr="005A2DEE">
        <w:rPr>
          <w:rStyle w:val="SCCCounselPartyRoleChar"/>
          <w:lang w:val="fr-CA"/>
        </w:rPr>
        <w:t>.</w:t>
      </w:r>
    </w:p>
    <w:p w:rsidR="00E61CCD" w:rsidRPr="005A2DEE" w:rsidRDefault="00E61CCD" w:rsidP="00861E81">
      <w:pPr>
        <w:pStyle w:val="SCCNormalDoubleSpacing"/>
        <w:widowControl w:val="0"/>
        <w:rPr>
          <w:lang w:val="fr-CA"/>
        </w:rPr>
      </w:pPr>
    </w:p>
    <w:p w:rsidR="005A2DEE" w:rsidRPr="00086872" w:rsidRDefault="005A2DEE" w:rsidP="00861E81">
      <w:pPr>
        <w:pStyle w:val="SCCNormalDoubleSpacing"/>
        <w:widowControl w:val="0"/>
        <w:rPr>
          <w:lang w:val="fr-CA"/>
        </w:rPr>
      </w:pPr>
      <w:r w:rsidRPr="005A2DEE">
        <w:rPr>
          <w:rStyle w:val="SCCCounselNameChar"/>
          <w:rFonts w:eastAsiaTheme="majorEastAsia"/>
          <w:i w:val="0"/>
          <w:lang w:val="fr-CA"/>
        </w:rPr>
        <w:tab/>
      </w:r>
      <w:proofErr w:type="spellStart"/>
      <w:r w:rsidRPr="005A2DEE">
        <w:rPr>
          <w:rStyle w:val="SCCCounselNameChar"/>
          <w:rFonts w:eastAsiaTheme="majorEastAsia"/>
          <w:lang w:val="fr-CA"/>
        </w:rPr>
        <w:t>Malliha</w:t>
      </w:r>
      <w:proofErr w:type="spellEnd"/>
      <w:r w:rsidRPr="005A2DEE">
        <w:rPr>
          <w:rStyle w:val="SCCCounselNameChar"/>
          <w:rFonts w:eastAsiaTheme="majorEastAsia"/>
          <w:lang w:val="fr-CA"/>
        </w:rPr>
        <w:t xml:space="preserve"> Wilson</w:t>
      </w:r>
      <w:r w:rsidRPr="005A2DEE">
        <w:rPr>
          <w:rStyle w:val="SCCCounselNameChar"/>
          <w:rFonts w:eastAsiaTheme="majorEastAsia"/>
          <w:i w:val="0"/>
          <w:lang w:val="fr-CA"/>
        </w:rPr>
        <w:t xml:space="preserve"> </w:t>
      </w:r>
      <w:r>
        <w:rPr>
          <w:rStyle w:val="SCCCounselSeparatorChar"/>
          <w:lang w:val="fr-CA"/>
        </w:rPr>
        <w:t>et</w:t>
      </w:r>
      <w:r w:rsidRPr="005A2DEE">
        <w:rPr>
          <w:rStyle w:val="SCCCounselNameChar"/>
          <w:rFonts w:eastAsiaTheme="majorEastAsia"/>
          <w:i w:val="0"/>
          <w:lang w:val="fr-CA"/>
        </w:rPr>
        <w:t xml:space="preserve"> </w:t>
      </w:r>
      <w:r w:rsidRPr="005A2DEE">
        <w:rPr>
          <w:rStyle w:val="SCCCounselNameChar"/>
          <w:rFonts w:eastAsiaTheme="majorEastAsia"/>
          <w:lang w:val="fr-CA"/>
        </w:rPr>
        <w:t>S. Zachary Green</w:t>
      </w:r>
      <w:r w:rsidRPr="00086872">
        <w:rPr>
          <w:rStyle w:val="SCCCounselPartyRoleChar"/>
          <w:lang w:val="fr-CA"/>
        </w:rPr>
        <w:t xml:space="preserve">, pour </w:t>
      </w:r>
      <w:r w:rsidR="00542D7C" w:rsidRPr="005A2DEE">
        <w:rPr>
          <w:rStyle w:val="SCCCounselPartyRoleChar"/>
          <w:lang w:val="fr-CA"/>
        </w:rPr>
        <w:t xml:space="preserve">l’intimé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Pr="00086872">
        <w:rPr>
          <w:rStyle w:val="SCCCounselPartyRoleChar"/>
          <w:lang w:val="fr-CA"/>
        </w:rPr>
        <w:t xml:space="preserve"> </w:t>
      </w:r>
      <w:r>
        <w:rPr>
          <w:rStyle w:val="SCCCounselPartyRoleChar"/>
          <w:lang w:val="fr-CA"/>
        </w:rPr>
        <w:t>le p</w:t>
      </w:r>
      <w:r w:rsidRPr="00086872">
        <w:rPr>
          <w:rStyle w:val="SCCCounselPartyRoleChar"/>
          <w:lang w:val="fr-CA"/>
        </w:rPr>
        <w:t>rocureur général de l</w:t>
      </w:r>
      <w:r>
        <w:rPr>
          <w:rStyle w:val="SCCCounselPartyRoleChar"/>
          <w:lang w:val="fr-CA"/>
        </w:rPr>
        <w:t>’</w:t>
      </w:r>
      <w:r w:rsidRPr="00086872">
        <w:rPr>
          <w:rStyle w:val="SCCCounselPartyRoleChar"/>
          <w:lang w:val="fr-CA"/>
        </w:rPr>
        <w:t>Ontario.</w:t>
      </w:r>
    </w:p>
    <w:p w:rsidR="005A2DEE" w:rsidRPr="00086872" w:rsidRDefault="005A2DEE" w:rsidP="00861E81">
      <w:pPr>
        <w:pStyle w:val="SCCNormalDoubleSpacing"/>
        <w:widowControl w:val="0"/>
        <w:rPr>
          <w:lang w:val="fr-CA"/>
        </w:rPr>
      </w:pPr>
    </w:p>
    <w:p w:rsidR="005A2DEE" w:rsidRPr="00086872" w:rsidRDefault="005A2DEE" w:rsidP="00861E81">
      <w:pPr>
        <w:pStyle w:val="SCCNormalDoubleSpacing"/>
        <w:widowControl w:val="0"/>
        <w:rPr>
          <w:lang w:val="fr-CA"/>
        </w:rPr>
      </w:pPr>
      <w:r w:rsidRPr="00417790">
        <w:rPr>
          <w:rStyle w:val="SCCCounselNameChar"/>
          <w:rFonts w:eastAsiaTheme="majorEastAsia"/>
          <w:i w:val="0"/>
          <w:lang w:val="fr-CA"/>
        </w:rPr>
        <w:tab/>
      </w:r>
      <w:r w:rsidRPr="005A2DEE">
        <w:rPr>
          <w:rStyle w:val="SCCCounselNameChar"/>
          <w:rFonts w:eastAsiaTheme="majorEastAsia"/>
          <w:lang w:val="fr-CA"/>
        </w:rPr>
        <w:t>Jean-Yves Bernard</w:t>
      </w:r>
      <w:r w:rsidRPr="005A2DEE">
        <w:rPr>
          <w:rStyle w:val="SCCCounselNameChar"/>
          <w:rFonts w:eastAsiaTheme="majorEastAsia"/>
          <w:i w:val="0"/>
          <w:lang w:val="fr-CA"/>
        </w:rPr>
        <w:t xml:space="preserve">, </w:t>
      </w:r>
      <w:r w:rsidRPr="005A2DEE">
        <w:rPr>
          <w:rStyle w:val="SCCCounselNameChar"/>
          <w:rFonts w:eastAsiaTheme="majorEastAsia"/>
          <w:lang w:val="fr-CA"/>
        </w:rPr>
        <w:t xml:space="preserve">Mario </w:t>
      </w:r>
      <w:proofErr w:type="spellStart"/>
      <w:r w:rsidRPr="005A2DEE">
        <w:rPr>
          <w:rStyle w:val="SCCCounselNameChar"/>
          <w:rFonts w:eastAsiaTheme="majorEastAsia"/>
          <w:lang w:val="fr-CA"/>
        </w:rPr>
        <w:t>Normandin</w:t>
      </w:r>
      <w:proofErr w:type="spellEnd"/>
      <w:r w:rsidRPr="005A2DEE">
        <w:rPr>
          <w:rStyle w:val="SCCCounselSeparatorChar"/>
          <w:lang w:val="fr-CA"/>
        </w:rPr>
        <w:t xml:space="preserve"> </w:t>
      </w:r>
      <w:r>
        <w:rPr>
          <w:rStyle w:val="SCCCounselSeparatorChar"/>
          <w:lang w:val="fr-CA"/>
        </w:rPr>
        <w:t>et</w:t>
      </w:r>
      <w:r w:rsidRPr="005A2DEE">
        <w:rPr>
          <w:rStyle w:val="SCCCounselSeparatorChar"/>
          <w:lang w:val="fr-CA"/>
        </w:rPr>
        <w:t xml:space="preserve"> </w:t>
      </w:r>
      <w:r w:rsidRPr="005A2DEE">
        <w:rPr>
          <w:rStyle w:val="SCCCounselNameChar"/>
          <w:rFonts w:eastAsiaTheme="majorEastAsia"/>
          <w:lang w:val="fr-CA"/>
        </w:rPr>
        <w:t>Manon Des Ormeaux</w:t>
      </w:r>
      <w:r w:rsidRPr="00086872">
        <w:rPr>
          <w:rStyle w:val="SCCCounselPartyRoleChar"/>
          <w:lang w:val="fr-CA"/>
        </w:rPr>
        <w:t xml:space="preserve">, pour </w:t>
      </w:r>
      <w:r w:rsidR="00542D7C" w:rsidRPr="005A2DEE">
        <w:rPr>
          <w:rStyle w:val="SCCCounselPartyRoleChar"/>
          <w:lang w:val="fr-CA"/>
        </w:rPr>
        <w:t>l’intimé</w:t>
      </w:r>
      <w:r w:rsidR="00542D7C">
        <w:rPr>
          <w:rStyle w:val="SCCCounselPartyRoleChar"/>
          <w:lang w:val="fr-CA"/>
        </w:rPr>
        <w:t>e</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Pr="00086872">
        <w:rPr>
          <w:rStyle w:val="SCCCounselPartyRoleChar"/>
          <w:lang w:val="fr-CA"/>
        </w:rPr>
        <w:t xml:space="preserve"> </w:t>
      </w:r>
      <w:r>
        <w:rPr>
          <w:rStyle w:val="SCCCounselPartyRoleChar"/>
          <w:lang w:val="fr-CA"/>
        </w:rPr>
        <w:t>la p</w:t>
      </w:r>
      <w:r w:rsidRPr="00086872">
        <w:rPr>
          <w:rStyle w:val="SCCCounselPartyRoleChar"/>
          <w:lang w:val="fr-CA"/>
        </w:rPr>
        <w:t>rocureure générale du Québec.</w:t>
      </w:r>
    </w:p>
    <w:p w:rsidR="005A2DEE" w:rsidRPr="00086872" w:rsidRDefault="005A2DEE" w:rsidP="00861E81">
      <w:pPr>
        <w:pStyle w:val="SCCNormalDoubleSpacing"/>
        <w:widowControl w:val="0"/>
        <w:rPr>
          <w:lang w:val="fr-CA"/>
        </w:rPr>
      </w:pPr>
    </w:p>
    <w:p w:rsidR="005A2DEE" w:rsidRPr="005A2DEE" w:rsidRDefault="005A2DEE" w:rsidP="00861E81">
      <w:pPr>
        <w:pStyle w:val="SCCNormalDoubleSpacing"/>
        <w:widowControl w:val="0"/>
        <w:rPr>
          <w:lang w:val="fr-CA"/>
        </w:rPr>
      </w:pPr>
      <w:r w:rsidRPr="00417790">
        <w:rPr>
          <w:rStyle w:val="SCCCounselNameChar"/>
          <w:rFonts w:eastAsiaTheme="majorEastAsia"/>
          <w:i w:val="0"/>
          <w:lang w:val="fr-CA"/>
        </w:rPr>
        <w:tab/>
      </w:r>
      <w:r w:rsidRPr="005A2DEE">
        <w:rPr>
          <w:rStyle w:val="SCCCounselNameChar"/>
          <w:rFonts w:eastAsiaTheme="majorEastAsia"/>
          <w:lang w:val="fr-CA"/>
        </w:rPr>
        <w:t>David Baker</w:t>
      </w:r>
      <w:r w:rsidRPr="005A2DEE">
        <w:rPr>
          <w:rStyle w:val="SCCCounselPartyRoleChar"/>
          <w:lang w:val="fr-CA"/>
        </w:rPr>
        <w:t xml:space="preserve">, pour </w:t>
      </w:r>
      <w:r w:rsidR="00542D7C" w:rsidRPr="005A2DEE">
        <w:rPr>
          <w:rStyle w:val="SCCCounselPartyRoleChar"/>
          <w:lang w:val="fr-CA"/>
        </w:rPr>
        <w:t>l</w:t>
      </w:r>
      <w:r w:rsidR="00542D7C">
        <w:rPr>
          <w:rStyle w:val="SCCCounselPartyRoleChar"/>
          <w:lang w:val="fr-CA"/>
        </w:rPr>
        <w:t xml:space="preserve">es </w:t>
      </w:r>
      <w:r w:rsidR="00542D7C" w:rsidRPr="005A2DEE">
        <w:rPr>
          <w:rStyle w:val="SCCCounselPartyRoleChar"/>
          <w:lang w:val="fr-CA"/>
        </w:rPr>
        <w:t>intimé</w:t>
      </w:r>
      <w:r w:rsidR="00542D7C">
        <w:rPr>
          <w:rStyle w:val="SCCCounselPartyRoleChar"/>
          <w:lang w:val="fr-CA"/>
        </w:rPr>
        <w:t>s</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00542D7C" w:rsidRPr="005A2DEE">
        <w:rPr>
          <w:rStyle w:val="SCCCounselPartyRoleChar"/>
          <w:lang w:val="fr-CA"/>
        </w:rPr>
        <w:t xml:space="preserve"> </w:t>
      </w:r>
      <w:r w:rsidRPr="005A2DEE">
        <w:rPr>
          <w:rStyle w:val="SCCCounselPartyRoleChar"/>
          <w:lang w:val="fr-CA"/>
        </w:rPr>
        <w:t>l</w:t>
      </w:r>
      <w:r>
        <w:rPr>
          <w:rStyle w:val="SCCCounselPartyRoleChar"/>
          <w:lang w:val="fr-CA"/>
        </w:rPr>
        <w:t xml:space="preserve">e </w:t>
      </w:r>
      <w:r w:rsidRPr="005A2DEE">
        <w:rPr>
          <w:rStyle w:val="SCCCounselPartyRoleChar"/>
          <w:lang w:val="fr-CA"/>
        </w:rPr>
        <w:t>Conseil</w:t>
      </w:r>
      <w:r>
        <w:rPr>
          <w:rStyle w:val="SCCCounselPartyRoleChar"/>
          <w:lang w:val="fr-CA"/>
        </w:rPr>
        <w:t xml:space="preserve"> des Canadiens avec déficiences et l’</w:t>
      </w:r>
      <w:r w:rsidRPr="005A2DEE">
        <w:rPr>
          <w:rStyle w:val="SCCCounselPartyRoleChar"/>
          <w:lang w:val="fr-CA"/>
        </w:rPr>
        <w:t>Association canadienne pour l’intégration communautaire.</w:t>
      </w:r>
    </w:p>
    <w:p w:rsidR="005A2DEE" w:rsidRPr="005A2DEE" w:rsidRDefault="005A2DEE" w:rsidP="00861E81">
      <w:pPr>
        <w:pStyle w:val="SCCNormalDoubleSpacing"/>
        <w:widowControl w:val="0"/>
        <w:rPr>
          <w:lang w:val="fr-CA"/>
        </w:rPr>
      </w:pPr>
    </w:p>
    <w:p w:rsidR="005A2DEE" w:rsidRPr="005A2DEE" w:rsidRDefault="005A2DEE" w:rsidP="00861E81">
      <w:pPr>
        <w:pStyle w:val="SCCNormalDoubleSpacing"/>
        <w:widowControl w:val="0"/>
        <w:rPr>
          <w:lang w:val="fr-CA"/>
        </w:rPr>
      </w:pPr>
      <w:r w:rsidRPr="00417790">
        <w:rPr>
          <w:rStyle w:val="SCCCounselNameChar"/>
          <w:rFonts w:eastAsiaTheme="majorEastAsia"/>
          <w:i w:val="0"/>
          <w:lang w:val="fr-CA"/>
        </w:rPr>
        <w:tab/>
      </w:r>
      <w:r w:rsidRPr="005A2DEE">
        <w:rPr>
          <w:rStyle w:val="SCCCounselNameChar"/>
          <w:rFonts w:eastAsiaTheme="majorEastAsia"/>
          <w:lang w:val="fr-CA"/>
        </w:rPr>
        <w:t xml:space="preserve">Jonathan </w:t>
      </w:r>
      <w:proofErr w:type="spellStart"/>
      <w:r w:rsidRPr="005A2DEE">
        <w:rPr>
          <w:rStyle w:val="SCCCounselNameChar"/>
          <w:rFonts w:eastAsiaTheme="majorEastAsia"/>
          <w:lang w:val="fr-CA"/>
        </w:rPr>
        <w:t>Sikkema</w:t>
      </w:r>
      <w:proofErr w:type="spellEnd"/>
      <w:r w:rsidRPr="005A2DEE">
        <w:rPr>
          <w:rStyle w:val="SCCCounselPartyRoleChar"/>
          <w:lang w:val="fr-CA"/>
        </w:rPr>
        <w:t xml:space="preserve">, pour </w:t>
      </w:r>
      <w:r w:rsidR="00542D7C" w:rsidRPr="005A2DEE">
        <w:rPr>
          <w:rStyle w:val="SCCCounselPartyRoleChar"/>
          <w:lang w:val="fr-CA"/>
        </w:rPr>
        <w:t>l’intimé</w:t>
      </w:r>
      <w:r w:rsidR="00542D7C">
        <w:rPr>
          <w:rStyle w:val="SCCCounselPartyRoleChar"/>
          <w:lang w:val="fr-CA"/>
        </w:rPr>
        <w:t>e</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00542D7C" w:rsidRPr="005A2DEE">
        <w:rPr>
          <w:rStyle w:val="SCCCounselPartyRoleChar"/>
          <w:lang w:val="fr-CA"/>
        </w:rPr>
        <w:t xml:space="preserve"> </w:t>
      </w:r>
      <w:r w:rsidRPr="005A2DEE">
        <w:rPr>
          <w:rStyle w:val="SCCCounselPartyRoleChar"/>
          <w:lang w:val="fr-CA"/>
        </w:rPr>
        <w:t>l’Alliance des chrétiens en droit.</w:t>
      </w:r>
    </w:p>
    <w:p w:rsidR="005A2DEE" w:rsidRPr="005A2DEE" w:rsidRDefault="005A2DEE" w:rsidP="00861E81">
      <w:pPr>
        <w:pStyle w:val="SCCNormalDoubleSpacing"/>
        <w:widowControl w:val="0"/>
        <w:rPr>
          <w:lang w:val="fr-CA"/>
        </w:rPr>
      </w:pPr>
    </w:p>
    <w:p w:rsidR="005A2DEE" w:rsidRPr="005D6CB9" w:rsidRDefault="005A2DEE" w:rsidP="00861E81">
      <w:pPr>
        <w:pStyle w:val="SCCNormalDoubleSpacing"/>
        <w:widowControl w:val="0"/>
        <w:rPr>
          <w:lang w:val="fr-CA"/>
        </w:rPr>
      </w:pPr>
      <w:r w:rsidRPr="00417790">
        <w:rPr>
          <w:lang w:val="fr-CA"/>
        </w:rPr>
        <w:tab/>
      </w:r>
      <w:r w:rsidRPr="005D6CB9">
        <w:rPr>
          <w:lang w:val="fr-CA"/>
        </w:rPr>
        <w:t>Argumentation écrite seulement par</w:t>
      </w:r>
      <w:r w:rsidRPr="005D6CB9">
        <w:rPr>
          <w:i/>
          <w:lang w:val="fr-CA"/>
        </w:rPr>
        <w:t xml:space="preserve"> </w:t>
      </w:r>
      <w:r w:rsidRPr="005D6CB9">
        <w:rPr>
          <w:rStyle w:val="SCCCounselNameChar"/>
          <w:lang w:val="fr-CA"/>
        </w:rPr>
        <w:t xml:space="preserve">Michael </w:t>
      </w:r>
      <w:proofErr w:type="spellStart"/>
      <w:r w:rsidRPr="005D6CB9">
        <w:rPr>
          <w:rStyle w:val="SCCCounselNameChar"/>
          <w:lang w:val="fr-CA"/>
        </w:rPr>
        <w:t>Fenrick</w:t>
      </w:r>
      <w:proofErr w:type="spellEnd"/>
      <w:r w:rsidRPr="005D6CB9">
        <w:rPr>
          <w:rStyle w:val="SCCCounselPartyRoleChar"/>
          <w:lang w:val="fr-CA"/>
        </w:rPr>
        <w:t xml:space="preserve">, pour les </w:t>
      </w:r>
      <w:r w:rsidR="00542D7C" w:rsidRPr="005A2DEE">
        <w:rPr>
          <w:rStyle w:val="SCCCounselPartyRoleChar"/>
          <w:lang w:val="fr-CA"/>
        </w:rPr>
        <w:t>intimé</w:t>
      </w:r>
      <w:r w:rsidR="00542D7C">
        <w:rPr>
          <w:rStyle w:val="SCCCounselPartyRoleChar"/>
          <w:lang w:val="fr-CA"/>
        </w:rPr>
        <w:t>s</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00542D7C" w:rsidRPr="005D6CB9">
        <w:rPr>
          <w:rStyle w:val="SCCCounselPartyRoleChar"/>
          <w:lang w:val="fr-CA"/>
        </w:rPr>
        <w:t xml:space="preserve"> </w:t>
      </w:r>
      <w:r w:rsidR="005D6CB9" w:rsidRPr="005D6CB9">
        <w:rPr>
          <w:rStyle w:val="SCCCounselPartyRoleChar"/>
          <w:lang w:val="fr-CA"/>
        </w:rPr>
        <w:t xml:space="preserve">le </w:t>
      </w:r>
      <w:r w:rsidRPr="005D6CB9">
        <w:rPr>
          <w:rStyle w:val="SCCCounselPartyRoleChar"/>
          <w:lang w:val="fr-CA"/>
        </w:rPr>
        <w:t xml:space="preserve">Réseau juridique canadien VIH/sida </w:t>
      </w:r>
      <w:r w:rsidR="005D6CB9">
        <w:rPr>
          <w:rStyle w:val="SCCCounselPartyRoleChar"/>
          <w:lang w:val="fr-CA"/>
        </w:rPr>
        <w:t xml:space="preserve">et </w:t>
      </w:r>
      <w:r w:rsidRPr="005D6CB9">
        <w:rPr>
          <w:rStyle w:val="SCCCounselPartyRoleChar"/>
          <w:lang w:val="fr-CA"/>
        </w:rPr>
        <w:t xml:space="preserve">HIV &amp; AIDS </w:t>
      </w:r>
      <w:proofErr w:type="spellStart"/>
      <w:r w:rsidRPr="005D6CB9">
        <w:rPr>
          <w:rStyle w:val="SCCCounselPartyRoleChar"/>
          <w:lang w:val="fr-CA"/>
        </w:rPr>
        <w:t>Legal</w:t>
      </w:r>
      <w:proofErr w:type="spellEnd"/>
      <w:r w:rsidRPr="005D6CB9">
        <w:rPr>
          <w:rStyle w:val="SCCCounselPartyRoleChar"/>
          <w:lang w:val="fr-CA"/>
        </w:rPr>
        <w:t xml:space="preserve"> Clinic Ontario.</w:t>
      </w:r>
    </w:p>
    <w:p w:rsidR="005D6CB9" w:rsidRPr="00086872" w:rsidRDefault="005D6CB9" w:rsidP="00861E81">
      <w:pPr>
        <w:pStyle w:val="SCCNormalDoubleSpacing"/>
        <w:widowControl w:val="0"/>
        <w:rPr>
          <w:lang w:val="fr-CA"/>
        </w:rPr>
      </w:pPr>
    </w:p>
    <w:p w:rsidR="005D6CB9" w:rsidRPr="00086872" w:rsidRDefault="005D6CB9" w:rsidP="00861E81">
      <w:pPr>
        <w:pStyle w:val="SCCNormalDoubleSpacing"/>
        <w:widowControl w:val="0"/>
        <w:rPr>
          <w:lang w:val="fr-CA"/>
        </w:rPr>
      </w:pPr>
      <w:r w:rsidRPr="00417790">
        <w:rPr>
          <w:lang w:val="fr-CA"/>
        </w:rPr>
        <w:tab/>
      </w:r>
      <w:r w:rsidRPr="005D6CB9">
        <w:rPr>
          <w:lang w:val="fr-CA"/>
        </w:rPr>
        <w:t>Argumentation écrite seulement par</w:t>
      </w:r>
      <w:r w:rsidRPr="005D6CB9">
        <w:rPr>
          <w:i/>
          <w:lang w:val="fr-CA"/>
        </w:rPr>
        <w:t xml:space="preserve"> </w:t>
      </w:r>
      <w:r w:rsidRPr="00086872">
        <w:rPr>
          <w:rStyle w:val="SCCCounselNameChar"/>
          <w:lang w:val="fr-CA"/>
        </w:rPr>
        <w:t>Pierre Bienvenu</w:t>
      </w:r>
      <w:r w:rsidRPr="00086872">
        <w:rPr>
          <w:rStyle w:val="SCCCounselSeparatorChar"/>
          <w:lang w:val="fr-CA"/>
        </w:rPr>
        <w:t xml:space="preserve">, </w:t>
      </w:r>
      <w:r w:rsidRPr="00086872">
        <w:rPr>
          <w:rStyle w:val="SCCCounselPartyRoleChar"/>
          <w:lang w:val="fr-CA"/>
        </w:rPr>
        <w:t xml:space="preserve">pour </w:t>
      </w:r>
      <w:r w:rsidR="00542D7C" w:rsidRPr="005A2DEE">
        <w:rPr>
          <w:rStyle w:val="SCCCounselPartyRoleChar"/>
          <w:lang w:val="fr-CA"/>
        </w:rPr>
        <w:t xml:space="preserve">l’intimé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Pr="00086872">
        <w:rPr>
          <w:rStyle w:val="SCCCounselPartyRoleChar"/>
          <w:lang w:val="fr-CA"/>
        </w:rPr>
        <w:t xml:space="preserve"> </w:t>
      </w:r>
      <w:r>
        <w:rPr>
          <w:rStyle w:val="SCCCounselPartyRoleChar"/>
          <w:lang w:val="fr-CA"/>
        </w:rPr>
        <w:t xml:space="preserve">le </w:t>
      </w:r>
      <w:r w:rsidRPr="00086872">
        <w:rPr>
          <w:rStyle w:val="SCCCounselPartyRoleChar"/>
          <w:lang w:val="fr-CA"/>
        </w:rPr>
        <w:t>Collectif des médecins contre l</w:t>
      </w:r>
      <w:r>
        <w:rPr>
          <w:rStyle w:val="SCCCounselPartyRoleChar"/>
          <w:lang w:val="fr-CA"/>
        </w:rPr>
        <w:t>’</w:t>
      </w:r>
      <w:r w:rsidRPr="00086872">
        <w:rPr>
          <w:rStyle w:val="SCCCounselPartyRoleChar"/>
          <w:lang w:val="fr-CA"/>
        </w:rPr>
        <w:t>euthanasie.</w:t>
      </w:r>
    </w:p>
    <w:p w:rsidR="005D6CB9" w:rsidRPr="00086872" w:rsidRDefault="005D6CB9" w:rsidP="00861E81">
      <w:pPr>
        <w:pStyle w:val="SCCNormalDoubleSpacing"/>
        <w:widowControl w:val="0"/>
        <w:rPr>
          <w:lang w:val="fr-CA"/>
        </w:rPr>
      </w:pPr>
    </w:p>
    <w:p w:rsidR="005D6CB9" w:rsidRPr="005D6CB9" w:rsidRDefault="005D6CB9" w:rsidP="00861E81">
      <w:pPr>
        <w:pStyle w:val="SCCNormalDoubleSpacing"/>
        <w:widowControl w:val="0"/>
        <w:rPr>
          <w:lang w:val="fr-CA"/>
        </w:rPr>
      </w:pPr>
      <w:r w:rsidRPr="00F2342C">
        <w:rPr>
          <w:lang w:val="fr-CA"/>
        </w:rPr>
        <w:tab/>
      </w:r>
      <w:r w:rsidRPr="005D6CB9">
        <w:rPr>
          <w:lang w:val="fr-CA"/>
        </w:rPr>
        <w:t>Argumentation écrite seulement par</w:t>
      </w:r>
      <w:r w:rsidRPr="005D6CB9">
        <w:rPr>
          <w:i/>
          <w:lang w:val="fr-CA"/>
        </w:rPr>
        <w:t xml:space="preserve"> </w:t>
      </w:r>
      <w:r w:rsidRPr="005D6CB9">
        <w:rPr>
          <w:rStyle w:val="SCCCounselNameChar"/>
          <w:lang w:val="fr-CA"/>
        </w:rPr>
        <w:t xml:space="preserve">Kelly </w:t>
      </w:r>
      <w:proofErr w:type="spellStart"/>
      <w:r w:rsidRPr="005D6CB9">
        <w:rPr>
          <w:rStyle w:val="SCCCounselNameChar"/>
          <w:lang w:val="fr-CA"/>
        </w:rPr>
        <w:t>Doctor</w:t>
      </w:r>
      <w:proofErr w:type="spellEnd"/>
      <w:r w:rsidRPr="005D6CB9">
        <w:rPr>
          <w:rStyle w:val="SCCCounselPartyRoleChar"/>
          <w:lang w:val="fr-CA"/>
        </w:rPr>
        <w:t xml:space="preserve">, pour </w:t>
      </w:r>
      <w:r w:rsidR="00542D7C" w:rsidRPr="005A2DEE">
        <w:rPr>
          <w:rStyle w:val="SCCCounselPartyRoleChar"/>
          <w:lang w:val="fr-CA"/>
        </w:rPr>
        <w:t>l’intimé</w:t>
      </w:r>
      <w:r w:rsidR="00542D7C">
        <w:rPr>
          <w:rStyle w:val="SCCCounselPartyRoleChar"/>
          <w:lang w:val="fr-CA"/>
        </w:rPr>
        <w:t>e</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Pr="005D6CB9">
        <w:rPr>
          <w:rStyle w:val="SCCCounselPartyRoleChar"/>
          <w:lang w:val="fr-CA"/>
        </w:rPr>
        <w:t xml:space="preserve"> </w:t>
      </w:r>
      <w:proofErr w:type="spellStart"/>
      <w:r w:rsidRPr="005D6CB9">
        <w:rPr>
          <w:rStyle w:val="SCCCounselPartyRoleChar"/>
          <w:lang w:val="fr-CA"/>
        </w:rPr>
        <w:t>Dying</w:t>
      </w:r>
      <w:proofErr w:type="spellEnd"/>
      <w:r w:rsidRPr="005D6CB9">
        <w:rPr>
          <w:rStyle w:val="SCCCounselPartyRoleChar"/>
          <w:lang w:val="fr-CA"/>
        </w:rPr>
        <w:t xml:space="preserve"> </w:t>
      </w:r>
      <w:proofErr w:type="spellStart"/>
      <w:r w:rsidRPr="005D6CB9">
        <w:rPr>
          <w:rStyle w:val="SCCCounselPartyRoleChar"/>
          <w:lang w:val="fr-CA"/>
        </w:rPr>
        <w:t>With</w:t>
      </w:r>
      <w:proofErr w:type="spellEnd"/>
      <w:r w:rsidRPr="005D6CB9">
        <w:rPr>
          <w:rStyle w:val="SCCCounselPartyRoleChar"/>
          <w:lang w:val="fr-CA"/>
        </w:rPr>
        <w:t xml:space="preserve"> </w:t>
      </w:r>
      <w:proofErr w:type="spellStart"/>
      <w:r w:rsidRPr="005D6CB9">
        <w:rPr>
          <w:rStyle w:val="SCCCounselPartyRoleChar"/>
          <w:lang w:val="fr-CA"/>
        </w:rPr>
        <w:t>Dignity</w:t>
      </w:r>
      <w:proofErr w:type="spellEnd"/>
      <w:r w:rsidRPr="005D6CB9">
        <w:rPr>
          <w:rStyle w:val="SCCCounselPartyRoleChar"/>
          <w:lang w:val="fr-CA"/>
        </w:rPr>
        <w:t>.</w:t>
      </w:r>
    </w:p>
    <w:p w:rsidR="005D6CB9" w:rsidRPr="005D6CB9" w:rsidRDefault="005D6CB9" w:rsidP="00861E81">
      <w:pPr>
        <w:pStyle w:val="SCCNormalDoubleSpacing"/>
        <w:widowControl w:val="0"/>
        <w:rPr>
          <w:lang w:val="fr-CA"/>
        </w:rPr>
      </w:pPr>
    </w:p>
    <w:p w:rsidR="005D6CB9" w:rsidRPr="005D6CB9" w:rsidRDefault="005D6CB9" w:rsidP="00861E81">
      <w:pPr>
        <w:pStyle w:val="SCCNormalDoubleSpacing"/>
        <w:widowControl w:val="0"/>
        <w:rPr>
          <w:lang w:val="fr-CA"/>
        </w:rPr>
      </w:pPr>
      <w:r w:rsidRPr="00417790">
        <w:rPr>
          <w:rStyle w:val="SCCCounselNameChar"/>
          <w:rFonts w:eastAsiaTheme="majorEastAsia"/>
          <w:i w:val="0"/>
          <w:lang w:val="fr-CA"/>
        </w:rPr>
        <w:tab/>
      </w:r>
      <w:r w:rsidRPr="005D6CB9">
        <w:rPr>
          <w:rStyle w:val="SCCCounselNameChar"/>
          <w:rFonts w:eastAsiaTheme="majorEastAsia"/>
          <w:lang w:val="fr-CA"/>
        </w:rPr>
        <w:t>Jean Nelson</w:t>
      </w:r>
      <w:r w:rsidRPr="005D6CB9">
        <w:rPr>
          <w:rStyle w:val="SCCCounselPartyRoleChar"/>
          <w:lang w:val="fr-CA"/>
        </w:rPr>
        <w:t xml:space="preserve">, pour </w:t>
      </w:r>
      <w:r w:rsidR="00542D7C" w:rsidRPr="005A2DEE">
        <w:rPr>
          <w:rStyle w:val="SCCCounselPartyRoleChar"/>
          <w:lang w:val="fr-CA"/>
        </w:rPr>
        <w:t>l’intimé</w:t>
      </w:r>
      <w:r w:rsidR="00542D7C">
        <w:rPr>
          <w:rStyle w:val="SCCCounselPartyRoleChar"/>
          <w:lang w:val="fr-CA"/>
        </w:rPr>
        <w:t>e</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Pr="005D6CB9">
        <w:rPr>
          <w:rStyle w:val="SCCCounselPartyRoleChar"/>
          <w:lang w:val="fr-CA"/>
        </w:rPr>
        <w:t xml:space="preserve"> </w:t>
      </w:r>
      <w:r>
        <w:rPr>
          <w:rStyle w:val="SCCCounselPartyRoleChar"/>
          <w:lang w:val="fr-CA"/>
        </w:rPr>
        <w:t>l’</w:t>
      </w:r>
      <w:r w:rsidRPr="005D6CB9">
        <w:rPr>
          <w:rStyle w:val="SCCCounselPartyRoleChar"/>
          <w:lang w:val="fr-CA"/>
        </w:rPr>
        <w:t>Association médicale canadienne.</w:t>
      </w:r>
    </w:p>
    <w:p w:rsidR="005D6CB9" w:rsidRPr="005D6CB9" w:rsidRDefault="005D6CB9" w:rsidP="00861E81">
      <w:pPr>
        <w:pStyle w:val="SCCNormalDoubleSpacing"/>
        <w:widowControl w:val="0"/>
        <w:rPr>
          <w:lang w:val="fr-CA"/>
        </w:rPr>
      </w:pPr>
    </w:p>
    <w:p w:rsidR="005D6CB9" w:rsidRPr="00086872" w:rsidRDefault="005D6CB9" w:rsidP="00861E81">
      <w:pPr>
        <w:pStyle w:val="SCCNormalDoubleSpacing"/>
        <w:widowControl w:val="0"/>
        <w:rPr>
          <w:lang w:val="fr-CA"/>
        </w:rPr>
      </w:pPr>
      <w:r w:rsidRPr="00F2342C">
        <w:rPr>
          <w:lang w:val="fr-CA"/>
        </w:rPr>
        <w:tab/>
      </w:r>
      <w:r w:rsidRPr="005D6CB9">
        <w:rPr>
          <w:lang w:val="fr-CA"/>
        </w:rPr>
        <w:t>Argumentation écrite seulement par</w:t>
      </w:r>
      <w:r w:rsidRPr="005D6CB9">
        <w:rPr>
          <w:i/>
          <w:lang w:val="fr-CA"/>
        </w:rPr>
        <w:t xml:space="preserve"> </w:t>
      </w:r>
      <w:r w:rsidRPr="00086872">
        <w:rPr>
          <w:rStyle w:val="SCCCounselNameChar"/>
          <w:lang w:val="fr-CA"/>
        </w:rPr>
        <w:t xml:space="preserve">Jason </w:t>
      </w:r>
      <w:proofErr w:type="spellStart"/>
      <w:r w:rsidRPr="00086872">
        <w:rPr>
          <w:rStyle w:val="SCCCounselNameChar"/>
          <w:lang w:val="fr-CA"/>
        </w:rPr>
        <w:t>Gratl</w:t>
      </w:r>
      <w:proofErr w:type="spellEnd"/>
      <w:r w:rsidRPr="00086872">
        <w:rPr>
          <w:rStyle w:val="SCCCounselPartyRoleChar"/>
          <w:lang w:val="fr-CA"/>
        </w:rPr>
        <w:t xml:space="preserve">, pour </w:t>
      </w:r>
      <w:r w:rsidR="00542D7C" w:rsidRPr="005A2DEE">
        <w:rPr>
          <w:rStyle w:val="SCCCounselPartyRoleChar"/>
          <w:lang w:val="fr-CA"/>
        </w:rPr>
        <w:t>l’intimé</w:t>
      </w:r>
      <w:r w:rsidR="00542D7C">
        <w:rPr>
          <w:rStyle w:val="SCCCounselPartyRoleChar"/>
          <w:lang w:val="fr-CA"/>
        </w:rPr>
        <w:t>e</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Pr="00086872">
        <w:rPr>
          <w:rStyle w:val="SCCCounselPartyRoleChar"/>
          <w:lang w:val="fr-CA"/>
        </w:rPr>
        <w:t xml:space="preserve"> </w:t>
      </w:r>
      <w:r>
        <w:rPr>
          <w:rStyle w:val="SCCCounselPartyRoleChar"/>
          <w:lang w:val="fr-CA"/>
        </w:rPr>
        <w:t>l’</w:t>
      </w:r>
      <w:r w:rsidRPr="00086872">
        <w:rPr>
          <w:rStyle w:val="SCCCounselPartyRoleChar"/>
          <w:lang w:val="fr-CA"/>
        </w:rPr>
        <w:t>Association québ</w:t>
      </w:r>
      <w:r>
        <w:rPr>
          <w:rStyle w:val="SCCCounselPartyRoleChar"/>
          <w:lang w:val="fr-CA"/>
        </w:rPr>
        <w:t>é</w:t>
      </w:r>
      <w:r w:rsidRPr="00086872">
        <w:rPr>
          <w:rStyle w:val="SCCCounselPartyRoleChar"/>
          <w:lang w:val="fr-CA"/>
        </w:rPr>
        <w:t>coise pour le droit de mourir dans la dignité.</w:t>
      </w:r>
    </w:p>
    <w:p w:rsidR="005D6CB9" w:rsidRPr="00086872" w:rsidRDefault="005D6CB9" w:rsidP="00861E81">
      <w:pPr>
        <w:pStyle w:val="SCCNormalDoubleSpacing"/>
        <w:widowControl w:val="0"/>
        <w:rPr>
          <w:lang w:val="fr-CA"/>
        </w:rPr>
      </w:pPr>
    </w:p>
    <w:p w:rsidR="00E61CCD" w:rsidRPr="00F2342C" w:rsidRDefault="00D93E2F" w:rsidP="00861E81">
      <w:pPr>
        <w:pStyle w:val="SCCNormalDoubleSpacing"/>
        <w:widowControl w:val="0"/>
        <w:rPr>
          <w:rStyle w:val="SCCCounselPartyRoleChar"/>
          <w:lang w:val="fr-CA"/>
        </w:rPr>
      </w:pPr>
      <w:r w:rsidRPr="00F2342C">
        <w:rPr>
          <w:lang w:val="fr-CA"/>
        </w:rPr>
        <w:tab/>
        <w:t>Argumentation écrite seulement par</w:t>
      </w:r>
      <w:r w:rsidRPr="00F2342C">
        <w:rPr>
          <w:i/>
          <w:lang w:val="fr-CA"/>
        </w:rPr>
        <w:t xml:space="preserve"> </w:t>
      </w:r>
      <w:r w:rsidRPr="00F2342C">
        <w:rPr>
          <w:rStyle w:val="SCCCounselNameChar"/>
          <w:lang w:val="fr-CA"/>
        </w:rPr>
        <w:t>Angus M. Gunn</w:t>
      </w:r>
      <w:r w:rsidRPr="00F2342C">
        <w:rPr>
          <w:rStyle w:val="SCCCounselNameChar"/>
          <w:i w:val="0"/>
          <w:lang w:val="fr-CA"/>
        </w:rPr>
        <w:t xml:space="preserve">, </w:t>
      </w:r>
      <w:proofErr w:type="spellStart"/>
      <w:proofErr w:type="gramStart"/>
      <w:r w:rsidRPr="00F2342C">
        <w:rPr>
          <w:rStyle w:val="SCCCounselNameChar"/>
          <w:lang w:val="fr-CA"/>
        </w:rPr>
        <w:t>c</w:t>
      </w:r>
      <w:r w:rsidR="00914AB1" w:rsidRPr="00F2342C">
        <w:rPr>
          <w:rStyle w:val="SCCCounselNameChar"/>
          <w:lang w:val="fr-CA"/>
        </w:rPr>
        <w:t>.</w:t>
      </w:r>
      <w:r w:rsidRPr="00F2342C">
        <w:rPr>
          <w:rStyle w:val="SCCCounselNameChar"/>
          <w:lang w:val="fr-CA"/>
        </w:rPr>
        <w:t>r</w:t>
      </w:r>
      <w:proofErr w:type="spellEnd"/>
      <w:r w:rsidR="00914AB1" w:rsidRPr="00F2342C">
        <w:rPr>
          <w:rStyle w:val="SCCCounselNameChar"/>
          <w:lang w:val="fr-CA"/>
        </w:rPr>
        <w:t>.</w:t>
      </w:r>
      <w:r w:rsidR="00914AB1" w:rsidRPr="00F2342C">
        <w:rPr>
          <w:rStyle w:val="SCCCounselPartyRoleChar"/>
          <w:lang w:val="fr-CA"/>
        </w:rPr>
        <w:t>,</w:t>
      </w:r>
      <w:proofErr w:type="gramEnd"/>
      <w:r w:rsidR="00914AB1" w:rsidRPr="00F2342C">
        <w:rPr>
          <w:rStyle w:val="SCCCounselPartyRoleChar"/>
          <w:lang w:val="fr-CA"/>
        </w:rPr>
        <w:t xml:space="preserve"> pour </w:t>
      </w:r>
      <w:r w:rsidR="00542D7C" w:rsidRPr="00F2342C">
        <w:rPr>
          <w:rStyle w:val="SCCCounselPartyRoleChar"/>
          <w:lang w:val="fr-CA"/>
        </w:rPr>
        <w:t xml:space="preserve">l’intimée </w:t>
      </w:r>
      <w:r w:rsidR="00F2342C">
        <w:rPr>
          <w:rStyle w:val="SCCCounselPartyRoleChar"/>
          <w:lang w:val="fr-CA"/>
        </w:rPr>
        <w:t>à la</w:t>
      </w:r>
      <w:r w:rsidR="00F2342C" w:rsidRPr="00542D7C">
        <w:rPr>
          <w:rStyle w:val="SCCCounselPartyRoleChar"/>
          <w:lang w:val="fr-CA"/>
        </w:rPr>
        <w:t xml:space="preserve"> </w:t>
      </w:r>
      <w:r w:rsidR="00542D7C" w:rsidRPr="00F2342C">
        <w:rPr>
          <w:rStyle w:val="SCCCounselPartyRoleChar"/>
          <w:lang w:val="fr-CA"/>
        </w:rPr>
        <w:t>requête</w:t>
      </w:r>
      <w:r w:rsidR="00542D7C" w:rsidRPr="00F2342C">
        <w:rPr>
          <w:rStyle w:val="SCCCounselPartyRoleChar"/>
          <w:rFonts w:eastAsiaTheme="majorEastAsia"/>
          <w:lang w:val="fr-CA"/>
        </w:rPr>
        <w:t xml:space="preserve"> </w:t>
      </w:r>
      <w:r w:rsidRPr="00F2342C">
        <w:rPr>
          <w:rStyle w:val="SCCCounselPartyRoleChar"/>
          <w:rFonts w:eastAsiaTheme="majorEastAsia"/>
          <w:lang w:val="fr-CA"/>
        </w:rPr>
        <w:t xml:space="preserve">Alliance of People </w:t>
      </w:r>
      <w:proofErr w:type="spellStart"/>
      <w:r w:rsidRPr="00F2342C">
        <w:rPr>
          <w:rStyle w:val="SCCCounselPartyRoleChar"/>
          <w:rFonts w:eastAsiaTheme="majorEastAsia"/>
          <w:lang w:val="fr-CA"/>
        </w:rPr>
        <w:t>With</w:t>
      </w:r>
      <w:proofErr w:type="spellEnd"/>
      <w:r w:rsidRPr="00F2342C">
        <w:rPr>
          <w:rStyle w:val="SCCCounselPartyRoleChar"/>
          <w:rFonts w:eastAsiaTheme="majorEastAsia"/>
          <w:lang w:val="fr-CA"/>
        </w:rPr>
        <w:t xml:space="preserve"> </w:t>
      </w:r>
      <w:proofErr w:type="spellStart"/>
      <w:r w:rsidRPr="00F2342C">
        <w:rPr>
          <w:rStyle w:val="SCCCounselPartyRoleChar"/>
          <w:rFonts w:eastAsiaTheme="majorEastAsia"/>
          <w:lang w:val="fr-CA"/>
        </w:rPr>
        <w:t>Disabilities</w:t>
      </w:r>
      <w:proofErr w:type="spellEnd"/>
      <w:r w:rsidRPr="00F2342C">
        <w:rPr>
          <w:rStyle w:val="SCCCounselPartyRoleChar"/>
          <w:rFonts w:eastAsiaTheme="majorEastAsia"/>
          <w:lang w:val="fr-CA"/>
        </w:rPr>
        <w:t xml:space="preserve"> </w:t>
      </w:r>
      <w:proofErr w:type="spellStart"/>
      <w:r w:rsidRPr="00F2342C">
        <w:rPr>
          <w:rStyle w:val="SCCCounselPartyRoleChar"/>
          <w:rFonts w:eastAsiaTheme="majorEastAsia"/>
          <w:lang w:val="fr-CA"/>
        </w:rPr>
        <w:t>Who</w:t>
      </w:r>
      <w:proofErr w:type="spellEnd"/>
      <w:r w:rsidRPr="00F2342C">
        <w:rPr>
          <w:rStyle w:val="SCCCounselPartyRoleChar"/>
          <w:rFonts w:eastAsiaTheme="majorEastAsia"/>
          <w:lang w:val="fr-CA"/>
        </w:rPr>
        <w:t xml:space="preserve"> are </w:t>
      </w:r>
      <w:proofErr w:type="spellStart"/>
      <w:r w:rsidRPr="00F2342C">
        <w:rPr>
          <w:rStyle w:val="SCCCounselPartyRoleChar"/>
          <w:rFonts w:eastAsiaTheme="majorEastAsia"/>
          <w:lang w:val="fr-CA"/>
        </w:rPr>
        <w:t>Supportive</w:t>
      </w:r>
      <w:proofErr w:type="spellEnd"/>
      <w:r w:rsidRPr="00F2342C">
        <w:rPr>
          <w:rStyle w:val="SCCCounselPartyRoleChar"/>
          <w:rFonts w:eastAsiaTheme="majorEastAsia"/>
          <w:lang w:val="fr-CA"/>
        </w:rPr>
        <w:t xml:space="preserve"> of </w:t>
      </w:r>
      <w:proofErr w:type="spellStart"/>
      <w:r w:rsidRPr="00F2342C">
        <w:rPr>
          <w:rStyle w:val="SCCCounselPartyRoleChar"/>
          <w:rFonts w:eastAsiaTheme="majorEastAsia"/>
          <w:lang w:val="fr-CA"/>
        </w:rPr>
        <w:t>Legal</w:t>
      </w:r>
      <w:proofErr w:type="spellEnd"/>
      <w:r w:rsidRPr="00F2342C">
        <w:rPr>
          <w:rStyle w:val="SCCCounselPartyRoleChar"/>
          <w:rFonts w:eastAsiaTheme="majorEastAsia"/>
          <w:lang w:val="fr-CA"/>
        </w:rPr>
        <w:t xml:space="preserve"> </w:t>
      </w:r>
      <w:proofErr w:type="spellStart"/>
      <w:r w:rsidRPr="00F2342C">
        <w:rPr>
          <w:rStyle w:val="SCCCounselPartyRoleChar"/>
          <w:rFonts w:eastAsiaTheme="majorEastAsia"/>
          <w:lang w:val="fr-CA"/>
        </w:rPr>
        <w:t>Assisted</w:t>
      </w:r>
      <w:proofErr w:type="spellEnd"/>
      <w:r w:rsidRPr="00F2342C">
        <w:rPr>
          <w:rStyle w:val="SCCCounselPartyRoleChar"/>
          <w:rFonts w:eastAsiaTheme="majorEastAsia"/>
          <w:lang w:val="fr-CA"/>
        </w:rPr>
        <w:t xml:space="preserve"> </w:t>
      </w:r>
      <w:proofErr w:type="spellStart"/>
      <w:r w:rsidRPr="00F2342C">
        <w:rPr>
          <w:rStyle w:val="SCCCounselPartyRoleChar"/>
          <w:rFonts w:eastAsiaTheme="majorEastAsia"/>
          <w:lang w:val="fr-CA"/>
        </w:rPr>
        <w:t>Dying</w:t>
      </w:r>
      <w:proofErr w:type="spellEnd"/>
      <w:r w:rsidRPr="00F2342C">
        <w:rPr>
          <w:rStyle w:val="SCCCounselPartyRoleChar"/>
          <w:rFonts w:eastAsiaTheme="majorEastAsia"/>
          <w:lang w:val="fr-CA"/>
        </w:rPr>
        <w:t xml:space="preserve"> Society</w:t>
      </w:r>
      <w:r w:rsidR="00914AB1" w:rsidRPr="00F2342C">
        <w:rPr>
          <w:rStyle w:val="SCCCounselPartyRoleChar"/>
          <w:lang w:val="fr-CA"/>
        </w:rPr>
        <w:t>.</w:t>
      </w:r>
    </w:p>
    <w:p w:rsidR="00D93E2F" w:rsidRPr="00F2342C" w:rsidRDefault="00D93E2F" w:rsidP="00861E81">
      <w:pPr>
        <w:pStyle w:val="SCCNormalDoubleSpacing"/>
        <w:widowControl w:val="0"/>
        <w:rPr>
          <w:lang w:val="fr-CA"/>
        </w:rPr>
      </w:pPr>
    </w:p>
    <w:p w:rsidR="00E61CCD" w:rsidRPr="00086872" w:rsidRDefault="00D93E2F" w:rsidP="00861E81">
      <w:pPr>
        <w:pStyle w:val="SCCNormalDoubleSpacing"/>
        <w:widowControl w:val="0"/>
        <w:rPr>
          <w:lang w:val="fr-CA"/>
        </w:rPr>
      </w:pPr>
      <w:r w:rsidRPr="00F2342C">
        <w:rPr>
          <w:lang w:val="fr-CA"/>
        </w:rPr>
        <w:tab/>
      </w:r>
      <w:r w:rsidRPr="00D93E2F">
        <w:rPr>
          <w:lang w:val="fr-CA"/>
        </w:rPr>
        <w:t>Argumentation écrite seulement par</w:t>
      </w:r>
      <w:r w:rsidRPr="00D93E2F">
        <w:rPr>
          <w:i/>
          <w:lang w:val="fr-CA"/>
        </w:rPr>
        <w:t xml:space="preserve"> </w:t>
      </w:r>
      <w:r w:rsidR="00914AB1" w:rsidRPr="00086872">
        <w:rPr>
          <w:rStyle w:val="SCCCounselNameChar"/>
          <w:lang w:val="fr-CA"/>
        </w:rPr>
        <w:t>Tim Dickson</w:t>
      </w:r>
      <w:r w:rsidR="00914AB1" w:rsidRPr="00086872">
        <w:rPr>
          <w:rStyle w:val="SCCCounselPartyRoleChar"/>
          <w:lang w:val="fr-CA"/>
        </w:rPr>
        <w:t xml:space="preserve">, pour </w:t>
      </w:r>
      <w:r w:rsidR="00542D7C" w:rsidRPr="005A2DEE">
        <w:rPr>
          <w:rStyle w:val="SCCCounselPartyRoleChar"/>
          <w:lang w:val="fr-CA"/>
        </w:rPr>
        <w:t xml:space="preserve">l’intimé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Pr>
          <w:rStyle w:val="SCCCounselPartyRoleChar"/>
          <w:lang w:val="fr-CA"/>
        </w:rPr>
        <w:t xml:space="preserve"> le</w:t>
      </w:r>
      <w:r w:rsidR="00914AB1" w:rsidRPr="00086872">
        <w:rPr>
          <w:rStyle w:val="SCCCounselPartyRoleChar"/>
          <w:lang w:val="fr-CA"/>
        </w:rPr>
        <w:t xml:space="preserve"> </w:t>
      </w:r>
      <w:r w:rsidRPr="00D93E2F">
        <w:rPr>
          <w:rStyle w:val="SCCCounselPartyRoleChar"/>
          <w:lang w:val="fr-CA"/>
        </w:rPr>
        <w:t>Conseil unitarien du Canada</w:t>
      </w:r>
      <w:r w:rsidR="00914AB1" w:rsidRPr="00086872">
        <w:rPr>
          <w:rStyle w:val="SCCCounselPartyRoleChar"/>
          <w:lang w:val="fr-CA"/>
        </w:rPr>
        <w:t>.</w:t>
      </w:r>
    </w:p>
    <w:p w:rsidR="00E61CCD" w:rsidRPr="00086872" w:rsidRDefault="00E61CCD" w:rsidP="00861E81">
      <w:pPr>
        <w:pStyle w:val="SCCNormalDoubleSpacing"/>
        <w:widowControl w:val="0"/>
        <w:rPr>
          <w:lang w:val="fr-CA"/>
        </w:rPr>
      </w:pPr>
    </w:p>
    <w:p w:rsidR="00E61CCD" w:rsidRDefault="00D93E2F" w:rsidP="00861E81">
      <w:pPr>
        <w:pStyle w:val="SCCNormalDoubleSpacing"/>
        <w:widowControl w:val="0"/>
        <w:spacing w:after="480"/>
        <w:rPr>
          <w:rStyle w:val="SCCCounselPartyRoleChar"/>
          <w:lang w:val="fr-CA"/>
        </w:rPr>
      </w:pPr>
      <w:r w:rsidRPr="00417790">
        <w:rPr>
          <w:lang w:val="fr-CA"/>
        </w:rPr>
        <w:tab/>
      </w:r>
      <w:r w:rsidRPr="00D93E2F">
        <w:rPr>
          <w:lang w:val="fr-CA"/>
        </w:rPr>
        <w:t>Argumentation écrite seulement par</w:t>
      </w:r>
      <w:r w:rsidRPr="00D93E2F">
        <w:rPr>
          <w:i/>
          <w:lang w:val="fr-CA"/>
        </w:rPr>
        <w:t xml:space="preserve"> </w:t>
      </w:r>
      <w:r w:rsidRPr="00D93E2F">
        <w:rPr>
          <w:rStyle w:val="SCCCounselNameChar"/>
          <w:lang w:val="fr-CA"/>
        </w:rPr>
        <w:t>Hugh </w:t>
      </w:r>
      <w:r w:rsidR="00914AB1" w:rsidRPr="00D93E2F">
        <w:rPr>
          <w:rStyle w:val="SCCCounselNameChar"/>
          <w:lang w:val="fr-CA"/>
        </w:rPr>
        <w:t xml:space="preserve">R. </w:t>
      </w:r>
      <w:proofErr w:type="spellStart"/>
      <w:r w:rsidR="00914AB1" w:rsidRPr="00D93E2F">
        <w:rPr>
          <w:rStyle w:val="SCCCounselNameChar"/>
          <w:lang w:val="fr-CA"/>
        </w:rPr>
        <w:t>Scher</w:t>
      </w:r>
      <w:proofErr w:type="spellEnd"/>
      <w:r w:rsidR="00914AB1" w:rsidRPr="00D93E2F">
        <w:rPr>
          <w:rStyle w:val="SCCCounselSeparatorChar"/>
          <w:lang w:val="fr-CA"/>
        </w:rPr>
        <w:t xml:space="preserve"> et </w:t>
      </w:r>
      <w:r w:rsidR="00914AB1" w:rsidRPr="00D93E2F">
        <w:rPr>
          <w:rStyle w:val="SCCCounselNameChar"/>
          <w:lang w:val="fr-CA"/>
        </w:rPr>
        <w:t>Geoff</w:t>
      </w:r>
      <w:r w:rsidRPr="00D93E2F">
        <w:rPr>
          <w:rStyle w:val="SCCCounselNameChar"/>
          <w:lang w:val="fr-CA"/>
        </w:rPr>
        <w:t>rey Cowper</w:t>
      </w:r>
      <w:r w:rsidRPr="00D93E2F">
        <w:rPr>
          <w:rStyle w:val="SCCCounselNameChar"/>
          <w:i w:val="0"/>
          <w:lang w:val="fr-CA"/>
        </w:rPr>
        <w:t xml:space="preserve">, </w:t>
      </w:r>
      <w:proofErr w:type="spellStart"/>
      <w:proofErr w:type="gramStart"/>
      <w:r w:rsidRPr="00D93E2F">
        <w:rPr>
          <w:rStyle w:val="SCCCounselNameChar"/>
          <w:lang w:val="fr-CA"/>
        </w:rPr>
        <w:t>c</w:t>
      </w:r>
      <w:r w:rsidR="00914AB1" w:rsidRPr="00D93E2F">
        <w:rPr>
          <w:rStyle w:val="SCCCounselNameChar"/>
          <w:lang w:val="fr-CA"/>
        </w:rPr>
        <w:t>.</w:t>
      </w:r>
      <w:r w:rsidRPr="00D93E2F">
        <w:rPr>
          <w:rStyle w:val="SCCCounselNameChar"/>
          <w:lang w:val="fr-CA"/>
        </w:rPr>
        <w:t>r</w:t>
      </w:r>
      <w:proofErr w:type="spellEnd"/>
      <w:r w:rsidR="00914AB1" w:rsidRPr="00D93E2F">
        <w:rPr>
          <w:rStyle w:val="SCCCounselNameChar"/>
          <w:lang w:val="fr-CA"/>
        </w:rPr>
        <w:t>.</w:t>
      </w:r>
      <w:r w:rsidR="00914AB1" w:rsidRPr="00D93E2F">
        <w:rPr>
          <w:rStyle w:val="SCCCounselPartyRoleChar"/>
          <w:lang w:val="fr-CA"/>
        </w:rPr>
        <w:t>,</w:t>
      </w:r>
      <w:proofErr w:type="gramEnd"/>
      <w:r w:rsidR="00914AB1" w:rsidRPr="00D93E2F">
        <w:rPr>
          <w:rStyle w:val="SCCCounselPartyRoleChar"/>
          <w:lang w:val="fr-CA"/>
        </w:rPr>
        <w:t xml:space="preserve"> pour l</w:t>
      </w:r>
      <w:r w:rsidRPr="00D93E2F">
        <w:rPr>
          <w:rStyle w:val="SCCCounselPartyRoleChar"/>
          <w:lang w:val="fr-CA"/>
        </w:rPr>
        <w:t xml:space="preserve">es </w:t>
      </w:r>
      <w:r w:rsidR="00542D7C" w:rsidRPr="005A2DEE">
        <w:rPr>
          <w:rStyle w:val="SCCCounselPartyRoleChar"/>
          <w:lang w:val="fr-CA"/>
        </w:rPr>
        <w:t>intimé</w:t>
      </w:r>
      <w:r w:rsidR="00542D7C">
        <w:rPr>
          <w:rStyle w:val="SCCCounselPartyRoleChar"/>
          <w:lang w:val="fr-CA"/>
        </w:rPr>
        <w:t>es</w:t>
      </w:r>
      <w:r w:rsidR="00542D7C" w:rsidRPr="005A2DEE">
        <w:rPr>
          <w:rStyle w:val="SCCCounselPartyRoleChar"/>
          <w:lang w:val="fr-CA"/>
        </w:rPr>
        <w:t xml:space="preserve"> </w:t>
      </w:r>
      <w:r w:rsidR="00F2342C">
        <w:rPr>
          <w:rStyle w:val="SCCCounselPartyRoleChar"/>
          <w:lang w:val="fr-CA"/>
        </w:rPr>
        <w:t>à la</w:t>
      </w:r>
      <w:r w:rsidR="00F2342C" w:rsidRPr="00542D7C">
        <w:rPr>
          <w:rStyle w:val="SCCCounselPartyRoleChar"/>
          <w:lang w:val="fr-CA"/>
        </w:rPr>
        <w:t xml:space="preserve"> </w:t>
      </w:r>
      <w:r w:rsidR="00542D7C" w:rsidRPr="00542D7C">
        <w:rPr>
          <w:rStyle w:val="SCCCounselPartyRoleChar"/>
          <w:lang w:val="fr-CA"/>
        </w:rPr>
        <w:t>requête</w:t>
      </w:r>
      <w:r w:rsidR="00542D7C">
        <w:rPr>
          <w:rStyle w:val="SCCCounselPartyRoleChar"/>
          <w:lang w:val="fr-CA"/>
        </w:rPr>
        <w:t xml:space="preserve"> </w:t>
      </w:r>
      <w:r>
        <w:rPr>
          <w:rStyle w:val="SCCCounselPartyRoleChar"/>
          <w:lang w:val="fr-CA"/>
        </w:rPr>
        <w:t xml:space="preserve">la </w:t>
      </w:r>
      <w:r w:rsidRPr="00D93E2F">
        <w:rPr>
          <w:rStyle w:val="SCCCounselPartyRoleChar"/>
          <w:lang w:val="fr-CA"/>
        </w:rPr>
        <w:t xml:space="preserve">Coalition pour la prévention de l’euthanasie </w:t>
      </w:r>
      <w:r>
        <w:rPr>
          <w:rStyle w:val="SCCCounselPartyRoleChar"/>
          <w:lang w:val="fr-CA"/>
        </w:rPr>
        <w:t>et</w:t>
      </w:r>
      <w:r w:rsidR="00914AB1" w:rsidRPr="00D93E2F">
        <w:rPr>
          <w:rStyle w:val="SCCCounselPartyRoleChar"/>
          <w:lang w:val="fr-CA"/>
        </w:rPr>
        <w:t xml:space="preserve"> Euthanasia </w:t>
      </w:r>
      <w:proofErr w:type="spellStart"/>
      <w:r w:rsidR="00914AB1" w:rsidRPr="00D93E2F">
        <w:rPr>
          <w:rStyle w:val="SCCCounselPartyRoleChar"/>
          <w:lang w:val="fr-CA"/>
        </w:rPr>
        <w:t>Prevention</w:t>
      </w:r>
      <w:proofErr w:type="spellEnd"/>
      <w:r w:rsidR="00914AB1" w:rsidRPr="00D93E2F">
        <w:rPr>
          <w:rStyle w:val="SCCCounselPartyRoleChar"/>
          <w:lang w:val="fr-CA"/>
        </w:rPr>
        <w:t xml:space="preserve"> Coalition </w:t>
      </w:r>
      <w:r w:rsidRPr="00D93E2F">
        <w:rPr>
          <w:rStyle w:val="SCCCounselPartyRoleChar"/>
          <w:rFonts w:eastAsiaTheme="majorEastAsia"/>
          <w:lang w:val="fr-CA"/>
        </w:rPr>
        <w:t xml:space="preserve">— </w:t>
      </w:r>
      <w:r w:rsidR="00914AB1" w:rsidRPr="00D93E2F">
        <w:rPr>
          <w:rStyle w:val="SCCCounselPartyRoleChar"/>
          <w:lang w:val="fr-CA"/>
        </w:rPr>
        <w:t>British Columbia.</w:t>
      </w:r>
    </w:p>
    <w:p w:rsidR="00B06D71" w:rsidRDefault="00AF1F88" w:rsidP="00861E81">
      <w:pPr>
        <w:pStyle w:val="SCCNormalDoubleSpacing"/>
        <w:widowControl w:val="0"/>
        <w:spacing w:after="480"/>
        <w:jc w:val="center"/>
        <w:rPr>
          <w:lang w:val="fr-CA"/>
        </w:rPr>
      </w:pPr>
      <w:r>
        <w:rPr>
          <w:lang w:val="fr-CA"/>
        </w:rPr>
        <w:t>ORDONNANCE</w:t>
      </w:r>
    </w:p>
    <w:p w:rsidR="00B06D71" w:rsidRPr="002E64BC" w:rsidRDefault="00B06D71" w:rsidP="00861E81">
      <w:pPr>
        <w:pStyle w:val="ParaNoNdepar-AltN"/>
        <w:widowControl w:val="0"/>
        <w:numPr>
          <w:ilvl w:val="0"/>
          <w:numId w:val="2"/>
        </w:numPr>
        <w:rPr>
          <w:rFonts w:eastAsia="Times New Roman"/>
          <w:lang w:val="fr-CA"/>
        </w:rPr>
      </w:pPr>
      <w:r w:rsidRPr="00323A19">
        <w:rPr>
          <w:rFonts w:eastAsia="Times New Roman" w:cs="Times New Roman"/>
          <w:smallCaps/>
          <w:szCs w:val="24"/>
          <w:lang w:val="fr-CA" w:eastAsia="en-CA"/>
        </w:rPr>
        <w:t xml:space="preserve">Les juges Abella, Karakatsanis, Wagner, Gascon et Côté — </w:t>
      </w:r>
      <w:r w:rsidRPr="00E43BA1">
        <w:rPr>
          <w:rFonts w:eastAsia="Times New Roman"/>
          <w:lang w:val="fr-CA"/>
        </w:rPr>
        <w:t>Le procureur général du Canada demande la prorogation de six mois de la suspension de la prise d’effet du jugement déclaratoire de la Cour suivant lequel l’al. 241</w:t>
      </w:r>
      <w:r w:rsidRPr="00E43BA1">
        <w:rPr>
          <w:rFonts w:eastAsia="Times New Roman"/>
          <w:i/>
          <w:lang w:val="fr-CA"/>
        </w:rPr>
        <w:t>b</w:t>
      </w:r>
      <w:r>
        <w:rPr>
          <w:rFonts w:eastAsia="Times New Roman"/>
          <w:lang w:val="fr-CA"/>
        </w:rPr>
        <w:t>) et l’art. </w:t>
      </w:r>
      <w:r w:rsidRPr="00E43BA1">
        <w:rPr>
          <w:rFonts w:eastAsia="Times New Roman"/>
          <w:lang w:val="fr-CA"/>
        </w:rPr>
        <w:t xml:space="preserve">14 du </w:t>
      </w:r>
      <w:r w:rsidRPr="00E43BA1">
        <w:rPr>
          <w:rFonts w:eastAsia="Times New Roman"/>
          <w:i/>
          <w:iCs/>
          <w:lang w:val="fr-CA"/>
        </w:rPr>
        <w:t>Code criminel</w:t>
      </w:r>
      <w:r w:rsidRPr="00E43BA1">
        <w:rPr>
          <w:rFonts w:eastAsia="Times New Roman"/>
          <w:iCs/>
          <w:lang w:val="fr-CA"/>
        </w:rPr>
        <w:t xml:space="preserve">, L.R.C. 1985, c. C-46, « sont inopérants dans la mesure où ils prohibent l’aide d’un médecin pour mourir à une </w:t>
      </w:r>
      <w:r>
        <w:rPr>
          <w:rFonts w:eastAsia="Times New Roman"/>
          <w:iCs/>
          <w:lang w:val="fr-CA"/>
        </w:rPr>
        <w:t>personne adulte capable qui (1) </w:t>
      </w:r>
      <w:r w:rsidRPr="00E43BA1">
        <w:rPr>
          <w:rFonts w:eastAsia="Times New Roman"/>
          <w:iCs/>
          <w:lang w:val="fr-CA"/>
        </w:rPr>
        <w:t xml:space="preserve">consent clairement à </w:t>
      </w:r>
      <w:r>
        <w:rPr>
          <w:rFonts w:eastAsia="Times New Roman"/>
          <w:iCs/>
          <w:lang w:val="fr-CA"/>
        </w:rPr>
        <w:t>mettre fin à sa vie; et qui (2) </w:t>
      </w:r>
      <w:r w:rsidRPr="00E43BA1">
        <w:rPr>
          <w:rFonts w:eastAsia="Times New Roman"/>
          <w:iCs/>
          <w:lang w:val="fr-CA"/>
        </w:rPr>
        <w:t>est affectée de problèmes de santé graves et irrémédiables (y compris une affection, une maladie ou un handicap) lui causant des souffrances persistantes qui lui sont intolérables au regard de sa condition ». La prise d’effet de la déclaration d’invalidité de l’al. 241</w:t>
      </w:r>
      <w:r w:rsidRPr="00E43BA1">
        <w:rPr>
          <w:rFonts w:eastAsia="Times New Roman"/>
          <w:i/>
          <w:iCs/>
          <w:lang w:val="fr-CA"/>
        </w:rPr>
        <w:t>b</w:t>
      </w:r>
      <w:r w:rsidRPr="00E43BA1">
        <w:rPr>
          <w:rFonts w:eastAsia="Times New Roman"/>
          <w:iCs/>
          <w:lang w:val="fr-CA"/>
        </w:rPr>
        <w:t>) et de l’art</w:t>
      </w:r>
      <w:r>
        <w:rPr>
          <w:rFonts w:eastAsia="Times New Roman"/>
          <w:iCs/>
          <w:lang w:val="fr-CA"/>
        </w:rPr>
        <w:t>. 14 a été suspendue pendant 12 mois, soit jusqu’au 6 </w:t>
      </w:r>
      <w:r w:rsidRPr="00E43BA1">
        <w:rPr>
          <w:rFonts w:eastAsia="Times New Roman"/>
          <w:iCs/>
          <w:lang w:val="fr-CA"/>
        </w:rPr>
        <w:t>février 2016. Les appelants s’opposent à la demande du procureur général. Si une prorogation de la suspension était accordée, la procureure générale du Québec demande que la loi réglementant l’assistance en fin de vie adoptée par cette province soit soustraite à la suspension. À son avis, cela permettrait d’éviter une incertitude quant à l’existence d’un conflit entre le régime québécois et</w:t>
      </w:r>
      <w:r w:rsidRPr="00E43BA1">
        <w:rPr>
          <w:rFonts w:eastAsia="Times New Roman"/>
          <w:lang w:val="fr-CA"/>
        </w:rPr>
        <w:t xml:space="preserve"> la prohibition fédérale maintenue par la prorogation de la suspension. </w:t>
      </w:r>
      <w:r w:rsidRPr="002E64BC">
        <w:rPr>
          <w:rFonts w:eastAsia="Times New Roman"/>
          <w:lang w:val="fr-CA"/>
        </w:rPr>
        <w:t xml:space="preserve">Enfin, les appelants et certains intervenants demandent à la Cour d’accorder une exemption constitutionnelle aux individus qui souhaitent demander de l’aide pour mettre fin à leurs jours durant une éventuelle prorogation. </w:t>
      </w:r>
    </w:p>
    <w:p w:rsidR="00B06D71" w:rsidRPr="002E64BC" w:rsidRDefault="00B06D71" w:rsidP="00861E81">
      <w:pPr>
        <w:pStyle w:val="ParaNoNdepar-AltN"/>
        <w:widowControl w:val="0"/>
        <w:numPr>
          <w:ilvl w:val="0"/>
          <w:numId w:val="2"/>
        </w:numPr>
        <w:rPr>
          <w:rFonts w:eastAsia="Times New Roman"/>
          <w:lang w:val="fr-CA"/>
        </w:rPr>
      </w:pPr>
      <w:r w:rsidRPr="002E64BC">
        <w:rPr>
          <w:rFonts w:eastAsia="Times New Roman" w:cs="Times New Roman"/>
          <w:lang w:val="fr-CA"/>
        </w:rPr>
        <w:t xml:space="preserve">La première question est celle de savoir si la Cour doit ordonner la prorogation de la suspension de la prise d’effet de la déclaration d’invalidité. Suspendre la prise d’effet de la déclaration d’invalidité constitutionnelle d’une loi est une mesure extraordinaire, car elle a pour effet de maintenir </w:t>
      </w:r>
      <w:r>
        <w:rPr>
          <w:rFonts w:eastAsia="Times New Roman" w:cs="Times New Roman"/>
          <w:lang w:val="fr-CA"/>
        </w:rPr>
        <w:t xml:space="preserve">en vigueur </w:t>
      </w:r>
      <w:r w:rsidRPr="002E64BC">
        <w:rPr>
          <w:rFonts w:eastAsia="Times New Roman" w:cs="Times New Roman"/>
          <w:lang w:val="fr-CA"/>
        </w:rPr>
        <w:t xml:space="preserve">une loi inconstitutionnelle, en violation des droits constitutionnels des </w:t>
      </w:r>
      <w:r>
        <w:rPr>
          <w:rFonts w:eastAsia="Times New Roman" w:cs="Times New Roman"/>
          <w:lang w:val="fr-CA"/>
        </w:rPr>
        <w:t>membres de la société canadienne</w:t>
      </w:r>
      <w:r w:rsidRPr="002E64BC">
        <w:rPr>
          <w:rFonts w:eastAsia="Times New Roman" w:cs="Times New Roman"/>
          <w:lang w:val="fr-CA"/>
        </w:rPr>
        <w:t xml:space="preserve">. Proroger une telle suspension pose encore plus problème. Les appelants soulignent d’ailleurs que la prorogation </w:t>
      </w:r>
      <w:r>
        <w:rPr>
          <w:rFonts w:eastAsia="Times New Roman" w:cs="Times New Roman"/>
          <w:lang w:val="fr-CA"/>
        </w:rPr>
        <w:t>causera</w:t>
      </w:r>
      <w:r w:rsidRPr="002E64BC">
        <w:rPr>
          <w:rFonts w:eastAsia="Times New Roman" w:cs="Times New Roman"/>
          <w:lang w:val="fr-CA"/>
        </w:rPr>
        <w:t xml:space="preserve"> un tort considérable à certaines personnes. L’existence de circonstances exceptionnelles doit être démontrée. C’est donc un lourd fardeau qui incombe au procureur général sollicitant la prorogation de la suspension </w:t>
      </w:r>
      <w:r>
        <w:rPr>
          <w:rFonts w:eastAsia="Times New Roman" w:cs="Times New Roman"/>
          <w:lang w:val="fr-CA"/>
        </w:rPr>
        <w:t xml:space="preserve">de la prise d’effet </w:t>
      </w:r>
      <w:r w:rsidRPr="002E64BC">
        <w:rPr>
          <w:rFonts w:eastAsia="Times New Roman" w:cs="Times New Roman"/>
          <w:lang w:val="fr-CA"/>
        </w:rPr>
        <w:t xml:space="preserve">d’une déclaration d’invalidité constitutionnelle. En l’espèce, la durée de l’interruption des travaux sur une réponse législative à l’arrêt de la Cour en raison d’une élection fédérale constitue une circonstance de ce genre. Le Parlement a été dissous le 2 août 2015 et a repris officiellement ses travaux le 3 décembre de la même année. Cet intermède de quatre mois justifie de proroger la suspension de la prise d’effet de la déclaration d’invalidité, mais seulement pour une période de quatre mois.   </w:t>
      </w:r>
    </w:p>
    <w:p w:rsidR="00B06D71" w:rsidRPr="002E64BC" w:rsidRDefault="00B06D71" w:rsidP="00861E81">
      <w:pPr>
        <w:pStyle w:val="ParaNoNdepar-AltN"/>
        <w:widowControl w:val="0"/>
        <w:numPr>
          <w:ilvl w:val="0"/>
          <w:numId w:val="2"/>
        </w:numPr>
        <w:rPr>
          <w:rFonts w:eastAsia="Times New Roman"/>
          <w:lang w:val="fr-CA"/>
        </w:rPr>
      </w:pPr>
      <w:r w:rsidRPr="002E64BC">
        <w:rPr>
          <w:rFonts w:eastAsia="Times New Roman" w:cs="Times New Roman"/>
          <w:lang w:val="fr-CA"/>
        </w:rPr>
        <w:t>La question suivante est celle de savoir si la province de Québec devrait être soustraite à la prorogation de quatre mois de la suspension de la prise d’effet de la déclaration d’invalidité. Le procureur général du Canada et les procureurs généraux</w:t>
      </w:r>
      <w:r w:rsidR="0053405C">
        <w:rPr>
          <w:rFonts w:eastAsia="Times New Roman" w:cs="Times New Roman"/>
          <w:lang w:val="fr-CA"/>
        </w:rPr>
        <w:t xml:space="preserve"> provinciaux</w:t>
      </w:r>
      <w:r w:rsidRPr="002E64BC">
        <w:rPr>
          <w:rFonts w:eastAsia="Times New Roman" w:cs="Times New Roman"/>
          <w:lang w:val="fr-CA"/>
        </w:rPr>
        <w:t xml:space="preserve"> qui ont participé à l’audience ne s’opposent pas à la demande d’exemption du Québec. Selon ce dernier, une exemption est nécessaire pour clarifier l’état du droit au Québec compte tenu de sa loi régissant l’assistance en fin de vie, la </w:t>
      </w:r>
      <w:r w:rsidRPr="002E64BC">
        <w:rPr>
          <w:rFonts w:eastAsia="Times New Roman" w:cs="Times New Roman"/>
          <w:i/>
          <w:lang w:val="fr-CA"/>
        </w:rPr>
        <w:t>Loi concernant les soins de fin de vie</w:t>
      </w:r>
      <w:r w:rsidRPr="002E64BC">
        <w:rPr>
          <w:rFonts w:eastAsia="Times New Roman" w:cs="Times New Roman"/>
          <w:lang w:val="fr-CA"/>
        </w:rPr>
        <w:t>, RLRQ, c. S-32.0001 (« </w:t>
      </w:r>
      <w:r w:rsidRPr="002E64BC">
        <w:rPr>
          <w:rFonts w:eastAsia="Times New Roman" w:cs="Times New Roman"/>
          <w:i/>
          <w:lang w:val="fr-CA"/>
        </w:rPr>
        <w:t>LCSFV </w:t>
      </w:r>
      <w:r w:rsidRPr="002E64BC">
        <w:rPr>
          <w:rFonts w:eastAsia="Times New Roman" w:cs="Times New Roman"/>
          <w:lang w:val="fr-CA"/>
        </w:rPr>
        <w:t xml:space="preserve">»), </w:t>
      </w:r>
      <w:r>
        <w:rPr>
          <w:rFonts w:eastAsia="Times New Roman" w:cs="Times New Roman"/>
          <w:lang w:val="fr-CA"/>
        </w:rPr>
        <w:t>qui est entrée en vigueur le 10 </w:t>
      </w:r>
      <w:r w:rsidRPr="002E64BC">
        <w:rPr>
          <w:rFonts w:eastAsia="Times New Roman" w:cs="Times New Roman"/>
          <w:lang w:val="fr-CA"/>
        </w:rPr>
        <w:t>décembre 2015. Le Québec soutient en outre que l’exemption permettrait d’éviter l’effet paralysant de la menace de possibles violations de la prohibition criminelle ou d’une possible responsabilité civile durant la prorogation de quatre mois de la suspension de la prise d’effet de la déclaration d’invalidité.</w:t>
      </w:r>
    </w:p>
    <w:p w:rsidR="00B06D71" w:rsidRPr="002E64BC" w:rsidRDefault="00B06D71" w:rsidP="00861E81">
      <w:pPr>
        <w:pStyle w:val="ParaNoNdepar-AltN"/>
        <w:widowControl w:val="0"/>
        <w:numPr>
          <w:ilvl w:val="0"/>
          <w:numId w:val="2"/>
        </w:numPr>
        <w:rPr>
          <w:rFonts w:eastAsia="Times New Roman"/>
          <w:lang w:val="fr-CA"/>
        </w:rPr>
      </w:pPr>
      <w:r w:rsidRPr="002E64BC">
        <w:rPr>
          <w:rFonts w:eastAsia="Times New Roman" w:cs="Times New Roman"/>
          <w:lang w:val="fr-CA"/>
        </w:rPr>
        <w:t xml:space="preserve">Partant, et </w:t>
      </w:r>
      <w:r>
        <w:rPr>
          <w:rFonts w:eastAsia="Times New Roman" w:cs="Times New Roman"/>
          <w:lang w:val="fr-CA"/>
        </w:rPr>
        <w:t>puisque</w:t>
      </w:r>
      <w:r w:rsidRPr="002E64BC">
        <w:rPr>
          <w:rFonts w:eastAsia="Times New Roman" w:cs="Times New Roman"/>
          <w:lang w:val="fr-CA"/>
        </w:rPr>
        <w:t xml:space="preserve"> les procureurs généraux ne s’opposent pas à la demande de la procureure générale du Québec visant à ce que le Québec soit soustrait à la prorogation de la suspension de la prise d’effet de la déclaration d’invalidité, nous sommes d’avis d’accorder l’exemption. Que nous nous prononcions de la sorte ne doit toutefois pas être interprété comme l’expression d’un quelconque point de vue quant à la validité de la </w:t>
      </w:r>
      <w:r w:rsidRPr="002E64BC">
        <w:rPr>
          <w:rFonts w:eastAsia="Times New Roman" w:cs="Times New Roman"/>
          <w:i/>
          <w:lang w:val="fr-CA"/>
        </w:rPr>
        <w:t>LCSFV</w:t>
      </w:r>
      <w:r w:rsidRPr="002E64BC">
        <w:rPr>
          <w:rFonts w:eastAsia="Times New Roman" w:cs="Times New Roman"/>
          <w:lang w:val="fr-CA"/>
        </w:rPr>
        <w:t>.</w:t>
      </w:r>
    </w:p>
    <w:p w:rsidR="00B06D71" w:rsidRPr="002E64BC" w:rsidRDefault="00B06D71" w:rsidP="00861E81">
      <w:pPr>
        <w:pStyle w:val="ParaNoNdepar-AltN"/>
        <w:widowControl w:val="0"/>
        <w:numPr>
          <w:ilvl w:val="0"/>
          <w:numId w:val="2"/>
        </w:numPr>
        <w:rPr>
          <w:rFonts w:eastAsia="Times New Roman"/>
          <w:lang w:val="fr-CA"/>
        </w:rPr>
      </w:pPr>
      <w:r w:rsidRPr="002E64BC">
        <w:rPr>
          <w:rFonts w:eastAsia="Times New Roman" w:cs="Times New Roman"/>
          <w:lang w:val="fr-CA"/>
        </w:rPr>
        <w:t xml:space="preserve">La troisième question est celle de savoir si, pour la durée de la prorogation de quatre mois, la Cour devrait accorder une exemption à ceux qui souhaitent demander de l’aide pour mettre fin à leurs jours sur le fondement des motifs énoncés dans </w:t>
      </w:r>
      <w:r w:rsidRPr="002E64BC">
        <w:rPr>
          <w:rFonts w:eastAsia="Times New Roman" w:cs="Times New Roman"/>
          <w:i/>
          <w:iCs/>
          <w:lang w:val="fr-CA"/>
        </w:rPr>
        <w:t>Carter c. Canada (Procureur général)</w:t>
      </w:r>
      <w:r w:rsidRPr="002E64BC">
        <w:rPr>
          <w:rFonts w:eastAsia="Times New Roman" w:cs="Times New Roman"/>
          <w:iCs/>
          <w:lang w:val="fr-CA"/>
        </w:rPr>
        <w:t>, 2015 CSC 5, [2015] 1 R.C.S. 331</w:t>
      </w:r>
      <w:r w:rsidRPr="002E64BC">
        <w:rPr>
          <w:rFonts w:eastAsia="Times New Roman" w:cs="Times New Roman"/>
          <w:i/>
          <w:iCs/>
          <w:lang w:val="fr-CA"/>
        </w:rPr>
        <w:t>.</w:t>
      </w:r>
      <w:r>
        <w:rPr>
          <w:rFonts w:eastAsia="Times New Roman" w:cs="Times New Roman"/>
          <w:lang w:val="fr-CA"/>
        </w:rPr>
        <w:t xml:space="preserve"> </w:t>
      </w:r>
      <w:r w:rsidRPr="002E64BC">
        <w:rPr>
          <w:rFonts w:eastAsia="Times New Roman" w:cs="Times New Roman"/>
          <w:lang w:val="fr-CA"/>
        </w:rPr>
        <w:t>Les appelants soutiennent que l’équité et l’égalité l’exigent, en particulier si le Québec est soustrait à la prorogation.</w:t>
      </w:r>
    </w:p>
    <w:p w:rsidR="00B06D71" w:rsidRPr="002E64BC" w:rsidRDefault="00B06D71" w:rsidP="00861E81">
      <w:pPr>
        <w:pStyle w:val="ParaNoNdepar-AltN"/>
        <w:widowControl w:val="0"/>
        <w:numPr>
          <w:ilvl w:val="0"/>
          <w:numId w:val="2"/>
        </w:numPr>
        <w:rPr>
          <w:rFonts w:eastAsia="Times New Roman"/>
          <w:lang w:val="fr-CA"/>
        </w:rPr>
      </w:pPr>
      <w:r w:rsidRPr="002E64BC">
        <w:rPr>
          <w:rFonts w:eastAsia="Times New Roman" w:cs="Times New Roman"/>
          <w:iCs/>
          <w:lang w:val="fr-CA"/>
        </w:rPr>
        <w:t xml:space="preserve">C’est la première fois que la Cour est appelée à se pencher sur l’opportunité d’accorder des exemptions individuelles </w:t>
      </w:r>
      <w:r>
        <w:rPr>
          <w:rFonts w:eastAsia="Times New Roman" w:cs="Times New Roman"/>
          <w:iCs/>
          <w:lang w:val="fr-CA"/>
        </w:rPr>
        <w:t xml:space="preserve">pendant </w:t>
      </w:r>
      <w:r w:rsidRPr="002E64BC">
        <w:rPr>
          <w:rFonts w:eastAsia="Times New Roman" w:cs="Times New Roman"/>
          <w:iCs/>
          <w:lang w:val="fr-CA"/>
        </w:rPr>
        <w:t xml:space="preserve">la durée de la </w:t>
      </w:r>
      <w:r w:rsidRPr="002E64BC">
        <w:rPr>
          <w:rFonts w:eastAsia="Times New Roman" w:cs="Times New Roman"/>
          <w:i/>
          <w:iCs/>
          <w:lang w:val="fr-CA"/>
        </w:rPr>
        <w:t>prorogation</w:t>
      </w:r>
      <w:r w:rsidRPr="002E64BC">
        <w:rPr>
          <w:rFonts w:eastAsia="Times New Roman" w:cs="Times New Roman"/>
          <w:iCs/>
          <w:lang w:val="fr-CA"/>
        </w:rPr>
        <w:t xml:space="preserve"> d’une suspension de la prise d’effet d’une déclaration d’invalidité. La Cour avait accordé un an au </w:t>
      </w:r>
      <w:r>
        <w:rPr>
          <w:rFonts w:eastAsia="Times New Roman" w:cs="Times New Roman"/>
          <w:iCs/>
          <w:lang w:val="fr-CA"/>
        </w:rPr>
        <w:t>Parle</w:t>
      </w:r>
      <w:r w:rsidRPr="002E64BC">
        <w:rPr>
          <w:rFonts w:eastAsia="Times New Roman" w:cs="Times New Roman"/>
          <w:iCs/>
          <w:lang w:val="fr-CA"/>
        </w:rPr>
        <w:t xml:space="preserve">ment pour qu’il décide, le cas échéant, de la réponse législative qu’il convenait de donner. Tout en admettant qu’il faille plus de temps, nous ne voyons pas pour autant la nécessité de prolonger injustement la souffrance de ceux qui satisfont aux critères clairs que la Cour a énoncés dans </w:t>
      </w:r>
      <w:r w:rsidRPr="002E64BC">
        <w:rPr>
          <w:rFonts w:eastAsia="Times New Roman" w:cs="Times New Roman"/>
          <w:i/>
          <w:iCs/>
          <w:lang w:val="fr-CA"/>
        </w:rPr>
        <w:t>Carter</w:t>
      </w:r>
      <w:r w:rsidRPr="002E64BC">
        <w:rPr>
          <w:rFonts w:eastAsia="Times New Roman" w:cs="Times New Roman"/>
          <w:iCs/>
          <w:lang w:val="fr-CA"/>
        </w:rPr>
        <w:t>. Une exemption serait de nature à atténuer le tort considérable qui pourrait être causé à ces adultes qui sont affectés de problèmes de santé graves, intolérables et irrémédiables en leur donnant dès à présent accès à un recours, en attendant la réponse du Parlement. L</w:t>
      </w:r>
      <w:r w:rsidRPr="002E64BC">
        <w:rPr>
          <w:rFonts w:eastAsia="Times New Roman" w:cs="Times New Roman"/>
          <w:lang w:val="fr-CA"/>
        </w:rPr>
        <w:t xml:space="preserve">’atteinte portée aux droits par la prorogation de quatre mois l’emporte sur les considérations qui font contrepoids. En outre, l’exemption de la prorogation accordée au Québec soulève des préoccupations relatives à l’équité et à l’égalité à l’échelle de tout le pays. Nous sommes donc d’avis de faire droit à la demande d’exemption de sorte que ceux qui souhaitent demander l’aide d’un médecin, dans le respect des critères énoncés au par. 127 des motifs de la Cour dans </w:t>
      </w:r>
      <w:r w:rsidRPr="002E64BC">
        <w:rPr>
          <w:rFonts w:eastAsia="Times New Roman" w:cs="Times New Roman"/>
          <w:i/>
          <w:lang w:val="fr-CA"/>
        </w:rPr>
        <w:t>Carter</w:t>
      </w:r>
      <w:r w:rsidRPr="002E64BC">
        <w:rPr>
          <w:rFonts w:eastAsia="Times New Roman" w:cs="Times New Roman"/>
          <w:lang w:val="fr-CA"/>
        </w:rPr>
        <w:t xml:space="preserve">, puissent, pendant la durée de la </w:t>
      </w:r>
      <w:r>
        <w:rPr>
          <w:rFonts w:eastAsia="Times New Roman" w:cs="Times New Roman"/>
          <w:lang w:val="fr-CA"/>
        </w:rPr>
        <w:t xml:space="preserve">prorogation </w:t>
      </w:r>
      <w:r w:rsidRPr="002E64BC">
        <w:rPr>
          <w:rFonts w:eastAsia="Times New Roman" w:cs="Times New Roman"/>
          <w:lang w:val="fr-CA"/>
        </w:rPr>
        <w:t xml:space="preserve">de </w:t>
      </w:r>
      <w:r>
        <w:rPr>
          <w:rFonts w:eastAsia="Times New Roman" w:cs="Times New Roman"/>
          <w:lang w:val="fr-CA"/>
        </w:rPr>
        <w:t xml:space="preserve">la </w:t>
      </w:r>
      <w:r w:rsidRPr="002E64BC">
        <w:rPr>
          <w:rFonts w:eastAsia="Times New Roman" w:cs="Times New Roman"/>
          <w:lang w:val="fr-CA"/>
        </w:rPr>
        <w:t>suspension, s’adresser à la cour supérieure de leur province ou territoire pour solliciter une ordonnance. Exiger l’obtention d’une autorisation judiciaire durant cette période intérimaire assure le respect de la primauté du droit et offre une protection efficace contre les risques que pourraient courir les personnes vulnérables.</w:t>
      </w:r>
    </w:p>
    <w:p w:rsidR="00B06D71" w:rsidRPr="00E43BA1" w:rsidRDefault="00B06D71" w:rsidP="00861E81">
      <w:pPr>
        <w:pStyle w:val="ParaNoNdepar-AltN"/>
        <w:widowControl w:val="0"/>
        <w:numPr>
          <w:ilvl w:val="0"/>
          <w:numId w:val="2"/>
        </w:numPr>
        <w:rPr>
          <w:rFonts w:eastAsia="Times New Roman"/>
          <w:lang w:val="fr-CA"/>
        </w:rPr>
      </w:pPr>
      <w:r w:rsidRPr="002E64BC">
        <w:rPr>
          <w:rFonts w:eastAsia="Times New Roman" w:cs="Times New Roman"/>
          <w:lang w:val="fr-CA"/>
        </w:rPr>
        <w:t xml:space="preserve">La requête est accueillie en partie. La suspension de la prise d’effet de la déclaration d’invalidité est prorogée pour une période de quatre mois à compter de la date à laquelle il est prévu qu’elle prenne fin. Quant </w:t>
      </w:r>
      <w:proofErr w:type="gramStart"/>
      <w:r w:rsidRPr="002E64BC">
        <w:rPr>
          <w:rFonts w:eastAsia="Times New Roman" w:cs="Times New Roman"/>
          <w:lang w:val="fr-CA"/>
        </w:rPr>
        <w:t>aux art</w:t>
      </w:r>
      <w:proofErr w:type="gramEnd"/>
      <w:r w:rsidRPr="002E64BC">
        <w:rPr>
          <w:rFonts w:eastAsia="Times New Roman" w:cs="Times New Roman"/>
          <w:lang w:val="fr-CA"/>
        </w:rPr>
        <w:t xml:space="preserve">. 4 et 26 à 32 de la </w:t>
      </w:r>
      <w:r w:rsidRPr="002E64BC">
        <w:rPr>
          <w:rFonts w:eastAsia="Times New Roman" w:cs="Times New Roman"/>
          <w:i/>
          <w:lang w:val="fr-CA"/>
        </w:rPr>
        <w:t>LCSFV</w:t>
      </w:r>
      <w:r w:rsidRPr="002E64BC">
        <w:rPr>
          <w:rFonts w:eastAsia="Times New Roman" w:cs="Times New Roman"/>
          <w:lang w:val="fr-CA"/>
        </w:rPr>
        <w:t>, l</w:t>
      </w:r>
      <w:r>
        <w:rPr>
          <w:rFonts w:eastAsia="Times New Roman" w:cs="Times New Roman"/>
          <w:lang w:val="fr-CA"/>
        </w:rPr>
        <w:t>e Québec est soustrait</w:t>
      </w:r>
      <w:r w:rsidRPr="002E64BC">
        <w:rPr>
          <w:rFonts w:eastAsia="Times New Roman" w:cs="Times New Roman"/>
          <w:lang w:val="fr-CA"/>
        </w:rPr>
        <w:t xml:space="preserve"> à la prorogation de quatre mois. Finalement, pour la durée de la période de suspension supplémentaire de quatre mois, nous accordons une exemption à ceux qui souhaitent exercer leurs droits, de sorte qu’ils pourront s’adresser à la cour supérieure de leur province ou territoire pour solliciter une ordonnance qui respecte les critères énoncés au par. 127 des motifs de la Cour dans </w:t>
      </w:r>
      <w:r w:rsidRPr="002E64BC">
        <w:rPr>
          <w:rFonts w:eastAsia="Times New Roman" w:cs="Times New Roman"/>
          <w:i/>
          <w:lang w:val="fr-CA"/>
        </w:rPr>
        <w:t>Carter</w:t>
      </w:r>
      <w:r w:rsidRPr="002E64BC">
        <w:rPr>
          <w:rFonts w:eastAsia="Times New Roman" w:cs="Times New Roman"/>
          <w:lang w:val="fr-CA"/>
        </w:rPr>
        <w:t xml:space="preserve">. Nous octroyons aux appelants des </w:t>
      </w:r>
      <w:r w:rsidRPr="002E64BC">
        <w:rPr>
          <w:rFonts w:eastAsia="Times New Roman" w:cs="Times New Roman"/>
          <w:lang w:val="fr-FR"/>
        </w:rPr>
        <w:t>dépens spéciaux pour la présente requête sur la base de l’indemnisation intégrale, comme dans le pourvoi original.</w:t>
      </w:r>
    </w:p>
    <w:p w:rsidR="00B06D71" w:rsidRDefault="006F624F" w:rsidP="00861E81">
      <w:pPr>
        <w:pStyle w:val="SCCNormalDoubleSpacing"/>
        <w:widowControl w:val="0"/>
        <w:spacing w:after="480"/>
        <w:rPr>
          <w:lang w:val="fr-CA"/>
        </w:rPr>
      </w:pPr>
      <w:r>
        <w:rPr>
          <w:lang w:val="fr-CA"/>
        </w:rPr>
        <w:tab/>
      </w:r>
    </w:p>
    <w:p w:rsidR="006F624F" w:rsidRPr="002E64BC" w:rsidRDefault="006F624F" w:rsidP="00861E81">
      <w:pPr>
        <w:pStyle w:val="ParaNoNdepar-AltN"/>
        <w:widowControl w:val="0"/>
        <w:rPr>
          <w:rFonts w:eastAsia="Times New Roman"/>
          <w:lang w:val="fr-CA"/>
        </w:rPr>
      </w:pPr>
      <w:r w:rsidRPr="007241DC">
        <w:rPr>
          <w:rFonts w:eastAsia="Times New Roman" w:cs="Times New Roman"/>
          <w:smallCaps/>
          <w:szCs w:val="24"/>
          <w:lang w:val="fr-CA" w:eastAsia="en-CA"/>
        </w:rPr>
        <w:t>La Juge en chef et les juges Cromwell, Moldaver et Brown</w:t>
      </w:r>
      <w:r>
        <w:rPr>
          <w:rFonts w:eastAsia="Times New Roman" w:cs="Times New Roman"/>
          <w:smallCaps/>
          <w:szCs w:val="24"/>
          <w:lang w:val="fr-CA" w:eastAsia="en-CA"/>
        </w:rPr>
        <w:t xml:space="preserve"> </w:t>
      </w:r>
      <w:r w:rsidRPr="006F624F">
        <w:rPr>
          <w:rFonts w:eastAsia="Times New Roman" w:cs="Times New Roman"/>
          <w:szCs w:val="24"/>
          <w:lang w:val="fr-CA" w:eastAsia="en-CA"/>
        </w:rPr>
        <w:t>(dissidents en partie) —</w:t>
      </w:r>
      <w:r w:rsidRPr="007241DC">
        <w:rPr>
          <w:rFonts w:eastAsia="Times New Roman" w:cs="Times New Roman"/>
          <w:smallCaps/>
          <w:szCs w:val="24"/>
          <w:lang w:val="fr-CA" w:eastAsia="en-CA"/>
        </w:rPr>
        <w:t xml:space="preserve"> </w:t>
      </w:r>
      <w:r w:rsidRPr="002E64BC">
        <w:rPr>
          <w:rFonts w:eastAsia="Times New Roman"/>
          <w:lang w:val="fr-CA"/>
        </w:rPr>
        <w:t xml:space="preserve">Bien que nous souscrivions à la conclusion selon laquelle la prorogation de quatre mois est justifiée, nous sommes d’avis de ne pas y soustraire le Québec et de ne pas accorder d’exemptions individuelles. </w:t>
      </w:r>
    </w:p>
    <w:p w:rsidR="006F624F" w:rsidRPr="002E64BC" w:rsidRDefault="006F624F" w:rsidP="00861E81">
      <w:pPr>
        <w:pStyle w:val="ParaNoNdepar-AltN"/>
        <w:widowControl w:val="0"/>
        <w:rPr>
          <w:rFonts w:eastAsia="Times New Roman"/>
          <w:lang w:val="fr-CA"/>
        </w:rPr>
      </w:pPr>
      <w:r w:rsidRPr="002E64BC">
        <w:rPr>
          <w:rFonts w:eastAsia="Times New Roman" w:cs="Times New Roman"/>
          <w:lang w:val="fr-CA"/>
        </w:rPr>
        <w:t xml:space="preserve">Selon la procureure générale du Québec, une exemption est nécessaire pour clarifier l’état du droit au Québec compte tenu de sa loi régissant l’assistance en fin de vie, la </w:t>
      </w:r>
      <w:r w:rsidRPr="002E64BC">
        <w:rPr>
          <w:rFonts w:eastAsia="Times New Roman" w:cs="Times New Roman"/>
          <w:i/>
          <w:lang w:val="fr-CA"/>
        </w:rPr>
        <w:t>Loi concernant les soins de fin de vie</w:t>
      </w:r>
      <w:r w:rsidRPr="002E64BC">
        <w:rPr>
          <w:rFonts w:eastAsia="Times New Roman" w:cs="Times New Roman"/>
          <w:lang w:val="fr-CA"/>
        </w:rPr>
        <w:t>, RLRQ, c. S-32.0001 (« </w:t>
      </w:r>
      <w:r w:rsidRPr="002E64BC">
        <w:rPr>
          <w:rFonts w:eastAsia="Times New Roman" w:cs="Times New Roman"/>
          <w:i/>
          <w:lang w:val="fr-CA"/>
        </w:rPr>
        <w:t>LCSFV </w:t>
      </w:r>
      <w:r w:rsidRPr="002E64BC">
        <w:rPr>
          <w:rFonts w:eastAsia="Times New Roman" w:cs="Times New Roman"/>
          <w:lang w:val="fr-CA"/>
        </w:rPr>
        <w:t xml:space="preserve">»). Le Canada ne s’oppose pas à la demande d’exemption du Québec, notant que la loi québécoise </w:t>
      </w:r>
      <w:r>
        <w:rPr>
          <w:rFonts w:eastAsia="Times New Roman" w:cs="Times New Roman"/>
          <w:lang w:val="fr-CA"/>
        </w:rPr>
        <w:t>« représente le genre de mesure</w:t>
      </w:r>
      <w:r w:rsidR="00D90FD9">
        <w:rPr>
          <w:rFonts w:eastAsia="Times New Roman" w:cs="Times New Roman"/>
          <w:lang w:val="fr-CA"/>
        </w:rPr>
        <w:t xml:space="preserve"> réglementaire</w:t>
      </w:r>
      <w:r>
        <w:rPr>
          <w:rFonts w:eastAsia="Times New Roman" w:cs="Times New Roman"/>
          <w:lang w:val="fr-CA"/>
        </w:rPr>
        <w:t xml:space="preserve"> complexe</w:t>
      </w:r>
      <w:r w:rsidRPr="002E64BC">
        <w:rPr>
          <w:rFonts w:eastAsia="Times New Roman" w:cs="Times New Roman"/>
          <w:lang w:val="fr-CA"/>
        </w:rPr>
        <w:t xml:space="preserve"> » </w:t>
      </w:r>
      <w:r>
        <w:rPr>
          <w:rFonts w:eastAsia="Times New Roman" w:cs="Times New Roman"/>
          <w:lang w:val="fr-CA"/>
        </w:rPr>
        <w:t>envisagée</w:t>
      </w:r>
      <w:r w:rsidRPr="002E64BC">
        <w:rPr>
          <w:rFonts w:eastAsia="Times New Roman" w:cs="Times New Roman"/>
          <w:lang w:val="fr-CA"/>
        </w:rPr>
        <w:t xml:space="preserve"> dans l’arrêt </w:t>
      </w:r>
      <w:r w:rsidRPr="002E64BC">
        <w:rPr>
          <w:rFonts w:eastAsia="Times New Roman" w:cs="Times New Roman"/>
          <w:i/>
          <w:lang w:val="fr-CA"/>
        </w:rPr>
        <w:t xml:space="preserve">Carter </w:t>
      </w:r>
      <w:r w:rsidRPr="002E64BC">
        <w:rPr>
          <w:rFonts w:eastAsia="Times New Roman" w:cs="Times New Roman"/>
          <w:i/>
          <w:iCs/>
          <w:lang w:val="fr-CA"/>
        </w:rPr>
        <w:t>c. Canada (Procureur général)</w:t>
      </w:r>
      <w:r w:rsidRPr="002E64BC">
        <w:rPr>
          <w:rFonts w:eastAsia="Times New Roman" w:cs="Times New Roman"/>
          <w:iCs/>
          <w:lang w:val="fr-CA"/>
        </w:rPr>
        <w:t>, 2015 CSC 5, [2015</w:t>
      </w:r>
      <w:r w:rsidR="00D90FD9">
        <w:rPr>
          <w:rFonts w:eastAsia="Times New Roman" w:cs="Times New Roman"/>
          <w:iCs/>
          <w:lang w:val="fr-CA"/>
        </w:rPr>
        <w:t>]</w:t>
      </w:r>
      <w:r w:rsidRPr="002E64BC">
        <w:rPr>
          <w:rFonts w:eastAsia="Times New Roman" w:cs="Times New Roman"/>
          <w:iCs/>
          <w:lang w:val="fr-CA"/>
        </w:rPr>
        <w:t xml:space="preserve"> 1 R.C.S. 331 </w:t>
      </w:r>
      <w:r w:rsidRPr="002E64BC">
        <w:rPr>
          <w:rFonts w:eastAsia="Times New Roman" w:cs="Times New Roman"/>
          <w:lang w:val="fr-CA"/>
        </w:rPr>
        <w:t xml:space="preserve">: mémoire en réplique, par. 15. Les autres procureurs généraux intervenants ne s’opposent pas non plus à l’exemption. Le procureur général du Canada plaide toutefois que l’exemption est inutile. </w:t>
      </w:r>
    </w:p>
    <w:p w:rsidR="006F624F" w:rsidRPr="002E64BC" w:rsidRDefault="006F624F" w:rsidP="00861E81">
      <w:pPr>
        <w:pStyle w:val="ParaNoNdepar-AltN"/>
        <w:widowControl w:val="0"/>
        <w:rPr>
          <w:rFonts w:eastAsia="Times New Roman"/>
          <w:lang w:val="fr-CA"/>
        </w:rPr>
      </w:pPr>
      <w:r w:rsidRPr="002E64BC">
        <w:rPr>
          <w:rFonts w:eastAsia="Times New Roman" w:cs="Times New Roman"/>
          <w:lang w:val="fr-CA"/>
        </w:rPr>
        <w:t xml:space="preserve">Nous sommes d’accord avec le procureur général du Canada. La </w:t>
      </w:r>
      <w:r w:rsidRPr="002E64BC">
        <w:rPr>
          <w:rFonts w:eastAsia="Times New Roman" w:cs="Times New Roman"/>
          <w:i/>
          <w:lang w:val="fr-CA"/>
        </w:rPr>
        <w:t>LCSFV</w:t>
      </w:r>
      <w:r w:rsidRPr="002E64BC">
        <w:rPr>
          <w:rFonts w:eastAsia="Times New Roman" w:cs="Times New Roman"/>
          <w:lang w:val="fr-CA"/>
        </w:rPr>
        <w:t xml:space="preserve"> est entrée en vigueur le 10 décembre 2015 pendant que la suspension initiale de la prise d’effet de la déclaration d’invalidité était en vigueur. Aucune exemption à cette suspension de la déclaration de la Cour n’a été sollicitée à ce moment-là. Nous avons été informés du fait que la ministre de la Justice du Québec a communiqué au directeur des poursuites criminelles et pénales la directive de ne poursuivre aucun médecin qui respecte la </w:t>
      </w:r>
      <w:r w:rsidRPr="002E64BC">
        <w:rPr>
          <w:rFonts w:eastAsia="Times New Roman" w:cs="Times New Roman"/>
          <w:i/>
          <w:iCs/>
          <w:lang w:val="fr-CA"/>
        </w:rPr>
        <w:t xml:space="preserve">LCSFV </w:t>
      </w:r>
      <w:r w:rsidRPr="002E64BC">
        <w:rPr>
          <w:rFonts w:eastAsia="Times New Roman" w:cs="Times New Roman"/>
          <w:lang w:val="fr-CA"/>
        </w:rPr>
        <w:t>si l’exemption à la prorogation de la suspension n’était pas accordée. À notre avis, l’exemption qui est maintenant sollicitée n’ajoute</w:t>
      </w:r>
      <w:r>
        <w:rPr>
          <w:rFonts w:eastAsia="Times New Roman" w:cs="Times New Roman"/>
          <w:lang w:val="fr-CA"/>
        </w:rPr>
        <w:t>rait</w:t>
      </w:r>
      <w:r w:rsidRPr="002E64BC">
        <w:rPr>
          <w:rFonts w:eastAsia="Times New Roman" w:cs="Times New Roman"/>
          <w:lang w:val="fr-CA"/>
        </w:rPr>
        <w:t xml:space="preserve"> rien à la clarté du droit qui pouvait exister dans la province lorsque la </w:t>
      </w:r>
      <w:r w:rsidRPr="002E64BC">
        <w:rPr>
          <w:rFonts w:eastAsia="Times New Roman" w:cs="Times New Roman"/>
          <w:i/>
          <w:lang w:val="fr-CA"/>
        </w:rPr>
        <w:t>LCSFV</w:t>
      </w:r>
      <w:r w:rsidRPr="002E64BC">
        <w:rPr>
          <w:rFonts w:eastAsia="Times New Roman" w:cs="Times New Roman"/>
          <w:lang w:val="fr-CA"/>
        </w:rPr>
        <w:t xml:space="preserve"> est entrée en vigueur. Elle n’y enlève</w:t>
      </w:r>
      <w:r>
        <w:rPr>
          <w:rFonts w:eastAsia="Times New Roman" w:cs="Times New Roman"/>
          <w:lang w:val="fr-CA"/>
        </w:rPr>
        <w:t>rait</w:t>
      </w:r>
      <w:r w:rsidRPr="002E64BC">
        <w:rPr>
          <w:rFonts w:eastAsia="Times New Roman" w:cs="Times New Roman"/>
          <w:lang w:val="fr-CA"/>
        </w:rPr>
        <w:t xml:space="preserve"> rien non plus. Nous sommes donc d’avis de rejeter la demande du Québec sollicitant une exemption.</w:t>
      </w:r>
    </w:p>
    <w:p w:rsidR="006F624F" w:rsidRPr="002E64BC" w:rsidRDefault="006F624F" w:rsidP="00861E81">
      <w:pPr>
        <w:pStyle w:val="ParaNoNdepar-AltN"/>
        <w:widowControl w:val="0"/>
        <w:rPr>
          <w:rFonts w:eastAsia="Times New Roman"/>
          <w:lang w:val="fr-CA"/>
        </w:rPr>
      </w:pPr>
      <w:r>
        <w:rPr>
          <w:rFonts w:eastAsia="Times New Roman" w:cs="Times New Roman"/>
          <w:lang w:val="fr-CA"/>
        </w:rPr>
        <w:t>La question qu’il</w:t>
      </w:r>
      <w:r w:rsidRPr="002E64BC">
        <w:rPr>
          <w:rFonts w:eastAsia="Times New Roman" w:cs="Times New Roman"/>
          <w:lang w:val="fr-CA"/>
        </w:rPr>
        <w:t xml:space="preserve"> reste à trancher est celle de savoir si, pour la durée de la prorogation de quatre mois, la Cour devrait accorder une exemption constitutionnelle autorisant l’aide pour mettre fin à la vie sur le fondement des motifs énoncés dans </w:t>
      </w:r>
      <w:r w:rsidRPr="002E64BC">
        <w:rPr>
          <w:rFonts w:eastAsia="Times New Roman" w:cs="Times New Roman"/>
          <w:i/>
          <w:iCs/>
          <w:lang w:val="fr-CA"/>
        </w:rPr>
        <w:t>Carter.</w:t>
      </w:r>
      <w:r w:rsidRPr="002E64BC">
        <w:rPr>
          <w:rFonts w:eastAsia="Times New Roman" w:cs="Times New Roman"/>
          <w:lang w:val="fr-CA"/>
        </w:rPr>
        <w:t xml:space="preserve"> Les appelants réclament cette exemption, faisant valoir qu’elle soulagerait la souffrance d’individus et, si le Québec était soustrait à la prorogation de la suspension de la prise d’effet de la déclaration d’invalidité, qu’elle contribuerait en outre au respect des valeurs d’équité et d’égalité. </w:t>
      </w:r>
    </w:p>
    <w:p w:rsidR="006F624F" w:rsidRPr="002E64BC" w:rsidRDefault="006F624F" w:rsidP="00861E81">
      <w:pPr>
        <w:pStyle w:val="ParaNoNdepar-AltN"/>
        <w:widowControl w:val="0"/>
        <w:rPr>
          <w:rFonts w:eastAsia="Times New Roman"/>
        </w:rPr>
      </w:pPr>
      <w:r w:rsidRPr="002E64BC">
        <w:rPr>
          <w:rFonts w:eastAsia="Times New Roman" w:cs="Times New Roman"/>
          <w:lang w:val="fr-CA"/>
        </w:rPr>
        <w:t>Nous ne sommes pas convaincus que les appelants ont établi le bien-fondé d’une exemption constitutionnelle. Dans le jugement unanime sur le fond, la Cour a jugé qu’il n’était pas opportun dans la présente affaire de créer une procédure d’exemption pour la durée de la période au cours de laquelle la prise d’effet de la déclaration d’invalidité est suspendue. La Cour a écrit que cela « </w:t>
      </w:r>
      <w:r w:rsidRPr="002E64BC">
        <w:rPr>
          <w:rFonts w:eastAsia="Times New Roman" w:cs="Times New Roman"/>
          <w:lang w:val="fr-FR"/>
        </w:rPr>
        <w:t>serait source d’incertitude, saperait la primauté du droit et constituerait une usurpation de la fonction du législateur, qui est mieux placé que les tribunaux pour créer des régimes de réglementation complexes</w:t>
      </w:r>
      <w:r w:rsidRPr="002E64BC">
        <w:rPr>
          <w:rFonts w:eastAsia="Times New Roman" w:cs="Times New Roman"/>
          <w:lang w:val="fr-CA"/>
        </w:rPr>
        <w:t> » : par. 125. Or, à notre avis, ces considérations restent convaincantes.</w:t>
      </w:r>
    </w:p>
    <w:p w:rsidR="006F624F" w:rsidRPr="002E64BC" w:rsidRDefault="006F624F" w:rsidP="00861E81">
      <w:pPr>
        <w:pStyle w:val="ParaNoNdepar-AltN"/>
        <w:widowControl w:val="0"/>
        <w:rPr>
          <w:rFonts w:eastAsia="Times New Roman"/>
          <w:lang w:val="fr-CA"/>
        </w:rPr>
      </w:pPr>
      <w:r w:rsidRPr="002E64BC">
        <w:rPr>
          <w:rFonts w:eastAsia="Times New Roman" w:cs="Times New Roman"/>
          <w:lang w:val="fr-CA"/>
        </w:rPr>
        <w:t xml:space="preserve">Nous sommes d’avis d’accorder la prorogation de quatre mois de la suspension de la prise d’effet de la déclaration d’invalidité, mais de rejeter la demande du Québec pour y être soustrait ainsi que les demandes des appelants visant l’obtention d’exemptions individuelles applicables pour la durée de la période de suspension. </w:t>
      </w:r>
    </w:p>
    <w:p w:rsidR="006F624F" w:rsidRPr="002E64BC" w:rsidRDefault="006F624F" w:rsidP="00861E81">
      <w:pPr>
        <w:pStyle w:val="ParaNoNdepar-AltN"/>
        <w:widowControl w:val="0"/>
        <w:rPr>
          <w:rFonts w:eastAsia="Times New Roman"/>
          <w:lang w:val="fr-CA"/>
        </w:rPr>
      </w:pPr>
      <w:r w:rsidRPr="002E64BC">
        <w:rPr>
          <w:rFonts w:eastAsia="Times New Roman" w:cs="Times New Roman"/>
          <w:lang w:val="fr-CA"/>
        </w:rPr>
        <w:t>Nous ajoutons ceci. Nous ne sous-estimons pas la souffrance de ceux à qui l’on refuse encore l’accès à l’assistance dont ils ont besoin pour y mettre fin. Cela devrait re</w:t>
      </w:r>
      <w:r>
        <w:rPr>
          <w:rFonts w:eastAsia="Times New Roman" w:cs="Times New Roman"/>
          <w:lang w:val="fr-CA"/>
        </w:rPr>
        <w:t>ssortir clairement des motifs du</w:t>
      </w:r>
      <w:r w:rsidRPr="002E64BC">
        <w:rPr>
          <w:rFonts w:eastAsia="Times New Roman" w:cs="Times New Roman"/>
          <w:lang w:val="fr-CA"/>
        </w:rPr>
        <w:t xml:space="preserve"> jugement de la Cour sur le fond. Cependant, nous ne sous-estimons pas non plus la complexité des enjeux relatifs à la question fondamentale de savoir quand il devrait être légal de poser des gestes qui constitueraient autrement une conduite criminelle. La complexité des enjeux découle non seulement des dimensions morale et éthique profondes de la question, mais également du chevauchement des compétences législatives fédérale et provinciale en la matière. La Cour a conclu à l’unanimité dans son jugement sur le fond qu’il était préférable qu’il soit traité de ces enjeux par le processus législatif. Nous sommes toujours de cet avis. Que ce processus législatif ait besoin de plus de temps est regrettable, mais qu’il s’agisse du meilleur moyen pour traiter de la question n’en demeure pas moins vrai pour autant. </w:t>
      </w:r>
    </w:p>
    <w:p w:rsidR="006F624F" w:rsidRPr="002E64BC" w:rsidRDefault="006F624F" w:rsidP="00861E81">
      <w:pPr>
        <w:pStyle w:val="ParaNoNdepar-AltN"/>
        <w:widowControl w:val="0"/>
        <w:rPr>
          <w:rFonts w:eastAsia="Times New Roman"/>
          <w:lang w:val="fr-CA"/>
        </w:rPr>
      </w:pPr>
      <w:r w:rsidRPr="002E64BC">
        <w:rPr>
          <w:rFonts w:eastAsia="Times New Roman" w:cs="Times New Roman"/>
          <w:lang w:val="fr-CA"/>
        </w:rPr>
        <w:t xml:space="preserve">Nous sommes d’accord avec nos collègues que le procureur général du Canada doit payer aux appelants des dépens spéciaux pour la présente requête </w:t>
      </w:r>
      <w:r w:rsidRPr="002E64BC">
        <w:rPr>
          <w:rFonts w:eastAsia="Times New Roman" w:cs="Times New Roman"/>
          <w:iCs/>
          <w:lang w:val="fr-FR"/>
        </w:rPr>
        <w:t>sur la base de l’indemnisation intégrale</w:t>
      </w:r>
      <w:r w:rsidRPr="002E64BC">
        <w:rPr>
          <w:rFonts w:eastAsia="Times New Roman" w:cs="Times New Roman"/>
          <w:lang w:val="fr-CA"/>
        </w:rPr>
        <w:t xml:space="preserve">. </w:t>
      </w:r>
    </w:p>
    <w:p w:rsidR="004D7D95" w:rsidRPr="00086872" w:rsidRDefault="004D7D95" w:rsidP="00861E81">
      <w:pPr>
        <w:pStyle w:val="SCCNormalDoubleSpacing"/>
        <w:widowControl w:val="0"/>
        <w:rPr>
          <w:lang w:val="fr-CA"/>
        </w:rPr>
      </w:pPr>
      <w:r w:rsidRPr="00FF4662">
        <w:rPr>
          <w:lang w:val="fr-CA"/>
        </w:rPr>
        <w:tab/>
      </w:r>
      <w:r w:rsidR="00E53E53">
        <w:rPr>
          <w:i/>
          <w:lang w:val="fr-CA"/>
        </w:rPr>
        <w:t>Requête accueillie en partie</w:t>
      </w:r>
      <w:r w:rsidR="00573301">
        <w:rPr>
          <w:i/>
          <w:lang w:val="fr-CA"/>
        </w:rPr>
        <w:t xml:space="preserve"> avec dépens</w:t>
      </w:r>
      <w:r w:rsidR="006A1AB5">
        <w:rPr>
          <w:i/>
          <w:lang w:val="fr-CA"/>
        </w:rPr>
        <w:t>,</w:t>
      </w:r>
      <w:r w:rsidR="00E53E53">
        <w:rPr>
          <w:i/>
          <w:lang w:val="fr-CA"/>
        </w:rPr>
        <w:t xml:space="preserve"> </w:t>
      </w:r>
      <w:r w:rsidR="006A1AB5">
        <w:rPr>
          <w:i/>
          <w:lang w:val="fr-CA"/>
        </w:rPr>
        <w:t>l</w:t>
      </w:r>
      <w:r w:rsidR="00E53E53">
        <w:rPr>
          <w:i/>
          <w:lang w:val="fr-CA"/>
        </w:rPr>
        <w:t xml:space="preserve">a juge en chef </w:t>
      </w:r>
      <w:r w:rsidR="00E53E53" w:rsidRPr="006A1AB5">
        <w:rPr>
          <w:smallCaps/>
          <w:lang w:val="fr-CA"/>
        </w:rPr>
        <w:t>McLachlin</w:t>
      </w:r>
      <w:r w:rsidR="00E53E53">
        <w:rPr>
          <w:i/>
          <w:lang w:val="fr-CA"/>
        </w:rPr>
        <w:t xml:space="preserve"> et les juges </w:t>
      </w:r>
      <w:r w:rsidR="00E53E53" w:rsidRPr="006A1AB5">
        <w:rPr>
          <w:smallCaps/>
          <w:lang w:val="fr-CA"/>
        </w:rPr>
        <w:t>Cromwell</w:t>
      </w:r>
      <w:r w:rsidR="00E53E53">
        <w:rPr>
          <w:i/>
          <w:lang w:val="fr-CA"/>
        </w:rPr>
        <w:t xml:space="preserve">, </w:t>
      </w:r>
      <w:r w:rsidR="00E53E53" w:rsidRPr="006A1AB5">
        <w:rPr>
          <w:smallCaps/>
          <w:lang w:val="fr-CA"/>
        </w:rPr>
        <w:t>Moldaver</w:t>
      </w:r>
      <w:r w:rsidR="00E53E53">
        <w:rPr>
          <w:i/>
          <w:lang w:val="fr-CA"/>
        </w:rPr>
        <w:t xml:space="preserve"> et </w:t>
      </w:r>
      <w:r w:rsidR="00E53E53" w:rsidRPr="006A1AB5">
        <w:rPr>
          <w:smallCaps/>
          <w:lang w:val="fr-CA"/>
        </w:rPr>
        <w:t>Brown</w:t>
      </w:r>
      <w:r w:rsidR="00E53E53">
        <w:rPr>
          <w:i/>
          <w:lang w:val="fr-CA"/>
        </w:rPr>
        <w:t xml:space="preserve"> sont dissidents en partie</w:t>
      </w:r>
      <w:r w:rsidR="00712E1B">
        <w:rPr>
          <w:i/>
          <w:lang w:val="fr-CA"/>
        </w:rPr>
        <w:t>.</w:t>
      </w:r>
    </w:p>
    <w:p w:rsidR="004D7D95" w:rsidRPr="00086872" w:rsidRDefault="004D7D95" w:rsidP="00861E81">
      <w:pPr>
        <w:pStyle w:val="SCCNormalDoubleSpacing"/>
        <w:widowControl w:val="0"/>
        <w:rPr>
          <w:lang w:val="fr-CA"/>
        </w:rPr>
      </w:pPr>
    </w:p>
    <w:p w:rsidR="00F2342C" w:rsidRPr="00D93E2F" w:rsidRDefault="00F2342C" w:rsidP="00861E81">
      <w:pPr>
        <w:pStyle w:val="SCCLawFirm"/>
        <w:widowControl w:val="0"/>
        <w:rPr>
          <w:lang w:val="fr-CA"/>
        </w:rPr>
      </w:pPr>
      <w:r w:rsidRPr="00D93E2F">
        <w:rPr>
          <w:lang w:val="fr-CA"/>
        </w:rPr>
        <w:tab/>
        <w:t>Procureur d</w:t>
      </w:r>
      <w:r>
        <w:rPr>
          <w:lang w:val="fr-CA"/>
        </w:rPr>
        <w:t xml:space="preserve">u </w:t>
      </w:r>
      <w:r>
        <w:rPr>
          <w:rStyle w:val="SCCCounselPartyRoleChar"/>
          <w:lang w:val="fr-CA"/>
        </w:rPr>
        <w:t>requérant</w:t>
      </w:r>
      <w:r w:rsidRPr="00D93E2F">
        <w:rPr>
          <w:lang w:val="fr-CA"/>
        </w:rPr>
        <w:t xml:space="preserve"> l</w:t>
      </w:r>
      <w:r>
        <w:rPr>
          <w:lang w:val="fr-CA"/>
        </w:rPr>
        <w:t>e</w:t>
      </w:r>
      <w:r w:rsidRPr="00D93E2F">
        <w:rPr>
          <w:lang w:val="fr-CA"/>
        </w:rPr>
        <w:t xml:space="preserve"> procureur général du Canada : </w:t>
      </w:r>
      <w:r>
        <w:rPr>
          <w:lang w:val="fr-CA"/>
        </w:rPr>
        <w:t>P</w:t>
      </w:r>
      <w:r w:rsidRPr="00D93E2F">
        <w:rPr>
          <w:lang w:val="fr-CA"/>
        </w:rPr>
        <w:t>rocureur général du Canada, Ottawa.</w:t>
      </w:r>
    </w:p>
    <w:p w:rsidR="00F2342C" w:rsidRPr="00D93E2F" w:rsidRDefault="00F2342C" w:rsidP="00861E81">
      <w:pPr>
        <w:pStyle w:val="SCCNormalDoubleSpacing"/>
        <w:widowControl w:val="0"/>
        <w:rPr>
          <w:lang w:val="fr-CA"/>
        </w:rPr>
      </w:pPr>
    </w:p>
    <w:p w:rsidR="00F2342C" w:rsidRPr="00D93E2F" w:rsidRDefault="00F2342C" w:rsidP="00861E81">
      <w:pPr>
        <w:pStyle w:val="SCCLawFirm"/>
        <w:widowControl w:val="0"/>
        <w:rPr>
          <w:lang w:val="fr-CA"/>
        </w:rPr>
      </w:pPr>
      <w:r w:rsidRPr="00D93E2F">
        <w:rPr>
          <w:lang w:val="fr-CA"/>
        </w:rPr>
        <w:tab/>
        <w:t xml:space="preserve">Procureurs des </w:t>
      </w:r>
      <w:r w:rsidRPr="005A2DEE">
        <w:rPr>
          <w:rStyle w:val="SCCCounselPartyRoleChar"/>
          <w:lang w:val="fr-CA"/>
        </w:rPr>
        <w:t>intimé</w:t>
      </w:r>
      <w:r>
        <w:rPr>
          <w:rStyle w:val="SCCCounselPartyRoleChar"/>
          <w:lang w:val="fr-CA"/>
        </w:rPr>
        <w:t>s</w:t>
      </w:r>
      <w:r w:rsidRPr="005A2DEE">
        <w:rPr>
          <w:rStyle w:val="SCCCounselPartyRoleChar"/>
          <w:lang w:val="fr-CA"/>
        </w:rPr>
        <w:t xml:space="preserve"> </w:t>
      </w:r>
      <w:r>
        <w:rPr>
          <w:rStyle w:val="SCCCounselPartyRoleChar"/>
          <w:lang w:val="fr-CA"/>
        </w:rPr>
        <w:t>à la</w:t>
      </w:r>
      <w:r w:rsidRPr="00542D7C">
        <w:rPr>
          <w:rStyle w:val="SCCCounselPartyRoleChar"/>
          <w:lang w:val="fr-CA"/>
        </w:rPr>
        <w:t xml:space="preserve"> requête</w:t>
      </w:r>
      <w:r>
        <w:rPr>
          <w:rStyle w:val="SCCCounselPartyRoleChar"/>
          <w:lang w:val="fr-CA"/>
        </w:rPr>
        <w:t xml:space="preserve"> Lee Carter et autres</w:t>
      </w:r>
      <w:r w:rsidR="00AF2CF0">
        <w:rPr>
          <w:rStyle w:val="SCCCounselPartyRoleChar"/>
          <w:lang w:val="fr-CA"/>
        </w:rPr>
        <w:t> </w:t>
      </w:r>
      <w:r w:rsidRPr="00D93E2F">
        <w:rPr>
          <w:lang w:val="fr-CA"/>
        </w:rPr>
        <w:t xml:space="preserve">: </w:t>
      </w:r>
      <w:proofErr w:type="spellStart"/>
      <w:r w:rsidRPr="00D93E2F">
        <w:rPr>
          <w:lang w:val="fr-CA"/>
        </w:rPr>
        <w:t>Farris</w:t>
      </w:r>
      <w:proofErr w:type="spellEnd"/>
      <w:r w:rsidRPr="00D93E2F">
        <w:rPr>
          <w:lang w:val="fr-CA"/>
        </w:rPr>
        <w:t>, Vaughan, Wills &amp; Murphy, Vancouver; DLA Piper (Canada), Vancouver.</w:t>
      </w:r>
    </w:p>
    <w:p w:rsidR="00F2342C" w:rsidRPr="00D93E2F" w:rsidRDefault="00F2342C" w:rsidP="00861E81">
      <w:pPr>
        <w:pStyle w:val="SCCLawFirm"/>
        <w:widowControl w:val="0"/>
        <w:rPr>
          <w:lang w:val="fr-CA"/>
        </w:rPr>
      </w:pPr>
    </w:p>
    <w:p w:rsidR="00F2342C" w:rsidRPr="00D93E2F" w:rsidRDefault="00F2342C" w:rsidP="00861E81">
      <w:pPr>
        <w:pStyle w:val="SCCLawFirm"/>
        <w:widowControl w:val="0"/>
        <w:rPr>
          <w:lang w:val="fr-CA"/>
        </w:rPr>
      </w:pPr>
      <w:r w:rsidRPr="00D93E2F">
        <w:rPr>
          <w:lang w:val="fr-CA"/>
        </w:rPr>
        <w:tab/>
        <w:t>Procureur de l’intimé</w:t>
      </w:r>
      <w:r>
        <w:rPr>
          <w:lang w:val="fr-CA"/>
        </w:rPr>
        <w:t xml:space="preserve"> </w:t>
      </w:r>
      <w:r>
        <w:rPr>
          <w:rStyle w:val="SCCCounselPartyRoleChar"/>
          <w:lang w:val="fr-CA"/>
        </w:rPr>
        <w:t>à la</w:t>
      </w:r>
      <w:r w:rsidRPr="00542D7C">
        <w:rPr>
          <w:rStyle w:val="SCCCounselPartyRoleChar"/>
          <w:lang w:val="fr-CA"/>
        </w:rPr>
        <w:t xml:space="preserve"> requête</w:t>
      </w:r>
      <w:r w:rsidRPr="00D93E2F">
        <w:rPr>
          <w:lang w:val="fr-CA"/>
        </w:rPr>
        <w:t xml:space="preserve"> le procureur général</w:t>
      </w:r>
      <w:r>
        <w:rPr>
          <w:lang w:val="fr-CA"/>
        </w:rPr>
        <w:t xml:space="preserve"> de la Colombie-Britannique</w:t>
      </w:r>
      <w:r w:rsidRPr="00D93E2F">
        <w:rPr>
          <w:lang w:val="fr-CA"/>
        </w:rPr>
        <w:t xml:space="preserve"> : </w:t>
      </w:r>
      <w:r>
        <w:rPr>
          <w:lang w:val="fr-CA"/>
        </w:rPr>
        <w:t>P</w:t>
      </w:r>
      <w:r w:rsidRPr="00D93E2F">
        <w:rPr>
          <w:lang w:val="fr-CA"/>
        </w:rPr>
        <w:t>rocureur général</w:t>
      </w:r>
      <w:r>
        <w:rPr>
          <w:lang w:val="fr-CA"/>
        </w:rPr>
        <w:t xml:space="preserve"> de la Colombie-Britannique</w:t>
      </w:r>
      <w:r w:rsidRPr="00D93E2F">
        <w:rPr>
          <w:lang w:val="fr-CA"/>
        </w:rPr>
        <w:t>, Victoria.</w:t>
      </w:r>
    </w:p>
    <w:p w:rsidR="00F2342C" w:rsidRPr="00D93E2F" w:rsidRDefault="00F2342C" w:rsidP="00861E81">
      <w:pPr>
        <w:pStyle w:val="SCCLawFirm"/>
        <w:widowControl w:val="0"/>
        <w:rPr>
          <w:lang w:val="fr-CA"/>
        </w:rPr>
      </w:pPr>
    </w:p>
    <w:p w:rsidR="00F2342C" w:rsidRPr="00086872" w:rsidRDefault="00F2342C" w:rsidP="00861E81">
      <w:pPr>
        <w:pStyle w:val="SCCLawFirm"/>
        <w:widowControl w:val="0"/>
        <w:rPr>
          <w:lang w:val="fr-CA"/>
        </w:rPr>
      </w:pPr>
      <w:r w:rsidRPr="00417790">
        <w:rPr>
          <w:lang w:val="fr-CA"/>
        </w:rPr>
        <w:tab/>
      </w:r>
      <w:r w:rsidRPr="00086872">
        <w:rPr>
          <w:lang w:val="fr-CA"/>
        </w:rPr>
        <w:t xml:space="preserve">Procureur de </w:t>
      </w:r>
      <w:r w:rsidRPr="00D93E2F">
        <w:rPr>
          <w:lang w:val="fr-CA"/>
        </w:rPr>
        <w:t>l’intimé</w:t>
      </w:r>
      <w:r>
        <w:rPr>
          <w:lang w:val="fr-CA"/>
        </w:rPr>
        <w:t xml:space="preserve"> </w:t>
      </w:r>
      <w:r>
        <w:rPr>
          <w:rStyle w:val="SCCCounselPartyRoleChar"/>
          <w:lang w:val="fr-CA"/>
        </w:rPr>
        <w:t>à la</w:t>
      </w:r>
      <w:r w:rsidRPr="00542D7C">
        <w:rPr>
          <w:rStyle w:val="SCCCounselPartyRoleChar"/>
          <w:lang w:val="fr-CA"/>
        </w:rPr>
        <w:t xml:space="preserve"> requête</w:t>
      </w:r>
      <w:r>
        <w:rPr>
          <w:lang w:val="fr-CA"/>
        </w:rPr>
        <w:t xml:space="preserve"> le p</w:t>
      </w:r>
      <w:r w:rsidRPr="00086872">
        <w:rPr>
          <w:lang w:val="fr-CA"/>
        </w:rPr>
        <w:t>rocureur général de l</w:t>
      </w:r>
      <w:r>
        <w:rPr>
          <w:lang w:val="fr-CA"/>
        </w:rPr>
        <w:t>’</w:t>
      </w:r>
      <w:r w:rsidRPr="00086872">
        <w:rPr>
          <w:lang w:val="fr-CA"/>
        </w:rPr>
        <w:t>Ontario : Procureur général de l</w:t>
      </w:r>
      <w:r>
        <w:rPr>
          <w:lang w:val="fr-CA"/>
        </w:rPr>
        <w:t>’</w:t>
      </w:r>
      <w:r w:rsidRPr="00086872">
        <w:rPr>
          <w:lang w:val="fr-CA"/>
        </w:rPr>
        <w:t>Ontario, Toronto.</w:t>
      </w:r>
    </w:p>
    <w:p w:rsidR="00F2342C" w:rsidRPr="00086872" w:rsidRDefault="00F2342C" w:rsidP="00861E81">
      <w:pPr>
        <w:pStyle w:val="SCCLawFirm"/>
        <w:widowControl w:val="0"/>
        <w:rPr>
          <w:lang w:val="fr-CA"/>
        </w:rPr>
      </w:pPr>
    </w:p>
    <w:p w:rsidR="00F2342C" w:rsidRPr="00086872" w:rsidRDefault="00F2342C" w:rsidP="00861E81">
      <w:pPr>
        <w:pStyle w:val="SCCLawFirm"/>
        <w:widowControl w:val="0"/>
        <w:rPr>
          <w:lang w:val="fr-CA"/>
        </w:rPr>
      </w:pPr>
      <w:r w:rsidRPr="00086872">
        <w:rPr>
          <w:lang w:val="fr-CA"/>
        </w:rPr>
        <w:tab/>
        <w:t>Procureur</w:t>
      </w:r>
      <w:r>
        <w:rPr>
          <w:lang w:val="fr-CA"/>
        </w:rPr>
        <w:t>e</w:t>
      </w:r>
      <w:r w:rsidRPr="00086872">
        <w:rPr>
          <w:lang w:val="fr-CA"/>
        </w:rPr>
        <w:t xml:space="preserve"> de </w:t>
      </w:r>
      <w:r w:rsidRPr="00D93E2F">
        <w:rPr>
          <w:lang w:val="fr-CA"/>
        </w:rPr>
        <w:t>l’intimé</w:t>
      </w:r>
      <w:r>
        <w:rPr>
          <w:lang w:val="fr-CA"/>
        </w:rPr>
        <w:t xml:space="preserve">e </w:t>
      </w:r>
      <w:r>
        <w:rPr>
          <w:rStyle w:val="SCCCounselPartyRoleChar"/>
          <w:lang w:val="fr-CA"/>
        </w:rPr>
        <w:t>à la</w:t>
      </w:r>
      <w:r w:rsidRPr="00542D7C">
        <w:rPr>
          <w:rStyle w:val="SCCCounselPartyRoleChar"/>
          <w:lang w:val="fr-CA"/>
        </w:rPr>
        <w:t xml:space="preserve"> requête</w:t>
      </w:r>
      <w:r w:rsidRPr="00D93E2F">
        <w:rPr>
          <w:lang w:val="fr-CA"/>
        </w:rPr>
        <w:t xml:space="preserve"> </w:t>
      </w:r>
      <w:r>
        <w:rPr>
          <w:lang w:val="fr-CA"/>
        </w:rPr>
        <w:t>la p</w:t>
      </w:r>
      <w:r w:rsidRPr="00086872">
        <w:rPr>
          <w:lang w:val="fr-CA"/>
        </w:rPr>
        <w:t>rocureure générale du Québec : Procureur</w:t>
      </w:r>
      <w:r>
        <w:rPr>
          <w:lang w:val="fr-CA"/>
        </w:rPr>
        <w:t>e</w:t>
      </w:r>
      <w:r w:rsidRPr="00086872">
        <w:rPr>
          <w:lang w:val="fr-CA"/>
        </w:rPr>
        <w:t xml:space="preserve"> général</w:t>
      </w:r>
      <w:r>
        <w:rPr>
          <w:lang w:val="fr-CA"/>
        </w:rPr>
        <w:t>e</w:t>
      </w:r>
      <w:r w:rsidRPr="00086872">
        <w:rPr>
          <w:lang w:val="fr-CA"/>
        </w:rPr>
        <w:t xml:space="preserve"> du Québec, Québec.</w:t>
      </w:r>
    </w:p>
    <w:p w:rsidR="00F2342C" w:rsidRPr="00086872" w:rsidRDefault="00F2342C" w:rsidP="00861E81">
      <w:pPr>
        <w:pStyle w:val="SCCLawFirm"/>
        <w:widowControl w:val="0"/>
        <w:rPr>
          <w:lang w:val="fr-CA"/>
        </w:rPr>
      </w:pPr>
    </w:p>
    <w:p w:rsidR="00F2342C" w:rsidRPr="00D93E2F" w:rsidRDefault="00F2342C" w:rsidP="00861E81">
      <w:pPr>
        <w:pStyle w:val="SCCLawFirm"/>
        <w:widowControl w:val="0"/>
        <w:rPr>
          <w:lang w:val="fr-CA"/>
        </w:rPr>
      </w:pPr>
      <w:r w:rsidRPr="00417790">
        <w:rPr>
          <w:lang w:val="fr-CA"/>
        </w:rPr>
        <w:tab/>
      </w:r>
      <w:r w:rsidRPr="00D93E2F">
        <w:rPr>
          <w:lang w:val="fr-CA"/>
        </w:rPr>
        <w:t>Procureurs des intimé</w:t>
      </w:r>
      <w:r>
        <w:rPr>
          <w:lang w:val="fr-CA"/>
        </w:rPr>
        <w:t xml:space="preserve">s </w:t>
      </w:r>
      <w:r>
        <w:rPr>
          <w:rStyle w:val="SCCCounselPartyRoleChar"/>
          <w:lang w:val="fr-CA"/>
        </w:rPr>
        <w:t>à la</w:t>
      </w:r>
      <w:r w:rsidRPr="00542D7C">
        <w:rPr>
          <w:rStyle w:val="SCCCounselPartyRoleChar"/>
          <w:lang w:val="fr-CA"/>
        </w:rPr>
        <w:t xml:space="preserve"> requête</w:t>
      </w:r>
      <w:r w:rsidRPr="00D93E2F">
        <w:rPr>
          <w:lang w:val="fr-CA"/>
        </w:rPr>
        <w:t xml:space="preserve"> </w:t>
      </w:r>
      <w:r w:rsidRPr="005A2DEE">
        <w:rPr>
          <w:rStyle w:val="SCCCounselPartyRoleChar"/>
          <w:lang w:val="fr-CA"/>
        </w:rPr>
        <w:t>l</w:t>
      </w:r>
      <w:r>
        <w:rPr>
          <w:rStyle w:val="SCCCounselPartyRoleChar"/>
          <w:lang w:val="fr-CA"/>
        </w:rPr>
        <w:t xml:space="preserve">e </w:t>
      </w:r>
      <w:r w:rsidRPr="005A2DEE">
        <w:rPr>
          <w:rStyle w:val="SCCCounselPartyRoleChar"/>
          <w:lang w:val="fr-CA"/>
        </w:rPr>
        <w:t>Conseil</w:t>
      </w:r>
      <w:r>
        <w:rPr>
          <w:rStyle w:val="SCCCounselPartyRoleChar"/>
          <w:lang w:val="fr-CA"/>
        </w:rPr>
        <w:t xml:space="preserve"> des Canadiens avec déficiences et l’</w:t>
      </w:r>
      <w:r w:rsidRPr="005A2DEE">
        <w:rPr>
          <w:rStyle w:val="SCCCounselPartyRoleChar"/>
          <w:lang w:val="fr-CA"/>
        </w:rPr>
        <w:t>Association canadienne pour l’intégration communautaire</w:t>
      </w:r>
      <w:r w:rsidRPr="00D93E2F">
        <w:rPr>
          <w:lang w:val="fr-CA"/>
        </w:rPr>
        <w:t xml:space="preserve"> : </w:t>
      </w:r>
      <w:proofErr w:type="spellStart"/>
      <w:r w:rsidRPr="00D93E2F">
        <w:rPr>
          <w:lang w:val="fr-CA"/>
        </w:rPr>
        <w:t>Bakerlaw</w:t>
      </w:r>
      <w:proofErr w:type="spellEnd"/>
      <w:r w:rsidRPr="00D93E2F">
        <w:rPr>
          <w:lang w:val="fr-CA"/>
        </w:rPr>
        <w:t>, Toronto.</w:t>
      </w:r>
    </w:p>
    <w:p w:rsidR="00F2342C" w:rsidRPr="00D93E2F" w:rsidRDefault="00F2342C" w:rsidP="00861E81">
      <w:pPr>
        <w:pStyle w:val="SCCLawFirm"/>
        <w:widowControl w:val="0"/>
        <w:rPr>
          <w:lang w:val="fr-CA"/>
        </w:rPr>
      </w:pPr>
    </w:p>
    <w:p w:rsidR="00F2342C" w:rsidRPr="00D93E2F" w:rsidRDefault="00F2342C" w:rsidP="00861E81">
      <w:pPr>
        <w:pStyle w:val="SCCLawFirm"/>
        <w:widowControl w:val="0"/>
        <w:rPr>
          <w:lang w:val="fr-CA"/>
        </w:rPr>
      </w:pPr>
      <w:r w:rsidRPr="00086872">
        <w:rPr>
          <w:lang w:val="fr-CA"/>
        </w:rPr>
        <w:tab/>
      </w:r>
      <w:r w:rsidRPr="00D93E2F">
        <w:rPr>
          <w:lang w:val="fr-CA"/>
        </w:rPr>
        <w:t>Procureurs de l’intimé</w:t>
      </w:r>
      <w:r>
        <w:rPr>
          <w:lang w:val="fr-CA"/>
        </w:rPr>
        <w:t xml:space="preserve">e </w:t>
      </w:r>
      <w:r>
        <w:rPr>
          <w:rStyle w:val="SCCCounselPartyRoleChar"/>
          <w:lang w:val="fr-CA"/>
        </w:rPr>
        <w:t>à la</w:t>
      </w:r>
      <w:r w:rsidRPr="00542D7C">
        <w:rPr>
          <w:rStyle w:val="SCCCounselPartyRoleChar"/>
          <w:lang w:val="fr-CA"/>
        </w:rPr>
        <w:t xml:space="preserve"> requête</w:t>
      </w:r>
      <w:r w:rsidRPr="005A2DEE">
        <w:rPr>
          <w:rStyle w:val="SCCCounselPartyRoleChar"/>
          <w:lang w:val="fr-CA"/>
        </w:rPr>
        <w:t xml:space="preserve"> l’Alliance des chrétiens en droit</w:t>
      </w:r>
      <w:r w:rsidRPr="00D93E2F">
        <w:rPr>
          <w:lang w:val="fr-CA"/>
        </w:rPr>
        <w:t> : Miller Thomson, Calgary.</w:t>
      </w:r>
    </w:p>
    <w:p w:rsidR="00F2342C" w:rsidRPr="00D93E2F" w:rsidRDefault="00F2342C" w:rsidP="00861E81">
      <w:pPr>
        <w:pStyle w:val="SCCLawFirm"/>
        <w:widowControl w:val="0"/>
        <w:rPr>
          <w:lang w:val="fr-CA"/>
        </w:rPr>
      </w:pPr>
    </w:p>
    <w:p w:rsidR="00F2342C" w:rsidRPr="00D93E2F" w:rsidRDefault="00F2342C" w:rsidP="00861E81">
      <w:pPr>
        <w:pStyle w:val="SCCLawFirm"/>
        <w:widowControl w:val="0"/>
        <w:rPr>
          <w:lang w:val="fr-CA"/>
        </w:rPr>
      </w:pPr>
      <w:r w:rsidRPr="00417790">
        <w:rPr>
          <w:lang w:val="fr-CA"/>
        </w:rPr>
        <w:tab/>
      </w:r>
      <w:r w:rsidRPr="00D93E2F">
        <w:rPr>
          <w:lang w:val="fr-CA"/>
        </w:rPr>
        <w:t xml:space="preserve">Procureurs </w:t>
      </w:r>
      <w:r>
        <w:rPr>
          <w:lang w:val="fr-CA"/>
        </w:rPr>
        <w:t xml:space="preserve">des </w:t>
      </w:r>
      <w:r w:rsidRPr="00D93E2F">
        <w:rPr>
          <w:lang w:val="fr-CA"/>
        </w:rPr>
        <w:t>intimé</w:t>
      </w:r>
      <w:r>
        <w:rPr>
          <w:lang w:val="fr-CA"/>
        </w:rPr>
        <w:t xml:space="preserve">s </w:t>
      </w:r>
      <w:r>
        <w:rPr>
          <w:rStyle w:val="SCCCounselPartyRoleChar"/>
          <w:lang w:val="fr-CA"/>
        </w:rPr>
        <w:t>à la</w:t>
      </w:r>
      <w:r w:rsidRPr="00542D7C">
        <w:rPr>
          <w:rStyle w:val="SCCCounselPartyRoleChar"/>
          <w:lang w:val="fr-CA"/>
        </w:rPr>
        <w:t xml:space="preserve"> requête</w:t>
      </w:r>
      <w:r w:rsidRPr="00D93E2F">
        <w:rPr>
          <w:lang w:val="fr-CA"/>
        </w:rPr>
        <w:t xml:space="preserve"> </w:t>
      </w:r>
      <w:r w:rsidRPr="005D6CB9">
        <w:rPr>
          <w:rStyle w:val="SCCCounselPartyRoleChar"/>
          <w:lang w:val="fr-CA"/>
        </w:rPr>
        <w:t xml:space="preserve">le Réseau juridique canadien VIH/sida </w:t>
      </w:r>
      <w:r>
        <w:rPr>
          <w:rStyle w:val="SCCCounselPartyRoleChar"/>
          <w:lang w:val="fr-CA"/>
        </w:rPr>
        <w:t xml:space="preserve">et </w:t>
      </w:r>
      <w:r w:rsidRPr="005D6CB9">
        <w:rPr>
          <w:rStyle w:val="SCCCounselPartyRoleChar"/>
          <w:lang w:val="fr-CA"/>
        </w:rPr>
        <w:t xml:space="preserve">HIV &amp; AIDS </w:t>
      </w:r>
      <w:proofErr w:type="spellStart"/>
      <w:r w:rsidRPr="005D6CB9">
        <w:rPr>
          <w:rStyle w:val="SCCCounselPartyRoleChar"/>
          <w:lang w:val="fr-CA"/>
        </w:rPr>
        <w:t>Legal</w:t>
      </w:r>
      <w:proofErr w:type="spellEnd"/>
      <w:r w:rsidRPr="005D6CB9">
        <w:rPr>
          <w:rStyle w:val="SCCCounselPartyRoleChar"/>
          <w:lang w:val="fr-CA"/>
        </w:rPr>
        <w:t xml:space="preserve"> Clinic Ontario</w:t>
      </w:r>
      <w:r w:rsidRPr="00D93E2F">
        <w:rPr>
          <w:lang w:val="fr-CA"/>
        </w:rPr>
        <w:t xml:space="preserve"> : </w:t>
      </w:r>
      <w:proofErr w:type="spellStart"/>
      <w:r w:rsidRPr="00D93E2F">
        <w:rPr>
          <w:lang w:val="fr-CA"/>
        </w:rPr>
        <w:t>Paliare</w:t>
      </w:r>
      <w:proofErr w:type="spellEnd"/>
      <w:r w:rsidRPr="00D93E2F">
        <w:rPr>
          <w:lang w:val="fr-CA"/>
        </w:rPr>
        <w:t xml:space="preserve"> Roland Rosenberg </w:t>
      </w:r>
      <w:proofErr w:type="spellStart"/>
      <w:r w:rsidRPr="00D93E2F">
        <w:rPr>
          <w:lang w:val="fr-CA"/>
        </w:rPr>
        <w:t>Rothstein</w:t>
      </w:r>
      <w:proofErr w:type="spellEnd"/>
      <w:r w:rsidRPr="00D93E2F">
        <w:rPr>
          <w:lang w:val="fr-CA"/>
        </w:rPr>
        <w:t>, Toronto.</w:t>
      </w:r>
    </w:p>
    <w:p w:rsidR="00F2342C" w:rsidRPr="00D93E2F" w:rsidRDefault="00F2342C" w:rsidP="00861E81">
      <w:pPr>
        <w:pStyle w:val="SCCLawFirm"/>
        <w:widowControl w:val="0"/>
        <w:rPr>
          <w:lang w:val="fr-CA"/>
        </w:rPr>
      </w:pPr>
    </w:p>
    <w:p w:rsidR="00F2342C" w:rsidRPr="00086872" w:rsidRDefault="00F2342C" w:rsidP="00861E81">
      <w:pPr>
        <w:pStyle w:val="SCCLawFirm"/>
        <w:widowControl w:val="0"/>
        <w:rPr>
          <w:lang w:val="fr-CA"/>
        </w:rPr>
      </w:pPr>
      <w:r w:rsidRPr="00086872">
        <w:rPr>
          <w:lang w:val="fr-CA"/>
        </w:rPr>
        <w:tab/>
        <w:t xml:space="preserve">Procureurs de </w:t>
      </w:r>
      <w:r w:rsidRPr="00D93E2F">
        <w:rPr>
          <w:lang w:val="fr-CA"/>
        </w:rPr>
        <w:t>l’intimé</w:t>
      </w:r>
      <w:r>
        <w:rPr>
          <w:lang w:val="fr-CA"/>
        </w:rPr>
        <w:t xml:space="preserve"> </w:t>
      </w:r>
      <w:r>
        <w:rPr>
          <w:rStyle w:val="SCCCounselPartyRoleChar"/>
          <w:lang w:val="fr-CA"/>
        </w:rPr>
        <w:t>à la</w:t>
      </w:r>
      <w:r w:rsidRPr="00542D7C">
        <w:rPr>
          <w:rStyle w:val="SCCCounselPartyRoleChar"/>
          <w:lang w:val="fr-CA"/>
        </w:rPr>
        <w:t xml:space="preserve"> requête</w:t>
      </w:r>
      <w:r w:rsidRPr="00D93E2F">
        <w:rPr>
          <w:lang w:val="fr-CA"/>
        </w:rPr>
        <w:t xml:space="preserve"> </w:t>
      </w:r>
      <w:r>
        <w:rPr>
          <w:lang w:val="fr-CA"/>
        </w:rPr>
        <w:t>le</w:t>
      </w:r>
      <w:r w:rsidRPr="00086872">
        <w:rPr>
          <w:lang w:val="fr-CA"/>
        </w:rPr>
        <w:t xml:space="preserve"> Collectif des médecins contre l</w:t>
      </w:r>
      <w:r>
        <w:rPr>
          <w:lang w:val="fr-CA"/>
        </w:rPr>
        <w:t>’</w:t>
      </w:r>
      <w:r w:rsidRPr="00086872">
        <w:rPr>
          <w:lang w:val="fr-CA"/>
        </w:rPr>
        <w:t xml:space="preserve">euthanasie : Norton Rose </w:t>
      </w:r>
      <w:proofErr w:type="spellStart"/>
      <w:r w:rsidRPr="00086872">
        <w:rPr>
          <w:lang w:val="fr-CA"/>
        </w:rPr>
        <w:t>Fulbright</w:t>
      </w:r>
      <w:proofErr w:type="spellEnd"/>
      <w:r w:rsidRPr="00086872">
        <w:rPr>
          <w:lang w:val="fr-CA"/>
        </w:rPr>
        <w:t xml:space="preserve"> Canada, Montréal.</w:t>
      </w:r>
    </w:p>
    <w:p w:rsidR="00F2342C" w:rsidRPr="00086872" w:rsidRDefault="00F2342C" w:rsidP="00861E81">
      <w:pPr>
        <w:pStyle w:val="SCCLawFirm"/>
        <w:widowControl w:val="0"/>
        <w:rPr>
          <w:lang w:val="fr-CA"/>
        </w:rPr>
      </w:pPr>
    </w:p>
    <w:p w:rsidR="00F2342C" w:rsidRPr="00542D7C" w:rsidRDefault="00F2342C" w:rsidP="00861E81">
      <w:pPr>
        <w:pStyle w:val="SCCLawFirm"/>
        <w:widowControl w:val="0"/>
        <w:rPr>
          <w:lang w:val="fr-CA"/>
        </w:rPr>
      </w:pPr>
      <w:r w:rsidRPr="00417790">
        <w:rPr>
          <w:lang w:val="fr-CA"/>
        </w:rPr>
        <w:tab/>
      </w:r>
      <w:r w:rsidRPr="00542D7C">
        <w:rPr>
          <w:lang w:val="fr-CA"/>
        </w:rPr>
        <w:t xml:space="preserve">Procureurs de </w:t>
      </w:r>
      <w:r w:rsidRPr="00D93E2F">
        <w:rPr>
          <w:lang w:val="fr-CA"/>
        </w:rPr>
        <w:t>l’intimé</w:t>
      </w:r>
      <w:r>
        <w:rPr>
          <w:lang w:val="fr-CA"/>
        </w:rPr>
        <w:t xml:space="preserve">e </w:t>
      </w:r>
      <w:r>
        <w:rPr>
          <w:rStyle w:val="SCCCounselPartyRoleChar"/>
          <w:lang w:val="fr-CA"/>
        </w:rPr>
        <w:t>à la</w:t>
      </w:r>
      <w:r w:rsidRPr="00542D7C">
        <w:rPr>
          <w:rStyle w:val="SCCCounselPartyRoleChar"/>
          <w:lang w:val="fr-CA"/>
        </w:rPr>
        <w:t xml:space="preserve"> requête</w:t>
      </w:r>
      <w:r w:rsidRPr="00D93E2F">
        <w:rPr>
          <w:lang w:val="fr-CA"/>
        </w:rPr>
        <w:t xml:space="preserve"> </w:t>
      </w:r>
      <w:proofErr w:type="spellStart"/>
      <w:r w:rsidRPr="00542D7C">
        <w:rPr>
          <w:lang w:val="fr-CA"/>
        </w:rPr>
        <w:t>Dying</w:t>
      </w:r>
      <w:proofErr w:type="spellEnd"/>
      <w:r w:rsidRPr="00542D7C">
        <w:rPr>
          <w:lang w:val="fr-CA"/>
        </w:rPr>
        <w:t xml:space="preserve"> </w:t>
      </w:r>
      <w:proofErr w:type="spellStart"/>
      <w:r w:rsidRPr="00542D7C">
        <w:rPr>
          <w:lang w:val="fr-CA"/>
        </w:rPr>
        <w:t>With</w:t>
      </w:r>
      <w:proofErr w:type="spellEnd"/>
      <w:r w:rsidRPr="00542D7C">
        <w:rPr>
          <w:lang w:val="fr-CA"/>
        </w:rPr>
        <w:t xml:space="preserve"> </w:t>
      </w:r>
      <w:proofErr w:type="spellStart"/>
      <w:r w:rsidRPr="00542D7C">
        <w:rPr>
          <w:lang w:val="fr-CA"/>
        </w:rPr>
        <w:t>Dignity</w:t>
      </w:r>
      <w:proofErr w:type="spellEnd"/>
      <w:r w:rsidRPr="00542D7C">
        <w:rPr>
          <w:lang w:val="fr-CA"/>
        </w:rPr>
        <w:t xml:space="preserve"> : </w:t>
      </w:r>
      <w:proofErr w:type="spellStart"/>
      <w:r w:rsidRPr="00542D7C">
        <w:rPr>
          <w:lang w:val="fr-CA"/>
        </w:rPr>
        <w:t>Goldblatt</w:t>
      </w:r>
      <w:proofErr w:type="spellEnd"/>
      <w:r w:rsidRPr="00542D7C">
        <w:rPr>
          <w:lang w:val="fr-CA"/>
        </w:rPr>
        <w:t xml:space="preserve"> </w:t>
      </w:r>
      <w:proofErr w:type="spellStart"/>
      <w:r w:rsidRPr="00542D7C">
        <w:rPr>
          <w:lang w:val="fr-CA"/>
        </w:rPr>
        <w:t>Partners</w:t>
      </w:r>
      <w:proofErr w:type="spellEnd"/>
      <w:r w:rsidRPr="00542D7C">
        <w:rPr>
          <w:lang w:val="fr-CA"/>
        </w:rPr>
        <w:t>, Toronto.</w:t>
      </w:r>
    </w:p>
    <w:p w:rsidR="00F2342C" w:rsidRPr="00542D7C" w:rsidRDefault="00F2342C" w:rsidP="00861E81">
      <w:pPr>
        <w:pStyle w:val="SCCLawFirm"/>
        <w:widowControl w:val="0"/>
        <w:rPr>
          <w:lang w:val="fr-CA"/>
        </w:rPr>
      </w:pPr>
    </w:p>
    <w:p w:rsidR="00F2342C" w:rsidRPr="00FF4662" w:rsidRDefault="00F2342C" w:rsidP="00861E81">
      <w:pPr>
        <w:pStyle w:val="SCCLawFirm"/>
        <w:widowControl w:val="0"/>
        <w:rPr>
          <w:lang w:val="fr-CA"/>
        </w:rPr>
      </w:pPr>
      <w:r w:rsidRPr="00542D7C">
        <w:rPr>
          <w:lang w:val="fr-CA"/>
        </w:rPr>
        <w:tab/>
      </w:r>
      <w:r w:rsidRPr="00FF4662">
        <w:rPr>
          <w:lang w:val="fr-CA"/>
        </w:rPr>
        <w:t>Procureur</w:t>
      </w:r>
      <w:r w:rsidR="006771F8">
        <w:rPr>
          <w:lang w:val="fr-CA"/>
        </w:rPr>
        <w:t>e</w:t>
      </w:r>
      <w:r w:rsidRPr="00FF4662">
        <w:rPr>
          <w:lang w:val="fr-CA"/>
        </w:rPr>
        <w:t xml:space="preserve"> de </w:t>
      </w:r>
      <w:r w:rsidRPr="00D93E2F">
        <w:rPr>
          <w:lang w:val="fr-CA"/>
        </w:rPr>
        <w:t>l’intimé</w:t>
      </w:r>
      <w:r>
        <w:rPr>
          <w:lang w:val="fr-CA"/>
        </w:rPr>
        <w:t xml:space="preserve">e </w:t>
      </w:r>
      <w:r>
        <w:rPr>
          <w:rStyle w:val="SCCCounselPartyRoleChar"/>
          <w:lang w:val="fr-CA"/>
        </w:rPr>
        <w:t>à la</w:t>
      </w:r>
      <w:r w:rsidRPr="00542D7C">
        <w:rPr>
          <w:rStyle w:val="SCCCounselPartyRoleChar"/>
          <w:lang w:val="fr-CA"/>
        </w:rPr>
        <w:t xml:space="preserve"> requête</w:t>
      </w:r>
      <w:r w:rsidRPr="005D6CB9">
        <w:rPr>
          <w:rStyle w:val="SCCCounselPartyRoleChar"/>
          <w:lang w:val="fr-CA"/>
        </w:rPr>
        <w:t xml:space="preserve"> </w:t>
      </w:r>
      <w:r>
        <w:rPr>
          <w:rStyle w:val="SCCCounselPartyRoleChar"/>
          <w:lang w:val="fr-CA"/>
        </w:rPr>
        <w:t>l’</w:t>
      </w:r>
      <w:r w:rsidRPr="005D6CB9">
        <w:rPr>
          <w:rStyle w:val="SCCCounselPartyRoleChar"/>
          <w:lang w:val="fr-CA"/>
        </w:rPr>
        <w:t>Association médicale canadienne</w:t>
      </w:r>
      <w:r>
        <w:rPr>
          <w:rStyle w:val="SCCCounselPartyRoleChar"/>
          <w:lang w:val="fr-CA"/>
        </w:rPr>
        <w:t> </w:t>
      </w:r>
      <w:r w:rsidRPr="00FF4662">
        <w:rPr>
          <w:lang w:val="fr-CA"/>
        </w:rPr>
        <w:t xml:space="preserve">: </w:t>
      </w:r>
      <w:r w:rsidRPr="005D6CB9">
        <w:rPr>
          <w:rStyle w:val="SCCCounselPartyRoleChar"/>
          <w:lang w:val="fr-CA"/>
        </w:rPr>
        <w:t>Association médicale canadienne</w:t>
      </w:r>
      <w:r>
        <w:rPr>
          <w:rStyle w:val="SCCCounselPartyRoleChar"/>
          <w:lang w:val="fr-CA"/>
        </w:rPr>
        <w:t>, Ottawa</w:t>
      </w:r>
      <w:r w:rsidRPr="00FF4662">
        <w:rPr>
          <w:lang w:val="fr-CA"/>
        </w:rPr>
        <w:t>.</w:t>
      </w:r>
    </w:p>
    <w:p w:rsidR="00F2342C" w:rsidRPr="00FF4662" w:rsidRDefault="00F2342C" w:rsidP="00861E81">
      <w:pPr>
        <w:pStyle w:val="SCCLawFirm"/>
        <w:widowControl w:val="0"/>
        <w:rPr>
          <w:lang w:val="fr-CA"/>
        </w:rPr>
      </w:pPr>
    </w:p>
    <w:p w:rsidR="00F2342C" w:rsidRPr="00086872" w:rsidRDefault="00F2342C" w:rsidP="00861E81">
      <w:pPr>
        <w:pStyle w:val="SCCLawFirm"/>
        <w:widowControl w:val="0"/>
        <w:rPr>
          <w:lang w:val="fr-CA"/>
        </w:rPr>
      </w:pPr>
      <w:r w:rsidRPr="00086872">
        <w:rPr>
          <w:lang w:val="fr-CA"/>
        </w:rPr>
        <w:tab/>
        <w:t xml:space="preserve">Procureurs de </w:t>
      </w:r>
      <w:r w:rsidRPr="00D93E2F">
        <w:rPr>
          <w:lang w:val="fr-CA"/>
        </w:rPr>
        <w:t>l’intimé</w:t>
      </w:r>
      <w:r>
        <w:rPr>
          <w:lang w:val="fr-CA"/>
        </w:rPr>
        <w:t xml:space="preserve">e </w:t>
      </w:r>
      <w:r>
        <w:rPr>
          <w:rStyle w:val="SCCCounselPartyRoleChar"/>
          <w:lang w:val="fr-CA"/>
        </w:rPr>
        <w:t>à la</w:t>
      </w:r>
      <w:r w:rsidRPr="00542D7C">
        <w:rPr>
          <w:rStyle w:val="SCCCounselPartyRoleChar"/>
          <w:lang w:val="fr-CA"/>
        </w:rPr>
        <w:t xml:space="preserve"> requête</w:t>
      </w:r>
      <w:r w:rsidRPr="00086872">
        <w:rPr>
          <w:lang w:val="fr-CA"/>
        </w:rPr>
        <w:t xml:space="preserve"> </w:t>
      </w:r>
      <w:r>
        <w:rPr>
          <w:lang w:val="fr-CA"/>
        </w:rPr>
        <w:t>l’</w:t>
      </w:r>
      <w:r w:rsidRPr="00086872">
        <w:rPr>
          <w:lang w:val="fr-CA"/>
        </w:rPr>
        <w:t>Association québ</w:t>
      </w:r>
      <w:r>
        <w:rPr>
          <w:lang w:val="fr-CA"/>
        </w:rPr>
        <w:t>é</w:t>
      </w:r>
      <w:r w:rsidRPr="00086872">
        <w:rPr>
          <w:lang w:val="fr-CA"/>
        </w:rPr>
        <w:t>coise pour le droit de mo</w:t>
      </w:r>
      <w:r>
        <w:rPr>
          <w:lang w:val="fr-CA"/>
        </w:rPr>
        <w:t xml:space="preserve">urir dans la dignité : </w:t>
      </w:r>
      <w:proofErr w:type="spellStart"/>
      <w:r>
        <w:rPr>
          <w:lang w:val="fr-CA"/>
        </w:rPr>
        <w:t>Gratl</w:t>
      </w:r>
      <w:proofErr w:type="spellEnd"/>
      <w:r>
        <w:rPr>
          <w:lang w:val="fr-CA"/>
        </w:rPr>
        <w:t xml:space="preserve"> &amp; </w:t>
      </w:r>
      <w:proofErr w:type="spellStart"/>
      <w:r>
        <w:rPr>
          <w:lang w:val="fr-CA"/>
        </w:rPr>
        <w:t>C</w:t>
      </w:r>
      <w:r w:rsidRPr="00086872">
        <w:rPr>
          <w:lang w:val="fr-CA"/>
        </w:rPr>
        <w:t>ompany</w:t>
      </w:r>
      <w:proofErr w:type="spellEnd"/>
      <w:r w:rsidRPr="00086872">
        <w:rPr>
          <w:lang w:val="fr-CA"/>
        </w:rPr>
        <w:t>, Vancouver.</w:t>
      </w:r>
    </w:p>
    <w:p w:rsidR="00F2342C" w:rsidRPr="00086872" w:rsidRDefault="00F2342C" w:rsidP="00861E81">
      <w:pPr>
        <w:pStyle w:val="SCCLawFirm"/>
        <w:widowControl w:val="0"/>
        <w:rPr>
          <w:lang w:val="fr-CA"/>
        </w:rPr>
      </w:pPr>
    </w:p>
    <w:p w:rsidR="00F2342C" w:rsidRDefault="00F2342C" w:rsidP="00861E81">
      <w:pPr>
        <w:pStyle w:val="SCCLawFirm"/>
        <w:widowControl w:val="0"/>
      </w:pPr>
      <w:r w:rsidRPr="00FF4662">
        <w:rPr>
          <w:lang w:val="fr-CA"/>
        </w:rPr>
        <w:tab/>
      </w:r>
      <w:proofErr w:type="spellStart"/>
      <w:r>
        <w:t>Procureurs</w:t>
      </w:r>
      <w:proofErr w:type="spellEnd"/>
      <w:r>
        <w:t xml:space="preserve"> de </w:t>
      </w:r>
      <w:proofErr w:type="spellStart"/>
      <w:r w:rsidRPr="00542D7C">
        <w:t>l’intimée</w:t>
      </w:r>
      <w:proofErr w:type="spellEnd"/>
      <w:r w:rsidRPr="00542D7C">
        <w:t xml:space="preserve"> </w:t>
      </w:r>
      <w:r w:rsidRPr="00F2342C">
        <w:rPr>
          <w:rStyle w:val="SCCCounselPartyRoleChar"/>
        </w:rPr>
        <w:t xml:space="preserve">à la </w:t>
      </w:r>
      <w:proofErr w:type="spellStart"/>
      <w:r w:rsidRPr="00542D7C">
        <w:rPr>
          <w:rStyle w:val="SCCCounselPartyRoleChar"/>
        </w:rPr>
        <w:t>requête</w:t>
      </w:r>
      <w:proofErr w:type="spellEnd"/>
      <w:r w:rsidRPr="00542D7C">
        <w:t xml:space="preserve"> </w:t>
      </w:r>
      <w:r>
        <w:rPr>
          <w:rStyle w:val="SCCCounselPartyRoleChar"/>
          <w:rFonts w:eastAsiaTheme="majorEastAsia"/>
        </w:rPr>
        <w:t xml:space="preserve">Alliance of People With Disabilities Who are Supportive of Legal Assisted Dying </w:t>
      </w:r>
      <w:proofErr w:type="gramStart"/>
      <w:r>
        <w:rPr>
          <w:rStyle w:val="SCCCounselPartyRoleChar"/>
          <w:rFonts w:eastAsiaTheme="majorEastAsia"/>
        </w:rPr>
        <w:t>Society</w:t>
      </w:r>
      <w:r>
        <w:t> :</w:t>
      </w:r>
      <w:proofErr w:type="gramEnd"/>
      <w:r>
        <w:t xml:space="preserve"> Borden Ladner Gervais, Vancouver.</w:t>
      </w:r>
    </w:p>
    <w:p w:rsidR="00F2342C" w:rsidRDefault="00F2342C" w:rsidP="00861E81">
      <w:pPr>
        <w:pStyle w:val="SCCLawFirm"/>
        <w:widowControl w:val="0"/>
      </w:pPr>
    </w:p>
    <w:p w:rsidR="00F2342C" w:rsidRPr="00086872" w:rsidRDefault="00F2342C" w:rsidP="00861E81">
      <w:pPr>
        <w:pStyle w:val="SCCLawFirm"/>
        <w:widowControl w:val="0"/>
        <w:rPr>
          <w:lang w:val="fr-CA"/>
        </w:rPr>
      </w:pPr>
      <w:r>
        <w:tab/>
      </w:r>
      <w:r w:rsidRPr="00086872">
        <w:rPr>
          <w:lang w:val="fr-CA"/>
        </w:rPr>
        <w:t xml:space="preserve">Procureurs de </w:t>
      </w:r>
      <w:r w:rsidRPr="00D93E2F">
        <w:rPr>
          <w:lang w:val="fr-CA"/>
        </w:rPr>
        <w:t>l’intimé</w:t>
      </w:r>
      <w:r>
        <w:rPr>
          <w:lang w:val="fr-CA"/>
        </w:rPr>
        <w:t xml:space="preserve"> </w:t>
      </w:r>
      <w:r>
        <w:rPr>
          <w:rStyle w:val="SCCCounselPartyRoleChar"/>
          <w:lang w:val="fr-CA"/>
        </w:rPr>
        <w:t>à la</w:t>
      </w:r>
      <w:r w:rsidRPr="00542D7C">
        <w:rPr>
          <w:rStyle w:val="SCCCounselPartyRoleChar"/>
          <w:lang w:val="fr-CA"/>
        </w:rPr>
        <w:t xml:space="preserve"> requête</w:t>
      </w:r>
      <w:r>
        <w:rPr>
          <w:lang w:val="fr-CA"/>
        </w:rPr>
        <w:t xml:space="preserve"> le</w:t>
      </w:r>
      <w:r w:rsidRPr="00086872">
        <w:rPr>
          <w:lang w:val="fr-CA"/>
        </w:rPr>
        <w:t xml:space="preserve"> </w:t>
      </w:r>
      <w:r w:rsidRPr="00D93E2F">
        <w:rPr>
          <w:rStyle w:val="SCCCounselPartyRoleChar"/>
          <w:lang w:val="fr-CA"/>
        </w:rPr>
        <w:t>Conseil unitarien du Canada</w:t>
      </w:r>
      <w:r w:rsidRPr="00086872">
        <w:rPr>
          <w:lang w:val="fr-CA"/>
        </w:rPr>
        <w:t xml:space="preserve"> : </w:t>
      </w:r>
      <w:proofErr w:type="spellStart"/>
      <w:r w:rsidRPr="00086872">
        <w:rPr>
          <w:lang w:val="fr-CA"/>
        </w:rPr>
        <w:t>Farris</w:t>
      </w:r>
      <w:proofErr w:type="spellEnd"/>
      <w:r w:rsidRPr="00086872">
        <w:rPr>
          <w:lang w:val="fr-CA"/>
        </w:rPr>
        <w:t>, Vaughan, Wills &amp; Murphy, Vancouver.</w:t>
      </w:r>
    </w:p>
    <w:p w:rsidR="00F2342C" w:rsidRPr="00086872" w:rsidRDefault="00F2342C" w:rsidP="00861E81">
      <w:pPr>
        <w:pStyle w:val="SCCLawFirm"/>
        <w:widowControl w:val="0"/>
        <w:rPr>
          <w:lang w:val="fr-CA"/>
        </w:rPr>
      </w:pPr>
    </w:p>
    <w:p w:rsidR="00F2342C" w:rsidRPr="00FF4662" w:rsidRDefault="00F2342C" w:rsidP="00861E81">
      <w:pPr>
        <w:pStyle w:val="SCCLawFirm"/>
        <w:widowControl w:val="0"/>
        <w:rPr>
          <w:lang w:val="fr-CA"/>
        </w:rPr>
      </w:pPr>
      <w:r w:rsidRPr="00FF4662">
        <w:rPr>
          <w:lang w:val="fr-CA"/>
        </w:rPr>
        <w:tab/>
        <w:t xml:space="preserve">Procureurs des </w:t>
      </w:r>
      <w:r w:rsidRPr="00D93E2F">
        <w:rPr>
          <w:lang w:val="fr-CA"/>
        </w:rPr>
        <w:t>intimé</w:t>
      </w:r>
      <w:r>
        <w:rPr>
          <w:lang w:val="fr-CA"/>
        </w:rPr>
        <w:t xml:space="preserve">es </w:t>
      </w:r>
      <w:r>
        <w:rPr>
          <w:rStyle w:val="SCCCounselPartyRoleChar"/>
          <w:lang w:val="fr-CA"/>
        </w:rPr>
        <w:t>à la</w:t>
      </w:r>
      <w:r w:rsidRPr="00542D7C">
        <w:rPr>
          <w:rStyle w:val="SCCCounselPartyRoleChar"/>
          <w:lang w:val="fr-CA"/>
        </w:rPr>
        <w:t xml:space="preserve"> requête</w:t>
      </w:r>
      <w:r w:rsidRPr="00D93E2F">
        <w:rPr>
          <w:lang w:val="fr-CA"/>
        </w:rPr>
        <w:t xml:space="preserve"> </w:t>
      </w:r>
      <w:r>
        <w:rPr>
          <w:rStyle w:val="SCCCounselPartyRoleChar"/>
          <w:lang w:val="fr-CA"/>
        </w:rPr>
        <w:t xml:space="preserve">la </w:t>
      </w:r>
      <w:r w:rsidRPr="00D93E2F">
        <w:rPr>
          <w:rStyle w:val="SCCCounselPartyRoleChar"/>
          <w:lang w:val="fr-CA"/>
        </w:rPr>
        <w:t xml:space="preserve">Coalition pour la prévention de l’euthanasie </w:t>
      </w:r>
      <w:r>
        <w:rPr>
          <w:rStyle w:val="SCCCounselPartyRoleChar"/>
          <w:lang w:val="fr-CA"/>
        </w:rPr>
        <w:t>et</w:t>
      </w:r>
      <w:r w:rsidRPr="00D93E2F">
        <w:rPr>
          <w:rStyle w:val="SCCCounselPartyRoleChar"/>
          <w:lang w:val="fr-CA"/>
        </w:rPr>
        <w:t xml:space="preserve"> Euthanasia </w:t>
      </w:r>
      <w:proofErr w:type="spellStart"/>
      <w:r w:rsidRPr="00D93E2F">
        <w:rPr>
          <w:rStyle w:val="SCCCounselPartyRoleChar"/>
          <w:lang w:val="fr-CA"/>
        </w:rPr>
        <w:t>Prevention</w:t>
      </w:r>
      <w:proofErr w:type="spellEnd"/>
      <w:r w:rsidRPr="00D93E2F">
        <w:rPr>
          <w:rStyle w:val="SCCCounselPartyRoleChar"/>
          <w:lang w:val="fr-CA"/>
        </w:rPr>
        <w:t xml:space="preserve"> Coalition </w:t>
      </w:r>
      <w:r w:rsidRPr="00D93E2F">
        <w:rPr>
          <w:rStyle w:val="SCCCounselPartyRoleChar"/>
          <w:rFonts w:eastAsiaTheme="majorEastAsia"/>
          <w:lang w:val="fr-CA"/>
        </w:rPr>
        <w:t xml:space="preserve">— </w:t>
      </w:r>
      <w:r w:rsidRPr="00D93E2F">
        <w:rPr>
          <w:rStyle w:val="SCCCounselPartyRoleChar"/>
          <w:lang w:val="fr-CA"/>
        </w:rPr>
        <w:t>British Columbia</w:t>
      </w:r>
      <w:r w:rsidRPr="00FF4662">
        <w:rPr>
          <w:lang w:val="fr-CA"/>
        </w:rPr>
        <w:t xml:space="preserve"> : </w:t>
      </w:r>
      <w:proofErr w:type="spellStart"/>
      <w:r w:rsidRPr="00FF4662">
        <w:rPr>
          <w:lang w:val="fr-CA"/>
        </w:rPr>
        <w:t>Scher</w:t>
      </w:r>
      <w:proofErr w:type="spellEnd"/>
      <w:r w:rsidRPr="00FF4662">
        <w:rPr>
          <w:lang w:val="fr-CA"/>
        </w:rPr>
        <w:t xml:space="preserve"> Law Professional Corporation, Toronto</w:t>
      </w:r>
      <w:r>
        <w:rPr>
          <w:lang w:val="fr-CA"/>
        </w:rPr>
        <w:t xml:space="preserve">; </w:t>
      </w:r>
      <w:proofErr w:type="spellStart"/>
      <w:r w:rsidRPr="00FF4662">
        <w:rPr>
          <w:lang w:val="fr-CA"/>
        </w:rPr>
        <w:t>Fasken</w:t>
      </w:r>
      <w:proofErr w:type="spellEnd"/>
      <w:r w:rsidRPr="00FF4662">
        <w:rPr>
          <w:lang w:val="fr-CA"/>
        </w:rPr>
        <w:t xml:space="preserve"> Martineau </w:t>
      </w:r>
      <w:proofErr w:type="spellStart"/>
      <w:r w:rsidRPr="00FF4662">
        <w:rPr>
          <w:lang w:val="fr-CA"/>
        </w:rPr>
        <w:t>DuMoulin</w:t>
      </w:r>
      <w:proofErr w:type="spellEnd"/>
      <w:r w:rsidRPr="00FF4662">
        <w:rPr>
          <w:lang w:val="fr-CA"/>
        </w:rPr>
        <w:t>, Vancouver.</w:t>
      </w:r>
    </w:p>
    <w:sectPr w:rsidR="00F2342C" w:rsidRPr="00FF466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B1" w:rsidRDefault="00914AB1">
      <w:r>
        <w:separator/>
      </w:r>
    </w:p>
  </w:endnote>
  <w:endnote w:type="continuationSeparator" w:id="0">
    <w:p w:rsidR="00914AB1" w:rsidRDefault="0091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5A" w:rsidRDefault="0034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5A" w:rsidRDefault="00340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5A" w:rsidRDefault="00340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B1" w:rsidRDefault="00914AB1">
      <w:r>
        <w:separator/>
      </w:r>
    </w:p>
  </w:footnote>
  <w:footnote w:type="continuationSeparator" w:id="0">
    <w:p w:rsidR="00914AB1" w:rsidRDefault="0091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5A" w:rsidRDefault="00340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1" w:rsidRPr="00450352" w:rsidRDefault="00914AB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5A" w:rsidRDefault="00340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75D"/>
    <w:rsid w:val="00023FC7"/>
    <w:rsid w:val="00025198"/>
    <w:rsid w:val="000578A3"/>
    <w:rsid w:val="000648CC"/>
    <w:rsid w:val="00074D29"/>
    <w:rsid w:val="00086872"/>
    <w:rsid w:val="000A7872"/>
    <w:rsid w:val="000C59B8"/>
    <w:rsid w:val="000C6AF0"/>
    <w:rsid w:val="000D0A77"/>
    <w:rsid w:val="000F7993"/>
    <w:rsid w:val="00104F33"/>
    <w:rsid w:val="00111DE2"/>
    <w:rsid w:val="00116B38"/>
    <w:rsid w:val="00135406"/>
    <w:rsid w:val="00135972"/>
    <w:rsid w:val="001426A9"/>
    <w:rsid w:val="00151EC1"/>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1F35"/>
    <w:rsid w:val="002E6705"/>
    <w:rsid w:val="0030329A"/>
    <w:rsid w:val="0031086F"/>
    <w:rsid w:val="0031414C"/>
    <w:rsid w:val="00314E01"/>
    <w:rsid w:val="0032089D"/>
    <w:rsid w:val="003310DE"/>
    <w:rsid w:val="003323B0"/>
    <w:rsid w:val="0033476F"/>
    <w:rsid w:val="00340A49"/>
    <w:rsid w:val="00340E5A"/>
    <w:rsid w:val="0035169A"/>
    <w:rsid w:val="0035259D"/>
    <w:rsid w:val="00364B18"/>
    <w:rsid w:val="003A125D"/>
    <w:rsid w:val="003A4C70"/>
    <w:rsid w:val="003B215F"/>
    <w:rsid w:val="003C799C"/>
    <w:rsid w:val="003D0399"/>
    <w:rsid w:val="003D4D88"/>
    <w:rsid w:val="003E1C71"/>
    <w:rsid w:val="003F327B"/>
    <w:rsid w:val="00406166"/>
    <w:rsid w:val="0040704B"/>
    <w:rsid w:val="00410A55"/>
    <w:rsid w:val="00411300"/>
    <w:rsid w:val="00413F17"/>
    <w:rsid w:val="00415417"/>
    <w:rsid w:val="00417790"/>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3405C"/>
    <w:rsid w:val="00542D7C"/>
    <w:rsid w:val="005465A1"/>
    <w:rsid w:val="00555291"/>
    <w:rsid w:val="00566AD1"/>
    <w:rsid w:val="00573301"/>
    <w:rsid w:val="00583EDE"/>
    <w:rsid w:val="005A2DEE"/>
    <w:rsid w:val="005A6079"/>
    <w:rsid w:val="005D6CB9"/>
    <w:rsid w:val="005E2BAC"/>
    <w:rsid w:val="005E4698"/>
    <w:rsid w:val="005E4781"/>
    <w:rsid w:val="00603924"/>
    <w:rsid w:val="00610539"/>
    <w:rsid w:val="00613969"/>
    <w:rsid w:val="00625C35"/>
    <w:rsid w:val="00647E49"/>
    <w:rsid w:val="00656313"/>
    <w:rsid w:val="006565F4"/>
    <w:rsid w:val="006771F8"/>
    <w:rsid w:val="00684EEA"/>
    <w:rsid w:val="0069689B"/>
    <w:rsid w:val="006A1AB5"/>
    <w:rsid w:val="006B5FF5"/>
    <w:rsid w:val="006D79B6"/>
    <w:rsid w:val="006E31AD"/>
    <w:rsid w:val="006F30AF"/>
    <w:rsid w:val="006F35D5"/>
    <w:rsid w:val="006F624F"/>
    <w:rsid w:val="00701759"/>
    <w:rsid w:val="00705C15"/>
    <w:rsid w:val="007110F6"/>
    <w:rsid w:val="00712E1B"/>
    <w:rsid w:val="007208D1"/>
    <w:rsid w:val="00742FCD"/>
    <w:rsid w:val="00744518"/>
    <w:rsid w:val="00747288"/>
    <w:rsid w:val="00747DD3"/>
    <w:rsid w:val="007549C8"/>
    <w:rsid w:val="00766D14"/>
    <w:rsid w:val="00767A0F"/>
    <w:rsid w:val="0078432F"/>
    <w:rsid w:val="00791272"/>
    <w:rsid w:val="007A05F6"/>
    <w:rsid w:val="007B6F4A"/>
    <w:rsid w:val="007C39E4"/>
    <w:rsid w:val="007E1C47"/>
    <w:rsid w:val="007E337A"/>
    <w:rsid w:val="007E5C70"/>
    <w:rsid w:val="007F2FF5"/>
    <w:rsid w:val="007F3F08"/>
    <w:rsid w:val="00804CC6"/>
    <w:rsid w:val="00817190"/>
    <w:rsid w:val="0082406C"/>
    <w:rsid w:val="008260E2"/>
    <w:rsid w:val="008322BD"/>
    <w:rsid w:val="00834F73"/>
    <w:rsid w:val="00856629"/>
    <w:rsid w:val="00861E81"/>
    <w:rsid w:val="00864C8A"/>
    <w:rsid w:val="00864CF8"/>
    <w:rsid w:val="00874914"/>
    <w:rsid w:val="00891422"/>
    <w:rsid w:val="00892E1A"/>
    <w:rsid w:val="008B660A"/>
    <w:rsid w:val="008C01DA"/>
    <w:rsid w:val="008F2674"/>
    <w:rsid w:val="008F78E9"/>
    <w:rsid w:val="00914AB1"/>
    <w:rsid w:val="009179F9"/>
    <w:rsid w:val="00917C7A"/>
    <w:rsid w:val="00933E5E"/>
    <w:rsid w:val="00935218"/>
    <w:rsid w:val="00937C52"/>
    <w:rsid w:val="009403F3"/>
    <w:rsid w:val="009555B7"/>
    <w:rsid w:val="009567AA"/>
    <w:rsid w:val="009602C9"/>
    <w:rsid w:val="00967374"/>
    <w:rsid w:val="009A343A"/>
    <w:rsid w:val="009B2F23"/>
    <w:rsid w:val="009B57B3"/>
    <w:rsid w:val="009C07CA"/>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21A7"/>
    <w:rsid w:val="00AB670D"/>
    <w:rsid w:val="00AE2D6D"/>
    <w:rsid w:val="00AF03C5"/>
    <w:rsid w:val="00AF1F88"/>
    <w:rsid w:val="00AF2CF0"/>
    <w:rsid w:val="00B000D8"/>
    <w:rsid w:val="00B00F75"/>
    <w:rsid w:val="00B06D71"/>
    <w:rsid w:val="00B145B6"/>
    <w:rsid w:val="00B279EB"/>
    <w:rsid w:val="00B301F3"/>
    <w:rsid w:val="00B50C81"/>
    <w:rsid w:val="00B557F8"/>
    <w:rsid w:val="00B815FC"/>
    <w:rsid w:val="00B87ACE"/>
    <w:rsid w:val="00B93FBC"/>
    <w:rsid w:val="00BA7DA0"/>
    <w:rsid w:val="00BB2EE4"/>
    <w:rsid w:val="00BB4C92"/>
    <w:rsid w:val="00BC2108"/>
    <w:rsid w:val="00BD0E9E"/>
    <w:rsid w:val="00BD1BEC"/>
    <w:rsid w:val="00BD32FF"/>
    <w:rsid w:val="00BF6FE9"/>
    <w:rsid w:val="00C02092"/>
    <w:rsid w:val="00C24C89"/>
    <w:rsid w:val="00C24D91"/>
    <w:rsid w:val="00C26DB2"/>
    <w:rsid w:val="00C53F14"/>
    <w:rsid w:val="00C54874"/>
    <w:rsid w:val="00C600CF"/>
    <w:rsid w:val="00C6084F"/>
    <w:rsid w:val="00C62A66"/>
    <w:rsid w:val="00C6591A"/>
    <w:rsid w:val="00C66359"/>
    <w:rsid w:val="00C71458"/>
    <w:rsid w:val="00C77613"/>
    <w:rsid w:val="00C828E7"/>
    <w:rsid w:val="00C86719"/>
    <w:rsid w:val="00C921DD"/>
    <w:rsid w:val="00CA6391"/>
    <w:rsid w:val="00CD1C6E"/>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0FD9"/>
    <w:rsid w:val="00D93E2F"/>
    <w:rsid w:val="00D95F8E"/>
    <w:rsid w:val="00DA0590"/>
    <w:rsid w:val="00DC1739"/>
    <w:rsid w:val="00DC1788"/>
    <w:rsid w:val="00DE319C"/>
    <w:rsid w:val="00DF0CA8"/>
    <w:rsid w:val="00DF2B48"/>
    <w:rsid w:val="00DF3937"/>
    <w:rsid w:val="00DF49A7"/>
    <w:rsid w:val="00E07EE2"/>
    <w:rsid w:val="00E07FD1"/>
    <w:rsid w:val="00E24573"/>
    <w:rsid w:val="00E25E1E"/>
    <w:rsid w:val="00E27EE7"/>
    <w:rsid w:val="00E35404"/>
    <w:rsid w:val="00E45109"/>
    <w:rsid w:val="00E47B7A"/>
    <w:rsid w:val="00E53E53"/>
    <w:rsid w:val="00E56A44"/>
    <w:rsid w:val="00E60269"/>
    <w:rsid w:val="00E61CCD"/>
    <w:rsid w:val="00E97830"/>
    <w:rsid w:val="00EC539F"/>
    <w:rsid w:val="00EE0830"/>
    <w:rsid w:val="00EE6CB8"/>
    <w:rsid w:val="00EF0683"/>
    <w:rsid w:val="00F0070C"/>
    <w:rsid w:val="00F00EB7"/>
    <w:rsid w:val="00F2342C"/>
    <w:rsid w:val="00F36AB6"/>
    <w:rsid w:val="00F37A09"/>
    <w:rsid w:val="00F409CE"/>
    <w:rsid w:val="00F4379D"/>
    <w:rsid w:val="00F50D2D"/>
    <w:rsid w:val="00F56C8B"/>
    <w:rsid w:val="00F62639"/>
    <w:rsid w:val="00F66810"/>
    <w:rsid w:val="00F84DF4"/>
    <w:rsid w:val="00F85C97"/>
    <w:rsid w:val="00FA32A2"/>
    <w:rsid w:val="00FB37D2"/>
    <w:rsid w:val="00FC4EFB"/>
    <w:rsid w:val="00FD068D"/>
    <w:rsid w:val="00FD4F28"/>
    <w:rsid w:val="00FE6784"/>
    <w:rsid w:val="00FE7A8B"/>
    <w:rsid w:val="00FF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B06D7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C24C8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24C89"/>
    <w:rPr>
      <w:rFonts w:ascii="Times New Roman" w:hAnsi="Times New Roman"/>
      <w:sz w:val="24"/>
      <w:szCs w:val="24"/>
      <w:lang w:val="fr-CA"/>
    </w:rPr>
  </w:style>
  <w:style w:type="paragraph" w:customStyle="1" w:styleId="SCCLsocPrefix">
    <w:name w:val="SCC.Lsoc.Prefix"/>
    <w:basedOn w:val="Normal"/>
    <w:next w:val="Normal"/>
    <w:link w:val="SCCLsocPrefixChar"/>
    <w:rsid w:val="00C24C8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24C8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1FE0-2325-41B6-93C5-A8E483FE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3287</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2016-02-25T18:19:00Z</dcterms:created>
  <dcterms:modified xsi:type="dcterms:W3CDTF">2016-11-08T15:03:00Z</dcterms:modified>
</cp:coreProperties>
</file>