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49" w:rsidRDefault="00347349" w:rsidP="00347349">
      <w:pPr>
        <w:pStyle w:val="Header"/>
      </w:pPr>
      <w:r>
        <w:ptab w:relativeTo="margin" w:alignment="center" w:leader="none"/>
      </w:r>
      <w:r w:rsidRPr="00F72014">
        <w:t xml:space="preserve"> </w:t>
      </w:r>
      <w:r>
        <w:object w:dxaOrig="1365" w:dyaOrig="1440">
          <v:shape id="_x0000_i1029" type="#_x0000_t75" style="width:61.2pt;height:64.8pt" o:ole="">
            <v:imagedata r:id="rId8" o:title=""/>
          </v:shape>
          <o:OLEObject Type="Embed" ProgID="Presentations.Drawing.13" ShapeID="_x0000_i1029" DrawAspect="Content" ObjectID="_1540115659" r:id="rId9"/>
        </w:object>
      </w:r>
      <w:r>
        <w:t xml:space="preserve"> </w:t>
      </w:r>
      <w:r>
        <w:ptab w:relativeTo="margin" w:alignment="right" w:leader="none"/>
      </w:r>
    </w:p>
    <w:p w:rsidR="00347349" w:rsidRDefault="00347349" w:rsidP="00347349">
      <w:pPr>
        <w:pStyle w:val="Header"/>
      </w:pPr>
    </w:p>
    <w:p w:rsidR="00347349" w:rsidRPr="001E12E2" w:rsidRDefault="00347349" w:rsidP="00347349">
      <w:pPr>
        <w:jc w:val="center"/>
        <w:rPr>
          <w:b/>
        </w:rPr>
      </w:pPr>
      <w:r w:rsidRPr="001E12E2">
        <w:rPr>
          <w:b/>
        </w:rPr>
        <w:t>COUR SUPRÊME DU CANADA</w:t>
      </w:r>
    </w:p>
    <w:p w:rsidR="00347349" w:rsidRDefault="00347349" w:rsidP="00347349"/>
    <w:p w:rsidR="00E03472" w:rsidRDefault="00E03472" w:rsidP="00347349">
      <w:bookmarkStart w:id="0" w:name="_GoBack"/>
      <w:bookmarkEnd w:id="0"/>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347349" w:rsidRPr="001E12E2" w:rsidTr="00B1599A">
        <w:trPr>
          <w:cantSplit/>
        </w:trPr>
        <w:tc>
          <w:tcPr>
            <w:tcW w:w="5130" w:type="dxa"/>
          </w:tcPr>
          <w:p w:rsidR="00347349" w:rsidRPr="00347349" w:rsidRDefault="00347349" w:rsidP="00B1599A">
            <w:pPr>
              <w:rPr>
                <w:lang w:val="fr-CA"/>
              </w:rPr>
            </w:pPr>
            <w:r w:rsidRPr="00347349">
              <w:rPr>
                <w:b/>
                <w:smallCaps/>
                <w:lang w:val="fr-CA"/>
              </w:rPr>
              <w:t>Référence :</w:t>
            </w:r>
            <w:r w:rsidRPr="00347349">
              <w:rPr>
                <w:lang w:val="fr-CA"/>
              </w:rPr>
              <w:t xml:space="preserve"> Groupe de la Banque mondiale </w:t>
            </w:r>
            <w:r w:rsidRPr="00347349">
              <w:rPr>
                <w:i/>
                <w:lang w:val="fr-CA"/>
              </w:rPr>
              <w:t>c.</w:t>
            </w:r>
            <w:r w:rsidRPr="00347349">
              <w:rPr>
                <w:lang w:val="fr-CA"/>
              </w:rPr>
              <w:t xml:space="preserve"> Wallace, 2016 CSC 15</w:t>
            </w:r>
            <w:r>
              <w:rPr>
                <w:lang w:val="fr-CA"/>
              </w:rPr>
              <w:t xml:space="preserve">, </w:t>
            </w:r>
            <w:r>
              <w:rPr>
                <w:rStyle w:val="SCCRespondentForRunningHeadChar"/>
                <w:smallCaps w:val="0"/>
                <w:lang w:val="fr-CA"/>
              </w:rPr>
              <w:t>[2016] 1 R.C.S. 207</w:t>
            </w:r>
          </w:p>
        </w:tc>
        <w:tc>
          <w:tcPr>
            <w:tcW w:w="4446" w:type="dxa"/>
          </w:tcPr>
          <w:p w:rsidR="00347349" w:rsidRPr="00347349" w:rsidRDefault="00347349" w:rsidP="00B1599A">
            <w:pPr>
              <w:rPr>
                <w:lang w:val="fr-CA"/>
              </w:rPr>
            </w:pPr>
            <w:r w:rsidRPr="00347349">
              <w:rPr>
                <w:b/>
                <w:smallCaps/>
                <w:lang w:val="fr-CA"/>
              </w:rPr>
              <w:t>Appel entendu :</w:t>
            </w:r>
            <w:r w:rsidRPr="00347349">
              <w:rPr>
                <w:lang w:val="fr-CA"/>
              </w:rPr>
              <w:t xml:space="preserve"> 6 novembre 2015</w:t>
            </w:r>
          </w:p>
          <w:p w:rsidR="00347349" w:rsidRPr="00347349" w:rsidRDefault="00347349" w:rsidP="00B1599A">
            <w:pPr>
              <w:rPr>
                <w:b/>
                <w:smallCaps/>
                <w:lang w:val="fr-CA"/>
              </w:rPr>
            </w:pPr>
            <w:r w:rsidRPr="00347349">
              <w:rPr>
                <w:b/>
                <w:smallCaps/>
                <w:lang w:val="fr-CA"/>
              </w:rPr>
              <w:t>Jugement rendu :</w:t>
            </w:r>
            <w:r w:rsidRPr="00347349">
              <w:rPr>
                <w:lang w:val="fr-CA"/>
              </w:rPr>
              <w:t xml:space="preserve"> 29 avril 2016</w:t>
            </w:r>
          </w:p>
          <w:p w:rsidR="00347349" w:rsidRPr="001E12E2" w:rsidRDefault="00347349" w:rsidP="00B1599A">
            <w:r w:rsidRPr="001E12E2">
              <w:rPr>
                <w:b/>
                <w:smallCaps/>
              </w:rPr>
              <w:t>Do</w:t>
            </w:r>
            <w:r>
              <w:rPr>
                <w:b/>
                <w:smallCaps/>
              </w:rPr>
              <w:t>ssier :</w:t>
            </w:r>
            <w:r w:rsidRPr="001E12E2">
              <w:t xml:space="preserve"> </w:t>
            </w:r>
            <w:r>
              <w:t>36315</w:t>
            </w:r>
          </w:p>
        </w:tc>
      </w:tr>
    </w:tbl>
    <w:p w:rsidR="00347349" w:rsidRPr="001E12E2" w:rsidRDefault="00347349" w:rsidP="00347349"/>
    <w:p w:rsidR="00347349" w:rsidRDefault="00347349" w:rsidP="00347349">
      <w:pPr>
        <w:pStyle w:val="SCCLsocPrefix"/>
      </w:pPr>
      <w:r>
        <w:t>Entre :</w:t>
      </w:r>
    </w:p>
    <w:p w:rsidR="00347349" w:rsidRDefault="00347349" w:rsidP="00347349">
      <w:pPr>
        <w:pStyle w:val="SCCLsocParty"/>
        <w:jc w:val="center"/>
      </w:pPr>
      <w:r w:rsidRPr="001C3C43">
        <w:t xml:space="preserve">Groupe de la </w:t>
      </w:r>
      <w:proofErr w:type="spellStart"/>
      <w:r w:rsidRPr="001C3C43">
        <w:t>Banque</w:t>
      </w:r>
      <w:proofErr w:type="spellEnd"/>
      <w:r w:rsidRPr="001C3C43">
        <w:t xml:space="preserve"> </w:t>
      </w:r>
      <w:proofErr w:type="spellStart"/>
      <w:r w:rsidRPr="001C3C43">
        <w:t>mondiale</w:t>
      </w:r>
      <w:proofErr w:type="spellEnd"/>
    </w:p>
    <w:p w:rsidR="00347349" w:rsidRDefault="00347349" w:rsidP="00347349">
      <w:pPr>
        <w:jc w:val="center"/>
      </w:pPr>
      <w:proofErr w:type="spellStart"/>
      <w:r>
        <w:t>Appelant</w:t>
      </w:r>
      <w:proofErr w:type="spellEnd"/>
    </w:p>
    <w:p w:rsidR="00347349" w:rsidRPr="00AF21E7" w:rsidRDefault="00347349" w:rsidP="00347349">
      <w:pPr>
        <w:jc w:val="center"/>
      </w:pPr>
    </w:p>
    <w:p w:rsidR="00347349" w:rsidRPr="006F5DD1" w:rsidRDefault="00347349" w:rsidP="00347349">
      <w:pPr>
        <w:jc w:val="center"/>
        <w:rPr>
          <w:lang w:val="fr-CA"/>
        </w:rPr>
      </w:pPr>
      <w:proofErr w:type="gramStart"/>
      <w:r w:rsidRPr="006F5DD1">
        <w:rPr>
          <w:lang w:val="fr-CA"/>
        </w:rPr>
        <w:t>et</w:t>
      </w:r>
      <w:proofErr w:type="gramEnd"/>
    </w:p>
    <w:p w:rsidR="00347349" w:rsidRPr="006F5DD1" w:rsidRDefault="00347349" w:rsidP="00347349">
      <w:pPr>
        <w:jc w:val="center"/>
        <w:rPr>
          <w:lang w:val="fr-CA"/>
        </w:rPr>
      </w:pPr>
    </w:p>
    <w:p w:rsidR="00347349" w:rsidRPr="006F5DD1" w:rsidRDefault="00347349" w:rsidP="00347349">
      <w:pPr>
        <w:pStyle w:val="SCCLsocParty"/>
        <w:jc w:val="center"/>
        <w:rPr>
          <w:lang w:val="fr-CA"/>
        </w:rPr>
      </w:pPr>
      <w:r w:rsidRPr="006F5DD1">
        <w:rPr>
          <w:lang w:val="fr-CA"/>
        </w:rPr>
        <w:t xml:space="preserve">Kevin Wallace, </w:t>
      </w:r>
      <w:proofErr w:type="spellStart"/>
      <w:r w:rsidRPr="006F5DD1">
        <w:rPr>
          <w:lang w:val="fr-CA"/>
        </w:rPr>
        <w:t>Zulfiquar</w:t>
      </w:r>
      <w:proofErr w:type="spellEnd"/>
      <w:r w:rsidRPr="006F5DD1">
        <w:rPr>
          <w:lang w:val="fr-CA"/>
        </w:rPr>
        <w:t xml:space="preserve"> </w:t>
      </w:r>
      <w:proofErr w:type="spellStart"/>
      <w:r w:rsidRPr="006F5DD1">
        <w:rPr>
          <w:lang w:val="fr-CA"/>
        </w:rPr>
        <w:t>Bhuiyan</w:t>
      </w:r>
      <w:proofErr w:type="spellEnd"/>
      <w:r w:rsidRPr="006F5DD1">
        <w:rPr>
          <w:lang w:val="fr-CA"/>
        </w:rPr>
        <w:t>,</w:t>
      </w:r>
    </w:p>
    <w:p w:rsidR="00347349" w:rsidRPr="006F5DD1" w:rsidRDefault="00347349" w:rsidP="00347349">
      <w:pPr>
        <w:pStyle w:val="SCCLsocParty"/>
        <w:jc w:val="center"/>
        <w:rPr>
          <w:lang w:val="fr-CA"/>
        </w:rPr>
      </w:pPr>
      <w:proofErr w:type="spellStart"/>
      <w:r w:rsidRPr="006F5DD1">
        <w:rPr>
          <w:lang w:val="fr-CA"/>
        </w:rPr>
        <w:t>Ramesh</w:t>
      </w:r>
      <w:proofErr w:type="spellEnd"/>
      <w:r w:rsidRPr="006F5DD1">
        <w:rPr>
          <w:lang w:val="fr-CA"/>
        </w:rPr>
        <w:t xml:space="preserve"> Shah, Mohammad Ismail et</w:t>
      </w:r>
    </w:p>
    <w:p w:rsidR="00347349" w:rsidRPr="00347349" w:rsidRDefault="00347349" w:rsidP="00347349">
      <w:pPr>
        <w:pStyle w:val="SCCLsocParty"/>
        <w:jc w:val="center"/>
        <w:rPr>
          <w:lang w:val="fr-CA"/>
        </w:rPr>
      </w:pPr>
      <w:r w:rsidRPr="00347349">
        <w:rPr>
          <w:lang w:val="fr-CA"/>
        </w:rPr>
        <w:t>Sa Majesté la Reine du chef du Canada</w:t>
      </w:r>
    </w:p>
    <w:p w:rsidR="00347349" w:rsidRPr="00347349" w:rsidRDefault="00347349" w:rsidP="00347349">
      <w:pPr>
        <w:jc w:val="center"/>
        <w:rPr>
          <w:lang w:val="fr-CA"/>
        </w:rPr>
      </w:pPr>
      <w:r w:rsidRPr="00347349">
        <w:rPr>
          <w:lang w:val="fr-CA"/>
        </w:rPr>
        <w:t>Intimés</w:t>
      </w:r>
    </w:p>
    <w:p w:rsidR="00347349" w:rsidRPr="00347349" w:rsidRDefault="00347349" w:rsidP="00347349">
      <w:pPr>
        <w:jc w:val="center"/>
        <w:rPr>
          <w:lang w:val="fr-CA"/>
        </w:rPr>
      </w:pPr>
    </w:p>
    <w:p w:rsidR="00347349" w:rsidRDefault="00347349" w:rsidP="00347349">
      <w:pPr>
        <w:jc w:val="center"/>
        <w:rPr>
          <w:lang w:val="fr-CA"/>
        </w:rPr>
      </w:pPr>
      <w:r w:rsidRPr="00347349">
        <w:rPr>
          <w:lang w:val="fr-CA"/>
        </w:rPr>
        <w:t xml:space="preserve">- et </w:t>
      </w:r>
      <w:r w:rsidR="006E41B2">
        <w:rPr>
          <w:lang w:val="fr-CA"/>
        </w:rPr>
        <w:t>–</w:t>
      </w:r>
    </w:p>
    <w:p w:rsidR="006E41B2" w:rsidRPr="00347349" w:rsidRDefault="006E41B2" w:rsidP="00347349">
      <w:pPr>
        <w:jc w:val="center"/>
        <w:rPr>
          <w:lang w:val="fr-CA"/>
        </w:rPr>
      </w:pPr>
    </w:p>
    <w:p w:rsidR="00347349" w:rsidRPr="00347349" w:rsidRDefault="00347349" w:rsidP="00347349">
      <w:pPr>
        <w:pStyle w:val="SCCLsocParty"/>
        <w:jc w:val="center"/>
        <w:rPr>
          <w:lang w:val="fr-CA"/>
        </w:rPr>
      </w:pPr>
      <w:proofErr w:type="spellStart"/>
      <w:r w:rsidRPr="00347349">
        <w:rPr>
          <w:lang w:val="fr-CA"/>
        </w:rPr>
        <w:t>Criminal</w:t>
      </w:r>
      <w:proofErr w:type="spellEnd"/>
      <w:r w:rsidRPr="00347349">
        <w:rPr>
          <w:lang w:val="fr-CA"/>
        </w:rPr>
        <w:t xml:space="preserve"> </w:t>
      </w:r>
      <w:proofErr w:type="spellStart"/>
      <w:r w:rsidRPr="00347349">
        <w:rPr>
          <w:lang w:val="fr-CA"/>
        </w:rPr>
        <w:t>Lawyers</w:t>
      </w:r>
      <w:proofErr w:type="spellEnd"/>
      <w:r w:rsidRPr="00347349">
        <w:rPr>
          <w:lang w:val="fr-CA"/>
        </w:rPr>
        <w:t xml:space="preserve">’ Association (Ontario), </w:t>
      </w:r>
      <w:proofErr w:type="spellStart"/>
      <w:r w:rsidRPr="00347349">
        <w:rPr>
          <w:lang w:val="fr-CA"/>
        </w:rPr>
        <w:t>Transparency</w:t>
      </w:r>
      <w:proofErr w:type="spellEnd"/>
      <w:r w:rsidRPr="00347349">
        <w:rPr>
          <w:lang w:val="fr-CA"/>
        </w:rPr>
        <w:t xml:space="preserve"> International Canada Inc.,</w:t>
      </w:r>
    </w:p>
    <w:p w:rsidR="00347349" w:rsidRPr="00347349" w:rsidRDefault="00347349" w:rsidP="00347349">
      <w:pPr>
        <w:pStyle w:val="SCCLsocParty"/>
        <w:jc w:val="center"/>
        <w:rPr>
          <w:lang w:val="fr-CA"/>
        </w:rPr>
      </w:pPr>
      <w:proofErr w:type="spellStart"/>
      <w:r w:rsidRPr="00347349">
        <w:rPr>
          <w:lang w:val="fr-CA"/>
        </w:rPr>
        <w:t>Transparency</w:t>
      </w:r>
      <w:proofErr w:type="spellEnd"/>
      <w:r w:rsidRPr="00347349">
        <w:rPr>
          <w:lang w:val="fr-CA"/>
        </w:rPr>
        <w:t xml:space="preserve"> International </w:t>
      </w:r>
      <w:proofErr w:type="spellStart"/>
      <w:proofErr w:type="gramStart"/>
      <w:r w:rsidRPr="00347349">
        <w:rPr>
          <w:lang w:val="fr-CA"/>
        </w:rPr>
        <w:t>e.V.</w:t>
      </w:r>
      <w:proofErr w:type="spellEnd"/>
      <w:r w:rsidRPr="00347349">
        <w:rPr>
          <w:lang w:val="fr-CA"/>
        </w:rPr>
        <w:t>,</w:t>
      </w:r>
      <w:proofErr w:type="gramEnd"/>
      <w:r w:rsidRPr="00347349">
        <w:rPr>
          <w:lang w:val="fr-CA"/>
        </w:rPr>
        <w:t xml:space="preserve"> Association des libertés civiles de la Colombie</w:t>
      </w:r>
      <w:r w:rsidRPr="00347349">
        <w:rPr>
          <w:lang w:val="fr-CA"/>
        </w:rPr>
        <w:noBreakHyphen/>
        <w:t>Britannique, Banque européenne pour la reconstruction et le développement,</w:t>
      </w:r>
    </w:p>
    <w:p w:rsidR="00347349" w:rsidRPr="00347349" w:rsidRDefault="00347349" w:rsidP="00347349">
      <w:pPr>
        <w:pStyle w:val="SCCLsocParty"/>
        <w:jc w:val="center"/>
        <w:rPr>
          <w:lang w:val="fr-CA"/>
        </w:rPr>
      </w:pPr>
      <w:r w:rsidRPr="00347349">
        <w:rPr>
          <w:lang w:val="fr-CA"/>
        </w:rPr>
        <w:t>Organisation de coopération et de développement économiques,</w:t>
      </w:r>
    </w:p>
    <w:p w:rsidR="00347349" w:rsidRPr="00347349" w:rsidRDefault="00347349" w:rsidP="00347349">
      <w:pPr>
        <w:pStyle w:val="SCCLsocParty"/>
        <w:jc w:val="center"/>
        <w:rPr>
          <w:lang w:val="fr-CA"/>
        </w:rPr>
      </w:pPr>
      <w:r w:rsidRPr="00347349">
        <w:rPr>
          <w:lang w:val="fr-CA"/>
        </w:rPr>
        <w:t xml:space="preserve">Groupe de la Banque africaine de développement, Asian </w:t>
      </w:r>
      <w:proofErr w:type="spellStart"/>
      <w:r w:rsidRPr="00347349">
        <w:rPr>
          <w:lang w:val="fr-CA"/>
        </w:rPr>
        <w:t>Development</w:t>
      </w:r>
      <w:proofErr w:type="spellEnd"/>
      <w:r w:rsidRPr="00347349">
        <w:rPr>
          <w:lang w:val="fr-CA"/>
        </w:rPr>
        <w:t xml:space="preserve"> Bank,</w:t>
      </w:r>
    </w:p>
    <w:p w:rsidR="00347349" w:rsidRPr="00347349" w:rsidRDefault="00347349" w:rsidP="00347349">
      <w:pPr>
        <w:pStyle w:val="SCCLsocParty"/>
        <w:jc w:val="center"/>
        <w:rPr>
          <w:lang w:val="fr-CA"/>
        </w:rPr>
      </w:pPr>
      <w:r w:rsidRPr="00347349">
        <w:rPr>
          <w:lang w:val="fr-CA"/>
        </w:rPr>
        <w:t xml:space="preserve">Banque interaméricaine de développement et </w:t>
      </w:r>
      <w:proofErr w:type="spellStart"/>
      <w:r w:rsidRPr="00347349">
        <w:rPr>
          <w:lang w:val="fr-CA"/>
        </w:rPr>
        <w:t>Nordic</w:t>
      </w:r>
      <w:proofErr w:type="spellEnd"/>
      <w:r w:rsidRPr="00347349">
        <w:rPr>
          <w:lang w:val="fr-CA"/>
        </w:rPr>
        <w:t xml:space="preserve"> Investment Bank</w:t>
      </w:r>
    </w:p>
    <w:p w:rsidR="00347349" w:rsidRPr="006F5DD1" w:rsidRDefault="00347349" w:rsidP="00347349">
      <w:pPr>
        <w:jc w:val="center"/>
        <w:rPr>
          <w:lang w:val="fr-CA"/>
        </w:rPr>
      </w:pPr>
      <w:r w:rsidRPr="006F5DD1">
        <w:rPr>
          <w:lang w:val="fr-CA"/>
        </w:rPr>
        <w:t>Intervenants</w:t>
      </w:r>
    </w:p>
    <w:p w:rsidR="00347349" w:rsidRPr="006F5DD1" w:rsidRDefault="00347349" w:rsidP="00347349">
      <w:pPr>
        <w:rPr>
          <w:lang w:val="fr-CA"/>
        </w:rPr>
      </w:pPr>
    </w:p>
    <w:p w:rsidR="006F5DD1" w:rsidRPr="006F5DD1" w:rsidRDefault="006F5DD1" w:rsidP="00347349">
      <w:pPr>
        <w:rPr>
          <w:lang w:val="fr-CA"/>
        </w:rPr>
      </w:pPr>
    </w:p>
    <w:p w:rsidR="00347349" w:rsidRPr="006F5DD1" w:rsidRDefault="00347349" w:rsidP="00347349">
      <w:pPr>
        <w:jc w:val="center"/>
        <w:rPr>
          <w:b/>
          <w:smallCaps/>
          <w:lang w:val="fr-CA"/>
        </w:rPr>
      </w:pPr>
      <w:r w:rsidRPr="006F5DD1">
        <w:rPr>
          <w:b/>
          <w:smallCaps/>
          <w:lang w:val="fr-CA"/>
        </w:rPr>
        <w:t>Traduction française officielle</w:t>
      </w:r>
    </w:p>
    <w:p w:rsidR="00347349" w:rsidRPr="006F5DD1" w:rsidRDefault="00347349" w:rsidP="00347349">
      <w:pPr>
        <w:rPr>
          <w:lang w:val="fr-CA"/>
        </w:rPr>
      </w:pPr>
    </w:p>
    <w:p w:rsidR="00347349" w:rsidRPr="00347349" w:rsidRDefault="00347349" w:rsidP="00347349">
      <w:pPr>
        <w:rPr>
          <w:lang w:val="fr-CA"/>
        </w:rPr>
      </w:pPr>
      <w:r w:rsidRPr="00347349">
        <w:rPr>
          <w:b/>
          <w:smallCaps/>
          <w:lang w:val="fr-CA"/>
        </w:rPr>
        <w:t>Coram :</w:t>
      </w:r>
      <w:r w:rsidRPr="00347349">
        <w:rPr>
          <w:lang w:val="fr-CA"/>
        </w:rPr>
        <w:t xml:space="preserve"> La juge en chef </w:t>
      </w:r>
      <w:proofErr w:type="spellStart"/>
      <w:r w:rsidRPr="00347349">
        <w:rPr>
          <w:lang w:val="fr-CA"/>
        </w:rPr>
        <w:t>McLachlin</w:t>
      </w:r>
      <w:proofErr w:type="spellEnd"/>
      <w:r w:rsidRPr="00347349">
        <w:rPr>
          <w:lang w:val="fr-CA"/>
        </w:rPr>
        <w:t xml:space="preserve"> et les juges Abella, Cromwell, </w:t>
      </w:r>
      <w:proofErr w:type="spellStart"/>
      <w:r w:rsidRPr="00347349">
        <w:rPr>
          <w:lang w:val="fr-CA"/>
        </w:rPr>
        <w:t>Moldaver</w:t>
      </w:r>
      <w:proofErr w:type="spellEnd"/>
      <w:r w:rsidRPr="00347349">
        <w:rPr>
          <w:lang w:val="fr-CA"/>
        </w:rPr>
        <w:t xml:space="preserve">, </w:t>
      </w:r>
      <w:proofErr w:type="spellStart"/>
      <w:r w:rsidRPr="00347349">
        <w:rPr>
          <w:lang w:val="fr-CA"/>
        </w:rPr>
        <w:t>Karakatsanis</w:t>
      </w:r>
      <w:proofErr w:type="spellEnd"/>
      <w:r w:rsidRPr="00347349">
        <w:rPr>
          <w:lang w:val="fr-CA"/>
        </w:rPr>
        <w:t>, Wagner, Gascon, Côté et Brown</w:t>
      </w:r>
    </w:p>
    <w:p w:rsidR="00347349" w:rsidRPr="00347349" w:rsidRDefault="00347349" w:rsidP="0034734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47349" w:rsidRPr="006F5DD1" w:rsidTr="00B1599A">
        <w:trPr>
          <w:cantSplit/>
        </w:trPr>
        <w:tc>
          <w:tcPr>
            <w:tcW w:w="3618" w:type="dxa"/>
          </w:tcPr>
          <w:p w:rsidR="00347349" w:rsidRPr="00347349" w:rsidRDefault="00347349" w:rsidP="00B1599A">
            <w:pPr>
              <w:rPr>
                <w:b/>
                <w:smallCaps/>
                <w:lang w:val="fr-CA"/>
              </w:rPr>
            </w:pPr>
            <w:r w:rsidRPr="00347349">
              <w:rPr>
                <w:b/>
                <w:smallCaps/>
                <w:lang w:val="fr-CA"/>
              </w:rPr>
              <w:t>Motifs conjoints de jugement :</w:t>
            </w:r>
          </w:p>
          <w:p w:rsidR="00347349" w:rsidRPr="00347349" w:rsidRDefault="00347349" w:rsidP="00B1599A">
            <w:pPr>
              <w:rPr>
                <w:lang w:val="fr-CA"/>
              </w:rPr>
            </w:pPr>
            <w:r w:rsidRPr="00347349">
              <w:rPr>
                <w:lang w:val="fr-CA"/>
              </w:rPr>
              <w:t>(par. 1 à 149)</w:t>
            </w:r>
          </w:p>
        </w:tc>
        <w:tc>
          <w:tcPr>
            <w:tcW w:w="5958" w:type="dxa"/>
          </w:tcPr>
          <w:p w:rsidR="00347349" w:rsidRPr="00347349" w:rsidRDefault="00347349" w:rsidP="00B1599A">
            <w:pPr>
              <w:rPr>
                <w:lang w:val="fr-CA"/>
              </w:rPr>
            </w:pPr>
            <w:r w:rsidRPr="00347349">
              <w:rPr>
                <w:lang w:val="fr-CA"/>
              </w:rPr>
              <w:t xml:space="preserve">Les juges </w:t>
            </w:r>
            <w:proofErr w:type="spellStart"/>
            <w:r w:rsidRPr="00347349">
              <w:rPr>
                <w:lang w:val="fr-CA"/>
              </w:rPr>
              <w:t>Moldaver</w:t>
            </w:r>
            <w:proofErr w:type="spellEnd"/>
            <w:r w:rsidRPr="00347349">
              <w:rPr>
                <w:lang w:val="fr-CA"/>
              </w:rPr>
              <w:t xml:space="preserve"> et Côté (avec l’accord de la juge en chef </w:t>
            </w:r>
            <w:proofErr w:type="spellStart"/>
            <w:r w:rsidRPr="00347349">
              <w:rPr>
                <w:lang w:val="fr-CA"/>
              </w:rPr>
              <w:t>McLachlin</w:t>
            </w:r>
            <w:proofErr w:type="spellEnd"/>
            <w:r w:rsidRPr="00347349">
              <w:rPr>
                <w:lang w:val="fr-CA"/>
              </w:rPr>
              <w:t xml:space="preserve"> et des juges Abella, Cromwell, </w:t>
            </w:r>
            <w:proofErr w:type="spellStart"/>
            <w:r w:rsidRPr="00347349">
              <w:rPr>
                <w:lang w:val="fr-CA"/>
              </w:rPr>
              <w:t>Karakatsanis</w:t>
            </w:r>
            <w:proofErr w:type="spellEnd"/>
            <w:r w:rsidRPr="00347349">
              <w:rPr>
                <w:lang w:val="fr-CA"/>
              </w:rPr>
              <w:t>, Wagner, Gascon et Brown)</w:t>
            </w:r>
          </w:p>
        </w:tc>
      </w:tr>
    </w:tbl>
    <w:p w:rsidR="00347349" w:rsidRPr="00347349" w:rsidRDefault="00347349" w:rsidP="00347349">
      <w:pPr>
        <w:rPr>
          <w:lang w:val="fr-CA"/>
        </w:rPr>
      </w:pPr>
    </w:p>
    <w:p w:rsidR="00347349" w:rsidRPr="00347349" w:rsidRDefault="00347349" w:rsidP="00347349">
      <w:pPr>
        <w:rPr>
          <w:lang w:val="fr-CA"/>
        </w:rPr>
      </w:pPr>
    </w:p>
    <w:p w:rsidR="00347349" w:rsidRPr="00347349" w:rsidRDefault="00347349" w:rsidP="00347349">
      <w:pPr>
        <w:rPr>
          <w:lang w:val="fr-CA"/>
        </w:rPr>
      </w:pPr>
      <w:r>
        <w:rPr>
          <w:noProof/>
          <w:lang w:val="en-US" w:eastAsia="en-US"/>
        </w:rPr>
        <w:lastRenderedPageBreak/>
        <mc:AlternateContent>
          <mc:Choice Requires="wps">
            <w:drawing>
              <wp:anchor distT="0" distB="0" distL="114300" distR="114300" simplePos="0" relativeHeight="251659264" behindDoc="0" locked="0" layoutInCell="1" allowOverlap="1" wp14:anchorId="54CEC676" wp14:editId="1BA0784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773F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47349" w:rsidRDefault="00347349" w:rsidP="003C0B54">
      <w:pPr>
        <w:widowControl w:val="0"/>
        <w:spacing w:after="720"/>
        <w:jc w:val="both"/>
        <w:rPr>
          <w:rStyle w:val="SCCAppellantForRunningHeadChar"/>
          <w:smallCaps w:val="0"/>
          <w:lang w:val="fr-CA"/>
        </w:rPr>
      </w:pPr>
    </w:p>
    <w:p w:rsidR="004D7D95" w:rsidRPr="00312FD8" w:rsidRDefault="00312FD8" w:rsidP="003C0B54">
      <w:pPr>
        <w:widowControl w:val="0"/>
        <w:spacing w:after="720"/>
        <w:jc w:val="both"/>
        <w:rPr>
          <w:smallCaps/>
          <w:lang w:val="fr-CA"/>
        </w:rPr>
      </w:pPr>
      <w:r>
        <w:rPr>
          <w:rStyle w:val="SCCAppellantForRunningHeadChar"/>
          <w:smallCaps w:val="0"/>
          <w:lang w:val="fr-CA"/>
        </w:rPr>
        <w:t>Groupe de la B</w:t>
      </w:r>
      <w:r w:rsidR="001C3C43" w:rsidRPr="00312FD8">
        <w:rPr>
          <w:rStyle w:val="SCCAppellantForRunningHeadChar"/>
          <w:smallCaps w:val="0"/>
          <w:lang w:val="fr-CA"/>
        </w:rPr>
        <w:t>anque mondiale</w:t>
      </w:r>
      <w:r w:rsidR="004D7D95" w:rsidRPr="00312FD8">
        <w:rPr>
          <w:smallCaps/>
          <w:lang w:val="fr-CA"/>
        </w:rPr>
        <w:t xml:space="preserve"> </w:t>
      </w:r>
      <w:r w:rsidR="004D7D95" w:rsidRPr="00312FD8">
        <w:rPr>
          <w:i/>
          <w:lang w:val="fr-CA"/>
        </w:rPr>
        <w:t>c.</w:t>
      </w:r>
      <w:r w:rsidR="004D7D95" w:rsidRPr="00312FD8">
        <w:rPr>
          <w:smallCaps/>
          <w:lang w:val="fr-CA"/>
        </w:rPr>
        <w:t xml:space="preserve"> </w:t>
      </w:r>
      <w:r>
        <w:rPr>
          <w:rStyle w:val="SCCRespondentForRunningHeadChar"/>
          <w:smallCaps w:val="0"/>
          <w:lang w:val="fr-CA"/>
        </w:rPr>
        <w:t>W</w:t>
      </w:r>
      <w:r w:rsidR="004D7D95" w:rsidRPr="00312FD8">
        <w:rPr>
          <w:rStyle w:val="SCCRespondentForRunningHeadChar"/>
          <w:smallCaps w:val="0"/>
          <w:lang w:val="fr-CA"/>
        </w:rPr>
        <w:t>allace</w:t>
      </w:r>
      <w:r>
        <w:rPr>
          <w:rStyle w:val="SCCRespondentForRunningHeadChar"/>
          <w:smallCaps w:val="0"/>
          <w:lang w:val="fr-CA"/>
        </w:rPr>
        <w:t>, 2016 CSC 15, [2016] 1 R.C.S. 207</w:t>
      </w:r>
    </w:p>
    <w:p w:rsidR="00102D40" w:rsidRPr="001C3C43" w:rsidRDefault="001C3C43" w:rsidP="003C0B54">
      <w:pPr>
        <w:pStyle w:val="SCCLsocLastPartyInRole"/>
        <w:widowControl w:val="0"/>
        <w:rPr>
          <w:lang w:val="fr-CA"/>
        </w:rPr>
      </w:pPr>
      <w:r w:rsidRPr="001C3C43">
        <w:rPr>
          <w:lang w:val="fr-CA"/>
        </w:rPr>
        <w:t>Groupe de la Banque mondiale</w:t>
      </w:r>
      <w:r w:rsidR="00CC1A0B" w:rsidRPr="001C3C43">
        <w:rPr>
          <w:rStyle w:val="SCCLsocPartyRole"/>
          <w:lang w:val="fr-CA"/>
        </w:rPr>
        <w:tab/>
        <w:t>Appelant</w:t>
      </w:r>
    </w:p>
    <w:p w:rsidR="00102D40" w:rsidRDefault="00CC1A0B" w:rsidP="003C0B54">
      <w:pPr>
        <w:pStyle w:val="SCCLsocVersus"/>
        <w:widowControl w:val="0"/>
      </w:pPr>
      <w:proofErr w:type="gramStart"/>
      <w:r>
        <w:t>c</w:t>
      </w:r>
      <w:proofErr w:type="gramEnd"/>
      <w:r>
        <w:t>.</w:t>
      </w:r>
    </w:p>
    <w:p w:rsidR="00102D40" w:rsidRDefault="00CC1A0B" w:rsidP="003C0B54">
      <w:pPr>
        <w:pStyle w:val="SCCLsocParty"/>
        <w:widowControl w:val="0"/>
      </w:pPr>
      <w:r>
        <w:t>Kevin Wallace,</w:t>
      </w:r>
    </w:p>
    <w:p w:rsidR="00102D40" w:rsidRDefault="00CC1A0B" w:rsidP="003C0B54">
      <w:pPr>
        <w:pStyle w:val="SCCLsocParty"/>
        <w:widowControl w:val="0"/>
      </w:pPr>
      <w:proofErr w:type="spellStart"/>
      <w:r>
        <w:t>Zulfiquar</w:t>
      </w:r>
      <w:proofErr w:type="spellEnd"/>
      <w:r>
        <w:t xml:space="preserve"> </w:t>
      </w:r>
      <w:proofErr w:type="spellStart"/>
      <w:r>
        <w:t>Bhuiyan</w:t>
      </w:r>
      <w:proofErr w:type="spellEnd"/>
      <w:r>
        <w:t>,</w:t>
      </w:r>
    </w:p>
    <w:p w:rsidR="00102D40" w:rsidRDefault="00CC1A0B" w:rsidP="003C0B54">
      <w:pPr>
        <w:pStyle w:val="SCCLsocParty"/>
        <w:widowControl w:val="0"/>
      </w:pPr>
      <w:r>
        <w:t>Ramesh Shah,</w:t>
      </w:r>
    </w:p>
    <w:p w:rsidR="00102D40" w:rsidRPr="00387E52" w:rsidRDefault="007B19B0" w:rsidP="003C0B54">
      <w:pPr>
        <w:pStyle w:val="SCCLsocParty"/>
        <w:widowControl w:val="0"/>
        <w:rPr>
          <w:lang w:val="fr-CA"/>
        </w:rPr>
      </w:pPr>
      <w:r>
        <w:rPr>
          <w:lang w:val="fr-CA"/>
        </w:rPr>
        <w:t>Mohammad Ismail et</w:t>
      </w:r>
    </w:p>
    <w:p w:rsidR="00102D40" w:rsidRPr="00387E52" w:rsidRDefault="00CC1A0B" w:rsidP="003C0B54">
      <w:pPr>
        <w:pStyle w:val="SCCLsocLastPartyInRole"/>
        <w:widowControl w:val="0"/>
        <w:rPr>
          <w:lang w:val="fr-CA"/>
        </w:rPr>
      </w:pPr>
      <w:r w:rsidRPr="00387E52">
        <w:rPr>
          <w:lang w:val="fr-CA"/>
        </w:rPr>
        <w:t>Sa Majesté la Reine</w:t>
      </w:r>
      <w:r w:rsidR="007B19B0">
        <w:rPr>
          <w:lang w:val="fr-CA"/>
        </w:rPr>
        <w:t xml:space="preserve"> </w:t>
      </w:r>
      <w:r w:rsidR="007B19B0" w:rsidRPr="007B19B0">
        <w:rPr>
          <w:lang w:val="fr-CA"/>
        </w:rPr>
        <w:t>du chef du Canada</w:t>
      </w:r>
      <w:r w:rsidRPr="00387E52">
        <w:rPr>
          <w:rStyle w:val="SCCLsocPartyRole"/>
          <w:lang w:val="fr-CA"/>
        </w:rPr>
        <w:tab/>
        <w:t>Intimés</w:t>
      </w:r>
    </w:p>
    <w:p w:rsidR="00102D40" w:rsidRPr="00BE0737" w:rsidRDefault="00CC1A0B" w:rsidP="003C0B54">
      <w:pPr>
        <w:pStyle w:val="SCCLsocOtherPartySeparator"/>
        <w:widowControl w:val="0"/>
        <w:rPr>
          <w:lang w:val="fr-CA"/>
        </w:rPr>
      </w:pPr>
      <w:proofErr w:type="gramStart"/>
      <w:r w:rsidRPr="00BE0737">
        <w:rPr>
          <w:lang w:val="fr-CA"/>
        </w:rPr>
        <w:t>et</w:t>
      </w:r>
      <w:proofErr w:type="gramEnd"/>
    </w:p>
    <w:p w:rsidR="00102D40" w:rsidRPr="00BE0737" w:rsidRDefault="00CC1A0B" w:rsidP="003C0B54">
      <w:pPr>
        <w:pStyle w:val="SCCLsocParty"/>
        <w:widowControl w:val="0"/>
        <w:rPr>
          <w:lang w:val="fr-CA"/>
        </w:rPr>
      </w:pPr>
      <w:proofErr w:type="spellStart"/>
      <w:r w:rsidRPr="00BE0737">
        <w:rPr>
          <w:lang w:val="fr-CA"/>
        </w:rPr>
        <w:t>Criminal</w:t>
      </w:r>
      <w:proofErr w:type="spellEnd"/>
      <w:r w:rsidRPr="00BE0737">
        <w:rPr>
          <w:lang w:val="fr-CA"/>
        </w:rPr>
        <w:t xml:space="preserve"> </w:t>
      </w:r>
      <w:proofErr w:type="spellStart"/>
      <w:r w:rsidRPr="00BE0737">
        <w:rPr>
          <w:lang w:val="fr-CA"/>
        </w:rPr>
        <w:t>Lawyers</w:t>
      </w:r>
      <w:proofErr w:type="spellEnd"/>
      <w:r w:rsidR="007B571E">
        <w:rPr>
          <w:lang w:val="fr-CA"/>
        </w:rPr>
        <w:t>’</w:t>
      </w:r>
      <w:r w:rsidRPr="00BE0737">
        <w:rPr>
          <w:lang w:val="fr-CA"/>
        </w:rPr>
        <w:t xml:space="preserve"> Association (Ontario),</w:t>
      </w:r>
    </w:p>
    <w:p w:rsidR="00292F33" w:rsidRDefault="00CC1A0B" w:rsidP="003C0B54">
      <w:pPr>
        <w:pStyle w:val="SCCLsocParty"/>
        <w:widowControl w:val="0"/>
        <w:rPr>
          <w:lang w:val="fr-CA"/>
        </w:rPr>
      </w:pPr>
      <w:proofErr w:type="spellStart"/>
      <w:r w:rsidRPr="004634D0">
        <w:rPr>
          <w:lang w:val="fr-CA"/>
        </w:rPr>
        <w:t>Transparency</w:t>
      </w:r>
      <w:proofErr w:type="spellEnd"/>
      <w:r w:rsidRPr="004634D0">
        <w:rPr>
          <w:lang w:val="fr-CA"/>
        </w:rPr>
        <w:t xml:space="preserve"> International Canada Inc.</w:t>
      </w:r>
      <w:r w:rsidR="007B19B0" w:rsidRPr="004634D0">
        <w:rPr>
          <w:lang w:val="fr-CA"/>
        </w:rPr>
        <w:t>,</w:t>
      </w:r>
      <w:r w:rsidRPr="004634D0">
        <w:rPr>
          <w:lang w:val="fr-CA"/>
        </w:rPr>
        <w:t xml:space="preserve"> </w:t>
      </w:r>
    </w:p>
    <w:p w:rsidR="00102D40" w:rsidRPr="004634D0" w:rsidRDefault="00CC1A0B" w:rsidP="003C0B54">
      <w:pPr>
        <w:pStyle w:val="SCCLsocParty"/>
        <w:widowControl w:val="0"/>
        <w:rPr>
          <w:lang w:val="fr-CA"/>
        </w:rPr>
      </w:pPr>
      <w:proofErr w:type="spellStart"/>
      <w:r w:rsidRPr="004634D0">
        <w:rPr>
          <w:lang w:val="fr-CA"/>
        </w:rPr>
        <w:t>Transparency</w:t>
      </w:r>
      <w:proofErr w:type="spellEnd"/>
      <w:r w:rsidRPr="004634D0">
        <w:rPr>
          <w:lang w:val="fr-CA"/>
        </w:rPr>
        <w:t xml:space="preserve"> International </w:t>
      </w:r>
      <w:proofErr w:type="spellStart"/>
      <w:r w:rsidRPr="004634D0">
        <w:rPr>
          <w:lang w:val="fr-CA"/>
        </w:rPr>
        <w:t>e.V.</w:t>
      </w:r>
      <w:proofErr w:type="spellEnd"/>
      <w:r w:rsidRPr="004634D0">
        <w:rPr>
          <w:lang w:val="fr-CA"/>
        </w:rPr>
        <w:t>,</w:t>
      </w:r>
    </w:p>
    <w:p w:rsidR="00102D40" w:rsidRPr="004634D0" w:rsidRDefault="00F61B01" w:rsidP="003C0B54">
      <w:pPr>
        <w:pStyle w:val="SCCLsocParty"/>
        <w:widowControl w:val="0"/>
        <w:rPr>
          <w:lang w:val="fr-CA"/>
        </w:rPr>
      </w:pPr>
      <w:r w:rsidRPr="004634D0">
        <w:rPr>
          <w:lang w:val="fr-CA"/>
        </w:rPr>
        <w:t>Association</w:t>
      </w:r>
      <w:r>
        <w:rPr>
          <w:lang w:val="fr-CA"/>
        </w:rPr>
        <w:t xml:space="preserve"> </w:t>
      </w:r>
      <w:r w:rsidRPr="004634D0">
        <w:rPr>
          <w:lang w:val="fr-CA"/>
        </w:rPr>
        <w:t>des libertés civiles de la Colombie</w:t>
      </w:r>
      <w:r w:rsidR="00FB73B5">
        <w:rPr>
          <w:lang w:val="fr-CA"/>
        </w:rPr>
        <w:noBreakHyphen/>
      </w:r>
      <w:r w:rsidRPr="004634D0">
        <w:rPr>
          <w:lang w:val="fr-CA"/>
        </w:rPr>
        <w:t>Britannique</w:t>
      </w:r>
      <w:r w:rsidR="00CC1A0B" w:rsidRPr="004634D0">
        <w:rPr>
          <w:lang w:val="fr-CA"/>
        </w:rPr>
        <w:t>,</w:t>
      </w:r>
    </w:p>
    <w:p w:rsidR="00292F33" w:rsidRDefault="00AE0FD6" w:rsidP="003C0B54">
      <w:pPr>
        <w:pStyle w:val="SCCLsocLastPartyInRole"/>
        <w:widowControl w:val="0"/>
        <w:spacing w:after="0"/>
        <w:rPr>
          <w:lang w:val="fr-CA"/>
        </w:rPr>
      </w:pPr>
      <w:r w:rsidRPr="00AE0FD6">
        <w:rPr>
          <w:lang w:val="fr-CA"/>
        </w:rPr>
        <w:t>Banque européenne pour la reconstruction et le développement</w:t>
      </w:r>
      <w:r w:rsidR="00CC1A0B" w:rsidRPr="00AE0FD6">
        <w:rPr>
          <w:lang w:val="fr-CA"/>
        </w:rPr>
        <w:t xml:space="preserve">, </w:t>
      </w:r>
    </w:p>
    <w:p w:rsidR="00292F33" w:rsidRDefault="00CC1A0B" w:rsidP="003C0B54">
      <w:pPr>
        <w:pStyle w:val="SCCLsocLastPartyInRole"/>
        <w:widowControl w:val="0"/>
        <w:spacing w:after="0"/>
        <w:rPr>
          <w:lang w:val="fr-CA"/>
        </w:rPr>
      </w:pPr>
      <w:r w:rsidRPr="00AE0FD6">
        <w:rPr>
          <w:lang w:val="fr-CA"/>
        </w:rPr>
        <w:t xml:space="preserve">Organisation </w:t>
      </w:r>
      <w:r w:rsidR="001C3C43">
        <w:rPr>
          <w:lang w:val="fr-CA"/>
        </w:rPr>
        <w:t>de coopération et de développement économiques</w:t>
      </w:r>
      <w:r w:rsidRPr="00AE0FD6">
        <w:rPr>
          <w:lang w:val="fr-CA"/>
        </w:rPr>
        <w:t xml:space="preserve">, </w:t>
      </w:r>
    </w:p>
    <w:p w:rsidR="00292F33" w:rsidRDefault="001C3C43" w:rsidP="003C0B54">
      <w:pPr>
        <w:pStyle w:val="SCCLsocLastPartyInRole"/>
        <w:widowControl w:val="0"/>
        <w:spacing w:after="0"/>
        <w:rPr>
          <w:lang w:val="fr-CA"/>
        </w:rPr>
      </w:pPr>
      <w:r w:rsidRPr="001C3C43">
        <w:rPr>
          <w:lang w:val="fr-CA"/>
        </w:rPr>
        <w:t>Groupe de la Banque africaine de développement</w:t>
      </w:r>
      <w:r w:rsidR="00CC1A0B" w:rsidRPr="00AE0FD6">
        <w:rPr>
          <w:lang w:val="fr-CA"/>
        </w:rPr>
        <w:t xml:space="preserve">, </w:t>
      </w:r>
    </w:p>
    <w:p w:rsidR="00292F33" w:rsidRDefault="00CC1A0B" w:rsidP="003C0B54">
      <w:pPr>
        <w:pStyle w:val="SCCLsocLastPartyInRole"/>
        <w:widowControl w:val="0"/>
        <w:spacing w:after="0"/>
        <w:rPr>
          <w:lang w:val="fr-CA"/>
        </w:rPr>
      </w:pPr>
      <w:r w:rsidRPr="00AE0FD6">
        <w:rPr>
          <w:lang w:val="fr-CA"/>
        </w:rPr>
        <w:t xml:space="preserve">Asian Development Bank, </w:t>
      </w:r>
      <w:r w:rsidR="001C3C43" w:rsidRPr="001C3C43">
        <w:rPr>
          <w:lang w:val="fr-CA"/>
        </w:rPr>
        <w:t>Banque interaméricaine de</w:t>
      </w:r>
    </w:p>
    <w:p w:rsidR="00102D40" w:rsidRPr="00AE0FD6" w:rsidRDefault="001C3C43" w:rsidP="003C0B54">
      <w:pPr>
        <w:pStyle w:val="SCCLsocLastPartyInRole"/>
        <w:widowControl w:val="0"/>
        <w:rPr>
          <w:lang w:val="fr-CA"/>
        </w:rPr>
      </w:pPr>
      <w:proofErr w:type="gramStart"/>
      <w:r w:rsidRPr="001C3C43">
        <w:rPr>
          <w:lang w:val="fr-CA"/>
        </w:rPr>
        <w:t>développement</w:t>
      </w:r>
      <w:proofErr w:type="gramEnd"/>
      <w:r w:rsidR="00CC1A0B" w:rsidRPr="00AE0FD6">
        <w:rPr>
          <w:lang w:val="fr-CA"/>
        </w:rPr>
        <w:t xml:space="preserve"> </w:t>
      </w:r>
      <w:r w:rsidR="004E652D" w:rsidRPr="00AE0FD6">
        <w:rPr>
          <w:lang w:val="fr-CA"/>
        </w:rPr>
        <w:t>et</w:t>
      </w:r>
      <w:r w:rsidR="00CC1A0B" w:rsidRPr="00AE0FD6">
        <w:rPr>
          <w:lang w:val="fr-CA"/>
        </w:rPr>
        <w:t xml:space="preserve"> </w:t>
      </w:r>
      <w:proofErr w:type="spellStart"/>
      <w:r w:rsidR="00CC1A0B" w:rsidRPr="00AE0FD6">
        <w:rPr>
          <w:lang w:val="fr-CA"/>
        </w:rPr>
        <w:t>Nordic</w:t>
      </w:r>
      <w:proofErr w:type="spellEnd"/>
      <w:r w:rsidR="00CC1A0B" w:rsidRPr="00AE0FD6">
        <w:rPr>
          <w:lang w:val="fr-CA"/>
        </w:rPr>
        <w:t xml:space="preserve"> Investment Bank</w:t>
      </w:r>
      <w:r w:rsidR="00CC1A0B" w:rsidRPr="00AE0FD6">
        <w:rPr>
          <w:rStyle w:val="SCCLsocPartyRole"/>
          <w:lang w:val="fr-CA"/>
        </w:rPr>
        <w:tab/>
        <w:t>Intervenants</w:t>
      </w:r>
    </w:p>
    <w:p w:rsidR="004D7D95" w:rsidRPr="001C3C43" w:rsidRDefault="007B19B0" w:rsidP="003C0B54">
      <w:pPr>
        <w:widowControl w:val="0"/>
        <w:spacing w:after="720"/>
        <w:jc w:val="both"/>
        <w:rPr>
          <w:b/>
          <w:lang w:val="fr-CA"/>
        </w:rPr>
      </w:pPr>
      <w:r w:rsidRPr="001C3C43">
        <w:rPr>
          <w:b/>
          <w:lang w:val="fr-CA"/>
        </w:rPr>
        <w:t>Répertorié</w:t>
      </w:r>
      <w:r w:rsidR="00FB73B5">
        <w:rPr>
          <w:b/>
          <w:lang w:val="fr-CA"/>
        </w:rPr>
        <w:t> :</w:t>
      </w:r>
      <w:r w:rsidRPr="001C3C43">
        <w:rPr>
          <w:b/>
          <w:lang w:val="fr-CA"/>
        </w:rPr>
        <w:t> </w:t>
      </w:r>
      <w:r w:rsidR="001C3C43" w:rsidRPr="001C3C43">
        <w:rPr>
          <w:rStyle w:val="SCCAppellantForIndexChar"/>
          <w:lang w:val="fr-CA"/>
        </w:rPr>
        <w:t>Groupe de la Banque mondiale</w:t>
      </w:r>
      <w:r w:rsidR="004D7D95" w:rsidRPr="001C3C43">
        <w:rPr>
          <w:b/>
          <w:lang w:val="fr-CA"/>
        </w:rPr>
        <w:t xml:space="preserve"> </w:t>
      </w:r>
      <w:r w:rsidR="004D7D95" w:rsidRPr="001C3C43">
        <w:rPr>
          <w:b/>
          <w:i/>
          <w:lang w:val="fr-CA"/>
        </w:rPr>
        <w:t>c.</w:t>
      </w:r>
      <w:r w:rsidR="004D7D95" w:rsidRPr="001C3C43">
        <w:rPr>
          <w:b/>
          <w:lang w:val="fr-CA"/>
        </w:rPr>
        <w:t xml:space="preserve"> </w:t>
      </w:r>
      <w:r w:rsidR="004D7D95" w:rsidRPr="001C3C43">
        <w:rPr>
          <w:rStyle w:val="SCCRespondentForIndexChar"/>
          <w:lang w:val="fr-CA"/>
        </w:rPr>
        <w:t>Wallace</w:t>
      </w:r>
    </w:p>
    <w:p w:rsidR="004D7D95" w:rsidRPr="00387E52" w:rsidRDefault="00BE0737" w:rsidP="003C0B54">
      <w:pPr>
        <w:pStyle w:val="SCCSystemYear"/>
        <w:widowControl w:val="0"/>
        <w:spacing w:after="720"/>
        <w:jc w:val="both"/>
        <w:rPr>
          <w:lang w:val="fr-CA"/>
        </w:rPr>
      </w:pPr>
      <w:r>
        <w:rPr>
          <w:lang w:val="fr-CA"/>
        </w:rPr>
        <w:t>2016</w:t>
      </w:r>
      <w:r w:rsidR="004D7D95" w:rsidRPr="00387E52">
        <w:rPr>
          <w:lang w:val="fr-CA"/>
        </w:rPr>
        <w:t xml:space="preserve"> CSC </w:t>
      </w:r>
      <w:r w:rsidR="00746D79">
        <w:rPr>
          <w:lang w:val="fr-CA"/>
        </w:rPr>
        <w:t>15</w:t>
      </w:r>
    </w:p>
    <w:p w:rsidR="004D7D95" w:rsidRPr="00387E52" w:rsidRDefault="004D7D95" w:rsidP="003C0B54">
      <w:pPr>
        <w:widowControl w:val="0"/>
        <w:spacing w:after="720"/>
        <w:jc w:val="both"/>
        <w:rPr>
          <w:lang w:val="fr-CA"/>
        </w:rPr>
      </w:pPr>
      <w:r w:rsidRPr="00387E52">
        <w:rPr>
          <w:lang w:val="fr-CA"/>
        </w:rPr>
        <w:t>N</w:t>
      </w:r>
      <w:r w:rsidRPr="00387E52">
        <w:rPr>
          <w:vertAlign w:val="superscript"/>
          <w:lang w:val="fr-CA"/>
        </w:rPr>
        <w:t>o</w:t>
      </w:r>
      <w:r w:rsidRPr="00387E52">
        <w:rPr>
          <w:lang w:val="fr-CA"/>
        </w:rPr>
        <w:t xml:space="preserve"> du greffe</w:t>
      </w:r>
      <w:r w:rsidR="00FB73B5">
        <w:rPr>
          <w:lang w:val="fr-CA"/>
        </w:rPr>
        <w:t> :</w:t>
      </w:r>
      <w:r w:rsidRPr="00387E52">
        <w:rPr>
          <w:lang w:val="fr-CA"/>
        </w:rPr>
        <w:t> 36315.</w:t>
      </w:r>
    </w:p>
    <w:p w:rsidR="004D7D95" w:rsidRPr="00387E52" w:rsidRDefault="00D17B0E" w:rsidP="003C0B54">
      <w:pPr>
        <w:widowControl w:val="0"/>
        <w:spacing w:after="720"/>
        <w:jc w:val="both"/>
        <w:rPr>
          <w:lang w:val="fr-CA"/>
        </w:rPr>
      </w:pPr>
      <w:r w:rsidRPr="00387E52">
        <w:rPr>
          <w:lang w:val="fr-CA"/>
        </w:rPr>
        <w:t>2015</w:t>
      </w:r>
      <w:r w:rsidR="00FB73B5">
        <w:rPr>
          <w:lang w:val="fr-CA"/>
        </w:rPr>
        <w:t> :</w:t>
      </w:r>
      <w:r w:rsidR="007B19B0">
        <w:rPr>
          <w:lang w:val="fr-CA"/>
        </w:rPr>
        <w:t> </w:t>
      </w:r>
      <w:r w:rsidRPr="00387E52">
        <w:rPr>
          <w:lang w:val="fr-CA"/>
        </w:rPr>
        <w:t>6 novembre</w:t>
      </w:r>
      <w:r w:rsidR="004D7D95" w:rsidRPr="00387E52">
        <w:rPr>
          <w:lang w:val="fr-CA"/>
        </w:rPr>
        <w:t xml:space="preserve">; </w:t>
      </w:r>
      <w:r w:rsidR="008C1AE4">
        <w:rPr>
          <w:lang w:val="fr-CA"/>
        </w:rPr>
        <w:t>2016</w:t>
      </w:r>
      <w:r w:rsidR="00FB73B5">
        <w:rPr>
          <w:lang w:val="fr-CA"/>
        </w:rPr>
        <w:t> :</w:t>
      </w:r>
      <w:r w:rsidR="008C1AE4">
        <w:rPr>
          <w:lang w:val="fr-CA"/>
        </w:rPr>
        <w:t> </w:t>
      </w:r>
      <w:r w:rsidR="00614B99">
        <w:rPr>
          <w:lang w:val="fr-CA"/>
        </w:rPr>
        <w:t>29 avril</w:t>
      </w:r>
      <w:r w:rsidR="004D7D95" w:rsidRPr="00387E52">
        <w:rPr>
          <w:lang w:val="fr-CA"/>
        </w:rPr>
        <w:t>.</w:t>
      </w:r>
    </w:p>
    <w:p w:rsidR="004D7D95" w:rsidRPr="00387E52" w:rsidRDefault="004D7D95" w:rsidP="003C0B54">
      <w:pPr>
        <w:widowControl w:val="0"/>
        <w:spacing w:after="720"/>
        <w:jc w:val="both"/>
        <w:rPr>
          <w:lang w:val="fr-CA"/>
        </w:rPr>
      </w:pPr>
      <w:r w:rsidRPr="00387E52">
        <w:rPr>
          <w:lang w:val="fr-CA"/>
        </w:rPr>
        <w:t>Présents</w:t>
      </w:r>
      <w:r w:rsidR="00FB73B5">
        <w:rPr>
          <w:lang w:val="fr-CA"/>
        </w:rPr>
        <w:t> :</w:t>
      </w:r>
      <w:r w:rsidRPr="00387E52">
        <w:rPr>
          <w:lang w:val="fr-CA"/>
        </w:rPr>
        <w:t xml:space="preserve"> La juge en chef McLachlin et les juges Abella, Cromwell, </w:t>
      </w:r>
      <w:proofErr w:type="spellStart"/>
      <w:r w:rsidRPr="00387E52">
        <w:rPr>
          <w:lang w:val="fr-CA"/>
        </w:rPr>
        <w:t>Moldaver</w:t>
      </w:r>
      <w:proofErr w:type="spellEnd"/>
      <w:r w:rsidRPr="00387E52">
        <w:rPr>
          <w:lang w:val="fr-CA"/>
        </w:rPr>
        <w:t xml:space="preserve">, </w:t>
      </w:r>
      <w:proofErr w:type="spellStart"/>
      <w:r w:rsidRPr="00387E52">
        <w:rPr>
          <w:lang w:val="fr-CA"/>
        </w:rPr>
        <w:t>Karakatsanis</w:t>
      </w:r>
      <w:proofErr w:type="spellEnd"/>
      <w:r w:rsidRPr="00387E52">
        <w:rPr>
          <w:lang w:val="fr-CA"/>
        </w:rPr>
        <w:t>, Wagner, Gascon, Côté et Brown.</w:t>
      </w:r>
    </w:p>
    <w:p w:rsidR="004D7D95" w:rsidRPr="007B19B0" w:rsidRDefault="004D7D95" w:rsidP="003C0B54">
      <w:pPr>
        <w:widowControl w:val="0"/>
        <w:spacing w:after="720"/>
        <w:jc w:val="both"/>
        <w:rPr>
          <w:smallCaps/>
          <w:lang w:val="fr-CA"/>
        </w:rPr>
      </w:pPr>
      <w:r w:rsidRPr="007B19B0">
        <w:rPr>
          <w:smallCaps/>
          <w:lang w:val="fr-CA"/>
        </w:rPr>
        <w:t xml:space="preserve">en appel de la cour supérieure de justice de </w:t>
      </w:r>
      <w:proofErr w:type="spellStart"/>
      <w:r w:rsidRPr="007B19B0">
        <w:rPr>
          <w:smallCaps/>
          <w:lang w:val="fr-CA"/>
        </w:rPr>
        <w:t>l</w:t>
      </w:r>
      <w:r w:rsidR="007B571E">
        <w:rPr>
          <w:smallCaps/>
          <w:lang w:val="fr-CA"/>
        </w:rPr>
        <w:t>’</w:t>
      </w:r>
      <w:r w:rsidRPr="007B19B0">
        <w:rPr>
          <w:smallCaps/>
          <w:lang w:val="fr-CA"/>
        </w:rPr>
        <w:t>ontario</w:t>
      </w:r>
      <w:proofErr w:type="spellEnd"/>
    </w:p>
    <w:p w:rsidR="00BD759C" w:rsidRPr="00614B99" w:rsidRDefault="004D7D95" w:rsidP="003C0B54">
      <w:pPr>
        <w:pStyle w:val="ParaNoNdepar-AltN"/>
        <w:widowControl w:val="0"/>
        <w:numPr>
          <w:ilvl w:val="0"/>
          <w:numId w:val="0"/>
        </w:numPr>
        <w:rPr>
          <w:i/>
          <w:lang w:val="fr-CA"/>
        </w:rPr>
      </w:pPr>
      <w:r w:rsidRPr="00BB4C92">
        <w:rPr>
          <w:lang w:val="fr-CA"/>
        </w:rPr>
        <w:tab/>
      </w:r>
      <w:r w:rsidR="00BD759C">
        <w:rPr>
          <w:i/>
          <w:lang w:val="fr-CA"/>
        </w:rPr>
        <w:t>Droit international public</w:t>
      </w:r>
      <w:r w:rsidR="00BD759C">
        <w:rPr>
          <w:i/>
          <w:iCs/>
          <w:lang w:val="fr-CA"/>
        </w:rPr>
        <w:t xml:space="preserve"> — Immunité de juridiction — Organisations internationales — Institutions financières — Demande de communication par des tiers présentée par des inculpés dans une poursuite criminelle au Canada en vue d</w:t>
      </w:r>
      <w:r w:rsidR="007B571E">
        <w:rPr>
          <w:i/>
          <w:iCs/>
          <w:lang w:val="fr-CA"/>
        </w:rPr>
        <w:t>’</w:t>
      </w:r>
      <w:r w:rsidR="00BD759C">
        <w:rPr>
          <w:i/>
          <w:iCs/>
          <w:lang w:val="fr-CA"/>
        </w:rPr>
        <w:t>obtenir que des enquêteurs seniors d</w:t>
      </w:r>
      <w:r w:rsidR="007B571E">
        <w:rPr>
          <w:i/>
          <w:iCs/>
          <w:lang w:val="fr-CA"/>
        </w:rPr>
        <w:t>’</w:t>
      </w:r>
      <w:r w:rsidR="00BD759C">
        <w:rPr>
          <w:i/>
          <w:iCs/>
          <w:lang w:val="fr-CA"/>
        </w:rPr>
        <w:t xml:space="preserve">une organisation financière internationale comparaissent devant les tribunaux canadiens et communiquent des documents — Inviolabilité de ses archives et immunité de son personnel invoquées par </w:t>
      </w:r>
      <w:r w:rsidR="00746D79">
        <w:rPr>
          <w:i/>
          <w:iCs/>
          <w:lang w:val="fr-CA"/>
        </w:rPr>
        <w:t>l’</w:t>
      </w:r>
      <w:r w:rsidR="00BD759C">
        <w:rPr>
          <w:i/>
          <w:iCs/>
          <w:lang w:val="fr-CA"/>
        </w:rPr>
        <w:t>organisation financière internationale en vertu de ses statuts — Les immunités invoquées s</w:t>
      </w:r>
      <w:r w:rsidR="007B571E">
        <w:rPr>
          <w:i/>
          <w:iCs/>
          <w:lang w:val="fr-CA"/>
        </w:rPr>
        <w:t>’</w:t>
      </w:r>
      <w:r w:rsidR="00BD759C">
        <w:rPr>
          <w:i/>
          <w:iCs/>
          <w:lang w:val="fr-CA"/>
        </w:rPr>
        <w:t>appliquent</w:t>
      </w:r>
      <w:r w:rsidR="00FB73B5">
        <w:rPr>
          <w:i/>
          <w:iCs/>
          <w:lang w:val="fr-CA"/>
        </w:rPr>
        <w:noBreakHyphen/>
      </w:r>
      <w:r w:rsidR="00BD759C">
        <w:rPr>
          <w:i/>
          <w:iCs/>
          <w:lang w:val="fr-CA"/>
        </w:rPr>
        <w:t>elles à l</w:t>
      </w:r>
      <w:r w:rsidR="007B571E">
        <w:rPr>
          <w:i/>
          <w:iCs/>
          <w:lang w:val="fr-CA"/>
        </w:rPr>
        <w:t>’</w:t>
      </w:r>
      <w:r w:rsidR="00BD759C">
        <w:rPr>
          <w:i/>
          <w:iCs/>
          <w:lang w:val="fr-CA"/>
        </w:rPr>
        <w:t xml:space="preserve">organisation financière internationale? — Loi sur les accords de </w:t>
      </w:r>
      <w:proofErr w:type="spellStart"/>
      <w:r w:rsidR="00BD759C">
        <w:rPr>
          <w:i/>
          <w:iCs/>
          <w:lang w:val="fr-CA"/>
        </w:rPr>
        <w:t>Bretton</w:t>
      </w:r>
      <w:proofErr w:type="spellEnd"/>
      <w:r w:rsidR="00BD759C">
        <w:rPr>
          <w:i/>
          <w:iCs/>
          <w:lang w:val="fr-CA"/>
        </w:rPr>
        <w:t xml:space="preserve"> Woods et des accords connexes</w:t>
      </w:r>
      <w:r w:rsidR="00BD759C" w:rsidRPr="00614B99">
        <w:rPr>
          <w:i/>
          <w:iCs/>
          <w:lang w:val="fr-CA"/>
        </w:rPr>
        <w:t>, L.R.C. 1985, c. B</w:t>
      </w:r>
      <w:r w:rsidR="00FB73B5">
        <w:rPr>
          <w:i/>
          <w:iCs/>
          <w:lang w:val="fr-CA"/>
        </w:rPr>
        <w:noBreakHyphen/>
      </w:r>
      <w:r w:rsidR="00BD759C" w:rsidRPr="00614B99">
        <w:rPr>
          <w:i/>
          <w:iCs/>
          <w:lang w:val="fr-CA"/>
        </w:rPr>
        <w:t xml:space="preserve">7, </w:t>
      </w:r>
      <w:proofErr w:type="spellStart"/>
      <w:r w:rsidR="00BD759C" w:rsidRPr="00614B99">
        <w:rPr>
          <w:i/>
          <w:iCs/>
          <w:lang w:val="fr-CA"/>
        </w:rPr>
        <w:t>ann</w:t>
      </w:r>
      <w:proofErr w:type="spellEnd"/>
      <w:r w:rsidR="00BD759C" w:rsidRPr="00614B99">
        <w:rPr>
          <w:i/>
          <w:iCs/>
          <w:lang w:val="fr-CA"/>
        </w:rPr>
        <w:t>. </w:t>
      </w:r>
      <w:r w:rsidR="00BD759C" w:rsidRPr="00FB73B5">
        <w:rPr>
          <w:i/>
          <w:iCs/>
          <w:lang w:val="en-US"/>
        </w:rPr>
        <w:t xml:space="preserve">II, </w:t>
      </w:r>
      <w:r w:rsidR="00FB73B5">
        <w:rPr>
          <w:i/>
          <w:iCs/>
          <w:lang w:val="en-US"/>
        </w:rPr>
        <w:t>art. </w:t>
      </w:r>
      <w:r w:rsidR="00BD759C" w:rsidRPr="00FB73B5">
        <w:rPr>
          <w:i/>
          <w:iCs/>
          <w:lang w:val="en-US"/>
        </w:rPr>
        <w:t xml:space="preserve">I, III, s. 5b), </w:t>
      </w:r>
      <w:r w:rsidR="00FB73B5">
        <w:rPr>
          <w:i/>
          <w:iCs/>
          <w:lang w:val="en-US"/>
        </w:rPr>
        <w:t>art. </w:t>
      </w:r>
      <w:r w:rsidR="00BD759C" w:rsidRPr="00FB73B5">
        <w:rPr>
          <w:i/>
          <w:iCs/>
          <w:lang w:val="en-US"/>
        </w:rPr>
        <w:t>VII, s. 1, 3, 5, 6, 8, ann. </w:t>
      </w:r>
      <w:r w:rsidR="00BD759C" w:rsidRPr="008965D8">
        <w:rPr>
          <w:i/>
          <w:iCs/>
          <w:lang w:val="fr-CA"/>
        </w:rPr>
        <w:t xml:space="preserve">III, </w:t>
      </w:r>
      <w:r w:rsidR="00FB73B5" w:rsidRPr="008965D8">
        <w:rPr>
          <w:i/>
          <w:iCs/>
          <w:lang w:val="fr-CA"/>
        </w:rPr>
        <w:t>art. </w:t>
      </w:r>
      <w:r w:rsidR="00BD759C" w:rsidRPr="00614B99">
        <w:rPr>
          <w:i/>
          <w:iCs/>
          <w:lang w:val="fr-CA"/>
        </w:rPr>
        <w:t xml:space="preserve">I, V, s. 1g), h), </w:t>
      </w:r>
      <w:r w:rsidR="00FB73B5">
        <w:rPr>
          <w:i/>
          <w:iCs/>
          <w:lang w:val="fr-CA"/>
        </w:rPr>
        <w:t>art. </w:t>
      </w:r>
      <w:r w:rsidR="00BD759C" w:rsidRPr="00614B99">
        <w:rPr>
          <w:i/>
          <w:iCs/>
          <w:lang w:val="fr-CA"/>
        </w:rPr>
        <w:t>VIII, s. 1, 3, 5, 6, 8.</w:t>
      </w:r>
    </w:p>
    <w:p w:rsidR="00BD759C" w:rsidRDefault="00BD759C" w:rsidP="003C0B54">
      <w:pPr>
        <w:pStyle w:val="ParaNoNdepar-AltN"/>
        <w:widowControl w:val="0"/>
        <w:numPr>
          <w:ilvl w:val="0"/>
          <w:numId w:val="0"/>
        </w:numPr>
        <w:rPr>
          <w:rFonts w:cs="Times New Roman"/>
          <w:lang w:val="fr-CA"/>
        </w:rPr>
      </w:pPr>
      <w:r>
        <w:rPr>
          <w:lang w:val="fr-CA"/>
        </w:rPr>
        <w:tab/>
      </w:r>
      <w:r>
        <w:rPr>
          <w:i/>
          <w:lang w:val="fr-CA"/>
        </w:rPr>
        <w:t xml:space="preserve">Droit criminel </w:t>
      </w:r>
      <w:r>
        <w:rPr>
          <w:i/>
          <w:iCs/>
          <w:lang w:val="fr-CA"/>
        </w:rPr>
        <w:t>— Preuve — Communication de la preuve — Interception de communications — Inculpés accusés d</w:t>
      </w:r>
      <w:r w:rsidR="007B571E">
        <w:rPr>
          <w:i/>
          <w:iCs/>
          <w:lang w:val="fr-CA"/>
        </w:rPr>
        <w:t>’</w:t>
      </w:r>
      <w:r>
        <w:rPr>
          <w:i/>
          <w:iCs/>
          <w:lang w:val="fr-CA"/>
        </w:rPr>
        <w:t>avoir soudoyé des agents publics étrangers — Contestation par les inculpés des autorisations d</w:t>
      </w:r>
      <w:r w:rsidR="007B571E">
        <w:rPr>
          <w:i/>
          <w:iCs/>
          <w:lang w:val="fr-CA"/>
        </w:rPr>
        <w:t>’</w:t>
      </w:r>
      <w:r>
        <w:rPr>
          <w:i/>
          <w:iCs/>
          <w:lang w:val="fr-CA"/>
        </w:rPr>
        <w:t>écoute électronique par voie d</w:t>
      </w:r>
      <w:r w:rsidR="007B571E">
        <w:rPr>
          <w:i/>
          <w:iCs/>
          <w:lang w:val="fr-CA"/>
        </w:rPr>
        <w:t>’</w:t>
      </w:r>
      <w:r>
        <w:rPr>
          <w:i/>
          <w:iCs/>
          <w:lang w:val="fr-CA"/>
        </w:rPr>
        <w:t xml:space="preserve">une demande de type </w:t>
      </w:r>
      <w:proofErr w:type="spellStart"/>
      <w:r>
        <w:rPr>
          <w:i/>
          <w:iCs/>
          <w:lang w:val="fr-CA"/>
        </w:rPr>
        <w:t>Garofoli</w:t>
      </w:r>
      <w:proofErr w:type="spellEnd"/>
      <w:r>
        <w:rPr>
          <w:i/>
          <w:iCs/>
          <w:lang w:val="fr-CA"/>
        </w:rPr>
        <w:t xml:space="preserve"> — Communication de documents en la possession d</w:t>
      </w:r>
      <w:r w:rsidR="007B571E">
        <w:rPr>
          <w:i/>
          <w:iCs/>
          <w:lang w:val="fr-CA"/>
        </w:rPr>
        <w:t>’</w:t>
      </w:r>
      <w:r>
        <w:rPr>
          <w:i/>
          <w:iCs/>
          <w:lang w:val="fr-CA"/>
        </w:rPr>
        <w:t>un tiers, une organisation financière internationale, et validation des assignations à comparaître délivrées à l</w:t>
      </w:r>
      <w:r w:rsidR="007B571E">
        <w:rPr>
          <w:i/>
          <w:iCs/>
          <w:lang w:val="fr-CA"/>
        </w:rPr>
        <w:t>’</w:t>
      </w:r>
      <w:r>
        <w:rPr>
          <w:i/>
          <w:iCs/>
          <w:lang w:val="fr-CA"/>
        </w:rPr>
        <w:t>égard de membres du personnel de l</w:t>
      </w:r>
      <w:r w:rsidR="007B571E">
        <w:rPr>
          <w:i/>
          <w:iCs/>
          <w:lang w:val="fr-CA"/>
        </w:rPr>
        <w:t>’</w:t>
      </w:r>
      <w:r>
        <w:rPr>
          <w:i/>
          <w:iCs/>
          <w:lang w:val="fr-CA"/>
        </w:rPr>
        <w:t>organisation sollicitées par les inculpés au soutien de la demande — Les documents dont la communication était requise par les inculpés sont</w:t>
      </w:r>
      <w:r w:rsidR="00FB73B5">
        <w:rPr>
          <w:i/>
          <w:iCs/>
          <w:lang w:val="fr-CA"/>
        </w:rPr>
        <w:noBreakHyphen/>
      </w:r>
      <w:r>
        <w:rPr>
          <w:i/>
          <w:iCs/>
          <w:lang w:val="fr-CA"/>
        </w:rPr>
        <w:t>ils pertinents dans le cadre d</w:t>
      </w:r>
      <w:r w:rsidR="007B571E">
        <w:rPr>
          <w:i/>
          <w:iCs/>
          <w:lang w:val="fr-CA"/>
        </w:rPr>
        <w:t>’</w:t>
      </w:r>
      <w:r>
        <w:rPr>
          <w:i/>
          <w:iCs/>
          <w:lang w:val="fr-CA"/>
        </w:rPr>
        <w:t xml:space="preserve">une demande de type </w:t>
      </w:r>
      <w:proofErr w:type="spellStart"/>
      <w:r>
        <w:rPr>
          <w:i/>
          <w:iCs/>
          <w:lang w:val="fr-CA"/>
        </w:rPr>
        <w:t>Garofoli</w:t>
      </w:r>
      <w:proofErr w:type="spellEnd"/>
      <w:r>
        <w:rPr>
          <w:i/>
          <w:iCs/>
          <w:lang w:val="fr-CA"/>
        </w:rPr>
        <w:t>? — Quel est le critère applicable à la communication par des tiers dans le cadre d</w:t>
      </w:r>
      <w:r w:rsidR="007B571E">
        <w:rPr>
          <w:i/>
          <w:iCs/>
          <w:lang w:val="fr-CA"/>
        </w:rPr>
        <w:t>’</w:t>
      </w:r>
      <w:r>
        <w:rPr>
          <w:i/>
          <w:iCs/>
          <w:lang w:val="fr-CA"/>
        </w:rPr>
        <w:t xml:space="preserve">une demande de type </w:t>
      </w:r>
      <w:proofErr w:type="spellStart"/>
      <w:r>
        <w:rPr>
          <w:i/>
          <w:iCs/>
          <w:lang w:val="fr-CA"/>
        </w:rPr>
        <w:t>Garofoli</w:t>
      </w:r>
      <w:proofErr w:type="spellEnd"/>
      <w:r>
        <w:rPr>
          <w:i/>
          <w:iCs/>
          <w:lang w:val="fr-CA"/>
        </w:rPr>
        <w:t>?</w:t>
      </w:r>
    </w:p>
    <w:p w:rsidR="00BD759C" w:rsidRDefault="00BD759C" w:rsidP="003C0B54">
      <w:pPr>
        <w:pStyle w:val="ParaNoNdepar-AltN"/>
        <w:widowControl w:val="0"/>
        <w:numPr>
          <w:ilvl w:val="0"/>
          <w:numId w:val="0"/>
        </w:numPr>
        <w:rPr>
          <w:rFonts w:cs="Times New Roman"/>
          <w:lang w:val="fr-CA"/>
        </w:rPr>
      </w:pPr>
      <w:r>
        <w:rPr>
          <w:lang w:val="fr-CA"/>
        </w:rPr>
        <w:tab/>
        <w:t xml:space="preserve">Organisation internationale dont le siège social est </w:t>
      </w:r>
      <w:proofErr w:type="gramStart"/>
      <w:r>
        <w:rPr>
          <w:lang w:val="fr-CA"/>
        </w:rPr>
        <w:t>situé</w:t>
      </w:r>
      <w:proofErr w:type="gramEnd"/>
      <w:r>
        <w:rPr>
          <w:lang w:val="fr-CA"/>
        </w:rPr>
        <w:t xml:space="preserve"> à Washington, le Groupe de la Banque mondiale se compose de cinq organes distincts, dont la </w:t>
      </w:r>
      <w:r>
        <w:rPr>
          <w:rFonts w:cs="Times New Roman"/>
          <w:lang w:val="fr-CA"/>
        </w:rPr>
        <w:t>Banque internationale pour la reconstruction et le développement (« BIRD ») et l</w:t>
      </w:r>
      <w:r w:rsidR="007B571E">
        <w:rPr>
          <w:rFonts w:cs="Times New Roman"/>
          <w:lang w:val="fr-CA"/>
        </w:rPr>
        <w:t>’</w:t>
      </w:r>
      <w:r>
        <w:rPr>
          <w:rFonts w:cs="Times New Roman"/>
          <w:lang w:val="fr-CA"/>
        </w:rPr>
        <w:t>Association internationale de développement (« IDA »). Chaque organisation qui le compose est régie par ses propres statuts, lesquels énoncent les immunités et privilèges dont jouit l</w:t>
      </w:r>
      <w:r w:rsidR="007B571E">
        <w:rPr>
          <w:rFonts w:cs="Times New Roman"/>
          <w:lang w:val="fr-CA"/>
        </w:rPr>
        <w:t>’</w:t>
      </w:r>
      <w:r>
        <w:rPr>
          <w:rFonts w:cs="Times New Roman"/>
          <w:lang w:val="fr-CA"/>
        </w:rPr>
        <w:t>organisation sur le territoire de chaque État membre.</w:t>
      </w:r>
      <w:r>
        <w:rPr>
          <w:rFonts w:cs="Times New Roman"/>
          <w:color w:val="0000FF"/>
          <w:lang w:val="fr-CA"/>
        </w:rPr>
        <w:t xml:space="preserve"> </w:t>
      </w:r>
    </w:p>
    <w:p w:rsidR="00BD759C" w:rsidRDefault="00BD759C" w:rsidP="003C0B54">
      <w:pPr>
        <w:pStyle w:val="ParaNoNdepar-AltN"/>
        <w:widowControl w:val="0"/>
        <w:numPr>
          <w:ilvl w:val="0"/>
          <w:numId w:val="0"/>
        </w:numPr>
        <w:rPr>
          <w:rFonts w:cs="Times New Roman"/>
          <w:lang w:val="fr-CA"/>
        </w:rPr>
      </w:pPr>
      <w:r>
        <w:rPr>
          <w:rFonts w:cs="Times New Roman"/>
          <w:lang w:val="fr-CA"/>
        </w:rPr>
        <w:tab/>
        <w:t xml:space="preserve">Le Groupe de la Banque mondiale </w:t>
      </w:r>
      <w:r>
        <w:rPr>
          <w:lang w:val="fr-CA"/>
        </w:rPr>
        <w:t>consent des prêts, des garanties, des crédits et des subventions à l</w:t>
      </w:r>
      <w:r w:rsidR="007B571E">
        <w:rPr>
          <w:lang w:val="fr-CA"/>
        </w:rPr>
        <w:t>’</w:t>
      </w:r>
      <w:r>
        <w:rPr>
          <w:lang w:val="fr-CA"/>
        </w:rPr>
        <w:t>égard de projets et progr</w:t>
      </w:r>
      <w:r w:rsidR="005F7FB1">
        <w:rPr>
          <w:lang w:val="fr-CA"/>
        </w:rPr>
        <w:t xml:space="preserve">ammes de développement mis en </w:t>
      </w:r>
      <w:r w:rsidR="005F7FB1">
        <w:rPr>
          <w:rFonts w:cs="Times New Roman"/>
          <w:lang w:val="fr-CA"/>
        </w:rPr>
        <w:t>œ</w:t>
      </w:r>
      <w:r>
        <w:rPr>
          <w:lang w:val="fr-CA"/>
        </w:rPr>
        <w:t xml:space="preserve">uvre dans des pays en voie de développement. </w:t>
      </w:r>
      <w:r>
        <w:rPr>
          <w:rFonts w:cs="Times New Roman"/>
          <w:lang w:val="fr-CA"/>
        </w:rPr>
        <w:t xml:space="preserve">Le Groupe </w:t>
      </w:r>
      <w:r w:rsidR="00746D79">
        <w:rPr>
          <w:rFonts w:cs="Times New Roman"/>
          <w:lang w:val="fr-CA"/>
        </w:rPr>
        <w:t xml:space="preserve">de la Banque mondiale </w:t>
      </w:r>
      <w:r>
        <w:rPr>
          <w:rFonts w:cs="Times New Roman"/>
          <w:lang w:val="fr-CA"/>
        </w:rPr>
        <w:t>était à l</w:t>
      </w:r>
      <w:r w:rsidR="007B571E">
        <w:rPr>
          <w:rFonts w:cs="Times New Roman"/>
          <w:lang w:val="fr-CA"/>
        </w:rPr>
        <w:t>’</w:t>
      </w:r>
      <w:r>
        <w:rPr>
          <w:rFonts w:cs="Times New Roman"/>
          <w:lang w:val="fr-CA"/>
        </w:rPr>
        <w:t>origine l</w:t>
      </w:r>
      <w:r w:rsidR="007B571E">
        <w:rPr>
          <w:rFonts w:cs="Times New Roman"/>
          <w:lang w:val="fr-CA"/>
        </w:rPr>
        <w:t>’</w:t>
      </w:r>
      <w:r>
        <w:rPr>
          <w:rFonts w:cs="Times New Roman"/>
          <w:lang w:val="fr-CA"/>
        </w:rPr>
        <w:t>un des principaux prêteur</w:t>
      </w:r>
      <w:r w:rsidR="005F7FB1">
        <w:rPr>
          <w:rFonts w:cs="Times New Roman"/>
          <w:lang w:val="fr-CA"/>
        </w:rPr>
        <w:t>s du projet qui se trouve au cœ</w:t>
      </w:r>
      <w:r>
        <w:rPr>
          <w:rFonts w:cs="Times New Roman"/>
          <w:lang w:val="fr-CA"/>
        </w:rPr>
        <w:t>ur du présent litige, le projet de pont polyvalent sur la Padma, au Bangladesh. À l</w:t>
      </w:r>
      <w:r w:rsidR="007B571E">
        <w:rPr>
          <w:rFonts w:cs="Times New Roman"/>
          <w:lang w:val="fr-CA"/>
        </w:rPr>
        <w:t>’</w:t>
      </w:r>
      <w:r>
        <w:rPr>
          <w:rFonts w:cs="Times New Roman"/>
          <w:lang w:val="fr-CA"/>
        </w:rPr>
        <w:t>instar de plusieurs autres sociétés, SNC</w:t>
      </w:r>
      <w:r w:rsidR="00FB73B5">
        <w:rPr>
          <w:rFonts w:cs="Times New Roman"/>
          <w:lang w:val="fr-CA"/>
        </w:rPr>
        <w:noBreakHyphen/>
      </w:r>
      <w:proofErr w:type="spellStart"/>
      <w:r>
        <w:rPr>
          <w:rFonts w:cs="Times New Roman"/>
          <w:lang w:val="fr-CA"/>
        </w:rPr>
        <w:t>Lavalin</w:t>
      </w:r>
      <w:proofErr w:type="spellEnd"/>
      <w:r>
        <w:rPr>
          <w:rFonts w:cs="Times New Roman"/>
          <w:lang w:val="fr-CA"/>
        </w:rPr>
        <w:t xml:space="preserve"> a soumissionné pour obtenir le contrat de supervision des travaux de construction du pont. Les quatre </w:t>
      </w:r>
      <w:r w:rsidR="000612DD">
        <w:rPr>
          <w:rFonts w:cs="Times New Roman"/>
          <w:lang w:val="fr-CA"/>
        </w:rPr>
        <w:t xml:space="preserve">intimés </w:t>
      </w:r>
      <w:r>
        <w:rPr>
          <w:rFonts w:cs="Times New Roman"/>
          <w:lang w:val="fr-CA"/>
        </w:rPr>
        <w:t>— trois anciens employés de SNC</w:t>
      </w:r>
      <w:r w:rsidR="00FB73B5">
        <w:rPr>
          <w:rFonts w:cs="Times New Roman"/>
          <w:lang w:val="fr-CA"/>
        </w:rPr>
        <w:noBreakHyphen/>
      </w:r>
      <w:proofErr w:type="spellStart"/>
      <w:r>
        <w:rPr>
          <w:rFonts w:cs="Times New Roman"/>
          <w:lang w:val="fr-CA"/>
        </w:rPr>
        <w:t>Lavalin</w:t>
      </w:r>
      <w:proofErr w:type="spellEnd"/>
      <w:r>
        <w:rPr>
          <w:rFonts w:cs="Times New Roman"/>
          <w:lang w:val="fr-CA"/>
        </w:rPr>
        <w:t xml:space="preserve"> et un représentant d</w:t>
      </w:r>
      <w:r w:rsidR="007B571E">
        <w:rPr>
          <w:rFonts w:cs="Times New Roman"/>
          <w:lang w:val="fr-CA"/>
        </w:rPr>
        <w:t>’</w:t>
      </w:r>
      <w:r>
        <w:rPr>
          <w:rFonts w:cs="Times New Roman"/>
          <w:lang w:val="fr-CA"/>
        </w:rPr>
        <w:t>un fonctionnaire bangladais — auraient supposément comploté dans le dessein de soudoyer des représentants bangladais afin que le contrat soit accordé à SNC</w:t>
      </w:r>
      <w:r w:rsidR="00FB73B5">
        <w:rPr>
          <w:rFonts w:cs="Times New Roman"/>
          <w:lang w:val="fr-CA"/>
        </w:rPr>
        <w:noBreakHyphen/>
      </w:r>
      <w:proofErr w:type="spellStart"/>
      <w:r>
        <w:rPr>
          <w:rFonts w:cs="Times New Roman"/>
          <w:lang w:val="fr-CA"/>
        </w:rPr>
        <w:t>Lavalin</w:t>
      </w:r>
      <w:proofErr w:type="spellEnd"/>
      <w:r>
        <w:rPr>
          <w:rFonts w:cs="Times New Roman"/>
          <w:lang w:val="fr-CA"/>
        </w:rPr>
        <w:t xml:space="preserve">. Ils sont </w:t>
      </w:r>
      <w:r w:rsidR="005F7FB1">
        <w:rPr>
          <w:rFonts w:cs="Times New Roman"/>
          <w:lang w:val="fr-CA"/>
        </w:rPr>
        <w:t xml:space="preserve">tous </w:t>
      </w:r>
      <w:r>
        <w:rPr>
          <w:rFonts w:cs="Times New Roman"/>
          <w:lang w:val="fr-CA"/>
        </w:rPr>
        <w:t>accusés d</w:t>
      </w:r>
      <w:r w:rsidR="007B571E">
        <w:rPr>
          <w:rFonts w:cs="Times New Roman"/>
          <w:lang w:val="fr-CA"/>
        </w:rPr>
        <w:t>’</w:t>
      </w:r>
      <w:r>
        <w:rPr>
          <w:rFonts w:cs="Times New Roman"/>
          <w:lang w:val="fr-CA"/>
        </w:rPr>
        <w:t xml:space="preserve">avoir enfreint la </w:t>
      </w:r>
      <w:r>
        <w:rPr>
          <w:rFonts w:cs="Times New Roman"/>
          <w:i/>
          <w:lang w:val="fr-CA"/>
        </w:rPr>
        <w:t>Loi sur la corruption d</w:t>
      </w:r>
      <w:r w:rsidR="007B571E">
        <w:rPr>
          <w:rFonts w:cs="Times New Roman"/>
          <w:i/>
          <w:lang w:val="fr-CA"/>
        </w:rPr>
        <w:t>’</w:t>
      </w:r>
      <w:r>
        <w:rPr>
          <w:rFonts w:cs="Times New Roman"/>
          <w:i/>
          <w:lang w:val="fr-CA"/>
        </w:rPr>
        <w:t>agents publics étrangers</w:t>
      </w:r>
      <w:r>
        <w:rPr>
          <w:rFonts w:cs="Times New Roman"/>
          <w:lang w:val="fr-CA"/>
        </w:rPr>
        <w:t>, une loi canadienne.</w:t>
      </w:r>
    </w:p>
    <w:p w:rsidR="00BD759C" w:rsidRDefault="00BD759C" w:rsidP="003C0B54">
      <w:pPr>
        <w:pStyle w:val="ParaNoNdepar-AltN"/>
        <w:widowControl w:val="0"/>
        <w:numPr>
          <w:ilvl w:val="0"/>
          <w:numId w:val="0"/>
        </w:numPr>
        <w:rPr>
          <w:rFonts w:cs="Times New Roman"/>
          <w:lang w:val="fr-CA"/>
        </w:rPr>
      </w:pPr>
      <w:r>
        <w:rPr>
          <w:rFonts w:cs="Times New Roman"/>
          <w:lang w:val="fr-CA"/>
        </w:rPr>
        <w:tab/>
        <w:t>La vice</w:t>
      </w:r>
      <w:r w:rsidR="00FB73B5">
        <w:rPr>
          <w:rFonts w:cs="Times New Roman"/>
          <w:lang w:val="fr-CA"/>
        </w:rPr>
        <w:noBreakHyphen/>
      </w:r>
      <w:r>
        <w:rPr>
          <w:rFonts w:cs="Times New Roman"/>
          <w:lang w:val="fr-CA"/>
        </w:rPr>
        <w:t>présidence chargée des questions d</w:t>
      </w:r>
      <w:r w:rsidR="007B571E">
        <w:rPr>
          <w:rFonts w:cs="Times New Roman"/>
          <w:lang w:val="fr-CA"/>
        </w:rPr>
        <w:t>’</w:t>
      </w:r>
      <w:r>
        <w:rPr>
          <w:rFonts w:cs="Times New Roman"/>
          <w:lang w:val="fr-CA"/>
        </w:rPr>
        <w:t>intégrité (« INT »), une unité indépendante au sein du Groupe</w:t>
      </w:r>
      <w:r w:rsidR="00746D79" w:rsidRPr="00746D79">
        <w:rPr>
          <w:rFonts w:cs="Times New Roman"/>
          <w:lang w:val="fr-CA"/>
        </w:rPr>
        <w:t xml:space="preserve"> </w:t>
      </w:r>
      <w:r w:rsidR="00746D79">
        <w:rPr>
          <w:rFonts w:cs="Times New Roman"/>
          <w:lang w:val="fr-CA"/>
        </w:rPr>
        <w:t>de la Banque mondiale</w:t>
      </w:r>
      <w:r>
        <w:rPr>
          <w:rFonts w:cs="Times New Roman"/>
          <w:lang w:val="fr-CA"/>
        </w:rPr>
        <w:t>, est chargée d</w:t>
      </w:r>
      <w:r w:rsidR="007B571E">
        <w:rPr>
          <w:rFonts w:cs="Times New Roman"/>
          <w:lang w:val="fr-CA"/>
        </w:rPr>
        <w:t>’</w:t>
      </w:r>
      <w:r>
        <w:rPr>
          <w:rFonts w:cs="Times New Roman"/>
          <w:lang w:val="fr-CA"/>
        </w:rPr>
        <w:t>enquêter sur les allégations de fraude, de corruption et de collusion dans les projets financés par le Groupe. C</w:t>
      </w:r>
      <w:r w:rsidR="007B571E">
        <w:rPr>
          <w:rFonts w:cs="Times New Roman"/>
          <w:lang w:val="fr-CA"/>
        </w:rPr>
        <w:t>’</w:t>
      </w:r>
      <w:r>
        <w:rPr>
          <w:rFonts w:cs="Times New Roman"/>
          <w:lang w:val="fr-CA"/>
        </w:rPr>
        <w:t>est l</w:t>
      </w:r>
      <w:r w:rsidR="007B571E">
        <w:rPr>
          <w:rFonts w:cs="Times New Roman"/>
          <w:lang w:val="fr-CA"/>
        </w:rPr>
        <w:t>’</w:t>
      </w:r>
      <w:r>
        <w:rPr>
          <w:rFonts w:cs="Times New Roman"/>
          <w:lang w:val="fr-CA"/>
        </w:rPr>
        <w:t>INT qui a d</w:t>
      </w:r>
      <w:r w:rsidR="007B571E">
        <w:rPr>
          <w:rFonts w:cs="Times New Roman"/>
          <w:lang w:val="fr-CA"/>
        </w:rPr>
        <w:t>’</w:t>
      </w:r>
      <w:r>
        <w:rPr>
          <w:rFonts w:cs="Times New Roman"/>
          <w:lang w:val="fr-CA"/>
        </w:rPr>
        <w:t>abord reçu une série de courriels provenant d</w:t>
      </w:r>
      <w:r w:rsidR="007B571E">
        <w:rPr>
          <w:rFonts w:cs="Times New Roman"/>
          <w:lang w:val="fr-CA"/>
        </w:rPr>
        <w:t>’</w:t>
      </w:r>
      <w:r>
        <w:rPr>
          <w:rFonts w:cs="Times New Roman"/>
          <w:lang w:val="fr-CA"/>
        </w:rPr>
        <w:t>informateurs suggérant l</w:t>
      </w:r>
      <w:r w:rsidR="007B571E">
        <w:rPr>
          <w:rFonts w:cs="Times New Roman"/>
          <w:lang w:val="fr-CA"/>
        </w:rPr>
        <w:t>’</w:t>
      </w:r>
      <w:r>
        <w:rPr>
          <w:rFonts w:cs="Times New Roman"/>
          <w:lang w:val="fr-CA"/>
        </w:rPr>
        <w:t>existence de corruption dans le processus d</w:t>
      </w:r>
      <w:r w:rsidR="007B571E">
        <w:rPr>
          <w:rFonts w:cs="Times New Roman"/>
          <w:lang w:val="fr-CA"/>
        </w:rPr>
        <w:t>’</w:t>
      </w:r>
      <w:r>
        <w:rPr>
          <w:rFonts w:cs="Times New Roman"/>
          <w:lang w:val="fr-CA"/>
        </w:rPr>
        <w:t>attribution du contrat de supervision impliquant des employés de SNC</w:t>
      </w:r>
      <w:r w:rsidR="00FB73B5">
        <w:rPr>
          <w:rFonts w:cs="Times New Roman"/>
          <w:lang w:val="fr-CA"/>
        </w:rPr>
        <w:noBreakHyphen/>
      </w:r>
      <w:proofErr w:type="spellStart"/>
      <w:r>
        <w:rPr>
          <w:rFonts w:cs="Times New Roman"/>
          <w:lang w:val="fr-CA"/>
        </w:rPr>
        <w:t>Lavalin</w:t>
      </w:r>
      <w:proofErr w:type="spellEnd"/>
      <w:r>
        <w:rPr>
          <w:rFonts w:cs="Times New Roman"/>
          <w:lang w:val="fr-CA"/>
        </w:rPr>
        <w:t>. Par la suite, l</w:t>
      </w:r>
      <w:r w:rsidR="007B571E">
        <w:rPr>
          <w:rFonts w:cs="Times New Roman"/>
          <w:lang w:val="fr-CA"/>
        </w:rPr>
        <w:t>’</w:t>
      </w:r>
      <w:r>
        <w:rPr>
          <w:rFonts w:cs="Times New Roman"/>
          <w:lang w:val="fr-CA"/>
        </w:rPr>
        <w:t xml:space="preserve">INT a transmis à la </w:t>
      </w:r>
      <w:r w:rsidR="002E0A32">
        <w:rPr>
          <w:rFonts w:cs="Times New Roman"/>
          <w:lang w:val="fr-CA"/>
        </w:rPr>
        <w:t xml:space="preserve">Gendarmerie royale du Canada (la « GRC ») </w:t>
      </w:r>
      <w:r>
        <w:rPr>
          <w:rFonts w:cs="Times New Roman"/>
          <w:lang w:val="fr-CA"/>
        </w:rPr>
        <w:t>les courriels des informateurs, ses propres rapports d</w:t>
      </w:r>
      <w:r w:rsidR="007B571E">
        <w:rPr>
          <w:rFonts w:cs="Times New Roman"/>
          <w:lang w:val="fr-CA"/>
        </w:rPr>
        <w:t>’</w:t>
      </w:r>
      <w:r>
        <w:rPr>
          <w:rFonts w:cs="Times New Roman"/>
          <w:lang w:val="fr-CA"/>
        </w:rPr>
        <w:t>enquête et d</w:t>
      </w:r>
      <w:r w:rsidR="007B571E">
        <w:rPr>
          <w:rFonts w:cs="Times New Roman"/>
          <w:lang w:val="fr-CA"/>
        </w:rPr>
        <w:t>’</w:t>
      </w:r>
      <w:r>
        <w:rPr>
          <w:rFonts w:cs="Times New Roman"/>
          <w:lang w:val="fr-CA"/>
        </w:rPr>
        <w:t xml:space="preserve">autres documents. </w:t>
      </w:r>
    </w:p>
    <w:p w:rsidR="00BD759C" w:rsidRDefault="00BD759C" w:rsidP="003C0B54">
      <w:pPr>
        <w:pStyle w:val="ParaNoNdepar-AltN"/>
        <w:widowControl w:val="0"/>
        <w:numPr>
          <w:ilvl w:val="0"/>
          <w:numId w:val="0"/>
        </w:numPr>
        <w:rPr>
          <w:rFonts w:cs="Times New Roman"/>
          <w:lang w:val="fr-CA"/>
        </w:rPr>
      </w:pPr>
      <w:r>
        <w:rPr>
          <w:rFonts w:cs="Times New Roman"/>
          <w:lang w:val="fr-CA"/>
        </w:rPr>
        <w:tab/>
        <w:t>La</w:t>
      </w:r>
      <w:r w:rsidR="002E0A32">
        <w:rPr>
          <w:rFonts w:cs="Times New Roman"/>
          <w:lang w:val="fr-CA"/>
        </w:rPr>
        <w:t xml:space="preserve"> GRC</w:t>
      </w:r>
      <w:r>
        <w:rPr>
          <w:rFonts w:cs="Times New Roman"/>
          <w:lang w:val="fr-CA"/>
        </w:rPr>
        <w:t xml:space="preserve"> a alors demandé et obtenu des autorisations d</w:t>
      </w:r>
      <w:r w:rsidR="007B571E">
        <w:rPr>
          <w:rFonts w:cs="Times New Roman"/>
          <w:lang w:val="fr-CA"/>
        </w:rPr>
        <w:t>’</w:t>
      </w:r>
      <w:r>
        <w:rPr>
          <w:rFonts w:cs="Times New Roman"/>
          <w:lang w:val="fr-CA"/>
        </w:rPr>
        <w:t>intercepter des communications privées en vue de recueillir des éléments de preuve directe de la participat</w:t>
      </w:r>
      <w:r w:rsidR="00E52DC9">
        <w:rPr>
          <w:rFonts w:cs="Times New Roman"/>
          <w:lang w:val="fr-CA"/>
        </w:rPr>
        <w:t>ion des i</w:t>
      </w:r>
      <w:r w:rsidR="00392523">
        <w:rPr>
          <w:rFonts w:cs="Times New Roman"/>
          <w:lang w:val="fr-CA"/>
        </w:rPr>
        <w:t>nculp</w:t>
      </w:r>
      <w:r w:rsidR="00E52DC9">
        <w:rPr>
          <w:rFonts w:cs="Times New Roman"/>
          <w:lang w:val="fr-CA"/>
        </w:rPr>
        <w:t>és à la corruption, ainsi qu</w:t>
      </w:r>
      <w:r w:rsidR="007B571E">
        <w:rPr>
          <w:rFonts w:cs="Times New Roman"/>
          <w:lang w:val="fr-CA"/>
        </w:rPr>
        <w:t>’</w:t>
      </w:r>
      <w:r>
        <w:rPr>
          <w:rFonts w:cs="Times New Roman"/>
          <w:lang w:val="fr-CA"/>
        </w:rPr>
        <w:t>un mandat de perquisition. Le sergent D a été chargé de rédiger les affidavits accompagnant la demande. Il s</w:t>
      </w:r>
      <w:r w:rsidR="007B571E">
        <w:rPr>
          <w:rFonts w:cs="Times New Roman"/>
          <w:lang w:val="fr-CA"/>
        </w:rPr>
        <w:t>’</w:t>
      </w:r>
      <w:r>
        <w:rPr>
          <w:rFonts w:cs="Times New Roman"/>
          <w:lang w:val="fr-CA"/>
        </w:rPr>
        <w:t>est appuyé en grande partie sur les renseignements transmis par l</w:t>
      </w:r>
      <w:r w:rsidR="007B571E">
        <w:rPr>
          <w:rFonts w:cs="Times New Roman"/>
          <w:lang w:val="fr-CA"/>
        </w:rPr>
        <w:t>’</w:t>
      </w:r>
      <w:r>
        <w:rPr>
          <w:rFonts w:cs="Times New Roman"/>
          <w:lang w:val="fr-CA"/>
        </w:rPr>
        <w:t>INT, lesquels étaient fondés sur les communications de cette dernière avec les informateurs, et les connaissances d</w:t>
      </w:r>
      <w:r w:rsidR="007B571E">
        <w:rPr>
          <w:rFonts w:cs="Times New Roman"/>
          <w:lang w:val="fr-CA"/>
        </w:rPr>
        <w:t>’</w:t>
      </w:r>
      <w:r>
        <w:rPr>
          <w:rFonts w:cs="Times New Roman"/>
          <w:lang w:val="fr-CA"/>
        </w:rPr>
        <w:t>un enquêteur senior de l</w:t>
      </w:r>
      <w:r w:rsidR="007B571E">
        <w:rPr>
          <w:rFonts w:cs="Times New Roman"/>
          <w:lang w:val="fr-CA"/>
        </w:rPr>
        <w:t>’</w:t>
      </w:r>
      <w:r>
        <w:rPr>
          <w:rFonts w:cs="Times New Roman"/>
          <w:lang w:val="fr-CA"/>
        </w:rPr>
        <w:t>INT quant au processus de soumission. Le sergent D s</w:t>
      </w:r>
      <w:r w:rsidR="007B571E">
        <w:rPr>
          <w:rFonts w:cs="Times New Roman"/>
          <w:lang w:val="fr-CA"/>
        </w:rPr>
        <w:t>’</w:t>
      </w:r>
      <w:r>
        <w:rPr>
          <w:rFonts w:cs="Times New Roman"/>
          <w:lang w:val="fr-CA"/>
        </w:rPr>
        <w:t>est également entretenu directement avec l</w:t>
      </w:r>
      <w:r w:rsidR="007B571E">
        <w:rPr>
          <w:rFonts w:cs="Times New Roman"/>
          <w:lang w:val="fr-CA"/>
        </w:rPr>
        <w:t>’</w:t>
      </w:r>
      <w:r>
        <w:rPr>
          <w:rFonts w:cs="Times New Roman"/>
          <w:lang w:val="fr-CA"/>
        </w:rPr>
        <w:t>un des informateurs. Le sergent D n</w:t>
      </w:r>
      <w:r w:rsidR="007B571E">
        <w:rPr>
          <w:rFonts w:cs="Times New Roman"/>
          <w:lang w:val="fr-CA"/>
        </w:rPr>
        <w:t>’</w:t>
      </w:r>
      <w:r>
        <w:rPr>
          <w:rFonts w:cs="Times New Roman"/>
          <w:lang w:val="fr-CA"/>
        </w:rPr>
        <w:t>a pas pris de notes manuscrites lors de cette tâche. Tous ses courriels pour la période correspondant à l</w:t>
      </w:r>
      <w:r w:rsidR="007B571E">
        <w:rPr>
          <w:rFonts w:cs="Times New Roman"/>
          <w:lang w:val="fr-CA"/>
        </w:rPr>
        <w:t>’</w:t>
      </w:r>
      <w:r>
        <w:rPr>
          <w:rFonts w:cs="Times New Roman"/>
          <w:lang w:val="fr-CA"/>
        </w:rPr>
        <w:t>enquête ont été perdus à cause d</w:t>
      </w:r>
      <w:r w:rsidR="007B571E">
        <w:rPr>
          <w:rFonts w:cs="Times New Roman"/>
          <w:lang w:val="fr-CA"/>
        </w:rPr>
        <w:t>’</w:t>
      </w:r>
      <w:r>
        <w:rPr>
          <w:rFonts w:cs="Times New Roman"/>
          <w:lang w:val="fr-CA"/>
        </w:rPr>
        <w:t>un problème informatique, mais par ailleurs beaucoup ont pu être récupérés d</w:t>
      </w:r>
      <w:r w:rsidR="007B571E">
        <w:rPr>
          <w:rFonts w:cs="Times New Roman"/>
          <w:lang w:val="fr-CA"/>
        </w:rPr>
        <w:t>’</w:t>
      </w:r>
      <w:r>
        <w:rPr>
          <w:rFonts w:cs="Times New Roman"/>
          <w:lang w:val="fr-CA"/>
        </w:rPr>
        <w:t>autres sources.</w:t>
      </w:r>
      <w:r w:rsidR="00FB73B5">
        <w:rPr>
          <w:rFonts w:cs="Times New Roman"/>
          <w:lang w:val="fr-CA"/>
        </w:rPr>
        <w:t xml:space="preserve"> </w:t>
      </w:r>
    </w:p>
    <w:p w:rsidR="00BD759C" w:rsidRDefault="00BD759C" w:rsidP="003C0B54">
      <w:pPr>
        <w:pStyle w:val="ParaNoNdepar-AltN"/>
        <w:widowControl w:val="0"/>
        <w:numPr>
          <w:ilvl w:val="0"/>
          <w:numId w:val="0"/>
        </w:numPr>
        <w:rPr>
          <w:rFonts w:cs="Times New Roman"/>
          <w:lang w:val="fr-CA"/>
        </w:rPr>
      </w:pPr>
      <w:r>
        <w:rPr>
          <w:rFonts w:cs="Times New Roman"/>
          <w:lang w:val="fr-CA"/>
        </w:rPr>
        <w:tab/>
        <w:t>La Couronne a accusé les quatre inculpés d</w:t>
      </w:r>
      <w:r w:rsidR="007B571E">
        <w:rPr>
          <w:rFonts w:cs="Times New Roman"/>
          <w:lang w:val="fr-CA"/>
        </w:rPr>
        <w:t>’</w:t>
      </w:r>
      <w:r>
        <w:rPr>
          <w:rFonts w:cs="Times New Roman"/>
          <w:lang w:val="fr-CA"/>
        </w:rPr>
        <w:t xml:space="preserve">infractions à la </w:t>
      </w:r>
      <w:r>
        <w:rPr>
          <w:rFonts w:cs="Times New Roman"/>
          <w:i/>
          <w:lang w:val="fr-CA"/>
        </w:rPr>
        <w:t>Loi sur la corruption d</w:t>
      </w:r>
      <w:r w:rsidR="007B571E">
        <w:rPr>
          <w:rFonts w:cs="Times New Roman"/>
          <w:i/>
          <w:lang w:val="fr-CA"/>
        </w:rPr>
        <w:t>’</w:t>
      </w:r>
      <w:r>
        <w:rPr>
          <w:rFonts w:cs="Times New Roman"/>
          <w:i/>
          <w:lang w:val="fr-CA"/>
        </w:rPr>
        <w:t>agents publics étrangers</w:t>
      </w:r>
      <w:r>
        <w:rPr>
          <w:rFonts w:cs="Times New Roman"/>
          <w:lang w:val="fr-CA"/>
        </w:rPr>
        <w:t>, et a réuni leurs dossiers par voie de mise en accusation directe. Au procès, la Couronne entend introduire en preuve des communications interceptées. Pour leur part, les inculpés cherchent à contester les autorisations d</w:t>
      </w:r>
      <w:r w:rsidR="007B571E">
        <w:rPr>
          <w:rFonts w:cs="Times New Roman"/>
          <w:lang w:val="fr-CA"/>
        </w:rPr>
        <w:t>’</w:t>
      </w:r>
      <w:r>
        <w:rPr>
          <w:rFonts w:cs="Times New Roman"/>
          <w:lang w:val="fr-CA"/>
        </w:rPr>
        <w:t>écoute électronique en se fondant sur l</w:t>
      </w:r>
      <w:r w:rsidR="007B571E">
        <w:rPr>
          <w:rFonts w:cs="Times New Roman"/>
          <w:lang w:val="fr-CA"/>
        </w:rPr>
        <w:t>’</w:t>
      </w:r>
      <w:r>
        <w:rPr>
          <w:rFonts w:cs="Times New Roman"/>
          <w:lang w:val="fr-CA"/>
        </w:rPr>
        <w:t xml:space="preserve">arrêt </w:t>
      </w:r>
      <w:r>
        <w:rPr>
          <w:rFonts w:cs="Times New Roman"/>
          <w:i/>
          <w:lang w:val="fr-CA"/>
        </w:rPr>
        <w:t>R. c.</w:t>
      </w:r>
      <w:r>
        <w:rPr>
          <w:rFonts w:cs="Times New Roman"/>
          <w:lang w:val="fr-CA"/>
        </w:rPr>
        <w:t xml:space="preserve"> </w:t>
      </w:r>
      <w:proofErr w:type="spellStart"/>
      <w:r>
        <w:rPr>
          <w:rFonts w:cs="Times New Roman"/>
          <w:i/>
          <w:lang w:val="fr-CA"/>
        </w:rPr>
        <w:t>Garofoli</w:t>
      </w:r>
      <w:proofErr w:type="spellEnd"/>
      <w:r>
        <w:rPr>
          <w:rFonts w:cs="Times New Roman"/>
          <w:lang w:val="fr-CA"/>
        </w:rPr>
        <w:t xml:space="preserve">, [1990] 2 R.C.S. 1421. Au soutien de leur demande, </w:t>
      </w:r>
      <w:r w:rsidR="00E52DC9">
        <w:rPr>
          <w:rFonts w:cs="Times New Roman"/>
          <w:lang w:val="fr-CA"/>
        </w:rPr>
        <w:t xml:space="preserve">ils </w:t>
      </w:r>
      <w:r>
        <w:rPr>
          <w:rFonts w:cs="Times New Roman"/>
          <w:lang w:val="fr-CA"/>
        </w:rPr>
        <w:t>ont sollicité une ordonnance de communication de certains dossiers en la possession de l</w:t>
      </w:r>
      <w:r w:rsidR="007B571E">
        <w:rPr>
          <w:rFonts w:cs="Times New Roman"/>
          <w:lang w:val="fr-CA"/>
        </w:rPr>
        <w:t>’</w:t>
      </w:r>
      <w:r>
        <w:rPr>
          <w:rFonts w:cs="Times New Roman"/>
          <w:lang w:val="fr-CA"/>
        </w:rPr>
        <w:t>INT et la validation de deux assignations à comparaître délivrées à l</w:t>
      </w:r>
      <w:r w:rsidR="007B571E">
        <w:rPr>
          <w:rFonts w:cs="Times New Roman"/>
          <w:lang w:val="fr-CA"/>
        </w:rPr>
        <w:t>’</w:t>
      </w:r>
      <w:r>
        <w:rPr>
          <w:rFonts w:cs="Times New Roman"/>
          <w:lang w:val="fr-CA"/>
        </w:rPr>
        <w:t>égard des enquêteurs de l</w:t>
      </w:r>
      <w:r w:rsidR="007B571E">
        <w:rPr>
          <w:rFonts w:cs="Times New Roman"/>
          <w:lang w:val="fr-CA"/>
        </w:rPr>
        <w:t>’</w:t>
      </w:r>
      <w:r>
        <w:rPr>
          <w:rFonts w:cs="Times New Roman"/>
          <w:lang w:val="fr-CA"/>
        </w:rPr>
        <w:t xml:space="preserve">INT. </w:t>
      </w:r>
    </w:p>
    <w:p w:rsidR="00BD759C" w:rsidRDefault="00BD759C" w:rsidP="003C0B54">
      <w:pPr>
        <w:pStyle w:val="ParaNoNdepar-AltN"/>
        <w:widowControl w:val="0"/>
        <w:numPr>
          <w:ilvl w:val="0"/>
          <w:numId w:val="0"/>
        </w:numPr>
        <w:rPr>
          <w:rFonts w:cs="Times New Roman"/>
          <w:lang w:val="fr-CA"/>
        </w:rPr>
      </w:pPr>
      <w:r>
        <w:rPr>
          <w:rFonts w:cs="Times New Roman"/>
          <w:lang w:val="fr-CA"/>
        </w:rPr>
        <w:tab/>
        <w:t>Or, l</w:t>
      </w:r>
      <w:r w:rsidR="007B571E">
        <w:rPr>
          <w:rFonts w:cs="Times New Roman"/>
          <w:lang w:val="fr-CA"/>
        </w:rPr>
        <w:t>’</w:t>
      </w:r>
      <w:r>
        <w:rPr>
          <w:rFonts w:cs="Times New Roman"/>
          <w:lang w:val="fr-CA"/>
        </w:rPr>
        <w:t>Accord relatif à la BIRD et les Statuts de l</w:t>
      </w:r>
      <w:r w:rsidR="007B571E">
        <w:rPr>
          <w:rFonts w:cs="Times New Roman"/>
          <w:lang w:val="fr-CA"/>
        </w:rPr>
        <w:t>’</w:t>
      </w:r>
      <w:r>
        <w:rPr>
          <w:rFonts w:cs="Times New Roman"/>
          <w:lang w:val="fr-CA"/>
        </w:rPr>
        <w:t>IDA disposent que leurs archives sont inviolables. En outre, ils prévoient que tous les fonctionnaires et employés de la BIRD ou de l</w:t>
      </w:r>
      <w:r w:rsidR="007B571E">
        <w:rPr>
          <w:rFonts w:cs="Times New Roman"/>
          <w:lang w:val="fr-CA"/>
        </w:rPr>
        <w:t>’</w:t>
      </w:r>
      <w:r>
        <w:rPr>
          <w:rFonts w:cs="Times New Roman"/>
          <w:lang w:val="fr-CA"/>
        </w:rPr>
        <w:t>IDA ne pourront faire l</w:t>
      </w:r>
      <w:r w:rsidR="007B571E">
        <w:rPr>
          <w:rFonts w:cs="Times New Roman"/>
          <w:lang w:val="fr-CA"/>
        </w:rPr>
        <w:t>’</w:t>
      </w:r>
      <w:r>
        <w:rPr>
          <w:rFonts w:cs="Times New Roman"/>
          <w:lang w:val="fr-CA"/>
        </w:rPr>
        <w:t>objet de poursuites à raison des actes accomplis par eux dans l</w:t>
      </w:r>
      <w:r w:rsidR="007B571E">
        <w:rPr>
          <w:rFonts w:cs="Times New Roman"/>
          <w:lang w:val="fr-CA"/>
        </w:rPr>
        <w:t>’</w:t>
      </w:r>
      <w:r>
        <w:rPr>
          <w:rFonts w:cs="Times New Roman"/>
          <w:lang w:val="fr-CA"/>
        </w:rPr>
        <w:t>exercice de leurs fonctions, sauf lorsque la BIRD ou l</w:t>
      </w:r>
      <w:r w:rsidR="007B571E">
        <w:rPr>
          <w:rFonts w:cs="Times New Roman"/>
          <w:lang w:val="fr-CA"/>
        </w:rPr>
        <w:t>’</w:t>
      </w:r>
      <w:r>
        <w:rPr>
          <w:rFonts w:cs="Times New Roman"/>
          <w:lang w:val="fr-CA"/>
        </w:rPr>
        <w:t>IDA aura levé cette immunité. Ces immunités ont été incorporées au droit interne canadien en vertu de deux décrets, et l</w:t>
      </w:r>
      <w:r w:rsidR="007B571E">
        <w:rPr>
          <w:rFonts w:cs="Times New Roman"/>
          <w:lang w:val="fr-CA"/>
        </w:rPr>
        <w:t>’</w:t>
      </w:r>
      <w:r>
        <w:rPr>
          <w:rFonts w:cs="Times New Roman"/>
          <w:lang w:val="fr-CA"/>
        </w:rPr>
        <w:t>Accord relatif à la BIRD et les Statuts de l</w:t>
      </w:r>
      <w:r w:rsidR="007B571E">
        <w:rPr>
          <w:rFonts w:cs="Times New Roman"/>
          <w:lang w:val="fr-CA"/>
        </w:rPr>
        <w:t>’</w:t>
      </w:r>
      <w:r>
        <w:rPr>
          <w:rFonts w:cs="Times New Roman"/>
          <w:lang w:val="fr-CA"/>
        </w:rPr>
        <w:t xml:space="preserve">IDA ont été approuvés dans leur intégralité par le Parlement canadien, qui les a annexés à la </w:t>
      </w:r>
      <w:r>
        <w:rPr>
          <w:rFonts w:cs="Times New Roman"/>
          <w:i/>
          <w:lang w:val="fr-CA"/>
        </w:rPr>
        <w:t xml:space="preserve">Loi sur les accords de </w:t>
      </w:r>
      <w:proofErr w:type="spellStart"/>
      <w:r>
        <w:rPr>
          <w:rFonts w:cs="Times New Roman"/>
          <w:i/>
          <w:lang w:val="fr-CA"/>
        </w:rPr>
        <w:t>Bretton</w:t>
      </w:r>
      <w:proofErr w:type="spellEnd"/>
      <w:r>
        <w:rPr>
          <w:rFonts w:cs="Times New Roman"/>
          <w:i/>
          <w:lang w:val="fr-CA"/>
        </w:rPr>
        <w:t xml:space="preserve"> Woods et des accords connexes</w:t>
      </w:r>
      <w:r>
        <w:rPr>
          <w:rFonts w:cs="Times New Roman"/>
          <w:lang w:val="fr-CA"/>
        </w:rPr>
        <w:t xml:space="preserve">. </w:t>
      </w:r>
    </w:p>
    <w:p w:rsidR="00BD759C" w:rsidRDefault="00BD759C" w:rsidP="003C0B54">
      <w:pPr>
        <w:pStyle w:val="ContinueParaSuitedupar-AltP"/>
        <w:widowControl w:val="0"/>
        <w:tabs>
          <w:tab w:val="left" w:pos="1170"/>
        </w:tabs>
        <w:rPr>
          <w:rFonts w:cs="Times New Roman"/>
          <w:lang w:val="fr-CA"/>
        </w:rPr>
      </w:pPr>
      <w:r>
        <w:rPr>
          <w:rFonts w:cs="Times New Roman"/>
          <w:lang w:val="fr-CA"/>
        </w:rPr>
        <w:tab/>
        <w:t>La demande souleva</w:t>
      </w:r>
      <w:r w:rsidR="00FB73B5">
        <w:rPr>
          <w:rFonts w:cs="Times New Roman"/>
          <w:lang w:val="fr-CA"/>
        </w:rPr>
        <w:t>it deux questions, à savoir (1) </w:t>
      </w:r>
      <w:r>
        <w:rPr>
          <w:rFonts w:cs="Times New Roman"/>
          <w:lang w:val="fr-CA"/>
        </w:rPr>
        <w:t xml:space="preserve">si le Groupe </w:t>
      </w:r>
      <w:r w:rsidR="00746D79">
        <w:rPr>
          <w:rFonts w:cs="Times New Roman"/>
          <w:lang w:val="fr-CA"/>
        </w:rPr>
        <w:t xml:space="preserve">de la Banque mondiale </w:t>
      </w:r>
      <w:r>
        <w:rPr>
          <w:rFonts w:cs="Times New Roman"/>
          <w:lang w:val="fr-CA"/>
        </w:rPr>
        <w:t>pouvait être sujet à une ordonnance de communication rendue par un tribunal canadien vu les immunités conférées à la BIRD et à l</w:t>
      </w:r>
      <w:r w:rsidR="007B571E">
        <w:rPr>
          <w:rFonts w:cs="Times New Roman"/>
          <w:lang w:val="fr-CA"/>
        </w:rPr>
        <w:t>’</w:t>
      </w:r>
      <w:r>
        <w:rPr>
          <w:rFonts w:cs="Times New Roman"/>
          <w:lang w:val="fr-CA"/>
        </w:rPr>
        <w:t>IDA et (2), dans l</w:t>
      </w:r>
      <w:r w:rsidR="007B571E">
        <w:rPr>
          <w:rFonts w:cs="Times New Roman"/>
          <w:lang w:val="fr-CA"/>
        </w:rPr>
        <w:t>’</w:t>
      </w:r>
      <w:r>
        <w:rPr>
          <w:rFonts w:cs="Times New Roman"/>
          <w:lang w:val="fr-CA"/>
        </w:rPr>
        <w:t>affirmative, si les documents dont la communication était requise satisfaisaient au critère de la pertinence applicable à une contestation des autorisations d</w:t>
      </w:r>
      <w:r w:rsidR="007B571E">
        <w:rPr>
          <w:rFonts w:cs="Times New Roman"/>
          <w:lang w:val="fr-CA"/>
        </w:rPr>
        <w:t>’</w:t>
      </w:r>
      <w:r>
        <w:rPr>
          <w:rFonts w:cs="Times New Roman"/>
          <w:lang w:val="fr-CA"/>
        </w:rPr>
        <w:t>écoute électronique fondée sur l</w:t>
      </w:r>
      <w:r w:rsidR="007B571E">
        <w:rPr>
          <w:rFonts w:cs="Times New Roman"/>
          <w:lang w:val="fr-CA"/>
        </w:rPr>
        <w:t>’</w:t>
      </w:r>
      <w:r>
        <w:rPr>
          <w:rFonts w:cs="Times New Roman"/>
          <w:lang w:val="fr-CA"/>
        </w:rPr>
        <w:t xml:space="preserve">arrêt </w:t>
      </w:r>
      <w:proofErr w:type="spellStart"/>
      <w:r>
        <w:rPr>
          <w:rFonts w:cs="Times New Roman"/>
          <w:i/>
          <w:lang w:val="fr-CA"/>
        </w:rPr>
        <w:t>Garofoli</w:t>
      </w:r>
      <w:proofErr w:type="spellEnd"/>
      <w:r>
        <w:rPr>
          <w:rFonts w:cs="Times New Roman"/>
          <w:lang w:val="fr-CA"/>
        </w:rPr>
        <w:t>.</w:t>
      </w:r>
    </w:p>
    <w:p w:rsidR="00BD759C" w:rsidRDefault="00BD759C" w:rsidP="003C0B54">
      <w:pPr>
        <w:pStyle w:val="ParaNoNdepar-AltN"/>
        <w:widowControl w:val="0"/>
        <w:numPr>
          <w:ilvl w:val="0"/>
          <w:numId w:val="0"/>
        </w:numPr>
        <w:rPr>
          <w:rFonts w:cs="Times New Roman"/>
          <w:lang w:val="fr-CA"/>
        </w:rPr>
      </w:pPr>
      <w:r>
        <w:rPr>
          <w:rFonts w:cs="Times New Roman"/>
          <w:lang w:val="fr-CA"/>
        </w:rPr>
        <w:tab/>
        <w:t>À propos de la première question, le juge d</w:t>
      </w:r>
      <w:r w:rsidR="007B571E">
        <w:rPr>
          <w:rFonts w:cs="Times New Roman"/>
          <w:lang w:val="fr-CA"/>
        </w:rPr>
        <w:t>’</w:t>
      </w:r>
      <w:r>
        <w:rPr>
          <w:rFonts w:cs="Times New Roman"/>
          <w:lang w:val="fr-CA"/>
        </w:rPr>
        <w:t>instance a exprimé l</w:t>
      </w:r>
      <w:r w:rsidR="007B571E">
        <w:rPr>
          <w:rFonts w:cs="Times New Roman"/>
          <w:lang w:val="fr-CA"/>
        </w:rPr>
        <w:t>’</w:t>
      </w:r>
      <w:r>
        <w:rPr>
          <w:rFonts w:cs="Times New Roman"/>
          <w:lang w:val="fr-CA"/>
        </w:rPr>
        <w:t xml:space="preserve">avis que les immunités et privilèges invoqués </w:t>
      </w:r>
      <w:proofErr w:type="gramStart"/>
      <w:r>
        <w:rPr>
          <w:rFonts w:cs="Times New Roman"/>
          <w:lang w:val="fr-CA"/>
        </w:rPr>
        <w:t>s</w:t>
      </w:r>
      <w:r w:rsidR="007B571E">
        <w:rPr>
          <w:rFonts w:cs="Times New Roman"/>
          <w:lang w:val="fr-CA"/>
        </w:rPr>
        <w:t>’</w:t>
      </w:r>
      <w:r>
        <w:rPr>
          <w:rFonts w:cs="Times New Roman"/>
          <w:lang w:val="fr-CA"/>
        </w:rPr>
        <w:t>appliquaient</w:t>
      </w:r>
      <w:proofErr w:type="gramEnd"/>
      <w:r>
        <w:rPr>
          <w:rFonts w:cs="Times New Roman"/>
          <w:lang w:val="fr-CA"/>
        </w:rPr>
        <w:t xml:space="preserve"> </w:t>
      </w:r>
      <w:r w:rsidRPr="00B15CCB">
        <w:rPr>
          <w:rFonts w:cs="Times New Roman"/>
          <w:lang w:val="fr-CA"/>
        </w:rPr>
        <w:t>a priori</w:t>
      </w:r>
      <w:r>
        <w:rPr>
          <w:rFonts w:cs="Times New Roman"/>
          <w:lang w:val="fr-CA"/>
        </w:rPr>
        <w:t xml:space="preserve"> aux archives et au personnel de l</w:t>
      </w:r>
      <w:r w:rsidR="007B571E">
        <w:rPr>
          <w:rFonts w:cs="Times New Roman"/>
          <w:lang w:val="fr-CA"/>
        </w:rPr>
        <w:t>’</w:t>
      </w:r>
      <w:r>
        <w:rPr>
          <w:rFonts w:cs="Times New Roman"/>
          <w:lang w:val="fr-CA"/>
        </w:rPr>
        <w:t xml:space="preserve">INT. Cependant, il est arrivé à la conclusion que le Groupe </w:t>
      </w:r>
      <w:r w:rsidR="00746D79">
        <w:rPr>
          <w:rFonts w:cs="Times New Roman"/>
          <w:lang w:val="fr-CA"/>
        </w:rPr>
        <w:t xml:space="preserve">de la Banque mondiale </w:t>
      </w:r>
      <w:r>
        <w:rPr>
          <w:rFonts w:cs="Times New Roman"/>
          <w:lang w:val="fr-CA"/>
        </w:rPr>
        <w:t>avait levé ces immunités en participant à l</w:t>
      </w:r>
      <w:r w:rsidR="007B571E">
        <w:rPr>
          <w:rFonts w:cs="Times New Roman"/>
          <w:lang w:val="fr-CA"/>
        </w:rPr>
        <w:t>’</w:t>
      </w:r>
      <w:r>
        <w:rPr>
          <w:rFonts w:cs="Times New Roman"/>
          <w:lang w:val="fr-CA"/>
        </w:rPr>
        <w:t>enquête de la GRC.</w:t>
      </w:r>
      <w:r w:rsidR="00FB73B5">
        <w:rPr>
          <w:rFonts w:cs="Times New Roman"/>
          <w:lang w:val="fr-CA"/>
        </w:rPr>
        <w:t xml:space="preserve"> </w:t>
      </w:r>
      <w:r>
        <w:rPr>
          <w:rFonts w:cs="Times New Roman"/>
          <w:lang w:val="fr-CA"/>
        </w:rPr>
        <w:t>Quoi qu</w:t>
      </w:r>
      <w:r w:rsidR="007B571E">
        <w:rPr>
          <w:rFonts w:cs="Times New Roman"/>
          <w:lang w:val="fr-CA"/>
        </w:rPr>
        <w:t>’</w:t>
      </w:r>
      <w:r>
        <w:rPr>
          <w:rFonts w:cs="Times New Roman"/>
          <w:lang w:val="fr-CA"/>
        </w:rPr>
        <w:t>il en soit, il n</w:t>
      </w:r>
      <w:r w:rsidR="007B571E">
        <w:rPr>
          <w:rFonts w:cs="Times New Roman"/>
          <w:lang w:val="fr-CA"/>
        </w:rPr>
        <w:t>’</w:t>
      </w:r>
      <w:r>
        <w:rPr>
          <w:rFonts w:cs="Times New Roman"/>
          <w:lang w:val="fr-CA"/>
        </w:rPr>
        <w:t>était pas convaincu que les documents faisant l</w:t>
      </w:r>
      <w:r w:rsidR="007B571E">
        <w:rPr>
          <w:rFonts w:cs="Times New Roman"/>
          <w:lang w:val="fr-CA"/>
        </w:rPr>
        <w:t>’</w:t>
      </w:r>
      <w:r>
        <w:rPr>
          <w:rFonts w:cs="Times New Roman"/>
          <w:lang w:val="fr-CA"/>
        </w:rPr>
        <w:t>objet du litige constituaient des « archives ». En outre, il a estimé que le terme « inviolable » dans l</w:t>
      </w:r>
      <w:r w:rsidR="007B571E">
        <w:rPr>
          <w:rFonts w:cs="Times New Roman"/>
          <w:lang w:val="fr-CA"/>
        </w:rPr>
        <w:t>’</w:t>
      </w:r>
      <w:r>
        <w:rPr>
          <w:rFonts w:cs="Times New Roman"/>
          <w:lang w:val="fr-CA"/>
        </w:rPr>
        <w:t>Accord et dans les Statuts connotait la protection contre la perquisition, la saisie ou la confiscation plutôt que contre la communication pour examen. À l</w:t>
      </w:r>
      <w:r w:rsidR="007B571E">
        <w:rPr>
          <w:rFonts w:cs="Times New Roman"/>
          <w:lang w:val="fr-CA"/>
        </w:rPr>
        <w:t>’</w:t>
      </w:r>
      <w:r>
        <w:rPr>
          <w:rFonts w:cs="Times New Roman"/>
          <w:lang w:val="fr-CA"/>
        </w:rPr>
        <w:t>égard de la deuxième question, le juge d</w:t>
      </w:r>
      <w:r w:rsidR="007B571E">
        <w:rPr>
          <w:rFonts w:cs="Times New Roman"/>
          <w:lang w:val="fr-CA"/>
        </w:rPr>
        <w:t>’</w:t>
      </w:r>
      <w:r>
        <w:rPr>
          <w:rFonts w:cs="Times New Roman"/>
          <w:lang w:val="fr-CA"/>
        </w:rPr>
        <w:t>instance a conclu à la pertinence probable des documents, dans le contexte d</w:t>
      </w:r>
      <w:r w:rsidR="007B571E">
        <w:rPr>
          <w:rFonts w:cs="Times New Roman"/>
          <w:lang w:val="fr-CA"/>
        </w:rPr>
        <w:t>’</w:t>
      </w:r>
      <w:r>
        <w:rPr>
          <w:rFonts w:cs="Times New Roman"/>
          <w:lang w:val="fr-CA"/>
        </w:rPr>
        <w:t xml:space="preserve">une demande de type </w:t>
      </w:r>
      <w:proofErr w:type="spellStart"/>
      <w:r>
        <w:rPr>
          <w:rFonts w:cs="Times New Roman"/>
          <w:i/>
          <w:lang w:val="fr-CA"/>
        </w:rPr>
        <w:t>Garofoli</w:t>
      </w:r>
      <w:proofErr w:type="spellEnd"/>
      <w:r>
        <w:rPr>
          <w:rFonts w:cs="Times New Roman"/>
          <w:lang w:val="fr-CA"/>
        </w:rPr>
        <w:t>. Par conséquent, le juge a ordonné la communicat</w:t>
      </w:r>
      <w:r w:rsidR="00392523">
        <w:rPr>
          <w:rFonts w:cs="Times New Roman"/>
          <w:lang w:val="fr-CA"/>
        </w:rPr>
        <w:t>ion des documents pour examen par le tribunal</w:t>
      </w:r>
      <w:r>
        <w:rPr>
          <w:rFonts w:cs="Times New Roman"/>
          <w:lang w:val="fr-CA"/>
        </w:rPr>
        <w:t>.</w:t>
      </w:r>
    </w:p>
    <w:p w:rsidR="00BD759C" w:rsidRDefault="00BD759C" w:rsidP="003C0B54">
      <w:pPr>
        <w:pStyle w:val="SCCNormalDoubleSpacing"/>
        <w:widowControl w:val="0"/>
        <w:rPr>
          <w:lang w:val="fr-CA"/>
        </w:rPr>
      </w:pPr>
      <w:r>
        <w:rPr>
          <w:lang w:val="fr-CA"/>
        </w:rPr>
        <w:tab/>
      </w:r>
      <w:r w:rsidR="00614B99" w:rsidRPr="00614B99">
        <w:rPr>
          <w:rStyle w:val="QuoteChar"/>
          <w:lang w:val="fr-CA"/>
        </w:rPr>
        <w:t>Arrêt</w:t>
      </w:r>
      <w:r w:rsidR="00FB73B5">
        <w:rPr>
          <w:rStyle w:val="QuoteChar"/>
          <w:i w:val="0"/>
          <w:lang w:val="fr-CA"/>
        </w:rPr>
        <w:t> :</w:t>
      </w:r>
      <w:r w:rsidR="00614B99">
        <w:rPr>
          <w:rStyle w:val="QuoteChar"/>
          <w:i w:val="0"/>
          <w:lang w:val="fr-CA"/>
        </w:rPr>
        <w:t xml:space="preserve"> </w:t>
      </w:r>
      <w:r w:rsidRPr="00614B99">
        <w:rPr>
          <w:lang w:val="fr-CA"/>
        </w:rPr>
        <w:t>L</w:t>
      </w:r>
      <w:r w:rsidR="007B571E">
        <w:rPr>
          <w:lang w:val="fr-CA"/>
        </w:rPr>
        <w:t>’</w:t>
      </w:r>
      <w:r w:rsidRPr="00614B99">
        <w:rPr>
          <w:lang w:val="fr-CA"/>
        </w:rPr>
        <w:t>appel</w:t>
      </w:r>
      <w:r>
        <w:rPr>
          <w:lang w:val="fr-CA"/>
        </w:rPr>
        <w:t xml:space="preserve"> est accueilli, et l</w:t>
      </w:r>
      <w:r w:rsidR="007B571E">
        <w:rPr>
          <w:lang w:val="fr-CA"/>
        </w:rPr>
        <w:t>’</w:t>
      </w:r>
      <w:r>
        <w:rPr>
          <w:lang w:val="fr-CA"/>
        </w:rPr>
        <w:t xml:space="preserve">ordonnance de communication est annulée. </w:t>
      </w:r>
    </w:p>
    <w:p w:rsidR="00BD759C" w:rsidRDefault="00BD759C" w:rsidP="003C0B54">
      <w:pPr>
        <w:pStyle w:val="ParaNoNdepar-AltN"/>
        <w:widowControl w:val="0"/>
        <w:numPr>
          <w:ilvl w:val="0"/>
          <w:numId w:val="0"/>
        </w:numPr>
        <w:rPr>
          <w:rFonts w:cs="Times New Roman"/>
          <w:lang w:val="fr-CA"/>
        </w:rPr>
      </w:pPr>
      <w:r>
        <w:rPr>
          <w:lang w:val="fr-CA"/>
        </w:rPr>
        <w:tab/>
      </w:r>
      <w:r>
        <w:rPr>
          <w:rFonts w:cs="Times New Roman"/>
          <w:lang w:val="fr-CA"/>
        </w:rPr>
        <w:t>En dépit de son indépendance fonctionnelle, les documents de l</w:t>
      </w:r>
      <w:r w:rsidR="007B571E">
        <w:rPr>
          <w:rFonts w:cs="Times New Roman"/>
          <w:lang w:val="fr-CA"/>
        </w:rPr>
        <w:t>’</w:t>
      </w:r>
      <w:r>
        <w:rPr>
          <w:rFonts w:cs="Times New Roman"/>
          <w:lang w:val="fr-CA"/>
        </w:rPr>
        <w:t>INT appartiennent aux archives de la BIRD ou de l</w:t>
      </w:r>
      <w:r w:rsidR="007B571E">
        <w:rPr>
          <w:rFonts w:cs="Times New Roman"/>
          <w:lang w:val="fr-CA"/>
        </w:rPr>
        <w:t>’</w:t>
      </w:r>
      <w:r>
        <w:rPr>
          <w:rFonts w:cs="Times New Roman"/>
          <w:lang w:val="fr-CA"/>
        </w:rPr>
        <w:t>IDA, et les employés de l</w:t>
      </w:r>
      <w:r w:rsidR="007B571E">
        <w:rPr>
          <w:rFonts w:cs="Times New Roman"/>
          <w:lang w:val="fr-CA"/>
        </w:rPr>
        <w:t>’</w:t>
      </w:r>
      <w:r>
        <w:rPr>
          <w:rFonts w:cs="Times New Roman"/>
          <w:lang w:val="fr-CA"/>
        </w:rPr>
        <w:t>INT jouissent de l</w:t>
      </w:r>
      <w:r w:rsidR="007B571E">
        <w:rPr>
          <w:rFonts w:cs="Times New Roman"/>
          <w:lang w:val="fr-CA"/>
        </w:rPr>
        <w:t>’</w:t>
      </w:r>
      <w:r>
        <w:rPr>
          <w:rFonts w:cs="Times New Roman"/>
          <w:lang w:val="fr-CA"/>
        </w:rPr>
        <w:t>immunité des poursuites accordée à l</w:t>
      </w:r>
      <w:r w:rsidR="007B571E">
        <w:rPr>
          <w:rFonts w:cs="Times New Roman"/>
          <w:lang w:val="fr-CA"/>
        </w:rPr>
        <w:t>’</w:t>
      </w:r>
      <w:r>
        <w:rPr>
          <w:rFonts w:cs="Times New Roman"/>
          <w:lang w:val="fr-CA"/>
        </w:rPr>
        <w:t>égard des actes accomplis dans l</w:t>
      </w:r>
      <w:r w:rsidR="007B571E">
        <w:rPr>
          <w:rFonts w:cs="Times New Roman"/>
          <w:lang w:val="fr-CA"/>
        </w:rPr>
        <w:t>’</w:t>
      </w:r>
      <w:r>
        <w:rPr>
          <w:rFonts w:cs="Times New Roman"/>
          <w:lang w:val="fr-CA"/>
        </w:rPr>
        <w:t>exercice de leurs fonctions. L</w:t>
      </w:r>
      <w:r w:rsidR="007B571E">
        <w:rPr>
          <w:rFonts w:cs="Times New Roman"/>
          <w:lang w:val="fr-CA"/>
        </w:rPr>
        <w:t>’</w:t>
      </w:r>
      <w:r>
        <w:rPr>
          <w:rFonts w:cs="Times New Roman"/>
          <w:lang w:val="fr-CA"/>
        </w:rPr>
        <w:t>Accord relatif à la BIRD et les Statuts de l</w:t>
      </w:r>
      <w:r w:rsidR="007B571E">
        <w:rPr>
          <w:rFonts w:cs="Times New Roman"/>
          <w:lang w:val="fr-CA"/>
        </w:rPr>
        <w:t>’</w:t>
      </w:r>
      <w:r>
        <w:rPr>
          <w:rFonts w:cs="Times New Roman"/>
          <w:lang w:val="fr-CA"/>
        </w:rPr>
        <w:t>IDA constituant le fondement juridique du régime d</w:t>
      </w:r>
      <w:r w:rsidR="007B571E">
        <w:rPr>
          <w:rFonts w:cs="Times New Roman"/>
          <w:lang w:val="fr-CA"/>
        </w:rPr>
        <w:t>’</w:t>
      </w:r>
      <w:r>
        <w:rPr>
          <w:rFonts w:cs="Times New Roman"/>
          <w:lang w:val="fr-CA"/>
        </w:rPr>
        <w:t>intégrité du Groupe</w:t>
      </w:r>
      <w:r w:rsidR="00746D79" w:rsidRPr="00746D79">
        <w:rPr>
          <w:rFonts w:cs="Times New Roman"/>
          <w:lang w:val="fr-CA"/>
        </w:rPr>
        <w:t xml:space="preserve"> </w:t>
      </w:r>
      <w:r w:rsidR="00746D79">
        <w:rPr>
          <w:rFonts w:cs="Times New Roman"/>
          <w:lang w:val="fr-CA"/>
        </w:rPr>
        <w:t>de la Banque mondiale</w:t>
      </w:r>
      <w:r>
        <w:rPr>
          <w:rFonts w:cs="Times New Roman"/>
          <w:lang w:val="fr-CA"/>
        </w:rPr>
        <w:t xml:space="preserve"> — et partant l</w:t>
      </w:r>
      <w:r w:rsidR="007B571E">
        <w:rPr>
          <w:rFonts w:cs="Times New Roman"/>
          <w:lang w:val="fr-CA"/>
        </w:rPr>
        <w:t>’</w:t>
      </w:r>
      <w:r>
        <w:rPr>
          <w:rFonts w:cs="Times New Roman"/>
          <w:lang w:val="fr-CA"/>
        </w:rPr>
        <w:t>INT —, les immunités qui y sont prévues s</w:t>
      </w:r>
      <w:r w:rsidR="007B571E">
        <w:rPr>
          <w:rFonts w:cs="Times New Roman"/>
          <w:lang w:val="fr-CA"/>
        </w:rPr>
        <w:t>’</w:t>
      </w:r>
      <w:r>
        <w:rPr>
          <w:rFonts w:cs="Times New Roman"/>
          <w:lang w:val="fr-CA"/>
        </w:rPr>
        <w:t>appliquent aux documents et au personnel de l</w:t>
      </w:r>
      <w:r w:rsidR="007B571E">
        <w:rPr>
          <w:rFonts w:cs="Times New Roman"/>
          <w:lang w:val="fr-CA"/>
        </w:rPr>
        <w:t>’</w:t>
      </w:r>
      <w:r>
        <w:rPr>
          <w:rFonts w:cs="Times New Roman"/>
          <w:lang w:val="fr-CA"/>
        </w:rPr>
        <w:t>INT.</w:t>
      </w:r>
    </w:p>
    <w:p w:rsidR="00BD759C" w:rsidRDefault="00BD759C" w:rsidP="003C0B54">
      <w:pPr>
        <w:pStyle w:val="ParaNoNdepar-AltN"/>
        <w:widowControl w:val="0"/>
        <w:numPr>
          <w:ilvl w:val="0"/>
          <w:numId w:val="0"/>
        </w:numPr>
        <w:rPr>
          <w:rFonts w:cs="Times New Roman"/>
          <w:lang w:val="fr-CA"/>
        </w:rPr>
      </w:pPr>
      <w:r>
        <w:rPr>
          <w:rFonts w:cs="Times New Roman"/>
          <w:lang w:val="fr-CA"/>
        </w:rPr>
        <w:tab/>
      </w:r>
      <w:r>
        <w:rPr>
          <w:rStyle w:val="reflex3-block"/>
          <w:rFonts w:cs="Times New Roman"/>
          <w:lang w:val="fr-CA"/>
        </w:rPr>
        <w:t>La section 3 de l</w:t>
      </w:r>
      <w:r w:rsidR="007B571E">
        <w:rPr>
          <w:rStyle w:val="reflex3-block"/>
          <w:rFonts w:cs="Times New Roman"/>
          <w:lang w:val="fr-CA"/>
        </w:rPr>
        <w:t>’</w:t>
      </w:r>
      <w:r>
        <w:rPr>
          <w:rStyle w:val="reflex3-block"/>
          <w:rFonts w:cs="Times New Roman"/>
          <w:lang w:val="fr-CA"/>
        </w:rPr>
        <w:t>article VII de l</w:t>
      </w:r>
      <w:r w:rsidR="007B571E">
        <w:rPr>
          <w:rStyle w:val="reflex3-block"/>
          <w:rFonts w:cs="Times New Roman"/>
          <w:lang w:val="fr-CA"/>
        </w:rPr>
        <w:t>’</w:t>
      </w:r>
      <w:r>
        <w:rPr>
          <w:rStyle w:val="reflex3-block"/>
          <w:rFonts w:cs="Times New Roman"/>
          <w:lang w:val="fr-CA"/>
        </w:rPr>
        <w:t>Accord relatif à la BIRD et de l</w:t>
      </w:r>
      <w:r w:rsidR="007B571E">
        <w:rPr>
          <w:rStyle w:val="reflex3-block"/>
          <w:rFonts w:cs="Times New Roman"/>
          <w:lang w:val="fr-CA"/>
        </w:rPr>
        <w:t>’</w:t>
      </w:r>
      <w:r>
        <w:rPr>
          <w:rStyle w:val="reflex3-block"/>
          <w:rFonts w:cs="Times New Roman"/>
          <w:lang w:val="fr-CA"/>
        </w:rPr>
        <w:t>article VIII des Statuts de l</w:t>
      </w:r>
      <w:r w:rsidR="007B571E">
        <w:rPr>
          <w:rStyle w:val="reflex3-block"/>
          <w:rFonts w:cs="Times New Roman"/>
          <w:lang w:val="fr-CA"/>
        </w:rPr>
        <w:t>’</w:t>
      </w:r>
      <w:r>
        <w:rPr>
          <w:rStyle w:val="reflex3-block"/>
          <w:rFonts w:cs="Times New Roman"/>
          <w:lang w:val="fr-CA"/>
        </w:rPr>
        <w:t>IDA, qui confirme que la BIRD et l</w:t>
      </w:r>
      <w:r w:rsidR="007B571E">
        <w:rPr>
          <w:rStyle w:val="reflex3-block"/>
          <w:rFonts w:cs="Times New Roman"/>
          <w:lang w:val="fr-CA"/>
        </w:rPr>
        <w:t>’</w:t>
      </w:r>
      <w:r>
        <w:rPr>
          <w:rStyle w:val="reflex3-block"/>
          <w:rFonts w:cs="Times New Roman"/>
          <w:lang w:val="fr-CA"/>
        </w:rPr>
        <w:t xml:space="preserve">IDA peuvent être </w:t>
      </w:r>
      <w:proofErr w:type="gramStart"/>
      <w:r>
        <w:rPr>
          <w:rStyle w:val="reflex3-block"/>
          <w:rFonts w:cs="Times New Roman"/>
          <w:lang w:val="fr-CA"/>
        </w:rPr>
        <w:t>poursuivies</w:t>
      </w:r>
      <w:proofErr w:type="gramEnd"/>
      <w:r>
        <w:rPr>
          <w:rStyle w:val="reflex3-block"/>
          <w:rFonts w:cs="Times New Roman"/>
          <w:lang w:val="fr-CA"/>
        </w:rPr>
        <w:t xml:space="preserve"> devant un tribunal compétent, ne s</w:t>
      </w:r>
      <w:r w:rsidR="007B571E">
        <w:rPr>
          <w:rStyle w:val="reflex3-block"/>
          <w:rFonts w:cs="Times New Roman"/>
          <w:lang w:val="fr-CA"/>
        </w:rPr>
        <w:t>’</w:t>
      </w:r>
      <w:r>
        <w:rPr>
          <w:rStyle w:val="reflex3-block"/>
          <w:rFonts w:cs="Times New Roman"/>
          <w:lang w:val="fr-CA"/>
        </w:rPr>
        <w:t>applique pas en l</w:t>
      </w:r>
      <w:r w:rsidR="007B571E">
        <w:rPr>
          <w:rStyle w:val="reflex3-block"/>
          <w:rFonts w:cs="Times New Roman"/>
          <w:lang w:val="fr-CA"/>
        </w:rPr>
        <w:t>’</w:t>
      </w:r>
      <w:r>
        <w:rPr>
          <w:rStyle w:val="reflex3-block"/>
          <w:rFonts w:cs="Times New Roman"/>
          <w:lang w:val="fr-CA"/>
        </w:rPr>
        <w:t>espèce.</w:t>
      </w:r>
      <w:r>
        <w:rPr>
          <w:rFonts w:cs="Times New Roman"/>
          <w:lang w:val="fr-CA"/>
        </w:rPr>
        <w:t xml:space="preserve"> </w:t>
      </w:r>
      <w:r>
        <w:rPr>
          <w:rStyle w:val="reflex3-block"/>
          <w:rFonts w:cs="Times New Roman"/>
          <w:lang w:val="fr-CA"/>
        </w:rPr>
        <w:t>Le présent pourvoi porte sur une demande de communication de documents visant le personnel de l</w:t>
      </w:r>
      <w:r w:rsidR="007B571E">
        <w:rPr>
          <w:rStyle w:val="reflex3-block"/>
          <w:rFonts w:cs="Times New Roman"/>
          <w:lang w:val="fr-CA"/>
        </w:rPr>
        <w:t>’</w:t>
      </w:r>
      <w:r>
        <w:rPr>
          <w:rStyle w:val="reflex3-block"/>
          <w:rFonts w:cs="Times New Roman"/>
          <w:lang w:val="fr-CA"/>
        </w:rPr>
        <w:t>INT dans le contexte d</w:t>
      </w:r>
      <w:r w:rsidR="007B571E">
        <w:rPr>
          <w:rStyle w:val="reflex3-block"/>
          <w:rFonts w:cs="Times New Roman"/>
          <w:lang w:val="fr-CA"/>
        </w:rPr>
        <w:t>’</w:t>
      </w:r>
      <w:r>
        <w:rPr>
          <w:rStyle w:val="reflex3-block"/>
          <w:rFonts w:cs="Times New Roman"/>
          <w:lang w:val="fr-CA"/>
        </w:rPr>
        <w:t>accusations en matière criminelle. Ce n</w:t>
      </w:r>
      <w:r w:rsidR="007B571E">
        <w:rPr>
          <w:rStyle w:val="reflex3-block"/>
          <w:rFonts w:cs="Times New Roman"/>
          <w:lang w:val="fr-CA"/>
        </w:rPr>
        <w:t>’</w:t>
      </w:r>
      <w:r>
        <w:rPr>
          <w:rStyle w:val="reflex3-block"/>
          <w:rFonts w:cs="Times New Roman"/>
          <w:lang w:val="fr-CA"/>
        </w:rPr>
        <w:t>est pas le genre de poursuite dont il est question à la section 3.</w:t>
      </w:r>
      <w:r w:rsidR="00FB73B5">
        <w:rPr>
          <w:rFonts w:cs="Times New Roman"/>
          <w:lang w:val="fr-CA"/>
        </w:rPr>
        <w:t xml:space="preserve"> </w:t>
      </w:r>
    </w:p>
    <w:p w:rsidR="00BD759C" w:rsidRDefault="00392523" w:rsidP="003C0B54">
      <w:pPr>
        <w:pStyle w:val="ParaNoNdepar-AltN"/>
        <w:widowControl w:val="0"/>
        <w:numPr>
          <w:ilvl w:val="0"/>
          <w:numId w:val="0"/>
        </w:numPr>
        <w:rPr>
          <w:rFonts w:cs="Times New Roman"/>
          <w:lang w:val="fr-CA"/>
        </w:rPr>
      </w:pPr>
      <w:r>
        <w:rPr>
          <w:rFonts w:cs="Times New Roman"/>
          <w:lang w:val="fr-CA"/>
        </w:rPr>
        <w:tab/>
        <w:t>Les immunités énoncées aux sections</w:t>
      </w:r>
      <w:r w:rsidR="00BD759C">
        <w:rPr>
          <w:rFonts w:cs="Times New Roman"/>
          <w:lang w:val="fr-CA"/>
        </w:rPr>
        <w:t> 5 et 8</w:t>
      </w:r>
      <w:r w:rsidR="007B571E">
        <w:rPr>
          <w:rFonts w:cs="Times New Roman"/>
          <w:lang w:val="fr-CA"/>
        </w:rPr>
        <w:t xml:space="preserve"> des articles </w:t>
      </w:r>
      <w:r w:rsidR="000612DD">
        <w:rPr>
          <w:rFonts w:cs="Times New Roman"/>
          <w:lang w:val="fr-CA"/>
        </w:rPr>
        <w:t>VII et VIII, respectivement,</w:t>
      </w:r>
      <w:r w:rsidR="00BD759C">
        <w:rPr>
          <w:rFonts w:cs="Times New Roman"/>
          <w:lang w:val="fr-CA"/>
        </w:rPr>
        <w:t xml:space="preserve"> ne sont pas non plus « fonctionnelles », c</w:t>
      </w:r>
      <w:r w:rsidR="007B571E">
        <w:rPr>
          <w:rFonts w:cs="Times New Roman"/>
          <w:lang w:val="fr-CA"/>
        </w:rPr>
        <w:t>’</w:t>
      </w:r>
      <w:r w:rsidR="00BD759C">
        <w:rPr>
          <w:rFonts w:cs="Times New Roman"/>
          <w:lang w:val="fr-CA"/>
        </w:rPr>
        <w:t>est</w:t>
      </w:r>
      <w:r w:rsidR="00FB73B5">
        <w:rPr>
          <w:rFonts w:cs="Times New Roman"/>
          <w:lang w:val="fr-CA"/>
        </w:rPr>
        <w:noBreakHyphen/>
      </w:r>
      <w:r w:rsidR="00BD759C">
        <w:rPr>
          <w:rFonts w:cs="Times New Roman"/>
          <w:lang w:val="fr-CA"/>
        </w:rPr>
        <w:t>à</w:t>
      </w:r>
      <w:r w:rsidR="00FB73B5">
        <w:rPr>
          <w:rFonts w:cs="Times New Roman"/>
          <w:lang w:val="fr-CA"/>
        </w:rPr>
        <w:noBreakHyphen/>
      </w:r>
      <w:r w:rsidR="00BD759C">
        <w:rPr>
          <w:rFonts w:cs="Times New Roman"/>
          <w:lang w:val="fr-CA"/>
        </w:rPr>
        <w:t>dire qu</w:t>
      </w:r>
      <w:r w:rsidR="007B571E">
        <w:rPr>
          <w:rFonts w:cs="Times New Roman"/>
          <w:lang w:val="fr-CA"/>
        </w:rPr>
        <w:t>’</w:t>
      </w:r>
      <w:r w:rsidR="00BD759C">
        <w:rPr>
          <w:rFonts w:cs="Times New Roman"/>
          <w:lang w:val="fr-CA"/>
        </w:rPr>
        <w:t xml:space="preserve">elles </w:t>
      </w:r>
      <w:r w:rsidR="00BD759C">
        <w:rPr>
          <w:lang w:val="fr-CA"/>
        </w:rPr>
        <w:t>ne s</w:t>
      </w:r>
      <w:r w:rsidR="007B571E">
        <w:rPr>
          <w:lang w:val="fr-CA"/>
        </w:rPr>
        <w:t>’</w:t>
      </w:r>
      <w:r w:rsidR="00BD759C">
        <w:rPr>
          <w:lang w:val="fr-CA"/>
        </w:rPr>
        <w:t>appliquent uniquement que si leur nécessité a été expressément démontrée pour l</w:t>
      </w:r>
      <w:r w:rsidR="007B571E">
        <w:rPr>
          <w:lang w:val="fr-CA"/>
        </w:rPr>
        <w:t>’</w:t>
      </w:r>
      <w:r w:rsidR="00BD759C">
        <w:rPr>
          <w:lang w:val="fr-CA"/>
        </w:rPr>
        <w:t>exercice des opérations et responsabilités de l</w:t>
      </w:r>
      <w:r w:rsidR="007B571E">
        <w:rPr>
          <w:lang w:val="fr-CA"/>
        </w:rPr>
        <w:t>’</w:t>
      </w:r>
      <w:r w:rsidR="00BD759C">
        <w:rPr>
          <w:lang w:val="fr-CA"/>
        </w:rPr>
        <w:t>organisation.</w:t>
      </w:r>
      <w:r w:rsidR="00BD759C">
        <w:rPr>
          <w:rFonts w:cs="Times New Roman"/>
          <w:lang w:val="fr-CA"/>
        </w:rPr>
        <w:t xml:space="preserve"> </w:t>
      </w:r>
      <w:r w:rsidR="00BD759C">
        <w:rPr>
          <w:lang w:val="fr-CA"/>
        </w:rPr>
        <w:t>Les États signataires de l</w:t>
      </w:r>
      <w:r w:rsidR="007B571E">
        <w:rPr>
          <w:lang w:val="fr-CA"/>
        </w:rPr>
        <w:t>’</w:t>
      </w:r>
      <w:r w:rsidR="00BD759C">
        <w:rPr>
          <w:lang w:val="fr-CA"/>
        </w:rPr>
        <w:t>Accord et des Statuts ont défini, à l</w:t>
      </w:r>
      <w:r w:rsidR="007B571E">
        <w:rPr>
          <w:lang w:val="fr-CA"/>
        </w:rPr>
        <w:t>’</w:t>
      </w:r>
      <w:r w:rsidR="00BD759C">
        <w:rPr>
          <w:lang w:val="fr-CA"/>
        </w:rPr>
        <w:t>avance, les diverses immunités qui permettent à la BIRD et à l</w:t>
      </w:r>
      <w:r w:rsidR="007B571E">
        <w:rPr>
          <w:lang w:val="fr-CA"/>
        </w:rPr>
        <w:t>’</w:t>
      </w:r>
      <w:r w:rsidR="00BD759C">
        <w:rPr>
          <w:lang w:val="fr-CA"/>
        </w:rPr>
        <w:t>IDA de s</w:t>
      </w:r>
      <w:r w:rsidR="007B571E">
        <w:rPr>
          <w:lang w:val="fr-CA"/>
        </w:rPr>
        <w:t>’</w:t>
      </w:r>
      <w:r w:rsidR="00BD759C">
        <w:rPr>
          <w:lang w:val="fr-CA"/>
        </w:rPr>
        <w:t>acquitter de leurs responsabilités. Le texte mê</w:t>
      </w:r>
      <w:r w:rsidR="00FB73B5">
        <w:rPr>
          <w:lang w:val="fr-CA"/>
        </w:rPr>
        <w:t>me de la section 1 des articles </w:t>
      </w:r>
      <w:r w:rsidR="00BD759C">
        <w:rPr>
          <w:lang w:val="fr-CA"/>
        </w:rPr>
        <w:t>VII et VIII laisse entendre que c</w:t>
      </w:r>
      <w:r w:rsidR="007B571E">
        <w:rPr>
          <w:lang w:val="fr-CA"/>
        </w:rPr>
        <w:t>’</w:t>
      </w:r>
      <w:r w:rsidR="00BD759C">
        <w:rPr>
          <w:lang w:val="fr-CA"/>
        </w:rPr>
        <w:t>était un choix délibéré</w:t>
      </w:r>
      <w:r w:rsidR="00BD759C">
        <w:rPr>
          <w:rFonts w:cs="Times New Roman"/>
          <w:lang w:val="fr-CA"/>
        </w:rPr>
        <w:t xml:space="preserve">. </w:t>
      </w:r>
      <w:r w:rsidR="00BD759C">
        <w:rPr>
          <w:lang w:val="fr-CA"/>
        </w:rPr>
        <w:t>Ajouter une condition de nécessité fonctionnelle minerait ce qui semble être le choix délibéré d</w:t>
      </w:r>
      <w:r w:rsidR="007B571E">
        <w:rPr>
          <w:lang w:val="fr-CA"/>
        </w:rPr>
        <w:t>’</w:t>
      </w:r>
      <w:r w:rsidR="00BD759C">
        <w:rPr>
          <w:lang w:val="fr-CA"/>
        </w:rPr>
        <w:t>énumérer les diverses immunités plutôt que de prévoir une immunité fonctionnelle générale.</w:t>
      </w:r>
      <w:r w:rsidR="00BD759C">
        <w:rPr>
          <w:rFonts w:cs="Times New Roman"/>
          <w:lang w:val="fr-CA"/>
        </w:rPr>
        <w:t xml:space="preserve"> </w:t>
      </w:r>
    </w:p>
    <w:p w:rsidR="00BD759C" w:rsidRDefault="00BD759C" w:rsidP="003C0B54">
      <w:pPr>
        <w:pStyle w:val="ParaNoNdepar-AltN"/>
        <w:widowControl w:val="0"/>
        <w:numPr>
          <w:ilvl w:val="0"/>
          <w:numId w:val="0"/>
        </w:numPr>
        <w:rPr>
          <w:rFonts w:cs="Times New Roman"/>
          <w:lang w:val="fr-CA"/>
        </w:rPr>
      </w:pPr>
      <w:r>
        <w:rPr>
          <w:rFonts w:cs="Times New Roman"/>
          <w:lang w:val="fr-CA"/>
        </w:rPr>
        <w:tab/>
        <w:t>À propos de l</w:t>
      </w:r>
      <w:r w:rsidR="007B571E">
        <w:rPr>
          <w:rFonts w:cs="Times New Roman"/>
          <w:lang w:val="fr-CA"/>
        </w:rPr>
        <w:t>’</w:t>
      </w:r>
      <w:r>
        <w:rPr>
          <w:rFonts w:cs="Times New Roman"/>
          <w:lang w:val="fr-CA"/>
        </w:rPr>
        <w:t>inviolabilité des archives de l</w:t>
      </w:r>
      <w:r w:rsidR="007B571E">
        <w:rPr>
          <w:rFonts w:cs="Times New Roman"/>
          <w:lang w:val="fr-CA"/>
        </w:rPr>
        <w:t>’</w:t>
      </w:r>
      <w:r>
        <w:rPr>
          <w:rFonts w:cs="Times New Roman"/>
          <w:lang w:val="fr-CA"/>
        </w:rPr>
        <w:t>organisation, le juge d</w:t>
      </w:r>
      <w:r w:rsidR="007B571E">
        <w:rPr>
          <w:rFonts w:cs="Times New Roman"/>
          <w:lang w:val="fr-CA"/>
        </w:rPr>
        <w:t>’</w:t>
      </w:r>
      <w:r>
        <w:rPr>
          <w:rFonts w:cs="Times New Roman"/>
          <w:lang w:val="fr-CA"/>
        </w:rPr>
        <w:t>instance a commis une erreur en interprétant de façon aussi étroite une immunité intimement liée au fonctionnement indépendant des organisations internationales. L</w:t>
      </w:r>
      <w:r w:rsidR="007B571E">
        <w:rPr>
          <w:rFonts w:cs="Times New Roman"/>
          <w:lang w:val="fr-CA"/>
        </w:rPr>
        <w:t>’</w:t>
      </w:r>
      <w:r>
        <w:rPr>
          <w:rFonts w:cs="Times New Roman"/>
          <w:lang w:val="fr-CA"/>
        </w:rPr>
        <w:t>immunité définie à la section 5 protège l</w:t>
      </w:r>
      <w:r w:rsidR="007B571E">
        <w:rPr>
          <w:rFonts w:cs="Times New Roman"/>
          <w:lang w:val="fr-CA"/>
        </w:rPr>
        <w:t>’</w:t>
      </w:r>
      <w:r>
        <w:rPr>
          <w:rFonts w:cs="Times New Roman"/>
          <w:lang w:val="fr-CA"/>
        </w:rPr>
        <w:t>ensemble de la collection des documents archivés de la BIRD et de l</w:t>
      </w:r>
      <w:r w:rsidR="007B571E">
        <w:rPr>
          <w:rFonts w:cs="Times New Roman"/>
          <w:lang w:val="fr-CA"/>
        </w:rPr>
        <w:t>’</w:t>
      </w:r>
      <w:r>
        <w:rPr>
          <w:rFonts w:cs="Times New Roman"/>
          <w:lang w:val="fr-CA"/>
        </w:rPr>
        <w:t>IDA à la fois contre les fouilles, perquisitions et saisies et contre la communication. Cette interprétation plus large est conforme au sens ordinaire des termes de la section 5 et elle s</w:t>
      </w:r>
      <w:r w:rsidR="007B571E">
        <w:rPr>
          <w:rFonts w:cs="Times New Roman"/>
          <w:lang w:val="fr-CA"/>
        </w:rPr>
        <w:t>’</w:t>
      </w:r>
      <w:r>
        <w:rPr>
          <w:rFonts w:cs="Times New Roman"/>
          <w:lang w:val="fr-CA"/>
        </w:rPr>
        <w:t>harmonise avec l</w:t>
      </w:r>
      <w:r w:rsidR="007B571E">
        <w:rPr>
          <w:rFonts w:cs="Times New Roman"/>
          <w:lang w:val="fr-CA"/>
        </w:rPr>
        <w:t>’</w:t>
      </w:r>
      <w:r>
        <w:rPr>
          <w:rFonts w:cs="Times New Roman"/>
          <w:lang w:val="fr-CA"/>
        </w:rPr>
        <w:t xml:space="preserve">objet et le but de cette disposition. En communiquant certains documents volontairement, le Groupe </w:t>
      </w:r>
      <w:r w:rsidR="00746D79">
        <w:rPr>
          <w:rFonts w:cs="Times New Roman"/>
          <w:lang w:val="fr-CA"/>
        </w:rPr>
        <w:t xml:space="preserve">de la Banque mondiale </w:t>
      </w:r>
      <w:r>
        <w:rPr>
          <w:rFonts w:cs="Times New Roman"/>
          <w:lang w:val="fr-CA"/>
        </w:rPr>
        <w:t>n</w:t>
      </w:r>
      <w:r w:rsidR="007B571E">
        <w:rPr>
          <w:rFonts w:cs="Times New Roman"/>
          <w:lang w:val="fr-CA"/>
        </w:rPr>
        <w:t>’</w:t>
      </w:r>
      <w:r>
        <w:rPr>
          <w:rFonts w:cs="Times New Roman"/>
          <w:lang w:val="fr-CA"/>
        </w:rPr>
        <w:t>a pas levé cette immunité. En effet, l</w:t>
      </w:r>
      <w:r w:rsidR="007B571E">
        <w:rPr>
          <w:rFonts w:cs="Times New Roman"/>
          <w:lang w:val="fr-CA"/>
        </w:rPr>
        <w:t>’</w:t>
      </w:r>
      <w:r>
        <w:rPr>
          <w:rFonts w:cs="Times New Roman"/>
          <w:lang w:val="fr-CA"/>
        </w:rPr>
        <w:t xml:space="preserve">inviolabilité des archives ne peut être levée. </w:t>
      </w:r>
    </w:p>
    <w:p w:rsidR="00BD759C" w:rsidRDefault="00BD759C" w:rsidP="003C0B54">
      <w:pPr>
        <w:pStyle w:val="ParaNoNdepar-AltN"/>
        <w:widowControl w:val="0"/>
        <w:numPr>
          <w:ilvl w:val="0"/>
          <w:numId w:val="0"/>
        </w:numPr>
        <w:rPr>
          <w:rFonts w:cs="Times New Roman"/>
          <w:lang w:val="fr-CA"/>
        </w:rPr>
      </w:pPr>
      <w:r>
        <w:rPr>
          <w:rFonts w:cs="Times New Roman"/>
          <w:lang w:val="fr-CA"/>
        </w:rPr>
        <w:tab/>
        <w:t>L</w:t>
      </w:r>
      <w:r w:rsidR="007B571E">
        <w:rPr>
          <w:rFonts w:cs="Times New Roman"/>
          <w:lang w:val="fr-CA"/>
        </w:rPr>
        <w:t>’</w:t>
      </w:r>
      <w:r>
        <w:rPr>
          <w:rFonts w:cs="Times New Roman"/>
          <w:lang w:val="fr-CA"/>
        </w:rPr>
        <w:t>immunité du personnel s</w:t>
      </w:r>
      <w:r w:rsidR="007B571E">
        <w:rPr>
          <w:rFonts w:cs="Times New Roman"/>
          <w:lang w:val="fr-CA"/>
        </w:rPr>
        <w:t>’</w:t>
      </w:r>
      <w:r>
        <w:rPr>
          <w:rFonts w:cs="Times New Roman"/>
          <w:lang w:val="fr-CA"/>
        </w:rPr>
        <w:t>applique aussi, étant donné que les assignations contestées contraignaient égal</w:t>
      </w:r>
      <w:r w:rsidR="007B571E">
        <w:rPr>
          <w:rFonts w:cs="Times New Roman"/>
          <w:lang w:val="fr-CA"/>
        </w:rPr>
        <w:t>ement MM. </w:t>
      </w:r>
      <w:proofErr w:type="spellStart"/>
      <w:r>
        <w:rPr>
          <w:rFonts w:cs="Times New Roman"/>
          <w:lang w:val="fr-CA"/>
        </w:rPr>
        <w:t>Haynes</w:t>
      </w:r>
      <w:proofErr w:type="spellEnd"/>
      <w:r>
        <w:rPr>
          <w:rFonts w:cs="Times New Roman"/>
          <w:lang w:val="fr-CA"/>
        </w:rPr>
        <w:t xml:space="preserve"> et Kim à témoigner. </w:t>
      </w:r>
      <w:r>
        <w:rPr>
          <w:lang w:val="fr-CA"/>
        </w:rPr>
        <w:t>Il est incontesté que le personnel de l</w:t>
      </w:r>
      <w:r w:rsidR="007B571E">
        <w:rPr>
          <w:lang w:val="fr-CA"/>
        </w:rPr>
        <w:t>’</w:t>
      </w:r>
      <w:r>
        <w:rPr>
          <w:lang w:val="fr-CA"/>
        </w:rPr>
        <w:t>INT accomplissait des actes dans l</w:t>
      </w:r>
      <w:r w:rsidR="007B571E">
        <w:rPr>
          <w:lang w:val="fr-CA"/>
        </w:rPr>
        <w:t>’</w:t>
      </w:r>
      <w:r>
        <w:rPr>
          <w:lang w:val="fr-CA"/>
        </w:rPr>
        <w:t>exercice de ses fonctions lorsqu</w:t>
      </w:r>
      <w:r w:rsidR="007B571E">
        <w:rPr>
          <w:lang w:val="fr-CA"/>
        </w:rPr>
        <w:t>’</w:t>
      </w:r>
      <w:r>
        <w:rPr>
          <w:lang w:val="fr-CA"/>
        </w:rPr>
        <w:t>il a obtenu les renseignements sollicités par les inculpés. Il n</w:t>
      </w:r>
      <w:r w:rsidR="007B571E">
        <w:rPr>
          <w:lang w:val="fr-CA"/>
        </w:rPr>
        <w:t>’</w:t>
      </w:r>
      <w:r>
        <w:rPr>
          <w:lang w:val="fr-CA"/>
        </w:rPr>
        <w:t>est pas contesté non plus que l</w:t>
      </w:r>
      <w:r w:rsidR="007B571E">
        <w:rPr>
          <w:lang w:val="fr-CA"/>
        </w:rPr>
        <w:t>’</w:t>
      </w:r>
      <w:r>
        <w:rPr>
          <w:lang w:val="fr-CA"/>
        </w:rPr>
        <w:t>immunité contre les poursuites pré</w:t>
      </w:r>
      <w:r w:rsidR="00FB73B5">
        <w:rPr>
          <w:lang w:val="fr-CA"/>
        </w:rPr>
        <w:t>vue à la section 8 des articles </w:t>
      </w:r>
      <w:r>
        <w:rPr>
          <w:lang w:val="fr-CA"/>
        </w:rPr>
        <w:t>VII et VIII</w:t>
      </w:r>
      <w:r w:rsidR="00FB73B5">
        <w:rPr>
          <w:lang w:val="fr-CA"/>
        </w:rPr>
        <w:t xml:space="preserve"> </w:t>
      </w:r>
      <w:r>
        <w:rPr>
          <w:lang w:val="fr-CA"/>
        </w:rPr>
        <w:t xml:space="preserve">protège les employés </w:t>
      </w:r>
      <w:r>
        <w:rPr>
          <w:rFonts w:cs="Times New Roman"/>
          <w:lang w:val="fr-CA"/>
        </w:rPr>
        <w:t>à raison des actes accomplis par eux dans l</w:t>
      </w:r>
      <w:r w:rsidR="007B571E">
        <w:rPr>
          <w:rFonts w:cs="Times New Roman"/>
          <w:lang w:val="fr-CA"/>
        </w:rPr>
        <w:t>’</w:t>
      </w:r>
      <w:r>
        <w:rPr>
          <w:rFonts w:cs="Times New Roman"/>
          <w:lang w:val="fr-CA"/>
        </w:rPr>
        <w:t>exercice de leurs fonctions, non seulement contre les poursuites civiles et pénales, mais aussi contre les sommations judiciaires, telles les assignations à comparaître</w:t>
      </w:r>
      <w:r>
        <w:rPr>
          <w:lang w:val="fr-CA"/>
        </w:rPr>
        <w:t>.</w:t>
      </w:r>
      <w:r>
        <w:rPr>
          <w:rFonts w:cs="Times New Roman"/>
          <w:lang w:val="fr-CA"/>
        </w:rPr>
        <w:t xml:space="preserve"> Si l</w:t>
      </w:r>
      <w:r w:rsidR="007B571E">
        <w:rPr>
          <w:rFonts w:cs="Times New Roman"/>
          <w:lang w:val="fr-CA"/>
        </w:rPr>
        <w:t>’</w:t>
      </w:r>
      <w:r>
        <w:rPr>
          <w:rFonts w:cs="Times New Roman"/>
          <w:lang w:val="fr-CA"/>
        </w:rPr>
        <w:t>immunité du personnel peut être levée, l</w:t>
      </w:r>
      <w:r w:rsidR="007B571E">
        <w:rPr>
          <w:rFonts w:cs="Times New Roman"/>
          <w:lang w:val="fr-CA"/>
        </w:rPr>
        <w:t>’</w:t>
      </w:r>
      <w:r>
        <w:rPr>
          <w:rFonts w:cs="Times New Roman"/>
          <w:lang w:val="fr-CA"/>
        </w:rPr>
        <w:t>objet et le but du traité militent en faveur de la reconnaissance d</w:t>
      </w:r>
      <w:r w:rsidR="007B571E">
        <w:rPr>
          <w:rFonts w:cs="Times New Roman"/>
          <w:lang w:val="fr-CA"/>
        </w:rPr>
        <w:t>’</w:t>
      </w:r>
      <w:r>
        <w:rPr>
          <w:rFonts w:cs="Times New Roman"/>
          <w:lang w:val="fr-CA"/>
        </w:rPr>
        <w:t>une exigence de renonciation expresse. Vu l</w:t>
      </w:r>
      <w:r w:rsidR="007B571E">
        <w:rPr>
          <w:rFonts w:cs="Times New Roman"/>
          <w:lang w:val="fr-CA"/>
        </w:rPr>
        <w:t>’</w:t>
      </w:r>
      <w:r>
        <w:rPr>
          <w:rFonts w:cs="Times New Roman"/>
          <w:lang w:val="fr-CA"/>
        </w:rPr>
        <w:t>absence d</w:t>
      </w:r>
      <w:r w:rsidR="007B571E">
        <w:rPr>
          <w:rFonts w:cs="Times New Roman"/>
          <w:lang w:val="fr-CA"/>
        </w:rPr>
        <w:t>’</w:t>
      </w:r>
      <w:r>
        <w:rPr>
          <w:rFonts w:cs="Times New Roman"/>
          <w:lang w:val="fr-CA"/>
        </w:rPr>
        <w:t>une renonciation expresse, le juge d</w:t>
      </w:r>
      <w:r w:rsidR="007B571E">
        <w:rPr>
          <w:rFonts w:cs="Times New Roman"/>
          <w:lang w:val="fr-CA"/>
        </w:rPr>
        <w:t>’</w:t>
      </w:r>
      <w:r>
        <w:rPr>
          <w:rFonts w:cs="Times New Roman"/>
          <w:lang w:val="fr-CA"/>
        </w:rPr>
        <w:t>instance a conclu à tort que le Groupe</w:t>
      </w:r>
      <w:r w:rsidR="00746D79" w:rsidRPr="00746D79">
        <w:rPr>
          <w:rFonts w:cs="Times New Roman"/>
          <w:lang w:val="fr-CA"/>
        </w:rPr>
        <w:t xml:space="preserve"> </w:t>
      </w:r>
      <w:r w:rsidR="00746D79">
        <w:rPr>
          <w:rFonts w:cs="Times New Roman"/>
          <w:lang w:val="fr-CA"/>
        </w:rPr>
        <w:t>de la Banque mondiale</w:t>
      </w:r>
      <w:r>
        <w:rPr>
          <w:rFonts w:cs="Times New Roman"/>
          <w:lang w:val="fr-CA"/>
        </w:rPr>
        <w:t xml:space="preserve"> avait renoncé à son immunité. </w:t>
      </w:r>
    </w:p>
    <w:p w:rsidR="00BD759C" w:rsidRDefault="00BD759C" w:rsidP="003C0B54">
      <w:pPr>
        <w:pStyle w:val="ParaNoNdepar-AltN"/>
        <w:widowControl w:val="0"/>
        <w:numPr>
          <w:ilvl w:val="0"/>
          <w:numId w:val="0"/>
        </w:numPr>
        <w:rPr>
          <w:rFonts w:cs="Times New Roman"/>
          <w:lang w:val="fr-CA"/>
        </w:rPr>
      </w:pPr>
      <w:r>
        <w:rPr>
          <w:rFonts w:cs="Times New Roman"/>
          <w:lang w:val="fr-CA"/>
        </w:rPr>
        <w:tab/>
        <w:t xml:space="preserve">Même si le Groupe </w:t>
      </w:r>
      <w:r w:rsidR="00746D79">
        <w:rPr>
          <w:rFonts w:cs="Times New Roman"/>
          <w:lang w:val="fr-CA"/>
        </w:rPr>
        <w:t xml:space="preserve">de la Banque mondiale </w:t>
      </w:r>
      <w:r>
        <w:rPr>
          <w:rFonts w:cs="Times New Roman"/>
          <w:lang w:val="fr-CA"/>
        </w:rPr>
        <w:t>ne bénéficiait d</w:t>
      </w:r>
      <w:r w:rsidR="007B571E">
        <w:rPr>
          <w:rFonts w:cs="Times New Roman"/>
          <w:lang w:val="fr-CA"/>
        </w:rPr>
        <w:t>’</w:t>
      </w:r>
      <w:r>
        <w:rPr>
          <w:rFonts w:cs="Times New Roman"/>
          <w:lang w:val="fr-CA"/>
        </w:rPr>
        <w:t>aucune des immunités définies dans l</w:t>
      </w:r>
      <w:r w:rsidR="007B571E">
        <w:rPr>
          <w:rFonts w:cs="Times New Roman"/>
          <w:lang w:val="fr-CA"/>
        </w:rPr>
        <w:t>’</w:t>
      </w:r>
      <w:r>
        <w:rPr>
          <w:rFonts w:cs="Times New Roman"/>
          <w:lang w:val="fr-CA"/>
        </w:rPr>
        <w:t>Accord et dans les Statuts, l</w:t>
      </w:r>
      <w:r w:rsidR="007B571E">
        <w:rPr>
          <w:rFonts w:cs="Times New Roman"/>
          <w:lang w:val="fr-CA"/>
        </w:rPr>
        <w:t>’</w:t>
      </w:r>
      <w:r>
        <w:rPr>
          <w:rFonts w:cs="Times New Roman"/>
          <w:lang w:val="fr-CA"/>
        </w:rPr>
        <w:t>ordonnance de communication n</w:t>
      </w:r>
      <w:r w:rsidR="007B571E">
        <w:rPr>
          <w:rFonts w:cs="Times New Roman"/>
          <w:lang w:val="fr-CA"/>
        </w:rPr>
        <w:t>’</w:t>
      </w:r>
      <w:r>
        <w:rPr>
          <w:rFonts w:cs="Times New Roman"/>
          <w:lang w:val="fr-CA"/>
        </w:rPr>
        <w:t>aurait pas dû être rendue conformément au cadre établi dans l</w:t>
      </w:r>
      <w:r w:rsidR="007B571E">
        <w:rPr>
          <w:rFonts w:cs="Times New Roman"/>
          <w:lang w:val="fr-CA"/>
        </w:rPr>
        <w:t>’</w:t>
      </w:r>
      <w:r>
        <w:rPr>
          <w:rFonts w:cs="Times New Roman"/>
          <w:lang w:val="fr-CA"/>
        </w:rPr>
        <w:t xml:space="preserve">arrêt </w:t>
      </w:r>
      <w:r>
        <w:rPr>
          <w:rFonts w:cs="Times New Roman"/>
          <w:i/>
          <w:lang w:val="fr-CA"/>
        </w:rPr>
        <w:t>R. c.</w:t>
      </w:r>
      <w:r>
        <w:rPr>
          <w:rFonts w:cs="Times New Roman"/>
          <w:lang w:val="fr-CA"/>
        </w:rPr>
        <w:t xml:space="preserve"> </w:t>
      </w:r>
      <w:proofErr w:type="spellStart"/>
      <w:r>
        <w:rPr>
          <w:rFonts w:cs="Times New Roman"/>
          <w:i/>
          <w:lang w:val="fr-CA"/>
        </w:rPr>
        <w:t>O</w:t>
      </w:r>
      <w:r w:rsidR="007B571E">
        <w:rPr>
          <w:rFonts w:cs="Times New Roman"/>
          <w:i/>
          <w:lang w:val="fr-CA"/>
        </w:rPr>
        <w:t>’</w:t>
      </w:r>
      <w:r>
        <w:rPr>
          <w:rFonts w:cs="Times New Roman"/>
          <w:i/>
          <w:lang w:val="fr-CA"/>
        </w:rPr>
        <w:t>Connor</w:t>
      </w:r>
      <w:proofErr w:type="spellEnd"/>
      <w:r>
        <w:rPr>
          <w:rFonts w:cs="Times New Roman"/>
          <w:lang w:val="fr-CA"/>
        </w:rPr>
        <w:t xml:space="preserve">, [1995] 4 R.C.S. 411, pour la communication de dossiers en la possession de tiers. La demande de type </w:t>
      </w:r>
      <w:proofErr w:type="spellStart"/>
      <w:r>
        <w:rPr>
          <w:rFonts w:cs="Times New Roman"/>
          <w:i/>
          <w:lang w:val="fr-CA"/>
        </w:rPr>
        <w:t>Garofoli</w:t>
      </w:r>
      <w:proofErr w:type="spellEnd"/>
      <w:r>
        <w:rPr>
          <w:rFonts w:cs="Times New Roman"/>
          <w:lang w:val="fr-CA"/>
        </w:rPr>
        <w:t xml:space="preserve"> a une portée plus limitée qu</w:t>
      </w:r>
      <w:r w:rsidR="00CD3A54">
        <w:rPr>
          <w:rFonts w:cs="Times New Roman"/>
          <w:lang w:val="fr-CA"/>
        </w:rPr>
        <w:t>e la</w:t>
      </w:r>
      <w:r>
        <w:rPr>
          <w:rFonts w:cs="Times New Roman"/>
          <w:lang w:val="fr-CA"/>
        </w:rPr>
        <w:t xml:space="preserve"> demande </w:t>
      </w:r>
      <w:r w:rsidR="00D67CE3">
        <w:rPr>
          <w:rFonts w:cs="Times New Roman"/>
          <w:lang w:val="fr-CA"/>
        </w:rPr>
        <w:t xml:space="preserve">classique </w:t>
      </w:r>
      <w:r>
        <w:rPr>
          <w:rFonts w:cs="Times New Roman"/>
          <w:lang w:val="fr-CA"/>
        </w:rPr>
        <w:t xml:space="preserve">de type </w:t>
      </w:r>
      <w:proofErr w:type="spellStart"/>
      <w:r>
        <w:rPr>
          <w:rFonts w:cs="Times New Roman"/>
          <w:i/>
          <w:lang w:val="fr-CA"/>
        </w:rPr>
        <w:t>O</w:t>
      </w:r>
      <w:r w:rsidR="007B571E">
        <w:rPr>
          <w:rFonts w:cs="Times New Roman"/>
          <w:i/>
          <w:lang w:val="fr-CA"/>
        </w:rPr>
        <w:t>’</w:t>
      </w:r>
      <w:r>
        <w:rPr>
          <w:rFonts w:cs="Times New Roman"/>
          <w:i/>
          <w:lang w:val="fr-CA"/>
        </w:rPr>
        <w:t>Connor</w:t>
      </w:r>
      <w:proofErr w:type="spellEnd"/>
      <w:r>
        <w:rPr>
          <w:rFonts w:cs="Times New Roman"/>
          <w:lang w:val="fr-CA"/>
        </w:rPr>
        <w:t xml:space="preserve">, car elle concerne la recevabilité de la preuve, à savoir les communications interceptées. La demande de type </w:t>
      </w:r>
      <w:proofErr w:type="spellStart"/>
      <w:r>
        <w:rPr>
          <w:rFonts w:cs="Times New Roman"/>
          <w:i/>
          <w:lang w:val="fr-CA"/>
        </w:rPr>
        <w:t>O</w:t>
      </w:r>
      <w:r w:rsidR="007B571E">
        <w:rPr>
          <w:rFonts w:cs="Times New Roman"/>
          <w:i/>
          <w:lang w:val="fr-CA"/>
        </w:rPr>
        <w:t>’</w:t>
      </w:r>
      <w:r>
        <w:rPr>
          <w:rFonts w:cs="Times New Roman"/>
          <w:i/>
          <w:lang w:val="fr-CA"/>
        </w:rPr>
        <w:t>Connor</w:t>
      </w:r>
      <w:proofErr w:type="spellEnd"/>
      <w:r>
        <w:rPr>
          <w:rFonts w:cs="Times New Roman"/>
          <w:lang w:val="fr-CA"/>
        </w:rPr>
        <w:t xml:space="preserve"> présentée dans le cadre d</w:t>
      </w:r>
      <w:r w:rsidR="007B571E">
        <w:rPr>
          <w:rFonts w:cs="Times New Roman"/>
          <w:lang w:val="fr-CA"/>
        </w:rPr>
        <w:t>’</w:t>
      </w:r>
      <w:r>
        <w:rPr>
          <w:rFonts w:cs="Times New Roman"/>
          <w:lang w:val="fr-CA"/>
        </w:rPr>
        <w:t xml:space="preserve">une demande de type </w:t>
      </w:r>
      <w:proofErr w:type="spellStart"/>
      <w:r>
        <w:rPr>
          <w:rFonts w:cs="Times New Roman"/>
          <w:i/>
          <w:lang w:val="fr-CA"/>
        </w:rPr>
        <w:t>Garofoli</w:t>
      </w:r>
      <w:proofErr w:type="spellEnd"/>
      <w:r>
        <w:rPr>
          <w:rFonts w:cs="Times New Roman"/>
          <w:lang w:val="fr-CA"/>
        </w:rPr>
        <w:t xml:space="preserve"> doit être circonscrite aux questions limitées que soulève cette dernière. Le cadre d</w:t>
      </w:r>
      <w:r w:rsidR="007B571E">
        <w:rPr>
          <w:rFonts w:cs="Times New Roman"/>
          <w:lang w:val="fr-CA"/>
        </w:rPr>
        <w:t>’</w:t>
      </w:r>
      <w:r>
        <w:rPr>
          <w:rFonts w:cs="Times New Roman"/>
          <w:lang w:val="fr-CA"/>
        </w:rPr>
        <w:t>analyse établi dans l</w:t>
      </w:r>
      <w:r w:rsidR="007B571E">
        <w:rPr>
          <w:rFonts w:cs="Times New Roman"/>
          <w:lang w:val="fr-CA"/>
        </w:rPr>
        <w:t>’</w:t>
      </w:r>
      <w:r>
        <w:rPr>
          <w:rFonts w:cs="Times New Roman"/>
          <w:lang w:val="fr-CA"/>
        </w:rPr>
        <w:t xml:space="preserve">arrêt </w:t>
      </w:r>
      <w:proofErr w:type="spellStart"/>
      <w:r>
        <w:rPr>
          <w:rFonts w:cs="Times New Roman"/>
          <w:i/>
          <w:lang w:val="fr-CA"/>
        </w:rPr>
        <w:t>Garofoli</w:t>
      </w:r>
      <w:proofErr w:type="spellEnd"/>
      <w:r>
        <w:rPr>
          <w:rFonts w:cs="Times New Roman"/>
          <w:i/>
          <w:lang w:val="fr-CA"/>
        </w:rPr>
        <w:t xml:space="preserve"> </w:t>
      </w:r>
      <w:r>
        <w:rPr>
          <w:rFonts w:cs="Times New Roman"/>
          <w:lang w:val="fr-CA"/>
        </w:rPr>
        <w:t>permet d</w:t>
      </w:r>
      <w:r w:rsidR="007B571E">
        <w:rPr>
          <w:rFonts w:cs="Times New Roman"/>
          <w:lang w:val="fr-CA"/>
        </w:rPr>
        <w:t>’</w:t>
      </w:r>
      <w:r>
        <w:rPr>
          <w:rFonts w:cs="Times New Roman"/>
          <w:lang w:val="fr-CA"/>
        </w:rPr>
        <w:t>apprécier le caractère abusif ou non de la fouille ou perquisition que constitue l</w:t>
      </w:r>
      <w:r w:rsidR="007B571E">
        <w:rPr>
          <w:rFonts w:cs="Times New Roman"/>
          <w:lang w:val="fr-CA"/>
        </w:rPr>
        <w:t>’</w:t>
      </w:r>
      <w:r>
        <w:rPr>
          <w:rFonts w:cs="Times New Roman"/>
          <w:lang w:val="fr-CA"/>
        </w:rPr>
        <w:t>écoute électronique interceptant des communications privées. La fouille ou perquisition n</w:t>
      </w:r>
      <w:r w:rsidR="007B571E">
        <w:rPr>
          <w:rFonts w:cs="Times New Roman"/>
          <w:lang w:val="fr-CA"/>
        </w:rPr>
        <w:t>’</w:t>
      </w:r>
      <w:r>
        <w:rPr>
          <w:rFonts w:cs="Times New Roman"/>
          <w:lang w:val="fr-CA"/>
        </w:rPr>
        <w:t>est pas abusive si les conditions légales préalables à la délivrance de l</w:t>
      </w:r>
      <w:r w:rsidR="007B571E">
        <w:rPr>
          <w:rFonts w:cs="Times New Roman"/>
          <w:lang w:val="fr-CA"/>
        </w:rPr>
        <w:t>’</w:t>
      </w:r>
      <w:r>
        <w:rPr>
          <w:rFonts w:cs="Times New Roman"/>
          <w:lang w:val="fr-CA"/>
        </w:rPr>
        <w:t>autorisation d</w:t>
      </w:r>
      <w:r w:rsidR="007B571E">
        <w:rPr>
          <w:rFonts w:cs="Times New Roman"/>
          <w:lang w:val="fr-CA"/>
        </w:rPr>
        <w:t>’</w:t>
      </w:r>
      <w:r>
        <w:rPr>
          <w:rFonts w:cs="Times New Roman"/>
          <w:lang w:val="fr-CA"/>
        </w:rPr>
        <w:t xml:space="preserve">écoute électronique ont été respectées. La demande de type </w:t>
      </w:r>
      <w:proofErr w:type="spellStart"/>
      <w:r>
        <w:rPr>
          <w:rFonts w:cs="Times New Roman"/>
          <w:i/>
          <w:lang w:val="fr-CA"/>
        </w:rPr>
        <w:t>Garofoli</w:t>
      </w:r>
      <w:proofErr w:type="spellEnd"/>
      <w:r>
        <w:rPr>
          <w:rFonts w:cs="Times New Roman"/>
          <w:i/>
          <w:lang w:val="fr-CA"/>
        </w:rPr>
        <w:t xml:space="preserve"> </w:t>
      </w:r>
      <w:r>
        <w:rPr>
          <w:rFonts w:cs="Times New Roman"/>
          <w:lang w:val="fr-CA"/>
        </w:rPr>
        <w:t>vise, non pas la question de savoir si les affirmations qui fondent la dénonciation en vue d</w:t>
      </w:r>
      <w:r w:rsidR="007B571E">
        <w:rPr>
          <w:rFonts w:cs="Times New Roman"/>
          <w:lang w:val="fr-CA"/>
        </w:rPr>
        <w:t>’</w:t>
      </w:r>
      <w:r>
        <w:rPr>
          <w:rFonts w:cs="Times New Roman"/>
          <w:lang w:val="fr-CA"/>
        </w:rPr>
        <w:t>obtenir l</w:t>
      </w:r>
      <w:r w:rsidR="007B571E">
        <w:rPr>
          <w:rFonts w:cs="Times New Roman"/>
          <w:lang w:val="fr-CA"/>
        </w:rPr>
        <w:t>’</w:t>
      </w:r>
      <w:r>
        <w:rPr>
          <w:rFonts w:cs="Times New Roman"/>
          <w:lang w:val="fr-CA"/>
        </w:rPr>
        <w:t>autorisation d</w:t>
      </w:r>
      <w:r w:rsidR="007B571E">
        <w:rPr>
          <w:rFonts w:cs="Times New Roman"/>
          <w:lang w:val="fr-CA"/>
        </w:rPr>
        <w:t>’</w:t>
      </w:r>
      <w:r>
        <w:rPr>
          <w:rFonts w:cs="Times New Roman"/>
          <w:lang w:val="fr-CA"/>
        </w:rPr>
        <w:t>écoute électronique sont vraies — une question qui sera tranchée au procès —, mais celle de savoir si le déposant a une croyance raisonnable en l</w:t>
      </w:r>
      <w:r w:rsidR="007B571E">
        <w:rPr>
          <w:rFonts w:cs="Times New Roman"/>
          <w:lang w:val="fr-CA"/>
        </w:rPr>
        <w:t>’</w:t>
      </w:r>
      <w:r>
        <w:rPr>
          <w:rFonts w:cs="Times New Roman"/>
          <w:lang w:val="fr-CA"/>
        </w:rPr>
        <w:t>existence des motifs légaux requis. Ce qui importe, c</w:t>
      </w:r>
      <w:r w:rsidR="007B571E">
        <w:rPr>
          <w:rFonts w:cs="Times New Roman"/>
          <w:lang w:val="fr-CA"/>
        </w:rPr>
        <w:t>’</w:t>
      </w:r>
      <w:r>
        <w:rPr>
          <w:rFonts w:cs="Times New Roman"/>
          <w:lang w:val="fr-CA"/>
        </w:rPr>
        <w:t>est ce que le déposant savait ou aurait dû savoir au moment où il a souscrit l</w:t>
      </w:r>
      <w:r w:rsidR="007B571E">
        <w:rPr>
          <w:rFonts w:cs="Times New Roman"/>
          <w:lang w:val="fr-CA"/>
        </w:rPr>
        <w:t>’</w:t>
      </w:r>
      <w:r>
        <w:rPr>
          <w:rFonts w:cs="Times New Roman"/>
          <w:lang w:val="fr-CA"/>
        </w:rPr>
        <w:t xml:space="preserve">affidavit accompagnant la dénonciation. </w:t>
      </w:r>
    </w:p>
    <w:p w:rsidR="00BD759C" w:rsidRDefault="00BD759C" w:rsidP="003C0B54">
      <w:pPr>
        <w:pStyle w:val="ParaNoNdepar-AltN"/>
        <w:widowControl w:val="0"/>
        <w:numPr>
          <w:ilvl w:val="0"/>
          <w:numId w:val="0"/>
        </w:numPr>
        <w:rPr>
          <w:rFonts w:cs="Times New Roman"/>
          <w:lang w:val="fr-CA"/>
        </w:rPr>
      </w:pPr>
      <w:r>
        <w:rPr>
          <w:rFonts w:cs="Times New Roman"/>
          <w:lang w:val="fr-CA"/>
        </w:rPr>
        <w:tab/>
        <w:t xml:space="preserve">Certes, une personne peut se prévaloir de la procédure de type </w:t>
      </w:r>
      <w:proofErr w:type="spellStart"/>
      <w:r>
        <w:rPr>
          <w:rFonts w:cs="Times New Roman"/>
          <w:i/>
          <w:lang w:val="fr-CA"/>
        </w:rPr>
        <w:t>O</w:t>
      </w:r>
      <w:r w:rsidR="007B571E">
        <w:rPr>
          <w:rFonts w:cs="Times New Roman"/>
          <w:i/>
          <w:lang w:val="fr-CA"/>
        </w:rPr>
        <w:t>’</w:t>
      </w:r>
      <w:r>
        <w:rPr>
          <w:rFonts w:cs="Times New Roman"/>
          <w:i/>
          <w:lang w:val="fr-CA"/>
        </w:rPr>
        <w:t>Connor</w:t>
      </w:r>
      <w:proofErr w:type="spellEnd"/>
      <w:r>
        <w:rPr>
          <w:rFonts w:cs="Times New Roman"/>
          <w:lang w:val="fr-CA"/>
        </w:rPr>
        <w:t xml:space="preserve"> pour obtenir des documents à l</w:t>
      </w:r>
      <w:r w:rsidR="007B571E">
        <w:rPr>
          <w:rFonts w:cs="Times New Roman"/>
          <w:lang w:val="fr-CA"/>
        </w:rPr>
        <w:t>’</w:t>
      </w:r>
      <w:r>
        <w:rPr>
          <w:rFonts w:cs="Times New Roman"/>
          <w:lang w:val="fr-CA"/>
        </w:rPr>
        <w:t>appui d</w:t>
      </w:r>
      <w:r w:rsidR="007B571E">
        <w:rPr>
          <w:rFonts w:cs="Times New Roman"/>
          <w:lang w:val="fr-CA"/>
        </w:rPr>
        <w:t>’</w:t>
      </w:r>
      <w:r>
        <w:rPr>
          <w:rFonts w:cs="Times New Roman"/>
          <w:lang w:val="fr-CA"/>
        </w:rPr>
        <w:t xml:space="preserve">une demande de type </w:t>
      </w:r>
      <w:proofErr w:type="spellStart"/>
      <w:r>
        <w:rPr>
          <w:rFonts w:cs="Times New Roman"/>
          <w:i/>
          <w:lang w:val="fr-CA"/>
        </w:rPr>
        <w:t>Garofoli</w:t>
      </w:r>
      <w:proofErr w:type="spellEnd"/>
      <w:r>
        <w:rPr>
          <w:rFonts w:cs="Times New Roman"/>
          <w:lang w:val="fr-CA"/>
        </w:rPr>
        <w:t>, mais le critère de pertinence dans ce cas est plus restrictif que celui qui s</w:t>
      </w:r>
      <w:r w:rsidR="007B571E">
        <w:rPr>
          <w:rFonts w:cs="Times New Roman"/>
          <w:lang w:val="fr-CA"/>
        </w:rPr>
        <w:t>’</w:t>
      </w:r>
      <w:r>
        <w:rPr>
          <w:rFonts w:cs="Times New Roman"/>
          <w:lang w:val="fr-CA"/>
        </w:rPr>
        <w:t xml:space="preserve">applique ordinairement à la première. Pour obtenir des documents en la possession de tiers pour sa demande de type </w:t>
      </w:r>
      <w:proofErr w:type="spellStart"/>
      <w:r>
        <w:rPr>
          <w:rFonts w:cs="Times New Roman"/>
          <w:i/>
          <w:lang w:val="fr-CA"/>
        </w:rPr>
        <w:t>Garofoli</w:t>
      </w:r>
      <w:proofErr w:type="spellEnd"/>
      <w:r>
        <w:rPr>
          <w:rFonts w:cs="Times New Roman"/>
          <w:lang w:val="fr-CA"/>
        </w:rPr>
        <w:t>,</w:t>
      </w:r>
      <w:r>
        <w:rPr>
          <w:rFonts w:cs="Times New Roman"/>
          <w:i/>
          <w:lang w:val="fr-CA"/>
        </w:rPr>
        <w:t xml:space="preserve"> </w:t>
      </w:r>
      <w:r>
        <w:rPr>
          <w:rFonts w:cs="Times New Roman"/>
          <w:lang w:val="fr-CA"/>
        </w:rPr>
        <w:t>l</w:t>
      </w:r>
      <w:r w:rsidR="007B571E">
        <w:rPr>
          <w:rFonts w:cs="Times New Roman"/>
          <w:lang w:val="fr-CA"/>
        </w:rPr>
        <w:t>’</w:t>
      </w:r>
      <w:r>
        <w:rPr>
          <w:rFonts w:cs="Times New Roman"/>
          <w:lang w:val="fr-CA"/>
        </w:rPr>
        <w:t>accusé doit démontrer qu</w:t>
      </w:r>
      <w:r w:rsidR="007B571E">
        <w:rPr>
          <w:rFonts w:cs="Times New Roman"/>
          <w:lang w:val="fr-CA"/>
        </w:rPr>
        <w:t>’</w:t>
      </w:r>
      <w:r>
        <w:rPr>
          <w:rFonts w:cs="Times New Roman"/>
          <w:lang w:val="fr-CA"/>
        </w:rPr>
        <w:t>il est raisonnablement probable que ces documents auront une valeur probante quant aux questions limitées que soulève sa demande. Ce critère, qui régit la communication de documents par des tiers, s</w:t>
      </w:r>
      <w:r w:rsidR="007B571E">
        <w:rPr>
          <w:rFonts w:cs="Times New Roman"/>
          <w:lang w:val="fr-CA"/>
        </w:rPr>
        <w:t>’</w:t>
      </w:r>
      <w:r>
        <w:rPr>
          <w:rFonts w:cs="Times New Roman"/>
          <w:lang w:val="fr-CA"/>
        </w:rPr>
        <w:t>applique également à une autre forme d</w:t>
      </w:r>
      <w:r w:rsidR="007B571E">
        <w:rPr>
          <w:rFonts w:cs="Times New Roman"/>
          <w:lang w:val="fr-CA"/>
        </w:rPr>
        <w:t>’</w:t>
      </w:r>
      <w:r>
        <w:rPr>
          <w:rFonts w:cs="Times New Roman"/>
          <w:lang w:val="fr-CA"/>
        </w:rPr>
        <w:t>enquête préalable menée dans le cadre d</w:t>
      </w:r>
      <w:r w:rsidR="007B571E">
        <w:rPr>
          <w:rFonts w:cs="Times New Roman"/>
          <w:lang w:val="fr-CA"/>
        </w:rPr>
        <w:t>’</w:t>
      </w:r>
      <w:r>
        <w:rPr>
          <w:rFonts w:cs="Times New Roman"/>
          <w:lang w:val="fr-CA"/>
        </w:rPr>
        <w:t xml:space="preserve">une demande de type </w:t>
      </w:r>
      <w:proofErr w:type="spellStart"/>
      <w:r>
        <w:rPr>
          <w:rFonts w:cs="Times New Roman"/>
          <w:i/>
          <w:lang w:val="fr-CA"/>
        </w:rPr>
        <w:t>Garofoli</w:t>
      </w:r>
      <w:proofErr w:type="spellEnd"/>
      <w:r w:rsidR="00FB73B5">
        <w:rPr>
          <w:rFonts w:cs="Times New Roman"/>
          <w:i/>
          <w:lang w:val="fr-CA"/>
        </w:rPr>
        <w:t> </w:t>
      </w:r>
      <w:r w:rsidR="00FB73B5" w:rsidRPr="00933D07">
        <w:rPr>
          <w:rFonts w:cs="Times New Roman"/>
          <w:lang w:val="fr-CA"/>
        </w:rPr>
        <w:t>:</w:t>
      </w:r>
      <w:r>
        <w:rPr>
          <w:rFonts w:cs="Times New Roman"/>
          <w:lang w:val="fr-CA"/>
        </w:rPr>
        <w:t xml:space="preserve"> le contre</w:t>
      </w:r>
      <w:r w:rsidR="00FB73B5">
        <w:rPr>
          <w:rFonts w:cs="Times New Roman"/>
          <w:lang w:val="fr-CA"/>
        </w:rPr>
        <w:noBreakHyphen/>
      </w:r>
      <w:r>
        <w:rPr>
          <w:rFonts w:cs="Times New Roman"/>
          <w:lang w:val="fr-CA"/>
        </w:rPr>
        <w:t>interrogatoire du déposant. Les deux formes visent des objets similaires et soulèvent des préoccupations de principe semblables. Les raisons qui justifient de limiter le contre</w:t>
      </w:r>
      <w:r w:rsidR="00FB73B5">
        <w:rPr>
          <w:rFonts w:cs="Times New Roman"/>
          <w:lang w:val="fr-CA"/>
        </w:rPr>
        <w:noBreakHyphen/>
      </w:r>
      <w:r>
        <w:rPr>
          <w:rFonts w:cs="Times New Roman"/>
          <w:lang w:val="fr-CA"/>
        </w:rPr>
        <w:t>interrogatoire du déposant s</w:t>
      </w:r>
      <w:r w:rsidR="007B571E">
        <w:rPr>
          <w:rFonts w:cs="Times New Roman"/>
          <w:lang w:val="fr-CA"/>
        </w:rPr>
        <w:t>’</w:t>
      </w:r>
      <w:r>
        <w:rPr>
          <w:rFonts w:cs="Times New Roman"/>
          <w:lang w:val="fr-CA"/>
        </w:rPr>
        <w:t xml:space="preserve">appliquent avec autant de force à la demande de communication par des tiers. Le critère de la « probabilité raisonnable » convient à une demande de type </w:t>
      </w:r>
      <w:proofErr w:type="spellStart"/>
      <w:r>
        <w:rPr>
          <w:rFonts w:cs="Times New Roman"/>
          <w:i/>
          <w:lang w:val="fr-CA"/>
        </w:rPr>
        <w:t>Garofoli</w:t>
      </w:r>
      <w:proofErr w:type="spellEnd"/>
      <w:r>
        <w:rPr>
          <w:rFonts w:cs="Times New Roman"/>
          <w:lang w:val="fr-CA"/>
        </w:rPr>
        <w:t xml:space="preserve"> et est équitable pour l</w:t>
      </w:r>
      <w:r w:rsidR="007B571E">
        <w:rPr>
          <w:rFonts w:cs="Times New Roman"/>
          <w:lang w:val="fr-CA"/>
        </w:rPr>
        <w:t>’</w:t>
      </w:r>
      <w:r>
        <w:rPr>
          <w:rFonts w:cs="Times New Roman"/>
          <w:lang w:val="fr-CA"/>
        </w:rPr>
        <w:t xml:space="preserve">accusé. </w:t>
      </w:r>
    </w:p>
    <w:p w:rsidR="00BD759C" w:rsidRDefault="00BD759C" w:rsidP="003C0B54">
      <w:pPr>
        <w:pStyle w:val="ParaNoNdepar-AltN"/>
        <w:widowControl w:val="0"/>
        <w:numPr>
          <w:ilvl w:val="0"/>
          <w:numId w:val="0"/>
        </w:numPr>
        <w:rPr>
          <w:rFonts w:cs="Times New Roman"/>
          <w:lang w:val="fr-CA"/>
        </w:rPr>
      </w:pPr>
      <w:r>
        <w:rPr>
          <w:rFonts w:cs="Times New Roman"/>
          <w:lang w:val="fr-CA"/>
        </w:rPr>
        <w:tab/>
        <w:t>Le juge d</w:t>
      </w:r>
      <w:r w:rsidR="007B571E">
        <w:rPr>
          <w:rFonts w:cs="Times New Roman"/>
          <w:lang w:val="fr-CA"/>
        </w:rPr>
        <w:t>’</w:t>
      </w:r>
      <w:r>
        <w:rPr>
          <w:rFonts w:cs="Times New Roman"/>
          <w:lang w:val="fr-CA"/>
        </w:rPr>
        <w:t>instance a commis une erreur dans son appréciation des arguments des inculpés. Bien qu</w:t>
      </w:r>
      <w:r w:rsidR="007B571E">
        <w:rPr>
          <w:rFonts w:cs="Times New Roman"/>
          <w:lang w:val="fr-CA"/>
        </w:rPr>
        <w:t>’</w:t>
      </w:r>
      <w:r>
        <w:rPr>
          <w:rFonts w:cs="Times New Roman"/>
          <w:lang w:val="fr-CA"/>
        </w:rPr>
        <w:t>il ait à juste titre imposé le fardeau de la preuve aux inculpés, il n</w:t>
      </w:r>
      <w:r w:rsidR="007B571E">
        <w:rPr>
          <w:rFonts w:cs="Times New Roman"/>
          <w:lang w:val="fr-CA"/>
        </w:rPr>
        <w:t>’</w:t>
      </w:r>
      <w:r>
        <w:rPr>
          <w:rFonts w:cs="Times New Roman"/>
          <w:lang w:val="fr-CA"/>
        </w:rPr>
        <w:t>a pas apprécié correctement la pertinence des documents exigés. Tout particulièrement, il a confondu, dans le cadre d</w:t>
      </w:r>
      <w:r w:rsidR="007B571E">
        <w:rPr>
          <w:rFonts w:cs="Times New Roman"/>
          <w:lang w:val="fr-CA"/>
        </w:rPr>
        <w:t>’</w:t>
      </w:r>
      <w:r>
        <w:rPr>
          <w:rFonts w:cs="Times New Roman"/>
          <w:lang w:val="fr-CA"/>
        </w:rPr>
        <w:t xml:space="preserve">une demande de type </w:t>
      </w:r>
      <w:proofErr w:type="spellStart"/>
      <w:r>
        <w:rPr>
          <w:rFonts w:cs="Times New Roman"/>
          <w:i/>
          <w:lang w:val="fr-CA"/>
        </w:rPr>
        <w:t>Garofoli</w:t>
      </w:r>
      <w:proofErr w:type="spellEnd"/>
      <w:r>
        <w:rPr>
          <w:rFonts w:cs="Times New Roman"/>
          <w:lang w:val="fr-CA"/>
        </w:rPr>
        <w:t>, la connaissance du déposant et celle des enquêteurs. En l</w:t>
      </w:r>
      <w:r w:rsidR="007B571E">
        <w:rPr>
          <w:rFonts w:cs="Times New Roman"/>
          <w:lang w:val="fr-CA"/>
        </w:rPr>
        <w:t>’</w:t>
      </w:r>
      <w:r>
        <w:rPr>
          <w:rFonts w:cs="Times New Roman"/>
          <w:lang w:val="fr-CA"/>
        </w:rPr>
        <w:t>espèce, cette distinction est cruciale. Si les documents demandés sont susceptibles de permettre d</w:t>
      </w:r>
      <w:r w:rsidR="007B571E">
        <w:rPr>
          <w:rFonts w:cs="Times New Roman"/>
          <w:lang w:val="fr-CA"/>
        </w:rPr>
        <w:t>’</w:t>
      </w:r>
      <w:r>
        <w:rPr>
          <w:rFonts w:cs="Times New Roman"/>
          <w:lang w:val="fr-CA"/>
        </w:rPr>
        <w:t>établir la véracité des affirmations contenues dans les affidavits, il n</w:t>
      </w:r>
      <w:r w:rsidR="007B571E">
        <w:rPr>
          <w:rFonts w:cs="Times New Roman"/>
          <w:lang w:val="fr-CA"/>
        </w:rPr>
        <w:t>’</w:t>
      </w:r>
      <w:r>
        <w:rPr>
          <w:rFonts w:cs="Times New Roman"/>
          <w:lang w:val="fr-CA"/>
        </w:rPr>
        <w:t>est pas raisonnablement probable qu</w:t>
      </w:r>
      <w:r w:rsidR="007B571E">
        <w:rPr>
          <w:rFonts w:cs="Times New Roman"/>
          <w:lang w:val="fr-CA"/>
        </w:rPr>
        <w:t>’</w:t>
      </w:r>
      <w:r>
        <w:rPr>
          <w:rFonts w:cs="Times New Roman"/>
          <w:lang w:val="fr-CA"/>
        </w:rPr>
        <w:t>ils aient une valeur probante lorsqu</w:t>
      </w:r>
      <w:r w:rsidR="007B571E">
        <w:rPr>
          <w:rFonts w:cs="Times New Roman"/>
          <w:lang w:val="fr-CA"/>
        </w:rPr>
        <w:t>’</w:t>
      </w:r>
      <w:r>
        <w:rPr>
          <w:rFonts w:cs="Times New Roman"/>
          <w:lang w:val="fr-CA"/>
        </w:rPr>
        <w:t>il s</w:t>
      </w:r>
      <w:r w:rsidR="007B571E">
        <w:rPr>
          <w:rFonts w:cs="Times New Roman"/>
          <w:lang w:val="fr-CA"/>
        </w:rPr>
        <w:t>’</w:t>
      </w:r>
      <w:r>
        <w:rPr>
          <w:rFonts w:cs="Times New Roman"/>
          <w:lang w:val="fr-CA"/>
        </w:rPr>
        <w:t>agit de déterminer ce que le sergent D savait ou aurait dû savoir puisqu</w:t>
      </w:r>
      <w:r w:rsidR="007B571E">
        <w:rPr>
          <w:rFonts w:cs="Times New Roman"/>
          <w:lang w:val="fr-CA"/>
        </w:rPr>
        <w:t>’</w:t>
      </w:r>
      <w:r>
        <w:rPr>
          <w:rFonts w:cs="Times New Roman"/>
          <w:lang w:val="fr-CA"/>
        </w:rPr>
        <w:t>il ne les a pas consultés. Les inculpés n</w:t>
      </w:r>
      <w:r w:rsidR="007B571E">
        <w:rPr>
          <w:rFonts w:cs="Times New Roman"/>
          <w:lang w:val="fr-CA"/>
        </w:rPr>
        <w:t>’</w:t>
      </w:r>
      <w:r>
        <w:rPr>
          <w:rFonts w:cs="Times New Roman"/>
          <w:lang w:val="fr-CA"/>
        </w:rPr>
        <w:t>ont pas démontré qu</w:t>
      </w:r>
      <w:r w:rsidR="007B571E">
        <w:rPr>
          <w:rFonts w:cs="Times New Roman"/>
          <w:lang w:val="fr-CA"/>
        </w:rPr>
        <w:t>’</w:t>
      </w:r>
      <w:r>
        <w:rPr>
          <w:rFonts w:cs="Times New Roman"/>
          <w:lang w:val="fr-CA"/>
        </w:rPr>
        <w:t>il était déraisonnable de sa part de se fier aux renseignements qu</w:t>
      </w:r>
      <w:r w:rsidR="007B571E">
        <w:rPr>
          <w:rFonts w:cs="Times New Roman"/>
          <w:lang w:val="fr-CA"/>
        </w:rPr>
        <w:t>’</w:t>
      </w:r>
      <w:r>
        <w:rPr>
          <w:rFonts w:cs="Times New Roman"/>
          <w:lang w:val="fr-CA"/>
        </w:rPr>
        <w:t>il avait reçus de l</w:t>
      </w:r>
      <w:r w:rsidR="007B571E">
        <w:rPr>
          <w:rFonts w:cs="Times New Roman"/>
          <w:lang w:val="fr-CA"/>
        </w:rPr>
        <w:t>’</w:t>
      </w:r>
      <w:r>
        <w:rPr>
          <w:rFonts w:cs="Times New Roman"/>
          <w:lang w:val="fr-CA"/>
        </w:rPr>
        <w:t>INT et d</w:t>
      </w:r>
      <w:r w:rsidR="007B571E">
        <w:rPr>
          <w:rFonts w:cs="Times New Roman"/>
          <w:lang w:val="fr-CA"/>
        </w:rPr>
        <w:t>’</w:t>
      </w:r>
      <w:r>
        <w:rPr>
          <w:rFonts w:cs="Times New Roman"/>
          <w:lang w:val="fr-CA"/>
        </w:rPr>
        <w:t>autres agents. En outre, accepter l</w:t>
      </w:r>
      <w:r w:rsidR="007B571E">
        <w:rPr>
          <w:rFonts w:cs="Times New Roman"/>
          <w:lang w:val="fr-CA"/>
        </w:rPr>
        <w:t>’</w:t>
      </w:r>
      <w:r>
        <w:rPr>
          <w:rFonts w:cs="Times New Roman"/>
          <w:lang w:val="fr-CA"/>
        </w:rPr>
        <w:t>argument selon lequel la pertinence des documents de l</w:t>
      </w:r>
      <w:r w:rsidR="007B571E">
        <w:rPr>
          <w:rFonts w:cs="Times New Roman"/>
          <w:lang w:val="fr-CA"/>
        </w:rPr>
        <w:t>’</w:t>
      </w:r>
      <w:r>
        <w:rPr>
          <w:rFonts w:cs="Times New Roman"/>
          <w:lang w:val="fr-CA"/>
        </w:rPr>
        <w:t>INT doit être présumée en raison de la disparition ou de l</w:t>
      </w:r>
      <w:r w:rsidR="007B571E">
        <w:rPr>
          <w:rFonts w:cs="Times New Roman"/>
          <w:lang w:val="fr-CA"/>
        </w:rPr>
        <w:t>’</w:t>
      </w:r>
      <w:r>
        <w:rPr>
          <w:rFonts w:cs="Times New Roman"/>
          <w:lang w:val="fr-CA"/>
        </w:rPr>
        <w:t>absence des documents de la partie principale signifierait un changement important du cadre d</w:t>
      </w:r>
      <w:r w:rsidR="007B571E">
        <w:rPr>
          <w:rFonts w:cs="Times New Roman"/>
          <w:lang w:val="fr-CA"/>
        </w:rPr>
        <w:t>’</w:t>
      </w:r>
      <w:r>
        <w:rPr>
          <w:rFonts w:cs="Times New Roman"/>
          <w:lang w:val="fr-CA"/>
        </w:rPr>
        <w:t>analyse établi dans l</w:t>
      </w:r>
      <w:r w:rsidR="007B571E">
        <w:rPr>
          <w:rFonts w:cs="Times New Roman"/>
          <w:lang w:val="fr-CA"/>
        </w:rPr>
        <w:t>’</w:t>
      </w:r>
      <w:r>
        <w:rPr>
          <w:rFonts w:cs="Times New Roman"/>
          <w:lang w:val="fr-CA"/>
        </w:rPr>
        <w:t xml:space="preserve">arrêt </w:t>
      </w:r>
      <w:proofErr w:type="spellStart"/>
      <w:r>
        <w:rPr>
          <w:rFonts w:cs="Times New Roman"/>
          <w:i/>
          <w:lang w:val="fr-CA"/>
        </w:rPr>
        <w:t>O</w:t>
      </w:r>
      <w:r w:rsidR="007B571E">
        <w:rPr>
          <w:rFonts w:cs="Times New Roman"/>
          <w:i/>
          <w:lang w:val="fr-CA"/>
        </w:rPr>
        <w:t>’</w:t>
      </w:r>
      <w:r>
        <w:rPr>
          <w:rFonts w:cs="Times New Roman"/>
          <w:i/>
          <w:lang w:val="fr-CA"/>
        </w:rPr>
        <w:t>Connor</w:t>
      </w:r>
      <w:proofErr w:type="spellEnd"/>
      <w:r>
        <w:rPr>
          <w:rFonts w:cs="Times New Roman"/>
          <w:lang w:val="fr-CA"/>
        </w:rPr>
        <w:t>. Un tel changement n</w:t>
      </w:r>
      <w:r w:rsidR="007B571E">
        <w:rPr>
          <w:rFonts w:cs="Times New Roman"/>
          <w:lang w:val="fr-CA"/>
        </w:rPr>
        <w:t>’</w:t>
      </w:r>
      <w:r>
        <w:rPr>
          <w:rFonts w:cs="Times New Roman"/>
          <w:lang w:val="fr-CA"/>
        </w:rPr>
        <w:t>est pas nécessaire. Lorsque des renseignements manquent, il doit être remédié à ce manque selon le cadre établi dans l</w:t>
      </w:r>
      <w:r w:rsidR="007B571E">
        <w:rPr>
          <w:rFonts w:cs="Times New Roman"/>
          <w:lang w:val="fr-CA"/>
        </w:rPr>
        <w:t>’</w:t>
      </w:r>
      <w:r>
        <w:rPr>
          <w:rFonts w:cs="Times New Roman"/>
          <w:lang w:val="fr-CA"/>
        </w:rPr>
        <w:t xml:space="preserve">arrêt </w:t>
      </w:r>
      <w:r>
        <w:rPr>
          <w:rFonts w:cs="Times New Roman"/>
          <w:i/>
          <w:lang w:val="fr-CA"/>
        </w:rPr>
        <w:t>R.</w:t>
      </w:r>
      <w:r w:rsidR="00FB73B5">
        <w:rPr>
          <w:rFonts w:cs="Times New Roman"/>
          <w:i/>
          <w:lang w:val="fr-CA"/>
        </w:rPr>
        <w:t xml:space="preserve"> </w:t>
      </w:r>
      <w:r>
        <w:rPr>
          <w:rFonts w:cs="Times New Roman"/>
          <w:i/>
          <w:lang w:val="fr-CA"/>
        </w:rPr>
        <w:t>c.</w:t>
      </w:r>
      <w:r w:rsidR="00FB73B5">
        <w:rPr>
          <w:rFonts w:cs="Times New Roman"/>
          <w:i/>
          <w:lang w:val="fr-CA"/>
        </w:rPr>
        <w:t xml:space="preserve"> </w:t>
      </w:r>
      <w:r>
        <w:rPr>
          <w:rFonts w:cs="Times New Roman"/>
          <w:i/>
          <w:lang w:val="fr-CA"/>
        </w:rPr>
        <w:t>La</w:t>
      </w:r>
      <w:r>
        <w:rPr>
          <w:rFonts w:cs="Times New Roman"/>
          <w:lang w:val="fr-CA"/>
        </w:rPr>
        <w:t xml:space="preserve">, [1997] 2 </w:t>
      </w:r>
      <w:r w:rsidR="005B2B4A">
        <w:rPr>
          <w:rFonts w:cs="Times New Roman"/>
          <w:lang w:val="fr-CA"/>
        </w:rPr>
        <w:t>R.C.</w:t>
      </w:r>
      <w:r>
        <w:rPr>
          <w:rFonts w:cs="Times New Roman"/>
          <w:lang w:val="fr-CA"/>
        </w:rPr>
        <w:t>S. 680, et il se pourrait très bien que ce soit le bon moyen de redresser le préjudice, s</w:t>
      </w:r>
      <w:r w:rsidR="007B571E">
        <w:rPr>
          <w:rFonts w:cs="Times New Roman"/>
          <w:lang w:val="fr-CA"/>
        </w:rPr>
        <w:t>’</w:t>
      </w:r>
      <w:r>
        <w:rPr>
          <w:rFonts w:cs="Times New Roman"/>
          <w:lang w:val="fr-CA"/>
        </w:rPr>
        <w:t>il en est, découlant des immunités invoquées par le Groupe</w:t>
      </w:r>
      <w:r w:rsidR="00746D79" w:rsidRPr="00746D79">
        <w:rPr>
          <w:rFonts w:cs="Times New Roman"/>
          <w:lang w:val="fr-CA"/>
        </w:rPr>
        <w:t xml:space="preserve"> </w:t>
      </w:r>
      <w:r w:rsidR="00746D79">
        <w:rPr>
          <w:rFonts w:cs="Times New Roman"/>
          <w:lang w:val="fr-CA"/>
        </w:rPr>
        <w:t>de la Banque mondiale</w:t>
      </w:r>
      <w:r>
        <w:rPr>
          <w:rFonts w:cs="Times New Roman"/>
          <w:lang w:val="fr-CA"/>
        </w:rPr>
        <w:t>. Les inculpés n</w:t>
      </w:r>
      <w:r w:rsidR="007B571E">
        <w:rPr>
          <w:rFonts w:cs="Times New Roman"/>
          <w:lang w:val="fr-CA"/>
        </w:rPr>
        <w:t>’</w:t>
      </w:r>
      <w:r>
        <w:rPr>
          <w:rFonts w:cs="Times New Roman"/>
          <w:lang w:val="fr-CA"/>
        </w:rPr>
        <w:t xml:space="preserve">ont pas soulevé ces questions devant </w:t>
      </w:r>
      <w:r w:rsidR="00392523">
        <w:rPr>
          <w:rFonts w:cs="Times New Roman"/>
          <w:lang w:val="fr-CA"/>
        </w:rPr>
        <w:t>la Cour</w:t>
      </w:r>
      <w:r>
        <w:rPr>
          <w:rFonts w:cs="Times New Roman"/>
          <w:lang w:val="fr-CA"/>
        </w:rPr>
        <w:t>, et il convient d</w:t>
      </w:r>
      <w:r w:rsidR="007B571E">
        <w:rPr>
          <w:rFonts w:cs="Times New Roman"/>
          <w:lang w:val="fr-CA"/>
        </w:rPr>
        <w:t>’</w:t>
      </w:r>
      <w:r>
        <w:rPr>
          <w:rFonts w:cs="Times New Roman"/>
          <w:lang w:val="fr-CA"/>
        </w:rPr>
        <w:t>en laisser l</w:t>
      </w:r>
      <w:r w:rsidR="007B571E">
        <w:rPr>
          <w:rFonts w:cs="Times New Roman"/>
          <w:lang w:val="fr-CA"/>
        </w:rPr>
        <w:t>’</w:t>
      </w:r>
      <w:r>
        <w:rPr>
          <w:rFonts w:cs="Times New Roman"/>
          <w:lang w:val="fr-CA"/>
        </w:rPr>
        <w:t>appréciation au juge du procès.</w:t>
      </w:r>
    </w:p>
    <w:p w:rsidR="004D7D95" w:rsidRPr="001F05E9" w:rsidRDefault="004D7D95" w:rsidP="003C0B54">
      <w:pPr>
        <w:pStyle w:val="SCCNormalDoubleSpacing"/>
        <w:widowControl w:val="0"/>
        <w:spacing w:before="480" w:after="480"/>
        <w:rPr>
          <w:lang w:val="fr-CA"/>
        </w:rPr>
      </w:pPr>
      <w:r w:rsidRPr="004D7D95">
        <w:rPr>
          <w:b/>
          <w:lang w:val="fr-CA"/>
        </w:rPr>
        <w:t>Jurisprudence</w:t>
      </w:r>
    </w:p>
    <w:p w:rsidR="007C1406" w:rsidRPr="00292F33" w:rsidRDefault="004D7D95" w:rsidP="003C0B54">
      <w:pPr>
        <w:pStyle w:val="SCCNormalDoubleSpacing"/>
        <w:widowControl w:val="0"/>
        <w:spacing w:before="480" w:after="480"/>
      </w:pPr>
      <w:r w:rsidRPr="004D7D95">
        <w:rPr>
          <w:lang w:val="fr-CA"/>
        </w:rPr>
        <w:tab/>
      </w:r>
      <w:r w:rsidR="00CD2622" w:rsidRPr="00CD2622">
        <w:rPr>
          <w:b/>
          <w:lang w:val="fr-CA"/>
        </w:rPr>
        <w:t>D</w:t>
      </w:r>
      <w:r w:rsidR="00CD2622" w:rsidRPr="00CD2622">
        <w:rPr>
          <w:b/>
          <w:szCs w:val="24"/>
          <w:lang w:val="fr-CA"/>
        </w:rPr>
        <w:t>istinction d</w:t>
      </w:r>
      <w:r w:rsidR="007B571E">
        <w:rPr>
          <w:b/>
          <w:szCs w:val="24"/>
          <w:lang w:val="fr-CA"/>
        </w:rPr>
        <w:t>’</w:t>
      </w:r>
      <w:r w:rsidR="00CD2622" w:rsidRPr="00CD2622">
        <w:rPr>
          <w:b/>
          <w:szCs w:val="24"/>
          <w:lang w:val="fr-CA"/>
        </w:rPr>
        <w:t>avec l</w:t>
      </w:r>
      <w:r w:rsidR="007B571E">
        <w:rPr>
          <w:b/>
          <w:szCs w:val="24"/>
          <w:lang w:val="fr-CA"/>
        </w:rPr>
        <w:t>’</w:t>
      </w:r>
      <w:r w:rsidR="00CD2622" w:rsidRPr="00CD2622">
        <w:rPr>
          <w:b/>
          <w:szCs w:val="24"/>
          <w:lang w:val="fr-CA"/>
        </w:rPr>
        <w:t>arrêt :</w:t>
      </w:r>
      <w:r w:rsidR="00CD2622">
        <w:rPr>
          <w:lang w:val="fr-CA"/>
        </w:rPr>
        <w:t xml:space="preserve"> </w:t>
      </w:r>
      <w:proofErr w:type="spellStart"/>
      <w:r w:rsidR="00CD2622" w:rsidRPr="00292F33">
        <w:rPr>
          <w:i/>
          <w:lang w:val="fr-CA"/>
        </w:rPr>
        <w:t>Sparling</w:t>
      </w:r>
      <w:proofErr w:type="spellEnd"/>
      <w:r w:rsidR="00CD2622" w:rsidRPr="00292F33">
        <w:rPr>
          <w:i/>
          <w:lang w:val="fr-CA"/>
        </w:rPr>
        <w:t xml:space="preserve"> c. Québec (Caisse de dépôt et placement</w:t>
      </w:r>
      <w:r w:rsidR="00B15CCB">
        <w:rPr>
          <w:i/>
          <w:lang w:val="fr-CA"/>
        </w:rPr>
        <w:t xml:space="preserve"> du Québec</w:t>
      </w:r>
      <w:r w:rsidR="00CD2622" w:rsidRPr="00292F33">
        <w:rPr>
          <w:i/>
          <w:lang w:val="fr-CA"/>
        </w:rPr>
        <w:t>)</w:t>
      </w:r>
      <w:r w:rsidR="00CD2622" w:rsidRPr="00292F33">
        <w:rPr>
          <w:lang w:val="fr-CA"/>
        </w:rPr>
        <w:t xml:space="preserve">, [1988] 2 </w:t>
      </w:r>
      <w:r w:rsidR="00CD2622" w:rsidRPr="00003626">
        <w:rPr>
          <w:lang w:val="fr-CA"/>
        </w:rPr>
        <w:t xml:space="preserve">R.C.S. </w:t>
      </w:r>
      <w:r w:rsidR="00CD2622" w:rsidRPr="00292F33">
        <w:rPr>
          <w:lang w:val="fr-CA"/>
        </w:rPr>
        <w:t xml:space="preserve">1015; </w:t>
      </w:r>
      <w:r w:rsidR="00CD2622" w:rsidRPr="008965D8">
        <w:rPr>
          <w:b/>
          <w:szCs w:val="24"/>
          <w:lang w:val="fr-CA"/>
        </w:rPr>
        <w:t>arrêts appliqués :</w:t>
      </w:r>
      <w:r w:rsidR="00CD2622" w:rsidRPr="008965D8">
        <w:rPr>
          <w:szCs w:val="24"/>
          <w:lang w:val="fr-CA"/>
        </w:rPr>
        <w:t xml:space="preserve"> </w:t>
      </w:r>
      <w:r w:rsidR="00CD2622" w:rsidRPr="00292F33">
        <w:rPr>
          <w:i/>
          <w:lang w:val="fr-CA"/>
        </w:rPr>
        <w:t xml:space="preserve">R. c. </w:t>
      </w:r>
      <w:proofErr w:type="spellStart"/>
      <w:r w:rsidR="00CD2622" w:rsidRPr="00292F33">
        <w:rPr>
          <w:i/>
          <w:lang w:val="fr-CA"/>
        </w:rPr>
        <w:t>Garofoli</w:t>
      </w:r>
      <w:proofErr w:type="spellEnd"/>
      <w:r w:rsidR="00CD2622" w:rsidRPr="00292F33">
        <w:rPr>
          <w:lang w:val="fr-CA"/>
        </w:rPr>
        <w:t xml:space="preserve">, [1990] 2 </w:t>
      </w:r>
      <w:r w:rsidR="00CD2622" w:rsidRPr="00003626">
        <w:rPr>
          <w:lang w:val="fr-CA"/>
        </w:rPr>
        <w:t xml:space="preserve">R.C.S. </w:t>
      </w:r>
      <w:r w:rsidR="00CD2622" w:rsidRPr="00292F33">
        <w:rPr>
          <w:lang w:val="fr-CA"/>
        </w:rPr>
        <w:t xml:space="preserve">1421; </w:t>
      </w:r>
      <w:r w:rsidR="00CD2622" w:rsidRPr="00292F33">
        <w:rPr>
          <w:i/>
          <w:lang w:val="fr-CA"/>
        </w:rPr>
        <w:t xml:space="preserve">R. c. </w:t>
      </w:r>
      <w:proofErr w:type="spellStart"/>
      <w:r w:rsidR="00CD2622" w:rsidRPr="00292F33">
        <w:rPr>
          <w:i/>
          <w:lang w:val="fr-CA"/>
        </w:rPr>
        <w:t>O</w:t>
      </w:r>
      <w:r w:rsidR="007B571E">
        <w:rPr>
          <w:i/>
          <w:lang w:val="fr-CA"/>
        </w:rPr>
        <w:t>’</w:t>
      </w:r>
      <w:r w:rsidR="00CD2622" w:rsidRPr="00292F33">
        <w:rPr>
          <w:i/>
          <w:lang w:val="fr-CA"/>
        </w:rPr>
        <w:t>Connor</w:t>
      </w:r>
      <w:proofErr w:type="spellEnd"/>
      <w:r w:rsidR="00CD2622" w:rsidRPr="00292F33">
        <w:rPr>
          <w:lang w:val="fr-CA"/>
        </w:rPr>
        <w:t xml:space="preserve">, [1995] 4 </w:t>
      </w:r>
      <w:r w:rsidR="00CD2622" w:rsidRPr="00003626">
        <w:rPr>
          <w:lang w:val="fr-CA"/>
        </w:rPr>
        <w:t xml:space="preserve">R.C.S. </w:t>
      </w:r>
      <w:r w:rsidR="00CD2622" w:rsidRPr="00292F33">
        <w:rPr>
          <w:lang w:val="fr-CA"/>
        </w:rPr>
        <w:t xml:space="preserve">411; </w:t>
      </w:r>
      <w:r w:rsidR="00CD2622">
        <w:rPr>
          <w:b/>
          <w:lang w:val="fr-CA"/>
        </w:rPr>
        <w:t>a</w:t>
      </w:r>
      <w:r w:rsidRPr="004D7D95">
        <w:rPr>
          <w:b/>
          <w:lang w:val="fr-CA"/>
        </w:rPr>
        <w:t>rrêts mentionnés</w:t>
      </w:r>
      <w:r w:rsidR="00FB73B5">
        <w:rPr>
          <w:b/>
          <w:lang w:val="fr-CA"/>
        </w:rPr>
        <w:t> :</w:t>
      </w:r>
      <w:r w:rsidRPr="004D7D95">
        <w:rPr>
          <w:lang w:val="fr-CA"/>
        </w:rPr>
        <w:t xml:space="preserve"> </w:t>
      </w:r>
      <w:proofErr w:type="spellStart"/>
      <w:r w:rsidR="00003626" w:rsidRPr="00003626">
        <w:rPr>
          <w:i/>
          <w:lang w:val="fr-CA"/>
        </w:rPr>
        <w:t>Amaratunga</w:t>
      </w:r>
      <w:proofErr w:type="spellEnd"/>
      <w:r w:rsidR="00003626" w:rsidRPr="00003626">
        <w:rPr>
          <w:i/>
          <w:lang w:val="fr-CA"/>
        </w:rPr>
        <w:t xml:space="preserve"> c. Organisation des pêches de l</w:t>
      </w:r>
      <w:r w:rsidR="007B571E">
        <w:rPr>
          <w:i/>
          <w:lang w:val="fr-CA"/>
        </w:rPr>
        <w:t>’</w:t>
      </w:r>
      <w:r w:rsidR="00003626" w:rsidRPr="00003626">
        <w:rPr>
          <w:i/>
          <w:lang w:val="fr-CA"/>
        </w:rPr>
        <w:t>Atlantique Nord</w:t>
      </w:r>
      <w:r w:rsidR="00FB73B5">
        <w:rPr>
          <w:i/>
          <w:lang w:val="fr-CA"/>
        </w:rPr>
        <w:noBreakHyphen/>
      </w:r>
      <w:r w:rsidR="00003626" w:rsidRPr="00003626">
        <w:rPr>
          <w:i/>
          <w:lang w:val="fr-CA"/>
        </w:rPr>
        <w:t>Ouest</w:t>
      </w:r>
      <w:r w:rsidR="00003626" w:rsidRPr="00003626">
        <w:rPr>
          <w:lang w:val="fr-CA"/>
        </w:rPr>
        <w:t>, 2013 CSC 66, [2013] 3 R.C.S. 866</w:t>
      </w:r>
      <w:r w:rsidR="00003626">
        <w:rPr>
          <w:lang w:val="fr-CA"/>
        </w:rPr>
        <w:t xml:space="preserve">; </w:t>
      </w:r>
      <w:proofErr w:type="spellStart"/>
      <w:r w:rsidR="00003626" w:rsidRPr="00292F33">
        <w:rPr>
          <w:i/>
          <w:lang w:val="fr-CA"/>
        </w:rPr>
        <w:t>Dagenais</w:t>
      </w:r>
      <w:proofErr w:type="spellEnd"/>
      <w:r w:rsidR="00003626" w:rsidRPr="00292F33">
        <w:rPr>
          <w:i/>
          <w:lang w:val="fr-CA"/>
        </w:rPr>
        <w:t xml:space="preserve"> c. Société Radio</w:t>
      </w:r>
      <w:r w:rsidR="00FB73B5">
        <w:rPr>
          <w:i/>
          <w:lang w:val="fr-CA"/>
        </w:rPr>
        <w:noBreakHyphen/>
      </w:r>
      <w:r w:rsidR="00003626" w:rsidRPr="00292F33">
        <w:rPr>
          <w:i/>
          <w:lang w:val="fr-CA"/>
        </w:rPr>
        <w:t>Canada</w:t>
      </w:r>
      <w:r w:rsidR="00003626" w:rsidRPr="00292F33">
        <w:rPr>
          <w:lang w:val="fr-CA"/>
        </w:rPr>
        <w:t xml:space="preserve">, [1994] 3 </w:t>
      </w:r>
      <w:r w:rsidR="00003626" w:rsidRPr="00003626">
        <w:rPr>
          <w:lang w:val="fr-CA"/>
        </w:rPr>
        <w:t xml:space="preserve">R.C.S. </w:t>
      </w:r>
      <w:r w:rsidR="00003626" w:rsidRPr="00292F33">
        <w:rPr>
          <w:lang w:val="fr-CA"/>
        </w:rPr>
        <w:t xml:space="preserve">835; </w:t>
      </w:r>
      <w:r w:rsidR="00C00B9A" w:rsidRPr="00292F33">
        <w:rPr>
          <w:i/>
          <w:lang w:val="fr-CA"/>
        </w:rPr>
        <w:t>A. (L.L.) c. B. (A.)</w:t>
      </w:r>
      <w:r w:rsidR="00C00B9A" w:rsidRPr="00292F33">
        <w:rPr>
          <w:lang w:val="fr-CA"/>
        </w:rPr>
        <w:t xml:space="preserve">, [1995] 4 R.C.S. 536; </w:t>
      </w:r>
      <w:r w:rsidR="00FE14E1" w:rsidRPr="00292F33">
        <w:rPr>
          <w:i/>
          <w:lang w:val="fr-CA"/>
        </w:rPr>
        <w:t>R. c. Pires</w:t>
      </w:r>
      <w:r w:rsidR="00FE14E1" w:rsidRPr="00292F33">
        <w:rPr>
          <w:lang w:val="fr-CA"/>
        </w:rPr>
        <w:t xml:space="preserve">, 2005 CSC 66, [2005] 3 R.C.S. 343; </w:t>
      </w:r>
      <w:r w:rsidR="00114F21" w:rsidRPr="00292F33">
        <w:rPr>
          <w:i/>
          <w:lang w:val="fr-CA"/>
        </w:rPr>
        <w:t xml:space="preserve">Law Society of British Columbia c. </w:t>
      </w:r>
      <w:proofErr w:type="spellStart"/>
      <w:r w:rsidR="00114F21" w:rsidRPr="00292F33">
        <w:rPr>
          <w:i/>
          <w:lang w:val="fr-CA"/>
        </w:rPr>
        <w:t>Mangat</w:t>
      </w:r>
      <w:proofErr w:type="spellEnd"/>
      <w:r w:rsidR="00114F21" w:rsidRPr="00292F33">
        <w:rPr>
          <w:lang w:val="fr-CA"/>
        </w:rPr>
        <w:t>, C.S.C., n</w:t>
      </w:r>
      <w:r w:rsidR="00114F21" w:rsidRPr="00292F33">
        <w:rPr>
          <w:vertAlign w:val="superscript"/>
          <w:lang w:val="fr-CA"/>
        </w:rPr>
        <w:t>o</w:t>
      </w:r>
      <w:r w:rsidR="00292F33">
        <w:rPr>
          <w:lang w:val="fr-CA"/>
        </w:rPr>
        <w:t> </w:t>
      </w:r>
      <w:r w:rsidR="00114F21" w:rsidRPr="00292F33">
        <w:rPr>
          <w:lang w:val="fr-CA"/>
        </w:rPr>
        <w:t>27108, 31 août 2000 (</w:t>
      </w:r>
      <w:r w:rsidR="00114F21" w:rsidRPr="00292F33">
        <w:rPr>
          <w:i/>
          <w:lang w:val="fr-CA"/>
        </w:rPr>
        <w:t>Bulletin des procédures</w:t>
      </w:r>
      <w:r w:rsidR="00114F21" w:rsidRPr="00292F33">
        <w:rPr>
          <w:lang w:val="fr-CA"/>
        </w:rPr>
        <w:t xml:space="preserve">, </w:t>
      </w:r>
      <w:r w:rsidR="00292F33">
        <w:rPr>
          <w:lang w:val="fr-CA"/>
        </w:rPr>
        <w:t>29 </w:t>
      </w:r>
      <w:r w:rsidR="00114F21" w:rsidRPr="00292F33">
        <w:rPr>
          <w:lang w:val="fr-CA"/>
        </w:rPr>
        <w:t xml:space="preserve">septembre 2000, </w:t>
      </w:r>
      <w:r w:rsidR="00FB73B5">
        <w:rPr>
          <w:lang w:val="fr-CA"/>
        </w:rPr>
        <w:t>p. </w:t>
      </w:r>
      <w:r w:rsidR="00114F21" w:rsidRPr="00292F33">
        <w:rPr>
          <w:lang w:val="fr-CA"/>
        </w:rPr>
        <w:t xml:space="preserve">1542); </w:t>
      </w:r>
      <w:proofErr w:type="spellStart"/>
      <w:r w:rsidR="00114F21" w:rsidRPr="00292F33">
        <w:rPr>
          <w:i/>
          <w:lang w:val="fr-CA"/>
        </w:rPr>
        <w:t>Taypotat</w:t>
      </w:r>
      <w:proofErr w:type="spellEnd"/>
      <w:r w:rsidR="00114F21" w:rsidRPr="00292F33">
        <w:rPr>
          <w:i/>
          <w:lang w:val="fr-CA"/>
        </w:rPr>
        <w:t xml:space="preserve"> c. </w:t>
      </w:r>
      <w:proofErr w:type="spellStart"/>
      <w:r w:rsidR="00114F21" w:rsidRPr="00292F33">
        <w:rPr>
          <w:i/>
          <w:lang w:val="fr-CA"/>
        </w:rPr>
        <w:t>Taypotat</w:t>
      </w:r>
      <w:proofErr w:type="spellEnd"/>
      <w:r w:rsidR="00114F21" w:rsidRPr="00292F33">
        <w:rPr>
          <w:lang w:val="fr-CA"/>
        </w:rPr>
        <w:t>, C.S.C., n</w:t>
      </w:r>
      <w:r w:rsidR="00114F21" w:rsidRPr="00292F33">
        <w:rPr>
          <w:vertAlign w:val="superscript"/>
          <w:lang w:val="fr-CA"/>
        </w:rPr>
        <w:t>o</w:t>
      </w:r>
      <w:r w:rsidR="00292F33">
        <w:rPr>
          <w:lang w:val="fr-CA"/>
        </w:rPr>
        <w:t> </w:t>
      </w:r>
      <w:r w:rsidR="00114F21" w:rsidRPr="00292F33">
        <w:rPr>
          <w:lang w:val="fr-CA"/>
        </w:rPr>
        <w:t>35518, 7</w:t>
      </w:r>
      <w:r w:rsidR="00FB73B5">
        <w:rPr>
          <w:lang w:val="fr-CA"/>
        </w:rPr>
        <w:t> </w:t>
      </w:r>
      <w:r w:rsidR="00114F21" w:rsidRPr="00292F33">
        <w:rPr>
          <w:lang w:val="fr-CA"/>
        </w:rPr>
        <w:t>août 2014 (</w:t>
      </w:r>
      <w:r w:rsidR="00114F21" w:rsidRPr="00292F33">
        <w:rPr>
          <w:i/>
          <w:lang w:val="fr-CA"/>
        </w:rPr>
        <w:t>Bulletin des procédures</w:t>
      </w:r>
      <w:r w:rsidR="00114F21" w:rsidRPr="00292F33">
        <w:rPr>
          <w:lang w:val="fr-CA"/>
        </w:rPr>
        <w:t>, 29</w:t>
      </w:r>
      <w:r w:rsidR="00292F33">
        <w:rPr>
          <w:lang w:val="fr-CA"/>
        </w:rPr>
        <w:t> </w:t>
      </w:r>
      <w:r w:rsidR="00114F21" w:rsidRPr="00292F33">
        <w:rPr>
          <w:lang w:val="fr-CA"/>
        </w:rPr>
        <w:t xml:space="preserve">août 2014, </w:t>
      </w:r>
      <w:r w:rsidR="00FB73B5">
        <w:rPr>
          <w:lang w:val="fr-CA"/>
        </w:rPr>
        <w:t>p. </w:t>
      </w:r>
      <w:r w:rsidR="00114F21" w:rsidRPr="00292F33">
        <w:rPr>
          <w:lang w:val="fr-CA"/>
        </w:rPr>
        <w:t xml:space="preserve">1292); </w:t>
      </w:r>
      <w:proofErr w:type="spellStart"/>
      <w:r w:rsidR="00C00B9A" w:rsidRPr="00292F33">
        <w:rPr>
          <w:i/>
          <w:lang w:val="fr-CA"/>
        </w:rPr>
        <w:t>Febles</w:t>
      </w:r>
      <w:proofErr w:type="spellEnd"/>
      <w:r w:rsidR="00C00B9A" w:rsidRPr="00292F33">
        <w:rPr>
          <w:i/>
          <w:lang w:val="fr-CA"/>
        </w:rPr>
        <w:t xml:space="preserve"> c. Canada (Citoyenneté et Immigration)</w:t>
      </w:r>
      <w:r w:rsidR="00C00B9A" w:rsidRPr="00292F33">
        <w:rPr>
          <w:lang w:val="fr-CA"/>
        </w:rPr>
        <w:t xml:space="preserve">, 2014 CSC 68, [2014] 3 R.C.S. 431; </w:t>
      </w:r>
      <w:r w:rsidR="00C00B9A" w:rsidRPr="00292F33">
        <w:rPr>
          <w:i/>
          <w:lang w:val="fr-CA"/>
        </w:rPr>
        <w:t>Thibodeau c. Air Canada</w:t>
      </w:r>
      <w:r w:rsidR="00C00B9A" w:rsidRPr="00292F33">
        <w:rPr>
          <w:lang w:val="fr-CA"/>
        </w:rPr>
        <w:t xml:space="preserve">, 2014 CSC 67, [2014] 3 R.C.S. 340; </w:t>
      </w:r>
      <w:proofErr w:type="spellStart"/>
      <w:r w:rsidR="007B7B36" w:rsidRPr="00292F33">
        <w:rPr>
          <w:i/>
          <w:lang w:val="fr-CA"/>
        </w:rPr>
        <w:t>Pushpanathan</w:t>
      </w:r>
      <w:proofErr w:type="spellEnd"/>
      <w:r w:rsidR="007B7B36" w:rsidRPr="00292F33">
        <w:rPr>
          <w:i/>
          <w:lang w:val="fr-CA"/>
        </w:rPr>
        <w:t xml:space="preserve"> c. Canada (Ministre de la Citoyenneté et de l</w:t>
      </w:r>
      <w:r w:rsidR="007B571E">
        <w:rPr>
          <w:i/>
          <w:lang w:val="fr-CA"/>
        </w:rPr>
        <w:t>’</w:t>
      </w:r>
      <w:r w:rsidR="007B7B36" w:rsidRPr="00292F33">
        <w:rPr>
          <w:i/>
          <w:lang w:val="fr-CA"/>
        </w:rPr>
        <w:t>Immigration)</w:t>
      </w:r>
      <w:r w:rsidR="007B7B36" w:rsidRPr="00292F33">
        <w:rPr>
          <w:lang w:val="fr-CA"/>
        </w:rPr>
        <w:t xml:space="preserve">, [1998] 1 R.C.S. 982; </w:t>
      </w:r>
      <w:r w:rsidR="007B7B36" w:rsidRPr="00292F33">
        <w:rPr>
          <w:i/>
          <w:lang w:val="fr-CA"/>
        </w:rPr>
        <w:t>Thomson c. Thomson</w:t>
      </w:r>
      <w:r w:rsidR="007B7B36" w:rsidRPr="00292F33">
        <w:rPr>
          <w:lang w:val="fr-CA"/>
        </w:rPr>
        <w:t xml:space="preserve">, [1994] 3 R.C.S. 551; </w:t>
      </w:r>
      <w:proofErr w:type="spellStart"/>
      <w:r w:rsidR="007B7B36" w:rsidRPr="00292F33">
        <w:rPr>
          <w:i/>
          <w:lang w:val="fr-CA"/>
        </w:rPr>
        <w:t>Rizzo</w:t>
      </w:r>
      <w:proofErr w:type="spellEnd"/>
      <w:r w:rsidR="007B7B36" w:rsidRPr="00292F33">
        <w:rPr>
          <w:i/>
          <w:lang w:val="fr-CA"/>
        </w:rPr>
        <w:t xml:space="preserve"> &amp; </w:t>
      </w:r>
      <w:proofErr w:type="spellStart"/>
      <w:r w:rsidR="007B7B36" w:rsidRPr="00292F33">
        <w:rPr>
          <w:i/>
          <w:lang w:val="fr-CA"/>
        </w:rPr>
        <w:t>Rizzo</w:t>
      </w:r>
      <w:proofErr w:type="spellEnd"/>
      <w:r w:rsidR="007B7B36" w:rsidRPr="00292F33">
        <w:rPr>
          <w:i/>
          <w:lang w:val="fr-CA"/>
        </w:rPr>
        <w:t xml:space="preserve"> </w:t>
      </w:r>
      <w:proofErr w:type="spellStart"/>
      <w:r w:rsidR="007B7B36" w:rsidRPr="00292F33">
        <w:rPr>
          <w:i/>
          <w:lang w:val="fr-CA"/>
        </w:rPr>
        <w:t>Shoes</w:t>
      </w:r>
      <w:proofErr w:type="spellEnd"/>
      <w:r w:rsidR="007B7B36" w:rsidRPr="00292F33">
        <w:rPr>
          <w:i/>
          <w:lang w:val="fr-CA"/>
        </w:rPr>
        <w:t xml:space="preserve"> Ltd. </w:t>
      </w:r>
      <w:r w:rsidR="007B7B36" w:rsidRPr="005A69CD">
        <w:rPr>
          <w:i/>
        </w:rPr>
        <w:t>(Re)</w:t>
      </w:r>
      <w:r w:rsidR="007B7B36" w:rsidRPr="00CE67F2">
        <w:t xml:space="preserve">, [1998] 1 </w:t>
      </w:r>
      <w:r w:rsidR="007B7B36" w:rsidRPr="007B7B36">
        <w:t>R.C</w:t>
      </w:r>
      <w:r w:rsidR="007B7B36" w:rsidRPr="00F24217">
        <w:t xml:space="preserve">.S. 27; </w:t>
      </w:r>
      <w:proofErr w:type="spellStart"/>
      <w:r w:rsidR="00EB71AA" w:rsidRPr="00F24217">
        <w:rPr>
          <w:i/>
        </w:rPr>
        <w:t>Scime</w:t>
      </w:r>
      <w:r w:rsidR="00F24217" w:rsidRPr="00F24217">
        <w:rPr>
          <w:i/>
        </w:rPr>
        <w:t>t</w:t>
      </w:r>
      <w:proofErr w:type="spellEnd"/>
      <w:r w:rsidR="00EB71AA" w:rsidRPr="00F24217">
        <w:rPr>
          <w:i/>
        </w:rPr>
        <w:t xml:space="preserve"> c. African Development Bank</w:t>
      </w:r>
      <w:r w:rsidR="00EB71AA" w:rsidRPr="00F24217">
        <w:t xml:space="preserve"> (1997), 128 I.L.R. 582; </w:t>
      </w:r>
      <w:r w:rsidR="007E4246" w:rsidRPr="004652FE">
        <w:rPr>
          <w:i/>
        </w:rPr>
        <w:t>Shearson Lehman Bros</w:t>
      </w:r>
      <w:r w:rsidR="00FC08A8">
        <w:rPr>
          <w:i/>
        </w:rPr>
        <w:t>.</w:t>
      </w:r>
      <w:r w:rsidR="007E4246" w:rsidRPr="000410B1">
        <w:rPr>
          <w:i/>
        </w:rPr>
        <w:t xml:space="preserve"> Inc. </w:t>
      </w:r>
      <w:r w:rsidR="007E4246">
        <w:rPr>
          <w:i/>
        </w:rPr>
        <w:t>c</w:t>
      </w:r>
      <w:r w:rsidR="007E4246" w:rsidRPr="000410B1">
        <w:rPr>
          <w:i/>
        </w:rPr>
        <w:t xml:space="preserve">. </w:t>
      </w:r>
      <w:proofErr w:type="spellStart"/>
      <w:r w:rsidR="007E4246" w:rsidRPr="000410B1">
        <w:rPr>
          <w:i/>
        </w:rPr>
        <w:t>Maclaine</w:t>
      </w:r>
      <w:proofErr w:type="spellEnd"/>
      <w:r w:rsidR="007E4246" w:rsidRPr="000410B1">
        <w:rPr>
          <w:i/>
        </w:rPr>
        <w:t xml:space="preserve"> Watson &amp; Co. (</w:t>
      </w:r>
      <w:r w:rsidR="00FB73B5">
        <w:rPr>
          <w:i/>
        </w:rPr>
        <w:t>No. </w:t>
      </w:r>
      <w:r w:rsidR="007E4246" w:rsidRPr="006A2441">
        <w:rPr>
          <w:i/>
        </w:rPr>
        <w:t>2)</w:t>
      </w:r>
      <w:r w:rsidR="007E4246" w:rsidRPr="006A2441">
        <w:t xml:space="preserve">, [1988] 1 </w:t>
      </w:r>
      <w:r w:rsidR="007E4246">
        <w:t>All E.R. 116</w:t>
      </w:r>
      <w:r w:rsidR="007E4246" w:rsidRPr="006A2441">
        <w:t xml:space="preserve">; </w:t>
      </w:r>
      <w:r w:rsidR="00EB71AA" w:rsidRPr="000410B1">
        <w:rPr>
          <w:i/>
        </w:rPr>
        <w:t>R. (</w:t>
      </w:r>
      <w:proofErr w:type="spellStart"/>
      <w:r w:rsidR="00EB71AA" w:rsidRPr="000410B1">
        <w:rPr>
          <w:i/>
        </w:rPr>
        <w:t>Bancoult</w:t>
      </w:r>
      <w:proofErr w:type="spellEnd"/>
      <w:r w:rsidR="00EB71AA" w:rsidRPr="000410B1">
        <w:rPr>
          <w:i/>
        </w:rPr>
        <w:t xml:space="preserve">) </w:t>
      </w:r>
      <w:r w:rsidR="00EB71AA">
        <w:rPr>
          <w:i/>
        </w:rPr>
        <w:t>c</w:t>
      </w:r>
      <w:r w:rsidR="00EB71AA" w:rsidRPr="000410B1">
        <w:rPr>
          <w:i/>
        </w:rPr>
        <w:t>. Secretary of State for Foreign and Commonwealth Affairs (</w:t>
      </w:r>
      <w:r w:rsidR="00FB73B5">
        <w:rPr>
          <w:i/>
        </w:rPr>
        <w:t>No. </w:t>
      </w:r>
      <w:r w:rsidR="00EB71AA" w:rsidRPr="000410B1">
        <w:rPr>
          <w:i/>
        </w:rPr>
        <w:t>3)</w:t>
      </w:r>
      <w:r w:rsidR="00EB71AA" w:rsidRPr="000410B1">
        <w:t xml:space="preserve">, [2014] EWCA </w:t>
      </w:r>
      <w:proofErr w:type="spellStart"/>
      <w:r w:rsidR="00EB71AA" w:rsidRPr="000410B1">
        <w:t>Civ</w:t>
      </w:r>
      <w:proofErr w:type="spellEnd"/>
      <w:r w:rsidR="00EB71AA" w:rsidRPr="000410B1">
        <w:t xml:space="preserve"> 708, [2014] 1 W.L.R. 2921</w:t>
      </w:r>
      <w:r w:rsidR="00EB71AA" w:rsidRPr="00F24217">
        <w:t xml:space="preserve">; </w:t>
      </w:r>
      <w:r w:rsidR="00EB71AA" w:rsidRPr="00F24217">
        <w:rPr>
          <w:i/>
        </w:rPr>
        <w:t>Taiwan c. United States District Court for the Northern District of California</w:t>
      </w:r>
      <w:r w:rsidR="00EB71AA" w:rsidRPr="00F24217">
        <w:t xml:space="preserve">, 128 F.3d 712 (1997); </w:t>
      </w:r>
      <w:r w:rsidR="00EB71AA" w:rsidRPr="00F24217">
        <w:rPr>
          <w:i/>
        </w:rPr>
        <w:t>Iraq c. Vinci Constructions</w:t>
      </w:r>
      <w:r w:rsidR="00EB71AA" w:rsidRPr="00F24217">
        <w:t xml:space="preserve"> (2002), 127 I.L.R. 101;</w:t>
      </w:r>
      <w:r w:rsidR="00EB71AA" w:rsidRPr="000410B1">
        <w:t xml:space="preserve"> </w:t>
      </w:r>
      <w:r w:rsidR="00EB71AA" w:rsidRPr="000410B1">
        <w:rPr>
          <w:i/>
        </w:rPr>
        <w:t>Owens, Re Application for Judicial Review</w:t>
      </w:r>
      <w:r w:rsidR="00EB71AA" w:rsidRPr="000410B1">
        <w:t xml:space="preserve">, [2015] NIQB 29; </w:t>
      </w:r>
      <w:r w:rsidR="00A41350" w:rsidRPr="005A69CD">
        <w:rPr>
          <w:i/>
        </w:rPr>
        <w:t xml:space="preserve">R. </w:t>
      </w:r>
      <w:r w:rsidR="00A41350">
        <w:rPr>
          <w:i/>
        </w:rPr>
        <w:t>c</w:t>
      </w:r>
      <w:r w:rsidR="00A41350" w:rsidRPr="005A69CD">
        <w:rPr>
          <w:i/>
        </w:rPr>
        <w:t>. McNeil</w:t>
      </w:r>
      <w:r w:rsidR="00A41350" w:rsidRPr="002675C8">
        <w:t xml:space="preserve">, 2009 </w:t>
      </w:r>
      <w:r w:rsidR="00A41350">
        <w:t>C</w:t>
      </w:r>
      <w:r w:rsidR="00A41350" w:rsidRPr="002675C8">
        <w:t xml:space="preserve">SC 3, [2009] 1 </w:t>
      </w:r>
      <w:r w:rsidR="00A41350" w:rsidRPr="007B7B36">
        <w:t xml:space="preserve">R.C.S. </w:t>
      </w:r>
      <w:r w:rsidR="00A41350" w:rsidRPr="002675C8">
        <w:t>66</w:t>
      </w:r>
      <w:r w:rsidR="00A41350">
        <w:t xml:space="preserve">; </w:t>
      </w:r>
      <w:r w:rsidR="007C1406" w:rsidRPr="005A69CD">
        <w:rPr>
          <w:i/>
        </w:rPr>
        <w:t xml:space="preserve">R. </w:t>
      </w:r>
      <w:r w:rsidR="007C1406">
        <w:rPr>
          <w:i/>
        </w:rPr>
        <w:t>c</w:t>
      </w:r>
      <w:r w:rsidR="007C1406" w:rsidRPr="005A69CD">
        <w:rPr>
          <w:i/>
        </w:rPr>
        <w:t xml:space="preserve">. </w:t>
      </w:r>
      <w:proofErr w:type="spellStart"/>
      <w:r w:rsidR="007C1406" w:rsidRPr="005A69CD">
        <w:rPr>
          <w:i/>
        </w:rPr>
        <w:t>Stinchcombe</w:t>
      </w:r>
      <w:proofErr w:type="spellEnd"/>
      <w:r w:rsidR="007C1406" w:rsidRPr="0050414D">
        <w:t xml:space="preserve">, [1991] 3 </w:t>
      </w:r>
      <w:r w:rsidR="007C1406" w:rsidRPr="007B7B36">
        <w:t xml:space="preserve">R.C.S. </w:t>
      </w:r>
      <w:r w:rsidR="007C1406" w:rsidRPr="0050414D">
        <w:t>326</w:t>
      </w:r>
      <w:r w:rsidR="007C1406">
        <w:t xml:space="preserve">; </w:t>
      </w:r>
      <w:r w:rsidR="007C1406" w:rsidRPr="005A69CD">
        <w:rPr>
          <w:i/>
        </w:rPr>
        <w:t xml:space="preserve">R. </w:t>
      </w:r>
      <w:r w:rsidR="007C1406">
        <w:rPr>
          <w:i/>
        </w:rPr>
        <w:t>c</w:t>
      </w:r>
      <w:r w:rsidR="007C1406" w:rsidRPr="005A69CD">
        <w:rPr>
          <w:i/>
        </w:rPr>
        <w:t>. Duarte</w:t>
      </w:r>
      <w:r w:rsidR="007C1406" w:rsidRPr="002675C8">
        <w:t xml:space="preserve">, [1990] 1 </w:t>
      </w:r>
      <w:r w:rsidR="007C1406" w:rsidRPr="007B7B36">
        <w:t xml:space="preserve">R.C.S. </w:t>
      </w:r>
      <w:r w:rsidR="007C1406" w:rsidRPr="002675C8">
        <w:t>30</w:t>
      </w:r>
      <w:r w:rsidR="007C1406">
        <w:t xml:space="preserve">; </w:t>
      </w:r>
      <w:r w:rsidR="00955B2A">
        <w:rPr>
          <w:i/>
        </w:rPr>
        <w:t>R. c</w:t>
      </w:r>
      <w:r w:rsidR="00955B2A" w:rsidRPr="001425AA">
        <w:rPr>
          <w:i/>
        </w:rPr>
        <w:t>. Araujo</w:t>
      </w:r>
      <w:r w:rsidR="00955B2A" w:rsidRPr="001425AA">
        <w:t xml:space="preserve">, 2000 </w:t>
      </w:r>
      <w:r w:rsidR="00955B2A">
        <w:t>C</w:t>
      </w:r>
      <w:r w:rsidR="00955B2A" w:rsidRPr="001425AA">
        <w:t xml:space="preserve">SC 65, [2000] 2 </w:t>
      </w:r>
      <w:r w:rsidR="00955B2A">
        <w:t>R.C.</w:t>
      </w:r>
      <w:r w:rsidR="00955B2A" w:rsidRPr="001425AA">
        <w:t xml:space="preserve">S. 992; </w:t>
      </w:r>
      <w:r w:rsidR="00955B2A" w:rsidRPr="001425AA">
        <w:rPr>
          <w:i/>
        </w:rPr>
        <w:t xml:space="preserve">R. </w:t>
      </w:r>
      <w:r w:rsidR="00955B2A">
        <w:rPr>
          <w:i/>
        </w:rPr>
        <w:t>c</w:t>
      </w:r>
      <w:r w:rsidR="00955B2A" w:rsidRPr="001425AA">
        <w:rPr>
          <w:i/>
        </w:rPr>
        <w:t>. Grant</w:t>
      </w:r>
      <w:r w:rsidR="00955B2A" w:rsidRPr="001425AA">
        <w:t xml:space="preserve">, [1993] 3 </w:t>
      </w:r>
      <w:r w:rsidR="00955B2A">
        <w:t>R.C.</w:t>
      </w:r>
      <w:r w:rsidR="00955B2A" w:rsidRPr="001425AA">
        <w:t xml:space="preserve">S. 223; </w:t>
      </w:r>
      <w:r w:rsidR="00955B2A" w:rsidRPr="001425AA">
        <w:rPr>
          <w:i/>
        </w:rPr>
        <w:t xml:space="preserve">R. </w:t>
      </w:r>
      <w:r w:rsidR="00955B2A">
        <w:rPr>
          <w:i/>
        </w:rPr>
        <w:t>c</w:t>
      </w:r>
      <w:r w:rsidR="00955B2A" w:rsidRPr="001425AA">
        <w:rPr>
          <w:i/>
        </w:rPr>
        <w:t xml:space="preserve">. </w:t>
      </w:r>
      <w:proofErr w:type="spellStart"/>
      <w:r w:rsidR="00955B2A" w:rsidRPr="001425AA">
        <w:rPr>
          <w:i/>
        </w:rPr>
        <w:t>Sipes</w:t>
      </w:r>
      <w:proofErr w:type="spellEnd"/>
      <w:r w:rsidR="00955B2A" w:rsidRPr="001425AA">
        <w:t xml:space="preserve">, 2009 BCSC 612; </w:t>
      </w:r>
      <w:r w:rsidR="00955B2A" w:rsidRPr="001425AA">
        <w:rPr>
          <w:i/>
        </w:rPr>
        <w:t xml:space="preserve">R. </w:t>
      </w:r>
      <w:r w:rsidR="00955B2A">
        <w:rPr>
          <w:i/>
        </w:rPr>
        <w:t>c</w:t>
      </w:r>
      <w:r w:rsidR="00955B2A" w:rsidRPr="001425AA">
        <w:rPr>
          <w:i/>
        </w:rPr>
        <w:t>. McKinnon</w:t>
      </w:r>
      <w:r w:rsidR="00955B2A" w:rsidRPr="001425AA">
        <w:t xml:space="preserve">, 2013 BCSC 2212; </w:t>
      </w:r>
      <w:r w:rsidR="00955B2A" w:rsidRPr="001425AA">
        <w:rPr>
          <w:i/>
        </w:rPr>
        <w:t xml:space="preserve">R. </w:t>
      </w:r>
      <w:r w:rsidR="00955B2A">
        <w:rPr>
          <w:i/>
        </w:rPr>
        <w:t>c</w:t>
      </w:r>
      <w:r w:rsidR="00955B2A" w:rsidRPr="001425AA">
        <w:rPr>
          <w:i/>
        </w:rPr>
        <w:t>. Morelli</w:t>
      </w:r>
      <w:r w:rsidR="00955B2A" w:rsidRPr="001425AA">
        <w:t xml:space="preserve">, 2010 </w:t>
      </w:r>
      <w:r w:rsidR="00955B2A">
        <w:t>C</w:t>
      </w:r>
      <w:r w:rsidR="00955B2A" w:rsidRPr="001425AA">
        <w:t xml:space="preserve">SC 8, [2010] 1 </w:t>
      </w:r>
      <w:r w:rsidR="00955B2A">
        <w:t>R.C.</w:t>
      </w:r>
      <w:r w:rsidR="00955B2A" w:rsidRPr="001425AA">
        <w:t xml:space="preserve">S. 253; </w:t>
      </w:r>
      <w:r w:rsidR="00955B2A" w:rsidRPr="001425AA">
        <w:rPr>
          <w:i/>
        </w:rPr>
        <w:t xml:space="preserve">R. </w:t>
      </w:r>
      <w:r w:rsidR="00955B2A">
        <w:rPr>
          <w:i/>
        </w:rPr>
        <w:t>c</w:t>
      </w:r>
      <w:r w:rsidR="00955B2A" w:rsidRPr="001425AA">
        <w:rPr>
          <w:i/>
        </w:rPr>
        <w:t xml:space="preserve">. </w:t>
      </w:r>
      <w:proofErr w:type="spellStart"/>
      <w:r w:rsidR="00955B2A" w:rsidRPr="001425AA">
        <w:rPr>
          <w:i/>
        </w:rPr>
        <w:t>Ebanks</w:t>
      </w:r>
      <w:proofErr w:type="spellEnd"/>
      <w:r w:rsidR="00955B2A" w:rsidRPr="001425AA">
        <w:t xml:space="preserve">, 2009 ONCA 851, 97 O.R. (3d) 721; </w:t>
      </w:r>
      <w:r w:rsidR="00C23C8F" w:rsidRPr="00143207">
        <w:rPr>
          <w:i/>
        </w:rPr>
        <w:t xml:space="preserve">R. </w:t>
      </w:r>
      <w:r w:rsidR="00C23C8F">
        <w:rPr>
          <w:i/>
        </w:rPr>
        <w:t>c</w:t>
      </w:r>
      <w:r w:rsidR="00C23C8F" w:rsidRPr="00143207">
        <w:rPr>
          <w:i/>
        </w:rPr>
        <w:t>. Ahmed</w:t>
      </w:r>
      <w:r w:rsidR="00C23C8F" w:rsidRPr="002675C8">
        <w:t>, 2012 ONSC 4893</w:t>
      </w:r>
      <w:r w:rsidR="00C23C8F">
        <w:t xml:space="preserve">, </w:t>
      </w:r>
      <w:r w:rsidR="00C23C8F" w:rsidRPr="00143207">
        <w:t xml:space="preserve">[2012] O.J. </w:t>
      </w:r>
      <w:r w:rsidR="00FB73B5">
        <w:t>No. </w:t>
      </w:r>
      <w:r w:rsidR="00C23C8F" w:rsidRPr="00143207">
        <w:t>6643</w:t>
      </w:r>
      <w:r w:rsidR="00C23C8F">
        <w:t xml:space="preserve"> (QL); </w:t>
      </w:r>
      <w:r w:rsidR="00C23C8F" w:rsidRPr="005A69CD">
        <w:rPr>
          <w:i/>
        </w:rPr>
        <w:t xml:space="preserve">R. </w:t>
      </w:r>
      <w:r w:rsidR="00C23C8F">
        <w:rPr>
          <w:i/>
        </w:rPr>
        <w:t>c</w:t>
      </w:r>
      <w:r w:rsidR="00C23C8F" w:rsidRPr="005A69CD">
        <w:rPr>
          <w:i/>
        </w:rPr>
        <w:t xml:space="preserve">. </w:t>
      </w:r>
      <w:proofErr w:type="spellStart"/>
      <w:r w:rsidR="00C23C8F" w:rsidRPr="005A69CD">
        <w:rPr>
          <w:i/>
        </w:rPr>
        <w:t>Leipert</w:t>
      </w:r>
      <w:proofErr w:type="spellEnd"/>
      <w:r w:rsidR="00C23C8F" w:rsidRPr="002675C8">
        <w:t xml:space="preserve">, [1997] 1 </w:t>
      </w:r>
      <w:r w:rsidR="00C23C8F">
        <w:t>R.C.</w:t>
      </w:r>
      <w:r w:rsidR="00C23C8F" w:rsidRPr="002675C8">
        <w:t>S. 281</w:t>
      </w:r>
      <w:r w:rsidR="00C23C8F">
        <w:t xml:space="preserve">; </w:t>
      </w:r>
      <w:r w:rsidR="00C23C8F" w:rsidRPr="00593C3E">
        <w:rPr>
          <w:i/>
        </w:rPr>
        <w:t xml:space="preserve">R. </w:t>
      </w:r>
      <w:r w:rsidR="00C23C8F">
        <w:rPr>
          <w:i/>
        </w:rPr>
        <w:t>c</w:t>
      </w:r>
      <w:r w:rsidR="00C23C8F" w:rsidRPr="00593C3E">
        <w:rPr>
          <w:i/>
        </w:rPr>
        <w:t>. Croft</w:t>
      </w:r>
      <w:r w:rsidR="00C23C8F" w:rsidRPr="007113B7">
        <w:t>, 2013 ABQB 705</w:t>
      </w:r>
      <w:r w:rsidR="00C23C8F">
        <w:t xml:space="preserve">, </w:t>
      </w:r>
      <w:r w:rsidR="00C23C8F" w:rsidRPr="00593C3E">
        <w:t>576 A.R. 333</w:t>
      </w:r>
      <w:r w:rsidR="00C23C8F">
        <w:t xml:space="preserve">; </w:t>
      </w:r>
      <w:r w:rsidR="00C23C8F" w:rsidRPr="00593C3E">
        <w:rPr>
          <w:i/>
        </w:rPr>
        <w:t xml:space="preserve">R. </w:t>
      </w:r>
      <w:r w:rsidR="00C23C8F">
        <w:rPr>
          <w:i/>
        </w:rPr>
        <w:t>c</w:t>
      </w:r>
      <w:r w:rsidR="00C23C8F" w:rsidRPr="00593C3E">
        <w:rPr>
          <w:i/>
        </w:rPr>
        <w:t>. Chaplin</w:t>
      </w:r>
      <w:r w:rsidR="00C23C8F" w:rsidRPr="007113B7">
        <w:t xml:space="preserve">, [1995] 1 </w:t>
      </w:r>
      <w:r w:rsidR="00C23C8F">
        <w:t>R.C.</w:t>
      </w:r>
      <w:r w:rsidR="00C23C8F" w:rsidRPr="007113B7">
        <w:t>S. 727</w:t>
      </w:r>
      <w:r w:rsidR="00C23C8F">
        <w:t xml:space="preserve">; </w:t>
      </w:r>
      <w:r w:rsidR="003661D7" w:rsidRPr="00593C3E">
        <w:rPr>
          <w:i/>
        </w:rPr>
        <w:t xml:space="preserve">R. </w:t>
      </w:r>
      <w:r w:rsidR="003661D7">
        <w:rPr>
          <w:i/>
        </w:rPr>
        <w:t>c</w:t>
      </w:r>
      <w:r w:rsidR="003661D7" w:rsidRPr="00593C3E">
        <w:rPr>
          <w:i/>
        </w:rPr>
        <w:t>. Ali</w:t>
      </w:r>
      <w:r w:rsidR="003661D7" w:rsidRPr="007113B7">
        <w:t xml:space="preserve">, 2013 ONSC 2629; </w:t>
      </w:r>
      <w:r w:rsidR="003661D7" w:rsidRPr="00593C3E">
        <w:rPr>
          <w:i/>
        </w:rPr>
        <w:t xml:space="preserve">R. </w:t>
      </w:r>
      <w:r w:rsidR="003661D7">
        <w:rPr>
          <w:i/>
        </w:rPr>
        <w:t>c</w:t>
      </w:r>
      <w:r w:rsidR="003661D7" w:rsidRPr="00593C3E">
        <w:rPr>
          <w:i/>
        </w:rPr>
        <w:t xml:space="preserve">. </w:t>
      </w:r>
      <w:proofErr w:type="spellStart"/>
      <w:r w:rsidR="003661D7" w:rsidRPr="00593C3E">
        <w:rPr>
          <w:i/>
        </w:rPr>
        <w:t>Alizadeh</w:t>
      </w:r>
      <w:proofErr w:type="spellEnd"/>
      <w:r w:rsidR="003661D7" w:rsidRPr="007113B7">
        <w:t xml:space="preserve">, 2013 ONSC 5417; </w:t>
      </w:r>
      <w:r w:rsidR="003661D7" w:rsidRPr="00593C3E">
        <w:rPr>
          <w:i/>
        </w:rPr>
        <w:t xml:space="preserve">R. </w:t>
      </w:r>
      <w:r w:rsidR="003661D7">
        <w:rPr>
          <w:i/>
        </w:rPr>
        <w:t>c</w:t>
      </w:r>
      <w:r w:rsidR="003661D7" w:rsidRPr="00593C3E">
        <w:rPr>
          <w:i/>
        </w:rPr>
        <w:t>. Way</w:t>
      </w:r>
      <w:r w:rsidR="003661D7" w:rsidRPr="007113B7">
        <w:t>, 2014 NSSC 180</w:t>
      </w:r>
      <w:r w:rsidR="003661D7">
        <w:t xml:space="preserve">, </w:t>
      </w:r>
      <w:r w:rsidR="003661D7" w:rsidRPr="00593C3E">
        <w:t>345 N.S.R. (2d) 258</w:t>
      </w:r>
      <w:r w:rsidR="003661D7">
        <w:t xml:space="preserve">; </w:t>
      </w:r>
      <w:r w:rsidR="003661D7" w:rsidRPr="00593C3E">
        <w:rPr>
          <w:i/>
        </w:rPr>
        <w:t xml:space="preserve">R. </w:t>
      </w:r>
      <w:r w:rsidR="003661D7">
        <w:rPr>
          <w:i/>
        </w:rPr>
        <w:t>c</w:t>
      </w:r>
      <w:r w:rsidR="003661D7" w:rsidRPr="00593C3E">
        <w:rPr>
          <w:i/>
        </w:rPr>
        <w:t xml:space="preserve">. </w:t>
      </w:r>
      <w:proofErr w:type="spellStart"/>
      <w:r w:rsidR="003661D7" w:rsidRPr="00593C3E">
        <w:rPr>
          <w:i/>
        </w:rPr>
        <w:t>Bernath</w:t>
      </w:r>
      <w:proofErr w:type="spellEnd"/>
      <w:r w:rsidR="003661D7" w:rsidRPr="007113B7">
        <w:t xml:space="preserve">, 2015 BCSC 632; </w:t>
      </w:r>
      <w:r w:rsidR="003661D7" w:rsidRPr="00593C3E">
        <w:rPr>
          <w:i/>
        </w:rPr>
        <w:t xml:space="preserve">R. </w:t>
      </w:r>
      <w:r w:rsidR="003661D7">
        <w:rPr>
          <w:i/>
        </w:rPr>
        <w:t>c</w:t>
      </w:r>
      <w:r w:rsidR="003661D7" w:rsidRPr="00593C3E">
        <w:rPr>
          <w:i/>
        </w:rPr>
        <w:t xml:space="preserve">. </w:t>
      </w:r>
      <w:proofErr w:type="spellStart"/>
      <w:r w:rsidR="003661D7" w:rsidRPr="00593C3E">
        <w:rPr>
          <w:i/>
        </w:rPr>
        <w:t>Edwardsen</w:t>
      </w:r>
      <w:proofErr w:type="spellEnd"/>
      <w:r w:rsidR="003661D7" w:rsidRPr="007113B7">
        <w:t>, 2015 BCSC 705</w:t>
      </w:r>
      <w:r w:rsidR="003661D7">
        <w:t xml:space="preserve">, </w:t>
      </w:r>
      <w:r w:rsidR="003661D7" w:rsidRPr="00593C3E">
        <w:t>338 C.R.R. (2d) 191</w:t>
      </w:r>
      <w:r w:rsidR="003661D7" w:rsidRPr="007113B7">
        <w:t xml:space="preserve">; </w:t>
      </w:r>
      <w:r w:rsidR="003661D7" w:rsidRPr="00593C3E">
        <w:rPr>
          <w:i/>
        </w:rPr>
        <w:t xml:space="preserve">R. </w:t>
      </w:r>
      <w:r w:rsidR="003661D7">
        <w:rPr>
          <w:i/>
        </w:rPr>
        <w:t>c</w:t>
      </w:r>
      <w:r w:rsidR="003661D7" w:rsidRPr="00593C3E">
        <w:rPr>
          <w:i/>
        </w:rPr>
        <w:t>. Lemke</w:t>
      </w:r>
      <w:r w:rsidR="003661D7" w:rsidRPr="007113B7">
        <w:t>, 2015 ABQB 444</w:t>
      </w:r>
      <w:r w:rsidR="003661D7">
        <w:t xml:space="preserve">; </w:t>
      </w:r>
      <w:r w:rsidR="007C1406" w:rsidRPr="005A69CD">
        <w:rPr>
          <w:i/>
        </w:rPr>
        <w:t xml:space="preserve">R. </w:t>
      </w:r>
      <w:r w:rsidR="007C1406">
        <w:rPr>
          <w:i/>
        </w:rPr>
        <w:t>c</w:t>
      </w:r>
      <w:r w:rsidR="007C1406" w:rsidRPr="005A69CD">
        <w:rPr>
          <w:i/>
        </w:rPr>
        <w:t>. La</w:t>
      </w:r>
      <w:r w:rsidR="007C1406" w:rsidRPr="00D61A27">
        <w:t xml:space="preserve">, [1997] 2 </w:t>
      </w:r>
      <w:r w:rsidR="007C1406" w:rsidRPr="007B7B36">
        <w:t xml:space="preserve">R.C.S. </w:t>
      </w:r>
      <w:r w:rsidR="007C1406" w:rsidRPr="00D61A27">
        <w:t>680</w:t>
      </w:r>
      <w:r w:rsidR="007C1406">
        <w:t>.</w:t>
      </w:r>
    </w:p>
    <w:p w:rsidR="004D7D95" w:rsidRPr="001F05E9" w:rsidRDefault="004D7D95" w:rsidP="003C0B54">
      <w:pPr>
        <w:pStyle w:val="SCCNormalDoubleSpacing"/>
        <w:widowControl w:val="0"/>
        <w:spacing w:after="720" w:line="240" w:lineRule="auto"/>
        <w:rPr>
          <w:lang w:val="fr-CA"/>
        </w:rPr>
      </w:pPr>
      <w:r w:rsidRPr="004D7D95">
        <w:rPr>
          <w:b/>
          <w:lang w:val="fr-CA"/>
        </w:rPr>
        <w:t>Lois et règlements cités</w:t>
      </w:r>
    </w:p>
    <w:p w:rsidR="007C1406" w:rsidRDefault="007C1406" w:rsidP="003C0B54">
      <w:pPr>
        <w:pStyle w:val="SCCNormalDoubleSpacing"/>
        <w:widowControl w:val="0"/>
        <w:spacing w:after="240" w:line="240" w:lineRule="auto"/>
        <w:ind w:left="547" w:hanging="547"/>
        <w:rPr>
          <w:lang w:val="fr-CA"/>
        </w:rPr>
      </w:pPr>
      <w:r w:rsidRPr="007C1406">
        <w:rPr>
          <w:i/>
          <w:lang w:val="fr-CA"/>
        </w:rPr>
        <w:t>Code criminel</w:t>
      </w:r>
      <w:r w:rsidR="008965D8">
        <w:rPr>
          <w:lang w:val="fr-CA"/>
        </w:rPr>
        <w:t>, L.R.C. 1985, c. </w:t>
      </w:r>
      <w:r>
        <w:rPr>
          <w:lang w:val="fr-CA"/>
        </w:rPr>
        <w:t>C</w:t>
      </w:r>
      <w:r w:rsidR="00FB73B5">
        <w:rPr>
          <w:lang w:val="fr-CA"/>
        </w:rPr>
        <w:noBreakHyphen/>
      </w:r>
      <w:r>
        <w:rPr>
          <w:lang w:val="fr-CA"/>
        </w:rPr>
        <w:t xml:space="preserve">46, </w:t>
      </w:r>
      <w:r w:rsidR="008965D8">
        <w:rPr>
          <w:lang w:val="fr-CA"/>
        </w:rPr>
        <w:t>partie </w:t>
      </w:r>
      <w:r w:rsidR="00926F65">
        <w:rPr>
          <w:lang w:val="fr-CA"/>
        </w:rPr>
        <w:t xml:space="preserve">VI, </w:t>
      </w:r>
      <w:r w:rsidR="00FB73B5">
        <w:rPr>
          <w:lang w:val="fr-CA"/>
        </w:rPr>
        <w:t>art. </w:t>
      </w:r>
      <w:r>
        <w:rPr>
          <w:lang w:val="fr-CA"/>
        </w:rPr>
        <w:t>185, 186, 187(1.4).</w:t>
      </w:r>
    </w:p>
    <w:p w:rsidR="001D1335" w:rsidRDefault="001D1335" w:rsidP="003C0B54">
      <w:pPr>
        <w:pStyle w:val="SCCNormalDoubleSpacing"/>
        <w:widowControl w:val="0"/>
        <w:spacing w:after="240" w:line="240" w:lineRule="auto"/>
        <w:ind w:left="547" w:hanging="547"/>
        <w:rPr>
          <w:lang w:val="fr-CA"/>
        </w:rPr>
      </w:pPr>
      <w:r w:rsidRPr="001D1335">
        <w:rPr>
          <w:i/>
          <w:lang w:val="fr-CA"/>
        </w:rPr>
        <w:t>Décret sur le Fonds monétaire international et la Banque internationale pour la reconstruction et le développement</w:t>
      </w:r>
      <w:r>
        <w:rPr>
          <w:lang w:val="fr-CA"/>
        </w:rPr>
        <w:t>, C.</w:t>
      </w:r>
      <w:r w:rsidR="00FB73B5">
        <w:rPr>
          <w:lang w:val="fr-CA"/>
        </w:rPr>
        <w:t>P. </w:t>
      </w:r>
      <w:r>
        <w:rPr>
          <w:lang w:val="fr-CA"/>
        </w:rPr>
        <w:t>1945</w:t>
      </w:r>
      <w:r w:rsidR="00FB73B5">
        <w:rPr>
          <w:lang w:val="fr-CA"/>
        </w:rPr>
        <w:noBreakHyphen/>
      </w:r>
      <w:r>
        <w:rPr>
          <w:lang w:val="fr-CA"/>
        </w:rPr>
        <w:t>7421.</w:t>
      </w:r>
    </w:p>
    <w:p w:rsidR="00055001" w:rsidRDefault="00055001" w:rsidP="003C0B54">
      <w:pPr>
        <w:pStyle w:val="SCCNormalDoubleSpacing"/>
        <w:widowControl w:val="0"/>
        <w:spacing w:after="240" w:line="240" w:lineRule="auto"/>
        <w:ind w:left="547" w:hanging="547"/>
        <w:rPr>
          <w:lang w:val="fr-CA"/>
        </w:rPr>
      </w:pPr>
      <w:r w:rsidRPr="00055001">
        <w:rPr>
          <w:i/>
          <w:lang w:val="fr-CA"/>
        </w:rPr>
        <w:t>Décret sur les privilèges et immunités de l</w:t>
      </w:r>
      <w:r w:rsidR="007B571E">
        <w:rPr>
          <w:i/>
          <w:lang w:val="fr-CA"/>
        </w:rPr>
        <w:t>’</w:t>
      </w:r>
      <w:r w:rsidRPr="00055001">
        <w:rPr>
          <w:i/>
          <w:lang w:val="fr-CA"/>
        </w:rPr>
        <w:t>Organisation des pêches de l</w:t>
      </w:r>
      <w:r w:rsidR="007B571E">
        <w:rPr>
          <w:i/>
          <w:lang w:val="fr-CA"/>
        </w:rPr>
        <w:t>’</w:t>
      </w:r>
      <w:r w:rsidRPr="00055001">
        <w:rPr>
          <w:i/>
          <w:lang w:val="fr-CA"/>
        </w:rPr>
        <w:t>Atlantique nord</w:t>
      </w:r>
      <w:r w:rsidR="00FB73B5">
        <w:rPr>
          <w:i/>
          <w:lang w:val="fr-CA"/>
        </w:rPr>
        <w:noBreakHyphen/>
      </w:r>
      <w:r w:rsidRPr="00055001">
        <w:rPr>
          <w:i/>
          <w:lang w:val="fr-CA"/>
        </w:rPr>
        <w:t>ouest</w:t>
      </w:r>
      <w:r w:rsidRPr="00055001">
        <w:rPr>
          <w:lang w:val="fr-CA"/>
        </w:rPr>
        <w:t>, DORS/80</w:t>
      </w:r>
      <w:r w:rsidR="00FB73B5">
        <w:rPr>
          <w:lang w:val="fr-CA"/>
        </w:rPr>
        <w:noBreakHyphen/>
      </w:r>
      <w:r w:rsidR="00A5586E">
        <w:rPr>
          <w:lang w:val="fr-CA"/>
        </w:rPr>
        <w:t xml:space="preserve">64, </w:t>
      </w:r>
      <w:r w:rsidR="00FB73B5">
        <w:rPr>
          <w:lang w:val="fr-CA"/>
        </w:rPr>
        <w:t>art. </w:t>
      </w:r>
      <w:r w:rsidRPr="00055001">
        <w:rPr>
          <w:lang w:val="fr-CA"/>
        </w:rPr>
        <w:t>3</w:t>
      </w:r>
      <w:r>
        <w:rPr>
          <w:lang w:val="fr-CA"/>
        </w:rPr>
        <w:t>(1).</w:t>
      </w:r>
    </w:p>
    <w:p w:rsidR="00805C68" w:rsidRDefault="00805C68" w:rsidP="003C0B54">
      <w:pPr>
        <w:pStyle w:val="SCCNormalDoubleSpacing"/>
        <w:widowControl w:val="0"/>
        <w:spacing w:after="240" w:line="240" w:lineRule="auto"/>
        <w:ind w:left="547" w:hanging="547"/>
        <w:rPr>
          <w:lang w:val="fr-CA"/>
        </w:rPr>
      </w:pPr>
      <w:r w:rsidRPr="00805C68">
        <w:rPr>
          <w:i/>
          <w:lang w:val="fr-CA"/>
        </w:rPr>
        <w:t>Décret sur les privilèges et immunités relatifs à l</w:t>
      </w:r>
      <w:r w:rsidR="007B571E">
        <w:rPr>
          <w:i/>
          <w:lang w:val="fr-CA"/>
        </w:rPr>
        <w:t>’</w:t>
      </w:r>
      <w:r w:rsidRPr="00805C68">
        <w:rPr>
          <w:i/>
          <w:lang w:val="fr-CA"/>
        </w:rPr>
        <w:t>Association internationale de développement, à la Société financière internationale et à l</w:t>
      </w:r>
      <w:r w:rsidR="007B571E">
        <w:rPr>
          <w:i/>
          <w:lang w:val="fr-CA"/>
        </w:rPr>
        <w:t>’</w:t>
      </w:r>
      <w:r w:rsidRPr="00805C68">
        <w:rPr>
          <w:i/>
          <w:lang w:val="fr-CA"/>
        </w:rPr>
        <w:t>Agence multilatérale de garantie des investissements</w:t>
      </w:r>
      <w:r>
        <w:rPr>
          <w:lang w:val="fr-CA"/>
        </w:rPr>
        <w:t>, DORS/2014</w:t>
      </w:r>
      <w:r w:rsidR="00FB73B5">
        <w:rPr>
          <w:lang w:val="fr-CA"/>
        </w:rPr>
        <w:noBreakHyphen/>
      </w:r>
      <w:r>
        <w:rPr>
          <w:lang w:val="fr-CA"/>
        </w:rPr>
        <w:t>137.</w:t>
      </w:r>
    </w:p>
    <w:p w:rsidR="00055001" w:rsidRDefault="00055001" w:rsidP="003C0B54">
      <w:pPr>
        <w:pStyle w:val="SCCNormalDoubleSpacing"/>
        <w:widowControl w:val="0"/>
        <w:spacing w:after="240" w:line="240" w:lineRule="auto"/>
        <w:ind w:left="547" w:hanging="547"/>
        <w:rPr>
          <w:lang w:val="fr-CA"/>
        </w:rPr>
      </w:pPr>
      <w:r w:rsidRPr="00055001">
        <w:rPr>
          <w:i/>
          <w:lang w:val="fr-CA"/>
        </w:rPr>
        <w:t>Loi sur la corruption d</w:t>
      </w:r>
      <w:r w:rsidR="007B571E">
        <w:rPr>
          <w:i/>
          <w:lang w:val="fr-CA"/>
        </w:rPr>
        <w:t>’</w:t>
      </w:r>
      <w:r w:rsidRPr="00055001">
        <w:rPr>
          <w:i/>
          <w:lang w:val="fr-CA"/>
        </w:rPr>
        <w:t>agents publics étrangers</w:t>
      </w:r>
      <w:r>
        <w:rPr>
          <w:lang w:val="fr-CA"/>
        </w:rPr>
        <w:t>, L.C. 1998, c. </w:t>
      </w:r>
      <w:r w:rsidRPr="00055001">
        <w:rPr>
          <w:lang w:val="fr-CA"/>
        </w:rPr>
        <w:t>34</w:t>
      </w:r>
      <w:r>
        <w:rPr>
          <w:lang w:val="fr-CA"/>
        </w:rPr>
        <w:t>.</w:t>
      </w:r>
    </w:p>
    <w:p w:rsidR="001F05E9" w:rsidRPr="0008506F" w:rsidRDefault="00055001" w:rsidP="003C0B54">
      <w:pPr>
        <w:pStyle w:val="SCCNormalDoubleSpacing"/>
        <w:widowControl w:val="0"/>
        <w:spacing w:after="720" w:line="240" w:lineRule="auto"/>
        <w:ind w:left="547" w:hanging="547"/>
        <w:rPr>
          <w:lang w:val="fr-CA"/>
        </w:rPr>
      </w:pPr>
      <w:r w:rsidRPr="00055001">
        <w:rPr>
          <w:i/>
          <w:lang w:val="fr-CA"/>
        </w:rPr>
        <w:t xml:space="preserve">Loi sur les accords de </w:t>
      </w:r>
      <w:proofErr w:type="spellStart"/>
      <w:r w:rsidRPr="00055001">
        <w:rPr>
          <w:i/>
          <w:lang w:val="fr-CA"/>
        </w:rPr>
        <w:t>Bretton</w:t>
      </w:r>
      <w:proofErr w:type="spellEnd"/>
      <w:r w:rsidRPr="00055001">
        <w:rPr>
          <w:i/>
          <w:lang w:val="fr-CA"/>
        </w:rPr>
        <w:t xml:space="preserve"> Woods et des accords connexes</w:t>
      </w:r>
      <w:r>
        <w:rPr>
          <w:lang w:val="fr-CA"/>
        </w:rPr>
        <w:t>, L.R.C. 1985, c. B</w:t>
      </w:r>
      <w:r w:rsidR="00FB73B5">
        <w:rPr>
          <w:lang w:val="fr-CA"/>
        </w:rPr>
        <w:noBreakHyphen/>
      </w:r>
      <w:r>
        <w:rPr>
          <w:lang w:val="fr-CA"/>
        </w:rPr>
        <w:t xml:space="preserve">7, </w:t>
      </w:r>
      <w:proofErr w:type="spellStart"/>
      <w:r w:rsidR="004F59FD">
        <w:rPr>
          <w:lang w:val="fr-CA"/>
        </w:rPr>
        <w:t>ann</w:t>
      </w:r>
      <w:proofErr w:type="spellEnd"/>
      <w:r w:rsidR="004F59FD">
        <w:rPr>
          <w:lang w:val="fr-CA"/>
        </w:rPr>
        <w:t>.</w:t>
      </w:r>
      <w:r w:rsidR="004F59FD" w:rsidRPr="004F59FD">
        <w:rPr>
          <w:lang w:val="fr-CA"/>
        </w:rPr>
        <w:t> </w:t>
      </w:r>
      <w:r>
        <w:t xml:space="preserve">II, </w:t>
      </w:r>
      <w:r w:rsidR="00FB73B5">
        <w:t>art. </w:t>
      </w:r>
      <w:r w:rsidR="00016AAE">
        <w:t xml:space="preserve">I, </w:t>
      </w:r>
      <w:r>
        <w:t xml:space="preserve">III, </w:t>
      </w:r>
      <w:r w:rsidR="00B614B2">
        <w:t>s</w:t>
      </w:r>
      <w:r w:rsidR="00FB73B5">
        <w:t>. </w:t>
      </w:r>
      <w:r>
        <w:t xml:space="preserve">5b), </w:t>
      </w:r>
      <w:r w:rsidR="00FB73B5">
        <w:t>art. </w:t>
      </w:r>
      <w:r w:rsidR="004F59FD">
        <w:t>VII, s</w:t>
      </w:r>
      <w:r w:rsidR="00FD5748">
        <w:t>.</w:t>
      </w:r>
      <w:r w:rsidR="004F59FD">
        <w:t> </w:t>
      </w:r>
      <w:r>
        <w:t>1, 3, 5, 6, 8, ann.</w:t>
      </w:r>
      <w:r w:rsidR="004F59FD">
        <w:t> </w:t>
      </w:r>
      <w:r w:rsidR="00CD2622" w:rsidRPr="0008506F">
        <w:rPr>
          <w:lang w:val="fr-CA"/>
        </w:rPr>
        <w:t>III,</w:t>
      </w:r>
      <w:r w:rsidRPr="0008506F">
        <w:rPr>
          <w:lang w:val="fr-CA"/>
        </w:rPr>
        <w:t xml:space="preserve"> </w:t>
      </w:r>
      <w:r w:rsidR="00FB73B5" w:rsidRPr="0008506F">
        <w:rPr>
          <w:lang w:val="fr-CA"/>
        </w:rPr>
        <w:t>art. </w:t>
      </w:r>
      <w:r w:rsidRPr="0008506F">
        <w:rPr>
          <w:lang w:val="fr-CA"/>
        </w:rPr>
        <w:t xml:space="preserve">I, V, </w:t>
      </w:r>
      <w:r w:rsidR="0008506F">
        <w:rPr>
          <w:lang w:val="fr-CA"/>
        </w:rPr>
        <w:t>s</w:t>
      </w:r>
      <w:r w:rsidR="00FB73B5" w:rsidRPr="0008506F">
        <w:rPr>
          <w:lang w:val="fr-CA"/>
        </w:rPr>
        <w:t>. </w:t>
      </w:r>
      <w:r w:rsidRPr="0008506F">
        <w:rPr>
          <w:lang w:val="fr-CA"/>
        </w:rPr>
        <w:t xml:space="preserve">1g), h), </w:t>
      </w:r>
      <w:r w:rsidR="00FB73B5" w:rsidRPr="0008506F">
        <w:rPr>
          <w:lang w:val="fr-CA"/>
        </w:rPr>
        <w:t>art. </w:t>
      </w:r>
      <w:r w:rsidR="004F59FD" w:rsidRPr="0008506F">
        <w:rPr>
          <w:lang w:val="fr-CA"/>
        </w:rPr>
        <w:t>VIII, s</w:t>
      </w:r>
      <w:r w:rsidR="00FD5748" w:rsidRPr="0008506F">
        <w:rPr>
          <w:lang w:val="fr-CA"/>
        </w:rPr>
        <w:t>.</w:t>
      </w:r>
      <w:r w:rsidR="004F59FD" w:rsidRPr="0008506F">
        <w:rPr>
          <w:lang w:val="fr-CA"/>
        </w:rPr>
        <w:t> </w:t>
      </w:r>
      <w:r w:rsidRPr="0008506F">
        <w:rPr>
          <w:lang w:val="fr-CA"/>
        </w:rPr>
        <w:t xml:space="preserve">1, </w:t>
      </w:r>
      <w:r w:rsidR="00DF47C9" w:rsidRPr="0008506F">
        <w:rPr>
          <w:lang w:val="fr-CA"/>
        </w:rPr>
        <w:t xml:space="preserve">3, </w:t>
      </w:r>
      <w:r w:rsidRPr="0008506F">
        <w:rPr>
          <w:lang w:val="fr-CA"/>
        </w:rPr>
        <w:t>5, 6, 8.</w:t>
      </w:r>
    </w:p>
    <w:p w:rsidR="004D7D95" w:rsidRPr="001F05E9" w:rsidRDefault="001F05E9" w:rsidP="003C0B54">
      <w:pPr>
        <w:pStyle w:val="SCCNormalDoubleSpacing"/>
        <w:widowControl w:val="0"/>
        <w:spacing w:after="720" w:line="240" w:lineRule="auto"/>
        <w:ind w:left="547" w:hanging="547"/>
        <w:rPr>
          <w:lang w:val="fr-CA"/>
        </w:rPr>
      </w:pPr>
      <w:r w:rsidRPr="001F05E9">
        <w:rPr>
          <w:b/>
          <w:lang w:val="fr-CA"/>
        </w:rPr>
        <w:t>Traités et autres instruments internationaux</w:t>
      </w:r>
    </w:p>
    <w:p w:rsidR="001F05E9" w:rsidRDefault="00A878D7" w:rsidP="003C0B54">
      <w:pPr>
        <w:pStyle w:val="SCCNormalDoubleSpacing"/>
        <w:widowControl w:val="0"/>
        <w:spacing w:after="240" w:line="240" w:lineRule="auto"/>
        <w:ind w:left="547" w:hanging="547"/>
        <w:rPr>
          <w:lang w:val="fr-CA"/>
        </w:rPr>
      </w:pPr>
      <w:r w:rsidRPr="00A878D7">
        <w:rPr>
          <w:i/>
          <w:lang w:val="fr-CA"/>
        </w:rPr>
        <w:t>Charte des Nations Unies</w:t>
      </w:r>
      <w:r w:rsidRPr="00A878D7">
        <w:rPr>
          <w:lang w:val="fr-CA"/>
        </w:rPr>
        <w:t xml:space="preserve">, R.T. Can. 1945 </w:t>
      </w:r>
      <w:proofErr w:type="gramStart"/>
      <w:r w:rsidRPr="00A878D7">
        <w:rPr>
          <w:lang w:val="fr-CA"/>
        </w:rPr>
        <w:t>n</w:t>
      </w:r>
      <w:r w:rsidRPr="00A878D7">
        <w:rPr>
          <w:vertAlign w:val="superscript"/>
          <w:lang w:val="fr-CA"/>
        </w:rPr>
        <w:t>o</w:t>
      </w:r>
      <w:proofErr w:type="gramEnd"/>
      <w:r w:rsidR="004F59FD">
        <w:rPr>
          <w:lang w:val="fr-CA"/>
        </w:rPr>
        <w:t> </w:t>
      </w:r>
      <w:r w:rsidRPr="00A878D7">
        <w:rPr>
          <w:lang w:val="fr-CA"/>
        </w:rPr>
        <w:t>7</w:t>
      </w:r>
      <w:r w:rsidR="00594131">
        <w:rPr>
          <w:lang w:val="fr-CA"/>
        </w:rPr>
        <w:t xml:space="preserve">, </w:t>
      </w:r>
      <w:r w:rsidR="00FB73B5">
        <w:rPr>
          <w:lang w:val="fr-CA"/>
        </w:rPr>
        <w:t>art. </w:t>
      </w:r>
      <w:r w:rsidR="00B25515">
        <w:rPr>
          <w:lang w:val="fr-CA"/>
        </w:rPr>
        <w:t>105</w:t>
      </w:r>
      <w:r w:rsidRPr="00A878D7">
        <w:rPr>
          <w:lang w:val="fr-CA"/>
        </w:rPr>
        <w:t>.</w:t>
      </w:r>
    </w:p>
    <w:p w:rsidR="00A878D7" w:rsidRDefault="00A878D7" w:rsidP="003C0B54">
      <w:pPr>
        <w:pStyle w:val="SCCNormalDoubleSpacing"/>
        <w:widowControl w:val="0"/>
        <w:spacing w:after="240" w:line="240" w:lineRule="auto"/>
        <w:ind w:left="547" w:hanging="547"/>
        <w:rPr>
          <w:lang w:val="fr-CA"/>
        </w:rPr>
      </w:pPr>
      <w:r w:rsidRPr="00A878D7">
        <w:rPr>
          <w:i/>
          <w:lang w:val="fr-CA"/>
        </w:rPr>
        <w:t>Convention de Vienne sur le droit des traités</w:t>
      </w:r>
      <w:r w:rsidRPr="00A878D7">
        <w:rPr>
          <w:lang w:val="fr-CA"/>
        </w:rPr>
        <w:t xml:space="preserve">, R.T. Can. 1980 </w:t>
      </w:r>
      <w:proofErr w:type="gramStart"/>
      <w:r w:rsidRPr="00A878D7">
        <w:rPr>
          <w:lang w:val="fr-CA"/>
        </w:rPr>
        <w:t>n</w:t>
      </w:r>
      <w:r w:rsidRPr="001309AF">
        <w:rPr>
          <w:vertAlign w:val="superscript"/>
          <w:lang w:val="fr-CA"/>
        </w:rPr>
        <w:t>o</w:t>
      </w:r>
      <w:proofErr w:type="gramEnd"/>
      <w:r w:rsidR="004F59FD">
        <w:rPr>
          <w:lang w:val="fr-CA"/>
        </w:rPr>
        <w:t> </w:t>
      </w:r>
      <w:r w:rsidRPr="00A878D7">
        <w:rPr>
          <w:lang w:val="fr-CA"/>
        </w:rPr>
        <w:t xml:space="preserve">37, </w:t>
      </w:r>
      <w:r w:rsidR="00FB73B5">
        <w:rPr>
          <w:lang w:val="fr-CA"/>
        </w:rPr>
        <w:t>art. </w:t>
      </w:r>
      <w:r w:rsidRPr="00A878D7">
        <w:rPr>
          <w:lang w:val="fr-CA"/>
        </w:rPr>
        <w:t>31, 32</w:t>
      </w:r>
      <w:r>
        <w:rPr>
          <w:lang w:val="fr-CA"/>
        </w:rPr>
        <w:t>.</w:t>
      </w:r>
    </w:p>
    <w:p w:rsidR="001309AF" w:rsidRPr="00292F33" w:rsidRDefault="001309AF" w:rsidP="003C0B54">
      <w:pPr>
        <w:pStyle w:val="SCCNormalDoubleSpacing"/>
        <w:widowControl w:val="0"/>
        <w:spacing w:after="240" w:line="240" w:lineRule="auto"/>
        <w:ind w:left="547" w:hanging="547"/>
        <w:rPr>
          <w:lang w:val="fr-CA"/>
        </w:rPr>
      </w:pPr>
      <w:r w:rsidRPr="00B25515">
        <w:rPr>
          <w:i/>
          <w:lang w:val="fr-CA"/>
        </w:rPr>
        <w:t>Convention de Vienne sur les relations consulaires</w:t>
      </w:r>
      <w:r w:rsidRPr="00292F33">
        <w:rPr>
          <w:lang w:val="fr-CA"/>
        </w:rPr>
        <w:t xml:space="preserve">, R.T. Can. 1974 </w:t>
      </w:r>
      <w:proofErr w:type="gramStart"/>
      <w:r w:rsidRPr="00292F33">
        <w:rPr>
          <w:lang w:val="fr-CA"/>
        </w:rPr>
        <w:t>n</w:t>
      </w:r>
      <w:r w:rsidRPr="00292F33">
        <w:rPr>
          <w:vertAlign w:val="superscript"/>
          <w:lang w:val="fr-CA"/>
        </w:rPr>
        <w:t>o</w:t>
      </w:r>
      <w:proofErr w:type="gramEnd"/>
      <w:r w:rsidR="004F59FD">
        <w:rPr>
          <w:lang w:val="fr-CA"/>
        </w:rPr>
        <w:t> </w:t>
      </w:r>
      <w:r w:rsidRPr="00292F33">
        <w:rPr>
          <w:lang w:val="fr-CA"/>
        </w:rPr>
        <w:t xml:space="preserve">25, </w:t>
      </w:r>
      <w:r w:rsidR="00FB73B5">
        <w:rPr>
          <w:lang w:val="fr-CA"/>
        </w:rPr>
        <w:t>art. </w:t>
      </w:r>
      <w:r w:rsidRPr="00292F33">
        <w:rPr>
          <w:lang w:val="fr-CA"/>
        </w:rPr>
        <w:t>1(1)</w:t>
      </w:r>
      <w:r w:rsidRPr="00292F33">
        <w:rPr>
          <w:i/>
          <w:lang w:val="fr-CA"/>
        </w:rPr>
        <w:t>k</w:t>
      </w:r>
      <w:r w:rsidRPr="00292F33">
        <w:rPr>
          <w:lang w:val="fr-CA"/>
        </w:rPr>
        <w:t>), « archives consulaires ».</w:t>
      </w:r>
    </w:p>
    <w:p w:rsidR="001309AF" w:rsidRPr="00292F33" w:rsidRDefault="001309AF" w:rsidP="003C0B54">
      <w:pPr>
        <w:pStyle w:val="SCCNormalDoubleSpacing"/>
        <w:widowControl w:val="0"/>
        <w:spacing w:after="240" w:line="240" w:lineRule="auto"/>
        <w:ind w:left="547" w:hanging="547"/>
        <w:rPr>
          <w:lang w:val="fr-CA"/>
        </w:rPr>
      </w:pPr>
      <w:r w:rsidRPr="00292F33">
        <w:rPr>
          <w:i/>
          <w:lang w:val="fr-CA"/>
        </w:rPr>
        <w:t>Convention de Vienne sur les relations diplomatiques</w:t>
      </w:r>
      <w:r w:rsidRPr="00292F33">
        <w:rPr>
          <w:lang w:val="fr-CA"/>
        </w:rPr>
        <w:t xml:space="preserve">, R.T. Can. 1966 </w:t>
      </w:r>
      <w:proofErr w:type="gramStart"/>
      <w:r w:rsidRPr="00292F33">
        <w:rPr>
          <w:lang w:val="fr-CA"/>
        </w:rPr>
        <w:t>n</w:t>
      </w:r>
      <w:r w:rsidRPr="00292F33">
        <w:rPr>
          <w:vertAlign w:val="superscript"/>
          <w:lang w:val="fr-CA"/>
        </w:rPr>
        <w:t>o</w:t>
      </w:r>
      <w:proofErr w:type="gramEnd"/>
      <w:r w:rsidR="004F59FD">
        <w:rPr>
          <w:lang w:val="fr-CA"/>
        </w:rPr>
        <w:t> </w:t>
      </w:r>
      <w:r w:rsidRPr="00292F33">
        <w:rPr>
          <w:lang w:val="fr-CA"/>
        </w:rPr>
        <w:t xml:space="preserve">29, </w:t>
      </w:r>
      <w:r w:rsidR="00FB73B5">
        <w:rPr>
          <w:lang w:val="fr-CA"/>
        </w:rPr>
        <w:t>art. </w:t>
      </w:r>
      <w:r w:rsidRPr="00292F33">
        <w:rPr>
          <w:lang w:val="fr-CA"/>
        </w:rPr>
        <w:t>24.</w:t>
      </w:r>
    </w:p>
    <w:p w:rsidR="001309AF" w:rsidRPr="00292F33" w:rsidRDefault="001309AF" w:rsidP="003C0B54">
      <w:pPr>
        <w:pStyle w:val="SCCNormalDoubleSpacing"/>
        <w:widowControl w:val="0"/>
        <w:spacing w:after="240" w:line="240" w:lineRule="auto"/>
        <w:ind w:left="547" w:hanging="547"/>
        <w:rPr>
          <w:lang w:val="fr-CA"/>
        </w:rPr>
      </w:pPr>
      <w:r w:rsidRPr="00292F33">
        <w:rPr>
          <w:i/>
          <w:lang w:val="fr-CA"/>
        </w:rPr>
        <w:t>Convention sur les privilèges et immunités des Nations Unies</w:t>
      </w:r>
      <w:r w:rsidRPr="00292F33">
        <w:rPr>
          <w:lang w:val="fr-CA"/>
        </w:rPr>
        <w:t xml:space="preserve">, </w:t>
      </w:r>
      <w:r w:rsidR="001F45CB" w:rsidRPr="00292F33">
        <w:rPr>
          <w:lang w:val="fr-CA"/>
        </w:rPr>
        <w:t xml:space="preserve">R.T. Can. 1948 </w:t>
      </w:r>
      <w:proofErr w:type="gramStart"/>
      <w:r w:rsidR="001F45CB" w:rsidRPr="00292F33">
        <w:rPr>
          <w:lang w:val="fr-CA"/>
        </w:rPr>
        <w:t>n</w:t>
      </w:r>
      <w:r w:rsidR="001F45CB" w:rsidRPr="00292F33">
        <w:rPr>
          <w:vertAlign w:val="superscript"/>
          <w:lang w:val="fr-CA"/>
        </w:rPr>
        <w:t>o</w:t>
      </w:r>
      <w:proofErr w:type="gramEnd"/>
      <w:r w:rsidR="004F59FD">
        <w:rPr>
          <w:lang w:val="fr-CA"/>
        </w:rPr>
        <w:t> </w:t>
      </w:r>
      <w:r w:rsidR="001F45CB" w:rsidRPr="00292F33">
        <w:rPr>
          <w:lang w:val="fr-CA"/>
        </w:rPr>
        <w:t>2</w:t>
      </w:r>
      <w:r w:rsidRPr="00292F33">
        <w:rPr>
          <w:lang w:val="fr-CA"/>
        </w:rPr>
        <w:t xml:space="preserve">, </w:t>
      </w:r>
      <w:r w:rsidR="00FB73B5">
        <w:rPr>
          <w:lang w:val="fr-CA"/>
        </w:rPr>
        <w:t>art. </w:t>
      </w:r>
      <w:r w:rsidR="00846DC6">
        <w:rPr>
          <w:lang w:val="fr-CA"/>
        </w:rPr>
        <w:t xml:space="preserve">II, </w:t>
      </w:r>
      <w:r w:rsidR="00446E4A">
        <w:rPr>
          <w:lang w:val="fr-CA"/>
        </w:rPr>
        <w:t>s</w:t>
      </w:r>
      <w:r w:rsidR="008965D8">
        <w:rPr>
          <w:lang w:val="fr-CA"/>
        </w:rPr>
        <w:t>. </w:t>
      </w:r>
      <w:r w:rsidRPr="00292F33">
        <w:rPr>
          <w:lang w:val="fr-CA"/>
        </w:rPr>
        <w:t>4.</w:t>
      </w:r>
    </w:p>
    <w:p w:rsidR="00CD3B98" w:rsidRDefault="00CD3B98" w:rsidP="003C0B54">
      <w:pPr>
        <w:pStyle w:val="SCCNormalDoubleSpacing"/>
        <w:widowControl w:val="0"/>
        <w:spacing w:after="720" w:line="240" w:lineRule="auto"/>
        <w:ind w:left="547" w:hanging="547"/>
        <w:rPr>
          <w:lang w:val="fr-CA"/>
        </w:rPr>
      </w:pPr>
      <w:r w:rsidRPr="00292F33">
        <w:rPr>
          <w:i/>
          <w:lang w:val="fr-CA"/>
        </w:rPr>
        <w:t>Pacte de la Société des Nations</w:t>
      </w:r>
      <w:r w:rsidR="001309AF" w:rsidRPr="00292F33">
        <w:rPr>
          <w:lang w:val="fr-CA"/>
        </w:rPr>
        <w:t xml:space="preserve">, </w:t>
      </w:r>
      <w:r w:rsidR="00FB73B5">
        <w:rPr>
          <w:lang w:val="fr-CA"/>
        </w:rPr>
        <w:t>art. </w:t>
      </w:r>
      <w:r w:rsidR="001309AF" w:rsidRPr="00292F33">
        <w:rPr>
          <w:lang w:val="fr-CA"/>
        </w:rPr>
        <w:t>7,</w:t>
      </w:r>
      <w:r w:rsidRPr="00292F33">
        <w:rPr>
          <w:lang w:val="fr-CA"/>
        </w:rPr>
        <w:t xml:space="preserve"> </w:t>
      </w:r>
      <w:r w:rsidR="002433BE" w:rsidRPr="00292F33">
        <w:rPr>
          <w:lang w:val="fr-CA"/>
        </w:rPr>
        <w:t xml:space="preserve">publié dans </w:t>
      </w:r>
      <w:r w:rsidRPr="00292F33">
        <w:rPr>
          <w:lang w:val="fr-CA"/>
        </w:rPr>
        <w:t xml:space="preserve">(1920), 1 </w:t>
      </w:r>
      <w:r w:rsidRPr="00292F33">
        <w:rPr>
          <w:i/>
          <w:lang w:val="fr-CA"/>
        </w:rPr>
        <w:t>Société des Nations J</w:t>
      </w:r>
      <w:r w:rsidR="002433BE" w:rsidRPr="00292F33">
        <w:rPr>
          <w:i/>
          <w:lang w:val="fr-CA"/>
        </w:rPr>
        <w:t>.</w:t>
      </w:r>
      <w:r w:rsidRPr="00292F33">
        <w:rPr>
          <w:i/>
          <w:lang w:val="fr-CA"/>
        </w:rPr>
        <w:t>O</w:t>
      </w:r>
      <w:r w:rsidR="002433BE" w:rsidRPr="00292F33">
        <w:rPr>
          <w:i/>
          <w:lang w:val="fr-CA"/>
        </w:rPr>
        <w:t>.</w:t>
      </w:r>
      <w:r w:rsidRPr="00292F33">
        <w:rPr>
          <w:lang w:val="fr-CA"/>
        </w:rPr>
        <w:t xml:space="preserve"> 3.</w:t>
      </w:r>
    </w:p>
    <w:p w:rsidR="004D7D95" w:rsidRPr="001F05E9" w:rsidRDefault="004D7D95" w:rsidP="003C0B54">
      <w:pPr>
        <w:pStyle w:val="SCCNormalDoubleSpacing"/>
        <w:widowControl w:val="0"/>
        <w:spacing w:after="720" w:line="240" w:lineRule="auto"/>
        <w:rPr>
          <w:lang w:val="fr-CA"/>
        </w:rPr>
      </w:pPr>
      <w:r w:rsidRPr="004D7D95">
        <w:rPr>
          <w:b/>
          <w:lang w:val="fr-CA"/>
        </w:rPr>
        <w:t>Doctrine et autres documents cités</w:t>
      </w:r>
    </w:p>
    <w:p w:rsidR="007A4821" w:rsidRDefault="007A4821" w:rsidP="003C0B54">
      <w:pPr>
        <w:pStyle w:val="SCCNormalDoubleSpacing"/>
        <w:widowControl w:val="0"/>
        <w:spacing w:before="240" w:after="240" w:line="240" w:lineRule="auto"/>
        <w:ind w:left="540" w:hanging="540"/>
      </w:pPr>
      <w:proofErr w:type="spellStart"/>
      <w:r w:rsidRPr="00292F33">
        <w:rPr>
          <w:lang w:val="fr-CA"/>
        </w:rPr>
        <w:t>Ahluwalia</w:t>
      </w:r>
      <w:proofErr w:type="spellEnd"/>
      <w:r w:rsidRPr="00292F33">
        <w:rPr>
          <w:lang w:val="fr-CA"/>
        </w:rPr>
        <w:t xml:space="preserve">, </w:t>
      </w:r>
      <w:proofErr w:type="spellStart"/>
      <w:r w:rsidRPr="00292F33">
        <w:rPr>
          <w:lang w:val="fr-CA"/>
        </w:rPr>
        <w:t>Kuljit</w:t>
      </w:r>
      <w:proofErr w:type="spellEnd"/>
      <w:r w:rsidRPr="00292F33">
        <w:rPr>
          <w:lang w:val="fr-CA"/>
        </w:rPr>
        <w:t xml:space="preserve">. </w:t>
      </w:r>
      <w:r w:rsidRPr="00394E6F">
        <w:rPr>
          <w:i/>
        </w:rPr>
        <w:t>The Legal Status, Privileges and Immunities of the Specialized Agencies of the United Nations and Certain Other International Organizations</w:t>
      </w:r>
      <w:r>
        <w:t>,</w:t>
      </w:r>
      <w:r w:rsidRPr="00394E6F">
        <w:t xml:space="preserve"> The Hague</w:t>
      </w:r>
      <w:r>
        <w:t>,</w:t>
      </w:r>
      <w:r w:rsidRPr="00394E6F">
        <w:t xml:space="preserve"> </w:t>
      </w:r>
      <w:proofErr w:type="spellStart"/>
      <w:r w:rsidRPr="00394E6F">
        <w:t>Martinus</w:t>
      </w:r>
      <w:proofErr w:type="spellEnd"/>
      <w:r w:rsidRPr="00394E6F">
        <w:t xml:space="preserve"> </w:t>
      </w:r>
      <w:proofErr w:type="spellStart"/>
      <w:r w:rsidRPr="00394E6F">
        <w:t>Nijhoff</w:t>
      </w:r>
      <w:proofErr w:type="spellEnd"/>
      <w:r w:rsidRPr="00394E6F">
        <w:t>, 1964.</w:t>
      </w:r>
    </w:p>
    <w:p w:rsidR="00D93305" w:rsidRPr="0005124A" w:rsidRDefault="00D93305" w:rsidP="003C0B54">
      <w:pPr>
        <w:pStyle w:val="SCCNormalDoubleSpacing"/>
        <w:widowControl w:val="0"/>
        <w:spacing w:after="240" w:line="240" w:lineRule="auto"/>
        <w:ind w:left="540" w:hanging="540"/>
      </w:pPr>
      <w:r w:rsidRPr="0005124A">
        <w:rPr>
          <w:i/>
        </w:rPr>
        <w:t>Black</w:t>
      </w:r>
      <w:r w:rsidR="007B571E">
        <w:rPr>
          <w:i/>
        </w:rPr>
        <w:t>’</w:t>
      </w:r>
      <w:r w:rsidRPr="0005124A">
        <w:rPr>
          <w:i/>
        </w:rPr>
        <w:t>s Law Dictionary</w:t>
      </w:r>
      <w:r w:rsidRPr="0005124A">
        <w:t>, 10th ed., by Bryan A. Garner, ed.</w:t>
      </w:r>
      <w:r>
        <w:t>,</w:t>
      </w:r>
      <w:r w:rsidRPr="0005124A">
        <w:t xml:space="preserve"> St. Paul </w:t>
      </w:r>
      <w:r>
        <w:t>(</w:t>
      </w:r>
      <w:r w:rsidRPr="0005124A">
        <w:t>Minn.</w:t>
      </w:r>
      <w:r>
        <w:t>),</w:t>
      </w:r>
      <w:r w:rsidRPr="0005124A">
        <w:t xml:space="preserve"> Thomson Reuters, 2014, </w:t>
      </w:r>
      <w:r>
        <w:t>« </w:t>
      </w:r>
      <w:r w:rsidRPr="004261FC">
        <w:rPr>
          <w:i/>
        </w:rPr>
        <w:t>archive</w:t>
      </w:r>
      <w:r>
        <w:t> »</w:t>
      </w:r>
      <w:r w:rsidRPr="0005124A">
        <w:t>.</w:t>
      </w:r>
    </w:p>
    <w:p w:rsidR="004261FC" w:rsidRDefault="004261FC" w:rsidP="003C0B54">
      <w:pPr>
        <w:pStyle w:val="SCCNormalDoubleSpacing"/>
        <w:widowControl w:val="0"/>
        <w:spacing w:before="240" w:after="240" w:line="240" w:lineRule="auto"/>
        <w:ind w:left="540" w:hanging="540"/>
      </w:pPr>
      <w:r w:rsidRPr="002163EE">
        <w:rPr>
          <w:i/>
        </w:rPr>
        <w:t>Canadian Oxford Dictionary</w:t>
      </w:r>
      <w:r>
        <w:t xml:space="preserve">, 2nd ed., by Katherine Barber, ed., </w:t>
      </w:r>
      <w:r w:rsidRPr="002163EE">
        <w:t xml:space="preserve">Don Mills </w:t>
      </w:r>
      <w:r>
        <w:t>(</w:t>
      </w:r>
      <w:r w:rsidRPr="002163EE">
        <w:t>Ont.</w:t>
      </w:r>
      <w:r>
        <w:t>),</w:t>
      </w:r>
      <w:r w:rsidRPr="002163EE">
        <w:t xml:space="preserve"> Oxford University Press, 2004, </w:t>
      </w:r>
      <w:r>
        <w:t>« </w:t>
      </w:r>
      <w:r w:rsidRPr="004261FC">
        <w:rPr>
          <w:i/>
        </w:rPr>
        <w:t>archive</w:t>
      </w:r>
      <w:r>
        <w:t> ».</w:t>
      </w:r>
    </w:p>
    <w:p w:rsidR="004261FC" w:rsidRDefault="004261FC" w:rsidP="003C0B54">
      <w:pPr>
        <w:pStyle w:val="SCCNormalDoubleSpacing"/>
        <w:widowControl w:val="0"/>
        <w:spacing w:before="240" w:after="240" w:line="240" w:lineRule="auto"/>
        <w:ind w:left="540" w:hanging="540"/>
      </w:pPr>
      <w:r w:rsidRPr="002163EE">
        <w:rPr>
          <w:i/>
        </w:rPr>
        <w:t>Collins Canadian Dictionary</w:t>
      </w:r>
      <w:r>
        <w:t>, Toronto, HarperCollins,</w:t>
      </w:r>
      <w:r w:rsidRPr="00BE296B">
        <w:t xml:space="preserve"> 2010</w:t>
      </w:r>
      <w:r>
        <w:t>, « </w:t>
      </w:r>
      <w:r w:rsidRPr="004261FC">
        <w:rPr>
          <w:i/>
        </w:rPr>
        <w:t>archives</w:t>
      </w:r>
      <w:r>
        <w:t> ».</w:t>
      </w:r>
    </w:p>
    <w:p w:rsidR="004261FC" w:rsidRPr="00292F33" w:rsidRDefault="004261FC" w:rsidP="003C0B54">
      <w:pPr>
        <w:pStyle w:val="SCCNormalDoubleSpacing"/>
        <w:widowControl w:val="0"/>
        <w:spacing w:before="240" w:after="240" w:line="240" w:lineRule="auto"/>
        <w:ind w:left="540" w:hanging="540"/>
        <w:rPr>
          <w:lang w:val="fr-CA"/>
        </w:rPr>
      </w:pPr>
      <w:proofErr w:type="gramStart"/>
      <w:r w:rsidRPr="00292F33">
        <w:rPr>
          <w:lang w:val="fr-CA"/>
        </w:rPr>
        <w:t>de</w:t>
      </w:r>
      <w:proofErr w:type="gramEnd"/>
      <w:r w:rsidRPr="00292F33">
        <w:rPr>
          <w:lang w:val="fr-CA"/>
        </w:rPr>
        <w:t xml:space="preserve"> Villers, Marie</w:t>
      </w:r>
      <w:r w:rsidR="00FB73B5">
        <w:rPr>
          <w:lang w:val="fr-CA"/>
        </w:rPr>
        <w:noBreakHyphen/>
      </w:r>
      <w:r w:rsidRPr="00292F33">
        <w:rPr>
          <w:lang w:val="fr-CA"/>
        </w:rPr>
        <w:t xml:space="preserve">Éva. </w:t>
      </w:r>
      <w:proofErr w:type="spellStart"/>
      <w:r w:rsidR="00CD2622">
        <w:rPr>
          <w:i/>
          <w:lang w:val="fr-CA"/>
        </w:rPr>
        <w:t>Multi</w:t>
      </w:r>
      <w:r w:rsidRPr="00292F33">
        <w:rPr>
          <w:i/>
          <w:lang w:val="fr-CA"/>
        </w:rPr>
        <w:t>dictionnaire</w:t>
      </w:r>
      <w:proofErr w:type="spellEnd"/>
      <w:r w:rsidRPr="00292F33">
        <w:rPr>
          <w:i/>
          <w:lang w:val="fr-CA"/>
        </w:rPr>
        <w:t xml:space="preserve"> de la langue française</w:t>
      </w:r>
      <w:r w:rsidRPr="00292F33">
        <w:rPr>
          <w:lang w:val="fr-CA"/>
        </w:rPr>
        <w:t>, 5</w:t>
      </w:r>
      <w:r w:rsidRPr="00292F33">
        <w:rPr>
          <w:vertAlign w:val="superscript"/>
          <w:lang w:val="fr-CA"/>
        </w:rPr>
        <w:t>e</w:t>
      </w:r>
      <w:r w:rsidRPr="00292F33">
        <w:rPr>
          <w:lang w:val="fr-CA"/>
        </w:rPr>
        <w:t xml:space="preserve"> éd., Montréal, Québec Amérique, 2009, « archives ».</w:t>
      </w:r>
    </w:p>
    <w:p w:rsidR="00974BF6" w:rsidRDefault="00974BF6" w:rsidP="003C0B54">
      <w:pPr>
        <w:pStyle w:val="SCCNormalDoubleSpacing"/>
        <w:widowControl w:val="0"/>
        <w:spacing w:before="240" w:after="240" w:line="240" w:lineRule="auto"/>
        <w:ind w:left="540" w:hanging="540"/>
      </w:pPr>
      <w:proofErr w:type="spellStart"/>
      <w:r w:rsidRPr="00DD0844">
        <w:t>Denza</w:t>
      </w:r>
      <w:proofErr w:type="spellEnd"/>
      <w:r w:rsidRPr="00DD0844">
        <w:t xml:space="preserve">, Eileen. </w:t>
      </w:r>
      <w:r w:rsidRPr="00DD0844">
        <w:rPr>
          <w:i/>
        </w:rPr>
        <w:t xml:space="preserve">Diplomatic </w:t>
      </w:r>
      <w:proofErr w:type="gramStart"/>
      <w:r w:rsidRPr="00DD0844">
        <w:rPr>
          <w:i/>
        </w:rPr>
        <w:t>Law</w:t>
      </w:r>
      <w:r w:rsidR="00FB73B5">
        <w:rPr>
          <w:i/>
        </w:rPr>
        <w:t> :</w:t>
      </w:r>
      <w:proofErr w:type="gramEnd"/>
      <w:r w:rsidRPr="00DD0844">
        <w:rPr>
          <w:i/>
        </w:rPr>
        <w:t xml:space="preserve"> Commentary on the Vienna Convention on Diplomatic Relations</w:t>
      </w:r>
      <w:r w:rsidRPr="00DD0844">
        <w:t>, 3rd ed.</w:t>
      </w:r>
      <w:r>
        <w:t>,</w:t>
      </w:r>
      <w:r w:rsidRPr="00DD0844">
        <w:t xml:space="preserve"> </w:t>
      </w:r>
      <w:r>
        <w:t>Oxford,</w:t>
      </w:r>
      <w:r w:rsidRPr="00DD0844">
        <w:t xml:space="preserve"> Oxford University Press, 2008.</w:t>
      </w:r>
    </w:p>
    <w:p w:rsidR="004261FC" w:rsidRDefault="004261FC" w:rsidP="003C0B54">
      <w:pPr>
        <w:pStyle w:val="SCCNormalDoubleSpacing"/>
        <w:widowControl w:val="0"/>
        <w:spacing w:before="240" w:after="240" w:line="240" w:lineRule="auto"/>
        <w:ind w:left="540" w:hanging="540"/>
      </w:pPr>
      <w:proofErr w:type="spellStart"/>
      <w:r w:rsidRPr="009539AC">
        <w:t>Fedder</w:t>
      </w:r>
      <w:proofErr w:type="spellEnd"/>
      <w:r w:rsidRPr="009539AC">
        <w:t>, E</w:t>
      </w:r>
      <w:r w:rsidR="00CD104F">
        <w:t>dwin </w:t>
      </w:r>
      <w:r w:rsidRPr="009539AC">
        <w:t xml:space="preserve">H. </w:t>
      </w:r>
      <w:r>
        <w:t>« </w:t>
      </w:r>
      <w:r w:rsidRPr="009539AC">
        <w:t xml:space="preserve">The Functional Basis of International Privileges and </w:t>
      </w:r>
      <w:proofErr w:type="gramStart"/>
      <w:r w:rsidRPr="009539AC">
        <w:t>Immunities</w:t>
      </w:r>
      <w:r w:rsidR="00FB73B5">
        <w:t> :</w:t>
      </w:r>
      <w:proofErr w:type="gramEnd"/>
      <w:r w:rsidRPr="009539AC">
        <w:t xml:space="preserve"> A New Concept in International Law and </w:t>
      </w:r>
      <w:r>
        <w:t xml:space="preserve">Organization » (1960), 9 </w:t>
      </w:r>
      <w:r w:rsidRPr="002849A1">
        <w:rPr>
          <w:i/>
        </w:rPr>
        <w:t>Am. U.L. Rev.</w:t>
      </w:r>
      <w:r w:rsidRPr="009539AC">
        <w:t xml:space="preserve"> 60</w:t>
      </w:r>
      <w:r>
        <w:t>.</w:t>
      </w:r>
    </w:p>
    <w:p w:rsidR="004261FC" w:rsidRDefault="004261FC" w:rsidP="003C0B54">
      <w:pPr>
        <w:pStyle w:val="SCCNormalDoubleSpacing"/>
        <w:widowControl w:val="0"/>
        <w:spacing w:before="240" w:after="240" w:line="240" w:lineRule="auto"/>
        <w:ind w:left="540" w:hanging="540"/>
      </w:pPr>
      <w:r>
        <w:t>Fox, James</w:t>
      </w:r>
      <w:r w:rsidR="004F59FD">
        <w:t> </w:t>
      </w:r>
      <w:r w:rsidRPr="00BE296B">
        <w:t xml:space="preserve">R. </w:t>
      </w:r>
      <w:r w:rsidRPr="001B32FB">
        <w:rPr>
          <w:i/>
        </w:rPr>
        <w:t>Dictionary of International and Comparative Law</w:t>
      </w:r>
      <w:r>
        <w:t>,</w:t>
      </w:r>
      <w:r w:rsidRPr="00BE296B">
        <w:t xml:space="preserve"> 3rd ed.</w:t>
      </w:r>
      <w:r>
        <w:t>,</w:t>
      </w:r>
      <w:r w:rsidRPr="00BE296B">
        <w:t xml:space="preserve"> </w:t>
      </w:r>
      <w:r>
        <w:t xml:space="preserve">Dobbs Ferry (N.Y.), </w:t>
      </w:r>
      <w:proofErr w:type="spellStart"/>
      <w:r>
        <w:t>Oceana</w:t>
      </w:r>
      <w:proofErr w:type="spellEnd"/>
      <w:r>
        <w:t xml:space="preserve"> Publications, </w:t>
      </w:r>
      <w:r w:rsidRPr="00BE296B">
        <w:t>2003</w:t>
      </w:r>
      <w:r>
        <w:t>,</w:t>
      </w:r>
      <w:r w:rsidR="00872C0B">
        <w:t xml:space="preserve"> « </w:t>
      </w:r>
      <w:r w:rsidR="00872C0B" w:rsidRPr="00872C0B">
        <w:rPr>
          <w:i/>
        </w:rPr>
        <w:t>diplomatic archives</w:t>
      </w:r>
      <w:r w:rsidR="00872C0B">
        <w:t> »,</w:t>
      </w:r>
      <w:r>
        <w:t xml:space="preserve"> « </w:t>
      </w:r>
      <w:r w:rsidR="00E225EE">
        <w:rPr>
          <w:i/>
        </w:rPr>
        <w:t>inviolability</w:t>
      </w:r>
      <w:r>
        <w:t> ».</w:t>
      </w:r>
    </w:p>
    <w:p w:rsidR="00612186" w:rsidRDefault="00612186" w:rsidP="003C0B54">
      <w:pPr>
        <w:pStyle w:val="SCCNormalDoubleSpacing"/>
        <w:widowControl w:val="0"/>
        <w:spacing w:before="240" w:after="240" w:line="240" w:lineRule="auto"/>
        <w:ind w:left="540" w:hanging="540"/>
      </w:pPr>
      <w:r w:rsidRPr="00394E6F">
        <w:t>Grant</w:t>
      </w:r>
      <w:r>
        <w:t>,</w:t>
      </w:r>
      <w:r w:rsidRPr="00394E6F">
        <w:t xml:space="preserve"> John</w:t>
      </w:r>
      <w:r w:rsidR="004F59FD">
        <w:t> </w:t>
      </w:r>
      <w:r w:rsidRPr="00394E6F">
        <w:t>P.</w:t>
      </w:r>
      <w:r>
        <w:t>,</w:t>
      </w:r>
      <w:r w:rsidR="004F59FD">
        <w:t xml:space="preserve"> and J. </w:t>
      </w:r>
      <w:r w:rsidRPr="00394E6F">
        <w:t xml:space="preserve">Craig Barker, eds. </w:t>
      </w:r>
      <w:r w:rsidRPr="00394E6F">
        <w:rPr>
          <w:i/>
        </w:rPr>
        <w:t>Parry and Grant Encyclopaedic Dictionary of International Law</w:t>
      </w:r>
      <w:r w:rsidRPr="00394E6F">
        <w:t xml:space="preserve">, 2nd ed., Dobbs Ferry </w:t>
      </w:r>
      <w:r>
        <w:t>(</w:t>
      </w:r>
      <w:r w:rsidRPr="00394E6F">
        <w:t>N.Y.</w:t>
      </w:r>
      <w:r>
        <w:t>),</w:t>
      </w:r>
      <w:r w:rsidRPr="00394E6F">
        <w:t xml:space="preserve"> </w:t>
      </w:r>
      <w:proofErr w:type="spellStart"/>
      <w:r w:rsidRPr="00394E6F">
        <w:t>Oceana</w:t>
      </w:r>
      <w:proofErr w:type="spellEnd"/>
      <w:r w:rsidRPr="00394E6F">
        <w:t xml:space="preserve"> Publications, 2004, </w:t>
      </w:r>
      <w:r>
        <w:t>« </w:t>
      </w:r>
      <w:r w:rsidRPr="004261FC">
        <w:rPr>
          <w:i/>
        </w:rPr>
        <w:t>archives</w:t>
      </w:r>
      <w:r>
        <w:rPr>
          <w:i/>
        </w:rPr>
        <w:t xml:space="preserve">, </w:t>
      </w:r>
      <w:r w:rsidRPr="007A4821">
        <w:rPr>
          <w:i/>
        </w:rPr>
        <w:t>diplomatic and consular</w:t>
      </w:r>
      <w:r>
        <w:t> »</w:t>
      </w:r>
      <w:r w:rsidRPr="00394E6F">
        <w:t>.</w:t>
      </w:r>
    </w:p>
    <w:p w:rsidR="004261FC" w:rsidRDefault="004261FC" w:rsidP="003C0B54">
      <w:pPr>
        <w:pStyle w:val="SCCNormalDoubleSpacing"/>
        <w:widowControl w:val="0"/>
        <w:spacing w:before="240" w:after="240" w:line="240" w:lineRule="auto"/>
        <w:ind w:left="540" w:hanging="540"/>
      </w:pPr>
      <w:r w:rsidRPr="0050414D">
        <w:t>Hogg, Peter</w:t>
      </w:r>
      <w:r>
        <w:t xml:space="preserve"> W.</w:t>
      </w:r>
      <w:r w:rsidRPr="0050414D">
        <w:t xml:space="preserve"> </w:t>
      </w:r>
      <w:r w:rsidRPr="001B32FB">
        <w:rPr>
          <w:i/>
        </w:rPr>
        <w:t>Liability of the Crown in Australia, New Zealand and the United Kingdom</w:t>
      </w:r>
      <w:r>
        <w:t xml:space="preserve">, Melbourne, Law Book Co., </w:t>
      </w:r>
      <w:r w:rsidRPr="0050414D">
        <w:t>1971</w:t>
      </w:r>
      <w:r>
        <w:t>.</w:t>
      </w:r>
    </w:p>
    <w:p w:rsidR="00AB3ED7" w:rsidRDefault="004F59FD" w:rsidP="003C0B54">
      <w:pPr>
        <w:pStyle w:val="SCCNormalDoubleSpacing"/>
        <w:widowControl w:val="0"/>
        <w:spacing w:before="240" w:after="240" w:line="240" w:lineRule="auto"/>
        <w:ind w:left="540" w:hanging="540"/>
      </w:pPr>
      <w:r>
        <w:t xml:space="preserve">Hubbard, Robert W., Peter M. </w:t>
      </w:r>
      <w:proofErr w:type="spellStart"/>
      <w:r>
        <w:t>Brauti</w:t>
      </w:r>
      <w:proofErr w:type="spellEnd"/>
      <w:r>
        <w:t xml:space="preserve"> and Scott </w:t>
      </w:r>
      <w:r w:rsidR="00AB3ED7" w:rsidRPr="00394E6F">
        <w:t xml:space="preserve">K. Fenton. </w:t>
      </w:r>
      <w:r w:rsidR="00AB3ED7" w:rsidRPr="00394E6F">
        <w:rPr>
          <w:i/>
        </w:rPr>
        <w:t xml:space="preserve">Wiretapping and Other Electronic </w:t>
      </w:r>
      <w:proofErr w:type="gramStart"/>
      <w:r w:rsidR="00AB3ED7" w:rsidRPr="00394E6F">
        <w:rPr>
          <w:i/>
        </w:rPr>
        <w:t>Surveillance</w:t>
      </w:r>
      <w:r w:rsidR="00FB73B5">
        <w:rPr>
          <w:i/>
        </w:rPr>
        <w:t> :</w:t>
      </w:r>
      <w:proofErr w:type="gramEnd"/>
      <w:r w:rsidR="00AB3ED7" w:rsidRPr="00394E6F">
        <w:rPr>
          <w:i/>
        </w:rPr>
        <w:t xml:space="preserve"> Law and Procedure</w:t>
      </w:r>
      <w:r w:rsidR="00AB3ED7" w:rsidRPr="00394E6F">
        <w:t xml:space="preserve">, </w:t>
      </w:r>
      <w:r w:rsidR="00FB73B5">
        <w:t>vol. </w:t>
      </w:r>
      <w:r w:rsidR="00AB3ED7" w:rsidRPr="00394E6F">
        <w:t>2</w:t>
      </w:r>
      <w:r w:rsidR="00AB3ED7">
        <w:t>,</w:t>
      </w:r>
      <w:r w:rsidR="00AB3ED7" w:rsidRPr="00394E6F">
        <w:t xml:space="preserve"> Aurora </w:t>
      </w:r>
      <w:r w:rsidR="00AB3ED7">
        <w:t>(</w:t>
      </w:r>
      <w:r w:rsidR="00AB3ED7" w:rsidRPr="00394E6F">
        <w:t>Ont.</w:t>
      </w:r>
      <w:r w:rsidR="00AB3ED7">
        <w:t>),</w:t>
      </w:r>
      <w:r w:rsidR="00AB3ED7" w:rsidRPr="00394E6F">
        <w:t xml:space="preserve"> Canada Law Book, 2000 (loose</w:t>
      </w:r>
      <w:r w:rsidR="00FB73B5">
        <w:noBreakHyphen/>
      </w:r>
      <w:r w:rsidR="00AB3ED7" w:rsidRPr="00394E6F">
        <w:t>leaf updated February 2016, release 41).</w:t>
      </w:r>
    </w:p>
    <w:p w:rsidR="004261FC" w:rsidRDefault="004261FC" w:rsidP="003C0B54">
      <w:pPr>
        <w:pStyle w:val="SCCNormalDoubleSpacing"/>
        <w:widowControl w:val="0"/>
        <w:spacing w:before="240" w:after="240" w:line="240" w:lineRule="auto"/>
        <w:ind w:left="540" w:hanging="540"/>
      </w:pPr>
      <w:r w:rsidRPr="009539AC">
        <w:t>Jenks, C.</w:t>
      </w:r>
      <w:r w:rsidR="004F59FD">
        <w:t> </w:t>
      </w:r>
      <w:r w:rsidRPr="009539AC">
        <w:t>W</w:t>
      </w:r>
      <w:r>
        <w:t>ilfred</w:t>
      </w:r>
      <w:r w:rsidRPr="009539AC">
        <w:t xml:space="preserve">. </w:t>
      </w:r>
      <w:r w:rsidRPr="008A0941">
        <w:rPr>
          <w:i/>
        </w:rPr>
        <w:t>International Immunities</w:t>
      </w:r>
      <w:r>
        <w:t>,</w:t>
      </w:r>
      <w:r w:rsidRPr="009539AC">
        <w:t xml:space="preserve"> </w:t>
      </w:r>
      <w:r>
        <w:t xml:space="preserve">London, Stevens &amp; Sons, </w:t>
      </w:r>
      <w:r w:rsidRPr="009539AC">
        <w:t>1961</w:t>
      </w:r>
      <w:r>
        <w:t>.</w:t>
      </w:r>
    </w:p>
    <w:p w:rsidR="00DF2D2D" w:rsidRPr="00E6255D" w:rsidRDefault="004F59FD" w:rsidP="003C0B54">
      <w:pPr>
        <w:pStyle w:val="SCCNormalDoubleSpacing"/>
        <w:widowControl w:val="0"/>
        <w:spacing w:before="240" w:after="240" w:line="240" w:lineRule="auto"/>
        <w:ind w:left="540" w:hanging="540"/>
      </w:pPr>
      <w:r>
        <w:t>Jenks, C. </w:t>
      </w:r>
      <w:r w:rsidR="00DF2D2D" w:rsidRPr="00E6255D">
        <w:t>Wilfred. « Some Problems of an International Civil Service » (194</w:t>
      </w:r>
      <w:r w:rsidR="00E6255D" w:rsidRPr="00E6255D">
        <w:t>3</w:t>
      </w:r>
      <w:r w:rsidR="00DF2D2D" w:rsidRPr="00E6255D">
        <w:t xml:space="preserve">), 3 </w:t>
      </w:r>
      <w:r w:rsidR="00DF2D2D" w:rsidRPr="00E6255D">
        <w:rPr>
          <w:i/>
        </w:rPr>
        <w:t>P.A.R.</w:t>
      </w:r>
      <w:r w:rsidR="00DF2D2D" w:rsidRPr="00E6255D">
        <w:t xml:space="preserve"> 93.</w:t>
      </w:r>
    </w:p>
    <w:p w:rsidR="00077057" w:rsidRDefault="00CD104F" w:rsidP="003C0B54">
      <w:pPr>
        <w:pStyle w:val="SCCNormalDoubleSpacing"/>
        <w:widowControl w:val="0"/>
        <w:spacing w:before="240" w:after="240" w:line="240" w:lineRule="auto"/>
        <w:ind w:left="540" w:hanging="540"/>
      </w:pPr>
      <w:r>
        <w:t>Jenks, C. </w:t>
      </w:r>
      <w:r w:rsidR="00077057" w:rsidRPr="00E6255D">
        <w:t xml:space="preserve">Wilfred. </w:t>
      </w:r>
      <w:r w:rsidR="00077057" w:rsidRPr="00E6255D">
        <w:rPr>
          <w:i/>
        </w:rPr>
        <w:t>The Proper Law of International Organisations</w:t>
      </w:r>
      <w:r w:rsidR="00077057" w:rsidRPr="00E6255D">
        <w:t>, London, Stevens &amp;</w:t>
      </w:r>
      <w:r w:rsidR="00077057" w:rsidRPr="00DD0844">
        <w:t xml:space="preserve"> Sons, 1962.</w:t>
      </w:r>
    </w:p>
    <w:p w:rsidR="007C32EA" w:rsidRDefault="007C32EA" w:rsidP="003C0B54">
      <w:pPr>
        <w:pStyle w:val="SCCNormalDoubleSpacing"/>
        <w:widowControl w:val="0"/>
        <w:spacing w:before="240" w:after="240" w:line="240" w:lineRule="auto"/>
        <w:ind w:left="540" w:hanging="540"/>
      </w:pPr>
      <w:proofErr w:type="spellStart"/>
      <w:r w:rsidRPr="00A04E0E">
        <w:t>Klabbers</w:t>
      </w:r>
      <w:proofErr w:type="spellEnd"/>
      <w:r w:rsidRPr="00A04E0E">
        <w:t xml:space="preserve">, Jan. </w:t>
      </w:r>
      <w:r w:rsidRPr="00A04E0E">
        <w:rPr>
          <w:i/>
        </w:rPr>
        <w:t>An Introduction to International Organizations Law</w:t>
      </w:r>
      <w:r w:rsidRPr="00A04E0E">
        <w:t>, 3rd ed.</w:t>
      </w:r>
      <w:r>
        <w:t>,</w:t>
      </w:r>
      <w:r w:rsidRPr="00A04E0E">
        <w:t xml:space="preserve"> Cambridge</w:t>
      </w:r>
      <w:r>
        <w:t>,</w:t>
      </w:r>
      <w:r w:rsidRPr="00A04E0E">
        <w:t xml:space="preserve"> University Press, 2015.</w:t>
      </w:r>
    </w:p>
    <w:p w:rsidR="004261FC" w:rsidRDefault="004261FC" w:rsidP="003C0B54">
      <w:pPr>
        <w:pStyle w:val="SCCNormalDoubleSpacing"/>
        <w:widowControl w:val="0"/>
        <w:spacing w:before="240" w:after="240" w:line="240" w:lineRule="auto"/>
        <w:ind w:left="540" w:hanging="540"/>
      </w:pPr>
      <w:r w:rsidRPr="00C64532">
        <w:t>Kunz, J</w:t>
      </w:r>
      <w:r>
        <w:t>osef L</w:t>
      </w:r>
      <w:r w:rsidRPr="00C64532">
        <w:t xml:space="preserve">. </w:t>
      </w:r>
      <w:r>
        <w:t>« </w:t>
      </w:r>
      <w:r w:rsidRPr="00C64532">
        <w:t>Privileges and Immunities of International Organizations</w:t>
      </w:r>
      <w:r>
        <w:t> »</w:t>
      </w:r>
      <w:r w:rsidRPr="00C64532">
        <w:t xml:space="preserve"> (1947)</w:t>
      </w:r>
      <w:r>
        <w:t>,</w:t>
      </w:r>
      <w:r w:rsidRPr="00C64532">
        <w:t xml:space="preserve"> 41 </w:t>
      </w:r>
      <w:r w:rsidRPr="00834E08">
        <w:rPr>
          <w:i/>
        </w:rPr>
        <w:t>A.J.I.L.</w:t>
      </w:r>
      <w:r w:rsidRPr="00C64532">
        <w:t xml:space="preserve"> 828</w:t>
      </w:r>
      <w:r>
        <w:t>.</w:t>
      </w:r>
    </w:p>
    <w:p w:rsidR="004261FC" w:rsidRPr="00292F33" w:rsidRDefault="004261FC" w:rsidP="003C0B54">
      <w:pPr>
        <w:pStyle w:val="SCCNormalDoubleSpacing"/>
        <w:widowControl w:val="0"/>
        <w:spacing w:before="240" w:after="240" w:line="240" w:lineRule="auto"/>
        <w:ind w:left="540" w:hanging="540"/>
        <w:rPr>
          <w:lang w:val="fr-CA"/>
        </w:rPr>
      </w:pPr>
      <w:proofErr w:type="spellStart"/>
      <w:r w:rsidRPr="00292F33">
        <w:rPr>
          <w:lang w:val="fr-CA"/>
        </w:rPr>
        <w:t>LeSage</w:t>
      </w:r>
      <w:proofErr w:type="spellEnd"/>
      <w:r w:rsidRPr="00292F33">
        <w:rPr>
          <w:lang w:val="fr-CA"/>
        </w:rPr>
        <w:t>, Patrick J.</w:t>
      </w:r>
      <w:r w:rsidR="00B15CCB">
        <w:rPr>
          <w:lang w:val="fr-CA"/>
        </w:rPr>
        <w:t>,</w:t>
      </w:r>
      <w:r w:rsidRPr="00292F33">
        <w:rPr>
          <w:lang w:val="fr-CA"/>
        </w:rPr>
        <w:t xml:space="preserve"> et Michael Code. </w:t>
      </w:r>
      <w:r w:rsidRPr="00292F33">
        <w:rPr>
          <w:i/>
          <w:lang w:val="fr-CA"/>
        </w:rPr>
        <w:t>Rapport sur l</w:t>
      </w:r>
      <w:r w:rsidR="007B571E">
        <w:rPr>
          <w:i/>
          <w:lang w:val="fr-CA"/>
        </w:rPr>
        <w:t>’</w:t>
      </w:r>
      <w:r w:rsidRPr="00292F33">
        <w:rPr>
          <w:i/>
          <w:lang w:val="fr-CA"/>
        </w:rPr>
        <w:t>examen de la procédure relative aux affaires criminelles complexes</w:t>
      </w:r>
      <w:r w:rsidR="0008506F">
        <w:rPr>
          <w:lang w:val="fr-CA"/>
        </w:rPr>
        <w:t>, Toronto, ministère du P</w:t>
      </w:r>
      <w:r w:rsidRPr="00292F33">
        <w:rPr>
          <w:lang w:val="fr-CA"/>
        </w:rPr>
        <w:t>rocureur général de l</w:t>
      </w:r>
      <w:r w:rsidR="007B571E">
        <w:rPr>
          <w:lang w:val="fr-CA"/>
        </w:rPr>
        <w:t>’</w:t>
      </w:r>
      <w:r w:rsidRPr="00292F33">
        <w:rPr>
          <w:lang w:val="fr-CA"/>
        </w:rPr>
        <w:t>Ontario, 2008.</w:t>
      </w:r>
    </w:p>
    <w:p w:rsidR="004261FC" w:rsidRPr="00292F33" w:rsidRDefault="004261FC" w:rsidP="003C0B54">
      <w:pPr>
        <w:pStyle w:val="SCCNormalDoubleSpacing"/>
        <w:widowControl w:val="0"/>
        <w:spacing w:before="240" w:after="240" w:line="240" w:lineRule="auto"/>
        <w:ind w:left="540" w:hanging="540"/>
        <w:rPr>
          <w:lang w:val="fr-CA"/>
        </w:rPr>
      </w:pPr>
      <w:r w:rsidRPr="00292F33">
        <w:rPr>
          <w:i/>
          <w:lang w:val="fr-CA"/>
        </w:rPr>
        <w:t>Lexis</w:t>
      </w:r>
      <w:r w:rsidR="00FB73B5">
        <w:rPr>
          <w:i/>
          <w:lang w:val="fr-CA"/>
        </w:rPr>
        <w:t> :</w:t>
      </w:r>
      <w:r w:rsidR="0008506F">
        <w:rPr>
          <w:i/>
          <w:lang w:val="fr-CA"/>
        </w:rPr>
        <w:t xml:space="preserve"> l</w:t>
      </w:r>
      <w:r w:rsidRPr="00292F33">
        <w:rPr>
          <w:i/>
          <w:lang w:val="fr-CA"/>
        </w:rPr>
        <w:t>e dictionnaire érudit de la langue française</w:t>
      </w:r>
      <w:r w:rsidR="00A06ADB" w:rsidRPr="00292F33">
        <w:rPr>
          <w:lang w:val="fr-CA"/>
        </w:rPr>
        <w:t>,</w:t>
      </w:r>
      <w:r w:rsidRPr="00292F33">
        <w:rPr>
          <w:lang w:val="fr-CA"/>
        </w:rPr>
        <w:t xml:space="preserve"> Paris</w:t>
      </w:r>
      <w:r w:rsidR="00A06ADB" w:rsidRPr="00292F33">
        <w:rPr>
          <w:lang w:val="fr-CA"/>
        </w:rPr>
        <w:t>,</w:t>
      </w:r>
      <w:r w:rsidRPr="00292F33">
        <w:rPr>
          <w:lang w:val="fr-CA"/>
        </w:rPr>
        <w:t xml:space="preserve"> Larousse, 2009, « archives ».</w:t>
      </w:r>
    </w:p>
    <w:p w:rsidR="004261FC" w:rsidRDefault="004261FC" w:rsidP="003C0B54">
      <w:pPr>
        <w:pStyle w:val="SCCNormalDoubleSpacing"/>
        <w:widowControl w:val="0"/>
        <w:spacing w:before="240" w:after="240" w:line="240" w:lineRule="auto"/>
        <w:ind w:left="540" w:hanging="540"/>
      </w:pPr>
      <w:r w:rsidRPr="0065644C">
        <w:rPr>
          <w:i/>
        </w:rPr>
        <w:t>Merriam</w:t>
      </w:r>
      <w:r w:rsidR="00FB73B5">
        <w:rPr>
          <w:i/>
        </w:rPr>
        <w:noBreakHyphen/>
      </w:r>
      <w:r w:rsidRPr="0065644C">
        <w:rPr>
          <w:i/>
        </w:rPr>
        <w:t>Webster</w:t>
      </w:r>
      <w:r w:rsidR="007B571E">
        <w:rPr>
          <w:i/>
        </w:rPr>
        <w:t>’</w:t>
      </w:r>
      <w:r w:rsidRPr="0065644C">
        <w:rPr>
          <w:i/>
        </w:rPr>
        <w:t>s Collegiate Dictionary</w:t>
      </w:r>
      <w:r>
        <w:t>,</w:t>
      </w:r>
      <w:r w:rsidRPr="009539AC">
        <w:t xml:space="preserve"> 11th ed.</w:t>
      </w:r>
      <w:r w:rsidR="00A06ADB">
        <w:t>,</w:t>
      </w:r>
      <w:r w:rsidRPr="009539AC">
        <w:t xml:space="preserve"> </w:t>
      </w:r>
      <w:r>
        <w:t xml:space="preserve">Springfield </w:t>
      </w:r>
      <w:r w:rsidR="00A06ADB">
        <w:t>(</w:t>
      </w:r>
      <w:r>
        <w:t>Mass.</w:t>
      </w:r>
      <w:r w:rsidR="00A06ADB">
        <w:t>),</w:t>
      </w:r>
      <w:r>
        <w:t xml:space="preserve"> Merriam</w:t>
      </w:r>
      <w:r w:rsidR="00FB73B5">
        <w:noBreakHyphen/>
      </w:r>
      <w:r>
        <w:t xml:space="preserve">Webster, </w:t>
      </w:r>
      <w:r w:rsidRPr="009539AC">
        <w:t>2003</w:t>
      </w:r>
      <w:r>
        <w:t>, « </w:t>
      </w:r>
      <w:r w:rsidRPr="004261FC">
        <w:rPr>
          <w:i/>
        </w:rPr>
        <w:t>archive</w:t>
      </w:r>
      <w:r>
        <w:t> ».</w:t>
      </w:r>
    </w:p>
    <w:p w:rsidR="004261FC" w:rsidRDefault="004261FC" w:rsidP="003C0B54">
      <w:pPr>
        <w:pStyle w:val="SCCNormalDoubleSpacing"/>
        <w:widowControl w:val="0"/>
        <w:spacing w:before="240" w:after="240" w:line="240" w:lineRule="auto"/>
        <w:ind w:left="540" w:hanging="540"/>
      </w:pPr>
      <w:r w:rsidRPr="009539AC">
        <w:t>Miller, A</w:t>
      </w:r>
      <w:r>
        <w:t>nthony</w:t>
      </w:r>
      <w:r w:rsidR="004F59FD">
        <w:t> </w:t>
      </w:r>
      <w:r w:rsidRPr="009539AC">
        <w:t xml:space="preserve">J. </w:t>
      </w:r>
      <w:r>
        <w:t>« </w:t>
      </w:r>
      <w:r w:rsidRPr="009539AC">
        <w:t>The Privileges and Immunities of the United Nations</w:t>
      </w:r>
      <w:r>
        <w:t> »</w:t>
      </w:r>
      <w:r w:rsidRPr="009539AC">
        <w:t xml:space="preserve"> (2009)</w:t>
      </w:r>
      <w:r>
        <w:t>,</w:t>
      </w:r>
      <w:r w:rsidRPr="009539AC">
        <w:t xml:space="preserve"> 6 </w:t>
      </w:r>
      <w:r w:rsidRPr="00505D5B">
        <w:rPr>
          <w:i/>
        </w:rPr>
        <w:t>I.O.L.R.</w:t>
      </w:r>
      <w:r w:rsidRPr="009539AC">
        <w:t xml:space="preserve"> 7</w:t>
      </w:r>
      <w:r>
        <w:t>.</w:t>
      </w:r>
    </w:p>
    <w:p w:rsidR="004261FC" w:rsidRPr="00292F33" w:rsidRDefault="004261FC" w:rsidP="003C0B54">
      <w:pPr>
        <w:pStyle w:val="SCCNormalDoubleSpacing"/>
        <w:widowControl w:val="0"/>
        <w:spacing w:before="240" w:after="240" w:line="240" w:lineRule="auto"/>
        <w:ind w:left="540" w:hanging="540"/>
        <w:rPr>
          <w:lang w:val="fr-CA"/>
        </w:rPr>
      </w:pPr>
      <w:r w:rsidRPr="00292F33">
        <w:rPr>
          <w:lang w:val="fr-CA"/>
        </w:rPr>
        <w:t xml:space="preserve">Morton, Charles. </w:t>
      </w:r>
      <w:r w:rsidRPr="00292F33">
        <w:rPr>
          <w:i/>
          <w:lang w:val="fr-CA"/>
        </w:rPr>
        <w:t>Les privilèges et immunités diplomatiques</w:t>
      </w:r>
      <w:r w:rsidR="00FB73B5">
        <w:rPr>
          <w:i/>
          <w:lang w:val="fr-CA"/>
        </w:rPr>
        <w:t> :</w:t>
      </w:r>
      <w:r w:rsidR="0008506F">
        <w:rPr>
          <w:i/>
          <w:lang w:val="fr-CA"/>
        </w:rPr>
        <w:t xml:space="preserve"> é</w:t>
      </w:r>
      <w:r w:rsidRPr="00292F33">
        <w:rPr>
          <w:i/>
          <w:lang w:val="fr-CA"/>
        </w:rPr>
        <w:t>tude théorique suivie d</w:t>
      </w:r>
      <w:r w:rsidR="007B571E">
        <w:rPr>
          <w:i/>
          <w:lang w:val="fr-CA"/>
        </w:rPr>
        <w:t>’</w:t>
      </w:r>
      <w:r w:rsidRPr="00292F33">
        <w:rPr>
          <w:i/>
          <w:lang w:val="fr-CA"/>
        </w:rPr>
        <w:t>un bref exposé des usages de la Suisse dans ce domaine</w:t>
      </w:r>
      <w:r w:rsidR="00A06ADB" w:rsidRPr="00292F33">
        <w:rPr>
          <w:lang w:val="fr-CA"/>
        </w:rPr>
        <w:t>,</w:t>
      </w:r>
      <w:r w:rsidRPr="00292F33">
        <w:rPr>
          <w:lang w:val="fr-CA"/>
        </w:rPr>
        <w:t xml:space="preserve"> Lausanne</w:t>
      </w:r>
      <w:r w:rsidR="00A06ADB" w:rsidRPr="00292F33">
        <w:rPr>
          <w:lang w:val="fr-CA"/>
        </w:rPr>
        <w:t>,</w:t>
      </w:r>
      <w:r w:rsidRPr="00292F33">
        <w:rPr>
          <w:lang w:val="fr-CA"/>
        </w:rPr>
        <w:t xml:space="preserve"> Imprimerie La Concorde, 1927.</w:t>
      </w:r>
    </w:p>
    <w:p w:rsidR="000C4818" w:rsidRDefault="000C4818" w:rsidP="003C0B54">
      <w:pPr>
        <w:pStyle w:val="SCCNormalDoubleSpacing"/>
        <w:widowControl w:val="0"/>
        <w:spacing w:before="240" w:after="240" w:line="240" w:lineRule="auto"/>
        <w:ind w:left="540" w:hanging="540"/>
      </w:pPr>
      <w:r w:rsidRPr="007854AA">
        <w:t>Muller, A.</w:t>
      </w:r>
      <w:r w:rsidR="004F59FD">
        <w:t> </w:t>
      </w:r>
      <w:r w:rsidRPr="007854AA">
        <w:t xml:space="preserve">S. </w:t>
      </w:r>
      <w:r w:rsidRPr="007854AA">
        <w:rPr>
          <w:i/>
        </w:rPr>
        <w:t xml:space="preserve">International Organizations and their Host </w:t>
      </w:r>
      <w:proofErr w:type="gramStart"/>
      <w:r w:rsidRPr="007854AA">
        <w:rPr>
          <w:i/>
        </w:rPr>
        <w:t>States</w:t>
      </w:r>
      <w:r w:rsidR="00FB73B5">
        <w:rPr>
          <w:i/>
        </w:rPr>
        <w:t> :</w:t>
      </w:r>
      <w:proofErr w:type="gramEnd"/>
      <w:r w:rsidRPr="007854AA">
        <w:rPr>
          <w:i/>
        </w:rPr>
        <w:t xml:space="preserve"> Aspects of their Legal Relationship</w:t>
      </w:r>
      <w:r>
        <w:t>,</w:t>
      </w:r>
      <w:r w:rsidRPr="007854AA">
        <w:t xml:space="preserve"> The Hague</w:t>
      </w:r>
      <w:r>
        <w:t>,</w:t>
      </w:r>
      <w:r w:rsidRPr="007854AA">
        <w:t xml:space="preserve"> Kluwer Law International, 1995.</w:t>
      </w:r>
    </w:p>
    <w:p w:rsidR="00A06ADB" w:rsidRPr="00FB73B5" w:rsidRDefault="00A06ADB" w:rsidP="003C0B54">
      <w:pPr>
        <w:pStyle w:val="SCCNormalDoubleSpacing"/>
        <w:widowControl w:val="0"/>
        <w:spacing w:before="240" w:after="240" w:line="240" w:lineRule="auto"/>
        <w:ind w:left="540" w:hanging="540"/>
        <w:rPr>
          <w:lang w:val="en-US"/>
        </w:rPr>
      </w:pPr>
      <w:r w:rsidRPr="00292F33">
        <w:rPr>
          <w:lang w:val="fr-CA"/>
        </w:rPr>
        <w:t>Nations Unies. Commission du droit internation</w:t>
      </w:r>
      <w:r w:rsidR="00FB73B5">
        <w:rPr>
          <w:lang w:val="fr-CA"/>
        </w:rPr>
        <w:t>al. </w:t>
      </w:r>
      <w:r w:rsidRPr="00292F33">
        <w:rPr>
          <w:lang w:val="fr-CA"/>
        </w:rPr>
        <w:t xml:space="preserve">« Cinquième rapport sur les relations entre les États et les organisations internationales (deuxième partie du sujet) », </w:t>
      </w:r>
      <w:r w:rsidR="006E0876" w:rsidRPr="00292F33">
        <w:rPr>
          <w:lang w:val="fr-CA"/>
        </w:rPr>
        <w:t xml:space="preserve">par Leonardo </w:t>
      </w:r>
      <w:proofErr w:type="spellStart"/>
      <w:r w:rsidR="006E0876" w:rsidRPr="00292F33">
        <w:rPr>
          <w:lang w:val="fr-CA"/>
        </w:rPr>
        <w:t>Díaz</w:t>
      </w:r>
      <w:proofErr w:type="spellEnd"/>
      <w:r w:rsidR="006E0876" w:rsidRPr="00292F33">
        <w:rPr>
          <w:lang w:val="fr-CA"/>
        </w:rPr>
        <w:t xml:space="preserve"> Gonzále</w:t>
      </w:r>
      <w:r w:rsidR="00B15CCB">
        <w:rPr>
          <w:lang w:val="fr-CA"/>
        </w:rPr>
        <w:t>z</w:t>
      </w:r>
      <w:r w:rsidR="006E0876" w:rsidRPr="00292F33">
        <w:rPr>
          <w:lang w:val="fr-CA"/>
        </w:rPr>
        <w:t xml:space="preserve">, </w:t>
      </w:r>
      <w:r w:rsidRPr="00292F33">
        <w:rPr>
          <w:lang w:val="fr-CA"/>
        </w:rPr>
        <w:t xml:space="preserve">Doc. N.U. A/CN.4/438, dans </w:t>
      </w:r>
      <w:r w:rsidRPr="00292F33">
        <w:rPr>
          <w:i/>
          <w:lang w:val="fr-CA"/>
        </w:rPr>
        <w:t>Annuaire de la Commission du droit international 1991</w:t>
      </w:r>
      <w:r w:rsidRPr="00292F33">
        <w:rPr>
          <w:lang w:val="fr-CA"/>
        </w:rPr>
        <w:t xml:space="preserve">, </w:t>
      </w:r>
      <w:r w:rsidR="00FB73B5">
        <w:rPr>
          <w:lang w:val="fr-CA"/>
        </w:rPr>
        <w:t>vol. </w:t>
      </w:r>
      <w:r w:rsidRPr="00FB73B5">
        <w:rPr>
          <w:lang w:val="en-US"/>
        </w:rPr>
        <w:t xml:space="preserve">II, première </w:t>
      </w:r>
      <w:proofErr w:type="spellStart"/>
      <w:r w:rsidRPr="00FB73B5">
        <w:rPr>
          <w:lang w:val="en-US"/>
        </w:rPr>
        <w:t>partie</w:t>
      </w:r>
      <w:proofErr w:type="spellEnd"/>
      <w:r w:rsidRPr="00FB73B5">
        <w:rPr>
          <w:lang w:val="en-US"/>
        </w:rPr>
        <w:t xml:space="preserve">, New York, Nations </w:t>
      </w:r>
      <w:proofErr w:type="spellStart"/>
      <w:r w:rsidRPr="00FB73B5">
        <w:rPr>
          <w:lang w:val="en-US"/>
        </w:rPr>
        <w:t>Unies</w:t>
      </w:r>
      <w:proofErr w:type="spellEnd"/>
      <w:r w:rsidRPr="00FB73B5">
        <w:rPr>
          <w:lang w:val="en-US"/>
        </w:rPr>
        <w:t>, 1994, 9</w:t>
      </w:r>
      <w:r w:rsidR="0095052F" w:rsidRPr="00FB73B5">
        <w:rPr>
          <w:lang w:val="en-US"/>
        </w:rPr>
        <w:t>3</w:t>
      </w:r>
      <w:r w:rsidRPr="00FB73B5">
        <w:rPr>
          <w:lang w:val="en-US"/>
        </w:rPr>
        <w:t>.</w:t>
      </w:r>
    </w:p>
    <w:p w:rsidR="004261FC" w:rsidRDefault="004261FC" w:rsidP="003C0B54">
      <w:pPr>
        <w:pStyle w:val="SCCNormalDoubleSpacing"/>
        <w:widowControl w:val="0"/>
        <w:spacing w:before="240" w:after="240" w:line="240" w:lineRule="auto"/>
        <w:ind w:left="540" w:hanging="540"/>
      </w:pPr>
      <w:proofErr w:type="spellStart"/>
      <w:r w:rsidRPr="00FB73B5">
        <w:rPr>
          <w:lang w:val="en-US"/>
        </w:rPr>
        <w:t>Preuss</w:t>
      </w:r>
      <w:proofErr w:type="spellEnd"/>
      <w:r w:rsidRPr="00FB73B5">
        <w:rPr>
          <w:lang w:val="en-US"/>
        </w:rPr>
        <w:t xml:space="preserve">, Lawrence. </w:t>
      </w:r>
      <w:r>
        <w:t>« </w:t>
      </w:r>
      <w:r w:rsidRPr="00760712">
        <w:t>Diplomatic Privileges and Immunities of Agents Invested with Functions of an International Interest</w:t>
      </w:r>
      <w:r>
        <w:t> »</w:t>
      </w:r>
      <w:r w:rsidRPr="00760712">
        <w:t xml:space="preserve"> (1931)</w:t>
      </w:r>
      <w:r>
        <w:t>,</w:t>
      </w:r>
      <w:r w:rsidRPr="00760712">
        <w:t xml:space="preserve"> 25 </w:t>
      </w:r>
      <w:r w:rsidRPr="003C1263">
        <w:rPr>
          <w:i/>
        </w:rPr>
        <w:t>A.J.I.L.</w:t>
      </w:r>
      <w:r w:rsidRPr="00760712">
        <w:t xml:space="preserve"> 694</w:t>
      </w:r>
      <w:r>
        <w:t>.</w:t>
      </w:r>
    </w:p>
    <w:p w:rsidR="004261FC" w:rsidRDefault="004261FC" w:rsidP="003C0B54">
      <w:pPr>
        <w:pStyle w:val="SCCNormalDoubleSpacing"/>
        <w:widowControl w:val="0"/>
        <w:spacing w:before="240" w:after="240" w:line="240" w:lineRule="auto"/>
        <w:ind w:left="540" w:hanging="540"/>
      </w:pPr>
      <w:proofErr w:type="spellStart"/>
      <w:r w:rsidRPr="009539AC">
        <w:t>Reinisch</w:t>
      </w:r>
      <w:proofErr w:type="spellEnd"/>
      <w:r w:rsidRPr="009539AC">
        <w:t>, A</w:t>
      </w:r>
      <w:r>
        <w:t>ugust</w:t>
      </w:r>
      <w:r w:rsidRPr="009539AC">
        <w:t xml:space="preserve">. </w:t>
      </w:r>
      <w:r w:rsidRPr="00147308">
        <w:rPr>
          <w:i/>
        </w:rPr>
        <w:t xml:space="preserve">International Organizations </w:t>
      </w:r>
      <w:proofErr w:type="gramStart"/>
      <w:r w:rsidRPr="00147308">
        <w:rPr>
          <w:i/>
        </w:rPr>
        <w:t>Before</w:t>
      </w:r>
      <w:proofErr w:type="gramEnd"/>
      <w:r w:rsidRPr="00147308">
        <w:rPr>
          <w:i/>
        </w:rPr>
        <w:t xml:space="preserve"> National Courts</w:t>
      </w:r>
      <w:r w:rsidR="00A06ADB">
        <w:t>,</w:t>
      </w:r>
      <w:r>
        <w:t xml:space="preserve"> Cambridge</w:t>
      </w:r>
      <w:r w:rsidR="00A06ADB">
        <w:t>,</w:t>
      </w:r>
      <w:r>
        <w:t xml:space="preserve"> University Press, </w:t>
      </w:r>
      <w:r w:rsidRPr="009539AC">
        <w:t>2000</w:t>
      </w:r>
      <w:r>
        <w:t>.</w:t>
      </w:r>
    </w:p>
    <w:p w:rsidR="007C32EA" w:rsidRDefault="007C32EA" w:rsidP="003C0B54">
      <w:pPr>
        <w:pStyle w:val="SCCNormalDoubleSpacing"/>
        <w:widowControl w:val="0"/>
        <w:spacing w:before="240" w:after="240" w:line="240" w:lineRule="auto"/>
        <w:ind w:left="540" w:hanging="540"/>
      </w:pPr>
      <w:proofErr w:type="spellStart"/>
      <w:r w:rsidRPr="00A04E0E">
        <w:t>Reinisch</w:t>
      </w:r>
      <w:proofErr w:type="spellEnd"/>
      <w:r w:rsidRPr="00A04E0E">
        <w:t xml:space="preserve">, August. </w:t>
      </w:r>
      <w:r>
        <w:t>« </w:t>
      </w:r>
      <w:r w:rsidRPr="00A04E0E">
        <w:t xml:space="preserve">Transnational Judicial Conversations on the Personality, Privileges, and Immunities of International Organizations — </w:t>
      </w:r>
      <w:proofErr w:type="gramStart"/>
      <w:r w:rsidRPr="00A04E0E">
        <w:t>An</w:t>
      </w:r>
      <w:proofErr w:type="gramEnd"/>
      <w:r w:rsidRPr="00A04E0E">
        <w:t xml:space="preserve"> Introduction</w:t>
      </w:r>
      <w:r>
        <w:t> »</w:t>
      </w:r>
      <w:r w:rsidRPr="00A04E0E">
        <w:t xml:space="preserve">, in August </w:t>
      </w:r>
      <w:proofErr w:type="spellStart"/>
      <w:r w:rsidRPr="00A04E0E">
        <w:t>Reinisch</w:t>
      </w:r>
      <w:proofErr w:type="spellEnd"/>
      <w:r w:rsidRPr="00A04E0E">
        <w:t xml:space="preserve">, ed., </w:t>
      </w:r>
      <w:r w:rsidRPr="00A04E0E">
        <w:rPr>
          <w:i/>
        </w:rPr>
        <w:t>The Privileges and Immunities of International Organizations in Domestic Courts</w:t>
      </w:r>
      <w:r>
        <w:t>,</w:t>
      </w:r>
      <w:r w:rsidRPr="00A04E0E">
        <w:t xml:space="preserve"> Oxford</w:t>
      </w:r>
      <w:r>
        <w:t>,</w:t>
      </w:r>
      <w:r w:rsidRPr="00A04E0E">
        <w:t xml:space="preserve"> University Press, 2013, 1.</w:t>
      </w:r>
    </w:p>
    <w:p w:rsidR="00DF2D2D" w:rsidRDefault="00DF2D2D" w:rsidP="003C0B54">
      <w:pPr>
        <w:pStyle w:val="SCCNormalDoubleSpacing"/>
        <w:widowControl w:val="0"/>
        <w:spacing w:before="240" w:after="240" w:line="240" w:lineRule="auto"/>
        <w:ind w:left="540" w:hanging="540"/>
      </w:pPr>
      <w:proofErr w:type="spellStart"/>
      <w:r w:rsidRPr="00E6255D">
        <w:t>Reinisch</w:t>
      </w:r>
      <w:proofErr w:type="spellEnd"/>
      <w:r w:rsidRPr="00E6255D">
        <w:t xml:space="preserve">, August, and </w:t>
      </w:r>
      <w:proofErr w:type="spellStart"/>
      <w:r w:rsidRPr="00E6255D">
        <w:t>Jakob</w:t>
      </w:r>
      <w:proofErr w:type="spellEnd"/>
      <w:r w:rsidRPr="00E6255D">
        <w:t xml:space="preserve"> </w:t>
      </w:r>
      <w:proofErr w:type="spellStart"/>
      <w:r w:rsidRPr="00E6255D">
        <w:t>Wurm</w:t>
      </w:r>
      <w:proofErr w:type="spellEnd"/>
      <w:r w:rsidRPr="00E6255D">
        <w:t>. « International Financial Institutions befo</w:t>
      </w:r>
      <w:r w:rsidR="004F59FD">
        <w:t xml:space="preserve">re National Courts », in Daniel D. </w:t>
      </w:r>
      <w:proofErr w:type="spellStart"/>
      <w:r w:rsidR="004F59FD">
        <w:t>Bradlow</w:t>
      </w:r>
      <w:proofErr w:type="spellEnd"/>
      <w:r w:rsidR="004F59FD">
        <w:t xml:space="preserve"> and David </w:t>
      </w:r>
      <w:r w:rsidRPr="00E6255D">
        <w:t xml:space="preserve">B. Hunter, eds., </w:t>
      </w:r>
      <w:r w:rsidRPr="00E6255D">
        <w:rPr>
          <w:i/>
        </w:rPr>
        <w:t>International Financial Institutions and International Law</w:t>
      </w:r>
      <w:r w:rsidRPr="00E6255D">
        <w:t xml:space="preserve">, Alphen </w:t>
      </w:r>
      <w:proofErr w:type="spellStart"/>
      <w:r w:rsidRPr="00E6255D">
        <w:t>aan</w:t>
      </w:r>
      <w:proofErr w:type="spellEnd"/>
      <w:r w:rsidRPr="00E6255D">
        <w:t xml:space="preserve"> den Rijn (The Netherlands), Kluwer Law International, 2010, 103.</w:t>
      </w:r>
    </w:p>
    <w:p w:rsidR="007A1AA2" w:rsidRPr="00292F33" w:rsidRDefault="007A1AA2" w:rsidP="003C0B54">
      <w:pPr>
        <w:pStyle w:val="SCCNormalDoubleSpacing"/>
        <w:widowControl w:val="0"/>
        <w:spacing w:before="240" w:after="240" w:line="240" w:lineRule="auto"/>
        <w:ind w:left="540" w:hanging="540"/>
        <w:rPr>
          <w:lang w:val="fr-CA"/>
        </w:rPr>
      </w:pPr>
      <w:r w:rsidRPr="00292F33">
        <w:rPr>
          <w:lang w:val="fr-CA"/>
        </w:rPr>
        <w:t xml:space="preserve">Salmon, Jean, </w:t>
      </w:r>
      <w:proofErr w:type="spellStart"/>
      <w:r w:rsidRPr="00292F33">
        <w:rPr>
          <w:lang w:val="fr-CA"/>
        </w:rPr>
        <w:t>dir</w:t>
      </w:r>
      <w:proofErr w:type="spellEnd"/>
      <w:r w:rsidRPr="00292F33">
        <w:rPr>
          <w:lang w:val="fr-CA"/>
        </w:rPr>
        <w:t xml:space="preserve">. </w:t>
      </w:r>
      <w:r w:rsidRPr="00292F33">
        <w:rPr>
          <w:i/>
          <w:lang w:val="fr-CA"/>
        </w:rPr>
        <w:t>Dictionnaire de droit international public</w:t>
      </w:r>
      <w:r w:rsidRPr="00292F33">
        <w:rPr>
          <w:lang w:val="fr-CA"/>
        </w:rPr>
        <w:t xml:space="preserve">, Bruxelles, </w:t>
      </w:r>
      <w:proofErr w:type="spellStart"/>
      <w:r w:rsidRPr="00292F33">
        <w:rPr>
          <w:lang w:val="fr-CA"/>
        </w:rPr>
        <w:t>Bruylant</w:t>
      </w:r>
      <w:proofErr w:type="spellEnd"/>
      <w:r w:rsidRPr="00292F33">
        <w:rPr>
          <w:lang w:val="fr-CA"/>
        </w:rPr>
        <w:t>, 2001, « archives d</w:t>
      </w:r>
      <w:r w:rsidR="007B571E">
        <w:rPr>
          <w:lang w:val="fr-CA"/>
        </w:rPr>
        <w:t>’</w:t>
      </w:r>
      <w:r w:rsidRPr="00292F33">
        <w:rPr>
          <w:lang w:val="fr-CA"/>
        </w:rPr>
        <w:t>une organisation internationale ».</w:t>
      </w:r>
    </w:p>
    <w:p w:rsidR="004261FC" w:rsidRDefault="004261FC" w:rsidP="003C0B54">
      <w:pPr>
        <w:pStyle w:val="SCCNormalDoubleSpacing"/>
        <w:widowControl w:val="0"/>
        <w:spacing w:before="240" w:after="240" w:line="240" w:lineRule="auto"/>
        <w:ind w:left="540" w:hanging="540"/>
      </w:pPr>
      <w:proofErr w:type="spellStart"/>
      <w:r w:rsidRPr="00292F33">
        <w:rPr>
          <w:lang w:val="fr-CA"/>
        </w:rPr>
        <w:t>Sands</w:t>
      </w:r>
      <w:proofErr w:type="spellEnd"/>
      <w:r w:rsidRPr="00292F33">
        <w:rPr>
          <w:lang w:val="fr-CA"/>
        </w:rPr>
        <w:t xml:space="preserve">, Philippe, and Pierre Klein. </w:t>
      </w:r>
      <w:proofErr w:type="spellStart"/>
      <w:r w:rsidRPr="003C1263">
        <w:rPr>
          <w:i/>
        </w:rPr>
        <w:t>Bowett</w:t>
      </w:r>
      <w:r w:rsidR="007B571E">
        <w:rPr>
          <w:i/>
        </w:rPr>
        <w:t>’</w:t>
      </w:r>
      <w:r w:rsidRPr="003C1263">
        <w:rPr>
          <w:i/>
        </w:rPr>
        <w:t>s</w:t>
      </w:r>
      <w:proofErr w:type="spellEnd"/>
      <w:r w:rsidRPr="003C1263">
        <w:rPr>
          <w:i/>
        </w:rPr>
        <w:t xml:space="preserve"> Law of International Institutions</w:t>
      </w:r>
      <w:r>
        <w:t>,</w:t>
      </w:r>
      <w:r w:rsidRPr="00BE296B">
        <w:t xml:space="preserve"> </w:t>
      </w:r>
      <w:r>
        <w:t>6th ed.</w:t>
      </w:r>
      <w:r w:rsidR="00A06ADB">
        <w:t>,</w:t>
      </w:r>
      <w:r>
        <w:t xml:space="preserve"> London</w:t>
      </w:r>
      <w:r w:rsidR="00A06ADB">
        <w:t>,</w:t>
      </w:r>
      <w:r>
        <w:t xml:space="preserve"> Sweet &amp; Maxwell/Thomson Reuters, 2009.</w:t>
      </w:r>
    </w:p>
    <w:p w:rsidR="004261FC" w:rsidRPr="00292F33" w:rsidRDefault="004261FC" w:rsidP="003C0B54">
      <w:pPr>
        <w:pStyle w:val="SCCNormalDoubleSpacing"/>
        <w:widowControl w:val="0"/>
        <w:spacing w:before="240" w:after="240" w:line="240" w:lineRule="auto"/>
        <w:ind w:left="540" w:hanging="540"/>
        <w:rPr>
          <w:lang w:val="fr-CA"/>
        </w:rPr>
      </w:pPr>
      <w:proofErr w:type="spellStart"/>
      <w:r w:rsidRPr="00292F33">
        <w:rPr>
          <w:lang w:val="fr-CA"/>
        </w:rPr>
        <w:t>Secretan</w:t>
      </w:r>
      <w:proofErr w:type="spellEnd"/>
      <w:r w:rsidRPr="00292F33">
        <w:rPr>
          <w:lang w:val="fr-CA"/>
        </w:rPr>
        <w:t xml:space="preserve">, Jacques. </w:t>
      </w:r>
      <w:r w:rsidRPr="00292F33">
        <w:rPr>
          <w:i/>
          <w:lang w:val="fr-CA"/>
        </w:rPr>
        <w:t>Les immunités diplomatiques des représentants des états membres et des agents de la Société des nations</w:t>
      </w:r>
      <w:r w:rsidR="00A06ADB" w:rsidRPr="00292F33">
        <w:rPr>
          <w:lang w:val="fr-CA"/>
        </w:rPr>
        <w:t>,</w:t>
      </w:r>
      <w:r w:rsidRPr="00292F33">
        <w:rPr>
          <w:lang w:val="fr-CA"/>
        </w:rPr>
        <w:t xml:space="preserve"> Lausanne</w:t>
      </w:r>
      <w:r w:rsidR="00A06ADB" w:rsidRPr="00292F33">
        <w:rPr>
          <w:lang w:val="fr-CA"/>
        </w:rPr>
        <w:t>,</w:t>
      </w:r>
      <w:r w:rsidRPr="00292F33">
        <w:rPr>
          <w:lang w:val="fr-CA"/>
        </w:rPr>
        <w:t xml:space="preserve"> Librairie Payot, 1928.</w:t>
      </w:r>
    </w:p>
    <w:p w:rsidR="00974BF6" w:rsidRDefault="00974BF6" w:rsidP="003C0B54">
      <w:pPr>
        <w:pStyle w:val="SCCNormalDoubleSpacing"/>
        <w:widowControl w:val="0"/>
        <w:spacing w:before="240" w:after="240" w:line="240" w:lineRule="auto"/>
        <w:ind w:left="540" w:hanging="540"/>
      </w:pPr>
      <w:r w:rsidRPr="00DD0844">
        <w:t xml:space="preserve">Sen, B. </w:t>
      </w:r>
      <w:r w:rsidRPr="00DD0844">
        <w:rPr>
          <w:i/>
        </w:rPr>
        <w:t>A Diplomat</w:t>
      </w:r>
      <w:r w:rsidR="007B571E">
        <w:rPr>
          <w:i/>
        </w:rPr>
        <w:t>’</w:t>
      </w:r>
      <w:r w:rsidRPr="00DD0844">
        <w:rPr>
          <w:i/>
        </w:rPr>
        <w:t>s Handbook of International Law and Practice</w:t>
      </w:r>
      <w:r>
        <w:t>,</w:t>
      </w:r>
      <w:r w:rsidRPr="00DD0844">
        <w:t xml:space="preserve"> </w:t>
      </w:r>
      <w:r w:rsidR="00CD2622">
        <w:t xml:space="preserve">3rd </w:t>
      </w:r>
      <w:r w:rsidR="0008506F">
        <w:t xml:space="preserve">rev. </w:t>
      </w:r>
      <w:r w:rsidR="00CD2622">
        <w:t xml:space="preserve">ed., </w:t>
      </w:r>
      <w:r w:rsidRPr="00DD0844">
        <w:t>The Hague</w:t>
      </w:r>
      <w:r>
        <w:t>,</w:t>
      </w:r>
      <w:r w:rsidRPr="00DD0844">
        <w:t xml:space="preserve"> </w:t>
      </w:r>
      <w:proofErr w:type="spellStart"/>
      <w:r w:rsidRPr="00DD0844">
        <w:t>Martinus</w:t>
      </w:r>
      <w:proofErr w:type="spellEnd"/>
      <w:r w:rsidRPr="00DD0844">
        <w:t xml:space="preserve"> </w:t>
      </w:r>
      <w:proofErr w:type="spellStart"/>
      <w:r w:rsidRPr="00DD0844">
        <w:t>Nijhoff</w:t>
      </w:r>
      <w:proofErr w:type="spellEnd"/>
      <w:r w:rsidRPr="00DD0844">
        <w:t>, 19</w:t>
      </w:r>
      <w:r w:rsidR="00CD2622">
        <w:t>80</w:t>
      </w:r>
      <w:r w:rsidRPr="00DD0844">
        <w:t>.</w:t>
      </w:r>
    </w:p>
    <w:p w:rsidR="00B25515" w:rsidRPr="00292F33" w:rsidRDefault="00B25515" w:rsidP="003C0B54">
      <w:pPr>
        <w:pStyle w:val="SCCNormalDoubleSpacing"/>
        <w:widowControl w:val="0"/>
        <w:spacing w:before="240" w:after="240" w:line="240" w:lineRule="auto"/>
        <w:ind w:left="540" w:hanging="540"/>
        <w:rPr>
          <w:lang w:val="fr-CA"/>
        </w:rPr>
      </w:pPr>
      <w:r w:rsidRPr="00292F33">
        <w:rPr>
          <w:lang w:val="fr-CA"/>
        </w:rPr>
        <w:t>Société des Nations. Secrétaire génér</w:t>
      </w:r>
      <w:r w:rsidR="00FB73B5">
        <w:rPr>
          <w:lang w:val="fr-CA"/>
        </w:rPr>
        <w:t>al. </w:t>
      </w:r>
      <w:r w:rsidRPr="00292F33">
        <w:rPr>
          <w:lang w:val="fr-CA"/>
        </w:rPr>
        <w:t xml:space="preserve">« Communications </w:t>
      </w:r>
      <w:r w:rsidR="00DD3578" w:rsidRPr="00292F33">
        <w:rPr>
          <w:lang w:val="fr-CA"/>
        </w:rPr>
        <w:t xml:space="preserve">du Conseil fédéral suisse concernant le régime des immunités diplomatiques du personnel de la Société des Nations et du Bureau international du </w:t>
      </w:r>
      <w:r w:rsidR="00B15CCB">
        <w:rPr>
          <w:lang w:val="fr-CA"/>
        </w:rPr>
        <w:t>T</w:t>
      </w:r>
      <w:r w:rsidR="00DD3578" w:rsidRPr="00292F33">
        <w:rPr>
          <w:lang w:val="fr-CA"/>
        </w:rPr>
        <w:t>ravail</w:t>
      </w:r>
      <w:r w:rsidRPr="00292F33">
        <w:rPr>
          <w:lang w:val="fr-CA"/>
        </w:rPr>
        <w:t xml:space="preserve"> » (1926), 7 </w:t>
      </w:r>
      <w:r w:rsidR="00313E93" w:rsidRPr="00292F33">
        <w:rPr>
          <w:i/>
          <w:lang w:val="fr-CA"/>
        </w:rPr>
        <w:t>Société des Nations J.O.</w:t>
      </w:r>
      <w:r w:rsidRPr="00292F33">
        <w:rPr>
          <w:lang w:val="fr-CA"/>
        </w:rPr>
        <w:t xml:space="preserve"> 1422.</w:t>
      </w:r>
    </w:p>
    <w:p w:rsidR="004261FC" w:rsidRDefault="004261FC" w:rsidP="003C0B54">
      <w:pPr>
        <w:pStyle w:val="SCCNormalDoubleSpacing"/>
        <w:widowControl w:val="0"/>
        <w:spacing w:after="720" w:line="240" w:lineRule="auto"/>
        <w:ind w:left="547" w:hanging="547"/>
      </w:pPr>
      <w:proofErr w:type="spellStart"/>
      <w:r w:rsidRPr="00C64532">
        <w:t>Wouters</w:t>
      </w:r>
      <w:proofErr w:type="spellEnd"/>
      <w:r w:rsidRPr="00C64532">
        <w:t>, J</w:t>
      </w:r>
      <w:r>
        <w:t>an,</w:t>
      </w:r>
      <w:r w:rsidRPr="00C64532">
        <w:t xml:space="preserve"> </w:t>
      </w:r>
      <w:proofErr w:type="spellStart"/>
      <w:r w:rsidRPr="00C64532">
        <w:t>S</w:t>
      </w:r>
      <w:r>
        <w:t>anderijn</w:t>
      </w:r>
      <w:proofErr w:type="spellEnd"/>
      <w:r w:rsidRPr="00C64532">
        <w:t xml:space="preserve"> </w:t>
      </w:r>
      <w:proofErr w:type="spellStart"/>
      <w:r w:rsidRPr="00C64532">
        <w:t>Duquet</w:t>
      </w:r>
      <w:proofErr w:type="spellEnd"/>
      <w:r w:rsidRPr="00C64532">
        <w:t xml:space="preserve"> and </w:t>
      </w:r>
      <w:proofErr w:type="spellStart"/>
      <w:r w:rsidRPr="00C64532">
        <w:t>K</w:t>
      </w:r>
      <w:r>
        <w:t>atrien</w:t>
      </w:r>
      <w:proofErr w:type="spellEnd"/>
      <w:r w:rsidRPr="00C64532">
        <w:t xml:space="preserve"> </w:t>
      </w:r>
      <w:proofErr w:type="spellStart"/>
      <w:r w:rsidRPr="00C64532">
        <w:t>Meuwissen</w:t>
      </w:r>
      <w:proofErr w:type="spellEnd"/>
      <w:r>
        <w:t>.</w:t>
      </w:r>
      <w:r w:rsidRPr="00C64532">
        <w:t xml:space="preserve"> </w:t>
      </w:r>
      <w:r>
        <w:t>« </w:t>
      </w:r>
      <w:r w:rsidRPr="00C64532">
        <w:t>The Vienna Conventions on Diplomatic and Consular Relations</w:t>
      </w:r>
      <w:r w:rsidR="00A06ADB">
        <w:t> »</w:t>
      </w:r>
      <w:r w:rsidRPr="00C64532">
        <w:t>, in A</w:t>
      </w:r>
      <w:r>
        <w:t>ndrew</w:t>
      </w:r>
      <w:r w:rsidR="004F59FD">
        <w:t> </w:t>
      </w:r>
      <w:r w:rsidRPr="00C64532">
        <w:t>F. Cooper, J</w:t>
      </w:r>
      <w:r>
        <w:t>orge</w:t>
      </w:r>
      <w:r w:rsidRPr="00C64532">
        <w:t xml:space="preserve"> Heine and R</w:t>
      </w:r>
      <w:r>
        <w:t>amesh</w:t>
      </w:r>
      <w:r w:rsidRPr="00C64532">
        <w:t xml:space="preserve"> </w:t>
      </w:r>
      <w:r>
        <w:t>Th</w:t>
      </w:r>
      <w:r w:rsidRPr="00C64532">
        <w:t xml:space="preserve">akur, eds., </w:t>
      </w:r>
      <w:proofErr w:type="gramStart"/>
      <w:r w:rsidRPr="008A0941">
        <w:rPr>
          <w:i/>
        </w:rPr>
        <w:t>The</w:t>
      </w:r>
      <w:proofErr w:type="gramEnd"/>
      <w:r w:rsidRPr="008A0941">
        <w:rPr>
          <w:i/>
        </w:rPr>
        <w:t xml:space="preserve"> Oxford Handbook of Modern Diplomacy</w:t>
      </w:r>
      <w:r w:rsidR="00A06ADB">
        <w:t>,</w:t>
      </w:r>
      <w:r w:rsidRPr="00C64532">
        <w:t xml:space="preserve"> </w:t>
      </w:r>
      <w:r>
        <w:t>Oxford</w:t>
      </w:r>
      <w:r w:rsidR="00A06ADB">
        <w:t>,</w:t>
      </w:r>
      <w:r>
        <w:t xml:space="preserve"> University Press, </w:t>
      </w:r>
      <w:r w:rsidRPr="00C64532">
        <w:t>2013, 5</w:t>
      </w:r>
      <w:r>
        <w:t>10.</w:t>
      </w:r>
    </w:p>
    <w:p w:rsidR="004D7D95" w:rsidRPr="004D7D95" w:rsidRDefault="004D7D95" w:rsidP="003C0B54">
      <w:pPr>
        <w:pStyle w:val="SCCNormalDoubleSpacing"/>
        <w:widowControl w:val="0"/>
        <w:spacing w:before="480" w:after="480"/>
        <w:rPr>
          <w:lang w:val="fr-CA"/>
        </w:rPr>
      </w:pPr>
      <w:r w:rsidRPr="00292F33">
        <w:rPr>
          <w:lang w:val="en-US"/>
        </w:rPr>
        <w:tab/>
      </w:r>
      <w:r w:rsidRPr="004D7D95">
        <w:rPr>
          <w:lang w:val="fr-CA"/>
        </w:rPr>
        <w:t xml:space="preserve">POURVOI contre </w:t>
      </w:r>
      <w:r w:rsidRPr="00EE5EFE">
        <w:rPr>
          <w:lang w:val="fr-CA"/>
        </w:rPr>
        <w:t>un</w:t>
      </w:r>
      <w:r w:rsidR="006D1EFE" w:rsidRPr="00EE5EFE">
        <w:rPr>
          <w:lang w:val="fr-CA"/>
        </w:rPr>
        <w:t>e décision</w:t>
      </w:r>
      <w:r w:rsidRPr="004D7D95">
        <w:rPr>
          <w:lang w:val="fr-CA"/>
        </w:rPr>
        <w:t xml:space="preserve"> de la </w:t>
      </w:r>
      <w:r w:rsidRPr="00387E52">
        <w:rPr>
          <w:lang w:val="fr-CA"/>
        </w:rPr>
        <w:t>Cour supérieure de justice de l</w:t>
      </w:r>
      <w:r w:rsidR="007B571E">
        <w:rPr>
          <w:lang w:val="fr-CA"/>
        </w:rPr>
        <w:t>’</w:t>
      </w:r>
      <w:r w:rsidRPr="00387E52">
        <w:rPr>
          <w:lang w:val="fr-CA"/>
        </w:rPr>
        <w:t>Ontario</w:t>
      </w:r>
      <w:r w:rsidR="006D1EFE">
        <w:rPr>
          <w:lang w:val="fr-CA"/>
        </w:rPr>
        <w:t xml:space="preserve"> </w:t>
      </w:r>
      <w:r w:rsidR="006D1EFE" w:rsidRPr="006D1EFE">
        <w:rPr>
          <w:lang w:val="fr-CA"/>
        </w:rPr>
        <w:t>(</w:t>
      </w:r>
      <w:r w:rsidR="006D1EFE">
        <w:rPr>
          <w:lang w:val="fr-CA"/>
        </w:rPr>
        <w:t xml:space="preserve">le juge </w:t>
      </w:r>
      <w:proofErr w:type="spellStart"/>
      <w:r w:rsidR="006D1EFE" w:rsidRPr="006D1EFE">
        <w:rPr>
          <w:lang w:val="fr-CA"/>
        </w:rPr>
        <w:t>Nordheimer</w:t>
      </w:r>
      <w:proofErr w:type="spellEnd"/>
      <w:r w:rsidR="006D1EFE" w:rsidRPr="006D1EFE">
        <w:rPr>
          <w:lang w:val="fr-CA"/>
        </w:rPr>
        <w:t xml:space="preserve">), 2014 ONSC 7449, [2014] O.J. </w:t>
      </w:r>
      <w:r w:rsidR="00FB73B5">
        <w:rPr>
          <w:lang w:val="fr-CA"/>
        </w:rPr>
        <w:t>No. </w:t>
      </w:r>
      <w:r w:rsidR="006D1EFE" w:rsidRPr="006D1EFE">
        <w:rPr>
          <w:lang w:val="fr-CA"/>
        </w:rPr>
        <w:t>6534 (QL),</w:t>
      </w:r>
      <w:r w:rsidR="006D1EFE">
        <w:rPr>
          <w:lang w:val="fr-CA"/>
        </w:rPr>
        <w:t xml:space="preserve"> </w:t>
      </w:r>
      <w:r w:rsidR="006D1EFE" w:rsidRPr="00EE5EFE">
        <w:rPr>
          <w:lang w:val="fr-CA"/>
        </w:rPr>
        <w:t xml:space="preserve">qui a accueilli en partie une demande </w:t>
      </w:r>
      <w:r w:rsidR="000612DD">
        <w:rPr>
          <w:lang w:val="fr-CA"/>
        </w:rPr>
        <w:t>présentée par les inculpés en vue d</w:t>
      </w:r>
      <w:r w:rsidR="007B571E">
        <w:rPr>
          <w:lang w:val="fr-CA"/>
        </w:rPr>
        <w:t>’</w:t>
      </w:r>
      <w:r w:rsidR="000612DD">
        <w:rPr>
          <w:lang w:val="fr-CA"/>
        </w:rPr>
        <w:t>obtenir la validation d</w:t>
      </w:r>
      <w:r w:rsidR="007B571E">
        <w:rPr>
          <w:lang w:val="fr-CA"/>
        </w:rPr>
        <w:t>’</w:t>
      </w:r>
      <w:r w:rsidR="000612DD">
        <w:rPr>
          <w:lang w:val="fr-CA"/>
        </w:rPr>
        <w:t xml:space="preserve">assignations à comparaître et une ordonnance de </w:t>
      </w:r>
      <w:r w:rsidR="00EE5EFE" w:rsidRPr="000612DD">
        <w:rPr>
          <w:lang w:val="fr-CA"/>
        </w:rPr>
        <w:t>communi</w:t>
      </w:r>
      <w:r w:rsidR="000612DD" w:rsidRPr="000612DD">
        <w:rPr>
          <w:lang w:val="fr-CA"/>
        </w:rPr>
        <w:t xml:space="preserve">cation </w:t>
      </w:r>
      <w:r w:rsidR="006D1EFE" w:rsidRPr="000612DD">
        <w:rPr>
          <w:lang w:val="fr-CA"/>
        </w:rPr>
        <w:t>de documents</w:t>
      </w:r>
      <w:r w:rsidR="007B19B0" w:rsidRPr="000612DD">
        <w:rPr>
          <w:lang w:val="fr-CA"/>
        </w:rPr>
        <w:t>.</w:t>
      </w:r>
      <w:r w:rsidR="007B19B0">
        <w:rPr>
          <w:lang w:val="fr-CA"/>
        </w:rPr>
        <w:t xml:space="preserve"> Pourvoi </w:t>
      </w:r>
      <w:r w:rsidR="00072CB0">
        <w:rPr>
          <w:lang w:val="fr-CA"/>
        </w:rPr>
        <w:t>accueilli</w:t>
      </w:r>
      <w:r w:rsidR="007B19B0">
        <w:rPr>
          <w:lang w:val="fr-CA"/>
        </w:rPr>
        <w:t>.</w:t>
      </w:r>
    </w:p>
    <w:p w:rsidR="00102D40" w:rsidRPr="007B571E" w:rsidRDefault="00CC1A0B" w:rsidP="003C0B54">
      <w:pPr>
        <w:pStyle w:val="SCCNormalDoubleSpacing"/>
        <w:widowControl w:val="0"/>
        <w:spacing w:before="480" w:after="480"/>
        <w:rPr>
          <w:lang w:val="fr-CA"/>
        </w:rPr>
      </w:pPr>
      <w:r w:rsidRPr="00BE0737">
        <w:rPr>
          <w:rStyle w:val="SCCCounselNameChar"/>
          <w:i w:val="0"/>
          <w:lang w:val="fr-CA"/>
        </w:rPr>
        <w:tab/>
      </w:r>
      <w:r w:rsidRPr="007B571E">
        <w:rPr>
          <w:rStyle w:val="SCCCounselNameChar"/>
          <w:lang w:val="fr-CA"/>
        </w:rPr>
        <w:t>Alan J. Lenczner</w:t>
      </w:r>
      <w:r w:rsidRPr="007B571E">
        <w:rPr>
          <w:rStyle w:val="SCCCounselNameChar"/>
          <w:i w:val="0"/>
          <w:lang w:val="fr-CA"/>
        </w:rPr>
        <w:t xml:space="preserve">, </w:t>
      </w:r>
      <w:r w:rsidRPr="007B571E">
        <w:rPr>
          <w:rStyle w:val="SCCCounselNameChar"/>
          <w:lang w:val="fr-CA"/>
        </w:rPr>
        <w:t>c.r.</w:t>
      </w:r>
      <w:r w:rsidRPr="007B571E">
        <w:rPr>
          <w:rStyle w:val="SCCCounselSeparatorChar"/>
          <w:lang w:val="fr-CA"/>
        </w:rPr>
        <w:t xml:space="preserve">, </w:t>
      </w:r>
      <w:r w:rsidRPr="007B571E">
        <w:rPr>
          <w:rStyle w:val="SCCCounselNameChar"/>
          <w:lang w:val="fr-CA"/>
        </w:rPr>
        <w:t>Scott Rollwagen</w:t>
      </w:r>
      <w:r w:rsidRPr="007B571E">
        <w:rPr>
          <w:rStyle w:val="SCCCounselPartyRoleChar"/>
          <w:lang w:val="fr-CA"/>
        </w:rPr>
        <w:t xml:space="preserve"> et </w:t>
      </w:r>
      <w:r w:rsidRPr="007B571E">
        <w:rPr>
          <w:rStyle w:val="SCCCounselPartyRoleChar"/>
          <w:i/>
          <w:lang w:val="fr-CA"/>
        </w:rPr>
        <w:t>Chris Kinnear</w:t>
      </w:r>
      <w:r w:rsidR="00FB73B5" w:rsidRPr="007B571E">
        <w:rPr>
          <w:rStyle w:val="SCCCounselPartyRoleChar"/>
          <w:i/>
          <w:lang w:val="fr-CA"/>
        </w:rPr>
        <w:noBreakHyphen/>
      </w:r>
      <w:r w:rsidRPr="007B571E">
        <w:rPr>
          <w:rStyle w:val="SCCCounselPartyRoleChar"/>
          <w:i/>
          <w:lang w:val="fr-CA"/>
        </w:rPr>
        <w:t>Hunter</w:t>
      </w:r>
      <w:r w:rsidRPr="007B571E">
        <w:rPr>
          <w:rStyle w:val="SCCCounselPartyRoleChar"/>
          <w:lang w:val="fr-CA"/>
        </w:rPr>
        <w:t>, pour l</w:t>
      </w:r>
      <w:r w:rsidR="007B571E" w:rsidRPr="007B571E">
        <w:rPr>
          <w:rStyle w:val="SCCCounselPartyRoleChar"/>
          <w:lang w:val="fr-CA"/>
        </w:rPr>
        <w:t>’</w:t>
      </w:r>
      <w:r w:rsidRPr="007B571E">
        <w:rPr>
          <w:rStyle w:val="SCCCounselPartyRoleChar"/>
          <w:lang w:val="fr-CA"/>
        </w:rPr>
        <w:t>appelant.</w:t>
      </w:r>
    </w:p>
    <w:p w:rsidR="00102D40" w:rsidRPr="00CC1A0B" w:rsidRDefault="00CC1A0B" w:rsidP="003C0B54">
      <w:pPr>
        <w:pStyle w:val="SCCNormalDoubleSpacing"/>
        <w:widowControl w:val="0"/>
        <w:spacing w:before="480" w:after="480"/>
        <w:rPr>
          <w:lang w:val="fr-CA"/>
        </w:rPr>
      </w:pPr>
      <w:r w:rsidRPr="007B571E">
        <w:rPr>
          <w:rStyle w:val="SCCCounselNameChar"/>
          <w:i w:val="0"/>
          <w:lang w:val="fr-CA"/>
        </w:rPr>
        <w:tab/>
      </w:r>
      <w:r w:rsidRPr="00CC1A0B">
        <w:rPr>
          <w:rStyle w:val="SCCCounselNameChar"/>
          <w:lang w:val="fr-CA"/>
        </w:rPr>
        <w:t>Scott K. Fenton</w:t>
      </w:r>
      <w:r w:rsidRPr="00CC1A0B">
        <w:rPr>
          <w:rStyle w:val="SCCCounselSeparatorChar"/>
          <w:lang w:val="fr-CA"/>
        </w:rPr>
        <w:t xml:space="preserve"> et </w:t>
      </w:r>
      <w:r w:rsidRPr="00CC1A0B">
        <w:rPr>
          <w:rStyle w:val="SCCCounselNameChar"/>
          <w:lang w:val="fr-CA"/>
        </w:rPr>
        <w:t>Lynda E. Morgan</w:t>
      </w:r>
      <w:r w:rsidRPr="00CC1A0B">
        <w:rPr>
          <w:rStyle w:val="SCCCounselPartyRoleChar"/>
          <w:lang w:val="fr-CA"/>
        </w:rPr>
        <w:t>, pour l</w:t>
      </w:r>
      <w:r w:rsidR="007B571E">
        <w:rPr>
          <w:rStyle w:val="SCCCounselPartyRoleChar"/>
          <w:lang w:val="fr-CA"/>
        </w:rPr>
        <w:t>’</w:t>
      </w:r>
      <w:r>
        <w:rPr>
          <w:rStyle w:val="SCCCounselPartyRoleChar"/>
          <w:lang w:val="fr-CA"/>
        </w:rPr>
        <w:t xml:space="preserve">intimé </w:t>
      </w:r>
      <w:r w:rsidRPr="00CC1A0B">
        <w:rPr>
          <w:lang w:val="fr-CA"/>
        </w:rPr>
        <w:t>Kevin Wallace</w:t>
      </w:r>
      <w:r w:rsidRPr="00CC1A0B">
        <w:rPr>
          <w:rStyle w:val="SCCCounselPartyRoleChar"/>
          <w:lang w:val="fr-CA"/>
        </w:rPr>
        <w:t>.</w:t>
      </w:r>
    </w:p>
    <w:p w:rsidR="00102D40" w:rsidRPr="00CC1A0B" w:rsidRDefault="00CC1A0B" w:rsidP="003C0B54">
      <w:pPr>
        <w:pStyle w:val="SCCNormalDoubleSpacing"/>
        <w:widowControl w:val="0"/>
        <w:spacing w:before="480" w:after="480"/>
        <w:rPr>
          <w:lang w:val="fr-CA"/>
        </w:rPr>
      </w:pPr>
      <w:r w:rsidRPr="00BE0737">
        <w:rPr>
          <w:rStyle w:val="SCCCounselNameChar"/>
          <w:i w:val="0"/>
          <w:lang w:val="fr-CA"/>
        </w:rPr>
        <w:tab/>
      </w:r>
      <w:r w:rsidRPr="00CC1A0B">
        <w:rPr>
          <w:rStyle w:val="SCCCounselNameChar"/>
          <w:lang w:val="fr-CA"/>
        </w:rPr>
        <w:t xml:space="preserve">Frank </w:t>
      </w:r>
      <w:proofErr w:type="spellStart"/>
      <w:r w:rsidRPr="00CC1A0B">
        <w:rPr>
          <w:rStyle w:val="SCCCounselNameChar"/>
          <w:lang w:val="fr-CA"/>
        </w:rPr>
        <w:t>Addario</w:t>
      </w:r>
      <w:proofErr w:type="spellEnd"/>
      <w:r w:rsidRPr="00CC1A0B">
        <w:rPr>
          <w:rStyle w:val="SCCCounselSeparatorChar"/>
          <w:lang w:val="fr-CA"/>
        </w:rPr>
        <w:t xml:space="preserve"> et </w:t>
      </w:r>
      <w:r w:rsidRPr="00CC1A0B">
        <w:rPr>
          <w:rStyle w:val="SCCCounselNameChar"/>
          <w:lang w:val="fr-CA"/>
        </w:rPr>
        <w:t>Megan Savard</w:t>
      </w:r>
      <w:r w:rsidRPr="00CC1A0B">
        <w:rPr>
          <w:rStyle w:val="SCCCounselPartyRoleChar"/>
          <w:lang w:val="fr-CA"/>
        </w:rPr>
        <w:t>, pour l</w:t>
      </w:r>
      <w:r w:rsidR="007B571E">
        <w:rPr>
          <w:rStyle w:val="SCCCounselPartyRoleChar"/>
          <w:lang w:val="fr-CA"/>
        </w:rPr>
        <w:t>’</w:t>
      </w:r>
      <w:r w:rsidRPr="00CC1A0B">
        <w:rPr>
          <w:rStyle w:val="SCCCounselPartyRoleChar"/>
          <w:lang w:val="fr-CA"/>
        </w:rPr>
        <w:t>intimé</w:t>
      </w:r>
      <w:r>
        <w:rPr>
          <w:rStyle w:val="SCCCounselPartyRoleChar"/>
          <w:lang w:val="fr-CA"/>
        </w:rPr>
        <w:t xml:space="preserve"> </w:t>
      </w:r>
      <w:proofErr w:type="spellStart"/>
      <w:r w:rsidRPr="00CC1A0B">
        <w:rPr>
          <w:lang w:val="fr-CA"/>
        </w:rPr>
        <w:t>Zulfiquar</w:t>
      </w:r>
      <w:proofErr w:type="spellEnd"/>
      <w:r w:rsidRPr="00CC1A0B">
        <w:rPr>
          <w:lang w:val="fr-CA"/>
        </w:rPr>
        <w:t xml:space="preserve"> </w:t>
      </w:r>
      <w:proofErr w:type="spellStart"/>
      <w:r w:rsidRPr="00CC1A0B">
        <w:rPr>
          <w:lang w:val="fr-CA"/>
        </w:rPr>
        <w:t>Bhuiyan</w:t>
      </w:r>
      <w:proofErr w:type="spellEnd"/>
      <w:r w:rsidRPr="00CC1A0B">
        <w:rPr>
          <w:rStyle w:val="SCCCounselPartyRoleChar"/>
          <w:lang w:val="fr-CA"/>
        </w:rPr>
        <w:t>.</w:t>
      </w:r>
    </w:p>
    <w:p w:rsidR="00102D40" w:rsidRPr="00387E52" w:rsidRDefault="00CC1A0B" w:rsidP="003C0B54">
      <w:pPr>
        <w:pStyle w:val="SCCNormalDoubleSpacing"/>
        <w:widowControl w:val="0"/>
        <w:spacing w:before="480" w:after="480"/>
        <w:rPr>
          <w:lang w:val="fr-CA"/>
        </w:rPr>
      </w:pPr>
      <w:r w:rsidRPr="00BE0737">
        <w:rPr>
          <w:rStyle w:val="SCCCounselNameChar"/>
          <w:i w:val="0"/>
          <w:lang w:val="fr-CA"/>
        </w:rPr>
        <w:tab/>
      </w:r>
      <w:r w:rsidRPr="00CC1A0B">
        <w:rPr>
          <w:rStyle w:val="SCCCounselNameChar"/>
          <w:lang w:val="fr-CA"/>
        </w:rPr>
        <w:t>David Cousins</w:t>
      </w:r>
      <w:r w:rsidRPr="00CC1A0B">
        <w:rPr>
          <w:rStyle w:val="SCCCounselPartyRoleChar"/>
          <w:lang w:val="fr-CA"/>
        </w:rPr>
        <w:t>, pou</w:t>
      </w:r>
      <w:r w:rsidRPr="00387E52">
        <w:rPr>
          <w:rStyle w:val="SCCCounselPartyRoleChar"/>
          <w:lang w:val="fr-CA"/>
        </w:rPr>
        <w:t>r l</w:t>
      </w:r>
      <w:r w:rsidR="007B571E">
        <w:rPr>
          <w:rStyle w:val="SCCCounselPartyRoleChar"/>
          <w:lang w:val="fr-CA"/>
        </w:rPr>
        <w:t>’</w:t>
      </w:r>
      <w:r>
        <w:rPr>
          <w:rStyle w:val="SCCCounselPartyRoleChar"/>
          <w:lang w:val="fr-CA"/>
        </w:rPr>
        <w:t xml:space="preserve">intimé </w:t>
      </w:r>
      <w:proofErr w:type="spellStart"/>
      <w:r w:rsidRPr="00BE0737">
        <w:rPr>
          <w:lang w:val="fr-CA"/>
        </w:rPr>
        <w:t>Ramesh</w:t>
      </w:r>
      <w:proofErr w:type="spellEnd"/>
      <w:r w:rsidRPr="00BE0737">
        <w:rPr>
          <w:lang w:val="fr-CA"/>
        </w:rPr>
        <w:t xml:space="preserve"> Shah</w:t>
      </w:r>
      <w:r w:rsidRPr="00387E52">
        <w:rPr>
          <w:rStyle w:val="SCCCounselPartyRoleChar"/>
          <w:lang w:val="fr-CA"/>
        </w:rPr>
        <w:t>.</w:t>
      </w:r>
    </w:p>
    <w:p w:rsidR="00102D40" w:rsidRPr="00BE0737" w:rsidRDefault="00CC1A0B" w:rsidP="003C0B54">
      <w:pPr>
        <w:pStyle w:val="SCCNormalDoubleSpacing"/>
        <w:widowControl w:val="0"/>
        <w:spacing w:before="480" w:after="480"/>
        <w:rPr>
          <w:lang w:val="fr-CA"/>
        </w:rPr>
      </w:pPr>
      <w:r w:rsidRPr="00BE0737">
        <w:rPr>
          <w:rStyle w:val="SCCCounselNameChar"/>
          <w:i w:val="0"/>
          <w:lang w:val="fr-CA"/>
        </w:rPr>
        <w:tab/>
      </w:r>
      <w:r w:rsidRPr="00BE0737">
        <w:rPr>
          <w:rStyle w:val="SCCCounselNameChar"/>
          <w:lang w:val="fr-CA"/>
        </w:rPr>
        <w:t>Kathryn Wells</w:t>
      </w:r>
      <w:r w:rsidRPr="00BE0737">
        <w:rPr>
          <w:rStyle w:val="SCCCounselPartyRoleChar"/>
          <w:lang w:val="fr-CA"/>
        </w:rPr>
        <w:t>, pour l</w:t>
      </w:r>
      <w:r w:rsidR="007B571E">
        <w:rPr>
          <w:rStyle w:val="SCCCounselPartyRoleChar"/>
          <w:lang w:val="fr-CA"/>
        </w:rPr>
        <w:t>’</w:t>
      </w:r>
      <w:r w:rsidRPr="00BE0737">
        <w:rPr>
          <w:rStyle w:val="SCCCounselPartyRoleChar"/>
          <w:lang w:val="fr-CA"/>
        </w:rPr>
        <w:t xml:space="preserve">intimé </w:t>
      </w:r>
      <w:r w:rsidRPr="00BE0737">
        <w:rPr>
          <w:lang w:val="fr-CA"/>
        </w:rPr>
        <w:t>Mohammad Ismail</w:t>
      </w:r>
      <w:r w:rsidRPr="00BE0737">
        <w:rPr>
          <w:rStyle w:val="SCCCounselPartyRoleChar"/>
          <w:lang w:val="fr-CA"/>
        </w:rPr>
        <w:t>.</w:t>
      </w:r>
    </w:p>
    <w:p w:rsidR="00102D40" w:rsidRPr="00387E52" w:rsidRDefault="00CC1A0B" w:rsidP="003C0B54">
      <w:pPr>
        <w:pStyle w:val="SCCNormalDoubleSpacing"/>
        <w:widowControl w:val="0"/>
        <w:spacing w:before="480" w:after="480"/>
        <w:rPr>
          <w:lang w:val="fr-CA"/>
        </w:rPr>
      </w:pPr>
      <w:r w:rsidRPr="00BE0737">
        <w:rPr>
          <w:rStyle w:val="SCCCounselNameChar"/>
          <w:i w:val="0"/>
          <w:lang w:val="fr-CA"/>
        </w:rPr>
        <w:tab/>
      </w:r>
      <w:r w:rsidRPr="00CC1A0B">
        <w:rPr>
          <w:rStyle w:val="SCCCounselNameChar"/>
          <w:lang w:val="fr-CA"/>
        </w:rPr>
        <w:t xml:space="preserve">Nicholas E. </w:t>
      </w:r>
      <w:proofErr w:type="spellStart"/>
      <w:r w:rsidRPr="00CC1A0B">
        <w:rPr>
          <w:rStyle w:val="SCCCounselNameChar"/>
          <w:lang w:val="fr-CA"/>
        </w:rPr>
        <w:t>Devlin</w:t>
      </w:r>
      <w:proofErr w:type="spellEnd"/>
      <w:r w:rsidRPr="00CC1A0B">
        <w:rPr>
          <w:rStyle w:val="SCCCounselPartyRoleChar"/>
          <w:lang w:val="fr-CA"/>
        </w:rPr>
        <w:t xml:space="preserve"> </w:t>
      </w:r>
      <w:r>
        <w:rPr>
          <w:rStyle w:val="SCCCounselPartyRoleChar"/>
          <w:lang w:val="fr-CA"/>
        </w:rPr>
        <w:t>et</w:t>
      </w:r>
      <w:r w:rsidRPr="00CC1A0B">
        <w:rPr>
          <w:rStyle w:val="SCCCounselPartyRoleChar"/>
          <w:lang w:val="fr-CA"/>
        </w:rPr>
        <w:t xml:space="preserve"> </w:t>
      </w:r>
      <w:r w:rsidRPr="00CC1A0B">
        <w:rPr>
          <w:rStyle w:val="SCCCounselPartyRoleChar"/>
          <w:i/>
          <w:lang w:val="fr-CA"/>
        </w:rPr>
        <w:t xml:space="preserve">François </w:t>
      </w:r>
      <w:proofErr w:type="spellStart"/>
      <w:r w:rsidRPr="00CC1A0B">
        <w:rPr>
          <w:rStyle w:val="SCCCounselPartyRoleChar"/>
          <w:i/>
          <w:lang w:val="fr-CA"/>
        </w:rPr>
        <w:t>Lacasse</w:t>
      </w:r>
      <w:proofErr w:type="spellEnd"/>
      <w:r w:rsidRPr="00387E52">
        <w:rPr>
          <w:rStyle w:val="SCCCounselPartyRoleChar"/>
          <w:lang w:val="fr-CA"/>
        </w:rPr>
        <w:t>, pour l</w:t>
      </w:r>
      <w:r w:rsidR="007B571E">
        <w:rPr>
          <w:rStyle w:val="SCCCounselPartyRoleChar"/>
          <w:lang w:val="fr-CA"/>
        </w:rPr>
        <w:t>’</w:t>
      </w:r>
      <w:r>
        <w:rPr>
          <w:rStyle w:val="SCCCounselPartyRoleChar"/>
          <w:lang w:val="fr-CA"/>
        </w:rPr>
        <w:t>intimé</w:t>
      </w:r>
      <w:r w:rsidRPr="00387E52">
        <w:rPr>
          <w:rStyle w:val="SCCCounselPartyRoleChar"/>
          <w:lang w:val="fr-CA"/>
        </w:rPr>
        <w:t>e</w:t>
      </w:r>
      <w:r>
        <w:rPr>
          <w:rStyle w:val="SCCCounselPartyRoleChar"/>
          <w:lang w:val="fr-CA"/>
        </w:rPr>
        <w:t xml:space="preserve"> </w:t>
      </w:r>
      <w:r w:rsidRPr="00387E52">
        <w:rPr>
          <w:lang w:val="fr-CA"/>
        </w:rPr>
        <w:t>Sa Majesté la Reine</w:t>
      </w:r>
      <w:r>
        <w:rPr>
          <w:lang w:val="fr-CA"/>
        </w:rPr>
        <w:t xml:space="preserve"> </w:t>
      </w:r>
      <w:r w:rsidRPr="007B19B0">
        <w:rPr>
          <w:lang w:val="fr-CA"/>
        </w:rPr>
        <w:t>du chef du Canada</w:t>
      </w:r>
      <w:r w:rsidRPr="00387E52">
        <w:rPr>
          <w:rStyle w:val="SCCCounselPartyRoleChar"/>
          <w:lang w:val="fr-CA"/>
        </w:rPr>
        <w:t>.</w:t>
      </w:r>
    </w:p>
    <w:p w:rsidR="00102D40" w:rsidRPr="00BE0737" w:rsidRDefault="00CC1A0B" w:rsidP="003C0B54">
      <w:pPr>
        <w:pStyle w:val="SCCNormalDoubleSpacing"/>
        <w:widowControl w:val="0"/>
        <w:spacing w:before="480" w:after="480"/>
        <w:rPr>
          <w:lang w:val="fr-CA"/>
        </w:rPr>
      </w:pPr>
      <w:r w:rsidRPr="00BE0737">
        <w:rPr>
          <w:rStyle w:val="SCCCounselNameChar"/>
          <w:i w:val="0"/>
          <w:lang w:val="fr-CA"/>
        </w:rPr>
        <w:tab/>
      </w:r>
      <w:r w:rsidRPr="00BE0737">
        <w:rPr>
          <w:rStyle w:val="SCCCounselNameChar"/>
          <w:lang w:val="fr-CA"/>
        </w:rPr>
        <w:t>Scott C. Hutchison</w:t>
      </w:r>
      <w:r w:rsidRPr="00BE0737">
        <w:rPr>
          <w:rStyle w:val="SCCCounselSeparatorChar"/>
          <w:lang w:val="fr-CA"/>
        </w:rPr>
        <w:t xml:space="preserve"> et </w:t>
      </w:r>
      <w:r w:rsidRPr="00BE0737">
        <w:rPr>
          <w:rStyle w:val="SCCCounselNameChar"/>
          <w:lang w:val="fr-CA"/>
        </w:rPr>
        <w:t>Samuel Walker</w:t>
      </w:r>
      <w:r w:rsidRPr="00BE0737">
        <w:rPr>
          <w:rStyle w:val="SCCCounselPartyRoleChar"/>
          <w:lang w:val="fr-CA"/>
        </w:rPr>
        <w:t>, pour l</w:t>
      </w:r>
      <w:r w:rsidR="007B571E">
        <w:rPr>
          <w:rStyle w:val="SCCCounselPartyRoleChar"/>
          <w:lang w:val="fr-CA"/>
        </w:rPr>
        <w:t>’</w:t>
      </w:r>
      <w:r w:rsidRPr="00BE0737">
        <w:rPr>
          <w:rStyle w:val="SCCCounselPartyRoleChar"/>
          <w:lang w:val="fr-CA"/>
        </w:rPr>
        <w:t xml:space="preserve">intervenante </w:t>
      </w:r>
      <w:proofErr w:type="spellStart"/>
      <w:r w:rsidRPr="00BE0737">
        <w:rPr>
          <w:rStyle w:val="SCCCounselPartyRoleChar"/>
          <w:lang w:val="fr-CA"/>
        </w:rPr>
        <w:t>Criminal</w:t>
      </w:r>
      <w:proofErr w:type="spellEnd"/>
      <w:r w:rsidRPr="00BE0737">
        <w:rPr>
          <w:rStyle w:val="SCCCounselPartyRoleChar"/>
          <w:lang w:val="fr-CA"/>
        </w:rPr>
        <w:t xml:space="preserve"> </w:t>
      </w:r>
      <w:proofErr w:type="spellStart"/>
      <w:r w:rsidRPr="00BE0737">
        <w:rPr>
          <w:rStyle w:val="SCCCounselPartyRoleChar"/>
          <w:lang w:val="fr-CA"/>
        </w:rPr>
        <w:t>Lawyers</w:t>
      </w:r>
      <w:proofErr w:type="spellEnd"/>
      <w:r w:rsidR="007B571E">
        <w:rPr>
          <w:rStyle w:val="SCCCounselPartyRoleChar"/>
          <w:lang w:val="fr-CA"/>
        </w:rPr>
        <w:t>’</w:t>
      </w:r>
      <w:r w:rsidRPr="00BE0737">
        <w:rPr>
          <w:rStyle w:val="SCCCounselPartyRoleChar"/>
          <w:lang w:val="fr-CA"/>
        </w:rPr>
        <w:t xml:space="preserve"> Association (Ontario).</w:t>
      </w:r>
    </w:p>
    <w:p w:rsidR="00102D40" w:rsidRPr="00BE0737" w:rsidRDefault="00CC1A0B" w:rsidP="003C0B54">
      <w:pPr>
        <w:pStyle w:val="SCCNormalDoubleSpacing"/>
        <w:widowControl w:val="0"/>
        <w:spacing w:before="480" w:after="480"/>
        <w:rPr>
          <w:lang w:val="fr-CA"/>
        </w:rPr>
      </w:pPr>
      <w:r w:rsidRPr="00BE0737">
        <w:rPr>
          <w:rStyle w:val="SCCCounselNameChar"/>
          <w:i w:val="0"/>
          <w:lang w:val="fr-CA"/>
        </w:rPr>
        <w:tab/>
      </w:r>
      <w:r w:rsidRPr="00BE0737">
        <w:rPr>
          <w:rStyle w:val="SCCCounselNameChar"/>
          <w:lang w:val="fr-CA"/>
        </w:rPr>
        <w:t xml:space="preserve">Mark A. </w:t>
      </w:r>
      <w:proofErr w:type="spellStart"/>
      <w:r w:rsidRPr="00BE0737">
        <w:rPr>
          <w:rStyle w:val="SCCCounselNameChar"/>
          <w:lang w:val="fr-CA"/>
        </w:rPr>
        <w:t>Gelowitz</w:t>
      </w:r>
      <w:proofErr w:type="spellEnd"/>
      <w:r w:rsidRPr="00BE0737">
        <w:rPr>
          <w:rStyle w:val="SCCCounselSeparatorChar"/>
          <w:lang w:val="fr-CA"/>
        </w:rPr>
        <w:t xml:space="preserve"> et </w:t>
      </w:r>
      <w:r w:rsidRPr="00BE0737">
        <w:rPr>
          <w:rStyle w:val="SCCCounselNameChar"/>
          <w:lang w:val="fr-CA"/>
        </w:rPr>
        <w:t>Geoffrey Grove</w:t>
      </w:r>
      <w:r w:rsidR="00AD4B90">
        <w:rPr>
          <w:rStyle w:val="SCCCounselPartyRoleChar"/>
          <w:lang w:val="fr-CA"/>
        </w:rPr>
        <w:t xml:space="preserve">, pour </w:t>
      </w:r>
      <w:r w:rsidRPr="00BE0737">
        <w:rPr>
          <w:rStyle w:val="SCCCounselPartyRoleChar"/>
          <w:lang w:val="fr-CA"/>
        </w:rPr>
        <w:t xml:space="preserve">les intervenantes </w:t>
      </w:r>
      <w:proofErr w:type="spellStart"/>
      <w:r w:rsidRPr="00BE0737">
        <w:rPr>
          <w:rStyle w:val="SCCCounselPartyRoleChar"/>
          <w:lang w:val="fr-CA"/>
        </w:rPr>
        <w:t>Transparency</w:t>
      </w:r>
      <w:proofErr w:type="spellEnd"/>
      <w:r w:rsidRPr="00BE0737">
        <w:rPr>
          <w:rStyle w:val="SCCCounselPartyRoleChar"/>
          <w:lang w:val="fr-CA"/>
        </w:rPr>
        <w:t xml:space="preserve"> International Canada Inc. et </w:t>
      </w:r>
      <w:proofErr w:type="spellStart"/>
      <w:r w:rsidRPr="00BE0737">
        <w:rPr>
          <w:rStyle w:val="SCCCounselPartyRoleChar"/>
          <w:lang w:val="fr-CA"/>
        </w:rPr>
        <w:t>Transparency</w:t>
      </w:r>
      <w:proofErr w:type="spellEnd"/>
      <w:r w:rsidRPr="00BE0737">
        <w:rPr>
          <w:rStyle w:val="SCCCounselPartyRoleChar"/>
          <w:lang w:val="fr-CA"/>
        </w:rPr>
        <w:t xml:space="preserve"> International </w:t>
      </w:r>
      <w:proofErr w:type="spellStart"/>
      <w:r w:rsidRPr="00BE0737">
        <w:rPr>
          <w:rStyle w:val="SCCCounselPartyRoleChar"/>
          <w:lang w:val="fr-CA"/>
        </w:rPr>
        <w:t>e.V.</w:t>
      </w:r>
      <w:proofErr w:type="spellEnd"/>
    </w:p>
    <w:p w:rsidR="00102D40" w:rsidRPr="00CC1A0B" w:rsidRDefault="00CC1A0B" w:rsidP="003C0B54">
      <w:pPr>
        <w:pStyle w:val="SCCNormalDoubleSpacing"/>
        <w:widowControl w:val="0"/>
        <w:spacing w:before="480" w:after="480"/>
        <w:rPr>
          <w:lang w:val="fr-CA"/>
        </w:rPr>
      </w:pPr>
      <w:r w:rsidRPr="00BE0737">
        <w:rPr>
          <w:rStyle w:val="SCCCounselNameChar"/>
          <w:i w:val="0"/>
          <w:lang w:val="fr-CA"/>
        </w:rPr>
        <w:tab/>
      </w:r>
      <w:r w:rsidRPr="00CC1A0B">
        <w:rPr>
          <w:rStyle w:val="SCCCounselNameChar"/>
          <w:lang w:val="fr-CA"/>
        </w:rPr>
        <w:t>Gerald Chan</w:t>
      </w:r>
      <w:r w:rsidRPr="00CC1A0B">
        <w:rPr>
          <w:rStyle w:val="SCCCounselSeparatorChar"/>
          <w:lang w:val="fr-CA"/>
        </w:rPr>
        <w:t xml:space="preserve"> et </w:t>
      </w:r>
      <w:r w:rsidRPr="00CC1A0B">
        <w:rPr>
          <w:rStyle w:val="SCCCounselNameChar"/>
          <w:lang w:val="fr-CA"/>
        </w:rPr>
        <w:t>Nader R. Hasan</w:t>
      </w:r>
      <w:r w:rsidRPr="00CC1A0B">
        <w:rPr>
          <w:rStyle w:val="SCCCounselPartyRoleChar"/>
          <w:lang w:val="fr-CA"/>
        </w:rPr>
        <w:t>, pour l</w:t>
      </w:r>
      <w:r w:rsidR="007B571E">
        <w:rPr>
          <w:rStyle w:val="SCCCounselPartyRoleChar"/>
          <w:lang w:val="fr-CA"/>
        </w:rPr>
        <w:t>’</w:t>
      </w:r>
      <w:r w:rsidRPr="00CC1A0B">
        <w:rPr>
          <w:rStyle w:val="SCCCounselPartyRoleChar"/>
          <w:lang w:val="fr-CA"/>
        </w:rPr>
        <w:t xml:space="preserve">intervenante </w:t>
      </w:r>
      <w:r w:rsidR="00F61B01">
        <w:rPr>
          <w:rStyle w:val="SCCCounselPartyRoleChar"/>
          <w:lang w:val="fr-CA"/>
        </w:rPr>
        <w:t>l</w:t>
      </w:r>
      <w:r w:rsidR="007B571E">
        <w:rPr>
          <w:rStyle w:val="SCCCounselPartyRoleChar"/>
          <w:lang w:val="fr-CA"/>
        </w:rPr>
        <w:t>’</w:t>
      </w:r>
      <w:r w:rsidR="00F61B01" w:rsidRPr="00F61B01">
        <w:rPr>
          <w:rStyle w:val="SCCCounselPartyRoleChar"/>
          <w:lang w:val="fr-CA"/>
        </w:rPr>
        <w:t xml:space="preserve">Association des </w:t>
      </w:r>
      <w:r w:rsidR="00F61B01">
        <w:rPr>
          <w:rStyle w:val="SCCCounselPartyRoleChar"/>
          <w:lang w:val="fr-CA"/>
        </w:rPr>
        <w:t>libertés civiles de la Colombie</w:t>
      </w:r>
      <w:r w:rsidR="00FB73B5">
        <w:rPr>
          <w:rStyle w:val="SCCCounselPartyRoleChar"/>
          <w:lang w:val="fr-CA"/>
        </w:rPr>
        <w:noBreakHyphen/>
      </w:r>
      <w:r w:rsidR="00F61B01" w:rsidRPr="00F61B01">
        <w:rPr>
          <w:rStyle w:val="SCCCounselPartyRoleChar"/>
          <w:lang w:val="fr-CA"/>
        </w:rPr>
        <w:t>Britannique</w:t>
      </w:r>
      <w:r w:rsidRPr="00CC1A0B">
        <w:rPr>
          <w:rStyle w:val="SCCCounselPartyRoleChar"/>
          <w:lang w:val="fr-CA"/>
        </w:rPr>
        <w:t>.</w:t>
      </w:r>
    </w:p>
    <w:p w:rsidR="00102D40" w:rsidRDefault="00CC1A0B" w:rsidP="003C0B54">
      <w:pPr>
        <w:pStyle w:val="SCCNormalDoubleSpacing"/>
        <w:widowControl w:val="0"/>
        <w:spacing w:before="480" w:after="480"/>
        <w:rPr>
          <w:rStyle w:val="SCCCounselPartyRoleChar"/>
          <w:lang w:val="fr-CA"/>
        </w:rPr>
      </w:pPr>
      <w:r w:rsidRPr="00BE0737">
        <w:rPr>
          <w:rStyle w:val="SCCCounselNameChar"/>
          <w:i w:val="0"/>
          <w:lang w:val="fr-CA"/>
        </w:rPr>
        <w:tab/>
      </w:r>
      <w:r w:rsidRPr="00CC1A0B">
        <w:rPr>
          <w:rStyle w:val="SCCCounselNameChar"/>
          <w:lang w:val="fr-CA"/>
        </w:rPr>
        <w:t xml:space="preserve">Guy J. </w:t>
      </w:r>
      <w:proofErr w:type="spellStart"/>
      <w:r w:rsidRPr="00CC1A0B">
        <w:rPr>
          <w:rStyle w:val="SCCCounselNameChar"/>
          <w:lang w:val="fr-CA"/>
        </w:rPr>
        <w:t>Pratte</w:t>
      </w:r>
      <w:proofErr w:type="spellEnd"/>
      <w:r w:rsidRPr="00CC1A0B">
        <w:rPr>
          <w:rStyle w:val="SCCCounselSeparatorChar"/>
          <w:lang w:val="fr-CA"/>
        </w:rPr>
        <w:t xml:space="preserve"> et </w:t>
      </w:r>
      <w:r w:rsidRPr="00CC1A0B">
        <w:rPr>
          <w:rStyle w:val="SCCCounselNameChar"/>
          <w:lang w:val="fr-CA"/>
        </w:rPr>
        <w:t>Nadia Effendi</w:t>
      </w:r>
      <w:r w:rsidRPr="00CC1A0B">
        <w:rPr>
          <w:rStyle w:val="SCCCounselPartyRoleChar"/>
          <w:lang w:val="fr-CA"/>
        </w:rPr>
        <w:t xml:space="preserve">, pour les intervenants </w:t>
      </w:r>
      <w:r>
        <w:rPr>
          <w:rStyle w:val="SCCCounselPartyRoleChar"/>
          <w:lang w:val="fr-CA"/>
        </w:rPr>
        <w:t xml:space="preserve">la </w:t>
      </w:r>
      <w:r w:rsidRPr="00AE0FD6">
        <w:rPr>
          <w:lang w:val="fr-CA"/>
        </w:rPr>
        <w:t xml:space="preserve">Banque européenne pour la reconstruction et le développement, </w:t>
      </w:r>
      <w:r>
        <w:rPr>
          <w:lang w:val="fr-CA"/>
        </w:rPr>
        <w:t>l</w:t>
      </w:r>
      <w:r w:rsidR="007B571E">
        <w:rPr>
          <w:lang w:val="fr-CA"/>
        </w:rPr>
        <w:t>’</w:t>
      </w:r>
      <w:r w:rsidRPr="00AE0FD6">
        <w:rPr>
          <w:lang w:val="fr-CA"/>
        </w:rPr>
        <w:t xml:space="preserve">Organisation </w:t>
      </w:r>
      <w:r>
        <w:rPr>
          <w:lang w:val="fr-CA"/>
        </w:rPr>
        <w:t>de coopération et de développement économiques</w:t>
      </w:r>
      <w:r w:rsidRPr="00AE0FD6">
        <w:rPr>
          <w:lang w:val="fr-CA"/>
        </w:rPr>
        <w:t xml:space="preserve">, </w:t>
      </w:r>
      <w:r>
        <w:rPr>
          <w:lang w:val="fr-CA"/>
        </w:rPr>
        <w:t xml:space="preserve">le </w:t>
      </w:r>
      <w:r w:rsidRPr="001C3C43">
        <w:rPr>
          <w:lang w:val="fr-CA"/>
        </w:rPr>
        <w:t>Groupe de la Banque africaine de développement</w:t>
      </w:r>
      <w:r w:rsidRPr="00AE0FD6">
        <w:rPr>
          <w:lang w:val="fr-CA"/>
        </w:rPr>
        <w:t xml:space="preserve">, Asian Development Bank, </w:t>
      </w:r>
      <w:r>
        <w:rPr>
          <w:lang w:val="fr-CA"/>
        </w:rPr>
        <w:t xml:space="preserve">la </w:t>
      </w:r>
      <w:r w:rsidRPr="001C3C43">
        <w:rPr>
          <w:lang w:val="fr-CA"/>
        </w:rPr>
        <w:t>Banque interaméricaine de développement</w:t>
      </w:r>
      <w:r w:rsidRPr="00AE0FD6">
        <w:rPr>
          <w:lang w:val="fr-CA"/>
        </w:rPr>
        <w:t xml:space="preserve"> et </w:t>
      </w:r>
      <w:proofErr w:type="spellStart"/>
      <w:r w:rsidRPr="00AE0FD6">
        <w:rPr>
          <w:lang w:val="fr-CA"/>
        </w:rPr>
        <w:t>Nordic</w:t>
      </w:r>
      <w:proofErr w:type="spellEnd"/>
      <w:r w:rsidRPr="00AE0FD6">
        <w:rPr>
          <w:lang w:val="fr-CA"/>
        </w:rPr>
        <w:t xml:space="preserve"> Investment Bank</w:t>
      </w:r>
      <w:r w:rsidRPr="00CC1A0B">
        <w:rPr>
          <w:rStyle w:val="SCCCounselPartyRoleChar"/>
          <w:lang w:val="fr-CA"/>
        </w:rPr>
        <w:t>.</w:t>
      </w:r>
    </w:p>
    <w:p w:rsidR="002405E3" w:rsidRPr="00425CA5" w:rsidRDefault="00425CA5" w:rsidP="003C0B54">
      <w:pPr>
        <w:pStyle w:val="JudgeJuge"/>
        <w:widowControl w:val="0"/>
        <w:spacing w:before="480"/>
        <w:rPr>
          <w:smallCaps w:val="0"/>
          <w:lang w:val="fr-CA"/>
        </w:rPr>
      </w:pPr>
      <w:r>
        <w:rPr>
          <w:lang w:val="fr-CA"/>
        </w:rPr>
        <w:tab/>
      </w:r>
      <w:r w:rsidRPr="00425CA5">
        <w:rPr>
          <w:smallCaps w:val="0"/>
          <w:lang w:val="fr-CA"/>
        </w:rPr>
        <w:t>Ver</w:t>
      </w:r>
      <w:r>
        <w:rPr>
          <w:smallCaps w:val="0"/>
          <w:lang w:val="fr-CA"/>
        </w:rPr>
        <w:t>sion française du jugement de la Cour rendu par</w:t>
      </w:r>
      <w:r w:rsidR="002405E3" w:rsidRPr="00425CA5">
        <w:rPr>
          <w:smallCaps w:val="0"/>
          <w:lang w:val="fr-CA"/>
        </w:rPr>
        <w:t xml:space="preserve"> </w:t>
      </w:r>
    </w:p>
    <w:p w:rsidR="002405E3" w:rsidRPr="004826C0" w:rsidRDefault="00425CA5" w:rsidP="003C0B54">
      <w:pPr>
        <w:pStyle w:val="ParaNoNdepar-AltN"/>
        <w:widowControl w:val="0"/>
        <w:numPr>
          <w:ilvl w:val="0"/>
          <w:numId w:val="7"/>
        </w:numPr>
        <w:tabs>
          <w:tab w:val="clear" w:pos="6462"/>
          <w:tab w:val="num" w:pos="1332"/>
        </w:tabs>
        <w:ind w:left="0"/>
        <w:rPr>
          <w:rFonts w:cs="Times New Roman"/>
          <w:lang w:val="fr-CA"/>
        </w:rPr>
      </w:pPr>
      <w:r w:rsidRPr="00425CA5">
        <w:rPr>
          <w:smallCaps/>
          <w:lang w:val="fr-CA"/>
        </w:rPr>
        <w:t xml:space="preserve">Les juges </w:t>
      </w:r>
      <w:proofErr w:type="spellStart"/>
      <w:r w:rsidRPr="00425CA5">
        <w:rPr>
          <w:smallCaps/>
          <w:lang w:val="fr-CA"/>
        </w:rPr>
        <w:t>Moldaver</w:t>
      </w:r>
      <w:proofErr w:type="spellEnd"/>
      <w:r w:rsidRPr="00425CA5">
        <w:rPr>
          <w:smallCaps/>
          <w:lang w:val="fr-CA"/>
        </w:rPr>
        <w:t xml:space="preserve"> et Côté</w:t>
      </w:r>
      <w:r w:rsidRPr="004826C0">
        <w:rPr>
          <w:lang w:val="fr-CA"/>
        </w:rPr>
        <w:t xml:space="preserve"> —</w:t>
      </w:r>
      <w:r>
        <w:rPr>
          <w:lang w:val="fr-CA"/>
        </w:rPr>
        <w:t xml:space="preserve"> </w:t>
      </w:r>
      <w:r w:rsidR="002405E3" w:rsidRPr="004826C0">
        <w:rPr>
          <w:rFonts w:cs="Times New Roman"/>
          <w:lang w:val="fr-CA"/>
        </w:rPr>
        <w:t>La corruption est un obstacle important au développement international. Elle mine la confiance dans les institutions publiques, détourne les fonds destinés à ceux qui ont grand besoin de soutien financier et compromet l</w:t>
      </w:r>
      <w:r w:rsidR="002405E3">
        <w:rPr>
          <w:rFonts w:cs="Times New Roman"/>
          <w:lang w:val="fr-CA"/>
        </w:rPr>
        <w:t>’</w:t>
      </w:r>
      <w:r w:rsidR="002405E3" w:rsidRPr="004826C0">
        <w:rPr>
          <w:rFonts w:cs="Times New Roman"/>
          <w:lang w:val="fr-CA"/>
        </w:rPr>
        <w:t>intégrité des entreprises. La corruption transcende souvent les frontières. La solution à ce problème mondial nécessite une coopération internationale. Les organisations financières internationales comme le Groupe de la Banque mondiale, appelant en l</w:t>
      </w:r>
      <w:r w:rsidR="002405E3">
        <w:rPr>
          <w:rFonts w:cs="Times New Roman"/>
          <w:lang w:val="fr-CA"/>
        </w:rPr>
        <w:t>’</w:t>
      </w:r>
      <w:r w:rsidR="002405E3" w:rsidRPr="004826C0">
        <w:rPr>
          <w:rFonts w:cs="Times New Roman"/>
          <w:lang w:val="fr-CA"/>
        </w:rPr>
        <w:t>espèce, qui transmettent des renseignements glanés auprès d</w:t>
      </w:r>
      <w:r w:rsidR="002405E3">
        <w:rPr>
          <w:rFonts w:cs="Times New Roman"/>
          <w:lang w:val="fr-CA"/>
        </w:rPr>
        <w:t>’</w:t>
      </w:r>
      <w:r w:rsidR="002405E3" w:rsidRPr="004826C0">
        <w:rPr>
          <w:rFonts w:cs="Times New Roman"/>
          <w:lang w:val="fr-CA"/>
        </w:rPr>
        <w:t>informateurs aux quatre coins de la planète aux forces de l</w:t>
      </w:r>
      <w:r w:rsidR="002405E3">
        <w:rPr>
          <w:rFonts w:cs="Times New Roman"/>
          <w:lang w:val="fr-CA"/>
        </w:rPr>
        <w:t>’</w:t>
      </w:r>
      <w:r w:rsidR="002405E3" w:rsidRPr="004826C0">
        <w:rPr>
          <w:rFonts w:cs="Times New Roman"/>
          <w:lang w:val="fr-CA"/>
        </w:rPr>
        <w:t>ordre des États membres contribuent à faire ce que chacun ne pourrait faire seul. Comme le disait récemment notre Cour : « </w:t>
      </w:r>
      <w:r w:rsidR="003C7EB9">
        <w:rPr>
          <w:rFonts w:cs="Times New Roman"/>
          <w:lang w:val="fr-CA"/>
        </w:rPr>
        <w:t>L</w:t>
      </w:r>
      <w:r w:rsidR="002405E3" w:rsidRPr="004826C0">
        <w:rPr>
          <w:rFonts w:cs="Times New Roman"/>
          <w:lang w:val="fr-CA"/>
        </w:rPr>
        <w:t>es organisations internationales jouent un rôle actif et nécessaire sur la scène internationale » (</w:t>
      </w:r>
      <w:proofErr w:type="spellStart"/>
      <w:r w:rsidR="002405E3" w:rsidRPr="004826C0">
        <w:rPr>
          <w:rFonts w:cs="Times New Roman"/>
          <w:i/>
          <w:lang w:val="fr-CA"/>
        </w:rPr>
        <w:t>Amaratunga</w:t>
      </w:r>
      <w:proofErr w:type="spellEnd"/>
      <w:r w:rsidR="002405E3" w:rsidRPr="004826C0">
        <w:rPr>
          <w:rFonts w:cs="Times New Roman"/>
          <w:i/>
          <w:lang w:val="fr-CA"/>
        </w:rPr>
        <w:t xml:space="preserve"> c. Organisation des pêches de l</w:t>
      </w:r>
      <w:r w:rsidR="002405E3">
        <w:rPr>
          <w:rFonts w:cs="Times New Roman"/>
          <w:i/>
          <w:lang w:val="fr-CA"/>
        </w:rPr>
        <w:t>’</w:t>
      </w:r>
      <w:r w:rsidR="002405E3" w:rsidRPr="004826C0">
        <w:rPr>
          <w:rFonts w:cs="Times New Roman"/>
          <w:i/>
          <w:lang w:val="fr-CA"/>
        </w:rPr>
        <w:t>Atlantique Nord</w:t>
      </w:r>
      <w:r w:rsidR="002405E3" w:rsidRPr="004826C0">
        <w:rPr>
          <w:rFonts w:cs="Times New Roman"/>
          <w:i/>
          <w:lang w:val="fr-CA"/>
        </w:rPr>
        <w:noBreakHyphen/>
        <w:t>Ouest</w:t>
      </w:r>
      <w:r w:rsidR="002405E3" w:rsidRPr="004826C0">
        <w:rPr>
          <w:rFonts w:cs="Times New Roman"/>
          <w:lang w:val="fr-CA"/>
        </w:rPr>
        <w:t>, 2013 CSC 66, [2013] 3 R.C.S. 866, par. 1).</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Toutefois, sans un territoire souverain qui leur est propre, ces organisations s</w:t>
      </w:r>
      <w:r>
        <w:rPr>
          <w:rFonts w:cs="Times New Roman"/>
          <w:lang w:val="fr-CA"/>
        </w:rPr>
        <w:t>’</w:t>
      </w:r>
      <w:r w:rsidRPr="004826C0">
        <w:rPr>
          <w:rFonts w:cs="Times New Roman"/>
          <w:lang w:val="fr-CA"/>
        </w:rPr>
        <w:t>exposent à de l</w:t>
      </w:r>
      <w:r>
        <w:rPr>
          <w:rFonts w:cs="Times New Roman"/>
          <w:lang w:val="fr-CA"/>
        </w:rPr>
        <w:t>’</w:t>
      </w:r>
      <w:r w:rsidRPr="004826C0">
        <w:rPr>
          <w:rFonts w:cs="Times New Roman"/>
          <w:lang w:val="fr-CA"/>
        </w:rPr>
        <w:t>ingérence étatique. C</w:t>
      </w:r>
      <w:r>
        <w:rPr>
          <w:rFonts w:cs="Times New Roman"/>
          <w:lang w:val="fr-CA"/>
        </w:rPr>
        <w:t>’</w:t>
      </w:r>
      <w:r w:rsidRPr="004826C0">
        <w:rPr>
          <w:rFonts w:cs="Times New Roman"/>
          <w:lang w:val="fr-CA"/>
        </w:rPr>
        <w:t>est ainsi que les États membres acceptent souvent de leur accorder divers immunités et privilèges visant à préserver leur bon fonctionnement en toute indépendance. En règle générale, les archives d</w:t>
      </w:r>
      <w:r>
        <w:rPr>
          <w:rFonts w:cs="Times New Roman"/>
          <w:lang w:val="fr-CA"/>
        </w:rPr>
        <w:t>’</w:t>
      </w:r>
      <w:r w:rsidRPr="004826C0">
        <w:rPr>
          <w:rFonts w:cs="Times New Roman"/>
          <w:lang w:val="fr-CA"/>
        </w:rPr>
        <w:t>une organisation sont protégées de toute ingérence, et son personnel est à l</w:t>
      </w:r>
      <w:r>
        <w:rPr>
          <w:rFonts w:cs="Times New Roman"/>
          <w:lang w:val="fr-CA"/>
        </w:rPr>
        <w:t>’</w:t>
      </w:r>
      <w:r w:rsidRPr="004826C0">
        <w:rPr>
          <w:rFonts w:cs="Times New Roman"/>
          <w:lang w:val="fr-CA"/>
        </w:rPr>
        <w:t xml:space="preserve">abri de toutes poursuites.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 l</w:t>
      </w:r>
      <w:r>
        <w:rPr>
          <w:rFonts w:cs="Times New Roman"/>
          <w:lang w:val="fr-CA"/>
        </w:rPr>
        <w:t>’</w:t>
      </w:r>
      <w:r w:rsidRPr="004826C0">
        <w:rPr>
          <w:rFonts w:cs="Times New Roman"/>
          <w:lang w:val="fr-CA"/>
        </w:rPr>
        <w:t>instance, la vice</w:t>
      </w:r>
      <w:r w:rsidRPr="004826C0">
        <w:rPr>
          <w:rFonts w:cs="Times New Roman"/>
          <w:lang w:val="fr-CA"/>
        </w:rPr>
        <w:noBreakHyphen/>
        <w:t>présidence chargée des questions d</w:t>
      </w:r>
      <w:r>
        <w:rPr>
          <w:rFonts w:cs="Times New Roman"/>
          <w:lang w:val="fr-CA"/>
        </w:rPr>
        <w:t>’</w:t>
      </w:r>
      <w:r w:rsidRPr="004826C0">
        <w:rPr>
          <w:rFonts w:cs="Times New Roman"/>
          <w:lang w:val="fr-CA"/>
        </w:rPr>
        <w:t>intégrité (« INT ») du Groupe de la Banque mondiale (« Groupe ») a mené une enquête relativement à des allégations selon lesquelles des représentants de SNC</w:t>
      </w:r>
      <w:r w:rsidRPr="004826C0">
        <w:rPr>
          <w:rFonts w:cs="Times New Roman"/>
          <w:lang w:val="fr-CA"/>
        </w:rPr>
        <w:noBreakHyphen/>
      </w:r>
      <w:proofErr w:type="spellStart"/>
      <w:r w:rsidRPr="004826C0">
        <w:rPr>
          <w:rFonts w:cs="Times New Roman"/>
          <w:lang w:val="fr-CA"/>
        </w:rPr>
        <w:t>Lavalin</w:t>
      </w:r>
      <w:proofErr w:type="spellEnd"/>
      <w:r w:rsidRPr="004826C0">
        <w:rPr>
          <w:rFonts w:cs="Times New Roman"/>
          <w:lang w:val="fr-CA"/>
        </w:rPr>
        <w:t xml:space="preserve"> Inc. (« SNC</w:t>
      </w:r>
      <w:r w:rsidRPr="004826C0">
        <w:rPr>
          <w:rFonts w:cs="Times New Roman"/>
          <w:lang w:val="fr-CA"/>
        </w:rPr>
        <w:noBreakHyphen/>
      </w:r>
      <w:proofErr w:type="spellStart"/>
      <w:r w:rsidRPr="004826C0">
        <w:rPr>
          <w:rFonts w:cs="Times New Roman"/>
          <w:lang w:val="fr-CA"/>
        </w:rPr>
        <w:t>Lavalin</w:t>
      </w:r>
      <w:proofErr w:type="spellEnd"/>
      <w:r w:rsidRPr="004826C0">
        <w:rPr>
          <w:rFonts w:cs="Times New Roman"/>
          <w:lang w:val="fr-CA"/>
        </w:rPr>
        <w:t> ») planifiaient en vue de soudoyer des représentants du gouvernement du Bangladesh pour obtenir un contrat ayant trait à la construction d</w:t>
      </w:r>
      <w:r>
        <w:rPr>
          <w:rFonts w:cs="Times New Roman"/>
          <w:lang w:val="fr-CA"/>
        </w:rPr>
        <w:t>’</w:t>
      </w:r>
      <w:r w:rsidRPr="004826C0">
        <w:rPr>
          <w:rFonts w:cs="Times New Roman"/>
          <w:lang w:val="fr-CA"/>
        </w:rPr>
        <w:t>un pont polyvalent enjambant le fleuve Padma (« pont sur la Padma »), un projet estimé à 2,9 milliards $</w:t>
      </w:r>
      <w:r w:rsidR="00B15CCB">
        <w:rPr>
          <w:rFonts w:cs="Times New Roman"/>
          <w:lang w:val="fr-CA"/>
        </w:rPr>
        <w:t> </w:t>
      </w:r>
      <w:r w:rsidRPr="004826C0">
        <w:rPr>
          <w:rFonts w:cs="Times New Roman"/>
          <w:lang w:val="fr-CA"/>
        </w:rPr>
        <w:t>US. Le Groupe a transmis certains renseignements obtenus lors de son enquête à la Gendarmerie royale du Canada (« GRC »). Sur la foi de ceux</w:t>
      </w:r>
      <w:r w:rsidRPr="004826C0">
        <w:rPr>
          <w:rFonts w:cs="Times New Roman"/>
          <w:lang w:val="fr-CA"/>
        </w:rPr>
        <w:noBreakHyphen/>
        <w:t>ci et d</w:t>
      </w:r>
      <w:r>
        <w:rPr>
          <w:rFonts w:cs="Times New Roman"/>
          <w:lang w:val="fr-CA"/>
        </w:rPr>
        <w:t>’</w:t>
      </w:r>
      <w:r w:rsidRPr="004826C0">
        <w:rPr>
          <w:rFonts w:cs="Times New Roman"/>
          <w:lang w:val="fr-CA"/>
        </w:rPr>
        <w:t>autres renseignements obtenus par elle, la GRC a été autorisée à faire de l</w:t>
      </w:r>
      <w:r>
        <w:rPr>
          <w:rFonts w:cs="Times New Roman"/>
          <w:lang w:val="fr-CA"/>
        </w:rPr>
        <w:t>’</w:t>
      </w:r>
      <w:r w:rsidRPr="004826C0">
        <w:rPr>
          <w:rFonts w:cs="Times New Roman"/>
          <w:lang w:val="fr-CA"/>
        </w:rPr>
        <w:t>écoute électronique. Par la suite, les individus (les « intimés ») furent accusés conjointement d</w:t>
      </w:r>
      <w:r>
        <w:rPr>
          <w:rFonts w:cs="Times New Roman"/>
          <w:lang w:val="fr-CA"/>
        </w:rPr>
        <w:t>’</w:t>
      </w:r>
      <w:r w:rsidRPr="004826C0">
        <w:rPr>
          <w:rFonts w:cs="Times New Roman"/>
          <w:lang w:val="fr-CA"/>
        </w:rPr>
        <w:t xml:space="preserve">avoir soudoyé des agents publics étrangers, une infraction prévue à la </w:t>
      </w:r>
      <w:r w:rsidRPr="004826C0">
        <w:rPr>
          <w:rFonts w:cs="Times New Roman"/>
          <w:i/>
          <w:lang w:val="fr-CA"/>
        </w:rPr>
        <w:t>Loi sur la corruption d</w:t>
      </w:r>
      <w:r>
        <w:rPr>
          <w:rFonts w:cs="Times New Roman"/>
          <w:i/>
          <w:lang w:val="fr-CA"/>
        </w:rPr>
        <w:t>’</w:t>
      </w:r>
      <w:r w:rsidRPr="004826C0">
        <w:rPr>
          <w:rFonts w:cs="Times New Roman"/>
          <w:i/>
          <w:lang w:val="fr-CA"/>
        </w:rPr>
        <w:t>agents publics étrangers</w:t>
      </w:r>
      <w:r w:rsidRPr="004826C0">
        <w:rPr>
          <w:rFonts w:cs="Times New Roman"/>
          <w:lang w:val="fr-CA"/>
        </w:rPr>
        <w:t>, L.C. 1998, c. 34.</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Les intimés contestent les autorisations d</w:t>
      </w:r>
      <w:r>
        <w:rPr>
          <w:rFonts w:cs="Times New Roman"/>
          <w:lang w:val="fr-CA"/>
        </w:rPr>
        <w:t>’</w:t>
      </w:r>
      <w:r w:rsidRPr="004826C0">
        <w:rPr>
          <w:rFonts w:cs="Times New Roman"/>
          <w:lang w:val="fr-CA"/>
        </w:rPr>
        <w:t>écoute électronique en se fondant sur l</w:t>
      </w:r>
      <w:r>
        <w:rPr>
          <w:rFonts w:cs="Times New Roman"/>
          <w:lang w:val="fr-CA"/>
        </w:rPr>
        <w:t>’</w:t>
      </w:r>
      <w:r w:rsidRPr="004826C0">
        <w:rPr>
          <w:rFonts w:cs="Times New Roman"/>
          <w:lang w:val="fr-CA"/>
        </w:rPr>
        <w:t xml:space="preserve">arrêt </w:t>
      </w:r>
      <w:r w:rsidRPr="004826C0">
        <w:rPr>
          <w:rFonts w:cs="Times New Roman"/>
          <w:i/>
          <w:lang w:val="fr-CA"/>
        </w:rPr>
        <w:t>R. c.</w:t>
      </w:r>
      <w:r w:rsidRPr="004826C0">
        <w:rPr>
          <w:rFonts w:cs="Times New Roman"/>
          <w:lang w:val="fr-CA"/>
        </w:rPr>
        <w:t xml:space="preserve"> </w:t>
      </w:r>
      <w:proofErr w:type="spellStart"/>
      <w:r w:rsidRPr="004826C0">
        <w:rPr>
          <w:rFonts w:cs="Times New Roman"/>
          <w:i/>
          <w:lang w:val="fr-CA"/>
        </w:rPr>
        <w:t>Garofoli</w:t>
      </w:r>
      <w:proofErr w:type="spellEnd"/>
      <w:r w:rsidRPr="004826C0">
        <w:rPr>
          <w:rFonts w:cs="Times New Roman"/>
          <w:lang w:val="fr-CA"/>
        </w:rPr>
        <w:t>, [1990] 2 R.C.S. 1421, et ont présenté, au soutien de cette demande, une demande de communication par des tiers fondée sur l</w:t>
      </w:r>
      <w:r>
        <w:rPr>
          <w:rFonts w:cs="Times New Roman"/>
          <w:lang w:val="fr-CA"/>
        </w:rPr>
        <w:t>’</w:t>
      </w:r>
      <w:r w:rsidRPr="004826C0">
        <w:rPr>
          <w:rFonts w:cs="Times New Roman"/>
          <w:lang w:val="fr-CA"/>
        </w:rPr>
        <w:t xml:space="preserve">arrêt </w:t>
      </w:r>
      <w:r w:rsidRPr="004826C0">
        <w:rPr>
          <w:rFonts w:cs="Times New Roman"/>
          <w:i/>
          <w:lang w:val="fr-CA"/>
        </w:rPr>
        <w:t xml:space="preserve">R. c.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[1995] 4 R.C.S. 411, en vue d</w:t>
      </w:r>
      <w:r>
        <w:rPr>
          <w:rFonts w:cs="Times New Roman"/>
          <w:lang w:val="fr-CA"/>
        </w:rPr>
        <w:t>’</w:t>
      </w:r>
      <w:r w:rsidRPr="004826C0">
        <w:rPr>
          <w:rFonts w:cs="Times New Roman"/>
          <w:lang w:val="fr-CA"/>
        </w:rPr>
        <w:t xml:space="preserve">obtenir que les enquêteurs seniors du Groupe, Paul </w:t>
      </w:r>
      <w:proofErr w:type="spellStart"/>
      <w:r w:rsidRPr="004826C0">
        <w:rPr>
          <w:rFonts w:cs="Times New Roman"/>
          <w:lang w:val="fr-CA"/>
        </w:rPr>
        <w:t>Haynes</w:t>
      </w:r>
      <w:proofErr w:type="spellEnd"/>
      <w:r w:rsidRPr="004826C0">
        <w:rPr>
          <w:rFonts w:cs="Times New Roman"/>
          <w:lang w:val="fr-CA"/>
        </w:rPr>
        <w:t xml:space="preserve"> et Christopher Kim, comparaissent devant les tribunaux canadiens et communiquent des documents.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 juge d</w:t>
      </w:r>
      <w:r>
        <w:rPr>
          <w:rFonts w:cs="Times New Roman"/>
          <w:lang w:val="fr-CA"/>
        </w:rPr>
        <w:t>’</w:t>
      </w:r>
      <w:r w:rsidRPr="004826C0">
        <w:rPr>
          <w:rFonts w:cs="Times New Roman"/>
          <w:lang w:val="fr-CA"/>
        </w:rPr>
        <w:t>instance a accueilli les demandes. Le Groupe, avec l</w:t>
      </w:r>
      <w:r>
        <w:rPr>
          <w:rFonts w:cs="Times New Roman"/>
          <w:lang w:val="fr-CA"/>
        </w:rPr>
        <w:t>’</w:t>
      </w:r>
      <w:r w:rsidRPr="004826C0">
        <w:rPr>
          <w:rFonts w:cs="Times New Roman"/>
          <w:lang w:val="fr-CA"/>
        </w:rPr>
        <w:t>appui de la Couronne, intimée en l</w:t>
      </w:r>
      <w:r>
        <w:rPr>
          <w:rFonts w:cs="Times New Roman"/>
          <w:lang w:val="fr-CA"/>
        </w:rPr>
        <w:t>’</w:t>
      </w:r>
      <w:r w:rsidRPr="004826C0">
        <w:rPr>
          <w:rFonts w:cs="Times New Roman"/>
          <w:lang w:val="fr-CA"/>
        </w:rPr>
        <w:t>espèce, et de plusieurs des intervenants, interjette appel de l</w:t>
      </w:r>
      <w:r>
        <w:rPr>
          <w:rFonts w:cs="Times New Roman"/>
          <w:lang w:val="fr-CA"/>
        </w:rPr>
        <w:t>’</w:t>
      </w:r>
      <w:r w:rsidRPr="004826C0">
        <w:rPr>
          <w:rFonts w:cs="Times New Roman"/>
          <w:lang w:val="fr-CA"/>
        </w:rPr>
        <w:t>ordonnance rendue par le juge et en demande l</w:t>
      </w:r>
      <w:r>
        <w:rPr>
          <w:rFonts w:cs="Times New Roman"/>
          <w:lang w:val="fr-CA"/>
        </w:rPr>
        <w:t>’</w:t>
      </w:r>
      <w:r w:rsidRPr="004826C0">
        <w:rPr>
          <w:rFonts w:cs="Times New Roman"/>
          <w:lang w:val="fr-CA"/>
        </w:rPr>
        <w:t xml:space="preserve">infirmation, pour deux motifs.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 xml:space="preserve">Premièrement, le Groupe fait valoir que les annexes de la </w:t>
      </w:r>
      <w:r w:rsidRPr="004826C0">
        <w:rPr>
          <w:rFonts w:cs="Times New Roman"/>
          <w:i/>
          <w:lang w:val="fr-CA"/>
        </w:rPr>
        <w:t xml:space="preserve">Loi sur les accords de </w:t>
      </w:r>
      <w:proofErr w:type="spellStart"/>
      <w:r w:rsidRPr="004826C0">
        <w:rPr>
          <w:rFonts w:cs="Times New Roman"/>
          <w:i/>
          <w:lang w:val="fr-CA"/>
        </w:rPr>
        <w:t>Bretton</w:t>
      </w:r>
      <w:proofErr w:type="spellEnd"/>
      <w:r w:rsidRPr="004826C0">
        <w:rPr>
          <w:rFonts w:cs="Times New Roman"/>
          <w:i/>
          <w:lang w:val="fr-CA"/>
        </w:rPr>
        <w:t xml:space="preserve"> Woods et des accords connexes</w:t>
      </w:r>
      <w:r w:rsidRPr="004826C0">
        <w:rPr>
          <w:rFonts w:cs="Times New Roman"/>
          <w:lang w:val="fr-CA"/>
        </w:rPr>
        <w:t>, L.R.C. 1985, c. B</w:t>
      </w:r>
      <w:r w:rsidRPr="004826C0">
        <w:rPr>
          <w:rFonts w:cs="Times New Roman"/>
          <w:lang w:val="fr-CA"/>
        </w:rPr>
        <w:noBreakHyphen/>
        <w:t>7 (« </w:t>
      </w:r>
      <w:r w:rsidRPr="004826C0">
        <w:rPr>
          <w:rFonts w:cs="Times New Roman"/>
          <w:i/>
          <w:lang w:val="fr-CA"/>
        </w:rPr>
        <w:t xml:space="preserve">Loi sur les accords de </w:t>
      </w:r>
      <w:proofErr w:type="spellStart"/>
      <w:r w:rsidRPr="004826C0">
        <w:rPr>
          <w:rFonts w:cs="Times New Roman"/>
          <w:i/>
          <w:lang w:val="fr-CA"/>
        </w:rPr>
        <w:t>Bretton</w:t>
      </w:r>
      <w:proofErr w:type="spellEnd"/>
      <w:r w:rsidRPr="004826C0">
        <w:rPr>
          <w:rFonts w:cs="Times New Roman"/>
          <w:i/>
          <w:lang w:val="fr-CA"/>
        </w:rPr>
        <w:t xml:space="preserve"> Woods</w:t>
      </w:r>
      <w:r w:rsidRPr="004826C0">
        <w:rPr>
          <w:rFonts w:cs="Times New Roman"/>
          <w:lang w:val="fr-CA"/>
        </w:rPr>
        <w:t> »), protègent les archives et le personnel de certaines organisations qui composent le Groupe, dont la Banque internationale pour la reconstruction et le développement (« BIRD ») et l</w:t>
      </w:r>
      <w:r>
        <w:rPr>
          <w:rFonts w:cs="Times New Roman"/>
          <w:lang w:val="fr-CA"/>
        </w:rPr>
        <w:t>’</w:t>
      </w:r>
      <w:r w:rsidRPr="004826C0">
        <w:rPr>
          <w:rFonts w:cs="Times New Roman"/>
          <w:lang w:val="fr-CA"/>
        </w:rPr>
        <w:t xml:space="preserve">Association internationale de développement (« IDA »). Aux termes des annexes II et III de la </w:t>
      </w:r>
      <w:r w:rsidRPr="004826C0">
        <w:rPr>
          <w:rFonts w:cs="Times New Roman"/>
          <w:i/>
          <w:lang w:val="fr-CA"/>
        </w:rPr>
        <w:t xml:space="preserve">Loi sur les accords de </w:t>
      </w:r>
      <w:proofErr w:type="spellStart"/>
      <w:r w:rsidRPr="004826C0">
        <w:rPr>
          <w:rFonts w:cs="Times New Roman"/>
          <w:i/>
          <w:lang w:val="fr-CA"/>
        </w:rPr>
        <w:t>Bretton</w:t>
      </w:r>
      <w:proofErr w:type="spellEnd"/>
      <w:r w:rsidRPr="004826C0">
        <w:rPr>
          <w:rFonts w:cs="Times New Roman"/>
          <w:i/>
          <w:lang w:val="fr-CA"/>
        </w:rPr>
        <w:t xml:space="preserve"> Woods</w:t>
      </w:r>
      <w:r w:rsidRPr="004826C0">
        <w:rPr>
          <w:rFonts w:cs="Times New Roman"/>
          <w:lang w:val="fr-CA"/>
        </w:rPr>
        <w:t>, les archives de la BIRD et de l</w:t>
      </w:r>
      <w:r>
        <w:rPr>
          <w:rFonts w:cs="Times New Roman"/>
          <w:lang w:val="fr-CA"/>
        </w:rPr>
        <w:t>’</w:t>
      </w:r>
      <w:r w:rsidRPr="004826C0">
        <w:rPr>
          <w:rFonts w:cs="Times New Roman"/>
          <w:lang w:val="fr-CA"/>
        </w:rPr>
        <w:t>IDA sont « inviolables » (« inviolabilité des archives ») et, suivant l</w:t>
      </w:r>
      <w:r>
        <w:rPr>
          <w:rFonts w:cs="Times New Roman"/>
          <w:lang w:val="fr-CA"/>
        </w:rPr>
        <w:t>’</w:t>
      </w:r>
      <w:r w:rsidRPr="004826C0">
        <w:rPr>
          <w:rFonts w:cs="Times New Roman"/>
          <w:lang w:val="fr-CA"/>
        </w:rPr>
        <w:t>annexe II, « [t]</w:t>
      </w:r>
      <w:proofErr w:type="spellStart"/>
      <w:r w:rsidRPr="004826C0">
        <w:rPr>
          <w:rFonts w:cs="Times New Roman"/>
          <w:lang w:val="fr-CA"/>
        </w:rPr>
        <w:t>ous</w:t>
      </w:r>
      <w:proofErr w:type="spellEnd"/>
      <w:r w:rsidRPr="004826C0">
        <w:rPr>
          <w:rFonts w:cs="Times New Roman"/>
          <w:lang w:val="fr-CA"/>
        </w:rPr>
        <w:t xml:space="preserve"> les gouverneurs, administrateurs, suppléants, fonctionnaires et employés de la Banque </w:t>
      </w:r>
      <w:r w:rsidRPr="004826C0">
        <w:rPr>
          <w:rFonts w:cs="Times New Roman"/>
          <w:b/>
          <w:lang w:val="fr-CA"/>
        </w:rPr>
        <w:t>i)</w:t>
      </w:r>
      <w:r w:rsidRPr="004826C0">
        <w:rPr>
          <w:rFonts w:cs="Times New Roman"/>
          <w:lang w:val="fr-CA"/>
        </w:rPr>
        <w:t xml:space="preserve"> ne pourront faire l</w:t>
      </w:r>
      <w:r>
        <w:rPr>
          <w:rFonts w:cs="Times New Roman"/>
          <w:lang w:val="fr-CA"/>
        </w:rPr>
        <w:t>’</w:t>
      </w:r>
      <w:r w:rsidRPr="004826C0">
        <w:rPr>
          <w:rFonts w:cs="Times New Roman"/>
          <w:lang w:val="fr-CA"/>
        </w:rPr>
        <w:t>objet de poursuites à raison des actes accomplis par eux dans l</w:t>
      </w:r>
      <w:r>
        <w:rPr>
          <w:rFonts w:cs="Times New Roman"/>
          <w:lang w:val="fr-CA"/>
        </w:rPr>
        <w:t>’</w:t>
      </w:r>
      <w:r w:rsidRPr="004826C0">
        <w:rPr>
          <w:rFonts w:cs="Times New Roman"/>
          <w:lang w:val="fr-CA"/>
        </w:rPr>
        <w:t>exercice de leurs fonctions, sauf lorsque la Banque aura levé cette immunité</w:t>
      </w:r>
      <w:r w:rsidR="00F418AC">
        <w:rPr>
          <w:rFonts w:cs="Times New Roman"/>
          <w:lang w:val="fr-CA"/>
        </w:rPr>
        <w:t> »</w:t>
      </w:r>
      <w:r w:rsidR="00AD2AB8">
        <w:rPr>
          <w:rFonts w:cs="Times New Roman"/>
          <w:lang w:val="fr-CA"/>
        </w:rPr>
        <w:t xml:space="preserve"> (</w:t>
      </w:r>
      <w:r w:rsidRPr="004826C0">
        <w:rPr>
          <w:rFonts w:cs="Times New Roman"/>
          <w:lang w:val="fr-CA"/>
        </w:rPr>
        <w:t>le libellé des Statuts de l</w:t>
      </w:r>
      <w:r>
        <w:rPr>
          <w:rFonts w:cs="Times New Roman"/>
          <w:lang w:val="fr-CA"/>
        </w:rPr>
        <w:t>’</w:t>
      </w:r>
      <w:r w:rsidRPr="004826C0">
        <w:rPr>
          <w:rFonts w:cs="Times New Roman"/>
          <w:lang w:val="fr-CA"/>
        </w:rPr>
        <w:t>IDA, à l</w:t>
      </w:r>
      <w:r>
        <w:rPr>
          <w:rFonts w:cs="Times New Roman"/>
          <w:lang w:val="fr-CA"/>
        </w:rPr>
        <w:t>’</w:t>
      </w:r>
      <w:r w:rsidRPr="004826C0">
        <w:rPr>
          <w:rFonts w:cs="Times New Roman"/>
          <w:lang w:val="fr-CA"/>
        </w:rPr>
        <w:t>annexe III, sans être identique, est équivalent</w:t>
      </w:r>
      <w:r w:rsidR="00AD2AB8">
        <w:rPr>
          <w:rFonts w:cs="Times New Roman"/>
          <w:lang w:val="fr-CA"/>
        </w:rPr>
        <w:t>)</w:t>
      </w:r>
      <w:r w:rsidRPr="004826C0">
        <w:rPr>
          <w:rFonts w:cs="Times New Roman"/>
          <w:lang w:val="fr-CA"/>
        </w:rPr>
        <w:t xml:space="preserve"> (« immunité du personnel ») (</w:t>
      </w:r>
      <w:proofErr w:type="spellStart"/>
      <w:r w:rsidRPr="004826C0">
        <w:rPr>
          <w:rFonts w:cs="Times New Roman"/>
          <w:lang w:val="fr-CA"/>
        </w:rPr>
        <w:t>ann</w:t>
      </w:r>
      <w:proofErr w:type="spellEnd"/>
      <w:r w:rsidRPr="004826C0">
        <w:rPr>
          <w:rFonts w:cs="Times New Roman"/>
          <w:lang w:val="fr-CA"/>
        </w:rPr>
        <w:t>. II, art. VII, s. </w:t>
      </w:r>
      <w:r w:rsidR="00CA2CC0">
        <w:rPr>
          <w:rFonts w:cs="Times New Roman"/>
          <w:lang w:val="fr-CA"/>
        </w:rPr>
        <w:t xml:space="preserve">5 et 8; </w:t>
      </w:r>
      <w:proofErr w:type="spellStart"/>
      <w:r w:rsidR="00CA2CC0">
        <w:rPr>
          <w:rFonts w:cs="Times New Roman"/>
          <w:lang w:val="fr-CA"/>
        </w:rPr>
        <w:t>ann</w:t>
      </w:r>
      <w:proofErr w:type="spellEnd"/>
      <w:r w:rsidR="00CA2CC0">
        <w:rPr>
          <w:rFonts w:cs="Times New Roman"/>
          <w:lang w:val="fr-CA"/>
        </w:rPr>
        <w:t>. III, art. VIII, s</w:t>
      </w:r>
      <w:r w:rsidRPr="004826C0">
        <w:rPr>
          <w:rFonts w:cs="Times New Roman"/>
          <w:lang w:val="fr-CA"/>
        </w:rPr>
        <w:t xml:space="preserve">. 5 et 8).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Par conséquent, le Groupe fait valoir que les documents dont le juge d</w:t>
      </w:r>
      <w:r>
        <w:rPr>
          <w:rFonts w:cs="Times New Roman"/>
          <w:lang w:val="fr-CA"/>
        </w:rPr>
        <w:t>’</w:t>
      </w:r>
      <w:r w:rsidRPr="004826C0">
        <w:rPr>
          <w:rFonts w:cs="Times New Roman"/>
          <w:lang w:val="fr-CA"/>
        </w:rPr>
        <w:t>instance a ordonné la communication sont protégés de toute communication.</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 xml:space="preserve">Deuxièmement, le Groupe et la Couronne contestent la pertinence des documents exigés dans le contexte de la demande de type </w:t>
      </w:r>
      <w:proofErr w:type="spellStart"/>
      <w:r w:rsidRPr="004826C0">
        <w:rPr>
          <w:rFonts w:cs="Times New Roman"/>
          <w:i/>
          <w:lang w:val="fr-CA"/>
        </w:rPr>
        <w:t>Garofoli</w:t>
      </w:r>
      <w:proofErr w:type="spellEnd"/>
      <w:r w:rsidRPr="004826C0">
        <w:rPr>
          <w:rFonts w:cs="Times New Roman"/>
          <w:lang w:val="fr-CA"/>
        </w:rPr>
        <w:t>. Ils font valoir que les documents dont la communication a été ordonnée par le juge d</w:t>
      </w:r>
      <w:r>
        <w:rPr>
          <w:rFonts w:cs="Times New Roman"/>
          <w:lang w:val="fr-CA"/>
        </w:rPr>
        <w:t>’</w:t>
      </w:r>
      <w:r w:rsidRPr="004826C0">
        <w:rPr>
          <w:rFonts w:cs="Times New Roman"/>
          <w:lang w:val="fr-CA"/>
        </w:rPr>
        <w:t xml:space="preserve">instance ne sont pas pertinents dans le cadre de la demande de type </w:t>
      </w:r>
      <w:proofErr w:type="spellStart"/>
      <w:r w:rsidRPr="004826C0">
        <w:rPr>
          <w:rFonts w:cs="Times New Roman"/>
          <w:i/>
          <w:lang w:val="fr-CA"/>
        </w:rPr>
        <w:t>Garofoli</w:t>
      </w:r>
      <w:proofErr w:type="spellEnd"/>
      <w:r w:rsidRPr="004826C0">
        <w:rPr>
          <w:rFonts w:cs="Times New Roman"/>
          <w:lang w:val="fr-CA"/>
        </w:rPr>
        <w:t>. À leur avis, il faut infirmer l</w:t>
      </w:r>
      <w:r>
        <w:rPr>
          <w:rFonts w:cs="Times New Roman"/>
          <w:lang w:val="fr-CA"/>
        </w:rPr>
        <w:t>’</w:t>
      </w:r>
      <w:r w:rsidRPr="004826C0">
        <w:rPr>
          <w:rFonts w:cs="Times New Roman"/>
          <w:lang w:val="fr-CA"/>
        </w:rPr>
        <w:t>ordonnance rendue par le juge d</w:t>
      </w:r>
      <w:r>
        <w:rPr>
          <w:rFonts w:cs="Times New Roman"/>
          <w:lang w:val="fr-CA"/>
        </w:rPr>
        <w:t>’</w:t>
      </w:r>
      <w:r w:rsidRPr="004826C0">
        <w:rPr>
          <w:rFonts w:cs="Times New Roman"/>
          <w:lang w:val="fr-CA"/>
        </w:rPr>
        <w:t>instance sur le fondement de cet argument également.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Pour les motifs qui suivent, nous partageons l</w:t>
      </w:r>
      <w:r>
        <w:rPr>
          <w:rFonts w:cs="Times New Roman"/>
          <w:lang w:val="fr-CA"/>
        </w:rPr>
        <w:t>’</w:t>
      </w:r>
      <w:r w:rsidRPr="004826C0">
        <w:rPr>
          <w:rFonts w:cs="Times New Roman"/>
          <w:lang w:val="fr-CA"/>
        </w:rPr>
        <w:t>avis de l</w:t>
      </w:r>
      <w:r>
        <w:rPr>
          <w:rFonts w:cs="Times New Roman"/>
          <w:lang w:val="fr-CA"/>
        </w:rPr>
        <w:t>’appelant</w:t>
      </w:r>
      <w:r w:rsidRPr="004826C0">
        <w:rPr>
          <w:rFonts w:cs="Times New Roman"/>
          <w:lang w:val="fr-CA"/>
        </w:rPr>
        <w:t xml:space="preserve"> sur les deux questions. Ainsi, nous sommes d</w:t>
      </w:r>
      <w:r>
        <w:rPr>
          <w:rFonts w:cs="Times New Roman"/>
          <w:lang w:val="fr-CA"/>
        </w:rPr>
        <w:t>’</w:t>
      </w:r>
      <w:r w:rsidRPr="004826C0">
        <w:rPr>
          <w:rFonts w:cs="Times New Roman"/>
          <w:lang w:val="fr-CA"/>
        </w:rPr>
        <w:t>avis d</w:t>
      </w:r>
      <w:r>
        <w:rPr>
          <w:rFonts w:cs="Times New Roman"/>
          <w:lang w:val="fr-CA"/>
        </w:rPr>
        <w:t>’</w:t>
      </w:r>
      <w:r w:rsidRPr="004826C0">
        <w:rPr>
          <w:rFonts w:cs="Times New Roman"/>
          <w:lang w:val="fr-CA"/>
        </w:rPr>
        <w:t>accueillir l</w:t>
      </w:r>
      <w:r>
        <w:rPr>
          <w:rFonts w:cs="Times New Roman"/>
          <w:lang w:val="fr-CA"/>
        </w:rPr>
        <w:t>’</w:t>
      </w:r>
      <w:r w:rsidRPr="004826C0">
        <w:rPr>
          <w:rFonts w:cs="Times New Roman"/>
          <w:lang w:val="fr-CA"/>
        </w:rPr>
        <w:t>appel et d</w:t>
      </w:r>
      <w:r>
        <w:rPr>
          <w:rFonts w:cs="Times New Roman"/>
          <w:lang w:val="fr-CA"/>
        </w:rPr>
        <w:t>’</w:t>
      </w:r>
      <w:r w:rsidRPr="004826C0">
        <w:rPr>
          <w:rFonts w:cs="Times New Roman"/>
          <w:lang w:val="fr-CA"/>
        </w:rPr>
        <w:t>infirmer l</w:t>
      </w:r>
      <w:r>
        <w:rPr>
          <w:rFonts w:cs="Times New Roman"/>
          <w:lang w:val="fr-CA"/>
        </w:rPr>
        <w:t>’</w:t>
      </w:r>
      <w:r w:rsidRPr="004826C0">
        <w:rPr>
          <w:rFonts w:cs="Times New Roman"/>
          <w:lang w:val="fr-CA"/>
        </w:rPr>
        <w:t>ordonnance rendue par le juge d</w:t>
      </w:r>
      <w:r>
        <w:rPr>
          <w:rFonts w:cs="Times New Roman"/>
          <w:lang w:val="fr-CA"/>
        </w:rPr>
        <w:t>’</w:t>
      </w:r>
      <w:r w:rsidRPr="004826C0">
        <w:rPr>
          <w:rFonts w:cs="Times New Roman"/>
          <w:lang w:val="fr-CA"/>
        </w:rPr>
        <w:t>instance.</w:t>
      </w:r>
    </w:p>
    <w:p w:rsidR="002405E3" w:rsidRPr="004826C0" w:rsidRDefault="002405E3" w:rsidP="003C0B54">
      <w:pPr>
        <w:pStyle w:val="Title1LevelTitre1Niveau-AltL"/>
        <w:widowControl w:val="0"/>
        <w:rPr>
          <w:rFonts w:cs="Times New Roman"/>
          <w:lang w:val="fr-CA"/>
        </w:rPr>
      </w:pPr>
      <w:r w:rsidRPr="004826C0">
        <w:rPr>
          <w:rFonts w:cs="Times New Roman"/>
          <w:lang w:val="fr-CA"/>
        </w:rPr>
        <w:t>Faits</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Organisation internationale dont le siège social est situé à Washington, le Groupe se compose de cinq organes distincts : la BIRD, l</w:t>
      </w:r>
      <w:r>
        <w:rPr>
          <w:rFonts w:cs="Times New Roman"/>
          <w:lang w:val="fr-CA"/>
        </w:rPr>
        <w:t>’</w:t>
      </w:r>
      <w:r w:rsidRPr="004826C0">
        <w:rPr>
          <w:rFonts w:cs="Times New Roman"/>
          <w:lang w:val="fr-CA"/>
        </w:rPr>
        <w:t>IDA, la Société financière internationale, l</w:t>
      </w:r>
      <w:r>
        <w:rPr>
          <w:rFonts w:cs="Times New Roman"/>
          <w:lang w:val="fr-CA"/>
        </w:rPr>
        <w:t>’</w:t>
      </w:r>
      <w:r w:rsidRPr="004826C0">
        <w:rPr>
          <w:rFonts w:cs="Times New Roman"/>
          <w:lang w:val="fr-CA"/>
        </w:rPr>
        <w:t>Agence multilatérale de garantie des investissements et le Centre international pour le règlement des différends relatifs aux investissements. Le Canada, à l</w:t>
      </w:r>
      <w:r>
        <w:rPr>
          <w:rFonts w:cs="Times New Roman"/>
          <w:lang w:val="fr-CA"/>
        </w:rPr>
        <w:t>’</w:t>
      </w:r>
      <w:r w:rsidRPr="004826C0">
        <w:rPr>
          <w:rFonts w:cs="Times New Roman"/>
          <w:lang w:val="fr-CA"/>
        </w:rPr>
        <w:t xml:space="preserve">instar de 187 autres États membres, a ratifié les Accords, Statuts et Conventions ayant établi ces organisations.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w:t>
      </w:r>
      <w:r>
        <w:rPr>
          <w:rFonts w:cs="Times New Roman"/>
          <w:lang w:val="fr-CA"/>
        </w:rPr>
        <w:t>’</w:t>
      </w:r>
      <w:r w:rsidRPr="004826C0">
        <w:rPr>
          <w:rFonts w:cs="Times New Roman"/>
          <w:lang w:val="fr-CA"/>
        </w:rPr>
        <w:t>une des responsabilités les plus importantes du Groupe consiste à consentir des prêts, des garanties, des crédits et des subventions à l</w:t>
      </w:r>
      <w:r>
        <w:rPr>
          <w:rFonts w:cs="Times New Roman"/>
          <w:lang w:val="fr-CA"/>
        </w:rPr>
        <w:t>’</w:t>
      </w:r>
      <w:r w:rsidRPr="004826C0">
        <w:rPr>
          <w:rFonts w:cs="Times New Roman"/>
          <w:lang w:val="fr-CA"/>
        </w:rPr>
        <w:t>égard de projets et programmes d</w:t>
      </w:r>
      <w:r w:rsidR="00DA69CE">
        <w:rPr>
          <w:rFonts w:cs="Times New Roman"/>
          <w:lang w:val="fr-CA"/>
        </w:rPr>
        <w:t>e développement mis en œ</w:t>
      </w:r>
      <w:r w:rsidRPr="004826C0">
        <w:rPr>
          <w:rFonts w:cs="Times New Roman"/>
          <w:lang w:val="fr-CA"/>
        </w:rPr>
        <w:t>uvre dans des pays en voie de développement. Le Groupe était à l</w:t>
      </w:r>
      <w:r>
        <w:rPr>
          <w:rFonts w:cs="Times New Roman"/>
          <w:lang w:val="fr-CA"/>
        </w:rPr>
        <w:t>’</w:t>
      </w:r>
      <w:r w:rsidRPr="004826C0">
        <w:rPr>
          <w:rFonts w:cs="Times New Roman"/>
          <w:lang w:val="fr-CA"/>
        </w:rPr>
        <w:t>origine l</w:t>
      </w:r>
      <w:r>
        <w:rPr>
          <w:rFonts w:cs="Times New Roman"/>
          <w:lang w:val="fr-CA"/>
        </w:rPr>
        <w:t>’</w:t>
      </w:r>
      <w:r w:rsidRPr="004826C0">
        <w:rPr>
          <w:rFonts w:cs="Times New Roman"/>
          <w:lang w:val="fr-CA"/>
        </w:rPr>
        <w:t>un des principaux prêteur</w:t>
      </w:r>
      <w:r w:rsidR="008378B9">
        <w:rPr>
          <w:rFonts w:cs="Times New Roman"/>
          <w:lang w:val="fr-CA"/>
        </w:rPr>
        <w:t>s du projet qui se trouve au cœ</w:t>
      </w:r>
      <w:r w:rsidRPr="004826C0">
        <w:rPr>
          <w:rFonts w:cs="Times New Roman"/>
          <w:lang w:val="fr-CA"/>
        </w:rPr>
        <w:t>ur du présent litige. Le projet de pont sur la Padma</w:t>
      </w:r>
      <w:r>
        <w:rPr>
          <w:rFonts w:cs="Times New Roman"/>
          <w:lang w:val="fr-CA"/>
        </w:rPr>
        <w:t xml:space="preserve"> </w:t>
      </w:r>
      <w:r w:rsidRPr="004826C0">
        <w:rPr>
          <w:rFonts w:cs="Times New Roman"/>
          <w:lang w:val="fr-CA"/>
        </w:rPr>
        <w:t>comportait la construction d</w:t>
      </w:r>
      <w:r>
        <w:rPr>
          <w:rFonts w:cs="Times New Roman"/>
          <w:lang w:val="fr-CA"/>
        </w:rPr>
        <w:t>’</w:t>
      </w:r>
      <w:r w:rsidRPr="004826C0">
        <w:rPr>
          <w:rFonts w:cs="Times New Roman"/>
          <w:lang w:val="fr-CA"/>
        </w:rPr>
        <w:t>un pont routier et ferroviaire de six kilomètres enjambant le fleuve Padma au Bangladesh. Le pont devait relier la capitale, Dacca, à la région isolée du Sud</w:t>
      </w:r>
      <w:r w:rsidRPr="004826C0">
        <w:rPr>
          <w:rFonts w:cs="Times New Roman"/>
          <w:lang w:val="fr-CA"/>
        </w:rPr>
        <w:noBreakHyphen/>
        <w:t>Ouest du pays. Par l</w:t>
      </w:r>
      <w:r>
        <w:rPr>
          <w:rFonts w:cs="Times New Roman"/>
          <w:lang w:val="fr-CA"/>
        </w:rPr>
        <w:t>’</w:t>
      </w:r>
      <w:r w:rsidRPr="004826C0">
        <w:rPr>
          <w:rFonts w:cs="Times New Roman"/>
          <w:lang w:val="fr-CA"/>
        </w:rPr>
        <w:t>entremise de l</w:t>
      </w:r>
      <w:r>
        <w:rPr>
          <w:rFonts w:cs="Times New Roman"/>
          <w:lang w:val="fr-CA"/>
        </w:rPr>
        <w:t>’</w:t>
      </w:r>
      <w:r w:rsidRPr="004826C0">
        <w:rPr>
          <w:rFonts w:cs="Times New Roman"/>
          <w:lang w:val="fr-CA"/>
        </w:rPr>
        <w:t>IDA, le Groupe s</w:t>
      </w:r>
      <w:r>
        <w:rPr>
          <w:rFonts w:cs="Times New Roman"/>
          <w:lang w:val="fr-CA"/>
        </w:rPr>
        <w:t>’</w:t>
      </w:r>
      <w:r w:rsidRPr="004826C0">
        <w:rPr>
          <w:rFonts w:cs="Times New Roman"/>
          <w:lang w:val="fr-CA"/>
        </w:rPr>
        <w:t>était engagé à prêter 1,2 milliard $</w:t>
      </w:r>
      <w:r w:rsidR="00B15CCB">
        <w:rPr>
          <w:rFonts w:cs="Times New Roman"/>
          <w:lang w:val="fr-CA"/>
        </w:rPr>
        <w:t> </w:t>
      </w:r>
      <w:r w:rsidRPr="004826C0">
        <w:rPr>
          <w:rFonts w:cs="Times New Roman"/>
          <w:lang w:val="fr-CA"/>
        </w:rPr>
        <w:t>US au gouvernement du Bangladesh, le coût total du projet étant estimé à 2,9 milliards $</w:t>
      </w:r>
      <w:r w:rsidR="00B15CCB">
        <w:rPr>
          <w:rFonts w:cs="Times New Roman"/>
          <w:lang w:val="fr-CA"/>
        </w:rPr>
        <w:t> </w:t>
      </w:r>
      <w:r w:rsidRPr="004826C0">
        <w:rPr>
          <w:rFonts w:cs="Times New Roman"/>
          <w:lang w:val="fr-CA"/>
        </w:rPr>
        <w:t>US. Le reste du financement devait provenir d</w:t>
      </w:r>
      <w:r>
        <w:rPr>
          <w:rFonts w:cs="Times New Roman"/>
          <w:lang w:val="fr-CA"/>
        </w:rPr>
        <w:t>’</w:t>
      </w:r>
      <w:r w:rsidRPr="004826C0">
        <w:rPr>
          <w:rFonts w:cs="Times New Roman"/>
          <w:lang w:val="fr-CA"/>
        </w:rPr>
        <w:t>un consortium international de banques et d</w:t>
      </w:r>
      <w:r>
        <w:rPr>
          <w:rFonts w:cs="Times New Roman"/>
          <w:lang w:val="fr-CA"/>
        </w:rPr>
        <w:t>’</w:t>
      </w:r>
      <w:r w:rsidRPr="004826C0">
        <w:rPr>
          <w:rFonts w:cs="Times New Roman"/>
          <w:lang w:val="fr-CA"/>
        </w:rPr>
        <w:t>organismes de développement.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À l</w:t>
      </w:r>
      <w:r>
        <w:rPr>
          <w:rFonts w:cs="Times New Roman"/>
          <w:lang w:val="fr-CA"/>
        </w:rPr>
        <w:t>’</w:t>
      </w:r>
      <w:r w:rsidRPr="004826C0">
        <w:rPr>
          <w:rFonts w:cs="Times New Roman"/>
          <w:lang w:val="fr-CA"/>
        </w:rPr>
        <w:t>instar de plusieurs autres sociétés, SNC</w:t>
      </w:r>
      <w:r w:rsidRPr="004826C0">
        <w:rPr>
          <w:rFonts w:cs="Times New Roman"/>
          <w:lang w:val="fr-CA"/>
        </w:rPr>
        <w:noBreakHyphen/>
      </w:r>
      <w:proofErr w:type="spellStart"/>
      <w:r w:rsidRPr="004826C0">
        <w:rPr>
          <w:rFonts w:cs="Times New Roman"/>
          <w:lang w:val="fr-CA"/>
        </w:rPr>
        <w:t>Lavalin</w:t>
      </w:r>
      <w:proofErr w:type="spellEnd"/>
      <w:r w:rsidRPr="004826C0">
        <w:rPr>
          <w:rFonts w:cs="Times New Roman"/>
          <w:lang w:val="fr-CA"/>
        </w:rPr>
        <w:t xml:space="preserve"> a soumissionné pour obtenir le contrat de supervision des travaux de construction du pont (« contrat de supervision »). Un comité composé de représentants bangladais a examiné les soumissions. Les intimés auraient supposément comploté dans le dessein de soudoyer le comité afin que le contrat soit accordé à SNC</w:t>
      </w:r>
      <w:r w:rsidRPr="004826C0">
        <w:rPr>
          <w:rFonts w:cs="Times New Roman"/>
          <w:lang w:val="fr-CA"/>
        </w:rPr>
        <w:noBreakHyphen/>
      </w:r>
      <w:proofErr w:type="spellStart"/>
      <w:r w:rsidRPr="004826C0">
        <w:rPr>
          <w:rFonts w:cs="Times New Roman"/>
          <w:lang w:val="fr-CA"/>
        </w:rPr>
        <w:t>Lavalin</w:t>
      </w:r>
      <w:proofErr w:type="spellEnd"/>
      <w:r w:rsidRPr="004826C0">
        <w:rPr>
          <w:rFonts w:cs="Times New Roman"/>
          <w:lang w:val="fr-CA"/>
        </w:rPr>
        <w:t>. Trois des intimés sont d</w:t>
      </w:r>
      <w:r>
        <w:rPr>
          <w:rFonts w:cs="Times New Roman"/>
          <w:lang w:val="fr-CA"/>
        </w:rPr>
        <w:t>’</w:t>
      </w:r>
      <w:r w:rsidRPr="004826C0">
        <w:rPr>
          <w:rFonts w:cs="Times New Roman"/>
          <w:lang w:val="fr-CA"/>
        </w:rPr>
        <w:t xml:space="preserve">anciens employés de cette dernière : Kevin Wallace, </w:t>
      </w:r>
      <w:proofErr w:type="spellStart"/>
      <w:r w:rsidRPr="004826C0">
        <w:rPr>
          <w:rFonts w:cs="Times New Roman"/>
          <w:lang w:val="fr-CA"/>
        </w:rPr>
        <w:t>Ramesh</w:t>
      </w:r>
      <w:proofErr w:type="spellEnd"/>
      <w:r w:rsidRPr="004826C0">
        <w:rPr>
          <w:rFonts w:cs="Times New Roman"/>
          <w:lang w:val="fr-CA"/>
        </w:rPr>
        <w:t xml:space="preserve"> Shah et Mohammad Ismail. Le quatrième intimé, </w:t>
      </w:r>
      <w:proofErr w:type="spellStart"/>
      <w:r w:rsidRPr="004826C0">
        <w:rPr>
          <w:rFonts w:cs="Times New Roman"/>
          <w:lang w:val="fr-CA"/>
        </w:rPr>
        <w:t>Zulfiquar</w:t>
      </w:r>
      <w:proofErr w:type="spellEnd"/>
      <w:r w:rsidRPr="004826C0">
        <w:rPr>
          <w:rFonts w:cs="Times New Roman"/>
          <w:lang w:val="fr-CA"/>
        </w:rPr>
        <w:t xml:space="preserve"> </w:t>
      </w:r>
      <w:proofErr w:type="spellStart"/>
      <w:r w:rsidRPr="004826C0">
        <w:rPr>
          <w:rFonts w:cs="Times New Roman"/>
          <w:lang w:val="fr-CA"/>
        </w:rPr>
        <w:t>Bhuiyan</w:t>
      </w:r>
      <w:proofErr w:type="spellEnd"/>
      <w:r w:rsidRPr="004826C0">
        <w:rPr>
          <w:rFonts w:cs="Times New Roman"/>
          <w:lang w:val="fr-CA"/>
        </w:rPr>
        <w:t xml:space="preserve">, aurait représenté </w:t>
      </w:r>
      <w:proofErr w:type="spellStart"/>
      <w:r w:rsidRPr="004826C0">
        <w:rPr>
          <w:rFonts w:cs="Times New Roman"/>
          <w:lang w:val="fr-CA"/>
        </w:rPr>
        <w:t>Abul</w:t>
      </w:r>
      <w:proofErr w:type="spellEnd"/>
      <w:r w:rsidRPr="004826C0">
        <w:rPr>
          <w:rFonts w:cs="Times New Roman"/>
          <w:lang w:val="fr-CA"/>
        </w:rPr>
        <w:t xml:space="preserve"> </w:t>
      </w:r>
      <w:proofErr w:type="spellStart"/>
      <w:r w:rsidRPr="004826C0">
        <w:rPr>
          <w:rFonts w:cs="Times New Roman"/>
          <w:lang w:val="fr-CA"/>
        </w:rPr>
        <w:t>Chowdhury</w:t>
      </w:r>
      <w:proofErr w:type="spellEnd"/>
      <w:r w:rsidRPr="004826C0">
        <w:rPr>
          <w:rFonts w:cs="Times New Roman"/>
          <w:lang w:val="fr-CA"/>
        </w:rPr>
        <w:t>, un fonctionnaire bangladais soupçonné d</w:t>
      </w:r>
      <w:r>
        <w:rPr>
          <w:rFonts w:cs="Times New Roman"/>
          <w:lang w:val="fr-CA"/>
        </w:rPr>
        <w:t>’</w:t>
      </w:r>
      <w:r w:rsidRPr="004826C0">
        <w:rPr>
          <w:rFonts w:cs="Times New Roman"/>
          <w:lang w:val="fr-CA"/>
        </w:rPr>
        <w:t>être impliqué. Ils sont tous accusés d</w:t>
      </w:r>
      <w:r>
        <w:rPr>
          <w:rFonts w:cs="Times New Roman"/>
          <w:lang w:val="fr-CA"/>
        </w:rPr>
        <w:t>’</w:t>
      </w:r>
      <w:r w:rsidRPr="004826C0">
        <w:rPr>
          <w:rFonts w:cs="Times New Roman"/>
          <w:lang w:val="fr-CA"/>
        </w:rPr>
        <w:t xml:space="preserve">avoir enfreint la </w:t>
      </w:r>
      <w:r w:rsidRPr="004826C0">
        <w:rPr>
          <w:rFonts w:cs="Times New Roman"/>
          <w:i/>
          <w:lang w:val="fr-CA"/>
        </w:rPr>
        <w:t>Loi sur la corruption d</w:t>
      </w:r>
      <w:r>
        <w:rPr>
          <w:rFonts w:cs="Times New Roman"/>
          <w:i/>
          <w:lang w:val="fr-CA"/>
        </w:rPr>
        <w:t>’</w:t>
      </w:r>
      <w:r w:rsidRPr="004826C0">
        <w:rPr>
          <w:rFonts w:cs="Times New Roman"/>
          <w:i/>
          <w:lang w:val="fr-CA"/>
        </w:rPr>
        <w:t>agents publics étrangers</w:t>
      </w:r>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w:t>
      </w:r>
      <w:r>
        <w:rPr>
          <w:rFonts w:cs="Times New Roman"/>
          <w:lang w:val="fr-CA"/>
        </w:rPr>
        <w:t>’</w:t>
      </w:r>
      <w:r w:rsidRPr="004826C0">
        <w:rPr>
          <w:rFonts w:cs="Times New Roman"/>
          <w:lang w:val="fr-CA"/>
        </w:rPr>
        <w:t>INT est chargée d</w:t>
      </w:r>
      <w:r>
        <w:rPr>
          <w:rFonts w:cs="Times New Roman"/>
          <w:lang w:val="fr-CA"/>
        </w:rPr>
        <w:t>’</w:t>
      </w:r>
      <w:r w:rsidRPr="004826C0">
        <w:rPr>
          <w:rFonts w:cs="Times New Roman"/>
          <w:lang w:val="fr-CA"/>
        </w:rPr>
        <w:t>enquêter sur les allégations de fraude, de corruption et de collusion dans les projets financés par le Groupe. Unité indépendante au sein du Groupe, l</w:t>
      </w:r>
      <w:r>
        <w:rPr>
          <w:rFonts w:cs="Times New Roman"/>
          <w:lang w:val="fr-CA"/>
        </w:rPr>
        <w:t>’</w:t>
      </w:r>
      <w:r w:rsidRPr="004826C0">
        <w:rPr>
          <w:rFonts w:cs="Times New Roman"/>
          <w:lang w:val="fr-CA"/>
        </w:rPr>
        <w:t>INT relève directement de son président. MM. </w:t>
      </w:r>
      <w:proofErr w:type="spellStart"/>
      <w:r w:rsidRPr="004826C0">
        <w:rPr>
          <w:rFonts w:cs="Times New Roman"/>
          <w:lang w:val="fr-CA"/>
        </w:rPr>
        <w:t>Haynes</w:t>
      </w:r>
      <w:proofErr w:type="spellEnd"/>
      <w:r w:rsidRPr="004826C0">
        <w:rPr>
          <w:rFonts w:cs="Times New Roman"/>
          <w:lang w:val="fr-CA"/>
        </w:rPr>
        <w:t xml:space="preserve"> et Kim étaient des enquêteurs seniors de l</w:t>
      </w:r>
      <w:r>
        <w:rPr>
          <w:rFonts w:cs="Times New Roman"/>
          <w:lang w:val="fr-CA"/>
        </w:rPr>
        <w:t>’</w:t>
      </w:r>
      <w:r w:rsidRPr="004826C0">
        <w:rPr>
          <w:rFonts w:cs="Times New Roman"/>
          <w:lang w:val="fr-CA"/>
        </w:rPr>
        <w:t>INT. M. </w:t>
      </w:r>
      <w:proofErr w:type="spellStart"/>
      <w:r w:rsidRPr="004826C0">
        <w:rPr>
          <w:rFonts w:cs="Times New Roman"/>
          <w:lang w:val="fr-CA"/>
        </w:rPr>
        <w:t>Haynes</w:t>
      </w:r>
      <w:proofErr w:type="spellEnd"/>
      <w:r w:rsidRPr="004826C0">
        <w:rPr>
          <w:rFonts w:cs="Times New Roman"/>
          <w:lang w:val="fr-CA"/>
        </w:rPr>
        <w:t xml:space="preserve"> a dirigé l</w:t>
      </w:r>
      <w:r>
        <w:rPr>
          <w:rFonts w:cs="Times New Roman"/>
          <w:lang w:val="fr-CA"/>
        </w:rPr>
        <w:t>’</w:t>
      </w:r>
      <w:r w:rsidRPr="004826C0">
        <w:rPr>
          <w:rFonts w:cs="Times New Roman"/>
          <w:lang w:val="fr-CA"/>
        </w:rPr>
        <w:t xml:space="preserve">enquête dans cette affaire.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 2010, l</w:t>
      </w:r>
      <w:r>
        <w:rPr>
          <w:rFonts w:cs="Times New Roman"/>
          <w:lang w:val="fr-CA"/>
        </w:rPr>
        <w:t>’</w:t>
      </w:r>
      <w:r w:rsidRPr="004826C0">
        <w:rPr>
          <w:rFonts w:cs="Times New Roman"/>
          <w:lang w:val="fr-CA"/>
        </w:rPr>
        <w:t>INT recevait le premier d</w:t>
      </w:r>
      <w:r>
        <w:rPr>
          <w:rFonts w:cs="Times New Roman"/>
          <w:lang w:val="fr-CA"/>
        </w:rPr>
        <w:t>’</w:t>
      </w:r>
      <w:r w:rsidRPr="004826C0">
        <w:rPr>
          <w:rFonts w:cs="Times New Roman"/>
          <w:lang w:val="fr-CA"/>
        </w:rPr>
        <w:t>une série de courriels suggérant l</w:t>
      </w:r>
      <w:r>
        <w:rPr>
          <w:rFonts w:cs="Times New Roman"/>
          <w:lang w:val="fr-CA"/>
        </w:rPr>
        <w:t>’</w:t>
      </w:r>
      <w:r w:rsidRPr="004826C0">
        <w:rPr>
          <w:rFonts w:cs="Times New Roman"/>
          <w:lang w:val="fr-CA"/>
        </w:rPr>
        <w:t>existence de corruption dans le processus d</w:t>
      </w:r>
      <w:r>
        <w:rPr>
          <w:rFonts w:cs="Times New Roman"/>
          <w:lang w:val="fr-CA"/>
        </w:rPr>
        <w:t>’</w:t>
      </w:r>
      <w:r w:rsidRPr="004826C0">
        <w:rPr>
          <w:rFonts w:cs="Times New Roman"/>
          <w:lang w:val="fr-CA"/>
        </w:rPr>
        <w:t>attribution du contrat de supervision. Selon les informateurs, des employés de SNC</w:t>
      </w:r>
      <w:r w:rsidRPr="004826C0">
        <w:rPr>
          <w:rFonts w:cs="Times New Roman"/>
          <w:lang w:val="fr-CA"/>
        </w:rPr>
        <w:noBreakHyphen/>
      </w:r>
      <w:proofErr w:type="spellStart"/>
      <w:r w:rsidRPr="004826C0">
        <w:rPr>
          <w:rFonts w:cs="Times New Roman"/>
          <w:lang w:val="fr-CA"/>
        </w:rPr>
        <w:t>Lavalin</w:t>
      </w:r>
      <w:proofErr w:type="spellEnd"/>
      <w:r w:rsidRPr="004826C0">
        <w:rPr>
          <w:rFonts w:cs="Times New Roman"/>
          <w:lang w:val="fr-CA"/>
        </w:rPr>
        <w:t xml:space="preserve"> avaient offert de verser une partie de la valeur du contrat à des fonctionnaires bangladais en échange d</w:t>
      </w:r>
      <w:r>
        <w:rPr>
          <w:rFonts w:cs="Times New Roman"/>
          <w:lang w:val="fr-CA"/>
        </w:rPr>
        <w:t>’</w:t>
      </w:r>
      <w:r w:rsidRPr="004826C0">
        <w:rPr>
          <w:rFonts w:cs="Times New Roman"/>
          <w:lang w:val="fr-CA"/>
        </w:rPr>
        <w:t>un traitement favorable. En tout et pour tout, l</w:t>
      </w:r>
      <w:r>
        <w:rPr>
          <w:rFonts w:cs="Times New Roman"/>
          <w:lang w:val="fr-CA"/>
        </w:rPr>
        <w:t>’</w:t>
      </w:r>
      <w:r w:rsidRPr="004826C0">
        <w:rPr>
          <w:rFonts w:cs="Times New Roman"/>
          <w:lang w:val="fr-CA"/>
        </w:rPr>
        <w:t>INT a reçu des courriels de la part de quatre informateurs. Tous, sauf un, sont demeurés anonymes pour la GRC. L</w:t>
      </w:r>
      <w:r>
        <w:rPr>
          <w:rFonts w:cs="Times New Roman"/>
          <w:lang w:val="fr-CA"/>
        </w:rPr>
        <w:t>’</w:t>
      </w:r>
      <w:r w:rsidRPr="004826C0">
        <w:rPr>
          <w:rFonts w:cs="Times New Roman"/>
          <w:lang w:val="fr-CA"/>
        </w:rPr>
        <w:t>identité d</w:t>
      </w:r>
      <w:r>
        <w:rPr>
          <w:rFonts w:cs="Times New Roman"/>
          <w:lang w:val="fr-CA"/>
        </w:rPr>
        <w:t>’</w:t>
      </w:r>
      <w:r w:rsidRPr="004826C0">
        <w:rPr>
          <w:rFonts w:cs="Times New Roman"/>
          <w:lang w:val="fr-CA"/>
        </w:rPr>
        <w:t>un deuxième informateur est connue seulement de M. </w:t>
      </w:r>
      <w:proofErr w:type="spellStart"/>
      <w:r w:rsidRPr="004826C0">
        <w:rPr>
          <w:rFonts w:cs="Times New Roman"/>
          <w:lang w:val="fr-CA"/>
        </w:rPr>
        <w:t>Haynes</w:t>
      </w:r>
      <w:proofErr w:type="spellEnd"/>
      <w:r w:rsidRPr="004826C0">
        <w:rPr>
          <w:rFonts w:cs="Times New Roman"/>
          <w:lang w:val="fr-CA"/>
        </w:rPr>
        <w:t>, cet informateur ayant refusé de la dévoiler à la GRC. Les deux autres n</w:t>
      </w:r>
      <w:r>
        <w:rPr>
          <w:rFonts w:cs="Times New Roman"/>
          <w:lang w:val="fr-CA"/>
        </w:rPr>
        <w:t>’</w:t>
      </w:r>
      <w:r w:rsidRPr="004826C0">
        <w:rPr>
          <w:rFonts w:cs="Times New Roman"/>
          <w:lang w:val="fr-CA"/>
        </w:rPr>
        <w:t>ont jamais révélé leur identité à quelque enquêteur que ce soit dans cette affaire.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Selon une décision antérieure qui n</w:t>
      </w:r>
      <w:r>
        <w:rPr>
          <w:rFonts w:cs="Times New Roman"/>
          <w:lang w:val="fr-CA"/>
        </w:rPr>
        <w:t>’</w:t>
      </w:r>
      <w:r w:rsidRPr="004826C0">
        <w:rPr>
          <w:rFonts w:cs="Times New Roman"/>
          <w:lang w:val="fr-CA"/>
        </w:rPr>
        <w:t>est pas remise en cause devant nous, la confidentialité de l</w:t>
      </w:r>
      <w:r>
        <w:rPr>
          <w:rFonts w:cs="Times New Roman"/>
          <w:lang w:val="fr-CA"/>
        </w:rPr>
        <w:t>’</w:t>
      </w:r>
      <w:r w:rsidRPr="004826C0">
        <w:rPr>
          <w:rFonts w:cs="Times New Roman"/>
          <w:lang w:val="fr-CA"/>
        </w:rPr>
        <w:t>identité de deux des quatre informateurs a été reconnue en droit canadien, ce qui n</w:t>
      </w:r>
      <w:r>
        <w:rPr>
          <w:rFonts w:cs="Times New Roman"/>
          <w:lang w:val="fr-CA"/>
        </w:rPr>
        <w:t>’</w:t>
      </w:r>
      <w:r w:rsidRPr="004826C0">
        <w:rPr>
          <w:rFonts w:cs="Times New Roman"/>
          <w:lang w:val="fr-CA"/>
        </w:rPr>
        <w:t>est pas le cas des deux autres. Par conséquent, l</w:t>
      </w:r>
      <w:r>
        <w:rPr>
          <w:rFonts w:cs="Times New Roman"/>
          <w:lang w:val="fr-CA"/>
        </w:rPr>
        <w:t>’</w:t>
      </w:r>
      <w:r w:rsidRPr="004826C0">
        <w:rPr>
          <w:rFonts w:cs="Times New Roman"/>
          <w:lang w:val="fr-CA"/>
        </w:rPr>
        <w:t>identité de deux informateurs est protégée par le privilège relatif aux indicateurs. À la date de l</w:t>
      </w:r>
      <w:r>
        <w:rPr>
          <w:rFonts w:cs="Times New Roman"/>
          <w:lang w:val="fr-CA"/>
        </w:rPr>
        <w:t>’</w:t>
      </w:r>
      <w:r w:rsidRPr="004826C0">
        <w:rPr>
          <w:rFonts w:cs="Times New Roman"/>
          <w:lang w:val="fr-CA"/>
        </w:rPr>
        <w:t>audition du présent appel, la Couronne n</w:t>
      </w:r>
      <w:r>
        <w:rPr>
          <w:rFonts w:cs="Times New Roman"/>
          <w:lang w:val="fr-CA"/>
        </w:rPr>
        <w:t>’</w:t>
      </w:r>
      <w:r w:rsidRPr="004826C0">
        <w:rPr>
          <w:rFonts w:cs="Times New Roman"/>
          <w:lang w:val="fr-CA"/>
        </w:rPr>
        <w:t>avait pas l</w:t>
      </w:r>
      <w:r>
        <w:rPr>
          <w:rFonts w:cs="Times New Roman"/>
          <w:lang w:val="fr-CA"/>
        </w:rPr>
        <w:t>’</w:t>
      </w:r>
      <w:r w:rsidRPr="004826C0">
        <w:rPr>
          <w:rFonts w:cs="Times New Roman"/>
          <w:lang w:val="fr-CA"/>
        </w:rPr>
        <w:t>intention de faire témoigner les informateurs.</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 mars 2011, l</w:t>
      </w:r>
      <w:r>
        <w:rPr>
          <w:rFonts w:cs="Times New Roman"/>
          <w:lang w:val="fr-CA"/>
        </w:rPr>
        <w:t>’</w:t>
      </w:r>
      <w:r w:rsidRPr="004826C0">
        <w:rPr>
          <w:rFonts w:cs="Times New Roman"/>
          <w:lang w:val="fr-CA"/>
        </w:rPr>
        <w:t>INT transmettait à la GRC les courriels des informateurs, les rapports d</w:t>
      </w:r>
      <w:r>
        <w:rPr>
          <w:rFonts w:cs="Times New Roman"/>
          <w:lang w:val="fr-CA"/>
        </w:rPr>
        <w:t>’</w:t>
      </w:r>
      <w:r w:rsidRPr="004826C0">
        <w:rPr>
          <w:rFonts w:cs="Times New Roman"/>
          <w:lang w:val="fr-CA"/>
        </w:rPr>
        <w:t>enquête et d</w:t>
      </w:r>
      <w:r>
        <w:rPr>
          <w:rFonts w:cs="Times New Roman"/>
          <w:lang w:val="fr-CA"/>
        </w:rPr>
        <w:t>’</w:t>
      </w:r>
      <w:r w:rsidRPr="004826C0">
        <w:rPr>
          <w:rFonts w:cs="Times New Roman"/>
          <w:lang w:val="fr-CA"/>
        </w:rPr>
        <w:t>autres documents. La GRC a alors demandé l</w:t>
      </w:r>
      <w:r>
        <w:rPr>
          <w:rFonts w:cs="Times New Roman"/>
          <w:lang w:val="fr-CA"/>
        </w:rPr>
        <w:t>’</w:t>
      </w:r>
      <w:r w:rsidRPr="004826C0">
        <w:rPr>
          <w:rFonts w:cs="Times New Roman"/>
          <w:lang w:val="fr-CA"/>
        </w:rPr>
        <w:t>autorisation d</w:t>
      </w:r>
      <w:r>
        <w:rPr>
          <w:rFonts w:cs="Times New Roman"/>
          <w:lang w:val="fr-CA"/>
        </w:rPr>
        <w:t>’</w:t>
      </w:r>
      <w:r w:rsidRPr="004826C0">
        <w:rPr>
          <w:rFonts w:cs="Times New Roman"/>
          <w:lang w:val="fr-CA"/>
        </w:rPr>
        <w:t xml:space="preserve">intercepter des communications privées en vertu de la partie VI du </w:t>
      </w:r>
      <w:r w:rsidRPr="004826C0">
        <w:rPr>
          <w:rFonts w:cs="Times New Roman"/>
          <w:i/>
          <w:lang w:val="fr-CA"/>
        </w:rPr>
        <w:t>Code criminel</w:t>
      </w:r>
      <w:r w:rsidRPr="004826C0">
        <w:rPr>
          <w:rFonts w:cs="Times New Roman"/>
          <w:lang w:val="fr-CA"/>
        </w:rPr>
        <w:t>, L.R.C. 1985, c. C</w:t>
      </w:r>
      <w:r w:rsidRPr="004826C0">
        <w:rPr>
          <w:rFonts w:cs="Times New Roman"/>
          <w:lang w:val="fr-CA"/>
        </w:rPr>
        <w:noBreakHyphen/>
        <w:t xml:space="preserve">46, en vue de recueillir des éléments de preuve directe de la participation des intimés à la corruption alléguée. Une première autorisation a été accordée, de même que deux autres par la suite.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La procédure d</w:t>
      </w:r>
      <w:r>
        <w:rPr>
          <w:rFonts w:cs="Times New Roman"/>
          <w:lang w:val="fr-CA"/>
        </w:rPr>
        <w:t>’</w:t>
      </w:r>
      <w:r w:rsidRPr="004826C0">
        <w:rPr>
          <w:rFonts w:cs="Times New Roman"/>
          <w:lang w:val="fr-CA"/>
        </w:rPr>
        <w:t>obtention</w:t>
      </w:r>
      <w:r w:rsidR="00D63C13">
        <w:rPr>
          <w:rFonts w:cs="Times New Roman"/>
          <w:lang w:val="fr-CA"/>
        </w:rPr>
        <w:t xml:space="preserve"> de ces autorisations est au cœ</w:t>
      </w:r>
      <w:r w:rsidRPr="004826C0">
        <w:rPr>
          <w:rFonts w:cs="Times New Roman"/>
          <w:lang w:val="fr-CA"/>
        </w:rPr>
        <w:t xml:space="preserve">ur du présent litige. Le sergent Jamie </w:t>
      </w:r>
      <w:proofErr w:type="spellStart"/>
      <w:r w:rsidRPr="004826C0">
        <w:rPr>
          <w:rFonts w:cs="Times New Roman"/>
          <w:lang w:val="fr-CA"/>
        </w:rPr>
        <w:t>Driscoll</w:t>
      </w:r>
      <w:proofErr w:type="spellEnd"/>
      <w:r w:rsidRPr="004826C0">
        <w:rPr>
          <w:rFonts w:cs="Times New Roman"/>
          <w:lang w:val="fr-CA"/>
        </w:rPr>
        <w:t xml:space="preserve"> a été chargé de rédiger l</w:t>
      </w:r>
      <w:r>
        <w:rPr>
          <w:rFonts w:cs="Times New Roman"/>
          <w:lang w:val="fr-CA"/>
        </w:rPr>
        <w:t>’</w:t>
      </w:r>
      <w:r w:rsidRPr="004826C0">
        <w:rPr>
          <w:rFonts w:cs="Times New Roman"/>
          <w:lang w:val="fr-CA"/>
        </w:rPr>
        <w:t xml:space="preserve">affidavit accompagnant la première demande (appelée dénonciation). Pour rédiger cet affidavit et les deux suivants, le </w:t>
      </w:r>
      <w:proofErr w:type="spellStart"/>
      <w:r w:rsidRPr="004826C0">
        <w:rPr>
          <w:rFonts w:cs="Times New Roman"/>
          <w:lang w:val="fr-CA"/>
        </w:rPr>
        <w:t>serg</w:t>
      </w:r>
      <w:proofErr w:type="spellEnd"/>
      <w:r w:rsidRPr="004826C0">
        <w:rPr>
          <w:rFonts w:cs="Times New Roman"/>
          <w:lang w:val="fr-CA"/>
        </w:rPr>
        <w:t>.</w:t>
      </w:r>
      <w:r>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s</w:t>
      </w:r>
      <w:r>
        <w:rPr>
          <w:rFonts w:cs="Times New Roman"/>
          <w:lang w:val="fr-CA"/>
        </w:rPr>
        <w:t>’</w:t>
      </w:r>
      <w:r w:rsidRPr="004826C0">
        <w:rPr>
          <w:rFonts w:cs="Times New Roman"/>
          <w:lang w:val="fr-CA"/>
        </w:rPr>
        <w:t>est appuyé en grande partie sur les renseignements transmis par l</w:t>
      </w:r>
      <w:r>
        <w:rPr>
          <w:rFonts w:cs="Times New Roman"/>
          <w:lang w:val="fr-CA"/>
        </w:rPr>
        <w:t>’</w:t>
      </w:r>
      <w:r w:rsidRPr="004826C0">
        <w:rPr>
          <w:rFonts w:cs="Times New Roman"/>
          <w:lang w:val="fr-CA"/>
        </w:rPr>
        <w:t>INT, lesquels étaient fondés sur les communications de cette dernière avec les informateurs et les connaissances de M. </w:t>
      </w:r>
      <w:proofErr w:type="spellStart"/>
      <w:r w:rsidRPr="004826C0">
        <w:rPr>
          <w:rFonts w:cs="Times New Roman"/>
          <w:lang w:val="fr-CA"/>
        </w:rPr>
        <w:t>Haynes</w:t>
      </w:r>
      <w:proofErr w:type="spellEnd"/>
      <w:r w:rsidRPr="004826C0">
        <w:rPr>
          <w:rFonts w:cs="Times New Roman"/>
          <w:lang w:val="fr-CA"/>
        </w:rPr>
        <w:t xml:space="preserve"> quant au p</w:t>
      </w:r>
      <w:r w:rsidR="00D63C13">
        <w:rPr>
          <w:rFonts w:cs="Times New Roman"/>
          <w:lang w:val="fr-CA"/>
        </w:rPr>
        <w:t>rocessus de soumission. Le sergent</w:t>
      </w:r>
      <w:r w:rsidRPr="004826C0">
        <w:rPr>
          <w:rFonts w:cs="Times New Roman"/>
          <w:lang w:val="fr-CA"/>
        </w:rPr>
        <w:t xml:space="preserve"> </w:t>
      </w:r>
      <w:proofErr w:type="spellStart"/>
      <w:r w:rsidRPr="004826C0">
        <w:rPr>
          <w:rFonts w:cs="Times New Roman"/>
          <w:lang w:val="fr-CA"/>
        </w:rPr>
        <w:t>Driscoll</w:t>
      </w:r>
      <w:proofErr w:type="spellEnd"/>
      <w:r w:rsidRPr="004826C0">
        <w:rPr>
          <w:rFonts w:cs="Times New Roman"/>
          <w:lang w:val="fr-CA"/>
        </w:rPr>
        <w:t xml:space="preserve"> s</w:t>
      </w:r>
      <w:r>
        <w:rPr>
          <w:rFonts w:cs="Times New Roman"/>
          <w:lang w:val="fr-CA"/>
        </w:rPr>
        <w:t>’</w:t>
      </w:r>
      <w:r w:rsidRPr="004826C0">
        <w:rPr>
          <w:rFonts w:cs="Times New Roman"/>
          <w:lang w:val="fr-CA"/>
        </w:rPr>
        <w:t>est également entretenu directement avec l</w:t>
      </w:r>
      <w:r>
        <w:rPr>
          <w:rFonts w:cs="Times New Roman"/>
          <w:lang w:val="fr-CA"/>
        </w:rPr>
        <w:t>’</w:t>
      </w:r>
      <w:r w:rsidRPr="004826C0">
        <w:rPr>
          <w:rFonts w:cs="Times New Roman"/>
          <w:lang w:val="fr-CA"/>
        </w:rPr>
        <w:t>un des informateurs.</w:t>
      </w:r>
    </w:p>
    <w:p w:rsidR="002405E3" w:rsidRPr="004826C0" w:rsidRDefault="00D2306A" w:rsidP="003C0B54">
      <w:pPr>
        <w:pStyle w:val="ParaNoNdepar-AltN"/>
        <w:widowControl w:val="0"/>
        <w:numPr>
          <w:ilvl w:val="0"/>
          <w:numId w:val="7"/>
        </w:numPr>
        <w:tabs>
          <w:tab w:val="clear" w:pos="6462"/>
          <w:tab w:val="num" w:pos="1332"/>
        </w:tabs>
        <w:ind w:left="0"/>
        <w:rPr>
          <w:rFonts w:cs="Times New Roman"/>
          <w:lang w:val="fr-CA"/>
        </w:rPr>
      </w:pPr>
      <w:r>
        <w:rPr>
          <w:rFonts w:cs="Times New Roman"/>
          <w:lang w:val="fr-CA"/>
        </w:rPr>
        <w:t>Le sergent</w:t>
      </w:r>
      <w:r w:rsidR="002405E3" w:rsidRPr="004826C0">
        <w:rPr>
          <w:rFonts w:cs="Times New Roman"/>
          <w:lang w:val="fr-CA"/>
        </w:rPr>
        <w:t xml:space="preserve"> </w:t>
      </w:r>
      <w:proofErr w:type="spellStart"/>
      <w:r w:rsidR="002405E3" w:rsidRPr="004826C0">
        <w:rPr>
          <w:rFonts w:cs="Times New Roman"/>
          <w:lang w:val="fr-CA"/>
        </w:rPr>
        <w:t>Driscoll</w:t>
      </w:r>
      <w:proofErr w:type="spellEnd"/>
      <w:r w:rsidR="002405E3" w:rsidRPr="004826C0">
        <w:rPr>
          <w:rFonts w:cs="Times New Roman"/>
          <w:lang w:val="fr-CA"/>
        </w:rPr>
        <w:t xml:space="preserve"> n</w:t>
      </w:r>
      <w:r w:rsidR="002405E3">
        <w:rPr>
          <w:rFonts w:cs="Times New Roman"/>
          <w:lang w:val="fr-CA"/>
        </w:rPr>
        <w:t>’</w:t>
      </w:r>
      <w:r w:rsidR="002405E3" w:rsidRPr="004826C0">
        <w:rPr>
          <w:rFonts w:cs="Times New Roman"/>
          <w:lang w:val="fr-CA"/>
        </w:rPr>
        <w:t>a pas pris de notes manuscrites lors de cette tâche. Tous ses courriels pour la période correspondant à l</w:t>
      </w:r>
      <w:r w:rsidR="002405E3">
        <w:rPr>
          <w:rFonts w:cs="Times New Roman"/>
          <w:lang w:val="fr-CA"/>
        </w:rPr>
        <w:t>’</w:t>
      </w:r>
      <w:r w:rsidR="002405E3" w:rsidRPr="004826C0">
        <w:rPr>
          <w:rFonts w:cs="Times New Roman"/>
          <w:lang w:val="fr-CA"/>
        </w:rPr>
        <w:t>enquête ont été perdus à cause d</w:t>
      </w:r>
      <w:r w:rsidR="002405E3">
        <w:rPr>
          <w:rFonts w:cs="Times New Roman"/>
          <w:lang w:val="fr-CA"/>
        </w:rPr>
        <w:t>’</w:t>
      </w:r>
      <w:r w:rsidR="002405E3" w:rsidRPr="004826C0">
        <w:rPr>
          <w:rFonts w:cs="Times New Roman"/>
          <w:lang w:val="fr-CA"/>
        </w:rPr>
        <w:t>un problème informatique, mais par ailleurs beaucoup ont pu être récupérés d</w:t>
      </w:r>
      <w:r w:rsidR="002405E3">
        <w:rPr>
          <w:rFonts w:cs="Times New Roman"/>
          <w:lang w:val="fr-CA"/>
        </w:rPr>
        <w:t>’</w:t>
      </w:r>
      <w:r w:rsidR="002405E3" w:rsidRPr="004826C0">
        <w:rPr>
          <w:rFonts w:cs="Times New Roman"/>
          <w:lang w:val="fr-CA"/>
        </w:rPr>
        <w:t>autres sources. Les intimés invoquent ces lacunes à l</w:t>
      </w:r>
      <w:r w:rsidR="002405E3">
        <w:rPr>
          <w:rFonts w:cs="Times New Roman"/>
          <w:lang w:val="fr-CA"/>
        </w:rPr>
        <w:t>’</w:t>
      </w:r>
      <w:r w:rsidR="002405E3" w:rsidRPr="004826C0">
        <w:rPr>
          <w:rFonts w:cs="Times New Roman"/>
          <w:lang w:val="fr-CA"/>
        </w:rPr>
        <w:t xml:space="preserve">appui de leur demande de communication de documents. Nous nous y attarderons davantage lors de notre analyse de la demande de type </w:t>
      </w:r>
      <w:proofErr w:type="spellStart"/>
      <w:r w:rsidR="002405E3" w:rsidRPr="004826C0">
        <w:rPr>
          <w:rFonts w:cs="Times New Roman"/>
          <w:i/>
          <w:lang w:val="fr-CA"/>
        </w:rPr>
        <w:t>Garofoli</w:t>
      </w:r>
      <w:proofErr w:type="spellEnd"/>
      <w:r w:rsidR="002405E3" w:rsidRPr="004826C0">
        <w:rPr>
          <w:rFonts w:cs="Times New Roman"/>
          <w:lang w:val="fr-CA"/>
        </w:rPr>
        <w:t>.</w:t>
      </w:r>
      <w:r w:rsidR="002405E3">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La GRC a demandé et obtenu l</w:t>
      </w:r>
      <w:r>
        <w:rPr>
          <w:rFonts w:cs="Times New Roman"/>
          <w:lang w:val="fr-CA"/>
        </w:rPr>
        <w:t>’</w:t>
      </w:r>
      <w:r w:rsidRPr="004826C0">
        <w:rPr>
          <w:rFonts w:cs="Times New Roman"/>
          <w:lang w:val="fr-CA"/>
        </w:rPr>
        <w:t>autorisation de faire de l</w:t>
      </w:r>
      <w:r>
        <w:rPr>
          <w:rFonts w:cs="Times New Roman"/>
          <w:lang w:val="fr-CA"/>
        </w:rPr>
        <w:t>’</w:t>
      </w:r>
      <w:r w:rsidRPr="004826C0">
        <w:rPr>
          <w:rFonts w:cs="Times New Roman"/>
          <w:lang w:val="fr-CA"/>
        </w:rPr>
        <w:t>écoute électronique le 24 mai 2011. D</w:t>
      </w:r>
      <w:r>
        <w:rPr>
          <w:rFonts w:cs="Times New Roman"/>
          <w:lang w:val="fr-CA"/>
        </w:rPr>
        <w:t>’</w:t>
      </w:r>
      <w:r w:rsidRPr="004826C0">
        <w:rPr>
          <w:rFonts w:cs="Times New Roman"/>
          <w:lang w:val="fr-CA"/>
        </w:rPr>
        <w:t xml:space="preserve">autres autorisations ont été accordées le 24 juin et le 8 août de la même année, et, en septembre, un mandat de perquisition a été délivré.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 xml:space="preserve">MM. Ismail et Shah furent les premiers accusés, et ce au début de 2012. Leurs affaires ont été renvoyées à procès après une enquête préliminaire en avril 2013, et ils ont été mis en accusation en mai 2013. Le 17 septembre 2013, la Couronne accusait MM. Wallace et </w:t>
      </w:r>
      <w:proofErr w:type="spellStart"/>
      <w:r w:rsidRPr="004826C0">
        <w:rPr>
          <w:rFonts w:cs="Times New Roman"/>
          <w:lang w:val="fr-CA"/>
        </w:rPr>
        <w:t>Bhuiyan</w:t>
      </w:r>
      <w:proofErr w:type="spellEnd"/>
      <w:r w:rsidRPr="004826C0">
        <w:rPr>
          <w:rFonts w:cs="Times New Roman"/>
          <w:lang w:val="fr-CA"/>
        </w:rPr>
        <w:t xml:space="preserve"> et, le mois suivant, elle réunit leurs dossiers à ceux de MM.</w:t>
      </w:r>
      <w:r w:rsidR="007277FB">
        <w:rPr>
          <w:rFonts w:cs="Times New Roman"/>
          <w:lang w:val="fr-CA"/>
        </w:rPr>
        <w:t xml:space="preserve"> </w:t>
      </w:r>
      <w:r w:rsidR="007277FB" w:rsidRPr="004826C0">
        <w:rPr>
          <w:rFonts w:cs="Times New Roman"/>
          <w:lang w:val="fr-CA"/>
        </w:rPr>
        <w:t>Ismail</w:t>
      </w:r>
      <w:r w:rsidRPr="004826C0">
        <w:rPr>
          <w:rFonts w:cs="Times New Roman"/>
          <w:lang w:val="fr-CA"/>
        </w:rPr>
        <w:t xml:space="preserve"> et </w:t>
      </w:r>
      <w:r w:rsidR="007277FB" w:rsidRPr="004826C0">
        <w:rPr>
          <w:rFonts w:cs="Times New Roman"/>
          <w:lang w:val="fr-CA"/>
        </w:rPr>
        <w:t xml:space="preserve">Shah </w:t>
      </w:r>
      <w:r w:rsidRPr="004826C0">
        <w:rPr>
          <w:rFonts w:cs="Times New Roman"/>
          <w:lang w:val="fr-CA"/>
        </w:rPr>
        <w:t>par voie de mise en accusation directe.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Au procès, la Couronne entend introduire en preuve des communications interceptées. En outre, l</w:t>
      </w:r>
      <w:r>
        <w:rPr>
          <w:rFonts w:cs="Times New Roman"/>
          <w:lang w:val="fr-CA"/>
        </w:rPr>
        <w:t>’</w:t>
      </w:r>
      <w:r w:rsidRPr="004826C0">
        <w:rPr>
          <w:rFonts w:cs="Times New Roman"/>
          <w:lang w:val="fr-CA"/>
        </w:rPr>
        <w:t>un des complices présumés, M. Muhammad Mustafa, a accepté d</w:t>
      </w:r>
      <w:r>
        <w:rPr>
          <w:rFonts w:cs="Times New Roman"/>
          <w:lang w:val="fr-CA"/>
        </w:rPr>
        <w:t>’</w:t>
      </w:r>
      <w:r w:rsidRPr="004826C0">
        <w:rPr>
          <w:rFonts w:cs="Times New Roman"/>
          <w:lang w:val="fr-CA"/>
        </w:rPr>
        <w:t xml:space="preserve">être témoin à charge.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Par suite de son enquête, le Groupe a annulé sa participation au financement du pont sur la Padma et radié SNC</w:t>
      </w:r>
      <w:r w:rsidRPr="004826C0">
        <w:rPr>
          <w:rFonts w:cs="Times New Roman"/>
          <w:lang w:val="fr-CA"/>
        </w:rPr>
        <w:noBreakHyphen/>
      </w:r>
      <w:proofErr w:type="spellStart"/>
      <w:r w:rsidRPr="004826C0">
        <w:rPr>
          <w:rFonts w:cs="Times New Roman"/>
          <w:lang w:val="fr-CA"/>
        </w:rPr>
        <w:t>Lavalin</w:t>
      </w:r>
      <w:proofErr w:type="spellEnd"/>
      <w:r w:rsidRPr="004826C0">
        <w:rPr>
          <w:rFonts w:cs="Times New Roman"/>
          <w:lang w:val="fr-CA"/>
        </w:rPr>
        <w:t xml:space="preserve"> de toute participation à l</w:t>
      </w:r>
      <w:r>
        <w:rPr>
          <w:rFonts w:cs="Times New Roman"/>
          <w:lang w:val="fr-CA"/>
        </w:rPr>
        <w:t>’</w:t>
      </w:r>
      <w:r w:rsidRPr="004826C0">
        <w:rPr>
          <w:rFonts w:cs="Times New Roman"/>
          <w:lang w:val="fr-CA"/>
        </w:rPr>
        <w:t xml:space="preserve">égard des projets financés par le Groupe pour une période de </w:t>
      </w:r>
      <w:r w:rsidR="00BC7E41">
        <w:rPr>
          <w:rFonts w:cs="Times New Roman"/>
          <w:lang w:val="fr-CA"/>
        </w:rPr>
        <w:t>10</w:t>
      </w:r>
      <w:r w:rsidR="00E53B95">
        <w:rPr>
          <w:rFonts w:cs="Times New Roman"/>
          <w:lang w:val="fr-CA"/>
        </w:rPr>
        <w:t xml:space="preserve"> </w:t>
      </w:r>
      <w:r w:rsidRPr="004826C0">
        <w:rPr>
          <w:rFonts w:cs="Times New Roman"/>
          <w:lang w:val="fr-CA"/>
        </w:rPr>
        <w:t xml:space="preserve">ans. </w:t>
      </w:r>
    </w:p>
    <w:p w:rsidR="002405E3" w:rsidRPr="004826C0" w:rsidRDefault="002405E3" w:rsidP="003C0B54">
      <w:pPr>
        <w:pStyle w:val="Title1LevelTitre1Niveau-AltL"/>
        <w:widowControl w:val="0"/>
        <w:rPr>
          <w:rFonts w:cs="Times New Roman"/>
          <w:lang w:val="fr-CA"/>
        </w:rPr>
      </w:pPr>
      <w:r w:rsidRPr="004826C0">
        <w:rPr>
          <w:rFonts w:cs="Times New Roman"/>
          <w:lang w:val="fr-CA"/>
        </w:rPr>
        <w:t>Décision de l</w:t>
      </w:r>
      <w:r>
        <w:rPr>
          <w:rFonts w:cs="Times New Roman"/>
          <w:lang w:val="fr-CA"/>
        </w:rPr>
        <w:t>’</w:t>
      </w:r>
      <w:r w:rsidRPr="004826C0">
        <w:rPr>
          <w:rFonts w:cs="Times New Roman"/>
          <w:lang w:val="fr-CA"/>
        </w:rPr>
        <w:t>instance inférieure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bookmarkStart w:id="1" w:name="_Ref443923476"/>
      <w:r w:rsidRPr="004826C0">
        <w:rPr>
          <w:rFonts w:cs="Times New Roman"/>
          <w:lang w:val="fr-CA"/>
        </w:rPr>
        <w:t>La décision faisant l</w:t>
      </w:r>
      <w:r>
        <w:rPr>
          <w:rFonts w:cs="Times New Roman"/>
          <w:lang w:val="fr-CA"/>
        </w:rPr>
        <w:t>’</w:t>
      </w:r>
      <w:r w:rsidRPr="004826C0">
        <w:rPr>
          <w:rFonts w:cs="Times New Roman"/>
          <w:lang w:val="fr-CA"/>
        </w:rPr>
        <w:t>objet du présent appel découle d</w:t>
      </w:r>
      <w:r>
        <w:rPr>
          <w:rFonts w:cs="Times New Roman"/>
          <w:lang w:val="fr-CA"/>
        </w:rPr>
        <w:t>’</w:t>
      </w:r>
      <w:r w:rsidRPr="004826C0">
        <w:rPr>
          <w:rFonts w:cs="Times New Roman"/>
          <w:lang w:val="fr-CA"/>
        </w:rPr>
        <w:t>une demande présentée par les intimés à la Cour supérieure de justice de l</w:t>
      </w:r>
      <w:r>
        <w:rPr>
          <w:rFonts w:cs="Times New Roman"/>
          <w:lang w:val="fr-CA"/>
        </w:rPr>
        <w:t>’</w:t>
      </w:r>
      <w:r w:rsidRPr="004826C0">
        <w:rPr>
          <w:rFonts w:cs="Times New Roman"/>
          <w:lang w:val="fr-CA"/>
        </w:rPr>
        <w:t>Ontario en vue de faire valider deux assignations à comparaître délivrées à l</w:t>
      </w:r>
      <w:r>
        <w:rPr>
          <w:rFonts w:cs="Times New Roman"/>
          <w:lang w:val="fr-CA"/>
        </w:rPr>
        <w:t>’</w:t>
      </w:r>
      <w:r w:rsidRPr="004826C0">
        <w:rPr>
          <w:rFonts w:cs="Times New Roman"/>
          <w:lang w:val="fr-CA"/>
        </w:rPr>
        <w:t>égard de MM. </w:t>
      </w:r>
      <w:proofErr w:type="spellStart"/>
      <w:r w:rsidRPr="004826C0">
        <w:rPr>
          <w:rFonts w:cs="Times New Roman"/>
          <w:lang w:val="fr-CA"/>
        </w:rPr>
        <w:t>Haynes</w:t>
      </w:r>
      <w:proofErr w:type="spellEnd"/>
      <w:r w:rsidRPr="004826C0">
        <w:rPr>
          <w:rFonts w:cs="Times New Roman"/>
          <w:lang w:val="fr-CA"/>
        </w:rPr>
        <w:t xml:space="preserve"> et Kim et en vue d</w:t>
      </w:r>
      <w:r>
        <w:rPr>
          <w:rFonts w:cs="Times New Roman"/>
          <w:lang w:val="fr-CA"/>
        </w:rPr>
        <w:t>’</w:t>
      </w:r>
      <w:r w:rsidRPr="004826C0">
        <w:rPr>
          <w:rFonts w:cs="Times New Roman"/>
          <w:lang w:val="fr-CA"/>
        </w:rPr>
        <w:t>obtenir une ordonnance enjoignant à ces derniers de communiquer les documents suivants (les « dossiers de l</w:t>
      </w:r>
      <w:r>
        <w:rPr>
          <w:rFonts w:cs="Times New Roman"/>
          <w:lang w:val="fr-CA"/>
        </w:rPr>
        <w:t>’</w:t>
      </w:r>
      <w:r w:rsidRPr="004826C0">
        <w:rPr>
          <w:rFonts w:cs="Times New Roman"/>
          <w:lang w:val="fr-CA"/>
        </w:rPr>
        <w:t xml:space="preserve">INT ») : </w:t>
      </w:r>
      <w:bookmarkEnd w:id="1"/>
    </w:p>
    <w:p w:rsidR="002405E3" w:rsidRPr="004826C0" w:rsidRDefault="002405E3" w:rsidP="003C0B54">
      <w:pPr>
        <w:pStyle w:val="Citation-AltC"/>
        <w:widowControl w:val="0"/>
        <w:spacing w:after="240"/>
        <w:contextualSpacing w:val="0"/>
        <w:rPr>
          <w:lang w:val="fr-CA"/>
        </w:rPr>
      </w:pPr>
      <w:r w:rsidRPr="004826C0">
        <w:rPr>
          <w:lang w:val="fr-CA"/>
        </w:rPr>
        <w:t>[</w:t>
      </w:r>
      <w:r w:rsidRPr="004826C0">
        <w:rPr>
          <w:smallCaps/>
          <w:lang w:val="fr-CA"/>
        </w:rPr>
        <w:t>traduction</w:t>
      </w:r>
      <w:r w:rsidRPr="004826C0">
        <w:rPr>
          <w:lang w:val="fr-CA"/>
        </w:rPr>
        <w:t>]</w:t>
      </w:r>
    </w:p>
    <w:p w:rsidR="002405E3" w:rsidRPr="004826C0" w:rsidRDefault="002405E3" w:rsidP="003C0B54">
      <w:pPr>
        <w:pStyle w:val="Citation-AltC"/>
        <w:widowControl w:val="0"/>
        <w:numPr>
          <w:ilvl w:val="7"/>
          <w:numId w:val="14"/>
        </w:numPr>
        <w:spacing w:after="240"/>
        <w:contextualSpacing w:val="0"/>
        <w:rPr>
          <w:lang w:val="fr-CA"/>
        </w:rPr>
      </w:pPr>
      <w:r w:rsidRPr="004826C0">
        <w:rPr>
          <w:lang w:val="fr-CA"/>
        </w:rPr>
        <w:t>L</w:t>
      </w:r>
      <w:r>
        <w:rPr>
          <w:lang w:val="fr-CA"/>
        </w:rPr>
        <w:t>’</w:t>
      </w:r>
      <w:r w:rsidRPr="004826C0">
        <w:rPr>
          <w:lang w:val="fr-CA"/>
        </w:rPr>
        <w:t xml:space="preserve">ensemble des notes, des mémos, des courriels, de la correspondance et des rapports reçus ou envoyés par M. Paul </w:t>
      </w:r>
      <w:proofErr w:type="spellStart"/>
      <w:r w:rsidRPr="004826C0">
        <w:rPr>
          <w:lang w:val="fr-CA"/>
        </w:rPr>
        <w:t>Haynes</w:t>
      </w:r>
      <w:proofErr w:type="spellEnd"/>
      <w:r w:rsidRPr="004826C0">
        <w:rPr>
          <w:lang w:val="fr-CA"/>
        </w:rPr>
        <w:t xml:space="preserve"> de l</w:t>
      </w:r>
      <w:r>
        <w:rPr>
          <w:lang w:val="fr-CA"/>
        </w:rPr>
        <w:t>’</w:t>
      </w:r>
      <w:r w:rsidRPr="004826C0">
        <w:rPr>
          <w:lang w:val="fr-CA"/>
        </w:rPr>
        <w:t>INT au sujet de l</w:t>
      </w:r>
      <w:r>
        <w:rPr>
          <w:lang w:val="fr-CA"/>
        </w:rPr>
        <w:t>’</w:t>
      </w:r>
      <w:r w:rsidRPr="004826C0">
        <w:rPr>
          <w:lang w:val="fr-CA"/>
        </w:rPr>
        <w:t>enquête;</w:t>
      </w:r>
    </w:p>
    <w:p w:rsidR="002405E3" w:rsidRPr="004826C0" w:rsidRDefault="002405E3" w:rsidP="003C0B54">
      <w:pPr>
        <w:pStyle w:val="Citation-AltC"/>
        <w:widowControl w:val="0"/>
        <w:numPr>
          <w:ilvl w:val="7"/>
          <w:numId w:val="14"/>
        </w:numPr>
        <w:spacing w:after="240"/>
        <w:contextualSpacing w:val="0"/>
        <w:rPr>
          <w:lang w:val="fr-CA"/>
        </w:rPr>
      </w:pPr>
      <w:r w:rsidRPr="004826C0">
        <w:rPr>
          <w:lang w:val="fr-CA"/>
        </w:rPr>
        <w:t>Tous les documents source provenant de tous ceux qu</w:t>
      </w:r>
      <w:r>
        <w:rPr>
          <w:lang w:val="fr-CA"/>
        </w:rPr>
        <w:t>’</w:t>
      </w:r>
      <w:r w:rsidRPr="004826C0">
        <w:rPr>
          <w:lang w:val="fr-CA"/>
        </w:rPr>
        <w:t>on appelle les « informateurs » et envoyés à l</w:t>
      </w:r>
      <w:r>
        <w:rPr>
          <w:lang w:val="fr-CA"/>
        </w:rPr>
        <w:t>’</w:t>
      </w:r>
      <w:r w:rsidRPr="004826C0">
        <w:rPr>
          <w:lang w:val="fr-CA"/>
        </w:rPr>
        <w:t>INT, que les renseignements qu</w:t>
      </w:r>
      <w:r>
        <w:rPr>
          <w:lang w:val="fr-CA"/>
        </w:rPr>
        <w:t>’</w:t>
      </w:r>
      <w:r w:rsidRPr="004826C0">
        <w:rPr>
          <w:lang w:val="fr-CA"/>
        </w:rPr>
        <w:t>ils contiennent aient ou non été transmis à la GRC dans le cadre de la collaboration de l</w:t>
      </w:r>
      <w:r>
        <w:rPr>
          <w:lang w:val="fr-CA"/>
        </w:rPr>
        <w:t>’</w:t>
      </w:r>
      <w:r w:rsidRPr="004826C0">
        <w:rPr>
          <w:lang w:val="fr-CA"/>
        </w:rPr>
        <w:t>INT à l</w:t>
      </w:r>
      <w:r>
        <w:rPr>
          <w:lang w:val="fr-CA"/>
        </w:rPr>
        <w:t>’</w:t>
      </w:r>
      <w:r w:rsidRPr="004826C0">
        <w:rPr>
          <w:lang w:val="fr-CA"/>
        </w:rPr>
        <w:t>enquête menée par la GRC en rapport avec le projet du pont sur la Padma;</w:t>
      </w:r>
    </w:p>
    <w:p w:rsidR="002405E3" w:rsidRPr="004826C0" w:rsidRDefault="002405E3" w:rsidP="003C0B54">
      <w:pPr>
        <w:pStyle w:val="Citation-AltC"/>
        <w:widowControl w:val="0"/>
        <w:numPr>
          <w:ilvl w:val="7"/>
          <w:numId w:val="14"/>
        </w:numPr>
        <w:spacing w:after="240"/>
        <w:contextualSpacing w:val="0"/>
        <w:rPr>
          <w:lang w:val="fr-CA"/>
        </w:rPr>
      </w:pPr>
      <w:r w:rsidRPr="004826C0">
        <w:rPr>
          <w:lang w:val="fr-CA"/>
        </w:rPr>
        <w:t>L</w:t>
      </w:r>
      <w:r>
        <w:rPr>
          <w:lang w:val="fr-CA"/>
        </w:rPr>
        <w:t>’</w:t>
      </w:r>
      <w:r w:rsidRPr="004826C0">
        <w:rPr>
          <w:lang w:val="fr-CA"/>
        </w:rPr>
        <w:t>ensemble des courriels et autres communications entre l</w:t>
      </w:r>
      <w:r>
        <w:rPr>
          <w:lang w:val="fr-CA"/>
        </w:rPr>
        <w:t>’</w:t>
      </w:r>
      <w:r w:rsidRPr="004826C0">
        <w:rPr>
          <w:lang w:val="fr-CA"/>
        </w:rPr>
        <w:t>INT et les informateurs;</w:t>
      </w:r>
    </w:p>
    <w:p w:rsidR="002405E3" w:rsidRPr="004826C0" w:rsidRDefault="002405E3" w:rsidP="003C0B54">
      <w:pPr>
        <w:pStyle w:val="Citation-AltC"/>
        <w:widowControl w:val="0"/>
        <w:numPr>
          <w:ilvl w:val="7"/>
          <w:numId w:val="14"/>
        </w:numPr>
        <w:spacing w:after="240"/>
        <w:contextualSpacing w:val="0"/>
        <w:rPr>
          <w:lang w:val="fr-CA"/>
        </w:rPr>
      </w:pPr>
      <w:r w:rsidRPr="004826C0">
        <w:rPr>
          <w:lang w:val="fr-CA"/>
        </w:rPr>
        <w:t>Toute sanction imposée ou tout règlement conclu par la Banque mondiale avec des tiers par suite de l</w:t>
      </w:r>
      <w:r>
        <w:rPr>
          <w:lang w:val="fr-CA"/>
        </w:rPr>
        <w:t>’</w:t>
      </w:r>
      <w:r w:rsidRPr="004826C0">
        <w:rPr>
          <w:lang w:val="fr-CA"/>
        </w:rPr>
        <w:t>enquête;</w:t>
      </w:r>
    </w:p>
    <w:p w:rsidR="002405E3" w:rsidRPr="004826C0" w:rsidRDefault="002405E3" w:rsidP="003C0B54">
      <w:pPr>
        <w:pStyle w:val="Citation-AltC"/>
        <w:widowControl w:val="0"/>
        <w:numPr>
          <w:ilvl w:val="7"/>
          <w:numId w:val="14"/>
        </w:numPr>
        <w:spacing w:after="240"/>
        <w:contextualSpacing w:val="0"/>
        <w:rPr>
          <w:lang w:val="fr-CA"/>
        </w:rPr>
      </w:pPr>
      <w:r w:rsidRPr="004826C0">
        <w:rPr>
          <w:lang w:val="fr-CA"/>
        </w:rPr>
        <w:t>Tout autre document ayant trait à l</w:t>
      </w:r>
      <w:r>
        <w:rPr>
          <w:lang w:val="fr-CA"/>
        </w:rPr>
        <w:t>’</w:t>
      </w:r>
      <w:r w:rsidRPr="004826C0">
        <w:rPr>
          <w:lang w:val="fr-CA"/>
        </w:rPr>
        <w:t>enquête se trouvant en la possession d</w:t>
      </w:r>
      <w:r>
        <w:rPr>
          <w:lang w:val="fr-CA"/>
        </w:rPr>
        <w:t>’</w:t>
      </w:r>
      <w:r w:rsidRPr="004826C0">
        <w:rPr>
          <w:lang w:val="fr-CA"/>
        </w:rPr>
        <w:t>autres représentants de la Banque mondiale, dont Christina Ashton</w:t>
      </w:r>
      <w:r w:rsidRPr="004826C0">
        <w:rPr>
          <w:lang w:val="fr-CA"/>
        </w:rPr>
        <w:noBreakHyphen/>
        <w:t xml:space="preserve">Lewis (agente principale du renseignement organisationnel), </w:t>
      </w:r>
      <w:proofErr w:type="spellStart"/>
      <w:r w:rsidRPr="004826C0">
        <w:rPr>
          <w:lang w:val="fr-CA"/>
        </w:rPr>
        <w:t>Kunal</w:t>
      </w:r>
      <w:proofErr w:type="spellEnd"/>
      <w:r w:rsidRPr="004826C0">
        <w:rPr>
          <w:lang w:val="fr-CA"/>
        </w:rPr>
        <w:t xml:space="preserve"> Gupta (Unité de réception de la Banque mondiale), Laura </w:t>
      </w:r>
      <w:proofErr w:type="spellStart"/>
      <w:r w:rsidRPr="004826C0">
        <w:rPr>
          <w:lang w:val="fr-CA"/>
        </w:rPr>
        <w:t>Valli</w:t>
      </w:r>
      <w:proofErr w:type="spellEnd"/>
      <w:r w:rsidRPr="004826C0">
        <w:rPr>
          <w:lang w:val="fr-CA"/>
        </w:rPr>
        <w:t xml:space="preserve"> (enquêteur senior) et Christopher Kim; et</w:t>
      </w:r>
    </w:p>
    <w:p w:rsidR="002405E3" w:rsidRPr="004826C0" w:rsidRDefault="002405E3" w:rsidP="003C0B54">
      <w:pPr>
        <w:pStyle w:val="Citation-AltC"/>
        <w:widowControl w:val="0"/>
        <w:numPr>
          <w:ilvl w:val="7"/>
          <w:numId w:val="14"/>
        </w:numPr>
        <w:spacing w:after="240"/>
        <w:contextualSpacing w:val="0"/>
        <w:rPr>
          <w:lang w:val="fr-CA"/>
        </w:rPr>
      </w:pPr>
      <w:r w:rsidRPr="004826C0">
        <w:rPr>
          <w:lang w:val="fr-CA"/>
        </w:rPr>
        <w:t>Toutes les communications entre l</w:t>
      </w:r>
      <w:r>
        <w:rPr>
          <w:lang w:val="fr-CA"/>
        </w:rPr>
        <w:t>’</w:t>
      </w:r>
      <w:r w:rsidRPr="004826C0">
        <w:rPr>
          <w:lang w:val="fr-CA"/>
        </w:rPr>
        <w:t>INT, les représentants de SNC, les représentants du gouvernement bangladais, les membres [de la] GRC et les procureurs de la Couronne ayant trait à l</w:t>
      </w:r>
      <w:r>
        <w:rPr>
          <w:lang w:val="fr-CA"/>
        </w:rPr>
        <w:t>’</w:t>
      </w:r>
      <w:r w:rsidRPr="004826C0">
        <w:rPr>
          <w:lang w:val="fr-CA"/>
        </w:rPr>
        <w:t>enquête, à l</w:t>
      </w:r>
      <w:r>
        <w:rPr>
          <w:lang w:val="fr-CA"/>
        </w:rPr>
        <w:t>’</w:t>
      </w:r>
      <w:r w:rsidRPr="004826C0">
        <w:rPr>
          <w:lang w:val="fr-CA"/>
        </w:rPr>
        <w:t>enquête connexe de la GRC et aux accusations ou aux poursuites déposées par la Couronne devant les tribunaux de l</w:t>
      </w:r>
      <w:r>
        <w:rPr>
          <w:lang w:val="fr-CA"/>
        </w:rPr>
        <w:t>’</w:t>
      </w:r>
      <w:r w:rsidRPr="004826C0">
        <w:rPr>
          <w:lang w:val="fr-CA"/>
        </w:rPr>
        <w:t>Ontario.</w:t>
      </w:r>
      <w:r>
        <w:rPr>
          <w:lang w:val="fr-CA"/>
        </w:rPr>
        <w:t xml:space="preserve"> </w:t>
      </w:r>
    </w:p>
    <w:p w:rsidR="002405E3" w:rsidRPr="004826C0" w:rsidRDefault="002405E3" w:rsidP="003C0B54">
      <w:pPr>
        <w:pStyle w:val="Citation-AltC"/>
        <w:widowControl w:val="0"/>
        <w:ind w:left="0"/>
        <w:contextualSpacing w:val="0"/>
        <w:rPr>
          <w:lang w:val="en-US"/>
        </w:rPr>
      </w:pPr>
      <w:r w:rsidRPr="004826C0">
        <w:rPr>
          <w:lang w:val="en-US"/>
        </w:rPr>
        <w:t xml:space="preserve">(2014 ONSC 7449, [2014] O.J. No. 6534 (QL), </w:t>
      </w:r>
      <w:proofErr w:type="spellStart"/>
      <w:r w:rsidRPr="004826C0">
        <w:rPr>
          <w:lang w:val="en-US"/>
        </w:rPr>
        <w:t>annexe</w:t>
      </w:r>
      <w:proofErr w:type="spellEnd"/>
      <w:r w:rsidRPr="004826C0">
        <w:rPr>
          <w:lang w:val="en-US"/>
        </w:rPr>
        <w:t> A)</w:t>
      </w:r>
    </w:p>
    <w:p w:rsidR="002405E3" w:rsidRPr="004826C0" w:rsidRDefault="002405E3" w:rsidP="003C0B54">
      <w:pPr>
        <w:pStyle w:val="ContinueParaSuitedupar-AltP"/>
        <w:widowControl w:val="0"/>
        <w:rPr>
          <w:rFonts w:cs="Times New Roman"/>
          <w:lang w:val="fr-CA"/>
        </w:rPr>
      </w:pPr>
      <w:r w:rsidRPr="004826C0">
        <w:rPr>
          <w:rFonts w:cs="Times New Roman"/>
          <w:lang w:val="fr-CA"/>
        </w:rPr>
        <w:t>La demande souleva</w:t>
      </w:r>
      <w:r w:rsidR="00541CF2">
        <w:rPr>
          <w:rFonts w:cs="Times New Roman"/>
          <w:lang w:val="fr-CA"/>
        </w:rPr>
        <w:t xml:space="preserve">it deux questions, à savoir (1) </w:t>
      </w:r>
      <w:r w:rsidRPr="004826C0">
        <w:rPr>
          <w:rFonts w:cs="Times New Roman"/>
          <w:lang w:val="fr-CA"/>
        </w:rPr>
        <w:t>si le Groupe pouvait être sujet à une ordonnance de communication rendue par un tribunal canadien et (2)</w:t>
      </w:r>
      <w:r w:rsidR="00541CF2">
        <w:rPr>
          <w:rFonts w:cs="Times New Roman"/>
          <w:lang w:val="fr-CA"/>
        </w:rPr>
        <w:t xml:space="preserve"> </w:t>
      </w:r>
      <w:r w:rsidRPr="004826C0">
        <w:rPr>
          <w:rFonts w:cs="Times New Roman"/>
          <w:lang w:val="fr-CA"/>
        </w:rPr>
        <w:t>dans l</w:t>
      </w:r>
      <w:r>
        <w:rPr>
          <w:rFonts w:cs="Times New Roman"/>
          <w:lang w:val="fr-CA"/>
        </w:rPr>
        <w:t>’</w:t>
      </w:r>
      <w:r w:rsidRPr="004826C0">
        <w:rPr>
          <w:rFonts w:cs="Times New Roman"/>
          <w:lang w:val="fr-CA"/>
        </w:rPr>
        <w:t xml:space="preserve">affirmative, si les documents dont la communication était requise satisfaisaient au critère de la pertinence applicable à une demande de type </w:t>
      </w:r>
      <w:proofErr w:type="spellStart"/>
      <w:r w:rsidRPr="004826C0">
        <w:rPr>
          <w:rFonts w:cs="Times New Roman"/>
          <w:i/>
          <w:lang w:val="fr-CA"/>
        </w:rPr>
        <w:t>Garofoli</w:t>
      </w:r>
      <w:proofErr w:type="spellEnd"/>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 juge d</w:t>
      </w:r>
      <w:r>
        <w:rPr>
          <w:rFonts w:cs="Times New Roman"/>
          <w:lang w:val="fr-CA"/>
        </w:rPr>
        <w:t>’</w:t>
      </w:r>
      <w:r w:rsidRPr="004826C0">
        <w:rPr>
          <w:rFonts w:cs="Times New Roman"/>
          <w:lang w:val="fr-CA"/>
        </w:rPr>
        <w:t xml:space="preserve">instance, le juge </w:t>
      </w:r>
      <w:proofErr w:type="spellStart"/>
      <w:r w:rsidRPr="004826C0">
        <w:rPr>
          <w:rFonts w:cs="Times New Roman"/>
          <w:lang w:val="fr-CA"/>
        </w:rPr>
        <w:t>Nordheimer</w:t>
      </w:r>
      <w:proofErr w:type="spellEnd"/>
      <w:r w:rsidRPr="004826C0">
        <w:rPr>
          <w:rFonts w:cs="Times New Roman"/>
          <w:lang w:val="fr-CA"/>
        </w:rPr>
        <w:t>, a exprimé l</w:t>
      </w:r>
      <w:r>
        <w:rPr>
          <w:rFonts w:cs="Times New Roman"/>
          <w:lang w:val="fr-CA"/>
        </w:rPr>
        <w:t>’</w:t>
      </w:r>
      <w:r w:rsidRPr="004826C0">
        <w:rPr>
          <w:rFonts w:cs="Times New Roman"/>
          <w:lang w:val="fr-CA"/>
        </w:rPr>
        <w:t>avis que les archives et le personnel de l</w:t>
      </w:r>
      <w:r>
        <w:rPr>
          <w:rFonts w:cs="Times New Roman"/>
          <w:lang w:val="fr-CA"/>
        </w:rPr>
        <w:t>’</w:t>
      </w:r>
      <w:r w:rsidRPr="004826C0">
        <w:rPr>
          <w:rFonts w:cs="Times New Roman"/>
          <w:lang w:val="fr-CA"/>
        </w:rPr>
        <w:t>INT relevaient de la BIRD, les immunités de laquelle sont énoncées à l</w:t>
      </w:r>
      <w:r>
        <w:rPr>
          <w:rFonts w:cs="Times New Roman"/>
          <w:lang w:val="fr-CA"/>
        </w:rPr>
        <w:t>’</w:t>
      </w:r>
      <w:r w:rsidRPr="004826C0">
        <w:rPr>
          <w:rFonts w:cs="Times New Roman"/>
          <w:lang w:val="fr-CA"/>
        </w:rPr>
        <w:t>article VII de l</w:t>
      </w:r>
      <w:r>
        <w:rPr>
          <w:rFonts w:cs="Times New Roman"/>
          <w:lang w:val="fr-CA"/>
        </w:rPr>
        <w:t>’</w:t>
      </w:r>
      <w:r w:rsidRPr="004826C0">
        <w:rPr>
          <w:rFonts w:cs="Times New Roman"/>
          <w:lang w:val="fr-CA"/>
        </w:rPr>
        <w:t xml:space="preserve">Accord relatif à la BIRD et incorporées en droit interne canadien par le </w:t>
      </w:r>
      <w:r w:rsidRPr="004826C0">
        <w:rPr>
          <w:rFonts w:cs="Times New Roman"/>
          <w:i/>
          <w:lang w:val="fr-CA"/>
        </w:rPr>
        <w:t>Décret sur le Fonds monétaire international et la Banque internationale pour la reconstruction et le développement</w:t>
      </w:r>
      <w:r w:rsidRPr="004826C0">
        <w:rPr>
          <w:rFonts w:cs="Times New Roman"/>
          <w:lang w:val="fr-CA"/>
        </w:rPr>
        <w:t>, C.</w:t>
      </w:r>
      <w:r>
        <w:rPr>
          <w:rFonts w:cs="Times New Roman"/>
          <w:lang w:val="fr-CA"/>
        </w:rPr>
        <w:t xml:space="preserve">P. </w:t>
      </w:r>
      <w:r w:rsidRPr="004826C0">
        <w:rPr>
          <w:rFonts w:cs="Times New Roman"/>
          <w:lang w:val="fr-CA"/>
        </w:rPr>
        <w:t>1945</w:t>
      </w:r>
      <w:r w:rsidRPr="004826C0">
        <w:rPr>
          <w:rFonts w:cs="Times New Roman"/>
          <w:lang w:val="fr-CA"/>
        </w:rPr>
        <w:noBreakHyphen/>
        <w:t>7421. Les immunités et privilèges énoncés à l</w:t>
      </w:r>
      <w:r>
        <w:rPr>
          <w:rFonts w:cs="Times New Roman"/>
          <w:lang w:val="fr-CA"/>
        </w:rPr>
        <w:t>’</w:t>
      </w:r>
      <w:r w:rsidRPr="004826C0">
        <w:rPr>
          <w:rFonts w:cs="Times New Roman"/>
          <w:lang w:val="fr-CA"/>
        </w:rPr>
        <w:t>article VII s</w:t>
      </w:r>
      <w:r>
        <w:rPr>
          <w:rFonts w:cs="Times New Roman"/>
          <w:lang w:val="fr-CA"/>
        </w:rPr>
        <w:t>’</w:t>
      </w:r>
      <w:r w:rsidRPr="004826C0">
        <w:rPr>
          <w:rFonts w:cs="Times New Roman"/>
          <w:lang w:val="fr-CA"/>
        </w:rPr>
        <w:t xml:space="preserve">appliquaient donc </w:t>
      </w:r>
      <w:r w:rsidRPr="00B15CCB">
        <w:rPr>
          <w:rFonts w:cs="Times New Roman"/>
          <w:lang w:val="fr-CA"/>
        </w:rPr>
        <w:t>a priori</w:t>
      </w:r>
      <w:r w:rsidRPr="004826C0">
        <w:rPr>
          <w:rFonts w:cs="Times New Roman"/>
          <w:lang w:val="fr-CA"/>
        </w:rPr>
        <w:t xml:space="preserve"> aux archives et au personnel de l</w:t>
      </w:r>
      <w:r>
        <w:rPr>
          <w:rFonts w:cs="Times New Roman"/>
          <w:lang w:val="fr-CA"/>
        </w:rPr>
        <w:t>’</w:t>
      </w:r>
      <w:r w:rsidRPr="004826C0">
        <w:rPr>
          <w:rFonts w:cs="Times New Roman"/>
          <w:lang w:val="fr-CA"/>
        </w:rPr>
        <w:t>INT. Le juge d</w:t>
      </w:r>
      <w:r>
        <w:rPr>
          <w:rFonts w:cs="Times New Roman"/>
          <w:lang w:val="fr-CA"/>
        </w:rPr>
        <w:t>’</w:t>
      </w:r>
      <w:r w:rsidRPr="004826C0">
        <w:rPr>
          <w:rFonts w:cs="Times New Roman"/>
          <w:lang w:val="fr-CA"/>
        </w:rPr>
        <w:t>instance a également conclu que MM. </w:t>
      </w:r>
      <w:proofErr w:type="spellStart"/>
      <w:r w:rsidRPr="004826C0">
        <w:rPr>
          <w:rFonts w:cs="Times New Roman"/>
          <w:lang w:val="fr-CA"/>
        </w:rPr>
        <w:t>Haynes</w:t>
      </w:r>
      <w:proofErr w:type="spellEnd"/>
      <w:r w:rsidRPr="004826C0">
        <w:rPr>
          <w:rFonts w:cs="Times New Roman"/>
          <w:lang w:val="fr-CA"/>
        </w:rPr>
        <w:t xml:space="preserve"> et Kim agissaient à titre officiel et étaient donc protégés par l</w:t>
      </w:r>
      <w:r>
        <w:rPr>
          <w:rFonts w:cs="Times New Roman"/>
          <w:lang w:val="fr-CA"/>
        </w:rPr>
        <w:t>’</w:t>
      </w:r>
      <w:r w:rsidRPr="004826C0">
        <w:rPr>
          <w:rFonts w:cs="Times New Roman"/>
          <w:lang w:val="fr-CA"/>
        </w:rPr>
        <w:t>immunité du personnel prévue à la section 8 de l</w:t>
      </w:r>
      <w:r>
        <w:rPr>
          <w:rFonts w:cs="Times New Roman"/>
          <w:lang w:val="fr-CA"/>
        </w:rPr>
        <w:t>’</w:t>
      </w:r>
      <w:r w:rsidRPr="004826C0">
        <w:rPr>
          <w:rFonts w:cs="Times New Roman"/>
          <w:lang w:val="fr-CA"/>
        </w:rPr>
        <w:t>article VII. Cependant, il est arrivé à la conclusion que le Groupe avait levé cette immunité du personnel.</w:t>
      </w:r>
      <w:r>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 concluant ainsi, le juge d</w:t>
      </w:r>
      <w:r>
        <w:rPr>
          <w:rFonts w:cs="Times New Roman"/>
          <w:lang w:val="fr-CA"/>
        </w:rPr>
        <w:t>’</w:t>
      </w:r>
      <w:r w:rsidRPr="004826C0">
        <w:rPr>
          <w:rFonts w:cs="Times New Roman"/>
          <w:lang w:val="fr-CA"/>
        </w:rPr>
        <w:t>instance a rejeté l</w:t>
      </w:r>
      <w:r>
        <w:rPr>
          <w:rFonts w:cs="Times New Roman"/>
          <w:lang w:val="fr-CA"/>
        </w:rPr>
        <w:t>’</w:t>
      </w:r>
      <w:r w:rsidRPr="004826C0">
        <w:rPr>
          <w:rFonts w:cs="Times New Roman"/>
          <w:lang w:val="fr-CA"/>
        </w:rPr>
        <w:t>argument de la Couronne selon lequel le Groupe pouvait seulement lever l</w:t>
      </w:r>
      <w:r>
        <w:rPr>
          <w:rFonts w:cs="Times New Roman"/>
          <w:lang w:val="fr-CA"/>
        </w:rPr>
        <w:t>’</w:t>
      </w:r>
      <w:r w:rsidRPr="004826C0">
        <w:rPr>
          <w:rFonts w:cs="Times New Roman"/>
          <w:lang w:val="fr-CA"/>
        </w:rPr>
        <w:t>immunité du personnel de manière expresse. Il fut plutôt d</w:t>
      </w:r>
      <w:r>
        <w:rPr>
          <w:rFonts w:cs="Times New Roman"/>
          <w:lang w:val="fr-CA"/>
        </w:rPr>
        <w:t>’</w:t>
      </w:r>
      <w:r w:rsidRPr="004826C0">
        <w:rPr>
          <w:rFonts w:cs="Times New Roman"/>
          <w:lang w:val="fr-CA"/>
        </w:rPr>
        <w:t xml:space="preserve">avis que le Groupe pouvait y renoncer expressément ou implicitement, et ce pour trois raisons.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Premièrement, le juge d</w:t>
      </w:r>
      <w:r>
        <w:rPr>
          <w:rFonts w:cs="Times New Roman"/>
          <w:lang w:val="fr-CA"/>
        </w:rPr>
        <w:t>’</w:t>
      </w:r>
      <w:r w:rsidRPr="004826C0">
        <w:rPr>
          <w:rFonts w:cs="Times New Roman"/>
          <w:lang w:val="fr-CA"/>
        </w:rPr>
        <w:t>instance a signalé que les dispositions pertinentes de l</w:t>
      </w:r>
      <w:r>
        <w:rPr>
          <w:rFonts w:cs="Times New Roman"/>
          <w:lang w:val="fr-CA"/>
        </w:rPr>
        <w:t>’</w:t>
      </w:r>
      <w:r w:rsidRPr="004826C0">
        <w:rPr>
          <w:rFonts w:cs="Times New Roman"/>
          <w:lang w:val="fr-CA"/>
        </w:rPr>
        <w:t xml:space="preserve">Accord ne prévoient pas explicitement de renonciation </w:t>
      </w:r>
      <w:r w:rsidRPr="004826C0">
        <w:rPr>
          <w:rFonts w:cs="Times New Roman"/>
          <w:i/>
          <w:lang w:val="fr-CA"/>
        </w:rPr>
        <w:t>expresse</w:t>
      </w:r>
      <w:r w:rsidRPr="004826C0">
        <w:rPr>
          <w:rFonts w:cs="Times New Roman"/>
          <w:lang w:val="fr-CA"/>
        </w:rPr>
        <w:t>, comme c</w:t>
      </w:r>
      <w:r>
        <w:rPr>
          <w:rFonts w:cs="Times New Roman"/>
          <w:lang w:val="fr-CA"/>
        </w:rPr>
        <w:t>’</w:t>
      </w:r>
      <w:r w:rsidRPr="004826C0">
        <w:rPr>
          <w:rFonts w:cs="Times New Roman"/>
          <w:lang w:val="fr-CA"/>
        </w:rPr>
        <w:t>est le cas des dispositions qui confèrent l</w:t>
      </w:r>
      <w:r>
        <w:rPr>
          <w:rFonts w:cs="Times New Roman"/>
          <w:lang w:val="fr-CA"/>
        </w:rPr>
        <w:t>’</w:t>
      </w:r>
      <w:r w:rsidRPr="004826C0">
        <w:rPr>
          <w:rFonts w:cs="Times New Roman"/>
          <w:lang w:val="fr-CA"/>
        </w:rPr>
        <w:t>immunité contre les poursuites judiciaires aux Nations Unies et au Fonds monétaire international.</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Deuxièmement, procédant par analogie, il a conclu que si le détenteur d</w:t>
      </w:r>
      <w:r>
        <w:rPr>
          <w:rFonts w:cs="Times New Roman"/>
          <w:lang w:val="fr-CA"/>
        </w:rPr>
        <w:t>’</w:t>
      </w:r>
      <w:r w:rsidRPr="004826C0">
        <w:rPr>
          <w:rFonts w:cs="Times New Roman"/>
          <w:lang w:val="fr-CA"/>
        </w:rPr>
        <w:t>un privilège ne peut décider de révéler certaines communications assujetties au privilège, mais non d</w:t>
      </w:r>
      <w:r>
        <w:rPr>
          <w:rFonts w:cs="Times New Roman"/>
          <w:lang w:val="fr-CA"/>
        </w:rPr>
        <w:t>’</w:t>
      </w:r>
      <w:r w:rsidRPr="004826C0">
        <w:rPr>
          <w:rFonts w:cs="Times New Roman"/>
          <w:lang w:val="fr-CA"/>
        </w:rPr>
        <w:t>autres, de même, le Groupe ne peut fournir certains documents aux fins de poursuites criminelles et refuser d</w:t>
      </w:r>
      <w:r>
        <w:rPr>
          <w:rFonts w:cs="Times New Roman"/>
          <w:lang w:val="fr-CA"/>
        </w:rPr>
        <w:t>’</w:t>
      </w:r>
      <w:r w:rsidRPr="004826C0">
        <w:rPr>
          <w:rFonts w:cs="Times New Roman"/>
          <w:lang w:val="fr-CA"/>
        </w:rPr>
        <w:t>en fournir d</w:t>
      </w:r>
      <w:r>
        <w:rPr>
          <w:rFonts w:cs="Times New Roman"/>
          <w:lang w:val="fr-CA"/>
        </w:rPr>
        <w:t>’</w:t>
      </w:r>
      <w:r w:rsidRPr="004826C0">
        <w:rPr>
          <w:rFonts w:cs="Times New Roman"/>
          <w:lang w:val="fr-CA"/>
        </w:rPr>
        <w:t xml:space="preserve">autres qui sont pertinents.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Enfin, il a appliqué « l</w:t>
      </w:r>
      <w:r>
        <w:rPr>
          <w:rFonts w:cs="Times New Roman"/>
          <w:lang w:val="fr-CA"/>
        </w:rPr>
        <w:t>’</w:t>
      </w:r>
      <w:r w:rsidRPr="004826C0">
        <w:rPr>
          <w:rFonts w:cs="Times New Roman"/>
          <w:lang w:val="fr-CA"/>
        </w:rPr>
        <w:t>exception fondée sur les avantages et les obligations » à l</w:t>
      </w:r>
      <w:r>
        <w:rPr>
          <w:rFonts w:cs="Times New Roman"/>
          <w:lang w:val="fr-CA"/>
        </w:rPr>
        <w:t>’</w:t>
      </w:r>
      <w:r w:rsidRPr="004826C0">
        <w:rPr>
          <w:rFonts w:cs="Times New Roman"/>
          <w:lang w:val="fr-CA"/>
        </w:rPr>
        <w:t>immunité de la Couronne analysée par le juge La Forest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Sparling</w:t>
      </w:r>
      <w:proofErr w:type="spellEnd"/>
      <w:r w:rsidRPr="004826C0">
        <w:rPr>
          <w:rFonts w:cs="Times New Roman"/>
          <w:i/>
          <w:lang w:val="fr-CA"/>
        </w:rPr>
        <w:t xml:space="preserve"> c. Québec (Caisse de dépôt et placement du Québec)</w:t>
      </w:r>
      <w:r w:rsidRPr="004826C0">
        <w:rPr>
          <w:rFonts w:cs="Times New Roman"/>
          <w:lang w:val="fr-CA"/>
        </w:rPr>
        <w:t>, [1988] 2 R.C.S. 1015. Selon le juge d</w:t>
      </w:r>
      <w:r>
        <w:rPr>
          <w:rFonts w:cs="Times New Roman"/>
          <w:lang w:val="fr-CA"/>
        </w:rPr>
        <w:t>’</w:t>
      </w:r>
      <w:r w:rsidRPr="004826C0">
        <w:rPr>
          <w:rFonts w:cs="Times New Roman"/>
          <w:lang w:val="fr-CA"/>
        </w:rPr>
        <w:t>instance, le Groupe avait choisi de tirer avantage de poursuites criminelles au Canada, en demandant par exemple les éléments saisis lors des perquisitions et des renseignements obtenus lors de l</w:t>
      </w:r>
      <w:r>
        <w:rPr>
          <w:rFonts w:cs="Times New Roman"/>
          <w:lang w:val="fr-CA"/>
        </w:rPr>
        <w:t>’</w:t>
      </w:r>
      <w:r w:rsidRPr="004826C0">
        <w:rPr>
          <w:rFonts w:cs="Times New Roman"/>
          <w:lang w:val="fr-CA"/>
        </w:rPr>
        <w:t>interception des communications. Le Groupe était donc obligé d</w:t>
      </w:r>
      <w:r>
        <w:rPr>
          <w:rFonts w:cs="Times New Roman"/>
          <w:lang w:val="fr-CA"/>
        </w:rPr>
        <w:t>’</w:t>
      </w:r>
      <w:r w:rsidRPr="004826C0">
        <w:rPr>
          <w:rFonts w:cs="Times New Roman"/>
          <w:lang w:val="fr-CA"/>
        </w:rPr>
        <w:t xml:space="preserve">accepter les obligations corollaires, dont celle de se plier aux règles de procédure.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À l</w:t>
      </w:r>
      <w:r>
        <w:rPr>
          <w:rFonts w:cs="Times New Roman"/>
          <w:lang w:val="fr-CA"/>
        </w:rPr>
        <w:t>’</w:t>
      </w:r>
      <w:r w:rsidRPr="004826C0">
        <w:rPr>
          <w:rFonts w:cs="Times New Roman"/>
          <w:lang w:val="fr-CA"/>
        </w:rPr>
        <w:t>égard de l</w:t>
      </w:r>
      <w:r>
        <w:rPr>
          <w:rFonts w:cs="Times New Roman"/>
          <w:lang w:val="fr-CA"/>
        </w:rPr>
        <w:t>’</w:t>
      </w:r>
      <w:r w:rsidRPr="004826C0">
        <w:rPr>
          <w:rFonts w:cs="Times New Roman"/>
          <w:lang w:val="fr-CA"/>
        </w:rPr>
        <w:t>inviolabilité des archives prévue à la section 5</w:t>
      </w:r>
      <w:r>
        <w:rPr>
          <w:rFonts w:cs="Times New Roman"/>
          <w:lang w:val="fr-CA"/>
        </w:rPr>
        <w:t xml:space="preserve"> de l’article VII</w:t>
      </w:r>
      <w:r w:rsidRPr="004826C0">
        <w:rPr>
          <w:rFonts w:cs="Times New Roman"/>
          <w:lang w:val="fr-CA"/>
        </w:rPr>
        <w:t>, le juge d</w:t>
      </w:r>
      <w:r>
        <w:rPr>
          <w:rFonts w:cs="Times New Roman"/>
          <w:lang w:val="fr-CA"/>
        </w:rPr>
        <w:t>’</w:t>
      </w:r>
      <w:r w:rsidRPr="004826C0">
        <w:rPr>
          <w:rFonts w:cs="Times New Roman"/>
          <w:lang w:val="fr-CA"/>
        </w:rPr>
        <w:t>instance a conclu que les différentes sections de l</w:t>
      </w:r>
      <w:r>
        <w:rPr>
          <w:rFonts w:cs="Times New Roman"/>
          <w:lang w:val="fr-CA"/>
        </w:rPr>
        <w:t>’</w:t>
      </w:r>
      <w:r w:rsidRPr="004826C0">
        <w:rPr>
          <w:rFonts w:cs="Times New Roman"/>
          <w:lang w:val="fr-CA"/>
        </w:rPr>
        <w:t>article VII de l</w:t>
      </w:r>
      <w:r>
        <w:rPr>
          <w:rFonts w:cs="Times New Roman"/>
          <w:lang w:val="fr-CA"/>
        </w:rPr>
        <w:t>’</w:t>
      </w:r>
      <w:r w:rsidRPr="004826C0">
        <w:rPr>
          <w:rFonts w:cs="Times New Roman"/>
          <w:lang w:val="fr-CA"/>
        </w:rPr>
        <w:t>Accord relatif à la BIRD ne créaient pas différentes immunités autonomes; autrement dit, l</w:t>
      </w:r>
      <w:r>
        <w:rPr>
          <w:rFonts w:cs="Times New Roman"/>
          <w:lang w:val="fr-CA"/>
        </w:rPr>
        <w:t>’</w:t>
      </w:r>
      <w:r w:rsidRPr="004826C0">
        <w:rPr>
          <w:rFonts w:cs="Times New Roman"/>
          <w:lang w:val="fr-CA"/>
        </w:rPr>
        <w:t>inviolabilité des archives n</w:t>
      </w:r>
      <w:r>
        <w:rPr>
          <w:rFonts w:cs="Times New Roman"/>
          <w:lang w:val="fr-CA"/>
        </w:rPr>
        <w:t>’</w:t>
      </w:r>
      <w:r w:rsidRPr="004826C0">
        <w:rPr>
          <w:rFonts w:cs="Times New Roman"/>
          <w:lang w:val="fr-CA"/>
        </w:rPr>
        <w:t>était pas distincte de l</w:t>
      </w:r>
      <w:r>
        <w:rPr>
          <w:rFonts w:cs="Times New Roman"/>
          <w:lang w:val="fr-CA"/>
        </w:rPr>
        <w:t>’</w:t>
      </w:r>
      <w:r w:rsidRPr="004826C0">
        <w:rPr>
          <w:rFonts w:cs="Times New Roman"/>
          <w:lang w:val="fr-CA"/>
        </w:rPr>
        <w:t>immunité du personnel. Ainsi, selon lui, si le Groupe avait levé son immunité, il l</w:t>
      </w:r>
      <w:r>
        <w:rPr>
          <w:rFonts w:cs="Times New Roman"/>
          <w:lang w:val="fr-CA"/>
        </w:rPr>
        <w:t>’</w:t>
      </w:r>
      <w:r w:rsidRPr="004826C0">
        <w:rPr>
          <w:rFonts w:cs="Times New Roman"/>
          <w:lang w:val="fr-CA"/>
        </w:rPr>
        <w:t>avait fait sur toute la ligne. Quoi qu</w:t>
      </w:r>
      <w:r>
        <w:rPr>
          <w:rFonts w:cs="Times New Roman"/>
          <w:lang w:val="fr-CA"/>
        </w:rPr>
        <w:t>’</w:t>
      </w:r>
      <w:r w:rsidRPr="004826C0">
        <w:rPr>
          <w:rFonts w:cs="Times New Roman"/>
          <w:lang w:val="fr-CA"/>
        </w:rPr>
        <w:t>il en soit, il n</w:t>
      </w:r>
      <w:r>
        <w:rPr>
          <w:rFonts w:cs="Times New Roman"/>
          <w:lang w:val="fr-CA"/>
        </w:rPr>
        <w:t>’</w:t>
      </w:r>
      <w:r w:rsidRPr="004826C0">
        <w:rPr>
          <w:rFonts w:cs="Times New Roman"/>
          <w:lang w:val="fr-CA"/>
        </w:rPr>
        <w:t>était pas convaincu que les documents faisant l</w:t>
      </w:r>
      <w:r>
        <w:rPr>
          <w:rFonts w:cs="Times New Roman"/>
          <w:lang w:val="fr-CA"/>
        </w:rPr>
        <w:t>’</w:t>
      </w:r>
      <w:r w:rsidRPr="004826C0">
        <w:rPr>
          <w:rFonts w:cs="Times New Roman"/>
          <w:lang w:val="fr-CA"/>
        </w:rPr>
        <w:t>objet du litige appartenaient réellement aux « archives », lesquelles à son avis ne comprenaient exclusivement que des dossiers historiques. En outre, il a estimé que le terme « inviolable » connotait la protection contre la perquisition, la saisie ou la confiscation plutôt que contre la communication pour examen.</w:t>
      </w:r>
      <w:r>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À l</w:t>
      </w:r>
      <w:r>
        <w:rPr>
          <w:rFonts w:cs="Times New Roman"/>
          <w:lang w:val="fr-CA"/>
        </w:rPr>
        <w:t>’</w:t>
      </w:r>
      <w:r w:rsidRPr="004826C0">
        <w:rPr>
          <w:rFonts w:cs="Times New Roman"/>
          <w:lang w:val="fr-CA"/>
        </w:rPr>
        <w:t>égard de la deuxième question, le juge d</w:t>
      </w:r>
      <w:r>
        <w:rPr>
          <w:rFonts w:cs="Times New Roman"/>
          <w:lang w:val="fr-CA"/>
        </w:rPr>
        <w:t>’</w:t>
      </w:r>
      <w:r w:rsidRPr="004826C0">
        <w:rPr>
          <w:rFonts w:cs="Times New Roman"/>
          <w:lang w:val="fr-CA"/>
        </w:rPr>
        <w:t>instance a conclu à la pertinence probable des documents que cherchent à obtenir les intimés, dans le contexte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 Presque tous les renseignements présentés dans les affidavits probants à l</w:t>
      </w:r>
      <w:r>
        <w:rPr>
          <w:rFonts w:cs="Times New Roman"/>
          <w:lang w:val="fr-CA"/>
        </w:rPr>
        <w:t>’</w:t>
      </w:r>
      <w:r w:rsidRPr="004826C0">
        <w:rPr>
          <w:rFonts w:cs="Times New Roman"/>
          <w:lang w:val="fr-CA"/>
        </w:rPr>
        <w:t>appui des demandes d</w:t>
      </w:r>
      <w:r>
        <w:rPr>
          <w:rFonts w:cs="Times New Roman"/>
          <w:lang w:val="fr-CA"/>
        </w:rPr>
        <w:t>’</w:t>
      </w:r>
      <w:r w:rsidRPr="004826C0">
        <w:rPr>
          <w:rFonts w:cs="Times New Roman"/>
          <w:lang w:val="fr-CA"/>
        </w:rPr>
        <w:t>autorisation d</w:t>
      </w:r>
      <w:r>
        <w:rPr>
          <w:rFonts w:cs="Times New Roman"/>
          <w:lang w:val="fr-CA"/>
        </w:rPr>
        <w:t>’</w:t>
      </w:r>
      <w:r w:rsidRPr="004826C0">
        <w:rPr>
          <w:rFonts w:cs="Times New Roman"/>
          <w:lang w:val="fr-CA"/>
        </w:rPr>
        <w:t>écoute électronique provenaient de l</w:t>
      </w:r>
      <w:r>
        <w:rPr>
          <w:rFonts w:cs="Times New Roman"/>
          <w:lang w:val="fr-CA"/>
        </w:rPr>
        <w:t>’</w:t>
      </w:r>
      <w:r w:rsidRPr="004826C0">
        <w:rPr>
          <w:rFonts w:cs="Times New Roman"/>
          <w:lang w:val="fr-CA"/>
        </w:rPr>
        <w:t>INT et de son dossier d</w:t>
      </w:r>
      <w:r>
        <w:rPr>
          <w:rFonts w:cs="Times New Roman"/>
          <w:lang w:val="fr-CA"/>
        </w:rPr>
        <w:t>’</w:t>
      </w:r>
      <w:r w:rsidRPr="004826C0">
        <w:rPr>
          <w:rFonts w:cs="Times New Roman"/>
          <w:lang w:val="fr-CA"/>
        </w:rPr>
        <w:t>enquête. Le déposant n</w:t>
      </w:r>
      <w:r>
        <w:rPr>
          <w:rFonts w:cs="Times New Roman"/>
          <w:lang w:val="fr-CA"/>
        </w:rPr>
        <w:t>’</w:t>
      </w:r>
      <w:r w:rsidRPr="004826C0">
        <w:rPr>
          <w:rFonts w:cs="Times New Roman"/>
          <w:lang w:val="fr-CA"/>
        </w:rPr>
        <w:t xml:space="preserve">a pas pris de notes manuscrites sur son travail de préparation des affidavits. Par conséquent, le juge a ordonné la communication pour examen par le tribunal des documents énumérés aux articles </w:t>
      </w:r>
      <w:proofErr w:type="gramStart"/>
      <w:r w:rsidRPr="004826C0">
        <w:rPr>
          <w:rFonts w:cs="Times New Roman"/>
          <w:lang w:val="fr-CA"/>
        </w:rPr>
        <w:t>a.,</w:t>
      </w:r>
      <w:proofErr w:type="gramEnd"/>
      <w:r w:rsidRPr="004826C0">
        <w:rPr>
          <w:rFonts w:cs="Times New Roman"/>
          <w:lang w:val="fr-CA"/>
        </w:rPr>
        <w:t xml:space="preserve"> b., c. et e., reproduits au par. 23. Cet examen par le tribunal constitue la deuxième étape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w:t>
      </w:r>
      <w:r>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 xml:space="preserve">Le Groupe a interjeté appel de la décision devant la Cour, sur autorisation, alléguant les arrêts </w:t>
      </w:r>
      <w:proofErr w:type="spellStart"/>
      <w:r w:rsidRPr="004826C0">
        <w:rPr>
          <w:rFonts w:cs="Times New Roman"/>
          <w:i/>
          <w:lang w:val="fr-CA"/>
        </w:rPr>
        <w:t>Dagenais</w:t>
      </w:r>
      <w:proofErr w:type="spellEnd"/>
      <w:r w:rsidRPr="004826C0">
        <w:rPr>
          <w:rFonts w:cs="Times New Roman"/>
          <w:i/>
          <w:lang w:val="fr-CA"/>
        </w:rPr>
        <w:t xml:space="preserve"> c.</w:t>
      </w:r>
      <w:r w:rsidR="00426CFD">
        <w:rPr>
          <w:rFonts w:cs="Times New Roman"/>
          <w:i/>
          <w:lang w:val="fr-CA"/>
        </w:rPr>
        <w:t xml:space="preserve"> Société Radio-Canada</w:t>
      </w:r>
      <w:r w:rsidRPr="004826C0">
        <w:rPr>
          <w:rFonts w:cs="Times New Roman"/>
          <w:lang w:val="fr-CA"/>
        </w:rPr>
        <w:t xml:space="preserve">, [1994] 3 R.C.S. 835, et </w:t>
      </w:r>
      <w:r w:rsidRPr="004826C0">
        <w:rPr>
          <w:rFonts w:cs="Times New Roman"/>
          <w:i/>
          <w:lang w:val="fr-CA"/>
        </w:rPr>
        <w:t>A. (L.L.) c. B. (A.)</w:t>
      </w:r>
      <w:r w:rsidRPr="004826C0">
        <w:rPr>
          <w:rFonts w:cs="Times New Roman"/>
          <w:lang w:val="fr-CA"/>
        </w:rPr>
        <w:t>, [1995] 4 R.C.S. 536, selon lesquels des tiers affectés par l</w:t>
      </w:r>
      <w:r>
        <w:rPr>
          <w:rFonts w:cs="Times New Roman"/>
          <w:lang w:val="fr-CA"/>
        </w:rPr>
        <w:t>’</w:t>
      </w:r>
      <w:r w:rsidRPr="004826C0">
        <w:rPr>
          <w:rFonts w:cs="Times New Roman"/>
          <w:lang w:val="fr-CA"/>
        </w:rPr>
        <w:t>ordonnance d</w:t>
      </w:r>
      <w:r>
        <w:rPr>
          <w:rFonts w:cs="Times New Roman"/>
          <w:lang w:val="fr-CA"/>
        </w:rPr>
        <w:t>’</w:t>
      </w:r>
      <w:r w:rsidRPr="004826C0">
        <w:rPr>
          <w:rFonts w:cs="Times New Roman"/>
          <w:lang w:val="fr-CA"/>
        </w:rPr>
        <w:t>un juge d</w:t>
      </w:r>
      <w:r>
        <w:rPr>
          <w:rFonts w:cs="Times New Roman"/>
          <w:lang w:val="fr-CA"/>
        </w:rPr>
        <w:t>’</w:t>
      </w:r>
      <w:r w:rsidRPr="004826C0">
        <w:rPr>
          <w:rFonts w:cs="Times New Roman"/>
          <w:lang w:val="fr-CA"/>
        </w:rPr>
        <w:t xml:space="preserve">une cour supérieure peuvent la contester devant la Cour. </w:t>
      </w:r>
    </w:p>
    <w:p w:rsidR="002405E3" w:rsidRPr="004826C0" w:rsidRDefault="002405E3" w:rsidP="003C0B54">
      <w:pPr>
        <w:pStyle w:val="Title1LevelTitre1Niveau-AltL"/>
        <w:widowControl w:val="0"/>
        <w:rPr>
          <w:rFonts w:cs="Times New Roman"/>
          <w:u w:val="none"/>
          <w:lang w:val="fr-CA"/>
        </w:rPr>
      </w:pPr>
      <w:r w:rsidRPr="004826C0">
        <w:rPr>
          <w:rFonts w:cs="Times New Roman"/>
          <w:lang w:val="fr-CA"/>
        </w:rPr>
        <w:t>Arguments des parties</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Selon le Groupe, comme l</w:t>
      </w:r>
      <w:r>
        <w:rPr>
          <w:rFonts w:cs="Times New Roman"/>
          <w:lang w:val="fr-CA"/>
        </w:rPr>
        <w:t>’</w:t>
      </w:r>
      <w:r w:rsidRPr="004826C0">
        <w:rPr>
          <w:rFonts w:cs="Times New Roman"/>
          <w:lang w:val="fr-CA"/>
        </w:rPr>
        <w:t xml:space="preserve">INT constitue une division de la BIRD, elle jouit des immunités conférées à cette dernière. Par conséquent, son personnel est protégé contre les poursuites, et ses documents sont soustraits aux sommations judiciaires, y compris celles visant la communication de renseignements et de preuve </w:t>
      </w:r>
      <w:proofErr w:type="gramStart"/>
      <w:r w:rsidRPr="004826C0">
        <w:rPr>
          <w:rFonts w:cs="Times New Roman"/>
          <w:lang w:val="fr-CA"/>
        </w:rPr>
        <w:t>tels</w:t>
      </w:r>
      <w:proofErr w:type="gramEnd"/>
      <w:r w:rsidRPr="004826C0">
        <w:rPr>
          <w:rFonts w:cs="Times New Roman"/>
          <w:lang w:val="fr-CA"/>
        </w:rPr>
        <w:t xml:space="preserve"> les assignations, les mandats et les ordonnances. À son avis, les immunités et privilèges que confère l</w:t>
      </w:r>
      <w:r>
        <w:rPr>
          <w:rFonts w:cs="Times New Roman"/>
          <w:lang w:val="fr-CA"/>
        </w:rPr>
        <w:t>’</w:t>
      </w:r>
      <w:r w:rsidRPr="004826C0">
        <w:rPr>
          <w:rFonts w:cs="Times New Roman"/>
          <w:lang w:val="fr-CA"/>
        </w:rPr>
        <w:t>Accord doivent être interprétés généreusement et libéralement, car les immunités font obstacle à l</w:t>
      </w:r>
      <w:r>
        <w:rPr>
          <w:rFonts w:cs="Times New Roman"/>
          <w:lang w:val="fr-CA"/>
        </w:rPr>
        <w:t>’</w:t>
      </w:r>
      <w:r w:rsidRPr="004826C0">
        <w:rPr>
          <w:rFonts w:cs="Times New Roman"/>
          <w:lang w:val="fr-CA"/>
        </w:rPr>
        <w:t>ingérence indue dans les opérations d</w:t>
      </w:r>
      <w:r>
        <w:rPr>
          <w:rFonts w:cs="Times New Roman"/>
          <w:lang w:val="fr-CA"/>
        </w:rPr>
        <w:t>’</w:t>
      </w:r>
      <w:r w:rsidRPr="004826C0">
        <w:rPr>
          <w:rFonts w:cs="Times New Roman"/>
          <w:lang w:val="fr-CA"/>
        </w:rPr>
        <w:t xml:space="preserve">organisations internationales.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 Groupe fait valoir que par le verbe « lever » employé à la section 8 à l</w:t>
      </w:r>
      <w:r>
        <w:rPr>
          <w:rFonts w:cs="Times New Roman"/>
          <w:lang w:val="fr-CA"/>
        </w:rPr>
        <w:t>’</w:t>
      </w:r>
      <w:r w:rsidRPr="004826C0">
        <w:rPr>
          <w:rFonts w:cs="Times New Roman"/>
          <w:lang w:val="fr-CA"/>
        </w:rPr>
        <w:t>égard de l</w:t>
      </w:r>
      <w:r>
        <w:rPr>
          <w:rFonts w:cs="Times New Roman"/>
          <w:lang w:val="fr-CA"/>
        </w:rPr>
        <w:t>’</w:t>
      </w:r>
      <w:r w:rsidRPr="004826C0">
        <w:rPr>
          <w:rFonts w:cs="Times New Roman"/>
          <w:lang w:val="fr-CA"/>
        </w:rPr>
        <w:t>immunité du personnel, il faut entendre « lever expressément » seulement, ce qui signifie que ce type de renonciation doit être un acte positif, intentionnel et exprès par le président du Groupe ou son comité de direction. Quant à l</w:t>
      </w:r>
      <w:r>
        <w:rPr>
          <w:rFonts w:cs="Times New Roman"/>
          <w:lang w:val="fr-CA"/>
        </w:rPr>
        <w:t>’</w:t>
      </w:r>
      <w:r w:rsidRPr="004826C0">
        <w:rPr>
          <w:rFonts w:cs="Times New Roman"/>
          <w:lang w:val="fr-CA"/>
        </w:rPr>
        <w:t>inviolabilité des archives prévue à la section 5, le Groupe affirme que le terme « archives » renvoie non seulement à des documents historiques, mais à des documents contemporains également</w:t>
      </w:r>
      <w:r w:rsidR="00B15CCB">
        <w:rPr>
          <w:rFonts w:cs="Times New Roman"/>
          <w:lang w:val="fr-CA"/>
        </w:rPr>
        <w:t>,</w:t>
      </w:r>
      <w:r w:rsidRPr="004826C0">
        <w:rPr>
          <w:rFonts w:cs="Times New Roman"/>
          <w:lang w:val="fr-CA"/>
        </w:rPr>
        <w:t xml:space="preserve"> et qu</w:t>
      </w:r>
      <w:r>
        <w:rPr>
          <w:rFonts w:cs="Times New Roman"/>
          <w:lang w:val="fr-CA"/>
        </w:rPr>
        <w:t>’</w:t>
      </w:r>
      <w:r w:rsidRPr="004826C0">
        <w:rPr>
          <w:rFonts w:cs="Times New Roman"/>
          <w:lang w:val="fr-CA"/>
        </w:rPr>
        <w:t>il ne peut y avoir renonciation à l</w:t>
      </w:r>
      <w:r>
        <w:rPr>
          <w:rFonts w:cs="Times New Roman"/>
          <w:lang w:val="fr-CA"/>
        </w:rPr>
        <w:t>’</w:t>
      </w:r>
      <w:r w:rsidRPr="004826C0">
        <w:rPr>
          <w:rFonts w:cs="Times New Roman"/>
          <w:lang w:val="fr-CA"/>
        </w:rPr>
        <w:t xml:space="preserve">inviolabilité des archives.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Pour sa part, la Couronne affirme que l</w:t>
      </w:r>
      <w:r>
        <w:rPr>
          <w:rFonts w:cs="Times New Roman"/>
          <w:lang w:val="fr-CA"/>
        </w:rPr>
        <w:t>’</w:t>
      </w:r>
      <w:r w:rsidRPr="004826C0">
        <w:rPr>
          <w:rFonts w:cs="Times New Roman"/>
          <w:lang w:val="fr-CA"/>
        </w:rPr>
        <w:t>ordonnance de communication ne respecte pas les règles du droit canadien et n</w:t>
      </w:r>
      <w:r>
        <w:rPr>
          <w:rFonts w:cs="Times New Roman"/>
          <w:lang w:val="fr-CA"/>
        </w:rPr>
        <w:t>’</w:t>
      </w:r>
      <w:r w:rsidRPr="004826C0">
        <w:rPr>
          <w:rFonts w:cs="Times New Roman"/>
          <w:lang w:val="fr-CA"/>
        </w:rPr>
        <w:t>aurait pas dû être rendue sans égard aux immunités conférées au Groupe. La demande de communication de documents a été présentée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 xml:space="preserve"> visant la contestation des autorisations d</w:t>
      </w:r>
      <w:r>
        <w:rPr>
          <w:rFonts w:cs="Times New Roman"/>
          <w:lang w:val="fr-CA"/>
        </w:rPr>
        <w:t>’</w:t>
      </w:r>
      <w:r w:rsidRPr="004826C0">
        <w:rPr>
          <w:rFonts w:cs="Times New Roman"/>
          <w:lang w:val="fr-CA"/>
        </w:rPr>
        <w:t>écoute électronique. Par conséquent, il revient aux intimés de démontrer l</w:t>
      </w:r>
      <w:r>
        <w:rPr>
          <w:rFonts w:cs="Times New Roman"/>
          <w:lang w:val="fr-CA"/>
        </w:rPr>
        <w:t>’</w:t>
      </w:r>
      <w:r w:rsidRPr="004826C0">
        <w:rPr>
          <w:rFonts w:cs="Times New Roman"/>
          <w:lang w:val="fr-CA"/>
        </w:rPr>
        <w:t>existence d</w:t>
      </w:r>
      <w:r>
        <w:rPr>
          <w:rFonts w:cs="Times New Roman"/>
          <w:lang w:val="fr-CA"/>
        </w:rPr>
        <w:t>’</w:t>
      </w:r>
      <w:r w:rsidRPr="004826C0">
        <w:rPr>
          <w:rFonts w:cs="Times New Roman"/>
          <w:lang w:val="fr-CA"/>
        </w:rPr>
        <w:t xml:space="preserve">une probabilité raisonnable que les éléments de preuve dont la communication est demandée seront utiles au juge appelé à trancher la demande de type </w:t>
      </w:r>
      <w:proofErr w:type="spellStart"/>
      <w:r w:rsidRPr="004826C0">
        <w:rPr>
          <w:rFonts w:cs="Times New Roman"/>
          <w:i/>
          <w:lang w:val="fr-CA"/>
        </w:rPr>
        <w:t>Garofoli</w:t>
      </w:r>
      <w:proofErr w:type="spellEnd"/>
      <w:r w:rsidRPr="004826C0">
        <w:rPr>
          <w:rFonts w:cs="Times New Roman"/>
          <w:lang w:val="fr-CA"/>
        </w:rPr>
        <w:t>. Dans un tel cas, l</w:t>
      </w:r>
      <w:r>
        <w:rPr>
          <w:rFonts w:cs="Times New Roman"/>
          <w:lang w:val="fr-CA"/>
        </w:rPr>
        <w:t>’</w:t>
      </w:r>
      <w:r w:rsidRPr="004826C0">
        <w:rPr>
          <w:rFonts w:cs="Times New Roman"/>
          <w:lang w:val="fr-CA"/>
        </w:rPr>
        <w:t>affidavit sur la foi duquel l</w:t>
      </w:r>
      <w:r>
        <w:rPr>
          <w:rFonts w:cs="Times New Roman"/>
          <w:lang w:val="fr-CA"/>
        </w:rPr>
        <w:t>’</w:t>
      </w:r>
      <w:r w:rsidRPr="004826C0">
        <w:rPr>
          <w:rFonts w:cs="Times New Roman"/>
          <w:lang w:val="fr-CA"/>
        </w:rPr>
        <w:t>autorisation a été délivrée est évalué selon ce que le déposant « savait ou aurait dû savoir » et non selon la véracité des renseignements qu</w:t>
      </w:r>
      <w:r>
        <w:rPr>
          <w:rFonts w:cs="Times New Roman"/>
          <w:lang w:val="fr-CA"/>
        </w:rPr>
        <w:t>’</w:t>
      </w:r>
      <w:r w:rsidRPr="004826C0">
        <w:rPr>
          <w:rFonts w:cs="Times New Roman"/>
          <w:lang w:val="fr-CA"/>
        </w:rPr>
        <w:t>il contient (</w:t>
      </w:r>
      <w:r w:rsidRPr="004826C0">
        <w:rPr>
          <w:rFonts w:cs="Times New Roman"/>
          <w:i/>
          <w:lang w:val="fr-CA"/>
        </w:rPr>
        <w:t>R. c. Pires</w:t>
      </w:r>
      <w:r w:rsidRPr="004826C0">
        <w:rPr>
          <w:rFonts w:cs="Times New Roman"/>
          <w:lang w:val="fr-CA"/>
        </w:rPr>
        <w:t>, 2005 CSC 66, [2005] 3 R.C.S. 343, par. 41). Ainsi, les documents dont la communication est demandée ne sont pertinents que s</w:t>
      </w:r>
      <w:r>
        <w:rPr>
          <w:rFonts w:cs="Times New Roman"/>
          <w:lang w:val="fr-CA"/>
        </w:rPr>
        <w:t>’</w:t>
      </w:r>
      <w:r w:rsidRPr="004826C0">
        <w:rPr>
          <w:rFonts w:cs="Times New Roman"/>
          <w:lang w:val="fr-CA"/>
        </w:rPr>
        <w:t xml:space="preserve">ils servent à démontrer que le déposant savait ou aurait dû savoir que les renseignements contenus aux affidavits étaient faux.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Selon M. Wallace, intimé en l</w:t>
      </w:r>
      <w:r>
        <w:rPr>
          <w:rFonts w:cs="Times New Roman"/>
          <w:lang w:val="fr-CA"/>
        </w:rPr>
        <w:t>’</w:t>
      </w:r>
      <w:r w:rsidRPr="004826C0">
        <w:rPr>
          <w:rFonts w:cs="Times New Roman"/>
          <w:lang w:val="fr-CA"/>
        </w:rPr>
        <w:t>espèce, les documents visés se révéleront probablement pertinents selon les critères établis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xml:space="preserve"> pour la demande de communication par un tiers et ceux applicables à la demande de type </w:t>
      </w:r>
      <w:proofErr w:type="spellStart"/>
      <w:r w:rsidRPr="004826C0">
        <w:rPr>
          <w:rFonts w:cs="Times New Roman"/>
          <w:i/>
          <w:lang w:val="fr-CA"/>
        </w:rPr>
        <w:t>Garofoli</w:t>
      </w:r>
      <w:proofErr w:type="spellEnd"/>
      <w:r w:rsidRPr="004826C0">
        <w:rPr>
          <w:rFonts w:cs="Times New Roman"/>
          <w:lang w:val="fr-CA"/>
        </w:rPr>
        <w:t>. Selon lui, le dossier d</w:t>
      </w:r>
      <w:r>
        <w:rPr>
          <w:rFonts w:cs="Times New Roman"/>
          <w:lang w:val="fr-CA"/>
        </w:rPr>
        <w:t>’</w:t>
      </w:r>
      <w:r w:rsidRPr="004826C0">
        <w:rPr>
          <w:rFonts w:cs="Times New Roman"/>
          <w:lang w:val="fr-CA"/>
        </w:rPr>
        <w:t>enquête de la GRC serait incomplet, car les notes du déposant laissent à désirer. Il prétend aussi que le déposant aurait admis en contre</w:t>
      </w:r>
      <w:r w:rsidRPr="004826C0">
        <w:rPr>
          <w:rFonts w:cs="Times New Roman"/>
          <w:lang w:val="fr-CA"/>
        </w:rPr>
        <w:noBreakHyphen/>
        <w:t xml:space="preserve">interrogatoire avoir présenté les faits de manière inexacte dans ses affidavits.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 ce qui a trait à l</w:t>
      </w:r>
      <w:r>
        <w:rPr>
          <w:rFonts w:cs="Times New Roman"/>
          <w:lang w:val="fr-CA"/>
        </w:rPr>
        <w:t>’</w:t>
      </w:r>
      <w:r w:rsidRPr="004826C0">
        <w:rPr>
          <w:rFonts w:cs="Times New Roman"/>
          <w:lang w:val="fr-CA"/>
        </w:rPr>
        <w:t>immunité, l</w:t>
      </w:r>
      <w:r>
        <w:rPr>
          <w:rFonts w:cs="Times New Roman"/>
          <w:lang w:val="fr-CA"/>
        </w:rPr>
        <w:t>’</w:t>
      </w:r>
      <w:r w:rsidRPr="004826C0">
        <w:rPr>
          <w:rFonts w:cs="Times New Roman"/>
          <w:lang w:val="fr-CA"/>
        </w:rPr>
        <w:t>intimé Wallace fait valoir que la preuve est muette quant à la place qu</w:t>
      </w:r>
      <w:r>
        <w:rPr>
          <w:rFonts w:cs="Times New Roman"/>
          <w:lang w:val="fr-CA"/>
        </w:rPr>
        <w:t>’</w:t>
      </w:r>
      <w:r w:rsidRPr="004826C0">
        <w:rPr>
          <w:rFonts w:cs="Times New Roman"/>
          <w:lang w:val="fr-CA"/>
        </w:rPr>
        <w:t>occupe l</w:t>
      </w:r>
      <w:r>
        <w:rPr>
          <w:rFonts w:cs="Times New Roman"/>
          <w:lang w:val="fr-CA"/>
        </w:rPr>
        <w:t>’</w:t>
      </w:r>
      <w:r w:rsidRPr="004826C0">
        <w:rPr>
          <w:rFonts w:cs="Times New Roman"/>
          <w:lang w:val="fr-CA"/>
        </w:rPr>
        <w:t>INT au sein du Groupe ou aux immunités qui s</w:t>
      </w:r>
      <w:r>
        <w:rPr>
          <w:rFonts w:cs="Times New Roman"/>
          <w:lang w:val="fr-CA"/>
        </w:rPr>
        <w:t>’</w:t>
      </w:r>
      <w:r w:rsidRPr="004826C0">
        <w:rPr>
          <w:rFonts w:cs="Times New Roman"/>
          <w:lang w:val="fr-CA"/>
        </w:rPr>
        <w:t>appliquent à l</w:t>
      </w:r>
      <w:r>
        <w:rPr>
          <w:rFonts w:cs="Times New Roman"/>
          <w:lang w:val="fr-CA"/>
        </w:rPr>
        <w:t>’</w:t>
      </w:r>
      <w:r w:rsidRPr="004826C0">
        <w:rPr>
          <w:rFonts w:cs="Times New Roman"/>
          <w:lang w:val="fr-CA"/>
        </w:rPr>
        <w:t>INT, s</w:t>
      </w:r>
      <w:r>
        <w:rPr>
          <w:rFonts w:cs="Times New Roman"/>
          <w:lang w:val="fr-CA"/>
        </w:rPr>
        <w:t>’</w:t>
      </w:r>
      <w:r w:rsidRPr="004826C0">
        <w:rPr>
          <w:rFonts w:cs="Times New Roman"/>
          <w:lang w:val="fr-CA"/>
        </w:rPr>
        <w:t>il en est.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Il ajoute que le personnel de l</w:t>
      </w:r>
      <w:r>
        <w:rPr>
          <w:rFonts w:cs="Times New Roman"/>
          <w:lang w:val="fr-CA"/>
        </w:rPr>
        <w:t>’</w:t>
      </w:r>
      <w:r w:rsidRPr="004826C0">
        <w:rPr>
          <w:rFonts w:cs="Times New Roman"/>
          <w:lang w:val="fr-CA"/>
        </w:rPr>
        <w:t>INT est soustrait aux poursuites seulement dans la mesure nécessaire pour permettre à cette dernière d</w:t>
      </w:r>
      <w:r>
        <w:rPr>
          <w:rFonts w:cs="Times New Roman"/>
          <w:lang w:val="fr-CA"/>
        </w:rPr>
        <w:t>’</w:t>
      </w:r>
      <w:r w:rsidRPr="004826C0">
        <w:rPr>
          <w:rFonts w:cs="Times New Roman"/>
          <w:lang w:val="fr-CA"/>
        </w:rPr>
        <w:t>exercer ses fonctions sans subir d</w:t>
      </w:r>
      <w:r>
        <w:rPr>
          <w:rFonts w:cs="Times New Roman"/>
          <w:lang w:val="fr-CA"/>
        </w:rPr>
        <w:t>’</w:t>
      </w:r>
      <w:r w:rsidRPr="004826C0">
        <w:rPr>
          <w:rFonts w:cs="Times New Roman"/>
          <w:lang w:val="fr-CA"/>
        </w:rPr>
        <w:t>ingérence indue. Selon lui, la communication des documents recherchés ne constituerait pas une ingérence indue dans le fonctionnement de la BIRD et, au surplus, le dossier d</w:t>
      </w:r>
      <w:r>
        <w:rPr>
          <w:rFonts w:cs="Times New Roman"/>
          <w:lang w:val="fr-CA"/>
        </w:rPr>
        <w:t>’</w:t>
      </w:r>
      <w:r w:rsidRPr="004826C0">
        <w:rPr>
          <w:rFonts w:cs="Times New Roman"/>
          <w:lang w:val="fr-CA"/>
        </w:rPr>
        <w:t>enquête de l</w:t>
      </w:r>
      <w:r>
        <w:rPr>
          <w:rFonts w:cs="Times New Roman"/>
          <w:lang w:val="fr-CA"/>
        </w:rPr>
        <w:t>’</w:t>
      </w:r>
      <w:r w:rsidRPr="004826C0">
        <w:rPr>
          <w:rFonts w:cs="Times New Roman"/>
          <w:lang w:val="fr-CA"/>
        </w:rPr>
        <w:t>INT ne fait tout simplement pas partie des archives de la BIRD. Enfin, M. Wallace prétend que les immunités dont jouissent les organisations qui composent le Groupe peuvent faire l</w:t>
      </w:r>
      <w:r>
        <w:rPr>
          <w:rFonts w:cs="Times New Roman"/>
          <w:lang w:val="fr-CA"/>
        </w:rPr>
        <w:t>’</w:t>
      </w:r>
      <w:r w:rsidRPr="004826C0">
        <w:rPr>
          <w:rFonts w:cs="Times New Roman"/>
          <w:lang w:val="fr-CA"/>
        </w:rPr>
        <w:t>objet d</w:t>
      </w:r>
      <w:r>
        <w:rPr>
          <w:rFonts w:cs="Times New Roman"/>
          <w:lang w:val="fr-CA"/>
        </w:rPr>
        <w:t>’</w:t>
      </w:r>
      <w:r w:rsidRPr="004826C0">
        <w:rPr>
          <w:rFonts w:cs="Times New Roman"/>
          <w:lang w:val="fr-CA"/>
        </w:rPr>
        <w:t>une renonciation implicite et que le Groupe a renoncé à toute immunité en participant activement à l</w:t>
      </w:r>
      <w:r>
        <w:rPr>
          <w:rFonts w:cs="Times New Roman"/>
          <w:lang w:val="fr-CA"/>
        </w:rPr>
        <w:t>’</w:t>
      </w:r>
      <w:r w:rsidRPr="004826C0">
        <w:rPr>
          <w:rFonts w:cs="Times New Roman"/>
          <w:lang w:val="fr-CA"/>
        </w:rPr>
        <w:t xml:space="preserve">enquête criminelle et aux poursuites des intimés menées au Canada.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Au sujet de l</w:t>
      </w:r>
      <w:r>
        <w:rPr>
          <w:rFonts w:cs="Times New Roman"/>
          <w:lang w:val="fr-CA"/>
        </w:rPr>
        <w:t>’</w:t>
      </w:r>
      <w:r w:rsidRPr="004826C0">
        <w:rPr>
          <w:rFonts w:cs="Times New Roman"/>
          <w:lang w:val="fr-CA"/>
        </w:rPr>
        <w:t>immunité, l</w:t>
      </w:r>
      <w:r>
        <w:rPr>
          <w:rFonts w:cs="Times New Roman"/>
          <w:lang w:val="fr-CA"/>
        </w:rPr>
        <w:t>’</w:t>
      </w:r>
      <w:r w:rsidRPr="004826C0">
        <w:rPr>
          <w:rFonts w:cs="Times New Roman"/>
          <w:lang w:val="fr-CA"/>
        </w:rPr>
        <w:t>intimé M. </w:t>
      </w:r>
      <w:proofErr w:type="spellStart"/>
      <w:r w:rsidRPr="004826C0">
        <w:rPr>
          <w:rFonts w:cs="Times New Roman"/>
          <w:lang w:val="fr-CA"/>
        </w:rPr>
        <w:t>Bhuiyan</w:t>
      </w:r>
      <w:proofErr w:type="spellEnd"/>
      <w:r w:rsidRPr="004826C0">
        <w:rPr>
          <w:rFonts w:cs="Times New Roman"/>
          <w:lang w:val="fr-CA"/>
        </w:rPr>
        <w:t xml:space="preserve"> fait aussi valoir que le libellé de la section 3 de l</w:t>
      </w:r>
      <w:r>
        <w:rPr>
          <w:rFonts w:cs="Times New Roman"/>
          <w:lang w:val="fr-CA"/>
        </w:rPr>
        <w:t>’</w:t>
      </w:r>
      <w:r w:rsidRPr="004826C0">
        <w:rPr>
          <w:rFonts w:cs="Times New Roman"/>
          <w:lang w:val="fr-CA"/>
        </w:rPr>
        <w:t>article VII — selon lequel « [i]l ne pourra être intenté d</w:t>
      </w:r>
      <w:r>
        <w:rPr>
          <w:rFonts w:cs="Times New Roman"/>
          <w:lang w:val="fr-CA"/>
        </w:rPr>
        <w:t>’</w:t>
      </w:r>
      <w:r w:rsidRPr="004826C0">
        <w:rPr>
          <w:rFonts w:cs="Times New Roman"/>
          <w:lang w:val="fr-CA"/>
        </w:rPr>
        <w:t xml:space="preserve">action en justice contre la </w:t>
      </w:r>
      <w:r w:rsidR="00B15CCB">
        <w:rPr>
          <w:rFonts w:cs="Times New Roman"/>
          <w:lang w:val="fr-CA"/>
        </w:rPr>
        <w:t>Banque</w:t>
      </w:r>
      <w:r w:rsidRPr="004826C0">
        <w:rPr>
          <w:rFonts w:cs="Times New Roman"/>
          <w:lang w:val="fr-CA"/>
        </w:rPr>
        <w:t xml:space="preserve"> que » par des parties privées dans des territoires où elle a une présence juridique — démontre que le législateur n</w:t>
      </w:r>
      <w:r>
        <w:rPr>
          <w:rFonts w:cs="Times New Roman"/>
          <w:lang w:val="fr-CA"/>
        </w:rPr>
        <w:t>’</w:t>
      </w:r>
      <w:r w:rsidRPr="004826C0">
        <w:rPr>
          <w:rFonts w:cs="Times New Roman"/>
          <w:lang w:val="fr-CA"/>
        </w:rPr>
        <w:t xml:space="preserve">entendait pas soustraire le Groupe aux poursuites judiciaires au Canada.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Un certain nombre d</w:t>
      </w:r>
      <w:r>
        <w:rPr>
          <w:rFonts w:cs="Times New Roman"/>
          <w:lang w:val="fr-CA"/>
        </w:rPr>
        <w:t>’</w:t>
      </w:r>
      <w:r w:rsidRPr="004826C0">
        <w:rPr>
          <w:rFonts w:cs="Times New Roman"/>
          <w:lang w:val="fr-CA"/>
        </w:rPr>
        <w:t xml:space="preserve">intervenants ont également plaidé devant la Cour. </w:t>
      </w:r>
      <w:proofErr w:type="spellStart"/>
      <w:r w:rsidRPr="004826C0">
        <w:rPr>
          <w:rFonts w:cs="Times New Roman"/>
          <w:lang w:val="fr-CA"/>
        </w:rPr>
        <w:t>Transparency</w:t>
      </w:r>
      <w:proofErr w:type="spellEnd"/>
      <w:r w:rsidRPr="004826C0">
        <w:rPr>
          <w:rFonts w:cs="Times New Roman"/>
          <w:lang w:val="fr-CA"/>
        </w:rPr>
        <w:t xml:space="preserve"> International Canada Inc. et </w:t>
      </w:r>
      <w:proofErr w:type="spellStart"/>
      <w:r w:rsidRPr="004826C0">
        <w:rPr>
          <w:rFonts w:cs="Times New Roman"/>
          <w:lang w:val="fr-CA"/>
        </w:rPr>
        <w:t>Transparency</w:t>
      </w:r>
      <w:proofErr w:type="spellEnd"/>
      <w:r w:rsidRPr="004826C0">
        <w:rPr>
          <w:rFonts w:cs="Times New Roman"/>
          <w:lang w:val="fr-CA"/>
        </w:rPr>
        <w:t xml:space="preserve"> International </w:t>
      </w:r>
      <w:proofErr w:type="spellStart"/>
      <w:r w:rsidRPr="004826C0">
        <w:rPr>
          <w:rFonts w:cs="Times New Roman"/>
          <w:lang w:val="fr-CA"/>
        </w:rPr>
        <w:t>e.V.</w:t>
      </w:r>
      <w:proofErr w:type="spellEnd"/>
      <w:r w:rsidRPr="004826C0">
        <w:rPr>
          <w:rFonts w:cs="Times New Roman"/>
          <w:lang w:val="fr-CA"/>
        </w:rPr>
        <w:t xml:space="preserve"> soulignent l</w:t>
      </w:r>
      <w:r>
        <w:rPr>
          <w:rFonts w:cs="Times New Roman"/>
          <w:lang w:val="fr-CA"/>
        </w:rPr>
        <w:t>’</w:t>
      </w:r>
      <w:r w:rsidRPr="004826C0">
        <w:rPr>
          <w:rFonts w:cs="Times New Roman"/>
          <w:lang w:val="fr-CA"/>
        </w:rPr>
        <w:t>importance de la protection des dénonciateurs et font valoir que si les immunités des organisations internationales ne sont pas respectées dans un contexte comme celui</w:t>
      </w:r>
      <w:r w:rsidRPr="004826C0">
        <w:rPr>
          <w:rFonts w:cs="Times New Roman"/>
          <w:lang w:val="fr-CA"/>
        </w:rPr>
        <w:noBreakHyphen/>
        <w:t>ci, ces organisations hésiteront à l</w:t>
      </w:r>
      <w:r>
        <w:rPr>
          <w:rFonts w:cs="Times New Roman"/>
          <w:lang w:val="fr-CA"/>
        </w:rPr>
        <w:t>’</w:t>
      </w:r>
      <w:r w:rsidRPr="004826C0">
        <w:rPr>
          <w:rFonts w:cs="Times New Roman"/>
          <w:lang w:val="fr-CA"/>
        </w:rPr>
        <w:t>avenir à prêter leur concours dans le cadre de poursuites criminelles intentées dans un pays donné. La Banque européenne pour la reconstruction et le développement, l</w:t>
      </w:r>
      <w:r>
        <w:rPr>
          <w:rFonts w:cs="Times New Roman"/>
          <w:lang w:val="fr-CA"/>
        </w:rPr>
        <w:t>’</w:t>
      </w:r>
      <w:r w:rsidRPr="004826C0">
        <w:rPr>
          <w:rFonts w:cs="Times New Roman"/>
          <w:lang w:val="fr-CA"/>
        </w:rPr>
        <w:t>Organisation de coopération et de développement économiques, le Groupe de la Banque africaine de développement, la Banque asiatique de développement, la Banque interaméricaine de développement et la Banque nordique d</w:t>
      </w:r>
      <w:r>
        <w:rPr>
          <w:rFonts w:cs="Times New Roman"/>
          <w:lang w:val="fr-CA"/>
        </w:rPr>
        <w:t>’</w:t>
      </w:r>
      <w:r w:rsidRPr="004826C0">
        <w:rPr>
          <w:rFonts w:cs="Times New Roman"/>
          <w:lang w:val="fr-CA"/>
        </w:rPr>
        <w:t>investissement soutiennent que la renonciation à l</w:t>
      </w:r>
      <w:r>
        <w:rPr>
          <w:rFonts w:cs="Times New Roman"/>
          <w:lang w:val="fr-CA"/>
        </w:rPr>
        <w:t>’</w:t>
      </w:r>
      <w:r w:rsidRPr="004826C0">
        <w:rPr>
          <w:rFonts w:cs="Times New Roman"/>
          <w:lang w:val="fr-CA"/>
        </w:rPr>
        <w:t>inviolabilité des archives et à l</w:t>
      </w:r>
      <w:r>
        <w:rPr>
          <w:rFonts w:cs="Times New Roman"/>
          <w:lang w:val="fr-CA"/>
        </w:rPr>
        <w:t>’</w:t>
      </w:r>
      <w:r w:rsidRPr="004826C0">
        <w:rPr>
          <w:rFonts w:cs="Times New Roman"/>
          <w:lang w:val="fr-CA"/>
        </w:rPr>
        <w:t>immunité du personnel doit dans tous les cas être expresse; elle ne peut être implicite. À leur avis, c</w:t>
      </w:r>
      <w:r>
        <w:rPr>
          <w:rFonts w:cs="Times New Roman"/>
          <w:lang w:val="fr-CA"/>
        </w:rPr>
        <w:t>’</w:t>
      </w:r>
      <w:r w:rsidRPr="004826C0">
        <w:rPr>
          <w:rFonts w:cs="Times New Roman"/>
          <w:lang w:val="fr-CA"/>
        </w:rPr>
        <w:t>est seulement en reconnaissant la nécessité d</w:t>
      </w:r>
      <w:r>
        <w:rPr>
          <w:rFonts w:cs="Times New Roman"/>
          <w:lang w:val="fr-CA"/>
        </w:rPr>
        <w:t>’</w:t>
      </w:r>
      <w:r w:rsidRPr="004826C0">
        <w:rPr>
          <w:rFonts w:cs="Times New Roman"/>
          <w:lang w:val="fr-CA"/>
        </w:rPr>
        <w:t>une renonciation expresse qu</w:t>
      </w:r>
      <w:r>
        <w:rPr>
          <w:rFonts w:cs="Times New Roman"/>
          <w:lang w:val="fr-CA"/>
        </w:rPr>
        <w:t>’</w:t>
      </w:r>
      <w:r w:rsidRPr="004826C0">
        <w:rPr>
          <w:rFonts w:cs="Times New Roman"/>
          <w:lang w:val="fr-CA"/>
        </w:rPr>
        <w:t>on peut assurer la protection voulue et l</w:t>
      </w:r>
      <w:r>
        <w:rPr>
          <w:rFonts w:cs="Times New Roman"/>
          <w:lang w:val="fr-CA"/>
        </w:rPr>
        <w:t>’</w:t>
      </w:r>
      <w:r w:rsidRPr="004826C0">
        <w:rPr>
          <w:rFonts w:cs="Times New Roman"/>
          <w:lang w:val="fr-CA"/>
        </w:rPr>
        <w:t xml:space="preserve">uniformité de traitement des organisations internationales au sein des États membres.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Pour sa part, l</w:t>
      </w:r>
      <w:r>
        <w:rPr>
          <w:rFonts w:cs="Times New Roman"/>
          <w:lang w:val="fr-CA"/>
        </w:rPr>
        <w:t>’</w:t>
      </w:r>
      <w:r w:rsidRPr="004826C0">
        <w:rPr>
          <w:rFonts w:cs="Times New Roman"/>
          <w:lang w:val="fr-CA"/>
        </w:rPr>
        <w:t>Association des libertés civiles de la Colombie</w:t>
      </w:r>
      <w:r w:rsidRPr="004826C0">
        <w:rPr>
          <w:rFonts w:cs="Times New Roman"/>
          <w:lang w:val="fr-CA"/>
        </w:rPr>
        <w:noBreakHyphen/>
        <w:t>Britannique soutient que le droit de présenter une défense pleine et entière, consacré tant en droit canadien qu</w:t>
      </w:r>
      <w:r>
        <w:rPr>
          <w:rFonts w:cs="Times New Roman"/>
          <w:lang w:val="fr-CA"/>
        </w:rPr>
        <w:t>’</w:t>
      </w:r>
      <w:r w:rsidRPr="004826C0">
        <w:rPr>
          <w:rFonts w:cs="Times New Roman"/>
          <w:lang w:val="fr-CA"/>
        </w:rPr>
        <w:t>en droit international, exige dans certaines circonstances que soit reconnue la possibilité d</w:t>
      </w:r>
      <w:r>
        <w:rPr>
          <w:rFonts w:cs="Times New Roman"/>
          <w:lang w:val="fr-CA"/>
        </w:rPr>
        <w:t>’</w:t>
      </w:r>
      <w:r w:rsidRPr="004826C0">
        <w:rPr>
          <w:rFonts w:cs="Times New Roman"/>
          <w:lang w:val="fr-CA"/>
        </w:rPr>
        <w:t>une renonciation implicite à l</w:t>
      </w:r>
      <w:r>
        <w:rPr>
          <w:rFonts w:cs="Times New Roman"/>
          <w:lang w:val="fr-CA"/>
        </w:rPr>
        <w:t>’</w:t>
      </w:r>
      <w:r w:rsidRPr="004826C0">
        <w:rPr>
          <w:rFonts w:cs="Times New Roman"/>
          <w:lang w:val="fr-CA"/>
        </w:rPr>
        <w:t>immunité. Dans le même ordre d</w:t>
      </w:r>
      <w:r>
        <w:rPr>
          <w:rFonts w:cs="Times New Roman"/>
          <w:lang w:val="fr-CA"/>
        </w:rPr>
        <w:t>’</w:t>
      </w:r>
      <w:r w:rsidRPr="004826C0">
        <w:rPr>
          <w:rFonts w:cs="Times New Roman"/>
          <w:lang w:val="fr-CA"/>
        </w:rPr>
        <w:t xml:space="preserve">idée, la </w:t>
      </w:r>
      <w:proofErr w:type="spellStart"/>
      <w:r w:rsidRPr="004826C0">
        <w:rPr>
          <w:rFonts w:cs="Times New Roman"/>
          <w:lang w:val="fr-CA"/>
        </w:rPr>
        <w:t>Criminal</w:t>
      </w:r>
      <w:proofErr w:type="spellEnd"/>
      <w:r w:rsidRPr="004826C0">
        <w:rPr>
          <w:rFonts w:cs="Times New Roman"/>
          <w:lang w:val="fr-CA"/>
        </w:rPr>
        <w:t xml:space="preserve"> </w:t>
      </w:r>
      <w:proofErr w:type="spellStart"/>
      <w:r w:rsidRPr="004826C0">
        <w:rPr>
          <w:rFonts w:cs="Times New Roman"/>
          <w:lang w:val="fr-CA"/>
        </w:rPr>
        <w:t>Lawyers</w:t>
      </w:r>
      <w:proofErr w:type="spellEnd"/>
      <w:r>
        <w:rPr>
          <w:rFonts w:cs="Times New Roman"/>
          <w:lang w:val="fr-CA"/>
        </w:rPr>
        <w:t>’</w:t>
      </w:r>
      <w:r w:rsidRPr="004826C0">
        <w:rPr>
          <w:rFonts w:cs="Times New Roman"/>
          <w:lang w:val="fr-CA"/>
        </w:rPr>
        <w:t xml:space="preserve"> Association (Ontario) fait valoir qu</w:t>
      </w:r>
      <w:r>
        <w:rPr>
          <w:rFonts w:cs="Times New Roman"/>
          <w:lang w:val="fr-CA"/>
        </w:rPr>
        <w:t>’</w:t>
      </w:r>
      <w:r w:rsidRPr="004826C0">
        <w:rPr>
          <w:rFonts w:cs="Times New Roman"/>
          <w:lang w:val="fr-CA"/>
        </w:rPr>
        <w:t>il faut, pour décider s</w:t>
      </w:r>
      <w:r>
        <w:rPr>
          <w:rFonts w:cs="Times New Roman"/>
          <w:lang w:val="fr-CA"/>
        </w:rPr>
        <w:t>’</w:t>
      </w:r>
      <w:r w:rsidRPr="004826C0">
        <w:rPr>
          <w:rFonts w:cs="Times New Roman"/>
          <w:lang w:val="fr-CA"/>
        </w:rPr>
        <w:t>il convient de contraindre une organisation internationale à communiquer ses dossiers dans le cadre d</w:t>
      </w:r>
      <w:r>
        <w:rPr>
          <w:rFonts w:cs="Times New Roman"/>
          <w:lang w:val="fr-CA"/>
        </w:rPr>
        <w:t>’</w:t>
      </w:r>
      <w:r w:rsidRPr="004826C0">
        <w:rPr>
          <w:rFonts w:cs="Times New Roman"/>
          <w:lang w:val="fr-CA"/>
        </w:rPr>
        <w:t>une poursuite criminelle, évaluer d</w:t>
      </w:r>
      <w:r>
        <w:rPr>
          <w:rFonts w:cs="Times New Roman"/>
          <w:lang w:val="fr-CA"/>
        </w:rPr>
        <w:t>’</w:t>
      </w:r>
      <w:r w:rsidRPr="004826C0">
        <w:rPr>
          <w:rFonts w:cs="Times New Roman"/>
          <w:lang w:val="fr-CA"/>
        </w:rPr>
        <w:t>une part l</w:t>
      </w:r>
      <w:r>
        <w:rPr>
          <w:rFonts w:cs="Times New Roman"/>
          <w:lang w:val="fr-CA"/>
        </w:rPr>
        <w:t>’</w:t>
      </w:r>
      <w:r w:rsidRPr="004826C0">
        <w:rPr>
          <w:rFonts w:cs="Times New Roman"/>
          <w:lang w:val="fr-CA"/>
        </w:rPr>
        <w:t>intérêt public au respect de l</w:t>
      </w:r>
      <w:r>
        <w:rPr>
          <w:rFonts w:cs="Times New Roman"/>
          <w:lang w:val="fr-CA"/>
        </w:rPr>
        <w:t>’</w:t>
      </w:r>
      <w:r w:rsidRPr="004826C0">
        <w:rPr>
          <w:rFonts w:cs="Times New Roman"/>
          <w:lang w:val="fr-CA"/>
        </w:rPr>
        <w:t>immunité et d</w:t>
      </w:r>
      <w:r>
        <w:rPr>
          <w:rFonts w:cs="Times New Roman"/>
          <w:lang w:val="fr-CA"/>
        </w:rPr>
        <w:t>’</w:t>
      </w:r>
      <w:r w:rsidRPr="004826C0">
        <w:rPr>
          <w:rFonts w:cs="Times New Roman"/>
          <w:lang w:val="fr-CA"/>
        </w:rPr>
        <w:t>autre part le droit constitutionnel de l</w:t>
      </w:r>
      <w:r>
        <w:rPr>
          <w:rFonts w:cs="Times New Roman"/>
          <w:lang w:val="fr-CA"/>
        </w:rPr>
        <w:t>’</w:t>
      </w:r>
      <w:r w:rsidRPr="004826C0">
        <w:rPr>
          <w:rFonts w:cs="Times New Roman"/>
          <w:lang w:val="fr-CA"/>
        </w:rPr>
        <w:t xml:space="preserve">accusé </w:t>
      </w:r>
      <w:r w:rsidR="00B15CCB">
        <w:rPr>
          <w:rFonts w:cs="Times New Roman"/>
          <w:lang w:val="fr-CA"/>
        </w:rPr>
        <w:t>de</w:t>
      </w:r>
      <w:r w:rsidRPr="004826C0">
        <w:rPr>
          <w:rFonts w:cs="Times New Roman"/>
          <w:lang w:val="fr-CA"/>
        </w:rPr>
        <w:t xml:space="preserve"> présenter une défense pleine et entière. </w:t>
      </w:r>
    </w:p>
    <w:p w:rsidR="002405E3" w:rsidRPr="004826C0" w:rsidRDefault="002405E3" w:rsidP="003C0B54">
      <w:pPr>
        <w:pStyle w:val="Title1LevelTitre1Niveau-AltL"/>
        <w:widowControl w:val="0"/>
        <w:rPr>
          <w:rFonts w:cs="Times New Roman"/>
          <w:lang w:val="fr-CA"/>
        </w:rPr>
      </w:pPr>
      <w:r w:rsidRPr="004826C0">
        <w:rPr>
          <w:rFonts w:cs="Times New Roman"/>
          <w:lang w:val="fr-CA"/>
        </w:rPr>
        <w:t>Analyse</w:t>
      </w:r>
    </w:p>
    <w:p w:rsidR="002405E3" w:rsidRPr="004826C0" w:rsidRDefault="002405E3" w:rsidP="003C0B54">
      <w:pPr>
        <w:pStyle w:val="Title2LevelTitre2Niveau"/>
        <w:widowControl w:val="0"/>
        <w:rPr>
          <w:rFonts w:cs="Times New Roman"/>
          <w:lang w:val="fr-CA"/>
        </w:rPr>
      </w:pPr>
      <w:r w:rsidRPr="004826C0">
        <w:rPr>
          <w:rFonts w:cs="Times New Roman"/>
          <w:lang w:val="fr-CA"/>
        </w:rPr>
        <w:t>Admission de nouveaux éléments de preuve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À titre préliminaire, les intimés demandent la radiation de certains passages du dossier et du mémoire du Groupe au motif qu</w:t>
      </w:r>
      <w:r>
        <w:rPr>
          <w:rFonts w:cs="Times New Roman"/>
          <w:lang w:val="fr-CA"/>
        </w:rPr>
        <w:t>’</w:t>
      </w:r>
      <w:r w:rsidRPr="004826C0">
        <w:rPr>
          <w:rFonts w:cs="Times New Roman"/>
          <w:lang w:val="fr-CA"/>
        </w:rPr>
        <w:t>il s</w:t>
      </w:r>
      <w:r>
        <w:rPr>
          <w:rFonts w:cs="Times New Roman"/>
          <w:lang w:val="fr-CA"/>
        </w:rPr>
        <w:t>’</w:t>
      </w:r>
      <w:r w:rsidRPr="004826C0">
        <w:rPr>
          <w:rFonts w:cs="Times New Roman"/>
          <w:lang w:val="fr-CA"/>
        </w:rPr>
        <w:t>agit de nouveaux éléments de preuve qui n</w:t>
      </w:r>
      <w:r>
        <w:rPr>
          <w:rFonts w:cs="Times New Roman"/>
          <w:lang w:val="fr-CA"/>
        </w:rPr>
        <w:t>’</w:t>
      </w:r>
      <w:r w:rsidRPr="004826C0">
        <w:rPr>
          <w:rFonts w:cs="Times New Roman"/>
          <w:lang w:val="fr-CA"/>
        </w:rPr>
        <w:t>étaient pas à la disposition du juge d</w:t>
      </w:r>
      <w:r>
        <w:rPr>
          <w:rFonts w:cs="Times New Roman"/>
          <w:lang w:val="fr-CA"/>
        </w:rPr>
        <w:t>’</w:t>
      </w:r>
      <w:r w:rsidRPr="004826C0">
        <w:rPr>
          <w:rFonts w:cs="Times New Roman"/>
          <w:lang w:val="fr-CA"/>
        </w:rPr>
        <w:t>instance. Ils contestent principalement deux affidavits. L</w:t>
      </w:r>
      <w:r>
        <w:rPr>
          <w:rFonts w:cs="Times New Roman"/>
          <w:lang w:val="fr-CA"/>
        </w:rPr>
        <w:t>’</w:t>
      </w:r>
      <w:r w:rsidRPr="004826C0">
        <w:rPr>
          <w:rFonts w:cs="Times New Roman"/>
          <w:lang w:val="fr-CA"/>
        </w:rPr>
        <w:t xml:space="preserve">affidavit </w:t>
      </w:r>
      <w:proofErr w:type="spellStart"/>
      <w:r w:rsidRPr="004826C0">
        <w:rPr>
          <w:rFonts w:cs="Times New Roman"/>
          <w:lang w:val="fr-CA"/>
        </w:rPr>
        <w:t>Mikhlin</w:t>
      </w:r>
      <w:proofErr w:type="spellEnd"/>
      <w:r w:rsidRPr="004826C0">
        <w:rPr>
          <w:rFonts w:cs="Times New Roman"/>
          <w:lang w:val="fr-CA"/>
        </w:rPr>
        <w:noBreakHyphen/>
        <w:t>Oliver présente des renseignements sur l</w:t>
      </w:r>
      <w:r>
        <w:rPr>
          <w:rFonts w:cs="Times New Roman"/>
          <w:lang w:val="fr-CA"/>
        </w:rPr>
        <w:t>’</w:t>
      </w:r>
      <w:r w:rsidRPr="004826C0">
        <w:rPr>
          <w:rFonts w:cs="Times New Roman"/>
          <w:lang w:val="fr-CA"/>
        </w:rPr>
        <w:t>organisation et les opérations du Groupe ainsi que des renseignements contextuels à propos de l</w:t>
      </w:r>
      <w:r>
        <w:rPr>
          <w:rFonts w:cs="Times New Roman"/>
          <w:lang w:val="fr-CA"/>
        </w:rPr>
        <w:t>’</w:t>
      </w:r>
      <w:r w:rsidRPr="004826C0">
        <w:rPr>
          <w:rFonts w:cs="Times New Roman"/>
          <w:lang w:val="fr-CA"/>
        </w:rPr>
        <w:t>enquête en question. L</w:t>
      </w:r>
      <w:r>
        <w:rPr>
          <w:rFonts w:cs="Times New Roman"/>
          <w:lang w:val="fr-CA"/>
        </w:rPr>
        <w:t>’</w:t>
      </w:r>
      <w:r w:rsidRPr="004826C0">
        <w:rPr>
          <w:rFonts w:cs="Times New Roman"/>
          <w:lang w:val="fr-CA"/>
        </w:rPr>
        <w:t xml:space="preserve">affidavit </w:t>
      </w:r>
      <w:proofErr w:type="spellStart"/>
      <w:r w:rsidRPr="004826C0">
        <w:rPr>
          <w:rFonts w:cs="Times New Roman"/>
          <w:lang w:val="fr-CA"/>
        </w:rPr>
        <w:t>Gilliam</w:t>
      </w:r>
      <w:proofErr w:type="spellEnd"/>
      <w:r w:rsidRPr="004826C0">
        <w:rPr>
          <w:rFonts w:cs="Times New Roman"/>
          <w:lang w:val="fr-CA"/>
        </w:rPr>
        <w:t xml:space="preserve"> présente la chronologie des poursuites et l</w:t>
      </w:r>
      <w:r>
        <w:rPr>
          <w:rFonts w:cs="Times New Roman"/>
          <w:lang w:val="fr-CA"/>
        </w:rPr>
        <w:t>’</w:t>
      </w:r>
      <w:r w:rsidRPr="004826C0">
        <w:rPr>
          <w:rFonts w:cs="Times New Roman"/>
          <w:lang w:val="fr-CA"/>
        </w:rPr>
        <w:t>état de la divulgation de la preuve. La plupart des éléments consignés dans ces affidavits ont été présentés au juge d</w:t>
      </w:r>
      <w:r>
        <w:rPr>
          <w:rFonts w:cs="Times New Roman"/>
          <w:lang w:val="fr-CA"/>
        </w:rPr>
        <w:t>’</w:t>
      </w:r>
      <w:r w:rsidRPr="004826C0">
        <w:rPr>
          <w:rFonts w:cs="Times New Roman"/>
          <w:lang w:val="fr-CA"/>
        </w:rPr>
        <w:t xml:space="preserve">instance sous une forme ou une autre.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Comme le présent pourvoi porte sur une demande préliminaire, nous ne disposons pas d</w:t>
      </w:r>
      <w:r>
        <w:rPr>
          <w:rFonts w:cs="Times New Roman"/>
          <w:lang w:val="fr-CA"/>
        </w:rPr>
        <w:t>’</w:t>
      </w:r>
      <w:r w:rsidRPr="004826C0">
        <w:rPr>
          <w:rFonts w:cs="Times New Roman"/>
          <w:lang w:val="fr-CA"/>
        </w:rPr>
        <w:t>un dossier complet de première instance. En outre, le Groupe n</w:t>
      </w:r>
      <w:r>
        <w:rPr>
          <w:rFonts w:cs="Times New Roman"/>
          <w:lang w:val="fr-CA"/>
        </w:rPr>
        <w:t>’</w:t>
      </w:r>
      <w:r w:rsidRPr="004826C0">
        <w:rPr>
          <w:rFonts w:cs="Times New Roman"/>
          <w:lang w:val="fr-CA"/>
        </w:rPr>
        <w:t>a pas comparu devant le juge d</w:t>
      </w:r>
      <w:r>
        <w:rPr>
          <w:rFonts w:cs="Times New Roman"/>
          <w:lang w:val="fr-CA"/>
        </w:rPr>
        <w:t>’</w:t>
      </w:r>
      <w:r w:rsidRPr="004826C0">
        <w:rPr>
          <w:rFonts w:cs="Times New Roman"/>
          <w:lang w:val="fr-CA"/>
        </w:rPr>
        <w:t>instance pour invoquer son immunité. Il s</w:t>
      </w:r>
      <w:r>
        <w:rPr>
          <w:rFonts w:cs="Times New Roman"/>
          <w:lang w:val="fr-CA"/>
        </w:rPr>
        <w:t>’</w:t>
      </w:r>
      <w:r w:rsidRPr="004826C0">
        <w:rPr>
          <w:rFonts w:cs="Times New Roman"/>
          <w:lang w:val="fr-CA"/>
        </w:rPr>
        <w:t>en est plutôt remis à la Couronne à cet égard, ce qu</w:t>
      </w:r>
      <w:r>
        <w:rPr>
          <w:rFonts w:cs="Times New Roman"/>
          <w:lang w:val="fr-CA"/>
        </w:rPr>
        <w:t>’</w:t>
      </w:r>
      <w:r w:rsidRPr="004826C0">
        <w:rPr>
          <w:rFonts w:cs="Times New Roman"/>
          <w:lang w:val="fr-CA"/>
        </w:rPr>
        <w:t>il est en droit de faire. Bien que les affidavits ne soient pas admissibles à titre de nouvelle preuve, nous estimons qu</w:t>
      </w:r>
      <w:r>
        <w:rPr>
          <w:rFonts w:cs="Times New Roman"/>
          <w:lang w:val="fr-CA"/>
        </w:rPr>
        <w:t>’</w:t>
      </w:r>
      <w:r w:rsidRPr="004826C0">
        <w:rPr>
          <w:rFonts w:cs="Times New Roman"/>
          <w:lang w:val="fr-CA"/>
        </w:rPr>
        <w:t xml:space="preserve">ils sont utiles pour compléter le dossier de la Cour (voir </w:t>
      </w:r>
      <w:r w:rsidRPr="004826C0">
        <w:rPr>
          <w:rFonts w:cs="Times New Roman"/>
          <w:i/>
          <w:lang w:val="fr-CA"/>
        </w:rPr>
        <w:t xml:space="preserve">Law Society of British Columbia c. </w:t>
      </w:r>
      <w:proofErr w:type="spellStart"/>
      <w:r w:rsidRPr="004826C0">
        <w:rPr>
          <w:rFonts w:cs="Times New Roman"/>
          <w:i/>
          <w:lang w:val="fr-CA"/>
        </w:rPr>
        <w:t>Mangat</w:t>
      </w:r>
      <w:proofErr w:type="spellEnd"/>
      <w:r w:rsidRPr="004826C0">
        <w:rPr>
          <w:rFonts w:cs="Times New Roman"/>
          <w:lang w:val="fr-CA"/>
        </w:rPr>
        <w:t>, C.S.C., n</w:t>
      </w:r>
      <w:r w:rsidRPr="004826C0">
        <w:rPr>
          <w:rFonts w:cs="Times New Roman"/>
          <w:vertAlign w:val="superscript"/>
          <w:lang w:val="fr-CA"/>
        </w:rPr>
        <w:t>o</w:t>
      </w:r>
      <w:r w:rsidRPr="004826C0">
        <w:rPr>
          <w:rFonts w:cs="Times New Roman"/>
          <w:lang w:val="fr-CA"/>
        </w:rPr>
        <w:t xml:space="preserve"> 27108, ordonnance du 31 août 2000 rendue par la juge </w:t>
      </w:r>
      <w:proofErr w:type="spellStart"/>
      <w:r w:rsidRPr="004826C0">
        <w:rPr>
          <w:rFonts w:cs="Times New Roman"/>
          <w:lang w:val="fr-CA"/>
        </w:rPr>
        <w:t>Arbour</w:t>
      </w:r>
      <w:proofErr w:type="spellEnd"/>
      <w:r w:rsidRPr="004826C0">
        <w:rPr>
          <w:rFonts w:cs="Times New Roman"/>
          <w:lang w:val="fr-CA"/>
        </w:rPr>
        <w:t xml:space="preserve"> (</w:t>
      </w:r>
      <w:r w:rsidRPr="004826C0">
        <w:rPr>
          <w:rFonts w:cs="Times New Roman"/>
          <w:i/>
          <w:lang w:val="fr-CA"/>
        </w:rPr>
        <w:t>Bulletin des procédures</w:t>
      </w:r>
      <w:r w:rsidRPr="004826C0">
        <w:rPr>
          <w:rFonts w:cs="Times New Roman"/>
          <w:lang w:val="fr-CA"/>
        </w:rPr>
        <w:t xml:space="preserve"> du 29 septembre 2000, p. 1542); </w:t>
      </w:r>
      <w:proofErr w:type="spellStart"/>
      <w:r w:rsidRPr="004826C0">
        <w:rPr>
          <w:rFonts w:cs="Times New Roman"/>
          <w:i/>
          <w:lang w:val="fr-CA"/>
        </w:rPr>
        <w:t>Taypotat</w:t>
      </w:r>
      <w:proofErr w:type="spellEnd"/>
      <w:r w:rsidRPr="004826C0">
        <w:rPr>
          <w:rFonts w:cs="Times New Roman"/>
          <w:i/>
          <w:lang w:val="fr-CA"/>
        </w:rPr>
        <w:t xml:space="preserve"> c. </w:t>
      </w:r>
      <w:proofErr w:type="spellStart"/>
      <w:r w:rsidRPr="004826C0">
        <w:rPr>
          <w:rFonts w:cs="Times New Roman"/>
          <w:i/>
          <w:lang w:val="fr-CA"/>
        </w:rPr>
        <w:t>Taypotat</w:t>
      </w:r>
      <w:proofErr w:type="spellEnd"/>
      <w:r w:rsidRPr="004826C0">
        <w:rPr>
          <w:rFonts w:cs="Times New Roman"/>
          <w:lang w:val="fr-CA"/>
        </w:rPr>
        <w:t>, C.S.C., n</w:t>
      </w:r>
      <w:r w:rsidRPr="004826C0">
        <w:rPr>
          <w:rFonts w:cs="Times New Roman"/>
          <w:vertAlign w:val="superscript"/>
          <w:lang w:val="fr-CA"/>
        </w:rPr>
        <w:t>o</w:t>
      </w:r>
      <w:r w:rsidRPr="004826C0">
        <w:rPr>
          <w:rFonts w:cs="Times New Roman"/>
          <w:lang w:val="fr-CA"/>
        </w:rPr>
        <w:t xml:space="preserve"> 35518, ordonnance du 7 août 2014 rendue par le juge </w:t>
      </w:r>
      <w:proofErr w:type="spellStart"/>
      <w:r w:rsidRPr="004826C0">
        <w:rPr>
          <w:rFonts w:cs="Times New Roman"/>
          <w:lang w:val="fr-CA"/>
        </w:rPr>
        <w:t>Moldaver</w:t>
      </w:r>
      <w:proofErr w:type="spellEnd"/>
      <w:r w:rsidRPr="004826C0">
        <w:rPr>
          <w:rFonts w:cs="Times New Roman"/>
          <w:lang w:val="fr-CA"/>
        </w:rPr>
        <w:t xml:space="preserve"> (</w:t>
      </w:r>
      <w:r w:rsidRPr="004826C0">
        <w:rPr>
          <w:rFonts w:cs="Times New Roman"/>
          <w:i/>
          <w:lang w:val="fr-CA"/>
        </w:rPr>
        <w:t>Bulletin des procédures</w:t>
      </w:r>
      <w:r w:rsidRPr="004826C0">
        <w:rPr>
          <w:rFonts w:cs="Times New Roman"/>
          <w:lang w:val="fr-CA"/>
        </w:rPr>
        <w:t xml:space="preserve"> du 29 août 2014, p. 1292</w:t>
      </w:r>
      <w:r w:rsidR="00DD1CE3">
        <w:rPr>
          <w:rFonts w:cs="Times New Roman"/>
          <w:lang w:val="fr-CA"/>
        </w:rPr>
        <w:t>)</w:t>
      </w:r>
      <w:r w:rsidRPr="004826C0">
        <w:rPr>
          <w:rFonts w:cs="Times New Roman"/>
          <w:lang w:val="fr-CA"/>
        </w:rPr>
        <w:t xml:space="preserve">). Par conséquent, nous admettons les affidavits aux seules fins de compléter le contexte procédural de cette affaire, auquel se rapportent tous les renseignements divulgués aux intimés par la Couronne. </w:t>
      </w:r>
    </w:p>
    <w:p w:rsidR="002405E3" w:rsidRPr="004826C0" w:rsidRDefault="002405E3" w:rsidP="003C0B54">
      <w:pPr>
        <w:pStyle w:val="Title2LevelTitre2Niveau"/>
        <w:widowControl w:val="0"/>
        <w:rPr>
          <w:rFonts w:cs="Times New Roman"/>
          <w:lang w:val="fr-CA"/>
        </w:rPr>
      </w:pPr>
      <w:r w:rsidRPr="004826C0">
        <w:rPr>
          <w:rFonts w:cs="Times New Roman"/>
          <w:lang w:val="fr-CA"/>
        </w:rPr>
        <w:t>Inviolabilité des archives et immunité du personnel conférées par l</w:t>
      </w:r>
      <w:r>
        <w:rPr>
          <w:rFonts w:cs="Times New Roman"/>
          <w:lang w:val="fr-CA"/>
        </w:rPr>
        <w:t>’</w:t>
      </w:r>
      <w:r w:rsidRPr="004826C0">
        <w:rPr>
          <w:rFonts w:cs="Times New Roman"/>
          <w:lang w:val="fr-CA"/>
        </w:rPr>
        <w:t>Accord et les Statuts</w:t>
      </w:r>
    </w:p>
    <w:p w:rsidR="002405E3" w:rsidRPr="004826C0" w:rsidRDefault="002405E3" w:rsidP="003C0B54">
      <w:pPr>
        <w:pStyle w:val="Title3LevelTitre3Niveau"/>
        <w:widowControl w:val="0"/>
        <w:rPr>
          <w:rFonts w:cs="Times New Roman"/>
          <w:lang w:val="fr-CA"/>
        </w:rPr>
      </w:pPr>
      <w:r w:rsidRPr="004826C0">
        <w:rPr>
          <w:rFonts w:cs="Times New Roman"/>
          <w:lang w:val="fr-CA"/>
        </w:rPr>
        <w:t>Contexte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 Groupe ne jouit d</w:t>
      </w:r>
      <w:r>
        <w:rPr>
          <w:rFonts w:cs="Times New Roman"/>
          <w:lang w:val="fr-CA"/>
        </w:rPr>
        <w:t>’</w:t>
      </w:r>
      <w:r w:rsidRPr="004826C0">
        <w:rPr>
          <w:rFonts w:cs="Times New Roman"/>
          <w:lang w:val="fr-CA"/>
        </w:rPr>
        <w:t>aucune immunité conférée par traité international, et les parties au litige n</w:t>
      </w:r>
      <w:r>
        <w:rPr>
          <w:rFonts w:cs="Times New Roman"/>
          <w:lang w:val="fr-CA"/>
        </w:rPr>
        <w:t>’</w:t>
      </w:r>
      <w:r w:rsidRPr="004826C0">
        <w:rPr>
          <w:rFonts w:cs="Times New Roman"/>
          <w:lang w:val="fr-CA"/>
        </w:rPr>
        <w:t>ont soulevé l</w:t>
      </w:r>
      <w:r>
        <w:rPr>
          <w:rFonts w:cs="Times New Roman"/>
          <w:lang w:val="fr-CA"/>
        </w:rPr>
        <w:t>’</w:t>
      </w:r>
      <w:r w:rsidRPr="004826C0">
        <w:rPr>
          <w:rFonts w:cs="Times New Roman"/>
          <w:lang w:val="fr-CA"/>
        </w:rPr>
        <w:t>existence d</w:t>
      </w:r>
      <w:r>
        <w:rPr>
          <w:rFonts w:cs="Times New Roman"/>
          <w:lang w:val="fr-CA"/>
        </w:rPr>
        <w:t>’</w:t>
      </w:r>
      <w:r w:rsidRPr="004826C0">
        <w:rPr>
          <w:rFonts w:cs="Times New Roman"/>
          <w:lang w:val="fr-CA"/>
        </w:rPr>
        <w:t>aucune immunité découlant du droit international coutumier. En revanche, les cinq organisations qui composent le Groupe se sont vu accorder des immunités par leurs 188 États membres. Tel qu</w:t>
      </w:r>
      <w:r>
        <w:rPr>
          <w:rFonts w:cs="Times New Roman"/>
          <w:lang w:val="fr-CA"/>
        </w:rPr>
        <w:t>’</w:t>
      </w:r>
      <w:r w:rsidRPr="004826C0">
        <w:rPr>
          <w:rFonts w:cs="Times New Roman"/>
          <w:lang w:val="fr-CA"/>
        </w:rPr>
        <w:t>indiqué plus avant, ces organisations sont la BIRD, l</w:t>
      </w:r>
      <w:r>
        <w:rPr>
          <w:rFonts w:cs="Times New Roman"/>
          <w:lang w:val="fr-CA"/>
        </w:rPr>
        <w:t>’</w:t>
      </w:r>
      <w:r w:rsidRPr="004826C0">
        <w:rPr>
          <w:rFonts w:cs="Times New Roman"/>
          <w:lang w:val="fr-CA"/>
        </w:rPr>
        <w:t>IDA, la Société financière internationale, l</w:t>
      </w:r>
      <w:r>
        <w:rPr>
          <w:rFonts w:cs="Times New Roman"/>
          <w:lang w:val="fr-CA"/>
        </w:rPr>
        <w:t>’</w:t>
      </w:r>
      <w:r w:rsidRPr="004826C0">
        <w:rPr>
          <w:rFonts w:cs="Times New Roman"/>
          <w:lang w:val="fr-CA"/>
        </w:rPr>
        <w:t>Agence multilatérale de garantie des investissements et le Centre international pour le règlement des différends relatifs aux investissements. Chacune est régie par ses propres statuts, lesquels énoncent les immunités et privilèges dont jouit chaque organisation sur le territoire de chaque État membre. L</w:t>
      </w:r>
      <w:r>
        <w:rPr>
          <w:rFonts w:cs="Times New Roman"/>
          <w:lang w:val="fr-CA"/>
        </w:rPr>
        <w:t>’</w:t>
      </w:r>
      <w:r w:rsidRPr="004826C0">
        <w:rPr>
          <w:rFonts w:cs="Times New Roman"/>
          <w:lang w:val="fr-CA"/>
        </w:rPr>
        <w:t>Accord relatif à la BIRD et les Statuts de l</w:t>
      </w:r>
      <w:r>
        <w:rPr>
          <w:rFonts w:cs="Times New Roman"/>
          <w:lang w:val="fr-CA"/>
        </w:rPr>
        <w:t>’</w:t>
      </w:r>
      <w:r w:rsidRPr="004826C0">
        <w:rPr>
          <w:rFonts w:cs="Times New Roman"/>
          <w:lang w:val="fr-CA"/>
        </w:rPr>
        <w:t>IDA sont des plus pertinents en l</w:t>
      </w:r>
      <w:r>
        <w:rPr>
          <w:rFonts w:cs="Times New Roman"/>
          <w:lang w:val="fr-CA"/>
        </w:rPr>
        <w:t>’</w:t>
      </w:r>
      <w:r w:rsidRPr="004826C0">
        <w:rPr>
          <w:rFonts w:cs="Times New Roman"/>
          <w:lang w:val="fr-CA"/>
        </w:rPr>
        <w:t xml:space="preserve">espèce.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 xml:space="preserve">La BIRD a été </w:t>
      </w:r>
      <w:proofErr w:type="gramStart"/>
      <w:r w:rsidRPr="004826C0">
        <w:rPr>
          <w:rFonts w:cs="Times New Roman"/>
          <w:lang w:val="fr-CA"/>
        </w:rPr>
        <w:t>créée</w:t>
      </w:r>
      <w:proofErr w:type="gramEnd"/>
      <w:r w:rsidRPr="004826C0">
        <w:rPr>
          <w:rFonts w:cs="Times New Roman"/>
          <w:lang w:val="fr-CA"/>
        </w:rPr>
        <w:t xml:space="preserve"> en même temps que le Fonds monétaire international lors de la Conférence qui s</w:t>
      </w:r>
      <w:r>
        <w:rPr>
          <w:rFonts w:cs="Times New Roman"/>
          <w:lang w:val="fr-CA"/>
        </w:rPr>
        <w:t>’</w:t>
      </w:r>
      <w:r w:rsidRPr="004826C0">
        <w:rPr>
          <w:rFonts w:cs="Times New Roman"/>
          <w:lang w:val="fr-CA"/>
        </w:rPr>
        <w:t xml:space="preserve">est tenue à </w:t>
      </w:r>
      <w:proofErr w:type="spellStart"/>
      <w:r w:rsidRPr="004826C0">
        <w:rPr>
          <w:rFonts w:cs="Times New Roman"/>
          <w:lang w:val="fr-CA"/>
        </w:rPr>
        <w:t>Bretton</w:t>
      </w:r>
      <w:proofErr w:type="spellEnd"/>
      <w:r w:rsidRPr="004826C0">
        <w:rPr>
          <w:rFonts w:cs="Times New Roman"/>
          <w:lang w:val="fr-CA"/>
        </w:rPr>
        <w:t xml:space="preserve"> Woods en 1944. Elle a principalement pour but de favoriser la reconstruction et le développement des États membres en offrant des conditions favorables de financement (Accord relatif à la BIRD, article premier). L</w:t>
      </w:r>
      <w:r>
        <w:rPr>
          <w:rFonts w:cs="Times New Roman"/>
          <w:lang w:val="fr-CA"/>
        </w:rPr>
        <w:t>’</w:t>
      </w:r>
      <w:r w:rsidRPr="004826C0">
        <w:rPr>
          <w:rFonts w:cs="Times New Roman"/>
          <w:lang w:val="fr-CA"/>
        </w:rPr>
        <w:t>article VII de l</w:t>
      </w:r>
      <w:r>
        <w:rPr>
          <w:rFonts w:cs="Times New Roman"/>
          <w:lang w:val="fr-CA"/>
        </w:rPr>
        <w:t>’</w:t>
      </w:r>
      <w:r w:rsidRPr="004826C0">
        <w:rPr>
          <w:rFonts w:cs="Times New Roman"/>
          <w:lang w:val="fr-CA"/>
        </w:rPr>
        <w:t xml:space="preserve">Accord relatif à la BIRD énonce les immunités et privilèges accordés à cette dernière sur le territoire de chacun des États membres.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Fondée en 1960, l</w:t>
      </w:r>
      <w:r>
        <w:rPr>
          <w:rFonts w:cs="Times New Roman"/>
          <w:lang w:val="fr-CA"/>
        </w:rPr>
        <w:t>’</w:t>
      </w:r>
      <w:r w:rsidRPr="004826C0">
        <w:rPr>
          <w:rFonts w:cs="Times New Roman"/>
          <w:lang w:val="fr-CA"/>
        </w:rPr>
        <w:t>IDA a pour objectif de poursuivre le but principal de la BIRD, qui consiste à favoriser le développement économique, en offrant des conditions favorables de financement, tout particulièrement à des pays moins développés (Statuts de l</w:t>
      </w:r>
      <w:r>
        <w:rPr>
          <w:rFonts w:cs="Times New Roman"/>
          <w:lang w:val="fr-CA"/>
        </w:rPr>
        <w:t>’</w:t>
      </w:r>
      <w:r w:rsidRPr="004826C0">
        <w:rPr>
          <w:rFonts w:cs="Times New Roman"/>
          <w:lang w:val="fr-CA"/>
        </w:rPr>
        <w:t>IDA, article premier). C</w:t>
      </w:r>
      <w:r>
        <w:rPr>
          <w:rFonts w:cs="Times New Roman"/>
          <w:lang w:val="fr-CA"/>
        </w:rPr>
        <w:t>’</w:t>
      </w:r>
      <w:r w:rsidRPr="004826C0">
        <w:rPr>
          <w:rFonts w:cs="Times New Roman"/>
          <w:lang w:val="fr-CA"/>
        </w:rPr>
        <w:t>est par l</w:t>
      </w:r>
      <w:r>
        <w:rPr>
          <w:rFonts w:cs="Times New Roman"/>
          <w:lang w:val="fr-CA"/>
        </w:rPr>
        <w:t>’</w:t>
      </w:r>
      <w:r w:rsidRPr="004826C0">
        <w:rPr>
          <w:rFonts w:cs="Times New Roman"/>
          <w:lang w:val="fr-CA"/>
        </w:rPr>
        <w:t>IDA que le Groupe s</w:t>
      </w:r>
      <w:r>
        <w:rPr>
          <w:rFonts w:cs="Times New Roman"/>
          <w:lang w:val="fr-CA"/>
        </w:rPr>
        <w:t>’</w:t>
      </w:r>
      <w:r w:rsidRPr="004826C0">
        <w:rPr>
          <w:rFonts w:cs="Times New Roman"/>
          <w:lang w:val="fr-CA"/>
        </w:rPr>
        <w:t>est montré disposé à prêter 1,2 milliard $</w:t>
      </w:r>
      <w:r w:rsidR="00B15CCB">
        <w:rPr>
          <w:rFonts w:cs="Times New Roman"/>
          <w:lang w:val="fr-CA"/>
        </w:rPr>
        <w:t> </w:t>
      </w:r>
      <w:r w:rsidRPr="004826C0">
        <w:rPr>
          <w:rFonts w:cs="Times New Roman"/>
          <w:lang w:val="fr-CA"/>
        </w:rPr>
        <w:t>US au gouvernement du Bangladesh en vue de la construction du pont sur la Padma. Les immunités dont jouit l</w:t>
      </w:r>
      <w:r>
        <w:rPr>
          <w:rFonts w:cs="Times New Roman"/>
          <w:lang w:val="fr-CA"/>
        </w:rPr>
        <w:t>’</w:t>
      </w:r>
      <w:r w:rsidRPr="004826C0">
        <w:rPr>
          <w:rFonts w:cs="Times New Roman"/>
          <w:lang w:val="fr-CA"/>
        </w:rPr>
        <w:t>IDA sont énoncées à l</w:t>
      </w:r>
      <w:r>
        <w:rPr>
          <w:rFonts w:cs="Times New Roman"/>
          <w:lang w:val="fr-CA"/>
        </w:rPr>
        <w:t>’</w:t>
      </w:r>
      <w:r w:rsidRPr="004826C0">
        <w:rPr>
          <w:rFonts w:cs="Times New Roman"/>
          <w:lang w:val="fr-CA"/>
        </w:rPr>
        <w:t xml:space="preserve">article VIII de ses Statuts. Pour les besoins du présent pourvoi, elles sont identiques à celles conférées à la BIRD.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Les immunités conférées par l</w:t>
      </w:r>
      <w:r>
        <w:rPr>
          <w:rFonts w:cs="Times New Roman"/>
          <w:lang w:val="fr-CA"/>
        </w:rPr>
        <w:t>’</w:t>
      </w:r>
      <w:r w:rsidRPr="004826C0">
        <w:rPr>
          <w:rFonts w:cs="Times New Roman"/>
          <w:lang w:val="fr-CA"/>
        </w:rPr>
        <w:t>Accord relatif à la BIRD et les Statuts de l</w:t>
      </w:r>
      <w:r>
        <w:rPr>
          <w:rFonts w:cs="Times New Roman"/>
          <w:lang w:val="fr-CA"/>
        </w:rPr>
        <w:t>’</w:t>
      </w:r>
      <w:r w:rsidRPr="004826C0">
        <w:rPr>
          <w:rFonts w:cs="Times New Roman"/>
          <w:lang w:val="fr-CA"/>
        </w:rPr>
        <w:t xml:space="preserve">IDA ont été incorporées en droit interne canadien en vertu de deux décrets, à savoir le </w:t>
      </w:r>
      <w:r w:rsidRPr="004826C0">
        <w:rPr>
          <w:rFonts w:cs="Times New Roman"/>
          <w:i/>
          <w:lang w:val="fr-CA"/>
        </w:rPr>
        <w:t>Décret sur le Fonds monétaire international et la Banque internationale pour la reconstruction et le développement</w:t>
      </w:r>
      <w:r w:rsidRPr="004826C0">
        <w:rPr>
          <w:rFonts w:cs="Times New Roman"/>
          <w:lang w:val="fr-CA"/>
        </w:rPr>
        <w:t xml:space="preserve"> et le </w:t>
      </w:r>
      <w:r w:rsidRPr="004826C0">
        <w:rPr>
          <w:rFonts w:cs="Times New Roman"/>
          <w:i/>
          <w:lang w:val="fr-CA"/>
        </w:rPr>
        <w:t>Décret sur les privilèges et immunités relatifs à l</w:t>
      </w:r>
      <w:r>
        <w:rPr>
          <w:rFonts w:cs="Times New Roman"/>
          <w:i/>
          <w:lang w:val="fr-CA"/>
        </w:rPr>
        <w:t>’</w:t>
      </w:r>
      <w:r w:rsidRPr="004826C0">
        <w:rPr>
          <w:rFonts w:cs="Times New Roman"/>
          <w:i/>
          <w:lang w:val="fr-CA"/>
        </w:rPr>
        <w:t>Association internationale de développement, à la Société financière internationale et à l</w:t>
      </w:r>
      <w:r>
        <w:rPr>
          <w:rFonts w:cs="Times New Roman"/>
          <w:i/>
          <w:lang w:val="fr-CA"/>
        </w:rPr>
        <w:t>’</w:t>
      </w:r>
      <w:r w:rsidRPr="004826C0">
        <w:rPr>
          <w:rFonts w:cs="Times New Roman"/>
          <w:i/>
          <w:lang w:val="fr-CA"/>
        </w:rPr>
        <w:t>Agence multilatérale de garantie des investissements</w:t>
      </w:r>
      <w:r w:rsidRPr="004826C0">
        <w:rPr>
          <w:rFonts w:cs="Times New Roman"/>
          <w:lang w:val="fr-CA"/>
        </w:rPr>
        <w:t>, DORS/2014</w:t>
      </w:r>
      <w:r w:rsidRPr="004826C0">
        <w:rPr>
          <w:rFonts w:cs="Times New Roman"/>
          <w:lang w:val="fr-CA"/>
        </w:rPr>
        <w:noBreakHyphen/>
        <w:t>137 (collectivement les « Décrets »). L</w:t>
      </w:r>
      <w:r>
        <w:rPr>
          <w:rFonts w:cs="Times New Roman"/>
          <w:lang w:val="fr-CA"/>
        </w:rPr>
        <w:t>’</w:t>
      </w:r>
      <w:r w:rsidRPr="004826C0">
        <w:rPr>
          <w:rFonts w:cs="Times New Roman"/>
          <w:lang w:val="fr-CA"/>
        </w:rPr>
        <w:t>Accord relatif à la BIRD et les Statuts de l</w:t>
      </w:r>
      <w:r>
        <w:rPr>
          <w:rFonts w:cs="Times New Roman"/>
          <w:lang w:val="fr-CA"/>
        </w:rPr>
        <w:t>’</w:t>
      </w:r>
      <w:r w:rsidRPr="004826C0">
        <w:rPr>
          <w:rFonts w:cs="Times New Roman"/>
          <w:lang w:val="fr-CA"/>
        </w:rPr>
        <w:t xml:space="preserve">IDA ont été « approuvés » dans leur intégralité par le Parlement canadien, qui les a annexés à la </w:t>
      </w:r>
      <w:r w:rsidRPr="004826C0">
        <w:rPr>
          <w:rFonts w:cs="Times New Roman"/>
          <w:i/>
          <w:lang w:val="fr-CA"/>
        </w:rPr>
        <w:t xml:space="preserve">Loi sur les accords de </w:t>
      </w:r>
      <w:proofErr w:type="spellStart"/>
      <w:r w:rsidRPr="004826C0">
        <w:rPr>
          <w:rFonts w:cs="Times New Roman"/>
          <w:i/>
          <w:lang w:val="fr-CA"/>
        </w:rPr>
        <w:t>Bretton</w:t>
      </w:r>
      <w:proofErr w:type="spellEnd"/>
      <w:r w:rsidRPr="004826C0">
        <w:rPr>
          <w:rFonts w:cs="Times New Roman"/>
          <w:i/>
          <w:lang w:val="fr-CA"/>
        </w:rPr>
        <w:t xml:space="preserve"> Woods</w:t>
      </w:r>
      <w:r w:rsidRPr="004826C0">
        <w:rPr>
          <w:rFonts w:cs="Times New Roman"/>
          <w:lang w:val="fr-CA"/>
        </w:rPr>
        <w:t>. Les parties ne contestent pas que les immunités pertinentes ont force de loi au Canada.</w:t>
      </w:r>
    </w:p>
    <w:p w:rsidR="002405E3" w:rsidRPr="004826C0" w:rsidRDefault="002405E3" w:rsidP="003C0B54">
      <w:pPr>
        <w:pStyle w:val="ParaNoNdepar-AltN"/>
        <w:widowControl w:val="0"/>
        <w:numPr>
          <w:ilvl w:val="0"/>
          <w:numId w:val="7"/>
        </w:numPr>
        <w:tabs>
          <w:tab w:val="clear" w:pos="6462"/>
          <w:tab w:val="num" w:pos="1332"/>
        </w:tabs>
        <w:ind w:left="0"/>
        <w:rPr>
          <w:rStyle w:val="reflex3-block"/>
          <w:rFonts w:cs="Times New Roman"/>
          <w:lang w:val="fr-CA"/>
        </w:rPr>
      </w:pPr>
      <w:r w:rsidRPr="004826C0">
        <w:rPr>
          <w:rFonts w:cs="Times New Roman"/>
          <w:lang w:val="fr-CA"/>
        </w:rPr>
        <w:t>À l</w:t>
      </w:r>
      <w:r>
        <w:rPr>
          <w:rFonts w:cs="Times New Roman"/>
          <w:lang w:val="fr-CA"/>
        </w:rPr>
        <w:t>’</w:t>
      </w:r>
      <w:r w:rsidR="00EC2E42">
        <w:rPr>
          <w:rFonts w:cs="Times New Roman"/>
          <w:lang w:val="fr-CA"/>
        </w:rPr>
        <w:t>instar des lois de mise en œ</w:t>
      </w:r>
      <w:r w:rsidRPr="004826C0">
        <w:rPr>
          <w:rFonts w:cs="Times New Roman"/>
          <w:lang w:val="fr-CA"/>
        </w:rPr>
        <w:t>uvre, l</w:t>
      </w:r>
      <w:r>
        <w:rPr>
          <w:rFonts w:cs="Times New Roman"/>
          <w:lang w:val="fr-CA"/>
        </w:rPr>
        <w:t>’</w:t>
      </w:r>
      <w:r w:rsidRPr="004826C0">
        <w:rPr>
          <w:rFonts w:cs="Times New Roman"/>
          <w:lang w:val="fr-CA"/>
        </w:rPr>
        <w:t>Accord relatif à la BIRD et les Statuts de l</w:t>
      </w:r>
      <w:r>
        <w:rPr>
          <w:rFonts w:cs="Times New Roman"/>
          <w:lang w:val="fr-CA"/>
        </w:rPr>
        <w:t>’</w:t>
      </w:r>
      <w:r w:rsidRPr="004826C0">
        <w:rPr>
          <w:rFonts w:cs="Times New Roman"/>
          <w:lang w:val="fr-CA"/>
        </w:rPr>
        <w:t>IDA doivent être interprétés conformément aux règles générales d</w:t>
      </w:r>
      <w:r>
        <w:rPr>
          <w:rFonts w:cs="Times New Roman"/>
          <w:lang w:val="fr-CA"/>
        </w:rPr>
        <w:t>’</w:t>
      </w:r>
      <w:r w:rsidRPr="004826C0">
        <w:rPr>
          <w:rFonts w:cs="Times New Roman"/>
          <w:lang w:val="fr-CA"/>
        </w:rPr>
        <w:t xml:space="preserve">interprétation énoncées dans la </w:t>
      </w:r>
      <w:r w:rsidRPr="004826C0">
        <w:rPr>
          <w:rFonts w:cs="Times New Roman"/>
          <w:i/>
          <w:lang w:val="fr-CA"/>
        </w:rPr>
        <w:t>Convention de Vienne sur le droit des traités</w:t>
      </w:r>
      <w:r w:rsidRPr="004826C0">
        <w:rPr>
          <w:rFonts w:cs="Times New Roman"/>
          <w:lang w:val="fr-CA"/>
        </w:rPr>
        <w:t>, R.T. Can. 1980 n</w:t>
      </w:r>
      <w:r w:rsidRPr="004826C0">
        <w:rPr>
          <w:rFonts w:cs="Times New Roman"/>
          <w:vertAlign w:val="superscript"/>
          <w:lang w:val="fr-CA"/>
        </w:rPr>
        <w:t>o</w:t>
      </w:r>
      <w:r w:rsidRPr="004826C0">
        <w:rPr>
          <w:rFonts w:cs="Times New Roman"/>
          <w:lang w:val="fr-CA"/>
        </w:rPr>
        <w:t> 37 (« </w:t>
      </w:r>
      <w:r w:rsidRPr="004826C0">
        <w:rPr>
          <w:rFonts w:cs="Times New Roman"/>
          <w:i/>
          <w:lang w:val="fr-CA"/>
        </w:rPr>
        <w:t>Convention de Vienne</w:t>
      </w:r>
      <w:r w:rsidRPr="004826C0">
        <w:rPr>
          <w:rFonts w:cs="Times New Roman"/>
          <w:lang w:val="fr-CA"/>
        </w:rPr>
        <w:t> ») (</w:t>
      </w:r>
      <w:proofErr w:type="spellStart"/>
      <w:r w:rsidRPr="004826C0">
        <w:rPr>
          <w:rFonts w:cs="Times New Roman"/>
          <w:i/>
          <w:lang w:val="fr-CA"/>
        </w:rPr>
        <w:t>Febles</w:t>
      </w:r>
      <w:proofErr w:type="spellEnd"/>
      <w:r w:rsidRPr="004826C0">
        <w:rPr>
          <w:rFonts w:cs="Times New Roman"/>
          <w:i/>
          <w:lang w:val="fr-CA"/>
        </w:rPr>
        <w:t xml:space="preserve"> c. Canada (Citoyenneté et Immigration)</w:t>
      </w:r>
      <w:r w:rsidRPr="004826C0">
        <w:rPr>
          <w:rFonts w:cs="Times New Roman"/>
          <w:lang w:val="fr-CA"/>
        </w:rPr>
        <w:t>, 2014 CSC 68, [2014] 3 R.C.S. 431, par. 11</w:t>
      </w:r>
      <w:r w:rsidRPr="004826C0">
        <w:rPr>
          <w:rFonts w:cs="Times New Roman"/>
          <w:lang w:val="fr-CA"/>
        </w:rPr>
        <w:noBreakHyphen/>
        <w:t xml:space="preserve">12; </w:t>
      </w:r>
      <w:r w:rsidRPr="004826C0">
        <w:rPr>
          <w:rFonts w:cs="Times New Roman"/>
          <w:i/>
          <w:lang w:val="fr-CA"/>
        </w:rPr>
        <w:t>Thibodeau c. Air Canada</w:t>
      </w:r>
      <w:r w:rsidRPr="004826C0">
        <w:rPr>
          <w:rFonts w:cs="Times New Roman"/>
          <w:lang w:val="fr-CA"/>
        </w:rPr>
        <w:t>, 2014 CSC 67, [2014] 3 R.C.S. 340, par. 35;</w:t>
      </w:r>
      <w:r w:rsidRPr="004826C0">
        <w:rPr>
          <w:rFonts w:cs="Times New Roman"/>
          <w:i/>
          <w:iCs/>
          <w:lang w:val="fr-CA"/>
        </w:rPr>
        <w:t xml:space="preserve"> </w:t>
      </w:r>
      <w:proofErr w:type="spellStart"/>
      <w:r w:rsidRPr="004826C0">
        <w:rPr>
          <w:rFonts w:cs="Times New Roman"/>
          <w:i/>
          <w:iCs/>
          <w:lang w:val="fr-CA"/>
        </w:rPr>
        <w:t>Pushpanathan</w:t>
      </w:r>
      <w:proofErr w:type="spellEnd"/>
      <w:r w:rsidRPr="004826C0">
        <w:rPr>
          <w:rFonts w:cs="Times New Roman"/>
          <w:i/>
          <w:iCs/>
          <w:lang w:val="fr-CA"/>
        </w:rPr>
        <w:t xml:space="preserve"> c. Canada (Ministre de la Citoyenneté et de l</w:t>
      </w:r>
      <w:r>
        <w:rPr>
          <w:rFonts w:cs="Times New Roman"/>
          <w:i/>
          <w:iCs/>
          <w:lang w:val="fr-CA"/>
        </w:rPr>
        <w:t>’</w:t>
      </w:r>
      <w:r w:rsidRPr="004826C0">
        <w:rPr>
          <w:rFonts w:cs="Times New Roman"/>
          <w:i/>
          <w:iCs/>
          <w:lang w:val="fr-CA"/>
        </w:rPr>
        <w:t>Immigration)</w:t>
      </w:r>
      <w:r w:rsidRPr="004826C0">
        <w:rPr>
          <w:rStyle w:val="reflex3-block"/>
          <w:rFonts w:cs="Times New Roman"/>
          <w:lang w:val="fr-CA"/>
        </w:rPr>
        <w:t xml:space="preserve">, </w:t>
      </w:r>
      <w:r w:rsidRPr="004826C0">
        <w:rPr>
          <w:rStyle w:val="reflex3-alt"/>
          <w:rFonts w:cs="Times New Roman"/>
          <w:lang w:val="fr-CA"/>
        </w:rPr>
        <w:t>[1998] 1 R.C.S. 982</w:t>
      </w:r>
      <w:r w:rsidRPr="004826C0">
        <w:rPr>
          <w:rStyle w:val="reflex3-block"/>
          <w:rFonts w:cs="Times New Roman"/>
          <w:lang w:val="fr-CA"/>
        </w:rPr>
        <w:t>, par. 51</w:t>
      </w:r>
      <w:r w:rsidRPr="004826C0">
        <w:rPr>
          <w:rStyle w:val="reflex3-block"/>
          <w:rFonts w:cs="Times New Roman"/>
          <w:lang w:val="fr-CA"/>
        </w:rPr>
        <w:noBreakHyphen/>
        <w:t xml:space="preserve">52; </w:t>
      </w:r>
      <w:r w:rsidRPr="004826C0">
        <w:rPr>
          <w:rStyle w:val="reflex3-block"/>
          <w:rFonts w:cs="Times New Roman"/>
          <w:i/>
          <w:lang w:val="fr-CA"/>
        </w:rPr>
        <w:t>Thomson c. Thomson</w:t>
      </w:r>
      <w:r w:rsidRPr="004826C0">
        <w:rPr>
          <w:rStyle w:val="reflex3-block"/>
          <w:rFonts w:cs="Times New Roman"/>
          <w:lang w:val="fr-CA"/>
        </w:rPr>
        <w:t>, [1994] 3 R.C.S. 551, p. 577</w:t>
      </w:r>
      <w:r w:rsidRPr="004826C0">
        <w:rPr>
          <w:rStyle w:val="reflex3-block"/>
          <w:rFonts w:cs="Times New Roman"/>
          <w:lang w:val="fr-CA"/>
        </w:rPr>
        <w:noBreakHyphen/>
        <w:t>578</w:t>
      </w:r>
      <w:r w:rsidR="00707A78">
        <w:rPr>
          <w:rStyle w:val="reflex3-block"/>
          <w:rFonts w:cs="Times New Roman"/>
          <w:lang w:val="fr-CA"/>
        </w:rPr>
        <w:t>)</w:t>
      </w:r>
      <w:r w:rsidRPr="004826C0">
        <w:rPr>
          <w:rStyle w:val="reflex3-block"/>
          <w:rFonts w:cs="Times New Roman"/>
          <w:lang w:val="fr-CA"/>
        </w:rPr>
        <w:t xml:space="preserve">. Ces règles générales, énoncées aux articles 31 et 32 de la </w:t>
      </w:r>
      <w:r w:rsidRPr="004826C0">
        <w:rPr>
          <w:rStyle w:val="reflex3-block"/>
          <w:rFonts w:cs="Times New Roman"/>
          <w:i/>
          <w:lang w:val="fr-CA"/>
        </w:rPr>
        <w:t>Convention de Vienne</w:t>
      </w:r>
      <w:r w:rsidRPr="004826C0">
        <w:rPr>
          <w:rStyle w:val="reflex3-block"/>
          <w:rFonts w:cs="Times New Roman"/>
          <w:lang w:val="fr-CA"/>
        </w:rPr>
        <w:t>, sont similaires à la démarche moderne d</w:t>
      </w:r>
      <w:r>
        <w:rPr>
          <w:rStyle w:val="reflex3-block"/>
          <w:rFonts w:cs="Times New Roman"/>
          <w:lang w:val="fr-CA"/>
        </w:rPr>
        <w:t>’</w:t>
      </w:r>
      <w:r w:rsidRPr="004826C0">
        <w:rPr>
          <w:rStyle w:val="reflex3-block"/>
          <w:rFonts w:cs="Times New Roman"/>
          <w:lang w:val="fr-CA"/>
        </w:rPr>
        <w:t>interprétation législative confirmée par la Cour dans l</w:t>
      </w:r>
      <w:r>
        <w:rPr>
          <w:rStyle w:val="reflex3-block"/>
          <w:rFonts w:cs="Times New Roman"/>
          <w:lang w:val="fr-CA"/>
        </w:rPr>
        <w:t>’</w:t>
      </w:r>
      <w:r w:rsidRPr="004826C0">
        <w:rPr>
          <w:rStyle w:val="reflex3-block"/>
          <w:rFonts w:cs="Times New Roman"/>
          <w:lang w:val="fr-CA"/>
        </w:rPr>
        <w:t xml:space="preserve">arrêt </w:t>
      </w:r>
      <w:proofErr w:type="spellStart"/>
      <w:r w:rsidRPr="004826C0">
        <w:rPr>
          <w:rStyle w:val="reflex3-block"/>
          <w:rFonts w:cs="Times New Roman"/>
          <w:i/>
          <w:lang w:val="fr-CA"/>
        </w:rPr>
        <w:t>Rizzo</w:t>
      </w:r>
      <w:proofErr w:type="spellEnd"/>
      <w:r w:rsidRPr="004826C0">
        <w:rPr>
          <w:rStyle w:val="reflex3-block"/>
          <w:rFonts w:cs="Times New Roman"/>
          <w:i/>
          <w:lang w:val="fr-CA"/>
        </w:rPr>
        <w:t xml:space="preserve"> &amp; </w:t>
      </w:r>
      <w:proofErr w:type="spellStart"/>
      <w:r w:rsidRPr="004826C0">
        <w:rPr>
          <w:rStyle w:val="reflex3-block"/>
          <w:rFonts w:cs="Times New Roman"/>
          <w:i/>
          <w:lang w:val="fr-CA"/>
        </w:rPr>
        <w:t>Rizzo</w:t>
      </w:r>
      <w:proofErr w:type="spellEnd"/>
      <w:r w:rsidRPr="004826C0">
        <w:rPr>
          <w:rStyle w:val="reflex3-block"/>
          <w:rFonts w:cs="Times New Roman"/>
          <w:i/>
          <w:lang w:val="fr-CA"/>
        </w:rPr>
        <w:t xml:space="preserve"> </w:t>
      </w:r>
      <w:proofErr w:type="spellStart"/>
      <w:r w:rsidRPr="004826C0">
        <w:rPr>
          <w:rStyle w:val="reflex3-block"/>
          <w:rFonts w:cs="Times New Roman"/>
          <w:i/>
          <w:lang w:val="fr-CA"/>
        </w:rPr>
        <w:t>Shoes</w:t>
      </w:r>
      <w:proofErr w:type="spellEnd"/>
      <w:r w:rsidRPr="004826C0">
        <w:rPr>
          <w:rStyle w:val="reflex3-block"/>
          <w:rFonts w:cs="Times New Roman"/>
          <w:i/>
          <w:lang w:val="fr-CA"/>
        </w:rPr>
        <w:t xml:space="preserve"> Ltd. (</w:t>
      </w:r>
      <w:proofErr w:type="spellStart"/>
      <w:r w:rsidRPr="004826C0">
        <w:rPr>
          <w:rStyle w:val="reflex3-block"/>
          <w:rFonts w:cs="Times New Roman"/>
          <w:i/>
          <w:lang w:val="fr-CA"/>
        </w:rPr>
        <w:t>Re</w:t>
      </w:r>
      <w:proofErr w:type="spellEnd"/>
      <w:r w:rsidRPr="004826C0">
        <w:rPr>
          <w:rStyle w:val="reflex3-block"/>
          <w:rFonts w:cs="Times New Roman"/>
          <w:i/>
          <w:lang w:val="fr-CA"/>
        </w:rPr>
        <w:t>)</w:t>
      </w:r>
      <w:r w:rsidRPr="004826C0">
        <w:rPr>
          <w:rStyle w:val="reflex3-block"/>
          <w:rFonts w:cs="Times New Roman"/>
          <w:lang w:val="fr-CA"/>
        </w:rPr>
        <w:t>, [1998] 1 R.C.S. 27. Il est utile de les reproduire intégralement :</w:t>
      </w:r>
    </w:p>
    <w:p w:rsidR="002405E3" w:rsidRPr="004826C0" w:rsidRDefault="002405E3" w:rsidP="003C0B54">
      <w:pPr>
        <w:pStyle w:val="Citation-AltC"/>
        <w:widowControl w:val="0"/>
        <w:spacing w:after="240"/>
        <w:contextualSpacing w:val="0"/>
        <w:jc w:val="center"/>
        <w:rPr>
          <w:rStyle w:val="reflex3-block"/>
          <w:smallCaps/>
          <w:lang w:val="fr-CA"/>
        </w:rPr>
      </w:pPr>
      <w:r w:rsidRPr="004826C0">
        <w:rPr>
          <w:rStyle w:val="reflex3-block"/>
          <w:smallCaps/>
          <w:lang w:val="fr-CA"/>
        </w:rPr>
        <w:t>Article 31</w:t>
      </w:r>
    </w:p>
    <w:p w:rsidR="002405E3" w:rsidRPr="004826C0" w:rsidRDefault="002405E3" w:rsidP="003C0B54">
      <w:pPr>
        <w:pStyle w:val="Citation-AltC"/>
        <w:widowControl w:val="0"/>
        <w:spacing w:after="240"/>
        <w:contextualSpacing w:val="0"/>
        <w:jc w:val="center"/>
        <w:rPr>
          <w:rStyle w:val="reflex3-block"/>
          <w:i/>
          <w:lang w:val="fr-CA"/>
        </w:rPr>
      </w:pPr>
      <w:r w:rsidRPr="004826C0">
        <w:rPr>
          <w:rStyle w:val="reflex3-block"/>
          <w:i/>
          <w:lang w:val="fr-CA"/>
        </w:rPr>
        <w:t>Règle générale d</w:t>
      </w:r>
      <w:r>
        <w:rPr>
          <w:rStyle w:val="reflex3-block"/>
          <w:i/>
          <w:lang w:val="fr-CA"/>
        </w:rPr>
        <w:t>’</w:t>
      </w:r>
      <w:r w:rsidRPr="004826C0">
        <w:rPr>
          <w:rStyle w:val="reflex3-block"/>
          <w:i/>
          <w:lang w:val="fr-CA"/>
        </w:rPr>
        <w:t>interprétation</w:t>
      </w:r>
    </w:p>
    <w:p w:rsidR="002405E3" w:rsidRPr="004826C0" w:rsidRDefault="002405E3" w:rsidP="003C0B54">
      <w:pPr>
        <w:pStyle w:val="Citation-AltC"/>
        <w:widowControl w:val="0"/>
        <w:spacing w:after="240"/>
        <w:ind w:firstLine="274"/>
        <w:contextualSpacing w:val="0"/>
        <w:rPr>
          <w:rStyle w:val="reflex3-block"/>
          <w:lang w:val="fr-CA"/>
        </w:rPr>
      </w:pPr>
      <w:r w:rsidRPr="004826C0">
        <w:rPr>
          <w:rStyle w:val="reflex3-block"/>
          <w:lang w:val="fr-CA"/>
        </w:rPr>
        <w:t>1. Un traité doit être interprété de bonne foi suivant le sens ordinaire à attribuer aux termes du traité dans leur contexte et à la lumière de son objet et de son but.</w:t>
      </w:r>
    </w:p>
    <w:p w:rsidR="002405E3" w:rsidRPr="004826C0" w:rsidRDefault="002405E3" w:rsidP="003C0B54">
      <w:pPr>
        <w:pStyle w:val="Citation-AltC"/>
        <w:widowControl w:val="0"/>
        <w:spacing w:after="240"/>
        <w:ind w:firstLine="252"/>
        <w:contextualSpacing w:val="0"/>
        <w:rPr>
          <w:rStyle w:val="reflex3-block"/>
          <w:lang w:val="fr-CA"/>
        </w:rPr>
      </w:pPr>
      <w:r w:rsidRPr="004826C0">
        <w:rPr>
          <w:rStyle w:val="reflex3-block"/>
          <w:lang w:val="fr-CA"/>
        </w:rPr>
        <w:t>2. Aux fins de l</w:t>
      </w:r>
      <w:r>
        <w:rPr>
          <w:rStyle w:val="reflex3-block"/>
          <w:lang w:val="fr-CA"/>
        </w:rPr>
        <w:t>’</w:t>
      </w:r>
      <w:r w:rsidRPr="004826C0">
        <w:rPr>
          <w:rStyle w:val="reflex3-block"/>
          <w:lang w:val="fr-CA"/>
        </w:rPr>
        <w:t>interprétation d</w:t>
      </w:r>
      <w:r>
        <w:rPr>
          <w:rStyle w:val="reflex3-block"/>
          <w:lang w:val="fr-CA"/>
        </w:rPr>
        <w:t>’</w:t>
      </w:r>
      <w:r w:rsidRPr="004826C0">
        <w:rPr>
          <w:rStyle w:val="reflex3-block"/>
          <w:lang w:val="fr-CA"/>
        </w:rPr>
        <w:t>un traité, le contexte comprend, outre le texte, préambule et annexes inclus :</w:t>
      </w:r>
    </w:p>
    <w:p w:rsidR="002405E3" w:rsidRPr="004826C0" w:rsidRDefault="00F3611D" w:rsidP="003C0B54">
      <w:pPr>
        <w:pStyle w:val="Citation-AltC"/>
        <w:widowControl w:val="0"/>
        <w:spacing w:after="240"/>
        <w:ind w:left="1701" w:hanging="283"/>
        <w:contextualSpacing w:val="0"/>
        <w:rPr>
          <w:rStyle w:val="reflex3-block"/>
          <w:lang w:val="fr-CA"/>
        </w:rPr>
      </w:pPr>
      <w:r>
        <w:rPr>
          <w:rStyle w:val="reflex3-block"/>
          <w:lang w:val="fr-CA"/>
        </w:rPr>
        <w:t>a) t</w:t>
      </w:r>
      <w:r w:rsidR="002405E3" w:rsidRPr="004826C0">
        <w:rPr>
          <w:rStyle w:val="reflex3-block"/>
          <w:lang w:val="fr-CA"/>
        </w:rPr>
        <w:t>out accord ayant rapport au traité et qui est intervenu entre toutes les parties à l</w:t>
      </w:r>
      <w:r w:rsidR="002405E3">
        <w:rPr>
          <w:rStyle w:val="reflex3-block"/>
          <w:lang w:val="fr-CA"/>
        </w:rPr>
        <w:t>’</w:t>
      </w:r>
      <w:r w:rsidR="002405E3" w:rsidRPr="004826C0">
        <w:rPr>
          <w:rStyle w:val="reflex3-block"/>
          <w:lang w:val="fr-CA"/>
        </w:rPr>
        <w:t>occasion de la conclusion du traité;</w:t>
      </w:r>
    </w:p>
    <w:p w:rsidR="002405E3" w:rsidRPr="004826C0" w:rsidRDefault="00F3611D" w:rsidP="003C0B54">
      <w:pPr>
        <w:pStyle w:val="Citation-AltC"/>
        <w:widowControl w:val="0"/>
        <w:spacing w:after="240"/>
        <w:ind w:left="1701" w:hanging="283"/>
        <w:contextualSpacing w:val="0"/>
        <w:rPr>
          <w:rStyle w:val="reflex3-block"/>
          <w:lang w:val="fr-CA"/>
        </w:rPr>
      </w:pPr>
      <w:r>
        <w:rPr>
          <w:rStyle w:val="reflex3-block"/>
          <w:lang w:val="fr-CA"/>
        </w:rPr>
        <w:t>b) t</w:t>
      </w:r>
      <w:r w:rsidR="002405E3" w:rsidRPr="004826C0">
        <w:rPr>
          <w:rStyle w:val="reflex3-block"/>
          <w:lang w:val="fr-CA"/>
        </w:rPr>
        <w:t>out instrument établi par une ou plusieurs parties à l</w:t>
      </w:r>
      <w:r w:rsidR="002405E3">
        <w:rPr>
          <w:rStyle w:val="reflex3-block"/>
          <w:lang w:val="fr-CA"/>
        </w:rPr>
        <w:t>’</w:t>
      </w:r>
      <w:r w:rsidR="002405E3" w:rsidRPr="004826C0">
        <w:rPr>
          <w:rStyle w:val="reflex3-block"/>
          <w:lang w:val="fr-CA"/>
        </w:rPr>
        <w:t>occasion de la conclusion du traité et accepté par les autres parties en tant qu</w:t>
      </w:r>
      <w:r w:rsidR="002405E3">
        <w:rPr>
          <w:rStyle w:val="reflex3-block"/>
          <w:lang w:val="fr-CA"/>
        </w:rPr>
        <w:t>’</w:t>
      </w:r>
      <w:r w:rsidR="002405E3" w:rsidRPr="004826C0">
        <w:rPr>
          <w:rStyle w:val="reflex3-block"/>
          <w:lang w:val="fr-CA"/>
        </w:rPr>
        <w:t>instrument ayant rapport au traité.</w:t>
      </w:r>
    </w:p>
    <w:p w:rsidR="002405E3" w:rsidRPr="004826C0" w:rsidRDefault="002405E3" w:rsidP="003C0B54">
      <w:pPr>
        <w:pStyle w:val="Citation-AltC"/>
        <w:widowControl w:val="0"/>
        <w:spacing w:after="240"/>
        <w:ind w:firstLine="252"/>
        <w:contextualSpacing w:val="0"/>
        <w:rPr>
          <w:rStyle w:val="reflex3-block"/>
          <w:lang w:val="fr-CA"/>
        </w:rPr>
      </w:pPr>
      <w:r w:rsidRPr="004826C0">
        <w:rPr>
          <w:rStyle w:val="reflex3-block"/>
          <w:lang w:val="fr-CA"/>
        </w:rPr>
        <w:t>3. Il sera tenu compte, en même temps que du contexte</w:t>
      </w:r>
      <w:r w:rsidR="00F3611D">
        <w:rPr>
          <w:rStyle w:val="reflex3-block"/>
          <w:lang w:val="fr-CA"/>
        </w:rPr>
        <w:t> </w:t>
      </w:r>
      <w:r w:rsidRPr="004826C0">
        <w:rPr>
          <w:rStyle w:val="reflex3-block"/>
          <w:lang w:val="fr-CA"/>
        </w:rPr>
        <w:t>:</w:t>
      </w:r>
    </w:p>
    <w:p w:rsidR="002405E3" w:rsidRPr="004826C0" w:rsidRDefault="00F3611D" w:rsidP="003C0B54">
      <w:pPr>
        <w:pStyle w:val="Citation-AltC"/>
        <w:widowControl w:val="0"/>
        <w:spacing w:after="240"/>
        <w:ind w:left="1701" w:hanging="283"/>
        <w:contextualSpacing w:val="0"/>
        <w:rPr>
          <w:rStyle w:val="reflex3-block"/>
          <w:lang w:val="fr-CA"/>
        </w:rPr>
      </w:pPr>
      <w:r>
        <w:rPr>
          <w:rStyle w:val="reflex3-block"/>
          <w:lang w:val="fr-CA"/>
        </w:rPr>
        <w:t>a) d</w:t>
      </w:r>
      <w:r w:rsidR="002405E3" w:rsidRPr="004826C0">
        <w:rPr>
          <w:rStyle w:val="reflex3-block"/>
          <w:lang w:val="fr-CA"/>
        </w:rPr>
        <w:t>e tout accord ultérieur intervenu entre les parties au sujet de l</w:t>
      </w:r>
      <w:r w:rsidR="002405E3">
        <w:rPr>
          <w:rStyle w:val="reflex3-block"/>
          <w:lang w:val="fr-CA"/>
        </w:rPr>
        <w:t>’</w:t>
      </w:r>
      <w:r w:rsidR="002405E3" w:rsidRPr="004826C0">
        <w:rPr>
          <w:rStyle w:val="reflex3-block"/>
          <w:lang w:val="fr-CA"/>
        </w:rPr>
        <w:t>interprétation du traité ou de l</w:t>
      </w:r>
      <w:r w:rsidR="002405E3">
        <w:rPr>
          <w:rStyle w:val="reflex3-block"/>
          <w:lang w:val="fr-CA"/>
        </w:rPr>
        <w:t>’</w:t>
      </w:r>
      <w:r w:rsidR="002405E3" w:rsidRPr="004826C0">
        <w:rPr>
          <w:rStyle w:val="reflex3-block"/>
          <w:lang w:val="fr-CA"/>
        </w:rPr>
        <w:t>application de ses dispositions;</w:t>
      </w:r>
    </w:p>
    <w:p w:rsidR="002405E3" w:rsidRPr="004826C0" w:rsidRDefault="00F3611D" w:rsidP="003C0B54">
      <w:pPr>
        <w:pStyle w:val="Citation-AltC"/>
        <w:widowControl w:val="0"/>
        <w:spacing w:after="240"/>
        <w:ind w:left="1701" w:hanging="283"/>
        <w:contextualSpacing w:val="0"/>
        <w:rPr>
          <w:rStyle w:val="reflex3-block"/>
          <w:lang w:val="fr-CA"/>
        </w:rPr>
      </w:pPr>
      <w:r>
        <w:rPr>
          <w:rStyle w:val="reflex3-block"/>
          <w:lang w:val="fr-CA"/>
        </w:rPr>
        <w:t>b) d</w:t>
      </w:r>
      <w:r w:rsidR="002405E3" w:rsidRPr="004826C0">
        <w:rPr>
          <w:rStyle w:val="reflex3-block"/>
          <w:lang w:val="fr-CA"/>
        </w:rPr>
        <w:t>e toute pratique ultérieurement suivie dans l</w:t>
      </w:r>
      <w:r w:rsidR="002405E3">
        <w:rPr>
          <w:rStyle w:val="reflex3-block"/>
          <w:lang w:val="fr-CA"/>
        </w:rPr>
        <w:t>’</w:t>
      </w:r>
      <w:r w:rsidR="002405E3" w:rsidRPr="004826C0">
        <w:rPr>
          <w:rStyle w:val="reflex3-block"/>
          <w:lang w:val="fr-CA"/>
        </w:rPr>
        <w:t>application du traité par laquelle est établi l</w:t>
      </w:r>
      <w:r w:rsidR="002405E3">
        <w:rPr>
          <w:rStyle w:val="reflex3-block"/>
          <w:lang w:val="fr-CA"/>
        </w:rPr>
        <w:t>’</w:t>
      </w:r>
      <w:r w:rsidR="002405E3" w:rsidRPr="004826C0">
        <w:rPr>
          <w:rStyle w:val="reflex3-block"/>
          <w:lang w:val="fr-CA"/>
        </w:rPr>
        <w:t>accord des parties à l</w:t>
      </w:r>
      <w:r w:rsidR="002405E3">
        <w:rPr>
          <w:rStyle w:val="reflex3-block"/>
          <w:lang w:val="fr-CA"/>
        </w:rPr>
        <w:t>’</w:t>
      </w:r>
      <w:r w:rsidR="002405E3" w:rsidRPr="004826C0">
        <w:rPr>
          <w:rStyle w:val="reflex3-block"/>
          <w:lang w:val="fr-CA"/>
        </w:rPr>
        <w:t>égard de l</w:t>
      </w:r>
      <w:r w:rsidR="002405E3">
        <w:rPr>
          <w:rStyle w:val="reflex3-block"/>
          <w:lang w:val="fr-CA"/>
        </w:rPr>
        <w:t>’</w:t>
      </w:r>
      <w:r w:rsidR="002405E3" w:rsidRPr="004826C0">
        <w:rPr>
          <w:rStyle w:val="reflex3-block"/>
          <w:lang w:val="fr-CA"/>
        </w:rPr>
        <w:t>interprétation du traité;</w:t>
      </w:r>
    </w:p>
    <w:p w:rsidR="002405E3" w:rsidRPr="004826C0" w:rsidRDefault="00F3611D" w:rsidP="003C0B54">
      <w:pPr>
        <w:pStyle w:val="Citation-AltC"/>
        <w:widowControl w:val="0"/>
        <w:spacing w:after="240"/>
        <w:ind w:left="1701" w:hanging="283"/>
        <w:contextualSpacing w:val="0"/>
        <w:rPr>
          <w:rStyle w:val="reflex3-block"/>
          <w:lang w:val="fr-CA"/>
        </w:rPr>
      </w:pPr>
      <w:r>
        <w:rPr>
          <w:rStyle w:val="reflex3-block"/>
          <w:lang w:val="fr-CA"/>
        </w:rPr>
        <w:t>c) d</w:t>
      </w:r>
      <w:r w:rsidR="002405E3" w:rsidRPr="004826C0">
        <w:rPr>
          <w:rStyle w:val="reflex3-block"/>
          <w:lang w:val="fr-CA"/>
        </w:rPr>
        <w:t>e toute règle pertinente de droit international applicable dans les relations entre les parties.</w:t>
      </w:r>
    </w:p>
    <w:p w:rsidR="002405E3" w:rsidRPr="004826C0" w:rsidRDefault="002405E3" w:rsidP="003C0B54">
      <w:pPr>
        <w:pStyle w:val="Citation-AltC"/>
        <w:widowControl w:val="0"/>
        <w:ind w:firstLine="259"/>
        <w:contextualSpacing w:val="0"/>
        <w:rPr>
          <w:rStyle w:val="reflex3-block"/>
          <w:lang w:val="fr-CA"/>
        </w:rPr>
      </w:pPr>
      <w:r w:rsidRPr="004826C0">
        <w:rPr>
          <w:rStyle w:val="reflex3-block"/>
          <w:lang w:val="fr-CA"/>
        </w:rPr>
        <w:t>4. Un terme sera entendu dans un sens particulier s</w:t>
      </w:r>
      <w:r>
        <w:rPr>
          <w:rStyle w:val="reflex3-block"/>
          <w:lang w:val="fr-CA"/>
        </w:rPr>
        <w:t>’</w:t>
      </w:r>
      <w:r w:rsidRPr="004826C0">
        <w:rPr>
          <w:rStyle w:val="reflex3-block"/>
          <w:lang w:val="fr-CA"/>
        </w:rPr>
        <w:t>il est établi que telle était l</w:t>
      </w:r>
      <w:r>
        <w:rPr>
          <w:rStyle w:val="reflex3-block"/>
          <w:lang w:val="fr-CA"/>
        </w:rPr>
        <w:t>’</w:t>
      </w:r>
      <w:r w:rsidRPr="004826C0">
        <w:rPr>
          <w:rStyle w:val="reflex3-block"/>
          <w:lang w:val="fr-CA"/>
        </w:rPr>
        <w:t xml:space="preserve">intention des parties. </w:t>
      </w:r>
    </w:p>
    <w:p w:rsidR="002405E3" w:rsidRPr="004826C0" w:rsidRDefault="002405E3" w:rsidP="003C0B54">
      <w:pPr>
        <w:pStyle w:val="Citation-AltC"/>
        <w:widowControl w:val="0"/>
        <w:spacing w:after="240"/>
        <w:contextualSpacing w:val="0"/>
        <w:jc w:val="center"/>
        <w:rPr>
          <w:rStyle w:val="reflex3-block"/>
          <w:smallCaps/>
          <w:lang w:val="fr-CA"/>
        </w:rPr>
      </w:pPr>
      <w:r w:rsidRPr="004826C0">
        <w:rPr>
          <w:rStyle w:val="reflex3-block"/>
          <w:smallCaps/>
          <w:lang w:val="fr-CA"/>
        </w:rPr>
        <w:t>Article 32</w:t>
      </w:r>
    </w:p>
    <w:p w:rsidR="002405E3" w:rsidRPr="004826C0" w:rsidRDefault="002405E3" w:rsidP="003C0B54">
      <w:pPr>
        <w:pStyle w:val="Citation-AltC"/>
        <w:widowControl w:val="0"/>
        <w:spacing w:after="240"/>
        <w:contextualSpacing w:val="0"/>
        <w:jc w:val="center"/>
        <w:rPr>
          <w:rStyle w:val="reflex3-block"/>
          <w:lang w:val="fr-CA"/>
        </w:rPr>
      </w:pPr>
      <w:r w:rsidRPr="004826C0">
        <w:rPr>
          <w:rStyle w:val="reflex3-block"/>
          <w:i/>
          <w:lang w:val="fr-CA"/>
        </w:rPr>
        <w:t>Moyens complémentaires d</w:t>
      </w:r>
      <w:r>
        <w:rPr>
          <w:rStyle w:val="reflex3-block"/>
          <w:i/>
          <w:lang w:val="fr-CA"/>
        </w:rPr>
        <w:t>’</w:t>
      </w:r>
      <w:r w:rsidRPr="004826C0">
        <w:rPr>
          <w:rStyle w:val="reflex3-block"/>
          <w:i/>
          <w:lang w:val="fr-CA"/>
        </w:rPr>
        <w:t>interprétation</w:t>
      </w:r>
    </w:p>
    <w:p w:rsidR="002405E3" w:rsidRPr="004826C0" w:rsidRDefault="002405E3" w:rsidP="003C0B54">
      <w:pPr>
        <w:pStyle w:val="Citation-AltC"/>
        <w:widowControl w:val="0"/>
        <w:spacing w:after="240"/>
        <w:ind w:firstLine="252"/>
        <w:contextualSpacing w:val="0"/>
        <w:rPr>
          <w:rStyle w:val="reflex3-block"/>
          <w:lang w:val="fr-CA"/>
        </w:rPr>
      </w:pPr>
      <w:r w:rsidRPr="004826C0">
        <w:rPr>
          <w:rStyle w:val="reflex3-block"/>
          <w:lang w:val="fr-CA"/>
        </w:rPr>
        <w:t>Il peut être fait appel à des moyens complémentaires d</w:t>
      </w:r>
      <w:r>
        <w:rPr>
          <w:rStyle w:val="reflex3-block"/>
          <w:lang w:val="fr-CA"/>
        </w:rPr>
        <w:t>’</w:t>
      </w:r>
      <w:r w:rsidRPr="004826C0">
        <w:rPr>
          <w:rStyle w:val="reflex3-block"/>
          <w:lang w:val="fr-CA"/>
        </w:rPr>
        <w:t>interprétation, et notamment aux travaux préparatoires et aux circonstances dans lesquelles le traité a été conclu, en vue, soit de confirmer le sens résultant de l</w:t>
      </w:r>
      <w:r>
        <w:rPr>
          <w:rStyle w:val="reflex3-block"/>
          <w:lang w:val="fr-CA"/>
        </w:rPr>
        <w:t>’</w:t>
      </w:r>
      <w:r w:rsidRPr="004826C0">
        <w:rPr>
          <w:rStyle w:val="reflex3-block"/>
          <w:lang w:val="fr-CA"/>
        </w:rPr>
        <w:t>application de l</w:t>
      </w:r>
      <w:r>
        <w:rPr>
          <w:rStyle w:val="reflex3-block"/>
          <w:lang w:val="fr-CA"/>
        </w:rPr>
        <w:t>’</w:t>
      </w:r>
      <w:r w:rsidRPr="004826C0">
        <w:rPr>
          <w:rStyle w:val="reflex3-block"/>
          <w:lang w:val="fr-CA"/>
        </w:rPr>
        <w:t>article 31, soit de déterminer le sens lorsque l</w:t>
      </w:r>
      <w:r>
        <w:rPr>
          <w:rStyle w:val="reflex3-block"/>
          <w:lang w:val="fr-CA"/>
        </w:rPr>
        <w:t>’</w:t>
      </w:r>
      <w:r w:rsidRPr="004826C0">
        <w:rPr>
          <w:rStyle w:val="reflex3-block"/>
          <w:lang w:val="fr-CA"/>
        </w:rPr>
        <w:t>interprétation donnée conformément à l</w:t>
      </w:r>
      <w:r>
        <w:rPr>
          <w:rStyle w:val="reflex3-block"/>
          <w:lang w:val="fr-CA"/>
        </w:rPr>
        <w:t>’</w:t>
      </w:r>
      <w:r w:rsidRPr="004826C0">
        <w:rPr>
          <w:rStyle w:val="reflex3-block"/>
          <w:lang w:val="fr-CA"/>
        </w:rPr>
        <w:t>article 31 :</w:t>
      </w:r>
    </w:p>
    <w:p w:rsidR="002405E3" w:rsidRPr="004826C0" w:rsidRDefault="00A57F13" w:rsidP="003C0B54">
      <w:pPr>
        <w:pStyle w:val="Citation-AltC"/>
        <w:widowControl w:val="0"/>
        <w:spacing w:after="240"/>
        <w:ind w:left="1418"/>
        <w:contextualSpacing w:val="0"/>
        <w:rPr>
          <w:rStyle w:val="reflex3-block"/>
          <w:lang w:val="fr-CA"/>
        </w:rPr>
      </w:pPr>
      <w:r>
        <w:rPr>
          <w:rStyle w:val="reflex3-block"/>
          <w:lang w:val="fr-CA"/>
        </w:rPr>
        <w:t>a) l</w:t>
      </w:r>
      <w:r w:rsidR="002405E3" w:rsidRPr="004826C0">
        <w:rPr>
          <w:rStyle w:val="reflex3-block"/>
          <w:lang w:val="fr-CA"/>
        </w:rPr>
        <w:t>aisse le sens ambigu ou obscur; ou</w:t>
      </w:r>
    </w:p>
    <w:p w:rsidR="002405E3" w:rsidRPr="004826C0" w:rsidRDefault="00A57F13" w:rsidP="003C0B54">
      <w:pPr>
        <w:pStyle w:val="Citation-AltC"/>
        <w:widowControl w:val="0"/>
        <w:ind w:left="1418"/>
        <w:rPr>
          <w:rStyle w:val="reflex3-block"/>
          <w:lang w:val="fr-CA"/>
        </w:rPr>
      </w:pPr>
      <w:r>
        <w:rPr>
          <w:rStyle w:val="reflex3-block"/>
          <w:lang w:val="fr-CA"/>
        </w:rPr>
        <w:t>b) c</w:t>
      </w:r>
      <w:r w:rsidR="002405E3" w:rsidRPr="004826C0">
        <w:rPr>
          <w:rStyle w:val="reflex3-block"/>
          <w:lang w:val="fr-CA"/>
        </w:rPr>
        <w:t>onduit à un résultat qui est manifestement absurde ou déraisonnable.</w:t>
      </w:r>
    </w:p>
    <w:p w:rsidR="002405E3" w:rsidRPr="004826C0" w:rsidRDefault="002405E3" w:rsidP="003C0B54">
      <w:pPr>
        <w:pStyle w:val="ContinueParaSuitedupar-AltP"/>
        <w:widowControl w:val="0"/>
        <w:rPr>
          <w:rFonts w:cs="Times New Roman"/>
          <w:lang w:val="fr-CA"/>
        </w:rPr>
      </w:pPr>
      <w:r w:rsidRPr="004826C0">
        <w:rPr>
          <w:rFonts w:cs="Times New Roman"/>
          <w:lang w:val="fr-CA"/>
        </w:rPr>
        <w:t xml:space="preserve">Ainsi, aux termes de la </w:t>
      </w:r>
      <w:r w:rsidRPr="004826C0">
        <w:rPr>
          <w:rFonts w:cs="Times New Roman"/>
          <w:i/>
          <w:lang w:val="fr-CA"/>
        </w:rPr>
        <w:t>Convention de Vienne</w:t>
      </w:r>
      <w:r w:rsidRPr="004826C0">
        <w:rPr>
          <w:rFonts w:cs="Times New Roman"/>
          <w:lang w:val="fr-CA"/>
        </w:rPr>
        <w:t>, l</w:t>
      </w:r>
      <w:r>
        <w:rPr>
          <w:rFonts w:cs="Times New Roman"/>
          <w:lang w:val="fr-CA"/>
        </w:rPr>
        <w:t>’</w:t>
      </w:r>
      <w:r w:rsidRPr="004826C0">
        <w:rPr>
          <w:rFonts w:cs="Times New Roman"/>
          <w:lang w:val="fr-CA"/>
        </w:rPr>
        <w:t>étendue des immunités en litige doit être interprétée suivant le sens ordinaire des mots du traité et à la lumière de leurs but et objet.</w:t>
      </w:r>
    </w:p>
    <w:p w:rsidR="002405E3" w:rsidRPr="00B670EF" w:rsidRDefault="002405E3" w:rsidP="003C0B54">
      <w:pPr>
        <w:pStyle w:val="ParaNoNdepar-AltN"/>
        <w:widowControl w:val="0"/>
        <w:numPr>
          <w:ilvl w:val="0"/>
          <w:numId w:val="7"/>
        </w:numPr>
        <w:tabs>
          <w:tab w:val="clear" w:pos="6462"/>
          <w:tab w:val="num" w:pos="1332"/>
        </w:tabs>
        <w:ind w:left="0"/>
        <w:rPr>
          <w:rFonts w:cs="Times New Roman"/>
          <w:u w:val="single"/>
          <w:lang w:val="fr-CA"/>
        </w:rPr>
      </w:pPr>
      <w:r>
        <w:rPr>
          <w:lang w:val="fr-CA"/>
        </w:rPr>
        <w:t>Les sections </w:t>
      </w:r>
      <w:r w:rsidRPr="004826C0">
        <w:rPr>
          <w:rFonts w:cs="Times New Roman"/>
          <w:lang w:val="fr-CA"/>
        </w:rPr>
        <w:t>5 et 8 de l</w:t>
      </w:r>
      <w:r>
        <w:rPr>
          <w:rFonts w:cs="Times New Roman"/>
          <w:lang w:val="fr-CA"/>
        </w:rPr>
        <w:t>’</w:t>
      </w:r>
      <w:r w:rsidRPr="004826C0">
        <w:rPr>
          <w:rFonts w:cs="Times New Roman"/>
          <w:lang w:val="fr-CA"/>
        </w:rPr>
        <w:t>Accord relatif à la BIRD et des Statuts de l</w:t>
      </w:r>
      <w:r>
        <w:rPr>
          <w:rFonts w:cs="Times New Roman"/>
          <w:lang w:val="fr-CA"/>
        </w:rPr>
        <w:t>’</w:t>
      </w:r>
      <w:r w:rsidRPr="004826C0">
        <w:rPr>
          <w:rFonts w:cs="Times New Roman"/>
          <w:lang w:val="fr-CA"/>
        </w:rPr>
        <w:t>IDA sont ainsi rédigées :</w:t>
      </w:r>
    </w:p>
    <w:p w:rsidR="002405E3" w:rsidRPr="004826C0" w:rsidRDefault="002405E3" w:rsidP="003C0B54">
      <w:pPr>
        <w:pStyle w:val="Citation-AltC"/>
        <w:widowControl w:val="0"/>
        <w:spacing w:before="240" w:after="240"/>
        <w:contextualSpacing w:val="0"/>
        <w:rPr>
          <w:u w:val="single"/>
          <w:lang w:val="fr-CA"/>
        </w:rPr>
      </w:pPr>
      <w:r w:rsidRPr="004826C0">
        <w:rPr>
          <w:u w:val="single"/>
          <w:lang w:val="fr-CA"/>
        </w:rPr>
        <w:t>Accord relatif à la BIRD, article VII</w:t>
      </w:r>
    </w:p>
    <w:p w:rsidR="002405E3" w:rsidRPr="004826C0" w:rsidRDefault="002405E3" w:rsidP="003C0B54">
      <w:pPr>
        <w:pStyle w:val="Citation-AltC"/>
        <w:widowControl w:val="0"/>
        <w:spacing w:after="240"/>
        <w:contextualSpacing w:val="0"/>
        <w:rPr>
          <w:lang w:val="fr-CA"/>
        </w:rPr>
      </w:pPr>
      <w:r w:rsidRPr="00A57F13">
        <w:rPr>
          <w:b/>
          <w:lang w:val="fr-CA"/>
        </w:rPr>
        <w:t>Section 5</w:t>
      </w:r>
      <w:r w:rsidRPr="004826C0">
        <w:rPr>
          <w:lang w:val="fr-CA"/>
        </w:rPr>
        <w:t xml:space="preserve"> </w:t>
      </w:r>
      <w:r w:rsidRPr="004826C0">
        <w:rPr>
          <w:rStyle w:val="Emphasis"/>
          <w:rFonts w:eastAsiaTheme="majorEastAsia"/>
          <w:lang w:val="fr-CA"/>
        </w:rPr>
        <w:t>Inviolabilité des archives</w:t>
      </w:r>
    </w:p>
    <w:p w:rsidR="002405E3" w:rsidRPr="004826C0" w:rsidRDefault="002405E3" w:rsidP="003C0B54">
      <w:pPr>
        <w:pStyle w:val="Citation-AltC"/>
        <w:widowControl w:val="0"/>
        <w:spacing w:before="240" w:after="240"/>
        <w:contextualSpacing w:val="0"/>
        <w:rPr>
          <w:lang w:val="fr-CA"/>
        </w:rPr>
      </w:pPr>
      <w:r w:rsidRPr="004826C0">
        <w:rPr>
          <w:lang w:val="fr-CA"/>
        </w:rPr>
        <w:t>Les archives de la Banque seront inviolables.</w:t>
      </w:r>
    </w:p>
    <w:p w:rsidR="002405E3" w:rsidRPr="004826C0" w:rsidRDefault="002405E3" w:rsidP="003C0B54">
      <w:pPr>
        <w:pStyle w:val="Citation-AltC"/>
        <w:widowControl w:val="0"/>
        <w:spacing w:after="240"/>
        <w:contextualSpacing w:val="0"/>
        <w:rPr>
          <w:lang w:val="fr-CA"/>
        </w:rPr>
      </w:pPr>
      <w:r w:rsidRPr="00A57F13">
        <w:rPr>
          <w:b/>
          <w:lang w:val="fr-CA"/>
        </w:rPr>
        <w:t>Section 8</w:t>
      </w:r>
      <w:r w:rsidRPr="004826C0">
        <w:rPr>
          <w:lang w:val="fr-CA"/>
        </w:rPr>
        <w:t xml:space="preserve"> </w:t>
      </w:r>
      <w:r w:rsidRPr="004826C0">
        <w:rPr>
          <w:i/>
          <w:lang w:val="fr-CA"/>
        </w:rPr>
        <w:t>Immunités et privilèges des fonctionnaires et employés</w:t>
      </w:r>
    </w:p>
    <w:p w:rsidR="002405E3" w:rsidRPr="004826C0" w:rsidRDefault="002405E3" w:rsidP="003C0B54">
      <w:pPr>
        <w:pStyle w:val="Citation-AltC"/>
        <w:widowControl w:val="0"/>
        <w:spacing w:after="240"/>
        <w:contextualSpacing w:val="0"/>
        <w:rPr>
          <w:lang w:val="fr-CA"/>
        </w:rPr>
      </w:pPr>
      <w:r w:rsidRPr="004826C0">
        <w:rPr>
          <w:lang w:val="fr-CA"/>
        </w:rPr>
        <w:t>Tous les gouverneurs, administrateurs, suppléants, fonctionnaires et employés de la Banque :</w:t>
      </w:r>
    </w:p>
    <w:p w:rsidR="002405E3" w:rsidRPr="004826C0" w:rsidRDefault="002405E3" w:rsidP="003C0B54">
      <w:pPr>
        <w:pStyle w:val="Citation-AltC"/>
        <w:widowControl w:val="0"/>
        <w:spacing w:before="240" w:after="240"/>
        <w:ind w:left="1526"/>
        <w:contextualSpacing w:val="0"/>
        <w:rPr>
          <w:lang w:val="fr-CA"/>
        </w:rPr>
      </w:pPr>
      <w:r w:rsidRPr="004826C0">
        <w:rPr>
          <w:b/>
          <w:lang w:val="fr-CA"/>
        </w:rPr>
        <w:t>i)</w:t>
      </w:r>
      <w:r w:rsidRPr="004826C0">
        <w:rPr>
          <w:lang w:val="fr-CA"/>
        </w:rPr>
        <w:t> ne pourront faire l</w:t>
      </w:r>
      <w:r>
        <w:rPr>
          <w:lang w:val="fr-CA"/>
        </w:rPr>
        <w:t>’</w:t>
      </w:r>
      <w:r w:rsidRPr="004826C0">
        <w:rPr>
          <w:lang w:val="fr-CA"/>
        </w:rPr>
        <w:t>objet de poursuites à raison des actes accomplis par eux dans l</w:t>
      </w:r>
      <w:r>
        <w:rPr>
          <w:lang w:val="fr-CA"/>
        </w:rPr>
        <w:t>’</w:t>
      </w:r>
      <w:r w:rsidRPr="004826C0">
        <w:rPr>
          <w:lang w:val="fr-CA"/>
        </w:rPr>
        <w:t xml:space="preserve">exercice de leurs fonctions, sauf lorsque la Banque aura levé cette immunité; </w:t>
      </w:r>
    </w:p>
    <w:p w:rsidR="002405E3" w:rsidRPr="004826C0" w:rsidRDefault="002405E3" w:rsidP="003C0B54">
      <w:pPr>
        <w:pStyle w:val="Citation-AltC"/>
        <w:widowControl w:val="0"/>
        <w:spacing w:after="240"/>
        <w:contextualSpacing w:val="0"/>
        <w:rPr>
          <w:u w:val="single"/>
          <w:lang w:val="fr-CA"/>
        </w:rPr>
      </w:pPr>
      <w:r w:rsidRPr="004826C0">
        <w:rPr>
          <w:u w:val="single"/>
          <w:lang w:val="fr-CA"/>
        </w:rPr>
        <w:t>Statuts de l</w:t>
      </w:r>
      <w:r>
        <w:rPr>
          <w:u w:val="single"/>
          <w:lang w:val="fr-CA"/>
        </w:rPr>
        <w:t>’</w:t>
      </w:r>
      <w:r w:rsidRPr="004826C0">
        <w:rPr>
          <w:u w:val="single"/>
          <w:lang w:val="fr-CA"/>
        </w:rPr>
        <w:t xml:space="preserve">IDA, article VIII </w:t>
      </w:r>
    </w:p>
    <w:p w:rsidR="002405E3" w:rsidRPr="004826C0" w:rsidRDefault="002405E3" w:rsidP="003C0B54">
      <w:pPr>
        <w:pStyle w:val="Citation-AltC"/>
        <w:widowControl w:val="0"/>
        <w:spacing w:after="240"/>
        <w:contextualSpacing w:val="0"/>
        <w:rPr>
          <w:lang w:val="fr-CA"/>
        </w:rPr>
      </w:pPr>
      <w:r w:rsidRPr="00A57F13">
        <w:rPr>
          <w:b/>
          <w:lang w:val="fr-CA"/>
        </w:rPr>
        <w:t>Section 5</w:t>
      </w:r>
      <w:r w:rsidRPr="004826C0">
        <w:rPr>
          <w:lang w:val="fr-CA"/>
        </w:rPr>
        <w:t xml:space="preserve"> </w:t>
      </w:r>
      <w:r w:rsidRPr="004826C0">
        <w:rPr>
          <w:i/>
          <w:lang w:val="fr-CA"/>
        </w:rPr>
        <w:t>Inviolabilité des archives</w:t>
      </w:r>
    </w:p>
    <w:p w:rsidR="002405E3" w:rsidRPr="004826C0" w:rsidRDefault="002405E3" w:rsidP="003C0B54">
      <w:pPr>
        <w:pStyle w:val="Citation-AltC"/>
        <w:widowControl w:val="0"/>
        <w:spacing w:after="240"/>
        <w:contextualSpacing w:val="0"/>
        <w:rPr>
          <w:lang w:val="fr-CA"/>
        </w:rPr>
      </w:pPr>
      <w:r w:rsidRPr="004826C0">
        <w:rPr>
          <w:lang w:val="fr-CA"/>
        </w:rPr>
        <w:t>Les archives de l</w:t>
      </w:r>
      <w:r>
        <w:rPr>
          <w:lang w:val="fr-CA"/>
        </w:rPr>
        <w:t>’</w:t>
      </w:r>
      <w:r w:rsidRPr="004826C0">
        <w:rPr>
          <w:lang w:val="fr-CA"/>
        </w:rPr>
        <w:t>Association sont inviolables.</w:t>
      </w:r>
    </w:p>
    <w:p w:rsidR="002405E3" w:rsidRPr="004826C0" w:rsidRDefault="002405E3" w:rsidP="003C0B54">
      <w:pPr>
        <w:pStyle w:val="Citation-AltC"/>
        <w:widowControl w:val="0"/>
        <w:spacing w:after="240"/>
        <w:contextualSpacing w:val="0"/>
        <w:rPr>
          <w:lang w:val="fr-CA"/>
        </w:rPr>
      </w:pPr>
      <w:r w:rsidRPr="00A57F13">
        <w:rPr>
          <w:b/>
          <w:lang w:val="fr-CA"/>
        </w:rPr>
        <w:t>Section 8</w:t>
      </w:r>
      <w:r w:rsidRPr="004826C0">
        <w:rPr>
          <w:lang w:val="fr-CA"/>
        </w:rPr>
        <w:t xml:space="preserve"> </w:t>
      </w:r>
      <w:r w:rsidRPr="004826C0">
        <w:rPr>
          <w:i/>
          <w:lang w:val="fr-CA"/>
        </w:rPr>
        <w:t>Immunités et privilèges des dirigeants et du personnel</w:t>
      </w:r>
    </w:p>
    <w:p w:rsidR="002405E3" w:rsidRPr="004826C0" w:rsidRDefault="002405E3" w:rsidP="003C0B54">
      <w:pPr>
        <w:pStyle w:val="Citation-AltC"/>
        <w:widowControl w:val="0"/>
        <w:spacing w:after="240"/>
        <w:contextualSpacing w:val="0"/>
        <w:rPr>
          <w:lang w:val="fr-CA"/>
        </w:rPr>
      </w:pPr>
      <w:r w:rsidRPr="004826C0">
        <w:rPr>
          <w:lang w:val="fr-CA"/>
        </w:rPr>
        <w:t>Les gouverneurs, administrateurs, suppléants, dirigeants et membres du personnel de l</w:t>
      </w:r>
      <w:r>
        <w:rPr>
          <w:lang w:val="fr-CA"/>
        </w:rPr>
        <w:t>’</w:t>
      </w:r>
      <w:r w:rsidRPr="004826C0">
        <w:rPr>
          <w:lang w:val="fr-CA"/>
        </w:rPr>
        <w:t>Association :</w:t>
      </w:r>
    </w:p>
    <w:p w:rsidR="002405E3" w:rsidRPr="004826C0" w:rsidRDefault="00A57F13" w:rsidP="003C0B54">
      <w:pPr>
        <w:pStyle w:val="Citation-AltC"/>
        <w:widowControl w:val="0"/>
        <w:spacing w:before="240"/>
        <w:ind w:left="1526"/>
        <w:contextualSpacing w:val="0"/>
        <w:rPr>
          <w:lang w:val="fr-CA"/>
        </w:rPr>
      </w:pPr>
      <w:r>
        <w:rPr>
          <w:b/>
          <w:lang w:val="fr-CA"/>
        </w:rPr>
        <w:t>(</w:t>
      </w:r>
      <w:r w:rsidR="002405E3" w:rsidRPr="004826C0">
        <w:rPr>
          <w:b/>
          <w:lang w:val="fr-CA"/>
        </w:rPr>
        <w:t>i)</w:t>
      </w:r>
      <w:r w:rsidR="002405E3" w:rsidRPr="004826C0">
        <w:rPr>
          <w:lang w:val="fr-CA"/>
        </w:rPr>
        <w:t> ne pourront être l</w:t>
      </w:r>
      <w:r w:rsidR="002405E3">
        <w:rPr>
          <w:lang w:val="fr-CA"/>
        </w:rPr>
        <w:t>’</w:t>
      </w:r>
      <w:r w:rsidR="002405E3" w:rsidRPr="004826C0">
        <w:rPr>
          <w:lang w:val="fr-CA"/>
        </w:rPr>
        <w:t>objet de poursuites en raison des actes accomplis par eux dans l</w:t>
      </w:r>
      <w:r w:rsidR="002405E3">
        <w:rPr>
          <w:lang w:val="fr-CA"/>
        </w:rPr>
        <w:t>’</w:t>
      </w:r>
      <w:r w:rsidR="002405E3" w:rsidRPr="004826C0">
        <w:rPr>
          <w:lang w:val="fr-CA"/>
        </w:rPr>
        <w:t>exercice officiel de leurs fonctions, sauf lorsque l</w:t>
      </w:r>
      <w:r w:rsidR="002405E3">
        <w:rPr>
          <w:lang w:val="fr-CA"/>
        </w:rPr>
        <w:t>’</w:t>
      </w:r>
      <w:r w:rsidR="002405E3" w:rsidRPr="004826C0">
        <w:rPr>
          <w:lang w:val="fr-CA"/>
        </w:rPr>
        <w:t>Association aura levé cette immunité;</w:t>
      </w:r>
      <w:r w:rsidR="002405E3">
        <w:rPr>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Une certaine ambiguïté subsiste quant à la place qu</w:t>
      </w:r>
      <w:r>
        <w:rPr>
          <w:rFonts w:cs="Times New Roman"/>
          <w:lang w:val="fr-CA"/>
        </w:rPr>
        <w:t>’</w:t>
      </w:r>
      <w:r w:rsidRPr="004826C0">
        <w:rPr>
          <w:rFonts w:cs="Times New Roman"/>
          <w:lang w:val="fr-CA"/>
        </w:rPr>
        <w:t>occupe l</w:t>
      </w:r>
      <w:r>
        <w:rPr>
          <w:rFonts w:cs="Times New Roman"/>
          <w:lang w:val="fr-CA"/>
        </w:rPr>
        <w:t>’</w:t>
      </w:r>
      <w:r w:rsidRPr="004826C0">
        <w:rPr>
          <w:rFonts w:cs="Times New Roman"/>
          <w:lang w:val="fr-CA"/>
        </w:rPr>
        <w:t>INT au sein de la structure d</w:t>
      </w:r>
      <w:r>
        <w:rPr>
          <w:rFonts w:cs="Times New Roman"/>
          <w:lang w:val="fr-CA"/>
        </w:rPr>
        <w:t>’</w:t>
      </w:r>
      <w:r w:rsidRPr="004826C0">
        <w:rPr>
          <w:rFonts w:cs="Times New Roman"/>
          <w:lang w:val="fr-CA"/>
        </w:rPr>
        <w:t>ensemble du Groupe et quant à savoir si l</w:t>
      </w:r>
      <w:r>
        <w:rPr>
          <w:rFonts w:cs="Times New Roman"/>
          <w:lang w:val="fr-CA"/>
        </w:rPr>
        <w:t>’</w:t>
      </w:r>
      <w:r w:rsidRPr="004826C0">
        <w:rPr>
          <w:rFonts w:cs="Times New Roman"/>
          <w:lang w:val="fr-CA"/>
        </w:rPr>
        <w:t>INT jouit au Canada des immunités conférées aux organisations qui composent le Groupe. Cette ambiguïté découle en grande partie d</w:t>
      </w:r>
      <w:r>
        <w:rPr>
          <w:rFonts w:cs="Times New Roman"/>
          <w:lang w:val="fr-CA"/>
        </w:rPr>
        <w:t>’</w:t>
      </w:r>
      <w:r w:rsidRPr="004826C0">
        <w:rPr>
          <w:rFonts w:cs="Times New Roman"/>
          <w:lang w:val="fr-CA"/>
        </w:rPr>
        <w:t>une lacune au niveau de la preuve. À cet égard, le juge d</w:t>
      </w:r>
      <w:r>
        <w:rPr>
          <w:rFonts w:cs="Times New Roman"/>
          <w:lang w:val="fr-CA"/>
        </w:rPr>
        <w:t>’</w:t>
      </w:r>
      <w:r w:rsidRPr="004826C0">
        <w:rPr>
          <w:rFonts w:cs="Times New Roman"/>
          <w:lang w:val="fr-CA"/>
        </w:rPr>
        <w:t>instance a seulement noté que l</w:t>
      </w:r>
      <w:r>
        <w:rPr>
          <w:rFonts w:cs="Times New Roman"/>
          <w:lang w:val="fr-CA"/>
        </w:rPr>
        <w:t>’</w:t>
      </w:r>
      <w:r w:rsidRPr="004826C0">
        <w:rPr>
          <w:rFonts w:cs="Times New Roman"/>
          <w:lang w:val="fr-CA"/>
        </w:rPr>
        <w:t>INT constitue [</w:t>
      </w:r>
      <w:r w:rsidRPr="004826C0">
        <w:rPr>
          <w:rFonts w:cs="Times New Roman"/>
          <w:smallCaps/>
          <w:lang w:val="fr-CA"/>
        </w:rPr>
        <w:t>traduction</w:t>
      </w:r>
      <w:r w:rsidRPr="004826C0">
        <w:rPr>
          <w:rFonts w:cs="Times New Roman"/>
          <w:lang w:val="fr-CA"/>
        </w:rPr>
        <w:t>] « une unité indépendante au sein du Groupe de la Banque mondiale qui relève directement du président » et qu</w:t>
      </w:r>
      <w:r>
        <w:rPr>
          <w:rFonts w:cs="Times New Roman"/>
          <w:lang w:val="fr-CA"/>
        </w:rPr>
        <w:t>’</w:t>
      </w:r>
      <w:r w:rsidRPr="004826C0">
        <w:rPr>
          <w:rFonts w:cs="Times New Roman"/>
          <w:lang w:val="fr-CA"/>
        </w:rPr>
        <w:t>on ne sait pas « si l</w:t>
      </w:r>
      <w:r>
        <w:rPr>
          <w:rFonts w:cs="Times New Roman"/>
          <w:lang w:val="fr-CA"/>
        </w:rPr>
        <w:t>’</w:t>
      </w:r>
      <w:r w:rsidRPr="004826C0">
        <w:rPr>
          <w:rFonts w:cs="Times New Roman"/>
          <w:lang w:val="fr-CA"/>
        </w:rPr>
        <w:t>INT fait partie de l</w:t>
      </w:r>
      <w:r>
        <w:rPr>
          <w:rFonts w:cs="Times New Roman"/>
          <w:lang w:val="fr-CA"/>
        </w:rPr>
        <w:t>’</w:t>
      </w:r>
      <w:r w:rsidRPr="004826C0">
        <w:rPr>
          <w:rFonts w:cs="Times New Roman"/>
          <w:lang w:val="fr-CA"/>
        </w:rPr>
        <w:t>une des cinq organisations qui composent le Groupe de la Banque mondiale, sur le plan de son administration, ou si elle en est distincte » (par. 24).</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 dépit de cette indépendance fonctionnelle, nous sommes d</w:t>
      </w:r>
      <w:r>
        <w:rPr>
          <w:rFonts w:cs="Times New Roman"/>
          <w:lang w:val="fr-CA"/>
        </w:rPr>
        <w:t>’</w:t>
      </w:r>
      <w:r w:rsidRPr="004826C0">
        <w:rPr>
          <w:rFonts w:cs="Times New Roman"/>
          <w:lang w:val="fr-CA"/>
        </w:rPr>
        <w:t>avis que les documents de l</w:t>
      </w:r>
      <w:r>
        <w:rPr>
          <w:rFonts w:cs="Times New Roman"/>
          <w:lang w:val="fr-CA"/>
        </w:rPr>
        <w:t>’</w:t>
      </w:r>
      <w:r w:rsidRPr="004826C0">
        <w:rPr>
          <w:rFonts w:cs="Times New Roman"/>
          <w:lang w:val="fr-CA"/>
        </w:rPr>
        <w:t>INT appartiennent aux archives de la BIRD ou de l</w:t>
      </w:r>
      <w:r>
        <w:rPr>
          <w:rFonts w:cs="Times New Roman"/>
          <w:lang w:val="fr-CA"/>
        </w:rPr>
        <w:t>’</w:t>
      </w:r>
      <w:r w:rsidRPr="004826C0">
        <w:rPr>
          <w:rFonts w:cs="Times New Roman"/>
          <w:lang w:val="fr-CA"/>
        </w:rPr>
        <w:t>IDA et que ses employés jouissent de l</w:t>
      </w:r>
      <w:r>
        <w:rPr>
          <w:rFonts w:cs="Times New Roman"/>
          <w:lang w:val="fr-CA"/>
        </w:rPr>
        <w:t>’</w:t>
      </w:r>
      <w:r w:rsidRPr="004826C0">
        <w:rPr>
          <w:rFonts w:cs="Times New Roman"/>
          <w:lang w:val="fr-CA"/>
        </w:rPr>
        <w:t>immunité des poursuites accordée à ces dernières à l</w:t>
      </w:r>
      <w:r>
        <w:rPr>
          <w:rFonts w:cs="Times New Roman"/>
          <w:lang w:val="fr-CA"/>
        </w:rPr>
        <w:t>’</w:t>
      </w:r>
      <w:r w:rsidRPr="004826C0">
        <w:rPr>
          <w:rFonts w:cs="Times New Roman"/>
          <w:lang w:val="fr-CA"/>
        </w:rPr>
        <w:t>égard des actes accomplis dans l</w:t>
      </w:r>
      <w:r>
        <w:rPr>
          <w:rFonts w:cs="Times New Roman"/>
          <w:lang w:val="fr-CA"/>
        </w:rPr>
        <w:t>’</w:t>
      </w:r>
      <w:r w:rsidRPr="004826C0">
        <w:rPr>
          <w:rFonts w:cs="Times New Roman"/>
          <w:lang w:val="fr-CA"/>
        </w:rPr>
        <w:t>exercice de leurs fonctions. Comme les immunités sont identiques, point n</w:t>
      </w:r>
      <w:r>
        <w:rPr>
          <w:rFonts w:cs="Times New Roman"/>
          <w:lang w:val="fr-CA"/>
        </w:rPr>
        <w:t>’</w:t>
      </w:r>
      <w:r w:rsidRPr="004826C0">
        <w:rPr>
          <w:rFonts w:cs="Times New Roman"/>
          <w:lang w:val="fr-CA"/>
        </w:rPr>
        <w:t>est besoin de décider quelle disposition — soit l</w:t>
      </w:r>
      <w:r>
        <w:rPr>
          <w:rFonts w:cs="Times New Roman"/>
          <w:lang w:val="fr-CA"/>
        </w:rPr>
        <w:t>’</w:t>
      </w:r>
      <w:r w:rsidRPr="004826C0">
        <w:rPr>
          <w:rFonts w:cs="Times New Roman"/>
          <w:lang w:val="fr-CA"/>
        </w:rPr>
        <w:t>article VII de l</w:t>
      </w:r>
      <w:r>
        <w:rPr>
          <w:rFonts w:cs="Times New Roman"/>
          <w:lang w:val="fr-CA"/>
        </w:rPr>
        <w:t>’</w:t>
      </w:r>
      <w:r w:rsidRPr="004826C0">
        <w:rPr>
          <w:rFonts w:cs="Times New Roman"/>
          <w:lang w:val="fr-CA"/>
        </w:rPr>
        <w:t>Accord relatif à la BIRD, soit l</w:t>
      </w:r>
      <w:r>
        <w:rPr>
          <w:rFonts w:cs="Times New Roman"/>
          <w:lang w:val="fr-CA"/>
        </w:rPr>
        <w:t>’</w:t>
      </w:r>
      <w:r w:rsidRPr="004826C0">
        <w:rPr>
          <w:rFonts w:cs="Times New Roman"/>
          <w:lang w:val="fr-CA"/>
        </w:rPr>
        <w:t>article VIII des Statuts de l</w:t>
      </w:r>
      <w:r>
        <w:rPr>
          <w:rFonts w:cs="Times New Roman"/>
          <w:lang w:val="fr-CA"/>
        </w:rPr>
        <w:t>’</w:t>
      </w:r>
      <w:r w:rsidRPr="004826C0">
        <w:rPr>
          <w:rFonts w:cs="Times New Roman"/>
          <w:lang w:val="fr-CA"/>
        </w:rPr>
        <w:t>IDA — s</w:t>
      </w:r>
      <w:r>
        <w:rPr>
          <w:rFonts w:cs="Times New Roman"/>
          <w:lang w:val="fr-CA"/>
        </w:rPr>
        <w:t>’</w:t>
      </w:r>
      <w:r w:rsidRPr="004826C0">
        <w:rPr>
          <w:rFonts w:cs="Times New Roman"/>
          <w:lang w:val="fr-CA"/>
        </w:rPr>
        <w:t xml:space="preserve">applique.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w:t>
      </w:r>
      <w:r>
        <w:rPr>
          <w:rFonts w:cs="Times New Roman"/>
          <w:lang w:val="fr-CA"/>
        </w:rPr>
        <w:t>’</w:t>
      </w:r>
      <w:r w:rsidRPr="004826C0">
        <w:rPr>
          <w:rFonts w:cs="Times New Roman"/>
          <w:lang w:val="fr-CA"/>
        </w:rPr>
        <w:t>INT fait partie du régime d</w:t>
      </w:r>
      <w:r>
        <w:rPr>
          <w:rFonts w:cs="Times New Roman"/>
          <w:lang w:val="fr-CA"/>
        </w:rPr>
        <w:t>’</w:t>
      </w:r>
      <w:r w:rsidRPr="004826C0">
        <w:rPr>
          <w:rFonts w:cs="Times New Roman"/>
          <w:lang w:val="fr-CA"/>
        </w:rPr>
        <w:t>intégrité du Groupe. Son mandat consiste à mener des enquêtes si elle décèle des actes passibles de sanctions commis dans le cadre des projets financés par le Groupe ou si on lui fait part d</w:t>
      </w:r>
      <w:r>
        <w:rPr>
          <w:rFonts w:cs="Times New Roman"/>
          <w:lang w:val="fr-CA"/>
        </w:rPr>
        <w:t>’</w:t>
      </w:r>
      <w:r w:rsidRPr="004826C0">
        <w:rPr>
          <w:rFonts w:cs="Times New Roman"/>
          <w:lang w:val="fr-CA"/>
        </w:rPr>
        <w:t>allégations en ce sens. L</w:t>
      </w:r>
      <w:r>
        <w:rPr>
          <w:rFonts w:cs="Times New Roman"/>
          <w:lang w:val="fr-CA"/>
        </w:rPr>
        <w:t>’</w:t>
      </w:r>
      <w:r w:rsidRPr="004826C0">
        <w:rPr>
          <w:rFonts w:cs="Times New Roman"/>
          <w:lang w:val="fr-CA"/>
        </w:rPr>
        <w:t>INT enclenche également la procédure de sanctions internes, si besoin est. Le fondement juridique de ce régime d</w:t>
      </w:r>
      <w:r>
        <w:rPr>
          <w:rFonts w:cs="Times New Roman"/>
          <w:lang w:val="fr-CA"/>
        </w:rPr>
        <w:t>’</w:t>
      </w:r>
      <w:r w:rsidRPr="004826C0">
        <w:rPr>
          <w:rFonts w:cs="Times New Roman"/>
          <w:lang w:val="fr-CA"/>
        </w:rPr>
        <w:t>intégrité est énoncé dans l</w:t>
      </w:r>
      <w:r>
        <w:rPr>
          <w:rFonts w:cs="Times New Roman"/>
          <w:lang w:val="fr-CA"/>
        </w:rPr>
        <w:t>’</w:t>
      </w:r>
      <w:r w:rsidRPr="004826C0">
        <w:rPr>
          <w:rFonts w:cs="Times New Roman"/>
          <w:lang w:val="fr-CA"/>
        </w:rPr>
        <w:t>Accord relatif à la BIRD et dans les Statuts de l</w:t>
      </w:r>
      <w:r>
        <w:rPr>
          <w:rFonts w:cs="Times New Roman"/>
          <w:lang w:val="fr-CA"/>
        </w:rPr>
        <w:t>’</w:t>
      </w:r>
      <w:r w:rsidRPr="004826C0">
        <w:rPr>
          <w:rFonts w:cs="Times New Roman"/>
          <w:lang w:val="fr-CA"/>
        </w:rPr>
        <w:t>IDA, lesquels obligent ces dernières à prendre les mesures nécessaires pour faire en sorte que les fonds soient utilisés aux fins pour lesquelles ils ont été prêtés, et que toute l</w:t>
      </w:r>
      <w:r>
        <w:rPr>
          <w:rFonts w:cs="Times New Roman"/>
          <w:lang w:val="fr-CA"/>
        </w:rPr>
        <w:t>’</w:t>
      </w:r>
      <w:r w:rsidRPr="004826C0">
        <w:rPr>
          <w:rFonts w:cs="Times New Roman"/>
          <w:lang w:val="fr-CA"/>
        </w:rPr>
        <w:t>attention requise soit accordée aux considérations d</w:t>
      </w:r>
      <w:r>
        <w:rPr>
          <w:rFonts w:cs="Times New Roman"/>
          <w:lang w:val="fr-CA"/>
        </w:rPr>
        <w:t>’</w:t>
      </w:r>
      <w:r w:rsidRPr="004826C0">
        <w:rPr>
          <w:rFonts w:cs="Times New Roman"/>
          <w:lang w:val="fr-CA"/>
        </w:rPr>
        <w:t>économie et de rendement. L</w:t>
      </w:r>
      <w:r>
        <w:rPr>
          <w:rFonts w:cs="Times New Roman"/>
          <w:lang w:val="fr-CA"/>
        </w:rPr>
        <w:t>’</w:t>
      </w:r>
      <w:r w:rsidRPr="004826C0">
        <w:rPr>
          <w:rFonts w:cs="Times New Roman"/>
          <w:lang w:val="fr-CA"/>
        </w:rPr>
        <w:t>article III, al</w:t>
      </w:r>
      <w:r w:rsidR="00A57F13">
        <w:rPr>
          <w:rFonts w:cs="Times New Roman"/>
          <w:lang w:val="fr-CA"/>
        </w:rPr>
        <w:t>.</w:t>
      </w:r>
      <w:r w:rsidRPr="004826C0">
        <w:rPr>
          <w:rFonts w:cs="Times New Roman"/>
          <w:lang w:val="fr-CA"/>
        </w:rPr>
        <w:t> 5b) de l</w:t>
      </w:r>
      <w:r>
        <w:rPr>
          <w:rFonts w:cs="Times New Roman"/>
          <w:lang w:val="fr-CA"/>
        </w:rPr>
        <w:t>’</w:t>
      </w:r>
      <w:r w:rsidRPr="004826C0">
        <w:rPr>
          <w:rFonts w:cs="Times New Roman"/>
          <w:lang w:val="fr-CA"/>
        </w:rPr>
        <w:t>Accord relatif à la BIRD est ainsi rédigé :</w:t>
      </w:r>
    </w:p>
    <w:p w:rsidR="002405E3" w:rsidRPr="004826C0" w:rsidRDefault="002405E3" w:rsidP="003C0B54">
      <w:pPr>
        <w:pStyle w:val="Citation-AltC"/>
        <w:widowControl w:val="0"/>
        <w:ind w:hanging="1166"/>
        <w:contextualSpacing w:val="0"/>
        <w:rPr>
          <w:lang w:val="fr-CA"/>
        </w:rPr>
      </w:pPr>
      <w:r w:rsidRPr="004826C0">
        <w:rPr>
          <w:b/>
          <w:lang w:val="fr-CA"/>
        </w:rPr>
        <w:tab/>
        <w:t>b)</w:t>
      </w:r>
      <w:r w:rsidRPr="004826C0">
        <w:rPr>
          <w:lang w:val="fr-CA"/>
        </w:rPr>
        <w:t xml:space="preserve"> La Banque prendra des dispositions garantissant que les sommes provenant d</w:t>
      </w:r>
      <w:r>
        <w:rPr>
          <w:lang w:val="fr-CA"/>
        </w:rPr>
        <w:t>’</w:t>
      </w:r>
      <w:r w:rsidRPr="004826C0">
        <w:rPr>
          <w:lang w:val="fr-CA"/>
        </w:rPr>
        <w:t>un prêt quelconque seront exclusivement utilisées aux fins en vue desquelles le prêt a été accordé, en donnant aux considérations d</w:t>
      </w:r>
      <w:r>
        <w:rPr>
          <w:lang w:val="fr-CA"/>
        </w:rPr>
        <w:t>’</w:t>
      </w:r>
      <w:r w:rsidRPr="004826C0">
        <w:rPr>
          <w:lang w:val="fr-CA"/>
        </w:rPr>
        <w:t>économie et de rendement l</w:t>
      </w:r>
      <w:r>
        <w:rPr>
          <w:lang w:val="fr-CA"/>
        </w:rPr>
        <w:t>’</w:t>
      </w:r>
      <w:r w:rsidRPr="004826C0">
        <w:rPr>
          <w:lang w:val="fr-CA"/>
        </w:rPr>
        <w:t>importance qui leur est due et sans tenir compte des influences ou des considérations d</w:t>
      </w:r>
      <w:r>
        <w:rPr>
          <w:lang w:val="fr-CA"/>
        </w:rPr>
        <w:t>’</w:t>
      </w:r>
      <w:r w:rsidRPr="004826C0">
        <w:rPr>
          <w:lang w:val="fr-CA"/>
        </w:rPr>
        <w:t>ordre politique ou de toutes autres influences ou considérations qui ne sont pas d</w:t>
      </w:r>
      <w:r>
        <w:rPr>
          <w:lang w:val="fr-CA"/>
        </w:rPr>
        <w:t>’</w:t>
      </w:r>
      <w:r w:rsidRPr="004826C0">
        <w:rPr>
          <w:lang w:val="fr-CA"/>
        </w:rPr>
        <w:t>ordre économique.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Dans le même esprit, les al. 1g) et h) de l</w:t>
      </w:r>
      <w:r>
        <w:rPr>
          <w:rFonts w:cs="Times New Roman"/>
          <w:lang w:val="fr-CA"/>
        </w:rPr>
        <w:t>’</w:t>
      </w:r>
      <w:r w:rsidRPr="004826C0">
        <w:rPr>
          <w:rFonts w:cs="Times New Roman"/>
          <w:lang w:val="fr-CA"/>
        </w:rPr>
        <w:t>article V des Statuts de l</w:t>
      </w:r>
      <w:r>
        <w:rPr>
          <w:rFonts w:cs="Times New Roman"/>
          <w:lang w:val="fr-CA"/>
        </w:rPr>
        <w:t>’</w:t>
      </w:r>
      <w:r w:rsidRPr="004826C0">
        <w:rPr>
          <w:rFonts w:cs="Times New Roman"/>
          <w:lang w:val="fr-CA"/>
        </w:rPr>
        <w:t>IDA énoncent :</w:t>
      </w:r>
    </w:p>
    <w:p w:rsidR="002405E3" w:rsidRPr="004826C0" w:rsidRDefault="002405E3" w:rsidP="003C0B54">
      <w:pPr>
        <w:pStyle w:val="Citation-AltC"/>
        <w:widowControl w:val="0"/>
        <w:spacing w:after="240"/>
        <w:ind w:hanging="1166"/>
        <w:contextualSpacing w:val="0"/>
        <w:rPr>
          <w:lang w:val="fr-CA"/>
        </w:rPr>
      </w:pPr>
      <w:r w:rsidRPr="004826C0">
        <w:rPr>
          <w:b/>
          <w:lang w:val="fr-CA"/>
        </w:rPr>
        <w:tab/>
        <w:t>g)</w:t>
      </w:r>
      <w:r w:rsidRPr="004826C0">
        <w:rPr>
          <w:lang w:val="fr-CA"/>
        </w:rPr>
        <w:t xml:space="preserve"> L</w:t>
      </w:r>
      <w:r>
        <w:rPr>
          <w:lang w:val="fr-CA"/>
        </w:rPr>
        <w:t>’</w:t>
      </w:r>
      <w:r w:rsidRPr="004826C0">
        <w:rPr>
          <w:lang w:val="fr-CA"/>
        </w:rPr>
        <w:t>Association prendra des dispositions en vue d</w:t>
      </w:r>
      <w:r>
        <w:rPr>
          <w:lang w:val="fr-CA"/>
        </w:rPr>
        <w:t>’</w:t>
      </w:r>
      <w:r w:rsidRPr="004826C0">
        <w:rPr>
          <w:lang w:val="fr-CA"/>
        </w:rPr>
        <w:t>obtenir que le produit d</w:t>
      </w:r>
      <w:r>
        <w:rPr>
          <w:lang w:val="fr-CA"/>
        </w:rPr>
        <w:t>’</w:t>
      </w:r>
      <w:r w:rsidRPr="004826C0">
        <w:rPr>
          <w:lang w:val="fr-CA"/>
        </w:rPr>
        <w:t>un financement soit consacré exclusivement aux objets pour lesquels il a été accordé, compte dûment tenu des considérations d</w:t>
      </w:r>
      <w:r>
        <w:rPr>
          <w:lang w:val="fr-CA"/>
        </w:rPr>
        <w:t>’</w:t>
      </w:r>
      <w:r w:rsidRPr="004826C0">
        <w:rPr>
          <w:lang w:val="fr-CA"/>
        </w:rPr>
        <w:t>économie, de rendement, et de concurrence des échanges internationaux, et sans laisser intervenir des influences ou considérations politiques ou extra</w:t>
      </w:r>
      <w:r w:rsidRPr="004826C0">
        <w:rPr>
          <w:lang w:val="fr-CA"/>
        </w:rPr>
        <w:noBreakHyphen/>
        <w:t xml:space="preserve">économiques. </w:t>
      </w:r>
    </w:p>
    <w:p w:rsidR="002405E3" w:rsidRPr="004826C0" w:rsidRDefault="002405E3" w:rsidP="003C0B54">
      <w:pPr>
        <w:pStyle w:val="Citation-AltC"/>
        <w:widowControl w:val="0"/>
        <w:ind w:hanging="1166"/>
        <w:contextualSpacing w:val="0"/>
        <w:rPr>
          <w:lang w:val="fr-CA"/>
        </w:rPr>
      </w:pPr>
      <w:r w:rsidRPr="004826C0">
        <w:rPr>
          <w:b/>
          <w:lang w:val="fr-CA"/>
        </w:rPr>
        <w:tab/>
        <w:t>h)</w:t>
      </w:r>
      <w:r w:rsidRPr="004826C0">
        <w:rPr>
          <w:lang w:val="fr-CA"/>
        </w:rPr>
        <w:t xml:space="preserve"> Les fonds à fournir au titre d</w:t>
      </w:r>
      <w:r>
        <w:rPr>
          <w:lang w:val="fr-CA"/>
        </w:rPr>
        <w:t>’</w:t>
      </w:r>
      <w:r w:rsidRPr="004826C0">
        <w:rPr>
          <w:lang w:val="fr-CA"/>
        </w:rPr>
        <w:t>une opération de financement ne seront mis à la disposition du bénéficiaire que pour faire face à des dépenses liées au projet, au fur et à mesure qu</w:t>
      </w:r>
      <w:r>
        <w:rPr>
          <w:lang w:val="fr-CA"/>
        </w:rPr>
        <w:t>’</w:t>
      </w:r>
      <w:r w:rsidRPr="004826C0">
        <w:rPr>
          <w:lang w:val="fr-CA"/>
        </w:rPr>
        <w:t xml:space="preserve">elles seront réellement effectuées.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w:t>
      </w:r>
      <w:r>
        <w:rPr>
          <w:rFonts w:cs="Times New Roman"/>
          <w:lang w:val="fr-CA"/>
        </w:rPr>
        <w:t>’</w:t>
      </w:r>
      <w:r w:rsidRPr="004826C0">
        <w:rPr>
          <w:rFonts w:cs="Times New Roman"/>
          <w:lang w:val="fr-CA"/>
        </w:rPr>
        <w:t>Accord relatif à la BIRD et les Statuts de l</w:t>
      </w:r>
      <w:r>
        <w:rPr>
          <w:rFonts w:cs="Times New Roman"/>
          <w:lang w:val="fr-CA"/>
        </w:rPr>
        <w:t>’</w:t>
      </w:r>
      <w:r w:rsidRPr="004826C0">
        <w:rPr>
          <w:rFonts w:cs="Times New Roman"/>
          <w:lang w:val="fr-CA"/>
        </w:rPr>
        <w:t>IDA constituant le fondement juridique du régime d</w:t>
      </w:r>
      <w:r>
        <w:rPr>
          <w:rFonts w:cs="Times New Roman"/>
          <w:lang w:val="fr-CA"/>
        </w:rPr>
        <w:t>’</w:t>
      </w:r>
      <w:r w:rsidRPr="004826C0">
        <w:rPr>
          <w:rFonts w:cs="Times New Roman"/>
          <w:lang w:val="fr-CA"/>
        </w:rPr>
        <w:t>intégrité du Groupe — et partant l</w:t>
      </w:r>
      <w:r>
        <w:rPr>
          <w:rFonts w:cs="Times New Roman"/>
          <w:lang w:val="fr-CA"/>
        </w:rPr>
        <w:t>’</w:t>
      </w:r>
      <w:r w:rsidRPr="004826C0">
        <w:rPr>
          <w:rFonts w:cs="Times New Roman"/>
          <w:lang w:val="fr-CA"/>
        </w:rPr>
        <w:t>INT —, le bon sens veut que les immunités qui y sont prévues s</w:t>
      </w:r>
      <w:r>
        <w:rPr>
          <w:rFonts w:cs="Times New Roman"/>
          <w:lang w:val="fr-CA"/>
        </w:rPr>
        <w:t>’</w:t>
      </w:r>
      <w:r w:rsidRPr="004826C0">
        <w:rPr>
          <w:rFonts w:cs="Times New Roman"/>
          <w:lang w:val="fr-CA"/>
        </w:rPr>
        <w:t>appliquent aux documents et au personnel de l</w:t>
      </w:r>
      <w:r>
        <w:rPr>
          <w:rFonts w:cs="Times New Roman"/>
          <w:lang w:val="fr-CA"/>
        </w:rPr>
        <w:t>’</w:t>
      </w:r>
      <w:r w:rsidRPr="004826C0">
        <w:rPr>
          <w:rFonts w:cs="Times New Roman"/>
          <w:lang w:val="fr-CA"/>
        </w:rPr>
        <w:t>INT. Après tout, ces immunités ont été accordées à la BIRD et à l</w:t>
      </w:r>
      <w:r>
        <w:rPr>
          <w:rFonts w:cs="Times New Roman"/>
          <w:lang w:val="fr-CA"/>
        </w:rPr>
        <w:t>’</w:t>
      </w:r>
      <w:r w:rsidRPr="004826C0">
        <w:rPr>
          <w:rFonts w:cs="Times New Roman"/>
          <w:lang w:val="fr-CA"/>
        </w:rPr>
        <w:t>IDA pour leur permettre d</w:t>
      </w:r>
      <w:r>
        <w:rPr>
          <w:rFonts w:cs="Times New Roman"/>
          <w:lang w:val="fr-CA"/>
        </w:rPr>
        <w:t>’</w:t>
      </w:r>
      <w:r w:rsidRPr="004826C0">
        <w:rPr>
          <w:rFonts w:cs="Times New Roman"/>
          <w:lang w:val="fr-CA"/>
        </w:rPr>
        <w:t>exercer les fonctions qui leur ont été confiées (section 1, article VII de l</w:t>
      </w:r>
      <w:r>
        <w:rPr>
          <w:rFonts w:cs="Times New Roman"/>
          <w:lang w:val="fr-CA"/>
        </w:rPr>
        <w:t>’</w:t>
      </w:r>
      <w:r w:rsidRPr="004826C0">
        <w:rPr>
          <w:rFonts w:cs="Times New Roman"/>
          <w:lang w:val="fr-CA"/>
        </w:rPr>
        <w:t>Accord relatif à la BIRD; section 1, article VIII des Statuts de l</w:t>
      </w:r>
      <w:r>
        <w:rPr>
          <w:rFonts w:cs="Times New Roman"/>
          <w:lang w:val="fr-CA"/>
        </w:rPr>
        <w:t>’</w:t>
      </w:r>
      <w:r w:rsidRPr="004826C0">
        <w:rPr>
          <w:rFonts w:cs="Times New Roman"/>
          <w:lang w:val="fr-CA"/>
        </w:rPr>
        <w:t>IDA). Le juge d</w:t>
      </w:r>
      <w:r>
        <w:rPr>
          <w:rFonts w:cs="Times New Roman"/>
          <w:lang w:val="fr-CA"/>
        </w:rPr>
        <w:t>’</w:t>
      </w:r>
      <w:r w:rsidRPr="004826C0">
        <w:rPr>
          <w:rFonts w:cs="Times New Roman"/>
          <w:lang w:val="fr-CA"/>
        </w:rPr>
        <w:t>instance a appuyé sa conclusion à cet égard sur le fait que l</w:t>
      </w:r>
      <w:r>
        <w:rPr>
          <w:rFonts w:cs="Times New Roman"/>
          <w:lang w:val="fr-CA"/>
        </w:rPr>
        <w:t>’</w:t>
      </w:r>
      <w:r w:rsidRPr="004826C0">
        <w:rPr>
          <w:rFonts w:cs="Times New Roman"/>
          <w:lang w:val="fr-CA"/>
        </w:rPr>
        <w:t>en</w:t>
      </w:r>
      <w:r w:rsidRPr="004826C0">
        <w:rPr>
          <w:rFonts w:cs="Times New Roman"/>
          <w:lang w:val="fr-CA"/>
        </w:rPr>
        <w:noBreakHyphen/>
        <w:t>tête du papier à lettres utilisé par la direction des Opérations de l</w:t>
      </w:r>
      <w:r>
        <w:rPr>
          <w:rFonts w:cs="Times New Roman"/>
          <w:lang w:val="fr-CA"/>
        </w:rPr>
        <w:t>’</w:t>
      </w:r>
      <w:r w:rsidRPr="004826C0">
        <w:rPr>
          <w:rFonts w:cs="Times New Roman"/>
          <w:lang w:val="fr-CA"/>
        </w:rPr>
        <w:t>INT mentionne la BIRD, ce qui tend à prouver que, pour le Groupe, l</w:t>
      </w:r>
      <w:r>
        <w:rPr>
          <w:rFonts w:cs="Times New Roman"/>
          <w:lang w:val="fr-CA"/>
        </w:rPr>
        <w:t>’</w:t>
      </w:r>
      <w:r w:rsidRPr="004826C0">
        <w:rPr>
          <w:rFonts w:cs="Times New Roman"/>
          <w:lang w:val="fr-CA"/>
        </w:rPr>
        <w:t>INT fait partie de la BIRD. Nous procédons maintenant à l</w:t>
      </w:r>
      <w:r>
        <w:rPr>
          <w:rFonts w:cs="Times New Roman"/>
          <w:lang w:val="fr-CA"/>
        </w:rPr>
        <w:t>’</w:t>
      </w:r>
      <w:r w:rsidRPr="004826C0">
        <w:rPr>
          <w:rFonts w:cs="Times New Roman"/>
          <w:lang w:val="fr-CA"/>
        </w:rPr>
        <w:t>analyse des immunités énoncées dans les sections 5 et 8, à savoir les circonstances dans lesquelles elles s</w:t>
      </w:r>
      <w:r>
        <w:rPr>
          <w:rFonts w:cs="Times New Roman"/>
          <w:lang w:val="fr-CA"/>
        </w:rPr>
        <w:t>’</w:t>
      </w:r>
      <w:r w:rsidRPr="004826C0">
        <w:rPr>
          <w:rFonts w:cs="Times New Roman"/>
          <w:lang w:val="fr-CA"/>
        </w:rPr>
        <w:t>appliquent</w:t>
      </w:r>
      <w:r w:rsidR="00F376AF">
        <w:rPr>
          <w:rFonts w:cs="Times New Roman"/>
          <w:lang w:val="fr-CA"/>
        </w:rPr>
        <w:t>, leur portée</w:t>
      </w:r>
      <w:r w:rsidRPr="004826C0">
        <w:rPr>
          <w:rFonts w:cs="Times New Roman"/>
          <w:lang w:val="fr-CA"/>
        </w:rPr>
        <w:t xml:space="preserve"> et à quelles conditions il peut y avoir renonciation. </w:t>
      </w:r>
    </w:p>
    <w:p w:rsidR="002405E3" w:rsidRPr="004826C0" w:rsidRDefault="002405E3" w:rsidP="003C0B54">
      <w:pPr>
        <w:pStyle w:val="Title3LevelTitre3Niveau"/>
        <w:widowControl w:val="0"/>
        <w:rPr>
          <w:rStyle w:val="reflex3-block"/>
          <w:rFonts w:cs="Times New Roman"/>
          <w:lang w:val="fr-CA"/>
        </w:rPr>
      </w:pPr>
      <w:r w:rsidRPr="004826C0">
        <w:rPr>
          <w:rStyle w:val="reflex3-block"/>
          <w:rFonts w:cs="Times New Roman"/>
          <w:lang w:val="fr-CA"/>
        </w:rPr>
        <w:t>La section 3 s</w:t>
      </w:r>
      <w:r>
        <w:rPr>
          <w:rStyle w:val="reflex3-block"/>
          <w:rFonts w:cs="Times New Roman"/>
          <w:lang w:val="fr-CA"/>
        </w:rPr>
        <w:t>’</w:t>
      </w:r>
      <w:r w:rsidRPr="004826C0">
        <w:rPr>
          <w:rStyle w:val="reflex3-block"/>
          <w:rFonts w:cs="Times New Roman"/>
          <w:lang w:val="fr-CA"/>
        </w:rPr>
        <w:t>applique</w:t>
      </w:r>
      <w:r w:rsidRPr="004826C0">
        <w:rPr>
          <w:rStyle w:val="reflex3-block"/>
          <w:rFonts w:cs="Times New Roman"/>
          <w:lang w:val="fr-CA"/>
        </w:rPr>
        <w:noBreakHyphen/>
        <w:t>t</w:t>
      </w:r>
      <w:r w:rsidRPr="004826C0">
        <w:rPr>
          <w:rStyle w:val="reflex3-block"/>
          <w:rFonts w:cs="Times New Roman"/>
          <w:lang w:val="fr-CA"/>
        </w:rPr>
        <w:noBreakHyphen/>
        <w:t>elle?</w:t>
      </w:r>
    </w:p>
    <w:p w:rsidR="002405E3" w:rsidRPr="004826C0" w:rsidRDefault="002405E3" w:rsidP="004C7C6D">
      <w:pPr>
        <w:pStyle w:val="ParaNoNdepar-AltN"/>
        <w:widowControl w:val="0"/>
        <w:numPr>
          <w:ilvl w:val="0"/>
          <w:numId w:val="7"/>
        </w:numPr>
        <w:tabs>
          <w:tab w:val="clear" w:pos="6462"/>
          <w:tab w:val="num" w:pos="1332"/>
        </w:tabs>
        <w:ind w:left="0"/>
        <w:rPr>
          <w:rStyle w:val="reflex3-block"/>
          <w:rFonts w:cs="Times New Roman"/>
          <w:lang w:val="fr-CA"/>
        </w:rPr>
      </w:pPr>
      <w:r w:rsidRPr="004826C0">
        <w:rPr>
          <w:rStyle w:val="reflex3-block"/>
          <w:rFonts w:cs="Times New Roman"/>
          <w:lang w:val="fr-CA"/>
        </w:rPr>
        <w:t>Selon M. </w:t>
      </w:r>
      <w:proofErr w:type="spellStart"/>
      <w:r w:rsidRPr="004826C0">
        <w:rPr>
          <w:rStyle w:val="reflex3-block"/>
          <w:rFonts w:cs="Times New Roman"/>
          <w:lang w:val="fr-CA"/>
        </w:rPr>
        <w:t>Bhu</w:t>
      </w:r>
      <w:r>
        <w:rPr>
          <w:rStyle w:val="reflex3-block"/>
          <w:rFonts w:cs="Times New Roman"/>
          <w:lang w:val="fr-CA"/>
        </w:rPr>
        <w:t>iyan</w:t>
      </w:r>
      <w:proofErr w:type="spellEnd"/>
      <w:r>
        <w:rPr>
          <w:rStyle w:val="reflex3-block"/>
          <w:rFonts w:cs="Times New Roman"/>
          <w:lang w:val="fr-CA"/>
        </w:rPr>
        <w:t>, la section 3 de l’article </w:t>
      </w:r>
      <w:r w:rsidRPr="004826C0">
        <w:rPr>
          <w:rStyle w:val="reflex3-block"/>
          <w:rFonts w:cs="Times New Roman"/>
          <w:lang w:val="fr-CA"/>
        </w:rPr>
        <w:t>VII de l</w:t>
      </w:r>
      <w:r>
        <w:rPr>
          <w:rStyle w:val="reflex3-block"/>
          <w:rFonts w:cs="Times New Roman"/>
          <w:lang w:val="fr-CA"/>
        </w:rPr>
        <w:t>’</w:t>
      </w:r>
      <w:r w:rsidRPr="004826C0">
        <w:rPr>
          <w:rStyle w:val="reflex3-block"/>
          <w:rFonts w:cs="Times New Roman"/>
          <w:lang w:val="fr-CA"/>
        </w:rPr>
        <w:t>Accord relatif à la BIR</w:t>
      </w:r>
      <w:r>
        <w:rPr>
          <w:rStyle w:val="reflex3-block"/>
          <w:rFonts w:cs="Times New Roman"/>
          <w:lang w:val="fr-CA"/>
        </w:rPr>
        <w:t>D (ou la section 3 de l’article </w:t>
      </w:r>
      <w:r w:rsidRPr="004826C0">
        <w:rPr>
          <w:rStyle w:val="reflex3-block"/>
          <w:rFonts w:cs="Times New Roman"/>
          <w:lang w:val="fr-CA"/>
        </w:rPr>
        <w:t>VIII des Statuts de l</w:t>
      </w:r>
      <w:r>
        <w:rPr>
          <w:rStyle w:val="reflex3-block"/>
          <w:rFonts w:cs="Times New Roman"/>
          <w:lang w:val="fr-CA"/>
        </w:rPr>
        <w:t>’</w:t>
      </w:r>
      <w:r w:rsidRPr="004826C0">
        <w:rPr>
          <w:rStyle w:val="reflex3-block"/>
          <w:rFonts w:cs="Times New Roman"/>
          <w:lang w:val="fr-CA"/>
        </w:rPr>
        <w:t>IDA) permet expressément que soit rendue l</w:t>
      </w:r>
      <w:r>
        <w:rPr>
          <w:rStyle w:val="reflex3-block"/>
          <w:rFonts w:cs="Times New Roman"/>
          <w:lang w:val="fr-CA"/>
        </w:rPr>
        <w:t>’</w:t>
      </w:r>
      <w:r w:rsidRPr="004826C0">
        <w:rPr>
          <w:rStyle w:val="reflex3-block"/>
          <w:rFonts w:cs="Times New Roman"/>
          <w:lang w:val="fr-CA"/>
        </w:rPr>
        <w:t>ordonnance de communication de documents sollicitée par les intimés, peu importe les autres immunités dont jouissent la BIRD ou l</w:t>
      </w:r>
      <w:r>
        <w:rPr>
          <w:rStyle w:val="reflex3-block"/>
          <w:rFonts w:cs="Times New Roman"/>
          <w:lang w:val="fr-CA"/>
        </w:rPr>
        <w:t>’</w:t>
      </w:r>
      <w:r w:rsidRPr="004826C0">
        <w:rPr>
          <w:rStyle w:val="reflex3-block"/>
          <w:rFonts w:cs="Times New Roman"/>
          <w:lang w:val="fr-CA"/>
        </w:rPr>
        <w:t>IDA. La section 3 de l</w:t>
      </w:r>
      <w:r>
        <w:rPr>
          <w:rStyle w:val="reflex3-block"/>
          <w:rFonts w:cs="Times New Roman"/>
          <w:lang w:val="fr-CA"/>
        </w:rPr>
        <w:t>’</w:t>
      </w:r>
      <w:r w:rsidRPr="004826C0">
        <w:rPr>
          <w:rStyle w:val="reflex3-block"/>
          <w:rFonts w:cs="Times New Roman"/>
          <w:lang w:val="fr-CA"/>
        </w:rPr>
        <w:t>article VII de l</w:t>
      </w:r>
      <w:r>
        <w:rPr>
          <w:rStyle w:val="reflex3-block"/>
          <w:rFonts w:cs="Times New Roman"/>
          <w:lang w:val="fr-CA"/>
        </w:rPr>
        <w:t>’</w:t>
      </w:r>
      <w:r w:rsidRPr="004826C0">
        <w:rPr>
          <w:rStyle w:val="reflex3-block"/>
          <w:rFonts w:cs="Times New Roman"/>
          <w:lang w:val="fr-CA"/>
        </w:rPr>
        <w:t>Accord est ainsi libellée :</w:t>
      </w:r>
    </w:p>
    <w:p w:rsidR="002405E3" w:rsidRPr="004826C0" w:rsidRDefault="002405E3" w:rsidP="003C0B54">
      <w:pPr>
        <w:pStyle w:val="Citation-AltC"/>
        <w:widowControl w:val="0"/>
        <w:ind w:hanging="1166"/>
        <w:contextualSpacing w:val="0"/>
        <w:rPr>
          <w:rStyle w:val="reflex3-block"/>
          <w:lang w:val="fr-CA"/>
        </w:rPr>
      </w:pPr>
      <w:r w:rsidRPr="004826C0">
        <w:rPr>
          <w:rStyle w:val="reflex3-block"/>
          <w:lang w:val="fr-CA"/>
        </w:rPr>
        <w:tab/>
        <w:t>Il ne pourra être intenté d</w:t>
      </w:r>
      <w:r>
        <w:rPr>
          <w:rStyle w:val="reflex3-block"/>
          <w:lang w:val="fr-CA"/>
        </w:rPr>
        <w:t>’</w:t>
      </w:r>
      <w:r w:rsidRPr="004826C0">
        <w:rPr>
          <w:rStyle w:val="reflex3-block"/>
          <w:lang w:val="fr-CA"/>
        </w:rPr>
        <w:t>action en justice contre la Banque que devant un tribunal dont la compétence s</w:t>
      </w:r>
      <w:r>
        <w:rPr>
          <w:rStyle w:val="reflex3-block"/>
          <w:lang w:val="fr-CA"/>
        </w:rPr>
        <w:t>’</w:t>
      </w:r>
      <w:r w:rsidRPr="004826C0">
        <w:rPr>
          <w:rStyle w:val="reflex3-block"/>
          <w:lang w:val="fr-CA"/>
        </w:rPr>
        <w:t>étend aux territoires d</w:t>
      </w:r>
      <w:r>
        <w:rPr>
          <w:rStyle w:val="reflex3-block"/>
          <w:lang w:val="fr-CA"/>
        </w:rPr>
        <w:t>’</w:t>
      </w:r>
      <w:r w:rsidRPr="004826C0">
        <w:rPr>
          <w:rStyle w:val="reflex3-block"/>
          <w:lang w:val="fr-CA"/>
        </w:rPr>
        <w:t>un État membre dans lesquels elle possède un bureau ou dans lesquels elle a nommé un agent aux fins de recevoir les assignations ou significations d</w:t>
      </w:r>
      <w:r>
        <w:rPr>
          <w:rStyle w:val="reflex3-block"/>
          <w:lang w:val="fr-CA"/>
        </w:rPr>
        <w:t>’</w:t>
      </w:r>
      <w:r w:rsidRPr="004826C0">
        <w:rPr>
          <w:rStyle w:val="reflex3-block"/>
          <w:lang w:val="fr-CA"/>
        </w:rPr>
        <w:t>ordre judiciaire ou dans lesquels elle a émis ou garanti des valeurs. Toutefois, aucune action en justice ne pourra être intentée par des États membres ou par des personnes agissant pour le compte desdits États ou faisant valoir des droits qu</w:t>
      </w:r>
      <w:r>
        <w:rPr>
          <w:rStyle w:val="reflex3-block"/>
          <w:lang w:val="fr-CA"/>
        </w:rPr>
        <w:t>’</w:t>
      </w:r>
      <w:r w:rsidRPr="004826C0">
        <w:rPr>
          <w:rStyle w:val="reflex3-block"/>
          <w:lang w:val="fr-CA"/>
        </w:rPr>
        <w:t>ils tiennent de ceux</w:t>
      </w:r>
      <w:r w:rsidRPr="004826C0">
        <w:rPr>
          <w:rStyle w:val="reflex3-block"/>
          <w:lang w:val="fr-CA"/>
        </w:rPr>
        <w:noBreakHyphen/>
        <w:t>ci. Les biens et avoirs de la Banque, en quelque lieu qu</w:t>
      </w:r>
      <w:r>
        <w:rPr>
          <w:rStyle w:val="reflex3-block"/>
          <w:lang w:val="fr-CA"/>
        </w:rPr>
        <w:t>’</w:t>
      </w:r>
      <w:r w:rsidRPr="004826C0">
        <w:rPr>
          <w:rStyle w:val="reflex3-block"/>
          <w:lang w:val="fr-CA"/>
        </w:rPr>
        <w:t>ils se trouvent et quels qu</w:t>
      </w:r>
      <w:r>
        <w:rPr>
          <w:rStyle w:val="reflex3-block"/>
          <w:lang w:val="fr-CA"/>
        </w:rPr>
        <w:t>’</w:t>
      </w:r>
      <w:r w:rsidRPr="004826C0">
        <w:rPr>
          <w:rStyle w:val="reflex3-block"/>
          <w:lang w:val="fr-CA"/>
        </w:rPr>
        <w:t>en soient les détenteurs, bénéficieront d</w:t>
      </w:r>
      <w:r>
        <w:rPr>
          <w:rStyle w:val="reflex3-block"/>
          <w:lang w:val="fr-CA"/>
        </w:rPr>
        <w:t>’</w:t>
      </w:r>
      <w:r w:rsidRPr="004826C0">
        <w:rPr>
          <w:rStyle w:val="reflex3-block"/>
          <w:lang w:val="fr-CA"/>
        </w:rPr>
        <w:t>une immunité en ce qui concerne toute forme de saisie</w:t>
      </w:r>
      <w:r w:rsidRPr="004826C0">
        <w:rPr>
          <w:rStyle w:val="reflex3-block"/>
          <w:lang w:val="fr-CA"/>
        </w:rPr>
        <w:noBreakHyphen/>
        <w:t>exécution, saisie</w:t>
      </w:r>
      <w:r w:rsidRPr="004826C0">
        <w:rPr>
          <w:rStyle w:val="reflex3-block"/>
          <w:lang w:val="fr-CA"/>
        </w:rPr>
        <w:noBreakHyphen/>
        <w:t>arrêt ou mesure d</w:t>
      </w:r>
      <w:r>
        <w:rPr>
          <w:rStyle w:val="reflex3-block"/>
          <w:lang w:val="fr-CA"/>
        </w:rPr>
        <w:t>’</w:t>
      </w:r>
      <w:r w:rsidRPr="004826C0">
        <w:rPr>
          <w:rStyle w:val="reflex3-block"/>
          <w:lang w:val="fr-CA"/>
        </w:rPr>
        <w:t>exécution tant qu</w:t>
      </w:r>
      <w:r>
        <w:rPr>
          <w:rStyle w:val="reflex3-block"/>
          <w:lang w:val="fr-CA"/>
        </w:rPr>
        <w:t>’</w:t>
      </w:r>
      <w:r w:rsidRPr="004826C0">
        <w:rPr>
          <w:rStyle w:val="reflex3-block"/>
          <w:lang w:val="fr-CA"/>
        </w:rPr>
        <w:t>une décision non susceptible de recours n</w:t>
      </w:r>
      <w:r>
        <w:rPr>
          <w:rStyle w:val="reflex3-block"/>
          <w:lang w:val="fr-CA"/>
        </w:rPr>
        <w:t>’</w:t>
      </w:r>
      <w:r w:rsidRPr="004826C0">
        <w:rPr>
          <w:rStyle w:val="reflex3-block"/>
          <w:lang w:val="fr-CA"/>
        </w:rPr>
        <w:t>aura pas été rendue contre la Banque. [</w:t>
      </w:r>
      <w:r w:rsidRPr="004826C0">
        <w:rPr>
          <w:lang w:val="fr-CA"/>
        </w:rPr>
        <w:t>Le libellé des Statuts de l</w:t>
      </w:r>
      <w:r>
        <w:rPr>
          <w:lang w:val="fr-CA"/>
        </w:rPr>
        <w:t>’</w:t>
      </w:r>
      <w:r w:rsidRPr="004826C0">
        <w:rPr>
          <w:lang w:val="fr-CA"/>
        </w:rPr>
        <w:t>IDA, sans être identique, est équivalent.]</w:t>
      </w:r>
    </w:p>
    <w:p w:rsidR="002405E3" w:rsidRPr="004826C0" w:rsidRDefault="002405E3" w:rsidP="004C7C6D">
      <w:pPr>
        <w:pStyle w:val="ParaNoNdepar-AltN"/>
        <w:widowControl w:val="0"/>
        <w:numPr>
          <w:ilvl w:val="0"/>
          <w:numId w:val="7"/>
        </w:numPr>
        <w:tabs>
          <w:tab w:val="clear" w:pos="6462"/>
          <w:tab w:val="num" w:pos="1332"/>
        </w:tabs>
        <w:ind w:left="0"/>
        <w:rPr>
          <w:rStyle w:val="reflex3-block"/>
          <w:rFonts w:cs="Times New Roman"/>
          <w:lang w:val="fr-CA"/>
        </w:rPr>
      </w:pPr>
      <w:r w:rsidRPr="004826C0">
        <w:rPr>
          <w:rStyle w:val="reflex3-block"/>
          <w:rFonts w:cs="Times New Roman"/>
          <w:lang w:val="fr-CA"/>
        </w:rPr>
        <w:t>Nous sommes d</w:t>
      </w:r>
      <w:r>
        <w:rPr>
          <w:rStyle w:val="reflex3-block"/>
          <w:rFonts w:cs="Times New Roman"/>
          <w:lang w:val="fr-CA"/>
        </w:rPr>
        <w:t>’</w:t>
      </w:r>
      <w:r w:rsidRPr="004826C0">
        <w:rPr>
          <w:rStyle w:val="reflex3-block"/>
          <w:rFonts w:cs="Times New Roman"/>
          <w:lang w:val="fr-CA"/>
        </w:rPr>
        <w:t>avis que la section 3 ne s</w:t>
      </w:r>
      <w:r>
        <w:rPr>
          <w:rStyle w:val="reflex3-block"/>
          <w:rFonts w:cs="Times New Roman"/>
          <w:lang w:val="fr-CA"/>
        </w:rPr>
        <w:t>’</w:t>
      </w:r>
      <w:r w:rsidRPr="004826C0">
        <w:rPr>
          <w:rStyle w:val="reflex3-block"/>
          <w:rFonts w:cs="Times New Roman"/>
          <w:lang w:val="fr-CA"/>
        </w:rPr>
        <w:t>applique pas en l</w:t>
      </w:r>
      <w:r>
        <w:rPr>
          <w:rStyle w:val="reflex3-block"/>
          <w:rFonts w:cs="Times New Roman"/>
          <w:lang w:val="fr-CA"/>
        </w:rPr>
        <w:t>’</w:t>
      </w:r>
      <w:r w:rsidRPr="004826C0">
        <w:rPr>
          <w:rStyle w:val="reflex3-block"/>
          <w:rFonts w:cs="Times New Roman"/>
          <w:lang w:val="fr-CA"/>
        </w:rPr>
        <w:t>espèce. Cette disposition ne fait que confirmer que la BIRD et l</w:t>
      </w:r>
      <w:r>
        <w:rPr>
          <w:rStyle w:val="reflex3-block"/>
          <w:rFonts w:cs="Times New Roman"/>
          <w:lang w:val="fr-CA"/>
        </w:rPr>
        <w:t>’</w:t>
      </w:r>
      <w:r w:rsidRPr="004826C0">
        <w:rPr>
          <w:rStyle w:val="reflex3-block"/>
          <w:rFonts w:cs="Times New Roman"/>
          <w:lang w:val="fr-CA"/>
        </w:rPr>
        <w:t>IDA, contrairement à nombre d</w:t>
      </w:r>
      <w:r>
        <w:rPr>
          <w:rStyle w:val="reflex3-block"/>
          <w:rFonts w:cs="Times New Roman"/>
          <w:lang w:val="fr-CA"/>
        </w:rPr>
        <w:t>’</w:t>
      </w:r>
      <w:r w:rsidRPr="004826C0">
        <w:rPr>
          <w:rStyle w:val="reflex3-block"/>
          <w:rFonts w:cs="Times New Roman"/>
          <w:lang w:val="fr-CA"/>
        </w:rPr>
        <w:t>autres organisations internationales, peuvent être poursuivies devant un tribunal compétent. Cela tient au fait que la BIRD et l</w:t>
      </w:r>
      <w:r>
        <w:rPr>
          <w:rStyle w:val="reflex3-block"/>
          <w:rFonts w:cs="Times New Roman"/>
          <w:lang w:val="fr-CA"/>
        </w:rPr>
        <w:t>’</w:t>
      </w:r>
      <w:r w:rsidRPr="004826C0">
        <w:rPr>
          <w:rStyle w:val="reflex3-block"/>
          <w:rFonts w:cs="Times New Roman"/>
          <w:lang w:val="fr-CA"/>
        </w:rPr>
        <w:t>IDA, comme d</w:t>
      </w:r>
      <w:r>
        <w:rPr>
          <w:rStyle w:val="reflex3-block"/>
          <w:rFonts w:cs="Times New Roman"/>
          <w:lang w:val="fr-CA"/>
        </w:rPr>
        <w:t>’</w:t>
      </w:r>
      <w:r w:rsidRPr="004826C0">
        <w:rPr>
          <w:rStyle w:val="reflex3-block"/>
          <w:rFonts w:cs="Times New Roman"/>
          <w:lang w:val="fr-CA"/>
        </w:rPr>
        <w:t>autres banques internationales pour le développement, participent à des opérations de prêt et d</w:t>
      </w:r>
      <w:r>
        <w:rPr>
          <w:rStyle w:val="reflex3-block"/>
          <w:rFonts w:cs="Times New Roman"/>
          <w:lang w:val="fr-CA"/>
        </w:rPr>
        <w:t>’</w:t>
      </w:r>
      <w:r w:rsidRPr="004826C0">
        <w:rPr>
          <w:rStyle w:val="reflex3-block"/>
          <w:rFonts w:cs="Times New Roman"/>
          <w:lang w:val="fr-CA"/>
        </w:rPr>
        <w:t>emprunt, et, pour inspirer confiance aux prêteurs, il faut que les créanciers de la BIRD et de l</w:t>
      </w:r>
      <w:r>
        <w:rPr>
          <w:rStyle w:val="reflex3-block"/>
          <w:rFonts w:cs="Times New Roman"/>
          <w:lang w:val="fr-CA"/>
        </w:rPr>
        <w:t>’</w:t>
      </w:r>
      <w:r w:rsidRPr="004826C0">
        <w:rPr>
          <w:rStyle w:val="reflex3-block"/>
          <w:rFonts w:cs="Times New Roman"/>
          <w:lang w:val="fr-CA"/>
        </w:rPr>
        <w:t>IDA aient la possibilité d</w:t>
      </w:r>
      <w:r>
        <w:rPr>
          <w:rStyle w:val="reflex3-block"/>
          <w:rFonts w:cs="Times New Roman"/>
          <w:lang w:val="fr-CA"/>
        </w:rPr>
        <w:t>’</w:t>
      </w:r>
      <w:r w:rsidRPr="004826C0">
        <w:rPr>
          <w:rStyle w:val="reflex3-block"/>
          <w:rFonts w:cs="Times New Roman"/>
          <w:lang w:val="fr-CA"/>
        </w:rPr>
        <w:t xml:space="preserve">ester en justice </w:t>
      </w:r>
      <w:r>
        <w:rPr>
          <w:rStyle w:val="reflex3-block"/>
          <w:rFonts w:cs="Times New Roman"/>
          <w:lang w:val="fr-CA"/>
        </w:rPr>
        <w:t>pour recouvrer leur créance (A. </w:t>
      </w:r>
      <w:proofErr w:type="spellStart"/>
      <w:r w:rsidRPr="004826C0">
        <w:rPr>
          <w:rStyle w:val="reflex3-block"/>
          <w:rFonts w:cs="Times New Roman"/>
          <w:lang w:val="fr-CA"/>
        </w:rPr>
        <w:t>Reinisch</w:t>
      </w:r>
      <w:proofErr w:type="spellEnd"/>
      <w:r w:rsidRPr="004826C0">
        <w:rPr>
          <w:rStyle w:val="reflex3-block"/>
          <w:rFonts w:cs="Times New Roman"/>
          <w:lang w:val="fr-CA"/>
        </w:rPr>
        <w:t xml:space="preserve"> et J.</w:t>
      </w:r>
      <w:r>
        <w:rPr>
          <w:rStyle w:val="reflex3-block"/>
          <w:rFonts w:cs="Times New Roman"/>
          <w:lang w:val="fr-CA"/>
        </w:rPr>
        <w:t> </w:t>
      </w:r>
      <w:proofErr w:type="spellStart"/>
      <w:r w:rsidRPr="004826C0">
        <w:rPr>
          <w:rStyle w:val="reflex3-block"/>
          <w:rFonts w:cs="Times New Roman"/>
          <w:lang w:val="fr-CA"/>
        </w:rPr>
        <w:t>Wurm</w:t>
      </w:r>
      <w:proofErr w:type="spellEnd"/>
      <w:r w:rsidRPr="004826C0">
        <w:rPr>
          <w:rStyle w:val="reflex3-block"/>
          <w:rFonts w:cs="Times New Roman"/>
          <w:lang w:val="fr-CA"/>
        </w:rPr>
        <w:t xml:space="preserve">, « International Financial Institutions </w:t>
      </w:r>
      <w:proofErr w:type="spellStart"/>
      <w:r w:rsidRPr="004826C0">
        <w:rPr>
          <w:rStyle w:val="reflex3-block"/>
          <w:rFonts w:cs="Times New Roman"/>
          <w:lang w:val="fr-CA"/>
        </w:rPr>
        <w:t>be</w:t>
      </w:r>
      <w:r>
        <w:rPr>
          <w:rStyle w:val="reflex3-block"/>
          <w:rFonts w:cs="Times New Roman"/>
          <w:lang w:val="fr-CA"/>
        </w:rPr>
        <w:t>fore</w:t>
      </w:r>
      <w:proofErr w:type="spellEnd"/>
      <w:r>
        <w:rPr>
          <w:rStyle w:val="reflex3-block"/>
          <w:rFonts w:cs="Times New Roman"/>
          <w:lang w:val="fr-CA"/>
        </w:rPr>
        <w:t xml:space="preserve"> National Courts », dans D. D. </w:t>
      </w:r>
      <w:proofErr w:type="spellStart"/>
      <w:r>
        <w:rPr>
          <w:rStyle w:val="reflex3-block"/>
          <w:rFonts w:cs="Times New Roman"/>
          <w:lang w:val="fr-CA"/>
        </w:rPr>
        <w:t>Bradlow</w:t>
      </w:r>
      <w:proofErr w:type="spellEnd"/>
      <w:r>
        <w:rPr>
          <w:rStyle w:val="reflex3-block"/>
          <w:rFonts w:cs="Times New Roman"/>
          <w:lang w:val="fr-CA"/>
        </w:rPr>
        <w:t xml:space="preserve"> et D. B. </w:t>
      </w:r>
      <w:r w:rsidRPr="004826C0">
        <w:rPr>
          <w:rStyle w:val="reflex3-block"/>
          <w:rFonts w:cs="Times New Roman"/>
          <w:lang w:val="fr-CA"/>
        </w:rPr>
        <w:t xml:space="preserve">Hunter, </w:t>
      </w:r>
      <w:proofErr w:type="spellStart"/>
      <w:r w:rsidRPr="004826C0">
        <w:rPr>
          <w:rStyle w:val="reflex3-block"/>
          <w:rFonts w:cs="Times New Roman"/>
          <w:lang w:val="fr-CA"/>
        </w:rPr>
        <w:t>dir</w:t>
      </w:r>
      <w:proofErr w:type="spellEnd"/>
      <w:r w:rsidRPr="004826C0">
        <w:rPr>
          <w:rStyle w:val="reflex3-block"/>
          <w:rFonts w:cs="Times New Roman"/>
          <w:lang w:val="fr-CA"/>
        </w:rPr>
        <w:t xml:space="preserve">., </w:t>
      </w:r>
      <w:r w:rsidRPr="004826C0">
        <w:rPr>
          <w:rStyle w:val="reflex3-block"/>
          <w:rFonts w:cs="Times New Roman"/>
          <w:i/>
          <w:lang w:val="fr-CA"/>
        </w:rPr>
        <w:t>International Financial Institutions and International Law</w:t>
      </w:r>
      <w:r w:rsidRPr="004826C0">
        <w:rPr>
          <w:rStyle w:val="reflex3-block"/>
          <w:rFonts w:cs="Times New Roman"/>
          <w:lang w:val="fr-CA"/>
        </w:rPr>
        <w:t xml:space="preserve"> (2010), 103, p. 123</w:t>
      </w:r>
      <w:r w:rsidRPr="004826C0">
        <w:rPr>
          <w:rStyle w:val="reflex3-block"/>
          <w:rFonts w:cs="Times New Roman"/>
          <w:lang w:val="fr-CA"/>
        </w:rPr>
        <w:noBreakHyphen/>
        <w:t>124; P. </w:t>
      </w:r>
      <w:proofErr w:type="spellStart"/>
      <w:r w:rsidRPr="004826C0">
        <w:rPr>
          <w:rStyle w:val="reflex3-block"/>
          <w:rFonts w:cs="Times New Roman"/>
          <w:lang w:val="fr-CA"/>
        </w:rPr>
        <w:t>Sands</w:t>
      </w:r>
      <w:proofErr w:type="spellEnd"/>
      <w:r w:rsidRPr="004826C0">
        <w:rPr>
          <w:rStyle w:val="reflex3-block"/>
          <w:rFonts w:cs="Times New Roman"/>
          <w:lang w:val="fr-CA"/>
        </w:rPr>
        <w:t xml:space="preserve"> et P. Klein, </w:t>
      </w:r>
      <w:proofErr w:type="spellStart"/>
      <w:r w:rsidRPr="004826C0">
        <w:rPr>
          <w:rStyle w:val="reflex3-block"/>
          <w:rFonts w:cs="Times New Roman"/>
          <w:i/>
          <w:lang w:val="fr-CA"/>
        </w:rPr>
        <w:t>Bowett</w:t>
      </w:r>
      <w:r>
        <w:rPr>
          <w:rStyle w:val="reflex3-block"/>
          <w:rFonts w:cs="Times New Roman"/>
          <w:i/>
          <w:lang w:val="fr-CA"/>
        </w:rPr>
        <w:t>’</w:t>
      </w:r>
      <w:r w:rsidRPr="004826C0">
        <w:rPr>
          <w:rStyle w:val="reflex3-block"/>
          <w:rFonts w:cs="Times New Roman"/>
          <w:i/>
          <w:lang w:val="fr-CA"/>
        </w:rPr>
        <w:t>s</w:t>
      </w:r>
      <w:proofErr w:type="spellEnd"/>
      <w:r w:rsidRPr="004826C0">
        <w:rPr>
          <w:rStyle w:val="reflex3-block"/>
          <w:rFonts w:cs="Times New Roman"/>
          <w:i/>
          <w:lang w:val="fr-CA"/>
        </w:rPr>
        <w:t xml:space="preserve"> Law of International Institutions</w:t>
      </w:r>
      <w:r w:rsidRPr="004826C0">
        <w:rPr>
          <w:rStyle w:val="reflex3-block"/>
          <w:rFonts w:cs="Times New Roman"/>
          <w:lang w:val="fr-CA"/>
        </w:rPr>
        <w:t xml:space="preserve"> (6</w:t>
      </w:r>
      <w:r w:rsidRPr="004826C0">
        <w:rPr>
          <w:rStyle w:val="reflex3-block"/>
          <w:rFonts w:cs="Times New Roman"/>
          <w:vertAlign w:val="superscript"/>
          <w:lang w:val="fr-CA"/>
        </w:rPr>
        <w:t>e</w:t>
      </w:r>
      <w:r w:rsidRPr="004826C0">
        <w:rPr>
          <w:rStyle w:val="reflex3-block"/>
          <w:rFonts w:cs="Times New Roman"/>
          <w:lang w:val="fr-CA"/>
        </w:rPr>
        <w:t> éd. 2009)</w:t>
      </w:r>
      <w:r w:rsidR="00166528">
        <w:rPr>
          <w:rStyle w:val="reflex3-block"/>
          <w:rFonts w:cs="Times New Roman"/>
          <w:lang w:val="fr-CA"/>
        </w:rPr>
        <w:t>,</w:t>
      </w:r>
      <w:r w:rsidRPr="004826C0">
        <w:rPr>
          <w:rStyle w:val="reflex3-block"/>
          <w:rFonts w:cs="Times New Roman"/>
          <w:lang w:val="fr-CA"/>
        </w:rPr>
        <w:t xml:space="preserve"> p. 496). Le présent pourvoi porte sur une demande de communication de documents visant le personnel de l</w:t>
      </w:r>
      <w:r>
        <w:rPr>
          <w:rStyle w:val="reflex3-block"/>
          <w:rFonts w:cs="Times New Roman"/>
          <w:lang w:val="fr-CA"/>
        </w:rPr>
        <w:t>’</w:t>
      </w:r>
      <w:r w:rsidRPr="004826C0">
        <w:rPr>
          <w:rStyle w:val="reflex3-block"/>
          <w:rFonts w:cs="Times New Roman"/>
          <w:lang w:val="fr-CA"/>
        </w:rPr>
        <w:t>INT dans le contexte d</w:t>
      </w:r>
      <w:r>
        <w:rPr>
          <w:rStyle w:val="reflex3-block"/>
          <w:rFonts w:cs="Times New Roman"/>
          <w:lang w:val="fr-CA"/>
        </w:rPr>
        <w:t>’</w:t>
      </w:r>
      <w:r w:rsidRPr="004826C0">
        <w:rPr>
          <w:rStyle w:val="reflex3-block"/>
          <w:rFonts w:cs="Times New Roman"/>
          <w:lang w:val="fr-CA"/>
        </w:rPr>
        <w:t>accusations en matière criminelle. Ce n</w:t>
      </w:r>
      <w:r>
        <w:rPr>
          <w:rStyle w:val="reflex3-block"/>
          <w:rFonts w:cs="Times New Roman"/>
          <w:lang w:val="fr-CA"/>
        </w:rPr>
        <w:t>’</w:t>
      </w:r>
      <w:r w:rsidRPr="004826C0">
        <w:rPr>
          <w:rStyle w:val="reflex3-block"/>
          <w:rFonts w:cs="Times New Roman"/>
          <w:lang w:val="fr-CA"/>
        </w:rPr>
        <w:t xml:space="preserve">est tout simplement pas le genre de poursuite dont il est question à la section 3. </w:t>
      </w:r>
    </w:p>
    <w:p w:rsidR="002405E3" w:rsidRPr="004826C0" w:rsidRDefault="002405E3" w:rsidP="003C0B54">
      <w:pPr>
        <w:pStyle w:val="Title3LevelTitre3Niveau"/>
        <w:widowControl w:val="0"/>
        <w:rPr>
          <w:rStyle w:val="reflex3-block"/>
          <w:rFonts w:cs="Times New Roman"/>
          <w:lang w:val="fr-CA"/>
        </w:rPr>
      </w:pPr>
      <w:r w:rsidRPr="004826C0">
        <w:rPr>
          <w:rStyle w:val="reflex3-block"/>
          <w:rFonts w:cs="Times New Roman"/>
          <w:lang w:val="fr-CA"/>
        </w:rPr>
        <w:t>Les immunités définies dans l</w:t>
      </w:r>
      <w:r>
        <w:rPr>
          <w:rStyle w:val="reflex3-block"/>
          <w:rFonts w:cs="Times New Roman"/>
          <w:lang w:val="fr-CA"/>
        </w:rPr>
        <w:t>’</w:t>
      </w:r>
      <w:r w:rsidRPr="004826C0">
        <w:rPr>
          <w:rStyle w:val="reflex3-block"/>
          <w:rFonts w:cs="Times New Roman"/>
          <w:lang w:val="fr-CA"/>
        </w:rPr>
        <w:t>Accord et dans les Statuts sont</w:t>
      </w:r>
      <w:r w:rsidRPr="004826C0">
        <w:rPr>
          <w:rStyle w:val="reflex3-block"/>
          <w:rFonts w:cs="Times New Roman"/>
          <w:lang w:val="fr-CA"/>
        </w:rPr>
        <w:noBreakHyphen/>
        <w:t>elles « fonctionnelles »?</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intimés soutiennent que les immunités prévues aux sections 5 et 8 sont [</w:t>
      </w:r>
      <w:r w:rsidRPr="004826C0">
        <w:rPr>
          <w:rFonts w:cs="Times New Roman"/>
          <w:smallCaps/>
          <w:lang w:val="fr-CA"/>
        </w:rPr>
        <w:t>traduction</w:t>
      </w:r>
      <w:r w:rsidRPr="004826C0">
        <w:rPr>
          <w:rFonts w:cs="Times New Roman"/>
          <w:lang w:val="fr-CA"/>
        </w:rPr>
        <w:t>] « fonctionnelles ». Selon eux, une immunité fonctionnelle ne s</w:t>
      </w:r>
      <w:r>
        <w:rPr>
          <w:rFonts w:cs="Times New Roman"/>
          <w:lang w:val="fr-CA"/>
        </w:rPr>
        <w:t>’</w:t>
      </w:r>
      <w:r w:rsidRPr="004826C0">
        <w:rPr>
          <w:rFonts w:cs="Times New Roman"/>
          <w:lang w:val="fr-CA"/>
        </w:rPr>
        <w:t>applique uniquement que si sa nécessité a été expressément démontrée pour l</w:t>
      </w:r>
      <w:r>
        <w:rPr>
          <w:rFonts w:cs="Times New Roman"/>
          <w:lang w:val="fr-CA"/>
        </w:rPr>
        <w:t>’</w:t>
      </w:r>
      <w:r w:rsidRPr="004826C0">
        <w:rPr>
          <w:rFonts w:cs="Times New Roman"/>
          <w:lang w:val="fr-CA"/>
        </w:rPr>
        <w:t>exercice des opérations et responsabilités de l</w:t>
      </w:r>
      <w:r>
        <w:rPr>
          <w:rFonts w:cs="Times New Roman"/>
          <w:lang w:val="fr-CA"/>
        </w:rPr>
        <w:t>’</w:t>
      </w:r>
      <w:r w:rsidRPr="004826C0">
        <w:rPr>
          <w:rFonts w:cs="Times New Roman"/>
          <w:lang w:val="fr-CA"/>
        </w:rPr>
        <w:t>organisation. C</w:t>
      </w:r>
      <w:r>
        <w:rPr>
          <w:rFonts w:cs="Times New Roman"/>
          <w:lang w:val="fr-CA"/>
        </w:rPr>
        <w:t>’</w:t>
      </w:r>
      <w:r w:rsidRPr="004826C0">
        <w:rPr>
          <w:rFonts w:cs="Times New Roman"/>
          <w:lang w:val="fr-CA"/>
        </w:rPr>
        <w:t>est effectivement ce que la Cour a conclu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Amaratunga</w:t>
      </w:r>
      <w:proofErr w:type="spellEnd"/>
      <w:r w:rsidRPr="004826C0">
        <w:rPr>
          <w:rFonts w:cs="Times New Roman"/>
          <w:lang w:val="fr-CA"/>
        </w:rPr>
        <w:t xml:space="preserve"> relativement à l</w:t>
      </w:r>
      <w:r>
        <w:rPr>
          <w:rFonts w:cs="Times New Roman"/>
          <w:lang w:val="fr-CA"/>
        </w:rPr>
        <w:t>’</w:t>
      </w:r>
      <w:r w:rsidRPr="004826C0">
        <w:rPr>
          <w:rFonts w:cs="Times New Roman"/>
          <w:lang w:val="fr-CA"/>
        </w:rPr>
        <w:t>immunité en cause. En revanche, une immunité dite « absolue » n</w:t>
      </w:r>
      <w:r>
        <w:rPr>
          <w:rFonts w:cs="Times New Roman"/>
          <w:lang w:val="fr-CA"/>
        </w:rPr>
        <w:t>’</w:t>
      </w:r>
      <w:r w:rsidRPr="004826C0">
        <w:rPr>
          <w:rFonts w:cs="Times New Roman"/>
          <w:lang w:val="fr-CA"/>
        </w:rPr>
        <w:t>exige pas d</w:t>
      </w:r>
      <w:r>
        <w:rPr>
          <w:rFonts w:cs="Times New Roman"/>
          <w:lang w:val="fr-CA"/>
        </w:rPr>
        <w:t>’</w:t>
      </w:r>
      <w:r w:rsidRPr="004826C0">
        <w:rPr>
          <w:rFonts w:cs="Times New Roman"/>
          <w:lang w:val="fr-CA"/>
        </w:rPr>
        <w:t>analyse au cas par cas visant à déterminer s</w:t>
      </w:r>
      <w:r>
        <w:rPr>
          <w:rFonts w:cs="Times New Roman"/>
          <w:lang w:val="fr-CA"/>
        </w:rPr>
        <w:t>’</w:t>
      </w:r>
      <w:r w:rsidRPr="004826C0">
        <w:rPr>
          <w:rFonts w:cs="Times New Roman"/>
          <w:lang w:val="fr-CA"/>
        </w:rPr>
        <w:t>il y a nécessité fonctionnelle.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Au soutien de leur thèse, les intimés attirent l</w:t>
      </w:r>
      <w:r>
        <w:rPr>
          <w:rFonts w:cs="Times New Roman"/>
          <w:lang w:val="fr-CA"/>
        </w:rPr>
        <w:t>’</w:t>
      </w:r>
      <w:r w:rsidRPr="004826C0">
        <w:rPr>
          <w:rFonts w:cs="Times New Roman"/>
          <w:lang w:val="fr-CA"/>
        </w:rPr>
        <w:t xml:space="preserve">attention de la Cour sur la section 1, ainsi libellée : « Pour mettre la </w:t>
      </w:r>
      <w:r w:rsidR="00B15CCB">
        <w:rPr>
          <w:rFonts w:cs="Times New Roman"/>
          <w:lang w:val="fr-CA"/>
        </w:rPr>
        <w:t>Banque</w:t>
      </w:r>
      <w:r w:rsidRPr="004826C0">
        <w:rPr>
          <w:rFonts w:cs="Times New Roman"/>
          <w:lang w:val="fr-CA"/>
        </w:rPr>
        <w:t xml:space="preserve"> en mesure de </w:t>
      </w:r>
      <w:r w:rsidRPr="004826C0">
        <w:rPr>
          <w:rFonts w:cs="Times New Roman"/>
          <w:u w:val="single"/>
          <w:lang w:val="fr-CA"/>
        </w:rPr>
        <w:t>remplir les fonctions qui lui sont confiées</w:t>
      </w:r>
      <w:r w:rsidRPr="004826C0">
        <w:rPr>
          <w:rFonts w:cs="Times New Roman"/>
          <w:lang w:val="fr-CA"/>
        </w:rPr>
        <w:t xml:space="preserve">, le statut, les immunités et privilèges définis dans le présent article seront accordés à la </w:t>
      </w:r>
      <w:r w:rsidR="00B15CCB">
        <w:rPr>
          <w:rFonts w:cs="Times New Roman"/>
          <w:lang w:val="fr-CA"/>
        </w:rPr>
        <w:t>Banque</w:t>
      </w:r>
      <w:r w:rsidRPr="004826C0">
        <w:rPr>
          <w:rFonts w:cs="Times New Roman"/>
          <w:lang w:val="fr-CA"/>
        </w:rPr>
        <w:t xml:space="preserve"> dans les territoires de chaque État membre »</w:t>
      </w:r>
      <w:r>
        <w:rPr>
          <w:rFonts w:cs="Times New Roman"/>
          <w:lang w:val="fr-CA"/>
        </w:rPr>
        <w:t xml:space="preserve"> (</w:t>
      </w:r>
      <w:r w:rsidRPr="004826C0">
        <w:rPr>
          <w:rFonts w:cs="Times New Roman"/>
          <w:lang w:val="fr-CA"/>
        </w:rPr>
        <w:t>le libellé des Statuts de l</w:t>
      </w:r>
      <w:r>
        <w:rPr>
          <w:rFonts w:cs="Times New Roman"/>
          <w:lang w:val="fr-CA"/>
        </w:rPr>
        <w:t>’</w:t>
      </w:r>
      <w:r w:rsidRPr="004826C0">
        <w:rPr>
          <w:rFonts w:cs="Times New Roman"/>
          <w:lang w:val="fr-CA"/>
        </w:rPr>
        <w:t>IDA, sans être identique, est équivalent</w:t>
      </w:r>
      <w:r>
        <w:rPr>
          <w:rFonts w:cs="Times New Roman"/>
          <w:lang w:val="fr-CA"/>
        </w:rPr>
        <w:t>)</w:t>
      </w:r>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 sens ordinaire des termes utilisés révèle qu</w:t>
      </w:r>
      <w:r>
        <w:rPr>
          <w:rFonts w:cs="Times New Roman"/>
          <w:lang w:val="fr-CA"/>
        </w:rPr>
        <w:t>’</w:t>
      </w:r>
      <w:r w:rsidRPr="004826C0">
        <w:rPr>
          <w:rFonts w:cs="Times New Roman"/>
          <w:lang w:val="fr-CA"/>
        </w:rPr>
        <w:t>il s</w:t>
      </w:r>
      <w:r>
        <w:rPr>
          <w:rFonts w:cs="Times New Roman"/>
          <w:lang w:val="fr-CA"/>
        </w:rPr>
        <w:t>’</w:t>
      </w:r>
      <w:r w:rsidRPr="004826C0">
        <w:rPr>
          <w:rFonts w:cs="Times New Roman"/>
          <w:lang w:val="fr-CA"/>
        </w:rPr>
        <w:t>agit simplement d</w:t>
      </w:r>
      <w:r>
        <w:rPr>
          <w:rFonts w:cs="Times New Roman"/>
          <w:lang w:val="fr-CA"/>
        </w:rPr>
        <w:t>’</w:t>
      </w:r>
      <w:r w:rsidRPr="004826C0">
        <w:rPr>
          <w:rFonts w:cs="Times New Roman"/>
          <w:lang w:val="fr-CA"/>
        </w:rPr>
        <w:t>une disposition téléologique descriptive. Elle exprime la raison d</w:t>
      </w:r>
      <w:r>
        <w:rPr>
          <w:rFonts w:cs="Times New Roman"/>
          <w:lang w:val="fr-CA"/>
        </w:rPr>
        <w:t>’</w:t>
      </w:r>
      <w:r w:rsidRPr="004826C0">
        <w:rPr>
          <w:rFonts w:cs="Times New Roman"/>
          <w:lang w:val="fr-CA"/>
        </w:rPr>
        <w:t>être des immunités conférées à la BIRD et à l</w:t>
      </w:r>
      <w:r>
        <w:rPr>
          <w:rFonts w:cs="Times New Roman"/>
          <w:lang w:val="fr-CA"/>
        </w:rPr>
        <w:t>’</w:t>
      </w:r>
      <w:r w:rsidRPr="004826C0">
        <w:rPr>
          <w:rFonts w:cs="Times New Roman"/>
          <w:lang w:val="fr-CA"/>
        </w:rPr>
        <w:t>IDA par les articles VII et VIII de l</w:t>
      </w:r>
      <w:r>
        <w:rPr>
          <w:rFonts w:cs="Times New Roman"/>
          <w:lang w:val="fr-CA"/>
        </w:rPr>
        <w:t>’</w:t>
      </w:r>
      <w:r w:rsidRPr="004826C0">
        <w:rPr>
          <w:rFonts w:cs="Times New Roman"/>
          <w:lang w:val="fr-CA"/>
        </w:rPr>
        <w:t>Accord et des Statuts. Comme l</w:t>
      </w:r>
      <w:r>
        <w:rPr>
          <w:rFonts w:cs="Times New Roman"/>
          <w:lang w:val="fr-CA"/>
        </w:rPr>
        <w:t>’</w:t>
      </w:r>
      <w:r w:rsidRPr="004826C0">
        <w:rPr>
          <w:rFonts w:cs="Times New Roman"/>
          <w:lang w:val="fr-CA"/>
        </w:rPr>
        <w:t>a conclu le Tribunal de première instance de Bruxelles, au sujet d</w:t>
      </w:r>
      <w:r>
        <w:rPr>
          <w:rFonts w:cs="Times New Roman"/>
          <w:lang w:val="fr-CA"/>
        </w:rPr>
        <w:t>’</w:t>
      </w:r>
      <w:r w:rsidRPr="004826C0">
        <w:rPr>
          <w:rFonts w:cs="Times New Roman"/>
          <w:lang w:val="fr-CA"/>
        </w:rPr>
        <w:t>immunités similaires énoncées dans les statuts régissant la Banque africaine de développement, de telles dispositions téléologiques expliquent pourquoi les immunités qu</w:t>
      </w:r>
      <w:r>
        <w:rPr>
          <w:rFonts w:cs="Times New Roman"/>
          <w:lang w:val="fr-CA"/>
        </w:rPr>
        <w:t>’</w:t>
      </w:r>
      <w:r w:rsidRPr="004826C0">
        <w:rPr>
          <w:rFonts w:cs="Times New Roman"/>
          <w:lang w:val="fr-CA"/>
        </w:rPr>
        <w:t>elles prévoient ont été accordées. Elles n</w:t>
      </w:r>
      <w:r>
        <w:rPr>
          <w:rFonts w:cs="Times New Roman"/>
          <w:lang w:val="fr-CA"/>
        </w:rPr>
        <w:t>’</w:t>
      </w:r>
      <w:r w:rsidRPr="004826C0">
        <w:rPr>
          <w:rFonts w:cs="Times New Roman"/>
          <w:lang w:val="fr-CA"/>
        </w:rPr>
        <w:t>ont pas pour objet d</w:t>
      </w:r>
      <w:r>
        <w:rPr>
          <w:rFonts w:cs="Times New Roman"/>
          <w:lang w:val="fr-CA"/>
        </w:rPr>
        <w:t>’</w:t>
      </w:r>
      <w:r w:rsidRPr="004826C0">
        <w:rPr>
          <w:rFonts w:cs="Times New Roman"/>
          <w:lang w:val="fr-CA"/>
        </w:rPr>
        <w:t>obliger les organisations internationales à justifier l</w:t>
      </w:r>
      <w:r>
        <w:rPr>
          <w:rFonts w:cs="Times New Roman"/>
          <w:lang w:val="fr-CA"/>
        </w:rPr>
        <w:t>’</w:t>
      </w:r>
      <w:r w:rsidRPr="004826C0">
        <w:rPr>
          <w:rFonts w:cs="Times New Roman"/>
          <w:lang w:val="fr-CA"/>
        </w:rPr>
        <w:t>application des immunités revendiquées (</w:t>
      </w:r>
      <w:proofErr w:type="spellStart"/>
      <w:r w:rsidRPr="004826C0">
        <w:rPr>
          <w:rFonts w:cs="Times New Roman"/>
          <w:i/>
          <w:lang w:val="fr-CA"/>
        </w:rPr>
        <w:t>Scimet</w:t>
      </w:r>
      <w:proofErr w:type="spellEnd"/>
      <w:r w:rsidRPr="004826C0">
        <w:rPr>
          <w:rFonts w:cs="Times New Roman"/>
          <w:i/>
          <w:lang w:val="fr-CA"/>
        </w:rPr>
        <w:t xml:space="preserve"> c. </w:t>
      </w:r>
      <w:proofErr w:type="spellStart"/>
      <w:r w:rsidRPr="004826C0">
        <w:rPr>
          <w:rFonts w:cs="Times New Roman"/>
          <w:i/>
          <w:lang w:val="fr-CA"/>
        </w:rPr>
        <w:t>African</w:t>
      </w:r>
      <w:proofErr w:type="spellEnd"/>
      <w:r w:rsidRPr="004826C0">
        <w:rPr>
          <w:rFonts w:cs="Times New Roman"/>
          <w:i/>
          <w:lang w:val="fr-CA"/>
        </w:rPr>
        <w:t xml:space="preserve"> </w:t>
      </w:r>
      <w:proofErr w:type="spellStart"/>
      <w:r w:rsidRPr="004826C0">
        <w:rPr>
          <w:rFonts w:cs="Times New Roman"/>
          <w:i/>
          <w:lang w:val="fr-CA"/>
        </w:rPr>
        <w:t>Development</w:t>
      </w:r>
      <w:proofErr w:type="spellEnd"/>
      <w:r w:rsidRPr="004826C0">
        <w:rPr>
          <w:rFonts w:cs="Times New Roman"/>
          <w:i/>
          <w:lang w:val="fr-CA"/>
        </w:rPr>
        <w:t xml:space="preserve"> Bank</w:t>
      </w:r>
      <w:r w:rsidRPr="004826C0">
        <w:rPr>
          <w:rFonts w:cs="Times New Roman"/>
          <w:lang w:val="fr-CA"/>
        </w:rPr>
        <w:t xml:space="preserve"> (1997), 128 I.L.R. 582, p. 584). Notre conclusion selon laquelle la disposition ne constitue qu</w:t>
      </w:r>
      <w:r>
        <w:rPr>
          <w:rFonts w:cs="Times New Roman"/>
          <w:lang w:val="fr-CA"/>
        </w:rPr>
        <w:t>’</w:t>
      </w:r>
      <w:r w:rsidRPr="004826C0">
        <w:rPr>
          <w:rFonts w:cs="Times New Roman"/>
          <w:lang w:val="fr-CA"/>
        </w:rPr>
        <w:t>un outil d</w:t>
      </w:r>
      <w:r>
        <w:rPr>
          <w:rFonts w:cs="Times New Roman"/>
          <w:lang w:val="fr-CA"/>
        </w:rPr>
        <w:t>’</w:t>
      </w:r>
      <w:r w:rsidRPr="004826C0">
        <w:rPr>
          <w:rFonts w:cs="Times New Roman"/>
          <w:lang w:val="fr-CA"/>
        </w:rPr>
        <w:t>interprétation est de plus étayée par le fait que la section 1, contrairement aux sections 3, 5 et 8, n</w:t>
      </w:r>
      <w:r>
        <w:rPr>
          <w:rFonts w:cs="Times New Roman"/>
          <w:lang w:val="fr-CA"/>
        </w:rPr>
        <w:t>’</w:t>
      </w:r>
      <w:r w:rsidRPr="004826C0">
        <w:rPr>
          <w:rFonts w:cs="Times New Roman"/>
          <w:lang w:val="fr-CA"/>
        </w:rPr>
        <w:t>a pas été incorporée au droit interne par les Décrets.</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De plus, l</w:t>
      </w:r>
      <w:r>
        <w:rPr>
          <w:rFonts w:cs="Times New Roman"/>
          <w:lang w:val="fr-CA"/>
        </w:rPr>
        <w:t>’</w:t>
      </w:r>
      <w:r w:rsidRPr="004826C0">
        <w:rPr>
          <w:rFonts w:cs="Times New Roman"/>
          <w:lang w:val="fr-CA"/>
        </w:rPr>
        <w:t>application des immunités définies aux sections 5 et 8 n</w:t>
      </w:r>
      <w:r>
        <w:rPr>
          <w:rFonts w:cs="Times New Roman"/>
          <w:lang w:val="fr-CA"/>
        </w:rPr>
        <w:t>’</w:t>
      </w:r>
      <w:r w:rsidRPr="004826C0">
        <w:rPr>
          <w:rFonts w:cs="Times New Roman"/>
          <w:lang w:val="fr-CA"/>
        </w:rPr>
        <w:t>est pas subordonnée à l</w:t>
      </w:r>
      <w:r>
        <w:rPr>
          <w:rFonts w:cs="Times New Roman"/>
          <w:lang w:val="fr-CA"/>
        </w:rPr>
        <w:t>’</w:t>
      </w:r>
      <w:r w:rsidRPr="004826C0">
        <w:rPr>
          <w:rFonts w:cs="Times New Roman"/>
          <w:lang w:val="fr-CA"/>
        </w:rPr>
        <w:t>existence d</w:t>
      </w:r>
      <w:r>
        <w:rPr>
          <w:rFonts w:cs="Times New Roman"/>
          <w:lang w:val="fr-CA"/>
        </w:rPr>
        <w:t>’</w:t>
      </w:r>
      <w:r w:rsidRPr="004826C0">
        <w:rPr>
          <w:rFonts w:cs="Times New Roman"/>
          <w:lang w:val="fr-CA"/>
        </w:rPr>
        <w:t>une quelconque nécessité fonctionnelle. Ceci distingue les sections 5 et 8 de la disposition relative à une immunité fonctionnelle examinée par notre Cour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Amaratunga</w:t>
      </w:r>
      <w:proofErr w:type="spellEnd"/>
      <w:r w:rsidRPr="004826C0">
        <w:rPr>
          <w:rFonts w:cs="Times New Roman"/>
          <w:lang w:val="fr-CA"/>
        </w:rPr>
        <w:t>, aux termes de laquelle l</w:t>
      </w:r>
      <w:r>
        <w:rPr>
          <w:rFonts w:cs="Times New Roman"/>
          <w:lang w:val="fr-CA"/>
        </w:rPr>
        <w:t>’</w:t>
      </w:r>
      <w:r w:rsidRPr="004826C0">
        <w:rPr>
          <w:rFonts w:cs="Times New Roman"/>
          <w:lang w:val="fr-CA"/>
        </w:rPr>
        <w:t>Organisation des pêches de l</w:t>
      </w:r>
      <w:r>
        <w:rPr>
          <w:rFonts w:cs="Times New Roman"/>
          <w:lang w:val="fr-CA"/>
        </w:rPr>
        <w:t>’</w:t>
      </w:r>
      <w:r w:rsidRPr="004826C0">
        <w:rPr>
          <w:rFonts w:cs="Times New Roman"/>
          <w:lang w:val="fr-CA"/>
        </w:rPr>
        <w:t>Atlantique nord</w:t>
      </w:r>
      <w:r w:rsidRPr="004826C0">
        <w:rPr>
          <w:rFonts w:cs="Times New Roman"/>
          <w:lang w:val="fr-CA"/>
        </w:rPr>
        <w:noBreakHyphen/>
        <w:t>ouest « possède, au Canada, la capacité juridique d</w:t>
      </w:r>
      <w:r>
        <w:rPr>
          <w:rFonts w:cs="Times New Roman"/>
          <w:lang w:val="fr-CA"/>
        </w:rPr>
        <w:t>’</w:t>
      </w:r>
      <w:r w:rsidRPr="004826C0">
        <w:rPr>
          <w:rFonts w:cs="Times New Roman"/>
          <w:lang w:val="fr-CA"/>
        </w:rPr>
        <w:t xml:space="preserve">un corps constitué et possède, </w:t>
      </w:r>
      <w:r w:rsidRPr="004826C0">
        <w:rPr>
          <w:rFonts w:cs="Times New Roman"/>
          <w:u w:val="single"/>
          <w:lang w:val="fr-CA"/>
        </w:rPr>
        <w:t>dans la mesure où ses fonctions l</w:t>
      </w:r>
      <w:r>
        <w:rPr>
          <w:rFonts w:cs="Times New Roman"/>
          <w:u w:val="single"/>
          <w:lang w:val="fr-CA"/>
        </w:rPr>
        <w:t>’</w:t>
      </w:r>
      <w:r w:rsidRPr="004826C0">
        <w:rPr>
          <w:rFonts w:cs="Times New Roman"/>
          <w:u w:val="single"/>
          <w:lang w:val="fr-CA"/>
        </w:rPr>
        <w:t>exigent</w:t>
      </w:r>
      <w:r w:rsidRPr="004826C0">
        <w:rPr>
          <w:rFonts w:cs="Times New Roman"/>
          <w:lang w:val="fr-CA"/>
        </w:rPr>
        <w:t>, les privilèges et les immunités prévus pour les Nations Unies aux Articles II et III de la Convention » (</w:t>
      </w:r>
      <w:r w:rsidRPr="004826C0">
        <w:rPr>
          <w:rFonts w:cs="Times New Roman"/>
          <w:i/>
          <w:lang w:val="fr-CA"/>
        </w:rPr>
        <w:t>Décret sur les privilèges et immunités de l</w:t>
      </w:r>
      <w:r>
        <w:rPr>
          <w:rFonts w:cs="Times New Roman"/>
          <w:i/>
          <w:lang w:val="fr-CA"/>
        </w:rPr>
        <w:t>’</w:t>
      </w:r>
      <w:r w:rsidRPr="004826C0">
        <w:rPr>
          <w:rFonts w:cs="Times New Roman"/>
          <w:i/>
          <w:lang w:val="fr-CA"/>
        </w:rPr>
        <w:t>Organisation des pêches de l</w:t>
      </w:r>
      <w:r>
        <w:rPr>
          <w:rFonts w:cs="Times New Roman"/>
          <w:i/>
          <w:lang w:val="fr-CA"/>
        </w:rPr>
        <w:t>’</w:t>
      </w:r>
      <w:r w:rsidRPr="004826C0">
        <w:rPr>
          <w:rFonts w:cs="Times New Roman"/>
          <w:i/>
          <w:lang w:val="fr-CA"/>
        </w:rPr>
        <w:t>Atlantique nord</w:t>
      </w:r>
      <w:r w:rsidRPr="004826C0">
        <w:rPr>
          <w:rFonts w:cs="Times New Roman"/>
          <w:i/>
          <w:lang w:val="fr-CA"/>
        </w:rPr>
        <w:noBreakHyphen/>
        <w:t>ouest</w:t>
      </w:r>
      <w:r w:rsidRPr="004826C0">
        <w:rPr>
          <w:rFonts w:cs="Times New Roman"/>
          <w:lang w:val="fr-CA"/>
        </w:rPr>
        <w:t>,</w:t>
      </w:r>
      <w:r w:rsidRPr="004826C0">
        <w:rPr>
          <w:rFonts w:cs="Times New Roman"/>
          <w:i/>
          <w:lang w:val="fr-CA"/>
        </w:rPr>
        <w:t xml:space="preserve"> </w:t>
      </w:r>
      <w:r w:rsidRPr="004826C0">
        <w:rPr>
          <w:rFonts w:cs="Times New Roman"/>
          <w:lang w:val="fr-CA"/>
        </w:rPr>
        <w:t>DORS/80</w:t>
      </w:r>
      <w:r w:rsidRPr="004826C0">
        <w:rPr>
          <w:rFonts w:cs="Times New Roman"/>
          <w:lang w:val="fr-CA"/>
        </w:rPr>
        <w:noBreakHyphen/>
        <w:t>64, par. 3(1)).</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Il convient de noter que cette condition expresse est prévue à la section 6 des articles VII et VIII respectivement. En effet, aux termes de la section 6 de l</w:t>
      </w:r>
      <w:r>
        <w:rPr>
          <w:rFonts w:cs="Times New Roman"/>
          <w:lang w:val="fr-CA"/>
        </w:rPr>
        <w:t>’</w:t>
      </w:r>
      <w:r w:rsidRPr="004826C0">
        <w:rPr>
          <w:rFonts w:cs="Times New Roman"/>
          <w:lang w:val="fr-CA"/>
        </w:rPr>
        <w:t xml:space="preserve">Accord relatif à la BIRD, « tous les biens et avoirs » de la BIRD seront exempts de « restrictions, réglementations, contrôles et moratoires de toute nature », mais </w:t>
      </w:r>
      <w:r w:rsidRPr="004826C0">
        <w:rPr>
          <w:rFonts w:cs="Times New Roman"/>
          <w:i/>
          <w:lang w:val="fr-CA"/>
        </w:rPr>
        <w:t>seulement</w:t>
      </w:r>
      <w:r w:rsidRPr="004826C0">
        <w:rPr>
          <w:rFonts w:cs="Times New Roman"/>
          <w:lang w:val="fr-CA"/>
        </w:rPr>
        <w:t xml:space="preserve"> « </w:t>
      </w:r>
      <w:r w:rsidRPr="004826C0">
        <w:rPr>
          <w:rFonts w:cs="Times New Roman"/>
          <w:u w:val="single"/>
          <w:lang w:val="fr-CA"/>
        </w:rPr>
        <w:t>[d]ans la mesure nécessaire à l</w:t>
      </w:r>
      <w:r>
        <w:rPr>
          <w:rFonts w:cs="Times New Roman"/>
          <w:u w:val="single"/>
          <w:lang w:val="fr-CA"/>
        </w:rPr>
        <w:t>’</w:t>
      </w:r>
      <w:r w:rsidRPr="004826C0">
        <w:rPr>
          <w:rFonts w:cs="Times New Roman"/>
          <w:u w:val="single"/>
          <w:lang w:val="fr-CA"/>
        </w:rPr>
        <w:t>accomplissement des opérations prévues dans [l</w:t>
      </w:r>
      <w:r>
        <w:rPr>
          <w:rFonts w:cs="Times New Roman"/>
          <w:u w:val="single"/>
          <w:lang w:val="fr-CA"/>
        </w:rPr>
        <w:t>’</w:t>
      </w:r>
      <w:r w:rsidRPr="004826C0">
        <w:rPr>
          <w:rFonts w:cs="Times New Roman"/>
          <w:u w:val="single"/>
          <w:lang w:val="fr-CA"/>
        </w:rPr>
        <w:t>Accord]</w:t>
      </w:r>
      <w:r w:rsidRPr="004826C0">
        <w:rPr>
          <w:rFonts w:cs="Times New Roman"/>
          <w:lang w:val="fr-CA"/>
        </w:rPr>
        <w:t> » (le libellé des Statuts de l</w:t>
      </w:r>
      <w:r>
        <w:rPr>
          <w:rFonts w:cs="Times New Roman"/>
          <w:lang w:val="fr-CA"/>
        </w:rPr>
        <w:t>’</w:t>
      </w:r>
      <w:r w:rsidRPr="004826C0">
        <w:rPr>
          <w:rFonts w:cs="Times New Roman"/>
          <w:lang w:val="fr-CA"/>
        </w:rPr>
        <w:t>IDA, sans être identique, est équivalent). Ces mots ne signifieraient rien si les privilèges et immunités définis aux articles VII et VIII étaient déjà assujettis à cette condition par l</w:t>
      </w:r>
      <w:r>
        <w:rPr>
          <w:rFonts w:cs="Times New Roman"/>
          <w:lang w:val="fr-CA"/>
        </w:rPr>
        <w:t>’</w:t>
      </w:r>
      <w:r w:rsidRPr="004826C0">
        <w:rPr>
          <w:rFonts w:cs="Times New Roman"/>
          <w:lang w:val="fr-CA"/>
        </w:rPr>
        <w:t>effet de la section 1.</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Au fond, les intimés interprètent erronément le rôle et l</w:t>
      </w:r>
      <w:r>
        <w:rPr>
          <w:rFonts w:cs="Times New Roman"/>
          <w:lang w:val="fr-CA"/>
        </w:rPr>
        <w:t>’</w:t>
      </w:r>
      <w:r w:rsidRPr="004826C0">
        <w:rPr>
          <w:rFonts w:cs="Times New Roman"/>
          <w:lang w:val="fr-CA"/>
        </w:rPr>
        <w:t>importance de la section 1. Les immunités fonctionnelles semblent procéder de l</w:t>
      </w:r>
      <w:r>
        <w:rPr>
          <w:rFonts w:cs="Times New Roman"/>
          <w:lang w:val="fr-CA"/>
        </w:rPr>
        <w:t>’</w:t>
      </w:r>
      <w:r w:rsidRPr="004826C0">
        <w:rPr>
          <w:rFonts w:cs="Times New Roman"/>
          <w:lang w:val="fr-CA"/>
        </w:rPr>
        <w:t xml:space="preserve">immunité large et souple définie dans la </w:t>
      </w:r>
      <w:r w:rsidRPr="004826C0">
        <w:rPr>
          <w:rFonts w:cs="Times New Roman"/>
          <w:i/>
          <w:lang w:val="fr-CA"/>
        </w:rPr>
        <w:t>Charte des Nations Unies</w:t>
      </w:r>
      <w:r w:rsidRPr="004826C0">
        <w:rPr>
          <w:rFonts w:cs="Times New Roman"/>
          <w:lang w:val="fr-CA"/>
        </w:rPr>
        <w:t xml:space="preserve">, </w:t>
      </w:r>
      <w:r w:rsidR="00B15CCB">
        <w:rPr>
          <w:rFonts w:cs="Times New Roman"/>
          <w:lang w:val="fr-CA"/>
        </w:rPr>
        <w:t xml:space="preserve">R.T. </w:t>
      </w:r>
      <w:r w:rsidRPr="004826C0">
        <w:rPr>
          <w:rFonts w:cs="Times New Roman"/>
          <w:lang w:val="fr-CA"/>
        </w:rPr>
        <w:t xml:space="preserve">Can. </w:t>
      </w:r>
      <w:r w:rsidR="00B15CCB">
        <w:rPr>
          <w:rFonts w:cs="Times New Roman"/>
          <w:lang w:val="fr-CA"/>
        </w:rPr>
        <w:t>1</w:t>
      </w:r>
      <w:r w:rsidRPr="004826C0">
        <w:rPr>
          <w:rFonts w:cs="Times New Roman"/>
          <w:lang w:val="fr-CA"/>
        </w:rPr>
        <w:t>945 n</w:t>
      </w:r>
      <w:r w:rsidRPr="004826C0">
        <w:rPr>
          <w:rFonts w:cs="Times New Roman"/>
          <w:vertAlign w:val="superscript"/>
          <w:lang w:val="fr-CA"/>
        </w:rPr>
        <w:t>o</w:t>
      </w:r>
      <w:r w:rsidRPr="004826C0">
        <w:rPr>
          <w:rFonts w:cs="Times New Roman"/>
          <w:lang w:val="fr-CA"/>
        </w:rPr>
        <w:t> 7 (la « Charte de l</w:t>
      </w:r>
      <w:r>
        <w:rPr>
          <w:rFonts w:cs="Times New Roman"/>
          <w:lang w:val="fr-CA"/>
        </w:rPr>
        <w:t>’</w:t>
      </w:r>
      <w:r w:rsidRPr="004826C0">
        <w:rPr>
          <w:rFonts w:cs="Times New Roman"/>
          <w:lang w:val="fr-CA"/>
        </w:rPr>
        <w:t>ONU ») (A. </w:t>
      </w:r>
      <w:proofErr w:type="spellStart"/>
      <w:r w:rsidRPr="004826C0">
        <w:rPr>
          <w:rFonts w:cs="Times New Roman"/>
          <w:lang w:val="fr-CA"/>
        </w:rPr>
        <w:t>Reinisch</w:t>
      </w:r>
      <w:proofErr w:type="spellEnd"/>
      <w:r w:rsidRPr="004826C0">
        <w:rPr>
          <w:rFonts w:cs="Times New Roman"/>
          <w:lang w:val="fr-CA"/>
        </w:rPr>
        <w:t xml:space="preserve">, « Transnational </w:t>
      </w:r>
      <w:proofErr w:type="spellStart"/>
      <w:r w:rsidRPr="004826C0">
        <w:rPr>
          <w:rFonts w:cs="Times New Roman"/>
          <w:lang w:val="fr-CA"/>
        </w:rPr>
        <w:t>Judicial</w:t>
      </w:r>
      <w:proofErr w:type="spellEnd"/>
      <w:r w:rsidRPr="004826C0">
        <w:rPr>
          <w:rFonts w:cs="Times New Roman"/>
          <w:lang w:val="fr-CA"/>
        </w:rPr>
        <w:t xml:space="preserve"> Conversations on the </w:t>
      </w:r>
      <w:proofErr w:type="spellStart"/>
      <w:r w:rsidRPr="004826C0">
        <w:rPr>
          <w:rFonts w:cs="Times New Roman"/>
          <w:lang w:val="fr-CA"/>
        </w:rPr>
        <w:t>Personality</w:t>
      </w:r>
      <w:proofErr w:type="spellEnd"/>
      <w:r w:rsidRPr="004826C0">
        <w:rPr>
          <w:rFonts w:cs="Times New Roman"/>
          <w:lang w:val="fr-CA"/>
        </w:rPr>
        <w:t xml:space="preserve">, </w:t>
      </w:r>
      <w:proofErr w:type="spellStart"/>
      <w:r w:rsidRPr="004826C0">
        <w:rPr>
          <w:rFonts w:cs="Times New Roman"/>
          <w:lang w:val="fr-CA"/>
        </w:rPr>
        <w:t>Privileges</w:t>
      </w:r>
      <w:proofErr w:type="spellEnd"/>
      <w:r w:rsidRPr="004826C0">
        <w:rPr>
          <w:rFonts w:cs="Times New Roman"/>
          <w:lang w:val="fr-CA"/>
        </w:rPr>
        <w:t xml:space="preserve">, and </w:t>
      </w:r>
      <w:proofErr w:type="spellStart"/>
      <w:r w:rsidRPr="004826C0">
        <w:rPr>
          <w:rFonts w:cs="Times New Roman"/>
          <w:lang w:val="fr-CA"/>
        </w:rPr>
        <w:t>Immunities</w:t>
      </w:r>
      <w:proofErr w:type="spellEnd"/>
      <w:r w:rsidRPr="004826C0">
        <w:rPr>
          <w:rFonts w:cs="Times New Roman"/>
          <w:lang w:val="fr-CA"/>
        </w:rPr>
        <w:t xml:space="preserve"> of International </w:t>
      </w:r>
      <w:proofErr w:type="spellStart"/>
      <w:r w:rsidRPr="004826C0">
        <w:rPr>
          <w:rFonts w:cs="Times New Roman"/>
          <w:lang w:val="fr-CA"/>
        </w:rPr>
        <w:t>Organizations</w:t>
      </w:r>
      <w:proofErr w:type="spellEnd"/>
      <w:r w:rsidRPr="004826C0">
        <w:rPr>
          <w:rFonts w:cs="Times New Roman"/>
          <w:lang w:val="fr-CA"/>
        </w:rPr>
        <w:t xml:space="preserve"> — An Introduction »</w:t>
      </w:r>
      <w:r w:rsidR="00047812">
        <w:rPr>
          <w:rFonts w:cs="Times New Roman"/>
          <w:lang w:val="fr-CA"/>
        </w:rPr>
        <w:t>,</w:t>
      </w:r>
      <w:r w:rsidRPr="004826C0">
        <w:rPr>
          <w:rFonts w:cs="Times New Roman"/>
          <w:lang w:val="fr-CA"/>
        </w:rPr>
        <w:t xml:space="preserve"> dans A. </w:t>
      </w:r>
      <w:proofErr w:type="spellStart"/>
      <w:r w:rsidRPr="004826C0">
        <w:rPr>
          <w:rFonts w:cs="Times New Roman"/>
          <w:lang w:val="fr-CA"/>
        </w:rPr>
        <w:t>Reinisch</w:t>
      </w:r>
      <w:proofErr w:type="spellEnd"/>
      <w:r w:rsidRPr="004826C0">
        <w:rPr>
          <w:rFonts w:cs="Times New Roman"/>
          <w:lang w:val="fr-CA"/>
        </w:rPr>
        <w:t xml:space="preserve">, </w:t>
      </w:r>
      <w:proofErr w:type="spellStart"/>
      <w:r w:rsidRPr="004826C0">
        <w:rPr>
          <w:rFonts w:cs="Times New Roman"/>
          <w:lang w:val="fr-CA"/>
        </w:rPr>
        <w:t>dir</w:t>
      </w:r>
      <w:proofErr w:type="spellEnd"/>
      <w:r w:rsidRPr="004826C0">
        <w:rPr>
          <w:rFonts w:cs="Times New Roman"/>
          <w:lang w:val="fr-CA"/>
        </w:rPr>
        <w:t xml:space="preserve">., </w:t>
      </w:r>
      <w:r w:rsidRPr="004826C0">
        <w:rPr>
          <w:rFonts w:cs="Times New Roman"/>
          <w:i/>
          <w:lang w:val="fr-CA"/>
        </w:rPr>
        <w:t xml:space="preserve">The </w:t>
      </w:r>
      <w:proofErr w:type="spellStart"/>
      <w:r w:rsidRPr="004826C0">
        <w:rPr>
          <w:rFonts w:cs="Times New Roman"/>
          <w:i/>
          <w:lang w:val="fr-CA"/>
        </w:rPr>
        <w:t>Privileges</w:t>
      </w:r>
      <w:proofErr w:type="spellEnd"/>
      <w:r w:rsidRPr="004826C0">
        <w:rPr>
          <w:rFonts w:cs="Times New Roman"/>
          <w:i/>
          <w:lang w:val="fr-CA"/>
        </w:rPr>
        <w:t xml:space="preserve"> and </w:t>
      </w:r>
      <w:proofErr w:type="spellStart"/>
      <w:r w:rsidRPr="004826C0">
        <w:rPr>
          <w:rFonts w:cs="Times New Roman"/>
          <w:i/>
          <w:lang w:val="fr-CA"/>
        </w:rPr>
        <w:t>Immunities</w:t>
      </w:r>
      <w:proofErr w:type="spellEnd"/>
      <w:r w:rsidRPr="004826C0">
        <w:rPr>
          <w:rFonts w:cs="Times New Roman"/>
          <w:i/>
          <w:lang w:val="fr-CA"/>
        </w:rPr>
        <w:t xml:space="preserve"> of International </w:t>
      </w:r>
      <w:proofErr w:type="spellStart"/>
      <w:r w:rsidRPr="004826C0">
        <w:rPr>
          <w:rFonts w:cs="Times New Roman"/>
          <w:i/>
          <w:lang w:val="fr-CA"/>
        </w:rPr>
        <w:t>Organizations</w:t>
      </w:r>
      <w:proofErr w:type="spellEnd"/>
      <w:r w:rsidRPr="004826C0">
        <w:rPr>
          <w:rFonts w:cs="Times New Roman"/>
          <w:i/>
          <w:lang w:val="fr-CA"/>
        </w:rPr>
        <w:t xml:space="preserve"> in </w:t>
      </w:r>
      <w:proofErr w:type="spellStart"/>
      <w:r w:rsidRPr="004826C0">
        <w:rPr>
          <w:rFonts w:cs="Times New Roman"/>
          <w:i/>
          <w:lang w:val="fr-CA"/>
        </w:rPr>
        <w:t>Domestic</w:t>
      </w:r>
      <w:proofErr w:type="spellEnd"/>
      <w:r w:rsidRPr="004826C0">
        <w:rPr>
          <w:rFonts w:cs="Times New Roman"/>
          <w:i/>
          <w:lang w:val="fr-CA"/>
        </w:rPr>
        <w:t xml:space="preserve"> Courts</w:t>
      </w:r>
      <w:r w:rsidRPr="004826C0">
        <w:rPr>
          <w:rFonts w:cs="Times New Roman"/>
          <w:lang w:val="fr-CA"/>
        </w:rPr>
        <w:t xml:space="preserve"> (2013), 1, p. 5). Plutôt que d</w:t>
      </w:r>
      <w:r>
        <w:rPr>
          <w:rFonts w:cs="Times New Roman"/>
          <w:lang w:val="fr-CA"/>
        </w:rPr>
        <w:t>’</w:t>
      </w:r>
      <w:r w:rsidRPr="004826C0">
        <w:rPr>
          <w:rFonts w:cs="Times New Roman"/>
          <w:lang w:val="fr-CA"/>
        </w:rPr>
        <w:t>énumérer des immunités précises, le par. 1 de l</w:t>
      </w:r>
      <w:r>
        <w:rPr>
          <w:rFonts w:cs="Times New Roman"/>
          <w:lang w:val="fr-CA"/>
        </w:rPr>
        <w:t>’</w:t>
      </w:r>
      <w:r w:rsidRPr="004826C0">
        <w:rPr>
          <w:rFonts w:cs="Times New Roman"/>
          <w:lang w:val="fr-CA"/>
        </w:rPr>
        <w:t>article 105 de la Charte de l</w:t>
      </w:r>
      <w:r>
        <w:rPr>
          <w:rFonts w:cs="Times New Roman"/>
          <w:lang w:val="fr-CA"/>
        </w:rPr>
        <w:t>’</w:t>
      </w:r>
      <w:r w:rsidRPr="004826C0">
        <w:rPr>
          <w:rFonts w:cs="Times New Roman"/>
          <w:lang w:val="fr-CA"/>
        </w:rPr>
        <w:t>ONU prévoit simplement que « [l</w:t>
      </w:r>
      <w:r>
        <w:rPr>
          <w:rFonts w:cs="Times New Roman"/>
          <w:lang w:val="fr-CA"/>
        </w:rPr>
        <w:t>’</w:t>
      </w:r>
      <w:proofErr w:type="gramStart"/>
      <w:r w:rsidRPr="004826C0">
        <w:rPr>
          <w:rFonts w:cs="Times New Roman"/>
          <w:lang w:val="fr-CA"/>
        </w:rPr>
        <w:t>]Organisation</w:t>
      </w:r>
      <w:proofErr w:type="gramEnd"/>
      <w:r w:rsidRPr="004826C0">
        <w:rPr>
          <w:rFonts w:cs="Times New Roman"/>
          <w:lang w:val="fr-CA"/>
        </w:rPr>
        <w:t xml:space="preserve"> jouit, sur le territoire de chacun de ses Membres, </w:t>
      </w:r>
      <w:r w:rsidRPr="004826C0">
        <w:rPr>
          <w:rFonts w:cs="Times New Roman"/>
          <w:u w:val="single"/>
          <w:lang w:val="fr-CA"/>
        </w:rPr>
        <w:t>des privilèges et immunités qui lui sont nécessaires pour atteindre ses buts</w:t>
      </w:r>
      <w:r w:rsidRPr="00047812">
        <w:rPr>
          <w:rFonts w:cs="Times New Roman"/>
          <w:lang w:val="fr-CA"/>
        </w:rPr>
        <w:t> »</w:t>
      </w:r>
      <w:r w:rsidR="00047812">
        <w:rPr>
          <w:rFonts w:cs="Times New Roman"/>
          <w:lang w:val="fr-CA"/>
        </w:rPr>
        <w:t xml:space="preserve">. Le paragraphe </w:t>
      </w:r>
      <w:r w:rsidRPr="004826C0">
        <w:rPr>
          <w:rFonts w:cs="Times New Roman"/>
          <w:lang w:val="fr-CA"/>
        </w:rPr>
        <w:t>2 étend cette protection aux représentants et fonctionnaires de l</w:t>
      </w:r>
      <w:r>
        <w:rPr>
          <w:rFonts w:cs="Times New Roman"/>
          <w:lang w:val="fr-CA"/>
        </w:rPr>
        <w:t>’</w:t>
      </w:r>
      <w:r w:rsidRPr="004826C0">
        <w:rPr>
          <w:rFonts w:cs="Times New Roman"/>
          <w:lang w:val="fr-CA"/>
        </w:rPr>
        <w:t>ONU, sous réserve de la même condition. Pour reprendre les propos d</w:t>
      </w:r>
      <w:r>
        <w:rPr>
          <w:rFonts w:cs="Times New Roman"/>
          <w:lang w:val="fr-CA"/>
        </w:rPr>
        <w:t>’</w:t>
      </w:r>
      <w:r w:rsidRPr="004826C0">
        <w:rPr>
          <w:rFonts w:cs="Times New Roman"/>
          <w:lang w:val="fr-CA"/>
        </w:rPr>
        <w:t xml:space="preserve">Anthony J. Miller : </w:t>
      </w:r>
    </w:p>
    <w:p w:rsidR="002405E3" w:rsidRPr="004826C0" w:rsidRDefault="002405E3" w:rsidP="003C0B54">
      <w:pPr>
        <w:pStyle w:val="Citation-AltC"/>
        <w:widowControl w:val="0"/>
        <w:spacing w:after="240"/>
        <w:ind w:hanging="1166"/>
        <w:contextualSpacing w:val="0"/>
        <w:rPr>
          <w:lang w:val="en-US"/>
        </w:rPr>
      </w:pPr>
      <w:r>
        <w:rPr>
          <w:lang w:val="fr-CA"/>
        </w:rPr>
        <w:tab/>
      </w:r>
      <w:r w:rsidR="00292900" w:rsidRPr="004826C0">
        <w:rPr>
          <w:lang w:val="fr-CA"/>
        </w:rPr>
        <w:t>[</w:t>
      </w:r>
      <w:r w:rsidR="00292900" w:rsidRPr="004826C0">
        <w:rPr>
          <w:smallCaps/>
          <w:lang w:val="fr-CA"/>
        </w:rPr>
        <w:t>traduction</w:t>
      </w:r>
      <w:r w:rsidR="00292900" w:rsidRPr="004826C0">
        <w:rPr>
          <w:lang w:val="fr-CA"/>
        </w:rPr>
        <w:t xml:space="preserve">] </w:t>
      </w:r>
      <w:r w:rsidRPr="004826C0">
        <w:rPr>
          <w:lang w:val="fr-CA"/>
        </w:rPr>
        <w:t>Cette approche qui consiste à définir des privilèges et des immunités en termes généraux, et non comme une suite de règles détaillées, a permis aux rédacteurs de la Charte de lier étroitement les privilèges et immunités « à la réalisation des buts de l</w:t>
      </w:r>
      <w:r>
        <w:rPr>
          <w:lang w:val="fr-CA"/>
        </w:rPr>
        <w:t>’</w:t>
      </w:r>
      <w:r w:rsidRPr="004826C0">
        <w:rPr>
          <w:lang w:val="fr-CA"/>
        </w:rPr>
        <w:t>Organisation, au bon fonctionnement de ses organes, à l</w:t>
      </w:r>
      <w:r>
        <w:rPr>
          <w:lang w:val="fr-CA"/>
        </w:rPr>
        <w:t>’</w:t>
      </w:r>
      <w:r w:rsidRPr="004826C0">
        <w:rPr>
          <w:lang w:val="fr-CA"/>
        </w:rPr>
        <w:t xml:space="preserve">exercice indépendant des fonctions et attributions des fonctionnaires », plutôt que de tenter de formuler des dispositions concrètes portant sur des privilèges et des immunités en particulier. </w:t>
      </w:r>
      <w:r w:rsidRPr="004826C0">
        <w:rPr>
          <w:lang w:val="en-US"/>
        </w:rPr>
        <w:t xml:space="preserve">[Note de bas de page </w:t>
      </w:r>
      <w:proofErr w:type="spellStart"/>
      <w:r w:rsidRPr="004826C0">
        <w:rPr>
          <w:lang w:val="en-US"/>
        </w:rPr>
        <w:t>omise</w:t>
      </w:r>
      <w:proofErr w:type="spellEnd"/>
      <w:r w:rsidRPr="004826C0">
        <w:rPr>
          <w:lang w:val="en-US"/>
        </w:rPr>
        <w:t>.]</w:t>
      </w:r>
    </w:p>
    <w:p w:rsidR="002405E3" w:rsidRPr="004826C0" w:rsidRDefault="002405E3" w:rsidP="003C0B54">
      <w:pPr>
        <w:pStyle w:val="Citation-AltC"/>
        <w:widowControl w:val="0"/>
        <w:ind w:left="0"/>
        <w:rPr>
          <w:lang w:val="en-US"/>
        </w:rPr>
      </w:pPr>
      <w:r w:rsidRPr="004826C0">
        <w:rPr>
          <w:lang w:val="en-US"/>
        </w:rPr>
        <w:t>(« The Privileges and Immunities of the United Nations » (2009)</w:t>
      </w:r>
      <w:r w:rsidR="00064DCD">
        <w:rPr>
          <w:lang w:val="en-US"/>
        </w:rPr>
        <w:t>,</w:t>
      </w:r>
      <w:r w:rsidRPr="004826C0">
        <w:rPr>
          <w:lang w:val="en-US"/>
        </w:rPr>
        <w:t xml:space="preserve"> 6 </w:t>
      </w:r>
      <w:r w:rsidRPr="004826C0">
        <w:rPr>
          <w:i/>
          <w:lang w:val="en-US"/>
        </w:rPr>
        <w:t>I.O.L.R.</w:t>
      </w:r>
      <w:r w:rsidRPr="004826C0">
        <w:rPr>
          <w:lang w:val="en-US"/>
        </w:rPr>
        <w:t xml:space="preserve"> 7, p. 16)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Il y a cependant un prix à payer pour cette souplesse, soit celui de l</w:t>
      </w:r>
      <w:r>
        <w:rPr>
          <w:rFonts w:cs="Times New Roman"/>
          <w:lang w:val="fr-CA"/>
        </w:rPr>
        <w:t>’</w:t>
      </w:r>
      <w:r w:rsidRPr="004826C0">
        <w:rPr>
          <w:rFonts w:cs="Times New Roman"/>
          <w:lang w:val="fr-CA"/>
        </w:rPr>
        <w:t>incertitude, car le caractère « fonctionnel » de toute chose est essentiellement une question de point de vue (J. </w:t>
      </w:r>
      <w:proofErr w:type="spellStart"/>
      <w:r w:rsidRPr="004826C0">
        <w:rPr>
          <w:rFonts w:cs="Times New Roman"/>
          <w:lang w:val="fr-CA"/>
        </w:rPr>
        <w:t>Klabbers</w:t>
      </w:r>
      <w:proofErr w:type="spellEnd"/>
      <w:r w:rsidRPr="004826C0">
        <w:rPr>
          <w:rFonts w:cs="Times New Roman"/>
          <w:lang w:val="fr-CA"/>
        </w:rPr>
        <w:t xml:space="preserve">, </w:t>
      </w:r>
      <w:r w:rsidRPr="004826C0">
        <w:rPr>
          <w:rFonts w:cs="Times New Roman"/>
          <w:i/>
          <w:lang w:val="fr-CA"/>
        </w:rPr>
        <w:t xml:space="preserve">An Introduction to International </w:t>
      </w:r>
      <w:proofErr w:type="spellStart"/>
      <w:r w:rsidRPr="004826C0">
        <w:rPr>
          <w:rFonts w:cs="Times New Roman"/>
          <w:i/>
          <w:lang w:val="fr-CA"/>
        </w:rPr>
        <w:t>Organizations</w:t>
      </w:r>
      <w:proofErr w:type="spellEnd"/>
      <w:r w:rsidRPr="004826C0">
        <w:rPr>
          <w:rFonts w:cs="Times New Roman"/>
          <w:i/>
          <w:lang w:val="fr-CA"/>
        </w:rPr>
        <w:t xml:space="preserve"> Law</w:t>
      </w:r>
      <w:r w:rsidRPr="004826C0">
        <w:rPr>
          <w:rFonts w:cs="Times New Roman"/>
          <w:lang w:val="fr-CA"/>
        </w:rPr>
        <w:t xml:space="preserve"> (3</w:t>
      </w:r>
      <w:r w:rsidRPr="004826C0">
        <w:rPr>
          <w:rFonts w:cs="Times New Roman"/>
          <w:vertAlign w:val="superscript"/>
          <w:lang w:val="fr-CA"/>
        </w:rPr>
        <w:t>e </w:t>
      </w:r>
      <w:r w:rsidRPr="004826C0">
        <w:rPr>
          <w:rFonts w:cs="Times New Roman"/>
          <w:lang w:val="fr-CA"/>
        </w:rPr>
        <w:t>éd. 2015), p. 132; C.</w:t>
      </w:r>
      <w:r w:rsidR="00947A95">
        <w:rPr>
          <w:rFonts w:cs="Times New Roman"/>
          <w:lang w:val="fr-CA"/>
        </w:rPr>
        <w:t xml:space="preserve"> </w:t>
      </w:r>
      <w:r w:rsidRPr="004826C0">
        <w:rPr>
          <w:rFonts w:cs="Times New Roman"/>
          <w:lang w:val="fr-CA"/>
        </w:rPr>
        <w:t xml:space="preserve">W. </w:t>
      </w:r>
      <w:proofErr w:type="spellStart"/>
      <w:r w:rsidRPr="004826C0">
        <w:rPr>
          <w:rFonts w:cs="Times New Roman"/>
          <w:lang w:val="fr-CA"/>
        </w:rPr>
        <w:t>Jenks</w:t>
      </w:r>
      <w:proofErr w:type="spellEnd"/>
      <w:r w:rsidRPr="004826C0">
        <w:rPr>
          <w:rFonts w:cs="Times New Roman"/>
          <w:lang w:val="fr-CA"/>
        </w:rPr>
        <w:t xml:space="preserve">, </w:t>
      </w:r>
      <w:r w:rsidRPr="004826C0">
        <w:rPr>
          <w:rFonts w:cs="Times New Roman"/>
          <w:i/>
          <w:lang w:val="fr-CA"/>
        </w:rPr>
        <w:t xml:space="preserve">International </w:t>
      </w:r>
      <w:proofErr w:type="spellStart"/>
      <w:r w:rsidRPr="004826C0">
        <w:rPr>
          <w:rFonts w:cs="Times New Roman"/>
          <w:i/>
          <w:lang w:val="fr-CA"/>
        </w:rPr>
        <w:t>Immunities</w:t>
      </w:r>
      <w:proofErr w:type="spellEnd"/>
      <w:r w:rsidRPr="004826C0">
        <w:rPr>
          <w:rFonts w:cs="Times New Roman"/>
          <w:lang w:val="fr-CA"/>
        </w:rPr>
        <w:t xml:space="preserve"> (1961), p. 26; A. </w:t>
      </w:r>
      <w:proofErr w:type="spellStart"/>
      <w:r w:rsidRPr="004826C0">
        <w:rPr>
          <w:rFonts w:cs="Times New Roman"/>
          <w:lang w:val="fr-CA"/>
        </w:rPr>
        <w:t>Reinisch</w:t>
      </w:r>
      <w:proofErr w:type="spellEnd"/>
      <w:r w:rsidRPr="004826C0">
        <w:rPr>
          <w:rFonts w:cs="Times New Roman"/>
          <w:lang w:val="fr-CA"/>
        </w:rPr>
        <w:t xml:space="preserve">, </w:t>
      </w:r>
      <w:r w:rsidRPr="004826C0">
        <w:rPr>
          <w:rFonts w:cs="Times New Roman"/>
          <w:i/>
          <w:lang w:val="fr-CA"/>
        </w:rPr>
        <w:t xml:space="preserve">International </w:t>
      </w:r>
      <w:proofErr w:type="spellStart"/>
      <w:r w:rsidRPr="004826C0">
        <w:rPr>
          <w:rFonts w:cs="Times New Roman"/>
          <w:i/>
          <w:lang w:val="fr-CA"/>
        </w:rPr>
        <w:t>Organizations</w:t>
      </w:r>
      <w:proofErr w:type="spellEnd"/>
      <w:r w:rsidRPr="004826C0">
        <w:rPr>
          <w:rFonts w:cs="Times New Roman"/>
          <w:i/>
          <w:lang w:val="fr-CA"/>
        </w:rPr>
        <w:t xml:space="preserve"> </w:t>
      </w:r>
      <w:proofErr w:type="spellStart"/>
      <w:r w:rsidRPr="004826C0">
        <w:rPr>
          <w:rFonts w:cs="Times New Roman"/>
          <w:i/>
          <w:lang w:val="fr-CA"/>
        </w:rPr>
        <w:t>Before</w:t>
      </w:r>
      <w:proofErr w:type="spellEnd"/>
      <w:r w:rsidRPr="004826C0">
        <w:rPr>
          <w:rFonts w:cs="Times New Roman"/>
          <w:i/>
          <w:lang w:val="fr-CA"/>
        </w:rPr>
        <w:t xml:space="preserve"> National Courts </w:t>
      </w:r>
      <w:r w:rsidRPr="004826C0">
        <w:rPr>
          <w:rFonts w:cs="Times New Roman"/>
          <w:lang w:val="fr-CA"/>
        </w:rPr>
        <w:t xml:space="preserve">(2000), p. 206).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Plutôt que d</w:t>
      </w:r>
      <w:r>
        <w:rPr>
          <w:rFonts w:cs="Times New Roman"/>
          <w:lang w:val="fr-CA"/>
        </w:rPr>
        <w:t>’</w:t>
      </w:r>
      <w:r w:rsidRPr="004826C0">
        <w:rPr>
          <w:rFonts w:cs="Times New Roman"/>
          <w:lang w:val="fr-CA"/>
        </w:rPr>
        <w:t>imposer cette incertitude à la BIRD et à l</w:t>
      </w:r>
      <w:r>
        <w:rPr>
          <w:rFonts w:cs="Times New Roman"/>
          <w:lang w:val="fr-CA"/>
        </w:rPr>
        <w:t>’</w:t>
      </w:r>
      <w:r w:rsidRPr="004826C0">
        <w:rPr>
          <w:rFonts w:cs="Times New Roman"/>
          <w:lang w:val="fr-CA"/>
        </w:rPr>
        <w:t>IDA, les États signataires de l</w:t>
      </w:r>
      <w:r>
        <w:rPr>
          <w:rFonts w:cs="Times New Roman"/>
          <w:lang w:val="fr-CA"/>
        </w:rPr>
        <w:t>’</w:t>
      </w:r>
      <w:r w:rsidRPr="004826C0">
        <w:rPr>
          <w:rFonts w:cs="Times New Roman"/>
          <w:lang w:val="fr-CA"/>
        </w:rPr>
        <w:t>Accord et des Statuts ont défini, à l</w:t>
      </w:r>
      <w:r>
        <w:rPr>
          <w:rFonts w:cs="Times New Roman"/>
          <w:lang w:val="fr-CA"/>
        </w:rPr>
        <w:t>’</w:t>
      </w:r>
      <w:r w:rsidRPr="004826C0">
        <w:rPr>
          <w:rFonts w:cs="Times New Roman"/>
          <w:lang w:val="fr-CA"/>
        </w:rPr>
        <w:t>avance, les diverses immunités qui permettraient à ces organisations de s</w:t>
      </w:r>
      <w:r>
        <w:rPr>
          <w:rFonts w:cs="Times New Roman"/>
          <w:lang w:val="fr-CA"/>
        </w:rPr>
        <w:t>’</w:t>
      </w:r>
      <w:r w:rsidRPr="004826C0">
        <w:rPr>
          <w:rFonts w:cs="Times New Roman"/>
          <w:lang w:val="fr-CA"/>
        </w:rPr>
        <w:t>acquitter de leurs responsabilités. Le texte même de la section 1 laisse entendre que c</w:t>
      </w:r>
      <w:r>
        <w:rPr>
          <w:rFonts w:cs="Times New Roman"/>
          <w:lang w:val="fr-CA"/>
        </w:rPr>
        <w:t>’</w:t>
      </w:r>
      <w:r w:rsidRPr="004826C0">
        <w:rPr>
          <w:rFonts w:cs="Times New Roman"/>
          <w:lang w:val="fr-CA"/>
        </w:rPr>
        <w:t>était un choix délibéré, car les immunités sont accordées « [p]</w:t>
      </w:r>
      <w:proofErr w:type="spellStart"/>
      <w:r w:rsidRPr="004826C0">
        <w:rPr>
          <w:rFonts w:cs="Times New Roman"/>
          <w:lang w:val="fr-CA"/>
        </w:rPr>
        <w:t>our</w:t>
      </w:r>
      <w:proofErr w:type="spellEnd"/>
      <w:r w:rsidRPr="004826C0">
        <w:rPr>
          <w:rFonts w:cs="Times New Roman"/>
          <w:lang w:val="fr-CA"/>
        </w:rPr>
        <w:t xml:space="preserve"> mettre la </w:t>
      </w:r>
      <w:r w:rsidR="00B15CCB">
        <w:rPr>
          <w:rFonts w:cs="Times New Roman"/>
          <w:lang w:val="fr-CA"/>
        </w:rPr>
        <w:t>Banque</w:t>
      </w:r>
      <w:r w:rsidRPr="004826C0">
        <w:rPr>
          <w:rFonts w:cs="Times New Roman"/>
          <w:lang w:val="fr-CA"/>
        </w:rPr>
        <w:t xml:space="preserve"> en mesure de remplir les fonctions qui lui sont confiées » (le libellé des Statuts de l</w:t>
      </w:r>
      <w:r>
        <w:rPr>
          <w:rFonts w:cs="Times New Roman"/>
          <w:lang w:val="fr-CA"/>
        </w:rPr>
        <w:t>’</w:t>
      </w:r>
      <w:r w:rsidRPr="004826C0">
        <w:rPr>
          <w:rFonts w:cs="Times New Roman"/>
          <w:lang w:val="fr-CA"/>
        </w:rPr>
        <w:t>IDA, sans être identique, est équivalent). Ajouter une condition de nécessité fonctionnelle minerait ce qui semble être le choix délibéré d</w:t>
      </w:r>
      <w:r>
        <w:rPr>
          <w:rFonts w:cs="Times New Roman"/>
          <w:lang w:val="fr-CA"/>
        </w:rPr>
        <w:t>’</w:t>
      </w:r>
      <w:r w:rsidRPr="004826C0">
        <w:rPr>
          <w:rFonts w:cs="Times New Roman"/>
          <w:lang w:val="fr-CA"/>
        </w:rPr>
        <w:t xml:space="preserve">énumérer les diverses immunités plutôt que de prévoir une immunité fonctionnelle générale.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Pour ces motifs, nous sommes d</w:t>
      </w:r>
      <w:r>
        <w:rPr>
          <w:rFonts w:cs="Times New Roman"/>
          <w:lang w:val="fr-CA"/>
        </w:rPr>
        <w:t>’</w:t>
      </w:r>
      <w:r w:rsidRPr="004826C0">
        <w:rPr>
          <w:rFonts w:cs="Times New Roman"/>
          <w:lang w:val="fr-CA"/>
        </w:rPr>
        <w:t>avis que la section 1 ne subordonne pas l</w:t>
      </w:r>
      <w:r>
        <w:rPr>
          <w:rFonts w:cs="Times New Roman"/>
          <w:lang w:val="fr-CA"/>
        </w:rPr>
        <w:t>’</w:t>
      </w:r>
      <w:r w:rsidRPr="004826C0">
        <w:rPr>
          <w:rFonts w:cs="Times New Roman"/>
          <w:lang w:val="fr-CA"/>
        </w:rPr>
        <w:t>application de l</w:t>
      </w:r>
      <w:r>
        <w:rPr>
          <w:rFonts w:cs="Times New Roman"/>
          <w:lang w:val="fr-CA"/>
        </w:rPr>
        <w:t>’</w:t>
      </w:r>
      <w:r w:rsidRPr="004826C0">
        <w:rPr>
          <w:rFonts w:cs="Times New Roman"/>
          <w:lang w:val="fr-CA"/>
        </w:rPr>
        <w:t>immunité au respect d</w:t>
      </w:r>
      <w:r>
        <w:rPr>
          <w:rFonts w:cs="Times New Roman"/>
          <w:lang w:val="fr-CA"/>
        </w:rPr>
        <w:t>’</w:t>
      </w:r>
      <w:r w:rsidRPr="004826C0">
        <w:rPr>
          <w:rFonts w:cs="Times New Roman"/>
          <w:lang w:val="fr-CA"/>
        </w:rPr>
        <w:t>une condition de nécessité fonctionnelle. Or, comme nous l</w:t>
      </w:r>
      <w:r>
        <w:rPr>
          <w:rFonts w:cs="Times New Roman"/>
          <w:lang w:val="fr-CA"/>
        </w:rPr>
        <w:t>’</w:t>
      </w:r>
      <w:r w:rsidRPr="004826C0">
        <w:rPr>
          <w:rFonts w:cs="Times New Roman"/>
          <w:lang w:val="fr-CA"/>
        </w:rPr>
        <w:t>avons dit, la portée de ces immunités doit néanmoins être déterminée de manière téléologique, à la lumière de leur objet, énoncé à la section 1.</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Puisque nous avons conclu que les immunités énoncées aux sections 5 et 8 s</w:t>
      </w:r>
      <w:r>
        <w:rPr>
          <w:rFonts w:cs="Times New Roman"/>
          <w:lang w:val="fr-CA"/>
        </w:rPr>
        <w:t>’</w:t>
      </w:r>
      <w:r w:rsidRPr="004826C0">
        <w:rPr>
          <w:rFonts w:cs="Times New Roman"/>
          <w:lang w:val="fr-CA"/>
        </w:rPr>
        <w:t xml:space="preserve">appliquent sans nécessiter de justification, nous allons maintenant en déterminer la portée. </w:t>
      </w:r>
    </w:p>
    <w:p w:rsidR="002405E3" w:rsidRPr="004826C0" w:rsidRDefault="002405E3" w:rsidP="003C0B54">
      <w:pPr>
        <w:pStyle w:val="Title3LevelTitre3Niveau"/>
        <w:widowControl w:val="0"/>
        <w:numPr>
          <w:ilvl w:val="2"/>
          <w:numId w:val="21"/>
        </w:numPr>
        <w:rPr>
          <w:rFonts w:cs="Times New Roman"/>
          <w:lang w:val="fr-CA"/>
        </w:rPr>
      </w:pPr>
      <w:r w:rsidRPr="004826C0">
        <w:rPr>
          <w:rFonts w:cs="Times New Roman"/>
          <w:lang w:val="fr-CA"/>
        </w:rPr>
        <w:t>Étendue de l</w:t>
      </w:r>
      <w:r>
        <w:rPr>
          <w:rFonts w:cs="Times New Roman"/>
          <w:lang w:val="fr-CA"/>
        </w:rPr>
        <w:t>’</w:t>
      </w:r>
      <w:r w:rsidRPr="004826C0">
        <w:rPr>
          <w:rFonts w:cs="Times New Roman"/>
          <w:lang w:val="fr-CA"/>
        </w:rPr>
        <w:t xml:space="preserve">inviolabilité des archives prévue </w:t>
      </w:r>
      <w:r w:rsidR="00B15CCB">
        <w:rPr>
          <w:rFonts w:cs="Times New Roman"/>
          <w:lang w:val="fr-CA"/>
        </w:rPr>
        <w:t>à l’égard de</w:t>
      </w:r>
      <w:r w:rsidRPr="004826C0">
        <w:rPr>
          <w:rFonts w:cs="Times New Roman"/>
          <w:lang w:val="fr-CA"/>
        </w:rPr>
        <w:t xml:space="preserve"> la BIRD et</w:t>
      </w:r>
      <w:r w:rsidR="00B15CCB">
        <w:rPr>
          <w:rFonts w:cs="Times New Roman"/>
          <w:lang w:val="fr-CA"/>
        </w:rPr>
        <w:t xml:space="preserve"> de </w:t>
      </w:r>
      <w:r w:rsidRPr="004826C0">
        <w:rPr>
          <w:rFonts w:cs="Times New Roman"/>
          <w:lang w:val="fr-CA"/>
        </w:rPr>
        <w:t xml:space="preserve"> l</w:t>
      </w:r>
      <w:r>
        <w:rPr>
          <w:rFonts w:cs="Times New Roman"/>
          <w:lang w:val="fr-CA"/>
        </w:rPr>
        <w:t>’</w:t>
      </w:r>
      <w:r w:rsidRPr="004826C0">
        <w:rPr>
          <w:rFonts w:cs="Times New Roman"/>
          <w:lang w:val="fr-CA"/>
        </w:rPr>
        <w:t>IDA</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Aux termes de la section 5, les archives de la BIRD et de l</w:t>
      </w:r>
      <w:r>
        <w:rPr>
          <w:rFonts w:cs="Times New Roman"/>
          <w:lang w:val="fr-CA"/>
        </w:rPr>
        <w:t>’</w:t>
      </w:r>
      <w:r w:rsidRPr="004826C0">
        <w:rPr>
          <w:rFonts w:cs="Times New Roman"/>
          <w:lang w:val="fr-CA"/>
        </w:rPr>
        <w:t>IDA sont « inviolables ». Selon le juge d</w:t>
      </w:r>
      <w:r>
        <w:rPr>
          <w:rFonts w:cs="Times New Roman"/>
          <w:lang w:val="fr-CA"/>
        </w:rPr>
        <w:t>’</w:t>
      </w:r>
      <w:r w:rsidRPr="004826C0">
        <w:rPr>
          <w:rFonts w:cs="Times New Roman"/>
          <w:lang w:val="fr-CA"/>
        </w:rPr>
        <w:t>instance, cette disposition ne protège pas la BIRD contre l</w:t>
      </w:r>
      <w:r>
        <w:rPr>
          <w:rFonts w:cs="Times New Roman"/>
          <w:lang w:val="fr-CA"/>
        </w:rPr>
        <w:t>’</w:t>
      </w:r>
      <w:r w:rsidRPr="004826C0">
        <w:rPr>
          <w:rFonts w:cs="Times New Roman"/>
          <w:lang w:val="fr-CA"/>
        </w:rPr>
        <w:t>ordonnance de communication de documents sollicitée par les intimés, étant donné que, suivant une définition provenant d</w:t>
      </w:r>
      <w:r>
        <w:rPr>
          <w:rFonts w:cs="Times New Roman"/>
          <w:lang w:val="fr-CA"/>
        </w:rPr>
        <w:t>’</w:t>
      </w:r>
      <w:r w:rsidRPr="004826C0">
        <w:rPr>
          <w:rFonts w:cs="Times New Roman"/>
          <w:lang w:val="fr-CA"/>
        </w:rPr>
        <w:t>un dictionnaire, le terme « archives » s</w:t>
      </w:r>
      <w:r>
        <w:rPr>
          <w:rFonts w:cs="Times New Roman"/>
          <w:lang w:val="fr-CA"/>
        </w:rPr>
        <w:t>’</w:t>
      </w:r>
      <w:r w:rsidRPr="004826C0">
        <w:rPr>
          <w:rFonts w:cs="Times New Roman"/>
          <w:lang w:val="fr-CA"/>
        </w:rPr>
        <w:t>entend exclusivement d</w:t>
      </w:r>
      <w:r>
        <w:rPr>
          <w:rFonts w:cs="Times New Roman"/>
          <w:lang w:val="fr-CA"/>
        </w:rPr>
        <w:t>’</w:t>
      </w:r>
      <w:r w:rsidRPr="004826C0">
        <w:rPr>
          <w:rFonts w:cs="Times New Roman"/>
          <w:lang w:val="fr-CA"/>
        </w:rPr>
        <w:t>un [</w:t>
      </w:r>
      <w:r w:rsidRPr="004826C0">
        <w:rPr>
          <w:rFonts w:cs="Times New Roman"/>
          <w:smallCaps/>
          <w:lang w:val="fr-CA"/>
        </w:rPr>
        <w:t>traduction</w:t>
      </w:r>
      <w:r w:rsidRPr="004826C0">
        <w:rPr>
          <w:rFonts w:cs="Times New Roman"/>
          <w:lang w:val="fr-CA"/>
        </w:rPr>
        <w:t>] « ensemble de documents ou de dossiers historiques » (par. 54). En outre, le juge d</w:t>
      </w:r>
      <w:r>
        <w:rPr>
          <w:rFonts w:cs="Times New Roman"/>
          <w:lang w:val="fr-CA"/>
        </w:rPr>
        <w:t>’</w:t>
      </w:r>
      <w:r w:rsidRPr="004826C0">
        <w:rPr>
          <w:rFonts w:cs="Times New Roman"/>
          <w:lang w:val="fr-CA"/>
        </w:rPr>
        <w:t>instance a estimé que le terme « inviolable », s</w:t>
      </w:r>
      <w:r>
        <w:rPr>
          <w:rFonts w:cs="Times New Roman"/>
          <w:lang w:val="fr-CA"/>
        </w:rPr>
        <w:t>’</w:t>
      </w:r>
      <w:r w:rsidRPr="004826C0">
        <w:rPr>
          <w:rFonts w:cs="Times New Roman"/>
          <w:lang w:val="fr-CA"/>
        </w:rPr>
        <w:t>il permet de parer à une ordonnance de fouille, perquisition et saisie, est sans effet contre une ordonnance de communication.</w:t>
      </w:r>
      <w:r>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Avec respect, le juge d</w:t>
      </w:r>
      <w:r>
        <w:rPr>
          <w:rFonts w:cs="Times New Roman"/>
          <w:lang w:val="fr-CA"/>
        </w:rPr>
        <w:t>’</w:t>
      </w:r>
      <w:r w:rsidRPr="004826C0">
        <w:rPr>
          <w:rFonts w:cs="Times New Roman"/>
          <w:lang w:val="fr-CA"/>
        </w:rPr>
        <w:t>instance a commis une erreur en interprétant de façon aussi étroite une immunité intimement liée au fonctionnement indépendant des organisations internationales. Selon notre interprétation, l</w:t>
      </w:r>
      <w:r>
        <w:rPr>
          <w:rFonts w:cs="Times New Roman"/>
          <w:lang w:val="fr-CA"/>
        </w:rPr>
        <w:t>’</w:t>
      </w:r>
      <w:r w:rsidRPr="004826C0">
        <w:rPr>
          <w:rFonts w:cs="Times New Roman"/>
          <w:lang w:val="fr-CA"/>
        </w:rPr>
        <w:t>immunité définie à la section 5 protège l</w:t>
      </w:r>
      <w:r>
        <w:rPr>
          <w:rFonts w:cs="Times New Roman"/>
          <w:lang w:val="fr-CA"/>
        </w:rPr>
        <w:t>’</w:t>
      </w:r>
      <w:r w:rsidRPr="004826C0">
        <w:rPr>
          <w:rFonts w:cs="Times New Roman"/>
          <w:lang w:val="fr-CA"/>
        </w:rPr>
        <w:t>ensemble de la collection des documents archivés de la BIRD et de l</w:t>
      </w:r>
      <w:r>
        <w:rPr>
          <w:rFonts w:cs="Times New Roman"/>
          <w:lang w:val="fr-CA"/>
        </w:rPr>
        <w:t>’</w:t>
      </w:r>
      <w:r w:rsidRPr="004826C0">
        <w:rPr>
          <w:rFonts w:cs="Times New Roman"/>
          <w:lang w:val="fr-CA"/>
        </w:rPr>
        <w:t>IDA à la fois contre les fouilles, perquisitions et saisies et contre la communication. Cette interprétation plus large est conforme au sens ordinaire des termes de la section 5 et elle s</w:t>
      </w:r>
      <w:r>
        <w:rPr>
          <w:rFonts w:cs="Times New Roman"/>
          <w:lang w:val="fr-CA"/>
        </w:rPr>
        <w:t>’</w:t>
      </w:r>
      <w:r w:rsidRPr="004826C0">
        <w:rPr>
          <w:rFonts w:cs="Times New Roman"/>
          <w:lang w:val="fr-CA"/>
        </w:rPr>
        <w:t>harmonise avec l</w:t>
      </w:r>
      <w:r>
        <w:rPr>
          <w:rFonts w:cs="Times New Roman"/>
          <w:lang w:val="fr-CA"/>
        </w:rPr>
        <w:t>’</w:t>
      </w:r>
      <w:r w:rsidRPr="004826C0">
        <w:rPr>
          <w:rFonts w:cs="Times New Roman"/>
          <w:lang w:val="fr-CA"/>
        </w:rPr>
        <w:t xml:space="preserve">objet et le but de cette disposition.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Style w:val="reflex3-block"/>
          <w:rFonts w:cs="Times New Roman"/>
          <w:lang w:val="fr-CA"/>
        </w:rPr>
        <w:t>Premièrement, le mot « archives » s</w:t>
      </w:r>
      <w:r>
        <w:rPr>
          <w:rStyle w:val="reflex3-block"/>
          <w:rFonts w:cs="Times New Roman"/>
          <w:lang w:val="fr-CA"/>
        </w:rPr>
        <w:t>’</w:t>
      </w:r>
      <w:r w:rsidRPr="004826C0">
        <w:rPr>
          <w:rStyle w:val="reflex3-block"/>
          <w:rFonts w:cs="Times New Roman"/>
          <w:lang w:val="fr-CA"/>
        </w:rPr>
        <w:t>entend souvent de l</w:t>
      </w:r>
      <w:r>
        <w:rPr>
          <w:rStyle w:val="reflex3-block"/>
          <w:rFonts w:cs="Times New Roman"/>
          <w:lang w:val="fr-CA"/>
        </w:rPr>
        <w:t>’</w:t>
      </w:r>
      <w:r w:rsidRPr="004826C0">
        <w:rPr>
          <w:rStyle w:val="reflex3-block"/>
          <w:rFonts w:cs="Times New Roman"/>
          <w:lang w:val="fr-CA"/>
        </w:rPr>
        <w:t>ensemble des dossiers et documents que possède une organisation. Par exemple, le</w:t>
      </w:r>
      <w:r w:rsidRPr="004826C0">
        <w:rPr>
          <w:rStyle w:val="reflex3-block"/>
          <w:rFonts w:cs="Times New Roman"/>
          <w:i/>
          <w:lang w:val="fr-CA"/>
        </w:rPr>
        <w:t xml:space="preserve"> Canadian Oxford </w:t>
      </w:r>
      <w:proofErr w:type="spellStart"/>
      <w:r w:rsidRPr="004826C0">
        <w:rPr>
          <w:rStyle w:val="reflex3-block"/>
          <w:rFonts w:cs="Times New Roman"/>
          <w:i/>
          <w:lang w:val="fr-CA"/>
        </w:rPr>
        <w:t>Dictionary</w:t>
      </w:r>
      <w:proofErr w:type="spellEnd"/>
      <w:r w:rsidRPr="004826C0">
        <w:rPr>
          <w:rStyle w:val="reflex3-block"/>
          <w:rFonts w:cs="Times New Roman"/>
          <w:lang w:val="fr-CA"/>
        </w:rPr>
        <w:t xml:space="preserve"> (2</w:t>
      </w:r>
      <w:r w:rsidRPr="004826C0">
        <w:rPr>
          <w:rStyle w:val="reflex3-block"/>
          <w:rFonts w:cs="Times New Roman"/>
          <w:vertAlign w:val="superscript"/>
          <w:lang w:val="fr-CA"/>
        </w:rPr>
        <w:t>e</w:t>
      </w:r>
      <w:r w:rsidRPr="004826C0">
        <w:rPr>
          <w:rStyle w:val="reflex3-block"/>
          <w:rFonts w:cs="Times New Roman"/>
          <w:lang w:val="fr-CA"/>
        </w:rPr>
        <w:t> éd. 2004) définit ainsi la notion</w:t>
      </w:r>
      <w:r w:rsidR="00947A95">
        <w:rPr>
          <w:rStyle w:val="reflex3-block"/>
          <w:rFonts w:cs="Times New Roman"/>
          <w:lang w:val="fr-CA"/>
        </w:rPr>
        <w:t> </w:t>
      </w:r>
      <w:r w:rsidRPr="004826C0">
        <w:rPr>
          <w:rStyle w:val="reflex3-block"/>
          <w:rFonts w:cs="Times New Roman"/>
          <w:lang w:val="fr-CA"/>
        </w:rPr>
        <w:t>:</w:t>
      </w:r>
      <w:r w:rsidR="00947A95">
        <w:rPr>
          <w:rStyle w:val="reflex3-block"/>
          <w:rFonts w:cs="Times New Roman"/>
          <w:lang w:val="fr-CA"/>
        </w:rPr>
        <w:t xml:space="preserve"> </w:t>
      </w:r>
      <w:r w:rsidR="00947A95" w:rsidRPr="004826C0">
        <w:rPr>
          <w:rFonts w:cs="Times New Roman"/>
          <w:lang w:val="fr-CA"/>
        </w:rPr>
        <w:t>[</w:t>
      </w:r>
      <w:r w:rsidR="00947A95" w:rsidRPr="004826C0">
        <w:rPr>
          <w:rFonts w:cs="Times New Roman"/>
          <w:smallCaps/>
          <w:lang w:val="fr-CA"/>
        </w:rPr>
        <w:t>traduction</w:t>
      </w:r>
      <w:r w:rsidR="00947A95" w:rsidRPr="004826C0">
        <w:rPr>
          <w:rFonts w:cs="Times New Roman"/>
          <w:lang w:val="fr-CA"/>
        </w:rPr>
        <w:t>]</w:t>
      </w:r>
      <w:r w:rsidR="00947A95">
        <w:rPr>
          <w:rStyle w:val="reflex3-block"/>
          <w:rFonts w:cs="Times New Roman"/>
          <w:lang w:val="fr-CA"/>
        </w:rPr>
        <w:t xml:space="preserve"> </w:t>
      </w:r>
      <w:r w:rsidRPr="004826C0">
        <w:rPr>
          <w:rFonts w:cs="Times New Roman"/>
          <w:lang w:val="fr-CA"/>
        </w:rPr>
        <w:t xml:space="preserve">« 1 </w:t>
      </w:r>
      <w:r w:rsidR="00947A95">
        <w:rPr>
          <w:rFonts w:cs="Times New Roman"/>
          <w:lang w:val="fr-CA"/>
        </w:rPr>
        <w:t xml:space="preserve">[. . .] </w:t>
      </w:r>
      <w:r w:rsidRPr="004826C0">
        <w:rPr>
          <w:rFonts w:cs="Times New Roman"/>
          <w:lang w:val="fr-CA"/>
        </w:rPr>
        <w:t>collection de documents ou dossiers publics, d</w:t>
      </w:r>
      <w:r>
        <w:rPr>
          <w:rFonts w:cs="Times New Roman"/>
          <w:lang w:val="fr-CA"/>
        </w:rPr>
        <w:t>’</w:t>
      </w:r>
      <w:r w:rsidRPr="004826C0">
        <w:rPr>
          <w:rFonts w:cs="Times New Roman"/>
          <w:lang w:val="fr-CA"/>
        </w:rPr>
        <w:t>entreprise ou organisationnels</w:t>
      </w:r>
      <w:r w:rsidRPr="004826C0">
        <w:rPr>
          <w:rFonts w:cs="Times New Roman"/>
          <w:i/>
          <w:lang w:val="fr-CA"/>
        </w:rPr>
        <w:t>.</w:t>
      </w:r>
      <w:r w:rsidRPr="004826C0">
        <w:rPr>
          <w:rFonts w:cs="Times New Roman"/>
          <w:lang w:val="fr-CA"/>
        </w:rPr>
        <w:t xml:space="preserve"> 2</w:t>
      </w:r>
      <w:r w:rsidR="00D1135A">
        <w:rPr>
          <w:rFonts w:cs="Times New Roman"/>
          <w:lang w:val="fr-CA"/>
        </w:rPr>
        <w:t xml:space="preserve"> [. . .]</w:t>
      </w:r>
      <w:r>
        <w:rPr>
          <w:rFonts w:cs="Times New Roman"/>
          <w:lang w:val="fr-CA"/>
        </w:rPr>
        <w:t xml:space="preserve"> </w:t>
      </w:r>
      <w:r w:rsidRPr="004826C0">
        <w:rPr>
          <w:rFonts w:cs="Times New Roman"/>
          <w:lang w:val="fr-CA"/>
        </w:rPr>
        <w:t xml:space="preserve">endroit où ils sont entreposés » (p. 67). Le </w:t>
      </w:r>
      <w:proofErr w:type="spellStart"/>
      <w:r w:rsidRPr="004826C0">
        <w:rPr>
          <w:rFonts w:cs="Times New Roman"/>
          <w:i/>
          <w:lang w:val="fr-CA"/>
        </w:rPr>
        <w:t>Merriam</w:t>
      </w:r>
      <w:r w:rsidRPr="004826C0">
        <w:rPr>
          <w:rFonts w:cs="Times New Roman"/>
          <w:i/>
          <w:lang w:val="fr-CA"/>
        </w:rPr>
        <w:noBreakHyphen/>
        <w:t>Webster</w:t>
      </w:r>
      <w:r>
        <w:rPr>
          <w:rFonts w:cs="Times New Roman"/>
          <w:i/>
          <w:lang w:val="fr-CA"/>
        </w:rPr>
        <w:t>’</w:t>
      </w:r>
      <w:r w:rsidRPr="004826C0">
        <w:rPr>
          <w:rFonts w:cs="Times New Roman"/>
          <w:i/>
          <w:lang w:val="fr-CA"/>
        </w:rPr>
        <w:t>s</w:t>
      </w:r>
      <w:proofErr w:type="spellEnd"/>
      <w:r w:rsidRPr="004826C0">
        <w:rPr>
          <w:rFonts w:cs="Times New Roman"/>
          <w:i/>
          <w:lang w:val="fr-CA"/>
        </w:rPr>
        <w:t xml:space="preserve"> </w:t>
      </w:r>
      <w:proofErr w:type="spellStart"/>
      <w:r w:rsidRPr="004826C0">
        <w:rPr>
          <w:rFonts w:cs="Times New Roman"/>
          <w:i/>
          <w:lang w:val="fr-CA"/>
        </w:rPr>
        <w:t>Collegiate</w:t>
      </w:r>
      <w:proofErr w:type="spellEnd"/>
      <w:r w:rsidRPr="004826C0">
        <w:rPr>
          <w:rFonts w:cs="Times New Roman"/>
          <w:i/>
          <w:lang w:val="fr-CA"/>
        </w:rPr>
        <w:t xml:space="preserve"> </w:t>
      </w:r>
      <w:proofErr w:type="spellStart"/>
      <w:r w:rsidRPr="004826C0">
        <w:rPr>
          <w:rFonts w:cs="Times New Roman"/>
          <w:i/>
          <w:lang w:val="fr-CA"/>
        </w:rPr>
        <w:t>Dictionary</w:t>
      </w:r>
      <w:proofErr w:type="spellEnd"/>
      <w:r w:rsidRPr="004826C0">
        <w:rPr>
          <w:rFonts w:cs="Times New Roman"/>
          <w:lang w:val="fr-CA"/>
        </w:rPr>
        <w:t xml:space="preserve"> (11</w:t>
      </w:r>
      <w:r w:rsidRPr="004826C0">
        <w:rPr>
          <w:rFonts w:cs="Times New Roman"/>
          <w:vertAlign w:val="superscript"/>
          <w:lang w:val="fr-CA"/>
        </w:rPr>
        <w:t>e</w:t>
      </w:r>
      <w:r w:rsidRPr="004826C0">
        <w:rPr>
          <w:rFonts w:cs="Times New Roman"/>
          <w:lang w:val="fr-CA"/>
        </w:rPr>
        <w:t xml:space="preserve"> éd. 2003) offre une définition aussi large</w:t>
      </w:r>
      <w:r w:rsidR="005B274F">
        <w:rPr>
          <w:rFonts w:cs="Times New Roman"/>
          <w:lang w:val="fr-CA"/>
        </w:rPr>
        <w:t> :</w:t>
      </w:r>
      <w:r w:rsidRPr="004826C0">
        <w:rPr>
          <w:rFonts w:cs="Times New Roman"/>
          <w:lang w:val="fr-CA"/>
        </w:rPr>
        <w:t xml:space="preserve"> [</w:t>
      </w:r>
      <w:r w:rsidRPr="004826C0">
        <w:rPr>
          <w:rFonts w:cs="Times New Roman"/>
          <w:smallCaps/>
          <w:lang w:val="fr-CA"/>
        </w:rPr>
        <w:t>traduction</w:t>
      </w:r>
      <w:r w:rsidRPr="004826C0">
        <w:rPr>
          <w:rFonts w:cs="Times New Roman"/>
          <w:lang w:val="fr-CA"/>
        </w:rPr>
        <w:t xml:space="preserve">] </w:t>
      </w:r>
      <w:r w:rsidRPr="004826C0">
        <w:rPr>
          <w:rFonts w:cs="Times New Roman"/>
          <w:szCs w:val="24"/>
          <w:lang w:val="fr-CA"/>
        </w:rPr>
        <w:t>« 1</w:t>
      </w:r>
      <w:r w:rsidR="00D1135A">
        <w:rPr>
          <w:rFonts w:cs="Times New Roman"/>
          <w:szCs w:val="24"/>
          <w:lang w:val="fr-CA"/>
        </w:rPr>
        <w:t xml:space="preserve"> </w:t>
      </w:r>
      <w:r w:rsidRPr="004826C0">
        <w:rPr>
          <w:rFonts w:cs="Times New Roman"/>
          <w:szCs w:val="24"/>
          <w:lang w:val="fr-CA"/>
        </w:rPr>
        <w:t>: endroit où les dossiers publics ou documents historiques sont conservés;</w:t>
      </w:r>
      <w:r w:rsidRPr="004826C0">
        <w:rPr>
          <w:rFonts w:cs="Times New Roman"/>
          <w:i/>
          <w:szCs w:val="24"/>
          <w:lang w:val="fr-CA"/>
        </w:rPr>
        <w:t xml:space="preserve"> aussi</w:t>
      </w:r>
      <w:r w:rsidRPr="004826C0">
        <w:rPr>
          <w:rFonts w:cs="Times New Roman"/>
          <w:szCs w:val="24"/>
          <w:lang w:val="fr-CA"/>
        </w:rPr>
        <w:t> : ce qui est co</w:t>
      </w:r>
      <w:r w:rsidR="00D1135A">
        <w:rPr>
          <w:rFonts w:cs="Times New Roman"/>
          <w:szCs w:val="24"/>
          <w:lang w:val="fr-CA"/>
        </w:rPr>
        <w:t>nservé — souvent employé au pl.</w:t>
      </w:r>
      <w:r w:rsidRPr="004826C0">
        <w:rPr>
          <w:rFonts w:cs="Times New Roman"/>
          <w:szCs w:val="24"/>
          <w:lang w:val="fr-CA"/>
        </w:rPr>
        <w:t xml:space="preserve"> 2</w:t>
      </w:r>
      <w:r w:rsidR="00D1135A">
        <w:rPr>
          <w:rFonts w:cs="Times New Roman"/>
          <w:szCs w:val="24"/>
          <w:lang w:val="fr-CA"/>
        </w:rPr>
        <w:t> </w:t>
      </w:r>
      <w:r w:rsidRPr="004826C0">
        <w:rPr>
          <w:rFonts w:cs="Times New Roman"/>
          <w:szCs w:val="24"/>
          <w:lang w:val="fr-CA"/>
        </w:rPr>
        <w:t>: dépôt ou collection, part. d</w:t>
      </w:r>
      <w:r>
        <w:rPr>
          <w:rFonts w:cs="Times New Roman"/>
          <w:szCs w:val="24"/>
          <w:lang w:val="fr-CA"/>
        </w:rPr>
        <w:t>’</w:t>
      </w:r>
      <w:r w:rsidRPr="004826C0">
        <w:rPr>
          <w:rFonts w:cs="Times New Roman"/>
          <w:szCs w:val="24"/>
          <w:lang w:val="fr-CA"/>
        </w:rPr>
        <w:t xml:space="preserve">information » (p. 65), tout comme le </w:t>
      </w:r>
      <w:proofErr w:type="spellStart"/>
      <w:r w:rsidRPr="004826C0">
        <w:rPr>
          <w:rFonts w:cs="Times New Roman"/>
          <w:i/>
          <w:szCs w:val="24"/>
          <w:lang w:val="fr-CA"/>
        </w:rPr>
        <w:t>Black</w:t>
      </w:r>
      <w:r>
        <w:rPr>
          <w:rFonts w:cs="Times New Roman"/>
          <w:i/>
          <w:szCs w:val="24"/>
          <w:lang w:val="fr-CA"/>
        </w:rPr>
        <w:t>’</w:t>
      </w:r>
      <w:r w:rsidRPr="004826C0">
        <w:rPr>
          <w:rFonts w:cs="Times New Roman"/>
          <w:i/>
          <w:szCs w:val="24"/>
          <w:lang w:val="fr-CA"/>
        </w:rPr>
        <w:t>s</w:t>
      </w:r>
      <w:proofErr w:type="spellEnd"/>
      <w:r w:rsidRPr="004826C0">
        <w:rPr>
          <w:rFonts w:cs="Times New Roman"/>
          <w:i/>
          <w:szCs w:val="24"/>
          <w:lang w:val="fr-CA"/>
        </w:rPr>
        <w:t xml:space="preserve"> Law </w:t>
      </w:r>
      <w:proofErr w:type="spellStart"/>
      <w:r w:rsidRPr="004826C0">
        <w:rPr>
          <w:rFonts w:cs="Times New Roman"/>
          <w:i/>
          <w:szCs w:val="24"/>
          <w:lang w:val="fr-CA"/>
        </w:rPr>
        <w:t>Dictionary</w:t>
      </w:r>
      <w:proofErr w:type="spellEnd"/>
      <w:r w:rsidRPr="004826C0">
        <w:rPr>
          <w:rFonts w:cs="Times New Roman"/>
          <w:szCs w:val="24"/>
          <w:lang w:val="fr-CA"/>
        </w:rPr>
        <w:t xml:space="preserve"> (10</w:t>
      </w:r>
      <w:r w:rsidRPr="004826C0">
        <w:rPr>
          <w:rFonts w:cs="Times New Roman"/>
          <w:szCs w:val="24"/>
          <w:vertAlign w:val="superscript"/>
          <w:lang w:val="fr-CA"/>
        </w:rPr>
        <w:t>e</w:t>
      </w:r>
      <w:r w:rsidRPr="004826C0">
        <w:rPr>
          <w:rFonts w:cs="Times New Roman"/>
          <w:szCs w:val="24"/>
          <w:lang w:val="fr-CA"/>
        </w:rPr>
        <w:t> éd. 2014)</w:t>
      </w:r>
      <w:r w:rsidR="005B274F">
        <w:rPr>
          <w:rFonts w:cs="Times New Roman"/>
          <w:szCs w:val="24"/>
          <w:lang w:val="fr-CA"/>
        </w:rPr>
        <w:t xml:space="preserve"> : </w:t>
      </w:r>
      <w:r w:rsidRPr="004826C0">
        <w:rPr>
          <w:rFonts w:cs="Times New Roman"/>
          <w:szCs w:val="24"/>
          <w:lang w:val="fr-CA"/>
        </w:rPr>
        <w:t>[</w:t>
      </w:r>
      <w:r w:rsidRPr="004826C0">
        <w:rPr>
          <w:rFonts w:cs="Times New Roman"/>
          <w:smallCaps/>
          <w:szCs w:val="24"/>
          <w:lang w:val="fr-CA"/>
        </w:rPr>
        <w:t>traduction</w:t>
      </w:r>
      <w:r w:rsidR="005B274F">
        <w:rPr>
          <w:rFonts w:cs="Times New Roman"/>
          <w:szCs w:val="24"/>
          <w:lang w:val="fr-CA"/>
        </w:rPr>
        <w:t>]</w:t>
      </w:r>
      <w:r w:rsidRPr="004826C0">
        <w:rPr>
          <w:rFonts w:cs="Times New Roman"/>
          <w:szCs w:val="24"/>
          <w:lang w:val="fr-CA"/>
        </w:rPr>
        <w:t xml:space="preserve"> «</w:t>
      </w:r>
      <w:r w:rsidR="00D1135A">
        <w:rPr>
          <w:rFonts w:cs="Times New Roman"/>
          <w:szCs w:val="24"/>
          <w:lang w:val="fr-CA"/>
        </w:rPr>
        <w:t xml:space="preserve"> 1.</w:t>
      </w:r>
      <w:r w:rsidRPr="004826C0">
        <w:rPr>
          <w:rFonts w:cs="Times New Roman"/>
          <w:szCs w:val="24"/>
          <w:lang w:val="fr-CA"/>
        </w:rPr>
        <w:t xml:space="preserve"> Endroit où les dossiers publics, historiques </w:t>
      </w:r>
      <w:r w:rsidRPr="004826C0">
        <w:rPr>
          <w:rFonts w:cs="Times New Roman"/>
          <w:szCs w:val="24"/>
          <w:u w:val="single"/>
          <w:lang w:val="fr-CA"/>
        </w:rPr>
        <w:t>ou</w:t>
      </w:r>
      <w:r w:rsidRPr="004826C0">
        <w:rPr>
          <w:rFonts w:cs="Times New Roman"/>
          <w:szCs w:val="24"/>
          <w:lang w:val="fr-CA"/>
        </w:rPr>
        <w:t xml:space="preserve"> institutionnels sont conservés systématiquement. 2. Documents et dossiers publics, historiques </w:t>
      </w:r>
      <w:r w:rsidRPr="004826C0">
        <w:rPr>
          <w:rFonts w:cs="Times New Roman"/>
          <w:szCs w:val="24"/>
          <w:u w:val="single"/>
          <w:lang w:val="fr-CA"/>
        </w:rPr>
        <w:t>ou</w:t>
      </w:r>
      <w:r w:rsidRPr="004826C0">
        <w:rPr>
          <w:rFonts w:cs="Times New Roman"/>
          <w:szCs w:val="24"/>
          <w:lang w:val="fr-CA"/>
        </w:rPr>
        <w:t xml:space="preserve"> institutionnels rassemblés et conservés. 3. Toute compilation systématique de pièces, part. d</w:t>
      </w:r>
      <w:r>
        <w:rPr>
          <w:rFonts w:cs="Times New Roman"/>
          <w:szCs w:val="24"/>
          <w:lang w:val="fr-CA"/>
        </w:rPr>
        <w:t>’</w:t>
      </w:r>
      <w:r w:rsidRPr="004826C0">
        <w:rPr>
          <w:rFonts w:cs="Times New Roman"/>
          <w:szCs w:val="24"/>
          <w:lang w:val="fr-CA"/>
        </w:rPr>
        <w:t>écrits, sous forme physique ou électronique » (p. 127</w:t>
      </w:r>
      <w:r w:rsidRPr="004826C0">
        <w:rPr>
          <w:rFonts w:cs="Times New Roman"/>
          <w:szCs w:val="24"/>
          <w:lang w:val="fr-CA"/>
        </w:rPr>
        <w:noBreakHyphen/>
        <w:t>128 (nous soulignons)).</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szCs w:val="24"/>
          <w:lang w:val="fr-CA"/>
        </w:rPr>
        <w:t xml:space="preserve">Pour sa part, le </w:t>
      </w:r>
      <w:r w:rsidRPr="004826C0">
        <w:rPr>
          <w:rFonts w:cs="Times New Roman"/>
          <w:i/>
          <w:szCs w:val="24"/>
          <w:lang w:val="fr-CA"/>
        </w:rPr>
        <w:t xml:space="preserve">Collins Canadian </w:t>
      </w:r>
      <w:proofErr w:type="spellStart"/>
      <w:r w:rsidRPr="004826C0">
        <w:rPr>
          <w:rFonts w:cs="Times New Roman"/>
          <w:i/>
          <w:szCs w:val="24"/>
          <w:lang w:val="fr-CA"/>
        </w:rPr>
        <w:t>Dictionary</w:t>
      </w:r>
      <w:proofErr w:type="spellEnd"/>
      <w:r w:rsidRPr="004826C0">
        <w:rPr>
          <w:rFonts w:cs="Times New Roman"/>
          <w:szCs w:val="24"/>
          <w:lang w:val="fr-CA"/>
        </w:rPr>
        <w:t xml:space="preserve"> (2010) définit le terme « </w:t>
      </w:r>
      <w:r w:rsidRPr="00FF73FE">
        <w:rPr>
          <w:rFonts w:cs="Times New Roman"/>
          <w:i/>
          <w:szCs w:val="24"/>
          <w:lang w:val="fr-CA"/>
        </w:rPr>
        <w:t>archives</w:t>
      </w:r>
      <w:r w:rsidRPr="004826C0">
        <w:rPr>
          <w:rFonts w:cs="Times New Roman"/>
          <w:szCs w:val="24"/>
          <w:lang w:val="fr-CA"/>
        </w:rPr>
        <w:t> »</w:t>
      </w:r>
      <w:r w:rsidR="00FF73FE">
        <w:rPr>
          <w:rFonts w:cs="Times New Roman"/>
          <w:szCs w:val="24"/>
          <w:lang w:val="fr-CA"/>
        </w:rPr>
        <w:t>,</w:t>
      </w:r>
      <w:r w:rsidRPr="004826C0">
        <w:rPr>
          <w:rFonts w:cs="Times New Roman"/>
          <w:szCs w:val="24"/>
          <w:lang w:val="fr-CA"/>
        </w:rPr>
        <w:t xml:space="preserve"> à la p. 42</w:t>
      </w:r>
      <w:r w:rsidR="00FF73FE">
        <w:rPr>
          <w:rFonts w:cs="Times New Roman"/>
          <w:szCs w:val="24"/>
          <w:lang w:val="fr-CA"/>
        </w:rPr>
        <w:t>,</w:t>
      </w:r>
      <w:r w:rsidRPr="004826C0">
        <w:rPr>
          <w:rFonts w:cs="Times New Roman"/>
          <w:szCs w:val="24"/>
          <w:lang w:val="fr-CA"/>
        </w:rPr>
        <w:t xml:space="preserve"> comme une [</w:t>
      </w:r>
      <w:r w:rsidRPr="004826C0">
        <w:rPr>
          <w:rFonts w:cs="Times New Roman"/>
          <w:smallCaps/>
          <w:szCs w:val="24"/>
          <w:lang w:val="fr-CA"/>
        </w:rPr>
        <w:t>traduction</w:t>
      </w:r>
      <w:r w:rsidRPr="004826C0">
        <w:rPr>
          <w:rFonts w:cs="Times New Roman"/>
          <w:szCs w:val="24"/>
          <w:lang w:val="fr-CA"/>
        </w:rPr>
        <w:t xml:space="preserve">] « collection de dossiers ou de documents », tandis que </w:t>
      </w:r>
      <w:r w:rsidRPr="004826C0">
        <w:rPr>
          <w:rStyle w:val="reflex3-block"/>
          <w:rFonts w:cs="Times New Roman"/>
          <w:lang w:val="fr-CA"/>
        </w:rPr>
        <w:t>le</w:t>
      </w:r>
      <w:r w:rsidRPr="004826C0">
        <w:rPr>
          <w:rFonts w:cs="Times New Roman"/>
          <w:szCs w:val="24"/>
          <w:lang w:val="fr-CA"/>
        </w:rPr>
        <w:t xml:space="preserve"> </w:t>
      </w:r>
      <w:proofErr w:type="spellStart"/>
      <w:r w:rsidRPr="004826C0">
        <w:rPr>
          <w:rFonts w:cs="Times New Roman"/>
          <w:i/>
          <w:szCs w:val="24"/>
          <w:lang w:val="fr-CA"/>
        </w:rPr>
        <w:t>Multidictionnaire</w:t>
      </w:r>
      <w:proofErr w:type="spellEnd"/>
      <w:r w:rsidRPr="004826C0">
        <w:rPr>
          <w:rFonts w:cs="Times New Roman"/>
          <w:i/>
          <w:szCs w:val="24"/>
          <w:lang w:val="fr-CA"/>
        </w:rPr>
        <w:t xml:space="preserve"> de la langue française </w:t>
      </w:r>
      <w:r w:rsidRPr="004826C0">
        <w:rPr>
          <w:rFonts w:cs="Times New Roman"/>
          <w:szCs w:val="24"/>
          <w:lang w:val="fr-CA"/>
        </w:rPr>
        <w:t>(</w:t>
      </w:r>
      <w:r w:rsidR="005926FB">
        <w:rPr>
          <w:rFonts w:cs="Times New Roman"/>
          <w:szCs w:val="24"/>
          <w:lang w:val="fr-CA"/>
        </w:rPr>
        <w:t>5</w:t>
      </w:r>
      <w:r w:rsidR="005926FB" w:rsidRPr="005926FB">
        <w:rPr>
          <w:rFonts w:cs="Times New Roman"/>
          <w:szCs w:val="24"/>
          <w:vertAlign w:val="superscript"/>
          <w:lang w:val="fr-CA"/>
        </w:rPr>
        <w:t>e</w:t>
      </w:r>
      <w:r w:rsidR="005926FB">
        <w:rPr>
          <w:rFonts w:cs="Times New Roman"/>
          <w:szCs w:val="24"/>
          <w:lang w:val="fr-CA"/>
        </w:rPr>
        <w:t xml:space="preserve"> éd. </w:t>
      </w:r>
      <w:r w:rsidRPr="004826C0">
        <w:rPr>
          <w:rFonts w:cs="Times New Roman"/>
          <w:szCs w:val="24"/>
          <w:lang w:val="fr-CA"/>
        </w:rPr>
        <w:t xml:space="preserve">2009) définit ainsi le mot : « Ensemble des documents, </w:t>
      </w:r>
      <w:r w:rsidRPr="004826C0">
        <w:rPr>
          <w:rFonts w:cs="Times New Roman"/>
          <w:szCs w:val="24"/>
          <w:u w:val="single"/>
          <w:lang w:val="fr-CA"/>
        </w:rPr>
        <w:t>quelle que soit leur date</w:t>
      </w:r>
      <w:r w:rsidRPr="004826C0">
        <w:rPr>
          <w:rFonts w:cs="Times New Roman"/>
          <w:szCs w:val="24"/>
          <w:lang w:val="fr-CA"/>
        </w:rPr>
        <w:t xml:space="preserve"> ou leur nature, produits ou reçus par une personne ou un organisme pour ses besoins ou l</w:t>
      </w:r>
      <w:r>
        <w:rPr>
          <w:rFonts w:cs="Times New Roman"/>
          <w:szCs w:val="24"/>
          <w:lang w:val="fr-CA"/>
        </w:rPr>
        <w:t>’</w:t>
      </w:r>
      <w:r w:rsidRPr="004826C0">
        <w:rPr>
          <w:rFonts w:cs="Times New Roman"/>
          <w:szCs w:val="24"/>
          <w:lang w:val="fr-CA"/>
        </w:rPr>
        <w:t>exercice de ses activités et conservés pour leur valeur d</w:t>
      </w:r>
      <w:r>
        <w:rPr>
          <w:rFonts w:cs="Times New Roman"/>
          <w:szCs w:val="24"/>
          <w:lang w:val="fr-CA"/>
        </w:rPr>
        <w:t>’</w:t>
      </w:r>
      <w:r w:rsidRPr="004826C0">
        <w:rPr>
          <w:rFonts w:cs="Times New Roman"/>
          <w:szCs w:val="24"/>
          <w:lang w:val="fr-CA"/>
        </w:rPr>
        <w:t xml:space="preserve">information générale » (p. 123 (nous soulignons)). </w:t>
      </w:r>
      <w:r w:rsidRPr="004826C0">
        <w:rPr>
          <w:rFonts w:cs="Times New Roman"/>
          <w:i/>
          <w:szCs w:val="24"/>
          <w:lang w:val="fr-CA"/>
        </w:rPr>
        <w:t xml:space="preserve">Le Lexis : </w:t>
      </w:r>
      <w:r w:rsidR="00FF73FE">
        <w:rPr>
          <w:rFonts w:cs="Times New Roman"/>
          <w:i/>
          <w:szCs w:val="24"/>
          <w:lang w:val="fr-CA"/>
        </w:rPr>
        <w:t xml:space="preserve">le </w:t>
      </w:r>
      <w:r>
        <w:rPr>
          <w:rFonts w:cs="Times New Roman"/>
          <w:i/>
          <w:szCs w:val="24"/>
          <w:lang w:val="fr-CA"/>
        </w:rPr>
        <w:t>dictionnaire é</w:t>
      </w:r>
      <w:r w:rsidRPr="004826C0">
        <w:rPr>
          <w:rFonts w:cs="Times New Roman"/>
          <w:i/>
          <w:szCs w:val="24"/>
          <w:lang w:val="fr-CA"/>
        </w:rPr>
        <w:t xml:space="preserve">rudit de la </w:t>
      </w:r>
      <w:r>
        <w:rPr>
          <w:rFonts w:cs="Times New Roman"/>
          <w:i/>
          <w:szCs w:val="24"/>
          <w:lang w:val="fr-CA"/>
        </w:rPr>
        <w:t>langue f</w:t>
      </w:r>
      <w:r w:rsidRPr="004826C0">
        <w:rPr>
          <w:rFonts w:cs="Times New Roman"/>
          <w:i/>
          <w:szCs w:val="24"/>
          <w:lang w:val="fr-CA"/>
        </w:rPr>
        <w:t>rançaise</w:t>
      </w:r>
      <w:r w:rsidRPr="004826C0">
        <w:rPr>
          <w:rFonts w:cs="Times New Roman"/>
          <w:szCs w:val="24"/>
          <w:lang w:val="fr-CA"/>
        </w:rPr>
        <w:t xml:space="preserve"> (2009) donne, à la p. 103, la définition suivante</w:t>
      </w:r>
      <w:r w:rsidR="00FF73FE">
        <w:rPr>
          <w:rFonts w:cs="Times New Roman"/>
          <w:szCs w:val="24"/>
          <w:lang w:val="fr-CA"/>
        </w:rPr>
        <w:t> : </w:t>
      </w:r>
      <w:r w:rsidRPr="004826C0">
        <w:rPr>
          <w:rFonts w:cs="Times New Roman"/>
          <w:szCs w:val="24"/>
          <w:lang w:val="fr-CA"/>
        </w:rPr>
        <w:t>« Ensemble de documents (pièces manuscrites, imprimés, etc.) qui proviennent d</w:t>
      </w:r>
      <w:r>
        <w:rPr>
          <w:rFonts w:cs="Times New Roman"/>
          <w:szCs w:val="24"/>
          <w:lang w:val="fr-CA"/>
        </w:rPr>
        <w:t>’</w:t>
      </w:r>
      <w:r w:rsidRPr="004826C0">
        <w:rPr>
          <w:rFonts w:cs="Times New Roman"/>
          <w:szCs w:val="24"/>
          <w:lang w:val="fr-CA"/>
        </w:rPr>
        <w:t>une collectivité, d</w:t>
      </w:r>
      <w:r>
        <w:rPr>
          <w:rFonts w:cs="Times New Roman"/>
          <w:szCs w:val="24"/>
          <w:lang w:val="fr-CA"/>
        </w:rPr>
        <w:t>’</w:t>
      </w:r>
      <w:r w:rsidRPr="004826C0">
        <w:rPr>
          <w:rFonts w:cs="Times New Roman"/>
          <w:szCs w:val="24"/>
          <w:lang w:val="fr-CA"/>
        </w:rPr>
        <w:t>une famille ou d</w:t>
      </w:r>
      <w:r>
        <w:rPr>
          <w:rFonts w:cs="Times New Roman"/>
          <w:szCs w:val="24"/>
          <w:lang w:val="fr-CA"/>
        </w:rPr>
        <w:t>’</w:t>
      </w:r>
      <w:r w:rsidRPr="004826C0">
        <w:rPr>
          <w:rFonts w:cs="Times New Roman"/>
          <w:szCs w:val="24"/>
          <w:lang w:val="fr-CA"/>
        </w:rPr>
        <w:t>un</w:t>
      </w:r>
      <w:r w:rsidRPr="004826C0">
        <w:rPr>
          <w:rFonts w:cs="Times New Roman"/>
          <w:i/>
          <w:szCs w:val="24"/>
          <w:lang w:val="fr-CA"/>
        </w:rPr>
        <w:t xml:space="preserve"> </w:t>
      </w:r>
      <w:r w:rsidRPr="004826C0">
        <w:rPr>
          <w:rFonts w:cs="Times New Roman"/>
          <w:szCs w:val="24"/>
          <w:lang w:val="fr-CA"/>
        </w:rPr>
        <w:t>individu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 xml:space="preserve">Ce sens plus général du mot « archives », ne faisant aucune distinction entre les documents récents et historiques, correspond au sens dans lequel ce terme est employé en droit international. Dans la </w:t>
      </w:r>
      <w:r w:rsidRPr="004826C0">
        <w:rPr>
          <w:rFonts w:cs="Times New Roman"/>
          <w:i/>
          <w:lang w:val="fr-CA"/>
        </w:rPr>
        <w:t>Convention de Vienne sur les relations consulaires</w:t>
      </w:r>
      <w:r w:rsidRPr="004826C0">
        <w:rPr>
          <w:rFonts w:cs="Times New Roman"/>
          <w:lang w:val="fr-CA"/>
        </w:rPr>
        <w:t>, R.T. Can. 1974 n</w:t>
      </w:r>
      <w:r w:rsidRPr="004826C0">
        <w:rPr>
          <w:rFonts w:cs="Times New Roman"/>
          <w:vertAlign w:val="superscript"/>
          <w:lang w:val="fr-CA"/>
        </w:rPr>
        <w:t>o</w:t>
      </w:r>
      <w:r w:rsidRPr="004826C0">
        <w:rPr>
          <w:rFonts w:cs="Times New Roman"/>
          <w:lang w:val="fr-CA"/>
        </w:rPr>
        <w:t> 25, les « archives consulaires » s</w:t>
      </w:r>
      <w:r>
        <w:rPr>
          <w:rFonts w:cs="Times New Roman"/>
          <w:lang w:val="fr-CA"/>
        </w:rPr>
        <w:t>’</w:t>
      </w:r>
      <w:r w:rsidRPr="004826C0">
        <w:rPr>
          <w:rFonts w:cs="Times New Roman"/>
          <w:lang w:val="fr-CA"/>
        </w:rPr>
        <w:t>entendent de « </w:t>
      </w:r>
      <w:r w:rsidRPr="004826C0">
        <w:rPr>
          <w:rFonts w:cs="Times New Roman"/>
          <w:u w:val="single"/>
          <w:lang w:val="fr-CA"/>
        </w:rPr>
        <w:t>tous</w:t>
      </w:r>
      <w:r w:rsidRPr="004826C0">
        <w:rPr>
          <w:rFonts w:cs="Times New Roman"/>
          <w:lang w:val="fr-CA"/>
        </w:rPr>
        <w:t xml:space="preserve"> les papiers, documents, correspondance, livres, films, rubans magnétiques et registres du poste consulaire, ainsi que le matériel du chiffre, les fichiers et les meubles destinés à les protéger et à les conserver » (art. 1(1</w:t>
      </w:r>
      <w:proofErr w:type="gramStart"/>
      <w:r w:rsidRPr="004826C0">
        <w:rPr>
          <w:rFonts w:cs="Times New Roman"/>
          <w:lang w:val="fr-CA"/>
        </w:rPr>
        <w:t>)</w:t>
      </w:r>
      <w:r w:rsidRPr="007C1278">
        <w:rPr>
          <w:rFonts w:cs="Times New Roman"/>
          <w:i/>
          <w:lang w:val="fr-CA"/>
        </w:rPr>
        <w:t>k</w:t>
      </w:r>
      <w:proofErr w:type="gramEnd"/>
      <w:r w:rsidRPr="004826C0">
        <w:rPr>
          <w:rFonts w:cs="Times New Roman"/>
          <w:lang w:val="fr-CA"/>
        </w:rPr>
        <w:t xml:space="preserve">)). Cette définition a également été appliquée à la </w:t>
      </w:r>
      <w:r w:rsidRPr="004826C0">
        <w:rPr>
          <w:rFonts w:cs="Times New Roman"/>
          <w:i/>
          <w:lang w:val="fr-CA"/>
        </w:rPr>
        <w:t>Convention de Vienne sur les relations diplomatiques</w:t>
      </w:r>
      <w:r w:rsidRPr="004826C0">
        <w:rPr>
          <w:rFonts w:cs="Times New Roman"/>
          <w:lang w:val="fr-CA"/>
        </w:rPr>
        <w:t>, R.T. Can. 1966 n</w:t>
      </w:r>
      <w:r w:rsidRPr="004826C0">
        <w:rPr>
          <w:rFonts w:cs="Times New Roman"/>
          <w:vertAlign w:val="superscript"/>
          <w:lang w:val="fr-CA"/>
        </w:rPr>
        <w:t>o</w:t>
      </w:r>
      <w:r w:rsidRPr="004826C0">
        <w:rPr>
          <w:rFonts w:cs="Times New Roman"/>
          <w:lang w:val="fr-CA"/>
        </w:rPr>
        <w:t xml:space="preserve"> 29, qui ne définit pas le terme « archives » (J. P. Grant et J. C. Barker, </w:t>
      </w:r>
      <w:proofErr w:type="spellStart"/>
      <w:proofErr w:type="gramStart"/>
      <w:r w:rsidRPr="004826C0">
        <w:rPr>
          <w:rFonts w:cs="Times New Roman"/>
          <w:lang w:val="fr-CA"/>
        </w:rPr>
        <w:t>dir</w:t>
      </w:r>
      <w:proofErr w:type="spellEnd"/>
      <w:r w:rsidR="007C1278">
        <w:rPr>
          <w:rFonts w:cs="Times New Roman"/>
          <w:lang w:val="fr-CA"/>
        </w:rPr>
        <w:t>.</w:t>
      </w:r>
      <w:r w:rsidRPr="004826C0">
        <w:rPr>
          <w:rFonts w:cs="Times New Roman"/>
          <w:lang w:val="fr-CA"/>
        </w:rPr>
        <w:t>,</w:t>
      </w:r>
      <w:proofErr w:type="gramEnd"/>
      <w:r w:rsidRPr="004826C0">
        <w:rPr>
          <w:rFonts w:cs="Times New Roman"/>
          <w:lang w:val="fr-CA"/>
        </w:rPr>
        <w:t xml:space="preserve"> </w:t>
      </w:r>
      <w:r w:rsidRPr="004826C0">
        <w:rPr>
          <w:rFonts w:cs="Times New Roman"/>
          <w:i/>
          <w:lang w:val="fr-CA"/>
        </w:rPr>
        <w:t xml:space="preserve">Parry and Grant </w:t>
      </w:r>
      <w:proofErr w:type="spellStart"/>
      <w:r w:rsidRPr="004826C0">
        <w:rPr>
          <w:rFonts w:cs="Times New Roman"/>
          <w:i/>
          <w:lang w:val="fr-CA"/>
        </w:rPr>
        <w:t>Encyclopaedic</w:t>
      </w:r>
      <w:proofErr w:type="spellEnd"/>
      <w:r w:rsidRPr="004826C0">
        <w:rPr>
          <w:rFonts w:cs="Times New Roman"/>
          <w:i/>
          <w:lang w:val="fr-CA"/>
        </w:rPr>
        <w:t xml:space="preserve"> </w:t>
      </w:r>
      <w:proofErr w:type="spellStart"/>
      <w:r w:rsidRPr="004826C0">
        <w:rPr>
          <w:rFonts w:cs="Times New Roman"/>
          <w:i/>
          <w:lang w:val="fr-CA"/>
        </w:rPr>
        <w:t>Dictionary</w:t>
      </w:r>
      <w:proofErr w:type="spellEnd"/>
      <w:r w:rsidRPr="004826C0">
        <w:rPr>
          <w:rFonts w:cs="Times New Roman"/>
          <w:i/>
          <w:lang w:val="fr-CA"/>
        </w:rPr>
        <w:t xml:space="preserve"> of International Law</w:t>
      </w:r>
      <w:r w:rsidRPr="004826C0">
        <w:rPr>
          <w:rFonts w:cs="Times New Roman"/>
          <w:lang w:val="fr-CA"/>
        </w:rPr>
        <w:t xml:space="preserve"> (2</w:t>
      </w:r>
      <w:r w:rsidRPr="004826C0">
        <w:rPr>
          <w:rFonts w:cs="Times New Roman"/>
          <w:vertAlign w:val="superscript"/>
          <w:lang w:val="fr-CA"/>
        </w:rPr>
        <w:t>e</w:t>
      </w:r>
      <w:r w:rsidRPr="004826C0">
        <w:rPr>
          <w:rFonts w:cs="Times New Roman"/>
          <w:lang w:val="fr-CA"/>
        </w:rPr>
        <w:t xml:space="preserve"> éd. 2004), p. 35 (« </w:t>
      </w:r>
      <w:r w:rsidRPr="004826C0">
        <w:rPr>
          <w:rFonts w:cs="Times New Roman"/>
          <w:i/>
          <w:lang w:val="fr-CA"/>
        </w:rPr>
        <w:t xml:space="preserve">archives, </w:t>
      </w:r>
      <w:proofErr w:type="spellStart"/>
      <w:r w:rsidRPr="004826C0">
        <w:rPr>
          <w:rFonts w:cs="Times New Roman"/>
          <w:i/>
          <w:lang w:val="fr-CA"/>
        </w:rPr>
        <w:t>diplomatic</w:t>
      </w:r>
      <w:proofErr w:type="spellEnd"/>
      <w:r w:rsidRPr="004826C0">
        <w:rPr>
          <w:rFonts w:cs="Times New Roman"/>
          <w:i/>
          <w:lang w:val="fr-CA"/>
        </w:rPr>
        <w:t xml:space="preserve"> and </w:t>
      </w:r>
      <w:proofErr w:type="spellStart"/>
      <w:r w:rsidRPr="004826C0">
        <w:rPr>
          <w:rFonts w:cs="Times New Roman"/>
          <w:i/>
          <w:lang w:val="fr-CA"/>
        </w:rPr>
        <w:t>consular</w:t>
      </w:r>
      <w:proofErr w:type="spellEnd"/>
      <w:r w:rsidRPr="004826C0">
        <w:rPr>
          <w:rFonts w:cs="Times New Roman"/>
          <w:lang w:val="fr-CA"/>
        </w:rPr>
        <w:t xml:space="preserve"> »); voir aussi </w:t>
      </w:r>
      <w:r w:rsidRPr="004826C0">
        <w:rPr>
          <w:rFonts w:cs="Times New Roman"/>
          <w:szCs w:val="24"/>
          <w:lang w:val="fr-CA"/>
        </w:rPr>
        <w:t xml:space="preserve">J. R. Fox, </w:t>
      </w:r>
      <w:proofErr w:type="spellStart"/>
      <w:r w:rsidRPr="004826C0">
        <w:rPr>
          <w:rFonts w:cs="Times New Roman"/>
          <w:i/>
          <w:szCs w:val="24"/>
          <w:lang w:val="fr-CA"/>
        </w:rPr>
        <w:t>Dictionary</w:t>
      </w:r>
      <w:proofErr w:type="spellEnd"/>
      <w:r w:rsidRPr="004826C0">
        <w:rPr>
          <w:rFonts w:cs="Times New Roman"/>
          <w:i/>
          <w:szCs w:val="24"/>
          <w:lang w:val="fr-CA"/>
        </w:rPr>
        <w:t xml:space="preserve"> of International and Comparative Law </w:t>
      </w:r>
      <w:r w:rsidRPr="004826C0">
        <w:rPr>
          <w:rFonts w:cs="Times New Roman"/>
          <w:szCs w:val="24"/>
          <w:lang w:val="fr-CA"/>
        </w:rPr>
        <w:t>(3</w:t>
      </w:r>
      <w:r w:rsidRPr="004826C0">
        <w:rPr>
          <w:rFonts w:cs="Times New Roman"/>
          <w:szCs w:val="24"/>
          <w:vertAlign w:val="superscript"/>
          <w:lang w:val="fr-CA"/>
        </w:rPr>
        <w:t>e</w:t>
      </w:r>
      <w:r w:rsidRPr="004826C0">
        <w:rPr>
          <w:rFonts w:cs="Times New Roman"/>
          <w:szCs w:val="24"/>
          <w:lang w:val="fr-CA"/>
        </w:rPr>
        <w:t xml:space="preserve"> éd. 2003), p. 86 (« </w:t>
      </w:r>
      <w:proofErr w:type="spellStart"/>
      <w:r w:rsidRPr="004826C0">
        <w:rPr>
          <w:rFonts w:cs="Times New Roman"/>
          <w:i/>
          <w:szCs w:val="24"/>
          <w:lang w:val="fr-CA"/>
        </w:rPr>
        <w:t>diplomatic</w:t>
      </w:r>
      <w:proofErr w:type="spellEnd"/>
      <w:r w:rsidRPr="004826C0">
        <w:rPr>
          <w:rFonts w:cs="Times New Roman"/>
          <w:i/>
          <w:szCs w:val="24"/>
          <w:lang w:val="fr-CA"/>
        </w:rPr>
        <w:t xml:space="preserve"> archives</w:t>
      </w:r>
      <w:r w:rsidRPr="004826C0">
        <w:rPr>
          <w:rFonts w:cs="Times New Roman"/>
          <w:szCs w:val="24"/>
          <w:lang w:val="fr-CA"/>
        </w:rPr>
        <w:t xml:space="preserve"> »)). Dans le </w:t>
      </w:r>
      <w:r w:rsidRPr="004826C0">
        <w:rPr>
          <w:rFonts w:cs="Times New Roman"/>
          <w:i/>
          <w:szCs w:val="24"/>
          <w:lang w:val="fr-CA"/>
        </w:rPr>
        <w:t xml:space="preserve">Dictionnaire de droit international public </w:t>
      </w:r>
      <w:r w:rsidRPr="004826C0">
        <w:rPr>
          <w:rFonts w:cs="Times New Roman"/>
          <w:szCs w:val="24"/>
          <w:lang w:val="fr-CA"/>
        </w:rPr>
        <w:t>(2001),</w:t>
      </w:r>
      <w:r w:rsidRPr="004826C0">
        <w:rPr>
          <w:rFonts w:cs="Times New Roman"/>
          <w:i/>
          <w:szCs w:val="24"/>
          <w:lang w:val="fr-CA"/>
        </w:rPr>
        <w:t xml:space="preserve"> </w:t>
      </w:r>
      <w:r w:rsidRPr="004826C0">
        <w:rPr>
          <w:rFonts w:cs="Times New Roman"/>
          <w:szCs w:val="24"/>
          <w:lang w:val="fr-CA"/>
        </w:rPr>
        <w:t>l</w:t>
      </w:r>
      <w:r>
        <w:rPr>
          <w:rFonts w:cs="Times New Roman"/>
          <w:szCs w:val="24"/>
          <w:lang w:val="fr-CA"/>
        </w:rPr>
        <w:t>’</w:t>
      </w:r>
      <w:r w:rsidRPr="004826C0">
        <w:rPr>
          <w:rFonts w:cs="Times New Roman"/>
          <w:szCs w:val="24"/>
          <w:lang w:val="fr-CA"/>
        </w:rPr>
        <w:t>expression « archives d</w:t>
      </w:r>
      <w:r>
        <w:rPr>
          <w:rFonts w:cs="Times New Roman"/>
          <w:szCs w:val="24"/>
          <w:lang w:val="fr-CA"/>
        </w:rPr>
        <w:t>’</w:t>
      </w:r>
      <w:r w:rsidRPr="004826C0">
        <w:rPr>
          <w:rFonts w:cs="Times New Roman"/>
          <w:szCs w:val="24"/>
          <w:lang w:val="fr-CA"/>
        </w:rPr>
        <w:t>une organisation internationale » est aussi définie en termes généraux : « Pièces et documents se rattachant au fonctionnement d</w:t>
      </w:r>
      <w:r>
        <w:rPr>
          <w:rFonts w:cs="Times New Roman"/>
          <w:szCs w:val="24"/>
          <w:lang w:val="fr-CA"/>
        </w:rPr>
        <w:t>’</w:t>
      </w:r>
      <w:r w:rsidRPr="004826C0">
        <w:rPr>
          <w:rFonts w:cs="Times New Roman"/>
          <w:szCs w:val="24"/>
          <w:lang w:val="fr-CA"/>
        </w:rPr>
        <w:t>une organisation internationale et dont le statut est déterminé par les textes conventionnels applicables à celle</w:t>
      </w:r>
      <w:r w:rsidRPr="004826C0">
        <w:rPr>
          <w:rFonts w:cs="Times New Roman"/>
          <w:szCs w:val="24"/>
          <w:lang w:val="fr-CA"/>
        </w:rPr>
        <w:noBreakHyphen/>
        <w:t xml:space="preserve">ci » (J. Salmon, </w:t>
      </w:r>
      <w:proofErr w:type="spellStart"/>
      <w:proofErr w:type="gramStart"/>
      <w:r w:rsidRPr="004826C0">
        <w:rPr>
          <w:rFonts w:cs="Times New Roman"/>
          <w:szCs w:val="24"/>
          <w:lang w:val="fr-CA"/>
        </w:rPr>
        <w:t>dir</w:t>
      </w:r>
      <w:proofErr w:type="spellEnd"/>
      <w:r w:rsidRPr="004826C0">
        <w:rPr>
          <w:rFonts w:cs="Times New Roman"/>
          <w:szCs w:val="24"/>
          <w:lang w:val="fr-CA"/>
        </w:rPr>
        <w:t>.,</w:t>
      </w:r>
      <w:proofErr w:type="gramEnd"/>
      <w:r w:rsidRPr="004826C0">
        <w:rPr>
          <w:rFonts w:cs="Times New Roman"/>
          <w:szCs w:val="24"/>
          <w:lang w:val="fr-CA"/>
        </w:rPr>
        <w:t xml:space="preserve"> p. 80).</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Non seulement l</w:t>
      </w:r>
      <w:r>
        <w:rPr>
          <w:rFonts w:cs="Times New Roman"/>
          <w:lang w:val="fr-CA"/>
        </w:rPr>
        <w:t>’</w:t>
      </w:r>
      <w:r w:rsidRPr="004826C0">
        <w:rPr>
          <w:rFonts w:cs="Times New Roman"/>
          <w:lang w:val="fr-CA"/>
        </w:rPr>
        <w:t>interprétation étroite du mot « archives » proposée par le juge d</w:t>
      </w:r>
      <w:r>
        <w:rPr>
          <w:rFonts w:cs="Times New Roman"/>
          <w:lang w:val="fr-CA"/>
        </w:rPr>
        <w:t>’</w:t>
      </w:r>
      <w:r w:rsidRPr="004826C0">
        <w:rPr>
          <w:rFonts w:cs="Times New Roman"/>
          <w:lang w:val="fr-CA"/>
        </w:rPr>
        <w:t>instance s</w:t>
      </w:r>
      <w:r>
        <w:rPr>
          <w:rFonts w:cs="Times New Roman"/>
          <w:lang w:val="fr-CA"/>
        </w:rPr>
        <w:t>’</w:t>
      </w:r>
      <w:r w:rsidRPr="004826C0">
        <w:rPr>
          <w:rFonts w:cs="Times New Roman"/>
          <w:lang w:val="fr-CA"/>
        </w:rPr>
        <w:t>écarte de l</w:t>
      </w:r>
      <w:r>
        <w:rPr>
          <w:rFonts w:cs="Times New Roman"/>
          <w:lang w:val="fr-CA"/>
        </w:rPr>
        <w:t>’</w:t>
      </w:r>
      <w:r w:rsidRPr="004826C0">
        <w:rPr>
          <w:rFonts w:cs="Times New Roman"/>
          <w:lang w:val="fr-CA"/>
        </w:rPr>
        <w:t>utilisation qui en est habituellement faite en droit international, mais elle n</w:t>
      </w:r>
      <w:r>
        <w:rPr>
          <w:rFonts w:cs="Times New Roman"/>
          <w:lang w:val="fr-CA"/>
        </w:rPr>
        <w:t>’</w:t>
      </w:r>
      <w:r w:rsidRPr="004826C0">
        <w:rPr>
          <w:rFonts w:cs="Times New Roman"/>
          <w:lang w:val="fr-CA"/>
        </w:rPr>
        <w:t>est pas conforme à l</w:t>
      </w:r>
      <w:r>
        <w:rPr>
          <w:rFonts w:cs="Times New Roman"/>
          <w:lang w:val="fr-CA"/>
        </w:rPr>
        <w:t>’</w:t>
      </w:r>
      <w:r w:rsidRPr="004826C0">
        <w:rPr>
          <w:rFonts w:cs="Times New Roman"/>
          <w:lang w:val="fr-CA"/>
        </w:rPr>
        <w:t>objet de la section 5. Comme la Cour l</w:t>
      </w:r>
      <w:r>
        <w:rPr>
          <w:rFonts w:cs="Times New Roman"/>
          <w:lang w:val="fr-CA"/>
        </w:rPr>
        <w:t>’</w:t>
      </w:r>
      <w:r w:rsidRPr="004826C0">
        <w:rPr>
          <w:rFonts w:cs="Times New Roman"/>
          <w:lang w:val="fr-CA"/>
        </w:rPr>
        <w:t xml:space="preserve">a dit aux </w:t>
      </w:r>
      <w:proofErr w:type="spellStart"/>
      <w:r w:rsidRPr="004826C0">
        <w:rPr>
          <w:rFonts w:cs="Times New Roman"/>
          <w:lang w:val="fr-CA"/>
        </w:rPr>
        <w:t>par</w:t>
      </w:r>
      <w:proofErr w:type="spellEnd"/>
      <w:r w:rsidRPr="004826C0">
        <w:rPr>
          <w:rFonts w:cs="Times New Roman"/>
          <w:lang w:val="fr-CA"/>
        </w:rPr>
        <w:t>. 29, 30 et 45 de l</w:t>
      </w:r>
      <w:r>
        <w:rPr>
          <w:rFonts w:cs="Times New Roman"/>
          <w:lang w:val="fr-CA"/>
        </w:rPr>
        <w:t>’</w:t>
      </w:r>
      <w:r w:rsidRPr="004826C0">
        <w:rPr>
          <w:rFonts w:cs="Times New Roman"/>
          <w:lang w:val="fr-CA"/>
        </w:rPr>
        <w:t xml:space="preserve">arrêt </w:t>
      </w:r>
      <w:proofErr w:type="spellStart"/>
      <w:r w:rsidRPr="004826C0">
        <w:rPr>
          <w:rFonts w:cs="Times New Roman"/>
          <w:i/>
          <w:lang w:val="fr-CA"/>
        </w:rPr>
        <w:t>Amaratunga</w:t>
      </w:r>
      <w:proofErr w:type="spellEnd"/>
      <w:r w:rsidRPr="004826C0">
        <w:rPr>
          <w:rFonts w:cs="Times New Roman"/>
          <w:lang w:val="fr-CA"/>
        </w:rPr>
        <w:t>, des immunités sont accordées à des organisations internationales afin de les protéger de l</w:t>
      </w:r>
      <w:r>
        <w:rPr>
          <w:rFonts w:cs="Times New Roman"/>
          <w:lang w:val="fr-CA"/>
        </w:rPr>
        <w:t>’</w:t>
      </w:r>
      <w:r w:rsidRPr="004826C0">
        <w:rPr>
          <w:rFonts w:cs="Times New Roman"/>
          <w:lang w:val="fr-CA"/>
        </w:rPr>
        <w:t>ingérence dans leurs opérations et leur programme par les États membres ou leurs tribunaux. La protection de l</w:t>
      </w:r>
      <w:r>
        <w:rPr>
          <w:rFonts w:cs="Times New Roman"/>
          <w:lang w:val="fr-CA"/>
        </w:rPr>
        <w:t>’</w:t>
      </w:r>
      <w:r w:rsidRPr="004826C0">
        <w:rPr>
          <w:rFonts w:cs="Times New Roman"/>
          <w:lang w:val="fr-CA"/>
        </w:rPr>
        <w:t>ensemble des documents d</w:t>
      </w:r>
      <w:r>
        <w:rPr>
          <w:rFonts w:cs="Times New Roman"/>
          <w:lang w:val="fr-CA"/>
        </w:rPr>
        <w:t>’</w:t>
      </w:r>
      <w:r w:rsidRPr="004826C0">
        <w:rPr>
          <w:rFonts w:cs="Times New Roman"/>
          <w:lang w:val="fr-CA"/>
        </w:rPr>
        <w:t>une organisation, y compris les dossiers officiels et la correspondance, est essentielle pour assurer le bon fonctionnement en toute indépendance de l</w:t>
      </w:r>
      <w:r>
        <w:rPr>
          <w:rFonts w:cs="Times New Roman"/>
          <w:lang w:val="fr-CA"/>
        </w:rPr>
        <w:t>’</w:t>
      </w:r>
      <w:r w:rsidRPr="004826C0">
        <w:rPr>
          <w:rFonts w:cs="Times New Roman"/>
          <w:lang w:val="fr-CA"/>
        </w:rPr>
        <w:t>organisation. Sans cette protection, le [</w:t>
      </w:r>
      <w:r w:rsidRPr="004826C0">
        <w:rPr>
          <w:rFonts w:cs="Times New Roman"/>
          <w:smallCaps/>
          <w:lang w:val="fr-CA"/>
        </w:rPr>
        <w:t>traduction</w:t>
      </w:r>
      <w:r w:rsidRPr="004826C0">
        <w:rPr>
          <w:rFonts w:cs="Times New Roman"/>
          <w:lang w:val="fr-CA"/>
        </w:rPr>
        <w:t>] « caractère confidentiel des communications entre les États et l</w:t>
      </w:r>
      <w:r>
        <w:rPr>
          <w:rFonts w:cs="Times New Roman"/>
          <w:lang w:val="fr-CA"/>
        </w:rPr>
        <w:t>’</w:t>
      </w:r>
      <w:r w:rsidRPr="004826C0">
        <w:rPr>
          <w:rFonts w:cs="Times New Roman"/>
          <w:lang w:val="fr-CA"/>
        </w:rPr>
        <w:t>organisation, ou entre les fonctionnaires au sein de l</w:t>
      </w:r>
      <w:r>
        <w:rPr>
          <w:rFonts w:cs="Times New Roman"/>
          <w:lang w:val="fr-CA"/>
        </w:rPr>
        <w:t>’</w:t>
      </w:r>
      <w:r w:rsidRPr="004826C0">
        <w:rPr>
          <w:rFonts w:cs="Times New Roman"/>
          <w:lang w:val="fr-CA"/>
        </w:rPr>
        <w:t>organisation, serait compromis » (</w:t>
      </w:r>
      <w:proofErr w:type="spellStart"/>
      <w:r w:rsidRPr="004826C0">
        <w:rPr>
          <w:rFonts w:cs="Times New Roman"/>
          <w:lang w:val="fr-CA"/>
        </w:rPr>
        <w:t>Sands</w:t>
      </w:r>
      <w:proofErr w:type="spellEnd"/>
      <w:r w:rsidRPr="004826C0">
        <w:rPr>
          <w:rFonts w:cs="Times New Roman"/>
          <w:lang w:val="fr-CA"/>
        </w:rPr>
        <w:t xml:space="preserve"> et Klein, p. 502; voir aussi </w:t>
      </w:r>
      <w:proofErr w:type="spellStart"/>
      <w:r w:rsidRPr="004826C0">
        <w:rPr>
          <w:rFonts w:cs="Times New Roman"/>
          <w:lang w:val="fr-CA"/>
        </w:rPr>
        <w:t>Jenks</w:t>
      </w:r>
      <w:proofErr w:type="spellEnd"/>
      <w:r w:rsidRPr="004826C0">
        <w:rPr>
          <w:rFonts w:cs="Times New Roman"/>
          <w:lang w:val="fr-CA"/>
        </w:rPr>
        <w:t xml:space="preserve">, </w:t>
      </w:r>
      <w:r w:rsidRPr="004826C0">
        <w:rPr>
          <w:rFonts w:cs="Times New Roman"/>
          <w:i/>
          <w:lang w:val="fr-CA"/>
        </w:rPr>
        <w:t xml:space="preserve">International </w:t>
      </w:r>
      <w:proofErr w:type="spellStart"/>
      <w:r w:rsidRPr="004826C0">
        <w:rPr>
          <w:rFonts w:cs="Times New Roman"/>
          <w:i/>
          <w:lang w:val="fr-CA"/>
        </w:rPr>
        <w:t>Immunities</w:t>
      </w:r>
      <w:proofErr w:type="spellEnd"/>
      <w:r w:rsidRPr="004826C0">
        <w:rPr>
          <w:rFonts w:cs="Times New Roman"/>
          <w:lang w:val="fr-CA"/>
        </w:rPr>
        <w:t>, p. 54; et K. </w:t>
      </w:r>
      <w:proofErr w:type="spellStart"/>
      <w:r w:rsidRPr="004826C0">
        <w:rPr>
          <w:rFonts w:cs="Times New Roman"/>
          <w:lang w:val="fr-CA"/>
        </w:rPr>
        <w:t>Ahluwalia</w:t>
      </w:r>
      <w:proofErr w:type="spellEnd"/>
      <w:r w:rsidRPr="004826C0">
        <w:rPr>
          <w:rFonts w:cs="Times New Roman"/>
          <w:lang w:val="fr-CA"/>
        </w:rPr>
        <w:t xml:space="preserve">, </w:t>
      </w:r>
      <w:r w:rsidRPr="004826C0">
        <w:rPr>
          <w:rFonts w:cs="Times New Roman"/>
          <w:i/>
          <w:lang w:val="fr-CA"/>
        </w:rPr>
        <w:t xml:space="preserve">The </w:t>
      </w:r>
      <w:proofErr w:type="spellStart"/>
      <w:r w:rsidRPr="004826C0">
        <w:rPr>
          <w:rFonts w:cs="Times New Roman"/>
          <w:i/>
          <w:lang w:val="fr-CA"/>
        </w:rPr>
        <w:t>Legal</w:t>
      </w:r>
      <w:proofErr w:type="spellEnd"/>
      <w:r w:rsidRPr="004826C0">
        <w:rPr>
          <w:rFonts w:cs="Times New Roman"/>
          <w:i/>
          <w:lang w:val="fr-CA"/>
        </w:rPr>
        <w:t xml:space="preserve"> </w:t>
      </w:r>
      <w:proofErr w:type="spellStart"/>
      <w:r w:rsidRPr="004826C0">
        <w:rPr>
          <w:rFonts w:cs="Times New Roman"/>
          <w:i/>
          <w:lang w:val="fr-CA"/>
        </w:rPr>
        <w:t>Status</w:t>
      </w:r>
      <w:proofErr w:type="spellEnd"/>
      <w:r w:rsidRPr="004826C0">
        <w:rPr>
          <w:rFonts w:cs="Times New Roman"/>
          <w:i/>
          <w:lang w:val="fr-CA"/>
        </w:rPr>
        <w:t xml:space="preserve">, </w:t>
      </w:r>
      <w:proofErr w:type="spellStart"/>
      <w:r w:rsidRPr="004826C0">
        <w:rPr>
          <w:rFonts w:cs="Times New Roman"/>
          <w:i/>
          <w:lang w:val="fr-CA"/>
        </w:rPr>
        <w:t>Privileges</w:t>
      </w:r>
      <w:proofErr w:type="spellEnd"/>
      <w:r w:rsidRPr="004826C0">
        <w:rPr>
          <w:rFonts w:cs="Times New Roman"/>
          <w:i/>
          <w:lang w:val="fr-CA"/>
        </w:rPr>
        <w:t xml:space="preserve"> and </w:t>
      </w:r>
      <w:proofErr w:type="spellStart"/>
      <w:r w:rsidRPr="004826C0">
        <w:rPr>
          <w:rFonts w:cs="Times New Roman"/>
          <w:i/>
          <w:lang w:val="fr-CA"/>
        </w:rPr>
        <w:t>Immunities</w:t>
      </w:r>
      <w:proofErr w:type="spellEnd"/>
      <w:r w:rsidRPr="004826C0">
        <w:rPr>
          <w:rFonts w:cs="Times New Roman"/>
          <w:i/>
          <w:lang w:val="fr-CA"/>
        </w:rPr>
        <w:t xml:space="preserve"> of the </w:t>
      </w:r>
      <w:proofErr w:type="spellStart"/>
      <w:r w:rsidRPr="004826C0">
        <w:rPr>
          <w:rFonts w:cs="Times New Roman"/>
          <w:i/>
          <w:lang w:val="fr-CA"/>
        </w:rPr>
        <w:t>Specialized</w:t>
      </w:r>
      <w:proofErr w:type="spellEnd"/>
      <w:r w:rsidRPr="004826C0">
        <w:rPr>
          <w:rFonts w:cs="Times New Roman"/>
          <w:i/>
          <w:lang w:val="fr-CA"/>
        </w:rPr>
        <w:t xml:space="preserve"> </w:t>
      </w:r>
      <w:proofErr w:type="spellStart"/>
      <w:r w:rsidRPr="004826C0">
        <w:rPr>
          <w:rFonts w:cs="Times New Roman"/>
          <w:i/>
          <w:lang w:val="fr-CA"/>
        </w:rPr>
        <w:t>Agencies</w:t>
      </w:r>
      <w:proofErr w:type="spellEnd"/>
      <w:r w:rsidRPr="004826C0">
        <w:rPr>
          <w:rFonts w:cs="Times New Roman"/>
          <w:i/>
          <w:lang w:val="fr-CA"/>
        </w:rPr>
        <w:t xml:space="preserve"> of the United Nations and Certain </w:t>
      </w:r>
      <w:proofErr w:type="spellStart"/>
      <w:r w:rsidRPr="004826C0">
        <w:rPr>
          <w:rFonts w:cs="Times New Roman"/>
          <w:i/>
          <w:lang w:val="fr-CA"/>
        </w:rPr>
        <w:t>Other</w:t>
      </w:r>
      <w:proofErr w:type="spellEnd"/>
      <w:r w:rsidRPr="004826C0">
        <w:rPr>
          <w:rFonts w:cs="Times New Roman"/>
          <w:i/>
          <w:lang w:val="fr-CA"/>
        </w:rPr>
        <w:t xml:space="preserve"> International </w:t>
      </w:r>
      <w:proofErr w:type="spellStart"/>
      <w:r w:rsidRPr="004826C0">
        <w:rPr>
          <w:rFonts w:cs="Times New Roman"/>
          <w:i/>
          <w:lang w:val="fr-CA"/>
        </w:rPr>
        <w:t>Organizations</w:t>
      </w:r>
      <w:proofErr w:type="spellEnd"/>
      <w:r w:rsidRPr="004826C0">
        <w:rPr>
          <w:rFonts w:cs="Times New Roman"/>
          <w:i/>
          <w:lang w:val="fr-CA"/>
        </w:rPr>
        <w:t xml:space="preserve"> </w:t>
      </w:r>
      <w:r w:rsidRPr="004826C0">
        <w:rPr>
          <w:rFonts w:cs="Times New Roman"/>
          <w:lang w:val="fr-CA"/>
        </w:rPr>
        <w:t xml:space="preserve">(1964), p. 81).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Voilà pourquoi l</w:t>
      </w:r>
      <w:r>
        <w:rPr>
          <w:rFonts w:cs="Times New Roman"/>
          <w:lang w:val="fr-CA"/>
        </w:rPr>
        <w:t>’</w:t>
      </w:r>
      <w:r w:rsidRPr="004826C0">
        <w:rPr>
          <w:rFonts w:cs="Times New Roman"/>
          <w:lang w:val="fr-CA"/>
        </w:rPr>
        <w:t>inviolabilité des archives est énoncée dans les statuts de nombreuses organisations internationales en des termes généraux et sans équivoque (</w:t>
      </w:r>
      <w:proofErr w:type="spellStart"/>
      <w:r w:rsidRPr="004826C0">
        <w:rPr>
          <w:rFonts w:cs="Times New Roman"/>
          <w:lang w:val="fr-CA"/>
        </w:rPr>
        <w:t>Sands</w:t>
      </w:r>
      <w:proofErr w:type="spellEnd"/>
      <w:r w:rsidRPr="004826C0">
        <w:rPr>
          <w:rFonts w:cs="Times New Roman"/>
          <w:lang w:val="fr-CA"/>
        </w:rPr>
        <w:t xml:space="preserve"> et Klein, p. 501</w:t>
      </w:r>
      <w:r w:rsidRPr="004826C0">
        <w:rPr>
          <w:rFonts w:cs="Times New Roman"/>
          <w:lang w:val="fr-CA"/>
        </w:rPr>
        <w:noBreakHyphen/>
        <w:t>502). L</w:t>
      </w:r>
      <w:r>
        <w:rPr>
          <w:rFonts w:cs="Times New Roman"/>
          <w:lang w:val="fr-CA"/>
        </w:rPr>
        <w:t>’</w:t>
      </w:r>
      <w:r w:rsidRPr="004826C0">
        <w:rPr>
          <w:rFonts w:cs="Times New Roman"/>
          <w:lang w:val="fr-CA"/>
        </w:rPr>
        <w:t xml:space="preserve">auteur </w:t>
      </w:r>
      <w:proofErr w:type="spellStart"/>
      <w:r w:rsidRPr="004826C0">
        <w:rPr>
          <w:rFonts w:cs="Times New Roman"/>
          <w:lang w:val="fr-CA"/>
        </w:rPr>
        <w:t>Jenks</w:t>
      </w:r>
      <w:proofErr w:type="spellEnd"/>
      <w:r w:rsidRPr="004826C0">
        <w:rPr>
          <w:rFonts w:cs="Times New Roman"/>
          <w:lang w:val="fr-CA"/>
        </w:rPr>
        <w:t xml:space="preserve"> dépeint l</w:t>
      </w:r>
      <w:r>
        <w:rPr>
          <w:rFonts w:cs="Times New Roman"/>
          <w:lang w:val="fr-CA"/>
        </w:rPr>
        <w:t>’</w:t>
      </w:r>
      <w:r w:rsidRPr="004826C0">
        <w:rPr>
          <w:rFonts w:cs="Times New Roman"/>
          <w:lang w:val="fr-CA"/>
        </w:rPr>
        <w:t>importance de l</w:t>
      </w:r>
      <w:r>
        <w:rPr>
          <w:rFonts w:cs="Times New Roman"/>
          <w:lang w:val="fr-CA"/>
        </w:rPr>
        <w:t>’</w:t>
      </w:r>
      <w:r w:rsidRPr="004826C0">
        <w:rPr>
          <w:rFonts w:cs="Times New Roman"/>
          <w:lang w:val="fr-CA"/>
        </w:rPr>
        <w:t xml:space="preserve">inviolabilité des archives des organisations internationales en ces termes : </w:t>
      </w:r>
    </w:p>
    <w:p w:rsidR="002405E3" w:rsidRPr="004826C0" w:rsidRDefault="002405E3" w:rsidP="003C0B54">
      <w:pPr>
        <w:pStyle w:val="Citation-AltC"/>
        <w:widowControl w:val="0"/>
        <w:tabs>
          <w:tab w:val="left" w:pos="1440"/>
        </w:tabs>
        <w:spacing w:before="240" w:after="240"/>
        <w:ind w:hanging="1166"/>
        <w:contextualSpacing w:val="0"/>
        <w:rPr>
          <w:lang w:val="fr-CA"/>
        </w:rPr>
      </w:pPr>
      <w:r w:rsidRPr="004826C0">
        <w:rPr>
          <w:lang w:val="fr-CA"/>
        </w:rPr>
        <w:tab/>
      </w:r>
      <w:r w:rsidRPr="004826C0">
        <w:rPr>
          <w:lang w:val="fr-CA"/>
        </w:rPr>
        <w:tab/>
      </w:r>
      <w:r w:rsidR="004A12AE" w:rsidRPr="004826C0">
        <w:rPr>
          <w:lang w:val="fr-CA"/>
        </w:rPr>
        <w:t>[</w:t>
      </w:r>
      <w:r w:rsidR="004A12AE" w:rsidRPr="004826C0">
        <w:rPr>
          <w:smallCaps/>
          <w:lang w:val="fr-CA"/>
        </w:rPr>
        <w:t>traduction</w:t>
      </w:r>
      <w:r w:rsidR="004A12AE" w:rsidRPr="004826C0">
        <w:rPr>
          <w:lang w:val="fr-CA"/>
        </w:rPr>
        <w:t xml:space="preserve">] </w:t>
      </w:r>
      <w:r w:rsidRPr="004826C0">
        <w:rPr>
          <w:lang w:val="fr-CA"/>
        </w:rPr>
        <w:t>L</w:t>
      </w:r>
      <w:r>
        <w:rPr>
          <w:lang w:val="fr-CA"/>
        </w:rPr>
        <w:t>’</w:t>
      </w:r>
      <w:r w:rsidRPr="004826C0">
        <w:rPr>
          <w:lang w:val="fr-CA"/>
        </w:rPr>
        <w:t xml:space="preserve">inviolabilité des archives des organisations internationales ne semble pas avoir soulevé de problème particulier; elle vise en partie à assurer la conservation de documents originaux et, en partie, à assurer le caractère confidentiel des dossiers officiels; </w:t>
      </w:r>
      <w:r w:rsidRPr="004826C0">
        <w:rPr>
          <w:u w:val="single"/>
          <w:lang w:val="fr-CA"/>
        </w:rPr>
        <w:t>il semble généralement aller de soi que permettre aux organismes législatif, exécutif ou judiciaire d</w:t>
      </w:r>
      <w:r>
        <w:rPr>
          <w:u w:val="single"/>
          <w:lang w:val="fr-CA"/>
        </w:rPr>
        <w:t>’</w:t>
      </w:r>
      <w:r w:rsidRPr="004826C0">
        <w:rPr>
          <w:u w:val="single"/>
          <w:lang w:val="fr-CA"/>
        </w:rPr>
        <w:t>un pays d</w:t>
      </w:r>
      <w:r>
        <w:rPr>
          <w:u w:val="single"/>
          <w:lang w:val="fr-CA"/>
        </w:rPr>
        <w:t>’</w:t>
      </w:r>
      <w:r w:rsidRPr="004826C0">
        <w:rPr>
          <w:u w:val="single"/>
          <w:lang w:val="fr-CA"/>
        </w:rPr>
        <w:t>exiger la communication de documents appartenant aux archives des organisations internationales saperait la liberté et l</w:t>
      </w:r>
      <w:r>
        <w:rPr>
          <w:u w:val="single"/>
          <w:lang w:val="fr-CA"/>
        </w:rPr>
        <w:t>’</w:t>
      </w:r>
      <w:r w:rsidRPr="004826C0">
        <w:rPr>
          <w:u w:val="single"/>
          <w:lang w:val="fr-CA"/>
        </w:rPr>
        <w:t>indépendance</w:t>
      </w:r>
      <w:r w:rsidRPr="004826C0">
        <w:rPr>
          <w:lang w:val="fr-CA"/>
        </w:rPr>
        <w:t xml:space="preserve"> attendues du personnel international dans ses rapports avec les organisations internationales envers lesquelles il est investi par traité d</w:t>
      </w:r>
      <w:r>
        <w:rPr>
          <w:lang w:val="fr-CA"/>
        </w:rPr>
        <w:t>’</w:t>
      </w:r>
      <w:r w:rsidRPr="004826C0">
        <w:rPr>
          <w:lang w:val="fr-CA"/>
        </w:rPr>
        <w:t xml:space="preserve">une responsabilité exclusive et </w:t>
      </w:r>
      <w:r w:rsidRPr="004826C0">
        <w:rPr>
          <w:u w:val="single"/>
          <w:lang w:val="fr-CA"/>
        </w:rPr>
        <w:t>minerait le respect réciproque du caractère confidentiel de ces archives sans lequel les gouvernements ne consentiraient pas à communiquer des informations confidentielles aux organisations internationales</w:t>
      </w:r>
      <w:r w:rsidRPr="004A12AE">
        <w:rPr>
          <w:lang w:val="fr-CA"/>
        </w:rPr>
        <w:t>.</w:t>
      </w:r>
      <w:r w:rsidRPr="004826C0">
        <w:rPr>
          <w:lang w:val="fr-CA"/>
        </w:rPr>
        <w:t xml:space="preserve"> [Nous soulignons; note</w:t>
      </w:r>
      <w:r w:rsidR="004A12AE">
        <w:rPr>
          <w:lang w:val="fr-CA"/>
        </w:rPr>
        <w:t>s</w:t>
      </w:r>
      <w:r w:rsidRPr="004826C0">
        <w:rPr>
          <w:lang w:val="fr-CA"/>
        </w:rPr>
        <w:t xml:space="preserve"> de bas de page omise</w:t>
      </w:r>
      <w:r w:rsidR="004A12AE">
        <w:rPr>
          <w:lang w:val="fr-CA"/>
        </w:rPr>
        <w:t>s</w:t>
      </w:r>
      <w:r w:rsidRPr="004826C0">
        <w:rPr>
          <w:lang w:val="fr-CA"/>
        </w:rPr>
        <w:t>.]</w:t>
      </w:r>
    </w:p>
    <w:p w:rsidR="002405E3" w:rsidRPr="004826C0" w:rsidRDefault="002405E3" w:rsidP="003C0B54">
      <w:pPr>
        <w:pStyle w:val="Citation-AltC"/>
        <w:widowControl w:val="0"/>
        <w:ind w:hanging="1166"/>
        <w:contextualSpacing w:val="0"/>
        <w:rPr>
          <w:lang w:val="fr-CA"/>
        </w:rPr>
      </w:pPr>
      <w:r w:rsidRPr="004826C0">
        <w:rPr>
          <w:lang w:val="fr-CA"/>
        </w:rPr>
        <w:t>(</w:t>
      </w:r>
      <w:r w:rsidRPr="004826C0">
        <w:rPr>
          <w:i/>
          <w:lang w:val="fr-CA"/>
        </w:rPr>
        <w:t xml:space="preserve">International </w:t>
      </w:r>
      <w:proofErr w:type="spellStart"/>
      <w:r w:rsidRPr="004826C0">
        <w:rPr>
          <w:i/>
          <w:lang w:val="fr-CA"/>
        </w:rPr>
        <w:t>Immunities</w:t>
      </w:r>
      <w:proofErr w:type="spellEnd"/>
      <w:r w:rsidRPr="004826C0">
        <w:rPr>
          <w:lang w:val="fr-CA"/>
        </w:rPr>
        <w:t>, p. 54)</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Restreindre aux documents historiques seulement la protection prévue par la section 5 exposerait les documents courants et ceux de nature plus sensible, dont la confidentialité est vraisemblablement plus importante pour le fonctionnement indépendant de la BIRD. Pour tous ces motifs, nous sommes d</w:t>
      </w:r>
      <w:r>
        <w:rPr>
          <w:rFonts w:cs="Times New Roman"/>
          <w:lang w:val="fr-CA"/>
        </w:rPr>
        <w:t>’</w:t>
      </w:r>
      <w:r w:rsidRPr="004826C0">
        <w:rPr>
          <w:rFonts w:cs="Times New Roman"/>
          <w:lang w:val="fr-CA"/>
        </w:rPr>
        <w:t>avis que le terme « archives » doit s</w:t>
      </w:r>
      <w:r>
        <w:rPr>
          <w:rFonts w:cs="Times New Roman"/>
          <w:lang w:val="fr-CA"/>
        </w:rPr>
        <w:t>’</w:t>
      </w:r>
      <w:r w:rsidRPr="004826C0">
        <w:rPr>
          <w:rFonts w:cs="Times New Roman"/>
          <w:lang w:val="fr-CA"/>
        </w:rPr>
        <w:t>entendre de l</w:t>
      </w:r>
      <w:r>
        <w:rPr>
          <w:rFonts w:cs="Times New Roman"/>
          <w:lang w:val="fr-CA"/>
        </w:rPr>
        <w:t>’</w:t>
      </w:r>
      <w:r w:rsidRPr="004826C0">
        <w:rPr>
          <w:rFonts w:cs="Times New Roman"/>
          <w:lang w:val="fr-CA"/>
        </w:rPr>
        <w:t>ensemble des documents conservés par la BIRD et l</w:t>
      </w:r>
      <w:r>
        <w:rPr>
          <w:rFonts w:cs="Times New Roman"/>
          <w:lang w:val="fr-CA"/>
        </w:rPr>
        <w:t>’</w:t>
      </w:r>
      <w:r w:rsidRPr="004826C0">
        <w:rPr>
          <w:rFonts w:cs="Times New Roman"/>
          <w:lang w:val="fr-CA"/>
        </w:rPr>
        <w:t>ID</w:t>
      </w:r>
      <w:r>
        <w:rPr>
          <w:rFonts w:cs="Times New Roman"/>
          <w:lang w:val="fr-CA"/>
        </w:rPr>
        <w:t>A</w:t>
      </w:r>
      <w:r w:rsidRPr="004826C0">
        <w:rPr>
          <w:rFonts w:cs="Times New Roman"/>
          <w:lang w:val="fr-CA"/>
        </w:rPr>
        <w:t>, y compris leurs dossiers officiels et leur correspondance. Nous soulignons, au passage, que la Chambre des lords a adopté une aussi large définition du mot « archives » dans son interprétation des immunités accordées au Conseil international de l</w:t>
      </w:r>
      <w:r>
        <w:rPr>
          <w:rFonts w:cs="Times New Roman"/>
          <w:lang w:val="fr-CA"/>
        </w:rPr>
        <w:t>’</w:t>
      </w:r>
      <w:r w:rsidRPr="004826C0">
        <w:rPr>
          <w:rFonts w:cs="Times New Roman"/>
          <w:lang w:val="fr-CA"/>
        </w:rPr>
        <w:t>étain (</w:t>
      </w:r>
      <w:proofErr w:type="spellStart"/>
      <w:r w:rsidRPr="004826C0">
        <w:rPr>
          <w:rFonts w:cs="Times New Roman"/>
          <w:i/>
          <w:lang w:val="fr-CA"/>
        </w:rPr>
        <w:t>Shearson</w:t>
      </w:r>
      <w:proofErr w:type="spellEnd"/>
      <w:r w:rsidRPr="004826C0">
        <w:rPr>
          <w:rFonts w:cs="Times New Roman"/>
          <w:i/>
          <w:lang w:val="fr-CA"/>
        </w:rPr>
        <w:t xml:space="preserve"> </w:t>
      </w:r>
      <w:proofErr w:type="spellStart"/>
      <w:r w:rsidRPr="004826C0">
        <w:rPr>
          <w:rFonts w:cs="Times New Roman"/>
          <w:i/>
          <w:lang w:val="fr-CA"/>
        </w:rPr>
        <w:t>Lehman</w:t>
      </w:r>
      <w:proofErr w:type="spellEnd"/>
      <w:r w:rsidRPr="004826C0">
        <w:rPr>
          <w:rFonts w:cs="Times New Roman"/>
          <w:i/>
          <w:lang w:val="fr-CA"/>
        </w:rPr>
        <w:t xml:space="preserve"> </w:t>
      </w:r>
      <w:proofErr w:type="spellStart"/>
      <w:r w:rsidRPr="004826C0">
        <w:rPr>
          <w:rFonts w:cs="Times New Roman"/>
          <w:i/>
          <w:lang w:val="fr-CA"/>
        </w:rPr>
        <w:t>Bros</w:t>
      </w:r>
      <w:proofErr w:type="spellEnd"/>
      <w:r w:rsidR="00666D00">
        <w:rPr>
          <w:rFonts w:cs="Times New Roman"/>
          <w:i/>
          <w:lang w:val="fr-CA"/>
        </w:rPr>
        <w:t>.</w:t>
      </w:r>
      <w:r w:rsidRPr="004826C0">
        <w:rPr>
          <w:rFonts w:cs="Times New Roman"/>
          <w:i/>
          <w:lang w:val="fr-CA"/>
        </w:rPr>
        <w:t xml:space="preserve"> Inc. c. </w:t>
      </w:r>
      <w:proofErr w:type="spellStart"/>
      <w:r w:rsidRPr="004826C0">
        <w:rPr>
          <w:rFonts w:cs="Times New Roman"/>
          <w:i/>
          <w:lang w:val="fr-CA"/>
        </w:rPr>
        <w:t>Maclaine</w:t>
      </w:r>
      <w:proofErr w:type="spellEnd"/>
      <w:r w:rsidRPr="004826C0">
        <w:rPr>
          <w:rFonts w:cs="Times New Roman"/>
          <w:i/>
          <w:lang w:val="fr-CA"/>
        </w:rPr>
        <w:t xml:space="preserve"> Watson &amp; Co. (No. 2)</w:t>
      </w:r>
      <w:r w:rsidRPr="004826C0">
        <w:rPr>
          <w:rFonts w:cs="Times New Roman"/>
          <w:lang w:val="fr-CA"/>
        </w:rPr>
        <w:t xml:space="preserve">, [1988] 1 All E.R. 116, p. 122).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Pour sa part, le terme « inviolable » évoque une protection absolue contre toute forme de communication obligatoire. La distinction que fait le juge d</w:t>
      </w:r>
      <w:r>
        <w:rPr>
          <w:rFonts w:cs="Times New Roman"/>
          <w:lang w:val="fr-CA"/>
        </w:rPr>
        <w:t>’</w:t>
      </w:r>
      <w:r w:rsidRPr="004826C0">
        <w:rPr>
          <w:rFonts w:cs="Times New Roman"/>
          <w:lang w:val="fr-CA"/>
        </w:rPr>
        <w:t>instance entre les ordonnances de communication de documents et les fouilles, perquisitions et saisies ne découle pas du sens ordinaire des mots de la disposition ni ne concorde avec l</w:t>
      </w:r>
      <w:r>
        <w:rPr>
          <w:rFonts w:cs="Times New Roman"/>
          <w:lang w:val="fr-CA"/>
        </w:rPr>
        <w:t>’</w:t>
      </w:r>
      <w:r w:rsidRPr="004826C0">
        <w:rPr>
          <w:rFonts w:cs="Times New Roman"/>
          <w:lang w:val="fr-CA"/>
        </w:rPr>
        <w:t>objet pour lequel l</w:t>
      </w:r>
      <w:r>
        <w:rPr>
          <w:rFonts w:cs="Times New Roman"/>
          <w:lang w:val="fr-CA"/>
        </w:rPr>
        <w:t>’</w:t>
      </w:r>
      <w:r w:rsidRPr="004826C0">
        <w:rPr>
          <w:rFonts w:cs="Times New Roman"/>
          <w:lang w:val="fr-CA"/>
        </w:rPr>
        <w:t>immunité est accordée. Comme nous l</w:t>
      </w:r>
      <w:r>
        <w:rPr>
          <w:rFonts w:cs="Times New Roman"/>
          <w:lang w:val="fr-CA"/>
        </w:rPr>
        <w:t>’</w:t>
      </w:r>
      <w:r w:rsidRPr="004826C0">
        <w:rPr>
          <w:rFonts w:cs="Times New Roman"/>
          <w:lang w:val="fr-CA"/>
        </w:rPr>
        <w:t>avons déjà dit, la protection des archives de la BIRD et de l</w:t>
      </w:r>
      <w:r>
        <w:rPr>
          <w:rFonts w:cs="Times New Roman"/>
          <w:lang w:val="fr-CA"/>
        </w:rPr>
        <w:t>’</w:t>
      </w:r>
      <w:r w:rsidRPr="004826C0">
        <w:rPr>
          <w:rFonts w:cs="Times New Roman"/>
          <w:lang w:val="fr-CA"/>
        </w:rPr>
        <w:t>IDA est essentielle au bon fonctionnement indépendant de ces organisations. Ce ne sont cependant pas les documents en soi qui sont vraiment importants, mais plutôt les renseignements qu</w:t>
      </w:r>
      <w:r>
        <w:rPr>
          <w:rFonts w:cs="Times New Roman"/>
          <w:lang w:val="fr-CA"/>
        </w:rPr>
        <w:t>’</w:t>
      </w:r>
      <w:r w:rsidRPr="004826C0">
        <w:rPr>
          <w:rFonts w:cs="Times New Roman"/>
          <w:lang w:val="fr-CA"/>
        </w:rPr>
        <w:t>ils contiennent. De ce point de vue, il importe peu que les renseignements soient révélés à l</w:t>
      </w:r>
      <w:r>
        <w:rPr>
          <w:rFonts w:cs="Times New Roman"/>
          <w:lang w:val="fr-CA"/>
        </w:rPr>
        <w:t>’</w:t>
      </w:r>
      <w:r w:rsidRPr="004826C0">
        <w:rPr>
          <w:rFonts w:cs="Times New Roman"/>
          <w:lang w:val="fr-CA"/>
        </w:rPr>
        <w:t>issue d</w:t>
      </w:r>
      <w:r>
        <w:rPr>
          <w:rFonts w:cs="Times New Roman"/>
          <w:lang w:val="fr-CA"/>
        </w:rPr>
        <w:t>’</w:t>
      </w:r>
      <w:r w:rsidRPr="004826C0">
        <w:rPr>
          <w:rFonts w:cs="Times New Roman"/>
          <w:lang w:val="fr-CA"/>
        </w:rPr>
        <w:t>une fouille, saisie ou perquisition, ou de l</w:t>
      </w:r>
      <w:r>
        <w:rPr>
          <w:rFonts w:cs="Times New Roman"/>
          <w:lang w:val="fr-CA"/>
        </w:rPr>
        <w:t>’</w:t>
      </w:r>
      <w:r w:rsidRPr="004826C0">
        <w:rPr>
          <w:rFonts w:cs="Times New Roman"/>
          <w:lang w:val="fr-CA"/>
        </w:rPr>
        <w:t>exécution d</w:t>
      </w:r>
      <w:r>
        <w:rPr>
          <w:rFonts w:cs="Times New Roman"/>
          <w:lang w:val="fr-CA"/>
        </w:rPr>
        <w:t>’</w:t>
      </w:r>
      <w:r w:rsidRPr="004826C0">
        <w:rPr>
          <w:rFonts w:cs="Times New Roman"/>
          <w:lang w:val="fr-CA"/>
        </w:rPr>
        <w:t>une ordonnance de communication. L</w:t>
      </w:r>
      <w:r>
        <w:rPr>
          <w:rFonts w:cs="Times New Roman"/>
          <w:lang w:val="fr-CA"/>
        </w:rPr>
        <w:t>’</w:t>
      </w:r>
      <w:r w:rsidRPr="004826C0">
        <w:rPr>
          <w:rFonts w:cs="Times New Roman"/>
          <w:lang w:val="fr-CA"/>
        </w:rPr>
        <w:t>objet de l</w:t>
      </w:r>
      <w:r>
        <w:rPr>
          <w:rFonts w:cs="Times New Roman"/>
          <w:lang w:val="fr-CA"/>
        </w:rPr>
        <w:t>’</w:t>
      </w:r>
      <w:r w:rsidRPr="004826C0">
        <w:rPr>
          <w:rFonts w:cs="Times New Roman"/>
          <w:lang w:val="fr-CA"/>
        </w:rPr>
        <w:t xml:space="preserve">immunité est contrecarré dans les deux cas.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Certes, l</w:t>
      </w:r>
      <w:r>
        <w:rPr>
          <w:rFonts w:cs="Times New Roman"/>
          <w:lang w:val="fr-CA"/>
        </w:rPr>
        <w:t>’</w:t>
      </w:r>
      <w:r w:rsidRPr="004826C0">
        <w:rPr>
          <w:rFonts w:cs="Times New Roman"/>
          <w:lang w:val="fr-CA"/>
        </w:rPr>
        <w:t>emploi du terme « inviolables » pour qualifier les archives d</w:t>
      </w:r>
      <w:r>
        <w:rPr>
          <w:rFonts w:cs="Times New Roman"/>
          <w:lang w:val="fr-CA"/>
        </w:rPr>
        <w:t>’</w:t>
      </w:r>
      <w:r w:rsidRPr="004826C0">
        <w:rPr>
          <w:rFonts w:cs="Times New Roman"/>
          <w:lang w:val="fr-CA"/>
        </w:rPr>
        <w:t>une organisation peut surprendre. La notion de violence à l</w:t>
      </w:r>
      <w:r>
        <w:rPr>
          <w:rFonts w:cs="Times New Roman"/>
          <w:lang w:val="fr-CA"/>
        </w:rPr>
        <w:t>’</w:t>
      </w:r>
      <w:r w:rsidRPr="004826C0">
        <w:rPr>
          <w:rFonts w:cs="Times New Roman"/>
          <w:lang w:val="fr-CA"/>
        </w:rPr>
        <w:t>égard d</w:t>
      </w:r>
      <w:r>
        <w:rPr>
          <w:rFonts w:cs="Times New Roman"/>
          <w:lang w:val="fr-CA"/>
        </w:rPr>
        <w:t>’</w:t>
      </w:r>
      <w:r w:rsidRPr="004826C0">
        <w:rPr>
          <w:rFonts w:cs="Times New Roman"/>
          <w:lang w:val="fr-CA"/>
        </w:rPr>
        <w:t>un ensemble de dossiers, documents et correspondance conservés peut paraître étrange. Or, le terme « inviolable » a subi une évolution en droit international, jetant un certain éclairage sur le sens qu</w:t>
      </w:r>
      <w:r>
        <w:rPr>
          <w:rFonts w:cs="Times New Roman"/>
          <w:lang w:val="fr-CA"/>
        </w:rPr>
        <w:t>’</w:t>
      </w:r>
      <w:r w:rsidRPr="004826C0">
        <w:rPr>
          <w:rFonts w:cs="Times New Roman"/>
          <w:lang w:val="fr-CA"/>
        </w:rPr>
        <w:t>il convient de lui donner dans l</w:t>
      </w:r>
      <w:r>
        <w:rPr>
          <w:rFonts w:cs="Times New Roman"/>
          <w:lang w:val="fr-CA"/>
        </w:rPr>
        <w:t>’</w:t>
      </w:r>
      <w:r w:rsidRPr="004826C0">
        <w:rPr>
          <w:rFonts w:cs="Times New Roman"/>
          <w:lang w:val="fr-CA"/>
        </w:rPr>
        <w:t>Accord relatif à la BIRD et les Statuts de l</w:t>
      </w:r>
      <w:r>
        <w:rPr>
          <w:rFonts w:cs="Times New Roman"/>
          <w:lang w:val="fr-CA"/>
        </w:rPr>
        <w:t>’</w:t>
      </w:r>
      <w:r w:rsidRPr="004826C0">
        <w:rPr>
          <w:rFonts w:cs="Times New Roman"/>
          <w:lang w:val="fr-CA"/>
        </w:rPr>
        <w:t>IDA</w:t>
      </w:r>
      <w:r w:rsidRPr="004826C0">
        <w:rPr>
          <w:rFonts w:cs="Times New Roman"/>
          <w:szCs w:val="24"/>
          <w:lang w:val="fr-CA"/>
        </w:rPr>
        <w: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Issu du droit de la diplomatie et communément employé dans les traités constituant certaines organisations internationales, le terme « inviolable » sous</w:t>
      </w:r>
      <w:r w:rsidRPr="004826C0">
        <w:rPr>
          <w:rFonts w:cs="Times New Roman"/>
          <w:lang w:val="fr-CA"/>
        </w:rPr>
        <w:noBreakHyphen/>
        <w:t>entend l</w:t>
      </w:r>
      <w:r>
        <w:rPr>
          <w:rFonts w:cs="Times New Roman"/>
          <w:lang w:val="fr-CA"/>
        </w:rPr>
        <w:t>’</w:t>
      </w:r>
      <w:r w:rsidRPr="004826C0">
        <w:rPr>
          <w:rFonts w:cs="Times New Roman"/>
          <w:lang w:val="fr-CA"/>
        </w:rPr>
        <w:t>absence d</w:t>
      </w:r>
      <w:r>
        <w:rPr>
          <w:rFonts w:cs="Times New Roman"/>
          <w:lang w:val="fr-CA"/>
        </w:rPr>
        <w:t>’</w:t>
      </w:r>
      <w:r w:rsidRPr="004826C0">
        <w:rPr>
          <w:rFonts w:cs="Times New Roman"/>
          <w:lang w:val="fr-CA"/>
        </w:rPr>
        <w:t>ingérence unilatérale. À l</w:t>
      </w:r>
      <w:r>
        <w:rPr>
          <w:rFonts w:cs="Times New Roman"/>
          <w:lang w:val="fr-CA"/>
        </w:rPr>
        <w:t>’</w:t>
      </w:r>
      <w:r w:rsidRPr="004826C0">
        <w:rPr>
          <w:rFonts w:cs="Times New Roman"/>
          <w:lang w:val="fr-CA"/>
        </w:rPr>
        <w:t>origine, la personne d</w:t>
      </w:r>
      <w:r>
        <w:rPr>
          <w:rFonts w:cs="Times New Roman"/>
          <w:lang w:val="fr-CA"/>
        </w:rPr>
        <w:t>’</w:t>
      </w:r>
      <w:r w:rsidRPr="004826C0">
        <w:rPr>
          <w:rFonts w:cs="Times New Roman"/>
          <w:lang w:val="fr-CA"/>
        </w:rPr>
        <w:t>un ambassadeur était dite inviolable, ce qui signifiait qu</w:t>
      </w:r>
      <w:r>
        <w:rPr>
          <w:rFonts w:cs="Times New Roman"/>
          <w:lang w:val="fr-CA"/>
        </w:rPr>
        <w:t>’</w:t>
      </w:r>
      <w:r w:rsidRPr="004826C0">
        <w:rPr>
          <w:rFonts w:cs="Times New Roman"/>
          <w:lang w:val="fr-CA"/>
        </w:rPr>
        <w:t>elle ne pouvait faire l</w:t>
      </w:r>
      <w:r>
        <w:rPr>
          <w:rFonts w:cs="Times New Roman"/>
          <w:lang w:val="fr-CA"/>
        </w:rPr>
        <w:t>’</w:t>
      </w:r>
      <w:r w:rsidRPr="004826C0">
        <w:rPr>
          <w:rFonts w:cs="Times New Roman"/>
          <w:lang w:val="fr-CA"/>
        </w:rPr>
        <w:t>objet d</w:t>
      </w:r>
      <w:r>
        <w:rPr>
          <w:rFonts w:cs="Times New Roman"/>
          <w:lang w:val="fr-CA"/>
        </w:rPr>
        <w:t>’</w:t>
      </w:r>
      <w:r w:rsidRPr="004826C0">
        <w:rPr>
          <w:rFonts w:cs="Times New Roman"/>
          <w:lang w:val="fr-CA"/>
        </w:rPr>
        <w:t xml:space="preserve">une arrestation ou de toute forme de contrainte (C. Morton, </w:t>
      </w:r>
      <w:r w:rsidRPr="004826C0">
        <w:rPr>
          <w:rFonts w:cs="Times New Roman"/>
          <w:i/>
          <w:lang w:val="fr-CA"/>
        </w:rPr>
        <w:t>Les privilèges et immunités diplomatiques</w:t>
      </w:r>
      <w:r w:rsidRPr="004826C0">
        <w:rPr>
          <w:rFonts w:cs="Times New Roman"/>
          <w:lang w:val="fr-CA"/>
        </w:rPr>
        <w:t xml:space="preserve"> (1927), p. 49; J. </w:t>
      </w:r>
      <w:proofErr w:type="spellStart"/>
      <w:r w:rsidRPr="004826C0">
        <w:rPr>
          <w:rFonts w:cs="Times New Roman"/>
          <w:lang w:val="fr-CA"/>
        </w:rPr>
        <w:t>Secretan</w:t>
      </w:r>
      <w:proofErr w:type="spellEnd"/>
      <w:r w:rsidRPr="004826C0">
        <w:rPr>
          <w:rFonts w:cs="Times New Roman"/>
          <w:lang w:val="fr-CA"/>
        </w:rPr>
        <w:t xml:space="preserve">, </w:t>
      </w:r>
      <w:r w:rsidRPr="004826C0">
        <w:rPr>
          <w:rFonts w:cs="Times New Roman"/>
          <w:i/>
          <w:lang w:val="fr-CA"/>
        </w:rPr>
        <w:t>Les immunités diplo</w:t>
      </w:r>
      <w:r w:rsidR="00335F3B">
        <w:rPr>
          <w:rFonts w:cs="Times New Roman"/>
          <w:i/>
          <w:lang w:val="fr-CA"/>
        </w:rPr>
        <w:t>matiques des représentants des é</w:t>
      </w:r>
      <w:r w:rsidRPr="004826C0">
        <w:rPr>
          <w:rFonts w:cs="Times New Roman"/>
          <w:i/>
          <w:lang w:val="fr-CA"/>
        </w:rPr>
        <w:t>tats membres e</w:t>
      </w:r>
      <w:r w:rsidR="00335F3B">
        <w:rPr>
          <w:rFonts w:cs="Times New Roman"/>
          <w:i/>
          <w:lang w:val="fr-CA"/>
        </w:rPr>
        <w:t>t des agents de la Société des n</w:t>
      </w:r>
      <w:r w:rsidRPr="004826C0">
        <w:rPr>
          <w:rFonts w:cs="Times New Roman"/>
          <w:i/>
          <w:lang w:val="fr-CA"/>
        </w:rPr>
        <w:t>ations</w:t>
      </w:r>
      <w:r w:rsidRPr="004826C0">
        <w:rPr>
          <w:rFonts w:cs="Times New Roman"/>
          <w:lang w:val="fr-CA"/>
        </w:rPr>
        <w:t xml:space="preserve"> (1928), p. 67). Le concept de l</w:t>
      </w:r>
      <w:r>
        <w:rPr>
          <w:rFonts w:cs="Times New Roman"/>
          <w:lang w:val="fr-CA"/>
        </w:rPr>
        <w:t>’</w:t>
      </w:r>
      <w:r w:rsidRPr="004826C0">
        <w:rPr>
          <w:rFonts w:cs="Times New Roman"/>
          <w:lang w:val="fr-CA"/>
        </w:rPr>
        <w:t>inviolabilité a par la suite été étendu au siège des missions diplomatiques. Dans ce contexte, le terme « inviolable » renvoyait à la protection des locaux des missions et faisait obstacle à l</w:t>
      </w:r>
      <w:r>
        <w:rPr>
          <w:rFonts w:cs="Times New Roman"/>
          <w:lang w:val="fr-CA"/>
        </w:rPr>
        <w:t>’</w:t>
      </w:r>
      <w:r w:rsidRPr="004826C0">
        <w:rPr>
          <w:rFonts w:cs="Times New Roman"/>
          <w:lang w:val="fr-CA"/>
        </w:rPr>
        <w:t>application du droit interne par les autorités locales (E. </w:t>
      </w:r>
      <w:proofErr w:type="spellStart"/>
      <w:r w:rsidRPr="004826C0">
        <w:rPr>
          <w:rFonts w:cs="Times New Roman"/>
          <w:lang w:val="fr-CA"/>
        </w:rPr>
        <w:t>Denza</w:t>
      </w:r>
      <w:proofErr w:type="spellEnd"/>
      <w:r w:rsidRPr="004826C0">
        <w:rPr>
          <w:rFonts w:cs="Times New Roman"/>
          <w:lang w:val="fr-CA"/>
        </w:rPr>
        <w:t xml:space="preserve">, </w:t>
      </w:r>
      <w:proofErr w:type="spellStart"/>
      <w:r w:rsidRPr="004826C0">
        <w:rPr>
          <w:rFonts w:cs="Times New Roman"/>
          <w:i/>
          <w:lang w:val="fr-CA"/>
        </w:rPr>
        <w:t>Diplomatic</w:t>
      </w:r>
      <w:proofErr w:type="spellEnd"/>
      <w:r w:rsidRPr="004826C0">
        <w:rPr>
          <w:rFonts w:cs="Times New Roman"/>
          <w:i/>
          <w:lang w:val="fr-CA"/>
        </w:rPr>
        <w:t xml:space="preserve"> Law</w:t>
      </w:r>
      <w:r w:rsidRPr="004826C0">
        <w:rPr>
          <w:rFonts w:cs="Times New Roman"/>
          <w:lang w:val="fr-CA"/>
        </w:rPr>
        <w:t xml:space="preserve"> (3</w:t>
      </w:r>
      <w:r w:rsidRPr="004826C0">
        <w:rPr>
          <w:rFonts w:cs="Times New Roman"/>
          <w:vertAlign w:val="superscript"/>
          <w:lang w:val="fr-CA"/>
        </w:rPr>
        <w:t>e</w:t>
      </w:r>
      <w:r w:rsidRPr="004826C0">
        <w:rPr>
          <w:rFonts w:cs="Times New Roman"/>
          <w:lang w:val="fr-CA"/>
        </w:rPr>
        <w:t> éd. 2008), p. 136)</w:t>
      </w:r>
      <w:r w:rsidRPr="004826C0">
        <w:rPr>
          <w:rFonts w:cs="Times New Roman"/>
          <w:szCs w:val="24"/>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Avant la Première Guerre mondiale, les mêmes privilèges et immunités propres au droit de la diplomatie ont été accordés à des organisations internationales (E.</w:t>
      </w:r>
      <w:r>
        <w:rPr>
          <w:rFonts w:cs="Times New Roman"/>
          <w:lang w:val="fr-CA"/>
        </w:rPr>
        <w:t> </w:t>
      </w:r>
      <w:r w:rsidRPr="004826C0">
        <w:rPr>
          <w:rFonts w:cs="Times New Roman"/>
          <w:lang w:val="fr-CA"/>
        </w:rPr>
        <w:t>H. </w:t>
      </w:r>
      <w:proofErr w:type="spellStart"/>
      <w:r w:rsidRPr="004826C0">
        <w:rPr>
          <w:rFonts w:cs="Times New Roman"/>
          <w:lang w:val="fr-CA"/>
        </w:rPr>
        <w:t>Fedder</w:t>
      </w:r>
      <w:proofErr w:type="spellEnd"/>
      <w:r w:rsidRPr="004826C0">
        <w:rPr>
          <w:rFonts w:cs="Times New Roman"/>
          <w:lang w:val="fr-CA"/>
        </w:rPr>
        <w:t xml:space="preserve">, « The </w:t>
      </w:r>
      <w:proofErr w:type="spellStart"/>
      <w:r w:rsidRPr="004826C0">
        <w:rPr>
          <w:rFonts w:cs="Times New Roman"/>
          <w:lang w:val="fr-CA"/>
        </w:rPr>
        <w:t>Functional</w:t>
      </w:r>
      <w:proofErr w:type="spellEnd"/>
      <w:r w:rsidRPr="004826C0">
        <w:rPr>
          <w:rFonts w:cs="Times New Roman"/>
          <w:lang w:val="fr-CA"/>
        </w:rPr>
        <w:t xml:space="preserve"> Basis of International </w:t>
      </w:r>
      <w:proofErr w:type="spellStart"/>
      <w:r w:rsidRPr="004826C0">
        <w:rPr>
          <w:rFonts w:cs="Times New Roman"/>
          <w:lang w:val="fr-CA"/>
        </w:rPr>
        <w:t>Privileges</w:t>
      </w:r>
      <w:proofErr w:type="spellEnd"/>
      <w:r w:rsidRPr="004826C0">
        <w:rPr>
          <w:rFonts w:cs="Times New Roman"/>
          <w:lang w:val="fr-CA"/>
        </w:rPr>
        <w:t xml:space="preserve"> and </w:t>
      </w:r>
      <w:proofErr w:type="spellStart"/>
      <w:r w:rsidRPr="004826C0">
        <w:rPr>
          <w:rFonts w:cs="Times New Roman"/>
          <w:lang w:val="fr-CA"/>
        </w:rPr>
        <w:t>Immunities</w:t>
      </w:r>
      <w:proofErr w:type="spellEnd"/>
      <w:r w:rsidRPr="004826C0">
        <w:rPr>
          <w:rFonts w:cs="Times New Roman"/>
          <w:lang w:val="fr-CA"/>
        </w:rPr>
        <w:t xml:space="preserve"> : A New Concept in International Law and </w:t>
      </w:r>
      <w:proofErr w:type="spellStart"/>
      <w:r w:rsidRPr="004826C0">
        <w:rPr>
          <w:rFonts w:cs="Times New Roman"/>
          <w:lang w:val="fr-CA"/>
        </w:rPr>
        <w:t>Organization</w:t>
      </w:r>
      <w:proofErr w:type="spellEnd"/>
      <w:r w:rsidRPr="004826C0">
        <w:rPr>
          <w:rFonts w:cs="Times New Roman"/>
          <w:lang w:val="fr-CA"/>
        </w:rPr>
        <w:t xml:space="preserve"> » (1960), 9 </w:t>
      </w:r>
      <w:r w:rsidRPr="004826C0">
        <w:rPr>
          <w:rFonts w:cs="Times New Roman"/>
          <w:i/>
          <w:lang w:val="fr-CA"/>
        </w:rPr>
        <w:t xml:space="preserve">Am. U.L. </w:t>
      </w:r>
      <w:proofErr w:type="spellStart"/>
      <w:r w:rsidRPr="004826C0">
        <w:rPr>
          <w:rFonts w:cs="Times New Roman"/>
          <w:i/>
          <w:lang w:val="fr-CA"/>
        </w:rPr>
        <w:t>Rev</w:t>
      </w:r>
      <w:proofErr w:type="spellEnd"/>
      <w:r w:rsidRPr="004826C0">
        <w:rPr>
          <w:rFonts w:cs="Times New Roman"/>
          <w:i/>
          <w:lang w:val="fr-CA"/>
        </w:rPr>
        <w:t>.</w:t>
      </w:r>
      <w:r w:rsidRPr="004826C0">
        <w:rPr>
          <w:rFonts w:cs="Times New Roman"/>
          <w:lang w:val="fr-CA"/>
        </w:rPr>
        <w:t xml:space="preserve"> 60, p. 60). Le personnel de plusieurs des premières organisations internationales était donc dit inviolable (L. </w:t>
      </w:r>
      <w:proofErr w:type="spellStart"/>
      <w:r w:rsidRPr="004826C0">
        <w:rPr>
          <w:rFonts w:cs="Times New Roman"/>
          <w:lang w:val="fr-CA"/>
        </w:rPr>
        <w:t>Preuss</w:t>
      </w:r>
      <w:proofErr w:type="spellEnd"/>
      <w:r w:rsidRPr="004826C0">
        <w:rPr>
          <w:rFonts w:cs="Times New Roman"/>
          <w:lang w:val="fr-CA"/>
        </w:rPr>
        <w:t>, « </w:t>
      </w:r>
      <w:proofErr w:type="spellStart"/>
      <w:r w:rsidRPr="004826C0">
        <w:rPr>
          <w:rFonts w:cs="Times New Roman"/>
          <w:lang w:val="fr-CA"/>
        </w:rPr>
        <w:t>Diplomatic</w:t>
      </w:r>
      <w:proofErr w:type="spellEnd"/>
      <w:r w:rsidRPr="004826C0">
        <w:rPr>
          <w:rFonts w:cs="Times New Roman"/>
          <w:lang w:val="fr-CA"/>
        </w:rPr>
        <w:t xml:space="preserve"> </w:t>
      </w:r>
      <w:proofErr w:type="spellStart"/>
      <w:r w:rsidRPr="004826C0">
        <w:rPr>
          <w:rFonts w:cs="Times New Roman"/>
          <w:lang w:val="fr-CA"/>
        </w:rPr>
        <w:t>Privileges</w:t>
      </w:r>
      <w:proofErr w:type="spellEnd"/>
      <w:r w:rsidRPr="004826C0">
        <w:rPr>
          <w:rFonts w:cs="Times New Roman"/>
          <w:lang w:val="fr-CA"/>
        </w:rPr>
        <w:t xml:space="preserve"> and </w:t>
      </w:r>
      <w:proofErr w:type="spellStart"/>
      <w:r w:rsidRPr="004826C0">
        <w:rPr>
          <w:rFonts w:cs="Times New Roman"/>
          <w:lang w:val="fr-CA"/>
        </w:rPr>
        <w:t>Immunities</w:t>
      </w:r>
      <w:proofErr w:type="spellEnd"/>
      <w:r w:rsidRPr="004826C0">
        <w:rPr>
          <w:rFonts w:cs="Times New Roman"/>
          <w:lang w:val="fr-CA"/>
        </w:rPr>
        <w:t xml:space="preserve"> of Agents </w:t>
      </w:r>
      <w:proofErr w:type="spellStart"/>
      <w:r w:rsidRPr="004826C0">
        <w:rPr>
          <w:rFonts w:cs="Times New Roman"/>
          <w:lang w:val="fr-CA"/>
        </w:rPr>
        <w:t>Invested</w:t>
      </w:r>
      <w:proofErr w:type="spellEnd"/>
      <w:r w:rsidRPr="004826C0">
        <w:rPr>
          <w:rFonts w:cs="Times New Roman"/>
          <w:lang w:val="fr-CA"/>
        </w:rPr>
        <w:t xml:space="preserve"> </w:t>
      </w:r>
      <w:proofErr w:type="spellStart"/>
      <w:r w:rsidRPr="004826C0">
        <w:rPr>
          <w:rFonts w:cs="Times New Roman"/>
          <w:lang w:val="fr-CA"/>
        </w:rPr>
        <w:t>with</w:t>
      </w:r>
      <w:proofErr w:type="spellEnd"/>
      <w:r w:rsidRPr="004826C0">
        <w:rPr>
          <w:rFonts w:cs="Times New Roman"/>
          <w:lang w:val="fr-CA"/>
        </w:rPr>
        <w:t xml:space="preserve"> </w:t>
      </w:r>
      <w:proofErr w:type="spellStart"/>
      <w:r w:rsidRPr="004826C0">
        <w:rPr>
          <w:rFonts w:cs="Times New Roman"/>
          <w:lang w:val="fr-CA"/>
        </w:rPr>
        <w:t>Functions</w:t>
      </w:r>
      <w:proofErr w:type="spellEnd"/>
      <w:r w:rsidRPr="004826C0">
        <w:rPr>
          <w:rFonts w:cs="Times New Roman"/>
          <w:lang w:val="fr-CA"/>
        </w:rPr>
        <w:t xml:space="preserve"> of an International </w:t>
      </w:r>
      <w:proofErr w:type="spellStart"/>
      <w:r w:rsidRPr="004826C0">
        <w:rPr>
          <w:rFonts w:cs="Times New Roman"/>
          <w:lang w:val="fr-CA"/>
        </w:rPr>
        <w:t>Interest</w:t>
      </w:r>
      <w:proofErr w:type="spellEnd"/>
      <w:r w:rsidRPr="004826C0">
        <w:rPr>
          <w:rFonts w:cs="Times New Roman"/>
          <w:lang w:val="fr-CA"/>
        </w:rPr>
        <w:t xml:space="preserve"> » (1931), 25 </w:t>
      </w:r>
      <w:r w:rsidRPr="004826C0">
        <w:rPr>
          <w:rFonts w:cs="Times New Roman"/>
          <w:i/>
          <w:lang w:val="fr-CA"/>
        </w:rPr>
        <w:t xml:space="preserve">A.J.I.L. </w:t>
      </w:r>
      <w:r w:rsidRPr="004826C0">
        <w:rPr>
          <w:rFonts w:cs="Times New Roman"/>
          <w:lang w:val="fr-CA"/>
        </w:rPr>
        <w:t>694, p. 696</w:t>
      </w:r>
      <w:r w:rsidRPr="004826C0">
        <w:rPr>
          <w:rFonts w:cs="Times New Roman"/>
          <w:lang w:val="fr-CA"/>
        </w:rPr>
        <w:noBreakHyphen/>
        <w:t>699; J.</w:t>
      </w:r>
      <w:r>
        <w:rPr>
          <w:rFonts w:cs="Times New Roman"/>
          <w:lang w:val="fr-CA"/>
        </w:rPr>
        <w:t> </w:t>
      </w:r>
      <w:r w:rsidRPr="004826C0">
        <w:rPr>
          <w:rFonts w:cs="Times New Roman"/>
          <w:lang w:val="fr-CA"/>
        </w:rPr>
        <w:t xml:space="preserve">L. </w:t>
      </w:r>
      <w:proofErr w:type="spellStart"/>
      <w:r w:rsidRPr="004826C0">
        <w:rPr>
          <w:rFonts w:cs="Times New Roman"/>
          <w:lang w:val="fr-CA"/>
        </w:rPr>
        <w:t>Kunz</w:t>
      </w:r>
      <w:proofErr w:type="spellEnd"/>
      <w:r w:rsidRPr="004826C0">
        <w:rPr>
          <w:rFonts w:cs="Times New Roman"/>
          <w:lang w:val="fr-CA"/>
        </w:rPr>
        <w:t>, « </w:t>
      </w:r>
      <w:proofErr w:type="spellStart"/>
      <w:r w:rsidRPr="004826C0">
        <w:rPr>
          <w:rFonts w:cs="Times New Roman"/>
          <w:lang w:val="fr-CA"/>
        </w:rPr>
        <w:t>Privileges</w:t>
      </w:r>
      <w:proofErr w:type="spellEnd"/>
      <w:r w:rsidRPr="004826C0">
        <w:rPr>
          <w:rFonts w:cs="Times New Roman"/>
          <w:lang w:val="fr-CA"/>
        </w:rPr>
        <w:t xml:space="preserve"> and </w:t>
      </w:r>
      <w:proofErr w:type="spellStart"/>
      <w:r w:rsidRPr="004826C0">
        <w:rPr>
          <w:rFonts w:cs="Times New Roman"/>
          <w:lang w:val="fr-CA"/>
        </w:rPr>
        <w:t>Immunities</w:t>
      </w:r>
      <w:proofErr w:type="spellEnd"/>
      <w:r w:rsidRPr="004826C0">
        <w:rPr>
          <w:rFonts w:cs="Times New Roman"/>
          <w:lang w:val="fr-CA"/>
        </w:rPr>
        <w:t xml:space="preserve"> of International </w:t>
      </w:r>
      <w:proofErr w:type="spellStart"/>
      <w:r w:rsidRPr="004826C0">
        <w:rPr>
          <w:rFonts w:cs="Times New Roman"/>
          <w:lang w:val="fr-CA"/>
        </w:rPr>
        <w:t>Organizations</w:t>
      </w:r>
      <w:proofErr w:type="spellEnd"/>
      <w:r w:rsidRPr="004826C0">
        <w:rPr>
          <w:rFonts w:cs="Times New Roman"/>
          <w:lang w:val="fr-CA"/>
        </w:rPr>
        <w:t xml:space="preserve"> » (1947), 41 </w:t>
      </w:r>
      <w:r w:rsidRPr="004826C0">
        <w:rPr>
          <w:rFonts w:cs="Times New Roman"/>
          <w:i/>
          <w:lang w:val="fr-CA"/>
        </w:rPr>
        <w:t xml:space="preserve">A.J.I.L. </w:t>
      </w:r>
      <w:r w:rsidRPr="004826C0">
        <w:rPr>
          <w:rFonts w:cs="Times New Roman"/>
          <w:lang w:val="fr-CA"/>
        </w:rPr>
        <w:t>828, p. 828</w:t>
      </w:r>
      <w:r w:rsidRPr="004826C0">
        <w:rPr>
          <w:rFonts w:cs="Times New Roman"/>
          <w:lang w:val="fr-CA"/>
        </w:rPr>
        <w:noBreakHyphen/>
        <w:t>832)</w:t>
      </w:r>
      <w:r w:rsidRPr="004826C0">
        <w:rPr>
          <w:rFonts w:cs="Times New Roman"/>
          <w:szCs w:val="24"/>
          <w:lang w:val="fr-CA"/>
        </w:rPr>
        <w:t>.</w:t>
      </w:r>
      <w:r w:rsidRPr="004826C0">
        <w:rPr>
          <w:rFonts w:cs="Times New Roman"/>
          <w:lang w:val="fr-CA"/>
        </w:rPr>
        <w:t xml:space="preserve"> Un peu plus tard, le </w:t>
      </w:r>
      <w:r w:rsidRPr="004826C0">
        <w:rPr>
          <w:rFonts w:cs="Times New Roman"/>
          <w:i/>
          <w:lang w:val="fr-CA"/>
        </w:rPr>
        <w:t xml:space="preserve">Pacte de la Société des Nations </w:t>
      </w:r>
      <w:r w:rsidRPr="004826C0">
        <w:rPr>
          <w:rFonts w:cs="Times New Roman"/>
          <w:lang w:val="fr-CA"/>
        </w:rPr>
        <w:t xml:space="preserve">adopté en </w:t>
      </w:r>
      <w:r w:rsidRPr="004826C0">
        <w:rPr>
          <w:rFonts w:cs="Times New Roman"/>
          <w:szCs w:val="24"/>
          <w:lang w:val="fr-CA"/>
        </w:rPr>
        <w:t>1920 a prévu que les « bâtiments et terrains occupés par la Société, par ses services ou ses réunions, sont inviolables » (</w:t>
      </w:r>
      <w:r w:rsidRPr="004826C0">
        <w:rPr>
          <w:rFonts w:cs="Times New Roman"/>
          <w:lang w:val="fr-CA"/>
        </w:rPr>
        <w:t xml:space="preserve">art. 7, (1920), 1 </w:t>
      </w:r>
      <w:r w:rsidRPr="004826C0">
        <w:rPr>
          <w:rFonts w:cs="Times New Roman"/>
          <w:i/>
          <w:lang w:val="fr-CA"/>
        </w:rPr>
        <w:t xml:space="preserve">Société des Nations J.O. </w:t>
      </w:r>
      <w:r w:rsidRPr="004826C0">
        <w:rPr>
          <w:rFonts w:cs="Times New Roman"/>
          <w:lang w:val="fr-CA"/>
        </w:rPr>
        <w:t>3, p. 5)</w:t>
      </w:r>
      <w:r w:rsidRPr="004826C0">
        <w:rPr>
          <w:rFonts w:cs="Times New Roman"/>
          <w:szCs w:val="24"/>
          <w:lang w:val="fr-CA"/>
        </w:rPr>
        <w:t>. Une convention intervenue en 1926 entre la Société des Nations et la Suisse disposait que le terme « inviolable » signifiait que « nul agent de l</w:t>
      </w:r>
      <w:r>
        <w:rPr>
          <w:rFonts w:cs="Times New Roman"/>
          <w:szCs w:val="24"/>
          <w:lang w:val="fr-CA"/>
        </w:rPr>
        <w:t>’</w:t>
      </w:r>
      <w:r w:rsidRPr="004826C0">
        <w:rPr>
          <w:rFonts w:cs="Times New Roman"/>
          <w:szCs w:val="24"/>
          <w:lang w:val="fr-CA"/>
        </w:rPr>
        <w:t>autorité publique ne doit y pénétrer » sans</w:t>
      </w:r>
      <w:r w:rsidR="00335F3B">
        <w:rPr>
          <w:rFonts w:cs="Times New Roman"/>
          <w:szCs w:val="24"/>
          <w:lang w:val="fr-CA"/>
        </w:rPr>
        <w:t xml:space="preserve"> le consentement de la Société (</w:t>
      </w:r>
      <w:r w:rsidRPr="004826C0">
        <w:rPr>
          <w:rFonts w:cs="Times New Roman"/>
          <w:szCs w:val="24"/>
          <w:lang w:val="fr-CA"/>
        </w:rPr>
        <w:t>« </w:t>
      </w:r>
      <w:r w:rsidRPr="004826C0">
        <w:rPr>
          <w:rFonts w:cs="Times New Roman"/>
          <w:lang w:val="fr-CA"/>
        </w:rPr>
        <w:t>Com</w:t>
      </w:r>
      <w:r w:rsidR="00335F3B">
        <w:rPr>
          <w:rFonts w:cs="Times New Roman"/>
          <w:lang w:val="fr-CA"/>
        </w:rPr>
        <w:t>munications du Conseil fédéral s</w:t>
      </w:r>
      <w:r w:rsidRPr="004826C0">
        <w:rPr>
          <w:rFonts w:cs="Times New Roman"/>
          <w:lang w:val="fr-CA"/>
        </w:rPr>
        <w:t>uisse concernant le régime des immunités diplomatiques du personnel de la Société des Nations et du Bureau international du Travail »</w:t>
      </w:r>
      <w:r w:rsidRPr="004826C0">
        <w:rPr>
          <w:rFonts w:cs="Times New Roman"/>
          <w:i/>
          <w:lang w:val="fr-CA"/>
        </w:rPr>
        <w:t xml:space="preserve"> </w:t>
      </w:r>
      <w:r w:rsidRPr="004826C0">
        <w:rPr>
          <w:rFonts w:cs="Times New Roman"/>
          <w:lang w:val="fr-CA"/>
        </w:rPr>
        <w:t xml:space="preserve">(1926), 7 </w:t>
      </w:r>
      <w:r w:rsidRPr="004826C0">
        <w:rPr>
          <w:rFonts w:cs="Times New Roman"/>
          <w:i/>
          <w:lang w:val="fr-CA"/>
        </w:rPr>
        <w:t>Société des Nations J.O.</w:t>
      </w:r>
      <w:r w:rsidRPr="004826C0">
        <w:rPr>
          <w:rFonts w:cs="Times New Roman"/>
          <w:lang w:val="fr-CA"/>
        </w:rPr>
        <w:t xml:space="preserve"> 1422, p. 1423</w:t>
      </w:r>
      <w:r w:rsidR="00335F3B">
        <w:rPr>
          <w:rFonts w:cs="Times New Roman"/>
          <w:lang w:val="fr-CA"/>
        </w:rPr>
        <w:t>)</w:t>
      </w:r>
      <w:r w:rsidRPr="004826C0">
        <w:rPr>
          <w:rFonts w:cs="Times New Roman"/>
          <w:szCs w:val="24"/>
          <w:lang w:val="fr-CA"/>
        </w:rPr>
        <w:t>.</w:t>
      </w:r>
      <w:r w:rsidRPr="004826C0">
        <w:rPr>
          <w:rFonts w:cs="Times New Roman"/>
          <w:lang w:val="fr-CA"/>
        </w:rPr>
        <w:t xml:space="preserve"> En outre, la convention prévoit, pour la première fois, que les </w:t>
      </w:r>
      <w:r w:rsidRPr="004826C0">
        <w:rPr>
          <w:rFonts w:cs="Times New Roman"/>
          <w:szCs w:val="24"/>
          <w:lang w:val="fr-CA"/>
        </w:rPr>
        <w:t>« archives de la Société des Nations sont inviolables » (</w:t>
      </w:r>
      <w:r w:rsidRPr="004826C0">
        <w:rPr>
          <w:rFonts w:cs="Times New Roman"/>
          <w:i/>
          <w:szCs w:val="24"/>
          <w:lang w:val="fr-CA"/>
        </w:rPr>
        <w:t>ibid</w:t>
      </w:r>
      <w:r w:rsidRPr="00A31BDE">
        <w:rPr>
          <w:rFonts w:cs="Times New Roman"/>
          <w:i/>
          <w:szCs w:val="24"/>
          <w:lang w:val="fr-CA"/>
        </w:rPr>
        <w:t>.</w:t>
      </w:r>
      <w:r w:rsidRPr="004826C0">
        <w:rPr>
          <w:rFonts w:cs="Times New Roman"/>
          <w:szCs w:val="24"/>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Cette formulation a été reprise dans l</w:t>
      </w:r>
      <w:r>
        <w:rPr>
          <w:rFonts w:cs="Times New Roman"/>
          <w:lang w:val="fr-CA"/>
        </w:rPr>
        <w:t>’</w:t>
      </w:r>
      <w:r w:rsidRPr="004826C0">
        <w:rPr>
          <w:rFonts w:cs="Times New Roman"/>
          <w:lang w:val="fr-CA"/>
        </w:rPr>
        <w:t>Accord relatif à la BIRD. Depuis, son emploi est devenu d</w:t>
      </w:r>
      <w:r>
        <w:rPr>
          <w:rFonts w:cs="Times New Roman"/>
          <w:lang w:val="fr-CA"/>
        </w:rPr>
        <w:t>’</w:t>
      </w:r>
      <w:r w:rsidRPr="004826C0">
        <w:rPr>
          <w:rFonts w:cs="Times New Roman"/>
          <w:lang w:val="fr-CA"/>
        </w:rPr>
        <w:t>usage dans les statuts de bon nombre d</w:t>
      </w:r>
      <w:r>
        <w:rPr>
          <w:rFonts w:cs="Times New Roman"/>
          <w:lang w:val="fr-CA"/>
        </w:rPr>
        <w:t>’</w:t>
      </w:r>
      <w:r w:rsidRPr="004826C0">
        <w:rPr>
          <w:rFonts w:cs="Times New Roman"/>
          <w:lang w:val="fr-CA"/>
        </w:rPr>
        <w:t xml:space="preserve">organisations internationales (voir p. ex. </w:t>
      </w:r>
      <w:r w:rsidRPr="004826C0">
        <w:rPr>
          <w:rFonts w:cs="Times New Roman"/>
          <w:i/>
          <w:szCs w:val="24"/>
          <w:lang w:val="fr-CA"/>
        </w:rPr>
        <w:t>Convention sur les privilèges et immunités des Nations Unies</w:t>
      </w:r>
      <w:r w:rsidRPr="004826C0">
        <w:rPr>
          <w:rFonts w:cs="Times New Roman"/>
          <w:lang w:val="fr-CA"/>
        </w:rPr>
        <w:t>, R.T. Can. 1948 n</w:t>
      </w:r>
      <w:r w:rsidRPr="004826C0">
        <w:rPr>
          <w:rFonts w:cs="Times New Roman"/>
          <w:vertAlign w:val="superscript"/>
          <w:lang w:val="fr-CA"/>
        </w:rPr>
        <w:t>o</w:t>
      </w:r>
      <w:r w:rsidR="00A31BDE">
        <w:rPr>
          <w:rFonts w:cs="Times New Roman"/>
          <w:lang w:val="fr-CA"/>
        </w:rPr>
        <w:t> 2, article II, s</w:t>
      </w:r>
      <w:r w:rsidRPr="004826C0">
        <w:rPr>
          <w:rFonts w:cs="Times New Roman"/>
          <w:lang w:val="fr-CA"/>
        </w:rPr>
        <w:t xml:space="preserve">. 4; </w:t>
      </w:r>
      <w:r w:rsidRPr="004826C0">
        <w:rPr>
          <w:rFonts w:cs="Times New Roman"/>
          <w:i/>
          <w:lang w:val="fr-CA"/>
        </w:rPr>
        <w:t>Convention de Vienne sur les relations diplomatiques</w:t>
      </w:r>
      <w:r w:rsidRPr="004826C0">
        <w:rPr>
          <w:rFonts w:cs="Times New Roman"/>
          <w:lang w:val="fr-CA"/>
        </w:rPr>
        <w:t>, art. 24). Bien que ce terme ait été appliqué dans divers contextes — à savoir personnes, lieux et archives —, l</w:t>
      </w:r>
      <w:r>
        <w:rPr>
          <w:rFonts w:cs="Times New Roman"/>
          <w:lang w:val="fr-CA"/>
        </w:rPr>
        <w:t>’</w:t>
      </w:r>
      <w:r w:rsidRPr="004826C0">
        <w:rPr>
          <w:rFonts w:cs="Times New Roman"/>
          <w:lang w:val="fr-CA"/>
        </w:rPr>
        <w:t>histoire démontre qu</w:t>
      </w:r>
      <w:r>
        <w:rPr>
          <w:rFonts w:cs="Times New Roman"/>
          <w:lang w:val="fr-CA"/>
        </w:rPr>
        <w:t>’</w:t>
      </w:r>
      <w:r w:rsidRPr="004826C0">
        <w:rPr>
          <w:rFonts w:cs="Times New Roman"/>
          <w:lang w:val="fr-CA"/>
        </w:rPr>
        <w:t>il traduit couramment l</w:t>
      </w:r>
      <w:r>
        <w:rPr>
          <w:rFonts w:cs="Times New Roman"/>
          <w:lang w:val="fr-CA"/>
        </w:rPr>
        <w:t>’</w:t>
      </w:r>
      <w:r w:rsidRPr="004826C0">
        <w:rPr>
          <w:rFonts w:cs="Times New Roman"/>
          <w:lang w:val="fr-CA"/>
        </w:rPr>
        <w:t>idée d</w:t>
      </w:r>
      <w:r>
        <w:rPr>
          <w:rFonts w:cs="Times New Roman"/>
          <w:lang w:val="fr-CA"/>
        </w:rPr>
        <w:t>’</w:t>
      </w:r>
      <w:r w:rsidRPr="004826C0">
        <w:rPr>
          <w:rFonts w:cs="Times New Roman"/>
          <w:lang w:val="fr-CA"/>
        </w:rPr>
        <w:t>une absence générale d</w:t>
      </w:r>
      <w:r>
        <w:rPr>
          <w:rFonts w:cs="Times New Roman"/>
          <w:lang w:val="fr-CA"/>
        </w:rPr>
        <w:t>’</w:t>
      </w:r>
      <w:r w:rsidRPr="004826C0">
        <w:rPr>
          <w:rFonts w:cs="Times New Roman"/>
          <w:lang w:val="fr-CA"/>
        </w:rPr>
        <w:t>ingérence unilatérale de la part d</w:t>
      </w:r>
      <w:r>
        <w:rPr>
          <w:rFonts w:cs="Times New Roman"/>
          <w:lang w:val="fr-CA"/>
        </w:rPr>
        <w:t>’</w:t>
      </w:r>
      <w:r w:rsidRPr="004826C0">
        <w:rPr>
          <w:rFonts w:cs="Times New Roman"/>
          <w:lang w:val="fr-CA"/>
        </w:rPr>
        <w:t xml:space="preserve">un État.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Cette large interprétation est également soutenue par la doctrine en droit international, doctrine suivant laquelle l</w:t>
      </w:r>
      <w:r>
        <w:rPr>
          <w:rFonts w:cs="Times New Roman"/>
          <w:lang w:val="fr-CA"/>
        </w:rPr>
        <w:t>’</w:t>
      </w:r>
      <w:r w:rsidRPr="004826C0">
        <w:rPr>
          <w:rFonts w:cs="Times New Roman"/>
          <w:lang w:val="fr-CA"/>
        </w:rPr>
        <w:t>inviolabilité des archives offre une protection complète contre les enquêtes, les confiscations et les ingérences de toute nature visant les documents faisant partie des archives d</w:t>
      </w:r>
      <w:r>
        <w:rPr>
          <w:rFonts w:cs="Times New Roman"/>
          <w:lang w:val="fr-CA"/>
        </w:rPr>
        <w:t>’</w:t>
      </w:r>
      <w:r w:rsidRPr="004826C0">
        <w:rPr>
          <w:rFonts w:cs="Times New Roman"/>
          <w:lang w:val="fr-CA"/>
        </w:rPr>
        <w:t xml:space="preserve">une organisation internationale (A. S. Muller, </w:t>
      </w:r>
      <w:r w:rsidRPr="004826C0">
        <w:rPr>
          <w:rFonts w:cs="Times New Roman"/>
          <w:i/>
          <w:lang w:val="fr-CA"/>
        </w:rPr>
        <w:t xml:space="preserve">International </w:t>
      </w:r>
      <w:proofErr w:type="spellStart"/>
      <w:r w:rsidRPr="004826C0">
        <w:rPr>
          <w:rFonts w:cs="Times New Roman"/>
          <w:i/>
          <w:lang w:val="fr-CA"/>
        </w:rPr>
        <w:t>Organizations</w:t>
      </w:r>
      <w:proofErr w:type="spellEnd"/>
      <w:r w:rsidRPr="004826C0">
        <w:rPr>
          <w:rFonts w:cs="Times New Roman"/>
          <w:i/>
          <w:lang w:val="fr-CA"/>
        </w:rPr>
        <w:t xml:space="preserve"> and </w:t>
      </w:r>
      <w:proofErr w:type="spellStart"/>
      <w:r w:rsidRPr="004826C0">
        <w:rPr>
          <w:rFonts w:cs="Times New Roman"/>
          <w:i/>
          <w:lang w:val="fr-CA"/>
        </w:rPr>
        <w:t>their</w:t>
      </w:r>
      <w:proofErr w:type="spellEnd"/>
      <w:r w:rsidRPr="004826C0">
        <w:rPr>
          <w:rFonts w:cs="Times New Roman"/>
          <w:i/>
          <w:lang w:val="fr-CA"/>
        </w:rPr>
        <w:t xml:space="preserve"> Host States</w:t>
      </w:r>
      <w:r w:rsidR="00A31BDE">
        <w:rPr>
          <w:rFonts w:cs="Times New Roman"/>
          <w:i/>
          <w:lang w:val="fr-CA"/>
        </w:rPr>
        <w:t xml:space="preserve"> </w:t>
      </w:r>
      <w:r w:rsidRPr="004826C0">
        <w:rPr>
          <w:rFonts w:cs="Times New Roman"/>
          <w:i/>
          <w:lang w:val="fr-CA"/>
        </w:rPr>
        <w:t xml:space="preserve">: Aspects of </w:t>
      </w:r>
      <w:proofErr w:type="spellStart"/>
      <w:r w:rsidRPr="004826C0">
        <w:rPr>
          <w:rFonts w:cs="Times New Roman"/>
          <w:i/>
          <w:lang w:val="fr-CA"/>
        </w:rPr>
        <w:t>their</w:t>
      </w:r>
      <w:proofErr w:type="spellEnd"/>
      <w:r w:rsidRPr="004826C0">
        <w:rPr>
          <w:rFonts w:cs="Times New Roman"/>
          <w:i/>
          <w:lang w:val="fr-CA"/>
        </w:rPr>
        <w:t xml:space="preserve"> </w:t>
      </w:r>
      <w:proofErr w:type="spellStart"/>
      <w:r w:rsidRPr="004826C0">
        <w:rPr>
          <w:rFonts w:cs="Times New Roman"/>
          <w:i/>
          <w:lang w:val="fr-CA"/>
        </w:rPr>
        <w:t>Legal</w:t>
      </w:r>
      <w:proofErr w:type="spellEnd"/>
      <w:r w:rsidRPr="004826C0">
        <w:rPr>
          <w:rFonts w:cs="Times New Roman"/>
          <w:i/>
          <w:lang w:val="fr-CA"/>
        </w:rPr>
        <w:t xml:space="preserve"> Relationship</w:t>
      </w:r>
      <w:r w:rsidRPr="004826C0">
        <w:rPr>
          <w:rFonts w:cs="Times New Roman"/>
          <w:lang w:val="fr-CA"/>
        </w:rPr>
        <w:t xml:space="preserve"> (1995), p. 205; </w:t>
      </w:r>
      <w:r w:rsidRPr="004826C0">
        <w:rPr>
          <w:rFonts w:cs="Times New Roman"/>
          <w:szCs w:val="24"/>
          <w:lang w:val="fr-CA"/>
        </w:rPr>
        <w:t>Fox, p. 173 (« </w:t>
      </w:r>
      <w:proofErr w:type="spellStart"/>
      <w:r w:rsidRPr="004826C0">
        <w:rPr>
          <w:rFonts w:cs="Times New Roman"/>
          <w:i/>
          <w:szCs w:val="24"/>
          <w:lang w:val="fr-CA"/>
        </w:rPr>
        <w:t>inviolability</w:t>
      </w:r>
      <w:proofErr w:type="spellEnd"/>
      <w:r w:rsidRPr="004826C0">
        <w:rPr>
          <w:rFonts w:cs="Times New Roman"/>
          <w:szCs w:val="24"/>
          <w:lang w:val="fr-CA"/>
        </w:rPr>
        <w:t xml:space="preserve"> »); Morton, </w:t>
      </w:r>
      <w:r w:rsidRPr="004826C0">
        <w:rPr>
          <w:rFonts w:cs="Times New Roman"/>
          <w:lang w:val="fr-CA"/>
        </w:rPr>
        <w:t>p. 56</w:t>
      </w:r>
      <w:r w:rsidRPr="004826C0">
        <w:rPr>
          <w:rFonts w:cs="Times New Roman"/>
          <w:lang w:val="fr-CA"/>
        </w:rPr>
        <w:noBreakHyphen/>
        <w:t>57)</w:t>
      </w:r>
      <w:r w:rsidR="00A31BDE">
        <w:rPr>
          <w:rFonts w:cs="Times New Roman"/>
          <w:lang w:val="fr-CA"/>
        </w:rPr>
        <w:t>.</w:t>
      </w:r>
      <w:r w:rsidRPr="004826C0">
        <w:rPr>
          <w:rFonts w:cs="Times New Roman"/>
          <w:lang w:val="fr-CA"/>
        </w:rPr>
        <w:t xml:space="preserve"> Philippe </w:t>
      </w:r>
      <w:proofErr w:type="spellStart"/>
      <w:r w:rsidRPr="004826C0">
        <w:rPr>
          <w:rFonts w:cs="Times New Roman"/>
          <w:lang w:val="fr-CA"/>
        </w:rPr>
        <w:t>Sands</w:t>
      </w:r>
      <w:proofErr w:type="spellEnd"/>
      <w:r w:rsidRPr="004826C0">
        <w:rPr>
          <w:rFonts w:cs="Times New Roman"/>
          <w:lang w:val="fr-CA"/>
        </w:rPr>
        <w:t xml:space="preserve"> et Pierre Klein ont écrit qu</w:t>
      </w:r>
      <w:r>
        <w:rPr>
          <w:rFonts w:cs="Times New Roman"/>
          <w:lang w:val="fr-CA"/>
        </w:rPr>
        <w:t>’</w:t>
      </w:r>
      <w:r w:rsidRPr="004826C0">
        <w:rPr>
          <w:rFonts w:cs="Times New Roman"/>
          <w:lang w:val="fr-CA"/>
        </w:rPr>
        <w:t>en raison du principe d</w:t>
      </w:r>
      <w:r>
        <w:rPr>
          <w:rFonts w:cs="Times New Roman"/>
          <w:lang w:val="fr-CA"/>
        </w:rPr>
        <w:t>’</w:t>
      </w:r>
      <w:r w:rsidRPr="004826C0">
        <w:rPr>
          <w:rFonts w:cs="Times New Roman"/>
          <w:lang w:val="fr-CA"/>
        </w:rPr>
        <w:t>inviolabilité des archives, [</w:t>
      </w:r>
      <w:r w:rsidRPr="004826C0">
        <w:rPr>
          <w:rFonts w:cs="Times New Roman"/>
          <w:smallCaps/>
          <w:lang w:val="fr-CA"/>
        </w:rPr>
        <w:t>traduction</w:t>
      </w:r>
      <w:r w:rsidRPr="004826C0">
        <w:rPr>
          <w:rFonts w:cs="Times New Roman"/>
          <w:lang w:val="fr-CA"/>
        </w:rPr>
        <w:t>] « les organisations internationales n</w:t>
      </w:r>
      <w:r>
        <w:rPr>
          <w:rFonts w:cs="Times New Roman"/>
          <w:lang w:val="fr-CA"/>
        </w:rPr>
        <w:t>’</w:t>
      </w:r>
      <w:r w:rsidRPr="004826C0">
        <w:rPr>
          <w:rFonts w:cs="Times New Roman"/>
          <w:lang w:val="fr-CA"/>
        </w:rPr>
        <w:t>ont aucunement l</w:t>
      </w:r>
      <w:r>
        <w:rPr>
          <w:rFonts w:cs="Times New Roman"/>
          <w:lang w:val="fr-CA"/>
        </w:rPr>
        <w:t>’</w:t>
      </w:r>
      <w:r w:rsidRPr="004826C0">
        <w:rPr>
          <w:rFonts w:cs="Times New Roman"/>
          <w:lang w:val="fr-CA"/>
        </w:rPr>
        <w:t>obligation de communiquer des documents officiels ou une portion de leurs archives dans le cadre de litiges devant les tribunaux nationaux » (p. 502, citant C.</w:t>
      </w:r>
      <w:r w:rsidR="00A31BDE">
        <w:rPr>
          <w:rFonts w:cs="Times New Roman"/>
          <w:lang w:val="fr-CA"/>
        </w:rPr>
        <w:t> </w:t>
      </w:r>
      <w:r w:rsidRPr="004826C0">
        <w:rPr>
          <w:rFonts w:cs="Times New Roman"/>
          <w:lang w:val="fr-CA"/>
        </w:rPr>
        <w:t>W. </w:t>
      </w:r>
      <w:proofErr w:type="spellStart"/>
      <w:r w:rsidRPr="004826C0">
        <w:rPr>
          <w:rFonts w:cs="Times New Roman"/>
          <w:lang w:val="fr-CA"/>
        </w:rPr>
        <w:t>Jenks</w:t>
      </w:r>
      <w:proofErr w:type="spellEnd"/>
      <w:r w:rsidRPr="004826C0">
        <w:rPr>
          <w:rFonts w:cs="Times New Roman"/>
          <w:lang w:val="fr-CA"/>
        </w:rPr>
        <w:t xml:space="preserve">, </w:t>
      </w:r>
      <w:r w:rsidRPr="004826C0">
        <w:rPr>
          <w:rFonts w:cs="Times New Roman"/>
          <w:i/>
          <w:lang w:val="fr-CA"/>
        </w:rPr>
        <w:t xml:space="preserve">The </w:t>
      </w:r>
      <w:proofErr w:type="spellStart"/>
      <w:r w:rsidRPr="004826C0">
        <w:rPr>
          <w:rFonts w:cs="Times New Roman"/>
          <w:i/>
          <w:lang w:val="fr-CA"/>
        </w:rPr>
        <w:t>Proper</w:t>
      </w:r>
      <w:proofErr w:type="spellEnd"/>
      <w:r w:rsidRPr="004826C0">
        <w:rPr>
          <w:rFonts w:cs="Times New Roman"/>
          <w:i/>
          <w:lang w:val="fr-CA"/>
        </w:rPr>
        <w:t xml:space="preserve"> Law of International Organisations</w:t>
      </w:r>
      <w:r w:rsidRPr="004826C0">
        <w:rPr>
          <w:rFonts w:cs="Times New Roman"/>
          <w:lang w:val="fr-CA"/>
        </w:rPr>
        <w:t xml:space="preserve"> (1962), p. 234). Cette affirmation semble refléter le consensus exprimé par les auteurs en d</w:t>
      </w:r>
      <w:r w:rsidR="007778E8">
        <w:rPr>
          <w:rFonts w:cs="Times New Roman"/>
          <w:lang w:val="fr-CA"/>
        </w:rPr>
        <w:t>roit international (voir p. ex.</w:t>
      </w:r>
      <w:r w:rsidRPr="004826C0">
        <w:rPr>
          <w:rFonts w:cs="Times New Roman"/>
          <w:lang w:val="fr-CA"/>
        </w:rPr>
        <w:t xml:space="preserve"> </w:t>
      </w:r>
      <w:r w:rsidRPr="007778E8">
        <w:rPr>
          <w:rFonts w:cs="Times New Roman"/>
          <w:lang w:val="en-US"/>
        </w:rPr>
        <w:t xml:space="preserve">Jenks, </w:t>
      </w:r>
      <w:r w:rsidRPr="007778E8">
        <w:rPr>
          <w:rFonts w:cs="Times New Roman"/>
          <w:i/>
          <w:lang w:val="en-US"/>
        </w:rPr>
        <w:t>International Immunities</w:t>
      </w:r>
      <w:r w:rsidRPr="007778E8">
        <w:rPr>
          <w:rFonts w:cs="Times New Roman"/>
          <w:lang w:val="en-US"/>
        </w:rPr>
        <w:t xml:space="preserve">, p. 54; B. Sen, </w:t>
      </w:r>
      <w:r w:rsidRPr="007778E8">
        <w:rPr>
          <w:rFonts w:cs="Times New Roman"/>
          <w:i/>
          <w:lang w:val="en-US"/>
        </w:rPr>
        <w:t xml:space="preserve">A Diplomat’s Handbook of International Law and Practice </w:t>
      </w:r>
      <w:r w:rsidRPr="007778E8">
        <w:rPr>
          <w:rFonts w:cs="Times New Roman"/>
          <w:lang w:val="en-US"/>
        </w:rPr>
        <w:t>(3</w:t>
      </w:r>
      <w:r w:rsidRPr="007778E8">
        <w:rPr>
          <w:rFonts w:cs="Times New Roman"/>
          <w:vertAlign w:val="superscript"/>
          <w:lang w:val="en-US"/>
        </w:rPr>
        <w:t>e</w:t>
      </w:r>
      <w:r w:rsidRPr="007778E8">
        <w:rPr>
          <w:rFonts w:cs="Times New Roman"/>
          <w:lang w:val="en-US"/>
        </w:rPr>
        <w:t> </w:t>
      </w:r>
      <w:proofErr w:type="spellStart"/>
      <w:r w:rsidRPr="007778E8">
        <w:rPr>
          <w:rFonts w:cs="Times New Roman"/>
          <w:lang w:val="en-US"/>
        </w:rPr>
        <w:t>éd</w:t>
      </w:r>
      <w:proofErr w:type="spellEnd"/>
      <w:r w:rsidRPr="007778E8">
        <w:rPr>
          <w:rFonts w:cs="Times New Roman"/>
          <w:lang w:val="en-US"/>
        </w:rPr>
        <w:t xml:space="preserve">. </w:t>
      </w:r>
      <w:proofErr w:type="spellStart"/>
      <w:r w:rsidR="00A31BDE" w:rsidRPr="007778E8">
        <w:rPr>
          <w:rFonts w:cs="Times New Roman"/>
          <w:lang w:val="en-US"/>
        </w:rPr>
        <w:t>rév</w:t>
      </w:r>
      <w:proofErr w:type="spellEnd"/>
      <w:r w:rsidR="00A31BDE" w:rsidRPr="007778E8">
        <w:rPr>
          <w:rFonts w:cs="Times New Roman"/>
          <w:lang w:val="en-US"/>
        </w:rPr>
        <w:t xml:space="preserve">. </w:t>
      </w:r>
      <w:r w:rsidRPr="007778E8">
        <w:rPr>
          <w:rFonts w:cs="Times New Roman"/>
          <w:lang w:val="en-US"/>
        </w:rPr>
        <w:t>1980),</w:t>
      </w:r>
      <w:r w:rsidRPr="007778E8">
        <w:rPr>
          <w:rFonts w:cs="Times New Roman"/>
          <w:i/>
          <w:lang w:val="en-US"/>
        </w:rPr>
        <w:t xml:space="preserve"> </w:t>
      </w:r>
      <w:r w:rsidRPr="007778E8">
        <w:rPr>
          <w:rFonts w:cs="Times New Roman"/>
          <w:lang w:val="en-US"/>
        </w:rPr>
        <w:t>p. 117</w:t>
      </w:r>
      <w:r w:rsidRPr="007778E8">
        <w:rPr>
          <w:rFonts w:cs="Times New Roman"/>
          <w:lang w:val="en-US"/>
        </w:rPr>
        <w:noBreakHyphen/>
        <w:t xml:space="preserve">118; J. </w:t>
      </w:r>
      <w:proofErr w:type="spellStart"/>
      <w:r w:rsidRPr="007778E8">
        <w:rPr>
          <w:rFonts w:cs="Times New Roman"/>
          <w:lang w:val="en-US"/>
        </w:rPr>
        <w:t>Wouters</w:t>
      </w:r>
      <w:proofErr w:type="spellEnd"/>
      <w:r w:rsidRPr="007778E8">
        <w:rPr>
          <w:rFonts w:cs="Times New Roman"/>
          <w:lang w:val="en-US"/>
        </w:rPr>
        <w:t>, S. </w:t>
      </w:r>
      <w:proofErr w:type="spellStart"/>
      <w:r w:rsidRPr="007778E8">
        <w:rPr>
          <w:rFonts w:cs="Times New Roman"/>
          <w:lang w:val="en-US"/>
        </w:rPr>
        <w:t>Duquet</w:t>
      </w:r>
      <w:proofErr w:type="spellEnd"/>
      <w:r w:rsidRPr="007778E8">
        <w:rPr>
          <w:rFonts w:cs="Times New Roman"/>
          <w:lang w:val="en-US"/>
        </w:rPr>
        <w:t xml:space="preserve"> et K. </w:t>
      </w:r>
      <w:proofErr w:type="spellStart"/>
      <w:r w:rsidRPr="007778E8">
        <w:rPr>
          <w:rFonts w:cs="Times New Roman"/>
          <w:lang w:val="en-US"/>
        </w:rPr>
        <w:t>Meuwissen</w:t>
      </w:r>
      <w:proofErr w:type="spellEnd"/>
      <w:r w:rsidRPr="007778E8">
        <w:rPr>
          <w:rFonts w:cs="Times New Roman"/>
          <w:lang w:val="en-US"/>
        </w:rPr>
        <w:t xml:space="preserve">, « The Vienna Conventions on Diplomatic and Consular Relations », </w:t>
      </w:r>
      <w:proofErr w:type="spellStart"/>
      <w:r w:rsidRPr="007778E8">
        <w:rPr>
          <w:rFonts w:cs="Times New Roman"/>
          <w:lang w:val="en-US"/>
        </w:rPr>
        <w:t>dans</w:t>
      </w:r>
      <w:proofErr w:type="spellEnd"/>
      <w:r w:rsidRPr="007778E8">
        <w:rPr>
          <w:rFonts w:cs="Times New Roman"/>
          <w:lang w:val="en-US"/>
        </w:rPr>
        <w:t xml:space="preserve"> A. F. Cooper, J. Heine et R. Thakur, </w:t>
      </w:r>
      <w:proofErr w:type="gramStart"/>
      <w:r w:rsidRPr="007778E8">
        <w:rPr>
          <w:rFonts w:cs="Times New Roman"/>
          <w:lang w:val="en-US"/>
        </w:rPr>
        <w:t>dir.,</w:t>
      </w:r>
      <w:proofErr w:type="gramEnd"/>
      <w:r w:rsidRPr="007778E8">
        <w:rPr>
          <w:rFonts w:cs="Times New Roman"/>
          <w:lang w:val="en-US"/>
        </w:rPr>
        <w:t xml:space="preserve"> </w:t>
      </w:r>
      <w:r w:rsidRPr="007778E8">
        <w:rPr>
          <w:rFonts w:cs="Times New Roman"/>
          <w:i/>
          <w:lang w:val="en-US"/>
        </w:rPr>
        <w:t xml:space="preserve">The Oxford Handbook of Modern Diplomacy </w:t>
      </w:r>
      <w:r w:rsidRPr="007778E8">
        <w:rPr>
          <w:rFonts w:cs="Times New Roman"/>
          <w:lang w:val="en-US"/>
        </w:rPr>
        <w:t xml:space="preserve">(2013), 510, p. 523). </w:t>
      </w:r>
      <w:r w:rsidRPr="004826C0">
        <w:rPr>
          <w:rFonts w:cs="Times New Roman"/>
          <w:lang w:val="fr-CA"/>
        </w:rPr>
        <w:t>Le rapporteur spécial des Nations Unies était également d</w:t>
      </w:r>
      <w:r>
        <w:rPr>
          <w:rFonts w:cs="Times New Roman"/>
          <w:lang w:val="fr-CA"/>
        </w:rPr>
        <w:t>’</w:t>
      </w:r>
      <w:r w:rsidRPr="004826C0">
        <w:rPr>
          <w:rFonts w:cs="Times New Roman"/>
          <w:lang w:val="fr-CA"/>
        </w:rPr>
        <w:t>avis que la confidentialité absolue des archives d</w:t>
      </w:r>
      <w:r>
        <w:rPr>
          <w:rFonts w:cs="Times New Roman"/>
          <w:lang w:val="fr-CA"/>
        </w:rPr>
        <w:t>’</w:t>
      </w:r>
      <w:r w:rsidRPr="004826C0">
        <w:rPr>
          <w:rFonts w:cs="Times New Roman"/>
          <w:lang w:val="fr-CA"/>
        </w:rPr>
        <w:t>une organisation la protège contre toutes les ordonnances de communication de documents, quelles qu</w:t>
      </w:r>
      <w:r>
        <w:rPr>
          <w:rFonts w:cs="Times New Roman"/>
          <w:lang w:val="fr-CA"/>
        </w:rPr>
        <w:t>’</w:t>
      </w:r>
      <w:r w:rsidRPr="004826C0">
        <w:rPr>
          <w:rFonts w:cs="Times New Roman"/>
          <w:lang w:val="fr-CA"/>
        </w:rPr>
        <w:t>elles soient (</w:t>
      </w:r>
      <w:r w:rsidR="00C300E9">
        <w:rPr>
          <w:rFonts w:cs="Times New Roman"/>
          <w:lang w:val="fr-CA"/>
        </w:rPr>
        <w:t xml:space="preserve">L. </w:t>
      </w:r>
      <w:proofErr w:type="spellStart"/>
      <w:r w:rsidRPr="004826C0">
        <w:rPr>
          <w:rFonts w:cs="Times New Roman"/>
          <w:lang w:val="fr-CA"/>
        </w:rPr>
        <w:t>Díaz</w:t>
      </w:r>
      <w:proofErr w:type="spellEnd"/>
      <w:r w:rsidRPr="004826C0">
        <w:rPr>
          <w:rFonts w:cs="Times New Roman"/>
          <w:lang w:val="fr-CA"/>
        </w:rPr>
        <w:t xml:space="preserve"> Gonzále</w:t>
      </w:r>
      <w:r w:rsidR="005926FB">
        <w:rPr>
          <w:rFonts w:cs="Times New Roman"/>
          <w:lang w:val="fr-CA"/>
        </w:rPr>
        <w:t>z</w:t>
      </w:r>
      <w:r w:rsidRPr="004826C0">
        <w:rPr>
          <w:rFonts w:cs="Times New Roman"/>
          <w:lang w:val="fr-CA"/>
        </w:rPr>
        <w:t>, « Cinquième rapport sur les relations entre les États et les organisations internationales (deuxième partie du sujet) »</w:t>
      </w:r>
      <w:r w:rsidR="00C300E9">
        <w:rPr>
          <w:rFonts w:cs="Times New Roman"/>
          <w:lang w:val="fr-CA"/>
        </w:rPr>
        <w:t>,</w:t>
      </w:r>
      <w:r w:rsidRPr="004826C0">
        <w:rPr>
          <w:rFonts w:cs="Times New Roman"/>
          <w:i/>
          <w:lang w:val="fr-CA"/>
        </w:rPr>
        <w:t xml:space="preserve"> </w:t>
      </w:r>
      <w:r w:rsidRPr="004826C0">
        <w:rPr>
          <w:rFonts w:cs="Times New Roman"/>
          <w:lang w:val="fr-CA"/>
        </w:rPr>
        <w:t xml:space="preserve">Doc. N.U. A/CN.4/438, dans </w:t>
      </w:r>
      <w:r w:rsidRPr="004826C0">
        <w:rPr>
          <w:rFonts w:cs="Times New Roman"/>
          <w:i/>
          <w:lang w:val="fr-CA"/>
        </w:rPr>
        <w:t xml:space="preserve">Annuaire de la Commission du droit international 1991 </w:t>
      </w:r>
      <w:r w:rsidRPr="004826C0">
        <w:rPr>
          <w:rFonts w:cs="Times New Roman"/>
          <w:lang w:val="fr-CA"/>
        </w:rPr>
        <w:t>(1994), vol. </w:t>
      </w:r>
      <w:r w:rsidRPr="00C300E9">
        <w:rPr>
          <w:rFonts w:cs="Times New Roman"/>
          <w:lang w:val="fr-CA"/>
        </w:rPr>
        <w:t>II, première partie</w:t>
      </w:r>
      <w:r w:rsidR="00403030">
        <w:rPr>
          <w:rFonts w:cs="Times New Roman"/>
          <w:lang w:val="fr-CA"/>
        </w:rPr>
        <w:t>,</w:t>
      </w:r>
      <w:r w:rsidRPr="00C300E9">
        <w:rPr>
          <w:rFonts w:cs="Times New Roman"/>
          <w:lang w:val="fr-CA"/>
        </w:rPr>
        <w:t xml:space="preserve"> 9</w:t>
      </w:r>
      <w:r w:rsidR="005926FB">
        <w:rPr>
          <w:rFonts w:cs="Times New Roman"/>
          <w:lang w:val="fr-CA"/>
        </w:rPr>
        <w:t>3</w:t>
      </w:r>
      <w:r w:rsidRPr="00C300E9">
        <w:rPr>
          <w:rFonts w:cs="Times New Roman"/>
          <w:lang w:val="fr-CA"/>
        </w:rPr>
        <w:t xml:space="preserve">, </w:t>
      </w:r>
      <w:r w:rsidRPr="004826C0">
        <w:rPr>
          <w:rFonts w:cs="Times New Roman"/>
          <w:lang w:val="fr-CA"/>
        </w:rPr>
        <w:t>p. 9</w:t>
      </w:r>
      <w:r w:rsidR="005926FB">
        <w:rPr>
          <w:rFonts w:cs="Times New Roman"/>
          <w:lang w:val="fr-CA"/>
        </w:rPr>
        <w:t>6</w:t>
      </w:r>
      <w:r w:rsidRPr="004826C0">
        <w:rPr>
          <w:rFonts w:cs="Times New Roman"/>
          <w:lang w:val="fr-CA"/>
        </w:rPr>
        <w:noBreakHyphen/>
        <w:t>100).</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Il convient enfin de signaler que notre interprétation est également favorisée par plusieurs tribunaux étrangers. La Cour d</w:t>
      </w:r>
      <w:r>
        <w:rPr>
          <w:rFonts w:cs="Times New Roman"/>
          <w:lang w:val="fr-CA"/>
        </w:rPr>
        <w:t>’</w:t>
      </w:r>
      <w:r w:rsidRPr="004826C0">
        <w:rPr>
          <w:rFonts w:cs="Times New Roman"/>
          <w:lang w:val="fr-CA"/>
        </w:rPr>
        <w:t>appel d</w:t>
      </w:r>
      <w:r>
        <w:rPr>
          <w:rFonts w:cs="Times New Roman"/>
          <w:lang w:val="fr-CA"/>
        </w:rPr>
        <w:t>’</w:t>
      </w:r>
      <w:r w:rsidRPr="004826C0">
        <w:rPr>
          <w:rFonts w:cs="Times New Roman"/>
          <w:lang w:val="fr-CA"/>
        </w:rPr>
        <w:t>Angleterre et du Pays de Galles a récemment écrit que [</w:t>
      </w:r>
      <w:r w:rsidRPr="004826C0">
        <w:rPr>
          <w:rFonts w:cs="Times New Roman"/>
          <w:smallCaps/>
          <w:lang w:val="fr-CA"/>
        </w:rPr>
        <w:t>traduction</w:t>
      </w:r>
      <w:r w:rsidRPr="004826C0">
        <w:rPr>
          <w:rFonts w:cs="Times New Roman"/>
          <w:lang w:val="fr-CA"/>
        </w:rPr>
        <w:t>] « la définition universelle de l</w:t>
      </w:r>
      <w:r>
        <w:rPr>
          <w:rFonts w:cs="Times New Roman"/>
          <w:lang w:val="fr-CA"/>
        </w:rPr>
        <w:t>’</w:t>
      </w:r>
      <w:r w:rsidRPr="004826C0">
        <w:rPr>
          <w:rFonts w:cs="Times New Roman"/>
          <w:lang w:val="fr-CA"/>
        </w:rPr>
        <w:t>“inviolabilité” consiste en l</w:t>
      </w:r>
      <w:r>
        <w:rPr>
          <w:rFonts w:cs="Times New Roman"/>
          <w:lang w:val="fr-CA"/>
        </w:rPr>
        <w:t>’</w:t>
      </w:r>
      <w:r w:rsidRPr="004826C0">
        <w:rPr>
          <w:rFonts w:cs="Times New Roman"/>
          <w:lang w:val="fr-CA"/>
        </w:rPr>
        <w:t xml:space="preserve">absence de </w:t>
      </w:r>
      <w:r w:rsidRPr="004826C0">
        <w:rPr>
          <w:rFonts w:cs="Times New Roman"/>
          <w:u w:val="single"/>
          <w:lang w:val="fr-CA"/>
        </w:rPr>
        <w:t>tout acte d</w:t>
      </w:r>
      <w:r>
        <w:rPr>
          <w:rFonts w:cs="Times New Roman"/>
          <w:u w:val="single"/>
          <w:lang w:val="fr-CA"/>
        </w:rPr>
        <w:t>’</w:t>
      </w:r>
      <w:r w:rsidRPr="004826C0">
        <w:rPr>
          <w:rFonts w:cs="Times New Roman"/>
          <w:u w:val="single"/>
          <w:lang w:val="fr-CA"/>
        </w:rPr>
        <w:t>ingérence</w:t>
      </w:r>
      <w:r w:rsidRPr="004826C0">
        <w:rPr>
          <w:rFonts w:cs="Times New Roman"/>
          <w:lang w:val="fr-CA"/>
        </w:rPr>
        <w:t xml:space="preserve"> du pays d</w:t>
      </w:r>
      <w:r>
        <w:rPr>
          <w:rFonts w:cs="Times New Roman"/>
          <w:lang w:val="fr-CA"/>
        </w:rPr>
        <w:t>’</w:t>
      </w:r>
      <w:r w:rsidRPr="004826C0">
        <w:rPr>
          <w:rFonts w:cs="Times New Roman"/>
          <w:lang w:val="fr-CA"/>
        </w:rPr>
        <w:t>accueil » (</w:t>
      </w:r>
      <w:r w:rsidRPr="004826C0">
        <w:rPr>
          <w:rFonts w:cs="Times New Roman"/>
          <w:i/>
          <w:lang w:val="fr-CA"/>
        </w:rPr>
        <w:t>R.</w:t>
      </w:r>
      <w:r>
        <w:rPr>
          <w:rFonts w:cs="Times New Roman"/>
          <w:i/>
          <w:lang w:val="fr-CA"/>
        </w:rPr>
        <w:t> </w:t>
      </w:r>
      <w:r w:rsidRPr="004826C0">
        <w:rPr>
          <w:rFonts w:cs="Times New Roman"/>
          <w:i/>
          <w:lang w:val="fr-CA"/>
        </w:rPr>
        <w:t>(</w:t>
      </w:r>
      <w:proofErr w:type="spellStart"/>
      <w:r w:rsidRPr="004826C0">
        <w:rPr>
          <w:rFonts w:cs="Times New Roman"/>
          <w:i/>
          <w:lang w:val="fr-CA"/>
        </w:rPr>
        <w:t>Bancoult</w:t>
      </w:r>
      <w:proofErr w:type="spellEnd"/>
      <w:r w:rsidRPr="004826C0">
        <w:rPr>
          <w:rFonts w:cs="Times New Roman"/>
          <w:i/>
          <w:lang w:val="fr-CA"/>
        </w:rPr>
        <w:t xml:space="preserve">) c. </w:t>
      </w:r>
      <w:proofErr w:type="spellStart"/>
      <w:r w:rsidRPr="004826C0">
        <w:rPr>
          <w:rFonts w:cs="Times New Roman"/>
          <w:i/>
          <w:lang w:val="fr-CA"/>
        </w:rPr>
        <w:t>Secretary</w:t>
      </w:r>
      <w:proofErr w:type="spellEnd"/>
      <w:r w:rsidRPr="004826C0">
        <w:rPr>
          <w:rFonts w:cs="Times New Roman"/>
          <w:i/>
          <w:lang w:val="fr-CA"/>
        </w:rPr>
        <w:t xml:space="preserve"> of State for </w:t>
      </w:r>
      <w:proofErr w:type="spellStart"/>
      <w:r w:rsidRPr="004826C0">
        <w:rPr>
          <w:rFonts w:cs="Times New Roman"/>
          <w:i/>
          <w:lang w:val="fr-CA"/>
        </w:rPr>
        <w:t>Foreign</w:t>
      </w:r>
      <w:proofErr w:type="spellEnd"/>
      <w:r w:rsidRPr="004826C0">
        <w:rPr>
          <w:rFonts w:cs="Times New Roman"/>
          <w:i/>
          <w:lang w:val="fr-CA"/>
        </w:rPr>
        <w:t xml:space="preserve"> and Commo</w:t>
      </w:r>
      <w:r w:rsidR="00F06260">
        <w:rPr>
          <w:rFonts w:cs="Times New Roman"/>
          <w:i/>
          <w:lang w:val="fr-CA"/>
        </w:rPr>
        <w:t xml:space="preserve">nwealth </w:t>
      </w:r>
      <w:proofErr w:type="spellStart"/>
      <w:r w:rsidR="00F06260">
        <w:rPr>
          <w:rFonts w:cs="Times New Roman"/>
          <w:i/>
          <w:lang w:val="fr-CA"/>
        </w:rPr>
        <w:t>Affairs</w:t>
      </w:r>
      <w:proofErr w:type="spellEnd"/>
      <w:r w:rsidRPr="004826C0">
        <w:rPr>
          <w:rFonts w:cs="Times New Roman"/>
          <w:i/>
          <w:lang w:val="fr-CA"/>
        </w:rPr>
        <w:t xml:space="preserve"> (No. 3)</w:t>
      </w:r>
      <w:r w:rsidRPr="004826C0">
        <w:rPr>
          <w:rFonts w:cs="Times New Roman"/>
          <w:lang w:val="fr-CA"/>
        </w:rPr>
        <w:t xml:space="preserve">, [2014] EWCA </w:t>
      </w:r>
      <w:proofErr w:type="spellStart"/>
      <w:r w:rsidRPr="004826C0">
        <w:rPr>
          <w:rFonts w:cs="Times New Roman"/>
          <w:lang w:val="fr-CA"/>
        </w:rPr>
        <w:t>Civ</w:t>
      </w:r>
      <w:proofErr w:type="spellEnd"/>
      <w:r w:rsidRPr="004826C0">
        <w:rPr>
          <w:rFonts w:cs="Times New Roman"/>
          <w:lang w:val="fr-CA"/>
        </w:rPr>
        <w:t xml:space="preserve"> 708, [2014] 1 W.L.R. 2921, par. 61 (nous soulignons)</w:t>
      </w:r>
      <w:r w:rsidR="00F06260">
        <w:rPr>
          <w:rFonts w:cs="Times New Roman"/>
          <w:lang w:val="fr-CA"/>
        </w:rPr>
        <w:t>)</w:t>
      </w:r>
      <w:r w:rsidRPr="004826C0">
        <w:rPr>
          <w:rFonts w:cs="Times New Roman"/>
          <w:lang w:val="fr-CA"/>
        </w:rPr>
        <w:t>. Qui plus est, plusieurs tribunaux étrangers semblent tenir précisément pour acquis que l</w:t>
      </w:r>
      <w:r>
        <w:rPr>
          <w:rFonts w:cs="Times New Roman"/>
          <w:lang w:val="fr-CA"/>
        </w:rPr>
        <w:t>’</w:t>
      </w:r>
      <w:r w:rsidRPr="004826C0">
        <w:rPr>
          <w:rFonts w:cs="Times New Roman"/>
          <w:lang w:val="fr-CA"/>
        </w:rPr>
        <w:t>inviolabilité des archives protège les organisations internationales contre les ordonnances de communication de documents (</w:t>
      </w:r>
      <w:r w:rsidRPr="004826C0">
        <w:rPr>
          <w:rFonts w:cs="Times New Roman"/>
          <w:i/>
          <w:lang w:val="fr-CA"/>
        </w:rPr>
        <w:t xml:space="preserve">Taiwan c. United States District Court for the </w:t>
      </w:r>
      <w:proofErr w:type="spellStart"/>
      <w:r w:rsidRPr="004826C0">
        <w:rPr>
          <w:rFonts w:cs="Times New Roman"/>
          <w:i/>
          <w:lang w:val="fr-CA"/>
        </w:rPr>
        <w:t>Northern</w:t>
      </w:r>
      <w:proofErr w:type="spellEnd"/>
      <w:r w:rsidRPr="004826C0">
        <w:rPr>
          <w:rFonts w:cs="Times New Roman"/>
          <w:i/>
          <w:lang w:val="fr-CA"/>
        </w:rPr>
        <w:t xml:space="preserve"> District of </w:t>
      </w:r>
      <w:proofErr w:type="spellStart"/>
      <w:r w:rsidRPr="004826C0">
        <w:rPr>
          <w:rFonts w:cs="Times New Roman"/>
          <w:i/>
          <w:lang w:val="fr-CA"/>
        </w:rPr>
        <w:t>California</w:t>
      </w:r>
      <w:proofErr w:type="spellEnd"/>
      <w:r w:rsidRPr="004826C0">
        <w:rPr>
          <w:rFonts w:cs="Times New Roman"/>
          <w:lang w:val="fr-CA"/>
        </w:rPr>
        <w:t>, 128 F.3d 712 (9</w:t>
      </w:r>
      <w:r w:rsidR="00F06260">
        <w:rPr>
          <w:rFonts w:cs="Times New Roman"/>
          <w:lang w:val="fr-CA"/>
        </w:rPr>
        <w:t>th </w:t>
      </w:r>
      <w:proofErr w:type="spellStart"/>
      <w:r w:rsidR="00F06260">
        <w:rPr>
          <w:rFonts w:cs="Times New Roman"/>
          <w:lang w:val="fr-CA"/>
        </w:rPr>
        <w:t>C</w:t>
      </w:r>
      <w:r w:rsidRPr="004826C0">
        <w:rPr>
          <w:rFonts w:cs="Times New Roman"/>
          <w:lang w:val="fr-CA"/>
        </w:rPr>
        <w:t>ir</w:t>
      </w:r>
      <w:proofErr w:type="spellEnd"/>
      <w:r w:rsidRPr="004826C0">
        <w:rPr>
          <w:rFonts w:cs="Times New Roman"/>
          <w:lang w:val="fr-CA"/>
        </w:rPr>
        <w:t xml:space="preserve">. 1997); </w:t>
      </w:r>
      <w:r w:rsidRPr="004826C0">
        <w:rPr>
          <w:rFonts w:cs="Times New Roman"/>
          <w:i/>
          <w:lang w:val="fr-CA"/>
        </w:rPr>
        <w:t xml:space="preserve">Iraq c. Vinci Constructions </w:t>
      </w:r>
      <w:r w:rsidRPr="004826C0">
        <w:rPr>
          <w:rFonts w:cs="Times New Roman"/>
          <w:lang w:val="fr-CA"/>
        </w:rPr>
        <w:t xml:space="preserve">(2002), 127 I.L.R. 101 (C.A. Bruxelles); </w:t>
      </w:r>
      <w:r w:rsidRPr="004826C0">
        <w:rPr>
          <w:rFonts w:cs="Times New Roman"/>
          <w:i/>
          <w:lang w:val="fr-CA"/>
        </w:rPr>
        <w:t xml:space="preserve">Owens, </w:t>
      </w:r>
      <w:proofErr w:type="spellStart"/>
      <w:r w:rsidRPr="004826C0">
        <w:rPr>
          <w:rFonts w:cs="Times New Roman"/>
          <w:i/>
          <w:lang w:val="fr-CA"/>
        </w:rPr>
        <w:t>Re</w:t>
      </w:r>
      <w:proofErr w:type="spellEnd"/>
      <w:r w:rsidRPr="004826C0">
        <w:rPr>
          <w:rFonts w:cs="Times New Roman"/>
          <w:i/>
          <w:lang w:val="fr-CA"/>
        </w:rPr>
        <w:t xml:space="preserve"> Application for </w:t>
      </w:r>
      <w:proofErr w:type="spellStart"/>
      <w:r w:rsidRPr="004826C0">
        <w:rPr>
          <w:rFonts w:cs="Times New Roman"/>
          <w:i/>
          <w:lang w:val="fr-CA"/>
        </w:rPr>
        <w:t>Judicial</w:t>
      </w:r>
      <w:proofErr w:type="spellEnd"/>
      <w:r w:rsidRPr="004826C0">
        <w:rPr>
          <w:rFonts w:cs="Times New Roman"/>
          <w:i/>
          <w:lang w:val="fr-CA"/>
        </w:rPr>
        <w:t xml:space="preserve"> </w:t>
      </w:r>
      <w:proofErr w:type="spellStart"/>
      <w:r w:rsidRPr="004826C0">
        <w:rPr>
          <w:rFonts w:cs="Times New Roman"/>
          <w:i/>
          <w:lang w:val="fr-CA"/>
        </w:rPr>
        <w:t>Review</w:t>
      </w:r>
      <w:proofErr w:type="spellEnd"/>
      <w:r w:rsidRPr="004826C0">
        <w:rPr>
          <w:rFonts w:cs="Times New Roman"/>
          <w:lang w:val="fr-CA"/>
        </w:rPr>
        <w:t>, [2015] NIQB 29, par. </w:t>
      </w:r>
      <w:r>
        <w:rPr>
          <w:rFonts w:cs="Times New Roman"/>
          <w:lang w:val="fr-CA"/>
        </w:rPr>
        <w:t xml:space="preserve">63 et </w:t>
      </w:r>
      <w:r w:rsidRPr="004826C0">
        <w:rPr>
          <w:rFonts w:cs="Times New Roman"/>
          <w:lang w:val="fr-CA"/>
        </w:rPr>
        <w:t xml:space="preserve">69 (BAILII)).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Pour ces motifs, nous sommes d</w:t>
      </w:r>
      <w:r>
        <w:rPr>
          <w:rFonts w:cs="Times New Roman"/>
          <w:lang w:val="fr-CA"/>
        </w:rPr>
        <w:t>’</w:t>
      </w:r>
      <w:r w:rsidRPr="004826C0">
        <w:rPr>
          <w:rFonts w:cs="Times New Roman"/>
          <w:lang w:val="fr-CA"/>
        </w:rPr>
        <w:t>avis que la section 5 protège tous les documents de l</w:t>
      </w:r>
      <w:r>
        <w:rPr>
          <w:rFonts w:cs="Times New Roman"/>
          <w:lang w:val="fr-CA"/>
        </w:rPr>
        <w:t>’</w:t>
      </w:r>
      <w:r w:rsidRPr="004826C0">
        <w:rPr>
          <w:rFonts w:cs="Times New Roman"/>
          <w:lang w:val="fr-CA"/>
        </w:rPr>
        <w:t xml:space="preserve">INT contre les fouilles, les perquisitions, les saisies et la communication forcée.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Nous sommes aussi d</w:t>
      </w:r>
      <w:r>
        <w:rPr>
          <w:rFonts w:cs="Times New Roman"/>
          <w:lang w:val="fr-CA"/>
        </w:rPr>
        <w:t>’</w:t>
      </w:r>
      <w:r w:rsidRPr="004826C0">
        <w:rPr>
          <w:rFonts w:cs="Times New Roman"/>
          <w:lang w:val="fr-CA"/>
        </w:rPr>
        <w:t>avis qu</w:t>
      </w:r>
      <w:r>
        <w:rPr>
          <w:rFonts w:cs="Times New Roman"/>
          <w:lang w:val="fr-CA"/>
        </w:rPr>
        <w:t>’</w:t>
      </w:r>
      <w:r w:rsidRPr="004826C0">
        <w:rPr>
          <w:rFonts w:cs="Times New Roman"/>
          <w:lang w:val="fr-CA"/>
        </w:rPr>
        <w:t>en communiquant certains documents volontairement, le Groupe n</w:t>
      </w:r>
      <w:r>
        <w:rPr>
          <w:rFonts w:cs="Times New Roman"/>
          <w:lang w:val="fr-CA"/>
        </w:rPr>
        <w:t>’</w:t>
      </w:r>
      <w:r w:rsidRPr="004826C0">
        <w:rPr>
          <w:rFonts w:cs="Times New Roman"/>
          <w:lang w:val="fr-CA"/>
        </w:rPr>
        <w:t>a pas levé cette immunité. En effet, selon notre interprétation, l</w:t>
      </w:r>
      <w:r>
        <w:rPr>
          <w:rFonts w:cs="Times New Roman"/>
          <w:lang w:val="fr-CA"/>
        </w:rPr>
        <w:t>’</w:t>
      </w:r>
      <w:r w:rsidRPr="004826C0">
        <w:rPr>
          <w:rFonts w:cs="Times New Roman"/>
          <w:lang w:val="fr-CA"/>
        </w:rPr>
        <w:t xml:space="preserve">inviolabilité des archives ne peut être levée.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Nous avons déjà conclu que l</w:t>
      </w:r>
      <w:r>
        <w:rPr>
          <w:rFonts w:cs="Times New Roman"/>
          <w:lang w:val="fr-CA"/>
        </w:rPr>
        <w:t>’</w:t>
      </w:r>
      <w:r w:rsidRPr="004826C0">
        <w:rPr>
          <w:rFonts w:cs="Times New Roman"/>
          <w:lang w:val="fr-CA"/>
        </w:rPr>
        <w:t>inviolabilité des archives emporte une protection contre toute forme d</w:t>
      </w:r>
      <w:r>
        <w:rPr>
          <w:rFonts w:cs="Times New Roman"/>
          <w:lang w:val="fr-CA"/>
        </w:rPr>
        <w:t>’</w:t>
      </w:r>
      <w:r w:rsidRPr="004826C0">
        <w:rPr>
          <w:rFonts w:cs="Times New Roman"/>
          <w:lang w:val="fr-CA"/>
        </w:rPr>
        <w:t>ingérence unilatérale visant les archives de l</w:t>
      </w:r>
      <w:r>
        <w:rPr>
          <w:rFonts w:cs="Times New Roman"/>
          <w:lang w:val="fr-CA"/>
        </w:rPr>
        <w:t>’</w:t>
      </w:r>
      <w:r w:rsidRPr="004826C0">
        <w:rPr>
          <w:rFonts w:cs="Times New Roman"/>
          <w:lang w:val="fr-CA"/>
        </w:rPr>
        <w:t>INT. En conséquence, lorsque le Groupe autorise expressément la consultation de documents conservés dans ses archives, le caractère sacré de ces archives est respecté. Autrement dit, lorsque la consultation est expressément autorisée, la section 5 ne s</w:t>
      </w:r>
      <w:r>
        <w:rPr>
          <w:rFonts w:cs="Times New Roman"/>
          <w:lang w:val="fr-CA"/>
        </w:rPr>
        <w:t>’</w:t>
      </w:r>
      <w:r w:rsidRPr="004826C0">
        <w:rPr>
          <w:rFonts w:cs="Times New Roman"/>
          <w:lang w:val="fr-CA"/>
        </w:rPr>
        <w:t>applique tout simplement pas. Une telle interprétation permet vraisemblablement d</w:t>
      </w:r>
      <w:r>
        <w:rPr>
          <w:rFonts w:cs="Times New Roman"/>
          <w:lang w:val="fr-CA"/>
        </w:rPr>
        <w:t>’</w:t>
      </w:r>
      <w:r w:rsidRPr="004826C0">
        <w:rPr>
          <w:rFonts w:cs="Times New Roman"/>
          <w:lang w:val="fr-CA"/>
        </w:rPr>
        <w:t>expliquer pourquoi la section 5, contrairement à la section 8 qui définit l</w:t>
      </w:r>
      <w:r>
        <w:rPr>
          <w:rFonts w:cs="Times New Roman"/>
          <w:lang w:val="fr-CA"/>
        </w:rPr>
        <w:t>’</w:t>
      </w:r>
      <w:r w:rsidRPr="004826C0">
        <w:rPr>
          <w:rFonts w:cs="Times New Roman"/>
          <w:lang w:val="fr-CA"/>
        </w:rPr>
        <w:t>immunité applicable aux membres du personnel, ne prévoit pas la possibilité de renonciation à l</w:t>
      </w:r>
      <w:r>
        <w:rPr>
          <w:rFonts w:cs="Times New Roman"/>
          <w:lang w:val="fr-CA"/>
        </w:rPr>
        <w:t>’</w:t>
      </w:r>
      <w:r w:rsidRPr="004826C0">
        <w:rPr>
          <w:rFonts w:cs="Times New Roman"/>
          <w:lang w:val="fr-CA"/>
        </w:rPr>
        <w:t>immunité. En outre, le document qui a été reproduit et transmis à un tiers ne fait désormais plus partie des « archives » telles que nous les avons définies. Par conséquent, la section 5 ne protège plus l</w:t>
      </w:r>
      <w:r>
        <w:rPr>
          <w:rFonts w:cs="Times New Roman"/>
          <w:lang w:val="fr-CA"/>
        </w:rPr>
        <w:t>’</w:t>
      </w:r>
      <w:r w:rsidRPr="004826C0">
        <w:rPr>
          <w:rFonts w:cs="Times New Roman"/>
          <w:lang w:val="fr-CA"/>
        </w:rPr>
        <w:t>exemplaire transmis. La Chambre des lords est arrivée à une conclusion semblable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Shearson</w:t>
      </w:r>
      <w:proofErr w:type="spellEnd"/>
      <w:r w:rsidRPr="004826C0">
        <w:rPr>
          <w:rFonts w:cs="Times New Roman"/>
          <w:i/>
          <w:lang w:val="fr-CA"/>
        </w:rPr>
        <w:t xml:space="preserve"> </w:t>
      </w:r>
      <w:proofErr w:type="spellStart"/>
      <w:r w:rsidRPr="004826C0">
        <w:rPr>
          <w:rFonts w:cs="Times New Roman"/>
          <w:i/>
          <w:lang w:val="fr-CA"/>
        </w:rPr>
        <w:t>Lehman</w:t>
      </w:r>
      <w:proofErr w:type="spellEnd"/>
      <w:r w:rsidRPr="004826C0">
        <w:rPr>
          <w:rFonts w:cs="Times New Roman"/>
          <w:i/>
          <w:lang w:val="fr-CA"/>
        </w:rPr>
        <w:t xml:space="preserve"> </w:t>
      </w:r>
      <w:proofErr w:type="spellStart"/>
      <w:r w:rsidRPr="004826C0">
        <w:rPr>
          <w:rFonts w:cs="Times New Roman"/>
          <w:i/>
          <w:lang w:val="fr-CA"/>
        </w:rPr>
        <w:t>Bros</w:t>
      </w:r>
      <w:proofErr w:type="spellEnd"/>
      <w:r w:rsidR="00C50B7B">
        <w:rPr>
          <w:rFonts w:cs="Times New Roman"/>
          <w:i/>
          <w:lang w:val="fr-CA"/>
        </w:rPr>
        <w:t>.</w:t>
      </w:r>
      <w:r w:rsidRPr="004826C0">
        <w:rPr>
          <w:rFonts w:cs="Times New Roman"/>
          <w:i/>
          <w:lang w:val="fr-CA"/>
        </w:rPr>
        <w:t xml:space="preserve"> Inc</w:t>
      </w:r>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Comme aucun représentant autorisé de la BIRD ou de l</w:t>
      </w:r>
      <w:r>
        <w:rPr>
          <w:rFonts w:cs="Times New Roman"/>
          <w:lang w:val="fr-CA"/>
        </w:rPr>
        <w:t>’</w:t>
      </w:r>
      <w:r w:rsidRPr="004826C0">
        <w:rPr>
          <w:rFonts w:cs="Times New Roman"/>
          <w:lang w:val="fr-CA"/>
        </w:rPr>
        <w:t>IDA n</w:t>
      </w:r>
      <w:r>
        <w:rPr>
          <w:rFonts w:cs="Times New Roman"/>
          <w:lang w:val="fr-CA"/>
        </w:rPr>
        <w:t>’</w:t>
      </w:r>
      <w:r w:rsidRPr="004826C0">
        <w:rPr>
          <w:rFonts w:cs="Times New Roman"/>
          <w:lang w:val="fr-CA"/>
        </w:rPr>
        <w:t>a jamais accepté de permettre à des fonctionnaires canadiens de consulter les documents visés par l</w:t>
      </w:r>
      <w:r>
        <w:rPr>
          <w:rFonts w:cs="Times New Roman"/>
          <w:lang w:val="fr-CA"/>
        </w:rPr>
        <w:t>’</w:t>
      </w:r>
      <w:r w:rsidRPr="004826C0">
        <w:rPr>
          <w:rFonts w:cs="Times New Roman"/>
          <w:lang w:val="fr-CA"/>
        </w:rPr>
        <w:t>ordonnance de communication, la section 5 s</w:t>
      </w:r>
      <w:r>
        <w:rPr>
          <w:rFonts w:cs="Times New Roman"/>
          <w:lang w:val="fr-CA"/>
        </w:rPr>
        <w:t>’</w:t>
      </w:r>
      <w:r w:rsidRPr="004826C0">
        <w:rPr>
          <w:rFonts w:cs="Times New Roman"/>
          <w:lang w:val="fr-CA"/>
        </w:rPr>
        <w:t xml:space="preserve">applique. </w:t>
      </w:r>
    </w:p>
    <w:p w:rsidR="002405E3" w:rsidRPr="004826C0" w:rsidRDefault="002405E3" w:rsidP="003C0B54">
      <w:pPr>
        <w:pStyle w:val="Title3LevelTitre3Niveau"/>
        <w:widowControl w:val="0"/>
        <w:ind w:left="1144"/>
        <w:rPr>
          <w:rFonts w:cs="Times New Roman"/>
          <w:lang w:val="fr-CA"/>
        </w:rPr>
      </w:pPr>
      <w:r w:rsidRPr="004826C0">
        <w:rPr>
          <w:rFonts w:cs="Times New Roman"/>
          <w:lang w:val="fr-CA"/>
        </w:rPr>
        <w:t>Immunité du personnel de la BIRD et de l</w:t>
      </w:r>
      <w:r>
        <w:rPr>
          <w:rFonts w:cs="Times New Roman"/>
          <w:lang w:val="fr-CA"/>
        </w:rPr>
        <w:t>’</w:t>
      </w:r>
      <w:r w:rsidRPr="004826C0">
        <w:rPr>
          <w:rFonts w:cs="Times New Roman"/>
          <w:lang w:val="fr-CA"/>
        </w:rPr>
        <w:t>IDA à l</w:t>
      </w:r>
      <w:r>
        <w:rPr>
          <w:rFonts w:cs="Times New Roman"/>
          <w:lang w:val="fr-CA"/>
        </w:rPr>
        <w:t>’</w:t>
      </w:r>
      <w:r w:rsidRPr="004826C0">
        <w:rPr>
          <w:rFonts w:cs="Times New Roman"/>
          <w:lang w:val="fr-CA"/>
        </w:rPr>
        <w:t xml:space="preserve">égard du processus judiciaire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Si le présent pourvoi concerne principalement une ordonnance de communication, les assignations contestées contraignaient également MM. </w:t>
      </w:r>
      <w:proofErr w:type="spellStart"/>
      <w:r w:rsidRPr="004826C0">
        <w:rPr>
          <w:rFonts w:cs="Times New Roman"/>
          <w:lang w:val="fr-CA"/>
        </w:rPr>
        <w:t>Haynes</w:t>
      </w:r>
      <w:proofErr w:type="spellEnd"/>
      <w:r w:rsidRPr="004826C0">
        <w:rPr>
          <w:rFonts w:cs="Times New Roman"/>
          <w:lang w:val="fr-CA"/>
        </w:rPr>
        <w:t xml:space="preserve"> et Kim à témoigner. Nous examinerons donc l</w:t>
      </w:r>
      <w:r>
        <w:rPr>
          <w:rFonts w:cs="Times New Roman"/>
          <w:lang w:val="fr-CA"/>
        </w:rPr>
        <w:t>’</w:t>
      </w:r>
      <w:r w:rsidRPr="004826C0">
        <w:rPr>
          <w:rFonts w:cs="Times New Roman"/>
          <w:lang w:val="fr-CA"/>
        </w:rPr>
        <w:t>immunité qui protège les dirigeants et les employés à l</w:t>
      </w:r>
      <w:r>
        <w:rPr>
          <w:rFonts w:cs="Times New Roman"/>
          <w:lang w:val="fr-CA"/>
        </w:rPr>
        <w:t>’</w:t>
      </w:r>
      <w:r w:rsidRPr="004826C0">
        <w:rPr>
          <w:rFonts w:cs="Times New Roman"/>
          <w:lang w:val="fr-CA"/>
        </w:rPr>
        <w:t xml:space="preserve">égard du processus judiciaire.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La section 8 prévoit que « [t]</w:t>
      </w:r>
      <w:proofErr w:type="spellStart"/>
      <w:r w:rsidRPr="004826C0">
        <w:rPr>
          <w:rFonts w:cs="Times New Roman"/>
          <w:lang w:val="fr-CA"/>
        </w:rPr>
        <w:t>ous</w:t>
      </w:r>
      <w:proofErr w:type="spellEnd"/>
      <w:r w:rsidRPr="004826C0">
        <w:rPr>
          <w:rFonts w:cs="Times New Roman"/>
          <w:lang w:val="fr-CA"/>
        </w:rPr>
        <w:t xml:space="preserve"> les gouverneurs, administrateurs, suppléants, fonctionnaires et employés de la [BIRD] </w:t>
      </w:r>
      <w:r w:rsidRPr="004826C0">
        <w:rPr>
          <w:rFonts w:cs="Times New Roman"/>
          <w:b/>
          <w:lang w:val="fr-CA"/>
        </w:rPr>
        <w:t>i)</w:t>
      </w:r>
      <w:r w:rsidRPr="004826C0">
        <w:rPr>
          <w:rFonts w:cs="Times New Roman"/>
          <w:lang w:val="fr-CA"/>
        </w:rPr>
        <w:t xml:space="preserve"> ne pourront faire l</w:t>
      </w:r>
      <w:r>
        <w:rPr>
          <w:rFonts w:cs="Times New Roman"/>
          <w:lang w:val="fr-CA"/>
        </w:rPr>
        <w:t>’</w:t>
      </w:r>
      <w:r w:rsidRPr="004826C0">
        <w:rPr>
          <w:rFonts w:cs="Times New Roman"/>
          <w:lang w:val="fr-CA"/>
        </w:rPr>
        <w:t>objet de poursuites à raison des actes accomplis par eux dans l</w:t>
      </w:r>
      <w:r>
        <w:rPr>
          <w:rFonts w:cs="Times New Roman"/>
          <w:lang w:val="fr-CA"/>
        </w:rPr>
        <w:t>’</w:t>
      </w:r>
      <w:r w:rsidRPr="004826C0">
        <w:rPr>
          <w:rFonts w:cs="Times New Roman"/>
          <w:lang w:val="fr-CA"/>
        </w:rPr>
        <w:t>exercice de leurs fonctions, sauf lorsque la [BIRD] aura levé cette immunité » (le libellé des Statuts de l</w:t>
      </w:r>
      <w:r>
        <w:rPr>
          <w:rFonts w:cs="Times New Roman"/>
          <w:lang w:val="fr-CA"/>
        </w:rPr>
        <w:t>’</w:t>
      </w:r>
      <w:r w:rsidRPr="004826C0">
        <w:rPr>
          <w:rFonts w:cs="Times New Roman"/>
          <w:lang w:val="fr-CA"/>
        </w:rPr>
        <w:t xml:space="preserve">IDA, sans être identique, est équivalent).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Il est incontesté que MM. </w:t>
      </w:r>
      <w:proofErr w:type="spellStart"/>
      <w:r w:rsidRPr="004826C0">
        <w:rPr>
          <w:rFonts w:cs="Times New Roman"/>
          <w:lang w:val="fr-CA"/>
        </w:rPr>
        <w:t>Haynes</w:t>
      </w:r>
      <w:proofErr w:type="spellEnd"/>
      <w:r w:rsidRPr="004826C0">
        <w:rPr>
          <w:rFonts w:cs="Times New Roman"/>
          <w:lang w:val="fr-CA"/>
        </w:rPr>
        <w:t xml:space="preserve"> et Kim accomplissaient des actes dans l</w:t>
      </w:r>
      <w:r>
        <w:rPr>
          <w:rFonts w:cs="Times New Roman"/>
          <w:lang w:val="fr-CA"/>
        </w:rPr>
        <w:t>’</w:t>
      </w:r>
      <w:r w:rsidRPr="004826C0">
        <w:rPr>
          <w:rFonts w:cs="Times New Roman"/>
          <w:lang w:val="fr-CA"/>
        </w:rPr>
        <w:t>exercice de leurs fonctions lorsqu</w:t>
      </w:r>
      <w:r>
        <w:rPr>
          <w:rFonts w:cs="Times New Roman"/>
          <w:lang w:val="fr-CA"/>
        </w:rPr>
        <w:t>’</w:t>
      </w:r>
      <w:r w:rsidRPr="004826C0">
        <w:rPr>
          <w:rFonts w:cs="Times New Roman"/>
          <w:lang w:val="fr-CA"/>
        </w:rPr>
        <w:t>ils ont obtenu les renseignements sollicités par les intimés. Il n</w:t>
      </w:r>
      <w:r>
        <w:rPr>
          <w:rFonts w:cs="Times New Roman"/>
          <w:lang w:val="fr-CA"/>
        </w:rPr>
        <w:t>’</w:t>
      </w:r>
      <w:r w:rsidRPr="004826C0">
        <w:rPr>
          <w:rFonts w:cs="Times New Roman"/>
          <w:lang w:val="fr-CA"/>
        </w:rPr>
        <w:t>est pas contesté non plus que l</w:t>
      </w:r>
      <w:r>
        <w:rPr>
          <w:rFonts w:cs="Times New Roman"/>
          <w:lang w:val="fr-CA"/>
        </w:rPr>
        <w:t>’</w:t>
      </w:r>
      <w:r w:rsidRPr="004826C0">
        <w:rPr>
          <w:rFonts w:cs="Times New Roman"/>
          <w:lang w:val="fr-CA"/>
        </w:rPr>
        <w:t>immunité contre les poursuites prévue à la section 8 protège les employés à raison des actes accomplis par eux dans l</w:t>
      </w:r>
      <w:r>
        <w:rPr>
          <w:rFonts w:cs="Times New Roman"/>
          <w:lang w:val="fr-CA"/>
        </w:rPr>
        <w:t>’</w:t>
      </w:r>
      <w:r w:rsidRPr="004826C0">
        <w:rPr>
          <w:rFonts w:cs="Times New Roman"/>
          <w:lang w:val="fr-CA"/>
        </w:rPr>
        <w:t>exercice de leurs fonctions, non seulement contre les poursuites civiles et pénales, mais aussi contre les sommations judiciaires, telles les assignations à comparaître. Après tout, l</w:t>
      </w:r>
      <w:r>
        <w:rPr>
          <w:rFonts w:cs="Times New Roman"/>
          <w:lang w:val="fr-CA"/>
        </w:rPr>
        <w:t>’</w:t>
      </w:r>
      <w:r w:rsidRPr="004826C0">
        <w:rPr>
          <w:rFonts w:cs="Times New Roman"/>
          <w:lang w:val="fr-CA"/>
        </w:rPr>
        <w:t>employé qui ne se conformerait pas à une ordonnance de communication serait déclaré coupable d</w:t>
      </w:r>
      <w:r>
        <w:rPr>
          <w:rFonts w:cs="Times New Roman"/>
          <w:lang w:val="fr-CA"/>
        </w:rPr>
        <w:t>’</w:t>
      </w:r>
      <w:r w:rsidRPr="004826C0">
        <w:rPr>
          <w:rFonts w:cs="Times New Roman"/>
          <w:lang w:val="fr-CA"/>
        </w:rPr>
        <w:t>outrage au tribunal. De plus, pour les motifs exposés précédemment, l</w:t>
      </w:r>
      <w:r>
        <w:rPr>
          <w:rFonts w:cs="Times New Roman"/>
          <w:lang w:val="fr-CA"/>
        </w:rPr>
        <w:t>’</w:t>
      </w:r>
      <w:r w:rsidRPr="004826C0">
        <w:rPr>
          <w:rFonts w:cs="Times New Roman"/>
          <w:lang w:val="fr-CA"/>
        </w:rPr>
        <w:t>application de cette immunité n</w:t>
      </w:r>
      <w:r>
        <w:rPr>
          <w:rFonts w:cs="Times New Roman"/>
          <w:lang w:val="fr-CA"/>
        </w:rPr>
        <w:t>’</w:t>
      </w:r>
      <w:r w:rsidRPr="004826C0">
        <w:rPr>
          <w:rFonts w:cs="Times New Roman"/>
          <w:lang w:val="fr-CA"/>
        </w:rPr>
        <w:t>est pas subordonnée à la détermination ponctuelle de l</w:t>
      </w:r>
      <w:r>
        <w:rPr>
          <w:rFonts w:cs="Times New Roman"/>
          <w:lang w:val="fr-CA"/>
        </w:rPr>
        <w:t>’</w:t>
      </w:r>
      <w:r w:rsidRPr="004826C0">
        <w:rPr>
          <w:rFonts w:cs="Times New Roman"/>
          <w:lang w:val="fr-CA"/>
        </w:rPr>
        <w:t>existence d</w:t>
      </w:r>
      <w:r>
        <w:rPr>
          <w:rFonts w:cs="Times New Roman"/>
          <w:lang w:val="fr-CA"/>
        </w:rPr>
        <w:t>’</w:t>
      </w:r>
      <w:r w:rsidRPr="004826C0">
        <w:rPr>
          <w:rFonts w:cs="Times New Roman"/>
          <w:lang w:val="fr-CA"/>
        </w:rPr>
        <w:t>une nécessité fonctionnelle. Par conséquent, l</w:t>
      </w:r>
      <w:r>
        <w:rPr>
          <w:rFonts w:cs="Times New Roman"/>
          <w:lang w:val="fr-CA"/>
        </w:rPr>
        <w:t>’</w:t>
      </w:r>
      <w:r w:rsidRPr="004826C0">
        <w:rPr>
          <w:rFonts w:cs="Times New Roman"/>
          <w:lang w:val="fr-CA"/>
        </w:rPr>
        <w:t>immunité définie à la section 8 s</w:t>
      </w:r>
      <w:r>
        <w:rPr>
          <w:rFonts w:cs="Times New Roman"/>
          <w:lang w:val="fr-CA"/>
        </w:rPr>
        <w:t>’</w:t>
      </w:r>
      <w:r w:rsidRPr="004826C0">
        <w:rPr>
          <w:rFonts w:cs="Times New Roman"/>
          <w:lang w:val="fr-CA"/>
        </w:rPr>
        <w:t>applique, à moins qu</w:t>
      </w:r>
      <w:r>
        <w:rPr>
          <w:rFonts w:cs="Times New Roman"/>
          <w:lang w:val="fr-CA"/>
        </w:rPr>
        <w:t>’</w:t>
      </w:r>
      <w:r w:rsidRPr="004826C0">
        <w:rPr>
          <w:rFonts w:cs="Times New Roman"/>
          <w:lang w:val="fr-CA"/>
        </w:rPr>
        <w:t>il n</w:t>
      </w:r>
      <w:r>
        <w:rPr>
          <w:rFonts w:cs="Times New Roman"/>
          <w:lang w:val="fr-CA"/>
        </w:rPr>
        <w:t>’</w:t>
      </w:r>
      <w:r w:rsidRPr="004826C0">
        <w:rPr>
          <w:rFonts w:cs="Times New Roman"/>
          <w:lang w:val="fr-CA"/>
        </w:rPr>
        <w:t xml:space="preserve">y ait eu renonciation. </w:t>
      </w:r>
    </w:p>
    <w:p w:rsidR="002405E3" w:rsidRPr="004826C0" w:rsidRDefault="002405E3" w:rsidP="003C0B54">
      <w:pPr>
        <w:pStyle w:val="Title3LevelTitre3Niveau"/>
        <w:widowControl w:val="0"/>
        <w:ind w:left="1144"/>
        <w:rPr>
          <w:rFonts w:cs="Times New Roman"/>
          <w:lang w:val="fr-CA"/>
        </w:rPr>
      </w:pPr>
      <w:r w:rsidRPr="004826C0">
        <w:rPr>
          <w:rFonts w:cs="Times New Roman"/>
          <w:lang w:val="fr-CA"/>
        </w:rPr>
        <w:t xml:space="preserve">Y </w:t>
      </w:r>
      <w:proofErr w:type="spellStart"/>
      <w:r w:rsidRPr="004826C0">
        <w:rPr>
          <w:rFonts w:cs="Times New Roman"/>
          <w:lang w:val="fr-CA"/>
        </w:rPr>
        <w:t>a</w:t>
      </w:r>
      <w:r w:rsidRPr="004826C0">
        <w:rPr>
          <w:rFonts w:cs="Times New Roman"/>
          <w:lang w:val="fr-CA"/>
        </w:rPr>
        <w:noBreakHyphen/>
        <w:t>t</w:t>
      </w:r>
      <w:r w:rsidRPr="004826C0">
        <w:rPr>
          <w:rFonts w:cs="Times New Roman"/>
          <w:lang w:val="fr-CA"/>
        </w:rPr>
        <w:noBreakHyphen/>
        <w:t>il</w:t>
      </w:r>
      <w:proofErr w:type="spellEnd"/>
      <w:r w:rsidRPr="004826C0">
        <w:rPr>
          <w:rFonts w:cs="Times New Roman"/>
          <w:lang w:val="fr-CA"/>
        </w:rPr>
        <w:t xml:space="preserve"> eu renonciation aux immunités?</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Les intimés soutiennent qu</w:t>
      </w:r>
      <w:r>
        <w:rPr>
          <w:rFonts w:cs="Times New Roman"/>
          <w:lang w:val="fr-CA"/>
        </w:rPr>
        <w:t>’</w:t>
      </w:r>
      <w:r w:rsidRPr="004826C0">
        <w:rPr>
          <w:rFonts w:cs="Times New Roman"/>
          <w:lang w:val="fr-CA"/>
        </w:rPr>
        <w:t>il y a eu renonciation à l</w:t>
      </w:r>
      <w:r>
        <w:rPr>
          <w:rFonts w:cs="Times New Roman"/>
          <w:lang w:val="fr-CA"/>
        </w:rPr>
        <w:t>’</w:t>
      </w:r>
      <w:r w:rsidRPr="004826C0">
        <w:rPr>
          <w:rFonts w:cs="Times New Roman"/>
          <w:lang w:val="fr-CA"/>
        </w:rPr>
        <w:t>inviolabilité des archives et à l</w:t>
      </w:r>
      <w:r>
        <w:rPr>
          <w:rFonts w:cs="Times New Roman"/>
          <w:lang w:val="fr-CA"/>
        </w:rPr>
        <w:t>’</w:t>
      </w:r>
      <w:r w:rsidRPr="004826C0">
        <w:rPr>
          <w:rFonts w:cs="Times New Roman"/>
          <w:lang w:val="fr-CA"/>
        </w:rPr>
        <w:t>immunité du personnel par le Groupe, vu la quantité importante de renseignements que ce dernier a communiqués à la GRC et son intérêt dans les résultats de l</w:t>
      </w:r>
      <w:r>
        <w:rPr>
          <w:rFonts w:cs="Times New Roman"/>
          <w:lang w:val="fr-CA"/>
        </w:rPr>
        <w:t>’</w:t>
      </w:r>
      <w:r w:rsidRPr="004826C0">
        <w:rPr>
          <w:rFonts w:cs="Times New Roman"/>
          <w:lang w:val="fr-CA"/>
        </w:rPr>
        <w:t>enquête menée par elle. Comme nous l</w:t>
      </w:r>
      <w:r>
        <w:rPr>
          <w:rFonts w:cs="Times New Roman"/>
          <w:lang w:val="fr-CA"/>
        </w:rPr>
        <w:t>’</w:t>
      </w:r>
      <w:r w:rsidRPr="004826C0">
        <w:rPr>
          <w:rFonts w:cs="Times New Roman"/>
          <w:lang w:val="fr-CA"/>
        </w:rPr>
        <w:t>avons dit, il ne peut y avoir renonciation à l</w:t>
      </w:r>
      <w:r>
        <w:rPr>
          <w:rFonts w:cs="Times New Roman"/>
          <w:lang w:val="fr-CA"/>
        </w:rPr>
        <w:t>’</w:t>
      </w:r>
      <w:r w:rsidRPr="004826C0">
        <w:rPr>
          <w:rFonts w:cs="Times New Roman"/>
          <w:lang w:val="fr-CA"/>
        </w:rPr>
        <w:t>inviolabilité des archives, ni expressément, ni implicitement, ni par interprétation. En ce qui a trait à l</w:t>
      </w:r>
      <w:r>
        <w:rPr>
          <w:rFonts w:cs="Times New Roman"/>
          <w:lang w:val="fr-CA"/>
        </w:rPr>
        <w:t>’</w:t>
      </w:r>
      <w:r w:rsidRPr="004826C0">
        <w:rPr>
          <w:rFonts w:cs="Times New Roman"/>
          <w:lang w:val="fr-CA"/>
        </w:rPr>
        <w:t>immunité du personnel, nous ne partageons pas l</w:t>
      </w:r>
      <w:r>
        <w:rPr>
          <w:rFonts w:cs="Times New Roman"/>
          <w:lang w:val="fr-CA"/>
        </w:rPr>
        <w:t>’</w:t>
      </w:r>
      <w:r w:rsidRPr="004826C0">
        <w:rPr>
          <w:rFonts w:cs="Times New Roman"/>
          <w:lang w:val="fr-CA"/>
        </w:rPr>
        <w:t xml:space="preserve">avis des intimés pour les motifs qui suivent.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La seule mention du verbe « lever » dans l</w:t>
      </w:r>
      <w:r>
        <w:rPr>
          <w:rFonts w:cs="Times New Roman"/>
          <w:lang w:val="fr-CA"/>
        </w:rPr>
        <w:t>’</w:t>
      </w:r>
      <w:r w:rsidRPr="004826C0">
        <w:rPr>
          <w:rFonts w:cs="Times New Roman"/>
          <w:lang w:val="fr-CA"/>
        </w:rPr>
        <w:t>article VII ou dans l</w:t>
      </w:r>
      <w:r>
        <w:rPr>
          <w:rFonts w:cs="Times New Roman"/>
          <w:lang w:val="fr-CA"/>
        </w:rPr>
        <w:t>’</w:t>
      </w:r>
      <w:r w:rsidRPr="004826C0">
        <w:rPr>
          <w:rFonts w:cs="Times New Roman"/>
          <w:lang w:val="fr-CA"/>
        </w:rPr>
        <w:t>article VIII se trouve à la section 8, laquelle accorde une immunité contre les poursuites au personnel de la BIRD ou de l</w:t>
      </w:r>
      <w:r>
        <w:rPr>
          <w:rFonts w:cs="Times New Roman"/>
          <w:lang w:val="fr-CA"/>
        </w:rPr>
        <w:t>’</w:t>
      </w:r>
      <w:r w:rsidRPr="004826C0">
        <w:rPr>
          <w:rFonts w:cs="Times New Roman"/>
          <w:lang w:val="fr-CA"/>
        </w:rPr>
        <w:t>IDA « sauf lorsque [la BIRD ou l</w:t>
      </w:r>
      <w:r>
        <w:rPr>
          <w:rFonts w:cs="Times New Roman"/>
          <w:lang w:val="fr-CA"/>
        </w:rPr>
        <w:t>’</w:t>
      </w:r>
      <w:r w:rsidRPr="004826C0">
        <w:rPr>
          <w:rFonts w:cs="Times New Roman"/>
          <w:lang w:val="fr-CA"/>
        </w:rPr>
        <w:t>IDA] aura levé cette immunité ». Ce verbe n</w:t>
      </w:r>
      <w:r>
        <w:rPr>
          <w:rFonts w:cs="Times New Roman"/>
          <w:lang w:val="fr-CA"/>
        </w:rPr>
        <w:t>’</w:t>
      </w:r>
      <w:r w:rsidRPr="004826C0">
        <w:rPr>
          <w:rFonts w:cs="Times New Roman"/>
          <w:lang w:val="fr-CA"/>
        </w:rPr>
        <w:t>est assorti d</w:t>
      </w:r>
      <w:r>
        <w:rPr>
          <w:rFonts w:cs="Times New Roman"/>
          <w:lang w:val="fr-CA"/>
        </w:rPr>
        <w:t>’</w:t>
      </w:r>
      <w:r w:rsidRPr="004826C0">
        <w:rPr>
          <w:rFonts w:cs="Times New Roman"/>
          <w:lang w:val="fr-CA"/>
        </w:rPr>
        <w:t>aucune condition; il est donc possible de se demander si seules les renonciations expresses sont reconnues ou si les renonciations implicites ou par interprétation peuvent l</w:t>
      </w:r>
      <w:r>
        <w:rPr>
          <w:rFonts w:cs="Times New Roman"/>
          <w:lang w:val="fr-CA"/>
        </w:rPr>
        <w:t>’</w:t>
      </w:r>
      <w:r w:rsidRPr="004826C0">
        <w:rPr>
          <w:rFonts w:cs="Times New Roman"/>
          <w:lang w:val="fr-CA"/>
        </w:rPr>
        <w:t xml:space="preserve">être également.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À notre avis, l</w:t>
      </w:r>
      <w:r>
        <w:rPr>
          <w:rFonts w:cs="Times New Roman"/>
          <w:lang w:val="fr-CA"/>
        </w:rPr>
        <w:t>’</w:t>
      </w:r>
      <w:r w:rsidRPr="004826C0">
        <w:rPr>
          <w:rFonts w:cs="Times New Roman"/>
          <w:lang w:val="fr-CA"/>
        </w:rPr>
        <w:t>objet et le but du traité militent en faveur de la reconnaissance d</w:t>
      </w:r>
      <w:r>
        <w:rPr>
          <w:rFonts w:cs="Times New Roman"/>
          <w:lang w:val="fr-CA"/>
        </w:rPr>
        <w:t>’</w:t>
      </w:r>
      <w:r w:rsidRPr="004826C0">
        <w:rPr>
          <w:rFonts w:cs="Times New Roman"/>
          <w:lang w:val="fr-CA"/>
        </w:rPr>
        <w:t>une exigence de renonciation expresse. L</w:t>
      </w:r>
      <w:r>
        <w:rPr>
          <w:rFonts w:cs="Times New Roman"/>
          <w:lang w:val="fr-CA"/>
        </w:rPr>
        <w:t>’</w:t>
      </w:r>
      <w:r w:rsidRPr="004826C0">
        <w:rPr>
          <w:rFonts w:cs="Times New Roman"/>
          <w:lang w:val="fr-CA"/>
        </w:rPr>
        <w:t>application des dispositions relatives aux immunités à la BIRD et à l</w:t>
      </w:r>
      <w:r>
        <w:rPr>
          <w:rFonts w:cs="Times New Roman"/>
          <w:lang w:val="fr-CA"/>
        </w:rPr>
        <w:t>’</w:t>
      </w:r>
      <w:r w:rsidRPr="004826C0">
        <w:rPr>
          <w:rFonts w:cs="Times New Roman"/>
          <w:lang w:val="fr-CA"/>
        </w:rPr>
        <w:t>IDA n</w:t>
      </w:r>
      <w:r>
        <w:rPr>
          <w:rFonts w:cs="Times New Roman"/>
          <w:lang w:val="fr-CA"/>
        </w:rPr>
        <w:t>’</w:t>
      </w:r>
      <w:r w:rsidRPr="004826C0">
        <w:rPr>
          <w:rFonts w:cs="Times New Roman"/>
          <w:lang w:val="fr-CA"/>
        </w:rPr>
        <w:t>est pas subordonnée à une analyse ponctuelle, ce qui serait le cas si les renonciations implicites ou par interprétation étaient reconnues. Les représentants du Groupe seraient alors tenus de comparaître devant les tribunaux nationaux pour débattre la question de savoir si leurs actes équivalaient à une renonciation à l</w:t>
      </w:r>
      <w:r>
        <w:rPr>
          <w:rFonts w:cs="Times New Roman"/>
          <w:lang w:val="fr-CA"/>
        </w:rPr>
        <w:t>’</w:t>
      </w:r>
      <w:r w:rsidRPr="004826C0">
        <w:rPr>
          <w:rFonts w:cs="Times New Roman"/>
          <w:lang w:val="fr-CA"/>
        </w:rPr>
        <w:t>immunité, ou si pour d</w:t>
      </w:r>
      <w:r>
        <w:rPr>
          <w:rFonts w:cs="Times New Roman"/>
          <w:lang w:val="fr-CA"/>
        </w:rPr>
        <w:t>’</w:t>
      </w:r>
      <w:r w:rsidRPr="004826C0">
        <w:rPr>
          <w:rFonts w:cs="Times New Roman"/>
          <w:lang w:val="fr-CA"/>
        </w:rPr>
        <w:t>autres raisons ils devraient être réputés avoir renoncé à l</w:t>
      </w:r>
      <w:r>
        <w:rPr>
          <w:rFonts w:cs="Times New Roman"/>
          <w:lang w:val="fr-CA"/>
        </w:rPr>
        <w:t>’</w:t>
      </w:r>
      <w:r w:rsidRPr="004826C0">
        <w:rPr>
          <w:rFonts w:cs="Times New Roman"/>
          <w:lang w:val="fr-CA"/>
        </w:rPr>
        <w:t>immunité. Une telle conclusion irait à l</w:t>
      </w:r>
      <w:r>
        <w:rPr>
          <w:rFonts w:cs="Times New Roman"/>
          <w:lang w:val="fr-CA"/>
        </w:rPr>
        <w:t>’</w:t>
      </w:r>
      <w:r w:rsidRPr="004826C0">
        <w:rPr>
          <w:rFonts w:cs="Times New Roman"/>
          <w:lang w:val="fr-CA"/>
        </w:rPr>
        <w:t>encontre de notre opinion selon laquelle les immunités accordées à la BIRD et à l</w:t>
      </w:r>
      <w:r>
        <w:rPr>
          <w:rFonts w:cs="Times New Roman"/>
          <w:lang w:val="fr-CA"/>
        </w:rPr>
        <w:t>’</w:t>
      </w:r>
      <w:r w:rsidRPr="004826C0">
        <w:rPr>
          <w:rFonts w:cs="Times New Roman"/>
          <w:lang w:val="fr-CA"/>
        </w:rPr>
        <w:t>IDA s</w:t>
      </w:r>
      <w:r>
        <w:rPr>
          <w:rFonts w:cs="Times New Roman"/>
          <w:lang w:val="fr-CA"/>
        </w:rPr>
        <w:t>’</w:t>
      </w:r>
      <w:r w:rsidRPr="004826C0">
        <w:rPr>
          <w:rFonts w:cs="Times New Roman"/>
          <w:lang w:val="fr-CA"/>
        </w:rPr>
        <w:t>appliquent sans autre justification.</w:t>
      </w:r>
      <w:r>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De plus, l</w:t>
      </w:r>
      <w:r>
        <w:rPr>
          <w:rFonts w:cs="Times New Roman"/>
          <w:lang w:val="fr-CA"/>
        </w:rPr>
        <w:t>’</w:t>
      </w:r>
      <w:r w:rsidRPr="004826C0">
        <w:rPr>
          <w:rFonts w:cs="Times New Roman"/>
          <w:lang w:val="fr-CA"/>
        </w:rPr>
        <w:t>immunité est accordée à des organisations internationales ainsi qu</w:t>
      </w:r>
      <w:r>
        <w:rPr>
          <w:rFonts w:cs="Times New Roman"/>
          <w:lang w:val="fr-CA"/>
        </w:rPr>
        <w:t>’</w:t>
      </w:r>
      <w:r w:rsidRPr="004826C0">
        <w:rPr>
          <w:rFonts w:cs="Times New Roman"/>
          <w:lang w:val="fr-CA"/>
        </w:rPr>
        <w:t>à leur personnel afin de protéger ces dernières contre l</w:t>
      </w:r>
      <w:r>
        <w:rPr>
          <w:rFonts w:cs="Times New Roman"/>
          <w:lang w:val="fr-CA"/>
        </w:rPr>
        <w:t>’</w:t>
      </w:r>
      <w:r w:rsidRPr="004826C0">
        <w:rPr>
          <w:rFonts w:cs="Times New Roman"/>
          <w:lang w:val="fr-CA"/>
        </w:rPr>
        <w:t>ingérence des États membres (</w:t>
      </w:r>
      <w:proofErr w:type="spellStart"/>
      <w:r w:rsidRPr="004826C0">
        <w:rPr>
          <w:rFonts w:cs="Times New Roman"/>
          <w:i/>
          <w:lang w:val="fr-CA"/>
        </w:rPr>
        <w:t>Amaratunga</w:t>
      </w:r>
      <w:proofErr w:type="spellEnd"/>
      <w:r w:rsidRPr="004826C0">
        <w:rPr>
          <w:rFonts w:cs="Times New Roman"/>
          <w:lang w:val="fr-CA"/>
        </w:rPr>
        <w:t>,</w:t>
      </w:r>
      <w:r w:rsidRPr="004826C0">
        <w:rPr>
          <w:rFonts w:cs="Times New Roman"/>
          <w:i/>
          <w:lang w:val="fr-CA"/>
        </w:rPr>
        <w:t xml:space="preserve"> </w:t>
      </w:r>
      <w:r w:rsidRPr="004826C0">
        <w:rPr>
          <w:rFonts w:cs="Times New Roman"/>
          <w:lang w:val="fr-CA"/>
        </w:rPr>
        <w:t>par. 29). L</w:t>
      </w:r>
      <w:r>
        <w:rPr>
          <w:rFonts w:cs="Times New Roman"/>
          <w:lang w:val="fr-CA"/>
        </w:rPr>
        <w:t>’</w:t>
      </w:r>
      <w:r w:rsidRPr="004826C0">
        <w:rPr>
          <w:rFonts w:cs="Times New Roman"/>
          <w:lang w:val="fr-CA"/>
        </w:rPr>
        <w:t>immunité du personnel est essentielle aux organisations internationales. Pour reprendre les propos d</w:t>
      </w:r>
      <w:r>
        <w:rPr>
          <w:rFonts w:cs="Times New Roman"/>
          <w:lang w:val="fr-CA"/>
        </w:rPr>
        <w:t>’</w:t>
      </w:r>
      <w:r w:rsidRPr="004826C0">
        <w:rPr>
          <w:rFonts w:cs="Times New Roman"/>
          <w:lang w:val="fr-CA"/>
        </w:rPr>
        <w:t>un auteur, l</w:t>
      </w:r>
      <w:r>
        <w:rPr>
          <w:rFonts w:cs="Times New Roman"/>
          <w:lang w:val="fr-CA"/>
        </w:rPr>
        <w:t>’</w:t>
      </w:r>
      <w:r w:rsidRPr="004826C0">
        <w:rPr>
          <w:rFonts w:cs="Times New Roman"/>
          <w:lang w:val="fr-CA"/>
        </w:rPr>
        <w:t>immunité du personnel est nécessaire [</w:t>
      </w:r>
      <w:r w:rsidRPr="004826C0">
        <w:rPr>
          <w:rFonts w:cs="Times New Roman"/>
          <w:smallCaps/>
          <w:lang w:val="fr-CA"/>
        </w:rPr>
        <w:t>traduction</w:t>
      </w:r>
      <w:r w:rsidRPr="004826C0">
        <w:rPr>
          <w:rFonts w:cs="Times New Roman"/>
          <w:lang w:val="fr-CA"/>
        </w:rPr>
        <w:t>] « pour empêcher que les représentants de l</w:t>
      </w:r>
      <w:r>
        <w:rPr>
          <w:rFonts w:cs="Times New Roman"/>
          <w:lang w:val="fr-CA"/>
        </w:rPr>
        <w:t>’</w:t>
      </w:r>
      <w:r w:rsidRPr="004826C0">
        <w:rPr>
          <w:rFonts w:cs="Times New Roman"/>
          <w:lang w:val="fr-CA"/>
        </w:rPr>
        <w:t>organisation internationale soient harcelés par des actes judiciaires, en matière civile ou criminelle » (</w:t>
      </w:r>
      <w:proofErr w:type="spellStart"/>
      <w:r w:rsidRPr="004826C0">
        <w:rPr>
          <w:rFonts w:cs="Times New Roman"/>
          <w:lang w:val="fr-CA"/>
        </w:rPr>
        <w:t>Ahluwalia</w:t>
      </w:r>
      <w:proofErr w:type="spellEnd"/>
      <w:r w:rsidRPr="004826C0">
        <w:rPr>
          <w:rFonts w:cs="Times New Roman"/>
          <w:lang w:val="fr-CA"/>
        </w:rPr>
        <w:t>, p. 106). Autrement dit, [</w:t>
      </w:r>
      <w:r w:rsidRPr="004826C0">
        <w:rPr>
          <w:rFonts w:cs="Times New Roman"/>
          <w:smallCaps/>
          <w:lang w:val="fr-CA"/>
        </w:rPr>
        <w:t>traduction</w:t>
      </w:r>
      <w:r w:rsidRPr="004826C0">
        <w:rPr>
          <w:rFonts w:cs="Times New Roman"/>
          <w:lang w:val="fr-CA"/>
        </w:rPr>
        <w:t>] « [s]i les actes officiels d</w:t>
      </w:r>
      <w:r>
        <w:rPr>
          <w:rFonts w:cs="Times New Roman"/>
          <w:lang w:val="fr-CA"/>
        </w:rPr>
        <w:t>’</w:t>
      </w:r>
      <w:r w:rsidRPr="004826C0">
        <w:rPr>
          <w:rFonts w:cs="Times New Roman"/>
          <w:lang w:val="fr-CA"/>
        </w:rPr>
        <w:t>organes mondiaux sont susceptibles de débats devant les tribunaux du pays dans lequel les représentants de ces organes font l</w:t>
      </w:r>
      <w:r>
        <w:rPr>
          <w:rFonts w:cs="Times New Roman"/>
          <w:lang w:val="fr-CA"/>
        </w:rPr>
        <w:t>’</w:t>
      </w:r>
      <w:r w:rsidRPr="004826C0">
        <w:rPr>
          <w:rFonts w:cs="Times New Roman"/>
          <w:lang w:val="fr-CA"/>
        </w:rPr>
        <w:t>objet de poursuites, chaque tentative en vue d</w:t>
      </w:r>
      <w:r>
        <w:rPr>
          <w:rFonts w:cs="Times New Roman"/>
          <w:lang w:val="fr-CA"/>
        </w:rPr>
        <w:t>’</w:t>
      </w:r>
      <w:r w:rsidRPr="004826C0">
        <w:rPr>
          <w:rFonts w:cs="Times New Roman"/>
          <w:lang w:val="fr-CA"/>
        </w:rPr>
        <w:t>établir une organisation mondiale efficace risque d</w:t>
      </w:r>
      <w:r>
        <w:rPr>
          <w:rFonts w:cs="Times New Roman"/>
          <w:lang w:val="fr-CA"/>
        </w:rPr>
        <w:t>’</w:t>
      </w:r>
      <w:r w:rsidRPr="004826C0">
        <w:rPr>
          <w:rFonts w:cs="Times New Roman"/>
          <w:lang w:val="fr-CA"/>
        </w:rPr>
        <w:t>être complètement sapée par l</w:t>
      </w:r>
      <w:r>
        <w:rPr>
          <w:rFonts w:cs="Times New Roman"/>
          <w:lang w:val="fr-CA"/>
        </w:rPr>
        <w:t>’</w:t>
      </w:r>
      <w:r w:rsidRPr="004826C0">
        <w:rPr>
          <w:rFonts w:cs="Times New Roman"/>
          <w:lang w:val="fr-CA"/>
        </w:rPr>
        <w:t>ingérence des autorités nationales » (C. W. </w:t>
      </w:r>
      <w:proofErr w:type="spellStart"/>
      <w:r w:rsidRPr="004826C0">
        <w:rPr>
          <w:rFonts w:cs="Times New Roman"/>
          <w:lang w:val="fr-CA"/>
        </w:rPr>
        <w:t>Jenks</w:t>
      </w:r>
      <w:proofErr w:type="spellEnd"/>
      <w:r w:rsidRPr="004826C0">
        <w:rPr>
          <w:rFonts w:cs="Times New Roman"/>
          <w:lang w:val="fr-CA"/>
        </w:rPr>
        <w:t>, « </w:t>
      </w:r>
      <w:proofErr w:type="spellStart"/>
      <w:r w:rsidRPr="004826C0">
        <w:rPr>
          <w:rFonts w:cs="Times New Roman"/>
          <w:lang w:val="fr-CA"/>
        </w:rPr>
        <w:t>Some</w:t>
      </w:r>
      <w:proofErr w:type="spellEnd"/>
      <w:r w:rsidRPr="004826C0">
        <w:rPr>
          <w:rFonts w:cs="Times New Roman"/>
          <w:lang w:val="fr-CA"/>
        </w:rPr>
        <w:t xml:space="preserve"> </w:t>
      </w:r>
      <w:proofErr w:type="spellStart"/>
      <w:r w:rsidRPr="004826C0">
        <w:rPr>
          <w:rFonts w:cs="Times New Roman"/>
          <w:lang w:val="fr-CA"/>
        </w:rPr>
        <w:t>Problems</w:t>
      </w:r>
      <w:proofErr w:type="spellEnd"/>
      <w:r w:rsidRPr="004826C0">
        <w:rPr>
          <w:rFonts w:cs="Times New Roman"/>
          <w:lang w:val="fr-CA"/>
        </w:rPr>
        <w:t xml:space="preserve"> of an International Civil Service » (1943), 3 </w:t>
      </w:r>
      <w:r w:rsidRPr="004826C0">
        <w:rPr>
          <w:rFonts w:cs="Times New Roman"/>
          <w:i/>
          <w:lang w:val="fr-CA"/>
        </w:rPr>
        <w:t>P.A.R.</w:t>
      </w:r>
      <w:r w:rsidRPr="004826C0">
        <w:rPr>
          <w:rFonts w:cs="Times New Roman"/>
          <w:lang w:val="fr-CA"/>
        </w:rPr>
        <w:t xml:space="preserve"> 93, p. 103). </w:t>
      </w:r>
      <w:proofErr w:type="spellStart"/>
      <w:r w:rsidRPr="004826C0">
        <w:rPr>
          <w:rFonts w:cs="Times New Roman"/>
          <w:lang w:val="fr-CA"/>
        </w:rPr>
        <w:t>Jenks</w:t>
      </w:r>
      <w:proofErr w:type="spellEnd"/>
      <w:r w:rsidRPr="004826C0">
        <w:rPr>
          <w:rFonts w:cs="Times New Roman"/>
          <w:lang w:val="fr-CA"/>
        </w:rPr>
        <w:t xml:space="preserve"> fait également remarquer que les immunités inter</w:t>
      </w:r>
      <w:r>
        <w:rPr>
          <w:rFonts w:cs="Times New Roman"/>
          <w:lang w:val="fr-CA"/>
        </w:rPr>
        <w:t>nationales ont pour fonction d’</w:t>
      </w:r>
      <w:r w:rsidRPr="004826C0">
        <w:rPr>
          <w:rFonts w:cs="Times New Roman"/>
          <w:lang w:val="fr-CA"/>
        </w:rPr>
        <w:t>« éviter aux représentants des organisations internationales les conséquences découlant de l</w:t>
      </w:r>
      <w:r>
        <w:rPr>
          <w:rFonts w:cs="Times New Roman"/>
          <w:lang w:val="fr-CA"/>
        </w:rPr>
        <w:t>’</w:t>
      </w:r>
      <w:r w:rsidRPr="004826C0">
        <w:rPr>
          <w:rFonts w:cs="Times New Roman"/>
          <w:lang w:val="fr-CA"/>
        </w:rPr>
        <w:t>absence d</w:t>
      </w:r>
      <w:r>
        <w:rPr>
          <w:rFonts w:cs="Times New Roman"/>
          <w:lang w:val="fr-CA"/>
        </w:rPr>
        <w:t>’</w:t>
      </w:r>
      <w:r w:rsidRPr="004826C0">
        <w:rPr>
          <w:rFonts w:cs="Times New Roman"/>
          <w:lang w:val="fr-CA"/>
        </w:rPr>
        <w:t>une espèce d</w:t>
      </w:r>
      <w:r>
        <w:rPr>
          <w:rFonts w:cs="Times New Roman"/>
          <w:lang w:val="fr-CA"/>
        </w:rPr>
        <w:t>’</w:t>
      </w:r>
      <w:r w:rsidRPr="004826C0">
        <w:rPr>
          <w:rFonts w:cs="Times New Roman"/>
          <w:lang w:val="fr-CA"/>
        </w:rPr>
        <w:t>organe fédéral à qui elles pourraient en appeler pour obtenir protection et soutien contre les tentatives d</w:t>
      </w:r>
      <w:r>
        <w:rPr>
          <w:rFonts w:cs="Times New Roman"/>
          <w:lang w:val="fr-CA"/>
        </w:rPr>
        <w:t>’</w:t>
      </w:r>
      <w:r w:rsidRPr="004826C0">
        <w:rPr>
          <w:rFonts w:cs="Times New Roman"/>
          <w:lang w:val="fr-CA"/>
        </w:rPr>
        <w:t>obstacle à l</w:t>
      </w:r>
      <w:r>
        <w:rPr>
          <w:rFonts w:cs="Times New Roman"/>
          <w:lang w:val="fr-CA"/>
        </w:rPr>
        <w:t>’</w:t>
      </w:r>
      <w:r w:rsidRPr="004826C0">
        <w:rPr>
          <w:rFonts w:cs="Times New Roman"/>
          <w:lang w:val="fr-CA"/>
        </w:rPr>
        <w:t>exercice efficace de leurs fonctions officielles » (</w:t>
      </w:r>
      <w:r w:rsidRPr="004826C0">
        <w:rPr>
          <w:rFonts w:cs="Times New Roman"/>
          <w:i/>
          <w:lang w:val="fr-CA"/>
        </w:rPr>
        <w:t>ibid</w:t>
      </w:r>
      <w:r w:rsidRPr="004826C0">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Dans un tel contexte, exiger une renonciation expresse de la part de la BIRD et de l</w:t>
      </w:r>
      <w:r>
        <w:rPr>
          <w:rFonts w:cs="Times New Roman"/>
          <w:lang w:val="fr-CA"/>
        </w:rPr>
        <w:t>’</w:t>
      </w:r>
      <w:r w:rsidRPr="004826C0">
        <w:rPr>
          <w:rFonts w:cs="Times New Roman"/>
          <w:lang w:val="fr-CA"/>
        </w:rPr>
        <w:t>IDA est conforme à l</w:t>
      </w:r>
      <w:r>
        <w:rPr>
          <w:rFonts w:cs="Times New Roman"/>
          <w:lang w:val="fr-CA"/>
        </w:rPr>
        <w:t>’</w:t>
      </w:r>
      <w:r w:rsidRPr="004826C0">
        <w:rPr>
          <w:rFonts w:cs="Times New Roman"/>
          <w:lang w:val="fr-CA"/>
        </w:rPr>
        <w:t>objet qui consiste à les protéger de l</w:t>
      </w:r>
      <w:r>
        <w:rPr>
          <w:rFonts w:cs="Times New Roman"/>
          <w:lang w:val="fr-CA"/>
        </w:rPr>
        <w:t>’</w:t>
      </w:r>
      <w:r w:rsidRPr="004826C0">
        <w:rPr>
          <w:rFonts w:cs="Times New Roman"/>
          <w:lang w:val="fr-CA"/>
        </w:rPr>
        <w:t>ingérence étatique (Muller, p. 162). Si la renonciation expresse constitue la seule forme reconnue, la BIRD et l</w:t>
      </w:r>
      <w:r>
        <w:rPr>
          <w:rFonts w:cs="Times New Roman"/>
          <w:lang w:val="fr-CA"/>
        </w:rPr>
        <w:t>’</w:t>
      </w:r>
      <w:r w:rsidRPr="004826C0">
        <w:rPr>
          <w:rFonts w:cs="Times New Roman"/>
          <w:lang w:val="fr-CA"/>
        </w:rPr>
        <w:t>IDA sauront alors exactement quand leur personnel est assujetti au processus judiciaire d</w:t>
      </w:r>
      <w:r>
        <w:rPr>
          <w:rFonts w:cs="Times New Roman"/>
          <w:lang w:val="fr-CA"/>
        </w:rPr>
        <w:t>’</w:t>
      </w:r>
      <w:r w:rsidRPr="004826C0">
        <w:rPr>
          <w:rFonts w:cs="Times New Roman"/>
          <w:lang w:val="fr-CA"/>
        </w:rPr>
        <w:t>un pays donné. Il est essentiel qu</w:t>
      </w:r>
      <w:r>
        <w:rPr>
          <w:rFonts w:cs="Times New Roman"/>
          <w:lang w:val="fr-CA"/>
        </w:rPr>
        <w:t>’</w:t>
      </w:r>
      <w:r w:rsidRPr="004826C0">
        <w:rPr>
          <w:rFonts w:cs="Times New Roman"/>
          <w:lang w:val="fr-CA"/>
        </w:rPr>
        <w:t xml:space="preserve">il en soit ainsi pour une grande organisation internationale comme celle dont il est question, qui regroupe </w:t>
      </w:r>
      <w:r w:rsidR="0083049F">
        <w:rPr>
          <w:rFonts w:cs="Times New Roman"/>
          <w:lang w:val="fr-CA"/>
        </w:rPr>
        <w:t xml:space="preserve">188 </w:t>
      </w:r>
      <w:r w:rsidRPr="004826C0">
        <w:rPr>
          <w:rFonts w:cs="Times New Roman"/>
          <w:lang w:val="fr-CA"/>
        </w:rPr>
        <w:t>États membres. Si la section 8 reconnaissait également les renonciations implicites et par interprétation — des concepts qui risquent de varier</w:t>
      </w:r>
      <w:r w:rsidR="0083049F">
        <w:rPr>
          <w:rFonts w:cs="Times New Roman"/>
          <w:lang w:val="fr-CA"/>
        </w:rPr>
        <w:t xml:space="preserve"> considérablement</w:t>
      </w:r>
      <w:r w:rsidRPr="004826C0">
        <w:rPr>
          <w:rFonts w:cs="Times New Roman"/>
          <w:lang w:val="fr-CA"/>
        </w:rPr>
        <w:t xml:space="preserve"> selon les régions —, les divergences d</w:t>
      </w:r>
      <w:r>
        <w:rPr>
          <w:rFonts w:cs="Times New Roman"/>
          <w:lang w:val="fr-CA"/>
        </w:rPr>
        <w:t>’</w:t>
      </w:r>
      <w:r w:rsidRPr="004826C0">
        <w:rPr>
          <w:rFonts w:cs="Times New Roman"/>
          <w:lang w:val="fr-CA"/>
        </w:rPr>
        <w:t>un pays à l</w:t>
      </w:r>
      <w:r>
        <w:rPr>
          <w:rFonts w:cs="Times New Roman"/>
          <w:lang w:val="fr-CA"/>
        </w:rPr>
        <w:t>’</w:t>
      </w:r>
      <w:r w:rsidRPr="004826C0">
        <w:rPr>
          <w:rFonts w:cs="Times New Roman"/>
          <w:lang w:val="fr-CA"/>
        </w:rPr>
        <w:t>autre pourraient créer beaucoup de confusion et nuire au bon fonctionnement de la BIRD et de l</w:t>
      </w:r>
      <w:r>
        <w:rPr>
          <w:rFonts w:cs="Times New Roman"/>
          <w:lang w:val="fr-CA"/>
        </w:rPr>
        <w:t>’</w:t>
      </w:r>
      <w:r w:rsidRPr="004826C0">
        <w:rPr>
          <w:rFonts w:cs="Times New Roman"/>
          <w:lang w:val="fr-CA"/>
        </w:rPr>
        <w:t>IDA.</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Il est important de rappeler que lorsqu</w:t>
      </w:r>
      <w:r>
        <w:rPr>
          <w:rFonts w:cs="Times New Roman"/>
          <w:lang w:val="fr-CA"/>
        </w:rPr>
        <w:t>’</w:t>
      </w:r>
      <w:r w:rsidRPr="004826C0">
        <w:rPr>
          <w:rFonts w:cs="Times New Roman"/>
          <w:lang w:val="fr-CA"/>
        </w:rPr>
        <w:t>un État accepte de devenir membre du Groupe, il acquiesce délibérément aux conditions de l</w:t>
      </w:r>
      <w:r>
        <w:rPr>
          <w:rFonts w:cs="Times New Roman"/>
          <w:lang w:val="fr-CA"/>
        </w:rPr>
        <w:t>’</w:t>
      </w:r>
      <w:r w:rsidRPr="004826C0">
        <w:rPr>
          <w:rFonts w:cs="Times New Roman"/>
          <w:lang w:val="fr-CA"/>
        </w:rPr>
        <w:t>organisation, dont l</w:t>
      </w:r>
      <w:r>
        <w:rPr>
          <w:rFonts w:cs="Times New Roman"/>
          <w:lang w:val="fr-CA"/>
        </w:rPr>
        <w:t>’</w:t>
      </w:r>
      <w:r w:rsidRPr="004826C0">
        <w:rPr>
          <w:rFonts w:cs="Times New Roman"/>
          <w:lang w:val="fr-CA"/>
        </w:rPr>
        <w:t>inviolabilité des archives et l</w:t>
      </w:r>
      <w:r>
        <w:rPr>
          <w:rFonts w:cs="Times New Roman"/>
          <w:lang w:val="fr-CA"/>
        </w:rPr>
        <w:t>’</w:t>
      </w:r>
      <w:r w:rsidRPr="004826C0">
        <w:rPr>
          <w:rFonts w:cs="Times New Roman"/>
          <w:lang w:val="fr-CA"/>
        </w:rPr>
        <w:t>immunité du personnel. Dans l</w:t>
      </w:r>
      <w:r>
        <w:rPr>
          <w:rFonts w:cs="Times New Roman"/>
          <w:lang w:val="fr-CA"/>
        </w:rPr>
        <w:t>’</w:t>
      </w:r>
      <w:r w:rsidRPr="004826C0">
        <w:rPr>
          <w:rFonts w:cs="Times New Roman"/>
          <w:lang w:val="fr-CA"/>
        </w:rPr>
        <w:t>accord initial, il est prévu qu</w:t>
      </w:r>
      <w:r>
        <w:rPr>
          <w:rFonts w:cs="Times New Roman"/>
          <w:lang w:val="fr-CA"/>
        </w:rPr>
        <w:t>’</w:t>
      </w:r>
      <w:r w:rsidRPr="004826C0">
        <w:rPr>
          <w:rFonts w:cs="Times New Roman"/>
          <w:lang w:val="fr-CA"/>
        </w:rPr>
        <w:t>en contrepartie de l</w:t>
      </w:r>
      <w:r>
        <w:rPr>
          <w:rFonts w:cs="Times New Roman"/>
          <w:lang w:val="fr-CA"/>
        </w:rPr>
        <w:t>’</w:t>
      </w:r>
      <w:r w:rsidRPr="004826C0">
        <w:rPr>
          <w:rFonts w:cs="Times New Roman"/>
          <w:lang w:val="fr-CA"/>
        </w:rPr>
        <w:t>admission au sein de l</w:t>
      </w:r>
      <w:r>
        <w:rPr>
          <w:rFonts w:cs="Times New Roman"/>
          <w:lang w:val="fr-CA"/>
        </w:rPr>
        <w:t>’</w:t>
      </w:r>
      <w:r w:rsidRPr="004826C0">
        <w:rPr>
          <w:rFonts w:cs="Times New Roman"/>
          <w:lang w:val="fr-CA"/>
        </w:rPr>
        <w:t>organisation internationale, chaque État membre accepte d</w:t>
      </w:r>
      <w:r>
        <w:rPr>
          <w:rFonts w:cs="Times New Roman"/>
          <w:lang w:val="fr-CA"/>
        </w:rPr>
        <w:t>’</w:t>
      </w:r>
      <w:r w:rsidRPr="004826C0">
        <w:rPr>
          <w:rFonts w:cs="Times New Roman"/>
          <w:lang w:val="fr-CA"/>
        </w:rPr>
        <w:t>adhérer au concept d</w:t>
      </w:r>
      <w:r>
        <w:rPr>
          <w:rFonts w:cs="Times New Roman"/>
          <w:lang w:val="fr-CA"/>
        </w:rPr>
        <w:t>’</w:t>
      </w:r>
      <w:r w:rsidRPr="004826C0">
        <w:rPr>
          <w:rFonts w:cs="Times New Roman"/>
          <w:lang w:val="fr-CA"/>
        </w:rPr>
        <w:t>une gouvernance collective. Par conséquent, aucun membre ne peut seul tenter d</w:t>
      </w:r>
      <w:r>
        <w:rPr>
          <w:rFonts w:cs="Times New Roman"/>
          <w:lang w:val="fr-CA"/>
        </w:rPr>
        <w:t>’</w:t>
      </w:r>
      <w:r w:rsidRPr="004826C0">
        <w:rPr>
          <w:rFonts w:cs="Times New Roman"/>
          <w:lang w:val="fr-CA"/>
        </w:rPr>
        <w:t>avoir la mainmise sur l</w:t>
      </w:r>
      <w:r>
        <w:rPr>
          <w:rFonts w:cs="Times New Roman"/>
          <w:lang w:val="fr-CA"/>
        </w:rPr>
        <w:t>’</w:t>
      </w:r>
      <w:r w:rsidRPr="004826C0">
        <w:rPr>
          <w:rFonts w:cs="Times New Roman"/>
          <w:lang w:val="fr-CA"/>
        </w:rPr>
        <w:t>organisation, ce qui pourrait être le cas si les tribunaux nationaux appliquaient les différents concepts locaux de renonciation implicite ou par interprétation. L</w:t>
      </w:r>
      <w:r>
        <w:rPr>
          <w:rFonts w:cs="Times New Roman"/>
          <w:lang w:val="fr-CA"/>
        </w:rPr>
        <w:t>’</w:t>
      </w:r>
      <w:r w:rsidRPr="004826C0">
        <w:rPr>
          <w:rFonts w:cs="Times New Roman"/>
          <w:lang w:val="fr-CA"/>
        </w:rPr>
        <w:t>exigence d</w:t>
      </w:r>
      <w:r>
        <w:rPr>
          <w:rFonts w:cs="Times New Roman"/>
          <w:lang w:val="fr-CA"/>
        </w:rPr>
        <w:t>’</w:t>
      </w:r>
      <w:r w:rsidRPr="004826C0">
        <w:rPr>
          <w:rFonts w:cs="Times New Roman"/>
          <w:lang w:val="fr-CA"/>
        </w:rPr>
        <w:t>une renonciation expresse permet d</w:t>
      </w:r>
      <w:r>
        <w:rPr>
          <w:rFonts w:cs="Times New Roman"/>
          <w:lang w:val="fr-CA"/>
        </w:rPr>
        <w:t>’</w:t>
      </w:r>
      <w:r w:rsidRPr="004826C0">
        <w:rPr>
          <w:rFonts w:cs="Times New Roman"/>
          <w:lang w:val="fr-CA"/>
        </w:rPr>
        <w:t xml:space="preserve">éviter ces problèmes.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 outre, le fait pour le Groupe de voir son immunité levée implicitement ou par interprétation pourrait avoir un effet paralysant sur sa collaboration avec les forces de l</w:t>
      </w:r>
      <w:r>
        <w:rPr>
          <w:rFonts w:cs="Times New Roman"/>
          <w:lang w:val="fr-CA"/>
        </w:rPr>
        <w:t>’</w:t>
      </w:r>
      <w:r w:rsidRPr="004826C0">
        <w:rPr>
          <w:rFonts w:cs="Times New Roman"/>
          <w:lang w:val="fr-CA"/>
        </w:rPr>
        <w:t>ordre de chaque pays ou État membre. Un tel effet serait nuisible, les banques multilatérales, dont le Groupe, étant particulièrement bien placées pour enquêter et intervenir en première ligne à l</w:t>
      </w:r>
      <w:r>
        <w:rPr>
          <w:rFonts w:cs="Times New Roman"/>
          <w:lang w:val="fr-CA"/>
        </w:rPr>
        <w:t>’</w:t>
      </w:r>
      <w:r w:rsidRPr="004826C0">
        <w:rPr>
          <w:rFonts w:cs="Times New Roman"/>
          <w:lang w:val="fr-CA"/>
        </w:rPr>
        <w:t xml:space="preserve">échelle internationale dans la lutte contre la corruption.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Dans le cas présent, il n</w:t>
      </w:r>
      <w:r>
        <w:rPr>
          <w:rFonts w:cs="Times New Roman"/>
          <w:lang w:val="fr-CA"/>
        </w:rPr>
        <w:t>’</w:t>
      </w:r>
      <w:r w:rsidRPr="004826C0">
        <w:rPr>
          <w:rFonts w:cs="Times New Roman"/>
          <w:lang w:val="fr-CA"/>
        </w:rPr>
        <w:t>y a jamais eu renonciation expresse à l</w:t>
      </w:r>
      <w:r>
        <w:rPr>
          <w:rFonts w:cs="Times New Roman"/>
          <w:lang w:val="fr-CA"/>
        </w:rPr>
        <w:t>’</w:t>
      </w:r>
      <w:r w:rsidRPr="004826C0">
        <w:rPr>
          <w:rFonts w:cs="Times New Roman"/>
          <w:lang w:val="fr-CA"/>
        </w:rPr>
        <w:t>immunité du personnel de la BIRD et de l</w:t>
      </w:r>
      <w:r>
        <w:rPr>
          <w:rFonts w:cs="Times New Roman"/>
          <w:lang w:val="fr-CA"/>
        </w:rPr>
        <w:t>’</w:t>
      </w:r>
      <w:r w:rsidRPr="004826C0">
        <w:rPr>
          <w:rFonts w:cs="Times New Roman"/>
          <w:lang w:val="fr-CA"/>
        </w:rPr>
        <w:t>IDA. À chacune des occasions où l</w:t>
      </w:r>
      <w:r>
        <w:rPr>
          <w:rFonts w:cs="Times New Roman"/>
          <w:lang w:val="fr-CA"/>
        </w:rPr>
        <w:t>’</w:t>
      </w:r>
      <w:r w:rsidRPr="004826C0">
        <w:rPr>
          <w:rFonts w:cs="Times New Roman"/>
          <w:lang w:val="fr-CA"/>
        </w:rPr>
        <w:t>INT a fourni des renseignements, elle a réitéré qu</w:t>
      </w:r>
      <w:r>
        <w:rPr>
          <w:rFonts w:cs="Times New Roman"/>
          <w:lang w:val="fr-CA"/>
        </w:rPr>
        <w:t>’</w:t>
      </w:r>
      <w:r w:rsidRPr="004826C0">
        <w:rPr>
          <w:rFonts w:cs="Times New Roman"/>
          <w:lang w:val="fr-CA"/>
        </w:rPr>
        <w:t xml:space="preserve">elle le faisait sans préjudice à son immunité.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À notre avis, le juge d</w:t>
      </w:r>
      <w:r>
        <w:rPr>
          <w:rFonts w:cs="Times New Roman"/>
          <w:lang w:val="fr-CA"/>
        </w:rPr>
        <w:t>’</w:t>
      </w:r>
      <w:r w:rsidRPr="004826C0">
        <w:rPr>
          <w:rFonts w:cs="Times New Roman"/>
          <w:lang w:val="fr-CA"/>
        </w:rPr>
        <w:t>instance a conclu à tort que le Groupe avait renoncé à son immunité. Cette conclusion semble fondée sur la doctrine de la renonciation par interprétation, qui fait intervenir l</w:t>
      </w:r>
      <w:r>
        <w:rPr>
          <w:rFonts w:cs="Times New Roman"/>
          <w:lang w:val="fr-CA"/>
        </w:rPr>
        <w:t>’</w:t>
      </w:r>
      <w:r w:rsidRPr="004826C0">
        <w:rPr>
          <w:rFonts w:cs="Times New Roman"/>
          <w:lang w:val="fr-CA"/>
        </w:rPr>
        <w:t>équité. Il a jugé que l</w:t>
      </w:r>
      <w:r>
        <w:rPr>
          <w:rFonts w:cs="Times New Roman"/>
          <w:lang w:val="fr-CA"/>
        </w:rPr>
        <w:t>’</w:t>
      </w:r>
      <w:r w:rsidRPr="004826C0">
        <w:rPr>
          <w:rFonts w:cs="Times New Roman"/>
          <w:lang w:val="fr-CA"/>
        </w:rPr>
        <w:t>INT ne pouvait communiquer sélectivement les renseignements, documents et correspondance en sa possession aux forces de l</w:t>
      </w:r>
      <w:r>
        <w:rPr>
          <w:rFonts w:cs="Times New Roman"/>
          <w:lang w:val="fr-CA"/>
        </w:rPr>
        <w:t>’</w:t>
      </w:r>
      <w:r w:rsidRPr="004826C0">
        <w:rPr>
          <w:rFonts w:cs="Times New Roman"/>
          <w:lang w:val="fr-CA"/>
        </w:rPr>
        <w:t xml:space="preserve">ordre canadiennes. Toutefois, la doctrine de </w:t>
      </w:r>
      <w:proofErr w:type="spellStart"/>
      <w:r w:rsidRPr="004826C0">
        <w:rPr>
          <w:rFonts w:cs="Times New Roman"/>
          <w:lang w:val="fr-CA"/>
        </w:rPr>
        <w:t>common</w:t>
      </w:r>
      <w:proofErr w:type="spellEnd"/>
      <w:r w:rsidRPr="004826C0">
        <w:rPr>
          <w:rFonts w:cs="Times New Roman"/>
          <w:lang w:val="fr-CA"/>
        </w:rPr>
        <w:t xml:space="preserve"> </w:t>
      </w:r>
      <w:proofErr w:type="spellStart"/>
      <w:r w:rsidRPr="004826C0">
        <w:rPr>
          <w:rFonts w:cs="Times New Roman"/>
          <w:lang w:val="fr-CA"/>
        </w:rPr>
        <w:t>law</w:t>
      </w:r>
      <w:proofErr w:type="spellEnd"/>
      <w:r w:rsidRPr="004826C0">
        <w:rPr>
          <w:rFonts w:cs="Times New Roman"/>
          <w:lang w:val="fr-CA"/>
        </w:rPr>
        <w:t xml:space="preserve"> de la renonciation sélective ne s</w:t>
      </w:r>
      <w:r>
        <w:rPr>
          <w:rFonts w:cs="Times New Roman"/>
          <w:lang w:val="fr-CA"/>
        </w:rPr>
        <w:t>’</w:t>
      </w:r>
      <w:r w:rsidRPr="004826C0">
        <w:rPr>
          <w:rFonts w:cs="Times New Roman"/>
          <w:lang w:val="fr-CA"/>
        </w:rPr>
        <w:t>applique pas à l</w:t>
      </w:r>
      <w:r>
        <w:rPr>
          <w:rFonts w:cs="Times New Roman"/>
          <w:lang w:val="fr-CA"/>
        </w:rPr>
        <w:t>’</w:t>
      </w:r>
      <w:r w:rsidRPr="004826C0">
        <w:rPr>
          <w:rFonts w:cs="Times New Roman"/>
          <w:lang w:val="fr-CA"/>
        </w:rPr>
        <w:t>interprétation d</w:t>
      </w:r>
      <w:r>
        <w:rPr>
          <w:rFonts w:cs="Times New Roman"/>
          <w:lang w:val="fr-CA"/>
        </w:rPr>
        <w:t>’</w:t>
      </w:r>
      <w:r w:rsidRPr="004826C0">
        <w:rPr>
          <w:rFonts w:cs="Times New Roman"/>
          <w:lang w:val="fr-CA"/>
        </w:rPr>
        <w:t>un traité international.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Le juge d</w:t>
      </w:r>
      <w:r>
        <w:rPr>
          <w:rFonts w:cs="Times New Roman"/>
          <w:lang w:val="fr-CA"/>
        </w:rPr>
        <w:t>’</w:t>
      </w:r>
      <w:r w:rsidRPr="004826C0">
        <w:rPr>
          <w:rFonts w:cs="Times New Roman"/>
          <w:lang w:val="fr-CA"/>
        </w:rPr>
        <w:t>instance a aussi conclu que le Groupe ne pourrait prêter son concours à une poursuite intentée au Canada ni « en tirer un avantage » sans communiquer d</w:t>
      </w:r>
      <w:r>
        <w:rPr>
          <w:rFonts w:cs="Times New Roman"/>
          <w:lang w:val="fr-CA"/>
        </w:rPr>
        <w:t>’</w:t>
      </w:r>
      <w:r w:rsidRPr="004826C0">
        <w:rPr>
          <w:rFonts w:cs="Times New Roman"/>
          <w:lang w:val="fr-CA"/>
        </w:rPr>
        <w:t>autres renseignements susceptibles de se révéler fort utiles aux intimés. À l</w:t>
      </w:r>
      <w:r>
        <w:rPr>
          <w:rFonts w:cs="Times New Roman"/>
          <w:lang w:val="fr-CA"/>
        </w:rPr>
        <w:t>’</w:t>
      </w:r>
      <w:r w:rsidRPr="004826C0">
        <w:rPr>
          <w:rFonts w:cs="Times New Roman"/>
          <w:lang w:val="fr-CA"/>
        </w:rPr>
        <w:t>appui de sa conclusion, il a invoqué l</w:t>
      </w:r>
      <w:r>
        <w:rPr>
          <w:rFonts w:cs="Times New Roman"/>
          <w:lang w:val="fr-CA"/>
        </w:rPr>
        <w:t>’</w:t>
      </w:r>
      <w:r w:rsidRPr="004826C0">
        <w:rPr>
          <w:rFonts w:cs="Times New Roman"/>
          <w:lang w:val="fr-CA"/>
        </w:rPr>
        <w:t>exception à l</w:t>
      </w:r>
      <w:r>
        <w:rPr>
          <w:rFonts w:cs="Times New Roman"/>
          <w:lang w:val="fr-CA"/>
        </w:rPr>
        <w:t>’</w:t>
      </w:r>
      <w:r w:rsidRPr="004826C0">
        <w:rPr>
          <w:rFonts w:cs="Times New Roman"/>
          <w:lang w:val="fr-CA"/>
        </w:rPr>
        <w:t>immunité de la Couronne « fondée sur les avantages et les obligations » appliquée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Sparling</w:t>
      </w:r>
      <w:proofErr w:type="spellEnd"/>
      <w:r w:rsidRPr="004826C0">
        <w:rPr>
          <w:rFonts w:cs="Times New Roman"/>
          <w:lang w:val="fr-CA"/>
        </w:rPr>
        <w:t>. Il s</w:t>
      </w:r>
      <w:r>
        <w:rPr>
          <w:rFonts w:cs="Times New Roman"/>
          <w:lang w:val="fr-CA"/>
        </w:rPr>
        <w:t>’</w:t>
      </w:r>
      <w:r w:rsidRPr="004826C0">
        <w:rPr>
          <w:rFonts w:cs="Times New Roman"/>
          <w:lang w:val="fr-CA"/>
        </w:rPr>
        <w:t>agit d</w:t>
      </w:r>
      <w:r>
        <w:rPr>
          <w:rFonts w:cs="Times New Roman"/>
          <w:lang w:val="fr-CA"/>
        </w:rPr>
        <w:t>’</w:t>
      </w:r>
      <w:r w:rsidRPr="004826C0">
        <w:rPr>
          <w:rFonts w:cs="Times New Roman"/>
          <w:lang w:val="fr-CA"/>
        </w:rPr>
        <w:t xml:space="preserve">une exception de </w:t>
      </w:r>
      <w:proofErr w:type="spellStart"/>
      <w:r w:rsidRPr="004826C0">
        <w:rPr>
          <w:rFonts w:cs="Times New Roman"/>
          <w:lang w:val="fr-CA"/>
        </w:rPr>
        <w:t>common</w:t>
      </w:r>
      <w:proofErr w:type="spellEnd"/>
      <w:r w:rsidRPr="004826C0">
        <w:rPr>
          <w:rFonts w:cs="Times New Roman"/>
          <w:lang w:val="fr-CA"/>
        </w:rPr>
        <w:t xml:space="preserve"> </w:t>
      </w:r>
      <w:proofErr w:type="spellStart"/>
      <w:r w:rsidRPr="004826C0">
        <w:rPr>
          <w:rFonts w:cs="Times New Roman"/>
          <w:lang w:val="fr-CA"/>
        </w:rPr>
        <w:t>law</w:t>
      </w:r>
      <w:proofErr w:type="spellEnd"/>
      <w:r w:rsidRPr="004826C0">
        <w:rPr>
          <w:rFonts w:cs="Times New Roman"/>
          <w:lang w:val="fr-CA"/>
        </w:rPr>
        <w:t xml:space="preserve"> à l</w:t>
      </w:r>
      <w:r>
        <w:rPr>
          <w:rFonts w:cs="Times New Roman"/>
          <w:lang w:val="fr-CA"/>
        </w:rPr>
        <w:t>’</w:t>
      </w:r>
      <w:r w:rsidRPr="004826C0">
        <w:rPr>
          <w:rFonts w:cs="Times New Roman"/>
          <w:lang w:val="fr-CA"/>
        </w:rPr>
        <w:t>immunité présumée de la Couronne qui s</w:t>
      </w:r>
      <w:r>
        <w:rPr>
          <w:rFonts w:cs="Times New Roman"/>
          <w:lang w:val="fr-CA"/>
        </w:rPr>
        <w:t>’</w:t>
      </w:r>
      <w:r w:rsidRPr="004826C0">
        <w:rPr>
          <w:rFonts w:cs="Times New Roman"/>
          <w:lang w:val="fr-CA"/>
        </w:rPr>
        <w:t>applique lorsque cette dernière accepte un avantage prévu par la loi en lien étroit avec l</w:t>
      </w:r>
      <w:r>
        <w:rPr>
          <w:rFonts w:cs="Times New Roman"/>
          <w:lang w:val="fr-CA"/>
        </w:rPr>
        <w:t>’</w:t>
      </w:r>
      <w:r w:rsidRPr="004826C0">
        <w:rPr>
          <w:rFonts w:cs="Times New Roman"/>
          <w:lang w:val="fr-CA"/>
        </w:rPr>
        <w:t>obligation qui en découle. L</w:t>
      </w:r>
      <w:r>
        <w:rPr>
          <w:rFonts w:cs="Times New Roman"/>
          <w:lang w:val="fr-CA"/>
        </w:rPr>
        <w:t>’</w:t>
      </w:r>
      <w:r w:rsidRPr="004826C0">
        <w:rPr>
          <w:rFonts w:cs="Times New Roman"/>
          <w:lang w:val="fr-CA"/>
        </w:rPr>
        <w:t>exception a pour objet d</w:t>
      </w:r>
      <w:r>
        <w:rPr>
          <w:rFonts w:cs="Times New Roman"/>
          <w:lang w:val="fr-CA"/>
        </w:rPr>
        <w:t>’</w:t>
      </w:r>
      <w:r w:rsidRPr="004826C0">
        <w:rPr>
          <w:rFonts w:cs="Times New Roman"/>
          <w:lang w:val="fr-CA"/>
        </w:rPr>
        <w:t>empêcher la Couronne de se prévaloir des dispositions de la loi tout en invoquant son immunité pour se soustraire aux obligations ou restrictions afférentes.</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L</w:t>
      </w:r>
      <w:r>
        <w:rPr>
          <w:rFonts w:cs="Times New Roman"/>
          <w:lang w:val="fr-CA"/>
        </w:rPr>
        <w:t>’</w:t>
      </w:r>
      <w:r w:rsidRPr="004826C0">
        <w:rPr>
          <w:rFonts w:cs="Times New Roman"/>
          <w:lang w:val="fr-CA"/>
        </w:rPr>
        <w:t>« exception fondée sur les avantages et les obligations » dont il est question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Sparling</w:t>
      </w:r>
      <w:proofErr w:type="spellEnd"/>
      <w:r w:rsidRPr="004826C0">
        <w:rPr>
          <w:rFonts w:cs="Times New Roman"/>
          <w:i/>
          <w:lang w:val="fr-CA"/>
        </w:rPr>
        <w:t xml:space="preserve"> </w:t>
      </w:r>
      <w:r w:rsidRPr="004826C0">
        <w:rPr>
          <w:rFonts w:cs="Times New Roman"/>
          <w:lang w:val="fr-CA"/>
        </w:rPr>
        <w:t>ne s</w:t>
      </w:r>
      <w:r>
        <w:rPr>
          <w:rFonts w:cs="Times New Roman"/>
          <w:lang w:val="fr-CA"/>
        </w:rPr>
        <w:t>’</w:t>
      </w:r>
      <w:r w:rsidRPr="004826C0">
        <w:rPr>
          <w:rFonts w:cs="Times New Roman"/>
          <w:lang w:val="fr-CA"/>
        </w:rPr>
        <w:t>applique pas aux immunités en l</w:t>
      </w:r>
      <w:r>
        <w:rPr>
          <w:rFonts w:cs="Times New Roman"/>
          <w:lang w:val="fr-CA"/>
        </w:rPr>
        <w:t>’</w:t>
      </w:r>
      <w:r w:rsidRPr="004826C0">
        <w:rPr>
          <w:rFonts w:cs="Times New Roman"/>
          <w:lang w:val="fr-CA"/>
        </w:rPr>
        <w:t>espèce. Premièrement, le Groupe n</w:t>
      </w:r>
      <w:r>
        <w:rPr>
          <w:rFonts w:cs="Times New Roman"/>
          <w:lang w:val="fr-CA"/>
        </w:rPr>
        <w:t>’</w:t>
      </w:r>
      <w:r w:rsidRPr="004826C0">
        <w:rPr>
          <w:rFonts w:cs="Times New Roman"/>
          <w:lang w:val="fr-CA"/>
        </w:rPr>
        <w:t>a pas « tiré d</w:t>
      </w:r>
      <w:r>
        <w:rPr>
          <w:rFonts w:cs="Times New Roman"/>
          <w:lang w:val="fr-CA"/>
        </w:rPr>
        <w:t>’</w:t>
      </w:r>
      <w:r w:rsidRPr="004826C0">
        <w:rPr>
          <w:rFonts w:cs="Times New Roman"/>
          <w:lang w:val="fr-CA"/>
        </w:rPr>
        <w:t>avantage » à proprement parler de la poursuite engagée contre les intimés. De par leur nature, les poursuites sont engagées dans l</w:t>
      </w:r>
      <w:r>
        <w:rPr>
          <w:rFonts w:cs="Times New Roman"/>
          <w:lang w:val="fr-CA"/>
        </w:rPr>
        <w:t>’</w:t>
      </w:r>
      <w:r w:rsidRPr="004826C0">
        <w:rPr>
          <w:rFonts w:cs="Times New Roman"/>
          <w:lang w:val="fr-CA"/>
        </w:rPr>
        <w:t>intérêt public, et non dans celui du plaignant ou de toute autre partie privée. Deuxièmement, la raison d</w:t>
      </w:r>
      <w:r>
        <w:rPr>
          <w:rFonts w:cs="Times New Roman"/>
          <w:lang w:val="fr-CA"/>
        </w:rPr>
        <w:t>’</w:t>
      </w:r>
      <w:r w:rsidRPr="004826C0">
        <w:rPr>
          <w:rFonts w:cs="Times New Roman"/>
          <w:lang w:val="fr-CA"/>
        </w:rPr>
        <w:t>être de « l</w:t>
      </w:r>
      <w:r>
        <w:rPr>
          <w:rFonts w:cs="Times New Roman"/>
          <w:lang w:val="fr-CA"/>
        </w:rPr>
        <w:t>’</w:t>
      </w:r>
      <w:r w:rsidRPr="004826C0">
        <w:rPr>
          <w:rFonts w:cs="Times New Roman"/>
          <w:lang w:val="fr-CA"/>
        </w:rPr>
        <w:t>exception fondée sur les avantages et les obligations » n</w:t>
      </w:r>
      <w:r>
        <w:rPr>
          <w:rFonts w:cs="Times New Roman"/>
          <w:lang w:val="fr-CA"/>
        </w:rPr>
        <w:t>’</w:t>
      </w:r>
      <w:r w:rsidRPr="004826C0">
        <w:rPr>
          <w:rFonts w:cs="Times New Roman"/>
          <w:lang w:val="fr-CA"/>
        </w:rPr>
        <w:t>a aucun rapport avec les immunités accordées à des organisations internationales. L</w:t>
      </w:r>
      <w:r>
        <w:rPr>
          <w:rFonts w:cs="Times New Roman"/>
          <w:lang w:val="fr-CA"/>
        </w:rPr>
        <w:t>’</w:t>
      </w:r>
      <w:r w:rsidRPr="004826C0">
        <w:rPr>
          <w:rFonts w:cs="Times New Roman"/>
          <w:lang w:val="fr-CA"/>
        </w:rPr>
        <w:t>exception a été adoptée pour empêcher que la Couronne soit autorisée à tirer un avantage de droits conférés par la loi sans être assujettie aux obligations ou restrictions qui y sont afférentes, car elle tirerait ainsi un avantage plus important que celui que la loi entendait offrir (P. W. </w:t>
      </w:r>
      <w:proofErr w:type="spellStart"/>
      <w:r w:rsidRPr="004826C0">
        <w:rPr>
          <w:rFonts w:cs="Times New Roman"/>
          <w:lang w:val="fr-CA"/>
        </w:rPr>
        <w:t>Hogg</w:t>
      </w:r>
      <w:proofErr w:type="spellEnd"/>
      <w:r w:rsidRPr="004826C0">
        <w:rPr>
          <w:rFonts w:cs="Times New Roman"/>
          <w:lang w:val="fr-CA"/>
        </w:rPr>
        <w:t xml:space="preserve">, </w:t>
      </w:r>
      <w:proofErr w:type="spellStart"/>
      <w:r w:rsidRPr="004826C0">
        <w:rPr>
          <w:rFonts w:cs="Times New Roman"/>
          <w:i/>
          <w:lang w:val="fr-CA"/>
        </w:rPr>
        <w:t>Liability</w:t>
      </w:r>
      <w:proofErr w:type="spellEnd"/>
      <w:r w:rsidRPr="004826C0">
        <w:rPr>
          <w:rFonts w:cs="Times New Roman"/>
          <w:i/>
          <w:lang w:val="fr-CA"/>
        </w:rPr>
        <w:t xml:space="preserve"> of the Crown in </w:t>
      </w:r>
      <w:proofErr w:type="spellStart"/>
      <w:r w:rsidRPr="004826C0">
        <w:rPr>
          <w:rFonts w:cs="Times New Roman"/>
          <w:i/>
          <w:lang w:val="fr-CA"/>
        </w:rPr>
        <w:t>Australia</w:t>
      </w:r>
      <w:proofErr w:type="spellEnd"/>
      <w:r w:rsidRPr="004826C0">
        <w:rPr>
          <w:rFonts w:cs="Times New Roman"/>
          <w:i/>
          <w:lang w:val="fr-CA"/>
        </w:rPr>
        <w:t xml:space="preserve">, New </w:t>
      </w:r>
      <w:proofErr w:type="spellStart"/>
      <w:r w:rsidRPr="004826C0">
        <w:rPr>
          <w:rFonts w:cs="Times New Roman"/>
          <w:i/>
          <w:lang w:val="fr-CA"/>
        </w:rPr>
        <w:t>Zealand</w:t>
      </w:r>
      <w:proofErr w:type="spellEnd"/>
      <w:r w:rsidRPr="004826C0">
        <w:rPr>
          <w:rFonts w:cs="Times New Roman"/>
          <w:i/>
          <w:lang w:val="fr-CA"/>
        </w:rPr>
        <w:t xml:space="preserve"> and the United </w:t>
      </w:r>
      <w:proofErr w:type="spellStart"/>
      <w:r w:rsidRPr="004826C0">
        <w:rPr>
          <w:rFonts w:cs="Times New Roman"/>
          <w:i/>
          <w:lang w:val="fr-CA"/>
        </w:rPr>
        <w:t>Kingdom</w:t>
      </w:r>
      <w:proofErr w:type="spellEnd"/>
      <w:r w:rsidRPr="004826C0">
        <w:rPr>
          <w:rFonts w:cs="Times New Roman"/>
          <w:i/>
          <w:lang w:val="fr-CA"/>
        </w:rPr>
        <w:t xml:space="preserve"> </w:t>
      </w:r>
      <w:r w:rsidRPr="004826C0">
        <w:rPr>
          <w:rFonts w:cs="Times New Roman"/>
          <w:lang w:val="fr-CA"/>
        </w:rPr>
        <w:t>(1971), p. 183, cité par le juge La Forest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Sparling</w:t>
      </w:r>
      <w:proofErr w:type="spellEnd"/>
      <w:r w:rsidRPr="004826C0">
        <w:rPr>
          <w:rFonts w:cs="Times New Roman"/>
          <w:lang w:val="fr-CA"/>
        </w:rPr>
        <w:t>, p. 1023). Ce n</w:t>
      </w:r>
      <w:r>
        <w:rPr>
          <w:rFonts w:cs="Times New Roman"/>
          <w:lang w:val="fr-CA"/>
        </w:rPr>
        <w:t>’</w:t>
      </w:r>
      <w:r w:rsidRPr="004826C0">
        <w:rPr>
          <w:rFonts w:cs="Times New Roman"/>
          <w:lang w:val="fr-CA"/>
        </w:rPr>
        <w:t xml:space="preserve">est tout simplement pas pertinent dans le présent contexte. </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Pour ces motifs, l</w:t>
      </w:r>
      <w:r>
        <w:rPr>
          <w:rFonts w:cs="Times New Roman"/>
          <w:lang w:val="fr-CA"/>
        </w:rPr>
        <w:t>’</w:t>
      </w:r>
      <w:r w:rsidRPr="004826C0">
        <w:rPr>
          <w:rFonts w:cs="Times New Roman"/>
          <w:lang w:val="fr-CA"/>
        </w:rPr>
        <w:t>immunité du personnel définie à la section 8 s</w:t>
      </w:r>
      <w:r>
        <w:rPr>
          <w:rFonts w:cs="Times New Roman"/>
          <w:lang w:val="fr-CA"/>
        </w:rPr>
        <w:t>’</w:t>
      </w:r>
      <w:r w:rsidRPr="004826C0">
        <w:rPr>
          <w:rFonts w:cs="Times New Roman"/>
          <w:lang w:val="fr-CA"/>
        </w:rPr>
        <w:t>applique pour soustraire MM. </w:t>
      </w:r>
      <w:proofErr w:type="spellStart"/>
      <w:r w:rsidRPr="004826C0">
        <w:rPr>
          <w:rFonts w:cs="Times New Roman"/>
          <w:lang w:val="fr-CA"/>
        </w:rPr>
        <w:t>Haynes</w:t>
      </w:r>
      <w:proofErr w:type="spellEnd"/>
      <w:r w:rsidRPr="004826C0">
        <w:rPr>
          <w:rFonts w:cs="Times New Roman"/>
          <w:lang w:val="fr-CA"/>
        </w:rPr>
        <w:t xml:space="preserve"> et Kim à l</w:t>
      </w:r>
      <w:r>
        <w:rPr>
          <w:rFonts w:cs="Times New Roman"/>
          <w:lang w:val="fr-CA"/>
        </w:rPr>
        <w:t>’</w:t>
      </w:r>
      <w:r w:rsidRPr="004826C0">
        <w:rPr>
          <w:rFonts w:cs="Times New Roman"/>
          <w:lang w:val="fr-CA"/>
        </w:rPr>
        <w:t>assignation par un tribunal canadien, et il n</w:t>
      </w:r>
      <w:r>
        <w:rPr>
          <w:rFonts w:cs="Times New Roman"/>
          <w:lang w:val="fr-CA"/>
        </w:rPr>
        <w:t>’</w:t>
      </w:r>
      <w:r w:rsidRPr="004826C0">
        <w:rPr>
          <w:rFonts w:cs="Times New Roman"/>
          <w:lang w:val="fr-CA"/>
        </w:rPr>
        <w:t>y a pas eu renonciation à l</w:t>
      </w:r>
      <w:r>
        <w:rPr>
          <w:rFonts w:cs="Times New Roman"/>
          <w:lang w:val="fr-CA"/>
        </w:rPr>
        <w:t>’</w:t>
      </w:r>
      <w:r w:rsidRPr="004826C0">
        <w:rPr>
          <w:rFonts w:cs="Times New Roman"/>
          <w:lang w:val="fr-CA"/>
        </w:rPr>
        <w:t>immunité. Compte tenu de notre conclusion, il n</w:t>
      </w:r>
      <w:r>
        <w:rPr>
          <w:rFonts w:cs="Times New Roman"/>
          <w:lang w:val="fr-CA"/>
        </w:rPr>
        <w:t>’</w:t>
      </w:r>
      <w:r w:rsidRPr="004826C0">
        <w:rPr>
          <w:rFonts w:cs="Times New Roman"/>
          <w:lang w:val="fr-CA"/>
        </w:rPr>
        <w:t>est pas nécessaire de trancher la question de savoir si les assignations à comparaître ont été validement signifiées à MM. </w:t>
      </w:r>
      <w:proofErr w:type="spellStart"/>
      <w:r w:rsidRPr="004826C0">
        <w:rPr>
          <w:rFonts w:cs="Times New Roman"/>
          <w:lang w:val="fr-CA"/>
        </w:rPr>
        <w:t>Haynes</w:t>
      </w:r>
      <w:proofErr w:type="spellEnd"/>
      <w:r w:rsidRPr="004826C0">
        <w:rPr>
          <w:rFonts w:cs="Times New Roman"/>
          <w:lang w:val="fr-CA"/>
        </w:rPr>
        <w:t xml:space="preserve"> et Kim.</w:t>
      </w:r>
    </w:p>
    <w:p w:rsidR="002405E3" w:rsidRPr="004826C0" w:rsidRDefault="002405E3" w:rsidP="003C0B54">
      <w:pPr>
        <w:pStyle w:val="Title2LevelTitre2Niveau"/>
        <w:widowControl w:val="0"/>
        <w:rPr>
          <w:rFonts w:cs="Times New Roman"/>
          <w:lang w:val="fr-CA"/>
        </w:rPr>
      </w:pPr>
      <w:r w:rsidRPr="004826C0">
        <w:rPr>
          <w:rFonts w:cs="Times New Roman"/>
          <w:lang w:val="fr-CA"/>
        </w:rPr>
        <w:t>Droit interne en matière de communication de documents par un tiers dans une affaire criminelle</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Même si le Groupe ne bénéficiait d</w:t>
      </w:r>
      <w:r>
        <w:rPr>
          <w:rFonts w:cs="Times New Roman"/>
          <w:lang w:val="fr-CA"/>
        </w:rPr>
        <w:t>’</w:t>
      </w:r>
      <w:r w:rsidRPr="004826C0">
        <w:rPr>
          <w:rFonts w:cs="Times New Roman"/>
          <w:lang w:val="fr-CA"/>
        </w:rPr>
        <w:t>aucune des immunités définies dans l</w:t>
      </w:r>
      <w:r>
        <w:rPr>
          <w:rFonts w:cs="Times New Roman"/>
          <w:lang w:val="fr-CA"/>
        </w:rPr>
        <w:t>’</w:t>
      </w:r>
      <w:r w:rsidRPr="004826C0">
        <w:rPr>
          <w:rFonts w:cs="Times New Roman"/>
          <w:lang w:val="fr-CA"/>
        </w:rPr>
        <w:t>Accord et dans les Statuts, l</w:t>
      </w:r>
      <w:r>
        <w:rPr>
          <w:rFonts w:cs="Times New Roman"/>
          <w:lang w:val="fr-CA"/>
        </w:rPr>
        <w:t>’</w:t>
      </w:r>
      <w:r w:rsidRPr="004826C0">
        <w:rPr>
          <w:rFonts w:cs="Times New Roman"/>
          <w:lang w:val="fr-CA"/>
        </w:rPr>
        <w:t>ordonnance de communication n</w:t>
      </w:r>
      <w:r>
        <w:rPr>
          <w:rFonts w:cs="Times New Roman"/>
          <w:lang w:val="fr-CA"/>
        </w:rPr>
        <w:t>’</w:t>
      </w:r>
      <w:r w:rsidRPr="004826C0">
        <w:rPr>
          <w:rFonts w:cs="Times New Roman"/>
          <w:lang w:val="fr-CA"/>
        </w:rPr>
        <w:t>aurait pas dû être rendue sous le régime du droit canadien. S</w:t>
      </w:r>
      <w:r>
        <w:rPr>
          <w:rFonts w:cs="Times New Roman"/>
          <w:lang w:val="fr-CA"/>
        </w:rPr>
        <w:t>’</w:t>
      </w:r>
      <w:r w:rsidRPr="004826C0">
        <w:rPr>
          <w:rFonts w:cs="Times New Roman"/>
          <w:lang w:val="fr-CA"/>
        </w:rPr>
        <w:t>il veut obtenir des documents d</w:t>
      </w:r>
      <w:r>
        <w:rPr>
          <w:rFonts w:cs="Times New Roman"/>
          <w:lang w:val="fr-CA"/>
        </w:rPr>
        <w:t>’</w:t>
      </w:r>
      <w:r w:rsidRPr="004826C0">
        <w:rPr>
          <w:rFonts w:cs="Times New Roman"/>
          <w:lang w:val="fr-CA"/>
        </w:rPr>
        <w:t>un tiers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i/>
          <w:lang w:val="fr-CA"/>
        </w:rPr>
        <w:t xml:space="preserve"> </w:t>
      </w:r>
      <w:r w:rsidRPr="004826C0">
        <w:rPr>
          <w:rFonts w:cs="Times New Roman"/>
          <w:lang w:val="fr-CA"/>
        </w:rPr>
        <w:t>— pour contester une autorisation d</w:t>
      </w:r>
      <w:r>
        <w:rPr>
          <w:rFonts w:cs="Times New Roman"/>
          <w:lang w:val="fr-CA"/>
        </w:rPr>
        <w:t>’</w:t>
      </w:r>
      <w:r w:rsidRPr="004826C0">
        <w:rPr>
          <w:rFonts w:cs="Times New Roman"/>
          <w:lang w:val="fr-CA"/>
        </w:rPr>
        <w:t>écoute électronique — l</w:t>
      </w:r>
      <w:r>
        <w:rPr>
          <w:rFonts w:cs="Times New Roman"/>
          <w:lang w:val="fr-CA"/>
        </w:rPr>
        <w:t>’</w:t>
      </w:r>
      <w:r w:rsidRPr="004826C0">
        <w:rPr>
          <w:rFonts w:cs="Times New Roman"/>
          <w:lang w:val="fr-CA"/>
        </w:rPr>
        <w:t>accusé doit démontrer l</w:t>
      </w:r>
      <w:r>
        <w:rPr>
          <w:rFonts w:cs="Times New Roman"/>
          <w:lang w:val="fr-CA"/>
        </w:rPr>
        <w:t>’</w:t>
      </w:r>
      <w:r w:rsidRPr="004826C0">
        <w:rPr>
          <w:rFonts w:cs="Times New Roman"/>
          <w:lang w:val="fr-CA"/>
        </w:rPr>
        <w:t>existence d</w:t>
      </w:r>
      <w:r>
        <w:rPr>
          <w:rFonts w:cs="Times New Roman"/>
          <w:lang w:val="fr-CA"/>
        </w:rPr>
        <w:t>’</w:t>
      </w:r>
      <w:r w:rsidRPr="004826C0">
        <w:rPr>
          <w:rFonts w:cs="Times New Roman"/>
          <w:lang w:val="fr-CA"/>
        </w:rPr>
        <w:t>une probabilité raisonnable que les dossiers se révéleront utiles pour trancher les questions précises qu</w:t>
      </w:r>
      <w:r>
        <w:rPr>
          <w:rFonts w:cs="Times New Roman"/>
          <w:lang w:val="fr-CA"/>
        </w:rPr>
        <w:t>’</w:t>
      </w:r>
      <w:r w:rsidRPr="004826C0">
        <w:rPr>
          <w:rFonts w:cs="Times New Roman"/>
          <w:lang w:val="fr-CA"/>
        </w:rPr>
        <w:t>emporte ce type de demande. Les intimés ne l</w:t>
      </w:r>
      <w:r>
        <w:rPr>
          <w:rFonts w:cs="Times New Roman"/>
          <w:lang w:val="fr-CA"/>
        </w:rPr>
        <w:t>’</w:t>
      </w:r>
      <w:r w:rsidRPr="004826C0">
        <w:rPr>
          <w:rFonts w:cs="Times New Roman"/>
          <w:lang w:val="fr-CA"/>
        </w:rPr>
        <w:t>ont pas fait.</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 xml:space="preserve">Avant de nous pencher sur la demande de type </w:t>
      </w:r>
      <w:proofErr w:type="spellStart"/>
      <w:r w:rsidRPr="004826C0">
        <w:rPr>
          <w:rFonts w:cs="Times New Roman"/>
          <w:i/>
          <w:lang w:val="fr-CA"/>
        </w:rPr>
        <w:t>Garofoli</w:t>
      </w:r>
      <w:proofErr w:type="spellEnd"/>
      <w:r w:rsidRPr="004826C0">
        <w:rPr>
          <w:rFonts w:cs="Times New Roman"/>
          <w:lang w:val="fr-CA"/>
        </w:rPr>
        <w:t>, signalons que dans les documents déposés auprès du juge d</w:t>
      </w:r>
      <w:r>
        <w:rPr>
          <w:rFonts w:cs="Times New Roman"/>
          <w:lang w:val="fr-CA"/>
        </w:rPr>
        <w:t>’</w:t>
      </w:r>
      <w:r w:rsidRPr="004826C0">
        <w:rPr>
          <w:rFonts w:cs="Times New Roman"/>
          <w:lang w:val="fr-CA"/>
        </w:rPr>
        <w:t>instance, les intimés affirment que les dossiers demandés étaient [</w:t>
      </w:r>
      <w:r w:rsidRPr="004826C0">
        <w:rPr>
          <w:rFonts w:cs="Times New Roman"/>
          <w:smallCaps/>
          <w:lang w:val="fr-CA"/>
        </w:rPr>
        <w:t>traduction</w:t>
      </w:r>
      <w:r w:rsidRPr="004826C0">
        <w:rPr>
          <w:rFonts w:cs="Times New Roman"/>
          <w:lang w:val="fr-CA"/>
        </w:rPr>
        <w:t>] « “probablement pertinents” quant à d</w:t>
      </w:r>
      <w:r>
        <w:rPr>
          <w:rFonts w:cs="Times New Roman"/>
          <w:lang w:val="fr-CA"/>
        </w:rPr>
        <w:t>’</w:t>
      </w:r>
      <w:r w:rsidRPr="004826C0">
        <w:rPr>
          <w:rFonts w:cs="Times New Roman"/>
          <w:lang w:val="fr-CA"/>
        </w:rPr>
        <w:t>importantes questions en litige, à l</w:t>
      </w:r>
      <w:r>
        <w:rPr>
          <w:rFonts w:cs="Times New Roman"/>
          <w:lang w:val="fr-CA"/>
        </w:rPr>
        <w:t>’</w:t>
      </w:r>
      <w:r w:rsidRPr="004826C0">
        <w:rPr>
          <w:rFonts w:cs="Times New Roman"/>
          <w:lang w:val="fr-CA"/>
        </w:rPr>
        <w:t>habilité de certaines personnes à témoigner et à des points concernant une requête [. . .] conformément à l</w:t>
      </w:r>
      <w:r>
        <w:rPr>
          <w:rFonts w:cs="Times New Roman"/>
          <w:lang w:val="fr-CA"/>
        </w:rPr>
        <w:t>’</w:t>
      </w:r>
      <w:r w:rsidRPr="004826C0">
        <w:rPr>
          <w:rFonts w:cs="Times New Roman"/>
          <w:lang w:val="fr-CA"/>
        </w:rPr>
        <w:t xml:space="preserve">arrêt </w:t>
      </w:r>
      <w:r w:rsidRPr="004826C0">
        <w:rPr>
          <w:rFonts w:cs="Times New Roman"/>
          <w:i/>
          <w:lang w:val="fr-CA"/>
        </w:rPr>
        <w:t xml:space="preserve">R. c. </w:t>
      </w:r>
      <w:proofErr w:type="spellStart"/>
      <w:r w:rsidRPr="004826C0">
        <w:rPr>
          <w:rFonts w:cs="Times New Roman"/>
          <w:i/>
          <w:lang w:val="fr-CA"/>
        </w:rPr>
        <w:t>Garofoli</w:t>
      </w:r>
      <w:proofErr w:type="spellEnd"/>
      <w:r w:rsidRPr="004826C0">
        <w:rPr>
          <w:rFonts w:cs="Times New Roman"/>
          <w:lang w:val="fr-CA"/>
        </w:rPr>
        <w:t xml:space="preserve"> ». Seule la question relative à la demande de type </w:t>
      </w:r>
      <w:proofErr w:type="spellStart"/>
      <w:r w:rsidRPr="004826C0">
        <w:rPr>
          <w:rFonts w:cs="Times New Roman"/>
          <w:i/>
          <w:lang w:val="fr-CA"/>
        </w:rPr>
        <w:t>Garofoli</w:t>
      </w:r>
      <w:proofErr w:type="spellEnd"/>
      <w:r w:rsidRPr="004826C0">
        <w:rPr>
          <w:rFonts w:cs="Times New Roman"/>
          <w:lang w:val="fr-CA"/>
        </w:rPr>
        <w:t xml:space="preserve"> a toutefois été formulée et examinée par le juge d</w:t>
      </w:r>
      <w:r>
        <w:rPr>
          <w:rFonts w:cs="Times New Roman"/>
          <w:lang w:val="fr-CA"/>
        </w:rPr>
        <w:t>’</w:t>
      </w:r>
      <w:r w:rsidRPr="004826C0">
        <w:rPr>
          <w:rFonts w:cs="Times New Roman"/>
          <w:lang w:val="fr-CA"/>
        </w:rPr>
        <w:t>instance. Nous allons, par conséquent, nous y limiter.</w:t>
      </w:r>
    </w:p>
    <w:p w:rsidR="002405E3" w:rsidRPr="004826C0" w:rsidRDefault="002405E3" w:rsidP="003C0B54">
      <w:pPr>
        <w:pStyle w:val="Title3LevelTitre3Niveau"/>
        <w:widowControl w:val="0"/>
        <w:ind w:left="1138"/>
        <w:rPr>
          <w:rFonts w:cs="Times New Roman"/>
          <w:lang w:val="fr-CA"/>
        </w:rPr>
      </w:pPr>
      <w:r w:rsidRPr="004826C0">
        <w:rPr>
          <w:rFonts w:cs="Times New Roman"/>
          <w:lang w:val="fr-CA"/>
        </w:rPr>
        <w:t>Les documents déjà divulgués en l</w:t>
      </w:r>
      <w:r>
        <w:rPr>
          <w:rFonts w:cs="Times New Roman"/>
          <w:lang w:val="fr-CA"/>
        </w:rPr>
        <w:t>’</w:t>
      </w:r>
      <w:r w:rsidRPr="004826C0">
        <w:rPr>
          <w:rFonts w:cs="Times New Roman"/>
          <w:lang w:val="fr-CA"/>
        </w:rPr>
        <w:t>espèce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Comme nous l</w:t>
      </w:r>
      <w:r>
        <w:rPr>
          <w:rFonts w:cs="Times New Roman"/>
          <w:lang w:val="fr-CA"/>
        </w:rPr>
        <w:t>’</w:t>
      </w:r>
      <w:r w:rsidRPr="004826C0">
        <w:rPr>
          <w:rFonts w:cs="Times New Roman"/>
          <w:lang w:val="fr-CA"/>
        </w:rPr>
        <w:t>avons mentionné, les communications interceptées constituent une partie importante de la preuve de la Couronne contre les intimés. La GRC a obtenu les autorisations en grande partie sur la foi des renseignements fournis par l</w:t>
      </w:r>
      <w:r>
        <w:rPr>
          <w:rFonts w:cs="Times New Roman"/>
          <w:lang w:val="fr-CA"/>
        </w:rPr>
        <w:t>’</w:t>
      </w:r>
      <w:r w:rsidRPr="004826C0">
        <w:rPr>
          <w:rFonts w:cs="Times New Roman"/>
          <w:lang w:val="fr-CA"/>
        </w:rPr>
        <w:t>INT.</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Peu après le début de l</w:t>
      </w:r>
      <w:r>
        <w:rPr>
          <w:rFonts w:cs="Times New Roman"/>
          <w:lang w:val="fr-CA"/>
        </w:rPr>
        <w:t>’</w:t>
      </w:r>
      <w:r w:rsidRPr="004826C0">
        <w:rPr>
          <w:rFonts w:cs="Times New Roman"/>
          <w:lang w:val="fr-CA"/>
        </w:rPr>
        <w:t>enquête, le sergent</w:t>
      </w:r>
      <w:r w:rsidRPr="004826C0">
        <w:rPr>
          <w:rFonts w:cs="Times New Roman"/>
          <w:lang w:val="fr-CA"/>
        </w:rPr>
        <w:noBreakHyphen/>
        <w:t>chef Martin Bédard, chef d</w:t>
      </w:r>
      <w:r>
        <w:rPr>
          <w:rFonts w:cs="Times New Roman"/>
          <w:lang w:val="fr-CA"/>
        </w:rPr>
        <w:t>’</w:t>
      </w:r>
      <w:r w:rsidRPr="004826C0">
        <w:rPr>
          <w:rFonts w:cs="Times New Roman"/>
          <w:lang w:val="fr-CA"/>
        </w:rPr>
        <w:t xml:space="preserve">équipe de la GRC, a confié au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la tâche de préparer un affidavit en vue d</w:t>
      </w:r>
      <w:r>
        <w:rPr>
          <w:rFonts w:cs="Times New Roman"/>
          <w:lang w:val="fr-CA"/>
        </w:rPr>
        <w:t>’</w:t>
      </w:r>
      <w:r w:rsidRPr="004826C0">
        <w:rPr>
          <w:rFonts w:cs="Times New Roman"/>
          <w:lang w:val="fr-CA"/>
        </w:rPr>
        <w:t>obtenir l</w:t>
      </w:r>
      <w:r>
        <w:rPr>
          <w:rFonts w:cs="Times New Roman"/>
          <w:lang w:val="fr-CA"/>
        </w:rPr>
        <w:t>’</w:t>
      </w:r>
      <w:r w:rsidRPr="004826C0">
        <w:rPr>
          <w:rFonts w:cs="Times New Roman"/>
          <w:lang w:val="fr-CA"/>
        </w:rPr>
        <w:t>autorisation d</w:t>
      </w:r>
      <w:r>
        <w:rPr>
          <w:rFonts w:cs="Times New Roman"/>
          <w:lang w:val="fr-CA"/>
        </w:rPr>
        <w:t>’</w:t>
      </w:r>
      <w:r w:rsidR="002D3984">
        <w:rPr>
          <w:rFonts w:cs="Times New Roman"/>
          <w:lang w:val="fr-CA"/>
        </w:rPr>
        <w:t>écoute électronique. Le sergent</w:t>
      </w:r>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avait une longue expérience en la matière.</w:t>
      </w:r>
    </w:p>
    <w:p w:rsidR="002405E3" w:rsidRPr="004826C0" w:rsidRDefault="002D3984" w:rsidP="003C0B54">
      <w:pPr>
        <w:pStyle w:val="ParaNoNdepar-AltN"/>
        <w:widowControl w:val="0"/>
        <w:numPr>
          <w:ilvl w:val="0"/>
          <w:numId w:val="7"/>
        </w:numPr>
        <w:tabs>
          <w:tab w:val="clear" w:pos="6462"/>
        </w:tabs>
        <w:ind w:left="0"/>
        <w:rPr>
          <w:rFonts w:cs="Times New Roman"/>
          <w:lang w:val="fr-CA"/>
        </w:rPr>
      </w:pPr>
      <w:r>
        <w:rPr>
          <w:rFonts w:cs="Times New Roman"/>
          <w:lang w:val="fr-CA"/>
        </w:rPr>
        <w:t>Le sergent</w:t>
      </w:r>
      <w:r w:rsidR="002405E3" w:rsidRPr="004826C0">
        <w:rPr>
          <w:rFonts w:cs="Times New Roman"/>
          <w:lang w:val="fr-CA"/>
        </w:rPr>
        <w:t> </w:t>
      </w:r>
      <w:proofErr w:type="spellStart"/>
      <w:r w:rsidR="002405E3" w:rsidRPr="004826C0">
        <w:rPr>
          <w:rFonts w:cs="Times New Roman"/>
          <w:lang w:val="fr-CA"/>
        </w:rPr>
        <w:t>Driscoll</w:t>
      </w:r>
      <w:proofErr w:type="spellEnd"/>
      <w:r w:rsidR="002405E3" w:rsidRPr="004826C0">
        <w:rPr>
          <w:rFonts w:cs="Times New Roman"/>
          <w:lang w:val="fr-CA"/>
        </w:rPr>
        <w:t xml:space="preserve"> n</w:t>
      </w:r>
      <w:r w:rsidR="002405E3">
        <w:rPr>
          <w:rFonts w:cs="Times New Roman"/>
          <w:lang w:val="fr-CA"/>
        </w:rPr>
        <w:t>’</w:t>
      </w:r>
      <w:r w:rsidR="002405E3" w:rsidRPr="004826C0">
        <w:rPr>
          <w:rFonts w:cs="Times New Roman"/>
          <w:lang w:val="fr-CA"/>
        </w:rPr>
        <w:t xml:space="preserve">a pas pris de notes manuscrites sur son travail à titre de déposant, mais il a pris quelques pages de notes électroniques lors de ses premières rencontres avec les représentants du Groupe à Washington. Selon le </w:t>
      </w:r>
      <w:proofErr w:type="spellStart"/>
      <w:r w:rsidR="002405E3" w:rsidRPr="004826C0">
        <w:rPr>
          <w:rFonts w:cs="Times New Roman"/>
          <w:lang w:val="fr-CA"/>
        </w:rPr>
        <w:t>serg</w:t>
      </w:r>
      <w:proofErr w:type="spellEnd"/>
      <w:r w:rsidR="002405E3" w:rsidRPr="004826C0">
        <w:rPr>
          <w:rFonts w:cs="Times New Roman"/>
          <w:lang w:val="fr-CA"/>
        </w:rPr>
        <w:t>. </w:t>
      </w:r>
      <w:proofErr w:type="spellStart"/>
      <w:r w:rsidR="002405E3" w:rsidRPr="004826C0">
        <w:rPr>
          <w:rFonts w:cs="Times New Roman"/>
          <w:lang w:val="fr-CA"/>
        </w:rPr>
        <w:t>Driscoll</w:t>
      </w:r>
      <w:proofErr w:type="spellEnd"/>
      <w:r w:rsidR="002405E3" w:rsidRPr="004826C0">
        <w:rPr>
          <w:rFonts w:cs="Times New Roman"/>
          <w:lang w:val="fr-CA"/>
        </w:rPr>
        <w:t>, ces notes devaient servir de base à la rédaction des affidavits, et elles ont été divulguées aux intimés.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 serg</w:t>
      </w:r>
      <w:r w:rsidR="002D3984">
        <w:rPr>
          <w:rFonts w:cs="Times New Roman"/>
          <w:lang w:val="fr-CA"/>
        </w:rPr>
        <w:t>ent</w:t>
      </w:r>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a déclaré que lorsqu</w:t>
      </w:r>
      <w:r>
        <w:rPr>
          <w:rFonts w:cs="Times New Roman"/>
          <w:lang w:val="fr-CA"/>
        </w:rPr>
        <w:t>’</w:t>
      </w:r>
      <w:r w:rsidRPr="004826C0">
        <w:rPr>
          <w:rFonts w:cs="Times New Roman"/>
          <w:lang w:val="fr-CA"/>
        </w:rPr>
        <w:t>il agit comme déposant, il ne prend généralement pas de notes, car il ne participe pas activement à l</w:t>
      </w:r>
      <w:r>
        <w:rPr>
          <w:rFonts w:cs="Times New Roman"/>
          <w:lang w:val="fr-CA"/>
        </w:rPr>
        <w:t>’</w:t>
      </w:r>
      <w:r w:rsidRPr="004826C0">
        <w:rPr>
          <w:rFonts w:cs="Times New Roman"/>
          <w:lang w:val="fr-CA"/>
        </w:rPr>
        <w:t>enquête et s</w:t>
      </w:r>
      <w:r>
        <w:rPr>
          <w:rFonts w:cs="Times New Roman"/>
          <w:lang w:val="fr-CA"/>
        </w:rPr>
        <w:t>’</w:t>
      </w:r>
      <w:r w:rsidRPr="004826C0">
        <w:rPr>
          <w:rFonts w:cs="Times New Roman"/>
          <w:lang w:val="fr-CA"/>
        </w:rPr>
        <w:t>appuie plutôt sur le travail d</w:t>
      </w:r>
      <w:r>
        <w:rPr>
          <w:rFonts w:cs="Times New Roman"/>
          <w:lang w:val="fr-CA"/>
        </w:rPr>
        <w:t>’</w:t>
      </w:r>
      <w:r w:rsidRPr="004826C0">
        <w:rPr>
          <w:rFonts w:cs="Times New Roman"/>
          <w:lang w:val="fr-CA"/>
        </w:rPr>
        <w:t>autrui. Lorsqu</w:t>
      </w:r>
      <w:r>
        <w:rPr>
          <w:rFonts w:cs="Times New Roman"/>
          <w:lang w:val="fr-CA"/>
        </w:rPr>
        <w:t>’</w:t>
      </w:r>
      <w:r w:rsidRPr="004826C0">
        <w:rPr>
          <w:rFonts w:cs="Times New Roman"/>
          <w:lang w:val="fr-CA"/>
        </w:rPr>
        <w:t>il a participé à ce qu</w:t>
      </w:r>
      <w:r>
        <w:rPr>
          <w:rFonts w:cs="Times New Roman"/>
          <w:lang w:val="fr-CA"/>
        </w:rPr>
        <w:t>’</w:t>
      </w:r>
      <w:r w:rsidRPr="004826C0">
        <w:rPr>
          <w:rFonts w:cs="Times New Roman"/>
          <w:lang w:val="fr-CA"/>
        </w:rPr>
        <w:t>il estime être une [</w:t>
      </w:r>
      <w:r w:rsidRPr="004826C0">
        <w:rPr>
          <w:rFonts w:cs="Times New Roman"/>
          <w:smallCaps/>
          <w:lang w:val="fr-CA"/>
        </w:rPr>
        <w:t>traduction</w:t>
      </w:r>
      <w:r w:rsidRPr="004826C0">
        <w:rPr>
          <w:rFonts w:cs="Times New Roman"/>
          <w:lang w:val="fr-CA"/>
        </w:rPr>
        <w:t>] « étape de l</w:t>
      </w:r>
      <w:r>
        <w:rPr>
          <w:rFonts w:cs="Times New Roman"/>
          <w:lang w:val="fr-CA"/>
        </w:rPr>
        <w:t>’</w:t>
      </w:r>
      <w:r w:rsidRPr="004826C0">
        <w:rPr>
          <w:rFonts w:cs="Times New Roman"/>
          <w:lang w:val="fr-CA"/>
        </w:rPr>
        <w:t>enquête », comme l</w:t>
      </w:r>
      <w:r>
        <w:rPr>
          <w:rFonts w:cs="Times New Roman"/>
          <w:lang w:val="fr-CA"/>
        </w:rPr>
        <w:t>’</w:t>
      </w:r>
      <w:r w:rsidRPr="004826C0">
        <w:rPr>
          <w:rFonts w:cs="Times New Roman"/>
          <w:lang w:val="fr-CA"/>
        </w:rPr>
        <w:t>exécution du mandat de perquisition dans les locaux de SNC</w:t>
      </w:r>
      <w:r w:rsidRPr="004826C0">
        <w:rPr>
          <w:rFonts w:cs="Times New Roman"/>
          <w:lang w:val="fr-CA"/>
        </w:rPr>
        <w:noBreakHyphen/>
      </w:r>
      <w:proofErr w:type="spellStart"/>
      <w:r w:rsidRPr="004826C0">
        <w:rPr>
          <w:rFonts w:cs="Times New Roman"/>
          <w:lang w:val="fr-CA"/>
        </w:rPr>
        <w:t>Lavalin</w:t>
      </w:r>
      <w:proofErr w:type="spellEnd"/>
      <w:r w:rsidRPr="004826C0">
        <w:rPr>
          <w:rFonts w:cs="Times New Roman"/>
          <w:lang w:val="fr-CA"/>
        </w:rPr>
        <w:t xml:space="preserve"> le 1</w:t>
      </w:r>
      <w:r w:rsidRPr="004826C0">
        <w:rPr>
          <w:rFonts w:cs="Times New Roman"/>
          <w:vertAlign w:val="superscript"/>
          <w:lang w:val="fr-CA"/>
        </w:rPr>
        <w:t>er</w:t>
      </w:r>
      <w:r w:rsidRPr="004826C0">
        <w:rPr>
          <w:rFonts w:cs="Times New Roman"/>
          <w:lang w:val="fr-CA"/>
        </w:rPr>
        <w:t> septembre 2011 et l</w:t>
      </w:r>
      <w:r>
        <w:rPr>
          <w:rFonts w:cs="Times New Roman"/>
          <w:lang w:val="fr-CA"/>
        </w:rPr>
        <w:t>’</w:t>
      </w:r>
      <w:r w:rsidRPr="004826C0">
        <w:rPr>
          <w:rFonts w:cs="Times New Roman"/>
          <w:lang w:val="fr-CA"/>
        </w:rPr>
        <w:t>entretien avec l</w:t>
      </w:r>
      <w:r>
        <w:rPr>
          <w:rFonts w:cs="Times New Roman"/>
          <w:lang w:val="fr-CA"/>
        </w:rPr>
        <w:t>’</w:t>
      </w:r>
      <w:r w:rsidRPr="004826C0">
        <w:rPr>
          <w:rFonts w:cs="Times New Roman"/>
          <w:lang w:val="fr-CA"/>
        </w:rPr>
        <w:t>un des intimés, il a pris des notes manuscrites. Ces deux faits se sont produits après les autorisations d</w:t>
      </w:r>
      <w:r>
        <w:rPr>
          <w:rFonts w:cs="Times New Roman"/>
          <w:lang w:val="fr-CA"/>
        </w:rPr>
        <w:t>’</w:t>
      </w:r>
      <w:r w:rsidRPr="004826C0">
        <w:rPr>
          <w:rFonts w:cs="Times New Roman"/>
          <w:lang w:val="fr-CA"/>
        </w:rPr>
        <w:t>écoute électronique.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Lorsqu</w:t>
      </w:r>
      <w:r>
        <w:rPr>
          <w:rFonts w:cs="Times New Roman"/>
          <w:lang w:val="fr-CA"/>
        </w:rPr>
        <w:t>’</w:t>
      </w:r>
      <w:r w:rsidRPr="004826C0">
        <w:rPr>
          <w:rFonts w:cs="Times New Roman"/>
          <w:lang w:val="fr-CA"/>
        </w:rPr>
        <w:t xml:space="preserve">il a rédigé les affidavits, le </w:t>
      </w:r>
      <w:proofErr w:type="spellStart"/>
      <w:r w:rsidRPr="004826C0">
        <w:rPr>
          <w:rFonts w:cs="Times New Roman"/>
          <w:lang w:val="fr-CA"/>
        </w:rPr>
        <w:t>serg</w:t>
      </w:r>
      <w:proofErr w:type="spellEnd"/>
      <w:r>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s</w:t>
      </w:r>
      <w:r>
        <w:rPr>
          <w:rFonts w:cs="Times New Roman"/>
          <w:lang w:val="fr-CA"/>
        </w:rPr>
        <w:t>’</w:t>
      </w:r>
      <w:r w:rsidRPr="004826C0">
        <w:rPr>
          <w:rFonts w:cs="Times New Roman"/>
          <w:lang w:val="fr-CA"/>
        </w:rPr>
        <w:t>est fondé principalement sur les documents transmis par l</w:t>
      </w:r>
      <w:r>
        <w:rPr>
          <w:rFonts w:cs="Times New Roman"/>
          <w:lang w:val="fr-CA"/>
        </w:rPr>
        <w:t>’</w:t>
      </w:r>
      <w:r w:rsidRPr="004826C0">
        <w:rPr>
          <w:rFonts w:cs="Times New Roman"/>
          <w:lang w:val="fr-CA"/>
        </w:rPr>
        <w:t>INT et sur le fruit du travail d</w:t>
      </w:r>
      <w:r>
        <w:rPr>
          <w:rFonts w:cs="Times New Roman"/>
          <w:lang w:val="fr-CA"/>
        </w:rPr>
        <w:t>’</w:t>
      </w:r>
      <w:r w:rsidRPr="004826C0">
        <w:rPr>
          <w:rFonts w:cs="Times New Roman"/>
          <w:lang w:val="fr-CA"/>
        </w:rPr>
        <w:t>autres agents. Il a repris textuellement ces renseignements dans les projets d</w:t>
      </w:r>
      <w:r>
        <w:rPr>
          <w:rFonts w:cs="Times New Roman"/>
          <w:lang w:val="fr-CA"/>
        </w:rPr>
        <w:t>’</w:t>
      </w:r>
      <w:r w:rsidRPr="004826C0">
        <w:rPr>
          <w:rFonts w:cs="Times New Roman"/>
          <w:lang w:val="fr-CA"/>
        </w:rPr>
        <w:t>affidavits, en citant généralement la source dans une note de bas de page. Chaque rapport de l</w:t>
      </w:r>
      <w:r>
        <w:rPr>
          <w:rFonts w:cs="Times New Roman"/>
          <w:lang w:val="fr-CA"/>
        </w:rPr>
        <w:t>’</w:t>
      </w:r>
      <w:r w:rsidRPr="004826C0">
        <w:rPr>
          <w:rFonts w:cs="Times New Roman"/>
          <w:lang w:val="fr-CA"/>
        </w:rPr>
        <w:t>INT consulté</w:t>
      </w:r>
      <w:r>
        <w:rPr>
          <w:rFonts w:cs="Times New Roman"/>
          <w:lang w:val="fr-CA"/>
        </w:rPr>
        <w:t xml:space="preserve"> par le </w:t>
      </w:r>
      <w:proofErr w:type="spellStart"/>
      <w:r>
        <w:rPr>
          <w:rFonts w:cs="Times New Roman"/>
          <w:lang w:val="fr-CA"/>
        </w:rPr>
        <w:t>serg</w:t>
      </w:r>
      <w:proofErr w:type="spellEnd"/>
      <w:r>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a été divulgué.</w:t>
      </w:r>
    </w:p>
    <w:p w:rsidR="002405E3" w:rsidRPr="004826C0" w:rsidRDefault="00F42B27" w:rsidP="003C0B54">
      <w:pPr>
        <w:pStyle w:val="ParaNoNdepar-AltN"/>
        <w:widowControl w:val="0"/>
        <w:numPr>
          <w:ilvl w:val="0"/>
          <w:numId w:val="7"/>
        </w:numPr>
        <w:tabs>
          <w:tab w:val="clear" w:pos="6462"/>
        </w:tabs>
        <w:ind w:left="0"/>
        <w:rPr>
          <w:rFonts w:cs="Times New Roman"/>
          <w:lang w:val="fr-CA"/>
        </w:rPr>
      </w:pPr>
      <w:r>
        <w:rPr>
          <w:rFonts w:cs="Times New Roman"/>
          <w:lang w:val="fr-CA"/>
        </w:rPr>
        <w:t xml:space="preserve">Le sergent </w:t>
      </w:r>
      <w:proofErr w:type="spellStart"/>
      <w:r w:rsidR="002405E3" w:rsidRPr="004826C0">
        <w:rPr>
          <w:rFonts w:cs="Times New Roman"/>
          <w:lang w:val="fr-CA"/>
        </w:rPr>
        <w:t>Driscoll</w:t>
      </w:r>
      <w:proofErr w:type="spellEnd"/>
      <w:r w:rsidR="002405E3" w:rsidRPr="004826C0">
        <w:rPr>
          <w:rFonts w:cs="Times New Roman"/>
          <w:lang w:val="fr-CA"/>
        </w:rPr>
        <w:t xml:space="preserve"> s</w:t>
      </w:r>
      <w:r w:rsidR="002405E3">
        <w:rPr>
          <w:rFonts w:cs="Times New Roman"/>
          <w:lang w:val="fr-CA"/>
        </w:rPr>
        <w:t>’</w:t>
      </w:r>
      <w:r w:rsidR="002405E3" w:rsidRPr="004826C0">
        <w:rPr>
          <w:rFonts w:cs="Times New Roman"/>
          <w:lang w:val="fr-CA"/>
        </w:rPr>
        <w:t>est aussi entretenu régulièrement avec M. </w:t>
      </w:r>
      <w:proofErr w:type="spellStart"/>
      <w:r w:rsidR="002405E3" w:rsidRPr="004826C0">
        <w:rPr>
          <w:rFonts w:cs="Times New Roman"/>
          <w:lang w:val="fr-CA"/>
        </w:rPr>
        <w:t>Haynes</w:t>
      </w:r>
      <w:proofErr w:type="spellEnd"/>
      <w:r w:rsidR="002405E3" w:rsidRPr="004826C0">
        <w:rPr>
          <w:rFonts w:cs="Times New Roman"/>
          <w:lang w:val="fr-CA"/>
        </w:rPr>
        <w:t xml:space="preserve"> et a obtenu de sa part des renseignements. Dans les affidavits, il a indiqué que la source de ces renseignements était M. </w:t>
      </w:r>
      <w:proofErr w:type="spellStart"/>
      <w:r w:rsidR="002405E3" w:rsidRPr="004826C0">
        <w:rPr>
          <w:rFonts w:cs="Times New Roman"/>
          <w:lang w:val="fr-CA"/>
        </w:rPr>
        <w:t>Haynes</w:t>
      </w:r>
      <w:proofErr w:type="spellEnd"/>
      <w:r w:rsidR="002405E3" w:rsidRPr="004826C0">
        <w:rPr>
          <w:rFonts w:cs="Times New Roman"/>
          <w:lang w:val="fr-CA"/>
        </w:rPr>
        <w:t>, mais n</w:t>
      </w:r>
      <w:r w:rsidR="002405E3">
        <w:rPr>
          <w:rFonts w:cs="Times New Roman"/>
          <w:lang w:val="fr-CA"/>
        </w:rPr>
        <w:t>’</w:t>
      </w:r>
      <w:r w:rsidR="002405E3" w:rsidRPr="004826C0">
        <w:rPr>
          <w:rFonts w:cs="Times New Roman"/>
          <w:lang w:val="fr-CA"/>
        </w:rPr>
        <w:t>a pas pris de notes séparées de leurs conversations. Si les renseignements n</w:t>
      </w:r>
      <w:r w:rsidR="002405E3">
        <w:rPr>
          <w:rFonts w:cs="Times New Roman"/>
          <w:lang w:val="fr-CA"/>
        </w:rPr>
        <w:t>’</w:t>
      </w:r>
      <w:r w:rsidR="002405E3" w:rsidRPr="004826C0">
        <w:rPr>
          <w:rFonts w:cs="Times New Roman"/>
          <w:lang w:val="fr-CA"/>
        </w:rPr>
        <w:t>ont pas été consignés dans les affidavits, ils ne l</w:t>
      </w:r>
      <w:r w:rsidR="002405E3">
        <w:rPr>
          <w:rFonts w:cs="Times New Roman"/>
          <w:lang w:val="fr-CA"/>
        </w:rPr>
        <w:t>’</w:t>
      </w:r>
      <w:r w:rsidR="002405E3" w:rsidRPr="004826C0">
        <w:rPr>
          <w:rFonts w:cs="Times New Roman"/>
          <w:lang w:val="fr-CA"/>
        </w:rPr>
        <w:t>ont été nulle part.</w:t>
      </w:r>
    </w:p>
    <w:p w:rsidR="002405E3" w:rsidRPr="004826C0" w:rsidRDefault="00F42B27" w:rsidP="003C0B54">
      <w:pPr>
        <w:pStyle w:val="ParaNoNdepar-AltN"/>
        <w:widowControl w:val="0"/>
        <w:numPr>
          <w:ilvl w:val="0"/>
          <w:numId w:val="7"/>
        </w:numPr>
        <w:tabs>
          <w:tab w:val="clear" w:pos="6462"/>
        </w:tabs>
        <w:ind w:left="0"/>
        <w:rPr>
          <w:rFonts w:cs="Times New Roman"/>
          <w:lang w:val="fr-CA"/>
        </w:rPr>
      </w:pPr>
      <w:r>
        <w:rPr>
          <w:rFonts w:cs="Times New Roman"/>
          <w:lang w:val="fr-CA"/>
        </w:rPr>
        <w:t xml:space="preserve">Le sergent </w:t>
      </w:r>
      <w:proofErr w:type="spellStart"/>
      <w:r w:rsidR="002405E3" w:rsidRPr="004826C0">
        <w:rPr>
          <w:rFonts w:cs="Times New Roman"/>
          <w:lang w:val="fr-CA"/>
        </w:rPr>
        <w:t>Driscoll</w:t>
      </w:r>
      <w:proofErr w:type="spellEnd"/>
      <w:r w:rsidR="002405E3" w:rsidRPr="004826C0">
        <w:rPr>
          <w:rFonts w:cs="Times New Roman"/>
          <w:lang w:val="fr-CA"/>
        </w:rPr>
        <w:t xml:space="preserve"> a vérifié le contenu du projet du premier des trois affidavits auprès de M. </w:t>
      </w:r>
      <w:proofErr w:type="spellStart"/>
      <w:r w:rsidR="002405E3" w:rsidRPr="004826C0">
        <w:rPr>
          <w:rFonts w:cs="Times New Roman"/>
          <w:lang w:val="fr-CA"/>
        </w:rPr>
        <w:t>Haynes</w:t>
      </w:r>
      <w:proofErr w:type="spellEnd"/>
      <w:r w:rsidR="002405E3" w:rsidRPr="004826C0">
        <w:rPr>
          <w:rFonts w:cs="Times New Roman"/>
          <w:lang w:val="fr-CA"/>
        </w:rPr>
        <w:t>, tant pour s</w:t>
      </w:r>
      <w:r w:rsidR="002405E3">
        <w:rPr>
          <w:rFonts w:cs="Times New Roman"/>
          <w:lang w:val="fr-CA"/>
        </w:rPr>
        <w:t>’</w:t>
      </w:r>
      <w:r w:rsidR="002405E3" w:rsidRPr="004826C0">
        <w:rPr>
          <w:rFonts w:cs="Times New Roman"/>
          <w:lang w:val="fr-CA"/>
        </w:rPr>
        <w:t>assurer de son exactitude que pour éviter de révéler par inadvertance l</w:t>
      </w:r>
      <w:r w:rsidR="002405E3">
        <w:rPr>
          <w:rFonts w:cs="Times New Roman"/>
          <w:lang w:val="fr-CA"/>
        </w:rPr>
        <w:t>’</w:t>
      </w:r>
      <w:r w:rsidR="002405E3" w:rsidRPr="004826C0">
        <w:rPr>
          <w:rFonts w:cs="Times New Roman"/>
          <w:lang w:val="fr-CA"/>
        </w:rPr>
        <w:t>identité des informateurs. Il a conservé une copie électronique de ce projet, qui a été divulgué aux intimés.</w:t>
      </w:r>
    </w:p>
    <w:p w:rsidR="002405E3" w:rsidRPr="004826C0" w:rsidRDefault="00F42B27" w:rsidP="003C0B54">
      <w:pPr>
        <w:pStyle w:val="ParaNoNdepar-AltN"/>
        <w:widowControl w:val="0"/>
        <w:numPr>
          <w:ilvl w:val="0"/>
          <w:numId w:val="7"/>
        </w:numPr>
        <w:tabs>
          <w:tab w:val="clear" w:pos="6462"/>
        </w:tabs>
        <w:ind w:left="0"/>
        <w:rPr>
          <w:rFonts w:cs="Times New Roman"/>
          <w:lang w:val="fr-CA"/>
        </w:rPr>
      </w:pPr>
      <w:r>
        <w:rPr>
          <w:rFonts w:cs="Times New Roman"/>
          <w:lang w:val="fr-CA"/>
        </w:rPr>
        <w:t xml:space="preserve">Le sergent </w:t>
      </w:r>
      <w:proofErr w:type="spellStart"/>
      <w:r w:rsidR="002405E3" w:rsidRPr="004826C0">
        <w:rPr>
          <w:rFonts w:cs="Times New Roman"/>
          <w:lang w:val="fr-CA"/>
        </w:rPr>
        <w:t>Driscoll</w:t>
      </w:r>
      <w:proofErr w:type="spellEnd"/>
      <w:r w:rsidR="002405E3" w:rsidRPr="004826C0">
        <w:rPr>
          <w:rFonts w:cs="Times New Roman"/>
          <w:lang w:val="fr-CA"/>
        </w:rPr>
        <w:t xml:space="preserve"> a aussi parlé directement à l</w:t>
      </w:r>
      <w:r w:rsidR="002405E3">
        <w:rPr>
          <w:rFonts w:cs="Times New Roman"/>
          <w:lang w:val="fr-CA"/>
        </w:rPr>
        <w:t>’</w:t>
      </w:r>
      <w:r w:rsidR="002405E3" w:rsidRPr="004826C0">
        <w:rPr>
          <w:rFonts w:cs="Times New Roman"/>
          <w:lang w:val="fr-CA"/>
        </w:rPr>
        <w:t>un des informateurs à au moins deux reprises. Il n</w:t>
      </w:r>
      <w:r w:rsidR="002405E3">
        <w:rPr>
          <w:rFonts w:cs="Times New Roman"/>
          <w:lang w:val="fr-CA"/>
        </w:rPr>
        <w:t>’</w:t>
      </w:r>
      <w:r w:rsidR="002405E3" w:rsidRPr="004826C0">
        <w:rPr>
          <w:rFonts w:cs="Times New Roman"/>
          <w:lang w:val="fr-CA"/>
        </w:rPr>
        <w:t>a pas pris de notes lors de ces conversations, mais le sergent</w:t>
      </w:r>
      <w:r w:rsidR="002405E3" w:rsidRPr="004826C0">
        <w:rPr>
          <w:rFonts w:cs="Times New Roman"/>
          <w:lang w:val="fr-CA"/>
        </w:rPr>
        <w:noBreakHyphen/>
        <w:t>chef Bédard et d</w:t>
      </w:r>
      <w:r w:rsidR="002405E3">
        <w:rPr>
          <w:rFonts w:cs="Times New Roman"/>
          <w:lang w:val="fr-CA"/>
        </w:rPr>
        <w:t>’</w:t>
      </w:r>
      <w:r w:rsidR="002405E3" w:rsidRPr="004826C0">
        <w:rPr>
          <w:rFonts w:cs="Times New Roman"/>
          <w:lang w:val="fr-CA"/>
        </w:rPr>
        <w:t>autres agents ont assisté à ces conversations et pris des notes. Les notes manuscrites du sergent</w:t>
      </w:r>
      <w:r w:rsidR="002405E3" w:rsidRPr="004826C0">
        <w:rPr>
          <w:rFonts w:cs="Times New Roman"/>
          <w:lang w:val="fr-CA"/>
        </w:rPr>
        <w:noBreakHyphen/>
        <w:t>chef Bédard à l</w:t>
      </w:r>
      <w:r w:rsidR="002405E3">
        <w:rPr>
          <w:rFonts w:cs="Times New Roman"/>
          <w:lang w:val="fr-CA"/>
        </w:rPr>
        <w:t>’</w:t>
      </w:r>
      <w:r w:rsidR="002405E3" w:rsidRPr="004826C0">
        <w:rPr>
          <w:rFonts w:cs="Times New Roman"/>
          <w:lang w:val="fr-CA"/>
        </w:rPr>
        <w:t>égard de l</w:t>
      </w:r>
      <w:r w:rsidR="002405E3">
        <w:rPr>
          <w:rFonts w:cs="Times New Roman"/>
          <w:lang w:val="fr-CA"/>
        </w:rPr>
        <w:t>’</w:t>
      </w:r>
      <w:r w:rsidR="002405E3" w:rsidRPr="004826C0">
        <w:rPr>
          <w:rFonts w:cs="Times New Roman"/>
          <w:lang w:val="fr-CA"/>
        </w:rPr>
        <w:t xml:space="preserve">enquête, qui font plus de </w:t>
      </w:r>
      <w:r>
        <w:rPr>
          <w:rFonts w:cs="Times New Roman"/>
          <w:lang w:val="fr-CA"/>
        </w:rPr>
        <w:t>500</w:t>
      </w:r>
      <w:r w:rsidR="002405E3" w:rsidRPr="004826C0">
        <w:rPr>
          <w:rFonts w:cs="Times New Roman"/>
          <w:lang w:val="fr-CA"/>
        </w:rPr>
        <w:t xml:space="preserve"> pages, ont été divulguées aux intimés.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 xml:space="preserve">Tous les courriels du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se rapportant à la période visée par l</w:t>
      </w:r>
      <w:r>
        <w:rPr>
          <w:rFonts w:cs="Times New Roman"/>
          <w:lang w:val="fr-CA"/>
        </w:rPr>
        <w:t>’</w:t>
      </w:r>
      <w:r w:rsidRPr="004826C0">
        <w:rPr>
          <w:rFonts w:cs="Times New Roman"/>
          <w:lang w:val="fr-CA"/>
        </w:rPr>
        <w:t xml:space="preserve">enquête ont été perdus lorsque le disque dur de son ordinateur de bureau a été </w:t>
      </w:r>
      <w:proofErr w:type="spellStart"/>
      <w:r w:rsidRPr="004826C0">
        <w:rPr>
          <w:rFonts w:cs="Times New Roman"/>
          <w:lang w:val="fr-CA"/>
        </w:rPr>
        <w:t>réimagé</w:t>
      </w:r>
      <w:proofErr w:type="spellEnd"/>
      <w:r w:rsidRPr="004826C0">
        <w:rPr>
          <w:rFonts w:cs="Times New Roman"/>
          <w:lang w:val="fr-CA"/>
        </w:rPr>
        <w:t xml:space="preserve"> en juillet 2013. Selon lui, il n</w:t>
      </w:r>
      <w:r>
        <w:rPr>
          <w:rFonts w:cs="Times New Roman"/>
          <w:lang w:val="fr-CA"/>
        </w:rPr>
        <w:t>’</w:t>
      </w:r>
      <w:r w:rsidRPr="004826C0">
        <w:rPr>
          <w:rFonts w:cs="Times New Roman"/>
          <w:lang w:val="fr-CA"/>
        </w:rPr>
        <w:t>avait aucune raison de s</w:t>
      </w:r>
      <w:r>
        <w:rPr>
          <w:rFonts w:cs="Times New Roman"/>
          <w:lang w:val="fr-CA"/>
        </w:rPr>
        <w:t>’</w:t>
      </w:r>
      <w:r w:rsidRPr="004826C0">
        <w:rPr>
          <w:rFonts w:cs="Times New Roman"/>
          <w:lang w:val="fr-CA"/>
        </w:rPr>
        <w:t>attendre à ce que ses co</w:t>
      </w:r>
      <w:r w:rsidR="007778E8">
        <w:rPr>
          <w:rFonts w:cs="Times New Roman"/>
          <w:lang w:val="fr-CA"/>
        </w:rPr>
        <w:t xml:space="preserve">urriels soient perdus. Le sergent </w:t>
      </w:r>
      <w:r w:rsidRPr="004826C0">
        <w:rPr>
          <w:rFonts w:cs="Times New Roman"/>
          <w:lang w:val="fr-CA"/>
        </w:rPr>
        <w:t>Erik Martin, l</w:t>
      </w:r>
      <w:r>
        <w:rPr>
          <w:rFonts w:cs="Times New Roman"/>
          <w:lang w:val="fr-CA"/>
        </w:rPr>
        <w:t>’</w:t>
      </w:r>
      <w:r w:rsidRPr="004826C0">
        <w:rPr>
          <w:rFonts w:cs="Times New Roman"/>
          <w:lang w:val="fr-CA"/>
        </w:rPr>
        <w:t>enquêteur principal dans l</w:t>
      </w:r>
      <w:r>
        <w:rPr>
          <w:rFonts w:cs="Times New Roman"/>
          <w:lang w:val="fr-CA"/>
        </w:rPr>
        <w:t>’</w:t>
      </w:r>
      <w:r w:rsidRPr="004826C0">
        <w:rPr>
          <w:rFonts w:cs="Times New Roman"/>
          <w:lang w:val="fr-CA"/>
        </w:rPr>
        <w:t>affaire, a également perdu des courriels à la suite d</w:t>
      </w:r>
      <w:r>
        <w:rPr>
          <w:rFonts w:cs="Times New Roman"/>
          <w:lang w:val="fr-CA"/>
        </w:rPr>
        <w:t>’</w:t>
      </w:r>
      <w:r w:rsidRPr="004826C0">
        <w:rPr>
          <w:rFonts w:cs="Times New Roman"/>
          <w:lang w:val="fr-CA"/>
        </w:rPr>
        <w:t>une panne d</w:t>
      </w:r>
      <w:r>
        <w:rPr>
          <w:rFonts w:cs="Times New Roman"/>
          <w:lang w:val="fr-CA"/>
        </w:rPr>
        <w:t>’</w:t>
      </w:r>
      <w:r w:rsidRPr="004826C0">
        <w:rPr>
          <w:rFonts w:cs="Times New Roman"/>
          <w:lang w:val="fr-CA"/>
        </w:rPr>
        <w:t>ordinateur survenue en février 2012.</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Lorsque l</w:t>
      </w:r>
      <w:r>
        <w:rPr>
          <w:rFonts w:cs="Times New Roman"/>
          <w:lang w:val="fr-CA"/>
        </w:rPr>
        <w:t>’</w:t>
      </w:r>
      <w:r w:rsidRPr="004826C0">
        <w:rPr>
          <w:rFonts w:cs="Times New Roman"/>
          <w:lang w:val="fr-CA"/>
        </w:rPr>
        <w:t>INT a été mise au courant de la disparition des courriels, elle a fourni de son plein gré des copies de la correspondance électronique intégrale entre M. </w:t>
      </w:r>
      <w:proofErr w:type="spellStart"/>
      <w:r w:rsidRPr="004826C0">
        <w:rPr>
          <w:rFonts w:cs="Times New Roman"/>
          <w:lang w:val="fr-CA"/>
        </w:rPr>
        <w:t>Haynes</w:t>
      </w:r>
      <w:proofErr w:type="spellEnd"/>
      <w:r w:rsidRPr="004826C0">
        <w:rPr>
          <w:rFonts w:cs="Times New Roman"/>
          <w:lang w:val="fr-CA"/>
        </w:rPr>
        <w:t xml:space="preserve"> et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aux autorités canadiennes. Ces courriels ont été divulgués aux intimés. La Couronne a également divulgué tous les échanges électroniques entre l</w:t>
      </w:r>
      <w:r>
        <w:rPr>
          <w:rFonts w:cs="Times New Roman"/>
          <w:lang w:val="fr-CA"/>
        </w:rPr>
        <w:t>’</w:t>
      </w:r>
      <w:r w:rsidRPr="004826C0">
        <w:rPr>
          <w:rFonts w:cs="Times New Roman"/>
          <w:lang w:val="fr-CA"/>
        </w:rPr>
        <w:t>INT et la GRC du 31 mars 2011 au 30 avril 2014. En outre, la plupart des courriels adressés par l</w:t>
      </w:r>
      <w:r>
        <w:rPr>
          <w:rFonts w:cs="Times New Roman"/>
          <w:lang w:val="fr-CA"/>
        </w:rPr>
        <w:t>’</w:t>
      </w:r>
      <w:r w:rsidRPr="004826C0">
        <w:rPr>
          <w:rFonts w:cs="Times New Roman"/>
          <w:lang w:val="fr-CA"/>
        </w:rPr>
        <w:t xml:space="preserve">INT au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avaient été envoyés en copie conforme au sergent</w:t>
      </w:r>
      <w:r w:rsidRPr="004826C0">
        <w:rPr>
          <w:rFonts w:cs="Times New Roman"/>
          <w:lang w:val="fr-CA"/>
        </w:rPr>
        <w:noBreakHyphen/>
        <w:t>chef Bédard et à l</w:t>
      </w:r>
      <w:r>
        <w:rPr>
          <w:rFonts w:cs="Times New Roman"/>
          <w:lang w:val="fr-CA"/>
        </w:rPr>
        <w:t>’</w:t>
      </w:r>
      <w:r w:rsidRPr="004826C0">
        <w:rPr>
          <w:rFonts w:cs="Times New Roman"/>
          <w:lang w:val="fr-CA"/>
        </w:rPr>
        <w:t xml:space="preserve">adresse de courriel personnelle du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ou à d</w:t>
      </w:r>
      <w:r>
        <w:rPr>
          <w:rFonts w:cs="Times New Roman"/>
          <w:lang w:val="fr-CA"/>
        </w:rPr>
        <w:t>’</w:t>
      </w:r>
      <w:r w:rsidRPr="004826C0">
        <w:rPr>
          <w:rFonts w:cs="Times New Roman"/>
          <w:lang w:val="fr-CA"/>
        </w:rPr>
        <w:t>autres agents de la GRC. Ces courriels ont été récupérés et divulgués.</w:t>
      </w:r>
    </w:p>
    <w:p w:rsidR="002405E3" w:rsidRPr="004826C0" w:rsidRDefault="002405E3" w:rsidP="003C0B54">
      <w:pPr>
        <w:pStyle w:val="Title3LevelTitre3Niveau"/>
        <w:widowControl w:val="0"/>
        <w:ind w:left="1138"/>
        <w:rPr>
          <w:rFonts w:cs="Times New Roman"/>
          <w:lang w:val="fr-CA"/>
        </w:rPr>
      </w:pPr>
      <w:r w:rsidRPr="004826C0">
        <w:rPr>
          <w:rFonts w:cs="Times New Roman"/>
          <w:lang w:val="fr-CA"/>
        </w:rPr>
        <w:t xml:space="preserve">Arrêts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i/>
          <w:lang w:val="fr-CA"/>
        </w:rPr>
        <w:t xml:space="preserve"> </w:t>
      </w:r>
      <w:r w:rsidRPr="004826C0">
        <w:rPr>
          <w:rFonts w:cs="Times New Roman"/>
          <w:lang w:val="fr-CA"/>
        </w:rPr>
        <w:t xml:space="preserve">et </w:t>
      </w:r>
      <w:proofErr w:type="spellStart"/>
      <w:r w:rsidRPr="004826C0">
        <w:rPr>
          <w:rFonts w:cs="Times New Roman"/>
          <w:i/>
          <w:lang w:val="fr-CA"/>
        </w:rPr>
        <w:t>Stinchcombe</w:t>
      </w:r>
      <w:proofErr w:type="spellEnd"/>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intimés demandent la communication des dossiers de l</w:t>
      </w:r>
      <w:r>
        <w:rPr>
          <w:rFonts w:cs="Times New Roman"/>
          <w:lang w:val="fr-CA"/>
        </w:rPr>
        <w:t>’</w:t>
      </w:r>
      <w:r w:rsidRPr="004826C0">
        <w:rPr>
          <w:rFonts w:cs="Times New Roman"/>
          <w:lang w:val="fr-CA"/>
        </w:rPr>
        <w:t>INT énumérés ci</w:t>
      </w:r>
      <w:r w:rsidRPr="004826C0">
        <w:rPr>
          <w:rFonts w:cs="Times New Roman"/>
          <w:lang w:val="fr-CA"/>
        </w:rPr>
        <w:noBreakHyphen/>
        <w:t>dessus au par. 23, conformément au cadre établi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i/>
          <w:lang w:val="fr-CA"/>
        </w:rPr>
        <w:t xml:space="preserve"> </w:t>
      </w:r>
      <w:r w:rsidRPr="004826C0">
        <w:rPr>
          <w:rFonts w:cs="Times New Roman"/>
          <w:lang w:val="fr-CA"/>
        </w:rPr>
        <w:t>pour déterminer le droit d</w:t>
      </w:r>
      <w:r>
        <w:rPr>
          <w:rFonts w:cs="Times New Roman"/>
          <w:lang w:val="fr-CA"/>
        </w:rPr>
        <w:t>’</w:t>
      </w:r>
      <w:r w:rsidRPr="004826C0">
        <w:rPr>
          <w:rFonts w:cs="Times New Roman"/>
          <w:lang w:val="fr-CA"/>
        </w:rPr>
        <w:t>un accusé d</w:t>
      </w:r>
      <w:r>
        <w:rPr>
          <w:rFonts w:cs="Times New Roman"/>
          <w:lang w:val="fr-CA"/>
        </w:rPr>
        <w:t>’</w:t>
      </w:r>
      <w:r w:rsidRPr="004826C0">
        <w:rPr>
          <w:rFonts w:cs="Times New Roman"/>
          <w:lang w:val="fr-CA"/>
        </w:rPr>
        <w:t>obtenir la communication de dossiers en la possession de tiers. Compte tenu des intérêts en matière de protection de la vie privée en cause, il incombe à l</w:t>
      </w:r>
      <w:r>
        <w:rPr>
          <w:rFonts w:cs="Times New Roman"/>
          <w:lang w:val="fr-CA"/>
        </w:rPr>
        <w:t>’</w:t>
      </w:r>
      <w:r w:rsidRPr="004826C0">
        <w:rPr>
          <w:rFonts w:cs="Times New Roman"/>
          <w:lang w:val="fr-CA"/>
        </w:rPr>
        <w:t xml:space="preserve">accusé de démontrer que les documents dont la communication est demandée ont « une valeur logiquement probante relativement à </w:t>
      </w:r>
      <w:r w:rsidRPr="004826C0">
        <w:rPr>
          <w:rFonts w:cs="Times New Roman"/>
          <w:u w:val="single"/>
          <w:lang w:val="fr-CA"/>
        </w:rPr>
        <w:t>une question en litige ou à l</w:t>
      </w:r>
      <w:r>
        <w:rPr>
          <w:rFonts w:cs="Times New Roman"/>
          <w:u w:val="single"/>
          <w:lang w:val="fr-CA"/>
        </w:rPr>
        <w:t>’</w:t>
      </w:r>
      <w:r w:rsidRPr="004826C0">
        <w:rPr>
          <w:rFonts w:cs="Times New Roman"/>
          <w:u w:val="single"/>
          <w:lang w:val="fr-CA"/>
        </w:rPr>
        <w:t>habilité à témoigner d</w:t>
      </w:r>
      <w:r>
        <w:rPr>
          <w:rFonts w:cs="Times New Roman"/>
          <w:u w:val="single"/>
          <w:lang w:val="fr-CA"/>
        </w:rPr>
        <w:t>’</w:t>
      </w:r>
      <w:r w:rsidRPr="004826C0">
        <w:rPr>
          <w:rFonts w:cs="Times New Roman"/>
          <w:u w:val="single"/>
          <w:lang w:val="fr-CA"/>
        </w:rPr>
        <w:t>un témoin</w:t>
      </w:r>
      <w:r w:rsidRPr="004826C0">
        <w:rPr>
          <w:rFonts w:cs="Times New Roman"/>
          <w:lang w:val="fr-CA"/>
        </w:rPr>
        <w:t> »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par. 22 (souligné dans l</w:t>
      </w:r>
      <w:r>
        <w:rPr>
          <w:rFonts w:cs="Times New Roman"/>
          <w:lang w:val="fr-CA"/>
        </w:rPr>
        <w:t>’</w:t>
      </w:r>
      <w:r w:rsidRPr="004826C0">
        <w:rPr>
          <w:rFonts w:cs="Times New Roman"/>
          <w:lang w:val="fr-CA"/>
        </w:rPr>
        <w:t>original)).</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 xml:space="preserve">La demande de type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i/>
          <w:lang w:val="fr-CA"/>
        </w:rPr>
        <w:t xml:space="preserve"> </w:t>
      </w:r>
      <w:r w:rsidRPr="004826C0">
        <w:rPr>
          <w:rFonts w:cs="Times New Roman"/>
          <w:lang w:val="fr-CA"/>
        </w:rPr>
        <w:t>est une procédure comportant deux étapes. À la première, l</w:t>
      </w:r>
      <w:r>
        <w:rPr>
          <w:rFonts w:cs="Times New Roman"/>
          <w:lang w:val="fr-CA"/>
        </w:rPr>
        <w:t>’</w:t>
      </w:r>
      <w:r w:rsidRPr="004826C0">
        <w:rPr>
          <w:rFonts w:cs="Times New Roman"/>
          <w:lang w:val="fr-CA"/>
        </w:rPr>
        <w:t xml:space="preserve">accusé doit démontrer que les dossiers dont la communication est sollicitée sont </w:t>
      </w:r>
      <w:r w:rsidRPr="004826C0">
        <w:rPr>
          <w:rFonts w:cs="Times New Roman"/>
          <w:i/>
          <w:lang w:val="fr-CA"/>
        </w:rPr>
        <w:t xml:space="preserve">probablement pertinents </w:t>
      </w:r>
      <w:r w:rsidRPr="004826C0">
        <w:rPr>
          <w:rFonts w:cs="Times New Roman"/>
          <w:lang w:val="fr-CA"/>
        </w:rPr>
        <w:t>à l</w:t>
      </w:r>
      <w:r>
        <w:rPr>
          <w:rFonts w:cs="Times New Roman"/>
          <w:lang w:val="fr-CA"/>
        </w:rPr>
        <w:t>’</w:t>
      </w:r>
      <w:r w:rsidRPr="004826C0">
        <w:rPr>
          <w:rFonts w:cs="Times New Roman"/>
          <w:lang w:val="fr-CA"/>
        </w:rPr>
        <w:t>égard d</w:t>
      </w:r>
      <w:r>
        <w:rPr>
          <w:rFonts w:cs="Times New Roman"/>
          <w:lang w:val="fr-CA"/>
        </w:rPr>
        <w:t>’</w:t>
      </w:r>
      <w:r w:rsidRPr="004826C0">
        <w:rPr>
          <w:rFonts w:cs="Times New Roman"/>
          <w:lang w:val="fr-CA"/>
        </w:rPr>
        <w:t>une question en litige, comme la crédibilité ou la fiabilité d</w:t>
      </w:r>
      <w:r>
        <w:rPr>
          <w:rFonts w:cs="Times New Roman"/>
          <w:lang w:val="fr-CA"/>
        </w:rPr>
        <w:t>’</w:t>
      </w:r>
      <w:r w:rsidRPr="004826C0">
        <w:rPr>
          <w:rFonts w:cs="Times New Roman"/>
          <w:lang w:val="fr-CA"/>
        </w:rPr>
        <w:t>un témoin. Si l</w:t>
      </w:r>
      <w:r>
        <w:rPr>
          <w:rFonts w:cs="Times New Roman"/>
          <w:lang w:val="fr-CA"/>
        </w:rPr>
        <w:t>’</w:t>
      </w:r>
      <w:r w:rsidRPr="004826C0">
        <w:rPr>
          <w:rFonts w:cs="Times New Roman"/>
          <w:lang w:val="fr-CA"/>
        </w:rPr>
        <w:t>accusé satisfait au critère de la pertinence probable, les documents sont communiqués, et le juge d</w:t>
      </w:r>
      <w:r>
        <w:rPr>
          <w:rFonts w:cs="Times New Roman"/>
          <w:lang w:val="fr-CA"/>
        </w:rPr>
        <w:t>’</w:t>
      </w:r>
      <w:r w:rsidRPr="004826C0">
        <w:rPr>
          <w:rFonts w:cs="Times New Roman"/>
          <w:lang w:val="fr-CA"/>
        </w:rPr>
        <w:t>instance doit alors soupeser « les effets bénéfiques et les effets préjudiciables d</w:t>
      </w:r>
      <w:r>
        <w:rPr>
          <w:rFonts w:cs="Times New Roman"/>
          <w:lang w:val="fr-CA"/>
        </w:rPr>
        <w:t>’</w:t>
      </w:r>
      <w:r w:rsidRPr="004826C0">
        <w:rPr>
          <w:rFonts w:cs="Times New Roman"/>
          <w:lang w:val="fr-CA"/>
        </w:rPr>
        <w:t>une ordonnance de production et déterminer si une ordonnance de non</w:t>
      </w:r>
      <w:r w:rsidRPr="004826C0">
        <w:rPr>
          <w:rFonts w:cs="Times New Roman"/>
          <w:lang w:val="fr-CA"/>
        </w:rPr>
        <w:noBreakHyphen/>
        <w:t>production constituerait une restriction raisonnable de la possibilité pour l</w:t>
      </w:r>
      <w:r>
        <w:rPr>
          <w:rFonts w:cs="Times New Roman"/>
          <w:lang w:val="fr-CA"/>
        </w:rPr>
        <w:t>’</w:t>
      </w:r>
      <w:r w:rsidRPr="004826C0">
        <w:rPr>
          <w:rFonts w:cs="Times New Roman"/>
          <w:lang w:val="fr-CA"/>
        </w:rPr>
        <w:t>accusé de présenter une défense pleine et entière »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par. 30).</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Cette procédure est distincte du cadre d</w:t>
      </w:r>
      <w:r>
        <w:rPr>
          <w:rFonts w:cs="Times New Roman"/>
          <w:lang w:val="fr-CA"/>
        </w:rPr>
        <w:t>’</w:t>
      </w:r>
      <w:r w:rsidRPr="004826C0">
        <w:rPr>
          <w:rFonts w:cs="Times New Roman"/>
          <w:lang w:val="fr-CA"/>
        </w:rPr>
        <w:t>analyse établi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qui s</w:t>
      </w:r>
      <w:r>
        <w:rPr>
          <w:rFonts w:cs="Times New Roman"/>
          <w:lang w:val="fr-CA"/>
        </w:rPr>
        <w:t>’</w:t>
      </w:r>
      <w:r w:rsidRPr="004826C0">
        <w:rPr>
          <w:rFonts w:cs="Times New Roman"/>
          <w:lang w:val="fr-CA"/>
        </w:rPr>
        <w:t>applique lorsque les documents sont entre les mains de la Couronne ou de la police. Selon ce cadre d</w:t>
      </w:r>
      <w:r>
        <w:rPr>
          <w:rFonts w:cs="Times New Roman"/>
          <w:lang w:val="fr-CA"/>
        </w:rPr>
        <w:t>’</w:t>
      </w:r>
      <w:r w:rsidRPr="004826C0">
        <w:rPr>
          <w:rFonts w:cs="Times New Roman"/>
          <w:lang w:val="fr-CA"/>
        </w:rPr>
        <w:t xml:space="preserve">analyse, la Couronne doit divulguer tous les documents « en </w:t>
      </w:r>
      <w:r w:rsidR="00797725">
        <w:rPr>
          <w:rFonts w:cs="Times New Roman"/>
          <w:lang w:val="fr-CA"/>
        </w:rPr>
        <w:t>[</w:t>
      </w:r>
      <w:r w:rsidRPr="004826C0">
        <w:rPr>
          <w:rFonts w:cs="Times New Roman"/>
          <w:lang w:val="fr-CA"/>
        </w:rPr>
        <w:t>s</w:t>
      </w:r>
      <w:r w:rsidR="00797725">
        <w:rPr>
          <w:rFonts w:cs="Times New Roman"/>
          <w:lang w:val="fr-CA"/>
        </w:rPr>
        <w:t>]</w:t>
      </w:r>
      <w:r w:rsidRPr="004826C0">
        <w:rPr>
          <w:rFonts w:cs="Times New Roman"/>
          <w:lang w:val="fr-CA"/>
        </w:rPr>
        <w:t xml:space="preserve">a possession </w:t>
      </w:r>
      <w:r w:rsidR="00797725">
        <w:rPr>
          <w:rFonts w:cs="Times New Roman"/>
          <w:lang w:val="fr-CA"/>
        </w:rPr>
        <w:t xml:space="preserve">[. . .] </w:t>
      </w:r>
      <w:r w:rsidRPr="004826C0">
        <w:rPr>
          <w:rFonts w:cs="Times New Roman"/>
          <w:lang w:val="fr-CA"/>
        </w:rPr>
        <w:t xml:space="preserve">ou </w:t>
      </w:r>
      <w:r w:rsidR="00797725">
        <w:rPr>
          <w:rFonts w:cs="Times New Roman"/>
          <w:lang w:val="fr-CA"/>
        </w:rPr>
        <w:t xml:space="preserve">[. . .] </w:t>
      </w:r>
      <w:r w:rsidRPr="004826C0">
        <w:rPr>
          <w:rFonts w:cs="Times New Roman"/>
          <w:lang w:val="fr-CA"/>
        </w:rPr>
        <w:t>sous son contrôle » qui sont pertinents à l</w:t>
      </w:r>
      <w:r>
        <w:rPr>
          <w:rFonts w:cs="Times New Roman"/>
          <w:lang w:val="fr-CA"/>
        </w:rPr>
        <w:t>’</w:t>
      </w:r>
      <w:r w:rsidRPr="004826C0">
        <w:rPr>
          <w:rFonts w:cs="Times New Roman"/>
          <w:lang w:val="fr-CA"/>
        </w:rPr>
        <w:t>égard de la poursuite engagée contre l</w:t>
      </w:r>
      <w:r>
        <w:rPr>
          <w:rFonts w:cs="Times New Roman"/>
          <w:lang w:val="fr-CA"/>
        </w:rPr>
        <w:t>’</w:t>
      </w:r>
      <w:r w:rsidRPr="004826C0">
        <w:rPr>
          <w:rFonts w:cs="Times New Roman"/>
          <w:lang w:val="fr-CA"/>
        </w:rPr>
        <w:t>accusé (</w:t>
      </w:r>
      <w:r w:rsidRPr="004826C0">
        <w:rPr>
          <w:rFonts w:cs="Times New Roman"/>
          <w:i/>
          <w:lang w:val="fr-CA"/>
        </w:rPr>
        <w:t>R. c. McNeil</w:t>
      </w:r>
      <w:r w:rsidRPr="004826C0">
        <w:rPr>
          <w:rFonts w:cs="Times New Roman"/>
          <w:lang w:val="fr-CA"/>
        </w:rPr>
        <w:t>, 2009 CSC 3, [2009] 1 R.C.S. 66, par. 22;</w:t>
      </w:r>
      <w:r w:rsidRPr="004826C0">
        <w:rPr>
          <w:rFonts w:cs="Times New Roman"/>
          <w:i/>
          <w:lang w:val="fr-CA"/>
        </w:rPr>
        <w:t xml:space="preserve"> R. c. </w:t>
      </w:r>
      <w:proofErr w:type="spellStart"/>
      <w:r w:rsidRPr="004826C0">
        <w:rPr>
          <w:rFonts w:cs="Times New Roman"/>
          <w:i/>
          <w:lang w:val="fr-CA"/>
        </w:rPr>
        <w:t>Stinchcombe</w:t>
      </w:r>
      <w:proofErr w:type="spellEnd"/>
      <w:r w:rsidRPr="004826C0">
        <w:rPr>
          <w:rFonts w:cs="Times New Roman"/>
          <w:lang w:val="fr-CA"/>
        </w:rPr>
        <w:t>, [1991] 3 R.C.S. 326). Pour refuser la divulgation, la Couronne doit démontrer que les documents demandés « n</w:t>
      </w:r>
      <w:r>
        <w:rPr>
          <w:rFonts w:cs="Times New Roman"/>
          <w:lang w:val="fr-CA"/>
        </w:rPr>
        <w:t>’</w:t>
      </w:r>
      <w:r w:rsidRPr="004826C0">
        <w:rPr>
          <w:rFonts w:cs="Times New Roman"/>
          <w:lang w:val="fr-CA"/>
        </w:rPr>
        <w:t>ont manifestement aucune pertinence ou sont privilégiés, ou [que] leur communication est autrement régie en droit » (</w:t>
      </w:r>
      <w:r w:rsidRPr="004826C0">
        <w:rPr>
          <w:rFonts w:cs="Times New Roman"/>
          <w:i/>
          <w:lang w:val="fr-CA"/>
        </w:rPr>
        <w:t>McNeil</w:t>
      </w:r>
      <w:r w:rsidRPr="004826C0">
        <w:rPr>
          <w:rFonts w:cs="Times New Roman"/>
          <w:lang w:val="fr-CA"/>
        </w:rPr>
        <w:t xml:space="preserve">, par. 18; voir aussi </w:t>
      </w:r>
      <w:proofErr w:type="spellStart"/>
      <w:r w:rsidRPr="004826C0">
        <w:rPr>
          <w:rFonts w:cs="Times New Roman"/>
          <w:i/>
          <w:lang w:val="fr-CA"/>
        </w:rPr>
        <w:t>Stinchcombe</w:t>
      </w:r>
      <w:proofErr w:type="spellEnd"/>
      <w:r w:rsidRPr="004826C0">
        <w:rPr>
          <w:rFonts w:cs="Times New Roman"/>
          <w:lang w:val="fr-CA"/>
        </w:rPr>
        <w:t>, p. 336).</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xml:space="preserve"> impose à la Couronne le fardeau de justifier la non</w:t>
      </w:r>
      <w:r w:rsidRPr="004826C0">
        <w:rPr>
          <w:rFonts w:cs="Times New Roman"/>
          <w:lang w:val="fr-CA"/>
        </w:rPr>
        <w:noBreakHyphen/>
        <w:t>divulgation, tandis que l</w:t>
      </w:r>
      <w:r>
        <w:rPr>
          <w:rFonts w:cs="Times New Roman"/>
          <w:lang w:val="fr-CA"/>
        </w:rPr>
        <w:t>’</w:t>
      </w:r>
      <w:r w:rsidRPr="004826C0">
        <w:rPr>
          <w:rFonts w:cs="Times New Roman"/>
          <w:lang w:val="fr-CA"/>
        </w:rPr>
        <w:t xml:space="preserve">arrêt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xml:space="preserve"> oblige l</w:t>
      </w:r>
      <w:r>
        <w:rPr>
          <w:rFonts w:cs="Times New Roman"/>
          <w:lang w:val="fr-CA"/>
        </w:rPr>
        <w:t>’</w:t>
      </w:r>
      <w:r w:rsidRPr="004826C0">
        <w:rPr>
          <w:rFonts w:cs="Times New Roman"/>
          <w:lang w:val="fr-CA"/>
        </w:rPr>
        <w:t>accusé à justifier la communication. Ces deux régimes partagent un objectif essentiel : protéger le droit de l</w:t>
      </w:r>
      <w:r>
        <w:rPr>
          <w:rFonts w:cs="Times New Roman"/>
          <w:lang w:val="fr-CA"/>
        </w:rPr>
        <w:t>’</w:t>
      </w:r>
      <w:r w:rsidRPr="004826C0">
        <w:rPr>
          <w:rFonts w:cs="Times New Roman"/>
          <w:lang w:val="fr-CA"/>
        </w:rPr>
        <w:t>accusé de présenter une défense pleine et entière, tout en reconnaissant la nécessité de restreindre la communication au besoin.</w:t>
      </w:r>
    </w:p>
    <w:p w:rsidR="002405E3" w:rsidRPr="004826C0" w:rsidRDefault="002405E3" w:rsidP="003C0B54">
      <w:pPr>
        <w:pStyle w:val="Title3LevelTitre3Niveau"/>
        <w:widowControl w:val="0"/>
        <w:ind w:left="1144"/>
        <w:rPr>
          <w:rFonts w:cs="Times New Roman"/>
          <w:lang w:val="fr-CA"/>
        </w:rPr>
      </w:pPr>
      <w:r w:rsidRPr="004826C0">
        <w:rPr>
          <w:rFonts w:cs="Times New Roman"/>
          <w:lang w:val="fr-CA"/>
        </w:rPr>
        <w:t>Critère applicable à la communication de dossiers en la possession de tiers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intimés demandent la communication des dossiers de l</w:t>
      </w:r>
      <w:r>
        <w:rPr>
          <w:rFonts w:cs="Times New Roman"/>
          <w:lang w:val="fr-CA"/>
        </w:rPr>
        <w:t>’</w:t>
      </w:r>
      <w:r w:rsidRPr="004826C0">
        <w:rPr>
          <w:rFonts w:cs="Times New Roman"/>
          <w:lang w:val="fr-CA"/>
        </w:rPr>
        <w:t>INT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i/>
          <w:lang w:val="fr-CA"/>
        </w:rPr>
        <w:t xml:space="preserve"> </w:t>
      </w:r>
      <w:r w:rsidRPr="004826C0">
        <w:rPr>
          <w:rFonts w:cs="Times New Roman"/>
          <w:lang w:val="fr-CA"/>
        </w:rPr>
        <w:t>présentée en contestation des autorisations d</w:t>
      </w:r>
      <w:r>
        <w:rPr>
          <w:rFonts w:cs="Times New Roman"/>
          <w:lang w:val="fr-CA"/>
        </w:rPr>
        <w:t>’</w:t>
      </w:r>
      <w:r w:rsidRPr="004826C0">
        <w:rPr>
          <w:rFonts w:cs="Times New Roman"/>
          <w:lang w:val="fr-CA"/>
        </w:rPr>
        <w:t xml:space="preserve">écoute électronique. La demande de type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i/>
          <w:lang w:val="fr-CA"/>
        </w:rPr>
        <w:t xml:space="preserve"> </w:t>
      </w:r>
      <w:r w:rsidRPr="004826C0">
        <w:rPr>
          <w:rFonts w:cs="Times New Roman"/>
          <w:lang w:val="fr-CA"/>
        </w:rPr>
        <w:t>concerne généralement la communication de documents qui se rapportent à des questions importantes ayant une incidence directe sur la reconnaissance de la culpabilité ou de l</w:t>
      </w:r>
      <w:r>
        <w:rPr>
          <w:rFonts w:cs="Times New Roman"/>
          <w:lang w:val="fr-CA"/>
        </w:rPr>
        <w:t>’</w:t>
      </w:r>
      <w:r w:rsidRPr="004826C0">
        <w:rPr>
          <w:rFonts w:cs="Times New Roman"/>
          <w:lang w:val="fr-CA"/>
        </w:rPr>
        <w:t>innocence de l</w:t>
      </w:r>
      <w:r>
        <w:rPr>
          <w:rFonts w:cs="Times New Roman"/>
          <w:lang w:val="fr-CA"/>
        </w:rPr>
        <w:t>’</w:t>
      </w:r>
      <w:r w:rsidRPr="004826C0">
        <w:rPr>
          <w:rFonts w:cs="Times New Roman"/>
          <w:lang w:val="fr-CA"/>
        </w:rPr>
        <w:t xml:space="preserve">accusé. La demande de type </w:t>
      </w:r>
      <w:proofErr w:type="spellStart"/>
      <w:r w:rsidRPr="004826C0">
        <w:rPr>
          <w:rFonts w:cs="Times New Roman"/>
          <w:i/>
          <w:lang w:val="fr-CA"/>
        </w:rPr>
        <w:t>Garofoli</w:t>
      </w:r>
      <w:proofErr w:type="spellEnd"/>
      <w:r w:rsidRPr="004826C0">
        <w:rPr>
          <w:rFonts w:cs="Times New Roman"/>
          <w:lang w:val="fr-CA"/>
        </w:rPr>
        <w:t xml:space="preserve"> a une portée plus limitée, car elle concerne la recevabilité de la preuve, à savoir les communications interceptées (</w:t>
      </w:r>
      <w:r w:rsidRPr="004826C0">
        <w:rPr>
          <w:rFonts w:cs="Times New Roman"/>
          <w:i/>
          <w:lang w:val="fr-CA"/>
        </w:rPr>
        <w:t>Pires</w:t>
      </w:r>
      <w:r w:rsidRPr="004826C0">
        <w:rPr>
          <w:rFonts w:cs="Times New Roman"/>
          <w:lang w:val="fr-CA"/>
        </w:rPr>
        <w:t>, par. 29</w:t>
      </w:r>
      <w:r w:rsidRPr="004826C0">
        <w:rPr>
          <w:rFonts w:cs="Times New Roman"/>
          <w:lang w:val="fr-CA"/>
        </w:rPr>
        <w:noBreakHyphen/>
        <w:t>30). Il s</w:t>
      </w:r>
      <w:r>
        <w:rPr>
          <w:rFonts w:cs="Times New Roman"/>
          <w:lang w:val="fr-CA"/>
        </w:rPr>
        <w:t>’</w:t>
      </w:r>
      <w:r w:rsidRPr="004826C0">
        <w:rPr>
          <w:rFonts w:cs="Times New Roman"/>
          <w:lang w:val="fr-CA"/>
        </w:rPr>
        <w:t>agit d</w:t>
      </w:r>
      <w:r>
        <w:rPr>
          <w:rFonts w:cs="Times New Roman"/>
          <w:lang w:val="fr-CA"/>
        </w:rPr>
        <w:t>’</w:t>
      </w:r>
      <w:r w:rsidRPr="004826C0">
        <w:rPr>
          <w:rFonts w:cs="Times New Roman"/>
          <w:lang w:val="fr-CA"/>
        </w:rPr>
        <w:t>une distinction importante, qu</w:t>
      </w:r>
      <w:r>
        <w:rPr>
          <w:rFonts w:cs="Times New Roman"/>
          <w:lang w:val="fr-CA"/>
        </w:rPr>
        <w:t>’</w:t>
      </w:r>
      <w:r w:rsidRPr="004826C0">
        <w:rPr>
          <w:rFonts w:cs="Times New Roman"/>
          <w:lang w:val="fr-CA"/>
        </w:rPr>
        <w:t xml:space="preserve">il convient de clarifier. La demande de type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xml:space="preserve"> présentée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 xml:space="preserve"> doit être circonscrite aux questions limitées que soulève cette dernière. Les considérations de principe dans ce contexte commandent aussi une démarche restrictive.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 cadre d</w:t>
      </w:r>
      <w:r>
        <w:rPr>
          <w:rFonts w:cs="Times New Roman"/>
          <w:lang w:val="fr-CA"/>
        </w:rPr>
        <w:t>’</w:t>
      </w:r>
      <w:r w:rsidRPr="004826C0">
        <w:rPr>
          <w:rFonts w:cs="Times New Roman"/>
          <w:lang w:val="fr-CA"/>
        </w:rPr>
        <w:t>analyse établi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Garofoli</w:t>
      </w:r>
      <w:proofErr w:type="spellEnd"/>
      <w:r w:rsidRPr="004826C0">
        <w:rPr>
          <w:rFonts w:cs="Times New Roman"/>
          <w:i/>
          <w:lang w:val="fr-CA"/>
        </w:rPr>
        <w:t xml:space="preserve"> </w:t>
      </w:r>
      <w:r w:rsidRPr="004826C0">
        <w:rPr>
          <w:rFonts w:cs="Times New Roman"/>
          <w:lang w:val="fr-CA"/>
        </w:rPr>
        <w:t>permet d</w:t>
      </w:r>
      <w:r>
        <w:rPr>
          <w:rFonts w:cs="Times New Roman"/>
          <w:lang w:val="fr-CA"/>
        </w:rPr>
        <w:t>’</w:t>
      </w:r>
      <w:r w:rsidRPr="004826C0">
        <w:rPr>
          <w:rFonts w:cs="Times New Roman"/>
          <w:lang w:val="fr-CA"/>
        </w:rPr>
        <w:t>apprécier le caractère abusif ou non de la fouille ou perquisition que constitue l</w:t>
      </w:r>
      <w:r>
        <w:rPr>
          <w:rFonts w:cs="Times New Roman"/>
          <w:lang w:val="fr-CA"/>
        </w:rPr>
        <w:t>’</w:t>
      </w:r>
      <w:r w:rsidRPr="004826C0">
        <w:rPr>
          <w:rFonts w:cs="Times New Roman"/>
          <w:lang w:val="fr-CA"/>
        </w:rPr>
        <w:t>écoute électronique interceptant des communications privées. La fouille ou perquisition n</w:t>
      </w:r>
      <w:r>
        <w:rPr>
          <w:rFonts w:cs="Times New Roman"/>
          <w:lang w:val="fr-CA"/>
        </w:rPr>
        <w:t>’</w:t>
      </w:r>
      <w:r w:rsidRPr="004826C0">
        <w:rPr>
          <w:rFonts w:cs="Times New Roman"/>
          <w:lang w:val="fr-CA"/>
        </w:rPr>
        <w:t>est pas abusive si les conditions légales préalables à la délivrance de l</w:t>
      </w:r>
      <w:r>
        <w:rPr>
          <w:rFonts w:cs="Times New Roman"/>
          <w:lang w:val="fr-CA"/>
        </w:rPr>
        <w:t>’</w:t>
      </w:r>
      <w:r w:rsidRPr="004826C0">
        <w:rPr>
          <w:rFonts w:cs="Times New Roman"/>
          <w:lang w:val="fr-CA"/>
        </w:rPr>
        <w:t>autorisation d</w:t>
      </w:r>
      <w:r>
        <w:rPr>
          <w:rFonts w:cs="Times New Roman"/>
          <w:lang w:val="fr-CA"/>
        </w:rPr>
        <w:t>’</w:t>
      </w:r>
      <w:r w:rsidRPr="004826C0">
        <w:rPr>
          <w:rFonts w:cs="Times New Roman"/>
          <w:lang w:val="fr-CA"/>
        </w:rPr>
        <w:t>écoute électronique ont été respectées (</w:t>
      </w:r>
      <w:proofErr w:type="spellStart"/>
      <w:r w:rsidRPr="004826C0">
        <w:rPr>
          <w:rFonts w:cs="Times New Roman"/>
          <w:i/>
          <w:lang w:val="fr-CA"/>
        </w:rPr>
        <w:t>Garofoli</w:t>
      </w:r>
      <w:proofErr w:type="spellEnd"/>
      <w:r w:rsidRPr="004826C0">
        <w:rPr>
          <w:rFonts w:cs="Times New Roman"/>
          <w:lang w:val="fr-CA"/>
        </w:rPr>
        <w:t xml:space="preserve">, p. 1452; </w:t>
      </w:r>
      <w:r w:rsidRPr="004826C0">
        <w:rPr>
          <w:rFonts w:cs="Times New Roman"/>
          <w:i/>
          <w:lang w:val="fr-CA"/>
        </w:rPr>
        <w:t>R. c. Duarte</w:t>
      </w:r>
      <w:r w:rsidRPr="004826C0">
        <w:rPr>
          <w:rFonts w:cs="Times New Roman"/>
          <w:lang w:val="fr-CA"/>
        </w:rPr>
        <w:t>, [1990] 1 R.C.S. 30, p. 44</w:t>
      </w:r>
      <w:r w:rsidRPr="004826C0">
        <w:rPr>
          <w:rFonts w:cs="Times New Roman"/>
          <w:lang w:val="fr-CA"/>
        </w:rPr>
        <w:noBreakHyphen/>
        <w:t>46).</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En l</w:t>
      </w:r>
      <w:r>
        <w:rPr>
          <w:rFonts w:cs="Times New Roman"/>
          <w:lang w:val="fr-CA"/>
        </w:rPr>
        <w:t>’</w:t>
      </w:r>
      <w:r w:rsidRPr="004826C0">
        <w:rPr>
          <w:rFonts w:cs="Times New Roman"/>
          <w:lang w:val="fr-CA"/>
        </w:rPr>
        <w:t>espèce, l</w:t>
      </w:r>
      <w:r>
        <w:rPr>
          <w:rFonts w:cs="Times New Roman"/>
          <w:lang w:val="fr-CA"/>
        </w:rPr>
        <w:t>’</w:t>
      </w:r>
      <w:r w:rsidRPr="004826C0">
        <w:rPr>
          <w:rFonts w:cs="Times New Roman"/>
          <w:lang w:val="fr-CA"/>
        </w:rPr>
        <w:t xml:space="preserve">autorisation a été demandée en vertu </w:t>
      </w:r>
      <w:proofErr w:type="gramStart"/>
      <w:r w:rsidRPr="004826C0">
        <w:rPr>
          <w:rFonts w:cs="Times New Roman"/>
          <w:lang w:val="fr-CA"/>
        </w:rPr>
        <w:t>des art</w:t>
      </w:r>
      <w:proofErr w:type="gramEnd"/>
      <w:r w:rsidRPr="004826C0">
        <w:rPr>
          <w:rFonts w:cs="Times New Roman"/>
          <w:lang w:val="fr-CA"/>
        </w:rPr>
        <w:t xml:space="preserve">. 185 et 186 du </w:t>
      </w:r>
      <w:r w:rsidRPr="004826C0">
        <w:rPr>
          <w:rFonts w:cs="Times New Roman"/>
          <w:i/>
          <w:lang w:val="fr-CA"/>
        </w:rPr>
        <w:t>Code Criminel</w:t>
      </w:r>
      <w:r w:rsidRPr="004826C0">
        <w:rPr>
          <w:rFonts w:cs="Times New Roman"/>
          <w:lang w:val="fr-CA"/>
        </w:rPr>
        <w:t>. Les conditions légales préalables sont simples : l</w:t>
      </w:r>
      <w:r>
        <w:rPr>
          <w:rFonts w:cs="Times New Roman"/>
          <w:lang w:val="fr-CA"/>
        </w:rPr>
        <w:t>’</w:t>
      </w:r>
      <w:r w:rsidRPr="004826C0">
        <w:rPr>
          <w:rFonts w:cs="Times New Roman"/>
          <w:lang w:val="fr-CA"/>
        </w:rPr>
        <w:t>octroi de l</w:t>
      </w:r>
      <w:r>
        <w:rPr>
          <w:rFonts w:cs="Times New Roman"/>
          <w:lang w:val="fr-CA"/>
        </w:rPr>
        <w:t>’</w:t>
      </w:r>
      <w:r w:rsidRPr="004826C0">
        <w:rPr>
          <w:rFonts w:cs="Times New Roman"/>
          <w:lang w:val="fr-CA"/>
        </w:rPr>
        <w:t>autorisation doit servir au mieux l</w:t>
      </w:r>
      <w:r>
        <w:rPr>
          <w:rFonts w:cs="Times New Roman"/>
          <w:lang w:val="fr-CA"/>
        </w:rPr>
        <w:t>’</w:t>
      </w:r>
      <w:r w:rsidRPr="004826C0">
        <w:rPr>
          <w:rFonts w:cs="Times New Roman"/>
          <w:lang w:val="fr-CA"/>
        </w:rPr>
        <w:t>administration de la justice (</w:t>
      </w:r>
      <w:r w:rsidRPr="004826C0">
        <w:rPr>
          <w:rFonts w:cs="Times New Roman"/>
          <w:i/>
          <w:lang w:val="fr-CA"/>
        </w:rPr>
        <w:t>Code criminel</w:t>
      </w:r>
      <w:r w:rsidRPr="004826C0">
        <w:rPr>
          <w:rFonts w:cs="Times New Roman"/>
          <w:lang w:val="fr-CA"/>
        </w:rPr>
        <w:t>, al. 186(1</w:t>
      </w:r>
      <w:proofErr w:type="gramStart"/>
      <w:r w:rsidRPr="004826C0">
        <w:rPr>
          <w:rFonts w:cs="Times New Roman"/>
          <w:lang w:val="fr-CA"/>
        </w:rPr>
        <w:t>)a</w:t>
      </w:r>
      <w:proofErr w:type="gramEnd"/>
      <w:r w:rsidRPr="004826C0">
        <w:rPr>
          <w:rFonts w:cs="Times New Roman"/>
          <w:lang w:val="fr-CA"/>
        </w:rPr>
        <w:t>)). Il doit donc exister des motifs raisonnables de croire qu</w:t>
      </w:r>
      <w:r>
        <w:rPr>
          <w:rFonts w:cs="Times New Roman"/>
          <w:lang w:val="fr-CA"/>
        </w:rPr>
        <w:t>’</w:t>
      </w:r>
      <w:r w:rsidRPr="004826C0">
        <w:rPr>
          <w:rFonts w:cs="Times New Roman"/>
          <w:lang w:val="fr-CA"/>
        </w:rPr>
        <w:t>une infraction a été commise et que des renseignements relatifs à l</w:t>
      </w:r>
      <w:r>
        <w:rPr>
          <w:rFonts w:cs="Times New Roman"/>
          <w:lang w:val="fr-CA"/>
        </w:rPr>
        <w:t>’</w:t>
      </w:r>
      <w:r w:rsidRPr="004826C0">
        <w:rPr>
          <w:rFonts w:cs="Times New Roman"/>
          <w:lang w:val="fr-CA"/>
        </w:rPr>
        <w:t>infraction seront obtenus (</w:t>
      </w:r>
      <w:r w:rsidRPr="004826C0">
        <w:rPr>
          <w:rFonts w:cs="Times New Roman"/>
          <w:i/>
          <w:lang w:val="fr-CA"/>
        </w:rPr>
        <w:t>Duarte</w:t>
      </w:r>
      <w:r w:rsidRPr="004826C0">
        <w:rPr>
          <w:rFonts w:cs="Times New Roman"/>
          <w:lang w:val="fr-CA"/>
        </w:rPr>
        <w:t>, p. 45). D</w:t>
      </w:r>
      <w:r>
        <w:rPr>
          <w:rFonts w:cs="Times New Roman"/>
          <w:lang w:val="fr-CA"/>
        </w:rPr>
        <w:t>’</w:t>
      </w:r>
      <w:r w:rsidRPr="004826C0">
        <w:rPr>
          <w:rFonts w:cs="Times New Roman"/>
          <w:lang w:val="fr-CA"/>
        </w:rPr>
        <w:t>autres méthodes d</w:t>
      </w:r>
      <w:r>
        <w:rPr>
          <w:rFonts w:cs="Times New Roman"/>
          <w:lang w:val="fr-CA"/>
        </w:rPr>
        <w:t>’</w:t>
      </w:r>
      <w:r w:rsidRPr="004826C0">
        <w:rPr>
          <w:rFonts w:cs="Times New Roman"/>
          <w:lang w:val="fr-CA"/>
        </w:rPr>
        <w:t>enquête doivent également avoir « été essayées et [avoir] échoué » ou avoir « peu de chance de succès », ou l</w:t>
      </w:r>
      <w:r>
        <w:rPr>
          <w:rFonts w:cs="Times New Roman"/>
          <w:lang w:val="fr-CA"/>
        </w:rPr>
        <w:t>’</w:t>
      </w:r>
      <w:r w:rsidRPr="004826C0">
        <w:rPr>
          <w:rFonts w:cs="Times New Roman"/>
          <w:lang w:val="fr-CA"/>
        </w:rPr>
        <w:t>urgence de l</w:t>
      </w:r>
      <w:r>
        <w:rPr>
          <w:rFonts w:cs="Times New Roman"/>
          <w:lang w:val="fr-CA"/>
        </w:rPr>
        <w:t>’</w:t>
      </w:r>
      <w:r w:rsidRPr="004826C0">
        <w:rPr>
          <w:rFonts w:cs="Times New Roman"/>
          <w:lang w:val="fr-CA"/>
        </w:rPr>
        <w:t>affaire doit être « telle qu</w:t>
      </w:r>
      <w:r>
        <w:rPr>
          <w:rFonts w:cs="Times New Roman"/>
          <w:lang w:val="fr-CA"/>
        </w:rPr>
        <w:t>’</w:t>
      </w:r>
      <w:r w:rsidRPr="004826C0">
        <w:rPr>
          <w:rFonts w:cs="Times New Roman"/>
          <w:lang w:val="fr-CA"/>
        </w:rPr>
        <w:t>il ne serait pas pratique de mener l</w:t>
      </w:r>
      <w:r>
        <w:rPr>
          <w:rFonts w:cs="Times New Roman"/>
          <w:lang w:val="fr-CA"/>
        </w:rPr>
        <w:t>’</w:t>
      </w:r>
      <w:r w:rsidRPr="004826C0">
        <w:rPr>
          <w:rFonts w:cs="Times New Roman"/>
          <w:lang w:val="fr-CA"/>
        </w:rPr>
        <w:t>enquête relative à l</w:t>
      </w:r>
      <w:r>
        <w:rPr>
          <w:rFonts w:cs="Times New Roman"/>
          <w:lang w:val="fr-CA"/>
        </w:rPr>
        <w:t>’</w:t>
      </w:r>
      <w:r w:rsidRPr="004826C0">
        <w:rPr>
          <w:rFonts w:cs="Times New Roman"/>
          <w:lang w:val="fr-CA"/>
        </w:rPr>
        <w:t>infraction en n</w:t>
      </w:r>
      <w:r>
        <w:rPr>
          <w:rFonts w:cs="Times New Roman"/>
          <w:lang w:val="fr-CA"/>
        </w:rPr>
        <w:t>’</w:t>
      </w:r>
      <w:r w:rsidRPr="004826C0">
        <w:rPr>
          <w:rFonts w:cs="Times New Roman"/>
          <w:lang w:val="fr-CA"/>
        </w:rPr>
        <w:t>utilisant que les autres méthodes d</w:t>
      </w:r>
      <w:r>
        <w:rPr>
          <w:rFonts w:cs="Times New Roman"/>
          <w:lang w:val="fr-CA"/>
        </w:rPr>
        <w:t>’</w:t>
      </w:r>
      <w:r w:rsidRPr="004826C0">
        <w:rPr>
          <w:rFonts w:cs="Times New Roman"/>
          <w:lang w:val="fr-CA"/>
        </w:rPr>
        <w:t>enquête » (</w:t>
      </w:r>
      <w:r w:rsidRPr="004826C0">
        <w:rPr>
          <w:rFonts w:cs="Times New Roman"/>
          <w:i/>
          <w:lang w:val="fr-CA"/>
        </w:rPr>
        <w:t>Code criminel</w:t>
      </w:r>
      <w:r w:rsidRPr="004826C0">
        <w:rPr>
          <w:rFonts w:cs="Times New Roman"/>
          <w:lang w:val="fr-CA"/>
        </w:rPr>
        <w:t>, al. 186(1</w:t>
      </w:r>
      <w:proofErr w:type="gramStart"/>
      <w:r w:rsidRPr="004826C0">
        <w:rPr>
          <w:rFonts w:cs="Times New Roman"/>
          <w:lang w:val="fr-CA"/>
        </w:rPr>
        <w:t>)b</w:t>
      </w:r>
      <w:proofErr w:type="gramEnd"/>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 xml:space="preserve">La demande de type </w:t>
      </w:r>
      <w:proofErr w:type="spellStart"/>
      <w:r w:rsidRPr="004826C0">
        <w:rPr>
          <w:rFonts w:cs="Times New Roman"/>
          <w:i/>
          <w:lang w:val="fr-CA"/>
        </w:rPr>
        <w:t>Garofoli</w:t>
      </w:r>
      <w:proofErr w:type="spellEnd"/>
      <w:r w:rsidRPr="004826C0">
        <w:rPr>
          <w:rFonts w:cs="Times New Roman"/>
          <w:i/>
          <w:lang w:val="fr-CA"/>
        </w:rPr>
        <w:t xml:space="preserve"> </w:t>
      </w:r>
      <w:r w:rsidRPr="004826C0">
        <w:rPr>
          <w:rFonts w:cs="Times New Roman"/>
          <w:lang w:val="fr-CA"/>
        </w:rPr>
        <w:t>vise, non pas la question de savoir si les affirmations qui fondent la dénonciation en vue d</w:t>
      </w:r>
      <w:r>
        <w:rPr>
          <w:rFonts w:cs="Times New Roman"/>
          <w:lang w:val="fr-CA"/>
        </w:rPr>
        <w:t>’</w:t>
      </w:r>
      <w:r w:rsidRPr="004826C0">
        <w:rPr>
          <w:rFonts w:cs="Times New Roman"/>
          <w:lang w:val="fr-CA"/>
        </w:rPr>
        <w:t>obtenir l</w:t>
      </w:r>
      <w:r>
        <w:rPr>
          <w:rFonts w:cs="Times New Roman"/>
          <w:lang w:val="fr-CA"/>
        </w:rPr>
        <w:t>’</w:t>
      </w:r>
      <w:r w:rsidRPr="004826C0">
        <w:rPr>
          <w:rFonts w:cs="Times New Roman"/>
          <w:lang w:val="fr-CA"/>
        </w:rPr>
        <w:t>autorisation d</w:t>
      </w:r>
      <w:r>
        <w:rPr>
          <w:rFonts w:cs="Times New Roman"/>
          <w:lang w:val="fr-CA"/>
        </w:rPr>
        <w:t>’</w:t>
      </w:r>
      <w:r w:rsidRPr="004826C0">
        <w:rPr>
          <w:rFonts w:cs="Times New Roman"/>
          <w:lang w:val="fr-CA"/>
        </w:rPr>
        <w:t>écoute électronique sont vraies — une question qui sera tranchée au procès —, mais celle de savoir si le déposant a « une croyance raisonnable en l</w:t>
      </w:r>
      <w:r>
        <w:rPr>
          <w:rFonts w:cs="Times New Roman"/>
          <w:lang w:val="fr-CA"/>
        </w:rPr>
        <w:t>’</w:t>
      </w:r>
      <w:r w:rsidRPr="004826C0">
        <w:rPr>
          <w:rFonts w:cs="Times New Roman"/>
          <w:lang w:val="fr-CA"/>
        </w:rPr>
        <w:t>existence des motifs légaux requis » (</w:t>
      </w:r>
      <w:r w:rsidRPr="004826C0">
        <w:rPr>
          <w:rFonts w:cs="Times New Roman"/>
          <w:i/>
          <w:lang w:val="fr-CA"/>
        </w:rPr>
        <w:t>Pires</w:t>
      </w:r>
      <w:r w:rsidRPr="004826C0">
        <w:rPr>
          <w:rFonts w:cs="Times New Roman"/>
          <w:lang w:val="fr-CA"/>
        </w:rPr>
        <w:t>, par. 41). Ce qui importe, c</w:t>
      </w:r>
      <w:r>
        <w:rPr>
          <w:rFonts w:cs="Times New Roman"/>
          <w:lang w:val="fr-CA"/>
        </w:rPr>
        <w:t>’</w:t>
      </w:r>
      <w:r w:rsidRPr="004826C0">
        <w:rPr>
          <w:rFonts w:cs="Times New Roman"/>
          <w:lang w:val="fr-CA"/>
        </w:rPr>
        <w:t>est ce que le déposant savait ou aurait dû savoir au moment où il a souscrit l</w:t>
      </w:r>
      <w:r>
        <w:rPr>
          <w:rFonts w:cs="Times New Roman"/>
          <w:lang w:val="fr-CA"/>
        </w:rPr>
        <w:t>’</w:t>
      </w:r>
      <w:r w:rsidRPr="004826C0">
        <w:rPr>
          <w:rFonts w:cs="Times New Roman"/>
          <w:lang w:val="fr-CA"/>
        </w:rPr>
        <w:t xml:space="preserve">affidavit accompagnant la dénonciation. Comme le dit la Cour dans </w:t>
      </w:r>
      <w:r w:rsidRPr="004826C0">
        <w:rPr>
          <w:rFonts w:cs="Times New Roman"/>
          <w:i/>
          <w:lang w:val="fr-CA"/>
        </w:rPr>
        <w:t>Pires</w:t>
      </w:r>
      <w:r w:rsidRPr="004826C0">
        <w:rPr>
          <w:rFonts w:cs="Times New Roman"/>
          <w:lang w:val="fr-CA"/>
        </w:rPr>
        <w:t>, dans le contexte du droit de contre</w:t>
      </w:r>
      <w:r w:rsidRPr="004826C0">
        <w:rPr>
          <w:rFonts w:cs="Times New Roman"/>
          <w:lang w:val="fr-CA"/>
        </w:rPr>
        <w:noBreakHyphen/>
        <w:t>interroger le déposant :</w:t>
      </w:r>
    </w:p>
    <w:p w:rsidR="002405E3" w:rsidRPr="004826C0" w:rsidRDefault="002405E3" w:rsidP="003C0B54">
      <w:pPr>
        <w:pStyle w:val="Citation-AltC"/>
        <w:widowControl w:val="0"/>
        <w:ind w:hanging="1166"/>
        <w:rPr>
          <w:lang w:val="fr-CA"/>
        </w:rPr>
      </w:pPr>
      <w:r w:rsidRPr="004826C0">
        <w:rPr>
          <w:lang w:val="fr-CA"/>
        </w:rPr>
        <w:tab/>
        <w:t>. . . un contre</w:t>
      </w:r>
      <w:r w:rsidRPr="004826C0">
        <w:rPr>
          <w:lang w:val="fr-CA"/>
        </w:rPr>
        <w:noBreakHyphen/>
        <w:t>interrogatoire qui ne fait que démontrer la fausseté de certains des renseignements sur lesquels se fonde le déposant est peu susceptible d</w:t>
      </w:r>
      <w:r>
        <w:rPr>
          <w:lang w:val="fr-CA"/>
        </w:rPr>
        <w:t>’</w:t>
      </w:r>
      <w:r w:rsidRPr="004826C0">
        <w:rPr>
          <w:lang w:val="fr-CA"/>
        </w:rPr>
        <w:t>être utile à moins qu</w:t>
      </w:r>
      <w:r>
        <w:rPr>
          <w:lang w:val="fr-CA"/>
        </w:rPr>
        <w:t>’</w:t>
      </w:r>
      <w:r w:rsidRPr="004826C0">
        <w:rPr>
          <w:lang w:val="fr-CA"/>
        </w:rPr>
        <w:t>il ne permette également d</w:t>
      </w:r>
      <w:r>
        <w:rPr>
          <w:lang w:val="fr-CA"/>
        </w:rPr>
        <w:t>’</w:t>
      </w:r>
      <w:r w:rsidRPr="004826C0">
        <w:rPr>
          <w:lang w:val="fr-CA"/>
        </w:rPr>
        <w:t>étayer l</w:t>
      </w:r>
      <w:r>
        <w:rPr>
          <w:lang w:val="fr-CA"/>
        </w:rPr>
        <w:t>’</w:t>
      </w:r>
      <w:r w:rsidRPr="004826C0">
        <w:rPr>
          <w:lang w:val="fr-CA"/>
        </w:rPr>
        <w:t>inférence que le déposant savait ou aurait dû savoir que ces renseignements étaient faux. Il ne faut pas oublier que l</w:t>
      </w:r>
      <w:r>
        <w:rPr>
          <w:lang w:val="fr-CA"/>
        </w:rPr>
        <w:t>’</w:t>
      </w:r>
      <w:r w:rsidRPr="004826C0">
        <w:rPr>
          <w:lang w:val="fr-CA"/>
        </w:rPr>
        <w:t>autorisation d</w:t>
      </w:r>
      <w:r>
        <w:rPr>
          <w:lang w:val="fr-CA"/>
        </w:rPr>
        <w:t>’</w:t>
      </w:r>
      <w:r w:rsidRPr="004826C0">
        <w:rPr>
          <w:lang w:val="fr-CA"/>
        </w:rPr>
        <w:t>écoute électronique constitue un outil d</w:t>
      </w:r>
      <w:r>
        <w:rPr>
          <w:lang w:val="fr-CA"/>
        </w:rPr>
        <w:t>’</w:t>
      </w:r>
      <w:r w:rsidRPr="004826C0">
        <w:rPr>
          <w:lang w:val="fr-CA"/>
        </w:rPr>
        <w:t>enquête. [</w:t>
      </w:r>
      <w:proofErr w:type="gramStart"/>
      <w:r w:rsidRPr="004826C0">
        <w:rPr>
          <w:lang w:val="fr-CA"/>
        </w:rPr>
        <w:t>par</w:t>
      </w:r>
      <w:proofErr w:type="gramEnd"/>
      <w:r w:rsidRPr="004826C0">
        <w:rPr>
          <w:lang w:val="fr-CA"/>
        </w:rPr>
        <w:t>. 41]</w:t>
      </w:r>
    </w:p>
    <w:p w:rsidR="002405E3" w:rsidRPr="004826C0" w:rsidRDefault="002405E3" w:rsidP="003C0B54">
      <w:pPr>
        <w:pStyle w:val="ContinueParaSuitedupar-AltP"/>
        <w:widowControl w:val="0"/>
        <w:rPr>
          <w:rFonts w:cs="Times New Roman"/>
          <w:lang w:val="fr-CA"/>
        </w:rPr>
      </w:pPr>
      <w:r w:rsidRPr="004826C0">
        <w:rPr>
          <w:rFonts w:cs="Times New Roman"/>
          <w:lang w:val="fr-CA"/>
        </w:rPr>
        <w:t>Il convient d</w:t>
      </w:r>
      <w:r>
        <w:rPr>
          <w:rFonts w:cs="Times New Roman"/>
          <w:lang w:val="fr-CA"/>
        </w:rPr>
        <w:t>’</w:t>
      </w:r>
      <w:r w:rsidRPr="004826C0">
        <w:rPr>
          <w:rFonts w:cs="Times New Roman"/>
          <w:lang w:val="fr-CA"/>
        </w:rPr>
        <w:t>avoir ce critère étroit à l</w:t>
      </w:r>
      <w:r>
        <w:rPr>
          <w:rFonts w:cs="Times New Roman"/>
          <w:lang w:val="fr-CA"/>
        </w:rPr>
        <w:t>’</w:t>
      </w:r>
      <w:r w:rsidRPr="004826C0">
        <w:rPr>
          <w:rFonts w:cs="Times New Roman"/>
          <w:lang w:val="fr-CA"/>
        </w:rPr>
        <w:t>esprit lorsqu</w:t>
      </w:r>
      <w:r>
        <w:rPr>
          <w:rFonts w:cs="Times New Roman"/>
          <w:lang w:val="fr-CA"/>
        </w:rPr>
        <w:t>’</w:t>
      </w:r>
      <w:r w:rsidRPr="004826C0">
        <w:rPr>
          <w:rFonts w:cs="Times New Roman"/>
          <w:lang w:val="fr-CA"/>
        </w:rPr>
        <w:t>il s</w:t>
      </w:r>
      <w:r>
        <w:rPr>
          <w:rFonts w:cs="Times New Roman"/>
          <w:lang w:val="fr-CA"/>
        </w:rPr>
        <w:t>’</w:t>
      </w:r>
      <w:r w:rsidRPr="004826C0">
        <w:rPr>
          <w:rFonts w:cs="Times New Roman"/>
          <w:lang w:val="fr-CA"/>
        </w:rPr>
        <w:t>agit d</w:t>
      </w:r>
      <w:r>
        <w:rPr>
          <w:rFonts w:cs="Times New Roman"/>
          <w:lang w:val="fr-CA"/>
        </w:rPr>
        <w:t>’</w:t>
      </w:r>
      <w:r w:rsidRPr="004826C0">
        <w:rPr>
          <w:rFonts w:cs="Times New Roman"/>
          <w:lang w:val="fr-CA"/>
        </w:rPr>
        <w:t>autoriser ou non l</w:t>
      </w:r>
      <w:r>
        <w:rPr>
          <w:rFonts w:cs="Times New Roman"/>
          <w:lang w:val="fr-CA"/>
        </w:rPr>
        <w:t>’</w:t>
      </w:r>
      <w:r w:rsidRPr="004826C0">
        <w:rPr>
          <w:rFonts w:cs="Times New Roman"/>
          <w:lang w:val="fr-CA"/>
        </w:rPr>
        <w:t xml:space="preserve">accusé voulant obtenir des éléments de preuve pour étayer sa demande de type </w:t>
      </w:r>
      <w:proofErr w:type="spellStart"/>
      <w:r w:rsidRPr="004826C0">
        <w:rPr>
          <w:rFonts w:cs="Times New Roman"/>
          <w:i/>
          <w:lang w:val="fr-CA"/>
        </w:rPr>
        <w:t>Garofoli</w:t>
      </w:r>
      <w:proofErr w:type="spellEnd"/>
      <w:r w:rsidRPr="004826C0">
        <w:rPr>
          <w:rFonts w:cs="Times New Roman"/>
          <w:lang w:val="fr-CA"/>
        </w:rPr>
        <w:t xml:space="preserve"> à procéder au contre</w:t>
      </w:r>
      <w:r w:rsidRPr="004826C0">
        <w:rPr>
          <w:rFonts w:cs="Times New Roman"/>
          <w:lang w:val="fr-CA"/>
        </w:rPr>
        <w:noBreakHyphen/>
        <w:t>interrogatoire. Comme nous allons l</w:t>
      </w:r>
      <w:r>
        <w:rPr>
          <w:rFonts w:cs="Times New Roman"/>
          <w:lang w:val="fr-CA"/>
        </w:rPr>
        <w:t>’</w:t>
      </w:r>
      <w:r w:rsidRPr="004826C0">
        <w:rPr>
          <w:rFonts w:cs="Times New Roman"/>
          <w:lang w:val="fr-CA"/>
        </w:rPr>
        <w:t>expliquer, le même critère s</w:t>
      </w:r>
      <w:r>
        <w:rPr>
          <w:rFonts w:cs="Times New Roman"/>
          <w:lang w:val="fr-CA"/>
        </w:rPr>
        <w:t>’</w:t>
      </w:r>
      <w:r w:rsidRPr="004826C0">
        <w:rPr>
          <w:rFonts w:cs="Times New Roman"/>
          <w:lang w:val="fr-CA"/>
        </w:rPr>
        <w:t>applique s</w:t>
      </w:r>
      <w:r>
        <w:rPr>
          <w:rFonts w:cs="Times New Roman"/>
          <w:lang w:val="fr-CA"/>
        </w:rPr>
        <w:t>’</w:t>
      </w:r>
      <w:r w:rsidRPr="004826C0">
        <w:rPr>
          <w:rFonts w:cs="Times New Roman"/>
          <w:lang w:val="fr-CA"/>
        </w:rPr>
        <w:t>il sollicite la communication de dossiers par des tiers.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En règle générale, il existe deux motifs de contestation d</w:t>
      </w:r>
      <w:r>
        <w:rPr>
          <w:rFonts w:cs="Times New Roman"/>
          <w:lang w:val="fr-CA"/>
        </w:rPr>
        <w:t>’</w:t>
      </w:r>
      <w:r w:rsidRPr="004826C0">
        <w:rPr>
          <w:rFonts w:cs="Times New Roman"/>
          <w:lang w:val="fr-CA"/>
        </w:rPr>
        <w:t>une autorisation d</w:t>
      </w:r>
      <w:r>
        <w:rPr>
          <w:rFonts w:cs="Times New Roman"/>
          <w:lang w:val="fr-CA"/>
        </w:rPr>
        <w:t>’</w:t>
      </w:r>
      <w:r w:rsidRPr="004826C0">
        <w:rPr>
          <w:rFonts w:cs="Times New Roman"/>
          <w:lang w:val="fr-CA"/>
        </w:rPr>
        <w:t>écoute électronique : le dossier dont disposait le juge qui a accordé l</w:t>
      </w:r>
      <w:r>
        <w:rPr>
          <w:rFonts w:cs="Times New Roman"/>
          <w:lang w:val="fr-CA"/>
        </w:rPr>
        <w:t>’</w:t>
      </w:r>
      <w:r w:rsidRPr="004826C0">
        <w:rPr>
          <w:rFonts w:cs="Times New Roman"/>
          <w:lang w:val="fr-CA"/>
        </w:rPr>
        <w:t>autorisation ne permettait pas d</w:t>
      </w:r>
      <w:r>
        <w:rPr>
          <w:rFonts w:cs="Times New Roman"/>
          <w:lang w:val="fr-CA"/>
        </w:rPr>
        <w:t>’</w:t>
      </w:r>
      <w:r w:rsidRPr="004826C0">
        <w:rPr>
          <w:rFonts w:cs="Times New Roman"/>
          <w:lang w:val="fr-CA"/>
        </w:rPr>
        <w:t>établir l</w:t>
      </w:r>
      <w:r>
        <w:rPr>
          <w:rFonts w:cs="Times New Roman"/>
          <w:lang w:val="fr-CA"/>
        </w:rPr>
        <w:t>’</w:t>
      </w:r>
      <w:r w:rsidRPr="004826C0">
        <w:rPr>
          <w:rFonts w:cs="Times New Roman"/>
          <w:lang w:val="fr-CA"/>
        </w:rPr>
        <w:t>existence des conditions légales préalables, ou le dossier ne représentait pas fidèlement ce que le déposant savait ou aurait dû savoir et, s</w:t>
      </w:r>
      <w:r>
        <w:rPr>
          <w:rFonts w:cs="Times New Roman"/>
          <w:lang w:val="fr-CA"/>
        </w:rPr>
        <w:t>’</w:t>
      </w:r>
      <w:r w:rsidRPr="004826C0">
        <w:rPr>
          <w:rFonts w:cs="Times New Roman"/>
          <w:lang w:val="fr-CA"/>
        </w:rPr>
        <w:t>il avait constitué un reflet fidèle, n</w:t>
      </w:r>
      <w:r>
        <w:rPr>
          <w:rFonts w:cs="Times New Roman"/>
          <w:lang w:val="fr-CA"/>
        </w:rPr>
        <w:t>’</w:t>
      </w:r>
      <w:r w:rsidRPr="004826C0">
        <w:rPr>
          <w:rFonts w:cs="Times New Roman"/>
          <w:lang w:val="fr-CA"/>
        </w:rPr>
        <w:t>aurait pas justifié l</w:t>
      </w:r>
      <w:r>
        <w:rPr>
          <w:rFonts w:cs="Times New Roman"/>
          <w:lang w:val="fr-CA"/>
        </w:rPr>
        <w:t>’</w:t>
      </w:r>
      <w:r w:rsidRPr="004826C0">
        <w:rPr>
          <w:rFonts w:cs="Times New Roman"/>
          <w:lang w:val="fr-CA"/>
        </w:rPr>
        <w:t>autorisation (</w:t>
      </w:r>
      <w:r w:rsidRPr="004826C0">
        <w:rPr>
          <w:rFonts w:cs="Times New Roman"/>
          <w:i/>
          <w:lang w:val="fr-CA"/>
        </w:rPr>
        <w:t>R. c. Araujo</w:t>
      </w:r>
      <w:r w:rsidRPr="004826C0">
        <w:rPr>
          <w:rFonts w:cs="Times New Roman"/>
          <w:lang w:val="fr-CA"/>
        </w:rPr>
        <w:t>, 2000 CSC 65, [2000] 2 R.C.S. 992, par. 50</w:t>
      </w:r>
      <w:r w:rsidRPr="004826C0">
        <w:rPr>
          <w:rFonts w:cs="Times New Roman"/>
          <w:lang w:val="fr-CA"/>
        </w:rPr>
        <w:noBreakHyphen/>
        <w:t xml:space="preserve">54; </w:t>
      </w:r>
      <w:r w:rsidRPr="004826C0">
        <w:rPr>
          <w:rFonts w:cs="Times New Roman"/>
          <w:i/>
          <w:lang w:val="fr-CA"/>
        </w:rPr>
        <w:t>Pires</w:t>
      </w:r>
      <w:r w:rsidRPr="004826C0">
        <w:rPr>
          <w:rFonts w:cs="Times New Roman"/>
          <w:lang w:val="fr-CA"/>
        </w:rPr>
        <w:t xml:space="preserve">, par. 41; voir également </w:t>
      </w:r>
      <w:r w:rsidRPr="004826C0">
        <w:rPr>
          <w:rFonts w:cs="Times New Roman"/>
          <w:i/>
          <w:lang w:val="fr-CA"/>
        </w:rPr>
        <w:t>R. c. Grant</w:t>
      </w:r>
      <w:r w:rsidRPr="004826C0">
        <w:rPr>
          <w:rFonts w:cs="Times New Roman"/>
          <w:lang w:val="fr-CA"/>
        </w:rPr>
        <w:t>, [1993] 3 R.C.S. 223, à propos de l</w:t>
      </w:r>
      <w:r>
        <w:rPr>
          <w:rFonts w:cs="Times New Roman"/>
          <w:lang w:val="fr-CA"/>
        </w:rPr>
        <w:t>’</w:t>
      </w:r>
      <w:r w:rsidRPr="004826C0">
        <w:rPr>
          <w:rFonts w:cs="Times New Roman"/>
          <w:lang w:val="fr-CA"/>
        </w:rPr>
        <w:t>exclusion de renseignements obtenus de manière inconstitutionnelle et consignés dans les dénonciations en vue d</w:t>
      </w:r>
      <w:r>
        <w:rPr>
          <w:rFonts w:cs="Times New Roman"/>
          <w:lang w:val="fr-CA"/>
        </w:rPr>
        <w:t>’</w:t>
      </w:r>
      <w:r w:rsidRPr="004826C0">
        <w:rPr>
          <w:rFonts w:cs="Times New Roman"/>
          <w:lang w:val="fr-CA"/>
        </w:rPr>
        <w:t>obtenir le mandat). En l</w:t>
      </w:r>
      <w:r>
        <w:rPr>
          <w:rFonts w:cs="Times New Roman"/>
          <w:lang w:val="fr-CA"/>
        </w:rPr>
        <w:t>’</w:t>
      </w:r>
      <w:r w:rsidRPr="004826C0">
        <w:rPr>
          <w:rFonts w:cs="Times New Roman"/>
          <w:lang w:val="fr-CA"/>
        </w:rPr>
        <w:t xml:space="preserve">espèce, la contestation repose sur le deuxième motif (parfois appelée contestation au fond). </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Étant donné que la contestation au fond porte sur ce que le déposant savait ou aurait dû savoir au moment où il a souscrit l</w:t>
      </w:r>
      <w:r>
        <w:rPr>
          <w:rFonts w:cs="Times New Roman"/>
          <w:lang w:val="fr-CA"/>
        </w:rPr>
        <w:t>’</w:t>
      </w:r>
      <w:r w:rsidRPr="004826C0">
        <w:rPr>
          <w:rFonts w:cs="Times New Roman"/>
          <w:lang w:val="fr-CA"/>
        </w:rPr>
        <w:t>affidavit, la fidélité de ce dernier est déterminée à la lumière de la croyance raisonnable du déposant au moment pertinent. Le juge Smart de la Cour suprême de la Colombie</w:t>
      </w:r>
      <w:r w:rsidRPr="004826C0">
        <w:rPr>
          <w:rFonts w:cs="Times New Roman"/>
          <w:lang w:val="fr-CA"/>
        </w:rPr>
        <w:noBreakHyphen/>
        <w:t>Britannique a résumé ainsi l</w:t>
      </w:r>
      <w:r>
        <w:rPr>
          <w:rFonts w:cs="Times New Roman"/>
          <w:lang w:val="fr-CA"/>
        </w:rPr>
        <w:t>’</w:t>
      </w:r>
      <w:r w:rsidRPr="004826C0">
        <w:rPr>
          <w:rFonts w:cs="Times New Roman"/>
          <w:lang w:val="fr-CA"/>
        </w:rPr>
        <w:t>analyse relative à une contestation au fond d</w:t>
      </w:r>
      <w:r>
        <w:rPr>
          <w:rFonts w:cs="Times New Roman"/>
          <w:lang w:val="fr-CA"/>
        </w:rPr>
        <w:t>’</w:t>
      </w:r>
      <w:r w:rsidRPr="004826C0">
        <w:rPr>
          <w:rFonts w:cs="Times New Roman"/>
          <w:lang w:val="fr-CA"/>
        </w:rPr>
        <w:t>une dénonciation en vue d</w:t>
      </w:r>
      <w:r>
        <w:rPr>
          <w:rFonts w:cs="Times New Roman"/>
          <w:lang w:val="fr-CA"/>
        </w:rPr>
        <w:t>’</w:t>
      </w:r>
      <w:r w:rsidRPr="004826C0">
        <w:rPr>
          <w:rFonts w:cs="Times New Roman"/>
          <w:lang w:val="fr-CA"/>
        </w:rPr>
        <w:t>obtenir un mandat de perquisition :</w:t>
      </w:r>
    </w:p>
    <w:p w:rsidR="002405E3" w:rsidRPr="004826C0" w:rsidRDefault="002405E3" w:rsidP="003C0B54">
      <w:pPr>
        <w:pStyle w:val="Citation-AltC"/>
        <w:widowControl w:val="0"/>
        <w:spacing w:after="240"/>
        <w:ind w:hanging="1166"/>
        <w:contextualSpacing w:val="0"/>
        <w:rPr>
          <w:lang w:val="fr-CA"/>
        </w:rPr>
      </w:pPr>
      <w:r w:rsidRPr="004826C0">
        <w:rPr>
          <w:lang w:val="fr-CA"/>
        </w:rPr>
        <w:tab/>
      </w:r>
      <w:r w:rsidR="00D80572" w:rsidRPr="004826C0">
        <w:rPr>
          <w:lang w:val="fr-CA"/>
        </w:rPr>
        <w:t>[</w:t>
      </w:r>
      <w:r w:rsidR="00D80572" w:rsidRPr="004826C0">
        <w:rPr>
          <w:smallCaps/>
          <w:lang w:val="fr-CA"/>
        </w:rPr>
        <w:t>traduction</w:t>
      </w:r>
      <w:r w:rsidR="00D80572" w:rsidRPr="004826C0">
        <w:rPr>
          <w:lang w:val="fr-CA"/>
        </w:rPr>
        <w:t>]</w:t>
      </w:r>
      <w:r w:rsidR="00D80572">
        <w:rPr>
          <w:lang w:val="fr-CA"/>
        </w:rPr>
        <w:t xml:space="preserve"> </w:t>
      </w:r>
      <w:r w:rsidRPr="004826C0">
        <w:rPr>
          <w:lang w:val="fr-CA"/>
        </w:rPr>
        <w:t>Si le requérant démontre que le déposant savait ou aurait dû savoir la preuve fausse, inexacte ou trompeuse, cette preuve doit être retranchée de la [dénonciation] lorsqu</w:t>
      </w:r>
      <w:r>
        <w:rPr>
          <w:lang w:val="fr-CA"/>
        </w:rPr>
        <w:t>’</w:t>
      </w:r>
      <w:r w:rsidRPr="004826C0">
        <w:rPr>
          <w:lang w:val="fr-CA"/>
        </w:rPr>
        <w:t>il s</w:t>
      </w:r>
      <w:r>
        <w:rPr>
          <w:lang w:val="fr-CA"/>
        </w:rPr>
        <w:t>’</w:t>
      </w:r>
      <w:r w:rsidRPr="004826C0">
        <w:rPr>
          <w:lang w:val="fr-CA"/>
        </w:rPr>
        <w:t>agit de statuer sur la légalité du mandat. De même, si la défense démontre l</w:t>
      </w:r>
      <w:r>
        <w:rPr>
          <w:lang w:val="fr-CA"/>
        </w:rPr>
        <w:t>’</w:t>
      </w:r>
      <w:r w:rsidRPr="004826C0">
        <w:rPr>
          <w:lang w:val="fr-CA"/>
        </w:rPr>
        <w:t>existence d</w:t>
      </w:r>
      <w:r>
        <w:rPr>
          <w:lang w:val="fr-CA"/>
        </w:rPr>
        <w:t>’</w:t>
      </w:r>
      <w:r w:rsidRPr="004826C0">
        <w:rPr>
          <w:lang w:val="fr-CA"/>
        </w:rPr>
        <w:t>une autre preuve connue du déposant ou que ce dernier aurait dû connaître et inclure dans la [dénonciation] pour assurer une communication entière, impartiale et sincère, cette preuve peut être ajoutée lorsqu</w:t>
      </w:r>
      <w:r>
        <w:rPr>
          <w:lang w:val="fr-CA"/>
        </w:rPr>
        <w:t>’</w:t>
      </w:r>
      <w:r w:rsidRPr="004826C0">
        <w:rPr>
          <w:lang w:val="fr-CA"/>
        </w:rPr>
        <w:t>il s</w:t>
      </w:r>
      <w:r>
        <w:rPr>
          <w:lang w:val="fr-CA"/>
        </w:rPr>
        <w:t>’</w:t>
      </w:r>
      <w:r w:rsidRPr="004826C0">
        <w:rPr>
          <w:lang w:val="fr-CA"/>
        </w:rPr>
        <w:t>agit de statuer sur la légalité du mandat.</w:t>
      </w:r>
    </w:p>
    <w:p w:rsidR="002405E3" w:rsidRPr="004826C0" w:rsidRDefault="002405E3" w:rsidP="003C0B54">
      <w:pPr>
        <w:pStyle w:val="Citation-AltC"/>
        <w:widowControl w:val="0"/>
        <w:ind w:hanging="1166"/>
        <w:rPr>
          <w:lang w:val="fr-CA"/>
        </w:rPr>
      </w:pPr>
      <w:r w:rsidRPr="004826C0">
        <w:rPr>
          <w:lang w:val="fr-CA"/>
        </w:rPr>
        <w:t>(</w:t>
      </w:r>
      <w:r w:rsidRPr="004826C0">
        <w:rPr>
          <w:i/>
          <w:lang w:val="fr-CA"/>
        </w:rPr>
        <w:t xml:space="preserve">R. c. </w:t>
      </w:r>
      <w:proofErr w:type="spellStart"/>
      <w:r w:rsidRPr="004826C0">
        <w:rPr>
          <w:i/>
          <w:lang w:val="fr-CA"/>
        </w:rPr>
        <w:t>Sipes</w:t>
      </w:r>
      <w:proofErr w:type="spellEnd"/>
      <w:r w:rsidRPr="004826C0">
        <w:rPr>
          <w:lang w:val="fr-CA"/>
        </w:rPr>
        <w:t>, 2009 BCSC 612, par. 41 (</w:t>
      </w:r>
      <w:proofErr w:type="spellStart"/>
      <w:r w:rsidRPr="004826C0">
        <w:rPr>
          <w:lang w:val="fr-CA"/>
        </w:rPr>
        <w:t>CanLII</w:t>
      </w:r>
      <w:proofErr w:type="spellEnd"/>
      <w:r w:rsidRPr="004826C0">
        <w:rPr>
          <w:lang w:val="fr-CA"/>
        </w:rPr>
        <w:t xml:space="preserve">)) </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commentaires du juge Smart peuvent s</w:t>
      </w:r>
      <w:r>
        <w:rPr>
          <w:rFonts w:cs="Times New Roman"/>
          <w:lang w:val="fr-CA"/>
        </w:rPr>
        <w:t>’</w:t>
      </w:r>
      <w:r w:rsidRPr="004826C0">
        <w:rPr>
          <w:rFonts w:cs="Times New Roman"/>
          <w:lang w:val="fr-CA"/>
        </w:rPr>
        <w:t xml:space="preserve">appliquer à une demande de type </w:t>
      </w:r>
      <w:proofErr w:type="spellStart"/>
      <w:r w:rsidRPr="004826C0">
        <w:rPr>
          <w:rFonts w:cs="Times New Roman"/>
          <w:i/>
          <w:lang w:val="fr-CA"/>
        </w:rPr>
        <w:t>Garofoli</w:t>
      </w:r>
      <w:proofErr w:type="spellEnd"/>
      <w:r w:rsidRPr="004826C0">
        <w:rPr>
          <w:rFonts w:cs="Times New Roman"/>
          <w:lang w:val="fr-CA"/>
        </w:rPr>
        <w:t xml:space="preserve"> (voir </w:t>
      </w:r>
      <w:r w:rsidRPr="004826C0">
        <w:rPr>
          <w:rFonts w:cs="Times New Roman"/>
          <w:i/>
          <w:lang w:val="fr-CA"/>
        </w:rPr>
        <w:t>R. c. McKinnon</w:t>
      </w:r>
      <w:r w:rsidRPr="004826C0">
        <w:rPr>
          <w:rFonts w:cs="Times New Roman"/>
          <w:lang w:val="fr-CA"/>
        </w:rPr>
        <w:t>, 2013 BCSC 2212, par. 12 (</w:t>
      </w:r>
      <w:proofErr w:type="spellStart"/>
      <w:r w:rsidRPr="004826C0">
        <w:rPr>
          <w:rFonts w:cs="Times New Roman"/>
          <w:lang w:val="fr-CA"/>
        </w:rPr>
        <w:t>CanLII</w:t>
      </w:r>
      <w:proofErr w:type="spellEnd"/>
      <w:r w:rsidRPr="004826C0">
        <w:rPr>
          <w:rFonts w:cs="Times New Roman"/>
          <w:lang w:val="fr-CA"/>
        </w:rPr>
        <w:t xml:space="preserve">); voir aussi </w:t>
      </w:r>
      <w:r w:rsidRPr="004826C0">
        <w:rPr>
          <w:rFonts w:cs="Times New Roman"/>
          <w:i/>
          <w:lang w:val="fr-CA"/>
        </w:rPr>
        <w:t>Grant</w:t>
      </w:r>
      <w:r w:rsidRPr="004826C0">
        <w:rPr>
          <w:rFonts w:cs="Times New Roman"/>
          <w:lang w:val="fr-CA"/>
        </w:rPr>
        <w:t xml:space="preserve">, p. 251; </w:t>
      </w:r>
      <w:r w:rsidRPr="004826C0">
        <w:rPr>
          <w:rFonts w:cs="Times New Roman"/>
          <w:i/>
          <w:lang w:val="fr-CA"/>
        </w:rPr>
        <w:t xml:space="preserve">R. c. </w:t>
      </w:r>
      <w:proofErr w:type="spellStart"/>
      <w:r w:rsidRPr="004826C0">
        <w:rPr>
          <w:rFonts w:cs="Times New Roman"/>
          <w:i/>
          <w:lang w:val="fr-CA"/>
        </w:rPr>
        <w:t>Morelli</w:t>
      </w:r>
      <w:proofErr w:type="spellEnd"/>
      <w:r w:rsidRPr="004826C0">
        <w:rPr>
          <w:rFonts w:cs="Times New Roman"/>
          <w:lang w:val="fr-CA"/>
        </w:rPr>
        <w:t>, 2010 CSC 8, [2010] 1 R.C.S. 253, par. 40</w:t>
      </w:r>
      <w:r w:rsidRPr="004826C0">
        <w:rPr>
          <w:rFonts w:cs="Times New Roman"/>
          <w:lang w:val="fr-CA"/>
        </w:rPr>
        <w:noBreakHyphen/>
        <w:t>42). Ils vont dans le même sens que l</w:t>
      </w:r>
      <w:r>
        <w:rPr>
          <w:rFonts w:cs="Times New Roman"/>
          <w:lang w:val="fr-CA"/>
        </w:rPr>
        <w:t>’</w:t>
      </w:r>
      <w:r w:rsidRPr="004826C0">
        <w:rPr>
          <w:rFonts w:cs="Times New Roman"/>
          <w:lang w:val="fr-CA"/>
        </w:rPr>
        <w:t xml:space="preserve">observation de la Cour dans </w:t>
      </w:r>
      <w:r w:rsidRPr="004826C0">
        <w:rPr>
          <w:rFonts w:cs="Times New Roman"/>
          <w:i/>
          <w:lang w:val="fr-CA"/>
        </w:rPr>
        <w:t>Pires</w:t>
      </w:r>
      <w:r w:rsidRPr="004826C0">
        <w:rPr>
          <w:rFonts w:cs="Times New Roman"/>
          <w:lang w:val="fr-CA"/>
        </w:rPr>
        <w:t xml:space="preserve"> selon laquelle une erreur ou une omission n</w:t>
      </w:r>
      <w:r>
        <w:rPr>
          <w:rFonts w:cs="Times New Roman"/>
          <w:lang w:val="fr-CA"/>
        </w:rPr>
        <w:t>’</w:t>
      </w:r>
      <w:r w:rsidRPr="004826C0">
        <w:rPr>
          <w:rFonts w:cs="Times New Roman"/>
          <w:lang w:val="fr-CA"/>
        </w:rPr>
        <w:t>est pas pertinente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 xml:space="preserve"> si le déposant ne pouvait pas raisonnablement en connaître l</w:t>
      </w:r>
      <w:r>
        <w:rPr>
          <w:rFonts w:cs="Times New Roman"/>
          <w:lang w:val="fr-CA"/>
        </w:rPr>
        <w:t>’</w:t>
      </w:r>
      <w:r w:rsidRPr="004826C0">
        <w:rPr>
          <w:rFonts w:cs="Times New Roman"/>
          <w:lang w:val="fr-CA"/>
        </w:rPr>
        <w:t>existence (par. 41). S</w:t>
      </w:r>
      <w:r>
        <w:rPr>
          <w:rFonts w:cs="Times New Roman"/>
          <w:lang w:val="fr-CA"/>
        </w:rPr>
        <w:t>’</w:t>
      </w:r>
      <w:r w:rsidRPr="004826C0">
        <w:rPr>
          <w:rFonts w:cs="Times New Roman"/>
          <w:lang w:val="fr-CA"/>
        </w:rPr>
        <w:t>il fallait évaluer l</w:t>
      </w:r>
      <w:r>
        <w:rPr>
          <w:rFonts w:cs="Times New Roman"/>
          <w:lang w:val="fr-CA"/>
        </w:rPr>
        <w:t>’</w:t>
      </w:r>
      <w:r w:rsidRPr="004826C0">
        <w:rPr>
          <w:rFonts w:cs="Times New Roman"/>
          <w:lang w:val="fr-CA"/>
        </w:rPr>
        <w:t>affidavit à la lumière de la vérité ultime plutôt que de la croyance raisonnable du déposant, l</w:t>
      </w:r>
      <w:r>
        <w:rPr>
          <w:rFonts w:cs="Times New Roman"/>
          <w:lang w:val="fr-CA"/>
        </w:rPr>
        <w:t>’</w:t>
      </w:r>
      <w:r w:rsidRPr="004826C0">
        <w:rPr>
          <w:rFonts w:cs="Times New Roman"/>
          <w:lang w:val="fr-CA"/>
        </w:rPr>
        <w:t xml:space="preserve">audition de la demande de type </w:t>
      </w:r>
      <w:proofErr w:type="spellStart"/>
      <w:r w:rsidRPr="004826C0">
        <w:rPr>
          <w:rFonts w:cs="Times New Roman"/>
          <w:i/>
          <w:lang w:val="fr-CA"/>
        </w:rPr>
        <w:t>Garofoli</w:t>
      </w:r>
      <w:proofErr w:type="spellEnd"/>
      <w:r w:rsidRPr="004826C0">
        <w:rPr>
          <w:rFonts w:cs="Times New Roman"/>
          <w:lang w:val="fr-CA"/>
        </w:rPr>
        <w:t xml:space="preserve"> servirait à faire le procès de chaque affirmation dans l</w:t>
      </w:r>
      <w:r>
        <w:rPr>
          <w:rFonts w:cs="Times New Roman"/>
          <w:lang w:val="fr-CA"/>
        </w:rPr>
        <w:t>’</w:t>
      </w:r>
      <w:r w:rsidRPr="004826C0">
        <w:rPr>
          <w:rFonts w:cs="Times New Roman"/>
          <w:lang w:val="fr-CA"/>
        </w:rPr>
        <w:t>affidavit, ce que la Cour veut depuis longtemps éviter (</w:t>
      </w:r>
      <w:r w:rsidRPr="004826C0">
        <w:rPr>
          <w:rFonts w:cs="Times New Roman"/>
          <w:i/>
          <w:lang w:val="fr-CA"/>
        </w:rPr>
        <w:t>Pires</w:t>
      </w:r>
      <w:r w:rsidRPr="004826C0">
        <w:rPr>
          <w:rFonts w:cs="Times New Roman"/>
          <w:lang w:val="fr-CA"/>
        </w:rPr>
        <w:t xml:space="preserve">, par. 30; voir aussi </w:t>
      </w:r>
      <w:r w:rsidRPr="004826C0">
        <w:rPr>
          <w:rFonts w:cs="Times New Roman"/>
          <w:i/>
          <w:lang w:val="fr-CA"/>
        </w:rPr>
        <w:t xml:space="preserve">R. c. </w:t>
      </w:r>
      <w:proofErr w:type="spellStart"/>
      <w:r w:rsidRPr="004826C0">
        <w:rPr>
          <w:rFonts w:cs="Times New Roman"/>
          <w:i/>
          <w:lang w:val="fr-CA"/>
        </w:rPr>
        <w:t>Ebanks</w:t>
      </w:r>
      <w:proofErr w:type="spellEnd"/>
      <w:r w:rsidRPr="004826C0">
        <w:rPr>
          <w:rFonts w:cs="Times New Roman"/>
          <w:lang w:val="fr-CA"/>
        </w:rPr>
        <w:t>, 2009 ONCA 851, 97 O.R. (3d) 721, par. 21).</w:t>
      </w:r>
      <w:r>
        <w:rPr>
          <w:rFonts w:cs="Times New Roman"/>
          <w:lang w:val="fr-CA"/>
        </w:rPr>
        <w:t xml:space="preserve"> </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Il importe de souligner, pour le tribunal appelé à examiner une contestation au fond, que le déposant ne peut faire abstraction des éléments donnant à penser que d</w:t>
      </w:r>
      <w:r>
        <w:rPr>
          <w:rFonts w:cs="Times New Roman"/>
          <w:lang w:val="fr-CA"/>
        </w:rPr>
        <w:t>’</w:t>
      </w:r>
      <w:r w:rsidRPr="004826C0">
        <w:rPr>
          <w:rFonts w:cs="Times New Roman"/>
          <w:lang w:val="fr-CA"/>
        </w:rPr>
        <w:t>autres agents peuvent l</w:t>
      </w:r>
      <w:r>
        <w:rPr>
          <w:rFonts w:cs="Times New Roman"/>
          <w:lang w:val="fr-CA"/>
        </w:rPr>
        <w:t>’</w:t>
      </w:r>
      <w:r w:rsidRPr="004826C0">
        <w:rPr>
          <w:rFonts w:cs="Times New Roman"/>
          <w:lang w:val="fr-CA"/>
        </w:rPr>
        <w:t>induire en erreur ou omettre des renseignements importants. Toutefois, en l</w:t>
      </w:r>
      <w:r>
        <w:rPr>
          <w:rFonts w:cs="Times New Roman"/>
          <w:lang w:val="fr-CA"/>
        </w:rPr>
        <w:t>’</w:t>
      </w:r>
      <w:r w:rsidRPr="004826C0">
        <w:rPr>
          <w:rFonts w:cs="Times New Roman"/>
          <w:lang w:val="fr-CA"/>
        </w:rPr>
        <w:t>absence de tels signes, il n</w:t>
      </w:r>
      <w:r>
        <w:rPr>
          <w:rFonts w:cs="Times New Roman"/>
          <w:lang w:val="fr-CA"/>
        </w:rPr>
        <w:t>’</w:t>
      </w:r>
      <w:r w:rsidRPr="004826C0">
        <w:rPr>
          <w:rFonts w:cs="Times New Roman"/>
          <w:lang w:val="fr-CA"/>
        </w:rPr>
        <w:t>a pas à mener sa propre enquête (</w:t>
      </w:r>
      <w:r w:rsidRPr="004826C0">
        <w:rPr>
          <w:rFonts w:cs="Times New Roman"/>
          <w:i/>
          <w:lang w:val="fr-CA"/>
        </w:rPr>
        <w:t>R. c.</w:t>
      </w:r>
      <w:r w:rsidRPr="004826C0">
        <w:rPr>
          <w:rFonts w:cs="Times New Roman"/>
          <w:lang w:val="fr-CA"/>
        </w:rPr>
        <w:t xml:space="preserve"> </w:t>
      </w:r>
      <w:r w:rsidRPr="004826C0">
        <w:rPr>
          <w:rFonts w:cs="Times New Roman"/>
          <w:i/>
          <w:lang w:val="fr-CA"/>
        </w:rPr>
        <w:t>Ahmed</w:t>
      </w:r>
      <w:r w:rsidRPr="004826C0">
        <w:rPr>
          <w:rFonts w:cs="Times New Roman"/>
          <w:lang w:val="fr-CA"/>
        </w:rPr>
        <w:t xml:space="preserve">, 2012 ONSC 4893, [2012] O.J. </w:t>
      </w:r>
      <w:r w:rsidR="006225DC">
        <w:rPr>
          <w:rFonts w:cs="Times New Roman"/>
          <w:lang w:val="fr-CA"/>
        </w:rPr>
        <w:t xml:space="preserve">No. </w:t>
      </w:r>
      <w:r w:rsidRPr="004826C0">
        <w:rPr>
          <w:rFonts w:cs="Times New Roman"/>
          <w:lang w:val="fr-CA"/>
        </w:rPr>
        <w:t>6643 (QL), par. 47; voir</w:t>
      </w:r>
      <w:r w:rsidR="006225DC">
        <w:rPr>
          <w:rFonts w:cs="Times New Roman"/>
          <w:lang w:val="fr-CA"/>
        </w:rPr>
        <w:t xml:space="preserve"> aussi</w:t>
      </w:r>
      <w:r w:rsidRPr="004826C0">
        <w:rPr>
          <w:rFonts w:cs="Times New Roman"/>
          <w:lang w:val="fr-CA"/>
        </w:rPr>
        <w:t xml:space="preserve"> </w:t>
      </w:r>
      <w:r w:rsidRPr="004826C0">
        <w:rPr>
          <w:rFonts w:cs="Times New Roman"/>
          <w:i/>
          <w:lang w:val="fr-CA"/>
        </w:rPr>
        <w:t>Pires</w:t>
      </w:r>
      <w:r w:rsidRPr="004826C0">
        <w:rPr>
          <w:rFonts w:cs="Times New Roman"/>
          <w:lang w:val="fr-CA"/>
        </w:rPr>
        <w:t>, par. 41).</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Ayant ces principes à l</w:t>
      </w:r>
      <w:r>
        <w:rPr>
          <w:rFonts w:cs="Times New Roman"/>
          <w:lang w:val="fr-CA"/>
        </w:rPr>
        <w:t>’</w:t>
      </w:r>
      <w:r w:rsidRPr="004826C0">
        <w:rPr>
          <w:rFonts w:cs="Times New Roman"/>
          <w:lang w:val="fr-CA"/>
        </w:rPr>
        <w:t>esprit, nous n</w:t>
      </w:r>
      <w:r>
        <w:rPr>
          <w:rFonts w:cs="Times New Roman"/>
          <w:lang w:val="fr-CA"/>
        </w:rPr>
        <w:t>’</w:t>
      </w:r>
      <w:r w:rsidRPr="004826C0">
        <w:rPr>
          <w:rFonts w:cs="Times New Roman"/>
          <w:lang w:val="fr-CA"/>
        </w:rPr>
        <w:t>écartons pas la possibilité qu</w:t>
      </w:r>
      <w:r>
        <w:rPr>
          <w:rFonts w:cs="Times New Roman"/>
          <w:lang w:val="fr-CA"/>
        </w:rPr>
        <w:t>’</w:t>
      </w:r>
      <w:r w:rsidRPr="004826C0">
        <w:rPr>
          <w:rFonts w:cs="Times New Roman"/>
          <w:lang w:val="fr-CA"/>
        </w:rPr>
        <w:t xml:space="preserve">une personne se prévale de la procédure de type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xml:space="preserve"> pour obtenir des documents à l</w:t>
      </w:r>
      <w:r>
        <w:rPr>
          <w:rFonts w:cs="Times New Roman"/>
          <w:lang w:val="fr-CA"/>
        </w:rPr>
        <w:t>’</w:t>
      </w:r>
      <w:r w:rsidRPr="004826C0">
        <w:rPr>
          <w:rFonts w:cs="Times New Roman"/>
          <w:lang w:val="fr-CA"/>
        </w:rPr>
        <w:t>appui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 mais le critère de pertinence dans ce cas est plus restrictif que celui qui s</w:t>
      </w:r>
      <w:r>
        <w:rPr>
          <w:rFonts w:cs="Times New Roman"/>
          <w:lang w:val="fr-CA"/>
        </w:rPr>
        <w:t>’</w:t>
      </w:r>
      <w:r w:rsidRPr="004826C0">
        <w:rPr>
          <w:rFonts w:cs="Times New Roman"/>
          <w:lang w:val="fr-CA"/>
        </w:rPr>
        <w:t>applique ordinairement à la première. Plus précisément, l</w:t>
      </w:r>
      <w:r>
        <w:rPr>
          <w:rFonts w:cs="Times New Roman"/>
          <w:lang w:val="fr-CA"/>
        </w:rPr>
        <w:t>’</w:t>
      </w:r>
      <w:r w:rsidRPr="004826C0">
        <w:rPr>
          <w:rFonts w:cs="Times New Roman"/>
          <w:lang w:val="fr-CA"/>
        </w:rPr>
        <w:t xml:space="preserve">accusé prétendant que des documents en la possession de tiers sont pertinents pour sa demande de type </w:t>
      </w:r>
      <w:proofErr w:type="spellStart"/>
      <w:r w:rsidRPr="004826C0">
        <w:rPr>
          <w:rFonts w:cs="Times New Roman"/>
          <w:i/>
          <w:lang w:val="fr-CA"/>
        </w:rPr>
        <w:t>Garofoli</w:t>
      </w:r>
      <w:proofErr w:type="spellEnd"/>
      <w:r w:rsidRPr="004826C0">
        <w:rPr>
          <w:rFonts w:cs="Times New Roman"/>
          <w:lang w:val="fr-CA"/>
        </w:rPr>
        <w:t xml:space="preserve"> doit démontrer qu</w:t>
      </w:r>
      <w:r>
        <w:rPr>
          <w:rFonts w:cs="Times New Roman"/>
          <w:lang w:val="fr-CA"/>
        </w:rPr>
        <w:t>’</w:t>
      </w:r>
      <w:r w:rsidRPr="004826C0">
        <w:rPr>
          <w:rFonts w:cs="Times New Roman"/>
          <w:lang w:val="fr-CA"/>
        </w:rPr>
        <w:t>il est raisonnablement probable que ces documents auront une valeur probante quant aux questions que soulève sa demande. Le fait que les documents soient susceptibles de démontrer des erreurs ou omissions dans l</w:t>
      </w:r>
      <w:r>
        <w:rPr>
          <w:rFonts w:cs="Times New Roman"/>
          <w:lang w:val="fr-CA"/>
        </w:rPr>
        <w:t>’</w:t>
      </w:r>
      <w:r w:rsidRPr="004826C0">
        <w:rPr>
          <w:rFonts w:cs="Times New Roman"/>
          <w:lang w:val="fr-CA"/>
        </w:rPr>
        <w:t>affidavit ne suffit pas à miner l</w:t>
      </w:r>
      <w:r>
        <w:rPr>
          <w:rFonts w:cs="Times New Roman"/>
          <w:lang w:val="fr-CA"/>
        </w:rPr>
        <w:t>’</w:t>
      </w:r>
      <w:r w:rsidRPr="004826C0">
        <w:rPr>
          <w:rFonts w:cs="Times New Roman"/>
          <w:lang w:val="fr-CA"/>
        </w:rPr>
        <w:t>autorisation. Ils doivent aussi permettre de démontrer que le déposant connaissait ou aurait dû connaître l</w:t>
      </w:r>
      <w:r>
        <w:rPr>
          <w:rFonts w:cs="Times New Roman"/>
          <w:lang w:val="fr-CA"/>
        </w:rPr>
        <w:t>’</w:t>
      </w:r>
      <w:r w:rsidRPr="004826C0">
        <w:rPr>
          <w:rFonts w:cs="Times New Roman"/>
          <w:lang w:val="fr-CA"/>
        </w:rPr>
        <w:t xml:space="preserve">existence des erreurs ou des omissions. Si les documents dont la communication est sollicitée ne </w:t>
      </w:r>
      <w:r w:rsidR="00705EA4">
        <w:rPr>
          <w:rFonts w:cs="Times New Roman"/>
          <w:lang w:val="fr-CA"/>
        </w:rPr>
        <w:t>peuvent</w:t>
      </w:r>
      <w:r w:rsidRPr="004826C0">
        <w:rPr>
          <w:rFonts w:cs="Times New Roman"/>
          <w:lang w:val="fr-CA"/>
        </w:rPr>
        <w:t xml:space="preserve"> étayer cette inférence, ils ne sont pas pertinents dans le cadre de la demande de type </w:t>
      </w:r>
      <w:proofErr w:type="spellStart"/>
      <w:r w:rsidRPr="004826C0">
        <w:rPr>
          <w:rFonts w:cs="Times New Roman"/>
          <w:i/>
          <w:lang w:val="fr-CA"/>
        </w:rPr>
        <w:t>Garofoli</w:t>
      </w:r>
      <w:proofErr w:type="spellEnd"/>
      <w:r w:rsidRPr="004826C0">
        <w:rPr>
          <w:rFonts w:cs="Times New Roman"/>
          <w:lang w:val="fr-CA"/>
        </w:rPr>
        <w:t xml:space="preserve"> (</w:t>
      </w:r>
      <w:r w:rsidRPr="004826C0">
        <w:rPr>
          <w:rFonts w:cs="Times New Roman"/>
          <w:i/>
          <w:lang w:val="fr-CA"/>
        </w:rPr>
        <w:t>Pires</w:t>
      </w:r>
      <w:r w:rsidRPr="004826C0">
        <w:rPr>
          <w:rFonts w:cs="Times New Roman"/>
          <w:lang w:val="fr-CA"/>
        </w:rPr>
        <w:t xml:space="preserve">, par. 41). </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Ce critère, qui régit la communication de documents par des tiers, s</w:t>
      </w:r>
      <w:r>
        <w:rPr>
          <w:rFonts w:cs="Times New Roman"/>
          <w:lang w:val="fr-CA"/>
        </w:rPr>
        <w:t>’</w:t>
      </w:r>
      <w:r w:rsidRPr="004826C0">
        <w:rPr>
          <w:rFonts w:cs="Times New Roman"/>
          <w:lang w:val="fr-CA"/>
        </w:rPr>
        <w:t>applique également — à juste raison — à une autre forme d</w:t>
      </w:r>
      <w:r>
        <w:rPr>
          <w:rFonts w:cs="Times New Roman"/>
          <w:lang w:val="fr-CA"/>
        </w:rPr>
        <w:t>’</w:t>
      </w:r>
      <w:r w:rsidRPr="004826C0">
        <w:rPr>
          <w:rFonts w:cs="Times New Roman"/>
          <w:lang w:val="fr-CA"/>
        </w:rPr>
        <w:t>enquête préalable menée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i/>
          <w:lang w:val="fr-CA"/>
        </w:rPr>
        <w:t> </w:t>
      </w:r>
      <w:r w:rsidRPr="00705EA4">
        <w:rPr>
          <w:rFonts w:cs="Times New Roman"/>
          <w:lang w:val="fr-CA"/>
        </w:rPr>
        <w:t>:</w:t>
      </w:r>
      <w:r w:rsidRPr="004826C0">
        <w:rPr>
          <w:rFonts w:cs="Times New Roman"/>
          <w:lang w:val="fr-CA"/>
        </w:rPr>
        <w:t xml:space="preserve"> le contre</w:t>
      </w:r>
      <w:r w:rsidRPr="004826C0">
        <w:rPr>
          <w:rFonts w:cs="Times New Roman"/>
          <w:lang w:val="fr-CA"/>
        </w:rPr>
        <w:noBreakHyphen/>
        <w:t>interrogatoire du déposant. Les deux formes visent des objets similaires et soulèvent des préoccupations de principe semblables. Elles doivent être traitées de la même façon.</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w:t>
      </w:r>
      <w:r>
        <w:rPr>
          <w:rFonts w:cs="Times New Roman"/>
          <w:lang w:val="fr-CA"/>
        </w:rPr>
        <w:t>’</w:t>
      </w:r>
      <w:r w:rsidRPr="004826C0">
        <w:rPr>
          <w:rFonts w:cs="Times New Roman"/>
          <w:lang w:val="fr-CA"/>
        </w:rPr>
        <w:t xml:space="preserve">accusé qui présente une demande de type </w:t>
      </w:r>
      <w:proofErr w:type="spellStart"/>
      <w:r w:rsidRPr="004826C0">
        <w:rPr>
          <w:rFonts w:cs="Times New Roman"/>
          <w:i/>
          <w:lang w:val="fr-CA"/>
        </w:rPr>
        <w:t>Garofoli</w:t>
      </w:r>
      <w:proofErr w:type="spellEnd"/>
      <w:r w:rsidRPr="004826C0">
        <w:rPr>
          <w:rFonts w:cs="Times New Roman"/>
          <w:lang w:val="fr-CA"/>
        </w:rPr>
        <w:t xml:space="preserve"> ne peut contre</w:t>
      </w:r>
      <w:r w:rsidRPr="004826C0">
        <w:rPr>
          <w:rFonts w:cs="Times New Roman"/>
          <w:lang w:val="fr-CA"/>
        </w:rPr>
        <w:noBreakHyphen/>
        <w:t>interroger le déposant qu</w:t>
      </w:r>
      <w:r>
        <w:rPr>
          <w:rFonts w:cs="Times New Roman"/>
          <w:lang w:val="fr-CA"/>
        </w:rPr>
        <w:t>’</w:t>
      </w:r>
      <w:r w:rsidRPr="004826C0">
        <w:rPr>
          <w:rFonts w:cs="Times New Roman"/>
          <w:lang w:val="fr-CA"/>
        </w:rPr>
        <w:t>avec l</w:t>
      </w:r>
      <w:r>
        <w:rPr>
          <w:rFonts w:cs="Times New Roman"/>
          <w:lang w:val="fr-CA"/>
        </w:rPr>
        <w:t>’</w:t>
      </w:r>
      <w:r w:rsidRPr="004826C0">
        <w:rPr>
          <w:rFonts w:cs="Times New Roman"/>
          <w:lang w:val="fr-CA"/>
        </w:rPr>
        <w:t>autorisation du juge du procès, qui l</w:t>
      </w:r>
      <w:r>
        <w:rPr>
          <w:rFonts w:cs="Times New Roman"/>
          <w:lang w:val="fr-CA"/>
        </w:rPr>
        <w:t>’</w:t>
      </w:r>
      <w:r w:rsidRPr="004826C0">
        <w:rPr>
          <w:rFonts w:cs="Times New Roman"/>
          <w:lang w:val="fr-CA"/>
        </w:rPr>
        <w:t>accorde si l</w:t>
      </w:r>
      <w:r>
        <w:rPr>
          <w:rFonts w:cs="Times New Roman"/>
          <w:lang w:val="fr-CA"/>
        </w:rPr>
        <w:t>’</w:t>
      </w:r>
      <w:r w:rsidRPr="004826C0">
        <w:rPr>
          <w:rFonts w:cs="Times New Roman"/>
          <w:lang w:val="fr-CA"/>
        </w:rPr>
        <w:t>accusé démontre « qu</w:t>
      </w:r>
      <w:r>
        <w:rPr>
          <w:rFonts w:cs="Times New Roman"/>
          <w:lang w:val="fr-CA"/>
        </w:rPr>
        <w:t>’</w:t>
      </w:r>
      <w:r w:rsidRPr="004826C0">
        <w:rPr>
          <w:rFonts w:cs="Times New Roman"/>
          <w:lang w:val="fr-CA"/>
        </w:rPr>
        <w:t>il existe une probabilité raisonnable que le contre</w:t>
      </w:r>
      <w:r w:rsidRPr="004826C0">
        <w:rPr>
          <w:rFonts w:cs="Times New Roman"/>
          <w:lang w:val="fr-CA"/>
        </w:rPr>
        <w:noBreakHyphen/>
        <w:t>interrogatoire du déposant apporte un témoignage probant à l</w:t>
      </w:r>
      <w:r>
        <w:rPr>
          <w:rFonts w:cs="Times New Roman"/>
          <w:lang w:val="fr-CA"/>
        </w:rPr>
        <w:t>’</w:t>
      </w:r>
      <w:r w:rsidRPr="004826C0">
        <w:rPr>
          <w:rFonts w:cs="Times New Roman"/>
          <w:lang w:val="fr-CA"/>
        </w:rPr>
        <w:t>égard de la question soumise à l</w:t>
      </w:r>
      <w:r>
        <w:rPr>
          <w:rFonts w:cs="Times New Roman"/>
          <w:lang w:val="fr-CA"/>
        </w:rPr>
        <w:t>’</w:t>
      </w:r>
      <w:r w:rsidRPr="004826C0">
        <w:rPr>
          <w:rFonts w:cs="Times New Roman"/>
          <w:lang w:val="fr-CA"/>
        </w:rPr>
        <w:t>appréciation du juge siégeant en révision » (</w:t>
      </w:r>
      <w:r w:rsidRPr="004826C0">
        <w:rPr>
          <w:rFonts w:cs="Times New Roman"/>
          <w:i/>
          <w:lang w:val="fr-CA"/>
        </w:rPr>
        <w:t>Pires</w:t>
      </w:r>
      <w:r w:rsidRPr="004826C0">
        <w:rPr>
          <w:rFonts w:cs="Times New Roman"/>
          <w:lang w:val="fr-CA"/>
        </w:rPr>
        <w:t xml:space="preserve">, par. 3; voir aussi </w:t>
      </w:r>
      <w:proofErr w:type="spellStart"/>
      <w:r w:rsidRPr="004826C0">
        <w:rPr>
          <w:rFonts w:cs="Times New Roman"/>
          <w:i/>
          <w:lang w:val="fr-CA"/>
        </w:rPr>
        <w:t>Garofoli</w:t>
      </w:r>
      <w:proofErr w:type="spellEnd"/>
      <w:r w:rsidRPr="004826C0">
        <w:rPr>
          <w:rFonts w:cs="Times New Roman"/>
          <w:lang w:val="fr-CA"/>
        </w:rPr>
        <w:t>, p. 1465). Bref, l</w:t>
      </w:r>
      <w:r>
        <w:rPr>
          <w:rFonts w:cs="Times New Roman"/>
          <w:lang w:val="fr-CA"/>
        </w:rPr>
        <w:t>’</w:t>
      </w:r>
      <w:r w:rsidRPr="004826C0">
        <w:rPr>
          <w:rFonts w:cs="Times New Roman"/>
          <w:lang w:val="fr-CA"/>
        </w:rPr>
        <w:t>accusé doit démontrer que le contre</w:t>
      </w:r>
      <w:r w:rsidRPr="004826C0">
        <w:rPr>
          <w:rFonts w:cs="Times New Roman"/>
          <w:lang w:val="fr-CA"/>
        </w:rPr>
        <w:noBreakHyphen/>
        <w:t xml:space="preserve">interrogatoire est raisonnablement susceptible de se révéler </w:t>
      </w:r>
      <w:r w:rsidRPr="004826C0">
        <w:rPr>
          <w:rFonts w:cs="Times New Roman"/>
          <w:i/>
          <w:lang w:val="fr-CA"/>
        </w:rPr>
        <w:t xml:space="preserve">utile </w:t>
      </w:r>
      <w:r w:rsidRPr="004826C0">
        <w:rPr>
          <w:rFonts w:cs="Times New Roman"/>
          <w:lang w:val="fr-CA"/>
        </w:rPr>
        <w:t>lorsqu</w:t>
      </w:r>
      <w:r>
        <w:rPr>
          <w:rFonts w:cs="Times New Roman"/>
          <w:lang w:val="fr-CA"/>
        </w:rPr>
        <w:t>’</w:t>
      </w:r>
      <w:r w:rsidRPr="004826C0">
        <w:rPr>
          <w:rFonts w:cs="Times New Roman"/>
          <w:lang w:val="fr-CA"/>
        </w:rPr>
        <w:t>il s</w:t>
      </w:r>
      <w:r>
        <w:rPr>
          <w:rFonts w:cs="Times New Roman"/>
          <w:lang w:val="fr-CA"/>
        </w:rPr>
        <w:t>’</w:t>
      </w:r>
      <w:r w:rsidRPr="004826C0">
        <w:rPr>
          <w:rFonts w:cs="Times New Roman"/>
          <w:lang w:val="fr-CA"/>
        </w:rPr>
        <w:t>agit de trancher sa demande.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Dans l</w:t>
      </w:r>
      <w:r>
        <w:rPr>
          <w:rFonts w:cs="Times New Roman"/>
          <w:lang w:val="fr-CA"/>
        </w:rPr>
        <w:t>’</w:t>
      </w:r>
      <w:r w:rsidRPr="004826C0">
        <w:rPr>
          <w:rFonts w:cs="Times New Roman"/>
          <w:lang w:val="fr-CA"/>
        </w:rPr>
        <w:t xml:space="preserve">arrêt </w:t>
      </w:r>
      <w:r w:rsidRPr="004826C0">
        <w:rPr>
          <w:rFonts w:cs="Times New Roman"/>
          <w:i/>
          <w:lang w:val="fr-CA"/>
        </w:rPr>
        <w:t>Pires</w:t>
      </w:r>
      <w:r w:rsidRPr="004826C0">
        <w:rPr>
          <w:rFonts w:cs="Times New Roman"/>
          <w:lang w:val="fr-CA"/>
        </w:rPr>
        <w:t>, la Cour a confirmé la constitutionnalité de l</w:t>
      </w:r>
      <w:r>
        <w:rPr>
          <w:rFonts w:cs="Times New Roman"/>
          <w:lang w:val="fr-CA"/>
        </w:rPr>
        <w:t>’</w:t>
      </w:r>
      <w:r w:rsidRPr="004826C0">
        <w:rPr>
          <w:rFonts w:cs="Times New Roman"/>
          <w:lang w:val="fr-CA"/>
        </w:rPr>
        <w:t>exigence subordonnant le contre</w:t>
      </w:r>
      <w:r w:rsidRPr="004826C0">
        <w:rPr>
          <w:rFonts w:cs="Times New Roman"/>
          <w:lang w:val="fr-CA"/>
        </w:rPr>
        <w:noBreakHyphen/>
        <w:t>interrogatoire du déposant à l</w:t>
      </w:r>
      <w:r>
        <w:rPr>
          <w:rFonts w:cs="Times New Roman"/>
          <w:lang w:val="fr-CA"/>
        </w:rPr>
        <w:t>’</w:t>
      </w:r>
      <w:r w:rsidRPr="004826C0">
        <w:rPr>
          <w:rFonts w:cs="Times New Roman"/>
          <w:lang w:val="fr-CA"/>
        </w:rPr>
        <w:t xml:space="preserve">autorisation judiciaire ainsi que du critère applicable, et ce, pour trois raisons. Premièrement, le critère applicable à une demande de type </w:t>
      </w:r>
      <w:proofErr w:type="spellStart"/>
      <w:r w:rsidRPr="004826C0">
        <w:rPr>
          <w:rFonts w:cs="Times New Roman"/>
          <w:i/>
          <w:lang w:val="fr-CA"/>
        </w:rPr>
        <w:t>Garofoli</w:t>
      </w:r>
      <w:proofErr w:type="spellEnd"/>
      <w:r w:rsidRPr="004826C0">
        <w:rPr>
          <w:rFonts w:cs="Times New Roman"/>
          <w:lang w:val="fr-CA"/>
        </w:rPr>
        <w:t xml:space="preserve"> circonscrit le type de questions sur lesquelles peut porter le contre</w:t>
      </w:r>
      <w:r w:rsidRPr="004826C0">
        <w:rPr>
          <w:rFonts w:cs="Times New Roman"/>
          <w:lang w:val="fr-CA"/>
        </w:rPr>
        <w:noBreakHyphen/>
        <w:t>interrogatoire (</w:t>
      </w:r>
      <w:r w:rsidRPr="004826C0">
        <w:rPr>
          <w:rFonts w:cs="Times New Roman"/>
          <w:i/>
          <w:lang w:val="fr-CA"/>
        </w:rPr>
        <w:t>Pires</w:t>
      </w:r>
      <w:r w:rsidR="00705EA4">
        <w:rPr>
          <w:rFonts w:cs="Times New Roman"/>
          <w:lang w:val="fr-CA"/>
        </w:rPr>
        <w:t xml:space="preserve">, par. </w:t>
      </w:r>
      <w:r w:rsidRPr="004826C0">
        <w:rPr>
          <w:rFonts w:cs="Times New Roman"/>
          <w:lang w:val="fr-CA"/>
        </w:rPr>
        <w:t>40</w:t>
      </w:r>
      <w:r w:rsidRPr="004826C0">
        <w:rPr>
          <w:rFonts w:cs="Times New Roman"/>
          <w:lang w:val="fr-CA"/>
        </w:rPr>
        <w:noBreakHyphen/>
        <w:t>41). Le critère sert principalement à assurer la pertinence</w:t>
      </w:r>
      <w:r w:rsidR="00705EA4">
        <w:rPr>
          <w:rFonts w:cs="Times New Roman"/>
          <w:lang w:val="fr-CA"/>
        </w:rPr>
        <w:t xml:space="preserve"> du contre</w:t>
      </w:r>
      <w:r w:rsidR="00705EA4">
        <w:rPr>
          <w:rFonts w:cs="Times New Roman"/>
          <w:lang w:val="fr-CA"/>
        </w:rPr>
        <w:noBreakHyphen/>
        <w:t xml:space="preserve">interrogatoire (par. </w:t>
      </w:r>
      <w:r w:rsidRPr="004826C0">
        <w:rPr>
          <w:rFonts w:cs="Times New Roman"/>
          <w:lang w:val="fr-CA"/>
        </w:rPr>
        <w:t>3 et 31). Deuxièmement, le contre</w:t>
      </w:r>
      <w:r w:rsidRPr="004826C0">
        <w:rPr>
          <w:rFonts w:cs="Times New Roman"/>
          <w:lang w:val="fr-CA"/>
        </w:rPr>
        <w:noBreakHyphen/>
        <w:t>interrogatoire comporte le risque que l</w:t>
      </w:r>
      <w:r>
        <w:rPr>
          <w:rFonts w:cs="Times New Roman"/>
          <w:lang w:val="fr-CA"/>
        </w:rPr>
        <w:t>’</w:t>
      </w:r>
      <w:r w:rsidRPr="004826C0">
        <w:rPr>
          <w:rFonts w:cs="Times New Roman"/>
          <w:lang w:val="fr-CA"/>
        </w:rPr>
        <w:t>identité confidentielle des informateurs soit révélée par inadvertance (par. 36). Troisièmement, le contre</w:t>
      </w:r>
      <w:r w:rsidRPr="004826C0">
        <w:rPr>
          <w:rFonts w:cs="Times New Roman"/>
          <w:lang w:val="fr-CA"/>
        </w:rPr>
        <w:noBreakHyphen/>
        <w:t>interrogatoire peut entraîner du gaspillage et des retards inutiles. Le critère « n</w:t>
      </w:r>
      <w:r>
        <w:rPr>
          <w:rFonts w:cs="Times New Roman"/>
          <w:lang w:val="fr-CA"/>
        </w:rPr>
        <w:t>’</w:t>
      </w:r>
      <w:r w:rsidRPr="004826C0">
        <w:rPr>
          <w:rFonts w:cs="Times New Roman"/>
          <w:lang w:val="fr-CA"/>
        </w:rPr>
        <w:t>est rien de plus qu</w:t>
      </w:r>
      <w:r>
        <w:rPr>
          <w:rFonts w:cs="Times New Roman"/>
          <w:lang w:val="fr-CA"/>
        </w:rPr>
        <w:t>’</w:t>
      </w:r>
      <w:r w:rsidRPr="004826C0">
        <w:rPr>
          <w:rFonts w:cs="Times New Roman"/>
          <w:lang w:val="fr-CA"/>
        </w:rPr>
        <w:t>un moyen de s</w:t>
      </w:r>
      <w:r>
        <w:rPr>
          <w:rFonts w:cs="Times New Roman"/>
          <w:lang w:val="fr-CA"/>
        </w:rPr>
        <w:t>’</w:t>
      </w:r>
      <w:r w:rsidRPr="004826C0">
        <w:rPr>
          <w:rFonts w:cs="Times New Roman"/>
          <w:lang w:val="fr-CA"/>
        </w:rPr>
        <w:t>assurer que [. . .] l</w:t>
      </w:r>
      <w:r>
        <w:rPr>
          <w:rFonts w:cs="Times New Roman"/>
          <w:lang w:val="fr-CA"/>
        </w:rPr>
        <w:t>’</w:t>
      </w:r>
      <w:r w:rsidRPr="004826C0">
        <w:rPr>
          <w:rFonts w:cs="Times New Roman"/>
          <w:lang w:val="fr-CA"/>
        </w:rPr>
        <w:t>instance de</w:t>
      </w:r>
      <w:r w:rsidR="00705EA4">
        <w:rPr>
          <w:rFonts w:cs="Times New Roman"/>
          <w:lang w:val="fr-CA"/>
        </w:rPr>
        <w:t xml:space="preserve">meure sur la bonne voie » (par. </w:t>
      </w:r>
      <w:r w:rsidRPr="004826C0">
        <w:rPr>
          <w:rFonts w:cs="Times New Roman"/>
          <w:lang w:val="fr-CA"/>
        </w:rPr>
        <w:t>31).</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Ces trois raisons s</w:t>
      </w:r>
      <w:r>
        <w:rPr>
          <w:rFonts w:cs="Times New Roman"/>
          <w:lang w:val="fr-CA"/>
        </w:rPr>
        <w:t>’</w:t>
      </w:r>
      <w:r w:rsidRPr="004826C0">
        <w:rPr>
          <w:rFonts w:cs="Times New Roman"/>
          <w:lang w:val="fr-CA"/>
        </w:rPr>
        <w:t xml:space="preserve">appliquent avec autant de force à la demande de communication par des tiers. Premièrement, les questions que soulève une demande de type </w:t>
      </w:r>
      <w:proofErr w:type="spellStart"/>
      <w:r w:rsidRPr="004826C0">
        <w:rPr>
          <w:rFonts w:cs="Times New Roman"/>
          <w:i/>
          <w:lang w:val="fr-CA"/>
        </w:rPr>
        <w:t>Garofoli</w:t>
      </w:r>
      <w:proofErr w:type="spellEnd"/>
      <w:r w:rsidRPr="004826C0">
        <w:rPr>
          <w:rFonts w:cs="Times New Roman"/>
          <w:lang w:val="fr-CA"/>
        </w:rPr>
        <w:t xml:space="preserve"> sont limitées. La pertinence des renseignements demandés s</w:t>
      </w:r>
      <w:r>
        <w:rPr>
          <w:rFonts w:cs="Times New Roman"/>
          <w:lang w:val="fr-CA"/>
        </w:rPr>
        <w:t>’</w:t>
      </w:r>
      <w:r w:rsidRPr="004826C0">
        <w:rPr>
          <w:rFonts w:cs="Times New Roman"/>
          <w:lang w:val="fr-CA"/>
        </w:rPr>
        <w:t>apprécie en fonction de ces questions limitées. Une conclusion quant à la fausseté d</w:t>
      </w:r>
      <w:r>
        <w:rPr>
          <w:rFonts w:cs="Times New Roman"/>
          <w:lang w:val="fr-CA"/>
        </w:rPr>
        <w:t>’</w:t>
      </w:r>
      <w:r w:rsidRPr="004826C0">
        <w:rPr>
          <w:rFonts w:cs="Times New Roman"/>
          <w:lang w:val="fr-CA"/>
        </w:rPr>
        <w:t xml:space="preserve">un renseignement dans les affidavits du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n</w:t>
      </w:r>
      <w:r>
        <w:rPr>
          <w:rFonts w:cs="Times New Roman"/>
          <w:lang w:val="fr-CA"/>
        </w:rPr>
        <w:t>’</w:t>
      </w:r>
      <w:r w:rsidRPr="004826C0">
        <w:rPr>
          <w:rFonts w:cs="Times New Roman"/>
          <w:lang w:val="fr-CA"/>
        </w:rPr>
        <w:t>est pertinente que dans la mesure où elle étaye l</w:t>
      </w:r>
      <w:r>
        <w:rPr>
          <w:rFonts w:cs="Times New Roman"/>
          <w:lang w:val="fr-CA"/>
        </w:rPr>
        <w:t>’</w:t>
      </w:r>
      <w:r w:rsidRPr="004826C0">
        <w:rPr>
          <w:rFonts w:cs="Times New Roman"/>
          <w:lang w:val="fr-CA"/>
        </w:rPr>
        <w:t>inférence qu</w:t>
      </w:r>
      <w:r>
        <w:rPr>
          <w:rFonts w:cs="Times New Roman"/>
          <w:lang w:val="fr-CA"/>
        </w:rPr>
        <w:t>’</w:t>
      </w:r>
      <w:r w:rsidRPr="004826C0">
        <w:rPr>
          <w:rFonts w:cs="Times New Roman"/>
          <w:lang w:val="fr-CA"/>
        </w:rPr>
        <w:t xml:space="preserve">il le savait ou aurait dû le savoir faux. </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Deuxièmement, la communication de documents auxquels le déposant n</w:t>
      </w:r>
      <w:r>
        <w:rPr>
          <w:rFonts w:cs="Times New Roman"/>
          <w:lang w:val="fr-CA"/>
        </w:rPr>
        <w:t>’</w:t>
      </w:r>
      <w:r w:rsidRPr="004826C0">
        <w:rPr>
          <w:rFonts w:cs="Times New Roman"/>
          <w:lang w:val="fr-CA"/>
        </w:rPr>
        <w:t>a pas eu accès risque de révéler l</w:t>
      </w:r>
      <w:r>
        <w:rPr>
          <w:rFonts w:cs="Times New Roman"/>
          <w:lang w:val="fr-CA"/>
        </w:rPr>
        <w:t>’</w:t>
      </w:r>
      <w:r w:rsidRPr="004826C0">
        <w:rPr>
          <w:rFonts w:cs="Times New Roman"/>
          <w:lang w:val="fr-CA"/>
        </w:rPr>
        <w:t>identité confidentielle d</w:t>
      </w:r>
      <w:r>
        <w:rPr>
          <w:rFonts w:cs="Times New Roman"/>
          <w:lang w:val="fr-CA"/>
        </w:rPr>
        <w:t>’</w:t>
      </w:r>
      <w:r w:rsidRPr="004826C0">
        <w:rPr>
          <w:rFonts w:cs="Times New Roman"/>
          <w:lang w:val="fr-CA"/>
        </w:rPr>
        <w:t>informateurs. Bien qu</w:t>
      </w:r>
      <w:r>
        <w:rPr>
          <w:rFonts w:cs="Times New Roman"/>
          <w:lang w:val="fr-CA"/>
        </w:rPr>
        <w:t>’</w:t>
      </w:r>
      <w:r w:rsidRPr="004826C0">
        <w:rPr>
          <w:rFonts w:cs="Times New Roman"/>
          <w:lang w:val="fr-CA"/>
        </w:rPr>
        <w:t>il est plus facile de censurer des documents que le témoignage d</w:t>
      </w:r>
      <w:r>
        <w:rPr>
          <w:rFonts w:cs="Times New Roman"/>
          <w:lang w:val="fr-CA"/>
        </w:rPr>
        <w:t>’</w:t>
      </w:r>
      <w:r w:rsidRPr="004826C0">
        <w:rPr>
          <w:rFonts w:cs="Times New Roman"/>
          <w:lang w:val="fr-CA"/>
        </w:rPr>
        <w:t>un déposant, la Cour a reconnu qu</w:t>
      </w:r>
      <w:r>
        <w:rPr>
          <w:rFonts w:cs="Times New Roman"/>
          <w:lang w:val="fr-CA"/>
        </w:rPr>
        <w:t>’</w:t>
      </w:r>
      <w:r w:rsidRPr="004826C0">
        <w:rPr>
          <w:rFonts w:cs="Times New Roman"/>
          <w:lang w:val="fr-CA"/>
        </w:rPr>
        <w:t>il est « quasi impossible pour le tribunal de savoir quel détail peut permettre de révéler l</w:t>
      </w:r>
      <w:r>
        <w:rPr>
          <w:rFonts w:cs="Times New Roman"/>
          <w:lang w:val="fr-CA"/>
        </w:rPr>
        <w:t>’</w:t>
      </w:r>
      <w:r w:rsidRPr="004826C0">
        <w:rPr>
          <w:rFonts w:cs="Times New Roman"/>
          <w:lang w:val="fr-CA"/>
        </w:rPr>
        <w:t>identité d</w:t>
      </w:r>
      <w:r>
        <w:rPr>
          <w:rFonts w:cs="Times New Roman"/>
          <w:lang w:val="fr-CA"/>
        </w:rPr>
        <w:t>’</w:t>
      </w:r>
      <w:r w:rsidRPr="004826C0">
        <w:rPr>
          <w:rFonts w:cs="Times New Roman"/>
          <w:lang w:val="fr-CA"/>
        </w:rPr>
        <w:t>un indicateur anonyme » (</w:t>
      </w:r>
      <w:r w:rsidRPr="004826C0">
        <w:rPr>
          <w:rFonts w:cs="Times New Roman"/>
          <w:i/>
          <w:lang w:val="fr-CA"/>
        </w:rPr>
        <w:t xml:space="preserve">R. c. </w:t>
      </w:r>
      <w:proofErr w:type="spellStart"/>
      <w:r w:rsidRPr="004826C0">
        <w:rPr>
          <w:rFonts w:cs="Times New Roman"/>
          <w:i/>
          <w:lang w:val="fr-CA"/>
        </w:rPr>
        <w:t>Leipert</w:t>
      </w:r>
      <w:proofErr w:type="spellEnd"/>
      <w:r w:rsidRPr="004826C0">
        <w:rPr>
          <w:rFonts w:cs="Times New Roman"/>
          <w:lang w:val="fr-CA"/>
        </w:rPr>
        <w:t>, [1997] 1 R.C.S. 281, par. 28). Les tribunaux d</w:t>
      </w:r>
      <w:r>
        <w:rPr>
          <w:rFonts w:cs="Times New Roman"/>
          <w:lang w:val="fr-CA"/>
        </w:rPr>
        <w:t>’</w:t>
      </w:r>
      <w:r w:rsidRPr="004826C0">
        <w:rPr>
          <w:rFonts w:cs="Times New Roman"/>
          <w:lang w:val="fr-CA"/>
        </w:rPr>
        <w:t>instance inférieure ont également reconnu qu</w:t>
      </w:r>
      <w:r>
        <w:rPr>
          <w:rFonts w:cs="Times New Roman"/>
          <w:lang w:val="fr-CA"/>
        </w:rPr>
        <w:t>’</w:t>
      </w:r>
      <w:r w:rsidRPr="004826C0">
        <w:rPr>
          <w:rFonts w:cs="Times New Roman"/>
          <w:lang w:val="fr-CA"/>
        </w:rPr>
        <w:t>il est long et difficile pour la police de censurer adéquatement les notes originales des informateurs, ce qui, dans une affaire complexe, est susceptible de représenter des centaines de rapports et d</w:t>
      </w:r>
      <w:r>
        <w:rPr>
          <w:rFonts w:cs="Times New Roman"/>
          <w:lang w:val="fr-CA"/>
        </w:rPr>
        <w:t>’</w:t>
      </w:r>
      <w:r w:rsidRPr="004826C0">
        <w:rPr>
          <w:rFonts w:cs="Times New Roman"/>
          <w:lang w:val="fr-CA"/>
        </w:rPr>
        <w:t>occuper plusieurs agents (</w:t>
      </w:r>
      <w:r w:rsidRPr="004826C0">
        <w:rPr>
          <w:rFonts w:cs="Times New Roman"/>
          <w:i/>
          <w:lang w:val="fr-CA"/>
        </w:rPr>
        <w:t>Ahmed</w:t>
      </w:r>
      <w:r w:rsidRPr="004826C0">
        <w:rPr>
          <w:rFonts w:cs="Times New Roman"/>
          <w:lang w:val="fr-CA"/>
        </w:rPr>
        <w:t xml:space="preserve">, par. 46; </w:t>
      </w:r>
      <w:r w:rsidRPr="004826C0">
        <w:rPr>
          <w:rFonts w:cs="Times New Roman"/>
          <w:i/>
          <w:lang w:val="fr-CA"/>
        </w:rPr>
        <w:t xml:space="preserve">R. c. </w:t>
      </w:r>
      <w:proofErr w:type="spellStart"/>
      <w:r w:rsidRPr="004826C0">
        <w:rPr>
          <w:rFonts w:cs="Times New Roman"/>
          <w:i/>
          <w:lang w:val="fr-CA"/>
        </w:rPr>
        <w:t>Croft</w:t>
      </w:r>
      <w:proofErr w:type="spellEnd"/>
      <w:r w:rsidRPr="004826C0">
        <w:rPr>
          <w:rFonts w:cs="Times New Roman"/>
          <w:lang w:val="fr-CA"/>
        </w:rPr>
        <w:t>, 2013 ABQB 705, 576 A.R. 333, par. 32).</w:t>
      </w:r>
    </w:p>
    <w:p w:rsidR="002405E3" w:rsidRPr="004826C0" w:rsidRDefault="002405E3" w:rsidP="003C0B54">
      <w:pPr>
        <w:pStyle w:val="ParaNoNdepar-AltN"/>
        <w:widowControl w:val="0"/>
        <w:numPr>
          <w:ilvl w:val="0"/>
          <w:numId w:val="7"/>
        </w:numPr>
        <w:tabs>
          <w:tab w:val="clear" w:pos="6462"/>
          <w:tab w:val="num" w:pos="1332"/>
        </w:tabs>
        <w:ind w:left="0"/>
        <w:rPr>
          <w:rFonts w:cs="Times New Roman"/>
          <w:lang w:val="fr-CA"/>
        </w:rPr>
      </w:pPr>
      <w:r w:rsidRPr="004826C0">
        <w:rPr>
          <w:rFonts w:cs="Times New Roman"/>
          <w:lang w:val="fr-CA"/>
        </w:rPr>
        <w:t>Enfin, les demandes en vue d</w:t>
      </w:r>
      <w:r>
        <w:rPr>
          <w:rFonts w:cs="Times New Roman"/>
          <w:lang w:val="fr-CA"/>
        </w:rPr>
        <w:t>’</w:t>
      </w:r>
      <w:r w:rsidRPr="004826C0">
        <w:rPr>
          <w:rFonts w:cs="Times New Roman"/>
          <w:lang w:val="fr-CA"/>
        </w:rPr>
        <w:t>obtenir la communication de volumineux dossiers par des tiers risquent de perturber les étapes préalables au procès. En l</w:t>
      </w:r>
      <w:r>
        <w:rPr>
          <w:rFonts w:cs="Times New Roman"/>
          <w:lang w:val="fr-CA"/>
        </w:rPr>
        <w:t>’</w:t>
      </w:r>
      <w:r w:rsidRPr="004826C0">
        <w:rPr>
          <w:rFonts w:cs="Times New Roman"/>
          <w:lang w:val="fr-CA"/>
        </w:rPr>
        <w:t>espèce, l</w:t>
      </w:r>
      <w:r>
        <w:rPr>
          <w:rFonts w:cs="Times New Roman"/>
          <w:lang w:val="fr-CA"/>
        </w:rPr>
        <w:t>’</w:t>
      </w:r>
      <w:r w:rsidRPr="004826C0">
        <w:rPr>
          <w:rFonts w:cs="Times New Roman"/>
          <w:lang w:val="fr-CA"/>
        </w:rPr>
        <w:t>ordonnance de communication pourrait viser des centaines, voire des milliers, de pages. Les demandes de divulgation massive sont une cause fréquente de retards (P. J. </w:t>
      </w:r>
      <w:proofErr w:type="spellStart"/>
      <w:r w:rsidRPr="004826C0">
        <w:rPr>
          <w:rFonts w:cs="Times New Roman"/>
          <w:lang w:val="fr-CA"/>
        </w:rPr>
        <w:t>LeSage</w:t>
      </w:r>
      <w:proofErr w:type="spellEnd"/>
      <w:r w:rsidRPr="004826C0">
        <w:rPr>
          <w:rFonts w:cs="Times New Roman"/>
          <w:lang w:val="fr-CA"/>
        </w:rPr>
        <w:t xml:space="preserve"> et M. Code, </w:t>
      </w:r>
      <w:r w:rsidRPr="004826C0">
        <w:rPr>
          <w:rFonts w:cs="Times New Roman"/>
          <w:i/>
          <w:lang w:val="fr-CA"/>
        </w:rPr>
        <w:t>Rapport sur l</w:t>
      </w:r>
      <w:r>
        <w:rPr>
          <w:rFonts w:cs="Times New Roman"/>
          <w:i/>
          <w:lang w:val="fr-CA"/>
        </w:rPr>
        <w:t>’</w:t>
      </w:r>
      <w:r w:rsidRPr="004826C0">
        <w:rPr>
          <w:rFonts w:cs="Times New Roman"/>
          <w:i/>
          <w:lang w:val="fr-CA"/>
        </w:rPr>
        <w:t>examen de la procédure relative aux affaires criminelles complexes</w:t>
      </w:r>
      <w:r w:rsidRPr="004826C0">
        <w:rPr>
          <w:rFonts w:cs="Times New Roman"/>
          <w:lang w:val="fr-CA"/>
        </w:rPr>
        <w:t xml:space="preserve"> (2008), p. 54</w:t>
      </w:r>
      <w:r w:rsidRPr="004826C0">
        <w:rPr>
          <w:rFonts w:cs="Times New Roman"/>
          <w:lang w:val="fr-CA"/>
        </w:rPr>
        <w:noBreakHyphen/>
        <w:t>66). Il en va de même des demandes de communication de dossiers par des tiers. La procédure qui consiste à obtenir, réviser et censurer les documents dans les affaires d</w:t>
      </w:r>
      <w:r>
        <w:rPr>
          <w:rFonts w:cs="Times New Roman"/>
          <w:lang w:val="fr-CA"/>
        </w:rPr>
        <w:t>’</w:t>
      </w:r>
      <w:r w:rsidRPr="004826C0">
        <w:rPr>
          <w:rFonts w:cs="Times New Roman"/>
          <w:lang w:val="fr-CA"/>
        </w:rPr>
        <w:t>écoute électronique peut requérir d</w:t>
      </w:r>
      <w:r>
        <w:rPr>
          <w:rFonts w:cs="Times New Roman"/>
          <w:lang w:val="fr-CA"/>
        </w:rPr>
        <w:t>’</w:t>
      </w:r>
      <w:r w:rsidRPr="004826C0">
        <w:rPr>
          <w:rFonts w:cs="Times New Roman"/>
          <w:lang w:val="fr-CA"/>
        </w:rPr>
        <w:t>importantes ressources policières (voir, à ce sujet, R. W. Hubbard, P. M. </w:t>
      </w:r>
      <w:proofErr w:type="spellStart"/>
      <w:r w:rsidRPr="004826C0">
        <w:rPr>
          <w:rFonts w:cs="Times New Roman"/>
          <w:lang w:val="fr-CA"/>
        </w:rPr>
        <w:t>Brauti</w:t>
      </w:r>
      <w:proofErr w:type="spellEnd"/>
      <w:r w:rsidRPr="004826C0">
        <w:rPr>
          <w:rFonts w:cs="Times New Roman"/>
          <w:lang w:val="fr-CA"/>
        </w:rPr>
        <w:t xml:space="preserve"> et S. K. Fenton, </w:t>
      </w:r>
      <w:proofErr w:type="spellStart"/>
      <w:r w:rsidRPr="004826C0">
        <w:rPr>
          <w:rFonts w:cs="Times New Roman"/>
          <w:i/>
          <w:lang w:val="fr-CA"/>
        </w:rPr>
        <w:t>Wiretapping</w:t>
      </w:r>
      <w:proofErr w:type="spellEnd"/>
      <w:r w:rsidRPr="004826C0">
        <w:rPr>
          <w:rFonts w:cs="Times New Roman"/>
          <w:i/>
          <w:lang w:val="fr-CA"/>
        </w:rPr>
        <w:t xml:space="preserve"> and </w:t>
      </w:r>
      <w:proofErr w:type="spellStart"/>
      <w:r w:rsidRPr="004826C0">
        <w:rPr>
          <w:rFonts w:cs="Times New Roman"/>
          <w:i/>
          <w:lang w:val="fr-CA"/>
        </w:rPr>
        <w:t>Other</w:t>
      </w:r>
      <w:proofErr w:type="spellEnd"/>
      <w:r w:rsidRPr="004826C0">
        <w:rPr>
          <w:rFonts w:cs="Times New Roman"/>
          <w:i/>
          <w:lang w:val="fr-CA"/>
        </w:rPr>
        <w:t xml:space="preserve"> </w:t>
      </w:r>
      <w:proofErr w:type="spellStart"/>
      <w:r w:rsidRPr="004826C0">
        <w:rPr>
          <w:rFonts w:cs="Times New Roman"/>
          <w:i/>
          <w:lang w:val="fr-CA"/>
        </w:rPr>
        <w:t>Electronic</w:t>
      </w:r>
      <w:proofErr w:type="spellEnd"/>
      <w:r w:rsidRPr="004826C0">
        <w:rPr>
          <w:rFonts w:cs="Times New Roman"/>
          <w:i/>
          <w:lang w:val="fr-CA"/>
        </w:rPr>
        <w:t xml:space="preserve"> Surveillance : Law and </w:t>
      </w:r>
      <w:proofErr w:type="spellStart"/>
      <w:r w:rsidRPr="004826C0">
        <w:rPr>
          <w:rFonts w:cs="Times New Roman"/>
          <w:i/>
          <w:lang w:val="fr-CA"/>
        </w:rPr>
        <w:t>Procedure</w:t>
      </w:r>
      <w:proofErr w:type="spellEnd"/>
      <w:r w:rsidRPr="004826C0">
        <w:rPr>
          <w:rFonts w:cs="Times New Roman"/>
          <w:lang w:val="fr-CA"/>
        </w:rPr>
        <w:t xml:space="preserve"> (feuilles mobiles), vol. 2, p. 8</w:t>
      </w:r>
      <w:r w:rsidRPr="004826C0">
        <w:rPr>
          <w:rFonts w:cs="Times New Roman"/>
          <w:lang w:val="fr-CA"/>
        </w:rPr>
        <w:noBreakHyphen/>
        <w:t>12 à 8</w:t>
      </w:r>
      <w:r w:rsidRPr="004826C0">
        <w:rPr>
          <w:rFonts w:cs="Times New Roman"/>
          <w:lang w:val="fr-CA"/>
        </w:rPr>
        <w:noBreakHyphen/>
        <w:t>12.7). Ce serait la même chose pour les tiers dans le cas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Un critère de pertinence étroit est donc nécessaire pour faire obstacle aux demandes de communication « qui reposent sur la conjecture</w:t>
      </w:r>
      <w:r w:rsidRPr="004826C0">
        <w:rPr>
          <w:rFonts w:eastAsia="Times New Roman" w:cs="Times New Roman"/>
          <w:lang w:val="fr-CA"/>
        </w:rPr>
        <w:t xml:space="preserve"> et qui sont fantaisistes, perturbatrices, mal fondées, obstructionnistes et dilatoires » (</w:t>
      </w:r>
      <w:r w:rsidRPr="004826C0">
        <w:rPr>
          <w:rFonts w:eastAsia="Times New Roman" w:cs="Times New Roman"/>
          <w:i/>
          <w:lang w:val="fr-CA"/>
        </w:rPr>
        <w:t>R. c.</w:t>
      </w:r>
      <w:r w:rsidRPr="004826C0">
        <w:rPr>
          <w:rFonts w:eastAsia="Times New Roman" w:cs="Times New Roman"/>
          <w:lang w:val="fr-CA"/>
        </w:rPr>
        <w:t xml:space="preserve"> </w:t>
      </w:r>
      <w:r w:rsidRPr="004826C0">
        <w:rPr>
          <w:rFonts w:eastAsia="Times New Roman" w:cs="Times New Roman"/>
          <w:i/>
          <w:lang w:val="fr-CA"/>
        </w:rPr>
        <w:t>Chaplin</w:t>
      </w:r>
      <w:r w:rsidRPr="004826C0">
        <w:rPr>
          <w:rFonts w:eastAsia="Times New Roman" w:cs="Times New Roman"/>
          <w:lang w:val="fr-CA"/>
        </w:rPr>
        <w:t>, [1995] 1 R.C.S. 727, par. 32</w:t>
      </w:r>
      <w:r w:rsidR="0098384C">
        <w:rPr>
          <w:rFonts w:eastAsia="Times New Roman" w:cs="Times New Roman"/>
          <w:lang w:val="fr-CA"/>
        </w:rPr>
        <w:t>,</w:t>
      </w:r>
      <w:r w:rsidRPr="004826C0">
        <w:rPr>
          <w:rFonts w:eastAsia="Times New Roman" w:cs="Times New Roman"/>
          <w:lang w:val="fr-CA"/>
        </w:rPr>
        <w:t xml:space="preserve"> cité par le juge en chef Lamer et le juge </w:t>
      </w:r>
      <w:proofErr w:type="spellStart"/>
      <w:r w:rsidRPr="004826C0">
        <w:rPr>
          <w:rFonts w:eastAsia="Times New Roman" w:cs="Times New Roman"/>
          <w:lang w:val="fr-CA"/>
        </w:rPr>
        <w:t>Sopinka</w:t>
      </w:r>
      <w:proofErr w:type="spellEnd"/>
      <w:r w:rsidRPr="004826C0">
        <w:rPr>
          <w:rFonts w:eastAsia="Times New Roman" w:cs="Times New Roman"/>
          <w:lang w:val="fr-CA"/>
        </w:rPr>
        <w:t xml:space="preserve">, majoritaires sur ce point, dans </w:t>
      </w:r>
      <w:proofErr w:type="spellStart"/>
      <w:r w:rsidRPr="004826C0">
        <w:rPr>
          <w:rFonts w:eastAsia="Times New Roman" w:cs="Times New Roman"/>
          <w:i/>
          <w:lang w:val="fr-CA"/>
        </w:rPr>
        <w:t>O</w:t>
      </w:r>
      <w:r>
        <w:rPr>
          <w:rFonts w:eastAsia="Times New Roman" w:cs="Times New Roman"/>
          <w:i/>
          <w:lang w:val="fr-CA"/>
        </w:rPr>
        <w:t>’</w:t>
      </w:r>
      <w:r w:rsidRPr="004826C0">
        <w:rPr>
          <w:rFonts w:eastAsia="Times New Roman" w:cs="Times New Roman"/>
          <w:i/>
          <w:lang w:val="fr-CA"/>
        </w:rPr>
        <w:t>Connor</w:t>
      </w:r>
      <w:proofErr w:type="spellEnd"/>
      <w:r w:rsidRPr="004826C0">
        <w:rPr>
          <w:rFonts w:eastAsia="Times New Roman" w:cs="Times New Roman"/>
          <w:lang w:val="fr-CA"/>
        </w:rPr>
        <w:t xml:space="preserve">, </w:t>
      </w:r>
      <w:r w:rsidRPr="004826C0">
        <w:rPr>
          <w:rFonts w:cs="Times New Roman"/>
          <w:lang w:val="fr-CA"/>
        </w:rPr>
        <w:t>par. 24</w:t>
      </w:r>
      <w:r w:rsidRPr="004826C0">
        <w:rPr>
          <w:rFonts w:eastAsia="Times New Roman" w:cs="Times New Roman"/>
          <w:lang w:val="fr-CA"/>
        </w:rPr>
        <w:t>)</w:t>
      </w:r>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tribunaux inférieurs ont reconnu ces préoccupations, que les documents soient entre les mains de la police ou de tiers (</w:t>
      </w:r>
      <w:r w:rsidRPr="004826C0">
        <w:rPr>
          <w:rFonts w:cs="Times New Roman"/>
          <w:i/>
          <w:lang w:val="fr-CA"/>
        </w:rPr>
        <w:t>Ahmed</w:t>
      </w:r>
      <w:r w:rsidRPr="004826C0">
        <w:rPr>
          <w:rFonts w:cs="Times New Roman"/>
          <w:lang w:val="fr-CA"/>
        </w:rPr>
        <w:t xml:space="preserve">; </w:t>
      </w:r>
      <w:r w:rsidRPr="004826C0">
        <w:rPr>
          <w:rFonts w:cs="Times New Roman"/>
          <w:i/>
          <w:lang w:val="fr-CA"/>
        </w:rPr>
        <w:t>R. c. Ali</w:t>
      </w:r>
      <w:r w:rsidRPr="004826C0">
        <w:rPr>
          <w:rFonts w:cs="Times New Roman"/>
          <w:lang w:val="fr-CA"/>
        </w:rPr>
        <w:t xml:space="preserve">, 2013 ONSC 2629; </w:t>
      </w:r>
      <w:r w:rsidRPr="004826C0">
        <w:rPr>
          <w:rFonts w:cs="Times New Roman"/>
          <w:i/>
          <w:lang w:val="fr-CA"/>
        </w:rPr>
        <w:t xml:space="preserve">R. c. </w:t>
      </w:r>
      <w:proofErr w:type="spellStart"/>
      <w:r w:rsidRPr="004826C0">
        <w:rPr>
          <w:rFonts w:cs="Times New Roman"/>
          <w:i/>
          <w:lang w:val="fr-CA"/>
        </w:rPr>
        <w:t>Alizadeh</w:t>
      </w:r>
      <w:proofErr w:type="spellEnd"/>
      <w:r w:rsidRPr="004826C0">
        <w:rPr>
          <w:rFonts w:cs="Times New Roman"/>
          <w:lang w:val="fr-CA"/>
        </w:rPr>
        <w:t xml:space="preserve">, 2013 ONSC 5417; </w:t>
      </w:r>
      <w:proofErr w:type="spellStart"/>
      <w:r w:rsidRPr="004826C0">
        <w:rPr>
          <w:rFonts w:cs="Times New Roman"/>
          <w:i/>
          <w:lang w:val="fr-CA"/>
        </w:rPr>
        <w:t>Croft</w:t>
      </w:r>
      <w:proofErr w:type="spellEnd"/>
      <w:r w:rsidRPr="004826C0">
        <w:rPr>
          <w:rFonts w:cs="Times New Roman"/>
          <w:lang w:val="fr-CA"/>
        </w:rPr>
        <w:t xml:space="preserve">; </w:t>
      </w:r>
      <w:r w:rsidRPr="004826C0">
        <w:rPr>
          <w:rFonts w:cs="Times New Roman"/>
          <w:i/>
          <w:lang w:val="fr-CA"/>
        </w:rPr>
        <w:t xml:space="preserve">R. c. </w:t>
      </w:r>
      <w:proofErr w:type="spellStart"/>
      <w:r w:rsidRPr="004826C0">
        <w:rPr>
          <w:rFonts w:cs="Times New Roman"/>
          <w:i/>
          <w:lang w:val="fr-CA"/>
        </w:rPr>
        <w:t>Way</w:t>
      </w:r>
      <w:proofErr w:type="spellEnd"/>
      <w:r w:rsidRPr="004826C0">
        <w:rPr>
          <w:rFonts w:cs="Times New Roman"/>
          <w:lang w:val="fr-CA"/>
        </w:rPr>
        <w:t>, 2014 NSSC 180, 345 N.S.R. (2d) 258). Nous n</w:t>
      </w:r>
      <w:r>
        <w:rPr>
          <w:rFonts w:cs="Times New Roman"/>
          <w:lang w:val="fr-CA"/>
        </w:rPr>
        <w:t>’</w:t>
      </w:r>
      <w:r w:rsidRPr="004826C0">
        <w:rPr>
          <w:rFonts w:cs="Times New Roman"/>
          <w:lang w:val="fr-CA"/>
        </w:rPr>
        <w:t>avons pas à examiner la portée du régime de divulgation de la preuve établi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xml:space="preserve"> dans le contexte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 car nous ne sommes pas saisis de cette question. Toutefois, il est clair que les tribunaux inférieurs assimilent au contre</w:t>
      </w:r>
      <w:r w:rsidRPr="004826C0">
        <w:rPr>
          <w:rFonts w:cs="Times New Roman"/>
          <w:lang w:val="fr-CA"/>
        </w:rPr>
        <w:noBreakHyphen/>
        <w:t>interrogatoire la divulgation de la preuve par la Couronne et la communication d</w:t>
      </w:r>
      <w:r>
        <w:rPr>
          <w:rFonts w:cs="Times New Roman"/>
          <w:lang w:val="fr-CA"/>
        </w:rPr>
        <w:t>’</w:t>
      </w:r>
      <w:r w:rsidRPr="004826C0">
        <w:rPr>
          <w:rFonts w:cs="Times New Roman"/>
          <w:lang w:val="fr-CA"/>
        </w:rPr>
        <w:t>autres documents. Ils ont donc appliqué le même critère de pertinence. Lorsqu</w:t>
      </w:r>
      <w:r>
        <w:rPr>
          <w:rFonts w:cs="Times New Roman"/>
          <w:lang w:val="fr-CA"/>
        </w:rPr>
        <w:t>’</w:t>
      </w:r>
      <w:r w:rsidRPr="004826C0">
        <w:rPr>
          <w:rFonts w:cs="Times New Roman"/>
          <w:lang w:val="fr-CA"/>
        </w:rPr>
        <w:t>ils y ont dérogé, c</w:t>
      </w:r>
      <w:r>
        <w:rPr>
          <w:rFonts w:cs="Times New Roman"/>
          <w:lang w:val="fr-CA"/>
        </w:rPr>
        <w:t>’</w:t>
      </w:r>
      <w:r w:rsidRPr="004826C0">
        <w:rPr>
          <w:rFonts w:cs="Times New Roman"/>
          <w:lang w:val="fr-CA"/>
        </w:rPr>
        <w:t>était parce que les documents demandés appartenaient au genre de renseignements qui doivent être divulgués suivant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xml:space="preserve"> (voir </w:t>
      </w:r>
      <w:r w:rsidRPr="004826C0">
        <w:rPr>
          <w:rFonts w:cs="Times New Roman"/>
          <w:i/>
          <w:lang w:val="fr-CA"/>
        </w:rPr>
        <w:t xml:space="preserve">R. c. </w:t>
      </w:r>
      <w:proofErr w:type="spellStart"/>
      <w:r w:rsidRPr="004826C0">
        <w:rPr>
          <w:rFonts w:cs="Times New Roman"/>
          <w:i/>
          <w:lang w:val="fr-CA"/>
        </w:rPr>
        <w:t>Bernath</w:t>
      </w:r>
      <w:proofErr w:type="spellEnd"/>
      <w:r w:rsidRPr="004826C0">
        <w:rPr>
          <w:rFonts w:cs="Times New Roman"/>
          <w:lang w:val="fr-CA"/>
        </w:rPr>
        <w:t>, 2015 BCSC 632, par. 78</w:t>
      </w:r>
      <w:r w:rsidRPr="004826C0">
        <w:rPr>
          <w:rFonts w:cs="Times New Roman"/>
          <w:lang w:val="fr-CA"/>
        </w:rPr>
        <w:noBreakHyphen/>
        <w:t>80 (</w:t>
      </w:r>
      <w:proofErr w:type="spellStart"/>
      <w:r w:rsidRPr="004826C0">
        <w:rPr>
          <w:rFonts w:cs="Times New Roman"/>
          <w:lang w:val="fr-CA"/>
        </w:rPr>
        <w:t>CanLII</w:t>
      </w:r>
      <w:proofErr w:type="spellEnd"/>
      <w:r w:rsidRPr="004826C0">
        <w:rPr>
          <w:rFonts w:cs="Times New Roman"/>
          <w:lang w:val="fr-CA"/>
        </w:rPr>
        <w:t xml:space="preserve">); </w:t>
      </w:r>
      <w:r w:rsidRPr="004826C0">
        <w:rPr>
          <w:rFonts w:cs="Times New Roman"/>
          <w:i/>
          <w:lang w:val="fr-CA"/>
        </w:rPr>
        <w:t xml:space="preserve">R. c. </w:t>
      </w:r>
      <w:proofErr w:type="spellStart"/>
      <w:r w:rsidRPr="004826C0">
        <w:rPr>
          <w:rFonts w:cs="Times New Roman"/>
          <w:i/>
          <w:lang w:val="fr-CA"/>
        </w:rPr>
        <w:t>Edwardsen</w:t>
      </w:r>
      <w:proofErr w:type="spellEnd"/>
      <w:r w:rsidRPr="004826C0">
        <w:rPr>
          <w:rFonts w:cs="Times New Roman"/>
          <w:lang w:val="fr-CA"/>
        </w:rPr>
        <w:t>, 2015 BCSC 705, 338 C.R.R. (2d) 191, par. 73</w:t>
      </w:r>
      <w:r w:rsidRPr="004826C0">
        <w:rPr>
          <w:rFonts w:cs="Times New Roman"/>
          <w:lang w:val="fr-CA"/>
        </w:rPr>
        <w:noBreakHyphen/>
        <w:t xml:space="preserve">74; </w:t>
      </w:r>
      <w:r w:rsidRPr="004826C0">
        <w:rPr>
          <w:rFonts w:cs="Times New Roman"/>
          <w:i/>
          <w:lang w:val="fr-CA"/>
        </w:rPr>
        <w:t xml:space="preserve">R. c. </w:t>
      </w:r>
      <w:proofErr w:type="spellStart"/>
      <w:r w:rsidRPr="004826C0">
        <w:rPr>
          <w:rFonts w:cs="Times New Roman"/>
          <w:i/>
          <w:lang w:val="fr-CA"/>
        </w:rPr>
        <w:t>Lemke</w:t>
      </w:r>
      <w:proofErr w:type="spellEnd"/>
      <w:r w:rsidRPr="004826C0">
        <w:rPr>
          <w:rFonts w:cs="Times New Roman"/>
          <w:lang w:val="fr-CA"/>
        </w:rPr>
        <w:t>, 2015 ABQB 444). Il va sans dire que si les documents en question sont en la possession des autorités et que les règles de divulgation établies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i/>
          <w:lang w:val="fr-CA"/>
        </w:rPr>
        <w:t xml:space="preserve"> </w:t>
      </w:r>
      <w:r w:rsidRPr="004826C0">
        <w:rPr>
          <w:rFonts w:cs="Times New Roman"/>
          <w:lang w:val="fr-CA"/>
        </w:rPr>
        <w:t>s</w:t>
      </w:r>
      <w:r>
        <w:rPr>
          <w:rFonts w:cs="Times New Roman"/>
          <w:lang w:val="fr-CA"/>
        </w:rPr>
        <w:t>’</w:t>
      </w:r>
      <w:r w:rsidRPr="004826C0">
        <w:rPr>
          <w:rFonts w:cs="Times New Roman"/>
          <w:lang w:val="fr-CA"/>
        </w:rPr>
        <w:t>y appliquent, ils doivent faire l</w:t>
      </w:r>
      <w:r>
        <w:rPr>
          <w:rFonts w:cs="Times New Roman"/>
          <w:lang w:val="fr-CA"/>
        </w:rPr>
        <w:t>’</w:t>
      </w:r>
      <w:r w:rsidRPr="004826C0">
        <w:rPr>
          <w:rFonts w:cs="Times New Roman"/>
          <w:lang w:val="fr-CA"/>
        </w:rPr>
        <w:t>objet de la divulgation.</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Nous convenons que ces deux outils d</w:t>
      </w:r>
      <w:r>
        <w:rPr>
          <w:rFonts w:cs="Times New Roman"/>
          <w:lang w:val="fr-CA"/>
        </w:rPr>
        <w:t>’</w:t>
      </w:r>
      <w:r w:rsidRPr="004826C0">
        <w:rPr>
          <w:rFonts w:cs="Times New Roman"/>
          <w:lang w:val="fr-CA"/>
        </w:rPr>
        <w:t>enquête préalable — le contre</w:t>
      </w:r>
      <w:r w:rsidRPr="004826C0">
        <w:rPr>
          <w:rFonts w:cs="Times New Roman"/>
          <w:lang w:val="fr-CA"/>
        </w:rPr>
        <w:noBreakHyphen/>
        <w:t>interrogatoire du déposant et l</w:t>
      </w:r>
      <w:r>
        <w:rPr>
          <w:rFonts w:cs="Times New Roman"/>
          <w:lang w:val="fr-CA"/>
        </w:rPr>
        <w:t>’</w:t>
      </w:r>
      <w:r w:rsidRPr="004826C0">
        <w:rPr>
          <w:rFonts w:cs="Times New Roman"/>
          <w:lang w:val="fr-CA"/>
        </w:rPr>
        <w:t xml:space="preserve">ordonnance de communication de dossiers par des tiers — doivent être assujettis au même critère de pertinence. Par conséquent, pour obtenir la communication de dossiers par des tiers dans une demande de type </w:t>
      </w:r>
      <w:proofErr w:type="spellStart"/>
      <w:r w:rsidRPr="004826C0">
        <w:rPr>
          <w:rFonts w:cs="Times New Roman"/>
          <w:i/>
          <w:lang w:val="fr-CA"/>
        </w:rPr>
        <w:t>Garofoli</w:t>
      </w:r>
      <w:proofErr w:type="spellEnd"/>
      <w:r w:rsidRPr="004826C0">
        <w:rPr>
          <w:rFonts w:cs="Times New Roman"/>
          <w:lang w:val="fr-CA"/>
        </w:rPr>
        <w:t>, l</w:t>
      </w:r>
      <w:r>
        <w:rPr>
          <w:rFonts w:cs="Times New Roman"/>
          <w:lang w:val="fr-CA"/>
        </w:rPr>
        <w:t>’</w:t>
      </w:r>
      <w:r w:rsidRPr="004826C0">
        <w:rPr>
          <w:rFonts w:cs="Times New Roman"/>
          <w:lang w:val="fr-CA"/>
        </w:rPr>
        <w:t>accusé doit démontrer</w:t>
      </w:r>
      <w:r w:rsidRPr="004826C0">
        <w:rPr>
          <w:rFonts w:eastAsia="Times New Roman" w:cs="Times New Roman"/>
          <w:szCs w:val="24"/>
          <w:lang w:val="fr-CA" w:eastAsia="en-CA"/>
        </w:rPr>
        <w:t xml:space="preserve"> </w:t>
      </w:r>
      <w:r w:rsidRPr="004826C0">
        <w:rPr>
          <w:rFonts w:cs="Times New Roman"/>
          <w:lang w:val="fr-CA"/>
        </w:rPr>
        <w:t>qu</w:t>
      </w:r>
      <w:r>
        <w:rPr>
          <w:rFonts w:cs="Times New Roman"/>
          <w:lang w:val="fr-CA"/>
        </w:rPr>
        <w:t>’</w:t>
      </w:r>
      <w:r w:rsidRPr="004826C0">
        <w:rPr>
          <w:rFonts w:cs="Times New Roman"/>
          <w:lang w:val="fr-CA"/>
        </w:rPr>
        <w:t>il existe une probabilité raisonnable que les dossiers demandés auront une valeur probante quant aux questions que soulève la demande. Comme c</w:t>
      </w:r>
      <w:r>
        <w:rPr>
          <w:rFonts w:cs="Times New Roman"/>
          <w:lang w:val="fr-CA"/>
        </w:rPr>
        <w:t>’</w:t>
      </w:r>
      <w:r w:rsidRPr="004826C0">
        <w:rPr>
          <w:rFonts w:cs="Times New Roman"/>
          <w:lang w:val="fr-CA"/>
        </w:rPr>
        <w:t>est le cas pour le contre</w:t>
      </w:r>
      <w:r w:rsidRPr="004826C0">
        <w:rPr>
          <w:rFonts w:cs="Times New Roman"/>
          <w:lang w:val="fr-CA"/>
        </w:rPr>
        <w:noBreakHyphen/>
        <w:t>interrogatoire d</w:t>
      </w:r>
      <w:r>
        <w:rPr>
          <w:rFonts w:cs="Times New Roman"/>
          <w:lang w:val="fr-CA"/>
        </w:rPr>
        <w:t>’</w:t>
      </w:r>
      <w:r w:rsidRPr="004826C0">
        <w:rPr>
          <w:rFonts w:cs="Times New Roman"/>
          <w:lang w:val="fr-CA"/>
        </w:rPr>
        <w:t xml:space="preserve">un déposant, il doit être raisonnablement probable que les dossiers se révèlent </w:t>
      </w:r>
      <w:r w:rsidRPr="004826C0">
        <w:rPr>
          <w:rFonts w:cs="Times New Roman"/>
          <w:i/>
          <w:lang w:val="fr-CA"/>
        </w:rPr>
        <w:t>utiles</w:t>
      </w:r>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 xml:space="preserve">Le critère de la « probabilité raisonnable » convient à une demande de type </w:t>
      </w:r>
      <w:proofErr w:type="spellStart"/>
      <w:r w:rsidRPr="004826C0">
        <w:rPr>
          <w:rFonts w:cs="Times New Roman"/>
          <w:i/>
          <w:lang w:val="fr-CA"/>
        </w:rPr>
        <w:t>Garofoli</w:t>
      </w:r>
      <w:proofErr w:type="spellEnd"/>
      <w:r w:rsidRPr="004826C0">
        <w:rPr>
          <w:rFonts w:cs="Times New Roman"/>
          <w:lang w:val="fr-CA"/>
        </w:rPr>
        <w:t>. Il est équitable pour l</w:t>
      </w:r>
      <w:r>
        <w:rPr>
          <w:rFonts w:cs="Times New Roman"/>
          <w:lang w:val="fr-CA"/>
        </w:rPr>
        <w:t>’</w:t>
      </w:r>
      <w:r w:rsidRPr="004826C0">
        <w:rPr>
          <w:rFonts w:cs="Times New Roman"/>
          <w:lang w:val="fr-CA"/>
        </w:rPr>
        <w:t>accusé, qui n</w:t>
      </w:r>
      <w:r>
        <w:rPr>
          <w:rFonts w:cs="Times New Roman"/>
          <w:lang w:val="fr-CA"/>
        </w:rPr>
        <w:t>’</w:t>
      </w:r>
      <w:r w:rsidRPr="004826C0">
        <w:rPr>
          <w:rFonts w:cs="Times New Roman"/>
          <w:lang w:val="fr-CA"/>
        </w:rPr>
        <w:t>a pas à prouver au préalable la preuve sollicitée. Du même coup, il empêche les recherches à l</w:t>
      </w:r>
      <w:r>
        <w:rPr>
          <w:rFonts w:cs="Times New Roman"/>
          <w:lang w:val="fr-CA"/>
        </w:rPr>
        <w:t>’</w:t>
      </w:r>
      <w:r w:rsidRPr="004826C0">
        <w:rPr>
          <w:rFonts w:cs="Times New Roman"/>
          <w:lang w:val="fr-CA"/>
        </w:rPr>
        <w:t>aveuglette et assure une utilisation efficace des ressources judiciaires. Bref</w:t>
      </w:r>
      <w:r w:rsidRPr="004826C0">
        <w:rPr>
          <w:rFonts w:cs="Times New Roman"/>
          <w:szCs w:val="24"/>
          <w:lang w:val="fr-CA"/>
        </w:rPr>
        <w:t>, il circonscrit l</w:t>
      </w:r>
      <w:r>
        <w:rPr>
          <w:rFonts w:cs="Times New Roman"/>
          <w:szCs w:val="24"/>
          <w:lang w:val="fr-CA"/>
        </w:rPr>
        <w:t>’</w:t>
      </w:r>
      <w:r w:rsidRPr="004826C0">
        <w:rPr>
          <w:rFonts w:cs="Times New Roman"/>
          <w:szCs w:val="24"/>
          <w:lang w:val="fr-CA"/>
        </w:rPr>
        <w:t>analyse aux questions pertinentes à l</w:t>
      </w:r>
      <w:r>
        <w:rPr>
          <w:rFonts w:cs="Times New Roman"/>
          <w:szCs w:val="24"/>
          <w:lang w:val="fr-CA"/>
        </w:rPr>
        <w:t>’</w:t>
      </w:r>
      <w:r w:rsidRPr="004826C0">
        <w:rPr>
          <w:rFonts w:cs="Times New Roman"/>
          <w:szCs w:val="24"/>
          <w:lang w:val="fr-CA"/>
        </w:rPr>
        <w:t>égard d</w:t>
      </w:r>
      <w:r>
        <w:rPr>
          <w:rFonts w:cs="Times New Roman"/>
          <w:szCs w:val="24"/>
          <w:lang w:val="fr-CA"/>
        </w:rPr>
        <w:t>’</w:t>
      </w:r>
      <w:r w:rsidRPr="004826C0">
        <w:rPr>
          <w:rFonts w:cs="Times New Roman"/>
          <w:szCs w:val="24"/>
          <w:lang w:val="fr-CA"/>
        </w:rPr>
        <w:t xml:space="preserve">une demande de type </w:t>
      </w:r>
      <w:proofErr w:type="spellStart"/>
      <w:r w:rsidRPr="004826C0">
        <w:rPr>
          <w:rFonts w:cs="Times New Roman"/>
          <w:i/>
          <w:szCs w:val="24"/>
          <w:lang w:val="fr-CA"/>
        </w:rPr>
        <w:t>Garofoli</w:t>
      </w:r>
      <w:proofErr w:type="spellEnd"/>
      <w:r w:rsidRPr="004826C0">
        <w:rPr>
          <w:rFonts w:cs="Times New Roman"/>
          <w:szCs w:val="24"/>
          <w:lang w:val="fr-CA"/>
        </w:rPr>
        <w:t xml:space="preserve">, qui </w:t>
      </w:r>
      <w:proofErr w:type="gramStart"/>
      <w:r w:rsidRPr="004826C0">
        <w:rPr>
          <w:rFonts w:cs="Times New Roman"/>
          <w:szCs w:val="24"/>
          <w:lang w:val="fr-CA"/>
        </w:rPr>
        <w:t>sont</w:t>
      </w:r>
      <w:proofErr w:type="gramEnd"/>
      <w:r w:rsidRPr="004826C0">
        <w:rPr>
          <w:rFonts w:cs="Times New Roman"/>
          <w:szCs w:val="24"/>
          <w:lang w:val="fr-CA"/>
        </w:rPr>
        <w:t xml:space="preserve"> plus limitées que celles qui intéressent l</w:t>
      </w:r>
      <w:r>
        <w:rPr>
          <w:rFonts w:cs="Times New Roman"/>
          <w:szCs w:val="24"/>
          <w:lang w:val="fr-CA"/>
        </w:rPr>
        <w:t>’</w:t>
      </w:r>
      <w:r w:rsidRPr="004826C0">
        <w:rPr>
          <w:rFonts w:cs="Times New Roman"/>
          <w:szCs w:val="24"/>
          <w:lang w:val="fr-CA"/>
        </w:rPr>
        <w:t>affaire dans son ensemble.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Comme lorsqu</w:t>
      </w:r>
      <w:r>
        <w:rPr>
          <w:rFonts w:cs="Times New Roman"/>
          <w:lang w:val="fr-CA"/>
        </w:rPr>
        <w:t>’</w:t>
      </w:r>
      <w:r w:rsidRPr="004826C0">
        <w:rPr>
          <w:rFonts w:cs="Times New Roman"/>
          <w:lang w:val="fr-CA"/>
        </w:rPr>
        <w:t>il demande la permission de contre</w:t>
      </w:r>
      <w:r w:rsidRPr="004826C0">
        <w:rPr>
          <w:rFonts w:cs="Times New Roman"/>
          <w:lang w:val="fr-CA"/>
        </w:rPr>
        <w:noBreakHyphen/>
        <w:t>interroger le déposant, l</w:t>
      </w:r>
      <w:r>
        <w:rPr>
          <w:rFonts w:cs="Times New Roman"/>
          <w:lang w:val="fr-CA"/>
        </w:rPr>
        <w:t>’</w:t>
      </w:r>
      <w:r w:rsidRPr="004826C0">
        <w:rPr>
          <w:rFonts w:cs="Times New Roman"/>
          <w:lang w:val="fr-CA"/>
        </w:rPr>
        <w:t>accusé a déjà accès aux documents dont disposait le juge qui a accordé l</w:t>
      </w:r>
      <w:r>
        <w:rPr>
          <w:rFonts w:cs="Times New Roman"/>
          <w:lang w:val="fr-CA"/>
        </w:rPr>
        <w:t>’</w:t>
      </w:r>
      <w:r w:rsidRPr="004826C0">
        <w:rPr>
          <w:rFonts w:cs="Times New Roman"/>
          <w:lang w:val="fr-CA"/>
        </w:rPr>
        <w:t>autorisation, y compris l</w:t>
      </w:r>
      <w:r>
        <w:rPr>
          <w:rFonts w:cs="Times New Roman"/>
          <w:lang w:val="fr-CA"/>
        </w:rPr>
        <w:t>’</w:t>
      </w:r>
      <w:r w:rsidRPr="004826C0">
        <w:rPr>
          <w:rFonts w:cs="Times New Roman"/>
          <w:lang w:val="fr-CA"/>
        </w:rPr>
        <w:t>affidavit présenté en vue d</w:t>
      </w:r>
      <w:r>
        <w:rPr>
          <w:rFonts w:cs="Times New Roman"/>
          <w:lang w:val="fr-CA"/>
        </w:rPr>
        <w:t>’</w:t>
      </w:r>
      <w:r w:rsidRPr="004826C0">
        <w:rPr>
          <w:rFonts w:cs="Times New Roman"/>
          <w:lang w:val="fr-CA"/>
        </w:rPr>
        <w:t>obtenir l</w:t>
      </w:r>
      <w:r>
        <w:rPr>
          <w:rFonts w:cs="Times New Roman"/>
          <w:lang w:val="fr-CA"/>
        </w:rPr>
        <w:t>’</w:t>
      </w:r>
      <w:r w:rsidRPr="004826C0">
        <w:rPr>
          <w:rFonts w:cs="Times New Roman"/>
          <w:lang w:val="fr-CA"/>
        </w:rPr>
        <w:t>autorisation (</w:t>
      </w:r>
      <w:r w:rsidRPr="004826C0">
        <w:rPr>
          <w:rFonts w:cs="Times New Roman"/>
          <w:i/>
          <w:lang w:val="fr-CA"/>
        </w:rPr>
        <w:t>Code criminel</w:t>
      </w:r>
      <w:r w:rsidRPr="004826C0">
        <w:rPr>
          <w:rFonts w:cs="Times New Roman"/>
          <w:lang w:val="fr-CA"/>
        </w:rPr>
        <w:t xml:space="preserve">, par. 187(1.4); </w:t>
      </w:r>
      <w:r w:rsidRPr="004826C0">
        <w:rPr>
          <w:rFonts w:cs="Times New Roman"/>
          <w:i/>
          <w:lang w:val="fr-CA"/>
        </w:rPr>
        <w:t>Pires</w:t>
      </w:r>
      <w:r w:rsidRPr="004826C0">
        <w:rPr>
          <w:rFonts w:cs="Times New Roman"/>
          <w:lang w:val="fr-CA"/>
        </w:rPr>
        <w:t>, par. 25</w:t>
      </w:r>
      <w:r w:rsidRPr="004826C0">
        <w:rPr>
          <w:rFonts w:cs="Times New Roman"/>
          <w:lang w:val="fr-CA"/>
        </w:rPr>
        <w:noBreakHyphen/>
        <w:t>26). Ces documents sont manifestement pertinents, et l</w:t>
      </w:r>
      <w:r>
        <w:rPr>
          <w:rFonts w:cs="Times New Roman"/>
          <w:lang w:val="fr-CA"/>
        </w:rPr>
        <w:t>’</w:t>
      </w:r>
      <w:r w:rsidRPr="004826C0">
        <w:rPr>
          <w:rFonts w:cs="Times New Roman"/>
          <w:lang w:val="fr-CA"/>
        </w:rPr>
        <w:t>accusé est présumé y avoir droit (</w:t>
      </w:r>
      <w:r w:rsidRPr="004826C0">
        <w:rPr>
          <w:rFonts w:cs="Times New Roman"/>
          <w:i/>
          <w:lang w:val="fr-CA"/>
        </w:rPr>
        <w:t>Code criminel</w:t>
      </w:r>
      <w:r w:rsidRPr="004826C0">
        <w:rPr>
          <w:rFonts w:cs="Times New Roman"/>
          <w:lang w:val="fr-CA"/>
        </w:rPr>
        <w:t xml:space="preserve">, par. 187(1.4); </w:t>
      </w:r>
      <w:r w:rsidRPr="004826C0">
        <w:rPr>
          <w:rFonts w:cs="Times New Roman"/>
          <w:i/>
          <w:lang w:val="fr-CA"/>
        </w:rPr>
        <w:t>Pires</w:t>
      </w:r>
      <w:r w:rsidRPr="004826C0">
        <w:rPr>
          <w:rFonts w:cs="Times New Roman"/>
          <w:lang w:val="fr-CA"/>
        </w:rPr>
        <w:t>, par. 25</w:t>
      </w:r>
      <w:r w:rsidRPr="004826C0">
        <w:rPr>
          <w:rFonts w:cs="Times New Roman"/>
          <w:lang w:val="fr-CA"/>
        </w:rPr>
        <w:noBreakHyphen/>
        <w:t xml:space="preserve">26; </w:t>
      </w:r>
      <w:r w:rsidRPr="004826C0">
        <w:rPr>
          <w:rFonts w:cs="Times New Roman"/>
          <w:i/>
          <w:lang w:val="fr-CA"/>
        </w:rPr>
        <w:t>Ahmed</w:t>
      </w:r>
      <w:r w:rsidRPr="004826C0">
        <w:rPr>
          <w:rFonts w:cs="Times New Roman"/>
          <w:lang w:val="fr-CA"/>
        </w:rPr>
        <w:t>, par. 30). L</w:t>
      </w:r>
      <w:r>
        <w:rPr>
          <w:rFonts w:cs="Times New Roman"/>
          <w:lang w:val="fr-CA"/>
        </w:rPr>
        <w:t>’</w:t>
      </w:r>
      <w:r w:rsidRPr="004826C0">
        <w:rPr>
          <w:rFonts w:cs="Times New Roman"/>
          <w:lang w:val="fr-CA"/>
        </w:rPr>
        <w:t>accusé a également le droit de consulter le reste du dossier d</w:t>
      </w:r>
      <w:r>
        <w:rPr>
          <w:rFonts w:cs="Times New Roman"/>
          <w:lang w:val="fr-CA"/>
        </w:rPr>
        <w:t>’</w:t>
      </w:r>
      <w:r w:rsidRPr="004826C0">
        <w:rPr>
          <w:rFonts w:cs="Times New Roman"/>
          <w:lang w:val="fr-CA"/>
        </w:rPr>
        <w:t>enquête selon les normes de divulgation établies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sous réserve, évidemment, des exceptions énoncées dans ce dernier et dans l</w:t>
      </w:r>
      <w:r>
        <w:rPr>
          <w:rFonts w:cs="Times New Roman"/>
          <w:lang w:val="fr-CA"/>
        </w:rPr>
        <w:t>’</w:t>
      </w:r>
      <w:r w:rsidRPr="004826C0">
        <w:rPr>
          <w:rFonts w:cs="Times New Roman"/>
          <w:lang w:val="fr-CA"/>
        </w:rPr>
        <w:t xml:space="preserve">arrêt </w:t>
      </w:r>
      <w:r w:rsidRPr="004826C0">
        <w:rPr>
          <w:rFonts w:cs="Times New Roman"/>
          <w:i/>
          <w:lang w:val="fr-CA"/>
        </w:rPr>
        <w:t>McNeil</w:t>
      </w:r>
      <w:r w:rsidRPr="004826C0">
        <w:rPr>
          <w:rFonts w:cs="Times New Roman"/>
          <w:lang w:val="fr-CA"/>
        </w:rPr>
        <w:t>. Cette divulgation devrait suffire à établir le bien</w:t>
      </w:r>
      <w:r w:rsidRPr="004826C0">
        <w:rPr>
          <w:rFonts w:cs="Times New Roman"/>
          <w:lang w:val="fr-CA"/>
        </w:rPr>
        <w:noBreakHyphen/>
        <w:t>fondé de sa demande de communication de dossiers par des tiers, si elle est effectivement fondée. Certes, l</w:t>
      </w:r>
      <w:r>
        <w:rPr>
          <w:rFonts w:cs="Times New Roman"/>
          <w:lang w:val="fr-CA"/>
        </w:rPr>
        <w:t>’</w:t>
      </w:r>
      <w:r w:rsidRPr="004826C0">
        <w:rPr>
          <w:rFonts w:cs="Times New Roman"/>
          <w:lang w:val="fr-CA"/>
        </w:rPr>
        <w:t>accusé a droit à la communication des documents pertinents, or rien ne lui permet de se lancer dans une recherche à l</w:t>
      </w:r>
      <w:r>
        <w:rPr>
          <w:rFonts w:cs="Times New Roman"/>
          <w:lang w:val="fr-CA"/>
        </w:rPr>
        <w:t>’</w:t>
      </w:r>
      <w:r w:rsidRPr="004826C0">
        <w:rPr>
          <w:rFonts w:cs="Times New Roman"/>
          <w:lang w:val="fr-CA"/>
        </w:rPr>
        <w:t>aveuglette. Ce droit ne s</w:t>
      </w:r>
      <w:r>
        <w:rPr>
          <w:rFonts w:cs="Times New Roman"/>
          <w:lang w:val="fr-CA"/>
        </w:rPr>
        <w:t>’</w:t>
      </w:r>
      <w:r w:rsidRPr="004826C0">
        <w:rPr>
          <w:rFonts w:cs="Times New Roman"/>
          <w:lang w:val="fr-CA"/>
        </w:rPr>
        <w:t>étend pas à tous les documents se rapportant à l</w:t>
      </w:r>
      <w:r>
        <w:rPr>
          <w:rFonts w:cs="Times New Roman"/>
          <w:lang w:val="fr-CA"/>
        </w:rPr>
        <w:t>’</w:t>
      </w:r>
      <w:r w:rsidRPr="004826C0">
        <w:rPr>
          <w:rFonts w:cs="Times New Roman"/>
          <w:lang w:val="fr-CA"/>
        </w:rPr>
        <w:t>affaire, peu importe qui les a en sa possession et où ils se trouvent, tout particulièrement si leur communication est demandée à l</w:t>
      </w:r>
      <w:r>
        <w:rPr>
          <w:rFonts w:cs="Times New Roman"/>
          <w:lang w:val="fr-CA"/>
        </w:rPr>
        <w:t>’</w:t>
      </w:r>
      <w:r w:rsidRPr="004826C0">
        <w:rPr>
          <w:rFonts w:cs="Times New Roman"/>
          <w:lang w:val="fr-CA"/>
        </w:rPr>
        <w:t>appui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Ayant traité du critère juridique applicable</w:t>
      </w:r>
      <w:r>
        <w:rPr>
          <w:rFonts w:cs="Times New Roman"/>
          <w:lang w:val="fr-CA"/>
        </w:rPr>
        <w:t>,</w:t>
      </w:r>
      <w:r w:rsidRPr="004826C0">
        <w:rPr>
          <w:rFonts w:cs="Times New Roman"/>
          <w:lang w:val="fr-CA"/>
        </w:rPr>
        <w:t xml:space="preserve"> nous analysons maintenant son application en l</w:t>
      </w:r>
      <w:r>
        <w:rPr>
          <w:rFonts w:cs="Times New Roman"/>
          <w:lang w:val="fr-CA"/>
        </w:rPr>
        <w:t>’</w:t>
      </w:r>
      <w:r w:rsidRPr="004826C0">
        <w:rPr>
          <w:rFonts w:cs="Times New Roman"/>
          <w:lang w:val="fr-CA"/>
        </w:rPr>
        <w:t>espèce.</w:t>
      </w:r>
    </w:p>
    <w:p w:rsidR="002405E3" w:rsidRPr="004826C0" w:rsidRDefault="002405E3" w:rsidP="003C0B54">
      <w:pPr>
        <w:pStyle w:val="Title3LevelTitre3Niveau"/>
        <w:widowControl w:val="0"/>
        <w:ind w:left="1144"/>
        <w:rPr>
          <w:rFonts w:cs="Times New Roman"/>
          <w:lang w:val="fr-CA"/>
        </w:rPr>
      </w:pPr>
      <w:r w:rsidRPr="004826C0">
        <w:rPr>
          <w:rFonts w:cs="Times New Roman"/>
          <w:lang w:val="fr-CA"/>
        </w:rPr>
        <w:t>Application</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intimés soutiennent que les documents dont ils demandent la communication seront probablement pertinents à l</w:t>
      </w:r>
      <w:r>
        <w:rPr>
          <w:rFonts w:cs="Times New Roman"/>
          <w:lang w:val="fr-CA"/>
        </w:rPr>
        <w:t>’</w:t>
      </w:r>
      <w:r w:rsidRPr="004826C0">
        <w:rPr>
          <w:rFonts w:cs="Times New Roman"/>
          <w:lang w:val="fr-CA"/>
        </w:rPr>
        <w:t xml:space="preserve">égard de leur demande de type </w:t>
      </w:r>
      <w:proofErr w:type="spellStart"/>
      <w:r w:rsidRPr="004826C0">
        <w:rPr>
          <w:rFonts w:cs="Times New Roman"/>
          <w:i/>
          <w:lang w:val="fr-CA"/>
        </w:rPr>
        <w:t>Garofoli</w:t>
      </w:r>
      <w:proofErr w:type="spellEnd"/>
      <w:r w:rsidRPr="004826C0">
        <w:rPr>
          <w:rFonts w:cs="Times New Roman"/>
          <w:lang w:val="fr-CA"/>
        </w:rPr>
        <w:t xml:space="preserve"> et devraient, par conséquent, être communiqués. Subsidiairement, ils nous exhortent à considérer comme pertinents d</w:t>
      </w:r>
      <w:r>
        <w:rPr>
          <w:rFonts w:cs="Times New Roman"/>
          <w:lang w:val="fr-CA"/>
        </w:rPr>
        <w:t>’</w:t>
      </w:r>
      <w:r w:rsidRPr="004826C0">
        <w:rPr>
          <w:rFonts w:cs="Times New Roman"/>
          <w:lang w:val="fr-CA"/>
        </w:rPr>
        <w:t>office les documents qui sont en la possession du Groupe, car certains renseignements dont la divulgation aurait été exigée en application de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xml:space="preserve"> ont été perdus ou n</w:t>
      </w:r>
      <w:r>
        <w:rPr>
          <w:rFonts w:cs="Times New Roman"/>
          <w:lang w:val="fr-CA"/>
        </w:rPr>
        <w:t>’</w:t>
      </w:r>
      <w:r w:rsidRPr="004826C0">
        <w:rPr>
          <w:rFonts w:cs="Times New Roman"/>
          <w:lang w:val="fr-CA"/>
        </w:rPr>
        <w:t>ont jamais été consignés par écrit.</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Soit dit en tout respect, le juge d</w:t>
      </w:r>
      <w:r>
        <w:rPr>
          <w:rFonts w:cs="Times New Roman"/>
          <w:lang w:val="fr-CA"/>
        </w:rPr>
        <w:t>’</w:t>
      </w:r>
      <w:r w:rsidRPr="004826C0">
        <w:rPr>
          <w:rFonts w:cs="Times New Roman"/>
          <w:lang w:val="fr-CA"/>
        </w:rPr>
        <w:t>instance a commis une erreur dans son appréciation des deux arguments. Bien qu</w:t>
      </w:r>
      <w:r>
        <w:rPr>
          <w:rFonts w:cs="Times New Roman"/>
          <w:lang w:val="fr-CA"/>
        </w:rPr>
        <w:t>’</w:t>
      </w:r>
      <w:r w:rsidRPr="004826C0">
        <w:rPr>
          <w:rFonts w:cs="Times New Roman"/>
          <w:lang w:val="fr-CA"/>
        </w:rPr>
        <w:t>il ait à juste titre imposé le fardeau de la preuve aux intimés, il n</w:t>
      </w:r>
      <w:r>
        <w:rPr>
          <w:rFonts w:cs="Times New Roman"/>
          <w:lang w:val="fr-CA"/>
        </w:rPr>
        <w:t>’</w:t>
      </w:r>
      <w:r w:rsidRPr="004826C0">
        <w:rPr>
          <w:rFonts w:cs="Times New Roman"/>
          <w:lang w:val="fr-CA"/>
        </w:rPr>
        <w:t>a pas apprécié correctement la pertinence des documents exigés. Tout particulièrement, il a confondu, dans le cadre d</w:t>
      </w:r>
      <w:r>
        <w:rPr>
          <w:rFonts w:cs="Times New Roman"/>
          <w:lang w:val="fr-CA"/>
        </w:rPr>
        <w:t>’</w:t>
      </w:r>
      <w:r w:rsidRPr="004826C0">
        <w:rPr>
          <w:rFonts w:cs="Times New Roman"/>
          <w:lang w:val="fr-CA"/>
        </w:rPr>
        <w:t xml:space="preserve">une demande de type </w:t>
      </w:r>
      <w:proofErr w:type="spellStart"/>
      <w:r w:rsidRPr="004826C0">
        <w:rPr>
          <w:rFonts w:cs="Times New Roman"/>
          <w:i/>
          <w:lang w:val="fr-CA"/>
        </w:rPr>
        <w:t>Garofoli</w:t>
      </w:r>
      <w:proofErr w:type="spellEnd"/>
      <w:r w:rsidRPr="004826C0">
        <w:rPr>
          <w:rFonts w:cs="Times New Roman"/>
          <w:lang w:val="fr-CA"/>
        </w:rPr>
        <w:t>, la connaissance du déposant et celle des enquêteurs.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En l</w:t>
      </w:r>
      <w:r>
        <w:rPr>
          <w:rFonts w:cs="Times New Roman"/>
          <w:lang w:val="fr-CA"/>
        </w:rPr>
        <w:t>’</w:t>
      </w:r>
      <w:r w:rsidRPr="004826C0">
        <w:rPr>
          <w:rFonts w:cs="Times New Roman"/>
          <w:lang w:val="fr-CA"/>
        </w:rPr>
        <w:t>espèce, cette distinction est cruciale. Si les documents demandés sont susceptibles de permettre d</w:t>
      </w:r>
      <w:r>
        <w:rPr>
          <w:rFonts w:cs="Times New Roman"/>
          <w:lang w:val="fr-CA"/>
        </w:rPr>
        <w:t>’</w:t>
      </w:r>
      <w:r w:rsidRPr="004826C0">
        <w:rPr>
          <w:rFonts w:cs="Times New Roman"/>
          <w:lang w:val="fr-CA"/>
        </w:rPr>
        <w:t>établir la véracité des affirmations contenues dans les affidavits (une question sur laquelle nous ne nous prononçons pas), il n</w:t>
      </w:r>
      <w:r>
        <w:rPr>
          <w:rFonts w:cs="Times New Roman"/>
          <w:lang w:val="fr-CA"/>
        </w:rPr>
        <w:t>’</w:t>
      </w:r>
      <w:r w:rsidRPr="004826C0">
        <w:rPr>
          <w:rFonts w:cs="Times New Roman"/>
          <w:lang w:val="fr-CA"/>
        </w:rPr>
        <w:t>est pas raisonnablement probable qu</w:t>
      </w:r>
      <w:r>
        <w:rPr>
          <w:rFonts w:cs="Times New Roman"/>
          <w:lang w:val="fr-CA"/>
        </w:rPr>
        <w:t>’</w:t>
      </w:r>
      <w:r w:rsidRPr="004826C0">
        <w:rPr>
          <w:rFonts w:cs="Times New Roman"/>
          <w:lang w:val="fr-CA"/>
        </w:rPr>
        <w:t>ils aient une valeur probante lorsqu</w:t>
      </w:r>
      <w:r>
        <w:rPr>
          <w:rFonts w:cs="Times New Roman"/>
          <w:lang w:val="fr-CA"/>
        </w:rPr>
        <w:t>’</w:t>
      </w:r>
      <w:r w:rsidRPr="004826C0">
        <w:rPr>
          <w:rFonts w:cs="Times New Roman"/>
          <w:lang w:val="fr-CA"/>
        </w:rPr>
        <w:t>il s</w:t>
      </w:r>
      <w:r>
        <w:rPr>
          <w:rFonts w:cs="Times New Roman"/>
          <w:lang w:val="fr-CA"/>
        </w:rPr>
        <w:t>’</w:t>
      </w:r>
      <w:r w:rsidRPr="004826C0">
        <w:rPr>
          <w:rFonts w:cs="Times New Roman"/>
          <w:lang w:val="fr-CA"/>
        </w:rPr>
        <w:t xml:space="preserve">agit de déterminer ce que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savait ou aurait dû savoir puisqu</w:t>
      </w:r>
      <w:r>
        <w:rPr>
          <w:rFonts w:cs="Times New Roman"/>
          <w:lang w:val="fr-CA"/>
        </w:rPr>
        <w:t>’</w:t>
      </w:r>
      <w:r w:rsidRPr="004826C0">
        <w:rPr>
          <w:rFonts w:cs="Times New Roman"/>
          <w:lang w:val="fr-CA"/>
        </w:rPr>
        <w:t>il ne les a pas consultés. Même si les documents devaient révéler des omissions ou erreurs importantes dans les affidavits, cette situation n</w:t>
      </w:r>
      <w:r>
        <w:rPr>
          <w:rFonts w:cs="Times New Roman"/>
          <w:lang w:val="fr-CA"/>
        </w:rPr>
        <w:t>’</w:t>
      </w:r>
      <w:r w:rsidRPr="004826C0">
        <w:rPr>
          <w:rFonts w:cs="Times New Roman"/>
          <w:lang w:val="fr-CA"/>
        </w:rPr>
        <w:t>annulerait pas les conditions préalables à la délivrance de l</w:t>
      </w:r>
      <w:r>
        <w:rPr>
          <w:rFonts w:cs="Times New Roman"/>
          <w:lang w:val="fr-CA"/>
        </w:rPr>
        <w:t>’</w:t>
      </w:r>
      <w:r w:rsidRPr="004826C0">
        <w:rPr>
          <w:rFonts w:cs="Times New Roman"/>
          <w:lang w:val="fr-CA"/>
        </w:rPr>
        <w:t xml:space="preserve">autorisation, à moins que les documents ne démontrent que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était au courant de l</w:t>
      </w:r>
      <w:r>
        <w:rPr>
          <w:rFonts w:cs="Times New Roman"/>
          <w:lang w:val="fr-CA"/>
        </w:rPr>
        <w:t>’</w:t>
      </w:r>
      <w:r w:rsidRPr="004826C0">
        <w:rPr>
          <w:rFonts w:cs="Times New Roman"/>
          <w:lang w:val="fr-CA"/>
        </w:rPr>
        <w:t>existence des erreurs ou omissions ou aurait raisonnablement dû l</w:t>
      </w:r>
      <w:r>
        <w:rPr>
          <w:rFonts w:cs="Times New Roman"/>
          <w:lang w:val="fr-CA"/>
        </w:rPr>
        <w:t>’</w:t>
      </w:r>
      <w:r w:rsidRPr="004826C0">
        <w:rPr>
          <w:rFonts w:cs="Times New Roman"/>
          <w:lang w:val="fr-CA"/>
        </w:rPr>
        <w:t>être.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 xml:space="preserve">Pour démontrer que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connaissait ou aurait raisonnablement dû connaître l</w:t>
      </w:r>
      <w:r>
        <w:rPr>
          <w:rFonts w:cs="Times New Roman"/>
          <w:lang w:val="fr-CA"/>
        </w:rPr>
        <w:t>’</w:t>
      </w:r>
      <w:r w:rsidRPr="004826C0">
        <w:rPr>
          <w:rFonts w:cs="Times New Roman"/>
          <w:lang w:val="fr-CA"/>
        </w:rPr>
        <w:t>existence des renseignements consignés dans les documents, les intimés doivent démontrer qu</w:t>
      </w:r>
      <w:r>
        <w:rPr>
          <w:rFonts w:cs="Times New Roman"/>
          <w:lang w:val="fr-CA"/>
        </w:rPr>
        <w:t>’</w:t>
      </w:r>
      <w:r w:rsidRPr="004826C0">
        <w:rPr>
          <w:rFonts w:cs="Times New Roman"/>
          <w:lang w:val="fr-CA"/>
        </w:rPr>
        <w:t>il était déraisonnable de sa part de se fier aux renseignements qu</w:t>
      </w:r>
      <w:r>
        <w:rPr>
          <w:rFonts w:cs="Times New Roman"/>
          <w:lang w:val="fr-CA"/>
        </w:rPr>
        <w:t>’</w:t>
      </w:r>
      <w:r w:rsidRPr="004826C0">
        <w:rPr>
          <w:rFonts w:cs="Times New Roman"/>
          <w:lang w:val="fr-CA"/>
        </w:rPr>
        <w:t>il avait reçus de l</w:t>
      </w:r>
      <w:r>
        <w:rPr>
          <w:rFonts w:cs="Times New Roman"/>
          <w:lang w:val="fr-CA"/>
        </w:rPr>
        <w:t>’</w:t>
      </w:r>
      <w:r w:rsidRPr="004826C0">
        <w:rPr>
          <w:rFonts w:cs="Times New Roman"/>
          <w:lang w:val="fr-CA"/>
        </w:rPr>
        <w:t>INT et d</w:t>
      </w:r>
      <w:r>
        <w:rPr>
          <w:rFonts w:cs="Times New Roman"/>
          <w:lang w:val="fr-CA"/>
        </w:rPr>
        <w:t>’</w:t>
      </w:r>
      <w:r w:rsidRPr="004826C0">
        <w:rPr>
          <w:rFonts w:cs="Times New Roman"/>
          <w:lang w:val="fr-CA"/>
        </w:rPr>
        <w:t>autres agents. Les intimés ne l</w:t>
      </w:r>
      <w:r>
        <w:rPr>
          <w:rFonts w:cs="Times New Roman"/>
          <w:lang w:val="fr-CA"/>
        </w:rPr>
        <w:t>’</w:t>
      </w:r>
      <w:r w:rsidRPr="004826C0">
        <w:rPr>
          <w:rFonts w:cs="Times New Roman"/>
          <w:lang w:val="fr-CA"/>
        </w:rPr>
        <w:t>ont pas fait. Le Groupe a fait preuve de franchise et de coopération envers la GRC. L</w:t>
      </w:r>
      <w:r>
        <w:rPr>
          <w:rFonts w:cs="Times New Roman"/>
          <w:lang w:val="fr-CA"/>
        </w:rPr>
        <w:t>’</w:t>
      </w:r>
      <w:r w:rsidRPr="004826C0">
        <w:rPr>
          <w:rFonts w:cs="Times New Roman"/>
          <w:lang w:val="fr-CA"/>
        </w:rPr>
        <w:t>INT a transmis ce qu</w:t>
      </w:r>
      <w:r>
        <w:rPr>
          <w:rFonts w:cs="Times New Roman"/>
          <w:lang w:val="fr-CA"/>
        </w:rPr>
        <w:t>’</w:t>
      </w:r>
      <w:r w:rsidRPr="004826C0">
        <w:rPr>
          <w:rFonts w:cs="Times New Roman"/>
          <w:lang w:val="fr-CA"/>
        </w:rPr>
        <w:t>elle savait au sujet des informateurs, y compris ses préoccupations quant à leur crédibilité et les raisons pour lesquelles ils demandaient à conserver l</w:t>
      </w:r>
      <w:r>
        <w:rPr>
          <w:rFonts w:cs="Times New Roman"/>
          <w:lang w:val="fr-CA"/>
        </w:rPr>
        <w:t>’</w:t>
      </w:r>
      <w:r w:rsidRPr="004826C0">
        <w:rPr>
          <w:rFonts w:cs="Times New Roman"/>
          <w:lang w:val="fr-CA"/>
        </w:rPr>
        <w:t>anonymat, si elles étaient connues.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En outre, M. </w:t>
      </w:r>
      <w:proofErr w:type="spellStart"/>
      <w:r w:rsidRPr="004826C0">
        <w:rPr>
          <w:rFonts w:cs="Times New Roman"/>
          <w:lang w:val="fr-CA"/>
        </w:rPr>
        <w:t>Haynes</w:t>
      </w:r>
      <w:proofErr w:type="spellEnd"/>
      <w:r w:rsidRPr="004826C0">
        <w:rPr>
          <w:rFonts w:cs="Times New Roman"/>
          <w:lang w:val="fr-CA"/>
        </w:rPr>
        <w:t xml:space="preserve"> est un enquêteur professionnel au sein d</w:t>
      </w:r>
      <w:r>
        <w:rPr>
          <w:rFonts w:cs="Times New Roman"/>
          <w:lang w:val="fr-CA"/>
        </w:rPr>
        <w:t>’</w:t>
      </w:r>
      <w:r w:rsidRPr="004826C0">
        <w:rPr>
          <w:rFonts w:cs="Times New Roman"/>
          <w:lang w:val="fr-CA"/>
        </w:rPr>
        <w:t>une organisation internationale réputée. Comme la GRC, l</w:t>
      </w:r>
      <w:r>
        <w:rPr>
          <w:rFonts w:cs="Times New Roman"/>
          <w:lang w:val="fr-CA"/>
        </w:rPr>
        <w:t>’</w:t>
      </w:r>
      <w:r w:rsidRPr="004826C0">
        <w:rPr>
          <w:rFonts w:cs="Times New Roman"/>
          <w:lang w:val="fr-CA"/>
        </w:rPr>
        <w:t>INT s</w:t>
      </w:r>
      <w:r>
        <w:rPr>
          <w:rFonts w:cs="Times New Roman"/>
          <w:lang w:val="fr-CA"/>
        </w:rPr>
        <w:t>’</w:t>
      </w:r>
      <w:r w:rsidRPr="004826C0">
        <w:rPr>
          <w:rFonts w:cs="Times New Roman"/>
          <w:lang w:val="fr-CA"/>
        </w:rPr>
        <w:t xml:space="preserve">efforçait de découvrir la part de vérité dans les affirmations des informateurs. Dans ces circonstances,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n</w:t>
      </w:r>
      <w:r>
        <w:rPr>
          <w:rFonts w:cs="Times New Roman"/>
          <w:lang w:val="fr-CA"/>
        </w:rPr>
        <w:t>’</w:t>
      </w:r>
      <w:r w:rsidRPr="004826C0">
        <w:rPr>
          <w:rFonts w:cs="Times New Roman"/>
          <w:lang w:val="fr-CA"/>
        </w:rPr>
        <w:t>avait pas à comparer ses renseignements aux échanges originaux entre les informateurs et l</w:t>
      </w:r>
      <w:r>
        <w:rPr>
          <w:rFonts w:cs="Times New Roman"/>
          <w:lang w:val="fr-CA"/>
        </w:rPr>
        <w:t>’</w:t>
      </w:r>
      <w:r w:rsidRPr="004826C0">
        <w:rPr>
          <w:rFonts w:cs="Times New Roman"/>
          <w:lang w:val="fr-CA"/>
        </w:rPr>
        <w:t>INT — quoiqu</w:t>
      </w:r>
      <w:r>
        <w:rPr>
          <w:rFonts w:cs="Times New Roman"/>
          <w:lang w:val="fr-CA"/>
        </w:rPr>
        <w:t>’</w:t>
      </w:r>
      <w:r w:rsidRPr="004826C0">
        <w:rPr>
          <w:rFonts w:cs="Times New Roman"/>
          <w:lang w:val="fr-CA"/>
        </w:rPr>
        <w:t>il en ait, dans les faits, consulté plusieurs. Il a également fourni son projet d</w:t>
      </w:r>
      <w:r>
        <w:rPr>
          <w:rFonts w:cs="Times New Roman"/>
          <w:lang w:val="fr-CA"/>
        </w:rPr>
        <w:t>’</w:t>
      </w:r>
      <w:r w:rsidRPr="004826C0">
        <w:rPr>
          <w:rFonts w:cs="Times New Roman"/>
          <w:lang w:val="fr-CA"/>
        </w:rPr>
        <w:t>affidavit à M. </w:t>
      </w:r>
      <w:proofErr w:type="spellStart"/>
      <w:r w:rsidRPr="004826C0">
        <w:rPr>
          <w:rFonts w:cs="Times New Roman"/>
          <w:lang w:val="fr-CA"/>
        </w:rPr>
        <w:t>Haynes</w:t>
      </w:r>
      <w:proofErr w:type="spellEnd"/>
      <w:r w:rsidRPr="004826C0">
        <w:rPr>
          <w:rFonts w:cs="Times New Roman"/>
          <w:lang w:val="fr-CA"/>
        </w:rPr>
        <w:t>, qui a vérifié s</w:t>
      </w:r>
      <w:r>
        <w:rPr>
          <w:rFonts w:cs="Times New Roman"/>
          <w:lang w:val="fr-CA"/>
        </w:rPr>
        <w:t>’</w:t>
      </w:r>
      <w:r w:rsidRPr="004826C0">
        <w:rPr>
          <w:rFonts w:cs="Times New Roman"/>
          <w:lang w:val="fr-CA"/>
        </w:rPr>
        <w:t>il était exact et complet et si l</w:t>
      </w:r>
      <w:r>
        <w:rPr>
          <w:rFonts w:cs="Times New Roman"/>
          <w:lang w:val="fr-CA"/>
        </w:rPr>
        <w:t>’</w:t>
      </w:r>
      <w:r w:rsidRPr="004826C0">
        <w:rPr>
          <w:rFonts w:cs="Times New Roman"/>
          <w:lang w:val="fr-CA"/>
        </w:rPr>
        <w:t xml:space="preserve">identité des sources était protégée, et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n</w:t>
      </w:r>
      <w:r>
        <w:rPr>
          <w:rFonts w:cs="Times New Roman"/>
          <w:lang w:val="fr-CA"/>
        </w:rPr>
        <w:t>’</w:t>
      </w:r>
      <w:r w:rsidRPr="004826C0">
        <w:rPr>
          <w:rFonts w:cs="Times New Roman"/>
          <w:lang w:val="fr-CA"/>
        </w:rPr>
        <w:t>avait aucune raison de douter de son intégrité.</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La position de M. </w:t>
      </w:r>
      <w:proofErr w:type="spellStart"/>
      <w:r w:rsidRPr="004826C0">
        <w:rPr>
          <w:rFonts w:cs="Times New Roman"/>
          <w:lang w:val="fr-CA"/>
        </w:rPr>
        <w:t>Haynes</w:t>
      </w:r>
      <w:proofErr w:type="spellEnd"/>
      <w:r w:rsidRPr="004826C0">
        <w:rPr>
          <w:rFonts w:cs="Times New Roman"/>
          <w:lang w:val="fr-CA"/>
        </w:rPr>
        <w:t xml:space="preserve"> en l</w:t>
      </w:r>
      <w:r>
        <w:rPr>
          <w:rFonts w:cs="Times New Roman"/>
          <w:lang w:val="fr-CA"/>
        </w:rPr>
        <w:t>’</w:t>
      </w:r>
      <w:r w:rsidRPr="004826C0">
        <w:rPr>
          <w:rFonts w:cs="Times New Roman"/>
          <w:lang w:val="fr-CA"/>
        </w:rPr>
        <w:t>espèce s</w:t>
      </w:r>
      <w:r>
        <w:rPr>
          <w:rFonts w:cs="Times New Roman"/>
          <w:lang w:val="fr-CA"/>
        </w:rPr>
        <w:t>’</w:t>
      </w:r>
      <w:r w:rsidRPr="004826C0">
        <w:rPr>
          <w:rFonts w:cs="Times New Roman"/>
          <w:lang w:val="fr-CA"/>
        </w:rPr>
        <w:t>apparente à celle d</w:t>
      </w:r>
      <w:r>
        <w:rPr>
          <w:rFonts w:cs="Times New Roman"/>
          <w:lang w:val="fr-CA"/>
        </w:rPr>
        <w:t>’</w:t>
      </w:r>
      <w:r w:rsidRPr="004826C0">
        <w:rPr>
          <w:rFonts w:cs="Times New Roman"/>
          <w:lang w:val="fr-CA"/>
        </w:rPr>
        <w:t>un agent traitant, l</w:t>
      </w:r>
      <w:r>
        <w:rPr>
          <w:rFonts w:cs="Times New Roman"/>
          <w:lang w:val="fr-CA"/>
        </w:rPr>
        <w:t>’</w:t>
      </w:r>
      <w:r w:rsidRPr="004826C0">
        <w:rPr>
          <w:rFonts w:cs="Times New Roman"/>
          <w:lang w:val="fr-CA"/>
        </w:rPr>
        <w:t>intermédiaire entre le déposant ou l</w:t>
      </w:r>
      <w:r>
        <w:rPr>
          <w:rFonts w:cs="Times New Roman"/>
          <w:lang w:val="fr-CA"/>
        </w:rPr>
        <w:t>’</w:t>
      </w:r>
      <w:r w:rsidRPr="004826C0">
        <w:rPr>
          <w:rFonts w:cs="Times New Roman"/>
          <w:lang w:val="fr-CA"/>
        </w:rPr>
        <w:t>enquêteur et l</w:t>
      </w:r>
      <w:r>
        <w:rPr>
          <w:rFonts w:cs="Times New Roman"/>
          <w:lang w:val="fr-CA"/>
        </w:rPr>
        <w:t>’</w:t>
      </w:r>
      <w:r w:rsidRPr="004826C0">
        <w:rPr>
          <w:rFonts w:cs="Times New Roman"/>
          <w:lang w:val="fr-CA"/>
        </w:rPr>
        <w:t>informateur. Les tribunaux d</w:t>
      </w:r>
      <w:r>
        <w:rPr>
          <w:rFonts w:cs="Times New Roman"/>
          <w:lang w:val="fr-CA"/>
        </w:rPr>
        <w:t>’</w:t>
      </w:r>
      <w:r w:rsidRPr="004826C0">
        <w:rPr>
          <w:rFonts w:cs="Times New Roman"/>
          <w:lang w:val="fr-CA"/>
        </w:rPr>
        <w:t>instance inférieure ont maintes fois refusé de reconnaître l</w:t>
      </w:r>
      <w:r>
        <w:rPr>
          <w:rFonts w:cs="Times New Roman"/>
          <w:lang w:val="fr-CA"/>
        </w:rPr>
        <w:t>’</w:t>
      </w:r>
      <w:r w:rsidRPr="004826C0">
        <w:rPr>
          <w:rFonts w:cs="Times New Roman"/>
          <w:lang w:val="fr-CA"/>
        </w:rPr>
        <w:t>obligation pour le déposant de consulter directement les informateurs ou les notes de l</w:t>
      </w:r>
      <w:r>
        <w:rPr>
          <w:rFonts w:cs="Times New Roman"/>
          <w:lang w:val="fr-CA"/>
        </w:rPr>
        <w:t>’</w:t>
      </w:r>
      <w:r w:rsidRPr="004826C0">
        <w:rPr>
          <w:rFonts w:cs="Times New Roman"/>
          <w:lang w:val="fr-CA"/>
        </w:rPr>
        <w:t>agent traitant ou de vérifier les renseignements qui lui ont été communiqués par d</w:t>
      </w:r>
      <w:r>
        <w:rPr>
          <w:rFonts w:cs="Times New Roman"/>
          <w:lang w:val="fr-CA"/>
        </w:rPr>
        <w:t>’</w:t>
      </w:r>
      <w:r w:rsidRPr="004826C0">
        <w:rPr>
          <w:rFonts w:cs="Times New Roman"/>
          <w:lang w:val="fr-CA"/>
        </w:rPr>
        <w:t xml:space="preserve">autres agents (voir </w:t>
      </w:r>
      <w:r w:rsidR="00EC49E7">
        <w:rPr>
          <w:rFonts w:cs="Times New Roman"/>
          <w:lang w:val="fr-CA"/>
        </w:rPr>
        <w:t xml:space="preserve">p. ex. </w:t>
      </w:r>
      <w:proofErr w:type="spellStart"/>
      <w:r w:rsidRPr="004826C0">
        <w:rPr>
          <w:rFonts w:cs="Times New Roman"/>
          <w:i/>
          <w:lang w:val="fr-CA"/>
        </w:rPr>
        <w:t>Croft</w:t>
      </w:r>
      <w:proofErr w:type="spellEnd"/>
      <w:r w:rsidRPr="004826C0">
        <w:rPr>
          <w:rFonts w:cs="Times New Roman"/>
          <w:lang w:val="fr-CA"/>
        </w:rPr>
        <w:t xml:space="preserve">; </w:t>
      </w:r>
      <w:r w:rsidRPr="004826C0">
        <w:rPr>
          <w:rFonts w:cs="Times New Roman"/>
          <w:i/>
          <w:lang w:val="fr-CA"/>
        </w:rPr>
        <w:t>Ahmed</w:t>
      </w:r>
      <w:r w:rsidRPr="004826C0">
        <w:rPr>
          <w:rFonts w:cs="Times New Roman"/>
          <w:lang w:val="fr-CA"/>
        </w:rPr>
        <w:t xml:space="preserve">; </w:t>
      </w:r>
      <w:r w:rsidRPr="004826C0">
        <w:rPr>
          <w:rFonts w:cs="Times New Roman"/>
          <w:i/>
          <w:lang w:val="fr-CA"/>
        </w:rPr>
        <w:t>Ali</w:t>
      </w:r>
      <w:r w:rsidRPr="004826C0">
        <w:rPr>
          <w:rFonts w:cs="Times New Roman"/>
          <w:lang w:val="fr-CA"/>
        </w:rPr>
        <w:t>). Certes, le déposant ne doit pas, sciemment ou par aveuglement volontaire, se laisser induire en erreur par l</w:t>
      </w:r>
      <w:r>
        <w:rPr>
          <w:rFonts w:cs="Times New Roman"/>
          <w:lang w:val="fr-CA"/>
        </w:rPr>
        <w:t>’</w:t>
      </w:r>
      <w:r w:rsidRPr="004826C0">
        <w:rPr>
          <w:rFonts w:cs="Times New Roman"/>
          <w:lang w:val="fr-CA"/>
        </w:rPr>
        <w:t>agent traitant ou un autre agent. Or, il ne semble y avoir aucune divergence ou erreur susceptible d</w:t>
      </w:r>
      <w:r>
        <w:rPr>
          <w:rFonts w:cs="Times New Roman"/>
          <w:lang w:val="fr-CA"/>
        </w:rPr>
        <w:t>’</w:t>
      </w:r>
      <w:r w:rsidRPr="004826C0">
        <w:rPr>
          <w:rFonts w:cs="Times New Roman"/>
          <w:lang w:val="fr-CA"/>
        </w:rPr>
        <w:t>avoir « mis la puce à l</w:t>
      </w:r>
      <w:r>
        <w:rPr>
          <w:rFonts w:cs="Times New Roman"/>
          <w:lang w:val="fr-CA"/>
        </w:rPr>
        <w:t>’</w:t>
      </w:r>
      <w:r w:rsidRPr="004826C0">
        <w:rPr>
          <w:rFonts w:cs="Times New Roman"/>
          <w:lang w:val="fr-CA"/>
        </w:rPr>
        <w:t xml:space="preserve">oreille » du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et incité ce dernier à pousser l</w:t>
      </w:r>
      <w:r>
        <w:rPr>
          <w:rFonts w:cs="Times New Roman"/>
          <w:lang w:val="fr-CA"/>
        </w:rPr>
        <w:t>’</w:t>
      </w:r>
      <w:r w:rsidRPr="004826C0">
        <w:rPr>
          <w:rFonts w:cs="Times New Roman"/>
          <w:lang w:val="fr-CA"/>
        </w:rPr>
        <w:t>enquête.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 xml:space="preserve">Un seul ensemble de documents parmi ceux qui sont sollicités serait à même de démontrer ce que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savait : les notes de M. </w:t>
      </w:r>
      <w:proofErr w:type="spellStart"/>
      <w:r w:rsidRPr="004826C0">
        <w:rPr>
          <w:rFonts w:cs="Times New Roman"/>
          <w:lang w:val="fr-CA"/>
        </w:rPr>
        <w:t>Haynes</w:t>
      </w:r>
      <w:proofErr w:type="spellEnd"/>
      <w:r w:rsidRPr="004826C0">
        <w:rPr>
          <w:rFonts w:cs="Times New Roman"/>
          <w:lang w:val="fr-CA"/>
        </w:rPr>
        <w:t xml:space="preserve"> sur les conversations qu</w:t>
      </w:r>
      <w:r>
        <w:rPr>
          <w:rFonts w:cs="Times New Roman"/>
          <w:lang w:val="fr-CA"/>
        </w:rPr>
        <w:t>’</w:t>
      </w:r>
      <w:r w:rsidRPr="004826C0">
        <w:rPr>
          <w:rFonts w:cs="Times New Roman"/>
          <w:lang w:val="fr-CA"/>
        </w:rPr>
        <w:t>il a eues avec lui. Or, le dossier ne dit pas si M. </w:t>
      </w:r>
      <w:proofErr w:type="spellStart"/>
      <w:r w:rsidRPr="004826C0">
        <w:rPr>
          <w:rFonts w:cs="Times New Roman"/>
          <w:lang w:val="fr-CA"/>
        </w:rPr>
        <w:t>Haynes</w:t>
      </w:r>
      <w:proofErr w:type="spellEnd"/>
      <w:r w:rsidRPr="004826C0">
        <w:rPr>
          <w:rFonts w:cs="Times New Roman"/>
          <w:lang w:val="fr-CA"/>
        </w:rPr>
        <w:t xml:space="preserve"> a pris de telles notes. Il n</w:t>
      </w:r>
      <w:r>
        <w:rPr>
          <w:rFonts w:cs="Times New Roman"/>
          <w:lang w:val="fr-CA"/>
        </w:rPr>
        <w:t>’</w:t>
      </w:r>
      <w:r w:rsidRPr="004826C0">
        <w:rPr>
          <w:rFonts w:cs="Times New Roman"/>
          <w:lang w:val="fr-CA"/>
        </w:rPr>
        <w:t>en demeure pas moins que les intimés se sont vu divulguer une documentation volumineuse, dont tous les documents en la possession de la Couronne dont la divulgation est exigée en application de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Il n</w:t>
      </w:r>
      <w:r>
        <w:rPr>
          <w:rFonts w:cs="Times New Roman"/>
          <w:lang w:val="fr-CA"/>
        </w:rPr>
        <w:t>’</w:t>
      </w:r>
      <w:r w:rsidRPr="004826C0">
        <w:rPr>
          <w:rFonts w:cs="Times New Roman"/>
          <w:lang w:val="fr-CA"/>
        </w:rPr>
        <w:t>est pas inéquitable d</w:t>
      </w:r>
      <w:r>
        <w:rPr>
          <w:rFonts w:cs="Times New Roman"/>
          <w:lang w:val="fr-CA"/>
        </w:rPr>
        <w:t>’</w:t>
      </w:r>
      <w:r w:rsidRPr="004826C0">
        <w:rPr>
          <w:rFonts w:cs="Times New Roman"/>
          <w:lang w:val="fr-CA"/>
        </w:rPr>
        <w:t>exiger qu</w:t>
      </w:r>
      <w:r>
        <w:rPr>
          <w:rFonts w:cs="Times New Roman"/>
          <w:lang w:val="fr-CA"/>
        </w:rPr>
        <w:t>’</w:t>
      </w:r>
      <w:r w:rsidRPr="004826C0">
        <w:rPr>
          <w:rFonts w:cs="Times New Roman"/>
          <w:lang w:val="fr-CA"/>
        </w:rPr>
        <w:t>ils démontrent la pertinence de leurs demandes à partir des renseignements qu</w:t>
      </w:r>
      <w:r>
        <w:rPr>
          <w:rFonts w:cs="Times New Roman"/>
          <w:lang w:val="fr-CA"/>
        </w:rPr>
        <w:t>’</w:t>
      </w:r>
      <w:r w:rsidRPr="004826C0">
        <w:rPr>
          <w:rFonts w:cs="Times New Roman"/>
          <w:lang w:val="fr-CA"/>
        </w:rPr>
        <w:t>ils possèdent déjà, à savoir :</w:t>
      </w:r>
    </w:p>
    <w:p w:rsidR="002405E3" w:rsidRPr="004826C0" w:rsidRDefault="002405E3" w:rsidP="003C0B54">
      <w:pPr>
        <w:pStyle w:val="Citation-AltC"/>
        <w:widowControl w:val="0"/>
        <w:numPr>
          <w:ilvl w:val="0"/>
          <w:numId w:val="12"/>
        </w:numPr>
        <w:spacing w:after="480" w:line="480" w:lineRule="auto"/>
        <w:ind w:left="0" w:firstLine="0"/>
        <w:contextualSpacing w:val="0"/>
        <w:rPr>
          <w:lang w:val="fr-CA"/>
        </w:rPr>
      </w:pPr>
      <w:r w:rsidRPr="004826C0">
        <w:rPr>
          <w:lang w:val="fr-CA"/>
        </w:rPr>
        <w:t>les copies caviardées des affidavits à l</w:t>
      </w:r>
      <w:r>
        <w:rPr>
          <w:lang w:val="fr-CA"/>
        </w:rPr>
        <w:t>’</w:t>
      </w:r>
      <w:r w:rsidRPr="004826C0">
        <w:rPr>
          <w:lang w:val="fr-CA"/>
        </w:rPr>
        <w:t>appui des dénonciations en vue d</w:t>
      </w:r>
      <w:r>
        <w:rPr>
          <w:lang w:val="fr-CA"/>
        </w:rPr>
        <w:t>’</w:t>
      </w:r>
      <w:r w:rsidRPr="004826C0">
        <w:rPr>
          <w:lang w:val="fr-CA"/>
        </w:rPr>
        <w:t>obtenir l</w:t>
      </w:r>
      <w:r>
        <w:rPr>
          <w:lang w:val="fr-CA"/>
        </w:rPr>
        <w:t>’</w:t>
      </w:r>
      <w:r w:rsidRPr="004826C0">
        <w:rPr>
          <w:lang w:val="fr-CA"/>
        </w:rPr>
        <w:t>autorisation d</w:t>
      </w:r>
      <w:r>
        <w:rPr>
          <w:lang w:val="fr-CA"/>
        </w:rPr>
        <w:t>’</w:t>
      </w:r>
      <w:r w:rsidRPr="004826C0">
        <w:rPr>
          <w:lang w:val="fr-CA"/>
        </w:rPr>
        <w:t>écoute électronique et les mandats de perquisition;</w:t>
      </w:r>
    </w:p>
    <w:p w:rsidR="002405E3" w:rsidRPr="004826C0" w:rsidRDefault="002405E3" w:rsidP="003C0B54">
      <w:pPr>
        <w:pStyle w:val="Citation-AltC"/>
        <w:widowControl w:val="0"/>
        <w:numPr>
          <w:ilvl w:val="0"/>
          <w:numId w:val="12"/>
        </w:numPr>
        <w:spacing w:after="480" w:line="480" w:lineRule="auto"/>
        <w:ind w:left="0" w:firstLine="0"/>
        <w:contextualSpacing w:val="0"/>
        <w:rPr>
          <w:lang w:val="fr-CA"/>
        </w:rPr>
      </w:pPr>
      <w:r w:rsidRPr="004826C0">
        <w:rPr>
          <w:lang w:val="fr-CA"/>
        </w:rPr>
        <w:t>l</w:t>
      </w:r>
      <w:r>
        <w:rPr>
          <w:lang w:val="fr-CA"/>
        </w:rPr>
        <w:t>’</w:t>
      </w:r>
      <w:r w:rsidRPr="004826C0">
        <w:rPr>
          <w:lang w:val="fr-CA"/>
        </w:rPr>
        <w:t>ébauche de l</w:t>
      </w:r>
      <w:r>
        <w:rPr>
          <w:lang w:val="fr-CA"/>
        </w:rPr>
        <w:t>’</w:t>
      </w:r>
      <w:r w:rsidRPr="004826C0">
        <w:rPr>
          <w:lang w:val="fr-CA"/>
        </w:rPr>
        <w:t>affidavit à l</w:t>
      </w:r>
      <w:r>
        <w:rPr>
          <w:lang w:val="fr-CA"/>
        </w:rPr>
        <w:t>’</w:t>
      </w:r>
      <w:r w:rsidRPr="004826C0">
        <w:rPr>
          <w:lang w:val="fr-CA"/>
        </w:rPr>
        <w:t>appui de la première dénonciation en vue d</w:t>
      </w:r>
      <w:r>
        <w:rPr>
          <w:lang w:val="fr-CA"/>
        </w:rPr>
        <w:t>’</w:t>
      </w:r>
      <w:r w:rsidRPr="004826C0">
        <w:rPr>
          <w:lang w:val="fr-CA"/>
        </w:rPr>
        <w:t>obtenir l</w:t>
      </w:r>
      <w:r>
        <w:rPr>
          <w:lang w:val="fr-CA"/>
        </w:rPr>
        <w:t>’</w:t>
      </w:r>
      <w:r w:rsidRPr="004826C0">
        <w:rPr>
          <w:lang w:val="fr-CA"/>
        </w:rPr>
        <w:t>autorisation d</w:t>
      </w:r>
      <w:r>
        <w:rPr>
          <w:lang w:val="fr-CA"/>
        </w:rPr>
        <w:t>’</w:t>
      </w:r>
      <w:r w:rsidRPr="004826C0">
        <w:rPr>
          <w:lang w:val="fr-CA"/>
        </w:rPr>
        <w:t>écoute électronique;</w:t>
      </w:r>
    </w:p>
    <w:p w:rsidR="002405E3" w:rsidRPr="004826C0" w:rsidRDefault="002405E3" w:rsidP="003C0B54">
      <w:pPr>
        <w:pStyle w:val="Citation-AltC"/>
        <w:widowControl w:val="0"/>
        <w:numPr>
          <w:ilvl w:val="0"/>
          <w:numId w:val="12"/>
        </w:numPr>
        <w:spacing w:after="480" w:line="480" w:lineRule="auto"/>
        <w:ind w:left="0" w:firstLine="0"/>
        <w:contextualSpacing w:val="0"/>
        <w:rPr>
          <w:lang w:val="fr-CA"/>
        </w:rPr>
      </w:pPr>
      <w:r w:rsidRPr="004826C0">
        <w:rPr>
          <w:lang w:val="fr-CA"/>
        </w:rPr>
        <w:t>tous les documents dont disposaient les juges qui ont accordé les autorisations;</w:t>
      </w:r>
    </w:p>
    <w:p w:rsidR="002405E3" w:rsidRPr="004826C0" w:rsidRDefault="002405E3" w:rsidP="003C0B54">
      <w:pPr>
        <w:pStyle w:val="Citation-AltC"/>
        <w:widowControl w:val="0"/>
        <w:numPr>
          <w:ilvl w:val="0"/>
          <w:numId w:val="12"/>
        </w:numPr>
        <w:spacing w:after="480" w:line="480" w:lineRule="auto"/>
        <w:ind w:left="0" w:firstLine="0"/>
        <w:contextualSpacing w:val="0"/>
        <w:rPr>
          <w:lang w:val="fr-CA"/>
        </w:rPr>
      </w:pPr>
      <w:r w:rsidRPr="004826C0">
        <w:rPr>
          <w:lang w:val="fr-CA"/>
        </w:rPr>
        <w:t>les notes prises par tous les enquêteurs principaux de la GRC, dont celles de l</w:t>
      </w:r>
      <w:r>
        <w:rPr>
          <w:lang w:val="fr-CA"/>
        </w:rPr>
        <w:t>’</w:t>
      </w:r>
      <w:r w:rsidRPr="004826C0">
        <w:rPr>
          <w:lang w:val="fr-CA"/>
        </w:rPr>
        <w:t>enquêteur principal, le sergent</w:t>
      </w:r>
      <w:r w:rsidRPr="004826C0">
        <w:rPr>
          <w:lang w:val="fr-CA"/>
        </w:rPr>
        <w:noBreakHyphen/>
        <w:t>chef Bédard;</w:t>
      </w:r>
    </w:p>
    <w:p w:rsidR="002405E3" w:rsidRPr="004826C0" w:rsidRDefault="002405E3" w:rsidP="003C0B54">
      <w:pPr>
        <w:pStyle w:val="Citation-AltC"/>
        <w:widowControl w:val="0"/>
        <w:numPr>
          <w:ilvl w:val="0"/>
          <w:numId w:val="12"/>
        </w:numPr>
        <w:spacing w:after="480" w:line="480" w:lineRule="auto"/>
        <w:ind w:left="0" w:firstLine="0"/>
        <w:contextualSpacing w:val="0"/>
        <w:rPr>
          <w:lang w:val="fr-CA"/>
        </w:rPr>
      </w:pPr>
      <w:r w:rsidRPr="004826C0">
        <w:rPr>
          <w:lang w:val="fr-CA"/>
        </w:rPr>
        <w:t>quarante rapports de liaison échangés par l</w:t>
      </w:r>
      <w:r>
        <w:rPr>
          <w:lang w:val="fr-CA"/>
        </w:rPr>
        <w:t>’</w:t>
      </w:r>
      <w:r w:rsidRPr="004826C0">
        <w:rPr>
          <w:lang w:val="fr-CA"/>
        </w:rPr>
        <w:t>INT et la GRC entre l</w:t>
      </w:r>
      <w:r>
        <w:rPr>
          <w:lang w:val="fr-CA"/>
        </w:rPr>
        <w:t xml:space="preserve">e 31 mars 2011 et le 27 janvier </w:t>
      </w:r>
      <w:r w:rsidR="00A411DF">
        <w:rPr>
          <w:lang w:val="fr-CA"/>
        </w:rPr>
        <w:t xml:space="preserve">2012, dont </w:t>
      </w:r>
      <w:r w:rsidRPr="004826C0">
        <w:rPr>
          <w:lang w:val="fr-CA"/>
        </w:rPr>
        <w:t>33 qui contenaient des renseignements sur les sources;</w:t>
      </w:r>
    </w:p>
    <w:p w:rsidR="002405E3" w:rsidRPr="004826C0" w:rsidRDefault="002405E3" w:rsidP="003C0B54">
      <w:pPr>
        <w:pStyle w:val="Citation-AltC"/>
        <w:widowControl w:val="0"/>
        <w:numPr>
          <w:ilvl w:val="0"/>
          <w:numId w:val="12"/>
        </w:numPr>
        <w:spacing w:after="480" w:line="480" w:lineRule="auto"/>
        <w:ind w:left="0" w:firstLine="0"/>
        <w:contextualSpacing w:val="0"/>
        <w:rPr>
          <w:lang w:val="fr-CA"/>
        </w:rPr>
      </w:pPr>
      <w:r w:rsidRPr="004826C0">
        <w:rPr>
          <w:lang w:val="fr-CA"/>
        </w:rPr>
        <w:t>les transcriptions et les bandes sonores originales de toutes les communications interceptées pertinentes;</w:t>
      </w:r>
    </w:p>
    <w:p w:rsidR="002405E3" w:rsidRPr="004826C0" w:rsidRDefault="002405E3" w:rsidP="003C0B54">
      <w:pPr>
        <w:pStyle w:val="Citation-AltC"/>
        <w:widowControl w:val="0"/>
        <w:numPr>
          <w:ilvl w:val="0"/>
          <w:numId w:val="12"/>
        </w:numPr>
        <w:spacing w:after="480" w:line="480" w:lineRule="auto"/>
        <w:ind w:left="0" w:firstLine="0"/>
        <w:contextualSpacing w:val="0"/>
        <w:rPr>
          <w:lang w:val="fr-CA"/>
        </w:rPr>
      </w:pPr>
      <w:r w:rsidRPr="004826C0">
        <w:rPr>
          <w:lang w:val="fr-CA"/>
        </w:rPr>
        <w:t>plus d</w:t>
      </w:r>
      <w:r>
        <w:rPr>
          <w:lang w:val="fr-CA"/>
        </w:rPr>
        <w:t>’</w:t>
      </w:r>
      <w:r w:rsidRPr="004826C0">
        <w:rPr>
          <w:lang w:val="fr-CA"/>
        </w:rPr>
        <w:t>un million d</w:t>
      </w:r>
      <w:r>
        <w:rPr>
          <w:lang w:val="fr-CA"/>
        </w:rPr>
        <w:t>’</w:t>
      </w:r>
      <w:r w:rsidRPr="004826C0">
        <w:rPr>
          <w:lang w:val="fr-CA"/>
        </w:rPr>
        <w:t>articles saisis au cours des perquisitions dans les bureaux de SNC</w:t>
      </w:r>
      <w:r w:rsidRPr="004826C0">
        <w:rPr>
          <w:lang w:val="fr-CA"/>
        </w:rPr>
        <w:noBreakHyphen/>
      </w:r>
      <w:proofErr w:type="spellStart"/>
      <w:r>
        <w:rPr>
          <w:lang w:val="fr-CA"/>
        </w:rPr>
        <w:t>Lavalin</w:t>
      </w:r>
      <w:proofErr w:type="spellEnd"/>
      <w:r>
        <w:rPr>
          <w:lang w:val="fr-CA"/>
        </w:rPr>
        <w:t>, dont 2 332 </w:t>
      </w:r>
      <w:r w:rsidRPr="004826C0">
        <w:rPr>
          <w:lang w:val="fr-CA"/>
        </w:rPr>
        <w:t>documents susceptibles d</w:t>
      </w:r>
      <w:r>
        <w:rPr>
          <w:lang w:val="fr-CA"/>
        </w:rPr>
        <w:t>’</w:t>
      </w:r>
      <w:r w:rsidRPr="004826C0">
        <w:rPr>
          <w:lang w:val="fr-CA"/>
        </w:rPr>
        <w:t>être pertinents.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Fait particulièrement important, les intimés disposent des affidavits présentés aux juges qui ont accordé les autorisations (caviardés pour protéger l</w:t>
      </w:r>
      <w:r>
        <w:rPr>
          <w:rFonts w:cs="Times New Roman"/>
          <w:lang w:val="fr-CA"/>
        </w:rPr>
        <w:t>’</w:t>
      </w:r>
      <w:r w:rsidRPr="004826C0">
        <w:rPr>
          <w:rFonts w:cs="Times New Roman"/>
          <w:lang w:val="fr-CA"/>
        </w:rPr>
        <w:t>identité des informateurs), ainsi que tous les rapports et documents y mentionnés que la GRC a en sa possession. Ils disposent des notes manuscrites du sergent</w:t>
      </w:r>
      <w:r w:rsidRPr="004826C0">
        <w:rPr>
          <w:rFonts w:cs="Times New Roman"/>
          <w:lang w:val="fr-CA"/>
        </w:rPr>
        <w:noBreakHyphen/>
        <w:t xml:space="preserve">chef Bédard, y compris celles prises au sujet des conversations entre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et le deuxième informateur auxquelles il a assisté. Les intimés ont également contre-interrogé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relativement à certaines questions pertinentes à l</w:t>
      </w:r>
      <w:r>
        <w:rPr>
          <w:rFonts w:cs="Times New Roman"/>
          <w:lang w:val="fr-CA"/>
        </w:rPr>
        <w:t>’</w:t>
      </w:r>
      <w:r w:rsidRPr="004826C0">
        <w:rPr>
          <w:rFonts w:cs="Times New Roman"/>
          <w:lang w:val="fr-CA"/>
        </w:rPr>
        <w:t xml:space="preserve">égard de la demande de type </w:t>
      </w:r>
      <w:proofErr w:type="spellStart"/>
      <w:r w:rsidRPr="004826C0">
        <w:rPr>
          <w:rFonts w:cs="Times New Roman"/>
          <w:i/>
          <w:lang w:val="fr-CA"/>
        </w:rPr>
        <w:t>Garofoli</w:t>
      </w:r>
      <w:proofErr w:type="spellEnd"/>
      <w:r w:rsidRPr="004826C0">
        <w:rPr>
          <w:rFonts w:cs="Times New Roman"/>
          <w:lang w:val="fr-CA"/>
        </w:rPr>
        <w:t>, quoique dans le contexte d</w:t>
      </w:r>
      <w:r>
        <w:rPr>
          <w:rFonts w:cs="Times New Roman"/>
          <w:lang w:val="fr-CA"/>
        </w:rPr>
        <w:t>’</w:t>
      </w:r>
      <w:r w:rsidRPr="004826C0">
        <w:rPr>
          <w:rFonts w:cs="Times New Roman"/>
          <w:lang w:val="fr-CA"/>
        </w:rPr>
        <w:t xml:space="preserve">une requête antérieure relative à la divulgation. La prétention selon laquelle un examen des dossiers demandés révélerait une erreur ou omission dont le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connaissait ou aurait dû connaître l</w:t>
      </w:r>
      <w:r>
        <w:rPr>
          <w:rFonts w:cs="Times New Roman"/>
          <w:lang w:val="fr-CA"/>
        </w:rPr>
        <w:t>’</w:t>
      </w:r>
      <w:r w:rsidRPr="004826C0">
        <w:rPr>
          <w:rFonts w:cs="Times New Roman"/>
          <w:lang w:val="fr-CA"/>
        </w:rPr>
        <w:t>existence, mais qui aurait échappé à une divulgation déjà volumineuse, relève de la spéculation.</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Nous rejetons également le deuxième argument des intimés, qui affirment que la divulgation de la preuve qu</w:t>
      </w:r>
      <w:r>
        <w:rPr>
          <w:rFonts w:cs="Times New Roman"/>
          <w:lang w:val="fr-CA"/>
        </w:rPr>
        <w:t>’</w:t>
      </w:r>
      <w:r w:rsidRPr="004826C0">
        <w:rPr>
          <w:rFonts w:cs="Times New Roman"/>
          <w:lang w:val="fr-CA"/>
        </w:rPr>
        <w:t>exige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xml:space="preserve"> est incomplète en l</w:t>
      </w:r>
      <w:r>
        <w:rPr>
          <w:rFonts w:cs="Times New Roman"/>
          <w:lang w:val="fr-CA"/>
        </w:rPr>
        <w:t>’</w:t>
      </w:r>
      <w:r w:rsidRPr="004826C0">
        <w:rPr>
          <w:rFonts w:cs="Times New Roman"/>
          <w:lang w:val="fr-CA"/>
        </w:rPr>
        <w:t xml:space="preserve">espèce en raison de la disparition des courriels du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et de l</w:t>
      </w:r>
      <w:r>
        <w:rPr>
          <w:rFonts w:cs="Times New Roman"/>
          <w:lang w:val="fr-CA"/>
        </w:rPr>
        <w:t>’</w:t>
      </w:r>
      <w:r w:rsidRPr="004826C0">
        <w:rPr>
          <w:rFonts w:cs="Times New Roman"/>
          <w:lang w:val="fr-CA"/>
        </w:rPr>
        <w:t>absence de notes de ce dernier lors de la préparation des affidavits. Ils soutiennent que si la pertinence des documents en la possession de tiers n</w:t>
      </w:r>
      <w:r>
        <w:rPr>
          <w:rFonts w:cs="Times New Roman"/>
          <w:lang w:val="fr-CA"/>
        </w:rPr>
        <w:t>’</w:t>
      </w:r>
      <w:r w:rsidRPr="004826C0">
        <w:rPr>
          <w:rFonts w:cs="Times New Roman"/>
          <w:lang w:val="fr-CA"/>
        </w:rPr>
        <w:t xml:space="preserve">est normalement pas </w:t>
      </w:r>
      <w:proofErr w:type="gramStart"/>
      <w:r w:rsidRPr="004826C0">
        <w:rPr>
          <w:rFonts w:cs="Times New Roman"/>
          <w:lang w:val="fr-CA"/>
        </w:rPr>
        <w:t>présumée</w:t>
      </w:r>
      <w:proofErr w:type="gramEnd"/>
      <w:r w:rsidRPr="004826C0">
        <w:rPr>
          <w:rFonts w:cs="Times New Roman"/>
          <w:lang w:val="fr-CA"/>
        </w:rPr>
        <w:t>, une telle présomption s</w:t>
      </w:r>
      <w:r>
        <w:rPr>
          <w:rFonts w:cs="Times New Roman"/>
          <w:lang w:val="fr-CA"/>
        </w:rPr>
        <w:t>’</w:t>
      </w:r>
      <w:r w:rsidRPr="004826C0">
        <w:rPr>
          <w:rFonts w:cs="Times New Roman"/>
          <w:lang w:val="fr-CA"/>
        </w:rPr>
        <w:t>applique à ceux du Groupe, car les renseignements en la possession de la partie principale ont disparu ou n</w:t>
      </w:r>
      <w:r>
        <w:rPr>
          <w:rFonts w:cs="Times New Roman"/>
          <w:lang w:val="fr-CA"/>
        </w:rPr>
        <w:t>’</w:t>
      </w:r>
      <w:r w:rsidRPr="004826C0">
        <w:rPr>
          <w:rFonts w:cs="Times New Roman"/>
          <w:lang w:val="fr-CA"/>
        </w:rPr>
        <w:t>ont jamais été consignés.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Retenir cet argument signifierait un changement important du cadre d</w:t>
      </w:r>
      <w:r>
        <w:rPr>
          <w:rFonts w:cs="Times New Roman"/>
          <w:lang w:val="fr-CA"/>
        </w:rPr>
        <w:t>’</w:t>
      </w:r>
      <w:r w:rsidRPr="004826C0">
        <w:rPr>
          <w:rFonts w:cs="Times New Roman"/>
          <w:lang w:val="fr-CA"/>
        </w:rPr>
        <w:t>analyse établi dans l</w:t>
      </w:r>
      <w:r>
        <w:rPr>
          <w:rFonts w:cs="Times New Roman"/>
          <w:lang w:val="fr-CA"/>
        </w:rPr>
        <w:t>’</w:t>
      </w:r>
      <w:r w:rsidRPr="004826C0">
        <w:rPr>
          <w:rFonts w:cs="Times New Roman"/>
          <w:lang w:val="fr-CA"/>
        </w:rPr>
        <w:t xml:space="preserve">arrêt </w:t>
      </w:r>
      <w:proofErr w:type="spellStart"/>
      <w:r w:rsidRPr="004826C0">
        <w:rPr>
          <w:rFonts w:cs="Times New Roman"/>
          <w:i/>
          <w:lang w:val="fr-CA"/>
        </w:rPr>
        <w:t>O</w:t>
      </w:r>
      <w:r>
        <w:rPr>
          <w:rFonts w:cs="Times New Roman"/>
          <w:i/>
          <w:lang w:val="fr-CA"/>
        </w:rPr>
        <w:t>’</w:t>
      </w:r>
      <w:r w:rsidRPr="004826C0">
        <w:rPr>
          <w:rFonts w:cs="Times New Roman"/>
          <w:i/>
          <w:lang w:val="fr-CA"/>
        </w:rPr>
        <w:t>Connor</w:t>
      </w:r>
      <w:proofErr w:type="spellEnd"/>
      <w:r w:rsidRPr="004826C0">
        <w:rPr>
          <w:rFonts w:cs="Times New Roman"/>
          <w:lang w:val="fr-CA"/>
        </w:rPr>
        <w:t>. Nous n</w:t>
      </w:r>
      <w:r>
        <w:rPr>
          <w:rFonts w:cs="Times New Roman"/>
          <w:lang w:val="fr-CA"/>
        </w:rPr>
        <w:t>’</w:t>
      </w:r>
      <w:r w:rsidRPr="004826C0">
        <w:rPr>
          <w:rFonts w:cs="Times New Roman"/>
          <w:lang w:val="fr-CA"/>
        </w:rPr>
        <w:t>en voyons pas la nécessité. Lorsque des renseignements dont la divulgation est exigée en application de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i/>
          <w:lang w:val="fr-CA"/>
        </w:rPr>
        <w:t xml:space="preserve"> </w:t>
      </w:r>
      <w:r w:rsidRPr="004826C0">
        <w:rPr>
          <w:rFonts w:cs="Times New Roman"/>
          <w:lang w:val="fr-CA"/>
        </w:rPr>
        <w:t>ont disparu, ont été détruits ou ne peuvent être obtenus, il doit être remédié à ce manque selon le cadre établi dans l</w:t>
      </w:r>
      <w:r>
        <w:rPr>
          <w:rFonts w:cs="Times New Roman"/>
          <w:lang w:val="fr-CA"/>
        </w:rPr>
        <w:t>’</w:t>
      </w:r>
      <w:r w:rsidRPr="004826C0">
        <w:rPr>
          <w:rFonts w:cs="Times New Roman"/>
          <w:lang w:val="fr-CA"/>
        </w:rPr>
        <w:t xml:space="preserve">arrêt </w:t>
      </w:r>
      <w:r w:rsidRPr="004826C0">
        <w:rPr>
          <w:rFonts w:cs="Times New Roman"/>
          <w:i/>
          <w:lang w:val="fr-CA"/>
        </w:rPr>
        <w:t>R. c. La</w:t>
      </w:r>
      <w:r w:rsidRPr="004826C0">
        <w:rPr>
          <w:rFonts w:cs="Times New Roman"/>
          <w:lang w:val="fr-CA"/>
        </w:rPr>
        <w:t xml:space="preserve">, [1997] 2 </w:t>
      </w:r>
      <w:r>
        <w:rPr>
          <w:rFonts w:cs="Times New Roman"/>
          <w:lang w:val="fr-CA"/>
        </w:rPr>
        <w:t>R.C.S.</w:t>
      </w:r>
      <w:r w:rsidRPr="004826C0">
        <w:rPr>
          <w:rFonts w:cs="Times New Roman"/>
          <w:lang w:val="fr-CA"/>
        </w:rPr>
        <w:t xml:space="preserve"> 680. C</w:t>
      </w:r>
      <w:r>
        <w:rPr>
          <w:rFonts w:cs="Times New Roman"/>
          <w:lang w:val="fr-CA"/>
        </w:rPr>
        <w:t>’</w:t>
      </w:r>
      <w:r w:rsidRPr="004826C0">
        <w:rPr>
          <w:rFonts w:cs="Times New Roman"/>
          <w:lang w:val="fr-CA"/>
        </w:rPr>
        <w:t>est le bon moyen de régler le problème des courriels disparus et des notes manquantes, et il se pourrait très bien que ce soit le bon moyen de redresser le préjudice, s</w:t>
      </w:r>
      <w:r>
        <w:rPr>
          <w:rFonts w:cs="Times New Roman"/>
          <w:lang w:val="fr-CA"/>
        </w:rPr>
        <w:t>’</w:t>
      </w:r>
      <w:r w:rsidRPr="004826C0">
        <w:rPr>
          <w:rFonts w:cs="Times New Roman"/>
          <w:lang w:val="fr-CA"/>
        </w:rPr>
        <w:t>il en est, découlant des immunités invoquées par le Groupe.</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intimés n</w:t>
      </w:r>
      <w:r>
        <w:rPr>
          <w:rFonts w:cs="Times New Roman"/>
          <w:lang w:val="fr-CA"/>
        </w:rPr>
        <w:t>’</w:t>
      </w:r>
      <w:r w:rsidRPr="004826C0">
        <w:rPr>
          <w:rFonts w:cs="Times New Roman"/>
          <w:lang w:val="fr-CA"/>
        </w:rPr>
        <w:t>ont pas soulevé ces questions devant nous, et il convient d</w:t>
      </w:r>
      <w:r>
        <w:rPr>
          <w:rFonts w:cs="Times New Roman"/>
          <w:lang w:val="fr-CA"/>
        </w:rPr>
        <w:t>’</w:t>
      </w:r>
      <w:r w:rsidRPr="004826C0">
        <w:rPr>
          <w:rFonts w:cs="Times New Roman"/>
          <w:lang w:val="fr-CA"/>
        </w:rPr>
        <w:t>en laisser l</w:t>
      </w:r>
      <w:r>
        <w:rPr>
          <w:rFonts w:cs="Times New Roman"/>
          <w:lang w:val="fr-CA"/>
        </w:rPr>
        <w:t>’</w:t>
      </w:r>
      <w:r w:rsidRPr="004826C0">
        <w:rPr>
          <w:rFonts w:cs="Times New Roman"/>
          <w:lang w:val="fr-CA"/>
        </w:rPr>
        <w:t>appréciation au juge du procès. Nous signalons que ce dernier a déjà ordonné la divulgation du projet d</w:t>
      </w:r>
      <w:r>
        <w:rPr>
          <w:rFonts w:cs="Times New Roman"/>
          <w:lang w:val="fr-CA"/>
        </w:rPr>
        <w:t>’</w:t>
      </w:r>
      <w:r w:rsidRPr="004826C0">
        <w:rPr>
          <w:rFonts w:cs="Times New Roman"/>
          <w:lang w:val="fr-CA"/>
        </w:rPr>
        <w:t>affidavit pour remédier aux courriels disparus et à l</w:t>
      </w:r>
      <w:r>
        <w:rPr>
          <w:rFonts w:cs="Times New Roman"/>
          <w:lang w:val="fr-CA"/>
        </w:rPr>
        <w:t>’</w:t>
      </w:r>
      <w:r w:rsidRPr="004826C0">
        <w:rPr>
          <w:rFonts w:cs="Times New Roman"/>
          <w:lang w:val="fr-CA"/>
        </w:rPr>
        <w:t xml:space="preserve">absence de notes. Nous faisons également remarquer que la plupart des courriels du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xml:space="preserve"> ont été récupérés. La plupart des messages avaient été envoyés en copie conforme à d</w:t>
      </w:r>
      <w:r>
        <w:rPr>
          <w:rFonts w:cs="Times New Roman"/>
          <w:lang w:val="fr-CA"/>
        </w:rPr>
        <w:t>’</w:t>
      </w:r>
      <w:r w:rsidRPr="004826C0">
        <w:rPr>
          <w:rFonts w:cs="Times New Roman"/>
          <w:lang w:val="fr-CA"/>
        </w:rPr>
        <w:t>autres agents de la GRC, et l</w:t>
      </w:r>
      <w:r>
        <w:rPr>
          <w:rFonts w:cs="Times New Roman"/>
          <w:lang w:val="fr-CA"/>
        </w:rPr>
        <w:t>’</w:t>
      </w:r>
      <w:r w:rsidRPr="004826C0">
        <w:rPr>
          <w:rFonts w:cs="Times New Roman"/>
          <w:lang w:val="fr-CA"/>
        </w:rPr>
        <w:t>INT a de son plein gré fourni tous les courriels que M. </w:t>
      </w:r>
      <w:proofErr w:type="spellStart"/>
      <w:r w:rsidRPr="004826C0">
        <w:rPr>
          <w:rFonts w:cs="Times New Roman"/>
          <w:lang w:val="fr-CA"/>
        </w:rPr>
        <w:t>Haynes</w:t>
      </w:r>
      <w:proofErr w:type="spellEnd"/>
      <w:r w:rsidRPr="004826C0">
        <w:rPr>
          <w:rFonts w:cs="Times New Roman"/>
          <w:lang w:val="fr-CA"/>
        </w:rPr>
        <w:t xml:space="preserve"> avait envoyés au </w:t>
      </w:r>
      <w:proofErr w:type="spellStart"/>
      <w:r w:rsidRPr="004826C0">
        <w:rPr>
          <w:rFonts w:cs="Times New Roman"/>
          <w:lang w:val="fr-CA"/>
        </w:rPr>
        <w:t>serg</w:t>
      </w:r>
      <w:proofErr w:type="spellEnd"/>
      <w:r w:rsidRPr="004826C0">
        <w:rPr>
          <w:rFonts w:cs="Times New Roman"/>
          <w:lang w:val="fr-CA"/>
        </w:rPr>
        <w:t>. </w:t>
      </w:r>
      <w:proofErr w:type="spellStart"/>
      <w:r w:rsidRPr="004826C0">
        <w:rPr>
          <w:rFonts w:cs="Times New Roman"/>
          <w:lang w:val="fr-CA"/>
        </w:rPr>
        <w:t>Driscoll</w:t>
      </w:r>
      <w:proofErr w:type="spellEnd"/>
      <w:r w:rsidRPr="004826C0">
        <w:rPr>
          <w:rFonts w:cs="Times New Roman"/>
          <w:lang w:val="fr-CA"/>
        </w:rPr>
        <w:t>. Ces faits entreront sans doute en ligne de compte lorsqu</w:t>
      </w:r>
      <w:r>
        <w:rPr>
          <w:rFonts w:cs="Times New Roman"/>
          <w:lang w:val="fr-CA"/>
        </w:rPr>
        <w:t>’</w:t>
      </w:r>
      <w:r w:rsidRPr="004826C0">
        <w:rPr>
          <w:rFonts w:cs="Times New Roman"/>
          <w:lang w:val="fr-CA"/>
        </w:rPr>
        <w:t>il s</w:t>
      </w:r>
      <w:r>
        <w:rPr>
          <w:rFonts w:cs="Times New Roman"/>
          <w:lang w:val="fr-CA"/>
        </w:rPr>
        <w:t>’</w:t>
      </w:r>
      <w:r w:rsidRPr="004826C0">
        <w:rPr>
          <w:rFonts w:cs="Times New Roman"/>
          <w:lang w:val="fr-CA"/>
        </w:rPr>
        <w:t>agira de décider si les présumées lacunes dans la divulgation de la preuve que prévoit l</w:t>
      </w:r>
      <w:r>
        <w:rPr>
          <w:rFonts w:cs="Times New Roman"/>
          <w:lang w:val="fr-CA"/>
        </w:rPr>
        <w:t>’</w:t>
      </w:r>
      <w:r w:rsidRPr="004826C0">
        <w:rPr>
          <w:rFonts w:cs="Times New Roman"/>
          <w:lang w:val="fr-CA"/>
        </w:rPr>
        <w:t xml:space="preserve">arrêt </w:t>
      </w:r>
      <w:proofErr w:type="spellStart"/>
      <w:r w:rsidRPr="004826C0">
        <w:rPr>
          <w:rFonts w:cs="Times New Roman"/>
          <w:i/>
          <w:lang w:val="fr-CA"/>
        </w:rPr>
        <w:t>Stinchcombe</w:t>
      </w:r>
      <w:proofErr w:type="spellEnd"/>
      <w:r w:rsidRPr="004826C0">
        <w:rPr>
          <w:rFonts w:cs="Times New Roman"/>
          <w:lang w:val="fr-CA"/>
        </w:rPr>
        <w:t xml:space="preserve"> ont causé un </w:t>
      </w:r>
      <w:r>
        <w:rPr>
          <w:rFonts w:cs="Times New Roman"/>
          <w:lang w:val="fr-CA"/>
        </w:rPr>
        <w:t>préjudice véritable aux intimés.</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intimés n</w:t>
      </w:r>
      <w:r>
        <w:rPr>
          <w:rFonts w:cs="Times New Roman"/>
          <w:lang w:val="fr-CA"/>
        </w:rPr>
        <w:t>’</w:t>
      </w:r>
      <w:r w:rsidRPr="004826C0">
        <w:rPr>
          <w:rFonts w:cs="Times New Roman"/>
          <w:lang w:val="fr-CA"/>
        </w:rPr>
        <w:t>ont pas réussi à démontrer la pertinence des documents exigés à l</w:t>
      </w:r>
      <w:r>
        <w:rPr>
          <w:rFonts w:cs="Times New Roman"/>
          <w:lang w:val="fr-CA"/>
        </w:rPr>
        <w:t>’</w:t>
      </w:r>
      <w:r w:rsidRPr="004826C0">
        <w:rPr>
          <w:rFonts w:cs="Times New Roman"/>
          <w:lang w:val="fr-CA"/>
        </w:rPr>
        <w:t xml:space="preserve">égard de la demande de type </w:t>
      </w:r>
      <w:proofErr w:type="spellStart"/>
      <w:r w:rsidRPr="004826C0">
        <w:rPr>
          <w:rFonts w:cs="Times New Roman"/>
          <w:i/>
          <w:lang w:val="fr-CA"/>
        </w:rPr>
        <w:t>Garofoli</w:t>
      </w:r>
      <w:proofErr w:type="spellEnd"/>
      <w:r w:rsidRPr="004826C0">
        <w:rPr>
          <w:rFonts w:cs="Times New Roman"/>
          <w:i/>
          <w:lang w:val="fr-CA"/>
        </w:rPr>
        <w:t xml:space="preserve"> </w:t>
      </w:r>
      <w:r w:rsidRPr="004826C0">
        <w:rPr>
          <w:rFonts w:cs="Times New Roman"/>
          <w:lang w:val="fr-CA"/>
        </w:rPr>
        <w:t>qu</w:t>
      </w:r>
      <w:r>
        <w:rPr>
          <w:rFonts w:cs="Times New Roman"/>
          <w:lang w:val="fr-CA"/>
        </w:rPr>
        <w:t>’</w:t>
      </w:r>
      <w:r w:rsidRPr="004826C0">
        <w:rPr>
          <w:rFonts w:cs="Times New Roman"/>
          <w:lang w:val="fr-CA"/>
        </w:rPr>
        <w:t>ils entendent présenter. La détermination de la pertinence des documents du Groupe à l</w:t>
      </w:r>
      <w:r>
        <w:rPr>
          <w:rFonts w:cs="Times New Roman"/>
          <w:lang w:val="fr-CA"/>
        </w:rPr>
        <w:t>’</w:t>
      </w:r>
      <w:r w:rsidRPr="004826C0">
        <w:rPr>
          <w:rFonts w:cs="Times New Roman"/>
          <w:lang w:val="fr-CA"/>
        </w:rPr>
        <w:t>égard des autres questions dans le cadre de l</w:t>
      </w:r>
      <w:r>
        <w:rPr>
          <w:rFonts w:cs="Times New Roman"/>
          <w:lang w:val="fr-CA"/>
        </w:rPr>
        <w:t>’</w:t>
      </w:r>
      <w:r w:rsidRPr="004826C0">
        <w:rPr>
          <w:rFonts w:cs="Times New Roman"/>
          <w:lang w:val="fr-CA"/>
        </w:rPr>
        <w:t>instance appartient au juge du procès.</w:t>
      </w:r>
    </w:p>
    <w:p w:rsidR="002405E3" w:rsidRPr="004826C0" w:rsidRDefault="002405E3" w:rsidP="003C0B54">
      <w:pPr>
        <w:pStyle w:val="Title1LevelTitre1Niveau-AltL"/>
        <w:widowControl w:val="0"/>
        <w:rPr>
          <w:rFonts w:cs="Times New Roman"/>
          <w:lang w:val="fr-CA"/>
        </w:rPr>
      </w:pPr>
      <w:r w:rsidRPr="004826C0">
        <w:rPr>
          <w:rFonts w:cs="Times New Roman"/>
          <w:lang w:val="fr-CA"/>
        </w:rPr>
        <w:t>Conclusion</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Les immunités du Groupe s</w:t>
      </w:r>
      <w:r>
        <w:rPr>
          <w:rFonts w:cs="Times New Roman"/>
          <w:lang w:val="fr-CA"/>
        </w:rPr>
        <w:t>’</w:t>
      </w:r>
      <w:r w:rsidRPr="004826C0">
        <w:rPr>
          <w:rFonts w:cs="Times New Roman"/>
          <w:lang w:val="fr-CA"/>
        </w:rPr>
        <w:t>appliquent aux dossiers dont la communication est requise et à son personnel et il n</w:t>
      </w:r>
      <w:r>
        <w:rPr>
          <w:rFonts w:cs="Times New Roman"/>
          <w:lang w:val="fr-CA"/>
        </w:rPr>
        <w:t>’</w:t>
      </w:r>
      <w:r w:rsidRPr="004826C0">
        <w:rPr>
          <w:rFonts w:cs="Times New Roman"/>
          <w:lang w:val="fr-CA"/>
        </w:rPr>
        <w:t>y a pas eu renonciation. En outre, les règles du droit canadien ne prévoient pas la communication des dossiers de l</w:t>
      </w:r>
      <w:r>
        <w:rPr>
          <w:rFonts w:cs="Times New Roman"/>
          <w:lang w:val="fr-CA"/>
        </w:rPr>
        <w:t>’</w:t>
      </w:r>
      <w:r w:rsidRPr="004826C0">
        <w:rPr>
          <w:rFonts w:cs="Times New Roman"/>
          <w:lang w:val="fr-CA"/>
        </w:rPr>
        <w:t>INT. Par conséquent, nous sommes d</w:t>
      </w:r>
      <w:r>
        <w:rPr>
          <w:rFonts w:cs="Times New Roman"/>
          <w:lang w:val="fr-CA"/>
        </w:rPr>
        <w:t>’</w:t>
      </w:r>
      <w:r w:rsidRPr="004826C0">
        <w:rPr>
          <w:rFonts w:cs="Times New Roman"/>
          <w:lang w:val="fr-CA"/>
        </w:rPr>
        <w:t>avis de rejeter la requête en radiation présentée par les intimés, d</w:t>
      </w:r>
      <w:r>
        <w:rPr>
          <w:rFonts w:cs="Times New Roman"/>
          <w:lang w:val="fr-CA"/>
        </w:rPr>
        <w:t>’</w:t>
      </w:r>
      <w:r w:rsidRPr="004826C0">
        <w:rPr>
          <w:rFonts w:cs="Times New Roman"/>
          <w:lang w:val="fr-CA"/>
        </w:rPr>
        <w:t>accueillir l</w:t>
      </w:r>
      <w:r>
        <w:rPr>
          <w:rFonts w:cs="Times New Roman"/>
          <w:lang w:val="fr-CA"/>
        </w:rPr>
        <w:t>’</w:t>
      </w:r>
      <w:r w:rsidRPr="004826C0">
        <w:rPr>
          <w:rFonts w:cs="Times New Roman"/>
          <w:lang w:val="fr-CA"/>
        </w:rPr>
        <w:t>appel et d</w:t>
      </w:r>
      <w:r>
        <w:rPr>
          <w:rFonts w:cs="Times New Roman"/>
          <w:lang w:val="fr-CA"/>
        </w:rPr>
        <w:t>’</w:t>
      </w:r>
      <w:r w:rsidRPr="004826C0">
        <w:rPr>
          <w:rFonts w:cs="Times New Roman"/>
          <w:lang w:val="fr-CA"/>
        </w:rPr>
        <w:t>annuler l</w:t>
      </w:r>
      <w:r>
        <w:rPr>
          <w:rFonts w:cs="Times New Roman"/>
          <w:lang w:val="fr-CA"/>
        </w:rPr>
        <w:t>’</w:t>
      </w:r>
      <w:r w:rsidRPr="004826C0">
        <w:rPr>
          <w:rFonts w:cs="Times New Roman"/>
          <w:lang w:val="fr-CA"/>
        </w:rPr>
        <w:t>ordonnance de communication.</w:t>
      </w:r>
    </w:p>
    <w:p w:rsidR="002405E3" w:rsidRPr="004826C0" w:rsidRDefault="002405E3" w:rsidP="003C0B54">
      <w:pPr>
        <w:pStyle w:val="ParaNoNdepar-AltN"/>
        <w:widowControl w:val="0"/>
        <w:numPr>
          <w:ilvl w:val="0"/>
          <w:numId w:val="7"/>
        </w:numPr>
        <w:tabs>
          <w:tab w:val="clear" w:pos="6462"/>
        </w:tabs>
        <w:ind w:left="0"/>
        <w:rPr>
          <w:rFonts w:cs="Times New Roman"/>
          <w:lang w:val="fr-CA"/>
        </w:rPr>
      </w:pPr>
      <w:r w:rsidRPr="004826C0">
        <w:rPr>
          <w:rFonts w:cs="Times New Roman"/>
          <w:lang w:val="fr-CA"/>
        </w:rPr>
        <w:t>Dans les circonstances et vu les questions soulevées, nous n</w:t>
      </w:r>
      <w:r>
        <w:rPr>
          <w:rFonts w:cs="Times New Roman"/>
          <w:lang w:val="fr-CA"/>
        </w:rPr>
        <w:t>’</w:t>
      </w:r>
      <w:r w:rsidRPr="004826C0">
        <w:rPr>
          <w:rFonts w:cs="Times New Roman"/>
          <w:lang w:val="fr-CA"/>
        </w:rPr>
        <w:t>adjugeons pas de dépens. Nous tenons par cette décision à indiquer clairement que nous rejetons l</w:t>
      </w:r>
      <w:r>
        <w:rPr>
          <w:rFonts w:cs="Times New Roman"/>
          <w:lang w:val="fr-CA"/>
        </w:rPr>
        <w:t>’</w:t>
      </w:r>
      <w:r w:rsidRPr="004826C0">
        <w:rPr>
          <w:rFonts w:cs="Times New Roman"/>
          <w:lang w:val="fr-CA"/>
        </w:rPr>
        <w:t>argument de M. </w:t>
      </w:r>
      <w:proofErr w:type="spellStart"/>
      <w:r w:rsidRPr="004826C0">
        <w:rPr>
          <w:rFonts w:cs="Times New Roman"/>
          <w:lang w:val="fr-CA"/>
        </w:rPr>
        <w:t>Bhuiyan</w:t>
      </w:r>
      <w:proofErr w:type="spellEnd"/>
      <w:r w:rsidRPr="004826C0">
        <w:rPr>
          <w:rFonts w:cs="Times New Roman"/>
          <w:lang w:val="fr-CA"/>
        </w:rPr>
        <w:t xml:space="preserve"> à propos des actes du Groupe dans la présente affaire.</w:t>
      </w:r>
    </w:p>
    <w:p w:rsidR="004D7D95" w:rsidRPr="00387E52" w:rsidRDefault="004D7D95" w:rsidP="003C0B54">
      <w:pPr>
        <w:pStyle w:val="SCCNormalDoubleSpacing"/>
        <w:widowControl w:val="0"/>
        <w:spacing w:before="480" w:after="480"/>
        <w:rPr>
          <w:lang w:val="fr-CA"/>
        </w:rPr>
      </w:pPr>
      <w:r w:rsidRPr="00CC1A0B">
        <w:rPr>
          <w:lang w:val="fr-CA"/>
        </w:rPr>
        <w:tab/>
      </w:r>
      <w:r w:rsidR="007B19B0">
        <w:rPr>
          <w:i/>
          <w:lang w:val="fr-CA"/>
        </w:rPr>
        <w:t xml:space="preserve">Pourvoi </w:t>
      </w:r>
      <w:r w:rsidR="00072CB0">
        <w:rPr>
          <w:i/>
          <w:lang w:val="fr-CA"/>
        </w:rPr>
        <w:t>accueilli</w:t>
      </w:r>
      <w:r w:rsidR="007B19B0">
        <w:rPr>
          <w:i/>
          <w:lang w:val="fr-CA"/>
        </w:rPr>
        <w:t>.</w:t>
      </w:r>
    </w:p>
    <w:p w:rsidR="00CC1A0B" w:rsidRPr="00CC1A0B" w:rsidRDefault="00CC1A0B" w:rsidP="003C0B54">
      <w:pPr>
        <w:pStyle w:val="SCCLawFirm"/>
        <w:widowControl w:val="0"/>
        <w:spacing w:before="480" w:after="480"/>
        <w:rPr>
          <w:lang w:val="fr-CA"/>
        </w:rPr>
      </w:pPr>
      <w:r w:rsidRPr="00CC1A0B">
        <w:rPr>
          <w:lang w:val="fr-CA"/>
        </w:rPr>
        <w:tab/>
        <w:t>Procureurs de l</w:t>
      </w:r>
      <w:r w:rsidR="007B571E">
        <w:rPr>
          <w:lang w:val="fr-CA"/>
        </w:rPr>
        <w:t>’</w:t>
      </w:r>
      <w:r w:rsidRPr="00CC1A0B">
        <w:rPr>
          <w:lang w:val="fr-CA"/>
        </w:rPr>
        <w:t>appelant</w:t>
      </w:r>
      <w:r w:rsidR="00FB73B5">
        <w:rPr>
          <w:lang w:val="fr-CA"/>
        </w:rPr>
        <w:t> :</w:t>
      </w:r>
      <w:r w:rsidR="004F59FD">
        <w:rPr>
          <w:lang w:val="fr-CA"/>
        </w:rPr>
        <w:t> </w:t>
      </w:r>
      <w:proofErr w:type="spellStart"/>
      <w:r w:rsidRPr="00CC1A0B">
        <w:rPr>
          <w:lang w:val="fr-CA"/>
        </w:rPr>
        <w:t>Lenczner</w:t>
      </w:r>
      <w:proofErr w:type="spellEnd"/>
      <w:r w:rsidRPr="00CC1A0B">
        <w:rPr>
          <w:lang w:val="fr-CA"/>
        </w:rPr>
        <w:t xml:space="preserve"> </w:t>
      </w:r>
      <w:proofErr w:type="spellStart"/>
      <w:r w:rsidRPr="00CC1A0B">
        <w:rPr>
          <w:lang w:val="fr-CA"/>
        </w:rPr>
        <w:t>Slaght</w:t>
      </w:r>
      <w:proofErr w:type="spellEnd"/>
      <w:r w:rsidRPr="00CC1A0B">
        <w:rPr>
          <w:lang w:val="fr-CA"/>
        </w:rPr>
        <w:t xml:space="preserve"> Royce Smith Griffin, Toronto.</w:t>
      </w:r>
    </w:p>
    <w:p w:rsidR="00CC1A0B" w:rsidRPr="00CC1A0B" w:rsidRDefault="00CC1A0B" w:rsidP="003C0B54">
      <w:pPr>
        <w:pStyle w:val="SCCLawFirm"/>
        <w:widowControl w:val="0"/>
        <w:spacing w:before="480" w:after="480"/>
        <w:rPr>
          <w:lang w:val="fr-CA"/>
        </w:rPr>
      </w:pPr>
      <w:r w:rsidRPr="00CC1A0B">
        <w:rPr>
          <w:lang w:val="fr-CA"/>
        </w:rPr>
        <w:tab/>
        <w:t>Procureurs de l</w:t>
      </w:r>
      <w:r w:rsidR="007B571E">
        <w:rPr>
          <w:lang w:val="fr-CA"/>
        </w:rPr>
        <w:t>’</w:t>
      </w:r>
      <w:r w:rsidRPr="00CC1A0B">
        <w:rPr>
          <w:lang w:val="fr-CA"/>
        </w:rPr>
        <w:t>intimé Kevin Wallace</w:t>
      </w:r>
      <w:r w:rsidR="00FB73B5">
        <w:rPr>
          <w:lang w:val="fr-CA"/>
        </w:rPr>
        <w:t> :</w:t>
      </w:r>
      <w:r w:rsidR="004F59FD">
        <w:rPr>
          <w:lang w:val="fr-CA"/>
        </w:rPr>
        <w:t> </w:t>
      </w:r>
      <w:r w:rsidRPr="00CC1A0B">
        <w:rPr>
          <w:lang w:val="fr-CA"/>
        </w:rPr>
        <w:t>Fenton, Smith, Toronto.</w:t>
      </w:r>
    </w:p>
    <w:p w:rsidR="00CC1A0B" w:rsidRPr="00CC1A0B" w:rsidRDefault="00CC1A0B" w:rsidP="003C0B54">
      <w:pPr>
        <w:pStyle w:val="SCCLawFirm"/>
        <w:widowControl w:val="0"/>
        <w:spacing w:before="480" w:after="480"/>
        <w:rPr>
          <w:lang w:val="fr-CA"/>
        </w:rPr>
      </w:pPr>
      <w:r w:rsidRPr="00CC1A0B">
        <w:rPr>
          <w:lang w:val="fr-CA"/>
        </w:rPr>
        <w:tab/>
        <w:t>Procureurs de l</w:t>
      </w:r>
      <w:r w:rsidR="007B571E">
        <w:rPr>
          <w:lang w:val="fr-CA"/>
        </w:rPr>
        <w:t>’</w:t>
      </w:r>
      <w:r w:rsidRPr="00CC1A0B">
        <w:rPr>
          <w:lang w:val="fr-CA"/>
        </w:rPr>
        <w:t xml:space="preserve">intimé </w:t>
      </w:r>
      <w:proofErr w:type="spellStart"/>
      <w:r w:rsidRPr="00CC1A0B">
        <w:rPr>
          <w:lang w:val="fr-CA"/>
        </w:rPr>
        <w:t>Zulfiquar</w:t>
      </w:r>
      <w:proofErr w:type="spellEnd"/>
      <w:r w:rsidRPr="00CC1A0B">
        <w:rPr>
          <w:lang w:val="fr-CA"/>
        </w:rPr>
        <w:t xml:space="preserve"> </w:t>
      </w:r>
      <w:proofErr w:type="spellStart"/>
      <w:r w:rsidRPr="00CC1A0B">
        <w:rPr>
          <w:lang w:val="fr-CA"/>
        </w:rPr>
        <w:t>Bhuiyan</w:t>
      </w:r>
      <w:proofErr w:type="spellEnd"/>
      <w:r w:rsidR="00FB73B5">
        <w:rPr>
          <w:lang w:val="fr-CA"/>
        </w:rPr>
        <w:t> :</w:t>
      </w:r>
      <w:r w:rsidR="004F59FD">
        <w:rPr>
          <w:lang w:val="fr-CA"/>
        </w:rPr>
        <w:t> </w:t>
      </w:r>
      <w:proofErr w:type="spellStart"/>
      <w:r w:rsidRPr="00CC1A0B">
        <w:rPr>
          <w:lang w:val="fr-CA"/>
        </w:rPr>
        <w:t>Addario</w:t>
      </w:r>
      <w:proofErr w:type="spellEnd"/>
      <w:r w:rsidRPr="00CC1A0B">
        <w:rPr>
          <w:lang w:val="fr-CA"/>
        </w:rPr>
        <w:t xml:space="preserve"> Law Group, Toronto.</w:t>
      </w:r>
    </w:p>
    <w:p w:rsidR="00CC1A0B" w:rsidRPr="00CC1A0B" w:rsidRDefault="00CC1A0B" w:rsidP="003C0B54">
      <w:pPr>
        <w:pStyle w:val="SCCLawFirm"/>
        <w:widowControl w:val="0"/>
        <w:spacing w:before="480" w:after="480"/>
        <w:rPr>
          <w:lang w:val="fr-CA"/>
        </w:rPr>
      </w:pPr>
      <w:r w:rsidRPr="00CC1A0B">
        <w:rPr>
          <w:lang w:val="fr-CA"/>
        </w:rPr>
        <w:tab/>
        <w:t>Procureur de l</w:t>
      </w:r>
      <w:r w:rsidR="007B571E">
        <w:rPr>
          <w:lang w:val="fr-CA"/>
        </w:rPr>
        <w:t>’</w:t>
      </w:r>
      <w:r w:rsidRPr="00CC1A0B">
        <w:rPr>
          <w:lang w:val="fr-CA"/>
        </w:rPr>
        <w:t xml:space="preserve">intimé </w:t>
      </w:r>
      <w:proofErr w:type="spellStart"/>
      <w:r w:rsidRPr="00CC1A0B">
        <w:rPr>
          <w:lang w:val="fr-CA"/>
        </w:rPr>
        <w:t>Ramesh</w:t>
      </w:r>
      <w:proofErr w:type="spellEnd"/>
      <w:r w:rsidRPr="00CC1A0B">
        <w:rPr>
          <w:lang w:val="fr-CA"/>
        </w:rPr>
        <w:t xml:space="preserve"> Shah</w:t>
      </w:r>
      <w:r w:rsidR="00FB73B5">
        <w:rPr>
          <w:lang w:val="fr-CA"/>
        </w:rPr>
        <w:t> :</w:t>
      </w:r>
      <w:r w:rsidR="004F59FD">
        <w:rPr>
          <w:lang w:val="fr-CA"/>
        </w:rPr>
        <w:t> </w:t>
      </w:r>
      <w:r w:rsidRPr="00CC1A0B">
        <w:rPr>
          <w:lang w:val="fr-CA"/>
        </w:rPr>
        <w:t>David B. Cousins, Toronto.</w:t>
      </w:r>
    </w:p>
    <w:p w:rsidR="00CC1A0B" w:rsidRPr="00CC1A0B" w:rsidRDefault="00CC1A0B" w:rsidP="003C0B54">
      <w:pPr>
        <w:pStyle w:val="SCCLawFirm"/>
        <w:widowControl w:val="0"/>
        <w:spacing w:before="480" w:after="480"/>
        <w:rPr>
          <w:lang w:val="fr-CA"/>
        </w:rPr>
      </w:pPr>
      <w:r w:rsidRPr="00CC1A0B">
        <w:rPr>
          <w:lang w:val="fr-CA"/>
        </w:rPr>
        <w:tab/>
        <w:t>Procureurs de l</w:t>
      </w:r>
      <w:r w:rsidR="007B571E">
        <w:rPr>
          <w:lang w:val="fr-CA"/>
        </w:rPr>
        <w:t>’</w:t>
      </w:r>
      <w:r w:rsidRPr="00CC1A0B">
        <w:rPr>
          <w:lang w:val="fr-CA"/>
        </w:rPr>
        <w:t>intimé Mohammad Ismail</w:t>
      </w:r>
      <w:r w:rsidR="00FB73B5">
        <w:rPr>
          <w:lang w:val="fr-CA"/>
        </w:rPr>
        <w:t> :</w:t>
      </w:r>
      <w:r w:rsidR="004F59FD">
        <w:rPr>
          <w:lang w:val="fr-CA"/>
        </w:rPr>
        <w:t> </w:t>
      </w:r>
      <w:r w:rsidRPr="00CC1A0B">
        <w:rPr>
          <w:lang w:val="fr-CA"/>
        </w:rPr>
        <w:t xml:space="preserve">Wells </w:t>
      </w:r>
      <w:proofErr w:type="spellStart"/>
      <w:r w:rsidRPr="00CC1A0B">
        <w:rPr>
          <w:lang w:val="fr-CA"/>
        </w:rPr>
        <w:t>Criminal</w:t>
      </w:r>
      <w:proofErr w:type="spellEnd"/>
      <w:r w:rsidRPr="00CC1A0B">
        <w:rPr>
          <w:lang w:val="fr-CA"/>
        </w:rPr>
        <w:t xml:space="preserve"> Law, Toronto.</w:t>
      </w:r>
    </w:p>
    <w:p w:rsidR="00CC1A0B" w:rsidRPr="00CC1A0B" w:rsidRDefault="00CC1A0B" w:rsidP="003C0B54">
      <w:pPr>
        <w:pStyle w:val="SCCLawFirm"/>
        <w:widowControl w:val="0"/>
        <w:spacing w:before="480" w:after="480"/>
        <w:rPr>
          <w:lang w:val="fr-CA"/>
        </w:rPr>
      </w:pPr>
      <w:r w:rsidRPr="00CC1A0B">
        <w:rPr>
          <w:lang w:val="fr-CA"/>
        </w:rPr>
        <w:tab/>
        <w:t>Procureur de l</w:t>
      </w:r>
      <w:r w:rsidR="007B571E">
        <w:rPr>
          <w:lang w:val="fr-CA"/>
        </w:rPr>
        <w:t>’</w:t>
      </w:r>
      <w:r w:rsidRPr="00CC1A0B">
        <w:rPr>
          <w:lang w:val="fr-CA"/>
        </w:rPr>
        <w:t xml:space="preserve">intimée </w:t>
      </w:r>
      <w:r w:rsidRPr="00387E52">
        <w:rPr>
          <w:lang w:val="fr-CA"/>
        </w:rPr>
        <w:t>Sa Majesté la Reine</w:t>
      </w:r>
      <w:r>
        <w:rPr>
          <w:lang w:val="fr-CA"/>
        </w:rPr>
        <w:t xml:space="preserve"> </w:t>
      </w:r>
      <w:r w:rsidRPr="007B19B0">
        <w:rPr>
          <w:lang w:val="fr-CA"/>
        </w:rPr>
        <w:t>du chef du Canada</w:t>
      </w:r>
      <w:r w:rsidR="00FB73B5">
        <w:rPr>
          <w:lang w:val="fr-CA"/>
        </w:rPr>
        <w:t> :</w:t>
      </w:r>
      <w:r w:rsidR="004F59FD">
        <w:rPr>
          <w:lang w:val="fr-CA"/>
        </w:rPr>
        <w:t> </w:t>
      </w:r>
      <w:r w:rsidRPr="00CC1A0B">
        <w:rPr>
          <w:lang w:val="fr-CA"/>
        </w:rPr>
        <w:t>Service des poursuites pénales du Canada, Toronto.</w:t>
      </w:r>
    </w:p>
    <w:p w:rsidR="00CC1A0B" w:rsidRPr="00CC1A0B" w:rsidRDefault="00CC1A0B" w:rsidP="003C0B54">
      <w:pPr>
        <w:pStyle w:val="SCCLawFirm"/>
        <w:widowControl w:val="0"/>
        <w:spacing w:before="480" w:after="480"/>
        <w:rPr>
          <w:lang w:val="fr-CA"/>
        </w:rPr>
      </w:pPr>
      <w:r w:rsidRPr="00CC1A0B">
        <w:rPr>
          <w:lang w:val="fr-CA"/>
        </w:rPr>
        <w:tab/>
        <w:t>Procureurs de l</w:t>
      </w:r>
      <w:r w:rsidR="007B571E">
        <w:rPr>
          <w:lang w:val="fr-CA"/>
        </w:rPr>
        <w:t>’</w:t>
      </w:r>
      <w:r w:rsidRPr="00CC1A0B">
        <w:rPr>
          <w:lang w:val="fr-CA"/>
        </w:rPr>
        <w:t xml:space="preserve">intervenante </w:t>
      </w:r>
      <w:proofErr w:type="spellStart"/>
      <w:r w:rsidRPr="00CC1A0B">
        <w:rPr>
          <w:lang w:val="fr-CA"/>
        </w:rPr>
        <w:t>Criminal</w:t>
      </w:r>
      <w:proofErr w:type="spellEnd"/>
      <w:r w:rsidRPr="00CC1A0B">
        <w:rPr>
          <w:lang w:val="fr-CA"/>
        </w:rPr>
        <w:t xml:space="preserve"> </w:t>
      </w:r>
      <w:proofErr w:type="spellStart"/>
      <w:r w:rsidRPr="00CC1A0B">
        <w:rPr>
          <w:lang w:val="fr-CA"/>
        </w:rPr>
        <w:t>Lawyers</w:t>
      </w:r>
      <w:proofErr w:type="spellEnd"/>
      <w:r w:rsidR="007B571E">
        <w:rPr>
          <w:lang w:val="fr-CA"/>
        </w:rPr>
        <w:t>’</w:t>
      </w:r>
      <w:r w:rsidRPr="00CC1A0B">
        <w:rPr>
          <w:lang w:val="fr-CA"/>
        </w:rPr>
        <w:t xml:space="preserve"> Association (Ontario</w:t>
      </w:r>
      <w:r>
        <w:rPr>
          <w:lang w:val="fr-CA"/>
        </w:rPr>
        <w:t>)</w:t>
      </w:r>
      <w:r w:rsidR="00FB73B5">
        <w:rPr>
          <w:lang w:val="fr-CA"/>
        </w:rPr>
        <w:t> :</w:t>
      </w:r>
      <w:r w:rsidR="004F59FD">
        <w:rPr>
          <w:lang w:val="fr-CA"/>
        </w:rPr>
        <w:t> </w:t>
      </w:r>
      <w:proofErr w:type="spellStart"/>
      <w:r w:rsidRPr="00CC1A0B">
        <w:rPr>
          <w:lang w:val="fr-CA"/>
        </w:rPr>
        <w:t>Henein</w:t>
      </w:r>
      <w:proofErr w:type="spellEnd"/>
      <w:r w:rsidRPr="00CC1A0B">
        <w:rPr>
          <w:lang w:val="fr-CA"/>
        </w:rPr>
        <w:t xml:space="preserve"> Hutchison, Toronto.</w:t>
      </w:r>
    </w:p>
    <w:p w:rsidR="00CC1A0B" w:rsidRPr="00CC1A0B" w:rsidRDefault="00CC1A0B" w:rsidP="003C0B54">
      <w:pPr>
        <w:pStyle w:val="SCCLawFirm"/>
        <w:widowControl w:val="0"/>
        <w:spacing w:before="480" w:after="480"/>
        <w:rPr>
          <w:lang w:val="fr-CA"/>
        </w:rPr>
      </w:pPr>
      <w:r w:rsidRPr="00CC1A0B">
        <w:rPr>
          <w:lang w:val="fr-CA"/>
        </w:rPr>
        <w:tab/>
        <w:t xml:space="preserve">Procureurs des intervenantes </w:t>
      </w:r>
      <w:proofErr w:type="spellStart"/>
      <w:r w:rsidRPr="00CC1A0B">
        <w:rPr>
          <w:lang w:val="fr-CA"/>
        </w:rPr>
        <w:t>Transparency</w:t>
      </w:r>
      <w:proofErr w:type="spellEnd"/>
      <w:r w:rsidRPr="00CC1A0B">
        <w:rPr>
          <w:lang w:val="fr-CA"/>
        </w:rPr>
        <w:t xml:space="preserve"> International Canada Inc. </w:t>
      </w:r>
      <w:r w:rsidR="00761EEB">
        <w:rPr>
          <w:lang w:val="fr-CA"/>
        </w:rPr>
        <w:t>et</w:t>
      </w:r>
      <w:r w:rsidRPr="00CC1A0B">
        <w:rPr>
          <w:lang w:val="fr-CA"/>
        </w:rPr>
        <w:t xml:space="preserve"> </w:t>
      </w:r>
      <w:proofErr w:type="spellStart"/>
      <w:r w:rsidRPr="00CC1A0B">
        <w:rPr>
          <w:lang w:val="fr-CA"/>
        </w:rPr>
        <w:t>Transparency</w:t>
      </w:r>
      <w:proofErr w:type="spellEnd"/>
      <w:r w:rsidRPr="00CC1A0B">
        <w:rPr>
          <w:lang w:val="fr-CA"/>
        </w:rPr>
        <w:t xml:space="preserve"> International </w:t>
      </w:r>
      <w:proofErr w:type="spellStart"/>
      <w:proofErr w:type="gramStart"/>
      <w:r w:rsidRPr="00CC1A0B">
        <w:rPr>
          <w:lang w:val="fr-CA"/>
        </w:rPr>
        <w:t>e.V.</w:t>
      </w:r>
      <w:proofErr w:type="spellEnd"/>
      <w:r w:rsidR="00FB73B5">
        <w:rPr>
          <w:lang w:val="fr-CA"/>
        </w:rPr>
        <w:t> :</w:t>
      </w:r>
      <w:proofErr w:type="gramEnd"/>
      <w:r w:rsidR="004F59FD">
        <w:rPr>
          <w:lang w:val="fr-CA"/>
        </w:rPr>
        <w:t> </w:t>
      </w:r>
      <w:r w:rsidRPr="00CC1A0B">
        <w:rPr>
          <w:lang w:val="fr-CA"/>
        </w:rPr>
        <w:t xml:space="preserve">Osler, </w:t>
      </w:r>
      <w:proofErr w:type="spellStart"/>
      <w:r w:rsidRPr="00CC1A0B">
        <w:rPr>
          <w:lang w:val="fr-CA"/>
        </w:rPr>
        <w:t>Hoskin</w:t>
      </w:r>
      <w:proofErr w:type="spellEnd"/>
      <w:r w:rsidRPr="00CC1A0B">
        <w:rPr>
          <w:lang w:val="fr-CA"/>
        </w:rPr>
        <w:t xml:space="preserve"> &amp; Harcourt, Toronto.</w:t>
      </w:r>
    </w:p>
    <w:p w:rsidR="00CC1A0B" w:rsidRPr="00CC1A0B" w:rsidRDefault="00CC1A0B" w:rsidP="003C0B54">
      <w:pPr>
        <w:pStyle w:val="SCCLawFirm"/>
        <w:widowControl w:val="0"/>
        <w:spacing w:before="480" w:after="480"/>
        <w:rPr>
          <w:lang w:val="fr-CA"/>
        </w:rPr>
      </w:pPr>
      <w:r w:rsidRPr="00CC1A0B">
        <w:rPr>
          <w:lang w:val="fr-CA"/>
        </w:rPr>
        <w:tab/>
        <w:t xml:space="preserve">Procureurs de </w:t>
      </w:r>
      <w:r w:rsidRPr="00CC1A0B">
        <w:rPr>
          <w:rStyle w:val="SCCCounselPartyRoleChar"/>
          <w:lang w:val="fr-CA"/>
        </w:rPr>
        <w:t>l</w:t>
      </w:r>
      <w:r w:rsidR="007B571E">
        <w:rPr>
          <w:rStyle w:val="SCCCounselPartyRoleChar"/>
          <w:lang w:val="fr-CA"/>
        </w:rPr>
        <w:t>’</w:t>
      </w:r>
      <w:r w:rsidRPr="00CC1A0B">
        <w:rPr>
          <w:rStyle w:val="SCCCounselPartyRoleChar"/>
          <w:lang w:val="fr-CA"/>
        </w:rPr>
        <w:t xml:space="preserve">intervenante </w:t>
      </w:r>
      <w:r w:rsidR="00F61B01">
        <w:rPr>
          <w:rStyle w:val="SCCCounselPartyRoleChar"/>
          <w:lang w:val="fr-CA"/>
        </w:rPr>
        <w:t>l</w:t>
      </w:r>
      <w:r w:rsidR="007B571E">
        <w:rPr>
          <w:rStyle w:val="SCCCounselPartyRoleChar"/>
          <w:lang w:val="fr-CA"/>
        </w:rPr>
        <w:t>’</w:t>
      </w:r>
      <w:r w:rsidR="00F61B01" w:rsidRPr="00F61B01">
        <w:rPr>
          <w:rStyle w:val="SCCCounselPartyRoleChar"/>
          <w:lang w:val="fr-CA"/>
        </w:rPr>
        <w:t xml:space="preserve">Association des </w:t>
      </w:r>
      <w:r w:rsidR="00F61B01">
        <w:rPr>
          <w:rStyle w:val="SCCCounselPartyRoleChar"/>
          <w:lang w:val="fr-CA"/>
        </w:rPr>
        <w:t>libertés civiles de la Colombie</w:t>
      </w:r>
      <w:r w:rsidR="00FB73B5">
        <w:rPr>
          <w:rStyle w:val="SCCCounselPartyRoleChar"/>
          <w:lang w:val="fr-CA"/>
        </w:rPr>
        <w:noBreakHyphen/>
      </w:r>
      <w:r w:rsidR="00F61B01" w:rsidRPr="00F61B01">
        <w:rPr>
          <w:rStyle w:val="SCCCounselPartyRoleChar"/>
          <w:lang w:val="fr-CA"/>
        </w:rPr>
        <w:t>Britannique</w:t>
      </w:r>
      <w:r w:rsidR="00563983">
        <w:rPr>
          <w:rStyle w:val="SCCCounselPartyRoleChar"/>
          <w:lang w:val="fr-CA"/>
        </w:rPr>
        <w:t> : </w:t>
      </w:r>
      <w:proofErr w:type="spellStart"/>
      <w:r w:rsidR="00563983" w:rsidRPr="00CC1A0B">
        <w:rPr>
          <w:lang w:val="fr-CA"/>
        </w:rPr>
        <w:t>Stockwoods</w:t>
      </w:r>
      <w:proofErr w:type="spellEnd"/>
      <w:r w:rsidR="00563983" w:rsidRPr="00CC1A0B">
        <w:rPr>
          <w:lang w:val="fr-CA"/>
        </w:rPr>
        <w:t>, Toronto</w:t>
      </w:r>
      <w:r w:rsidRPr="00CC1A0B">
        <w:rPr>
          <w:lang w:val="fr-CA"/>
        </w:rPr>
        <w:t>.</w:t>
      </w:r>
    </w:p>
    <w:p w:rsidR="00CC1A0B" w:rsidRPr="00CC1A0B" w:rsidRDefault="00CC1A0B" w:rsidP="003C0B54">
      <w:pPr>
        <w:pStyle w:val="SCCLawFirm"/>
        <w:widowControl w:val="0"/>
        <w:rPr>
          <w:lang w:val="fr-CA"/>
        </w:rPr>
      </w:pPr>
      <w:r w:rsidRPr="00CC1A0B">
        <w:rPr>
          <w:lang w:val="fr-CA"/>
        </w:rPr>
        <w:tab/>
        <w:t xml:space="preserve">Procureurs des </w:t>
      </w:r>
      <w:r w:rsidRPr="00CC1A0B">
        <w:rPr>
          <w:rStyle w:val="SCCCounselPartyRoleChar"/>
          <w:lang w:val="fr-CA"/>
        </w:rPr>
        <w:t xml:space="preserve">intervenants </w:t>
      </w:r>
      <w:r>
        <w:rPr>
          <w:rStyle w:val="SCCCounselPartyRoleChar"/>
          <w:lang w:val="fr-CA"/>
        </w:rPr>
        <w:t xml:space="preserve">la </w:t>
      </w:r>
      <w:r w:rsidRPr="00AE0FD6">
        <w:rPr>
          <w:lang w:val="fr-CA"/>
        </w:rPr>
        <w:t xml:space="preserve">Banque européenne pour la reconstruction et le développement, </w:t>
      </w:r>
      <w:r>
        <w:rPr>
          <w:lang w:val="fr-CA"/>
        </w:rPr>
        <w:t>l</w:t>
      </w:r>
      <w:r w:rsidR="007B571E">
        <w:rPr>
          <w:lang w:val="fr-CA"/>
        </w:rPr>
        <w:t>’</w:t>
      </w:r>
      <w:r w:rsidRPr="00AE0FD6">
        <w:rPr>
          <w:lang w:val="fr-CA"/>
        </w:rPr>
        <w:t xml:space="preserve">Organisation </w:t>
      </w:r>
      <w:r>
        <w:rPr>
          <w:lang w:val="fr-CA"/>
        </w:rPr>
        <w:t>de coopération et de développement économiques</w:t>
      </w:r>
      <w:r w:rsidRPr="00AE0FD6">
        <w:rPr>
          <w:lang w:val="fr-CA"/>
        </w:rPr>
        <w:t xml:space="preserve">, </w:t>
      </w:r>
      <w:r>
        <w:rPr>
          <w:lang w:val="fr-CA"/>
        </w:rPr>
        <w:t xml:space="preserve">le </w:t>
      </w:r>
      <w:r w:rsidRPr="001C3C43">
        <w:rPr>
          <w:lang w:val="fr-CA"/>
        </w:rPr>
        <w:t>Groupe de la Banque africaine de développement</w:t>
      </w:r>
      <w:r w:rsidRPr="00AE0FD6">
        <w:rPr>
          <w:lang w:val="fr-CA"/>
        </w:rPr>
        <w:t xml:space="preserve">, Asian Development Bank, </w:t>
      </w:r>
      <w:r>
        <w:rPr>
          <w:lang w:val="fr-CA"/>
        </w:rPr>
        <w:t xml:space="preserve">la </w:t>
      </w:r>
      <w:r w:rsidRPr="001C3C43">
        <w:rPr>
          <w:lang w:val="fr-CA"/>
        </w:rPr>
        <w:t>Banque interaméricaine de développement</w:t>
      </w:r>
      <w:r w:rsidRPr="00AE0FD6">
        <w:rPr>
          <w:lang w:val="fr-CA"/>
        </w:rPr>
        <w:t xml:space="preserve"> et </w:t>
      </w:r>
      <w:proofErr w:type="spellStart"/>
      <w:r w:rsidRPr="00AE0FD6">
        <w:rPr>
          <w:lang w:val="fr-CA"/>
        </w:rPr>
        <w:t>Nordic</w:t>
      </w:r>
      <w:proofErr w:type="spellEnd"/>
      <w:r w:rsidRPr="00AE0FD6">
        <w:rPr>
          <w:lang w:val="fr-CA"/>
        </w:rPr>
        <w:t xml:space="preserve"> Investment Bank</w:t>
      </w:r>
      <w:r w:rsidR="00FB73B5">
        <w:rPr>
          <w:lang w:val="fr-CA"/>
        </w:rPr>
        <w:t> :</w:t>
      </w:r>
      <w:r w:rsidR="004F59FD">
        <w:rPr>
          <w:lang w:val="fr-CA"/>
        </w:rPr>
        <w:t> </w:t>
      </w:r>
      <w:r w:rsidRPr="00CC1A0B">
        <w:rPr>
          <w:lang w:val="fr-CA"/>
        </w:rPr>
        <w:t xml:space="preserve">Borden </w:t>
      </w:r>
      <w:proofErr w:type="spellStart"/>
      <w:r w:rsidRPr="00CC1A0B">
        <w:rPr>
          <w:lang w:val="fr-CA"/>
        </w:rPr>
        <w:t>Ladner</w:t>
      </w:r>
      <w:proofErr w:type="spellEnd"/>
      <w:r w:rsidRPr="00CC1A0B">
        <w:rPr>
          <w:lang w:val="fr-CA"/>
        </w:rPr>
        <w:t xml:space="preserve"> Gervais, Ottawa.</w:t>
      </w:r>
    </w:p>
    <w:sectPr w:rsidR="00CC1A0B" w:rsidRPr="00CC1A0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54" w:rsidRDefault="00975254">
      <w:r>
        <w:separator/>
      </w:r>
    </w:p>
  </w:endnote>
  <w:endnote w:type="continuationSeparator" w:id="0">
    <w:p w:rsidR="00975254" w:rsidRDefault="0097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54" w:rsidRDefault="00975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54" w:rsidRDefault="00975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54" w:rsidRDefault="00975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54" w:rsidRDefault="00975254">
      <w:r>
        <w:separator/>
      </w:r>
    </w:p>
  </w:footnote>
  <w:footnote w:type="continuationSeparator" w:id="0">
    <w:p w:rsidR="00975254" w:rsidRDefault="0097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54" w:rsidRDefault="00975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54" w:rsidRPr="00450352" w:rsidRDefault="0097525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54" w:rsidRDefault="00975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851E7C"/>
    <w:multiLevelType w:val="hybridMultilevel"/>
    <w:tmpl w:val="6AFA5610"/>
    <w:lvl w:ilvl="0" w:tplc="04090019">
      <w:start w:val="1"/>
      <w:numFmt w:val="lowerLetter"/>
      <w:lvlText w:val="%1."/>
      <w:lvlJc w:val="left"/>
      <w:pPr>
        <w:ind w:left="1886" w:hanging="360"/>
      </w:pPr>
    </w:lvl>
    <w:lvl w:ilvl="1" w:tplc="10090019">
      <w:start w:val="1"/>
      <w:numFmt w:val="lowerLetter"/>
      <w:lvlText w:val="%2."/>
      <w:lvlJc w:val="left"/>
      <w:pPr>
        <w:ind w:left="2606" w:hanging="360"/>
      </w:pPr>
    </w:lvl>
    <w:lvl w:ilvl="2" w:tplc="1009001B">
      <w:start w:val="1"/>
      <w:numFmt w:val="lowerRoman"/>
      <w:lvlText w:val="%3."/>
      <w:lvlJc w:val="right"/>
      <w:pPr>
        <w:ind w:left="3326" w:hanging="180"/>
      </w:pPr>
    </w:lvl>
    <w:lvl w:ilvl="3" w:tplc="1009000F">
      <w:start w:val="1"/>
      <w:numFmt w:val="decimal"/>
      <w:lvlText w:val="%4."/>
      <w:lvlJc w:val="left"/>
      <w:pPr>
        <w:ind w:left="4046" w:hanging="360"/>
      </w:pPr>
    </w:lvl>
    <w:lvl w:ilvl="4" w:tplc="10090019">
      <w:start w:val="1"/>
      <w:numFmt w:val="lowerLetter"/>
      <w:lvlText w:val="%5."/>
      <w:lvlJc w:val="left"/>
      <w:pPr>
        <w:ind w:left="4766" w:hanging="360"/>
      </w:pPr>
    </w:lvl>
    <w:lvl w:ilvl="5" w:tplc="1009001B">
      <w:start w:val="1"/>
      <w:numFmt w:val="lowerRoman"/>
      <w:lvlText w:val="%6."/>
      <w:lvlJc w:val="right"/>
      <w:pPr>
        <w:ind w:left="5486" w:hanging="180"/>
      </w:pPr>
    </w:lvl>
    <w:lvl w:ilvl="6" w:tplc="1009000F">
      <w:start w:val="1"/>
      <w:numFmt w:val="decimal"/>
      <w:lvlText w:val="%7."/>
      <w:lvlJc w:val="left"/>
      <w:pPr>
        <w:ind w:left="6206" w:hanging="360"/>
      </w:pPr>
    </w:lvl>
    <w:lvl w:ilvl="7" w:tplc="10090019">
      <w:start w:val="1"/>
      <w:numFmt w:val="lowerLetter"/>
      <w:lvlText w:val="%8."/>
      <w:lvlJc w:val="left"/>
      <w:pPr>
        <w:ind w:left="1530" w:hanging="360"/>
      </w:pPr>
    </w:lvl>
    <w:lvl w:ilvl="8" w:tplc="1009001B">
      <w:start w:val="1"/>
      <w:numFmt w:val="lowerRoman"/>
      <w:lvlText w:val="%9."/>
      <w:lvlJc w:val="right"/>
      <w:pPr>
        <w:ind w:left="7646" w:hanging="180"/>
      </w:pPr>
    </w:lvl>
  </w:abstractNum>
  <w:abstractNum w:abstractNumId="2" w15:restartNumberingAfterBreak="0">
    <w:nsid w:val="1EDA56E2"/>
    <w:multiLevelType w:val="hybridMultilevel"/>
    <w:tmpl w:val="EAF8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A15078"/>
    <w:multiLevelType w:val="multilevel"/>
    <w:tmpl w:val="8A1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86DE6"/>
    <w:multiLevelType w:val="hybridMultilevel"/>
    <w:tmpl w:val="ADCE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70D7B"/>
    <w:multiLevelType w:val="hybridMultilevel"/>
    <w:tmpl w:val="731685A8"/>
    <w:lvl w:ilvl="0" w:tplc="0F5238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815F4"/>
    <w:multiLevelType w:val="hybridMultilevel"/>
    <w:tmpl w:val="4C9C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F97A695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D05F4F"/>
    <w:multiLevelType w:val="multilevel"/>
    <w:tmpl w:val="44002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83EE8"/>
    <w:multiLevelType w:val="multilevel"/>
    <w:tmpl w:val="E53E13C0"/>
    <w:lvl w:ilvl="0">
      <w:start w:val="1"/>
      <w:numFmt w:val="decimal"/>
      <w:pStyle w:val="ParaNoNdepar-AltN"/>
      <w:lvlText w:val="[%1]"/>
      <w:lvlJc w:val="left"/>
      <w:pPr>
        <w:tabs>
          <w:tab w:val="num" w:pos="6462"/>
        </w:tabs>
        <w:ind w:left="5310" w:firstLine="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4B1ACA"/>
    <w:multiLevelType w:val="multilevel"/>
    <w:tmpl w:val="E982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1D2690"/>
    <w:multiLevelType w:val="multilevel"/>
    <w:tmpl w:val="19D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9"/>
  </w:num>
  <w:num w:numId="6">
    <w:abstractNumId w:val="10"/>
  </w:num>
  <w:num w:numId="7">
    <w:abstractNumId w:val="12"/>
  </w:num>
  <w:num w:numId="8">
    <w:abstractNumId w:val="8"/>
  </w:num>
  <w:num w:numId="9">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6"/>
  </w:num>
  <w:num w:numId="11">
    <w:abstractNumId w:val="2"/>
  </w:num>
  <w:num w:numId="12">
    <w:abstractNumId w:val="7"/>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4"/>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5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AF0"/>
    <w:rsid w:val="00003626"/>
    <w:rsid w:val="00016AAE"/>
    <w:rsid w:val="00023FC7"/>
    <w:rsid w:val="00025198"/>
    <w:rsid w:val="00047812"/>
    <w:rsid w:val="00055001"/>
    <w:rsid w:val="000578A3"/>
    <w:rsid w:val="000612DD"/>
    <w:rsid w:val="000648CC"/>
    <w:rsid w:val="00064DCD"/>
    <w:rsid w:val="00071C2A"/>
    <w:rsid w:val="00072CB0"/>
    <w:rsid w:val="00075682"/>
    <w:rsid w:val="00076932"/>
    <w:rsid w:val="00077057"/>
    <w:rsid w:val="0008506F"/>
    <w:rsid w:val="000C4818"/>
    <w:rsid w:val="000C59B8"/>
    <w:rsid w:val="000C6AF0"/>
    <w:rsid w:val="000D0A77"/>
    <w:rsid w:val="000F7993"/>
    <w:rsid w:val="00102D40"/>
    <w:rsid w:val="00104F33"/>
    <w:rsid w:val="00111DE2"/>
    <w:rsid w:val="00114F21"/>
    <w:rsid w:val="00116B38"/>
    <w:rsid w:val="001309AF"/>
    <w:rsid w:val="00135406"/>
    <w:rsid w:val="00135972"/>
    <w:rsid w:val="001426A9"/>
    <w:rsid w:val="00154D7C"/>
    <w:rsid w:val="001570B0"/>
    <w:rsid w:val="0015752C"/>
    <w:rsid w:val="00157737"/>
    <w:rsid w:val="00165277"/>
    <w:rsid w:val="00166528"/>
    <w:rsid w:val="00170592"/>
    <w:rsid w:val="001720F7"/>
    <w:rsid w:val="00195D83"/>
    <w:rsid w:val="001A00C1"/>
    <w:rsid w:val="001B33E0"/>
    <w:rsid w:val="001B4573"/>
    <w:rsid w:val="001C3C43"/>
    <w:rsid w:val="001C779F"/>
    <w:rsid w:val="001D1335"/>
    <w:rsid w:val="001D2AC1"/>
    <w:rsid w:val="001D4E88"/>
    <w:rsid w:val="001F05E9"/>
    <w:rsid w:val="001F45CB"/>
    <w:rsid w:val="00220FC2"/>
    <w:rsid w:val="002222F4"/>
    <w:rsid w:val="00224FC0"/>
    <w:rsid w:val="00225EA4"/>
    <w:rsid w:val="00226EAF"/>
    <w:rsid w:val="00231F3A"/>
    <w:rsid w:val="002405E3"/>
    <w:rsid w:val="002406EE"/>
    <w:rsid w:val="002433BE"/>
    <w:rsid w:val="00243EC8"/>
    <w:rsid w:val="00270D93"/>
    <w:rsid w:val="002745CC"/>
    <w:rsid w:val="00292900"/>
    <w:rsid w:val="00292F33"/>
    <w:rsid w:val="002B6FBE"/>
    <w:rsid w:val="002B7924"/>
    <w:rsid w:val="002C10A6"/>
    <w:rsid w:val="002D28C3"/>
    <w:rsid w:val="002D3984"/>
    <w:rsid w:val="002D39A4"/>
    <w:rsid w:val="002E0A32"/>
    <w:rsid w:val="002E6705"/>
    <w:rsid w:val="00302DED"/>
    <w:rsid w:val="0030329A"/>
    <w:rsid w:val="0031086F"/>
    <w:rsid w:val="00312FD8"/>
    <w:rsid w:val="00313E93"/>
    <w:rsid w:val="0031414C"/>
    <w:rsid w:val="00314E01"/>
    <w:rsid w:val="0032089D"/>
    <w:rsid w:val="003310DE"/>
    <w:rsid w:val="003323B0"/>
    <w:rsid w:val="00335F3B"/>
    <w:rsid w:val="00340A49"/>
    <w:rsid w:val="00341916"/>
    <w:rsid w:val="00347349"/>
    <w:rsid w:val="0035169A"/>
    <w:rsid w:val="0035259D"/>
    <w:rsid w:val="00364B18"/>
    <w:rsid w:val="003661D7"/>
    <w:rsid w:val="00387E52"/>
    <w:rsid w:val="00392523"/>
    <w:rsid w:val="00395F72"/>
    <w:rsid w:val="003A125D"/>
    <w:rsid w:val="003A4C70"/>
    <w:rsid w:val="003A79A7"/>
    <w:rsid w:val="003B215F"/>
    <w:rsid w:val="003C0B54"/>
    <w:rsid w:val="003C799C"/>
    <w:rsid w:val="003C7EB9"/>
    <w:rsid w:val="003D0399"/>
    <w:rsid w:val="003D5B1B"/>
    <w:rsid w:val="003E1C71"/>
    <w:rsid w:val="003F327B"/>
    <w:rsid w:val="00403030"/>
    <w:rsid w:val="00406166"/>
    <w:rsid w:val="0040704B"/>
    <w:rsid w:val="00410A55"/>
    <w:rsid w:val="00411300"/>
    <w:rsid w:val="00413F17"/>
    <w:rsid w:val="00415417"/>
    <w:rsid w:val="00425CA5"/>
    <w:rsid w:val="004261FC"/>
    <w:rsid w:val="00426659"/>
    <w:rsid w:val="00426CFD"/>
    <w:rsid w:val="00446E4A"/>
    <w:rsid w:val="00450352"/>
    <w:rsid w:val="00454BDB"/>
    <w:rsid w:val="004634D0"/>
    <w:rsid w:val="00465132"/>
    <w:rsid w:val="00480C90"/>
    <w:rsid w:val="0048396F"/>
    <w:rsid w:val="00493C18"/>
    <w:rsid w:val="004A12AE"/>
    <w:rsid w:val="004A600C"/>
    <w:rsid w:val="004A6118"/>
    <w:rsid w:val="004B1A52"/>
    <w:rsid w:val="004C478D"/>
    <w:rsid w:val="004C507F"/>
    <w:rsid w:val="004C7C6D"/>
    <w:rsid w:val="004D7D95"/>
    <w:rsid w:val="004E2C26"/>
    <w:rsid w:val="004E652D"/>
    <w:rsid w:val="004F59FD"/>
    <w:rsid w:val="00511561"/>
    <w:rsid w:val="005125A8"/>
    <w:rsid w:val="00517549"/>
    <w:rsid w:val="00520ABC"/>
    <w:rsid w:val="00520D18"/>
    <w:rsid w:val="00521AE8"/>
    <w:rsid w:val="00527180"/>
    <w:rsid w:val="00541CF2"/>
    <w:rsid w:val="00555291"/>
    <w:rsid w:val="00563983"/>
    <w:rsid w:val="00566AD1"/>
    <w:rsid w:val="00583EDE"/>
    <w:rsid w:val="005926FB"/>
    <w:rsid w:val="00594131"/>
    <w:rsid w:val="005A6079"/>
    <w:rsid w:val="005B274F"/>
    <w:rsid w:val="005B2B4A"/>
    <w:rsid w:val="005B78F4"/>
    <w:rsid w:val="005C5AA6"/>
    <w:rsid w:val="005E4698"/>
    <w:rsid w:val="005F7FB1"/>
    <w:rsid w:val="00603924"/>
    <w:rsid w:val="00610539"/>
    <w:rsid w:val="00611737"/>
    <w:rsid w:val="00612186"/>
    <w:rsid w:val="0061296D"/>
    <w:rsid w:val="00613969"/>
    <w:rsid w:val="00614B99"/>
    <w:rsid w:val="006225DC"/>
    <w:rsid w:val="00625C35"/>
    <w:rsid w:val="00647E49"/>
    <w:rsid w:val="00656313"/>
    <w:rsid w:val="006565F4"/>
    <w:rsid w:val="00666D00"/>
    <w:rsid w:val="00684EEA"/>
    <w:rsid w:val="0069689B"/>
    <w:rsid w:val="006B5FF5"/>
    <w:rsid w:val="006D1EFE"/>
    <w:rsid w:val="006E0876"/>
    <w:rsid w:val="006E41B2"/>
    <w:rsid w:val="006F30AF"/>
    <w:rsid w:val="006F5DD1"/>
    <w:rsid w:val="00701759"/>
    <w:rsid w:val="00705C15"/>
    <w:rsid w:val="00705EA4"/>
    <w:rsid w:val="00707A78"/>
    <w:rsid w:val="007110F6"/>
    <w:rsid w:val="007208D1"/>
    <w:rsid w:val="00724B8B"/>
    <w:rsid w:val="007277FB"/>
    <w:rsid w:val="007341B6"/>
    <w:rsid w:val="00744518"/>
    <w:rsid w:val="00746D79"/>
    <w:rsid w:val="00747288"/>
    <w:rsid w:val="00747DD3"/>
    <w:rsid w:val="007549C8"/>
    <w:rsid w:val="00761EEB"/>
    <w:rsid w:val="00766D14"/>
    <w:rsid w:val="00767A0F"/>
    <w:rsid w:val="007778E8"/>
    <w:rsid w:val="00791272"/>
    <w:rsid w:val="00797725"/>
    <w:rsid w:val="007A05F6"/>
    <w:rsid w:val="007A1AA2"/>
    <w:rsid w:val="007A4821"/>
    <w:rsid w:val="007B19B0"/>
    <w:rsid w:val="007B571E"/>
    <w:rsid w:val="007B6F4A"/>
    <w:rsid w:val="007B7B36"/>
    <w:rsid w:val="007C1278"/>
    <w:rsid w:val="007C1406"/>
    <w:rsid w:val="007C32EA"/>
    <w:rsid w:val="007E1C47"/>
    <w:rsid w:val="007E337A"/>
    <w:rsid w:val="007E4246"/>
    <w:rsid w:val="007E5C70"/>
    <w:rsid w:val="007F2FF5"/>
    <w:rsid w:val="007F3F08"/>
    <w:rsid w:val="00804CC6"/>
    <w:rsid w:val="00805C68"/>
    <w:rsid w:val="00817190"/>
    <w:rsid w:val="008260E2"/>
    <w:rsid w:val="00826694"/>
    <w:rsid w:val="0083049F"/>
    <w:rsid w:val="008322BD"/>
    <w:rsid w:val="00834F73"/>
    <w:rsid w:val="008378B9"/>
    <w:rsid w:val="00846DC6"/>
    <w:rsid w:val="00851FED"/>
    <w:rsid w:val="00864C8A"/>
    <w:rsid w:val="00864CF8"/>
    <w:rsid w:val="00872C0B"/>
    <w:rsid w:val="00874914"/>
    <w:rsid w:val="00891422"/>
    <w:rsid w:val="00892E1A"/>
    <w:rsid w:val="008965D8"/>
    <w:rsid w:val="008B660A"/>
    <w:rsid w:val="008C01DA"/>
    <w:rsid w:val="008C1AE4"/>
    <w:rsid w:val="008D139D"/>
    <w:rsid w:val="008F2674"/>
    <w:rsid w:val="008F78E9"/>
    <w:rsid w:val="0090153B"/>
    <w:rsid w:val="009179F9"/>
    <w:rsid w:val="00917C7A"/>
    <w:rsid w:val="00926F65"/>
    <w:rsid w:val="00933D07"/>
    <w:rsid w:val="00933E5E"/>
    <w:rsid w:val="00935218"/>
    <w:rsid w:val="00937C52"/>
    <w:rsid w:val="009403F3"/>
    <w:rsid w:val="00947A95"/>
    <w:rsid w:val="0095052F"/>
    <w:rsid w:val="009555B7"/>
    <w:rsid w:val="00955B2A"/>
    <w:rsid w:val="009567AA"/>
    <w:rsid w:val="009602C9"/>
    <w:rsid w:val="00967374"/>
    <w:rsid w:val="00974BF6"/>
    <w:rsid w:val="00975254"/>
    <w:rsid w:val="0098384C"/>
    <w:rsid w:val="009A343A"/>
    <w:rsid w:val="009B2F23"/>
    <w:rsid w:val="009B57B3"/>
    <w:rsid w:val="009D2920"/>
    <w:rsid w:val="009D5AEB"/>
    <w:rsid w:val="009D683B"/>
    <w:rsid w:val="009F0E33"/>
    <w:rsid w:val="00A0395E"/>
    <w:rsid w:val="00A06ADB"/>
    <w:rsid w:val="00A149DF"/>
    <w:rsid w:val="00A1755C"/>
    <w:rsid w:val="00A21B90"/>
    <w:rsid w:val="00A22AAC"/>
    <w:rsid w:val="00A31BDE"/>
    <w:rsid w:val="00A411DF"/>
    <w:rsid w:val="00A41350"/>
    <w:rsid w:val="00A41805"/>
    <w:rsid w:val="00A51882"/>
    <w:rsid w:val="00A52AFB"/>
    <w:rsid w:val="00A5439E"/>
    <w:rsid w:val="00A548CB"/>
    <w:rsid w:val="00A5521C"/>
    <w:rsid w:val="00A5586E"/>
    <w:rsid w:val="00A57F13"/>
    <w:rsid w:val="00A643E7"/>
    <w:rsid w:val="00A73C38"/>
    <w:rsid w:val="00A878D7"/>
    <w:rsid w:val="00A921A7"/>
    <w:rsid w:val="00AB3ED7"/>
    <w:rsid w:val="00AB670D"/>
    <w:rsid w:val="00AD2AB8"/>
    <w:rsid w:val="00AD4B90"/>
    <w:rsid w:val="00AE0FD6"/>
    <w:rsid w:val="00AF03C5"/>
    <w:rsid w:val="00B000D8"/>
    <w:rsid w:val="00B00F75"/>
    <w:rsid w:val="00B1081D"/>
    <w:rsid w:val="00B145B6"/>
    <w:rsid w:val="00B15CCB"/>
    <w:rsid w:val="00B25515"/>
    <w:rsid w:val="00B279EB"/>
    <w:rsid w:val="00B36F8A"/>
    <w:rsid w:val="00B50C81"/>
    <w:rsid w:val="00B557F8"/>
    <w:rsid w:val="00B57D3A"/>
    <w:rsid w:val="00B614B2"/>
    <w:rsid w:val="00B815FC"/>
    <w:rsid w:val="00B93FBC"/>
    <w:rsid w:val="00BA3A63"/>
    <w:rsid w:val="00BA7DA0"/>
    <w:rsid w:val="00BB2EE4"/>
    <w:rsid w:val="00BB4C92"/>
    <w:rsid w:val="00BC2108"/>
    <w:rsid w:val="00BC7E41"/>
    <w:rsid w:val="00BD0E9E"/>
    <w:rsid w:val="00BD1BEC"/>
    <w:rsid w:val="00BD32FF"/>
    <w:rsid w:val="00BD759C"/>
    <w:rsid w:val="00BE0737"/>
    <w:rsid w:val="00BF6FE9"/>
    <w:rsid w:val="00C00B9A"/>
    <w:rsid w:val="00C02092"/>
    <w:rsid w:val="00C23C8F"/>
    <w:rsid w:val="00C24D91"/>
    <w:rsid w:val="00C26DB2"/>
    <w:rsid w:val="00C300E9"/>
    <w:rsid w:val="00C50B7B"/>
    <w:rsid w:val="00C53F14"/>
    <w:rsid w:val="00C600CF"/>
    <w:rsid w:val="00C6084F"/>
    <w:rsid w:val="00C62A66"/>
    <w:rsid w:val="00C66359"/>
    <w:rsid w:val="00C71458"/>
    <w:rsid w:val="00C77613"/>
    <w:rsid w:val="00C828E7"/>
    <w:rsid w:val="00C86719"/>
    <w:rsid w:val="00C921DD"/>
    <w:rsid w:val="00CA2CC0"/>
    <w:rsid w:val="00CA6391"/>
    <w:rsid w:val="00CC1A0B"/>
    <w:rsid w:val="00CC24D1"/>
    <w:rsid w:val="00CD104F"/>
    <w:rsid w:val="00CD2622"/>
    <w:rsid w:val="00CD3A54"/>
    <w:rsid w:val="00CD3B98"/>
    <w:rsid w:val="00CE036E"/>
    <w:rsid w:val="00CE3171"/>
    <w:rsid w:val="00CE52DD"/>
    <w:rsid w:val="00CF1601"/>
    <w:rsid w:val="00D0172F"/>
    <w:rsid w:val="00D01E33"/>
    <w:rsid w:val="00D068A7"/>
    <w:rsid w:val="00D1135A"/>
    <w:rsid w:val="00D17476"/>
    <w:rsid w:val="00D17B0E"/>
    <w:rsid w:val="00D2306A"/>
    <w:rsid w:val="00D32086"/>
    <w:rsid w:val="00D35094"/>
    <w:rsid w:val="00D37A3F"/>
    <w:rsid w:val="00D37CC2"/>
    <w:rsid w:val="00D4431D"/>
    <w:rsid w:val="00D4667A"/>
    <w:rsid w:val="00D5222F"/>
    <w:rsid w:val="00D63A1C"/>
    <w:rsid w:val="00D63C13"/>
    <w:rsid w:val="00D67CE3"/>
    <w:rsid w:val="00D7516F"/>
    <w:rsid w:val="00D80572"/>
    <w:rsid w:val="00D93305"/>
    <w:rsid w:val="00D95F8E"/>
    <w:rsid w:val="00DA0590"/>
    <w:rsid w:val="00DA6731"/>
    <w:rsid w:val="00DA69CE"/>
    <w:rsid w:val="00DC1739"/>
    <w:rsid w:val="00DC1788"/>
    <w:rsid w:val="00DD1CE3"/>
    <w:rsid w:val="00DD3578"/>
    <w:rsid w:val="00DE319C"/>
    <w:rsid w:val="00DF0CA8"/>
    <w:rsid w:val="00DF2B48"/>
    <w:rsid w:val="00DF2D2D"/>
    <w:rsid w:val="00DF47C9"/>
    <w:rsid w:val="00DF49A7"/>
    <w:rsid w:val="00E03472"/>
    <w:rsid w:val="00E06A28"/>
    <w:rsid w:val="00E07EE2"/>
    <w:rsid w:val="00E07FD1"/>
    <w:rsid w:val="00E225EE"/>
    <w:rsid w:val="00E24573"/>
    <w:rsid w:val="00E25E1E"/>
    <w:rsid w:val="00E27EE7"/>
    <w:rsid w:val="00E35404"/>
    <w:rsid w:val="00E45109"/>
    <w:rsid w:val="00E47B7A"/>
    <w:rsid w:val="00E52DC9"/>
    <w:rsid w:val="00E53B95"/>
    <w:rsid w:val="00E56A44"/>
    <w:rsid w:val="00E60269"/>
    <w:rsid w:val="00E6255D"/>
    <w:rsid w:val="00E92B91"/>
    <w:rsid w:val="00E97830"/>
    <w:rsid w:val="00EB71AA"/>
    <w:rsid w:val="00EC2E42"/>
    <w:rsid w:val="00EC49E7"/>
    <w:rsid w:val="00EE0830"/>
    <w:rsid w:val="00EE5EFE"/>
    <w:rsid w:val="00EE6CB8"/>
    <w:rsid w:val="00EF0683"/>
    <w:rsid w:val="00F0070C"/>
    <w:rsid w:val="00F00EB7"/>
    <w:rsid w:val="00F06260"/>
    <w:rsid w:val="00F24217"/>
    <w:rsid w:val="00F3611D"/>
    <w:rsid w:val="00F36AB6"/>
    <w:rsid w:val="00F376AF"/>
    <w:rsid w:val="00F37A09"/>
    <w:rsid w:val="00F409CE"/>
    <w:rsid w:val="00F418AC"/>
    <w:rsid w:val="00F42B27"/>
    <w:rsid w:val="00F4379D"/>
    <w:rsid w:val="00F50D2D"/>
    <w:rsid w:val="00F56C8B"/>
    <w:rsid w:val="00F61B01"/>
    <w:rsid w:val="00F62639"/>
    <w:rsid w:val="00F66810"/>
    <w:rsid w:val="00F73035"/>
    <w:rsid w:val="00F84DF4"/>
    <w:rsid w:val="00F85C97"/>
    <w:rsid w:val="00F91E37"/>
    <w:rsid w:val="00FB37D2"/>
    <w:rsid w:val="00FB38F9"/>
    <w:rsid w:val="00FB73B5"/>
    <w:rsid w:val="00FC08A8"/>
    <w:rsid w:val="00FC4EFB"/>
    <w:rsid w:val="00FD068D"/>
    <w:rsid w:val="00FD4F28"/>
    <w:rsid w:val="00FD5748"/>
    <w:rsid w:val="00FE14E1"/>
    <w:rsid w:val="00FE6784"/>
    <w:rsid w:val="00FE7A8B"/>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5E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BD759C"/>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BD759C"/>
    <w:pPr>
      <w:spacing w:before="480" w:after="480" w:line="480" w:lineRule="auto"/>
      <w:jc w:val="both"/>
    </w:pPr>
    <w:rPr>
      <w:rFonts w:eastAsiaTheme="minorHAnsi" w:cstheme="minorBidi"/>
      <w:sz w:val="24"/>
      <w:szCs w:val="22"/>
      <w:lang w:eastAsia="en-US"/>
    </w:rPr>
  </w:style>
  <w:style w:type="character" w:customStyle="1" w:styleId="reflex3-block">
    <w:name w:val="reflex3-block"/>
    <w:basedOn w:val="DefaultParagraphFont"/>
    <w:rsid w:val="00BD759C"/>
  </w:style>
  <w:style w:type="character" w:customStyle="1" w:styleId="Heading3Char">
    <w:name w:val="Heading 3 Char"/>
    <w:basedOn w:val="DefaultParagraphFont"/>
    <w:link w:val="Heading3"/>
    <w:uiPriority w:val="9"/>
    <w:semiHidden/>
    <w:rsid w:val="002405E3"/>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2405E3"/>
    <w:pPr>
      <w:spacing w:after="480"/>
    </w:pPr>
    <w:rPr>
      <w:rFonts w:eastAsiaTheme="minorHAnsi" w:cstheme="minorBidi"/>
      <w:szCs w:val="22"/>
      <w:lang w:eastAsia="en-US"/>
    </w:rPr>
  </w:style>
  <w:style w:type="paragraph" w:customStyle="1" w:styleId="SCCCoram">
    <w:name w:val="SCC.Coram"/>
    <w:basedOn w:val="Normal"/>
    <w:next w:val="Normal"/>
    <w:link w:val="SCCCoramChar"/>
    <w:rsid w:val="002405E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405E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405E3"/>
    <w:rPr>
      <w:rFonts w:eastAsiaTheme="minorHAnsi" w:cstheme="minorBidi"/>
      <w:sz w:val="24"/>
      <w:szCs w:val="22"/>
      <w:lang w:eastAsia="en-US"/>
    </w:rPr>
  </w:style>
  <w:style w:type="character" w:customStyle="1" w:styleId="SCCBanSummaryChar">
    <w:name w:val="SCC.BanSummary Char"/>
    <w:basedOn w:val="DefaultParagraphFont"/>
    <w:link w:val="SCCBanSummary"/>
    <w:rsid w:val="002405E3"/>
    <w:rPr>
      <w:b/>
      <w:sz w:val="24"/>
    </w:rPr>
  </w:style>
  <w:style w:type="table" w:styleId="TableGrid">
    <w:name w:val="Table Grid"/>
    <w:basedOn w:val="TableNormal"/>
    <w:uiPriority w:val="59"/>
    <w:rsid w:val="002405E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405E3"/>
    <w:pPr>
      <w:spacing w:after="720"/>
      <w:ind w:left="1166"/>
      <w:contextualSpacing/>
      <w:jc w:val="both"/>
    </w:pPr>
    <w:rPr>
      <w:sz w:val="24"/>
      <w:szCs w:val="24"/>
    </w:rPr>
  </w:style>
  <w:style w:type="paragraph" w:customStyle="1" w:styleId="JudgeJuge">
    <w:name w:val="Judge / Juge"/>
    <w:uiPriority w:val="3"/>
    <w:rsid w:val="002405E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405E3"/>
    <w:pPr>
      <w:numPr>
        <w:numId w:val="8"/>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405E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405E3"/>
    <w:pPr>
      <w:numPr>
        <w:ilvl w:val="2"/>
      </w:numPr>
    </w:pPr>
  </w:style>
  <w:style w:type="paragraph" w:customStyle="1" w:styleId="Title4LevelTitre4Niveau">
    <w:name w:val="Title 4 Level / Titre 4 Niveau"/>
    <w:basedOn w:val="Title3LevelTitre3Niveau"/>
    <w:next w:val="ParaNoNdepar-AltN"/>
    <w:uiPriority w:val="4"/>
    <w:qFormat/>
    <w:rsid w:val="002405E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405E3"/>
    <w:pPr>
      <w:numPr>
        <w:ilvl w:val="4"/>
      </w:numPr>
    </w:pPr>
  </w:style>
  <w:style w:type="paragraph" w:styleId="TOC1">
    <w:name w:val="toc 1"/>
    <w:basedOn w:val="Normal"/>
    <w:next w:val="Normal"/>
    <w:autoRedefine/>
    <w:uiPriority w:val="39"/>
    <w:unhideWhenUsed/>
    <w:rsid w:val="002405E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405E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405E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405E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405E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405E3"/>
    <w:pPr>
      <w:tabs>
        <w:tab w:val="left" w:pos="2160"/>
        <w:tab w:val="right" w:leader="dot" w:pos="8270"/>
      </w:tabs>
      <w:spacing w:after="100"/>
      <w:ind w:left="1800"/>
    </w:pPr>
    <w:rPr>
      <w:noProof/>
    </w:rPr>
  </w:style>
  <w:style w:type="table" w:customStyle="1" w:styleId="TableGrid1">
    <w:name w:val="Table Grid1"/>
    <w:basedOn w:val="TableNormal"/>
    <w:uiPriority w:val="59"/>
    <w:rsid w:val="002405E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405E3"/>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405E3"/>
    <w:pPr>
      <w:numPr>
        <w:ilvl w:val="5"/>
      </w:numPr>
    </w:pPr>
    <w:rPr>
      <w:i/>
      <w:u w:val="none"/>
    </w:rPr>
  </w:style>
  <w:style w:type="paragraph" w:styleId="FootnoteText">
    <w:name w:val="footnote text"/>
    <w:basedOn w:val="Normal"/>
    <w:link w:val="FootnoteTextChar"/>
    <w:uiPriority w:val="99"/>
    <w:unhideWhenUsed/>
    <w:rsid w:val="002405E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405E3"/>
  </w:style>
  <w:style w:type="character" w:styleId="FootnoteReference">
    <w:name w:val="footnote reference"/>
    <w:basedOn w:val="DefaultParagraphFont"/>
    <w:uiPriority w:val="99"/>
    <w:semiHidden/>
    <w:unhideWhenUsed/>
    <w:rsid w:val="002405E3"/>
    <w:rPr>
      <w:vertAlign w:val="superscript"/>
    </w:rPr>
  </w:style>
  <w:style w:type="paragraph" w:styleId="ListParagraph">
    <w:name w:val="List Paragraph"/>
    <w:basedOn w:val="Normal"/>
    <w:uiPriority w:val="34"/>
    <w:qFormat/>
    <w:rsid w:val="002405E3"/>
    <w:pPr>
      <w:ind w:left="720"/>
      <w:contextualSpacing/>
    </w:pPr>
    <w:rPr>
      <w:rFonts w:eastAsiaTheme="minorHAnsi" w:cstheme="minorBidi"/>
      <w:szCs w:val="22"/>
      <w:lang w:val="en-US" w:eastAsia="en-US"/>
    </w:rPr>
  </w:style>
  <w:style w:type="character" w:customStyle="1" w:styleId="reflex3-alt">
    <w:name w:val="reflex3-alt"/>
    <w:basedOn w:val="DefaultParagraphFont"/>
    <w:rsid w:val="002405E3"/>
  </w:style>
  <w:style w:type="character" w:styleId="CommentReference">
    <w:name w:val="annotation reference"/>
    <w:basedOn w:val="DefaultParagraphFont"/>
    <w:uiPriority w:val="99"/>
    <w:semiHidden/>
    <w:unhideWhenUsed/>
    <w:rsid w:val="002405E3"/>
    <w:rPr>
      <w:sz w:val="16"/>
      <w:szCs w:val="16"/>
    </w:rPr>
  </w:style>
  <w:style w:type="paragraph" w:styleId="CommentText">
    <w:name w:val="annotation text"/>
    <w:basedOn w:val="Normal"/>
    <w:link w:val="CommentTextChar"/>
    <w:uiPriority w:val="99"/>
    <w:semiHidden/>
    <w:unhideWhenUsed/>
    <w:rsid w:val="002405E3"/>
    <w:rPr>
      <w:sz w:val="20"/>
    </w:rPr>
  </w:style>
  <w:style w:type="character" w:customStyle="1" w:styleId="CommentTextChar">
    <w:name w:val="Comment Text Char"/>
    <w:basedOn w:val="DefaultParagraphFont"/>
    <w:link w:val="CommentText"/>
    <w:uiPriority w:val="99"/>
    <w:semiHidden/>
    <w:rsid w:val="002405E3"/>
  </w:style>
  <w:style w:type="paragraph" w:styleId="CommentSubject">
    <w:name w:val="annotation subject"/>
    <w:basedOn w:val="CommentText"/>
    <w:next w:val="CommentText"/>
    <w:link w:val="CommentSubjectChar"/>
    <w:uiPriority w:val="99"/>
    <w:semiHidden/>
    <w:unhideWhenUsed/>
    <w:rsid w:val="002405E3"/>
    <w:rPr>
      <w:b/>
      <w:bCs/>
    </w:rPr>
  </w:style>
  <w:style w:type="character" w:customStyle="1" w:styleId="CommentSubjectChar">
    <w:name w:val="Comment Subject Char"/>
    <w:basedOn w:val="CommentTextChar"/>
    <w:link w:val="CommentSubject"/>
    <w:uiPriority w:val="99"/>
    <w:semiHidden/>
    <w:rsid w:val="002405E3"/>
    <w:rPr>
      <w:b/>
      <w:bCs/>
    </w:rPr>
  </w:style>
  <w:style w:type="character" w:customStyle="1" w:styleId="nowrap">
    <w:name w:val="nowrap"/>
    <w:basedOn w:val="DefaultParagraphFont"/>
    <w:rsid w:val="002405E3"/>
  </w:style>
  <w:style w:type="character" w:customStyle="1" w:styleId="ssl21">
    <w:name w:val="ss_l21"/>
    <w:basedOn w:val="DefaultParagraphFont"/>
    <w:rsid w:val="002405E3"/>
    <w:rPr>
      <w:color w:val="000000"/>
      <w:sz w:val="24"/>
      <w:szCs w:val="24"/>
    </w:rPr>
  </w:style>
  <w:style w:type="character" w:styleId="Emphasis">
    <w:name w:val="Emphasis"/>
    <w:basedOn w:val="DefaultParagraphFont"/>
    <w:uiPriority w:val="20"/>
    <w:qFormat/>
    <w:rsid w:val="002405E3"/>
    <w:rPr>
      <w:i/>
      <w:iCs/>
    </w:rPr>
  </w:style>
  <w:style w:type="paragraph" w:customStyle="1" w:styleId="indent-1-0">
    <w:name w:val="indent-1-0"/>
    <w:basedOn w:val="Normal"/>
    <w:rsid w:val="002405E3"/>
    <w:pPr>
      <w:spacing w:before="100" w:beforeAutospacing="1" w:after="100" w:afterAutospacing="1"/>
    </w:pPr>
    <w:rPr>
      <w:szCs w:val="24"/>
    </w:rPr>
  </w:style>
  <w:style w:type="paragraph" w:customStyle="1" w:styleId="indent-2-2">
    <w:name w:val="indent-2-2"/>
    <w:basedOn w:val="Normal"/>
    <w:rsid w:val="002405E3"/>
    <w:pPr>
      <w:spacing w:before="100" w:beforeAutospacing="1" w:after="100" w:afterAutospacing="1"/>
    </w:pPr>
    <w:rPr>
      <w:szCs w:val="24"/>
    </w:rPr>
  </w:style>
  <w:style w:type="paragraph" w:styleId="Revision">
    <w:name w:val="Revision"/>
    <w:hidden/>
    <w:uiPriority w:val="99"/>
    <w:semiHidden/>
    <w:rsid w:val="002405E3"/>
    <w:rPr>
      <w:sz w:val="24"/>
      <w:szCs w:val="24"/>
    </w:rPr>
  </w:style>
  <w:style w:type="character" w:customStyle="1" w:styleId="SCCLsocPartyRoleChar">
    <w:name w:val="SCC.Lsoc.PartyRole Char"/>
    <w:basedOn w:val="DefaultParagraphFont"/>
    <w:rsid w:val="00347349"/>
    <w:rPr>
      <w:lang w:val="fr-CA"/>
    </w:rPr>
  </w:style>
  <w:style w:type="paragraph" w:customStyle="1" w:styleId="SCCLsocPrefix">
    <w:name w:val="SCC.Lsoc.Prefix"/>
    <w:basedOn w:val="Normal"/>
    <w:next w:val="Normal"/>
    <w:link w:val="SCCLsocPrefixChar"/>
    <w:rsid w:val="0034734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4734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18BA-B46A-4769-8544-E44B3A5C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20421</Words>
  <Characters>109937</Characters>
  <Application>Microsoft Office Word</Application>
  <DocSecurity>0</DocSecurity>
  <Lines>916</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2016-04-29T16:14:00Z</dcterms:created>
  <dcterms:modified xsi:type="dcterms:W3CDTF">2016-11-08T18:08:00Z</dcterms:modified>
</cp:coreProperties>
</file>