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3B" w:rsidRDefault="007D793B" w:rsidP="007D793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0116269" r:id="rId9"/>
        </w:object>
      </w:r>
      <w:r>
        <w:t xml:space="preserve"> </w:t>
      </w:r>
      <w:r>
        <w:ptab w:relativeTo="margin" w:alignment="right" w:leader="none"/>
      </w:r>
    </w:p>
    <w:p w:rsidR="007D793B" w:rsidRDefault="007D793B" w:rsidP="007D793B">
      <w:pPr>
        <w:pStyle w:val="Header"/>
      </w:pPr>
    </w:p>
    <w:p w:rsidR="007D793B" w:rsidRPr="001E12E2" w:rsidRDefault="007D793B" w:rsidP="007D793B">
      <w:pPr>
        <w:jc w:val="center"/>
        <w:rPr>
          <w:b/>
        </w:rPr>
      </w:pPr>
      <w:r w:rsidRPr="001E12E2">
        <w:rPr>
          <w:b/>
        </w:rPr>
        <w:t>COUR SUPRÊME DU CANADA</w:t>
      </w:r>
    </w:p>
    <w:p w:rsidR="007D793B" w:rsidRDefault="007D793B" w:rsidP="007D793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1638"/>
        <w:gridCol w:w="2808"/>
      </w:tblGrid>
      <w:tr w:rsidR="007D793B" w:rsidRPr="001E12E2" w:rsidTr="00E040A0">
        <w:trPr>
          <w:cantSplit/>
        </w:trPr>
        <w:tc>
          <w:tcPr>
            <w:tcW w:w="6768" w:type="dxa"/>
            <w:gridSpan w:val="2"/>
          </w:tcPr>
          <w:p w:rsidR="007D793B" w:rsidRPr="001E12E2" w:rsidRDefault="007D793B" w:rsidP="00E040A0"/>
        </w:tc>
        <w:tc>
          <w:tcPr>
            <w:tcW w:w="2808" w:type="dxa"/>
          </w:tcPr>
          <w:p w:rsidR="007D793B" w:rsidRPr="001E12E2" w:rsidRDefault="007D793B" w:rsidP="00E040A0"/>
        </w:tc>
      </w:tr>
      <w:tr w:rsidR="007D793B" w:rsidRPr="001E12E2" w:rsidTr="00E040A0">
        <w:trPr>
          <w:cantSplit/>
        </w:trPr>
        <w:tc>
          <w:tcPr>
            <w:tcW w:w="5130" w:type="dxa"/>
          </w:tcPr>
          <w:p w:rsidR="007D793B" w:rsidRPr="007D793B" w:rsidRDefault="007D793B" w:rsidP="00E040A0">
            <w:pPr>
              <w:ind w:right="-58"/>
              <w:rPr>
                <w:lang w:val="fr-CA"/>
              </w:rPr>
            </w:pPr>
            <w:r w:rsidRPr="007D793B">
              <w:rPr>
                <w:b/>
                <w:smallCaps/>
                <w:lang w:val="fr-CA"/>
              </w:rPr>
              <w:t>Référence :</w:t>
            </w:r>
            <w:r w:rsidRPr="007D793B">
              <w:rPr>
                <w:lang w:val="fr-CA"/>
              </w:rPr>
              <w:t xml:space="preserve"> </w:t>
            </w:r>
            <w:r w:rsidRPr="00865558">
              <w:rPr>
                <w:rStyle w:val="SCCAppellantForRunningHeadChar"/>
                <w:lang w:val="fr-CA"/>
              </w:rPr>
              <w:t xml:space="preserve">R. </w:t>
            </w:r>
            <w:r w:rsidRPr="00DF6971">
              <w:rPr>
                <w:rStyle w:val="SCCAppellantForRunningHeadChar"/>
                <w:i/>
                <w:smallCaps w:val="0"/>
                <w:lang w:val="fr-CA"/>
              </w:rPr>
              <w:t>c.</w:t>
            </w:r>
            <w:r w:rsidRPr="00865558">
              <w:rPr>
                <w:rStyle w:val="SCCAppellantForRunningHeadChar"/>
                <w:lang w:val="fr-CA"/>
              </w:rPr>
              <w:t xml:space="preserve"> </w:t>
            </w:r>
            <w:proofErr w:type="spellStart"/>
            <w:r>
              <w:rPr>
                <w:rStyle w:val="SCCAppellantForRunningHeadChar"/>
                <w:smallCaps w:val="0"/>
                <w:lang w:val="fr-CA"/>
              </w:rPr>
              <w:t>Laliberté</w:t>
            </w:r>
            <w:proofErr w:type="spellEnd"/>
            <w:r w:rsidRPr="00865558">
              <w:rPr>
                <w:rStyle w:val="SCCAppellantForRunningHeadChar"/>
                <w:lang w:val="fr-CA"/>
              </w:rPr>
              <w:t xml:space="preserve">, </w:t>
            </w:r>
            <w:r w:rsidRPr="007D793B">
              <w:rPr>
                <w:lang w:val="fr-CA"/>
              </w:rPr>
              <w:t>2016 CSC 17, [2016] 1 R.C.S. 270</w:t>
            </w:r>
          </w:p>
        </w:tc>
        <w:tc>
          <w:tcPr>
            <w:tcW w:w="4446" w:type="dxa"/>
            <w:gridSpan w:val="2"/>
          </w:tcPr>
          <w:p w:rsidR="007D793B" w:rsidRPr="007D793B" w:rsidRDefault="007D793B" w:rsidP="00E040A0">
            <w:pPr>
              <w:rPr>
                <w:lang w:val="fr-CA"/>
              </w:rPr>
            </w:pPr>
            <w:r w:rsidRPr="007D793B">
              <w:rPr>
                <w:b/>
                <w:smallCaps/>
                <w:lang w:val="fr-CA"/>
              </w:rPr>
              <w:t>Appel entendu :</w:t>
            </w:r>
            <w:r w:rsidRPr="007D793B">
              <w:rPr>
                <w:lang w:val="fr-CA"/>
              </w:rPr>
              <w:t xml:space="preserve"> 29 avril 2016</w:t>
            </w:r>
          </w:p>
          <w:p w:rsidR="007D793B" w:rsidRPr="007D793B" w:rsidRDefault="007D793B" w:rsidP="00E040A0">
            <w:pPr>
              <w:rPr>
                <w:smallCaps/>
                <w:lang w:val="fr-CA"/>
              </w:rPr>
            </w:pPr>
            <w:r w:rsidRPr="007D793B">
              <w:rPr>
                <w:b/>
                <w:smallCaps/>
                <w:lang w:val="fr-CA"/>
              </w:rPr>
              <w:t>Jugement rendu :</w:t>
            </w:r>
            <w:r w:rsidRPr="007D793B">
              <w:rPr>
                <w:lang w:val="fr-CA"/>
              </w:rPr>
              <w:t xml:space="preserve"> 29 avril 2016</w:t>
            </w:r>
          </w:p>
          <w:p w:rsidR="007D793B" w:rsidRPr="001E12E2" w:rsidRDefault="007D793B" w:rsidP="00E040A0">
            <w:r w:rsidRPr="001E12E2">
              <w:rPr>
                <w:b/>
                <w:smallCaps/>
              </w:rPr>
              <w:t>Do</w:t>
            </w:r>
            <w:r>
              <w:rPr>
                <w:b/>
                <w:smallCaps/>
              </w:rPr>
              <w:t>ssier :</w:t>
            </w:r>
            <w:r w:rsidRPr="001E12E2">
              <w:t xml:space="preserve"> </w:t>
            </w:r>
            <w:r>
              <w:t>36712</w:t>
            </w:r>
          </w:p>
        </w:tc>
      </w:tr>
    </w:tbl>
    <w:p w:rsidR="007D793B" w:rsidRDefault="007D793B" w:rsidP="007D793B"/>
    <w:p w:rsidR="007D793B" w:rsidRPr="001E12E2" w:rsidRDefault="007D793B" w:rsidP="007D793B"/>
    <w:p w:rsidR="007D793B" w:rsidRDefault="007D793B" w:rsidP="007D793B">
      <w:pPr>
        <w:pStyle w:val="SCCLsocPrefix"/>
      </w:pPr>
      <w:r>
        <w:t>Entre :</w:t>
      </w:r>
    </w:p>
    <w:p w:rsidR="007D793B" w:rsidRPr="007D793B" w:rsidRDefault="001429D9" w:rsidP="007D793B">
      <w:pPr>
        <w:pStyle w:val="SCCLsocParty"/>
        <w:jc w:val="center"/>
        <w:rPr>
          <w:lang w:val="fr-CA"/>
        </w:rPr>
      </w:pPr>
      <w:r>
        <w:rPr>
          <w:lang w:val="fr-CA"/>
        </w:rPr>
        <w:t>Pierre-</w:t>
      </w:r>
      <w:bookmarkStart w:id="0" w:name="_GoBack"/>
      <w:bookmarkEnd w:id="0"/>
      <w:r w:rsidR="007D793B" w:rsidRPr="007D793B">
        <w:rPr>
          <w:lang w:val="fr-CA"/>
        </w:rPr>
        <w:t xml:space="preserve">Olivier </w:t>
      </w:r>
      <w:proofErr w:type="spellStart"/>
      <w:r w:rsidR="007D793B" w:rsidRPr="007D793B">
        <w:rPr>
          <w:lang w:val="fr-CA"/>
        </w:rPr>
        <w:t>Laliberté</w:t>
      </w:r>
      <w:proofErr w:type="spellEnd"/>
    </w:p>
    <w:p w:rsidR="007D793B" w:rsidRPr="007D793B" w:rsidRDefault="007D793B" w:rsidP="007D793B">
      <w:pPr>
        <w:jc w:val="center"/>
        <w:rPr>
          <w:lang w:val="fr-CA"/>
        </w:rPr>
      </w:pPr>
      <w:r w:rsidRPr="007D793B">
        <w:rPr>
          <w:lang w:val="fr-CA"/>
        </w:rPr>
        <w:t>Appelant</w:t>
      </w:r>
    </w:p>
    <w:p w:rsidR="007D793B" w:rsidRPr="007D793B" w:rsidRDefault="007D793B" w:rsidP="007D793B">
      <w:pPr>
        <w:jc w:val="center"/>
        <w:rPr>
          <w:lang w:val="fr-CA"/>
        </w:rPr>
      </w:pPr>
    </w:p>
    <w:p w:rsidR="007D793B" w:rsidRPr="007D793B" w:rsidRDefault="007D793B" w:rsidP="007D793B">
      <w:pPr>
        <w:jc w:val="center"/>
        <w:rPr>
          <w:lang w:val="fr-CA"/>
        </w:rPr>
      </w:pPr>
      <w:proofErr w:type="gramStart"/>
      <w:r w:rsidRPr="007D793B">
        <w:rPr>
          <w:lang w:val="fr-CA"/>
        </w:rPr>
        <w:t>et</w:t>
      </w:r>
      <w:proofErr w:type="gramEnd"/>
    </w:p>
    <w:p w:rsidR="007D793B" w:rsidRPr="007D793B" w:rsidRDefault="007D793B" w:rsidP="007D793B">
      <w:pPr>
        <w:jc w:val="center"/>
        <w:rPr>
          <w:i/>
          <w:lang w:val="fr-CA"/>
        </w:rPr>
      </w:pPr>
    </w:p>
    <w:p w:rsidR="007D793B" w:rsidRPr="007D793B" w:rsidRDefault="007D793B" w:rsidP="007D793B">
      <w:pPr>
        <w:pStyle w:val="SCCLsocParty"/>
        <w:jc w:val="center"/>
        <w:rPr>
          <w:lang w:val="fr-CA"/>
        </w:rPr>
      </w:pPr>
      <w:r w:rsidRPr="007D793B">
        <w:rPr>
          <w:lang w:val="fr-CA"/>
        </w:rPr>
        <w:t>Sa Majesté la Reine</w:t>
      </w:r>
    </w:p>
    <w:p w:rsidR="007D793B" w:rsidRPr="007D793B" w:rsidRDefault="007D793B" w:rsidP="007D793B">
      <w:pPr>
        <w:jc w:val="center"/>
        <w:rPr>
          <w:lang w:val="fr-CA"/>
        </w:rPr>
      </w:pPr>
      <w:r w:rsidRPr="007D793B">
        <w:rPr>
          <w:lang w:val="fr-CA"/>
        </w:rPr>
        <w:t>Intimée</w:t>
      </w:r>
    </w:p>
    <w:p w:rsidR="007D793B" w:rsidRPr="007D793B" w:rsidRDefault="007D793B" w:rsidP="007D793B">
      <w:pPr>
        <w:rPr>
          <w:lang w:val="fr-CA"/>
        </w:rPr>
      </w:pPr>
    </w:p>
    <w:p w:rsidR="007D793B" w:rsidRPr="007D793B" w:rsidRDefault="007D793B" w:rsidP="007D793B">
      <w:pPr>
        <w:rPr>
          <w:lang w:val="fr-CA"/>
        </w:rPr>
      </w:pPr>
    </w:p>
    <w:p w:rsidR="007D793B" w:rsidRPr="007D793B" w:rsidRDefault="007D793B" w:rsidP="007D793B">
      <w:pPr>
        <w:rPr>
          <w:lang w:val="fr-CA"/>
        </w:rPr>
      </w:pPr>
      <w:r w:rsidRPr="007D793B">
        <w:rPr>
          <w:b/>
          <w:smallCaps/>
          <w:lang w:val="fr-CA"/>
        </w:rPr>
        <w:t>Coram :</w:t>
      </w:r>
      <w:r w:rsidRPr="007D793B">
        <w:rPr>
          <w:lang w:val="fr-CA"/>
        </w:rPr>
        <w:t xml:space="preserve"> La juge en chef </w:t>
      </w:r>
      <w:proofErr w:type="spellStart"/>
      <w:r w:rsidRPr="007D793B">
        <w:rPr>
          <w:lang w:val="fr-CA"/>
        </w:rPr>
        <w:t>McLachlin</w:t>
      </w:r>
      <w:proofErr w:type="spellEnd"/>
      <w:r w:rsidRPr="007D793B">
        <w:rPr>
          <w:lang w:val="fr-CA"/>
        </w:rPr>
        <w:t xml:space="preserve"> et les juges Cromwell, Wagner, Gascon et Brown</w:t>
      </w:r>
    </w:p>
    <w:p w:rsidR="007D793B" w:rsidRPr="007D793B" w:rsidRDefault="007D793B" w:rsidP="007D793B">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D793B" w:rsidRPr="006F3A7B" w:rsidTr="00E040A0">
        <w:trPr>
          <w:cantSplit/>
        </w:trPr>
        <w:tc>
          <w:tcPr>
            <w:tcW w:w="3618" w:type="dxa"/>
          </w:tcPr>
          <w:p w:rsidR="007D793B" w:rsidRPr="007D793B" w:rsidRDefault="007D793B" w:rsidP="00E040A0">
            <w:pPr>
              <w:rPr>
                <w:b/>
                <w:smallCaps/>
                <w:lang w:val="fr-CA"/>
              </w:rPr>
            </w:pPr>
            <w:r w:rsidRPr="007D793B">
              <w:rPr>
                <w:b/>
                <w:smallCaps/>
                <w:lang w:val="fr-CA"/>
              </w:rPr>
              <w:t>Motifs de jugement :</w:t>
            </w:r>
          </w:p>
          <w:p w:rsidR="007D793B" w:rsidRPr="007D793B" w:rsidRDefault="007D793B" w:rsidP="00E040A0">
            <w:pPr>
              <w:rPr>
                <w:lang w:val="fr-CA"/>
              </w:rPr>
            </w:pPr>
            <w:r w:rsidRPr="007D793B">
              <w:rPr>
                <w:lang w:val="fr-CA"/>
              </w:rPr>
              <w:t>(par. 1 à 6)</w:t>
            </w:r>
          </w:p>
        </w:tc>
        <w:tc>
          <w:tcPr>
            <w:tcW w:w="5958" w:type="dxa"/>
          </w:tcPr>
          <w:p w:rsidR="007D793B" w:rsidRPr="007D793B" w:rsidRDefault="007D793B" w:rsidP="007D793B">
            <w:pPr>
              <w:rPr>
                <w:lang w:val="fr-CA"/>
              </w:rPr>
            </w:pPr>
            <w:r w:rsidRPr="007D793B">
              <w:rPr>
                <w:lang w:val="fr-CA"/>
              </w:rPr>
              <w:t xml:space="preserve">Le juge Wagner (avec l’accord de la Juge en chef </w:t>
            </w:r>
            <w:proofErr w:type="spellStart"/>
            <w:r w:rsidRPr="007D793B">
              <w:rPr>
                <w:lang w:val="fr-CA"/>
              </w:rPr>
              <w:t>McLachlin</w:t>
            </w:r>
            <w:proofErr w:type="spellEnd"/>
            <w:r w:rsidRPr="007D793B">
              <w:rPr>
                <w:lang w:val="fr-CA"/>
              </w:rPr>
              <w:t xml:space="preserve"> et des juges Cromwell, Gascon et Brown)</w:t>
            </w:r>
          </w:p>
        </w:tc>
      </w:tr>
    </w:tbl>
    <w:p w:rsidR="007D793B" w:rsidRPr="007D793B" w:rsidRDefault="007D793B" w:rsidP="007D793B">
      <w:pPr>
        <w:rPr>
          <w:lang w:val="fr-CA"/>
        </w:rPr>
      </w:pPr>
    </w:p>
    <w:p w:rsidR="007D793B" w:rsidRPr="007D793B" w:rsidRDefault="007D793B" w:rsidP="007D793B">
      <w:pPr>
        <w:rPr>
          <w:lang w:val="fr-CA"/>
        </w:rPr>
      </w:pPr>
      <w:r>
        <w:rPr>
          <w:noProof/>
          <w:lang w:val="en-US" w:eastAsia="en-US"/>
        </w:rPr>
        <mc:AlternateContent>
          <mc:Choice Requires="wps">
            <w:drawing>
              <wp:anchor distT="0" distB="0" distL="114300" distR="114300" simplePos="0" relativeHeight="251659264" behindDoc="0" locked="0" layoutInCell="1" allowOverlap="1" wp14:anchorId="42857520" wp14:editId="14EB261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D038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D793B" w:rsidRPr="007D793B" w:rsidRDefault="007D793B" w:rsidP="007D793B">
      <w:pPr>
        <w:rPr>
          <w:lang w:val="fr-CA"/>
        </w:rPr>
      </w:pPr>
    </w:p>
    <w:p w:rsidR="007D793B" w:rsidRDefault="007D793B" w:rsidP="00BD3944">
      <w:pPr>
        <w:widowControl w:val="0"/>
        <w:spacing w:after="720"/>
        <w:jc w:val="both"/>
        <w:rPr>
          <w:rStyle w:val="SCCAppellantForRunningHeadChar"/>
          <w:smallCaps w:val="0"/>
          <w:lang w:val="fr-CA"/>
        </w:rPr>
      </w:pPr>
    </w:p>
    <w:p w:rsidR="004D7D95" w:rsidRPr="00DC3DE3" w:rsidRDefault="00DC3DE3" w:rsidP="00BD3944">
      <w:pPr>
        <w:widowControl w:val="0"/>
        <w:spacing w:after="720"/>
        <w:jc w:val="both"/>
        <w:rPr>
          <w:smallCaps/>
          <w:lang w:val="fr-CA"/>
        </w:rPr>
      </w:pPr>
      <w:r>
        <w:rPr>
          <w:rStyle w:val="SCCAppellantForRunningHeadChar"/>
          <w:smallCaps w:val="0"/>
          <w:lang w:val="fr-CA"/>
        </w:rPr>
        <w:t>R</w:t>
      </w:r>
      <w:r w:rsidR="00F31443" w:rsidRPr="00DC3DE3">
        <w:rPr>
          <w:rStyle w:val="SCCAppellantForRunningHeadChar"/>
          <w:smallCaps w:val="0"/>
          <w:lang w:val="fr-CA"/>
        </w:rPr>
        <w:t xml:space="preserve">. </w:t>
      </w:r>
      <w:r w:rsidR="00F31443" w:rsidRPr="00DC3DE3">
        <w:rPr>
          <w:rStyle w:val="SCCAppellantForRunningHeadChar"/>
          <w:i/>
          <w:smallCaps w:val="0"/>
          <w:lang w:val="fr-CA"/>
        </w:rPr>
        <w:t>c.</w:t>
      </w:r>
      <w:r>
        <w:rPr>
          <w:rStyle w:val="SCCAppellantForRunningHeadChar"/>
          <w:smallCaps w:val="0"/>
          <w:lang w:val="fr-CA"/>
        </w:rPr>
        <w:t xml:space="preserve"> </w:t>
      </w:r>
      <w:proofErr w:type="spellStart"/>
      <w:r>
        <w:rPr>
          <w:rStyle w:val="SCCAppellantForRunningHeadChar"/>
          <w:smallCaps w:val="0"/>
          <w:lang w:val="fr-CA"/>
        </w:rPr>
        <w:t>L</w:t>
      </w:r>
      <w:r w:rsidR="004D7D95" w:rsidRPr="00DC3DE3">
        <w:rPr>
          <w:rStyle w:val="SCCAppellantForRunningHeadChar"/>
          <w:smallCaps w:val="0"/>
          <w:lang w:val="fr-CA"/>
        </w:rPr>
        <w:t>aliberté</w:t>
      </w:r>
      <w:proofErr w:type="spellEnd"/>
      <w:r>
        <w:rPr>
          <w:rStyle w:val="SCCAppellantForRunningHeadChar"/>
          <w:smallCaps w:val="0"/>
          <w:lang w:val="fr-CA"/>
        </w:rPr>
        <w:t xml:space="preserve">, </w:t>
      </w:r>
      <w:r w:rsidRPr="007B17B8">
        <w:rPr>
          <w:lang w:val="fr-CA"/>
        </w:rPr>
        <w:t>2016 CSC </w:t>
      </w:r>
      <w:r>
        <w:rPr>
          <w:lang w:val="fr-CA"/>
        </w:rPr>
        <w:t>17, [2016] 1 R.C.S. 270</w:t>
      </w:r>
    </w:p>
    <w:p w:rsidR="00C72E20" w:rsidRPr="007B17B8" w:rsidRDefault="00914B50" w:rsidP="00BD3944">
      <w:pPr>
        <w:pStyle w:val="SCCLsocLastPartyInRole"/>
        <w:widowControl w:val="0"/>
        <w:rPr>
          <w:lang w:val="fr-CA"/>
        </w:rPr>
      </w:pPr>
      <w:r w:rsidRPr="007B17B8">
        <w:rPr>
          <w:lang w:val="fr-CA"/>
        </w:rPr>
        <w:t xml:space="preserve">Pierre-Olivier </w:t>
      </w:r>
      <w:proofErr w:type="spellStart"/>
      <w:r w:rsidRPr="007B17B8">
        <w:rPr>
          <w:lang w:val="fr-CA"/>
        </w:rPr>
        <w:t>Laliberté</w:t>
      </w:r>
      <w:proofErr w:type="spellEnd"/>
      <w:r w:rsidRPr="007B17B8">
        <w:rPr>
          <w:rStyle w:val="SCCLsocPartyRole"/>
          <w:lang w:val="fr-CA"/>
        </w:rPr>
        <w:tab/>
        <w:t>Appelant</w:t>
      </w:r>
    </w:p>
    <w:p w:rsidR="00C72E20" w:rsidRPr="007B17B8" w:rsidRDefault="00914B50" w:rsidP="00BD3944">
      <w:pPr>
        <w:pStyle w:val="SCCLsocVersus"/>
        <w:widowControl w:val="0"/>
        <w:rPr>
          <w:lang w:val="fr-CA"/>
        </w:rPr>
      </w:pPr>
      <w:proofErr w:type="gramStart"/>
      <w:r w:rsidRPr="007B17B8">
        <w:rPr>
          <w:lang w:val="fr-CA"/>
        </w:rPr>
        <w:t>c</w:t>
      </w:r>
      <w:proofErr w:type="gramEnd"/>
      <w:r w:rsidRPr="007B17B8">
        <w:rPr>
          <w:lang w:val="fr-CA"/>
        </w:rPr>
        <w:t>.</w:t>
      </w:r>
    </w:p>
    <w:p w:rsidR="00C72E20" w:rsidRPr="007B17B8" w:rsidRDefault="00914B50" w:rsidP="00BD3944">
      <w:pPr>
        <w:pStyle w:val="SCCLsocLastPartyInRole"/>
        <w:widowControl w:val="0"/>
        <w:rPr>
          <w:lang w:val="fr-CA"/>
        </w:rPr>
      </w:pPr>
      <w:r w:rsidRPr="007B17B8">
        <w:rPr>
          <w:lang w:val="fr-CA"/>
        </w:rPr>
        <w:lastRenderedPageBreak/>
        <w:t>Sa Majesté la Reine</w:t>
      </w:r>
      <w:r w:rsidR="00D267DD">
        <w:rPr>
          <w:rStyle w:val="SCCLsocPartyRole"/>
          <w:lang w:val="fr-CA"/>
        </w:rPr>
        <w:tab/>
        <w:t>Intimé</w:t>
      </w:r>
      <w:r w:rsidRPr="007B17B8">
        <w:rPr>
          <w:rStyle w:val="SCCLsocPartyRole"/>
          <w:lang w:val="fr-CA"/>
        </w:rPr>
        <w:t>e</w:t>
      </w:r>
    </w:p>
    <w:p w:rsidR="004D7D95" w:rsidRPr="007B17B8" w:rsidRDefault="009937ED" w:rsidP="00BD3944">
      <w:pPr>
        <w:widowControl w:val="0"/>
        <w:spacing w:after="720"/>
        <w:jc w:val="both"/>
        <w:rPr>
          <w:b/>
          <w:lang w:val="fr-CA"/>
        </w:rPr>
      </w:pPr>
      <w:r>
        <w:rPr>
          <w:b/>
          <w:lang w:val="fr-CA"/>
        </w:rPr>
        <w:t xml:space="preserve">Répertorié : R. </w:t>
      </w:r>
      <w:r w:rsidRPr="00501CA9">
        <w:rPr>
          <w:b/>
          <w:i/>
          <w:lang w:val="fr-CA"/>
        </w:rPr>
        <w:t>c.</w:t>
      </w:r>
      <w:r w:rsidRPr="00501CA9">
        <w:rPr>
          <w:b/>
          <w:lang w:val="fr-CA"/>
        </w:rPr>
        <w:t xml:space="preserve"> </w:t>
      </w:r>
      <w:proofErr w:type="spellStart"/>
      <w:r w:rsidR="004D7D95" w:rsidRPr="007B17B8">
        <w:rPr>
          <w:rStyle w:val="SCCAppellantForIndexChar"/>
          <w:lang w:val="fr-CA"/>
        </w:rPr>
        <w:t>Laliberté</w:t>
      </w:r>
      <w:proofErr w:type="spellEnd"/>
      <w:r w:rsidR="004D7D95" w:rsidRPr="00BB4C92">
        <w:rPr>
          <w:b/>
          <w:lang w:val="fr-CA"/>
        </w:rPr>
        <w:t xml:space="preserve"> </w:t>
      </w:r>
    </w:p>
    <w:p w:rsidR="004D7D95" w:rsidRPr="007B17B8" w:rsidRDefault="00D17B0E" w:rsidP="00BD3944">
      <w:pPr>
        <w:pStyle w:val="SCCSystemYear"/>
        <w:widowControl w:val="0"/>
        <w:spacing w:after="720"/>
        <w:jc w:val="both"/>
        <w:rPr>
          <w:lang w:val="fr-CA"/>
        </w:rPr>
      </w:pPr>
      <w:r w:rsidRPr="007B17B8">
        <w:rPr>
          <w:lang w:val="fr-CA"/>
        </w:rPr>
        <w:t>2016</w:t>
      </w:r>
      <w:r w:rsidR="004D7D95" w:rsidRPr="007B17B8">
        <w:rPr>
          <w:lang w:val="fr-CA"/>
        </w:rPr>
        <w:t xml:space="preserve"> CSC </w:t>
      </w:r>
      <w:r w:rsidR="009937ED">
        <w:rPr>
          <w:lang w:val="fr-CA"/>
        </w:rPr>
        <w:t>17</w:t>
      </w:r>
    </w:p>
    <w:p w:rsidR="004D7D95" w:rsidRPr="007B17B8" w:rsidRDefault="004D7D95" w:rsidP="00BD3944">
      <w:pPr>
        <w:widowControl w:val="0"/>
        <w:spacing w:after="720"/>
        <w:jc w:val="both"/>
        <w:rPr>
          <w:lang w:val="fr-CA"/>
        </w:rPr>
      </w:pPr>
      <w:r w:rsidRPr="007B17B8">
        <w:rPr>
          <w:lang w:val="fr-CA"/>
        </w:rPr>
        <w:t>N</w:t>
      </w:r>
      <w:r w:rsidRPr="007B17B8">
        <w:rPr>
          <w:vertAlign w:val="superscript"/>
          <w:lang w:val="fr-CA"/>
        </w:rPr>
        <w:t>o</w:t>
      </w:r>
      <w:r w:rsidRPr="007B17B8">
        <w:rPr>
          <w:lang w:val="fr-CA"/>
        </w:rPr>
        <w:t xml:space="preserve"> du greffe : 36712.</w:t>
      </w:r>
    </w:p>
    <w:p w:rsidR="004D7D95" w:rsidRPr="007B17B8" w:rsidRDefault="00D17B0E" w:rsidP="00BD3944">
      <w:pPr>
        <w:widowControl w:val="0"/>
        <w:spacing w:after="720"/>
        <w:jc w:val="both"/>
        <w:rPr>
          <w:lang w:val="fr-CA"/>
        </w:rPr>
      </w:pPr>
      <w:r w:rsidRPr="007B17B8">
        <w:rPr>
          <w:lang w:val="fr-CA"/>
        </w:rPr>
        <w:t>2016 : 29 avril</w:t>
      </w:r>
      <w:r w:rsidR="004D7D95" w:rsidRPr="007B17B8">
        <w:rPr>
          <w:lang w:val="fr-CA"/>
        </w:rPr>
        <w:t>.</w:t>
      </w:r>
    </w:p>
    <w:p w:rsidR="004D7D95" w:rsidRPr="007B17B8" w:rsidRDefault="004D7D95" w:rsidP="00BD3944">
      <w:pPr>
        <w:widowControl w:val="0"/>
        <w:spacing w:after="720"/>
        <w:jc w:val="both"/>
        <w:rPr>
          <w:lang w:val="fr-CA"/>
        </w:rPr>
      </w:pPr>
      <w:r w:rsidRPr="007B17B8">
        <w:rPr>
          <w:lang w:val="fr-CA"/>
        </w:rPr>
        <w:t xml:space="preserve">Présents : La juge en chef </w:t>
      </w:r>
      <w:proofErr w:type="spellStart"/>
      <w:r w:rsidRPr="007B17B8">
        <w:rPr>
          <w:lang w:val="fr-CA"/>
        </w:rPr>
        <w:t>McLachlin</w:t>
      </w:r>
      <w:proofErr w:type="spellEnd"/>
      <w:r w:rsidRPr="007B17B8">
        <w:rPr>
          <w:lang w:val="fr-CA"/>
        </w:rPr>
        <w:t xml:space="preserve"> et les juges Cromwell, Wagner, Gascon et Brown.</w:t>
      </w:r>
    </w:p>
    <w:p w:rsidR="004D7D95" w:rsidRPr="00D636AA" w:rsidRDefault="004D7D95" w:rsidP="00BD3944">
      <w:pPr>
        <w:widowControl w:val="0"/>
        <w:spacing w:after="720"/>
        <w:jc w:val="both"/>
        <w:rPr>
          <w:smallCaps/>
          <w:lang w:val="fr-CA"/>
        </w:rPr>
      </w:pPr>
      <w:r w:rsidRPr="00D636AA">
        <w:rPr>
          <w:smallCaps/>
          <w:lang w:val="fr-CA"/>
        </w:rPr>
        <w:t xml:space="preserve">en appel de la cour d’appel du </w:t>
      </w:r>
      <w:proofErr w:type="spellStart"/>
      <w:r w:rsidRPr="00D636AA">
        <w:rPr>
          <w:smallCaps/>
          <w:lang w:val="fr-CA"/>
        </w:rPr>
        <w:t>québec</w:t>
      </w:r>
      <w:proofErr w:type="spellEnd"/>
    </w:p>
    <w:p w:rsidR="004D7D95" w:rsidRPr="000518E6" w:rsidRDefault="004D7D95" w:rsidP="00BD3944">
      <w:pPr>
        <w:pStyle w:val="SCCNormalDoubleSpacing"/>
        <w:widowControl w:val="0"/>
        <w:spacing w:after="480"/>
        <w:rPr>
          <w:i/>
          <w:lang w:val="fr-CA"/>
        </w:rPr>
      </w:pPr>
      <w:r w:rsidRPr="00BB4C92">
        <w:rPr>
          <w:lang w:val="fr-CA"/>
        </w:rPr>
        <w:tab/>
      </w:r>
      <w:r w:rsidR="000518E6">
        <w:rPr>
          <w:i/>
          <w:lang w:val="fr-CA"/>
        </w:rPr>
        <w:t xml:space="preserve">Droit criminel </w:t>
      </w:r>
      <w:r w:rsidR="003333AA">
        <w:rPr>
          <w:i/>
          <w:lang w:val="fr-CA"/>
        </w:rPr>
        <w:t>— Exposé au jury —</w:t>
      </w:r>
      <w:r w:rsidR="000518E6">
        <w:rPr>
          <w:i/>
          <w:lang w:val="fr-CA"/>
        </w:rPr>
        <w:t xml:space="preserve"> </w:t>
      </w:r>
      <w:r w:rsidR="00152B66">
        <w:rPr>
          <w:i/>
          <w:lang w:val="fr-CA"/>
        </w:rPr>
        <w:t xml:space="preserve">Moyens de défense </w:t>
      </w:r>
      <w:r w:rsidR="003333AA">
        <w:rPr>
          <w:i/>
          <w:lang w:val="fr-CA"/>
        </w:rPr>
        <w:t>— Alibi —</w:t>
      </w:r>
      <w:r w:rsidR="00152B66">
        <w:rPr>
          <w:i/>
          <w:lang w:val="fr-CA"/>
        </w:rPr>
        <w:t xml:space="preserve"> </w:t>
      </w:r>
      <w:r w:rsidR="0000730A">
        <w:rPr>
          <w:i/>
          <w:lang w:val="fr-CA"/>
        </w:rPr>
        <w:t>Fabrication d’un a</w:t>
      </w:r>
      <w:r w:rsidR="003333AA">
        <w:rPr>
          <w:i/>
          <w:lang w:val="fr-CA"/>
        </w:rPr>
        <w:t>libi —</w:t>
      </w:r>
      <w:r w:rsidR="0093177C">
        <w:rPr>
          <w:i/>
          <w:lang w:val="fr-CA"/>
        </w:rPr>
        <w:t xml:space="preserve"> </w:t>
      </w:r>
      <w:r w:rsidR="0000730A">
        <w:rPr>
          <w:i/>
          <w:lang w:val="fr-CA"/>
        </w:rPr>
        <w:t xml:space="preserve">Application de la disposition réparatrice </w:t>
      </w:r>
      <w:r w:rsidR="003333AA">
        <w:rPr>
          <w:i/>
          <w:lang w:val="fr-CA"/>
        </w:rPr>
        <w:t>—</w:t>
      </w:r>
      <w:r w:rsidR="0000730A">
        <w:rPr>
          <w:i/>
          <w:lang w:val="fr-CA"/>
        </w:rPr>
        <w:t xml:space="preserve"> </w:t>
      </w:r>
      <w:r w:rsidR="0093177C">
        <w:rPr>
          <w:i/>
          <w:lang w:val="fr-CA"/>
        </w:rPr>
        <w:t xml:space="preserve">Directive du juge du procès au jury sur </w:t>
      </w:r>
      <w:r w:rsidR="0000730A">
        <w:rPr>
          <w:i/>
          <w:lang w:val="fr-CA"/>
        </w:rPr>
        <w:t xml:space="preserve">la </w:t>
      </w:r>
      <w:r w:rsidR="0093177C">
        <w:rPr>
          <w:i/>
          <w:lang w:val="fr-CA"/>
        </w:rPr>
        <w:t>fabrication d’un alibi erronée</w:t>
      </w:r>
      <w:r w:rsidR="0000730A">
        <w:rPr>
          <w:i/>
          <w:lang w:val="fr-CA"/>
        </w:rPr>
        <w:t xml:space="preserve"> mais p</w:t>
      </w:r>
      <w:r w:rsidR="0093177C">
        <w:rPr>
          <w:i/>
          <w:lang w:val="fr-CA"/>
        </w:rPr>
        <w:t>reuve à ce point accablante que</w:t>
      </w:r>
      <w:r w:rsidR="0000730A">
        <w:rPr>
          <w:i/>
          <w:lang w:val="fr-CA"/>
        </w:rPr>
        <w:t xml:space="preserve"> le</w:t>
      </w:r>
      <w:r w:rsidR="0093177C">
        <w:rPr>
          <w:i/>
          <w:lang w:val="fr-CA"/>
        </w:rPr>
        <w:t xml:space="preserve"> juge des faits conclurait forcément à la culpabilité de l’accusé </w:t>
      </w:r>
      <w:r w:rsidR="003333AA">
        <w:rPr>
          <w:i/>
          <w:lang w:val="fr-CA"/>
        </w:rPr>
        <w:t>—</w:t>
      </w:r>
      <w:r w:rsidR="0093177C">
        <w:rPr>
          <w:i/>
          <w:lang w:val="fr-CA"/>
        </w:rPr>
        <w:t xml:space="preserve"> Déclarations de culpabilité pour meurtre au premier degré et tentative de meurtre </w:t>
      </w:r>
      <w:r w:rsidR="00355988">
        <w:rPr>
          <w:i/>
          <w:lang w:val="fr-CA"/>
        </w:rPr>
        <w:t>confirmé</w:t>
      </w:r>
      <w:r w:rsidR="00DF66BB">
        <w:rPr>
          <w:i/>
          <w:lang w:val="fr-CA"/>
        </w:rPr>
        <w:t>es</w:t>
      </w:r>
      <w:r w:rsidR="00152B66">
        <w:rPr>
          <w:i/>
          <w:lang w:val="fr-CA"/>
        </w:rPr>
        <w:t xml:space="preserve"> </w:t>
      </w:r>
      <w:r w:rsidR="003333AA">
        <w:rPr>
          <w:i/>
          <w:lang w:val="fr-CA"/>
        </w:rPr>
        <w:t>—</w:t>
      </w:r>
      <w:r w:rsidR="00152B66">
        <w:rPr>
          <w:i/>
          <w:lang w:val="fr-CA"/>
        </w:rPr>
        <w:t xml:space="preserve"> Code criminel, L.R.C. 1985, c. C-46, art. 686(1)b</w:t>
      </w:r>
      <w:proofErr w:type="gramStart"/>
      <w:r w:rsidR="00152B66">
        <w:rPr>
          <w:i/>
          <w:lang w:val="fr-CA"/>
        </w:rPr>
        <w:t>)(</w:t>
      </w:r>
      <w:proofErr w:type="gramEnd"/>
      <w:r w:rsidR="00152B66">
        <w:rPr>
          <w:i/>
          <w:lang w:val="fr-CA"/>
        </w:rPr>
        <w:t>iii).</w:t>
      </w:r>
    </w:p>
    <w:p w:rsidR="004D7D95" w:rsidRPr="004D7D95" w:rsidRDefault="004D7D95" w:rsidP="00BD3944">
      <w:pPr>
        <w:pStyle w:val="SCCNormalDoubleSpacing"/>
        <w:widowControl w:val="0"/>
        <w:rPr>
          <w:b/>
          <w:lang w:val="fr-CA"/>
        </w:rPr>
      </w:pPr>
      <w:r w:rsidRPr="004D7D95">
        <w:rPr>
          <w:b/>
          <w:lang w:val="fr-CA"/>
        </w:rPr>
        <w:t>Jurisprudence</w:t>
      </w:r>
    </w:p>
    <w:p w:rsidR="004D7D95" w:rsidRPr="004D7D95" w:rsidRDefault="004D7D95" w:rsidP="00BD3944">
      <w:pPr>
        <w:pStyle w:val="SCCNormalDoubleSpacing"/>
        <w:widowControl w:val="0"/>
        <w:rPr>
          <w:lang w:val="fr-CA"/>
        </w:rPr>
      </w:pPr>
    </w:p>
    <w:p w:rsidR="004D7D95" w:rsidRPr="004D7D95" w:rsidRDefault="004D7D95" w:rsidP="00BD3944">
      <w:pPr>
        <w:pStyle w:val="SCCNormalDoubleSpacing"/>
        <w:widowControl w:val="0"/>
        <w:rPr>
          <w:b/>
          <w:lang w:val="fr-CA"/>
        </w:rPr>
      </w:pPr>
      <w:r w:rsidRPr="004D7D95">
        <w:rPr>
          <w:lang w:val="fr-CA"/>
        </w:rPr>
        <w:tab/>
      </w:r>
      <w:r w:rsidRPr="004D7D95">
        <w:rPr>
          <w:b/>
          <w:lang w:val="fr-CA"/>
        </w:rPr>
        <w:t>Arrêts mentionnés :</w:t>
      </w:r>
      <w:r w:rsidRPr="004D7D95">
        <w:rPr>
          <w:lang w:val="fr-CA"/>
        </w:rPr>
        <w:t xml:space="preserve"> </w:t>
      </w:r>
      <w:r w:rsidR="0080140F" w:rsidRPr="0080140F">
        <w:rPr>
          <w:i/>
          <w:szCs w:val="24"/>
          <w:lang w:val="fr-CA"/>
        </w:rPr>
        <w:t xml:space="preserve">R. c. </w:t>
      </w:r>
      <w:proofErr w:type="spellStart"/>
      <w:r w:rsidR="0080140F" w:rsidRPr="0080140F">
        <w:rPr>
          <w:i/>
          <w:szCs w:val="24"/>
          <w:lang w:val="fr-CA"/>
        </w:rPr>
        <w:t>O’Connor</w:t>
      </w:r>
      <w:proofErr w:type="spellEnd"/>
      <w:r w:rsidR="0080140F" w:rsidRPr="0080140F">
        <w:rPr>
          <w:i/>
          <w:szCs w:val="24"/>
          <w:lang w:val="fr-CA"/>
        </w:rPr>
        <w:t xml:space="preserve"> </w:t>
      </w:r>
      <w:r w:rsidR="0080140F" w:rsidRPr="0080140F">
        <w:rPr>
          <w:szCs w:val="24"/>
          <w:lang w:val="fr-CA"/>
        </w:rPr>
        <w:t xml:space="preserve">(2002), </w:t>
      </w:r>
      <w:r w:rsidR="0080140F" w:rsidRPr="0080140F">
        <w:rPr>
          <w:rStyle w:val="nowrap"/>
          <w:szCs w:val="24"/>
          <w:lang w:val="fr-CA"/>
        </w:rPr>
        <w:t>62 O.R</w:t>
      </w:r>
      <w:r w:rsidR="00DD1C9E">
        <w:rPr>
          <w:rStyle w:val="nowrap"/>
          <w:szCs w:val="24"/>
          <w:lang w:val="fr-CA"/>
        </w:rPr>
        <w:t>.</w:t>
      </w:r>
      <w:r w:rsidR="0080140F" w:rsidRPr="0080140F">
        <w:rPr>
          <w:rStyle w:val="nowrap"/>
          <w:szCs w:val="24"/>
          <w:lang w:val="fr-CA"/>
        </w:rPr>
        <w:t xml:space="preserve"> (3d) 263</w:t>
      </w:r>
      <w:r w:rsidR="0080140F" w:rsidRPr="0080140F">
        <w:rPr>
          <w:szCs w:val="24"/>
          <w:lang w:val="fr-CA"/>
        </w:rPr>
        <w:t>;</w:t>
      </w:r>
      <w:r w:rsidR="0080140F" w:rsidRPr="0080140F">
        <w:rPr>
          <w:i/>
          <w:szCs w:val="24"/>
          <w:lang w:val="fr-CA"/>
        </w:rPr>
        <w:t xml:space="preserve"> R. c. </w:t>
      </w:r>
      <w:proofErr w:type="spellStart"/>
      <w:r w:rsidR="0080140F" w:rsidRPr="0080140F">
        <w:rPr>
          <w:i/>
          <w:szCs w:val="24"/>
          <w:lang w:val="fr-CA"/>
        </w:rPr>
        <w:t>Hibbert</w:t>
      </w:r>
      <w:proofErr w:type="spellEnd"/>
      <w:r w:rsidR="0080140F" w:rsidRPr="0080140F">
        <w:rPr>
          <w:szCs w:val="24"/>
          <w:lang w:val="fr-CA"/>
        </w:rPr>
        <w:t xml:space="preserve">, 2002 CSC 39, [2002] 2 R.C.S. 445; </w:t>
      </w:r>
      <w:r w:rsidR="0080140F" w:rsidRPr="0080140F">
        <w:rPr>
          <w:i/>
          <w:szCs w:val="24"/>
          <w:lang w:val="fr-CA"/>
        </w:rPr>
        <w:t>R. c. Tessier</w:t>
      </w:r>
      <w:r w:rsidR="0080140F" w:rsidRPr="0080140F">
        <w:rPr>
          <w:szCs w:val="24"/>
          <w:lang w:val="fr-CA"/>
        </w:rPr>
        <w:t xml:space="preserve"> </w:t>
      </w:r>
      <w:r w:rsidR="0080140F" w:rsidRPr="0080140F">
        <w:rPr>
          <w:rStyle w:val="reflex3-block"/>
          <w:szCs w:val="24"/>
          <w:lang w:val="fr-CA"/>
        </w:rPr>
        <w:t xml:space="preserve">(1997), </w:t>
      </w:r>
      <w:r w:rsidR="0080140F" w:rsidRPr="0080140F">
        <w:rPr>
          <w:rStyle w:val="reflex3-alt"/>
          <w:szCs w:val="24"/>
          <w:lang w:val="fr-CA"/>
        </w:rPr>
        <w:t>113 C.C.C. (3d) 538</w:t>
      </w:r>
      <w:r w:rsidR="0080140F">
        <w:rPr>
          <w:rStyle w:val="reflex3-alt"/>
          <w:szCs w:val="24"/>
          <w:lang w:val="fr-CA"/>
        </w:rPr>
        <w:t xml:space="preserve">; </w:t>
      </w:r>
      <w:r w:rsidR="0080140F" w:rsidRPr="0080140F">
        <w:rPr>
          <w:i/>
          <w:szCs w:val="24"/>
          <w:lang w:val="fr-CA"/>
        </w:rPr>
        <w:t xml:space="preserve">R. c. </w:t>
      </w:r>
      <w:proofErr w:type="spellStart"/>
      <w:r w:rsidR="0080140F" w:rsidRPr="0080140F">
        <w:rPr>
          <w:i/>
          <w:szCs w:val="24"/>
          <w:lang w:val="fr-CA"/>
        </w:rPr>
        <w:t>Trochym</w:t>
      </w:r>
      <w:proofErr w:type="spellEnd"/>
      <w:r w:rsidR="0080140F" w:rsidRPr="0080140F">
        <w:rPr>
          <w:szCs w:val="24"/>
          <w:lang w:val="fr-CA"/>
        </w:rPr>
        <w:t>, 2007 CSC 6, [2007] 1 R.C.S. 239</w:t>
      </w:r>
      <w:r w:rsidR="0080140F">
        <w:rPr>
          <w:szCs w:val="24"/>
          <w:lang w:val="fr-CA"/>
        </w:rPr>
        <w:t>.</w:t>
      </w:r>
    </w:p>
    <w:p w:rsidR="004D7D95" w:rsidRPr="004D7D95" w:rsidRDefault="004D7D95" w:rsidP="00BD3944">
      <w:pPr>
        <w:pStyle w:val="SCCNormalDoubleSpacing"/>
        <w:widowControl w:val="0"/>
        <w:rPr>
          <w:lang w:val="fr-CA"/>
        </w:rPr>
      </w:pPr>
    </w:p>
    <w:p w:rsidR="004D7D95" w:rsidRPr="004D7D95" w:rsidRDefault="004D7D95" w:rsidP="00BD3944">
      <w:pPr>
        <w:pStyle w:val="SCCNormalDoubleSpacing"/>
        <w:widowControl w:val="0"/>
        <w:spacing w:line="240" w:lineRule="auto"/>
        <w:rPr>
          <w:b/>
          <w:lang w:val="fr-CA"/>
        </w:rPr>
      </w:pPr>
      <w:r w:rsidRPr="004D7D95">
        <w:rPr>
          <w:b/>
          <w:lang w:val="fr-CA"/>
        </w:rPr>
        <w:t>Lois et règlements cités</w:t>
      </w:r>
    </w:p>
    <w:p w:rsidR="004D7D95" w:rsidRPr="004D7D95" w:rsidRDefault="004D7D95" w:rsidP="00BD3944">
      <w:pPr>
        <w:pStyle w:val="SCCNormalDoubleSpacing"/>
        <w:widowControl w:val="0"/>
        <w:spacing w:line="240" w:lineRule="auto"/>
        <w:ind w:left="540" w:hanging="540"/>
        <w:rPr>
          <w:lang w:val="fr-CA"/>
        </w:rPr>
      </w:pPr>
    </w:p>
    <w:p w:rsidR="004D7D95" w:rsidRPr="004D7D95" w:rsidRDefault="004D7D95" w:rsidP="00BD3944">
      <w:pPr>
        <w:pStyle w:val="SCCNormalDoubleSpacing"/>
        <w:widowControl w:val="0"/>
        <w:spacing w:line="240" w:lineRule="auto"/>
        <w:ind w:left="540" w:hanging="540"/>
        <w:rPr>
          <w:lang w:val="fr-CA"/>
        </w:rPr>
      </w:pPr>
    </w:p>
    <w:p w:rsidR="004D7D95" w:rsidRPr="004D7D95" w:rsidRDefault="0080140F" w:rsidP="00BD3944">
      <w:pPr>
        <w:pStyle w:val="SCCNormalDoubleSpacing"/>
        <w:widowControl w:val="0"/>
        <w:spacing w:line="240" w:lineRule="auto"/>
        <w:ind w:left="540" w:hanging="540"/>
        <w:rPr>
          <w:lang w:val="fr-CA"/>
        </w:rPr>
      </w:pPr>
      <w:r>
        <w:rPr>
          <w:i/>
          <w:iCs/>
          <w:szCs w:val="24"/>
          <w:lang w:val="fr-FR"/>
        </w:rPr>
        <w:t xml:space="preserve">Code </w:t>
      </w:r>
      <w:r w:rsidRPr="00235073">
        <w:rPr>
          <w:i/>
          <w:iCs/>
          <w:szCs w:val="24"/>
          <w:lang w:val="fr-FR"/>
        </w:rPr>
        <w:t>criminel</w:t>
      </w:r>
      <w:r w:rsidRPr="00D20754">
        <w:rPr>
          <w:iCs/>
          <w:szCs w:val="24"/>
          <w:lang w:val="fr-FR"/>
        </w:rPr>
        <w:t>,</w:t>
      </w:r>
      <w:r>
        <w:rPr>
          <w:i/>
          <w:iCs/>
          <w:szCs w:val="24"/>
          <w:lang w:val="fr-FR"/>
        </w:rPr>
        <w:t xml:space="preserve"> </w:t>
      </w:r>
      <w:r w:rsidR="0001477C" w:rsidRPr="00294E1C">
        <w:rPr>
          <w:lang w:val="fr-CA"/>
        </w:rPr>
        <w:t>L.R.C. 1985, c.</w:t>
      </w:r>
      <w:r w:rsidR="0001477C">
        <w:rPr>
          <w:lang w:val="fr-CA"/>
        </w:rPr>
        <w:t xml:space="preserve"> </w:t>
      </w:r>
      <w:r w:rsidR="0001477C" w:rsidRPr="00294E1C">
        <w:rPr>
          <w:lang w:val="fr-CA"/>
        </w:rPr>
        <w:t>C</w:t>
      </w:r>
      <w:r w:rsidR="0001477C">
        <w:rPr>
          <w:lang w:val="fr-CA"/>
        </w:rPr>
        <w:t>-</w:t>
      </w:r>
      <w:r w:rsidR="0001477C" w:rsidRPr="00294E1C">
        <w:rPr>
          <w:lang w:val="fr-CA"/>
        </w:rPr>
        <w:t xml:space="preserve">46, </w:t>
      </w:r>
      <w:r w:rsidR="00D20754">
        <w:rPr>
          <w:szCs w:val="24"/>
          <w:lang w:val="fr-FR"/>
        </w:rPr>
        <w:t xml:space="preserve">art. </w:t>
      </w:r>
      <w:r w:rsidRPr="00235073">
        <w:rPr>
          <w:szCs w:val="24"/>
          <w:lang w:val="fr-FR"/>
        </w:rPr>
        <w:t>686(1)</w:t>
      </w:r>
      <w:r w:rsidRPr="00DD1C9E">
        <w:rPr>
          <w:iCs/>
          <w:szCs w:val="24"/>
          <w:lang w:val="fr-FR"/>
        </w:rPr>
        <w:t>b</w:t>
      </w:r>
      <w:r w:rsidRPr="00235073">
        <w:rPr>
          <w:szCs w:val="24"/>
          <w:lang w:val="fr-FR"/>
        </w:rPr>
        <w:t>)(iii)</w:t>
      </w:r>
      <w:r w:rsidR="00D20754">
        <w:rPr>
          <w:szCs w:val="24"/>
          <w:lang w:val="fr-FR"/>
        </w:rPr>
        <w:t>.</w:t>
      </w:r>
    </w:p>
    <w:p w:rsidR="004D7D95" w:rsidRPr="004D7D95" w:rsidRDefault="004D7D95" w:rsidP="00BD3944">
      <w:pPr>
        <w:pStyle w:val="SCCNormalDoubleSpacing"/>
        <w:widowControl w:val="0"/>
        <w:spacing w:after="720" w:line="240" w:lineRule="auto"/>
        <w:ind w:left="547" w:hanging="547"/>
        <w:rPr>
          <w:lang w:val="fr-CA"/>
        </w:rPr>
      </w:pPr>
    </w:p>
    <w:p w:rsidR="004D7D95" w:rsidRPr="004D7D95" w:rsidRDefault="004D7D95" w:rsidP="00BD3944">
      <w:pPr>
        <w:pStyle w:val="SCCNormalDoubleSpacing"/>
        <w:widowControl w:val="0"/>
        <w:rPr>
          <w:lang w:val="fr-CA"/>
        </w:rPr>
      </w:pPr>
      <w:r w:rsidRPr="004D7D95">
        <w:rPr>
          <w:lang w:val="fr-CA"/>
        </w:rPr>
        <w:tab/>
        <w:t xml:space="preserve">POURVOI contre un arrêt de la </w:t>
      </w:r>
      <w:r w:rsidRPr="007B17B8">
        <w:rPr>
          <w:lang w:val="fr-CA"/>
        </w:rPr>
        <w:t xml:space="preserve">Cour d’appel du Québec </w:t>
      </w:r>
      <w:r w:rsidR="00C84BB2">
        <w:rPr>
          <w:lang w:val="fr-CA"/>
        </w:rPr>
        <w:t>(les juges Chamberland, Hilton et Bélanger), 2015 QCCA 1633,</w:t>
      </w:r>
      <w:r w:rsidR="00A3070D">
        <w:rPr>
          <w:lang w:val="fr-CA"/>
        </w:rPr>
        <w:t xml:space="preserve"> [2015] AZ-51220898, [2015] J.Q. n</w:t>
      </w:r>
      <w:r w:rsidR="00A3070D" w:rsidRPr="00A3070D">
        <w:rPr>
          <w:vertAlign w:val="superscript"/>
          <w:lang w:val="fr-CA"/>
        </w:rPr>
        <w:t>o</w:t>
      </w:r>
      <w:r w:rsidR="00A3070D">
        <w:rPr>
          <w:lang w:val="fr-CA"/>
        </w:rPr>
        <w:t xml:space="preserve"> 9961 (QL), 2015 </w:t>
      </w:r>
      <w:proofErr w:type="spellStart"/>
      <w:r w:rsidR="00A3070D">
        <w:rPr>
          <w:lang w:val="fr-CA"/>
        </w:rPr>
        <w:t>CarswellQue</w:t>
      </w:r>
      <w:proofErr w:type="spellEnd"/>
      <w:r w:rsidR="00A3070D">
        <w:rPr>
          <w:lang w:val="fr-CA"/>
        </w:rPr>
        <w:t xml:space="preserve"> 9461</w:t>
      </w:r>
      <w:r w:rsidR="00DD1C9E">
        <w:rPr>
          <w:lang w:val="fr-CA"/>
        </w:rPr>
        <w:t xml:space="preserve"> </w:t>
      </w:r>
      <w:r w:rsidR="00A3070D">
        <w:rPr>
          <w:lang w:val="fr-CA"/>
        </w:rPr>
        <w:t xml:space="preserve">(WL Can.), </w:t>
      </w:r>
      <w:r w:rsidR="001A60DC">
        <w:rPr>
          <w:lang w:val="fr-FR"/>
        </w:rPr>
        <w:t>qui a confirmé les</w:t>
      </w:r>
      <w:r w:rsidR="00AC6B19" w:rsidRPr="001A60DC">
        <w:rPr>
          <w:lang w:val="fr-FR"/>
        </w:rPr>
        <w:t xml:space="preserve"> déclaration</w:t>
      </w:r>
      <w:r w:rsidR="001A60DC">
        <w:rPr>
          <w:lang w:val="fr-FR"/>
        </w:rPr>
        <w:t>s</w:t>
      </w:r>
      <w:r w:rsidR="00AC6B19" w:rsidRPr="001A60DC">
        <w:rPr>
          <w:lang w:val="fr-FR"/>
        </w:rPr>
        <w:t xml:space="preserve"> de culpabilité pour meurtre au premier degré et tentative de meurtre prononcée</w:t>
      </w:r>
      <w:r w:rsidR="001A60DC">
        <w:rPr>
          <w:lang w:val="fr-FR"/>
        </w:rPr>
        <w:t>s</w:t>
      </w:r>
      <w:r w:rsidR="00AC6B19" w:rsidRPr="001A60DC">
        <w:rPr>
          <w:lang w:val="fr-FR"/>
        </w:rPr>
        <w:t xml:space="preserve"> contre l’accusé par le juge Grenier</w:t>
      </w:r>
      <w:r w:rsidR="007A6CA6" w:rsidRPr="007A6CA6">
        <w:rPr>
          <w:lang w:val="fr-FR"/>
        </w:rPr>
        <w:t>.  Pourvoi </w:t>
      </w:r>
      <w:r w:rsidR="007A6CA6">
        <w:rPr>
          <w:lang w:val="fr-FR"/>
        </w:rPr>
        <w:t>rejeté.</w:t>
      </w:r>
    </w:p>
    <w:p w:rsidR="004D7D95" w:rsidRPr="004D7D95" w:rsidRDefault="004D7D95" w:rsidP="00BD3944">
      <w:pPr>
        <w:pStyle w:val="SCCNormalDoubleSpacing"/>
        <w:widowControl w:val="0"/>
        <w:rPr>
          <w:lang w:val="fr-CA"/>
        </w:rPr>
      </w:pPr>
    </w:p>
    <w:p w:rsidR="00C72E20" w:rsidRPr="007B17B8" w:rsidRDefault="00914B50" w:rsidP="00BD3944">
      <w:pPr>
        <w:pStyle w:val="SCCNormalDoubleSpacing"/>
        <w:widowControl w:val="0"/>
        <w:rPr>
          <w:lang w:val="fr-CA"/>
        </w:rPr>
      </w:pPr>
      <w:r w:rsidRPr="007B17B8">
        <w:rPr>
          <w:rStyle w:val="SCCCounselNameChar"/>
          <w:lang w:val="fr-CA"/>
        </w:rPr>
        <w:tab/>
        <w:t>Ariane Gagnon-Rocque</w:t>
      </w:r>
      <w:r w:rsidRPr="007B17B8">
        <w:rPr>
          <w:rStyle w:val="SCCCounselSeparatorChar"/>
          <w:lang w:val="fr-CA"/>
        </w:rPr>
        <w:t xml:space="preserve"> et </w:t>
      </w:r>
      <w:r w:rsidRPr="007B17B8">
        <w:rPr>
          <w:rStyle w:val="SCCCounselNameChar"/>
          <w:lang w:val="fr-CA"/>
        </w:rPr>
        <w:t>Carl Thibault</w:t>
      </w:r>
      <w:r w:rsidR="00BF21B8">
        <w:rPr>
          <w:rStyle w:val="SCCCounselPartyRoleChar"/>
          <w:lang w:val="fr-CA"/>
        </w:rPr>
        <w:t>, pour l’appelant</w:t>
      </w:r>
      <w:r w:rsidRPr="007B17B8">
        <w:rPr>
          <w:rStyle w:val="SCCCounselPartyRoleChar"/>
          <w:lang w:val="fr-CA"/>
        </w:rPr>
        <w:t>.</w:t>
      </w:r>
    </w:p>
    <w:p w:rsidR="00C72E20" w:rsidRPr="007B17B8" w:rsidRDefault="00C72E20" w:rsidP="00BD3944">
      <w:pPr>
        <w:pStyle w:val="SCCNormalDoubleSpacing"/>
        <w:widowControl w:val="0"/>
        <w:rPr>
          <w:lang w:val="fr-CA"/>
        </w:rPr>
      </w:pPr>
    </w:p>
    <w:p w:rsidR="00C72E20" w:rsidRPr="007B17B8" w:rsidRDefault="00914B50" w:rsidP="00BD3944">
      <w:pPr>
        <w:pStyle w:val="SCCNormalDoubleSpacing"/>
        <w:widowControl w:val="0"/>
        <w:rPr>
          <w:lang w:val="fr-CA"/>
        </w:rPr>
      </w:pPr>
      <w:r w:rsidRPr="007B17B8">
        <w:rPr>
          <w:rStyle w:val="SCCCounselNameChar"/>
          <w:lang w:val="fr-CA"/>
        </w:rPr>
        <w:tab/>
        <w:t>Régis Boisvert</w:t>
      </w:r>
      <w:r w:rsidRPr="007B17B8">
        <w:rPr>
          <w:rStyle w:val="SCCCounselSeparatorChar"/>
          <w:lang w:val="fr-CA"/>
        </w:rPr>
        <w:t xml:space="preserve"> et </w:t>
      </w:r>
      <w:r w:rsidRPr="007B17B8">
        <w:rPr>
          <w:rStyle w:val="SCCCounselNameChar"/>
          <w:lang w:val="fr-CA"/>
        </w:rPr>
        <w:t>Justin Tremblay</w:t>
      </w:r>
      <w:r w:rsidR="00BF21B8">
        <w:rPr>
          <w:rStyle w:val="SCCCounselPartyRoleChar"/>
          <w:lang w:val="fr-CA"/>
        </w:rPr>
        <w:t>, pour l’intimée</w:t>
      </w:r>
      <w:r w:rsidRPr="007B17B8">
        <w:rPr>
          <w:rStyle w:val="SCCCounselPartyRoleChar"/>
          <w:lang w:val="fr-CA"/>
        </w:rPr>
        <w:t>.</w:t>
      </w:r>
    </w:p>
    <w:p w:rsidR="00C72E20" w:rsidRDefault="00C72E20" w:rsidP="00BD3944">
      <w:pPr>
        <w:pStyle w:val="SCCNormalDoubleSpacing"/>
        <w:widowControl w:val="0"/>
        <w:rPr>
          <w:lang w:val="fr-CA"/>
        </w:rPr>
      </w:pPr>
    </w:p>
    <w:p w:rsidR="00DE04BB" w:rsidRPr="00DE04BB" w:rsidRDefault="00BF21B8" w:rsidP="00BD3944">
      <w:pPr>
        <w:pStyle w:val="SCCNormalDoubleSpacing"/>
        <w:widowControl w:val="0"/>
        <w:spacing w:after="480"/>
        <w:rPr>
          <w:lang w:val="fr-FR"/>
        </w:rPr>
      </w:pPr>
      <w:r>
        <w:rPr>
          <w:lang w:val="fr-CA"/>
        </w:rPr>
        <w:tab/>
      </w:r>
      <w:r>
        <w:rPr>
          <w:lang w:val="fr-FR"/>
        </w:rPr>
        <w:t>Le jugement de la Cour a été rendu oralement par</w:t>
      </w:r>
    </w:p>
    <w:p w:rsidR="0080140F" w:rsidRDefault="0080140F" w:rsidP="00BD3944">
      <w:pPr>
        <w:pStyle w:val="ParaNoNdepar-AltN"/>
        <w:widowControl w:val="0"/>
        <w:rPr>
          <w:szCs w:val="24"/>
          <w:lang w:val="fr-FR"/>
        </w:rPr>
      </w:pPr>
      <w:r w:rsidRPr="0080140F">
        <w:rPr>
          <w:smallCaps/>
          <w:lang w:val="fr-CA"/>
        </w:rPr>
        <w:t>Le juge Wagner</w:t>
      </w:r>
      <w:r w:rsidRPr="0080140F">
        <w:rPr>
          <w:lang w:val="fr-CA"/>
        </w:rPr>
        <w:t xml:space="preserve"> </w:t>
      </w:r>
      <w:r w:rsidRPr="0080140F">
        <w:rPr>
          <w:rFonts w:cs="Times New Roman"/>
          <w:lang w:val="fr-CA"/>
        </w:rPr>
        <w:t>—</w:t>
      </w:r>
      <w:r w:rsidRPr="0080140F">
        <w:rPr>
          <w:lang w:val="fr-CA"/>
        </w:rPr>
        <w:t xml:space="preserve"> </w:t>
      </w:r>
      <w:r w:rsidRPr="00C06E69">
        <w:rPr>
          <w:rFonts w:cs="Times New Roman"/>
          <w:lang w:val="fr-CA"/>
        </w:rPr>
        <w:t>Cet</w:t>
      </w:r>
      <w:r w:rsidRPr="0080140F">
        <w:rPr>
          <w:szCs w:val="24"/>
          <w:lang w:val="fr-CA"/>
        </w:rPr>
        <w:t xml:space="preserve"> </w:t>
      </w:r>
      <w:r w:rsidRPr="00DE04BB">
        <w:rPr>
          <w:szCs w:val="20"/>
          <w:lang w:val="fr-CA"/>
        </w:rPr>
        <w:t>appel</w:t>
      </w:r>
      <w:r w:rsidRPr="0080140F">
        <w:rPr>
          <w:szCs w:val="24"/>
          <w:lang w:val="fr-CA"/>
        </w:rPr>
        <w:t xml:space="preserve"> de plein droit s’appuie sur la dissidence du juge Hilton de la Cour d’appel du </w:t>
      </w:r>
      <w:r w:rsidRPr="00111838">
        <w:rPr>
          <w:szCs w:val="20"/>
          <w:lang w:val="fr-CA"/>
        </w:rPr>
        <w:t>Québec</w:t>
      </w:r>
      <w:r w:rsidRPr="0080140F">
        <w:rPr>
          <w:szCs w:val="24"/>
          <w:lang w:val="fr-CA"/>
        </w:rPr>
        <w:t xml:space="preserve">. Selon ce dernier, le juge du procès a erré en ne permettant pas la production au dossier des déclarations extrajudiciaires de l’une des victimes et en donnant au jury une directive de fabrication d’un alibi, dont le contenu était également erroné, en l’absence </w:t>
      </w:r>
      <w:r w:rsidRPr="00235073">
        <w:rPr>
          <w:szCs w:val="24"/>
          <w:lang w:val="fr-FR"/>
        </w:rPr>
        <w:t xml:space="preserve">des éléments de preuve suffisants pour relier l’appelant à la fabrication d’un alibi. Selon le juge dissident, le caractère inapproprié et erroné de la directive du </w:t>
      </w:r>
      <w:r w:rsidRPr="002037DB">
        <w:rPr>
          <w:szCs w:val="20"/>
          <w:lang w:val="fr-CA"/>
        </w:rPr>
        <w:t>juge</w:t>
      </w:r>
      <w:r w:rsidRPr="00235073">
        <w:rPr>
          <w:szCs w:val="24"/>
          <w:lang w:val="fr-FR"/>
        </w:rPr>
        <w:t xml:space="preserve"> de première instance était si grave que la disposition réparatrice du sous-al. 686(1)</w:t>
      </w:r>
      <w:r w:rsidRPr="00BD3944">
        <w:rPr>
          <w:iCs/>
          <w:szCs w:val="24"/>
          <w:lang w:val="fr-FR"/>
        </w:rPr>
        <w:t>b</w:t>
      </w:r>
      <w:proofErr w:type="gramStart"/>
      <w:r w:rsidRPr="00235073">
        <w:rPr>
          <w:szCs w:val="24"/>
          <w:lang w:val="fr-FR"/>
        </w:rPr>
        <w:t>)(</w:t>
      </w:r>
      <w:proofErr w:type="gramEnd"/>
      <w:r w:rsidRPr="00235073">
        <w:rPr>
          <w:szCs w:val="24"/>
          <w:lang w:val="fr-FR"/>
        </w:rPr>
        <w:t xml:space="preserve">iii) du </w:t>
      </w:r>
      <w:r>
        <w:rPr>
          <w:i/>
          <w:iCs/>
          <w:szCs w:val="24"/>
          <w:lang w:val="fr-FR"/>
        </w:rPr>
        <w:t>Code</w:t>
      </w:r>
      <w:r w:rsidRPr="002037DB">
        <w:rPr>
          <w:i/>
          <w:iCs/>
          <w:szCs w:val="24"/>
          <w:lang w:val="fr-FR"/>
        </w:rPr>
        <w:t xml:space="preserve"> criminel</w:t>
      </w:r>
      <w:r w:rsidR="002037DB">
        <w:rPr>
          <w:iCs/>
          <w:szCs w:val="24"/>
          <w:lang w:val="fr-FR"/>
        </w:rPr>
        <w:t xml:space="preserve">, L.R.C. 1985, c. C-46, </w:t>
      </w:r>
      <w:r w:rsidRPr="002037DB">
        <w:rPr>
          <w:szCs w:val="24"/>
          <w:lang w:val="fr-FR"/>
        </w:rPr>
        <w:t>était</w:t>
      </w:r>
      <w:r w:rsidRPr="00235073">
        <w:rPr>
          <w:szCs w:val="24"/>
          <w:lang w:val="fr-FR"/>
        </w:rPr>
        <w:t xml:space="preserve"> inapplicable. </w:t>
      </w:r>
    </w:p>
    <w:p w:rsidR="0080140F" w:rsidRPr="00235073" w:rsidRDefault="0080140F" w:rsidP="00BD3944">
      <w:pPr>
        <w:pStyle w:val="ParaNoNdepar-AltN"/>
        <w:widowControl w:val="0"/>
        <w:rPr>
          <w:szCs w:val="24"/>
          <w:lang w:val="fr-FR"/>
        </w:rPr>
      </w:pPr>
      <w:r w:rsidRPr="00235073">
        <w:rPr>
          <w:szCs w:val="24"/>
          <w:lang w:val="fr-FR"/>
        </w:rPr>
        <w:t xml:space="preserve">Les </w:t>
      </w:r>
      <w:r w:rsidRPr="00DE04BB">
        <w:rPr>
          <w:szCs w:val="20"/>
          <w:lang w:val="fr-CA"/>
        </w:rPr>
        <w:t>juges</w:t>
      </w:r>
      <w:r w:rsidRPr="00235073">
        <w:rPr>
          <w:szCs w:val="24"/>
          <w:lang w:val="fr-FR"/>
        </w:rPr>
        <w:t xml:space="preserve"> </w:t>
      </w:r>
      <w:r w:rsidRPr="002037DB">
        <w:rPr>
          <w:szCs w:val="24"/>
          <w:lang w:val="fr-CA"/>
        </w:rPr>
        <w:t>majoritaires</w:t>
      </w:r>
      <w:r w:rsidRPr="00235073">
        <w:rPr>
          <w:szCs w:val="24"/>
          <w:lang w:val="fr-FR"/>
        </w:rPr>
        <w:t xml:space="preserve"> partagent son avis sur le sort réservé aux déclarations extrajudiciaires de l’une des victimes et </w:t>
      </w:r>
      <w:r w:rsidRPr="002037DB">
        <w:rPr>
          <w:szCs w:val="20"/>
          <w:lang w:val="fr-CA"/>
        </w:rPr>
        <w:t>sur</w:t>
      </w:r>
      <w:r w:rsidRPr="00235073">
        <w:rPr>
          <w:szCs w:val="24"/>
          <w:lang w:val="fr-FR"/>
        </w:rPr>
        <w:t xml:space="preserve"> le contenu erroné de la directive portant sur la fabrication d’un alibi. Cependant, ils sont d’avis qu’il fallait respecter la décision du juge du procès de donner une directive sur le sujet. D’avis que la preuve à charge était accablante, ils ont appliqué la disposition répara</w:t>
      </w:r>
      <w:r>
        <w:rPr>
          <w:szCs w:val="24"/>
          <w:lang w:val="fr-FR"/>
        </w:rPr>
        <w:t>trice prévue au sous-al. 686(1)</w:t>
      </w:r>
      <w:r w:rsidRPr="00BD3944">
        <w:rPr>
          <w:szCs w:val="24"/>
          <w:lang w:val="fr-FR"/>
        </w:rPr>
        <w:t>b</w:t>
      </w:r>
      <w:proofErr w:type="gramStart"/>
      <w:r w:rsidRPr="00235073">
        <w:rPr>
          <w:szCs w:val="24"/>
          <w:lang w:val="fr-FR"/>
        </w:rPr>
        <w:t>)(</w:t>
      </w:r>
      <w:proofErr w:type="gramEnd"/>
      <w:r w:rsidRPr="00235073">
        <w:rPr>
          <w:szCs w:val="24"/>
          <w:lang w:val="fr-FR"/>
        </w:rPr>
        <w:t xml:space="preserve">iii) du </w:t>
      </w:r>
      <w:r w:rsidRPr="00235073">
        <w:rPr>
          <w:i/>
          <w:iCs/>
          <w:szCs w:val="24"/>
          <w:lang w:val="fr-FR"/>
        </w:rPr>
        <w:t>Code criminel</w:t>
      </w:r>
      <w:r w:rsidRPr="00BD3944">
        <w:rPr>
          <w:rStyle w:val="decisia-reflex2-icon"/>
          <w:iCs/>
          <w:color w:val="0000FF"/>
          <w:sz w:val="24"/>
          <w:szCs w:val="24"/>
          <w:lang w:val="fr-FR"/>
        </w:rPr>
        <w:t>.</w:t>
      </w:r>
      <w:r w:rsidRPr="00BD3944">
        <w:rPr>
          <w:szCs w:val="24"/>
          <w:lang w:val="fr-FR"/>
        </w:rPr>
        <w:t xml:space="preserve"> </w:t>
      </w:r>
    </w:p>
    <w:p w:rsidR="0080140F" w:rsidRPr="0080140F" w:rsidRDefault="0080140F" w:rsidP="00BD3944">
      <w:pPr>
        <w:pStyle w:val="ParaNoNdepar-AltN"/>
        <w:widowControl w:val="0"/>
        <w:rPr>
          <w:szCs w:val="24"/>
          <w:lang w:val="fr-CA"/>
        </w:rPr>
      </w:pPr>
      <w:r w:rsidRPr="0080140F">
        <w:rPr>
          <w:szCs w:val="24"/>
          <w:lang w:val="fr-CA"/>
        </w:rPr>
        <w:t xml:space="preserve">Nous </w:t>
      </w:r>
      <w:r w:rsidRPr="00DE04BB">
        <w:rPr>
          <w:szCs w:val="20"/>
          <w:lang w:val="fr-CA"/>
        </w:rPr>
        <w:t>sommes</w:t>
      </w:r>
      <w:r w:rsidRPr="0080140F">
        <w:rPr>
          <w:szCs w:val="24"/>
          <w:lang w:val="fr-CA"/>
        </w:rPr>
        <w:t xml:space="preserve"> </w:t>
      </w:r>
      <w:r w:rsidRPr="00C06E69">
        <w:rPr>
          <w:rFonts w:cs="Times New Roman"/>
          <w:lang w:val="fr-CA"/>
        </w:rPr>
        <w:t>d’accord</w:t>
      </w:r>
      <w:r w:rsidRPr="0080140F">
        <w:rPr>
          <w:szCs w:val="24"/>
          <w:lang w:val="fr-CA"/>
        </w:rPr>
        <w:t xml:space="preserve"> avec les juges majoritaires et le juge dissident que la directive sur la fabrication d’un alibi donnée par le juge de première instance était erronée. Le juge du procès doit préciser dans sa directive que la fabrication d’un alibi permet d’inférer une </w:t>
      </w:r>
      <w:r w:rsidRPr="0080140F">
        <w:rPr>
          <w:i/>
          <w:szCs w:val="24"/>
          <w:lang w:val="fr-CA"/>
        </w:rPr>
        <w:t>conscience</w:t>
      </w:r>
      <w:r w:rsidR="002037DB">
        <w:rPr>
          <w:szCs w:val="24"/>
          <w:lang w:val="fr-CA"/>
        </w:rPr>
        <w:t xml:space="preserve"> de culpabilité, </w:t>
      </w:r>
      <w:r w:rsidRPr="0080140F">
        <w:rPr>
          <w:szCs w:val="24"/>
          <w:lang w:val="fr-CA"/>
        </w:rPr>
        <w:t>sans plus. La directive en l’espèce ne satisfaisait pas à cette exigence.</w:t>
      </w:r>
    </w:p>
    <w:p w:rsidR="0080140F" w:rsidRPr="0080140F" w:rsidRDefault="0080140F" w:rsidP="00BD3944">
      <w:pPr>
        <w:pStyle w:val="ParaNoNdepar-AltN"/>
        <w:widowControl w:val="0"/>
        <w:rPr>
          <w:szCs w:val="24"/>
          <w:lang w:val="fr-CA"/>
        </w:rPr>
      </w:pPr>
      <w:r w:rsidRPr="0080140F">
        <w:rPr>
          <w:szCs w:val="24"/>
          <w:lang w:val="fr-CA"/>
        </w:rPr>
        <w:t>De plus, il doit y avoir d’autres éléments de preuve indépendants de la conclusion que l’alibi est faux qui permettent à un jury raisonnable de conclure que l’alibi a été fabriqué délibérément et que l’accusé a participé à cette tentative d’induire le jury en erreur :</w:t>
      </w:r>
      <w:r w:rsidRPr="0080140F">
        <w:rPr>
          <w:i/>
          <w:szCs w:val="24"/>
          <w:lang w:val="fr-CA"/>
        </w:rPr>
        <w:t xml:space="preserve"> R. c. </w:t>
      </w:r>
      <w:proofErr w:type="spellStart"/>
      <w:r w:rsidRPr="0080140F">
        <w:rPr>
          <w:i/>
          <w:szCs w:val="24"/>
          <w:lang w:val="fr-CA"/>
        </w:rPr>
        <w:t>O’Connor</w:t>
      </w:r>
      <w:proofErr w:type="spellEnd"/>
      <w:r w:rsidRPr="0080140F">
        <w:rPr>
          <w:i/>
          <w:szCs w:val="24"/>
          <w:lang w:val="fr-CA"/>
        </w:rPr>
        <w:t xml:space="preserve"> </w:t>
      </w:r>
      <w:r w:rsidRPr="0080140F">
        <w:rPr>
          <w:szCs w:val="24"/>
          <w:lang w:val="fr-CA"/>
        </w:rPr>
        <w:t xml:space="preserve">(2002), </w:t>
      </w:r>
      <w:r w:rsidRPr="0080140F">
        <w:rPr>
          <w:rStyle w:val="nowrap"/>
          <w:szCs w:val="24"/>
          <w:lang w:val="fr-CA"/>
        </w:rPr>
        <w:t>62 O.R</w:t>
      </w:r>
      <w:r w:rsidR="00BD3944">
        <w:rPr>
          <w:rStyle w:val="nowrap"/>
          <w:szCs w:val="24"/>
          <w:lang w:val="fr-CA"/>
        </w:rPr>
        <w:t>.</w:t>
      </w:r>
      <w:r w:rsidRPr="0080140F">
        <w:rPr>
          <w:rStyle w:val="nowrap"/>
          <w:szCs w:val="24"/>
          <w:lang w:val="fr-CA"/>
        </w:rPr>
        <w:t xml:space="preserve"> (3d) 263 (C.A.)</w:t>
      </w:r>
      <w:r w:rsidRPr="0080140F">
        <w:rPr>
          <w:szCs w:val="24"/>
          <w:lang w:val="fr-CA"/>
        </w:rPr>
        <w:t>;</w:t>
      </w:r>
      <w:r w:rsidRPr="0080140F">
        <w:rPr>
          <w:i/>
          <w:szCs w:val="24"/>
          <w:lang w:val="fr-CA"/>
        </w:rPr>
        <w:t xml:space="preserve"> R. c. </w:t>
      </w:r>
      <w:proofErr w:type="spellStart"/>
      <w:r w:rsidRPr="0080140F">
        <w:rPr>
          <w:i/>
          <w:szCs w:val="24"/>
          <w:lang w:val="fr-CA"/>
        </w:rPr>
        <w:t>Hibbert</w:t>
      </w:r>
      <w:proofErr w:type="spellEnd"/>
      <w:r w:rsidRPr="0080140F">
        <w:rPr>
          <w:szCs w:val="24"/>
          <w:lang w:val="fr-CA"/>
        </w:rPr>
        <w:t xml:space="preserve">, 2002 CSC 39, [2002] 2 R.C.S. 445; </w:t>
      </w:r>
      <w:r w:rsidRPr="0080140F">
        <w:rPr>
          <w:i/>
          <w:szCs w:val="24"/>
          <w:lang w:val="fr-CA"/>
        </w:rPr>
        <w:t>R. c. Tessier</w:t>
      </w:r>
      <w:r w:rsidRPr="0080140F">
        <w:rPr>
          <w:szCs w:val="24"/>
          <w:lang w:val="fr-CA"/>
        </w:rPr>
        <w:t xml:space="preserve"> </w:t>
      </w:r>
      <w:r w:rsidRPr="0080140F">
        <w:rPr>
          <w:rStyle w:val="reflex3-block"/>
          <w:szCs w:val="24"/>
          <w:lang w:val="fr-CA"/>
        </w:rPr>
        <w:t xml:space="preserve">(1997), </w:t>
      </w:r>
      <w:r w:rsidR="00E31C73">
        <w:rPr>
          <w:rStyle w:val="reflex3-alt"/>
          <w:szCs w:val="24"/>
          <w:lang w:val="fr-CA"/>
        </w:rPr>
        <w:t>113 C.C.C. (3d) 538 (</w:t>
      </w:r>
      <w:r w:rsidRPr="0080140F">
        <w:rPr>
          <w:rStyle w:val="reflex3-alt"/>
          <w:szCs w:val="24"/>
          <w:lang w:val="fr-CA"/>
        </w:rPr>
        <w:t>C.A.</w:t>
      </w:r>
      <w:r w:rsidR="00E31C73">
        <w:rPr>
          <w:rStyle w:val="reflex3-alt"/>
          <w:szCs w:val="24"/>
          <w:lang w:val="fr-CA"/>
        </w:rPr>
        <w:t xml:space="preserve"> C.-B.</w:t>
      </w:r>
      <w:r w:rsidRPr="0080140F">
        <w:rPr>
          <w:rStyle w:val="reflex3-alt"/>
          <w:szCs w:val="24"/>
          <w:lang w:val="fr-CA"/>
        </w:rPr>
        <w:t>)</w:t>
      </w:r>
      <w:r w:rsidRPr="0080140F">
        <w:rPr>
          <w:szCs w:val="24"/>
          <w:lang w:val="fr-CA"/>
        </w:rPr>
        <w:t xml:space="preserve"> (la juge Ryan).</w:t>
      </w:r>
    </w:p>
    <w:p w:rsidR="0080140F" w:rsidRPr="0080140F" w:rsidRDefault="0080140F" w:rsidP="00BD3944">
      <w:pPr>
        <w:pStyle w:val="ParaNoNdepar-AltN"/>
        <w:widowControl w:val="0"/>
        <w:rPr>
          <w:szCs w:val="24"/>
          <w:lang w:val="fr-CA"/>
        </w:rPr>
      </w:pPr>
      <w:r w:rsidRPr="0080140F">
        <w:rPr>
          <w:szCs w:val="24"/>
          <w:lang w:val="fr-CA"/>
        </w:rPr>
        <w:t xml:space="preserve">Cependant, </w:t>
      </w:r>
      <w:r w:rsidRPr="00C06E69">
        <w:rPr>
          <w:rFonts w:cs="Times New Roman"/>
          <w:lang w:val="fr-CA"/>
        </w:rPr>
        <w:t>nous</w:t>
      </w:r>
      <w:r w:rsidRPr="0080140F">
        <w:rPr>
          <w:szCs w:val="24"/>
          <w:lang w:val="fr-CA"/>
        </w:rPr>
        <w:t xml:space="preserve"> sommes d’avis qu’en dépit des erreurs du juge du procès, la preuve en l’espèce est à ce point accablante que le juge des faits conclurait forcément à la culpabilité de l’accusé : </w:t>
      </w:r>
      <w:r w:rsidRPr="0080140F">
        <w:rPr>
          <w:i/>
          <w:szCs w:val="24"/>
          <w:lang w:val="fr-CA"/>
        </w:rPr>
        <w:t xml:space="preserve">R. c. </w:t>
      </w:r>
      <w:proofErr w:type="spellStart"/>
      <w:r w:rsidRPr="0080140F">
        <w:rPr>
          <w:i/>
          <w:szCs w:val="24"/>
          <w:lang w:val="fr-CA"/>
        </w:rPr>
        <w:t>Trochym</w:t>
      </w:r>
      <w:proofErr w:type="spellEnd"/>
      <w:r w:rsidRPr="0080140F">
        <w:rPr>
          <w:szCs w:val="24"/>
          <w:lang w:val="fr-CA"/>
        </w:rPr>
        <w:t>, 2007 CSC 6, [2007] 1 R.C.S. 239.</w:t>
      </w:r>
    </w:p>
    <w:p w:rsidR="0080140F" w:rsidRPr="0080140F" w:rsidRDefault="0080140F" w:rsidP="00BD3944">
      <w:pPr>
        <w:pStyle w:val="ParaNoNdepar-AltN"/>
        <w:widowControl w:val="0"/>
        <w:rPr>
          <w:szCs w:val="24"/>
          <w:lang w:val="fr-CA"/>
        </w:rPr>
      </w:pPr>
      <w:r w:rsidRPr="0080140F">
        <w:rPr>
          <w:szCs w:val="24"/>
          <w:lang w:val="fr-CA"/>
        </w:rPr>
        <w:t xml:space="preserve">Pour ces motifs, </w:t>
      </w:r>
      <w:r w:rsidRPr="00DE04BB">
        <w:rPr>
          <w:szCs w:val="20"/>
          <w:lang w:val="fr-CA"/>
        </w:rPr>
        <w:t>le</w:t>
      </w:r>
      <w:r w:rsidRPr="0080140F">
        <w:rPr>
          <w:szCs w:val="24"/>
          <w:lang w:val="fr-CA"/>
        </w:rPr>
        <w:t xml:space="preserve"> pourvoi est rejeté.</w:t>
      </w:r>
    </w:p>
    <w:p w:rsidR="004D7D95" w:rsidRPr="00DE04BB" w:rsidRDefault="004D7D95" w:rsidP="00BD3944">
      <w:pPr>
        <w:pStyle w:val="SCCNormalDoubleSpacing"/>
        <w:widowControl w:val="0"/>
        <w:rPr>
          <w:i/>
          <w:lang w:val="fr-CA"/>
        </w:rPr>
      </w:pPr>
      <w:r w:rsidRPr="00A4343E">
        <w:rPr>
          <w:lang w:val="fr-CA"/>
        </w:rPr>
        <w:tab/>
      </w:r>
      <w:r w:rsidR="00DE04BB" w:rsidRPr="00DE04BB">
        <w:rPr>
          <w:i/>
          <w:lang w:val="fr-CA"/>
        </w:rPr>
        <w:t>Jugement en conséquence.</w:t>
      </w:r>
    </w:p>
    <w:p w:rsidR="004D7D95" w:rsidRPr="007B17B8" w:rsidRDefault="004D7D95" w:rsidP="00BD3944">
      <w:pPr>
        <w:pStyle w:val="SCCNormalDoubleSpacing"/>
        <w:widowControl w:val="0"/>
        <w:rPr>
          <w:lang w:val="fr-CA"/>
        </w:rPr>
      </w:pPr>
    </w:p>
    <w:p w:rsidR="00C72E20" w:rsidRPr="007B17B8" w:rsidRDefault="00914B50" w:rsidP="00BD3944">
      <w:pPr>
        <w:pStyle w:val="SCCLawFirm"/>
        <w:widowControl w:val="0"/>
        <w:rPr>
          <w:lang w:val="fr-CA"/>
        </w:rPr>
      </w:pPr>
      <w:r w:rsidRPr="007B17B8">
        <w:rPr>
          <w:lang w:val="fr-CA"/>
        </w:rPr>
        <w:tab/>
        <w:t>Procureur</w:t>
      </w:r>
      <w:r w:rsidR="00940B2A">
        <w:rPr>
          <w:lang w:val="fr-CA"/>
        </w:rPr>
        <w:t>s de l’</w:t>
      </w:r>
      <w:r w:rsidRPr="007B17B8">
        <w:rPr>
          <w:lang w:val="fr-CA"/>
        </w:rPr>
        <w:t>appelant</w:t>
      </w:r>
      <w:r w:rsidR="00940B2A">
        <w:rPr>
          <w:lang w:val="fr-CA"/>
        </w:rPr>
        <w:t xml:space="preserve"> </w:t>
      </w:r>
      <w:r w:rsidRPr="007B17B8">
        <w:rPr>
          <w:lang w:val="fr-CA"/>
        </w:rPr>
        <w:t>: Thibault, Roy, Avocats, Québec.</w:t>
      </w:r>
    </w:p>
    <w:p w:rsidR="00C72E20" w:rsidRPr="007B17B8" w:rsidRDefault="00C72E20" w:rsidP="00BD3944">
      <w:pPr>
        <w:pStyle w:val="SCCLawFirm"/>
        <w:widowControl w:val="0"/>
        <w:rPr>
          <w:lang w:val="fr-CA"/>
        </w:rPr>
      </w:pPr>
    </w:p>
    <w:p w:rsidR="00C72E20" w:rsidRPr="007B17B8" w:rsidRDefault="00914B50" w:rsidP="00BD3944">
      <w:pPr>
        <w:pStyle w:val="SCCLawFirm"/>
        <w:widowControl w:val="0"/>
        <w:rPr>
          <w:lang w:val="fr-CA"/>
        </w:rPr>
      </w:pPr>
      <w:r w:rsidRPr="007B17B8">
        <w:rPr>
          <w:lang w:val="fr-CA"/>
        </w:rPr>
        <w:tab/>
        <w:t>Procureur</w:t>
      </w:r>
      <w:r w:rsidR="00940B2A">
        <w:rPr>
          <w:lang w:val="fr-CA"/>
        </w:rPr>
        <w:t>s</w:t>
      </w:r>
      <w:r w:rsidRPr="007B17B8">
        <w:rPr>
          <w:lang w:val="fr-CA"/>
        </w:rPr>
        <w:t xml:space="preserve"> de l</w:t>
      </w:r>
      <w:r w:rsidR="00940B2A">
        <w:rPr>
          <w:lang w:val="fr-CA"/>
        </w:rPr>
        <w:t>’intimée</w:t>
      </w:r>
      <w:r w:rsidRPr="007B17B8">
        <w:rPr>
          <w:lang w:val="fr-CA"/>
        </w:rPr>
        <w:t> : Poursuites criminelles et pénales du Québec, Québec.</w:t>
      </w:r>
    </w:p>
    <w:p w:rsidR="00C72E20" w:rsidRPr="007B17B8" w:rsidRDefault="00C72E20" w:rsidP="00BD3944">
      <w:pPr>
        <w:pStyle w:val="SCCLawFirm"/>
        <w:widowControl w:val="0"/>
        <w:rPr>
          <w:lang w:val="fr-CA"/>
        </w:rPr>
      </w:pPr>
    </w:p>
    <w:sectPr w:rsidR="00C72E20" w:rsidRPr="007B17B8"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FB8A723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30A"/>
    <w:rsid w:val="0001477C"/>
    <w:rsid w:val="00023FC7"/>
    <w:rsid w:val="00025198"/>
    <w:rsid w:val="000518E6"/>
    <w:rsid w:val="000578A3"/>
    <w:rsid w:val="000648CC"/>
    <w:rsid w:val="000C59B8"/>
    <w:rsid w:val="000C6AF0"/>
    <w:rsid w:val="000D0A77"/>
    <w:rsid w:val="000F7993"/>
    <w:rsid w:val="00104F33"/>
    <w:rsid w:val="00111838"/>
    <w:rsid w:val="00111DE2"/>
    <w:rsid w:val="00116B38"/>
    <w:rsid w:val="00135406"/>
    <w:rsid w:val="00135972"/>
    <w:rsid w:val="001426A9"/>
    <w:rsid w:val="001429D9"/>
    <w:rsid w:val="0014377F"/>
    <w:rsid w:val="00152B66"/>
    <w:rsid w:val="00154D7C"/>
    <w:rsid w:val="001570B0"/>
    <w:rsid w:val="0015752C"/>
    <w:rsid w:val="00157737"/>
    <w:rsid w:val="00165277"/>
    <w:rsid w:val="00170592"/>
    <w:rsid w:val="001720F7"/>
    <w:rsid w:val="00195D83"/>
    <w:rsid w:val="001A00C1"/>
    <w:rsid w:val="001A60DC"/>
    <w:rsid w:val="001B33E0"/>
    <w:rsid w:val="001B4573"/>
    <w:rsid w:val="001C779F"/>
    <w:rsid w:val="001D2AC1"/>
    <w:rsid w:val="001D4E88"/>
    <w:rsid w:val="002037DB"/>
    <w:rsid w:val="00220FC2"/>
    <w:rsid w:val="002222F4"/>
    <w:rsid w:val="00224FC0"/>
    <w:rsid w:val="00225EA4"/>
    <w:rsid w:val="00226EAF"/>
    <w:rsid w:val="00231F3A"/>
    <w:rsid w:val="002406EE"/>
    <w:rsid w:val="00243EC8"/>
    <w:rsid w:val="00270D93"/>
    <w:rsid w:val="002745CC"/>
    <w:rsid w:val="002B6FBE"/>
    <w:rsid w:val="002B7924"/>
    <w:rsid w:val="002C10A6"/>
    <w:rsid w:val="002D28C3"/>
    <w:rsid w:val="002D39A4"/>
    <w:rsid w:val="002E6705"/>
    <w:rsid w:val="0030329A"/>
    <w:rsid w:val="0031086F"/>
    <w:rsid w:val="0031414C"/>
    <w:rsid w:val="00314E01"/>
    <w:rsid w:val="0032089D"/>
    <w:rsid w:val="003310DE"/>
    <w:rsid w:val="003323B0"/>
    <w:rsid w:val="003333AA"/>
    <w:rsid w:val="003353B9"/>
    <w:rsid w:val="00340A49"/>
    <w:rsid w:val="0035169A"/>
    <w:rsid w:val="0035259D"/>
    <w:rsid w:val="00355988"/>
    <w:rsid w:val="00364B18"/>
    <w:rsid w:val="00365127"/>
    <w:rsid w:val="003A125D"/>
    <w:rsid w:val="003A4C70"/>
    <w:rsid w:val="003B215F"/>
    <w:rsid w:val="003C799C"/>
    <w:rsid w:val="003D0399"/>
    <w:rsid w:val="003E1C71"/>
    <w:rsid w:val="003F2E87"/>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478D"/>
    <w:rsid w:val="004D7D95"/>
    <w:rsid w:val="004E2C26"/>
    <w:rsid w:val="00501CA9"/>
    <w:rsid w:val="005125A8"/>
    <w:rsid w:val="00517549"/>
    <w:rsid w:val="00520ABC"/>
    <w:rsid w:val="00521AE8"/>
    <w:rsid w:val="00527180"/>
    <w:rsid w:val="00555291"/>
    <w:rsid w:val="00566AD1"/>
    <w:rsid w:val="00583EDE"/>
    <w:rsid w:val="005A6079"/>
    <w:rsid w:val="005E4698"/>
    <w:rsid w:val="005F420A"/>
    <w:rsid w:val="00603924"/>
    <w:rsid w:val="00610539"/>
    <w:rsid w:val="00613969"/>
    <w:rsid w:val="00625C35"/>
    <w:rsid w:val="00647E49"/>
    <w:rsid w:val="00656313"/>
    <w:rsid w:val="006565F4"/>
    <w:rsid w:val="00684EEA"/>
    <w:rsid w:val="0069689B"/>
    <w:rsid w:val="006B5FF5"/>
    <w:rsid w:val="006F30AF"/>
    <w:rsid w:val="006F3A7B"/>
    <w:rsid w:val="00701759"/>
    <w:rsid w:val="00705C15"/>
    <w:rsid w:val="007110F6"/>
    <w:rsid w:val="007208D1"/>
    <w:rsid w:val="007353EA"/>
    <w:rsid w:val="00744518"/>
    <w:rsid w:val="00747288"/>
    <w:rsid w:val="00747DD3"/>
    <w:rsid w:val="007549C8"/>
    <w:rsid w:val="00766D14"/>
    <w:rsid w:val="00767A0F"/>
    <w:rsid w:val="00791272"/>
    <w:rsid w:val="007A05F6"/>
    <w:rsid w:val="007A6CA6"/>
    <w:rsid w:val="007B17B8"/>
    <w:rsid w:val="007B6F4A"/>
    <w:rsid w:val="007D793B"/>
    <w:rsid w:val="007E1C47"/>
    <w:rsid w:val="007E337A"/>
    <w:rsid w:val="007E5C70"/>
    <w:rsid w:val="007F2FF5"/>
    <w:rsid w:val="007F3F08"/>
    <w:rsid w:val="0080140F"/>
    <w:rsid w:val="00804CC6"/>
    <w:rsid w:val="00817190"/>
    <w:rsid w:val="008260E2"/>
    <w:rsid w:val="008322BD"/>
    <w:rsid w:val="00834F73"/>
    <w:rsid w:val="00864C8A"/>
    <w:rsid w:val="00864CF8"/>
    <w:rsid w:val="00874914"/>
    <w:rsid w:val="00891422"/>
    <w:rsid w:val="00892E1A"/>
    <w:rsid w:val="00894508"/>
    <w:rsid w:val="008A6237"/>
    <w:rsid w:val="008B660A"/>
    <w:rsid w:val="008C01DA"/>
    <w:rsid w:val="008E5732"/>
    <w:rsid w:val="008F2674"/>
    <w:rsid w:val="008F78E9"/>
    <w:rsid w:val="00914B50"/>
    <w:rsid w:val="009179F9"/>
    <w:rsid w:val="00917C7A"/>
    <w:rsid w:val="0093177C"/>
    <w:rsid w:val="00933E5E"/>
    <w:rsid w:val="00934E46"/>
    <w:rsid w:val="00935218"/>
    <w:rsid w:val="00937C52"/>
    <w:rsid w:val="009403F3"/>
    <w:rsid w:val="00940B2A"/>
    <w:rsid w:val="009555B7"/>
    <w:rsid w:val="009567AA"/>
    <w:rsid w:val="009602C9"/>
    <w:rsid w:val="00967374"/>
    <w:rsid w:val="009937ED"/>
    <w:rsid w:val="009A343A"/>
    <w:rsid w:val="009B2F23"/>
    <w:rsid w:val="009B57B3"/>
    <w:rsid w:val="009D2920"/>
    <w:rsid w:val="009D5AEB"/>
    <w:rsid w:val="009F0E33"/>
    <w:rsid w:val="00A149DF"/>
    <w:rsid w:val="00A1755C"/>
    <w:rsid w:val="00A21B90"/>
    <w:rsid w:val="00A22AAC"/>
    <w:rsid w:val="00A3070D"/>
    <w:rsid w:val="00A41805"/>
    <w:rsid w:val="00A4343E"/>
    <w:rsid w:val="00A51882"/>
    <w:rsid w:val="00A52703"/>
    <w:rsid w:val="00A52AFB"/>
    <w:rsid w:val="00A548CB"/>
    <w:rsid w:val="00A5521C"/>
    <w:rsid w:val="00A643E7"/>
    <w:rsid w:val="00A73C38"/>
    <w:rsid w:val="00A921A7"/>
    <w:rsid w:val="00AA362E"/>
    <w:rsid w:val="00AB670D"/>
    <w:rsid w:val="00AC6B19"/>
    <w:rsid w:val="00AF03C5"/>
    <w:rsid w:val="00AF496B"/>
    <w:rsid w:val="00B000D8"/>
    <w:rsid w:val="00B00F75"/>
    <w:rsid w:val="00B145B6"/>
    <w:rsid w:val="00B279EB"/>
    <w:rsid w:val="00B50C81"/>
    <w:rsid w:val="00B557F8"/>
    <w:rsid w:val="00B61863"/>
    <w:rsid w:val="00B815FC"/>
    <w:rsid w:val="00B93FBC"/>
    <w:rsid w:val="00BA7DA0"/>
    <w:rsid w:val="00BB2EE4"/>
    <w:rsid w:val="00BB4C92"/>
    <w:rsid w:val="00BC2108"/>
    <w:rsid w:val="00BD0E9E"/>
    <w:rsid w:val="00BD1BEC"/>
    <w:rsid w:val="00BD32FF"/>
    <w:rsid w:val="00BD3944"/>
    <w:rsid w:val="00BF21B8"/>
    <w:rsid w:val="00BF6FE9"/>
    <w:rsid w:val="00C02092"/>
    <w:rsid w:val="00C06E69"/>
    <w:rsid w:val="00C24D91"/>
    <w:rsid w:val="00C26DB2"/>
    <w:rsid w:val="00C53F14"/>
    <w:rsid w:val="00C600CF"/>
    <w:rsid w:val="00C6084F"/>
    <w:rsid w:val="00C62A66"/>
    <w:rsid w:val="00C66359"/>
    <w:rsid w:val="00C71458"/>
    <w:rsid w:val="00C72E20"/>
    <w:rsid w:val="00C77613"/>
    <w:rsid w:val="00C828E7"/>
    <w:rsid w:val="00C84BB2"/>
    <w:rsid w:val="00C86719"/>
    <w:rsid w:val="00C921DD"/>
    <w:rsid w:val="00CA6391"/>
    <w:rsid w:val="00CE036E"/>
    <w:rsid w:val="00CE3171"/>
    <w:rsid w:val="00CF1601"/>
    <w:rsid w:val="00CF776B"/>
    <w:rsid w:val="00D0172F"/>
    <w:rsid w:val="00D01E33"/>
    <w:rsid w:val="00D068A7"/>
    <w:rsid w:val="00D17476"/>
    <w:rsid w:val="00D17B0E"/>
    <w:rsid w:val="00D20754"/>
    <w:rsid w:val="00D267DD"/>
    <w:rsid w:val="00D32086"/>
    <w:rsid w:val="00D37A3F"/>
    <w:rsid w:val="00D4431D"/>
    <w:rsid w:val="00D4667A"/>
    <w:rsid w:val="00D636AA"/>
    <w:rsid w:val="00D63A1C"/>
    <w:rsid w:val="00D7516F"/>
    <w:rsid w:val="00D95F8E"/>
    <w:rsid w:val="00DA0590"/>
    <w:rsid w:val="00DC1739"/>
    <w:rsid w:val="00DC1788"/>
    <w:rsid w:val="00DC3DE3"/>
    <w:rsid w:val="00DD1C9E"/>
    <w:rsid w:val="00DE04BB"/>
    <w:rsid w:val="00DE319C"/>
    <w:rsid w:val="00DF0CA8"/>
    <w:rsid w:val="00DF2B48"/>
    <w:rsid w:val="00DF49A7"/>
    <w:rsid w:val="00DF66BB"/>
    <w:rsid w:val="00DF6971"/>
    <w:rsid w:val="00E07EE2"/>
    <w:rsid w:val="00E07FD1"/>
    <w:rsid w:val="00E24573"/>
    <w:rsid w:val="00E25E1E"/>
    <w:rsid w:val="00E27EE7"/>
    <w:rsid w:val="00E31C73"/>
    <w:rsid w:val="00E35404"/>
    <w:rsid w:val="00E45109"/>
    <w:rsid w:val="00E47B7A"/>
    <w:rsid w:val="00E56A44"/>
    <w:rsid w:val="00E60269"/>
    <w:rsid w:val="00E97830"/>
    <w:rsid w:val="00EE0830"/>
    <w:rsid w:val="00EE6CB8"/>
    <w:rsid w:val="00EF0683"/>
    <w:rsid w:val="00F0070C"/>
    <w:rsid w:val="00F00EB7"/>
    <w:rsid w:val="00F26AB3"/>
    <w:rsid w:val="00F31443"/>
    <w:rsid w:val="00F36AB6"/>
    <w:rsid w:val="00F37A09"/>
    <w:rsid w:val="00F409CE"/>
    <w:rsid w:val="00F4379D"/>
    <w:rsid w:val="00F50D2D"/>
    <w:rsid w:val="00F56C8B"/>
    <w:rsid w:val="00F62639"/>
    <w:rsid w:val="00F64129"/>
    <w:rsid w:val="00F66810"/>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reflex3-block">
    <w:name w:val="reflex3-block"/>
    <w:basedOn w:val="DefaultParagraphFont"/>
    <w:rsid w:val="0080140F"/>
  </w:style>
  <w:style w:type="character" w:customStyle="1" w:styleId="reflex3-alt">
    <w:name w:val="reflex3-alt"/>
    <w:basedOn w:val="DefaultParagraphFont"/>
    <w:rsid w:val="0080140F"/>
  </w:style>
  <w:style w:type="character" w:customStyle="1" w:styleId="decisia-reflex2-icon">
    <w:name w:val="decisia-reflex2-icon"/>
    <w:basedOn w:val="DefaultParagraphFont"/>
    <w:rsid w:val="0080140F"/>
    <w:rPr>
      <w:strike w:val="0"/>
      <w:dstrike w:val="0"/>
      <w:sz w:val="19"/>
      <w:szCs w:val="19"/>
      <w:u w:val="none"/>
      <w:effect w:val="none"/>
    </w:rPr>
  </w:style>
  <w:style w:type="character" w:customStyle="1" w:styleId="nowrap">
    <w:name w:val="nowrap"/>
    <w:basedOn w:val="DefaultParagraphFont"/>
    <w:rsid w:val="0080140F"/>
  </w:style>
  <w:style w:type="paragraph" w:customStyle="1" w:styleId="ParaNoNdepar-AltN">
    <w:name w:val="Para. No. / Nº de par. - Alt N"/>
    <w:qFormat/>
    <w:rsid w:val="00C06E69"/>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06E69"/>
    <w:pPr>
      <w:numPr>
        <w:numId w:val="2"/>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06E69"/>
    <w:pPr>
      <w:numPr>
        <w:ilvl w:val="1"/>
      </w:numPr>
      <w:jc w:val="both"/>
    </w:pPr>
    <w:rPr>
      <w:i/>
      <w:u w:val="none"/>
    </w:rPr>
  </w:style>
  <w:style w:type="paragraph" w:customStyle="1" w:styleId="Title3LevelTitre3Niveau">
    <w:name w:val="Title 3 Level / Titre 3 Niveau"/>
    <w:basedOn w:val="Title1LevelTitre1Niveau-AltL"/>
    <w:next w:val="ParaNoNdepar-AltN"/>
    <w:uiPriority w:val="4"/>
    <w:qFormat/>
    <w:rsid w:val="00C06E69"/>
    <w:pPr>
      <w:numPr>
        <w:ilvl w:val="2"/>
      </w:numPr>
    </w:pPr>
  </w:style>
  <w:style w:type="paragraph" w:customStyle="1" w:styleId="Title4LevelTitre4Niveau">
    <w:name w:val="Title 4 Level / Titre 4 Niveau"/>
    <w:basedOn w:val="Title3LevelTitre3Niveau"/>
    <w:next w:val="ParaNoNdepar-AltN"/>
    <w:uiPriority w:val="4"/>
    <w:qFormat/>
    <w:rsid w:val="00C06E69"/>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C06E69"/>
    <w:pPr>
      <w:numPr>
        <w:ilvl w:val="4"/>
      </w:numPr>
    </w:pPr>
  </w:style>
  <w:style w:type="paragraph" w:customStyle="1" w:styleId="Title6LevelTitre6Niveau">
    <w:name w:val="Title 6 Level / Titre 6 Niveau"/>
    <w:basedOn w:val="Title5LevelTitre5Niveau"/>
    <w:next w:val="ParaNoNdepar-AltN"/>
    <w:uiPriority w:val="4"/>
    <w:qFormat/>
    <w:rsid w:val="00C06E69"/>
    <w:pPr>
      <w:numPr>
        <w:ilvl w:val="5"/>
      </w:numPr>
    </w:pPr>
    <w:rPr>
      <w:i/>
      <w:u w:val="none"/>
    </w:rPr>
  </w:style>
  <w:style w:type="table" w:styleId="TableGrid">
    <w:name w:val="Table Grid"/>
    <w:basedOn w:val="TableNormal"/>
    <w:uiPriority w:val="59"/>
    <w:rsid w:val="007D793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D793B"/>
    <w:rPr>
      <w:rFonts w:ascii="Times New Roman" w:hAnsi="Times New Roman"/>
      <w:sz w:val="24"/>
      <w:szCs w:val="24"/>
      <w:lang w:val="fr-CA"/>
    </w:rPr>
  </w:style>
  <w:style w:type="paragraph" w:customStyle="1" w:styleId="SCCLsocPrefix">
    <w:name w:val="SCC.Lsoc.Prefix"/>
    <w:basedOn w:val="Normal"/>
    <w:next w:val="Normal"/>
    <w:link w:val="SCCLsocPrefixChar"/>
    <w:rsid w:val="007D793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7D793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916A4-143D-4FC0-8411-C98E81B8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3797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2016-05-02T17:21:00Z</dcterms:created>
  <dcterms:modified xsi:type="dcterms:W3CDTF">2016-11-08T18:18:00Z</dcterms:modified>
</cp:coreProperties>
</file>