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6F" w:rsidRDefault="00A9616F" w:rsidP="00A9616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1pt" o:ole="">
            <v:imagedata r:id="rId8" o:title=""/>
          </v:shape>
          <o:OLEObject Type="Embed" ProgID="Presentations.Drawing.13" ShapeID="_x0000_i1025" DrawAspect="Content" ObjectID="_1580122424" r:id="rId9"/>
        </w:object>
      </w:r>
      <w:r>
        <w:t xml:space="preserve"> </w:t>
      </w:r>
      <w:r>
        <w:ptab w:relativeTo="margin" w:alignment="right" w:leader="none"/>
      </w:r>
    </w:p>
    <w:p w:rsidR="00A9616F" w:rsidRDefault="00A9616F" w:rsidP="00A9616F">
      <w:pPr>
        <w:pStyle w:val="Header"/>
      </w:pPr>
    </w:p>
    <w:p w:rsidR="00A9616F" w:rsidRPr="001E12E2" w:rsidRDefault="00A9616F" w:rsidP="00A9616F">
      <w:pPr>
        <w:jc w:val="center"/>
        <w:rPr>
          <w:b/>
        </w:rPr>
      </w:pPr>
      <w:r w:rsidRPr="001E12E2">
        <w:rPr>
          <w:b/>
        </w:rPr>
        <w:t>COUR SUPRÊME DU CANADA</w:t>
      </w:r>
    </w:p>
    <w:p w:rsidR="00A9616F" w:rsidRDefault="00A9616F" w:rsidP="00A9616F"/>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140"/>
      </w:tblGrid>
      <w:tr w:rsidR="00A9616F" w:rsidRPr="001E12E2" w:rsidTr="003D2264">
        <w:trPr>
          <w:cantSplit/>
        </w:trPr>
        <w:tc>
          <w:tcPr>
            <w:tcW w:w="5670" w:type="dxa"/>
          </w:tcPr>
          <w:p w:rsidR="00A9616F" w:rsidRPr="001E12E2" w:rsidRDefault="00A9616F" w:rsidP="003D2264">
            <w:r>
              <w:rPr>
                <w:b/>
                <w:smallCaps/>
              </w:rPr>
              <w:t xml:space="preserve">Référence : </w:t>
            </w:r>
            <w:r w:rsidRPr="00A9616F">
              <w:rPr>
                <w:rStyle w:val="SCCAppellantForIndexChar"/>
                <w:rFonts w:eastAsiaTheme="minorHAnsi"/>
                <w:b w:val="0"/>
                <w:lang w:val="fr-CA"/>
              </w:rPr>
              <w:t xml:space="preserve">Ktunaxa Nation </w:t>
            </w:r>
            <w:r w:rsidRPr="001E03B7">
              <w:rPr>
                <w:i/>
              </w:rPr>
              <w:t>c.</w:t>
            </w:r>
            <w:r w:rsidRPr="00554F96">
              <w:t xml:space="preserve"> Colombie</w:t>
            </w:r>
            <w:r w:rsidRPr="00554F96">
              <w:noBreakHyphen/>
              <w:t>Britannique</w:t>
            </w:r>
            <w:r w:rsidRPr="00554F96">
              <w:rPr>
                <w:b/>
              </w:rPr>
              <w:t xml:space="preserve"> </w:t>
            </w:r>
            <w:r w:rsidRPr="001E03B7">
              <w:t>(Forests, Lands and Natural Resource Operations)</w:t>
            </w:r>
            <w:r>
              <w:t xml:space="preserve">, 2017 CSC </w:t>
            </w:r>
            <w:r w:rsidRPr="004C12BC">
              <w:t>54</w:t>
            </w:r>
            <w:r>
              <w:t xml:space="preserve">, </w:t>
            </w:r>
            <w:r>
              <w:rPr>
                <w:lang w:val="fr-CA"/>
              </w:rPr>
              <w:t>[2017] 2 R.C.S. 386</w:t>
            </w:r>
          </w:p>
        </w:tc>
        <w:tc>
          <w:tcPr>
            <w:tcW w:w="4140" w:type="dxa"/>
          </w:tcPr>
          <w:p w:rsidR="00A9616F" w:rsidRPr="00A9616F" w:rsidRDefault="00A9616F" w:rsidP="003D2264">
            <w:pPr>
              <w:rPr>
                <w:b/>
                <w:smallCaps/>
                <w:lang w:val="fr-CA"/>
              </w:rPr>
            </w:pPr>
            <w:r w:rsidRPr="00A9616F">
              <w:rPr>
                <w:b/>
                <w:smallCaps/>
                <w:lang w:val="fr-CA"/>
              </w:rPr>
              <w:t>Appel entendu :</w:t>
            </w:r>
            <w:r w:rsidRPr="00A9616F">
              <w:rPr>
                <w:lang w:val="fr-CA"/>
              </w:rPr>
              <w:t xml:space="preserve"> 1</w:t>
            </w:r>
            <w:r w:rsidRPr="00A9616F">
              <w:rPr>
                <w:vertAlign w:val="superscript"/>
                <w:lang w:val="fr-CA"/>
              </w:rPr>
              <w:t>er</w:t>
            </w:r>
            <w:r w:rsidRPr="00A9616F">
              <w:rPr>
                <w:lang w:val="fr-CA"/>
              </w:rPr>
              <w:t xml:space="preserve"> décembre 2016</w:t>
            </w:r>
          </w:p>
          <w:p w:rsidR="00A9616F" w:rsidRPr="00A9616F" w:rsidRDefault="00A9616F" w:rsidP="003D2264">
            <w:pPr>
              <w:rPr>
                <w:lang w:val="fr-CA"/>
              </w:rPr>
            </w:pPr>
            <w:r w:rsidRPr="00A9616F">
              <w:rPr>
                <w:b/>
                <w:smallCaps/>
                <w:lang w:val="fr-CA"/>
              </w:rPr>
              <w:t>Jugement rendu :</w:t>
            </w:r>
            <w:r w:rsidRPr="00A9616F">
              <w:rPr>
                <w:lang w:val="fr-CA"/>
              </w:rPr>
              <w:t xml:space="preserve"> 2 novembre 2017</w:t>
            </w:r>
          </w:p>
          <w:p w:rsidR="00A9616F" w:rsidRPr="001E12E2" w:rsidRDefault="00A9616F" w:rsidP="003D2264">
            <w:r w:rsidRPr="001E12E2">
              <w:rPr>
                <w:b/>
                <w:smallCaps/>
              </w:rPr>
              <w:t>Do</w:t>
            </w:r>
            <w:r>
              <w:rPr>
                <w:b/>
                <w:smallCaps/>
              </w:rPr>
              <w:t>ssier :</w:t>
            </w:r>
            <w:r w:rsidRPr="001E12E2">
              <w:t xml:space="preserve"> </w:t>
            </w:r>
            <w:r>
              <w:t>36664</w:t>
            </w:r>
          </w:p>
        </w:tc>
      </w:tr>
    </w:tbl>
    <w:p w:rsidR="00A9616F" w:rsidRPr="001E12E2" w:rsidRDefault="00A9616F" w:rsidP="00A9616F"/>
    <w:p w:rsidR="00A9616F" w:rsidRDefault="00A9616F" w:rsidP="00A9616F">
      <w:pPr>
        <w:pStyle w:val="SCCLsocPrefix"/>
      </w:pPr>
      <w:r>
        <w:t>Entre :</w:t>
      </w:r>
    </w:p>
    <w:p w:rsidR="00A9616F" w:rsidRPr="007F7533" w:rsidRDefault="00A9616F" w:rsidP="00A9616F"/>
    <w:p w:rsidR="00A9616F" w:rsidRPr="00A9616F" w:rsidRDefault="00A9616F" w:rsidP="00A9616F">
      <w:pPr>
        <w:pStyle w:val="SCCLsocParty"/>
        <w:jc w:val="center"/>
        <w:rPr>
          <w:lang w:val="fr-CA"/>
        </w:rPr>
      </w:pPr>
      <w:r w:rsidRPr="00A9616F">
        <w:rPr>
          <w:lang w:val="fr-CA"/>
        </w:rPr>
        <w:t>Ktunaxa Nation Council et Kathryn Teneese, en leur propre nom et au nom de tous les citoyens de la Ktunaxa Nation</w:t>
      </w:r>
    </w:p>
    <w:p w:rsidR="00A9616F" w:rsidRPr="000557B4" w:rsidRDefault="00A9616F" w:rsidP="00A9616F">
      <w:pPr>
        <w:jc w:val="center"/>
        <w:rPr>
          <w:lang w:val="fr-CA"/>
        </w:rPr>
      </w:pPr>
      <w:r w:rsidRPr="000557B4">
        <w:rPr>
          <w:lang w:val="fr-CA"/>
        </w:rPr>
        <w:t>Appelants</w:t>
      </w:r>
    </w:p>
    <w:p w:rsidR="00A9616F" w:rsidRPr="000557B4" w:rsidRDefault="00A9616F" w:rsidP="00A9616F">
      <w:pPr>
        <w:pStyle w:val="SCCLsocVersus"/>
        <w:spacing w:after="0"/>
        <w:jc w:val="center"/>
        <w:rPr>
          <w:lang w:val="fr-CA"/>
        </w:rPr>
      </w:pPr>
    </w:p>
    <w:p w:rsidR="00A9616F" w:rsidRPr="000557B4" w:rsidRDefault="00A9616F" w:rsidP="00A9616F">
      <w:pPr>
        <w:pStyle w:val="SCCLsocVersus"/>
        <w:spacing w:after="0"/>
        <w:jc w:val="center"/>
        <w:rPr>
          <w:i w:val="0"/>
          <w:lang w:val="fr-CA"/>
        </w:rPr>
      </w:pPr>
      <w:r w:rsidRPr="000557B4">
        <w:rPr>
          <w:i w:val="0"/>
          <w:lang w:val="fr-CA"/>
        </w:rPr>
        <w:t>et</w:t>
      </w:r>
    </w:p>
    <w:p w:rsidR="00A9616F" w:rsidRPr="000557B4" w:rsidRDefault="00A9616F" w:rsidP="00A9616F">
      <w:pPr>
        <w:jc w:val="center"/>
        <w:rPr>
          <w:lang w:val="fr-CA"/>
        </w:rPr>
      </w:pPr>
    </w:p>
    <w:p w:rsidR="00A9616F" w:rsidRPr="000557B4" w:rsidRDefault="00A9616F" w:rsidP="00A9616F">
      <w:pPr>
        <w:pStyle w:val="SCCLsocParty"/>
        <w:jc w:val="center"/>
        <w:rPr>
          <w:lang w:val="fr-CA"/>
        </w:rPr>
      </w:pPr>
      <w:r w:rsidRPr="000557B4">
        <w:rPr>
          <w:lang w:val="fr-CA"/>
        </w:rPr>
        <w:t>Minister of Forests, Lands and Natural Resource Operations et Glacier Resorts Ltd.</w:t>
      </w:r>
    </w:p>
    <w:p w:rsidR="00A9616F" w:rsidRPr="000557B4" w:rsidRDefault="00A9616F" w:rsidP="00A9616F">
      <w:pPr>
        <w:jc w:val="center"/>
        <w:rPr>
          <w:lang w:val="fr-CA"/>
        </w:rPr>
      </w:pPr>
      <w:r w:rsidRPr="000557B4">
        <w:rPr>
          <w:lang w:val="fr-CA"/>
        </w:rPr>
        <w:t>Intimés</w:t>
      </w:r>
    </w:p>
    <w:p w:rsidR="00A9616F" w:rsidRPr="000557B4" w:rsidRDefault="00A9616F" w:rsidP="00A9616F">
      <w:pPr>
        <w:pStyle w:val="SCCLsocOtherPartySeparator"/>
        <w:spacing w:after="0"/>
        <w:jc w:val="center"/>
        <w:rPr>
          <w:lang w:val="fr-CA"/>
        </w:rPr>
      </w:pPr>
    </w:p>
    <w:p w:rsidR="00A9616F" w:rsidRPr="000557B4" w:rsidRDefault="00A9616F" w:rsidP="00A9616F">
      <w:pPr>
        <w:pStyle w:val="SCCLsocOtherPartySeparator"/>
        <w:spacing w:after="0"/>
        <w:jc w:val="center"/>
        <w:rPr>
          <w:lang w:val="fr-CA"/>
        </w:rPr>
      </w:pPr>
      <w:r w:rsidRPr="000557B4">
        <w:rPr>
          <w:lang w:val="fr-CA"/>
        </w:rPr>
        <w:t>- et -</w:t>
      </w:r>
    </w:p>
    <w:p w:rsidR="00A9616F" w:rsidRPr="000557B4" w:rsidRDefault="00A9616F" w:rsidP="00A9616F">
      <w:pPr>
        <w:jc w:val="center"/>
        <w:rPr>
          <w:lang w:val="fr-CA"/>
        </w:rPr>
      </w:pPr>
    </w:p>
    <w:p w:rsidR="00A9616F" w:rsidRPr="000557B4" w:rsidRDefault="00A9616F" w:rsidP="00A9616F">
      <w:pPr>
        <w:pStyle w:val="SCCLsocParty"/>
        <w:jc w:val="center"/>
        <w:rPr>
          <w:lang w:val="fr-CA"/>
        </w:rPr>
      </w:pPr>
      <w:r w:rsidRPr="000557B4">
        <w:rPr>
          <w:lang w:val="fr-CA"/>
        </w:rPr>
        <w:t>Procureur général du Canada, procureur général de la Saskatchewan, Association canadienne des avocats musulmans, South Asian Legal Clinic of Ontario, Kootenay Presbytery (United Church of Canada), Alliance évangélique du Canada, Alliance des chrétiens en droit, Alberta Muslim Public Affairs Council, Amnistie internationale (Canada), Te’mexw Treaty Association, Central Coast Indigenous Resource Alliance, Shibogama First Nations Council, Chambre de commerce du Canada, British Columbia Civil Liberties Association, Council of the Passamaquoddy Nation at Schoodic, Katzie First Nation, West Moberly First Nations et Prophet River First Nation</w:t>
      </w:r>
    </w:p>
    <w:p w:rsidR="00A9616F" w:rsidRPr="00A9616F" w:rsidRDefault="00A9616F" w:rsidP="00A9616F">
      <w:pPr>
        <w:jc w:val="center"/>
        <w:rPr>
          <w:lang w:val="fr-CA"/>
        </w:rPr>
      </w:pPr>
      <w:r w:rsidRPr="00A9616F">
        <w:rPr>
          <w:lang w:val="fr-CA"/>
        </w:rPr>
        <w:t>Intervenants</w:t>
      </w:r>
    </w:p>
    <w:p w:rsidR="00A9616F" w:rsidRPr="00A9616F" w:rsidRDefault="00A9616F" w:rsidP="00A9616F">
      <w:pPr>
        <w:rPr>
          <w:lang w:val="fr-CA"/>
        </w:rPr>
      </w:pPr>
    </w:p>
    <w:p w:rsidR="00A9616F" w:rsidRPr="00A9616F" w:rsidRDefault="00A9616F" w:rsidP="00A9616F">
      <w:pPr>
        <w:jc w:val="center"/>
        <w:rPr>
          <w:b/>
          <w:smallCaps/>
          <w:lang w:val="fr-CA"/>
        </w:rPr>
      </w:pPr>
      <w:r w:rsidRPr="00A9616F">
        <w:rPr>
          <w:b/>
          <w:smallCaps/>
          <w:lang w:val="fr-CA"/>
        </w:rPr>
        <w:t>Traduction française officielle</w:t>
      </w:r>
    </w:p>
    <w:p w:rsidR="00A9616F" w:rsidRPr="00A9616F" w:rsidRDefault="00A9616F" w:rsidP="00A9616F">
      <w:pPr>
        <w:jc w:val="center"/>
        <w:rPr>
          <w:b/>
          <w:smallCaps/>
          <w:lang w:val="fr-CA"/>
        </w:rPr>
      </w:pPr>
    </w:p>
    <w:p w:rsidR="00A9616F" w:rsidRPr="00A9616F" w:rsidRDefault="00A9616F" w:rsidP="00A9616F">
      <w:pPr>
        <w:rPr>
          <w:lang w:val="fr-CA"/>
        </w:rPr>
      </w:pPr>
      <w:r w:rsidRPr="00A9616F">
        <w:rPr>
          <w:b/>
          <w:smallCaps/>
          <w:lang w:val="fr-CA"/>
        </w:rPr>
        <w:t>Coram :</w:t>
      </w:r>
      <w:r w:rsidRPr="00A9616F">
        <w:rPr>
          <w:lang w:val="fr-CA"/>
        </w:rPr>
        <w:t xml:space="preserve"> La juge en chef McLachlin et les juges Abella, Moldaver, Karakatsanis, Wagner, Gascon, Côté, Brown et Rowe</w:t>
      </w:r>
    </w:p>
    <w:p w:rsidR="00A9616F" w:rsidRPr="00A9616F" w:rsidRDefault="00A9616F" w:rsidP="00A9616F">
      <w:pPr>
        <w:rPr>
          <w:lang w:val="fr-CA"/>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960"/>
        <w:gridCol w:w="5958"/>
      </w:tblGrid>
      <w:tr w:rsidR="00A9616F" w:rsidRPr="000557B4" w:rsidTr="003D2264">
        <w:trPr>
          <w:cantSplit/>
        </w:trPr>
        <w:tc>
          <w:tcPr>
            <w:tcW w:w="3960" w:type="dxa"/>
          </w:tcPr>
          <w:p w:rsidR="00A9616F" w:rsidRPr="00A9616F" w:rsidRDefault="00A9616F" w:rsidP="003D2264">
            <w:pPr>
              <w:rPr>
                <w:b/>
                <w:smallCaps/>
                <w:lang w:val="fr-CA"/>
              </w:rPr>
            </w:pPr>
            <w:r w:rsidRPr="00A9616F">
              <w:rPr>
                <w:b/>
                <w:smallCaps/>
                <w:lang w:val="fr-CA"/>
              </w:rPr>
              <w:t>Motifs de jugement conjoints :</w:t>
            </w:r>
          </w:p>
          <w:p w:rsidR="00A9616F" w:rsidRPr="00A9616F" w:rsidRDefault="00A9616F" w:rsidP="003D2264">
            <w:pPr>
              <w:rPr>
                <w:lang w:val="fr-CA"/>
              </w:rPr>
            </w:pPr>
            <w:r w:rsidRPr="00A9616F">
              <w:rPr>
                <w:lang w:val="fr-CA"/>
              </w:rPr>
              <w:t>(par. 1 à 115)</w:t>
            </w:r>
          </w:p>
        </w:tc>
        <w:tc>
          <w:tcPr>
            <w:tcW w:w="5958" w:type="dxa"/>
          </w:tcPr>
          <w:p w:rsidR="00A9616F" w:rsidRPr="00A9616F" w:rsidRDefault="00A9616F" w:rsidP="003D2264">
            <w:pPr>
              <w:rPr>
                <w:lang w:val="fr-CA"/>
              </w:rPr>
            </w:pPr>
            <w:r w:rsidRPr="00A9616F">
              <w:rPr>
                <w:lang w:val="fr-CA"/>
              </w:rPr>
              <w:t>La juge en chef McLachlin et le juge Rowe (avec l’accord des juges Abella, Karakatsanis, Wagner, Gascon et Brown)</w:t>
            </w:r>
          </w:p>
        </w:tc>
      </w:tr>
    </w:tbl>
    <w:p w:rsidR="00A9616F" w:rsidRPr="00A9616F" w:rsidRDefault="00A9616F" w:rsidP="00A9616F">
      <w:pPr>
        <w:rPr>
          <w:lang w:val="fr-CA"/>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960"/>
        <w:gridCol w:w="5958"/>
      </w:tblGrid>
      <w:tr w:rsidR="00A9616F" w:rsidRPr="000557B4" w:rsidTr="003D2264">
        <w:trPr>
          <w:cantSplit/>
        </w:trPr>
        <w:tc>
          <w:tcPr>
            <w:tcW w:w="3960" w:type="dxa"/>
          </w:tcPr>
          <w:p w:rsidR="00A9616F" w:rsidRPr="00A9616F" w:rsidRDefault="00A9616F" w:rsidP="003D2264">
            <w:pPr>
              <w:rPr>
                <w:b/>
                <w:smallCaps/>
                <w:lang w:val="fr-CA"/>
              </w:rPr>
            </w:pPr>
            <w:r w:rsidRPr="00A9616F">
              <w:rPr>
                <w:b/>
                <w:smallCaps/>
                <w:lang w:val="fr-CA"/>
              </w:rPr>
              <w:lastRenderedPageBreak/>
              <w:t>Motifs concordants en partie</w:t>
            </w:r>
            <w:r w:rsidRPr="00A9616F">
              <w:rPr>
                <w:color w:val="1F497D"/>
                <w:lang w:val="fr-CA"/>
              </w:rPr>
              <w:t> </w:t>
            </w:r>
            <w:r w:rsidRPr="00A9616F">
              <w:rPr>
                <w:b/>
                <w:smallCaps/>
                <w:lang w:val="fr-CA"/>
              </w:rPr>
              <w:t>:</w:t>
            </w:r>
          </w:p>
          <w:p w:rsidR="00A9616F" w:rsidRPr="00A9616F" w:rsidRDefault="00A9616F" w:rsidP="003D2264">
            <w:pPr>
              <w:rPr>
                <w:lang w:val="fr-CA"/>
              </w:rPr>
            </w:pPr>
            <w:r w:rsidRPr="00A9616F">
              <w:rPr>
                <w:lang w:val="fr-CA"/>
              </w:rPr>
              <w:t>(par. 116 à 156)</w:t>
            </w:r>
          </w:p>
        </w:tc>
        <w:tc>
          <w:tcPr>
            <w:tcW w:w="5958" w:type="dxa"/>
          </w:tcPr>
          <w:p w:rsidR="00A9616F" w:rsidRPr="00A9616F" w:rsidRDefault="00A9616F" w:rsidP="003D2264">
            <w:pPr>
              <w:rPr>
                <w:lang w:val="fr-CA"/>
              </w:rPr>
            </w:pPr>
            <w:r w:rsidRPr="00A9616F">
              <w:rPr>
                <w:lang w:val="fr-CA"/>
              </w:rPr>
              <w:t>Le juge Moldaver (avec l’accord de la juge Côté)</w:t>
            </w:r>
          </w:p>
        </w:tc>
      </w:tr>
    </w:tbl>
    <w:p w:rsidR="00A9616F" w:rsidRPr="00A9616F" w:rsidRDefault="00A9616F" w:rsidP="00A9616F">
      <w:pPr>
        <w:rPr>
          <w:lang w:val="fr-CA"/>
        </w:rPr>
      </w:pPr>
    </w:p>
    <w:bookmarkStart w:id="0" w:name="_GoBack"/>
    <w:bookmarkEnd w:id="0"/>
    <w:p w:rsidR="00A9616F" w:rsidRPr="00A9616F" w:rsidRDefault="00A9616F" w:rsidP="00A9616F">
      <w:pPr>
        <w:rPr>
          <w:lang w:val="fr-CA"/>
        </w:rPr>
      </w:pPr>
      <w:r>
        <w:rPr>
          <w:noProof/>
          <w:lang w:val="en-US" w:eastAsia="en-US"/>
        </w:rPr>
        <mc:AlternateContent>
          <mc:Choice Requires="wps">
            <w:drawing>
              <wp:anchor distT="0" distB="0" distL="114300" distR="114300" simplePos="0" relativeHeight="251659264" behindDoc="0" locked="0" layoutInCell="1" allowOverlap="1" wp14:anchorId="56AB9890" wp14:editId="1008B2F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BEDC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9616F" w:rsidRDefault="00A9616F" w:rsidP="0055329A">
      <w:pPr>
        <w:widowControl w:val="0"/>
        <w:spacing w:after="720"/>
        <w:jc w:val="both"/>
        <w:rPr>
          <w:rStyle w:val="SCCAppellantForRunningHeadChar"/>
          <w:smallCaps w:val="0"/>
          <w:lang w:val="fr-CA"/>
        </w:rPr>
      </w:pPr>
    </w:p>
    <w:p w:rsidR="004D7D95" w:rsidRPr="00B01626" w:rsidRDefault="00B01626" w:rsidP="0055329A">
      <w:pPr>
        <w:widowControl w:val="0"/>
        <w:spacing w:after="720"/>
        <w:jc w:val="both"/>
        <w:rPr>
          <w:lang w:val="fr-CA"/>
        </w:rPr>
      </w:pPr>
      <w:r>
        <w:rPr>
          <w:rStyle w:val="SCCAppellantForRunningHeadChar"/>
          <w:smallCaps w:val="0"/>
          <w:lang w:val="fr-CA"/>
        </w:rPr>
        <w:t>K</w:t>
      </w:r>
      <w:r w:rsidR="00AB3F6C" w:rsidRPr="00B01626">
        <w:rPr>
          <w:rStyle w:val="SCCAppellantForRunningHeadChar"/>
          <w:smallCaps w:val="0"/>
          <w:lang w:val="fr-CA"/>
        </w:rPr>
        <w:t xml:space="preserve">tunaxa </w:t>
      </w:r>
      <w:r>
        <w:rPr>
          <w:rStyle w:val="SCCAppellantForRunningHeadChar"/>
          <w:smallCaps w:val="0"/>
          <w:lang w:val="fr-CA"/>
        </w:rPr>
        <w:t>N</w:t>
      </w:r>
      <w:r w:rsidR="00AB3F6C" w:rsidRPr="00B01626">
        <w:rPr>
          <w:rStyle w:val="SCCAppellantForRunningHeadChar"/>
          <w:smallCaps w:val="0"/>
          <w:lang w:val="fr-CA"/>
        </w:rPr>
        <w:t>ation</w:t>
      </w:r>
      <w:r w:rsidR="004D7D95" w:rsidRPr="00A75449">
        <w:rPr>
          <w:rStyle w:val="SCCAppellantForRunningHeadChar"/>
          <w:lang w:val="fr-CA"/>
        </w:rPr>
        <w:t xml:space="preserve"> </w:t>
      </w:r>
      <w:r w:rsidR="004D7D95" w:rsidRPr="00A75449">
        <w:rPr>
          <w:i/>
          <w:lang w:val="fr-CA"/>
        </w:rPr>
        <w:t>c.</w:t>
      </w:r>
      <w:r w:rsidR="004D7D95" w:rsidRPr="00A75449">
        <w:rPr>
          <w:lang w:val="fr-CA"/>
        </w:rPr>
        <w:t xml:space="preserve"> </w:t>
      </w:r>
      <w:r w:rsidRPr="00B01626">
        <w:rPr>
          <w:lang w:val="fr-CA"/>
        </w:rPr>
        <w:t>Colombie</w:t>
      </w:r>
      <w:r w:rsidRPr="00B01626">
        <w:rPr>
          <w:lang w:val="fr-CA"/>
        </w:rPr>
        <w:noBreakHyphen/>
        <w:t xml:space="preserve">Britannique </w:t>
      </w:r>
      <w:r w:rsidRPr="000557B4">
        <w:rPr>
          <w:lang w:val="fr-CA"/>
        </w:rPr>
        <w:t>(</w:t>
      </w:r>
      <w:r w:rsidRPr="00B01626">
        <w:rPr>
          <w:rStyle w:val="SCCRespondentForIndexChar"/>
          <w:b w:val="0"/>
          <w:lang w:val="fr-CA"/>
        </w:rPr>
        <w:t>Forests, Lands and Natural Resource Operations</w:t>
      </w:r>
      <w:r w:rsidRPr="00B01626">
        <w:rPr>
          <w:lang w:val="fr-CA"/>
        </w:rPr>
        <w:t>)</w:t>
      </w:r>
      <w:r>
        <w:rPr>
          <w:lang w:val="fr-CA"/>
        </w:rPr>
        <w:t xml:space="preserve">, </w:t>
      </w:r>
      <w:r w:rsidRPr="00D560D2">
        <w:rPr>
          <w:lang w:val="fr-CA"/>
        </w:rPr>
        <w:t>2017</w:t>
      </w:r>
      <w:r>
        <w:rPr>
          <w:lang w:val="fr-CA"/>
        </w:rPr>
        <w:t xml:space="preserve"> CSC 54, [2017] 2 R.C.S. 386</w:t>
      </w:r>
    </w:p>
    <w:p w:rsidR="00E61E85" w:rsidRPr="00D560D2" w:rsidRDefault="00AB3F6C" w:rsidP="0055329A">
      <w:pPr>
        <w:pStyle w:val="SCCLsocParty"/>
        <w:widowControl w:val="0"/>
        <w:rPr>
          <w:lang w:val="fr-CA"/>
        </w:rPr>
      </w:pPr>
      <w:r w:rsidRPr="00D560D2">
        <w:rPr>
          <w:lang w:val="fr-CA"/>
        </w:rPr>
        <w:t>Ktunaxa Nation Council</w:t>
      </w:r>
      <w:r w:rsidR="00D73EA2" w:rsidRPr="00D560D2">
        <w:rPr>
          <w:lang w:val="fr-CA"/>
        </w:rPr>
        <w:t xml:space="preserve"> et </w:t>
      </w:r>
    </w:p>
    <w:p w:rsidR="00476113" w:rsidRPr="00D560D2" w:rsidRDefault="00D73EA2" w:rsidP="0055329A">
      <w:pPr>
        <w:pStyle w:val="SCCLsocParty"/>
        <w:widowControl w:val="0"/>
        <w:rPr>
          <w:lang w:val="fr-CA"/>
        </w:rPr>
      </w:pPr>
      <w:r w:rsidRPr="00D560D2">
        <w:rPr>
          <w:lang w:val="fr-CA"/>
        </w:rPr>
        <w:t xml:space="preserve">Kathryn Teneese, en leur propre nom </w:t>
      </w:r>
    </w:p>
    <w:p w:rsidR="00682BCE" w:rsidRPr="00D560D2" w:rsidRDefault="00D73EA2" w:rsidP="0055329A">
      <w:pPr>
        <w:pStyle w:val="SCCLsocLastPartyInRole"/>
        <w:widowControl w:val="0"/>
        <w:rPr>
          <w:lang w:val="fr-CA"/>
        </w:rPr>
      </w:pPr>
      <w:r w:rsidRPr="00D560D2">
        <w:rPr>
          <w:lang w:val="fr-CA"/>
        </w:rPr>
        <w:t>et au nom de tous les citoyens de</w:t>
      </w:r>
      <w:r w:rsidR="00126FC8" w:rsidRPr="00D560D2">
        <w:rPr>
          <w:lang w:val="fr-CA"/>
        </w:rPr>
        <w:t xml:space="preserve"> la</w:t>
      </w:r>
      <w:r w:rsidRPr="00D560D2">
        <w:rPr>
          <w:lang w:val="fr-CA"/>
        </w:rPr>
        <w:t xml:space="preserve"> </w:t>
      </w:r>
      <w:r w:rsidR="00AB3F6C" w:rsidRPr="00D560D2">
        <w:rPr>
          <w:lang w:val="fr-CA"/>
        </w:rPr>
        <w:t>Ktunaxa Nation</w:t>
      </w:r>
      <w:r w:rsidRPr="00D560D2">
        <w:rPr>
          <w:rStyle w:val="SCCLsocPartyRole"/>
          <w:lang w:val="fr-CA"/>
        </w:rPr>
        <w:tab/>
        <w:t>Appelant</w:t>
      </w:r>
      <w:r w:rsidR="002A2104" w:rsidRPr="00D560D2">
        <w:rPr>
          <w:rStyle w:val="SCCLsocPartyRole"/>
          <w:lang w:val="fr-CA"/>
        </w:rPr>
        <w:t>s</w:t>
      </w:r>
    </w:p>
    <w:p w:rsidR="00682BCE" w:rsidRPr="00D560D2" w:rsidRDefault="00D73EA2" w:rsidP="0055329A">
      <w:pPr>
        <w:pStyle w:val="SCCLsocVersus"/>
        <w:widowControl w:val="0"/>
      </w:pPr>
      <w:r w:rsidRPr="00D560D2">
        <w:t>c.</w:t>
      </w:r>
    </w:p>
    <w:p w:rsidR="00AB3F6C" w:rsidRPr="00D560D2" w:rsidRDefault="00AB3F6C" w:rsidP="0055329A">
      <w:pPr>
        <w:pStyle w:val="SCCLsocParty"/>
        <w:widowControl w:val="0"/>
      </w:pPr>
      <w:r w:rsidRPr="00D560D2">
        <w:t xml:space="preserve">Minister of Forests, Lands and Natural </w:t>
      </w:r>
    </w:p>
    <w:p w:rsidR="00682BCE" w:rsidRPr="00D560D2" w:rsidRDefault="00AB3F6C" w:rsidP="0055329A">
      <w:pPr>
        <w:pStyle w:val="SCCLsocParty"/>
        <w:widowControl w:val="0"/>
        <w:spacing w:after="720"/>
        <w:rPr>
          <w:lang w:val="fr-CA"/>
        </w:rPr>
      </w:pPr>
      <w:r w:rsidRPr="00D560D2">
        <w:rPr>
          <w:lang w:val="fr-CA"/>
        </w:rPr>
        <w:t>Resource Operations et Glacier Resorts Ltd.</w:t>
      </w:r>
      <w:r w:rsidR="00D73EA2" w:rsidRPr="00D560D2">
        <w:rPr>
          <w:rStyle w:val="SCCLsocPartyRole"/>
          <w:lang w:val="fr-CA"/>
        </w:rPr>
        <w:tab/>
        <w:t>Intimés</w:t>
      </w:r>
    </w:p>
    <w:p w:rsidR="00682BCE" w:rsidRPr="00D560D2" w:rsidRDefault="00D73EA2" w:rsidP="0055329A">
      <w:pPr>
        <w:pStyle w:val="SCCLsocOtherPartySeparator"/>
        <w:widowControl w:val="0"/>
        <w:rPr>
          <w:lang w:val="fr-CA"/>
        </w:rPr>
      </w:pPr>
      <w:r w:rsidRPr="00D560D2">
        <w:rPr>
          <w:lang w:val="fr-CA"/>
        </w:rPr>
        <w:t>et</w:t>
      </w:r>
    </w:p>
    <w:p w:rsidR="00682BCE" w:rsidRPr="00D560D2" w:rsidRDefault="00D73EA2" w:rsidP="0055329A">
      <w:pPr>
        <w:pStyle w:val="SCCLsocParty"/>
        <w:widowControl w:val="0"/>
        <w:rPr>
          <w:lang w:val="fr-CA"/>
        </w:rPr>
      </w:pPr>
      <w:r w:rsidRPr="00D560D2">
        <w:rPr>
          <w:lang w:val="fr-CA"/>
        </w:rPr>
        <w:t>Procureur général du Canada,</w:t>
      </w:r>
      <w:r w:rsidR="00A12706" w:rsidRPr="00D560D2">
        <w:rPr>
          <w:lang w:val="fr-CA"/>
        </w:rPr>
        <w:t xml:space="preserve"> </w:t>
      </w:r>
    </w:p>
    <w:p w:rsidR="00682BCE" w:rsidRPr="00D560D2" w:rsidRDefault="002A2104" w:rsidP="0055329A">
      <w:pPr>
        <w:pStyle w:val="SCCLsocParty"/>
        <w:widowControl w:val="0"/>
        <w:rPr>
          <w:lang w:val="fr-CA"/>
        </w:rPr>
      </w:pPr>
      <w:r w:rsidRPr="00D560D2">
        <w:rPr>
          <w:lang w:val="fr-CA"/>
        </w:rPr>
        <w:t>p</w:t>
      </w:r>
      <w:r w:rsidR="00D73EA2" w:rsidRPr="00D560D2">
        <w:rPr>
          <w:lang w:val="fr-CA"/>
        </w:rPr>
        <w:t>rocureur général d</w:t>
      </w:r>
      <w:r w:rsidR="001A6002" w:rsidRPr="00D560D2">
        <w:rPr>
          <w:lang w:val="fr-CA"/>
        </w:rPr>
        <w:t>e</w:t>
      </w:r>
      <w:r w:rsidR="00D73EA2" w:rsidRPr="00D560D2">
        <w:rPr>
          <w:lang w:val="fr-CA"/>
        </w:rPr>
        <w:t xml:space="preserve"> la Saskatchewan,</w:t>
      </w:r>
      <w:r w:rsidR="00A12706" w:rsidRPr="00D560D2">
        <w:rPr>
          <w:lang w:val="fr-CA"/>
        </w:rPr>
        <w:t xml:space="preserve"> </w:t>
      </w:r>
    </w:p>
    <w:p w:rsidR="00682BCE" w:rsidRPr="00D560D2" w:rsidRDefault="00D73EA2" w:rsidP="0055329A">
      <w:pPr>
        <w:pStyle w:val="SCCLsocParty"/>
        <w:widowControl w:val="0"/>
        <w:rPr>
          <w:lang w:val="fr-CA"/>
        </w:rPr>
      </w:pPr>
      <w:r w:rsidRPr="00D560D2">
        <w:rPr>
          <w:lang w:val="fr-CA"/>
        </w:rPr>
        <w:t>Association canadienne des avocats musulmans,</w:t>
      </w:r>
      <w:r w:rsidR="00A12706" w:rsidRPr="00D560D2">
        <w:rPr>
          <w:lang w:val="fr-CA"/>
        </w:rPr>
        <w:t xml:space="preserve"> </w:t>
      </w:r>
    </w:p>
    <w:p w:rsidR="00682BCE" w:rsidRPr="00D560D2" w:rsidRDefault="00D73EA2" w:rsidP="0055329A">
      <w:pPr>
        <w:pStyle w:val="SCCLsocParty"/>
        <w:widowControl w:val="0"/>
      </w:pPr>
      <w:r w:rsidRPr="00D560D2">
        <w:t>South Asian Legal Clinic of Ontario,</w:t>
      </w:r>
      <w:r w:rsidR="00A12706" w:rsidRPr="00D560D2">
        <w:t xml:space="preserve"> </w:t>
      </w:r>
    </w:p>
    <w:p w:rsidR="00682BCE" w:rsidRPr="00D560D2" w:rsidRDefault="00D73EA2" w:rsidP="0055329A">
      <w:pPr>
        <w:pStyle w:val="SCCLsocParty"/>
        <w:widowControl w:val="0"/>
      </w:pPr>
      <w:r w:rsidRPr="00D560D2">
        <w:t>Kootenay Presbytery (United Church of Canada),</w:t>
      </w:r>
      <w:r w:rsidR="00A12706" w:rsidRPr="00D560D2">
        <w:t xml:space="preserve"> </w:t>
      </w:r>
    </w:p>
    <w:p w:rsidR="00682BCE" w:rsidRPr="00D560D2" w:rsidRDefault="00A2127E" w:rsidP="0055329A">
      <w:pPr>
        <w:pStyle w:val="SCCLsocParty"/>
        <w:widowControl w:val="0"/>
        <w:rPr>
          <w:lang w:val="fr-CA"/>
        </w:rPr>
      </w:pPr>
      <w:r w:rsidRPr="00D560D2">
        <w:rPr>
          <w:lang w:val="fr-CA"/>
        </w:rPr>
        <w:t>Alliance évangélique du Canada</w:t>
      </w:r>
      <w:r w:rsidR="00D73EA2" w:rsidRPr="00D560D2">
        <w:rPr>
          <w:lang w:val="fr-CA"/>
        </w:rPr>
        <w:t>,</w:t>
      </w:r>
      <w:r w:rsidR="00A12706" w:rsidRPr="00D560D2">
        <w:rPr>
          <w:lang w:val="fr-CA"/>
        </w:rPr>
        <w:t xml:space="preserve"> </w:t>
      </w:r>
    </w:p>
    <w:p w:rsidR="00682BCE" w:rsidRPr="00D560D2" w:rsidRDefault="00A2127E" w:rsidP="0055329A">
      <w:pPr>
        <w:pStyle w:val="SCCLsocParty"/>
        <w:widowControl w:val="0"/>
        <w:rPr>
          <w:lang w:val="fr-CA"/>
        </w:rPr>
      </w:pPr>
      <w:r w:rsidRPr="00D560D2">
        <w:rPr>
          <w:lang w:val="fr-CA"/>
        </w:rPr>
        <w:t>Alliance des chrétiens en droit</w:t>
      </w:r>
      <w:r w:rsidR="00D73EA2" w:rsidRPr="00D560D2">
        <w:rPr>
          <w:lang w:val="fr-CA"/>
        </w:rPr>
        <w:t>,</w:t>
      </w:r>
      <w:r w:rsidR="00A12706" w:rsidRPr="00D560D2">
        <w:rPr>
          <w:lang w:val="fr-CA"/>
        </w:rPr>
        <w:t xml:space="preserve"> </w:t>
      </w:r>
    </w:p>
    <w:p w:rsidR="00682BCE" w:rsidRPr="00D560D2" w:rsidRDefault="00D73EA2" w:rsidP="0055329A">
      <w:pPr>
        <w:pStyle w:val="SCCLsocParty"/>
        <w:widowControl w:val="0"/>
      </w:pPr>
      <w:r w:rsidRPr="00D560D2">
        <w:t>Alberta Muslim Public Affairs Council,</w:t>
      </w:r>
      <w:r w:rsidR="00A12706" w:rsidRPr="00D560D2">
        <w:t xml:space="preserve"> </w:t>
      </w:r>
    </w:p>
    <w:p w:rsidR="00682BCE" w:rsidRPr="00D560D2" w:rsidRDefault="00AB3F6C" w:rsidP="0055329A">
      <w:pPr>
        <w:pStyle w:val="SCCLsocParty"/>
        <w:widowControl w:val="0"/>
        <w:rPr>
          <w:lang w:val="fr-CA"/>
        </w:rPr>
      </w:pPr>
      <w:r w:rsidRPr="00D560D2">
        <w:rPr>
          <w:lang w:val="fr-CA"/>
        </w:rPr>
        <w:t>Amnistie internationale (Canada)</w:t>
      </w:r>
      <w:r w:rsidR="00D73EA2" w:rsidRPr="00D560D2">
        <w:rPr>
          <w:lang w:val="fr-CA"/>
        </w:rPr>
        <w:t>,</w:t>
      </w:r>
      <w:r w:rsidR="00A12706" w:rsidRPr="00D560D2">
        <w:rPr>
          <w:lang w:val="fr-CA"/>
        </w:rPr>
        <w:t xml:space="preserve"> </w:t>
      </w:r>
    </w:p>
    <w:p w:rsidR="00682BCE" w:rsidRPr="00D560D2" w:rsidRDefault="00D73EA2" w:rsidP="0055329A">
      <w:pPr>
        <w:pStyle w:val="SCCLsocParty"/>
        <w:widowControl w:val="0"/>
        <w:rPr>
          <w:lang w:val="fr-CA"/>
        </w:rPr>
      </w:pPr>
      <w:r w:rsidRPr="00D560D2">
        <w:rPr>
          <w:lang w:val="fr-CA"/>
        </w:rPr>
        <w:t>Te</w:t>
      </w:r>
      <w:r w:rsidR="002A2104" w:rsidRPr="00D560D2">
        <w:rPr>
          <w:lang w:val="fr-CA"/>
        </w:rPr>
        <w:t>’</w:t>
      </w:r>
      <w:r w:rsidRPr="00D560D2">
        <w:rPr>
          <w:lang w:val="fr-CA"/>
        </w:rPr>
        <w:t>mexw Treaty Association,</w:t>
      </w:r>
      <w:r w:rsidR="00A12706" w:rsidRPr="00D560D2">
        <w:rPr>
          <w:lang w:val="fr-CA"/>
        </w:rPr>
        <w:t xml:space="preserve"> </w:t>
      </w:r>
    </w:p>
    <w:p w:rsidR="00682BCE" w:rsidRPr="00D560D2" w:rsidRDefault="00D73EA2" w:rsidP="0055329A">
      <w:pPr>
        <w:pStyle w:val="SCCLsocParty"/>
        <w:widowControl w:val="0"/>
        <w:rPr>
          <w:lang w:val="fr-CA"/>
        </w:rPr>
      </w:pPr>
      <w:r w:rsidRPr="00D560D2">
        <w:rPr>
          <w:lang w:val="fr-CA"/>
        </w:rPr>
        <w:t>Central Coast Indigenous Resource Alliance,</w:t>
      </w:r>
      <w:r w:rsidR="00A12706" w:rsidRPr="00D560D2">
        <w:rPr>
          <w:lang w:val="fr-CA"/>
        </w:rPr>
        <w:t xml:space="preserve"> </w:t>
      </w:r>
    </w:p>
    <w:p w:rsidR="00682BCE" w:rsidRPr="00D560D2" w:rsidRDefault="00D73EA2" w:rsidP="0055329A">
      <w:pPr>
        <w:pStyle w:val="SCCLsocParty"/>
        <w:widowControl w:val="0"/>
        <w:rPr>
          <w:lang w:val="fr-CA"/>
        </w:rPr>
      </w:pPr>
      <w:r w:rsidRPr="00D560D2">
        <w:rPr>
          <w:lang w:val="fr-CA"/>
        </w:rPr>
        <w:t>Shibogama First Nations Council,</w:t>
      </w:r>
      <w:r w:rsidR="00A12706" w:rsidRPr="00D560D2">
        <w:rPr>
          <w:lang w:val="fr-CA"/>
        </w:rPr>
        <w:t xml:space="preserve"> </w:t>
      </w:r>
    </w:p>
    <w:p w:rsidR="00682BCE" w:rsidRPr="00D560D2" w:rsidRDefault="00535821" w:rsidP="0055329A">
      <w:pPr>
        <w:pStyle w:val="SCCLsocParty"/>
        <w:widowControl w:val="0"/>
        <w:rPr>
          <w:lang w:val="fr-CA"/>
        </w:rPr>
      </w:pPr>
      <w:r w:rsidRPr="00D560D2">
        <w:rPr>
          <w:lang w:val="fr-CA"/>
        </w:rPr>
        <w:t>Chambre de commerce du Canada</w:t>
      </w:r>
      <w:r w:rsidR="00D73EA2" w:rsidRPr="00D560D2">
        <w:rPr>
          <w:lang w:val="fr-CA"/>
        </w:rPr>
        <w:t>,</w:t>
      </w:r>
      <w:r w:rsidR="00A12706" w:rsidRPr="00D560D2">
        <w:rPr>
          <w:lang w:val="fr-CA"/>
        </w:rPr>
        <w:t xml:space="preserve"> </w:t>
      </w:r>
    </w:p>
    <w:p w:rsidR="00682BCE" w:rsidRPr="00D560D2" w:rsidRDefault="00A12706" w:rsidP="0055329A">
      <w:pPr>
        <w:pStyle w:val="SCCLsocParty"/>
        <w:widowControl w:val="0"/>
      </w:pPr>
      <w:r w:rsidRPr="00D560D2">
        <w:t>British Columbia Civil Liberties Association</w:t>
      </w:r>
      <w:r w:rsidR="00D73EA2" w:rsidRPr="00D560D2">
        <w:t>,</w:t>
      </w:r>
      <w:r w:rsidRPr="00D560D2">
        <w:t xml:space="preserve"> </w:t>
      </w:r>
    </w:p>
    <w:p w:rsidR="00682BCE" w:rsidRPr="00D560D2" w:rsidRDefault="00D73EA2" w:rsidP="0055329A">
      <w:pPr>
        <w:pStyle w:val="SCCLsocParty"/>
        <w:widowControl w:val="0"/>
      </w:pPr>
      <w:r w:rsidRPr="00D560D2">
        <w:t>Council of the Passamaquoddy Nation at Schoodic,</w:t>
      </w:r>
      <w:r w:rsidR="00A12706" w:rsidRPr="00D560D2">
        <w:t xml:space="preserve"> </w:t>
      </w:r>
    </w:p>
    <w:p w:rsidR="00476113" w:rsidRPr="00D560D2" w:rsidRDefault="00D73EA2" w:rsidP="0055329A">
      <w:pPr>
        <w:pStyle w:val="SCCLsocParty"/>
        <w:widowControl w:val="0"/>
      </w:pPr>
      <w:r w:rsidRPr="00D560D2">
        <w:t>Katzie First Nation,</w:t>
      </w:r>
      <w:r w:rsidR="002A2104" w:rsidRPr="00D560D2">
        <w:t xml:space="preserve"> </w:t>
      </w:r>
      <w:r w:rsidRPr="00D560D2">
        <w:t xml:space="preserve">West Moberly First Nations </w:t>
      </w:r>
    </w:p>
    <w:p w:rsidR="00682BCE" w:rsidRPr="00D560D2" w:rsidRDefault="002A2104" w:rsidP="0055329A">
      <w:pPr>
        <w:pStyle w:val="SCCLsocParty"/>
        <w:widowControl w:val="0"/>
        <w:spacing w:after="720"/>
        <w:rPr>
          <w:lang w:val="fr-CA"/>
        </w:rPr>
      </w:pPr>
      <w:r w:rsidRPr="00D560D2">
        <w:rPr>
          <w:lang w:val="fr-CA"/>
        </w:rPr>
        <w:lastRenderedPageBreak/>
        <w:t>et</w:t>
      </w:r>
      <w:r w:rsidR="00D73EA2" w:rsidRPr="00D560D2">
        <w:rPr>
          <w:lang w:val="fr-CA"/>
        </w:rPr>
        <w:t xml:space="preserve"> Prophet River First Nation</w:t>
      </w:r>
      <w:r w:rsidR="00D73EA2" w:rsidRPr="00D560D2">
        <w:rPr>
          <w:rStyle w:val="SCCLsocPartyRole"/>
          <w:lang w:val="fr-CA"/>
        </w:rPr>
        <w:tab/>
        <w:t>Intervenants</w:t>
      </w:r>
    </w:p>
    <w:p w:rsidR="004D7D95" w:rsidRPr="00D560D2" w:rsidRDefault="002A2104" w:rsidP="0055329A">
      <w:pPr>
        <w:widowControl w:val="0"/>
        <w:spacing w:after="720"/>
        <w:jc w:val="both"/>
        <w:rPr>
          <w:b/>
          <w:lang w:val="fr-CA"/>
        </w:rPr>
      </w:pPr>
      <w:r w:rsidRPr="00D560D2">
        <w:rPr>
          <w:b/>
          <w:lang w:val="fr-CA"/>
        </w:rPr>
        <w:t>Répertorié</w:t>
      </w:r>
      <w:r w:rsidR="00C416BC" w:rsidRPr="00D560D2">
        <w:rPr>
          <w:b/>
          <w:lang w:val="fr-CA"/>
        </w:rPr>
        <w:t> :</w:t>
      </w:r>
      <w:r w:rsidRPr="00D560D2">
        <w:rPr>
          <w:b/>
          <w:lang w:val="fr-CA"/>
        </w:rPr>
        <w:t> </w:t>
      </w:r>
      <w:r w:rsidR="00AB3F6C" w:rsidRPr="00D560D2">
        <w:rPr>
          <w:rStyle w:val="SCCAppellantForIndexChar"/>
          <w:lang w:val="fr-CA"/>
        </w:rPr>
        <w:t>Ktunaxa Nation</w:t>
      </w:r>
      <w:r w:rsidR="004D7D95" w:rsidRPr="00D560D2">
        <w:rPr>
          <w:rStyle w:val="SCCAppellantForIndexChar"/>
          <w:lang w:val="fr-CA"/>
        </w:rPr>
        <w:t xml:space="preserve"> </w:t>
      </w:r>
      <w:r w:rsidR="004D7D95" w:rsidRPr="00D560D2">
        <w:rPr>
          <w:b/>
          <w:i/>
          <w:lang w:val="fr-CA"/>
        </w:rPr>
        <w:t>c.</w:t>
      </w:r>
      <w:r w:rsidR="004D7D95" w:rsidRPr="00D560D2">
        <w:rPr>
          <w:b/>
          <w:lang w:val="fr-CA"/>
        </w:rPr>
        <w:t xml:space="preserve"> </w:t>
      </w:r>
      <w:r w:rsidRPr="00D560D2">
        <w:rPr>
          <w:b/>
          <w:lang w:val="fr-CA"/>
        </w:rPr>
        <w:t>Colombie</w:t>
      </w:r>
      <w:r w:rsidR="00C416BC" w:rsidRPr="00D560D2">
        <w:rPr>
          <w:b/>
          <w:lang w:val="fr-CA"/>
        </w:rPr>
        <w:noBreakHyphen/>
      </w:r>
      <w:r w:rsidRPr="00D560D2">
        <w:rPr>
          <w:b/>
          <w:lang w:val="fr-CA"/>
        </w:rPr>
        <w:t>Britannique (</w:t>
      </w:r>
      <w:r w:rsidR="00AB3F6C" w:rsidRPr="00D560D2">
        <w:rPr>
          <w:rStyle w:val="SCCRespondentForIndexChar"/>
          <w:lang w:val="fr-CA"/>
        </w:rPr>
        <w:t>Forests, Lands and Natural Resource Operations</w:t>
      </w:r>
      <w:r w:rsidR="005E67FB" w:rsidRPr="00D560D2">
        <w:rPr>
          <w:b/>
          <w:lang w:val="fr-CA"/>
        </w:rPr>
        <w:t>)</w:t>
      </w:r>
    </w:p>
    <w:p w:rsidR="004D7D95" w:rsidRPr="00D560D2" w:rsidRDefault="00D17B0E" w:rsidP="0055329A">
      <w:pPr>
        <w:pStyle w:val="SCCSystemYear"/>
        <w:widowControl w:val="0"/>
        <w:spacing w:after="720"/>
        <w:jc w:val="both"/>
        <w:rPr>
          <w:lang w:val="fr-CA"/>
        </w:rPr>
      </w:pPr>
      <w:r w:rsidRPr="00D560D2">
        <w:rPr>
          <w:lang w:val="fr-CA"/>
        </w:rPr>
        <w:t>201</w:t>
      </w:r>
      <w:r w:rsidR="00A12706" w:rsidRPr="00D560D2">
        <w:rPr>
          <w:lang w:val="fr-CA"/>
        </w:rPr>
        <w:t>7</w:t>
      </w:r>
      <w:r w:rsidR="007F51F5">
        <w:rPr>
          <w:lang w:val="fr-CA"/>
        </w:rPr>
        <w:t xml:space="preserve"> CSC 54</w:t>
      </w:r>
    </w:p>
    <w:p w:rsidR="004D7D95" w:rsidRPr="00D560D2" w:rsidRDefault="004D7D95" w:rsidP="0055329A">
      <w:pPr>
        <w:widowControl w:val="0"/>
        <w:spacing w:after="720"/>
        <w:jc w:val="both"/>
        <w:rPr>
          <w:lang w:val="fr-CA"/>
        </w:rPr>
      </w:pPr>
      <w:r w:rsidRPr="00D560D2">
        <w:rPr>
          <w:lang w:val="fr-CA"/>
        </w:rPr>
        <w:t>N</w:t>
      </w:r>
      <w:r w:rsidRPr="00D560D2">
        <w:rPr>
          <w:vertAlign w:val="superscript"/>
          <w:lang w:val="fr-CA"/>
        </w:rPr>
        <w:t>o</w:t>
      </w:r>
      <w:r w:rsidRPr="00D560D2">
        <w:rPr>
          <w:lang w:val="fr-CA"/>
        </w:rPr>
        <w:t xml:space="preserve"> du greffe</w:t>
      </w:r>
      <w:r w:rsidR="00C416BC" w:rsidRPr="00D560D2">
        <w:rPr>
          <w:lang w:val="fr-CA"/>
        </w:rPr>
        <w:t> :</w:t>
      </w:r>
      <w:r w:rsidRPr="00D560D2">
        <w:rPr>
          <w:lang w:val="fr-CA"/>
        </w:rPr>
        <w:t> 36664.</w:t>
      </w:r>
    </w:p>
    <w:p w:rsidR="004D7D95" w:rsidRPr="00D560D2" w:rsidRDefault="00D17B0E" w:rsidP="0055329A">
      <w:pPr>
        <w:widowControl w:val="0"/>
        <w:spacing w:after="720"/>
        <w:jc w:val="both"/>
        <w:rPr>
          <w:lang w:val="fr-CA"/>
        </w:rPr>
      </w:pPr>
      <w:r w:rsidRPr="00D560D2">
        <w:rPr>
          <w:lang w:val="fr-CA"/>
        </w:rPr>
        <w:t>2016</w:t>
      </w:r>
      <w:r w:rsidR="00C416BC" w:rsidRPr="00D560D2">
        <w:rPr>
          <w:lang w:val="fr-CA"/>
        </w:rPr>
        <w:t> :</w:t>
      </w:r>
      <w:r w:rsidR="002A2104" w:rsidRPr="00D560D2">
        <w:rPr>
          <w:lang w:val="fr-CA"/>
        </w:rPr>
        <w:t> </w:t>
      </w:r>
      <w:r w:rsidRPr="00D560D2">
        <w:rPr>
          <w:lang w:val="fr-CA"/>
        </w:rPr>
        <w:t>1</w:t>
      </w:r>
      <w:r w:rsidR="002A2104" w:rsidRPr="00D560D2">
        <w:rPr>
          <w:vertAlign w:val="superscript"/>
          <w:lang w:val="fr-CA"/>
        </w:rPr>
        <w:t>er</w:t>
      </w:r>
      <w:r w:rsidR="00891018" w:rsidRPr="00D560D2">
        <w:rPr>
          <w:lang w:val="fr-CA"/>
        </w:rPr>
        <w:t> </w:t>
      </w:r>
      <w:r w:rsidRPr="00D560D2">
        <w:rPr>
          <w:lang w:val="fr-CA"/>
        </w:rPr>
        <w:t>décembre</w:t>
      </w:r>
      <w:r w:rsidR="004D7D95" w:rsidRPr="00D560D2">
        <w:rPr>
          <w:lang w:val="fr-CA"/>
        </w:rPr>
        <w:t xml:space="preserve">; </w:t>
      </w:r>
      <w:r w:rsidR="00C416BC" w:rsidRPr="00D560D2">
        <w:rPr>
          <w:lang w:val="fr-CA"/>
        </w:rPr>
        <w:t>2017 : 2 </w:t>
      </w:r>
      <w:r w:rsidR="00D37910" w:rsidRPr="00D560D2">
        <w:rPr>
          <w:lang w:val="fr-CA"/>
        </w:rPr>
        <w:t xml:space="preserve">novembre. </w:t>
      </w:r>
    </w:p>
    <w:p w:rsidR="004D7D95" w:rsidRPr="00D560D2" w:rsidRDefault="004D7D95" w:rsidP="0055329A">
      <w:pPr>
        <w:widowControl w:val="0"/>
        <w:spacing w:after="720"/>
        <w:jc w:val="both"/>
        <w:rPr>
          <w:lang w:val="fr-CA"/>
        </w:rPr>
      </w:pPr>
      <w:r w:rsidRPr="00D560D2">
        <w:rPr>
          <w:lang w:val="fr-CA"/>
        </w:rPr>
        <w:t>Présents</w:t>
      </w:r>
      <w:r w:rsidR="00C416BC" w:rsidRPr="00D560D2">
        <w:rPr>
          <w:lang w:val="fr-CA"/>
        </w:rPr>
        <w:t> :</w:t>
      </w:r>
      <w:r w:rsidRPr="00D560D2">
        <w:rPr>
          <w:lang w:val="fr-CA"/>
        </w:rPr>
        <w:t> La juge en chef McLachlin et les juges Abella, Moldaver, Karakatsanis, Wagner, Gascon, Côté, Brown et Rowe.</w:t>
      </w:r>
    </w:p>
    <w:p w:rsidR="004D7D95" w:rsidRPr="00D560D2" w:rsidRDefault="004D7D95" w:rsidP="0055329A">
      <w:pPr>
        <w:widowControl w:val="0"/>
        <w:spacing w:after="720"/>
        <w:jc w:val="both"/>
        <w:rPr>
          <w:smallCaps/>
          <w:lang w:val="fr-CA"/>
        </w:rPr>
      </w:pPr>
      <w:r w:rsidRPr="00D560D2">
        <w:rPr>
          <w:smallCaps/>
          <w:lang w:val="fr-CA"/>
        </w:rPr>
        <w:t>en appel de la cour d</w:t>
      </w:r>
      <w:r w:rsidR="002A2104" w:rsidRPr="00D560D2">
        <w:rPr>
          <w:smallCaps/>
          <w:lang w:val="fr-CA"/>
        </w:rPr>
        <w:t>’</w:t>
      </w:r>
      <w:r w:rsidRPr="00D560D2">
        <w:rPr>
          <w:smallCaps/>
          <w:lang w:val="fr-CA"/>
        </w:rPr>
        <w:t>appel de la colombie</w:t>
      </w:r>
      <w:r w:rsidR="00C416BC" w:rsidRPr="00D560D2">
        <w:rPr>
          <w:smallCaps/>
          <w:lang w:val="fr-CA"/>
        </w:rPr>
        <w:noBreakHyphen/>
      </w:r>
      <w:r w:rsidRPr="00D560D2">
        <w:rPr>
          <w:smallCaps/>
          <w:lang w:val="fr-CA"/>
        </w:rPr>
        <w:t>britannique</w:t>
      </w:r>
    </w:p>
    <w:p w:rsidR="00022AF0" w:rsidRPr="00D560D2" w:rsidRDefault="004D7D95" w:rsidP="0055329A">
      <w:pPr>
        <w:pStyle w:val="SCCNormalDoubleSpacing"/>
        <w:widowControl w:val="0"/>
        <w:spacing w:before="480" w:after="480"/>
        <w:rPr>
          <w:lang w:val="fr-CA"/>
        </w:rPr>
      </w:pPr>
      <w:r w:rsidRPr="00D560D2">
        <w:rPr>
          <w:lang w:val="fr-CA"/>
        </w:rPr>
        <w:tab/>
      </w:r>
      <w:r w:rsidR="00022AF0" w:rsidRPr="00D560D2">
        <w:rPr>
          <w:i/>
          <w:lang w:val="fr-CA"/>
        </w:rPr>
        <w:t xml:space="preserve">Droit constitutionnel — Charte des droits — Liberté de religion — </w:t>
      </w:r>
      <w:r w:rsidR="004460D1">
        <w:rPr>
          <w:i/>
          <w:lang w:val="fr-CA"/>
        </w:rPr>
        <w:t>Allégation d’une p</w:t>
      </w:r>
      <w:r w:rsidR="001C08DF">
        <w:rPr>
          <w:i/>
          <w:lang w:val="fr-CA"/>
        </w:rPr>
        <w:t xml:space="preserve">remière nation selon laquelle un projet de station de ski chasserait de son territoire traditionnel un esprit qui est au cœur de ses croyances religieuses </w:t>
      </w:r>
      <w:r w:rsidR="001C08DF" w:rsidRPr="00D560D2">
        <w:rPr>
          <w:i/>
          <w:lang w:val="fr-CA"/>
        </w:rPr>
        <w:t xml:space="preserve">— </w:t>
      </w:r>
      <w:r w:rsidR="00022AF0" w:rsidRPr="00D560D2">
        <w:rPr>
          <w:i/>
          <w:lang w:val="fr-CA"/>
        </w:rPr>
        <w:t xml:space="preserve">Approbation par le gouvernement provincial de l’aménagement d’une station de </w:t>
      </w:r>
      <w:r w:rsidR="004460D1">
        <w:rPr>
          <w:i/>
          <w:lang w:val="fr-CA"/>
        </w:rPr>
        <w:t>ski malgré la prétention d’une p</w:t>
      </w:r>
      <w:r w:rsidR="00022AF0" w:rsidRPr="00D560D2">
        <w:rPr>
          <w:i/>
          <w:lang w:val="fr-CA"/>
        </w:rPr>
        <w:t>remière nation selon laquelle l’aménagement porterait atteinte</w:t>
      </w:r>
      <w:r w:rsidR="00022AF0" w:rsidRPr="00D560D2">
        <w:rPr>
          <w:lang w:val="fr-CA"/>
        </w:rPr>
        <w:t xml:space="preserve"> </w:t>
      </w:r>
      <w:r w:rsidR="00022AF0" w:rsidRPr="00D560D2">
        <w:rPr>
          <w:i/>
          <w:lang w:val="fr-CA"/>
        </w:rPr>
        <w:t>à son droit à la liberté de religion</w:t>
      </w:r>
      <w:r w:rsidR="00022AF0" w:rsidRPr="00D560D2">
        <w:rPr>
          <w:lang w:val="fr-CA"/>
        </w:rPr>
        <w:t xml:space="preserve"> </w:t>
      </w:r>
      <w:r w:rsidR="00022AF0" w:rsidRPr="00D560D2">
        <w:rPr>
          <w:i/>
          <w:lang w:val="fr-CA"/>
        </w:rPr>
        <w:t>— La décision du Ministre viole</w:t>
      </w:r>
      <w:r w:rsidR="00C416BC" w:rsidRPr="00D560D2">
        <w:rPr>
          <w:i/>
          <w:lang w:val="fr-CA"/>
        </w:rPr>
        <w:noBreakHyphen/>
      </w:r>
      <w:r w:rsidR="00022AF0" w:rsidRPr="00D560D2">
        <w:rPr>
          <w:i/>
          <w:lang w:val="fr-CA"/>
        </w:rPr>
        <w:t>t</w:t>
      </w:r>
      <w:r w:rsidR="00C416BC" w:rsidRPr="00D560D2">
        <w:rPr>
          <w:i/>
          <w:lang w:val="fr-CA"/>
        </w:rPr>
        <w:noBreakHyphen/>
      </w:r>
      <w:r w:rsidR="00022AF0" w:rsidRPr="00D560D2">
        <w:rPr>
          <w:i/>
          <w:lang w:val="fr-CA"/>
        </w:rPr>
        <w:t>elle l’</w:t>
      </w:r>
      <w:r w:rsidR="00C416BC" w:rsidRPr="00D560D2">
        <w:rPr>
          <w:i/>
          <w:lang w:val="fr-CA"/>
        </w:rPr>
        <w:t>a</w:t>
      </w:r>
      <w:r w:rsidR="003D25BD">
        <w:rPr>
          <w:i/>
          <w:lang w:val="fr-CA"/>
        </w:rPr>
        <w:t>rt</w:t>
      </w:r>
      <w:r w:rsidR="00C416BC" w:rsidRPr="00D560D2">
        <w:rPr>
          <w:i/>
          <w:lang w:val="fr-CA"/>
        </w:rPr>
        <w:t>. </w:t>
      </w:r>
      <w:r w:rsidR="00022AF0" w:rsidRPr="00D560D2">
        <w:rPr>
          <w:i/>
          <w:lang w:val="fr-CA"/>
        </w:rPr>
        <w:t>2a) de la Charte canadienne des droits et libertés?</w:t>
      </w:r>
    </w:p>
    <w:p w:rsidR="00022AF0" w:rsidRPr="00D560D2" w:rsidRDefault="00022AF0" w:rsidP="0055329A">
      <w:pPr>
        <w:pStyle w:val="SCCNormalDoubleSpacing"/>
        <w:widowControl w:val="0"/>
        <w:spacing w:before="480" w:after="480"/>
        <w:rPr>
          <w:i/>
          <w:lang w:val="fr-CA"/>
        </w:rPr>
      </w:pPr>
      <w:r w:rsidRPr="00D560D2">
        <w:rPr>
          <w:lang w:val="fr-CA"/>
        </w:rPr>
        <w:tab/>
      </w:r>
      <w:r w:rsidRPr="00D560D2">
        <w:rPr>
          <w:i/>
          <w:lang w:val="fr-CA"/>
        </w:rPr>
        <w:t xml:space="preserve">Droit constitutionnel — Droits </w:t>
      </w:r>
      <w:r w:rsidR="00196F12" w:rsidRPr="00D560D2">
        <w:rPr>
          <w:i/>
          <w:lang w:val="fr-CA"/>
        </w:rPr>
        <w:t>ancestraux</w:t>
      </w:r>
      <w:r w:rsidRPr="00D560D2">
        <w:rPr>
          <w:i/>
          <w:lang w:val="fr-CA"/>
        </w:rPr>
        <w:t xml:space="preserve"> — C</w:t>
      </w:r>
      <w:r w:rsidR="00196F12" w:rsidRPr="00D560D2">
        <w:rPr>
          <w:i/>
          <w:lang w:val="fr-CA"/>
        </w:rPr>
        <w:t>ouronne</w:t>
      </w:r>
      <w:r w:rsidRPr="00D560D2">
        <w:rPr>
          <w:i/>
          <w:lang w:val="fr-CA"/>
        </w:rPr>
        <w:t xml:space="preserve"> — </w:t>
      </w:r>
      <w:r w:rsidR="00196F12" w:rsidRPr="00D560D2">
        <w:rPr>
          <w:i/>
          <w:lang w:val="fr-CA"/>
        </w:rPr>
        <w:t xml:space="preserve">Obligation de </w:t>
      </w:r>
      <w:r w:rsidRPr="00D560D2">
        <w:rPr>
          <w:i/>
          <w:lang w:val="fr-CA"/>
        </w:rPr>
        <w:t>consult</w:t>
      </w:r>
      <w:r w:rsidR="00196F12" w:rsidRPr="00D560D2">
        <w:rPr>
          <w:i/>
          <w:lang w:val="fr-CA"/>
        </w:rPr>
        <w:t>er</w:t>
      </w:r>
      <w:r w:rsidRPr="00D560D2">
        <w:rPr>
          <w:i/>
          <w:lang w:val="fr-CA"/>
        </w:rPr>
        <w:t xml:space="preserve"> — </w:t>
      </w:r>
      <w:r w:rsidR="00196F12" w:rsidRPr="00D560D2">
        <w:rPr>
          <w:i/>
          <w:lang w:val="fr-CA"/>
        </w:rPr>
        <w:t xml:space="preserve">Approbation par le gouvernement provincial de l’aménagement d’une </w:t>
      </w:r>
      <w:r w:rsidR="00196F12" w:rsidRPr="00D560D2">
        <w:rPr>
          <w:i/>
          <w:lang w:val="fr-CA"/>
        </w:rPr>
        <w:lastRenderedPageBreak/>
        <w:t xml:space="preserve">station de </w:t>
      </w:r>
      <w:r w:rsidR="004460D1">
        <w:rPr>
          <w:i/>
          <w:lang w:val="fr-CA"/>
        </w:rPr>
        <w:t>ski malgré la prétention d’une p</w:t>
      </w:r>
      <w:r w:rsidR="00196F12" w:rsidRPr="00D560D2">
        <w:rPr>
          <w:i/>
          <w:lang w:val="fr-CA"/>
        </w:rPr>
        <w:t>remière nation selon laquelle l’aménagement porterait atteinte</w:t>
      </w:r>
      <w:r w:rsidR="00196F12" w:rsidRPr="00D560D2">
        <w:rPr>
          <w:lang w:val="fr-CA"/>
        </w:rPr>
        <w:t xml:space="preserve"> </w:t>
      </w:r>
      <w:r w:rsidR="00196F12" w:rsidRPr="00D560D2">
        <w:rPr>
          <w:i/>
          <w:lang w:val="fr-CA"/>
        </w:rPr>
        <w:t>à son droit</w:t>
      </w:r>
      <w:r w:rsidR="001918FB">
        <w:rPr>
          <w:i/>
          <w:lang w:val="fr-CA"/>
        </w:rPr>
        <w:t xml:space="preserve"> constitutionnel</w:t>
      </w:r>
      <w:r w:rsidR="00196F12" w:rsidRPr="00D560D2">
        <w:rPr>
          <w:i/>
          <w:lang w:val="fr-CA"/>
        </w:rPr>
        <w:t xml:space="preserve"> à la protection des intérêts autochtones </w:t>
      </w:r>
      <w:r w:rsidRPr="00D560D2">
        <w:rPr>
          <w:i/>
          <w:lang w:val="fr-CA"/>
        </w:rPr>
        <w:t xml:space="preserve">— </w:t>
      </w:r>
      <w:r w:rsidR="00227540" w:rsidRPr="00D560D2">
        <w:rPr>
          <w:i/>
          <w:lang w:val="fr-CA"/>
        </w:rPr>
        <w:t>La décision du Ministre que la Couronne s’est acquittée de son obligation de consulter et d’accommoder était</w:t>
      </w:r>
      <w:r w:rsidR="00C416BC" w:rsidRPr="00D560D2">
        <w:rPr>
          <w:i/>
          <w:lang w:val="fr-CA"/>
        </w:rPr>
        <w:noBreakHyphen/>
      </w:r>
      <w:r w:rsidR="00850EE0" w:rsidRPr="00D560D2">
        <w:rPr>
          <w:i/>
          <w:lang w:val="fr-CA"/>
        </w:rPr>
        <w:t>elle</w:t>
      </w:r>
      <w:r w:rsidR="00227540" w:rsidRPr="00D560D2">
        <w:rPr>
          <w:i/>
          <w:lang w:val="fr-CA"/>
        </w:rPr>
        <w:t xml:space="preserve"> raisonnable</w:t>
      </w:r>
      <w:r w:rsidR="00850EE0" w:rsidRPr="00D560D2">
        <w:rPr>
          <w:i/>
          <w:lang w:val="fr-CA"/>
        </w:rPr>
        <w:t>?</w:t>
      </w:r>
      <w:r w:rsidR="00227540" w:rsidRPr="00D560D2">
        <w:rPr>
          <w:i/>
          <w:lang w:val="fr-CA"/>
        </w:rPr>
        <w:t xml:space="preserve"> </w:t>
      </w:r>
      <w:r w:rsidRPr="00D560D2">
        <w:rPr>
          <w:i/>
          <w:lang w:val="fr-CA"/>
        </w:rPr>
        <w:t xml:space="preserve">— </w:t>
      </w:r>
      <w:r w:rsidR="00227540" w:rsidRPr="00D560D2">
        <w:rPr>
          <w:i/>
          <w:lang w:val="fr-CA"/>
        </w:rPr>
        <w:t xml:space="preserve">Loi constitutionnelle de </w:t>
      </w:r>
      <w:r w:rsidRPr="00D560D2">
        <w:rPr>
          <w:i/>
          <w:lang w:val="fr-CA"/>
        </w:rPr>
        <w:t xml:space="preserve">1982, </w:t>
      </w:r>
      <w:r w:rsidR="00C416BC" w:rsidRPr="00D560D2">
        <w:rPr>
          <w:i/>
          <w:lang w:val="fr-CA"/>
        </w:rPr>
        <w:t>art. </w:t>
      </w:r>
      <w:r w:rsidRPr="00D560D2">
        <w:rPr>
          <w:i/>
          <w:lang w:val="fr-CA"/>
        </w:rPr>
        <w:t>35.</w:t>
      </w:r>
    </w:p>
    <w:p w:rsidR="00022AF0" w:rsidRPr="00D560D2" w:rsidRDefault="00022AF0" w:rsidP="0055329A">
      <w:pPr>
        <w:pStyle w:val="SCCNormalDoubleSpacing"/>
        <w:widowControl w:val="0"/>
        <w:spacing w:before="480" w:after="480"/>
        <w:rPr>
          <w:lang w:val="fr-CA"/>
        </w:rPr>
      </w:pPr>
      <w:r w:rsidRPr="00D560D2">
        <w:rPr>
          <w:lang w:val="fr-CA"/>
        </w:rPr>
        <w:tab/>
      </w:r>
      <w:r w:rsidR="00227540" w:rsidRPr="00D560D2">
        <w:rPr>
          <w:lang w:val="fr-CA"/>
        </w:rPr>
        <w:t xml:space="preserve">Les </w:t>
      </w:r>
      <w:r w:rsidRPr="00D560D2">
        <w:rPr>
          <w:lang w:val="fr-CA"/>
        </w:rPr>
        <w:t xml:space="preserve">Ktunaxa </w:t>
      </w:r>
      <w:r w:rsidR="00227540" w:rsidRPr="00D560D2">
        <w:rPr>
          <w:lang w:val="fr-CA"/>
        </w:rPr>
        <w:t xml:space="preserve">forment </w:t>
      </w:r>
      <w:r w:rsidR="00410B5F">
        <w:rPr>
          <w:lang w:val="fr-CA"/>
        </w:rPr>
        <w:t>une p</w:t>
      </w:r>
      <w:r w:rsidR="00227540" w:rsidRPr="00D560D2">
        <w:rPr>
          <w:lang w:val="fr-CA"/>
        </w:rPr>
        <w:t>remière nation dont le territoire traditionnel comprend un secteur de la Colombie</w:t>
      </w:r>
      <w:r w:rsidR="00C416BC" w:rsidRPr="00D560D2">
        <w:rPr>
          <w:lang w:val="fr-CA"/>
        </w:rPr>
        <w:noBreakHyphen/>
      </w:r>
      <w:r w:rsidR="00227540" w:rsidRPr="00D560D2">
        <w:rPr>
          <w:lang w:val="fr-CA"/>
        </w:rPr>
        <w:t xml:space="preserve">Britannique qu’ils appellent le </w:t>
      </w:r>
      <w:r w:rsidRPr="00D560D2">
        <w:rPr>
          <w:lang w:val="fr-CA"/>
        </w:rPr>
        <w:t xml:space="preserve">Qat’muk. </w:t>
      </w:r>
      <w:r w:rsidR="00227540" w:rsidRPr="00D560D2">
        <w:rPr>
          <w:lang w:val="fr-CA"/>
        </w:rPr>
        <w:t xml:space="preserve">Le Qat’muk est un lieu d’importance spirituelle pour eux car il abrite l’Esprit de l’Ours Grizzly, </w:t>
      </w:r>
      <w:r w:rsidR="00227540" w:rsidRPr="00D560D2">
        <w:rPr>
          <w:szCs w:val="24"/>
          <w:lang w:val="fr-CA"/>
        </w:rPr>
        <w:t xml:space="preserve">un esprit principal des croyances religieuses et de la cosmologie des Ktunaxa. </w:t>
      </w:r>
      <w:r w:rsidRPr="00D560D2">
        <w:rPr>
          <w:lang w:val="fr-CA"/>
        </w:rPr>
        <w:t xml:space="preserve">Glacier Resorts </w:t>
      </w:r>
      <w:r w:rsidR="00227540" w:rsidRPr="00D560D2">
        <w:rPr>
          <w:lang w:val="fr-CA"/>
        </w:rPr>
        <w:t xml:space="preserve">a demandé au gouvernement l’autorisation de construire une station de ski ouverte à longueur d’année dans le </w:t>
      </w:r>
      <w:r w:rsidRPr="00D560D2">
        <w:rPr>
          <w:lang w:val="fr-CA"/>
        </w:rPr>
        <w:t xml:space="preserve">Qat’muk. </w:t>
      </w:r>
      <w:r w:rsidR="00227540" w:rsidRPr="00D560D2">
        <w:rPr>
          <w:lang w:val="fr-CA"/>
        </w:rPr>
        <w:t xml:space="preserve">Les </w:t>
      </w:r>
      <w:r w:rsidRPr="00D560D2">
        <w:rPr>
          <w:lang w:val="fr-CA"/>
        </w:rPr>
        <w:t>Ktunaxa</w:t>
      </w:r>
      <w:r w:rsidR="00227540" w:rsidRPr="00D560D2">
        <w:rPr>
          <w:lang w:val="fr-CA"/>
        </w:rPr>
        <w:t xml:space="preserve"> ont été consultés et ils ont fait part de leurs préoccupations quant aux répercussions du projet. </w:t>
      </w:r>
      <w:r w:rsidR="00090EF6" w:rsidRPr="00D560D2">
        <w:rPr>
          <w:lang w:val="fr-CA"/>
        </w:rPr>
        <w:t xml:space="preserve">À la </w:t>
      </w:r>
      <w:r w:rsidR="00645BE4" w:rsidRPr="00D560D2">
        <w:rPr>
          <w:lang w:val="fr-CA"/>
        </w:rPr>
        <w:t>suite de ces consultations, le projet a été modifié par l’ajout de nouvelles protections à l’égard des intérêts des Ktunaxa</w:t>
      </w:r>
      <w:r w:rsidRPr="00D560D2">
        <w:rPr>
          <w:lang w:val="fr-CA"/>
        </w:rPr>
        <w:t xml:space="preserve">. </w:t>
      </w:r>
      <w:r w:rsidR="00645BE4" w:rsidRPr="00D560D2">
        <w:rPr>
          <w:lang w:val="fr-CA"/>
        </w:rPr>
        <w:t xml:space="preserve">Les </w:t>
      </w:r>
      <w:r w:rsidRPr="00D560D2">
        <w:rPr>
          <w:lang w:val="fr-CA"/>
        </w:rPr>
        <w:t>Ktunaxa</w:t>
      </w:r>
      <w:r w:rsidR="00645BE4" w:rsidRPr="00D560D2">
        <w:rPr>
          <w:lang w:val="fr-CA"/>
        </w:rPr>
        <w:t xml:space="preserve"> sont demeurés insatisfaits</w:t>
      </w:r>
      <w:r w:rsidRPr="00D560D2">
        <w:rPr>
          <w:lang w:val="fr-CA"/>
        </w:rPr>
        <w:t xml:space="preserve">, </w:t>
      </w:r>
      <w:r w:rsidR="00645BE4" w:rsidRPr="00D560D2">
        <w:rPr>
          <w:lang w:val="fr-CA"/>
        </w:rPr>
        <w:t>mais ils se sont engagés à participer à de nouvelles consultations</w:t>
      </w:r>
      <w:r w:rsidRPr="00D560D2">
        <w:rPr>
          <w:lang w:val="fr-CA"/>
        </w:rPr>
        <w:t xml:space="preserve">. </w:t>
      </w:r>
      <w:r w:rsidR="00645BE4" w:rsidRPr="00D560D2">
        <w:rPr>
          <w:lang w:val="fr-CA"/>
        </w:rPr>
        <w:t>Vers la fin du processus, les Ktunaxa ont estimé qu’il était impossible d’arriver à un compromis parce que le projet chasserait l’Esprit de l’Ours Grizzly du Qat’muk et porterait</w:t>
      </w:r>
      <w:r w:rsidR="00850EE0" w:rsidRPr="00D560D2">
        <w:rPr>
          <w:lang w:val="fr-CA"/>
        </w:rPr>
        <w:t xml:space="preserve"> par le fait m</w:t>
      </w:r>
      <w:r w:rsidR="00126FC8" w:rsidRPr="00D560D2">
        <w:rPr>
          <w:lang w:val="fr-CA"/>
        </w:rPr>
        <w:t xml:space="preserve">ême </w:t>
      </w:r>
      <w:r w:rsidR="00645BE4" w:rsidRPr="00D560D2">
        <w:rPr>
          <w:lang w:val="fr-CA"/>
        </w:rPr>
        <w:t xml:space="preserve">irrémédiablement atteinte à leurs croyances et pratiques religieuses. </w:t>
      </w:r>
      <w:r w:rsidR="0015429F" w:rsidRPr="00D560D2">
        <w:rPr>
          <w:lang w:val="fr-CA"/>
        </w:rPr>
        <w:t>Après qu’on eut essayé en vain de poursuivre les consultations,</w:t>
      </w:r>
      <w:r w:rsidR="00B702F7" w:rsidRPr="00D560D2">
        <w:rPr>
          <w:lang w:val="fr-CA"/>
        </w:rPr>
        <w:t xml:space="preserve"> le M</w:t>
      </w:r>
      <w:r w:rsidR="0015429F" w:rsidRPr="00D560D2">
        <w:rPr>
          <w:lang w:val="fr-CA"/>
        </w:rPr>
        <w:t xml:space="preserve">inistre </w:t>
      </w:r>
      <w:r w:rsidR="00B702F7" w:rsidRPr="00D560D2">
        <w:rPr>
          <w:lang w:val="fr-CA"/>
        </w:rPr>
        <w:t xml:space="preserve">intimé </w:t>
      </w:r>
      <w:r w:rsidR="0015429F" w:rsidRPr="00D560D2">
        <w:rPr>
          <w:lang w:val="fr-CA"/>
        </w:rPr>
        <w:t xml:space="preserve">a déclaré qu’il y avait eu une consultation raisonnable et a approuvé le projet. Les </w:t>
      </w:r>
      <w:r w:rsidRPr="00D560D2">
        <w:rPr>
          <w:lang w:val="fr-CA"/>
        </w:rPr>
        <w:t xml:space="preserve">Ktunaxa </w:t>
      </w:r>
      <w:r w:rsidR="0015429F" w:rsidRPr="00D560D2">
        <w:rPr>
          <w:lang w:val="fr-CA"/>
        </w:rPr>
        <w:t xml:space="preserve">ont présenté une requête en contrôle judiciaire </w:t>
      </w:r>
      <w:r w:rsidR="00763F79" w:rsidRPr="00D560D2">
        <w:rPr>
          <w:lang w:val="fr-CA"/>
        </w:rPr>
        <w:t>de l’approbation au motif que le projet violerait leur droit constitutionnel à la liberté de religion et que la décision du Ministre manquait à l’obligation de consultation et d’accommodement qui incombe à la Couronne</w:t>
      </w:r>
      <w:r w:rsidRPr="00D560D2">
        <w:rPr>
          <w:lang w:val="fr-CA"/>
        </w:rPr>
        <w:t>.</w:t>
      </w:r>
      <w:r w:rsidR="00763F79" w:rsidRPr="00D560D2">
        <w:rPr>
          <w:lang w:val="fr-CA"/>
        </w:rPr>
        <w:t xml:space="preserve"> Le juge </w:t>
      </w:r>
      <w:r w:rsidR="00763F79" w:rsidRPr="00D560D2">
        <w:rPr>
          <w:lang w:val="fr-CA"/>
        </w:rPr>
        <w:lastRenderedPageBreak/>
        <w:t xml:space="preserve">en chambre a rejeté la requête et </w:t>
      </w:r>
      <w:r w:rsidR="00645BE4" w:rsidRPr="00D560D2">
        <w:rPr>
          <w:lang w:val="fr-CA"/>
        </w:rPr>
        <w:t>la Cour d’appel a confirmé cette décision</w:t>
      </w:r>
      <w:r w:rsidRPr="00D560D2">
        <w:rPr>
          <w:lang w:val="fr-CA"/>
        </w:rPr>
        <w:t>.</w:t>
      </w:r>
    </w:p>
    <w:p w:rsidR="00022AF0" w:rsidRPr="00D560D2" w:rsidRDefault="00022AF0" w:rsidP="0055329A">
      <w:pPr>
        <w:pStyle w:val="SCCNormalDoubleSpacing"/>
        <w:widowControl w:val="0"/>
        <w:spacing w:before="480" w:after="480"/>
        <w:rPr>
          <w:lang w:val="fr-CA"/>
        </w:rPr>
      </w:pPr>
      <w:r w:rsidRPr="00D560D2">
        <w:rPr>
          <w:lang w:val="fr-CA"/>
        </w:rPr>
        <w:tab/>
      </w:r>
      <w:r w:rsidRPr="00D560D2">
        <w:rPr>
          <w:i/>
          <w:lang w:val="fr-CA"/>
        </w:rPr>
        <w:t>Arrêt</w:t>
      </w:r>
      <w:r w:rsidR="00C416BC" w:rsidRPr="00D560D2">
        <w:rPr>
          <w:i/>
          <w:lang w:val="fr-CA"/>
        </w:rPr>
        <w:t> </w:t>
      </w:r>
      <w:r w:rsidR="00C416BC" w:rsidRPr="00B11F51">
        <w:rPr>
          <w:lang w:val="fr-CA"/>
        </w:rPr>
        <w:t>:</w:t>
      </w:r>
      <w:r w:rsidRPr="00D560D2">
        <w:rPr>
          <w:lang w:val="fr-CA"/>
        </w:rPr>
        <w:t xml:space="preserve"> Le pourvoi est rejeté.</w:t>
      </w:r>
    </w:p>
    <w:p w:rsidR="002C6C61" w:rsidRPr="00D560D2" w:rsidRDefault="00C416BC" w:rsidP="0055329A">
      <w:pPr>
        <w:pStyle w:val="SCCNormalDoubleSpacing"/>
        <w:widowControl w:val="0"/>
        <w:spacing w:before="480" w:after="480"/>
        <w:rPr>
          <w:lang w:val="fr-CA"/>
        </w:rPr>
      </w:pPr>
      <w:r w:rsidRPr="00D560D2">
        <w:rPr>
          <w:i/>
          <w:lang w:val="fr-CA"/>
        </w:rPr>
        <w:tab/>
      </w:r>
      <w:r w:rsidR="00763F79" w:rsidRPr="00D560D2">
        <w:rPr>
          <w:i/>
          <w:lang w:val="fr-CA"/>
        </w:rPr>
        <w:t xml:space="preserve">La </w:t>
      </w:r>
      <w:r w:rsidR="00763F79" w:rsidRPr="003D25BD">
        <w:rPr>
          <w:lang w:val="fr-CA"/>
        </w:rPr>
        <w:t xml:space="preserve">juge en chef </w:t>
      </w:r>
      <w:r w:rsidR="00022AF0" w:rsidRPr="003D25BD">
        <w:rPr>
          <w:lang w:val="fr-CA"/>
        </w:rPr>
        <w:t>McLachlin</w:t>
      </w:r>
      <w:r w:rsidR="00022AF0" w:rsidRPr="00D560D2">
        <w:rPr>
          <w:b/>
          <w:lang w:val="fr-CA"/>
        </w:rPr>
        <w:t xml:space="preserve"> </w:t>
      </w:r>
      <w:r w:rsidR="00C71199" w:rsidRPr="00D560D2">
        <w:rPr>
          <w:lang w:val="fr-CA"/>
        </w:rPr>
        <w:t xml:space="preserve">et les juges </w:t>
      </w:r>
      <w:r w:rsidR="00022AF0" w:rsidRPr="00D560D2">
        <w:rPr>
          <w:lang w:val="fr-CA"/>
        </w:rPr>
        <w:t xml:space="preserve">Abella, Karakatsanis, Wagner, Gascon, Brown </w:t>
      </w:r>
      <w:r w:rsidR="00C71199" w:rsidRPr="00D560D2">
        <w:rPr>
          <w:lang w:val="fr-CA"/>
        </w:rPr>
        <w:t xml:space="preserve">et </w:t>
      </w:r>
      <w:r w:rsidR="00022AF0" w:rsidRPr="003D25BD">
        <w:rPr>
          <w:lang w:val="fr-CA"/>
        </w:rPr>
        <w:t>Rowe</w:t>
      </w:r>
      <w:r w:rsidRPr="00D560D2">
        <w:rPr>
          <w:lang w:val="fr-CA"/>
        </w:rPr>
        <w:t> :</w:t>
      </w:r>
      <w:r w:rsidR="00022AF0" w:rsidRPr="00D560D2">
        <w:rPr>
          <w:lang w:val="fr-CA"/>
        </w:rPr>
        <w:t xml:space="preserve"> </w:t>
      </w:r>
      <w:r w:rsidR="00C71199" w:rsidRPr="00D560D2">
        <w:rPr>
          <w:lang w:val="fr-CA"/>
        </w:rPr>
        <w:t xml:space="preserve">La décision du Ministre ne viole pas le droit à la liberté de religion garanti aux </w:t>
      </w:r>
      <w:r w:rsidR="00022AF0" w:rsidRPr="00D560D2">
        <w:rPr>
          <w:lang w:val="fr-CA"/>
        </w:rPr>
        <w:t>Ktunaxa</w:t>
      </w:r>
      <w:r w:rsidR="00C71199" w:rsidRPr="00D560D2">
        <w:rPr>
          <w:lang w:val="fr-CA"/>
        </w:rPr>
        <w:t xml:space="preserve"> par l’</w:t>
      </w:r>
      <w:r w:rsidRPr="00D560D2">
        <w:rPr>
          <w:lang w:val="fr-CA"/>
        </w:rPr>
        <w:t>al. </w:t>
      </w:r>
      <w:r w:rsidR="00022AF0" w:rsidRPr="00D560D2">
        <w:rPr>
          <w:lang w:val="fr-CA"/>
        </w:rPr>
        <w:t>2</w:t>
      </w:r>
      <w:r w:rsidR="00022AF0" w:rsidRPr="00D560D2">
        <w:rPr>
          <w:i/>
          <w:lang w:val="fr-CA"/>
        </w:rPr>
        <w:t>a</w:t>
      </w:r>
      <w:r w:rsidR="00022AF0" w:rsidRPr="00D560D2">
        <w:rPr>
          <w:lang w:val="fr-CA"/>
        </w:rPr>
        <w:t xml:space="preserve">) </w:t>
      </w:r>
      <w:r w:rsidR="00C71199" w:rsidRPr="00D560D2">
        <w:rPr>
          <w:lang w:val="fr-CA"/>
        </w:rPr>
        <w:t xml:space="preserve">de la </w:t>
      </w:r>
      <w:r w:rsidR="00022AF0" w:rsidRPr="00D560D2">
        <w:rPr>
          <w:i/>
          <w:lang w:val="fr-CA"/>
        </w:rPr>
        <w:t>Charte</w:t>
      </w:r>
      <w:r w:rsidR="00022AF0" w:rsidRPr="00D560D2">
        <w:rPr>
          <w:lang w:val="fr-CA"/>
        </w:rPr>
        <w:t xml:space="preserve">. </w:t>
      </w:r>
      <w:r w:rsidR="00C71199" w:rsidRPr="00D560D2">
        <w:rPr>
          <w:lang w:val="fr-CA"/>
        </w:rPr>
        <w:t xml:space="preserve">En l’espèce, </w:t>
      </w:r>
      <w:r w:rsidR="002C6C61" w:rsidRPr="00D560D2">
        <w:rPr>
          <w:lang w:val="fr-CA"/>
        </w:rPr>
        <w:t>la revendication des Ktunaxa ne relève pas de cette disposition car la décision du Ministre d’approuver le projet ne porte atteinte ni à la liberté des Ktunaxa d’avoir leurs croyances ni à leur liberté de manifester ces croyances.</w:t>
      </w:r>
    </w:p>
    <w:p w:rsidR="00022AF0" w:rsidRPr="00D560D2" w:rsidRDefault="00022AF0" w:rsidP="0055329A">
      <w:pPr>
        <w:pStyle w:val="SCCNormalDoubleSpacing"/>
        <w:widowControl w:val="0"/>
        <w:spacing w:before="480" w:after="480"/>
        <w:rPr>
          <w:lang w:val="fr-CA"/>
        </w:rPr>
      </w:pPr>
      <w:r w:rsidRPr="00D560D2">
        <w:rPr>
          <w:lang w:val="fr-CA"/>
        </w:rPr>
        <w:tab/>
      </w:r>
      <w:r w:rsidR="002C6C61" w:rsidRPr="00D560D2">
        <w:rPr>
          <w:lang w:val="fr-CA"/>
        </w:rPr>
        <w:t>Pour démontrer qu’il y a atteinte au droit à la liberté de religion, le demandeur doit établir (1) qu’il croit sincèrement à une pratique ou à une croyance ayant un lien avec la religion, et (2) que la conduite qu’il reproche à l’État nuit d’une manière plus que négligeable ou insignifiante à sa capacité de se conformer à cette pratique ou croyance.</w:t>
      </w:r>
      <w:r w:rsidRPr="00D560D2">
        <w:rPr>
          <w:lang w:val="fr-CA"/>
        </w:rPr>
        <w:t xml:space="preserve"> </w:t>
      </w:r>
      <w:r w:rsidR="002C6C61" w:rsidRPr="00D560D2">
        <w:rPr>
          <w:lang w:val="fr-CA"/>
        </w:rPr>
        <w:t xml:space="preserve">Dans la présente affaire, les Ktunaxa croient sincèrement en l’existence et l’importance de l’Esprit de l’Ours Grizzly. Ils croient aussi qu’un aménagement permanent à l’intérieur du Qat’muk en chassera cet esprit. </w:t>
      </w:r>
      <w:r w:rsidRPr="00D560D2">
        <w:rPr>
          <w:lang w:val="fr-CA"/>
        </w:rPr>
        <w:t xml:space="preserve"> </w:t>
      </w:r>
    </w:p>
    <w:p w:rsidR="00022AF0" w:rsidRPr="00D560D2" w:rsidRDefault="00022AF0" w:rsidP="0055329A">
      <w:pPr>
        <w:pStyle w:val="SCCNormalDoubleSpacing"/>
        <w:widowControl w:val="0"/>
        <w:spacing w:before="480" w:after="480"/>
        <w:rPr>
          <w:lang w:val="fr-CA"/>
        </w:rPr>
      </w:pPr>
      <w:r w:rsidRPr="00D560D2">
        <w:rPr>
          <w:lang w:val="fr-CA"/>
        </w:rPr>
        <w:tab/>
      </w:r>
      <w:r w:rsidR="002C6C61" w:rsidRPr="00D560D2">
        <w:rPr>
          <w:lang w:val="fr-CA"/>
        </w:rPr>
        <w:t>Il n’est toutefois pas satisfait au second volet du critère</w:t>
      </w:r>
      <w:r w:rsidRPr="00D560D2">
        <w:rPr>
          <w:lang w:val="fr-CA"/>
        </w:rPr>
        <w:t xml:space="preserve">. </w:t>
      </w:r>
      <w:r w:rsidR="002C6C61" w:rsidRPr="00D560D2">
        <w:rPr>
          <w:lang w:val="fr-CA"/>
        </w:rPr>
        <w:t>Les Ktunaxa doivent démontrer que la décision du Ministre d’approuver l’aménagement porte atteinte soit à leur liberté de croire en l’Esprit de l’Ours Grizzly, soit à leur liberté de manifester cette croyance</w:t>
      </w:r>
      <w:r w:rsidRPr="00D560D2">
        <w:rPr>
          <w:lang w:val="fr-CA"/>
        </w:rPr>
        <w:t xml:space="preserve">. </w:t>
      </w:r>
      <w:r w:rsidR="002C6C61" w:rsidRPr="00D560D2">
        <w:rPr>
          <w:lang w:val="fr-CA"/>
        </w:rPr>
        <w:t xml:space="preserve">Pourtant, les </w:t>
      </w:r>
      <w:r w:rsidRPr="00D560D2">
        <w:rPr>
          <w:lang w:val="fr-CA"/>
        </w:rPr>
        <w:t>Ktunaxa</w:t>
      </w:r>
      <w:r w:rsidR="002C6C61" w:rsidRPr="00D560D2">
        <w:rPr>
          <w:lang w:val="fr-CA"/>
        </w:rPr>
        <w:t xml:space="preserve"> ne réclament pas la protection de la liberté de croire en l’Esprit de l’Ours Grizzly ou de s’adonner à des pratiques connexes</w:t>
      </w:r>
      <w:r w:rsidRPr="00D560D2">
        <w:rPr>
          <w:lang w:val="fr-CA"/>
        </w:rPr>
        <w:t xml:space="preserve">. </w:t>
      </w:r>
      <w:r w:rsidR="002C6C61" w:rsidRPr="00D560D2">
        <w:rPr>
          <w:lang w:val="fr-CA"/>
        </w:rPr>
        <w:lastRenderedPageBreak/>
        <w:t>Ils sollicitent plutôt la protection de la présence de l’Esprit de l’Ours Grizzly lui</w:t>
      </w:r>
      <w:r w:rsidR="00C416BC" w:rsidRPr="00D560D2">
        <w:rPr>
          <w:lang w:val="fr-CA"/>
        </w:rPr>
        <w:noBreakHyphen/>
      </w:r>
      <w:r w:rsidR="002C6C61" w:rsidRPr="00D560D2">
        <w:rPr>
          <w:lang w:val="fr-CA"/>
        </w:rPr>
        <w:t xml:space="preserve">même et du sens spirituel subjectif qu’ils en dégagent. </w:t>
      </w:r>
      <w:r w:rsidR="001445AD" w:rsidRPr="00D560D2">
        <w:rPr>
          <w:lang w:val="fr-CA"/>
        </w:rPr>
        <w:t>Cette allégation inédite étendrait l’</w:t>
      </w:r>
      <w:r w:rsidR="00C416BC" w:rsidRPr="00D560D2">
        <w:rPr>
          <w:lang w:val="fr-CA"/>
        </w:rPr>
        <w:t>al. </w:t>
      </w:r>
      <w:r w:rsidR="001445AD" w:rsidRPr="00D560D2">
        <w:rPr>
          <w:lang w:val="fr-CA"/>
        </w:rPr>
        <w:t>2</w:t>
      </w:r>
      <w:r w:rsidR="001445AD" w:rsidRPr="00D560D2">
        <w:rPr>
          <w:i/>
          <w:lang w:val="fr-CA"/>
        </w:rPr>
        <w:t>a</w:t>
      </w:r>
      <w:r w:rsidR="001445AD" w:rsidRPr="00D560D2">
        <w:rPr>
          <w:lang w:val="fr-CA"/>
        </w:rPr>
        <w:t>) au</w:t>
      </w:r>
      <w:r w:rsidR="00C416BC" w:rsidRPr="00D560D2">
        <w:rPr>
          <w:lang w:val="fr-CA"/>
        </w:rPr>
        <w:noBreakHyphen/>
      </w:r>
      <w:r w:rsidR="001445AD" w:rsidRPr="00D560D2">
        <w:rPr>
          <w:lang w:val="fr-CA"/>
        </w:rPr>
        <w:t>delà de ses limites et exposerait les croyances intimes profondes au contrôle des tribunaux</w:t>
      </w:r>
      <w:r w:rsidRPr="00D560D2">
        <w:rPr>
          <w:lang w:val="fr-CA"/>
        </w:rPr>
        <w:t xml:space="preserve">. </w:t>
      </w:r>
      <w:r w:rsidR="001445AD" w:rsidRPr="00D560D2">
        <w:rPr>
          <w:lang w:val="fr-CA"/>
        </w:rPr>
        <w:t>L’obligation imposée à l’État par l’</w:t>
      </w:r>
      <w:r w:rsidR="00C416BC" w:rsidRPr="00D560D2">
        <w:rPr>
          <w:lang w:val="fr-CA"/>
        </w:rPr>
        <w:t>al. </w:t>
      </w:r>
      <w:r w:rsidR="001445AD" w:rsidRPr="00D560D2">
        <w:rPr>
          <w:lang w:val="fr-CA"/>
        </w:rPr>
        <w:t>2</w:t>
      </w:r>
      <w:r w:rsidR="001445AD" w:rsidRPr="00D560D2">
        <w:rPr>
          <w:i/>
          <w:lang w:val="fr-CA"/>
        </w:rPr>
        <w:t>a</w:t>
      </w:r>
      <w:r w:rsidR="001445AD" w:rsidRPr="00D560D2">
        <w:rPr>
          <w:lang w:val="fr-CA"/>
        </w:rPr>
        <w:t xml:space="preserve">) ne consiste pas à protéger l’objet des croyances ou le point de mire spirituel du culte, comme l’Esprit de l’Ours Grizzly. Il incombe plutôt à l’État de protéger la liberté de toute personne d’avoir pareilles croyances et de les manifester par le culte et la pratique ou par l’enseignement et la diffusion. </w:t>
      </w:r>
      <w:r w:rsidRPr="00D560D2">
        <w:rPr>
          <w:lang w:val="fr-CA"/>
        </w:rPr>
        <w:t xml:space="preserve"> </w:t>
      </w:r>
    </w:p>
    <w:p w:rsidR="00022AF0" w:rsidRPr="00D560D2" w:rsidRDefault="00022AF0" w:rsidP="0055329A">
      <w:pPr>
        <w:pStyle w:val="SCCNormalDoubleSpacing"/>
        <w:widowControl w:val="0"/>
        <w:spacing w:before="480" w:after="480"/>
        <w:rPr>
          <w:lang w:val="fr-CA"/>
        </w:rPr>
      </w:pPr>
      <w:r w:rsidRPr="00D560D2">
        <w:rPr>
          <w:lang w:val="fr-CA"/>
        </w:rPr>
        <w:tab/>
      </w:r>
      <w:r w:rsidR="001445AD" w:rsidRPr="00D560D2">
        <w:rPr>
          <w:lang w:val="fr-CA"/>
        </w:rPr>
        <w:t>En outre, il était raisonnable de la part du Ministre de décider que la Couronne s’était acquittée de l’obligation de consultation et d’accommodement que lui impose l’</w:t>
      </w:r>
      <w:r w:rsidR="00C416BC" w:rsidRPr="00D560D2">
        <w:rPr>
          <w:lang w:val="fr-CA"/>
        </w:rPr>
        <w:t>art. </w:t>
      </w:r>
      <w:r w:rsidR="001445AD" w:rsidRPr="00D560D2">
        <w:rPr>
          <w:lang w:val="fr-CA"/>
        </w:rPr>
        <w:t>35</w:t>
      </w:r>
      <w:r w:rsidR="001445AD" w:rsidRPr="00D560D2">
        <w:rPr>
          <w:spacing w:val="2"/>
          <w:lang w:val="fr-CA"/>
        </w:rPr>
        <w:t xml:space="preserve"> de la </w:t>
      </w:r>
      <w:r w:rsidR="001445AD" w:rsidRPr="00D560D2">
        <w:rPr>
          <w:i/>
          <w:lang w:val="fr-CA"/>
        </w:rPr>
        <w:t>Loi constitutionnelle de 1982</w:t>
      </w:r>
      <w:r w:rsidRPr="00D560D2">
        <w:rPr>
          <w:lang w:val="fr-CA"/>
        </w:rPr>
        <w:t xml:space="preserve">. </w:t>
      </w:r>
      <w:r w:rsidR="00AA6489" w:rsidRPr="00D560D2">
        <w:rPr>
          <w:lang w:val="fr-CA"/>
        </w:rPr>
        <w:t>Il convient de faire preuve de déférence à l’égard de cette décision. La cour qui contrôle une décision administrative au titre de l’</w:t>
      </w:r>
      <w:r w:rsidR="00C416BC" w:rsidRPr="00D560D2">
        <w:rPr>
          <w:lang w:val="fr-CA"/>
        </w:rPr>
        <w:t>art. </w:t>
      </w:r>
      <w:r w:rsidR="00AA6489" w:rsidRPr="00D560D2">
        <w:rPr>
          <w:lang w:val="fr-CA"/>
        </w:rPr>
        <w:t xml:space="preserve">35 ne tranche pas la question constitutionnelle </w:t>
      </w:r>
      <w:r w:rsidR="00AA6489" w:rsidRPr="00D560D2">
        <w:rPr>
          <w:i/>
          <w:lang w:val="fr-CA"/>
        </w:rPr>
        <w:t>de novo</w:t>
      </w:r>
      <w:r w:rsidR="00AA6489" w:rsidRPr="00D560D2">
        <w:rPr>
          <w:lang w:val="fr-CA"/>
        </w:rPr>
        <w:t xml:space="preserve"> soulevée de façon isolée selon la norme de la décision correcte. Elle ne tranche donc pas la question de façon indépendante</w:t>
      </w:r>
      <w:r w:rsidRPr="00D560D2">
        <w:rPr>
          <w:lang w:val="fr-CA"/>
        </w:rPr>
        <w:t xml:space="preserve">. </w:t>
      </w:r>
      <w:r w:rsidR="00AA6489" w:rsidRPr="00D560D2">
        <w:rPr>
          <w:lang w:val="fr-CA"/>
        </w:rPr>
        <w:t>Elle doit plutôt se demander si la conclusion du décideur sur cette question était raisonnable</w:t>
      </w:r>
      <w:r w:rsidRPr="00D560D2">
        <w:rPr>
          <w:lang w:val="fr-CA"/>
        </w:rPr>
        <w:t>.</w:t>
      </w:r>
    </w:p>
    <w:p w:rsidR="00022AF0" w:rsidRPr="00D560D2" w:rsidRDefault="00022AF0" w:rsidP="0055329A">
      <w:pPr>
        <w:pStyle w:val="SCCNormalDoubleSpacing"/>
        <w:widowControl w:val="0"/>
        <w:spacing w:before="480" w:after="480"/>
        <w:rPr>
          <w:lang w:val="fr-CA"/>
        </w:rPr>
      </w:pPr>
      <w:r w:rsidRPr="00D560D2">
        <w:rPr>
          <w:lang w:val="fr-CA"/>
        </w:rPr>
        <w:tab/>
      </w:r>
      <w:r w:rsidR="00743AC0" w:rsidRPr="00D560D2">
        <w:rPr>
          <w:lang w:val="fr-CA"/>
        </w:rPr>
        <w:t>La garantie constitutionnelle de l’art</w:t>
      </w:r>
      <w:r w:rsidR="00B11F51">
        <w:rPr>
          <w:lang w:val="fr-CA"/>
        </w:rPr>
        <w:t>.</w:t>
      </w:r>
      <w:r w:rsidR="00743AC0" w:rsidRPr="00D560D2">
        <w:rPr>
          <w:lang w:val="fr-CA"/>
        </w:rPr>
        <w:t xml:space="preserve"> 35 ne vise pas uniquement les droits issus de traités ou les revendications prouvées ou réglées de droits </w:t>
      </w:r>
      <w:r w:rsidR="00B11F51" w:rsidRPr="00D560D2">
        <w:rPr>
          <w:lang w:val="fr-CA"/>
        </w:rPr>
        <w:t xml:space="preserve">ancestraux </w:t>
      </w:r>
      <w:r w:rsidR="00743AC0" w:rsidRPr="00D560D2">
        <w:rPr>
          <w:lang w:val="fr-CA"/>
        </w:rPr>
        <w:t>et de titre</w:t>
      </w:r>
      <w:r w:rsidR="00B11F51">
        <w:rPr>
          <w:lang w:val="fr-CA"/>
        </w:rPr>
        <w:t xml:space="preserve"> ancestral</w:t>
      </w:r>
      <w:r w:rsidR="00743AC0" w:rsidRPr="00D560D2">
        <w:rPr>
          <w:lang w:val="fr-CA"/>
        </w:rPr>
        <w:t xml:space="preserve">. L’article 35 protège aussi les droits éventuels inhérents aux revendications autochtones qui n’ont pas encore été formellement établies et il peut obliger la Couronne à consulter les Autochtones et à prendre en compte leurs intérêts en attendant </w:t>
      </w:r>
      <w:r w:rsidR="00743AC0" w:rsidRPr="00D560D2">
        <w:rPr>
          <w:lang w:val="fr-CA"/>
        </w:rPr>
        <w:lastRenderedPageBreak/>
        <w:t xml:space="preserve">qu’il soit statué sur ces revendications par la négociation ou une autre procédure. </w:t>
      </w:r>
      <w:r w:rsidR="004D10B2" w:rsidRPr="00D560D2">
        <w:rPr>
          <w:lang w:val="fr-CA"/>
        </w:rPr>
        <w:t>Cette obligation découle de l’honneur de la Couronne et est constitutionnalisée à l’</w:t>
      </w:r>
      <w:r w:rsidR="00C416BC" w:rsidRPr="00D560D2">
        <w:rPr>
          <w:lang w:val="fr-CA"/>
        </w:rPr>
        <w:t>art. </w:t>
      </w:r>
      <w:r w:rsidR="004D10B2" w:rsidRPr="00D560D2">
        <w:rPr>
          <w:lang w:val="fr-CA"/>
        </w:rPr>
        <w:t xml:space="preserve">35. </w:t>
      </w:r>
    </w:p>
    <w:p w:rsidR="00022AF0" w:rsidRPr="00D560D2" w:rsidRDefault="004D10B2" w:rsidP="0055329A">
      <w:pPr>
        <w:pStyle w:val="SCCNormalDoubleSpacing"/>
        <w:widowControl w:val="0"/>
        <w:spacing w:before="480" w:after="480"/>
        <w:rPr>
          <w:lang w:val="fr-CA"/>
        </w:rPr>
      </w:pPr>
      <w:r w:rsidRPr="00D560D2">
        <w:rPr>
          <w:lang w:val="fr-CA"/>
        </w:rPr>
        <w:tab/>
        <w:t xml:space="preserve">En l’espèce, les </w:t>
      </w:r>
      <w:r w:rsidR="00022AF0" w:rsidRPr="00D560D2">
        <w:rPr>
          <w:lang w:val="fr-CA"/>
        </w:rPr>
        <w:t>Ktunaxa</w:t>
      </w:r>
      <w:r w:rsidRPr="00D560D2">
        <w:rPr>
          <w:lang w:val="fr-CA"/>
        </w:rPr>
        <w:t xml:space="preserve"> demandent aux tribunaux dans leur requête, sous le couvert d’une demande de contrôle judiciaire d’une décision administrative, de se prononcer sur la validité de leur revendication à l’égard d’un lieu sacré et des pratiques spirituelles connexes. Ce jugement déclaratoire ne peut être rendu par une cour siégeant en contrôle d’une décision administrative</w:t>
      </w:r>
      <w:r w:rsidR="00022AF0" w:rsidRPr="00D560D2">
        <w:rPr>
          <w:lang w:val="fr-CA"/>
        </w:rPr>
        <w:t xml:space="preserve">. </w:t>
      </w:r>
      <w:r w:rsidR="001B3335" w:rsidRPr="00D560D2">
        <w:rPr>
          <w:lang w:val="fr-CA"/>
        </w:rPr>
        <w:t>Dans une instance judic</w:t>
      </w:r>
      <w:r w:rsidR="00850EE0" w:rsidRPr="00D560D2">
        <w:rPr>
          <w:lang w:val="fr-CA"/>
        </w:rPr>
        <w:t xml:space="preserve">iaire, pareil jugement déclaratoire </w:t>
      </w:r>
      <w:r w:rsidR="001B3335" w:rsidRPr="00D560D2">
        <w:rPr>
          <w:lang w:val="fr-CA"/>
        </w:rPr>
        <w:t xml:space="preserve">ne peut être rendu qu’après l’instruction de la question quand le tribunal bénéficie des actes de procédure, des interrogatoires préalables, des éléments de preuve et des arguments. </w:t>
      </w:r>
      <w:r w:rsidR="00A71A53" w:rsidRPr="00D560D2">
        <w:rPr>
          <w:lang w:val="fr-CA"/>
        </w:rPr>
        <w:t>Sans un pouvoir expressément délégué, les décideurs administratifs ne peuvent pas non plus se prononcer eux</w:t>
      </w:r>
      <w:r w:rsidR="00C416BC" w:rsidRPr="00D560D2">
        <w:rPr>
          <w:lang w:val="fr-CA"/>
        </w:rPr>
        <w:noBreakHyphen/>
      </w:r>
      <w:r w:rsidR="00A71A53" w:rsidRPr="00D560D2">
        <w:rPr>
          <w:lang w:val="fr-CA"/>
        </w:rPr>
        <w:t>mêmes sur l’existence ou la portée de droits ancestraux</w:t>
      </w:r>
      <w:r w:rsidR="00022AF0" w:rsidRPr="00D560D2">
        <w:rPr>
          <w:lang w:val="fr-CA"/>
        </w:rPr>
        <w:t xml:space="preserve">. </w:t>
      </w:r>
      <w:r w:rsidR="0057248C" w:rsidRPr="00D560D2">
        <w:rPr>
          <w:lang w:val="fr-CA"/>
        </w:rPr>
        <w:t xml:space="preserve">Les droits ancestraux doivent être prouvés au moyen d’éléments mis à l’épreuve; ils ne peuvent être établis accessoirement dans le cadre d’une procédure administrative dont le point de mire est le caractère adéquat des consultations et des mesures d’accommodement. </w:t>
      </w:r>
      <w:r w:rsidR="00480CEA" w:rsidRPr="00D560D2">
        <w:rPr>
          <w:lang w:val="fr-CA"/>
        </w:rPr>
        <w:t>Permettre une telle chose causerait de l’incertitude et découragerait le règlement définitif des droits allégués par la procédure appropriée</w:t>
      </w:r>
      <w:r w:rsidR="00022AF0" w:rsidRPr="00D560D2">
        <w:rPr>
          <w:lang w:val="fr-CA"/>
        </w:rPr>
        <w:t xml:space="preserve">. </w:t>
      </w:r>
      <w:r w:rsidR="00480CEA" w:rsidRPr="00D560D2">
        <w:rPr>
          <w:lang w:val="fr-CA"/>
        </w:rPr>
        <w:t>Dans l’intervalle, alors que les revendications sont en voie de règlement, la consultation et l’accommodement sont les meilleurs outils juridiques dont on dispose pour parvenir à une réconciliation</w:t>
      </w:r>
      <w:r w:rsidR="00022AF0" w:rsidRPr="00D560D2">
        <w:rPr>
          <w:lang w:val="fr-CA"/>
        </w:rPr>
        <w:t>.</w:t>
      </w:r>
    </w:p>
    <w:p w:rsidR="00022AF0" w:rsidRPr="00D560D2" w:rsidRDefault="00022AF0" w:rsidP="0055329A">
      <w:pPr>
        <w:pStyle w:val="SCCNormalDoubleSpacing"/>
        <w:widowControl w:val="0"/>
        <w:spacing w:before="480" w:after="480"/>
        <w:rPr>
          <w:lang w:val="fr-CA"/>
        </w:rPr>
      </w:pPr>
      <w:r w:rsidRPr="00D560D2">
        <w:rPr>
          <w:lang w:val="fr-CA"/>
        </w:rPr>
        <w:tab/>
      </w:r>
      <w:r w:rsidR="00480CEA" w:rsidRPr="00D560D2">
        <w:rPr>
          <w:lang w:val="fr-CA"/>
        </w:rPr>
        <w:t xml:space="preserve">Le dossier de l’espèce étaye le caractère raisonnable de la conclusion du Ministre selon laquelle l’obligation de consultation et d’accommodement visée à </w:t>
      </w:r>
      <w:r w:rsidR="00480CEA" w:rsidRPr="00D560D2">
        <w:rPr>
          <w:lang w:val="fr-CA"/>
        </w:rPr>
        <w:lastRenderedPageBreak/>
        <w:t>l’</w:t>
      </w:r>
      <w:r w:rsidR="00C416BC" w:rsidRPr="00D560D2">
        <w:rPr>
          <w:lang w:val="fr-CA"/>
        </w:rPr>
        <w:t>art. </w:t>
      </w:r>
      <w:r w:rsidR="00480CEA" w:rsidRPr="00D560D2">
        <w:rPr>
          <w:lang w:val="fr-CA"/>
        </w:rPr>
        <w:t>35 a été respectée</w:t>
      </w:r>
      <w:r w:rsidRPr="00D560D2">
        <w:rPr>
          <w:lang w:val="fr-CA"/>
        </w:rPr>
        <w:t xml:space="preserve">. </w:t>
      </w:r>
      <w:r w:rsidR="007002AA" w:rsidRPr="00D560D2">
        <w:rPr>
          <w:lang w:val="fr-CA"/>
        </w:rPr>
        <w:t>Les revendications de nature spirituelle des Ktunaxa à l’égard du Qat’muk ont été reconnues dès le dép</w:t>
      </w:r>
      <w:r w:rsidR="00C416BC" w:rsidRPr="00D560D2">
        <w:rPr>
          <w:lang w:val="fr-CA"/>
        </w:rPr>
        <w:t>art. </w:t>
      </w:r>
      <w:r w:rsidR="007002AA" w:rsidRPr="00D560D2">
        <w:rPr>
          <w:lang w:val="fr-CA"/>
        </w:rPr>
        <w:t xml:space="preserve">Des négociations se sont échelonnées sur deux décennies et il y a eu des consultations approfondies. De nombreux changements ont été apportés au projet pour tenir compte des revendications de nature spirituelle des Ktunaxa. Alors que tous les différends importants semblaient réglés, les Ktunaxa ont adopté une nouvelle position absolue selon laquelle aucun accommodement n’était possible parce que des installations permanentes chasseraient </w:t>
      </w:r>
      <w:r w:rsidR="003F7341" w:rsidRPr="00D560D2">
        <w:rPr>
          <w:lang w:val="fr-CA"/>
        </w:rPr>
        <w:t>l’Esprit de l’Ours Grizzly du Qat’muk. Le Ministre a cherché à consulter les Ktunaxa pour discuter de la revendication nouvellement formulée, mais on lui a répondu qu’il était inutile de le faire. Le processus protégé par l’</w:t>
      </w:r>
      <w:r w:rsidR="00C416BC" w:rsidRPr="00D560D2">
        <w:rPr>
          <w:lang w:val="fr-CA"/>
        </w:rPr>
        <w:t>art. </w:t>
      </w:r>
      <w:r w:rsidR="003F7341" w:rsidRPr="00D560D2">
        <w:rPr>
          <w:lang w:val="fr-CA"/>
        </w:rPr>
        <w:t xml:space="preserve">35 a alors pris fin. </w:t>
      </w:r>
      <w:r w:rsidRPr="00D560D2">
        <w:rPr>
          <w:lang w:val="fr-CA"/>
        </w:rPr>
        <w:t xml:space="preserve"> </w:t>
      </w:r>
    </w:p>
    <w:p w:rsidR="00022AF0" w:rsidRPr="00D560D2" w:rsidRDefault="00022AF0" w:rsidP="0055329A">
      <w:pPr>
        <w:pStyle w:val="SCCNormalDoubleSpacing"/>
        <w:widowControl w:val="0"/>
        <w:spacing w:before="480" w:after="480"/>
        <w:rPr>
          <w:lang w:val="fr-CA"/>
        </w:rPr>
      </w:pPr>
      <w:r w:rsidRPr="00D560D2">
        <w:rPr>
          <w:lang w:val="fr-CA"/>
        </w:rPr>
        <w:tab/>
      </w:r>
      <w:r w:rsidR="00107030" w:rsidRPr="00D560D2">
        <w:rPr>
          <w:lang w:val="fr-CA"/>
        </w:rPr>
        <w:t>À l’inverse, le dossier n’indique pas que le Ministre a mal décrit le droit comme une revendication visant à empêcher tout aménagement plutôt que la revendication d’un droit spirituel</w:t>
      </w:r>
      <w:r w:rsidRPr="00D560D2">
        <w:rPr>
          <w:lang w:val="fr-CA"/>
        </w:rPr>
        <w:t xml:space="preserve">. </w:t>
      </w:r>
      <w:r w:rsidR="00107030" w:rsidRPr="00D560D2">
        <w:rPr>
          <w:lang w:val="fr-CA"/>
        </w:rPr>
        <w:t xml:space="preserve">Le Ministre </w:t>
      </w:r>
      <w:r w:rsidR="00C7144C" w:rsidRPr="00D560D2">
        <w:rPr>
          <w:lang w:val="fr-CA"/>
        </w:rPr>
        <w:t xml:space="preserve">comprenait que ce droit supposait des pratiques qui dépendaient de la présence continue de l’Esprit de l’Ours Grizzly dans le Qat’muk, alors que l’aménagement chasserait cet esprit selon les croyances des Ktunaxa. </w:t>
      </w:r>
      <w:r w:rsidR="008D2157" w:rsidRPr="00D560D2">
        <w:rPr>
          <w:lang w:val="fr-CA"/>
        </w:rPr>
        <w:t>Les pratiques et intérêts spirituels ont été évoqués au début du processus et les parties ont continué de discuter de ces questions tout au long du processus</w:t>
      </w:r>
      <w:r w:rsidRPr="00D560D2">
        <w:rPr>
          <w:lang w:val="fr-CA"/>
        </w:rPr>
        <w:t xml:space="preserve">. </w:t>
      </w:r>
      <w:r w:rsidR="008D2157" w:rsidRPr="00D560D2">
        <w:rPr>
          <w:lang w:val="fr-CA"/>
        </w:rPr>
        <w:t>Le Ministre n’a pas non plus mal compris l’impératif du secret des Ktunaxa qui</w:t>
      </w:r>
      <w:r w:rsidR="00E44EE6">
        <w:rPr>
          <w:lang w:val="fr-CA"/>
        </w:rPr>
        <w:t xml:space="preserve"> a contribué à</w:t>
      </w:r>
      <w:r w:rsidR="008D2157" w:rsidRPr="00D560D2">
        <w:rPr>
          <w:lang w:val="fr-CA"/>
        </w:rPr>
        <w:t xml:space="preserve"> la divulgation tardive de la véritable nature de la revendication</w:t>
      </w:r>
      <w:r w:rsidR="00C416BC" w:rsidRPr="00D560D2">
        <w:rPr>
          <w:lang w:val="fr-CA"/>
        </w:rPr>
        <w:t> :</w:t>
      </w:r>
      <w:r w:rsidRPr="00D560D2">
        <w:rPr>
          <w:lang w:val="fr-CA"/>
        </w:rPr>
        <w:t xml:space="preserve"> </w:t>
      </w:r>
      <w:r w:rsidR="00A8165C" w:rsidRPr="00D560D2">
        <w:rPr>
          <w:lang w:val="fr-CA"/>
        </w:rPr>
        <w:t>une revendication absolue à l’égard d’un lieu sacré qui devait être préservé et protégé de l’habitation humaine permanente</w:t>
      </w:r>
      <w:r w:rsidRPr="00D560D2">
        <w:rPr>
          <w:lang w:val="fr-CA"/>
        </w:rPr>
        <w:t xml:space="preserve">. </w:t>
      </w:r>
      <w:r w:rsidR="00A8165C" w:rsidRPr="00D560D2">
        <w:rPr>
          <w:lang w:val="fr-CA"/>
        </w:rPr>
        <w:t>Le Ministre a compris et accepté le fait que les croyances spirituelles ne permettaient pas que certains détails des croyances soient communiqués</w:t>
      </w:r>
      <w:r w:rsidR="00A76CEA" w:rsidRPr="00D560D2">
        <w:rPr>
          <w:lang w:val="fr-CA"/>
        </w:rPr>
        <w:t xml:space="preserve"> </w:t>
      </w:r>
      <w:r w:rsidR="00A76CEA" w:rsidRPr="00D560D2">
        <w:rPr>
          <w:lang w:val="fr-CA"/>
        </w:rPr>
        <w:lastRenderedPageBreak/>
        <w:t>à des gens de l’extérieur</w:t>
      </w:r>
      <w:r w:rsidR="00A8165C" w:rsidRPr="00D560D2">
        <w:rPr>
          <w:lang w:val="fr-CA"/>
        </w:rPr>
        <w:t>. Rien dans le dossier ne porte à croire que le Ministre a oublié cet élément fondamental quand il a décidé qu’il y avait eu une consultation adéquate</w:t>
      </w:r>
      <w:r w:rsidRPr="00D560D2">
        <w:rPr>
          <w:lang w:val="fr-CA"/>
        </w:rPr>
        <w:t xml:space="preserve">. </w:t>
      </w:r>
      <w:r w:rsidR="00A8165C" w:rsidRPr="00D560D2">
        <w:rPr>
          <w:lang w:val="fr-CA"/>
        </w:rPr>
        <w:t xml:space="preserve">De plus, le Ministre n’a pas qualifié de faible </w:t>
      </w:r>
      <w:r w:rsidR="00850EE0" w:rsidRPr="00D560D2">
        <w:rPr>
          <w:lang w:val="fr-CA"/>
        </w:rPr>
        <w:t xml:space="preserve">le droit spirituel </w:t>
      </w:r>
      <w:r w:rsidR="00A8165C" w:rsidRPr="00D560D2">
        <w:rPr>
          <w:lang w:val="fr-CA"/>
        </w:rPr>
        <w:t>génér</w:t>
      </w:r>
      <w:r w:rsidR="00C416BC" w:rsidRPr="00D560D2">
        <w:rPr>
          <w:lang w:val="fr-CA"/>
        </w:rPr>
        <w:t xml:space="preserve">al. </w:t>
      </w:r>
      <w:r w:rsidR="00A8165C" w:rsidRPr="00D560D2">
        <w:rPr>
          <w:lang w:val="fr-CA"/>
        </w:rPr>
        <w:t xml:space="preserve">Le Ministre </w:t>
      </w:r>
      <w:r w:rsidR="005758AC" w:rsidRPr="00D560D2">
        <w:rPr>
          <w:lang w:val="fr-CA"/>
        </w:rPr>
        <w:t>a jugé solide la revendication globale de nature spirituelle, mais il avait des doutes quant à la solidité de la nouvelle prétention</w:t>
      </w:r>
      <w:r w:rsidR="00A653BD" w:rsidRPr="00D560D2">
        <w:rPr>
          <w:lang w:val="fr-CA"/>
        </w:rPr>
        <w:t xml:space="preserve"> absolue</w:t>
      </w:r>
      <w:r w:rsidR="005758AC" w:rsidRPr="00D560D2">
        <w:rPr>
          <w:lang w:val="fr-CA"/>
        </w:rPr>
        <w:t xml:space="preserve"> selon laquelle aucun accommodement n’était possible parce que le projet chasserait l’Esprit de l’Ours Grizzly du Qat’muk</w:t>
      </w:r>
      <w:r w:rsidRPr="00D560D2">
        <w:rPr>
          <w:lang w:val="fr-CA"/>
        </w:rPr>
        <w:t xml:space="preserve">. </w:t>
      </w:r>
      <w:r w:rsidR="005758AC" w:rsidRPr="00D560D2">
        <w:rPr>
          <w:lang w:val="fr-CA"/>
        </w:rPr>
        <w:t xml:space="preserve">En outre, le dossier ne démontre pas que le Ministre a mal évalué l’effet préjudiciable du projet sur les intérêts </w:t>
      </w:r>
      <w:r w:rsidRPr="00D560D2">
        <w:rPr>
          <w:lang w:val="fr-CA"/>
        </w:rPr>
        <w:t>spiritu</w:t>
      </w:r>
      <w:r w:rsidR="005758AC" w:rsidRPr="00D560D2">
        <w:rPr>
          <w:lang w:val="fr-CA"/>
        </w:rPr>
        <w:t>e</w:t>
      </w:r>
      <w:r w:rsidRPr="00D560D2">
        <w:rPr>
          <w:lang w:val="fr-CA"/>
        </w:rPr>
        <w:t>l</w:t>
      </w:r>
      <w:r w:rsidR="005758AC" w:rsidRPr="00D560D2">
        <w:rPr>
          <w:lang w:val="fr-CA"/>
        </w:rPr>
        <w:t xml:space="preserve">s des </w:t>
      </w:r>
      <w:r w:rsidRPr="00D560D2">
        <w:rPr>
          <w:lang w:val="fr-CA"/>
        </w:rPr>
        <w:t xml:space="preserve">Ktunaxa. </w:t>
      </w:r>
    </w:p>
    <w:p w:rsidR="00022AF0" w:rsidRPr="00D560D2" w:rsidRDefault="00022AF0" w:rsidP="0055329A">
      <w:pPr>
        <w:pStyle w:val="SCCNormalDoubleSpacing"/>
        <w:widowControl w:val="0"/>
        <w:spacing w:before="480" w:after="480"/>
        <w:rPr>
          <w:lang w:val="fr-CA"/>
        </w:rPr>
      </w:pPr>
      <w:r w:rsidRPr="00D560D2">
        <w:rPr>
          <w:lang w:val="fr-CA"/>
        </w:rPr>
        <w:tab/>
      </w:r>
      <w:r w:rsidR="005758AC" w:rsidRPr="00D560D2">
        <w:rPr>
          <w:lang w:val="fr-CA"/>
        </w:rPr>
        <w:t>En dernière analyse, la consultation n’était pas insuffisante. Le Ministre s’est livré à des consultations approfondies sur la revendication de nature spirituelle</w:t>
      </w:r>
      <w:r w:rsidRPr="00D560D2">
        <w:rPr>
          <w:lang w:val="fr-CA"/>
        </w:rPr>
        <w:t xml:space="preserve">. </w:t>
      </w:r>
      <w:r w:rsidR="005758AC" w:rsidRPr="00D560D2">
        <w:rPr>
          <w:lang w:val="fr-CA"/>
        </w:rPr>
        <w:t>L’ampleur de ces consultations a été confirmée à la fois par le juge en c</w:t>
      </w:r>
      <w:r w:rsidR="00A653BD" w:rsidRPr="00D560D2">
        <w:rPr>
          <w:lang w:val="fr-CA"/>
        </w:rPr>
        <w:t>hambre</w:t>
      </w:r>
      <w:r w:rsidR="005758AC" w:rsidRPr="00D560D2">
        <w:rPr>
          <w:lang w:val="fr-CA"/>
        </w:rPr>
        <w:t xml:space="preserve"> et par la Cour d’appel</w:t>
      </w:r>
      <w:r w:rsidRPr="00D560D2">
        <w:rPr>
          <w:lang w:val="fr-CA"/>
        </w:rPr>
        <w:t xml:space="preserve">. </w:t>
      </w:r>
      <w:r w:rsidR="005758AC" w:rsidRPr="00D560D2">
        <w:rPr>
          <w:lang w:val="fr-CA"/>
        </w:rPr>
        <w:t xml:space="preserve">Qui plus est, le dossier n’établit pas </w:t>
      </w:r>
      <w:r w:rsidR="003941BD" w:rsidRPr="00D560D2">
        <w:rPr>
          <w:lang w:val="fr-CA"/>
        </w:rPr>
        <w:t>qu’on n’a pas tenu compte du droit spirituel. Bien que le Ministre n’ait pas offert la mesure d’accommodement ultime exigée par les Ktunaxa, soit le rejet complet du projet de station de ski, la Couronne s’est acquittée de son obligation de consulter et d’accommoder. L</w:t>
      </w:r>
      <w:r w:rsidR="00C416BC" w:rsidRPr="00D560D2">
        <w:rPr>
          <w:lang w:val="fr-CA"/>
        </w:rPr>
        <w:t>’article </w:t>
      </w:r>
      <w:r w:rsidRPr="00D560D2">
        <w:rPr>
          <w:lang w:val="fr-CA"/>
        </w:rPr>
        <w:t xml:space="preserve">35 </w:t>
      </w:r>
      <w:r w:rsidR="003941BD" w:rsidRPr="00D560D2">
        <w:rPr>
          <w:lang w:val="fr-CA"/>
        </w:rPr>
        <w:t>garantit un processus, et non un résultat précis. Rien ne garantit qu’en fin de compte il sera justifié ou possible d’obtenir l’accommodement précis demandé</w:t>
      </w:r>
      <w:r w:rsidRPr="00D560D2">
        <w:rPr>
          <w:lang w:val="fr-CA"/>
        </w:rPr>
        <w:t xml:space="preserve">. </w:t>
      </w:r>
      <w:r w:rsidR="00C416BC" w:rsidRPr="00D560D2">
        <w:rPr>
          <w:lang w:val="fr-CA"/>
        </w:rPr>
        <w:t>L’article </w:t>
      </w:r>
      <w:r w:rsidR="005758AC" w:rsidRPr="00D560D2">
        <w:rPr>
          <w:lang w:val="fr-CA"/>
        </w:rPr>
        <w:t>3</w:t>
      </w:r>
      <w:r w:rsidRPr="00D560D2">
        <w:rPr>
          <w:lang w:val="fr-CA"/>
        </w:rPr>
        <w:t xml:space="preserve">5 </w:t>
      </w:r>
      <w:r w:rsidR="003941BD" w:rsidRPr="00D560D2">
        <w:rPr>
          <w:lang w:val="fr-CA"/>
        </w:rPr>
        <w:t>ne confère pas aux demandeurs insatisfaits un droit de veto. S’il y a eu consultation adéquate, le projet peut aller de l’avant sans consentement</w:t>
      </w:r>
      <w:r w:rsidRPr="00D560D2">
        <w:rPr>
          <w:lang w:val="fr-CA"/>
        </w:rPr>
        <w:t xml:space="preserve">. </w:t>
      </w:r>
    </w:p>
    <w:p w:rsidR="007B2C61" w:rsidRPr="00D560D2" w:rsidRDefault="00C416BC" w:rsidP="0055329A">
      <w:pPr>
        <w:pStyle w:val="SCCNormalDoubleSpacing"/>
        <w:widowControl w:val="0"/>
        <w:spacing w:before="480" w:after="480"/>
        <w:rPr>
          <w:lang w:val="fr-CA"/>
        </w:rPr>
      </w:pPr>
      <w:r w:rsidRPr="00D560D2">
        <w:rPr>
          <w:i/>
          <w:lang w:val="fr-CA"/>
        </w:rPr>
        <w:tab/>
      </w:r>
      <w:r w:rsidR="003837D1" w:rsidRPr="00D560D2">
        <w:rPr>
          <w:i/>
          <w:lang w:val="fr-CA"/>
        </w:rPr>
        <w:t>Les</w:t>
      </w:r>
      <w:r w:rsidR="003837D1" w:rsidRPr="00D560D2">
        <w:rPr>
          <w:lang w:val="fr-CA"/>
        </w:rPr>
        <w:t xml:space="preserve"> juges</w:t>
      </w:r>
      <w:r w:rsidR="007B2C61" w:rsidRPr="00D560D2">
        <w:rPr>
          <w:lang w:val="fr-CA"/>
        </w:rPr>
        <w:t xml:space="preserve"> </w:t>
      </w:r>
      <w:r w:rsidR="007B2C61" w:rsidRPr="006E310A">
        <w:rPr>
          <w:lang w:val="fr-CA"/>
        </w:rPr>
        <w:t>Moldaver</w:t>
      </w:r>
      <w:r w:rsidR="007B2C61" w:rsidRPr="00D560D2">
        <w:rPr>
          <w:lang w:val="fr-CA"/>
        </w:rPr>
        <w:t xml:space="preserve"> </w:t>
      </w:r>
      <w:r w:rsidR="003837D1" w:rsidRPr="00D560D2">
        <w:rPr>
          <w:lang w:val="fr-CA"/>
        </w:rPr>
        <w:t>et</w:t>
      </w:r>
      <w:r w:rsidR="007B2C61" w:rsidRPr="00D560D2">
        <w:rPr>
          <w:lang w:val="fr-CA"/>
        </w:rPr>
        <w:t xml:space="preserve"> Côté</w:t>
      </w:r>
      <w:r w:rsidRPr="00D560D2">
        <w:rPr>
          <w:lang w:val="fr-CA"/>
        </w:rPr>
        <w:t> :</w:t>
      </w:r>
      <w:r w:rsidR="007B2C61" w:rsidRPr="00D560D2">
        <w:rPr>
          <w:lang w:val="fr-CA"/>
        </w:rPr>
        <w:t xml:space="preserve"> </w:t>
      </w:r>
      <w:r w:rsidR="003837D1" w:rsidRPr="00D560D2">
        <w:rPr>
          <w:lang w:val="fr-CA"/>
        </w:rPr>
        <w:t xml:space="preserve">Le Ministre a raisonnablement conclu à l’acquittement de l’obligation de consulter et d’accommoder les Ktunaxa prévue à </w:t>
      </w:r>
      <w:r w:rsidR="003837D1" w:rsidRPr="00D560D2">
        <w:rPr>
          <w:lang w:val="fr-CA"/>
        </w:rPr>
        <w:lastRenderedPageBreak/>
        <w:t>l’</w:t>
      </w:r>
      <w:r w:rsidRPr="00D560D2">
        <w:rPr>
          <w:lang w:val="fr-CA"/>
        </w:rPr>
        <w:t>art. </w:t>
      </w:r>
      <w:r w:rsidR="003837D1" w:rsidRPr="00D560D2">
        <w:rPr>
          <w:lang w:val="fr-CA"/>
        </w:rPr>
        <w:t xml:space="preserve">35 de la </w:t>
      </w:r>
      <w:r w:rsidR="003837D1" w:rsidRPr="00D560D2">
        <w:rPr>
          <w:i/>
          <w:lang w:val="fr-CA"/>
        </w:rPr>
        <w:t xml:space="preserve">Loi constitutionnelle de </w:t>
      </w:r>
      <w:r w:rsidR="007B2C61" w:rsidRPr="00D560D2">
        <w:rPr>
          <w:i/>
          <w:lang w:val="fr-CA"/>
        </w:rPr>
        <w:t>1982</w:t>
      </w:r>
      <w:r w:rsidR="007B2C61" w:rsidRPr="00D560D2">
        <w:rPr>
          <w:lang w:val="fr-CA"/>
        </w:rPr>
        <w:t xml:space="preserve">; </w:t>
      </w:r>
      <w:r w:rsidR="003837D1" w:rsidRPr="00D560D2">
        <w:rPr>
          <w:lang w:val="fr-CA"/>
        </w:rPr>
        <w:t>en revanche, la décision du Ministre d’approuver la station de ski a porté atteinte au droit à la liberté de religion garanti aux Ktunaxa par l’</w:t>
      </w:r>
      <w:r w:rsidRPr="00D560D2">
        <w:rPr>
          <w:lang w:val="fr-CA"/>
        </w:rPr>
        <w:t>al. </w:t>
      </w:r>
      <w:r w:rsidR="007B2C61" w:rsidRPr="00D560D2">
        <w:rPr>
          <w:lang w:val="fr-CA"/>
        </w:rPr>
        <w:t>2</w:t>
      </w:r>
      <w:r w:rsidR="007B2C61" w:rsidRPr="00D560D2">
        <w:rPr>
          <w:i/>
          <w:lang w:val="fr-CA"/>
        </w:rPr>
        <w:t>a</w:t>
      </w:r>
      <w:r w:rsidR="007B2C61" w:rsidRPr="00D560D2">
        <w:rPr>
          <w:lang w:val="fr-CA"/>
        </w:rPr>
        <w:t>)</w:t>
      </w:r>
      <w:r w:rsidR="003837D1" w:rsidRPr="00D560D2">
        <w:rPr>
          <w:lang w:val="fr-CA"/>
        </w:rPr>
        <w:t xml:space="preserve"> de la </w:t>
      </w:r>
      <w:r w:rsidR="007B2C61" w:rsidRPr="00D560D2">
        <w:rPr>
          <w:i/>
          <w:lang w:val="fr-CA"/>
        </w:rPr>
        <w:t>Charte</w:t>
      </w:r>
      <w:r w:rsidR="003837D1" w:rsidRPr="00D560D2">
        <w:rPr>
          <w:lang w:val="fr-CA"/>
        </w:rPr>
        <w:t>.</w:t>
      </w:r>
      <w:r w:rsidR="007B2C61" w:rsidRPr="00D560D2">
        <w:rPr>
          <w:lang w:val="fr-CA"/>
        </w:rPr>
        <w:t xml:space="preserve"> </w:t>
      </w:r>
    </w:p>
    <w:p w:rsidR="007B2C61" w:rsidRPr="00D560D2" w:rsidRDefault="00C416BC" w:rsidP="0055329A">
      <w:pPr>
        <w:pStyle w:val="SCCNormalDoubleSpacing"/>
        <w:widowControl w:val="0"/>
        <w:spacing w:before="480" w:after="480"/>
        <w:rPr>
          <w:lang w:val="fr-CA"/>
        </w:rPr>
      </w:pPr>
      <w:r w:rsidRPr="00D560D2">
        <w:rPr>
          <w:lang w:val="fr-CA"/>
        </w:rPr>
        <w:tab/>
      </w:r>
      <w:r w:rsidR="00280F85" w:rsidRPr="00D560D2">
        <w:rPr>
          <w:lang w:val="fr-CA"/>
        </w:rPr>
        <w:t>Le premier volet du critère relatif à l’</w:t>
      </w:r>
      <w:r w:rsidRPr="00D560D2">
        <w:rPr>
          <w:lang w:val="fr-CA"/>
        </w:rPr>
        <w:t>al. </w:t>
      </w:r>
      <w:r w:rsidR="00280F85" w:rsidRPr="00D560D2">
        <w:rPr>
          <w:lang w:val="fr-CA"/>
        </w:rPr>
        <w:t>2</w:t>
      </w:r>
      <w:r w:rsidR="00280F85" w:rsidRPr="00D560D2">
        <w:rPr>
          <w:i/>
          <w:lang w:val="fr-CA"/>
        </w:rPr>
        <w:t>a</w:t>
      </w:r>
      <w:r w:rsidR="00280F85" w:rsidRPr="00D560D2">
        <w:rPr>
          <w:lang w:val="fr-CA"/>
        </w:rPr>
        <w:t xml:space="preserve">) n’est pas en litige dans la présente affaire. Le second volet </w:t>
      </w:r>
      <w:r w:rsidR="00DE2BFD" w:rsidRPr="00D560D2">
        <w:rPr>
          <w:lang w:val="fr-CA"/>
        </w:rPr>
        <w:t>s’attache au point de savoir si une mesure étatique a nui à la capacité d’une personne de se conformer à ses croyances ou pratiques religieuses</w:t>
      </w:r>
      <w:r w:rsidR="007B2C61" w:rsidRPr="00D560D2">
        <w:rPr>
          <w:lang w:val="fr-CA"/>
        </w:rPr>
        <w:t xml:space="preserve">. </w:t>
      </w:r>
      <w:r w:rsidR="009C06B8" w:rsidRPr="00D560D2">
        <w:rPr>
          <w:lang w:val="fr-CA"/>
        </w:rPr>
        <w:t>L</w:t>
      </w:r>
      <w:r w:rsidR="00A71F5A" w:rsidRPr="00D560D2">
        <w:rPr>
          <w:lang w:val="fr-CA"/>
        </w:rPr>
        <w:t xml:space="preserve">a conduite de l’État qui prive de toute signification religieuse les croyances religieuses sincères d’une personne porte atteinte à son droit à la liberté de religion. Les croyances religieuses revêtent une signification spirituelle pour le croyant. Lorsque cette signification est supprimée par l’État, la personne ne peut plus se conformer à ses croyances religieuses, ce qui constitue une </w:t>
      </w:r>
      <w:r w:rsidR="00E44EE6">
        <w:rPr>
          <w:lang w:val="fr-CA"/>
        </w:rPr>
        <w:t>contravention</w:t>
      </w:r>
      <w:r w:rsidR="00A71F5A" w:rsidRPr="00D560D2">
        <w:rPr>
          <w:lang w:val="fr-CA"/>
        </w:rPr>
        <w:t xml:space="preserve"> à l’</w:t>
      </w:r>
      <w:r w:rsidRPr="00D560D2">
        <w:rPr>
          <w:lang w:val="fr-CA"/>
        </w:rPr>
        <w:t>al. </w:t>
      </w:r>
      <w:r w:rsidR="00A71F5A" w:rsidRPr="00D560D2">
        <w:rPr>
          <w:lang w:val="fr-CA"/>
        </w:rPr>
        <w:t>2</w:t>
      </w:r>
      <w:r w:rsidR="00A71F5A" w:rsidRPr="00D560D2">
        <w:rPr>
          <w:i/>
          <w:lang w:val="fr-CA"/>
        </w:rPr>
        <w:t>a</w:t>
      </w:r>
      <w:r w:rsidR="00A71F5A" w:rsidRPr="00D560D2">
        <w:rPr>
          <w:lang w:val="fr-CA"/>
        </w:rPr>
        <w:t xml:space="preserve">). </w:t>
      </w:r>
    </w:p>
    <w:p w:rsidR="001C44F4" w:rsidRPr="00D560D2" w:rsidRDefault="009C06B8" w:rsidP="0055329A">
      <w:pPr>
        <w:pStyle w:val="SCCNormalDoubleSpacing"/>
        <w:widowControl w:val="0"/>
        <w:spacing w:before="480" w:after="480"/>
        <w:rPr>
          <w:lang w:val="fr-CA"/>
        </w:rPr>
      </w:pPr>
      <w:r w:rsidRPr="00D560D2">
        <w:rPr>
          <w:lang w:val="fr-CA"/>
        </w:rPr>
        <w:tab/>
      </w:r>
      <w:r w:rsidR="00A71F5A" w:rsidRPr="00D560D2">
        <w:rPr>
          <w:lang w:val="fr-CA"/>
        </w:rPr>
        <w:t>Ce type d’ingérence de l’État est une réalité lorsque les citoyens s’épanouissent spirituellement par le lien qui les unit au monde concret</w:t>
      </w:r>
      <w:r w:rsidR="007B2C61" w:rsidRPr="00D560D2">
        <w:rPr>
          <w:lang w:val="fr-CA"/>
        </w:rPr>
        <w:t xml:space="preserve">. </w:t>
      </w:r>
      <w:r w:rsidR="00A71F5A" w:rsidRPr="00D560D2">
        <w:rPr>
          <w:lang w:val="fr-CA"/>
        </w:rPr>
        <w:t>Pour veiller à ce que l’</w:t>
      </w:r>
      <w:r w:rsidR="00C416BC" w:rsidRPr="00D560D2">
        <w:rPr>
          <w:lang w:val="fr-CA"/>
        </w:rPr>
        <w:t>al. </w:t>
      </w:r>
      <w:r w:rsidR="00A71F5A" w:rsidRPr="00D560D2">
        <w:rPr>
          <w:lang w:val="fr-CA"/>
        </w:rPr>
        <w:t>2</w:t>
      </w:r>
      <w:r w:rsidR="00A71F5A" w:rsidRPr="00D560D2">
        <w:rPr>
          <w:i/>
          <w:lang w:val="fr-CA"/>
        </w:rPr>
        <w:t>a</w:t>
      </w:r>
      <w:r w:rsidR="00A71F5A" w:rsidRPr="00D560D2">
        <w:rPr>
          <w:lang w:val="fr-CA"/>
        </w:rPr>
        <w:t xml:space="preserve">) accorde la même protection à toutes les religions, les tribunaux doivent être conscients des caractéristiques propres à chacune d’elles et </w:t>
      </w:r>
      <w:r w:rsidR="00410B5F">
        <w:rPr>
          <w:lang w:val="fr-CA"/>
        </w:rPr>
        <w:t>des</w:t>
      </w:r>
      <w:r w:rsidR="00A71F5A" w:rsidRPr="00D560D2">
        <w:rPr>
          <w:lang w:val="fr-CA"/>
        </w:rPr>
        <w:t xml:space="preserve"> différentes manières dont l’État peut nuire aux croyances ou pratiques de </w:t>
      </w:r>
      <w:r w:rsidR="00410B5F">
        <w:rPr>
          <w:lang w:val="fr-CA"/>
        </w:rPr>
        <w:t xml:space="preserve">chaque </w:t>
      </w:r>
      <w:r w:rsidR="00A71F5A" w:rsidRPr="00D560D2">
        <w:rPr>
          <w:lang w:val="fr-CA"/>
        </w:rPr>
        <w:t>religion</w:t>
      </w:r>
      <w:r w:rsidR="007B2C61" w:rsidRPr="00D560D2">
        <w:rPr>
          <w:iCs/>
          <w:lang w:val="fr-CA"/>
        </w:rPr>
        <w:t>.</w:t>
      </w:r>
      <w:r w:rsidR="007B2C61" w:rsidRPr="00D560D2">
        <w:rPr>
          <w:lang w:val="fr-CA"/>
        </w:rPr>
        <w:t xml:space="preserve"> </w:t>
      </w:r>
      <w:r w:rsidR="00242784" w:rsidRPr="00D560D2">
        <w:rPr>
          <w:lang w:val="fr-CA"/>
        </w:rPr>
        <w:t>Dans de nombreuses religions autochtones, la terre est non seulement le lieu où s’exercent des pratiques spirituelles</w:t>
      </w:r>
      <w:r w:rsidR="007B2C61" w:rsidRPr="00D560D2">
        <w:rPr>
          <w:lang w:val="fr-CA"/>
        </w:rPr>
        <w:t xml:space="preserve">; </w:t>
      </w:r>
      <w:r w:rsidR="00242784" w:rsidRPr="00D560D2">
        <w:rPr>
          <w:lang w:val="fr-CA"/>
        </w:rPr>
        <w:t>la terre peut elle</w:t>
      </w:r>
      <w:r w:rsidR="00C416BC" w:rsidRPr="00D560D2">
        <w:rPr>
          <w:lang w:val="fr-CA"/>
        </w:rPr>
        <w:noBreakHyphen/>
      </w:r>
      <w:r w:rsidR="00242784" w:rsidRPr="00D560D2">
        <w:rPr>
          <w:lang w:val="fr-CA"/>
        </w:rPr>
        <w:t>même être sacrée</w:t>
      </w:r>
      <w:r w:rsidR="007B2C61" w:rsidRPr="00D560D2">
        <w:rPr>
          <w:lang w:val="fr-CA"/>
        </w:rPr>
        <w:t xml:space="preserve">. </w:t>
      </w:r>
      <w:r w:rsidR="00A46D38" w:rsidRPr="00D560D2">
        <w:rPr>
          <w:lang w:val="fr-CA"/>
        </w:rPr>
        <w:t>U</w:t>
      </w:r>
      <w:r w:rsidR="001C44F4" w:rsidRPr="00D560D2">
        <w:rPr>
          <w:lang w:val="fr-CA"/>
        </w:rPr>
        <w:t xml:space="preserve">ne mesure étatique qui touche la terre peut donc rompre le lien avec l’être divin, ce qui priverait les croyances et pratiques de leur signification spirituelle. La mesure étatique qui a cet effet sur une religion autochtone nuit à la capacité de se conformer à des croyances et pratiques </w:t>
      </w:r>
      <w:r w:rsidR="001C44F4" w:rsidRPr="00D560D2">
        <w:rPr>
          <w:lang w:val="fr-CA"/>
        </w:rPr>
        <w:lastRenderedPageBreak/>
        <w:t xml:space="preserve">religieuses.  </w:t>
      </w:r>
    </w:p>
    <w:p w:rsidR="007B2C61" w:rsidRPr="00D560D2" w:rsidRDefault="00C416BC" w:rsidP="0055329A">
      <w:pPr>
        <w:pStyle w:val="SCCNormalDoubleSpacing"/>
        <w:widowControl w:val="0"/>
        <w:spacing w:before="480" w:after="480"/>
        <w:rPr>
          <w:lang w:val="fr-CA"/>
        </w:rPr>
      </w:pPr>
      <w:r w:rsidRPr="00D560D2">
        <w:rPr>
          <w:lang w:val="fr-CA"/>
        </w:rPr>
        <w:tab/>
      </w:r>
      <w:r w:rsidR="001C44F4" w:rsidRPr="00D560D2">
        <w:rPr>
          <w:lang w:val="fr-CA"/>
        </w:rPr>
        <w:t xml:space="preserve">En l’espèce, les </w:t>
      </w:r>
      <w:r w:rsidR="007B2C61" w:rsidRPr="00D560D2">
        <w:rPr>
          <w:lang w:val="fr-CA"/>
        </w:rPr>
        <w:t xml:space="preserve">Ktunaxa </w:t>
      </w:r>
      <w:r w:rsidR="00EF79BF" w:rsidRPr="00D560D2">
        <w:rPr>
          <w:lang w:val="fr-CA"/>
        </w:rPr>
        <w:t xml:space="preserve">croient sincèrement que l’Esprit de l’Ours </w:t>
      </w:r>
      <w:r w:rsidR="007B2C61" w:rsidRPr="00D560D2">
        <w:rPr>
          <w:lang w:val="fr-CA"/>
        </w:rPr>
        <w:t xml:space="preserve">Grizzly </w:t>
      </w:r>
      <w:r w:rsidR="00EF79BF" w:rsidRPr="00D560D2">
        <w:rPr>
          <w:lang w:val="fr-CA"/>
        </w:rPr>
        <w:t>habite le Qat’muk, un lieu sacré dans leur religion</w:t>
      </w:r>
      <w:r w:rsidR="00A46D38" w:rsidRPr="00D560D2">
        <w:rPr>
          <w:lang w:val="fr-CA"/>
        </w:rPr>
        <w:t>,</w:t>
      </w:r>
      <w:r w:rsidR="00EF79BF" w:rsidRPr="00D560D2">
        <w:rPr>
          <w:lang w:val="fr-CA"/>
        </w:rPr>
        <w:t xml:space="preserve"> et que la décision du Ministre d’approuver la station de ski romprait leur lien avec le </w:t>
      </w:r>
      <w:r w:rsidR="007B2C61" w:rsidRPr="00D560D2">
        <w:rPr>
          <w:lang w:val="fr-CA"/>
        </w:rPr>
        <w:t xml:space="preserve">Qat’muk </w:t>
      </w:r>
      <w:r w:rsidR="009C06B8" w:rsidRPr="00D560D2">
        <w:rPr>
          <w:lang w:val="fr-CA"/>
        </w:rPr>
        <w:t xml:space="preserve">et l’Esprit de l’Ours </w:t>
      </w:r>
      <w:r w:rsidR="007B2C61" w:rsidRPr="00D560D2">
        <w:rPr>
          <w:lang w:val="fr-CA"/>
        </w:rPr>
        <w:t>Grizzly.</w:t>
      </w:r>
      <w:r w:rsidR="009C06B8" w:rsidRPr="00D560D2">
        <w:rPr>
          <w:lang w:val="fr-CA"/>
        </w:rPr>
        <w:t xml:space="preserve"> Les Ktunaxa seraient ainsi privés des conseils et de l’assistance spirituels de cet esprit. </w:t>
      </w:r>
      <w:r w:rsidR="00090EF6" w:rsidRPr="00D560D2">
        <w:rPr>
          <w:lang w:val="fr-CA"/>
        </w:rPr>
        <w:t>L</w:t>
      </w:r>
      <w:r w:rsidR="00503430" w:rsidRPr="00D560D2">
        <w:rPr>
          <w:lang w:val="fr-CA"/>
        </w:rPr>
        <w:t>eurs croyances religieuses en l’Esprit de l’Ours Grizzly perdraient toute signification religieuse et</w:t>
      </w:r>
      <w:r w:rsidR="00A46D38" w:rsidRPr="00D560D2">
        <w:rPr>
          <w:lang w:val="fr-CA"/>
        </w:rPr>
        <w:t>, par conséquent,</w:t>
      </w:r>
      <w:r w:rsidR="00503430" w:rsidRPr="00D560D2">
        <w:rPr>
          <w:lang w:val="fr-CA"/>
        </w:rPr>
        <w:t xml:space="preserve"> leurs prières, cérémonies et rites associés à cet esprit ne seraient plus que de vaines paroles et des gestes vides de sens. En outre, sans leur lien spirituel avec le Qat’muk et l’Esprit de l’Ours Grizzly, les Ktunaxa ne seraient pas en mesure de transmettre leurs croyances et pra</w:t>
      </w:r>
      <w:r w:rsidR="00A46D38" w:rsidRPr="00D560D2">
        <w:rPr>
          <w:lang w:val="fr-CA"/>
        </w:rPr>
        <w:t>tiques aux générations futures. L</w:t>
      </w:r>
      <w:r w:rsidR="00503430" w:rsidRPr="00D560D2">
        <w:rPr>
          <w:lang w:val="fr-CA"/>
        </w:rPr>
        <w:t xml:space="preserve">a décision du Ministre d’approuver l’aménagement proposé nuit </w:t>
      </w:r>
      <w:r w:rsidR="00A46D38" w:rsidRPr="00D560D2">
        <w:rPr>
          <w:lang w:val="fr-CA"/>
        </w:rPr>
        <w:t xml:space="preserve">donc </w:t>
      </w:r>
      <w:r w:rsidR="00503430" w:rsidRPr="00D560D2">
        <w:rPr>
          <w:lang w:val="fr-CA"/>
        </w:rPr>
        <w:t>d’une manière plus que négligeable ou insignifiante à la capacité des Ktunaxa de se conformer à leurs croyances ou pratiques</w:t>
      </w:r>
      <w:r w:rsidR="002F65EF" w:rsidRPr="00D560D2">
        <w:rPr>
          <w:lang w:val="fr-CA"/>
        </w:rPr>
        <w:t xml:space="preserve"> religieuses. </w:t>
      </w:r>
    </w:p>
    <w:p w:rsidR="007B2C61" w:rsidRPr="00D560D2" w:rsidRDefault="007B2C61" w:rsidP="0055329A">
      <w:pPr>
        <w:pStyle w:val="SCCNormalDoubleSpacing"/>
        <w:widowControl w:val="0"/>
        <w:spacing w:before="480" w:after="480"/>
        <w:rPr>
          <w:lang w:val="fr-CA"/>
        </w:rPr>
      </w:pPr>
      <w:r w:rsidRPr="00D560D2">
        <w:rPr>
          <w:lang w:val="fr-CA"/>
        </w:rPr>
        <w:tab/>
      </w:r>
      <w:r w:rsidR="002F65EF" w:rsidRPr="00D560D2">
        <w:rPr>
          <w:lang w:val="fr-CA"/>
        </w:rPr>
        <w:t>La décision du Mini</w:t>
      </w:r>
      <w:r w:rsidR="00A46D38" w:rsidRPr="00D560D2">
        <w:rPr>
          <w:lang w:val="fr-CA"/>
        </w:rPr>
        <w:t xml:space="preserve">stre est toutefois raisonnable </w:t>
      </w:r>
      <w:r w:rsidR="002F65EF" w:rsidRPr="00D560D2">
        <w:rPr>
          <w:lang w:val="fr-CA"/>
        </w:rPr>
        <w:t>parce qu’elle est le fruit d’une mise en balance proportionnée</w:t>
      </w:r>
      <w:r w:rsidR="00E44EE6">
        <w:rPr>
          <w:lang w:val="fr-CA"/>
        </w:rPr>
        <w:t xml:space="preserve"> </w:t>
      </w:r>
      <w:r w:rsidR="002F65EF" w:rsidRPr="00D560D2">
        <w:rPr>
          <w:lang w:val="fr-CA"/>
        </w:rPr>
        <w:t>du droit reconnu aux Ktunaxa par l’</w:t>
      </w:r>
      <w:r w:rsidR="00C416BC" w:rsidRPr="00D560D2">
        <w:rPr>
          <w:lang w:val="fr-CA"/>
        </w:rPr>
        <w:t>al. </w:t>
      </w:r>
      <w:r w:rsidR="002F65EF" w:rsidRPr="00D560D2">
        <w:rPr>
          <w:lang w:val="fr-CA"/>
        </w:rPr>
        <w:t>2</w:t>
      </w:r>
      <w:r w:rsidR="002F65EF" w:rsidRPr="00D560D2">
        <w:rPr>
          <w:i/>
          <w:lang w:val="fr-CA"/>
        </w:rPr>
        <w:t>a</w:t>
      </w:r>
      <w:r w:rsidR="002F65EF" w:rsidRPr="00D560D2">
        <w:rPr>
          <w:lang w:val="fr-CA"/>
        </w:rPr>
        <w:t xml:space="preserve">) de la </w:t>
      </w:r>
      <w:r w:rsidRPr="00D560D2">
        <w:rPr>
          <w:i/>
          <w:lang w:val="fr-CA"/>
        </w:rPr>
        <w:t xml:space="preserve">Charte </w:t>
      </w:r>
      <w:r w:rsidR="002F65EF" w:rsidRPr="00D560D2">
        <w:rPr>
          <w:lang w:val="fr-CA"/>
        </w:rPr>
        <w:t>et des objectifs confiés par la loi au Ministre</w:t>
      </w:r>
      <w:r w:rsidR="00C416BC" w:rsidRPr="00D560D2">
        <w:rPr>
          <w:lang w:val="fr-CA"/>
        </w:rPr>
        <w:t> :</w:t>
      </w:r>
      <w:r w:rsidRPr="00D560D2">
        <w:rPr>
          <w:lang w:val="fr-CA"/>
        </w:rPr>
        <w:t xml:space="preserve"> </w:t>
      </w:r>
      <w:r w:rsidR="002F65EF" w:rsidRPr="00D560D2">
        <w:rPr>
          <w:lang w:val="fr-CA"/>
        </w:rPr>
        <w:t xml:space="preserve">administrer les terres de la Couronne et les aliéner dans l’intérêt public. Une mise en balance proportionnée en est une qui donne effet autant que possible aux protections en cause conférées par la </w:t>
      </w:r>
      <w:r w:rsidR="002F65EF" w:rsidRPr="00D560D2">
        <w:rPr>
          <w:i/>
          <w:lang w:val="fr-CA"/>
        </w:rPr>
        <w:t>Charte</w:t>
      </w:r>
      <w:r w:rsidR="002F65EF" w:rsidRPr="00D560D2">
        <w:rPr>
          <w:lang w:val="fr-CA"/>
        </w:rPr>
        <w:t xml:space="preserve"> compte tenu du mandat législatif particulier. </w:t>
      </w:r>
      <w:r w:rsidR="00546771" w:rsidRPr="00D560D2">
        <w:rPr>
          <w:lang w:val="fr-CA"/>
        </w:rPr>
        <w:t xml:space="preserve">Quand le Ministre met en balance les protections conférées par la </w:t>
      </w:r>
      <w:r w:rsidR="00546771" w:rsidRPr="00D560D2">
        <w:rPr>
          <w:i/>
          <w:lang w:val="fr-CA"/>
        </w:rPr>
        <w:t xml:space="preserve">Charte </w:t>
      </w:r>
      <w:r w:rsidR="00546771" w:rsidRPr="00D560D2">
        <w:rPr>
          <w:lang w:val="fr-CA"/>
        </w:rPr>
        <w:t>et les objectifs en question, il doit s’assurer que ces protections sont restreintes aussi peu que cela est raisonnablement possible</w:t>
      </w:r>
      <w:r w:rsidR="00E44EE6">
        <w:rPr>
          <w:lang w:val="fr-CA"/>
        </w:rPr>
        <w:t xml:space="preserve"> </w:t>
      </w:r>
      <w:r w:rsidR="00546771" w:rsidRPr="00D560D2">
        <w:rPr>
          <w:lang w:val="fr-CA"/>
        </w:rPr>
        <w:t xml:space="preserve">eu égard </w:t>
      </w:r>
      <w:r w:rsidR="00546771" w:rsidRPr="00D560D2">
        <w:rPr>
          <w:lang w:val="fr-CA"/>
        </w:rPr>
        <w:lastRenderedPageBreak/>
        <w:t xml:space="preserve">aux objectifs particuliers de l’État. </w:t>
      </w:r>
    </w:p>
    <w:p w:rsidR="007B2C61" w:rsidRPr="00D560D2" w:rsidRDefault="007B2C61" w:rsidP="0055329A">
      <w:pPr>
        <w:pStyle w:val="SCCNormalDoubleSpacing"/>
        <w:widowControl w:val="0"/>
        <w:spacing w:before="480" w:after="480"/>
        <w:rPr>
          <w:lang w:val="fr-CA"/>
        </w:rPr>
      </w:pPr>
      <w:r w:rsidRPr="00D560D2">
        <w:rPr>
          <w:lang w:val="fr-CA"/>
        </w:rPr>
        <w:tab/>
      </w:r>
      <w:r w:rsidR="00694441" w:rsidRPr="00D560D2">
        <w:rPr>
          <w:lang w:val="fr-CA"/>
        </w:rPr>
        <w:t>En l’espèce</w:t>
      </w:r>
      <w:r w:rsidR="00546771" w:rsidRPr="00D560D2">
        <w:rPr>
          <w:lang w:val="fr-CA"/>
        </w:rPr>
        <w:t xml:space="preserve">, le Ministre n’a pas mentionné explicitement </w:t>
      </w:r>
      <w:r w:rsidR="00694441" w:rsidRPr="00D560D2">
        <w:rPr>
          <w:lang w:val="fr-CA"/>
        </w:rPr>
        <w:t>l’</w:t>
      </w:r>
      <w:r w:rsidR="00C416BC" w:rsidRPr="00D560D2">
        <w:rPr>
          <w:lang w:val="fr-CA"/>
        </w:rPr>
        <w:t>al. </w:t>
      </w:r>
      <w:r w:rsidR="00694441" w:rsidRPr="00D560D2">
        <w:rPr>
          <w:lang w:val="fr-CA"/>
        </w:rPr>
        <w:t>2</w:t>
      </w:r>
      <w:r w:rsidR="00694441" w:rsidRPr="00D560D2">
        <w:rPr>
          <w:i/>
          <w:lang w:val="fr-CA"/>
        </w:rPr>
        <w:t>a</w:t>
      </w:r>
      <w:r w:rsidR="00694441" w:rsidRPr="00D560D2">
        <w:rPr>
          <w:lang w:val="fr-CA"/>
        </w:rPr>
        <w:t xml:space="preserve">) </w:t>
      </w:r>
      <w:r w:rsidR="00546771" w:rsidRPr="00D560D2">
        <w:rPr>
          <w:lang w:val="fr-CA"/>
        </w:rPr>
        <w:t>dans ses motifs de décision</w:t>
      </w:r>
      <w:r w:rsidRPr="00D560D2">
        <w:rPr>
          <w:lang w:val="fr-CA"/>
        </w:rPr>
        <w:t xml:space="preserve">; </w:t>
      </w:r>
      <w:r w:rsidR="009918B4" w:rsidRPr="00D560D2">
        <w:rPr>
          <w:lang w:val="fr-CA"/>
        </w:rPr>
        <w:t>il ressort toutefois de ses motifs qu’il a bien saisi la substance du droit garanti aux Ktunaxa par l’</w:t>
      </w:r>
      <w:r w:rsidR="00C416BC" w:rsidRPr="00D560D2">
        <w:rPr>
          <w:lang w:val="fr-CA"/>
        </w:rPr>
        <w:t>al. </w:t>
      </w:r>
      <w:r w:rsidRPr="00D560D2">
        <w:rPr>
          <w:lang w:val="fr-CA"/>
        </w:rPr>
        <w:t>2</w:t>
      </w:r>
      <w:r w:rsidRPr="00D560D2">
        <w:rPr>
          <w:i/>
          <w:lang w:val="fr-CA"/>
        </w:rPr>
        <w:t>a</w:t>
      </w:r>
      <w:r w:rsidRPr="00D560D2">
        <w:rPr>
          <w:lang w:val="fr-CA"/>
        </w:rPr>
        <w:t xml:space="preserve">). </w:t>
      </w:r>
      <w:r w:rsidR="009918B4" w:rsidRPr="00D560D2">
        <w:rPr>
          <w:lang w:val="fr-CA"/>
        </w:rPr>
        <w:t xml:space="preserve">Il a reconnu que l’aménagement mettait en jeu le lien spirituel des Ktunaxa avec le Qat’muk. </w:t>
      </w:r>
      <w:r w:rsidRPr="00D560D2">
        <w:rPr>
          <w:lang w:val="fr-CA"/>
        </w:rPr>
        <w:t xml:space="preserve"> </w:t>
      </w:r>
    </w:p>
    <w:p w:rsidR="007B2C61" w:rsidRPr="00D560D2" w:rsidRDefault="007B2C61" w:rsidP="0055329A">
      <w:pPr>
        <w:pStyle w:val="SCCNormalDoubleSpacing"/>
        <w:widowControl w:val="0"/>
        <w:spacing w:before="480" w:after="480"/>
        <w:rPr>
          <w:lang w:val="fr-CA"/>
        </w:rPr>
      </w:pPr>
      <w:r w:rsidRPr="00D560D2">
        <w:rPr>
          <w:lang w:val="fr-CA"/>
        </w:rPr>
        <w:tab/>
      </w:r>
      <w:r w:rsidR="009918B4" w:rsidRPr="00D560D2">
        <w:rPr>
          <w:lang w:val="fr-CA"/>
        </w:rPr>
        <w:t>De plus, il ressort implicitement des motifs du Ministre qu’il a mis en balance de façon proportionnée le droit reconnu aux Ktunaxa par l’</w:t>
      </w:r>
      <w:r w:rsidR="00C416BC" w:rsidRPr="00D560D2">
        <w:rPr>
          <w:lang w:val="fr-CA"/>
        </w:rPr>
        <w:t>al. </w:t>
      </w:r>
      <w:r w:rsidR="009918B4" w:rsidRPr="00D560D2">
        <w:rPr>
          <w:lang w:val="fr-CA"/>
        </w:rPr>
        <w:t>2</w:t>
      </w:r>
      <w:r w:rsidR="009918B4" w:rsidRPr="00D560D2">
        <w:rPr>
          <w:i/>
          <w:lang w:val="fr-CA"/>
        </w:rPr>
        <w:t>a</w:t>
      </w:r>
      <w:r w:rsidR="009918B4" w:rsidRPr="00D560D2">
        <w:rPr>
          <w:lang w:val="fr-CA"/>
        </w:rPr>
        <w:t xml:space="preserve">) et les objectifs que lui confie la loi. </w:t>
      </w:r>
      <w:r w:rsidR="002F68A2" w:rsidRPr="00D560D2">
        <w:rPr>
          <w:lang w:val="fr-CA"/>
        </w:rPr>
        <w:t>Le Ministre a essayé de limiter autant qu’il était raisonnablement possible de le faire l’impact de l’aménagement sur la substance du droit garanti aux Ktunaxa par l’</w:t>
      </w:r>
      <w:r w:rsidR="00C416BC" w:rsidRPr="00D560D2">
        <w:rPr>
          <w:lang w:val="fr-CA"/>
        </w:rPr>
        <w:t>al. </w:t>
      </w:r>
      <w:r w:rsidR="002F68A2" w:rsidRPr="00D560D2">
        <w:rPr>
          <w:lang w:val="fr-CA"/>
        </w:rPr>
        <w:t>2</w:t>
      </w:r>
      <w:r w:rsidR="002F68A2" w:rsidRPr="00D560D2">
        <w:rPr>
          <w:i/>
          <w:lang w:val="fr-CA"/>
        </w:rPr>
        <w:t>a</w:t>
      </w:r>
      <w:r w:rsidR="002F68A2" w:rsidRPr="00D560D2">
        <w:rPr>
          <w:lang w:val="fr-CA"/>
        </w:rPr>
        <w:t>) compte tenu de ces objectifs. Il</w:t>
      </w:r>
      <w:r w:rsidR="00772B85" w:rsidRPr="00D560D2">
        <w:rPr>
          <w:lang w:val="fr-CA"/>
        </w:rPr>
        <w:t xml:space="preserve"> a</w:t>
      </w:r>
      <w:r w:rsidR="002F68A2" w:rsidRPr="00D560D2">
        <w:rPr>
          <w:lang w:val="fr-CA"/>
        </w:rPr>
        <w:t xml:space="preserve"> </w:t>
      </w:r>
      <w:r w:rsidR="00CA7723" w:rsidRPr="00D560D2">
        <w:rPr>
          <w:lang w:val="fr-CA"/>
        </w:rPr>
        <w:t>consenti des mesures d’accommodement importantes qui touchaient précisément le lien spirituel des Ktunaxa avec la terre</w:t>
      </w:r>
      <w:r w:rsidRPr="00D560D2">
        <w:rPr>
          <w:lang w:val="fr-CA"/>
        </w:rPr>
        <w:t xml:space="preserve">. </w:t>
      </w:r>
      <w:r w:rsidR="00D00E72" w:rsidRPr="00D560D2">
        <w:rPr>
          <w:lang w:val="fr-CA"/>
        </w:rPr>
        <w:t>En dernière analyse, toutefois, le Ministre avait deux choix</w:t>
      </w:r>
      <w:r w:rsidR="00C416BC" w:rsidRPr="00D560D2">
        <w:rPr>
          <w:lang w:val="fr-CA"/>
        </w:rPr>
        <w:t> :</w:t>
      </w:r>
      <w:r w:rsidR="00D00E72" w:rsidRPr="00D560D2">
        <w:rPr>
          <w:lang w:val="fr-CA"/>
        </w:rPr>
        <w:t xml:space="preserve"> approuver l’aménagement ou permettre aux Ktunaxa d’opposer leur veto à l’aménagement en raison de leur liberté de religion</w:t>
      </w:r>
      <w:r w:rsidRPr="00D560D2">
        <w:rPr>
          <w:lang w:val="fr-CA"/>
        </w:rPr>
        <w:t xml:space="preserve">. </w:t>
      </w:r>
      <w:r w:rsidR="00D00E72" w:rsidRPr="00D560D2">
        <w:rPr>
          <w:szCs w:val="24"/>
          <w:lang w:val="fr-CA"/>
        </w:rPr>
        <w:t xml:space="preserve">Conférer aux Ktunaxa le pouvoir d’opposer leur veto à l’aménagement du territoire en question leur donnerait dans les faits un intérêt propriétal d’envergure sur le Qat’muk, à savoir le pouvoir d’interdire à autrui de construire des installations permanentes sur des terres publiques. Ce droit d’interdiction ne serait pas une restriction minimale ou négligeable de la propriété publique. </w:t>
      </w:r>
      <w:r w:rsidR="007A60AF" w:rsidRPr="00D560D2">
        <w:rPr>
          <w:lang w:val="fr-CA"/>
        </w:rPr>
        <w:t xml:space="preserve">On peut déduire des motifs du Ministre que permettre aux </w:t>
      </w:r>
      <w:r w:rsidRPr="00D560D2">
        <w:rPr>
          <w:lang w:val="fr-CA"/>
        </w:rPr>
        <w:t xml:space="preserve">Ktunaxa </w:t>
      </w:r>
      <w:r w:rsidR="007A60AF" w:rsidRPr="00D560D2">
        <w:rPr>
          <w:szCs w:val="24"/>
          <w:lang w:val="fr-CA"/>
        </w:rPr>
        <w:t xml:space="preserve">de dicter l’usage </w:t>
      </w:r>
      <w:r w:rsidR="00E44EE6">
        <w:rPr>
          <w:szCs w:val="24"/>
          <w:lang w:val="fr-CA"/>
        </w:rPr>
        <w:t>d’une grande étendue de terrain</w:t>
      </w:r>
      <w:r w:rsidR="007A60AF" w:rsidRPr="00D560D2">
        <w:rPr>
          <w:szCs w:val="24"/>
          <w:lang w:val="fr-CA"/>
        </w:rPr>
        <w:t xml:space="preserve"> selon leur croyance religieuse </w:t>
      </w:r>
      <w:r w:rsidR="007A60AF" w:rsidRPr="00D560D2">
        <w:rPr>
          <w:lang w:val="fr-CA"/>
        </w:rPr>
        <w:t>n’était pas compatible avec son mandat lég</w:t>
      </w:r>
      <w:r w:rsidR="00C416BC" w:rsidRPr="00D560D2">
        <w:rPr>
          <w:lang w:val="fr-CA"/>
        </w:rPr>
        <w:t xml:space="preserve">al. </w:t>
      </w:r>
      <w:r w:rsidR="007A60AF" w:rsidRPr="00D560D2">
        <w:rPr>
          <w:szCs w:val="24"/>
          <w:lang w:val="fr-CA"/>
        </w:rPr>
        <w:t xml:space="preserve">L’octroi de ce pouvoir compromettrait plutôt </w:t>
      </w:r>
      <w:r w:rsidR="007A60AF" w:rsidRPr="00D560D2">
        <w:rPr>
          <w:szCs w:val="24"/>
          <w:lang w:val="fr-CA"/>
        </w:rPr>
        <w:lastRenderedPageBreak/>
        <w:t>substantiellement la réalisation de ce mandat, voire lui porterait un coup fat</w:t>
      </w:r>
      <w:r w:rsidR="00C416BC" w:rsidRPr="00D560D2">
        <w:rPr>
          <w:szCs w:val="24"/>
          <w:lang w:val="fr-CA"/>
        </w:rPr>
        <w:t xml:space="preserve">al. </w:t>
      </w:r>
      <w:r w:rsidR="007A60AF" w:rsidRPr="00D560D2">
        <w:rPr>
          <w:lang w:val="fr-CA"/>
        </w:rPr>
        <w:t>Vu les choix qui s’offraient au Ministre, sa décision était raisonnable et était le fruit d’une mise en balance proportionnée</w:t>
      </w:r>
      <w:r w:rsidRPr="00D560D2">
        <w:rPr>
          <w:lang w:val="fr-CA"/>
        </w:rPr>
        <w:t>.</w:t>
      </w:r>
    </w:p>
    <w:p w:rsidR="004D7D95" w:rsidRPr="00D560D2" w:rsidRDefault="004D7D95" w:rsidP="0055329A">
      <w:pPr>
        <w:pStyle w:val="SCCNormalDoubleSpacing"/>
        <w:widowControl w:val="0"/>
        <w:spacing w:after="720" w:line="240" w:lineRule="auto"/>
        <w:rPr>
          <w:b/>
          <w:lang w:val="fr-CA"/>
        </w:rPr>
      </w:pPr>
      <w:r w:rsidRPr="00D560D2">
        <w:rPr>
          <w:b/>
          <w:lang w:val="fr-CA"/>
        </w:rPr>
        <w:t>Jurisprudence</w:t>
      </w:r>
    </w:p>
    <w:p w:rsidR="000037DD" w:rsidRPr="00D560D2" w:rsidRDefault="000037DD" w:rsidP="0055329A">
      <w:pPr>
        <w:pStyle w:val="SCCNormalDoubleSpacing"/>
        <w:widowControl w:val="0"/>
        <w:spacing w:after="720" w:line="240" w:lineRule="auto"/>
        <w:rPr>
          <w:lang w:val="fr-CA"/>
        </w:rPr>
      </w:pPr>
      <w:r w:rsidRPr="00D560D2">
        <w:rPr>
          <w:lang w:val="fr-CA"/>
        </w:rPr>
        <w:t>Citée par la juge en chef McLachlin et le juge Rowe</w:t>
      </w:r>
    </w:p>
    <w:p w:rsidR="004D7D95" w:rsidRPr="00D560D2" w:rsidRDefault="004D7D95" w:rsidP="0055329A">
      <w:pPr>
        <w:pStyle w:val="SCCNormalDoubleSpacing"/>
        <w:widowControl w:val="0"/>
        <w:spacing w:before="480" w:after="480"/>
        <w:rPr>
          <w:lang w:val="fr-CA"/>
        </w:rPr>
      </w:pPr>
      <w:r w:rsidRPr="00D560D2">
        <w:rPr>
          <w:lang w:val="fr-CA"/>
        </w:rPr>
        <w:tab/>
      </w:r>
      <w:r w:rsidRPr="00D560D2">
        <w:rPr>
          <w:b/>
          <w:lang w:val="fr-CA"/>
        </w:rPr>
        <w:t>Arrêts</w:t>
      </w:r>
      <w:r w:rsidR="00E44EE6">
        <w:rPr>
          <w:b/>
          <w:lang w:val="fr-CA"/>
        </w:rPr>
        <w:t xml:space="preserve"> appliqués : </w:t>
      </w:r>
      <w:r w:rsidR="00E44EE6" w:rsidRPr="00D560D2">
        <w:rPr>
          <w:i/>
          <w:lang w:val="fr-CA"/>
        </w:rPr>
        <w:t>R. c. Big M Drug Mart Ltd.</w:t>
      </w:r>
      <w:r w:rsidR="00E44EE6" w:rsidRPr="00D560D2">
        <w:rPr>
          <w:lang w:val="fr-CA"/>
        </w:rPr>
        <w:t>, [1985] 1 R.C.S. 295;</w:t>
      </w:r>
      <w:r w:rsidR="00E44EE6">
        <w:rPr>
          <w:lang w:val="fr-CA"/>
        </w:rPr>
        <w:t xml:space="preserve"> </w:t>
      </w:r>
      <w:r w:rsidR="00E44EE6" w:rsidRPr="00D560D2">
        <w:rPr>
          <w:i/>
          <w:lang w:val="fr-CA"/>
        </w:rPr>
        <w:t>Nation haïda c. Colo</w:t>
      </w:r>
      <w:r w:rsidR="00546585">
        <w:rPr>
          <w:i/>
          <w:lang w:val="fr-CA"/>
        </w:rPr>
        <w:t>mbie</w:t>
      </w:r>
      <w:r w:rsidR="00546585">
        <w:rPr>
          <w:i/>
          <w:lang w:val="fr-CA"/>
        </w:rPr>
        <w:noBreakHyphen/>
        <w:t>Britannique (Ministre des F</w:t>
      </w:r>
      <w:r w:rsidR="00E44EE6" w:rsidRPr="00D560D2">
        <w:rPr>
          <w:i/>
          <w:lang w:val="fr-CA"/>
        </w:rPr>
        <w:t>orêts)</w:t>
      </w:r>
      <w:r w:rsidR="00E44EE6" w:rsidRPr="00D560D2">
        <w:rPr>
          <w:lang w:val="fr-CA"/>
        </w:rPr>
        <w:t>, 2004 CSC 73, [2004] 3 R.C.S. 511;</w:t>
      </w:r>
      <w:r w:rsidR="00E44EE6" w:rsidRPr="00D560D2">
        <w:rPr>
          <w:i/>
          <w:lang w:val="fr-CA"/>
        </w:rPr>
        <w:t xml:space="preserve"> </w:t>
      </w:r>
      <w:r w:rsidR="00E44EE6">
        <w:rPr>
          <w:b/>
          <w:lang w:val="fr-CA"/>
        </w:rPr>
        <w:t>arrêts</w:t>
      </w:r>
      <w:r w:rsidRPr="00D560D2">
        <w:rPr>
          <w:b/>
          <w:lang w:val="fr-CA"/>
        </w:rPr>
        <w:t xml:space="preserve"> mentionnés</w:t>
      </w:r>
      <w:r w:rsidR="00C416BC" w:rsidRPr="00D560D2">
        <w:rPr>
          <w:b/>
          <w:lang w:val="fr-CA"/>
        </w:rPr>
        <w:t> :</w:t>
      </w:r>
      <w:r w:rsidRPr="00D560D2">
        <w:rPr>
          <w:lang w:val="fr-CA"/>
        </w:rPr>
        <w:t xml:space="preserve"> </w:t>
      </w:r>
      <w:r w:rsidR="00D90FE7" w:rsidRPr="00D560D2">
        <w:rPr>
          <w:i/>
          <w:lang w:val="fr-CA"/>
        </w:rPr>
        <w:t>Syndicat Northcrest c. Amselem</w:t>
      </w:r>
      <w:r w:rsidR="00D90FE7" w:rsidRPr="00D560D2">
        <w:rPr>
          <w:lang w:val="fr-CA"/>
        </w:rPr>
        <w:t>, 2004 CSC 47, [2004] 2 R.C.S. 551;</w:t>
      </w:r>
      <w:r w:rsidR="00350021" w:rsidRPr="00D560D2">
        <w:rPr>
          <w:lang w:val="fr-CA"/>
        </w:rPr>
        <w:t xml:space="preserve"> </w:t>
      </w:r>
      <w:r w:rsidR="00344A29" w:rsidRPr="00D560D2">
        <w:rPr>
          <w:i/>
          <w:lang w:val="fr-CA"/>
        </w:rPr>
        <w:t>École secondaire Loyola c. Québec (Procureur général)</w:t>
      </w:r>
      <w:r w:rsidR="00344A29" w:rsidRPr="00D560D2">
        <w:rPr>
          <w:lang w:val="fr-CA"/>
        </w:rPr>
        <w:t>, 2015 CSC 12</w:t>
      </w:r>
      <w:r w:rsidR="00741A05" w:rsidRPr="00D560D2">
        <w:rPr>
          <w:lang w:val="fr-CA"/>
        </w:rPr>
        <w:t>,</w:t>
      </w:r>
      <w:r w:rsidR="00344A29" w:rsidRPr="00D560D2">
        <w:rPr>
          <w:lang w:val="fr-CA"/>
        </w:rPr>
        <w:t xml:space="preserve"> [2015] 1 R.C.S. 613; </w:t>
      </w:r>
      <w:r w:rsidR="00344A29" w:rsidRPr="00D560D2">
        <w:rPr>
          <w:i/>
          <w:lang w:val="fr-CA"/>
        </w:rPr>
        <w:t>Mouvement l</w:t>
      </w:r>
      <w:r w:rsidR="00344A29" w:rsidRPr="00D560D2">
        <w:rPr>
          <w:bCs/>
          <w:i/>
          <w:szCs w:val="24"/>
          <w:lang w:val="fr-CA"/>
        </w:rPr>
        <w:t>aïque</w:t>
      </w:r>
      <w:r w:rsidR="00344A29" w:rsidRPr="00D560D2">
        <w:rPr>
          <w:i/>
          <w:lang w:val="fr-CA"/>
        </w:rPr>
        <w:t xml:space="preserve"> québécois c. Saguenay (Ville)</w:t>
      </w:r>
      <w:r w:rsidR="00344A29" w:rsidRPr="00D560D2">
        <w:rPr>
          <w:lang w:val="fr-CA"/>
        </w:rPr>
        <w:t xml:space="preserve">, 2015 CSC 16, [2015] 2 R.C.S. 3; </w:t>
      </w:r>
      <w:r w:rsidR="00344A29" w:rsidRPr="00D560D2">
        <w:rPr>
          <w:i/>
          <w:lang w:val="fr-CA"/>
        </w:rPr>
        <w:t xml:space="preserve">Saskatchewan (Human Rights </w:t>
      </w:r>
      <w:r w:rsidR="003A4FCC">
        <w:rPr>
          <w:i/>
          <w:lang w:val="fr-CA"/>
        </w:rPr>
        <w:t>Commission</w:t>
      </w:r>
      <w:r w:rsidR="00344A29" w:rsidRPr="00D560D2">
        <w:rPr>
          <w:i/>
          <w:lang w:val="fr-CA"/>
        </w:rPr>
        <w:t>) c. Whatcott</w:t>
      </w:r>
      <w:r w:rsidR="00344A29" w:rsidRPr="00D560D2">
        <w:rPr>
          <w:lang w:val="fr-CA"/>
        </w:rPr>
        <w:t xml:space="preserve">, 2013 CSC 11, [2013] 1 R.C.S. 467; </w:t>
      </w:r>
      <w:r w:rsidR="00344A29" w:rsidRPr="00D560D2">
        <w:rPr>
          <w:i/>
          <w:lang w:val="fr-CA"/>
        </w:rPr>
        <w:t>Multani c. Commission scolaire Marguerite</w:t>
      </w:r>
      <w:r w:rsidR="00C416BC" w:rsidRPr="00D560D2">
        <w:rPr>
          <w:i/>
          <w:lang w:val="fr-CA"/>
        </w:rPr>
        <w:noBreakHyphen/>
      </w:r>
      <w:r w:rsidR="00344A29" w:rsidRPr="00D560D2">
        <w:rPr>
          <w:i/>
          <w:lang w:val="fr-CA"/>
        </w:rPr>
        <w:t>Bourgeoys</w:t>
      </w:r>
      <w:r w:rsidR="00344A29" w:rsidRPr="00D560D2">
        <w:rPr>
          <w:lang w:val="fr-CA"/>
        </w:rPr>
        <w:t xml:space="preserve">, 2006 CSC 6, [2006] 1 R.C.S. 256; </w:t>
      </w:r>
      <w:r w:rsidR="003E611F" w:rsidRPr="00D560D2">
        <w:rPr>
          <w:i/>
          <w:lang w:val="fr-CA"/>
        </w:rPr>
        <w:t>R. c. Videoflicks Ltd.</w:t>
      </w:r>
      <w:r w:rsidR="003E611F" w:rsidRPr="00D560D2">
        <w:rPr>
          <w:lang w:val="fr-CA"/>
        </w:rPr>
        <w:t xml:space="preserve"> (198</w:t>
      </w:r>
      <w:r w:rsidR="00F71CE4" w:rsidRPr="00D560D2">
        <w:rPr>
          <w:lang w:val="fr-CA"/>
        </w:rPr>
        <w:t xml:space="preserve">4), 48 O.R. (2d) 395, inf. par </w:t>
      </w:r>
      <w:r w:rsidR="003E611F" w:rsidRPr="00D560D2">
        <w:rPr>
          <w:i/>
          <w:lang w:val="fr-CA"/>
        </w:rPr>
        <w:t>R. c. Edward</w:t>
      </w:r>
      <w:r w:rsidR="00361C56" w:rsidRPr="00D560D2">
        <w:rPr>
          <w:i/>
          <w:lang w:val="fr-CA"/>
        </w:rPr>
        <w:t>s</w:t>
      </w:r>
      <w:r w:rsidR="003E611F" w:rsidRPr="00D560D2">
        <w:rPr>
          <w:i/>
          <w:lang w:val="fr-CA"/>
        </w:rPr>
        <w:t xml:space="preserve"> Books and Art Ltd.</w:t>
      </w:r>
      <w:r w:rsidR="003E611F" w:rsidRPr="00D560D2">
        <w:rPr>
          <w:lang w:val="fr-CA"/>
        </w:rPr>
        <w:t>, [1986] 2 R.C.S</w:t>
      </w:r>
      <w:r w:rsidR="00D90FE7" w:rsidRPr="00D560D2">
        <w:rPr>
          <w:lang w:val="fr-CA"/>
        </w:rPr>
        <w:t xml:space="preserve">. 713; </w:t>
      </w:r>
      <w:r w:rsidR="00D90FE7" w:rsidRPr="00D560D2">
        <w:rPr>
          <w:i/>
          <w:lang w:val="fr-CA"/>
        </w:rPr>
        <w:t>Renvoi relatif à la Public Service Employee Relations Act (Alb.)</w:t>
      </w:r>
      <w:r w:rsidR="00D90FE7" w:rsidRPr="00D560D2">
        <w:rPr>
          <w:lang w:val="fr-CA"/>
        </w:rPr>
        <w:t xml:space="preserve">, [1987] 1 R.C.S. 313; </w:t>
      </w:r>
      <w:r w:rsidR="00D90FE7" w:rsidRPr="00D560D2">
        <w:rPr>
          <w:i/>
          <w:lang w:val="fr-CA"/>
        </w:rPr>
        <w:t xml:space="preserve">Health Services and Support </w:t>
      </w:r>
      <w:r w:rsidR="009213EA" w:rsidRPr="00D560D2">
        <w:rPr>
          <w:i/>
          <w:lang w:val="fr-CA"/>
        </w:rPr>
        <w:t>—</w:t>
      </w:r>
      <w:r w:rsidR="00D90FE7" w:rsidRPr="00D560D2">
        <w:rPr>
          <w:i/>
          <w:lang w:val="fr-CA"/>
        </w:rPr>
        <w:t xml:space="preserve"> Facilities Subsector Bargaining Assn. c. Colombie</w:t>
      </w:r>
      <w:r w:rsidR="00C416BC" w:rsidRPr="00D560D2">
        <w:rPr>
          <w:i/>
          <w:lang w:val="fr-CA"/>
        </w:rPr>
        <w:noBreakHyphen/>
      </w:r>
      <w:r w:rsidR="00D90FE7" w:rsidRPr="00D560D2">
        <w:rPr>
          <w:i/>
          <w:lang w:val="fr-CA"/>
        </w:rPr>
        <w:t>Britannique</w:t>
      </w:r>
      <w:r w:rsidR="00D90FE7" w:rsidRPr="00D560D2">
        <w:rPr>
          <w:lang w:val="fr-CA"/>
        </w:rPr>
        <w:t xml:space="preserve">, 2007 CSC 27, [2007] 2 R.C.S. 391; </w:t>
      </w:r>
      <w:r w:rsidR="00D90FE7" w:rsidRPr="00D560D2">
        <w:rPr>
          <w:i/>
          <w:lang w:val="fr-CA"/>
        </w:rPr>
        <w:t>Divito c. Canada (Sécurité publique et Protection civile)</w:t>
      </w:r>
      <w:r w:rsidR="00D90FE7" w:rsidRPr="00D560D2">
        <w:rPr>
          <w:lang w:val="fr-CA"/>
        </w:rPr>
        <w:t>, 2013 CSC 47, [2013] 3 R.C.S. 157;</w:t>
      </w:r>
      <w:r w:rsidR="005328B5" w:rsidRPr="00D560D2">
        <w:rPr>
          <w:lang w:val="fr-CA"/>
        </w:rPr>
        <w:t xml:space="preserve"> </w:t>
      </w:r>
      <w:r w:rsidR="005328B5" w:rsidRPr="00D560D2">
        <w:rPr>
          <w:i/>
          <w:lang w:val="fr-CA"/>
        </w:rPr>
        <w:t>Inde c. Badesha</w:t>
      </w:r>
      <w:r w:rsidR="005328B5" w:rsidRPr="00D560D2">
        <w:rPr>
          <w:lang w:val="fr-CA"/>
        </w:rPr>
        <w:t>, 2017 CSC 44</w:t>
      </w:r>
      <w:r w:rsidR="006E310A">
        <w:rPr>
          <w:lang w:val="fr-CA"/>
        </w:rPr>
        <w:t>, [2017] 2 R.C.S. 127</w:t>
      </w:r>
      <w:r w:rsidR="008853B5" w:rsidRPr="00D560D2">
        <w:rPr>
          <w:lang w:val="fr-CA"/>
        </w:rPr>
        <w:t xml:space="preserve">; </w:t>
      </w:r>
      <w:r w:rsidR="008853B5" w:rsidRPr="00D560D2">
        <w:rPr>
          <w:i/>
          <w:lang w:val="fr-CA"/>
        </w:rPr>
        <w:t>S.L. c. Commission scolaire des Chênes</w:t>
      </w:r>
      <w:r w:rsidR="008853B5" w:rsidRPr="00D560D2">
        <w:rPr>
          <w:lang w:val="fr-CA"/>
        </w:rPr>
        <w:t xml:space="preserve">, 2012 CSC 7, [2012] 1 R.C.S. 235; </w:t>
      </w:r>
      <w:r w:rsidR="00344A29" w:rsidRPr="00D560D2">
        <w:rPr>
          <w:i/>
          <w:lang w:val="fr-CA"/>
        </w:rPr>
        <w:t>Alberta c. Hutterian Brethren of Wilson Colony</w:t>
      </w:r>
      <w:r w:rsidR="00344A29" w:rsidRPr="00D560D2">
        <w:rPr>
          <w:lang w:val="fr-CA"/>
        </w:rPr>
        <w:t>, 2009 CSC 37, [2009] 2 R.C.S. 567;</w:t>
      </w:r>
      <w:r w:rsidR="00344A29" w:rsidRPr="00D560D2">
        <w:rPr>
          <w:i/>
          <w:lang w:val="fr-CA"/>
        </w:rPr>
        <w:t xml:space="preserve"> </w:t>
      </w:r>
      <w:r w:rsidR="00B52033" w:rsidRPr="00D560D2">
        <w:rPr>
          <w:i/>
          <w:lang w:val="fr-CA"/>
        </w:rPr>
        <w:t>Congrégation des témoins de Jéhovah de St</w:t>
      </w:r>
      <w:r w:rsidR="00C416BC" w:rsidRPr="00D560D2">
        <w:rPr>
          <w:i/>
          <w:lang w:val="fr-CA"/>
        </w:rPr>
        <w:noBreakHyphen/>
      </w:r>
      <w:r w:rsidR="00B52033" w:rsidRPr="00D560D2">
        <w:rPr>
          <w:i/>
          <w:lang w:val="fr-CA"/>
        </w:rPr>
        <w:t>Jérôme</w:t>
      </w:r>
      <w:r w:rsidR="00C416BC" w:rsidRPr="00D560D2">
        <w:rPr>
          <w:i/>
          <w:lang w:val="fr-CA"/>
        </w:rPr>
        <w:noBreakHyphen/>
      </w:r>
      <w:r w:rsidR="00B52033" w:rsidRPr="00D560D2">
        <w:rPr>
          <w:i/>
          <w:lang w:val="fr-CA"/>
        </w:rPr>
        <w:t xml:space="preserve">Lafontaine </w:t>
      </w:r>
      <w:r w:rsidR="00B52033" w:rsidRPr="00D560D2">
        <w:rPr>
          <w:i/>
          <w:lang w:val="fr-CA"/>
        </w:rPr>
        <w:lastRenderedPageBreak/>
        <w:t>c. Lafontaine (Village)</w:t>
      </w:r>
      <w:r w:rsidR="00B52033" w:rsidRPr="00D560D2">
        <w:rPr>
          <w:lang w:val="fr-CA"/>
        </w:rPr>
        <w:t>, 2004 CSC 48, [2004] 2 R.C.S. 650;</w:t>
      </w:r>
      <w:r w:rsidR="00344A29" w:rsidRPr="00D560D2">
        <w:rPr>
          <w:lang w:val="fr-CA"/>
        </w:rPr>
        <w:t xml:space="preserve"> </w:t>
      </w:r>
      <w:r w:rsidR="0045688E" w:rsidRPr="00D560D2">
        <w:rPr>
          <w:i/>
          <w:lang w:val="fr-CA"/>
        </w:rPr>
        <w:t>R. c. Van der Peet</w:t>
      </w:r>
      <w:r w:rsidR="0045688E" w:rsidRPr="00D560D2">
        <w:rPr>
          <w:lang w:val="fr-CA"/>
        </w:rPr>
        <w:t>, [1996] 2 R.C.S. 507;</w:t>
      </w:r>
      <w:r w:rsidR="00B52033" w:rsidRPr="00D560D2">
        <w:rPr>
          <w:lang w:val="fr-CA"/>
        </w:rPr>
        <w:t xml:space="preserve"> </w:t>
      </w:r>
      <w:r w:rsidR="004603BE" w:rsidRPr="00D560D2">
        <w:rPr>
          <w:i/>
          <w:lang w:val="fr-CA"/>
        </w:rPr>
        <w:t>Delgamuukw c. Colombie</w:t>
      </w:r>
      <w:r w:rsidR="00C416BC" w:rsidRPr="00D560D2">
        <w:rPr>
          <w:i/>
          <w:lang w:val="fr-CA"/>
        </w:rPr>
        <w:noBreakHyphen/>
      </w:r>
      <w:r w:rsidR="004603BE" w:rsidRPr="00D560D2">
        <w:rPr>
          <w:i/>
          <w:lang w:val="fr-CA"/>
        </w:rPr>
        <w:t>Britannique</w:t>
      </w:r>
      <w:r w:rsidR="004603BE" w:rsidRPr="00D560D2">
        <w:rPr>
          <w:lang w:val="fr-CA"/>
        </w:rPr>
        <w:t xml:space="preserve">, [1997] 3 R.C.S. 1010; </w:t>
      </w:r>
      <w:r w:rsidR="0051032D" w:rsidRPr="00D560D2">
        <w:rPr>
          <w:i/>
          <w:lang w:val="fr-CA"/>
        </w:rPr>
        <w:t>Mitchell c. M.R.N.</w:t>
      </w:r>
      <w:r w:rsidR="0051032D" w:rsidRPr="00D560D2">
        <w:rPr>
          <w:lang w:val="fr-CA"/>
        </w:rPr>
        <w:t>, 2001 CSC 33, [2001] 1</w:t>
      </w:r>
      <w:r w:rsidR="007921BE" w:rsidRPr="00D560D2">
        <w:rPr>
          <w:lang w:val="fr-CA"/>
        </w:rPr>
        <w:t xml:space="preserve"> </w:t>
      </w:r>
      <w:r w:rsidR="0051032D" w:rsidRPr="00D560D2">
        <w:rPr>
          <w:lang w:val="fr-CA"/>
        </w:rPr>
        <w:t xml:space="preserve">R.C.S. 911; </w:t>
      </w:r>
      <w:r w:rsidR="004603BE" w:rsidRPr="00D560D2">
        <w:rPr>
          <w:i/>
          <w:lang w:val="fr-CA"/>
        </w:rPr>
        <w:t>Nation</w:t>
      </w:r>
      <w:r w:rsidR="004603BE" w:rsidRPr="00D560D2">
        <w:rPr>
          <w:lang w:val="fr-CA"/>
        </w:rPr>
        <w:t xml:space="preserve"> </w:t>
      </w:r>
      <w:r w:rsidR="004603BE" w:rsidRPr="00D560D2">
        <w:rPr>
          <w:i/>
          <w:lang w:val="fr-CA"/>
        </w:rPr>
        <w:t xml:space="preserve">Tsilhqot’in c. </w:t>
      </w:r>
      <w:r w:rsidR="007921BE" w:rsidRPr="00D560D2">
        <w:rPr>
          <w:i/>
          <w:lang w:val="fr-CA"/>
        </w:rPr>
        <w:t>Colombie</w:t>
      </w:r>
      <w:r w:rsidR="00C416BC" w:rsidRPr="00D560D2">
        <w:rPr>
          <w:i/>
          <w:lang w:val="fr-CA"/>
        </w:rPr>
        <w:noBreakHyphen/>
      </w:r>
      <w:r w:rsidR="007921BE" w:rsidRPr="00D560D2">
        <w:rPr>
          <w:i/>
          <w:lang w:val="fr-CA"/>
        </w:rPr>
        <w:t>Britannique</w:t>
      </w:r>
      <w:r w:rsidR="004603BE" w:rsidRPr="00D560D2">
        <w:rPr>
          <w:lang w:val="fr-CA"/>
        </w:rPr>
        <w:t>, 2014 CSC 44, [2014] 2 R.C.S. 257;</w:t>
      </w:r>
      <w:r w:rsidR="00943F04" w:rsidRPr="00D560D2">
        <w:rPr>
          <w:lang w:val="fr-CA"/>
        </w:rPr>
        <w:t xml:space="preserve"> </w:t>
      </w:r>
      <w:r w:rsidR="00943F04" w:rsidRPr="00D560D2">
        <w:rPr>
          <w:i/>
          <w:lang w:val="fr-CA"/>
        </w:rPr>
        <w:t>Beckman c. Première nation de Little Salmon/Carmacks</w:t>
      </w:r>
      <w:r w:rsidR="00943F04" w:rsidRPr="00D560D2">
        <w:rPr>
          <w:lang w:val="fr-CA"/>
        </w:rPr>
        <w:t>, 2010 CSC 53, [2010] 3 R.C.S. 103.</w:t>
      </w:r>
    </w:p>
    <w:p w:rsidR="000037DD" w:rsidRPr="00D560D2" w:rsidRDefault="000037DD" w:rsidP="0055329A">
      <w:pPr>
        <w:pStyle w:val="SCCNormalDoubleSpacing"/>
        <w:widowControl w:val="0"/>
        <w:spacing w:before="480" w:after="480"/>
        <w:rPr>
          <w:lang w:val="fr-CA"/>
        </w:rPr>
      </w:pPr>
      <w:r w:rsidRPr="00D560D2">
        <w:rPr>
          <w:lang w:val="fr-CA"/>
        </w:rPr>
        <w:t xml:space="preserve">Citée par le juge Moldaver </w:t>
      </w:r>
    </w:p>
    <w:p w:rsidR="000037DD" w:rsidRPr="00D560D2" w:rsidRDefault="000037DD" w:rsidP="0055329A">
      <w:pPr>
        <w:pStyle w:val="SCCNormalDoubleSpacing"/>
        <w:widowControl w:val="0"/>
        <w:spacing w:before="480" w:after="480"/>
        <w:rPr>
          <w:lang w:val="fr-CA"/>
        </w:rPr>
      </w:pPr>
      <w:r w:rsidRPr="00D560D2">
        <w:rPr>
          <w:lang w:val="fr-CA"/>
        </w:rPr>
        <w:tab/>
      </w:r>
      <w:r w:rsidR="004C2A66" w:rsidRPr="004C2A66">
        <w:rPr>
          <w:b/>
          <w:lang w:val="fr-CA"/>
        </w:rPr>
        <w:t>Arrêt appliqué :</w:t>
      </w:r>
      <w:r w:rsidR="004C2A66">
        <w:rPr>
          <w:lang w:val="fr-CA"/>
        </w:rPr>
        <w:t xml:space="preserve"> </w:t>
      </w:r>
      <w:r w:rsidR="004C2A66" w:rsidRPr="00D560D2">
        <w:rPr>
          <w:i/>
          <w:lang w:val="fr-CA"/>
        </w:rPr>
        <w:t>Doré c. Barreau du Québec</w:t>
      </w:r>
      <w:r w:rsidR="004C2A66" w:rsidRPr="00D560D2">
        <w:rPr>
          <w:lang w:val="fr-CA"/>
        </w:rPr>
        <w:t>, 2012 CSC 12, [2012] 1 R.C.S. 395;</w:t>
      </w:r>
      <w:r w:rsidR="004C2A66">
        <w:rPr>
          <w:lang w:val="fr-CA"/>
        </w:rPr>
        <w:t xml:space="preserve"> </w:t>
      </w:r>
      <w:r w:rsidR="004C2A66">
        <w:rPr>
          <w:b/>
          <w:lang w:val="fr-CA"/>
        </w:rPr>
        <w:t>a</w:t>
      </w:r>
      <w:r w:rsidR="007921BE" w:rsidRPr="00D560D2">
        <w:rPr>
          <w:b/>
          <w:lang w:val="fr-CA"/>
        </w:rPr>
        <w:t>rrêts mentionnés</w:t>
      </w:r>
      <w:r w:rsidR="00C416BC" w:rsidRPr="00D560D2">
        <w:rPr>
          <w:b/>
          <w:lang w:val="fr-CA"/>
        </w:rPr>
        <w:t> :</w:t>
      </w:r>
      <w:r w:rsidR="007921BE" w:rsidRPr="00D560D2">
        <w:rPr>
          <w:lang w:val="fr-CA"/>
        </w:rPr>
        <w:t xml:space="preserve"> </w:t>
      </w:r>
      <w:r w:rsidR="00741A05" w:rsidRPr="00D560D2">
        <w:rPr>
          <w:i/>
          <w:lang w:val="fr-CA"/>
        </w:rPr>
        <w:t>École secondaire Loyola c. Québec (Procureur général)</w:t>
      </w:r>
      <w:r w:rsidR="00741A05" w:rsidRPr="00D560D2">
        <w:rPr>
          <w:lang w:val="fr-CA"/>
        </w:rPr>
        <w:t xml:space="preserve">, 2015 CSC 12, [2015] 1 R.C.S. 613; </w:t>
      </w:r>
      <w:r w:rsidR="00741A05" w:rsidRPr="00D560D2">
        <w:rPr>
          <w:i/>
          <w:lang w:val="fr-CA"/>
        </w:rPr>
        <w:t>Figueroa c. Canada (Procureur général)</w:t>
      </w:r>
      <w:r w:rsidR="00741A05" w:rsidRPr="00D560D2">
        <w:rPr>
          <w:lang w:val="fr-CA"/>
        </w:rPr>
        <w:t xml:space="preserve">, 2003 CSC 37, [2003] 1 R.C.S. 912; </w:t>
      </w:r>
      <w:r w:rsidR="00741A05" w:rsidRPr="00D560D2">
        <w:rPr>
          <w:i/>
          <w:iCs/>
          <w:lang w:val="fr-FR"/>
        </w:rPr>
        <w:t>Renvoi</w:t>
      </w:r>
      <w:r w:rsidR="00C416BC" w:rsidRPr="00D560D2">
        <w:rPr>
          <w:i/>
          <w:iCs/>
          <w:lang w:val="fr-FR"/>
        </w:rPr>
        <w:t> :</w:t>
      </w:r>
      <w:r w:rsidR="00741A05" w:rsidRPr="00D560D2">
        <w:rPr>
          <w:i/>
          <w:iCs/>
          <w:lang w:val="fr-FR"/>
        </w:rPr>
        <w:t xml:space="preserve"> </w:t>
      </w:r>
      <w:r w:rsidR="00C416BC" w:rsidRPr="00D560D2">
        <w:rPr>
          <w:i/>
          <w:iCs/>
          <w:lang w:val="fr-FR"/>
        </w:rPr>
        <w:t>Circ. </w:t>
      </w:r>
      <w:r w:rsidR="00741A05" w:rsidRPr="00D560D2">
        <w:rPr>
          <w:i/>
          <w:iCs/>
          <w:lang w:val="fr-FR"/>
        </w:rPr>
        <w:t>électorales provinciales (Sask.)</w:t>
      </w:r>
      <w:r w:rsidR="00741A05" w:rsidRPr="00D560D2">
        <w:rPr>
          <w:lang w:val="fr-FR"/>
        </w:rPr>
        <w:t>, [1991] 2 R.C.S. 158</w:t>
      </w:r>
      <w:r w:rsidR="00A4757A" w:rsidRPr="00D560D2">
        <w:rPr>
          <w:lang w:val="fr-FR"/>
        </w:rPr>
        <w:t xml:space="preserve">; </w:t>
      </w:r>
      <w:r w:rsidR="00A4757A" w:rsidRPr="00D560D2">
        <w:rPr>
          <w:i/>
          <w:lang w:val="fr-CA"/>
        </w:rPr>
        <w:t>R. c. Big M Drug Mart Ltd.</w:t>
      </w:r>
      <w:r w:rsidR="00A4757A" w:rsidRPr="00D560D2">
        <w:rPr>
          <w:lang w:val="fr-CA"/>
        </w:rPr>
        <w:t>, [1985] 1 R.C.S. 295</w:t>
      </w:r>
      <w:r w:rsidR="00F71CE4" w:rsidRPr="00D560D2">
        <w:rPr>
          <w:lang w:val="fr-CA"/>
        </w:rPr>
        <w:t xml:space="preserve">; </w:t>
      </w:r>
      <w:r w:rsidR="00F71CE4" w:rsidRPr="00D560D2">
        <w:rPr>
          <w:i/>
          <w:lang w:val="fr-CA"/>
        </w:rPr>
        <w:t>R. c. Edward</w:t>
      </w:r>
      <w:r w:rsidR="00361C56" w:rsidRPr="00D560D2">
        <w:rPr>
          <w:i/>
          <w:lang w:val="fr-CA"/>
        </w:rPr>
        <w:t>s</w:t>
      </w:r>
      <w:r w:rsidR="00F71CE4" w:rsidRPr="00D560D2">
        <w:rPr>
          <w:i/>
          <w:lang w:val="fr-CA"/>
        </w:rPr>
        <w:t xml:space="preserve"> Books and Art Ltd.</w:t>
      </w:r>
      <w:r w:rsidR="00F71CE4" w:rsidRPr="00D560D2">
        <w:rPr>
          <w:lang w:val="fr-CA"/>
        </w:rPr>
        <w:t>, [1986] 2 R.C.S. 713</w:t>
      </w:r>
      <w:r w:rsidR="004214C9" w:rsidRPr="00D560D2">
        <w:rPr>
          <w:lang w:val="fr-CA"/>
        </w:rPr>
        <w:t xml:space="preserve">; </w:t>
      </w:r>
      <w:r w:rsidR="004214C9" w:rsidRPr="00D560D2">
        <w:rPr>
          <w:i/>
          <w:lang w:val="fr-CA"/>
        </w:rPr>
        <w:t>Syndicat Northcrest c. Amselem</w:t>
      </w:r>
      <w:r w:rsidR="004214C9" w:rsidRPr="00D560D2">
        <w:rPr>
          <w:lang w:val="fr-CA"/>
        </w:rPr>
        <w:t>, 2004 CSC 47, [2004] 2 R.C.S. 551</w:t>
      </w:r>
      <w:r w:rsidR="00711832" w:rsidRPr="00D560D2">
        <w:rPr>
          <w:lang w:val="fr-CA"/>
        </w:rPr>
        <w:t xml:space="preserve">; </w:t>
      </w:r>
      <w:r w:rsidR="00711832" w:rsidRPr="00D560D2">
        <w:rPr>
          <w:i/>
          <w:lang w:val="fr-CA"/>
        </w:rPr>
        <w:t>Multani c. Commission scolaire Marguerite</w:t>
      </w:r>
      <w:r w:rsidR="00C416BC" w:rsidRPr="00D560D2">
        <w:rPr>
          <w:i/>
          <w:lang w:val="fr-CA"/>
        </w:rPr>
        <w:noBreakHyphen/>
      </w:r>
      <w:r w:rsidR="00711832" w:rsidRPr="00D560D2">
        <w:rPr>
          <w:i/>
          <w:lang w:val="fr-CA"/>
        </w:rPr>
        <w:t>Bourgeoys</w:t>
      </w:r>
      <w:r w:rsidR="00711832" w:rsidRPr="00D560D2">
        <w:rPr>
          <w:lang w:val="fr-CA"/>
        </w:rPr>
        <w:t xml:space="preserve">, 2006 CSC 6, [2006] 1 R.C.S. 256; </w:t>
      </w:r>
      <w:r w:rsidR="00711832" w:rsidRPr="00D560D2">
        <w:rPr>
          <w:i/>
          <w:lang w:val="fr-CA"/>
        </w:rPr>
        <w:t>Alberta c. Hutterian Brethren of Wilson Colony</w:t>
      </w:r>
      <w:r w:rsidR="00711832" w:rsidRPr="00D560D2">
        <w:rPr>
          <w:lang w:val="fr-CA"/>
        </w:rPr>
        <w:t>, 2009 CSC 37, [2009] 2 R.C.S. 567</w:t>
      </w:r>
      <w:r w:rsidR="00363467" w:rsidRPr="00D560D2">
        <w:rPr>
          <w:lang w:val="fr-CA"/>
        </w:rPr>
        <w:t xml:space="preserve">; </w:t>
      </w:r>
      <w:r w:rsidR="00363467" w:rsidRPr="00D560D2">
        <w:rPr>
          <w:i/>
          <w:lang w:val="fr-CA"/>
        </w:rPr>
        <w:t>S.L. c. Commission scolaire des Chênes</w:t>
      </w:r>
      <w:r w:rsidR="00363467" w:rsidRPr="00D560D2">
        <w:rPr>
          <w:lang w:val="fr-CA"/>
        </w:rPr>
        <w:t>, 2012 CSC 7, [2012] 1 R.C.S. 235</w:t>
      </w:r>
      <w:r w:rsidR="008321F0" w:rsidRPr="00D560D2">
        <w:rPr>
          <w:lang w:val="fr-CA"/>
        </w:rPr>
        <w:t xml:space="preserve">; </w:t>
      </w:r>
      <w:r w:rsidR="008321F0" w:rsidRPr="00D560D2">
        <w:rPr>
          <w:i/>
          <w:lang w:val="fr-CA"/>
        </w:rPr>
        <w:t>Mouvement l</w:t>
      </w:r>
      <w:r w:rsidR="008321F0" w:rsidRPr="00D560D2">
        <w:rPr>
          <w:bCs/>
          <w:i/>
          <w:szCs w:val="24"/>
          <w:lang w:val="fr-CA"/>
        </w:rPr>
        <w:t>aïque</w:t>
      </w:r>
      <w:r w:rsidR="008321F0" w:rsidRPr="00D560D2">
        <w:rPr>
          <w:i/>
          <w:lang w:val="fr-CA"/>
        </w:rPr>
        <w:t xml:space="preserve"> québécois c. Saguenay (Ville)</w:t>
      </w:r>
      <w:r w:rsidR="008321F0" w:rsidRPr="00D560D2">
        <w:rPr>
          <w:lang w:val="fr-CA"/>
        </w:rPr>
        <w:t>, 2015 CSC 16, [2015] 2 R.C.S. 3</w:t>
      </w:r>
      <w:r w:rsidR="00AA4369" w:rsidRPr="00D560D2">
        <w:rPr>
          <w:lang w:val="fr-CA"/>
        </w:rPr>
        <w:t xml:space="preserve">; </w:t>
      </w:r>
      <w:r w:rsidR="008F0BE2" w:rsidRPr="00D560D2">
        <w:rPr>
          <w:i/>
          <w:lang w:val="fr-CA"/>
        </w:rPr>
        <w:t xml:space="preserve">Newfoundland and Labrador Nurses’ Union c. </w:t>
      </w:r>
      <w:r w:rsidR="00546585">
        <w:rPr>
          <w:i/>
          <w:lang w:val="fr-CA"/>
        </w:rPr>
        <w:t xml:space="preserve">Terre-Neuve-et-Labrador </w:t>
      </w:r>
      <w:r w:rsidR="008F0BE2" w:rsidRPr="00D560D2">
        <w:rPr>
          <w:i/>
          <w:lang w:val="fr-CA"/>
        </w:rPr>
        <w:t>(</w:t>
      </w:r>
      <w:r w:rsidR="00BD6CD6">
        <w:rPr>
          <w:i/>
          <w:lang w:val="fr-CA"/>
        </w:rPr>
        <w:t>Conseil du Trésor</w:t>
      </w:r>
      <w:r w:rsidR="008F0BE2" w:rsidRPr="00D560D2">
        <w:rPr>
          <w:i/>
          <w:lang w:val="fr-CA"/>
        </w:rPr>
        <w:t>)</w:t>
      </w:r>
      <w:r w:rsidR="008F0BE2" w:rsidRPr="00D560D2">
        <w:rPr>
          <w:lang w:val="fr-CA"/>
        </w:rPr>
        <w:t>, 2011 CSC 62, [2011] 3 R.C.S. 708</w:t>
      </w:r>
      <w:r w:rsidR="008555EA" w:rsidRPr="00D560D2">
        <w:rPr>
          <w:lang w:val="fr-CA"/>
        </w:rPr>
        <w:t xml:space="preserve">; </w:t>
      </w:r>
      <w:r w:rsidR="008555EA" w:rsidRPr="00D560D2">
        <w:rPr>
          <w:i/>
          <w:szCs w:val="24"/>
          <w:lang w:val="fr-CA"/>
        </w:rPr>
        <w:t xml:space="preserve">Agraira </w:t>
      </w:r>
      <w:r w:rsidR="008555EA" w:rsidRPr="00D560D2">
        <w:rPr>
          <w:i/>
          <w:iCs/>
          <w:szCs w:val="24"/>
          <w:lang w:val="fr-CA"/>
        </w:rPr>
        <w:t>c.</w:t>
      </w:r>
      <w:r w:rsidR="008555EA" w:rsidRPr="00D560D2">
        <w:rPr>
          <w:i/>
          <w:szCs w:val="24"/>
          <w:lang w:val="fr-CA"/>
        </w:rPr>
        <w:t xml:space="preserve"> Canada (Sécurité publique et Protection civile)</w:t>
      </w:r>
      <w:r w:rsidR="008555EA" w:rsidRPr="00D560D2">
        <w:rPr>
          <w:szCs w:val="24"/>
          <w:lang w:val="fr-CA"/>
        </w:rPr>
        <w:t xml:space="preserve">, 2013 CSC 36, [2013] 2 R.C.S. 559; </w:t>
      </w:r>
      <w:r w:rsidR="008555EA" w:rsidRPr="00D560D2">
        <w:rPr>
          <w:i/>
          <w:szCs w:val="24"/>
          <w:lang w:val="fr-CA"/>
        </w:rPr>
        <w:t xml:space="preserve">R. </w:t>
      </w:r>
      <w:r w:rsidR="008555EA" w:rsidRPr="00D560D2">
        <w:rPr>
          <w:i/>
          <w:iCs/>
          <w:szCs w:val="24"/>
          <w:lang w:val="fr-CA"/>
        </w:rPr>
        <w:t>c</w:t>
      </w:r>
      <w:r w:rsidR="008555EA" w:rsidRPr="00D560D2">
        <w:rPr>
          <w:i/>
          <w:szCs w:val="24"/>
          <w:lang w:val="fr-CA"/>
        </w:rPr>
        <w:t>. Van der Peet</w:t>
      </w:r>
      <w:r w:rsidR="008555EA" w:rsidRPr="00D560D2">
        <w:rPr>
          <w:szCs w:val="24"/>
          <w:lang w:val="fr-CA"/>
        </w:rPr>
        <w:t>, [1996] 2 R.C.S. 507.</w:t>
      </w:r>
    </w:p>
    <w:p w:rsidR="004D7D95" w:rsidRPr="00D560D2" w:rsidRDefault="004D7D95" w:rsidP="0055329A">
      <w:pPr>
        <w:pStyle w:val="SCCNormalDoubleSpacing"/>
        <w:widowControl w:val="0"/>
        <w:spacing w:after="720" w:line="240" w:lineRule="auto"/>
        <w:rPr>
          <w:lang w:val="fr-CA"/>
        </w:rPr>
      </w:pPr>
      <w:r w:rsidRPr="00D560D2">
        <w:rPr>
          <w:b/>
          <w:lang w:val="fr-CA"/>
        </w:rPr>
        <w:t>Lois et règlements cités</w:t>
      </w:r>
    </w:p>
    <w:p w:rsidR="003E452B" w:rsidRPr="00D560D2" w:rsidRDefault="00161F07" w:rsidP="0055329A">
      <w:pPr>
        <w:pStyle w:val="SCCNormalDoubleSpacing"/>
        <w:widowControl w:val="0"/>
        <w:spacing w:after="240" w:line="240" w:lineRule="auto"/>
        <w:ind w:left="547" w:hanging="547"/>
        <w:rPr>
          <w:lang w:val="fr-CA"/>
        </w:rPr>
      </w:pPr>
      <w:r w:rsidRPr="00D560D2">
        <w:rPr>
          <w:i/>
          <w:lang w:val="fr-CA"/>
        </w:rPr>
        <w:lastRenderedPageBreak/>
        <w:t>Charte canadienne des droits et libertés</w:t>
      </w:r>
      <w:r w:rsidRPr="00D560D2">
        <w:rPr>
          <w:lang w:val="fr-CA"/>
        </w:rPr>
        <w:t xml:space="preserve">, </w:t>
      </w:r>
      <w:r w:rsidR="00C416BC" w:rsidRPr="00D560D2">
        <w:rPr>
          <w:lang w:val="fr-CA"/>
        </w:rPr>
        <w:t>art. </w:t>
      </w:r>
      <w:r w:rsidRPr="00D560D2">
        <w:rPr>
          <w:lang w:val="fr-CA"/>
        </w:rPr>
        <w:t>2</w:t>
      </w:r>
      <w:r w:rsidRPr="00D560D2">
        <w:rPr>
          <w:i/>
          <w:lang w:val="fr-CA"/>
        </w:rPr>
        <w:t>a</w:t>
      </w:r>
      <w:r w:rsidR="00612093" w:rsidRPr="00D560D2">
        <w:rPr>
          <w:lang w:val="fr-CA"/>
        </w:rPr>
        <w:t>)</w:t>
      </w:r>
      <w:r w:rsidRPr="00D560D2">
        <w:rPr>
          <w:lang w:val="fr-CA"/>
        </w:rPr>
        <w:t>.</w:t>
      </w:r>
    </w:p>
    <w:p w:rsidR="003E452B" w:rsidRPr="00D560D2" w:rsidRDefault="003E452B" w:rsidP="0055329A">
      <w:pPr>
        <w:pStyle w:val="SCCNormalDoubleSpacing"/>
        <w:widowControl w:val="0"/>
        <w:spacing w:after="240" w:line="240" w:lineRule="auto"/>
        <w:ind w:left="547" w:hanging="547"/>
        <w:rPr>
          <w:lang w:val="en-US"/>
        </w:rPr>
      </w:pPr>
      <w:r w:rsidRPr="00D560D2">
        <w:rPr>
          <w:i/>
          <w:lang w:val="en-US"/>
        </w:rPr>
        <w:t>Environmental Assessment Act</w:t>
      </w:r>
      <w:r w:rsidRPr="00D560D2">
        <w:rPr>
          <w:lang w:val="en-US"/>
        </w:rPr>
        <w:t>, S.B.</w:t>
      </w:r>
      <w:r w:rsidRPr="00D560D2">
        <w:t>C. 1994, c.</w:t>
      </w:r>
      <w:r w:rsidRPr="00D560D2">
        <w:rPr>
          <w:lang w:val="en-US"/>
        </w:rPr>
        <w:t xml:space="preserve"> 35. </w:t>
      </w:r>
    </w:p>
    <w:p w:rsidR="005B023C" w:rsidRPr="00D560D2" w:rsidRDefault="005B023C" w:rsidP="0055329A">
      <w:pPr>
        <w:pStyle w:val="SCCNormalDoubleSpacing"/>
        <w:widowControl w:val="0"/>
        <w:spacing w:after="240" w:line="240" w:lineRule="auto"/>
        <w:ind w:left="547" w:hanging="547"/>
        <w:rPr>
          <w:lang w:val="en-US"/>
        </w:rPr>
      </w:pPr>
      <w:r w:rsidRPr="00D560D2">
        <w:rPr>
          <w:i/>
        </w:rPr>
        <w:t>Environmental Assessment Act</w:t>
      </w:r>
      <w:r w:rsidRPr="00D560D2">
        <w:t>, S.B.C. 2002, c.</w:t>
      </w:r>
      <w:r w:rsidR="00283DEF" w:rsidRPr="00D560D2">
        <w:rPr>
          <w:lang w:val="en-US"/>
        </w:rPr>
        <w:t> </w:t>
      </w:r>
      <w:r w:rsidRPr="00D560D2">
        <w:rPr>
          <w:lang w:val="en-US"/>
        </w:rPr>
        <w:t xml:space="preserve">43. </w:t>
      </w:r>
    </w:p>
    <w:p w:rsidR="007921BE" w:rsidRPr="00D560D2" w:rsidRDefault="007921BE" w:rsidP="0055329A">
      <w:pPr>
        <w:pStyle w:val="SCCNormalDoubleSpacing"/>
        <w:widowControl w:val="0"/>
        <w:spacing w:after="240" w:line="240" w:lineRule="auto"/>
        <w:ind w:left="547" w:hanging="547"/>
        <w:rPr>
          <w:lang w:val="en-US"/>
        </w:rPr>
      </w:pPr>
      <w:r w:rsidRPr="00D560D2">
        <w:rPr>
          <w:i/>
        </w:rPr>
        <w:t>Land</w:t>
      </w:r>
      <w:r w:rsidRPr="00D560D2">
        <w:rPr>
          <w:i/>
          <w:szCs w:val="24"/>
          <w:lang w:val="en-US"/>
        </w:rPr>
        <w:t xml:space="preserve"> Act</w:t>
      </w:r>
      <w:r w:rsidRPr="00D560D2">
        <w:rPr>
          <w:szCs w:val="24"/>
          <w:lang w:val="en-US"/>
        </w:rPr>
        <w:t xml:space="preserve">, R.S.B.C. 1996, c. 245, </w:t>
      </w:r>
      <w:r w:rsidR="00C416BC" w:rsidRPr="00D560D2">
        <w:rPr>
          <w:szCs w:val="24"/>
          <w:lang w:val="en-US"/>
        </w:rPr>
        <w:t>art. </w:t>
      </w:r>
      <w:r w:rsidRPr="00D560D2">
        <w:rPr>
          <w:szCs w:val="24"/>
          <w:lang w:val="en-US"/>
        </w:rPr>
        <w:t>4, 11(1).</w:t>
      </w:r>
    </w:p>
    <w:p w:rsidR="008555EA" w:rsidRPr="00D560D2" w:rsidRDefault="00BD1A32" w:rsidP="0055329A">
      <w:pPr>
        <w:pStyle w:val="SCCNormalDoubleSpacing"/>
        <w:widowControl w:val="0"/>
        <w:spacing w:line="240" w:lineRule="auto"/>
        <w:ind w:left="547" w:hanging="547"/>
        <w:rPr>
          <w:lang w:val="en-US"/>
        </w:rPr>
      </w:pPr>
      <w:r w:rsidRPr="00D560D2">
        <w:rPr>
          <w:i/>
          <w:lang w:val="en-US"/>
        </w:rPr>
        <w:t>Loi constitutionnelle de 1982</w:t>
      </w:r>
      <w:r w:rsidRPr="00D560D2">
        <w:rPr>
          <w:lang w:val="en-US"/>
        </w:rPr>
        <w:t xml:space="preserve">, </w:t>
      </w:r>
      <w:r w:rsidR="00C416BC" w:rsidRPr="00D560D2">
        <w:rPr>
          <w:lang w:val="en-US"/>
        </w:rPr>
        <w:t>art. </w:t>
      </w:r>
      <w:r w:rsidR="008555EA" w:rsidRPr="00D560D2">
        <w:rPr>
          <w:lang w:val="en-US"/>
        </w:rPr>
        <w:t>35.</w:t>
      </w:r>
    </w:p>
    <w:p w:rsidR="008555EA" w:rsidRPr="00D560D2" w:rsidRDefault="008555EA" w:rsidP="0055329A">
      <w:pPr>
        <w:pStyle w:val="SCCNormalDoubleSpacing"/>
        <w:widowControl w:val="0"/>
        <w:spacing w:before="240" w:after="720" w:line="240" w:lineRule="auto"/>
        <w:ind w:left="547" w:hanging="547"/>
        <w:rPr>
          <w:lang w:val="en-US"/>
        </w:rPr>
      </w:pPr>
      <w:r w:rsidRPr="00D560D2">
        <w:rPr>
          <w:i/>
          <w:szCs w:val="24"/>
          <w:lang w:val="en-US"/>
        </w:rPr>
        <w:t>Ministry of Lands, Parks and Housing Act</w:t>
      </w:r>
      <w:r w:rsidRPr="00D560D2">
        <w:rPr>
          <w:szCs w:val="24"/>
          <w:lang w:val="en-US"/>
        </w:rPr>
        <w:t xml:space="preserve">, R.S.B.C. 1996, c. 307, </w:t>
      </w:r>
      <w:r w:rsidR="00C416BC" w:rsidRPr="00D560D2">
        <w:rPr>
          <w:szCs w:val="24"/>
          <w:lang w:val="en-US"/>
        </w:rPr>
        <w:t>art. </w:t>
      </w:r>
      <w:r w:rsidRPr="00D560D2">
        <w:rPr>
          <w:szCs w:val="24"/>
          <w:lang w:val="en-US"/>
        </w:rPr>
        <w:t>5(b).</w:t>
      </w:r>
    </w:p>
    <w:p w:rsidR="007A0353" w:rsidRPr="00D560D2" w:rsidRDefault="00683EBD" w:rsidP="0055329A">
      <w:pPr>
        <w:pStyle w:val="SCCNormalDoubleSpacing"/>
        <w:widowControl w:val="0"/>
        <w:spacing w:after="720" w:line="240" w:lineRule="auto"/>
        <w:rPr>
          <w:rStyle w:val="Emphasis"/>
          <w:b/>
          <w:i w:val="0"/>
          <w:iCs w:val="0"/>
          <w:lang w:val="fr-CA"/>
        </w:rPr>
      </w:pPr>
      <w:r w:rsidRPr="00D560D2">
        <w:rPr>
          <w:b/>
          <w:lang w:val="fr-CA"/>
        </w:rPr>
        <w:t>Traités et autres documents internationaux</w:t>
      </w:r>
    </w:p>
    <w:p w:rsidR="001954CB" w:rsidRPr="00D560D2" w:rsidRDefault="001954CB" w:rsidP="0055329A">
      <w:pPr>
        <w:pStyle w:val="SCCNormalDoubleSpacing"/>
        <w:widowControl w:val="0"/>
        <w:spacing w:after="240" w:line="240" w:lineRule="auto"/>
        <w:ind w:left="547" w:hanging="547"/>
        <w:rPr>
          <w:i/>
          <w:iCs/>
          <w:lang w:val="fr-CA"/>
        </w:rPr>
      </w:pPr>
      <w:r w:rsidRPr="00D560D2">
        <w:rPr>
          <w:i/>
          <w:iCs/>
          <w:lang w:val="fr-FR"/>
        </w:rPr>
        <w:t>Convention américaine relative aux droits de l’homme</w:t>
      </w:r>
      <w:r w:rsidRPr="00D560D2">
        <w:rPr>
          <w:lang w:val="fr-FR"/>
        </w:rPr>
        <w:t xml:space="preserve">, 1144 R.T.N.U. 123, </w:t>
      </w:r>
      <w:r w:rsidR="00C416BC" w:rsidRPr="00D560D2">
        <w:rPr>
          <w:lang w:val="fr-FR"/>
        </w:rPr>
        <w:t>art. </w:t>
      </w:r>
      <w:r w:rsidRPr="00D560D2">
        <w:rPr>
          <w:lang w:val="fr-FR"/>
        </w:rPr>
        <w:t>12(1)</w:t>
      </w:r>
      <w:r w:rsidR="00275733" w:rsidRPr="00D560D2">
        <w:rPr>
          <w:lang w:val="fr-FR"/>
        </w:rPr>
        <w:t>, (3)</w:t>
      </w:r>
      <w:r w:rsidRPr="00D560D2">
        <w:rPr>
          <w:lang w:val="fr-FR"/>
        </w:rPr>
        <w:t>.</w:t>
      </w:r>
    </w:p>
    <w:p w:rsidR="007A0353" w:rsidRPr="00D560D2" w:rsidRDefault="007A0353" w:rsidP="0055329A">
      <w:pPr>
        <w:pStyle w:val="SCCNormalDoubleSpacing"/>
        <w:widowControl w:val="0"/>
        <w:spacing w:after="240" w:line="240" w:lineRule="auto"/>
        <w:ind w:left="547" w:hanging="547"/>
        <w:rPr>
          <w:iCs/>
          <w:lang w:val="fr-CA"/>
        </w:rPr>
      </w:pPr>
      <w:r w:rsidRPr="00D560D2">
        <w:rPr>
          <w:i/>
          <w:iCs/>
          <w:lang w:val="fr-CA"/>
        </w:rPr>
        <w:t>Convention de sauvegarde des droits de l’homme et des libertés fondamentales</w:t>
      </w:r>
      <w:r w:rsidRPr="00D560D2">
        <w:rPr>
          <w:iCs/>
          <w:lang w:val="fr-CA"/>
        </w:rPr>
        <w:t>, 213 R.T.N.U. 221 [</w:t>
      </w:r>
      <w:r w:rsidRPr="00D560D2">
        <w:rPr>
          <w:i/>
          <w:iCs/>
          <w:lang w:val="fr-CA"/>
        </w:rPr>
        <w:t>Convention européenne des droits de l’homme</w:t>
      </w:r>
      <w:r w:rsidRPr="00D560D2">
        <w:rPr>
          <w:iCs/>
          <w:lang w:val="fr-CA"/>
        </w:rPr>
        <w:t xml:space="preserve">], </w:t>
      </w:r>
      <w:r w:rsidR="00C416BC" w:rsidRPr="00D560D2">
        <w:rPr>
          <w:iCs/>
          <w:lang w:val="fr-CA"/>
        </w:rPr>
        <w:t>art. </w:t>
      </w:r>
      <w:r w:rsidRPr="00D560D2">
        <w:rPr>
          <w:iCs/>
          <w:lang w:val="fr-CA"/>
        </w:rPr>
        <w:t>9(1).</w:t>
      </w:r>
    </w:p>
    <w:p w:rsidR="000F53F2" w:rsidRPr="00D560D2" w:rsidRDefault="000F53F2" w:rsidP="0055329A">
      <w:pPr>
        <w:pStyle w:val="SCCNormalDoubleSpacing"/>
        <w:widowControl w:val="0"/>
        <w:spacing w:after="240" w:line="240" w:lineRule="auto"/>
        <w:ind w:left="547" w:hanging="547"/>
        <w:rPr>
          <w:lang w:val="fr-CA"/>
        </w:rPr>
      </w:pPr>
      <w:r w:rsidRPr="00D560D2">
        <w:rPr>
          <w:i/>
          <w:iCs/>
          <w:lang w:val="fr-CA"/>
        </w:rPr>
        <w:t>Déclaration universelle des droits de l’homme</w:t>
      </w:r>
      <w:r w:rsidRPr="00D560D2">
        <w:rPr>
          <w:lang w:val="fr-CA"/>
        </w:rPr>
        <w:t>,</w:t>
      </w:r>
      <w:r w:rsidRPr="00D560D2">
        <w:rPr>
          <w:i/>
          <w:lang w:val="fr-CA"/>
        </w:rPr>
        <w:t xml:space="preserve"> </w:t>
      </w:r>
      <w:r w:rsidRPr="00D560D2">
        <w:rPr>
          <w:lang w:val="fr-CA"/>
        </w:rPr>
        <w:t xml:space="preserve">A.G. Rés. 217 A (III), Doc. N.U. A/810, </w:t>
      </w:r>
      <w:r w:rsidR="00C416BC" w:rsidRPr="00D560D2">
        <w:rPr>
          <w:lang w:val="fr-CA"/>
        </w:rPr>
        <w:t>p. </w:t>
      </w:r>
      <w:r w:rsidR="007A74BB" w:rsidRPr="00D560D2">
        <w:rPr>
          <w:lang w:val="fr-CA"/>
        </w:rPr>
        <w:t>7</w:t>
      </w:r>
      <w:r w:rsidR="001C64C1" w:rsidRPr="00D560D2">
        <w:rPr>
          <w:lang w:val="fr-CA"/>
        </w:rPr>
        <w:t>1</w:t>
      </w:r>
      <w:r w:rsidRPr="00D560D2">
        <w:rPr>
          <w:lang w:val="fr-CA"/>
        </w:rPr>
        <w:t xml:space="preserve"> (1948)</w:t>
      </w:r>
      <w:r w:rsidR="00950F80" w:rsidRPr="00D560D2">
        <w:rPr>
          <w:lang w:val="fr-CA"/>
        </w:rPr>
        <w:t xml:space="preserve">, </w:t>
      </w:r>
      <w:r w:rsidR="00C416BC" w:rsidRPr="00D560D2">
        <w:rPr>
          <w:lang w:val="fr-CA"/>
        </w:rPr>
        <w:t>art. </w:t>
      </w:r>
      <w:r w:rsidR="00950F80" w:rsidRPr="00D560D2">
        <w:rPr>
          <w:lang w:val="fr-CA"/>
        </w:rPr>
        <w:t>18</w:t>
      </w:r>
      <w:r w:rsidRPr="00D560D2">
        <w:rPr>
          <w:lang w:val="fr-CA"/>
        </w:rPr>
        <w:t xml:space="preserve">. </w:t>
      </w:r>
    </w:p>
    <w:p w:rsidR="00683EBD" w:rsidRPr="00D560D2" w:rsidRDefault="00B61AB8" w:rsidP="0055329A">
      <w:pPr>
        <w:pStyle w:val="SCCNormalDoubleSpacing"/>
        <w:widowControl w:val="0"/>
        <w:spacing w:after="720" w:line="240" w:lineRule="auto"/>
        <w:ind w:left="547" w:hanging="547"/>
        <w:rPr>
          <w:lang w:val="fr-CA"/>
        </w:rPr>
      </w:pPr>
      <w:r w:rsidRPr="00D560D2">
        <w:rPr>
          <w:i/>
          <w:lang w:val="fr-CA"/>
        </w:rPr>
        <w:t>Pacte international relatif aux droits civils et politiques</w:t>
      </w:r>
      <w:r w:rsidR="001C64C1" w:rsidRPr="00D560D2">
        <w:rPr>
          <w:lang w:val="fr-CA"/>
        </w:rPr>
        <w:t>, R.T. Can. 1976 n</w:t>
      </w:r>
      <w:r w:rsidR="00435325" w:rsidRPr="00D560D2">
        <w:rPr>
          <w:vertAlign w:val="superscript"/>
          <w:lang w:val="fr-CA"/>
        </w:rPr>
        <w:t>o</w:t>
      </w:r>
      <w:r w:rsidR="00435325" w:rsidRPr="00D560D2">
        <w:rPr>
          <w:lang w:val="fr-CA"/>
        </w:rPr>
        <w:t xml:space="preserve"> </w:t>
      </w:r>
      <w:r w:rsidRPr="00D560D2">
        <w:rPr>
          <w:lang w:val="fr-CA"/>
        </w:rPr>
        <w:t>47</w:t>
      </w:r>
      <w:r w:rsidR="00950F80" w:rsidRPr="00D560D2">
        <w:rPr>
          <w:lang w:val="fr-CA"/>
        </w:rPr>
        <w:t xml:space="preserve">, </w:t>
      </w:r>
      <w:r w:rsidR="00C416BC" w:rsidRPr="00D560D2">
        <w:rPr>
          <w:lang w:val="fr-CA"/>
        </w:rPr>
        <w:t>art. </w:t>
      </w:r>
      <w:r w:rsidR="00950F80" w:rsidRPr="00D560D2">
        <w:rPr>
          <w:lang w:val="fr-CA"/>
        </w:rPr>
        <w:t>18(1)</w:t>
      </w:r>
      <w:r w:rsidRPr="00D560D2">
        <w:rPr>
          <w:lang w:val="fr-CA"/>
        </w:rPr>
        <w:t>.</w:t>
      </w:r>
    </w:p>
    <w:p w:rsidR="004D7D95" w:rsidRPr="00D560D2" w:rsidRDefault="004D7D95" w:rsidP="0055329A">
      <w:pPr>
        <w:pStyle w:val="SCCNormalDoubleSpacing"/>
        <w:widowControl w:val="0"/>
        <w:spacing w:after="720" w:line="240" w:lineRule="auto"/>
        <w:rPr>
          <w:lang w:val="fr-CA"/>
        </w:rPr>
      </w:pPr>
      <w:r w:rsidRPr="00D560D2">
        <w:rPr>
          <w:b/>
          <w:lang w:val="fr-CA"/>
        </w:rPr>
        <w:t>Doctrine et autres documents cités</w:t>
      </w:r>
    </w:p>
    <w:p w:rsidR="008555EA" w:rsidRPr="00D560D2" w:rsidRDefault="008555EA" w:rsidP="0055329A">
      <w:pPr>
        <w:pStyle w:val="SCCNormalDoubleSpacing"/>
        <w:widowControl w:val="0"/>
        <w:spacing w:after="240" w:line="240" w:lineRule="auto"/>
        <w:ind w:left="547" w:hanging="547"/>
        <w:rPr>
          <w:szCs w:val="24"/>
          <w:lang w:val="en-US"/>
        </w:rPr>
      </w:pPr>
      <w:r w:rsidRPr="00B01626">
        <w:rPr>
          <w:szCs w:val="24"/>
          <w:lang w:val="fr-CA"/>
        </w:rPr>
        <w:t xml:space="preserve">Dyzenhaus, David. </w:t>
      </w:r>
      <w:r w:rsidRPr="00D560D2">
        <w:rPr>
          <w:szCs w:val="24"/>
          <w:lang w:val="en-US"/>
        </w:rPr>
        <w:t>« The Politics of Deference</w:t>
      </w:r>
      <w:r w:rsidR="00C416BC" w:rsidRPr="00D560D2">
        <w:rPr>
          <w:szCs w:val="24"/>
          <w:lang w:val="en-US"/>
        </w:rPr>
        <w:t> :</w:t>
      </w:r>
      <w:r w:rsidRPr="00D560D2">
        <w:rPr>
          <w:szCs w:val="24"/>
          <w:lang w:val="en-US"/>
        </w:rPr>
        <w:t xml:space="preserve"> Judicial Review and Democracy », in Michael Taggart, ed., </w:t>
      </w:r>
      <w:r w:rsidRPr="00D560D2">
        <w:rPr>
          <w:i/>
          <w:iCs/>
          <w:szCs w:val="24"/>
          <w:lang w:val="en-US"/>
        </w:rPr>
        <w:t>The Province of Administrative Law</w:t>
      </w:r>
      <w:r w:rsidRPr="00D560D2">
        <w:rPr>
          <w:szCs w:val="24"/>
          <w:lang w:val="en-US"/>
        </w:rPr>
        <w:t>, Oxford, Hart, 1997, 279.</w:t>
      </w:r>
    </w:p>
    <w:p w:rsidR="008555EA" w:rsidRPr="00D560D2" w:rsidRDefault="00C416BC" w:rsidP="0055329A">
      <w:pPr>
        <w:pStyle w:val="SCCNormalDoubleSpacing"/>
        <w:widowControl w:val="0"/>
        <w:spacing w:after="240" w:line="240" w:lineRule="auto"/>
        <w:ind w:left="547" w:hanging="547"/>
        <w:rPr>
          <w:szCs w:val="24"/>
          <w:lang w:val="en-US"/>
        </w:rPr>
      </w:pPr>
      <w:r w:rsidRPr="00D560D2">
        <w:rPr>
          <w:szCs w:val="24"/>
          <w:lang w:val="en-US"/>
        </w:rPr>
        <w:t>Ross, Michael </w:t>
      </w:r>
      <w:r w:rsidR="008555EA" w:rsidRPr="00D560D2">
        <w:rPr>
          <w:szCs w:val="24"/>
          <w:lang w:val="en-US"/>
        </w:rPr>
        <w:t xml:space="preserve">L. </w:t>
      </w:r>
      <w:r w:rsidR="008555EA" w:rsidRPr="00D560D2">
        <w:rPr>
          <w:i/>
          <w:szCs w:val="24"/>
          <w:lang w:val="en-US"/>
        </w:rPr>
        <w:t>First Nations Sacred Sites in Canada’s Courts</w:t>
      </w:r>
      <w:r w:rsidR="008555EA" w:rsidRPr="00D560D2">
        <w:rPr>
          <w:szCs w:val="24"/>
          <w:lang w:val="en-US"/>
        </w:rPr>
        <w:t>, Vancouver, UBC Press, 2005.</w:t>
      </w:r>
    </w:p>
    <w:p w:rsidR="008555EA" w:rsidRPr="00D560D2" w:rsidRDefault="008555EA" w:rsidP="0055329A">
      <w:pPr>
        <w:pStyle w:val="SCCNormalDoubleSpacing"/>
        <w:widowControl w:val="0"/>
        <w:spacing w:after="720" w:line="240" w:lineRule="auto"/>
        <w:ind w:left="547" w:hanging="547"/>
      </w:pPr>
      <w:r w:rsidRPr="00D560D2">
        <w:rPr>
          <w:szCs w:val="24"/>
          <w:lang w:val="en-US"/>
        </w:rPr>
        <w:t xml:space="preserve">Ziff, Bruce. </w:t>
      </w:r>
      <w:r w:rsidRPr="00D560D2">
        <w:rPr>
          <w:i/>
          <w:szCs w:val="24"/>
          <w:lang w:val="en-US"/>
        </w:rPr>
        <w:t>Principles of Property Law</w:t>
      </w:r>
      <w:r w:rsidRPr="00D560D2">
        <w:rPr>
          <w:szCs w:val="24"/>
          <w:lang w:val="en-US"/>
        </w:rPr>
        <w:t>, 6th ed., Toronto, Carswell, 2014.</w:t>
      </w:r>
    </w:p>
    <w:p w:rsidR="004D7D95" w:rsidRPr="00D560D2" w:rsidRDefault="002A2104" w:rsidP="0055329A">
      <w:pPr>
        <w:pStyle w:val="SCCNormalDoubleSpacing"/>
        <w:widowControl w:val="0"/>
        <w:spacing w:before="480" w:after="480"/>
        <w:rPr>
          <w:lang w:val="fr-CA"/>
        </w:rPr>
      </w:pPr>
      <w:r w:rsidRPr="00D560D2">
        <w:rPr>
          <w:lang w:val="en-US"/>
        </w:rPr>
        <w:tab/>
      </w:r>
      <w:r w:rsidR="004D7D95" w:rsidRPr="00D560D2">
        <w:rPr>
          <w:lang w:val="fr-CA"/>
        </w:rPr>
        <w:t>POURVOI contre un arrêt de la Cour d</w:t>
      </w:r>
      <w:r w:rsidRPr="00D560D2">
        <w:rPr>
          <w:lang w:val="fr-CA"/>
        </w:rPr>
        <w:t>’</w:t>
      </w:r>
      <w:r w:rsidR="004D7D95" w:rsidRPr="00D560D2">
        <w:rPr>
          <w:lang w:val="fr-CA"/>
        </w:rPr>
        <w:t>a</w:t>
      </w:r>
      <w:r w:rsidRPr="00D560D2">
        <w:rPr>
          <w:lang w:val="fr-CA"/>
        </w:rPr>
        <w:t>ppel de la Colombie</w:t>
      </w:r>
      <w:r w:rsidR="00C416BC" w:rsidRPr="00D560D2">
        <w:rPr>
          <w:lang w:val="fr-CA"/>
        </w:rPr>
        <w:noBreakHyphen/>
      </w:r>
      <w:r w:rsidRPr="00D560D2">
        <w:rPr>
          <w:lang w:val="fr-CA"/>
        </w:rPr>
        <w:t xml:space="preserve">Britannique </w:t>
      </w:r>
      <w:r w:rsidRPr="00D560D2">
        <w:rPr>
          <w:lang w:val="fr-CA"/>
        </w:rPr>
        <w:lastRenderedPageBreak/>
        <w:t xml:space="preserve">(les juges Lowry, Bennett et Goepel), 2015 BCCA 352, </w:t>
      </w:r>
      <w:r w:rsidR="007921BE" w:rsidRPr="00D560D2">
        <w:rPr>
          <w:lang w:val="fr-CA"/>
        </w:rPr>
        <w:t xml:space="preserve">387 D.L.R. (4th) 10, </w:t>
      </w:r>
      <w:r w:rsidRPr="00D560D2">
        <w:rPr>
          <w:lang w:val="fr-CA"/>
        </w:rPr>
        <w:t xml:space="preserve">78 B.C.L.R. (5th) 297, 376 B.C.A.C. 105, 646 W.A.C. 105, 89 Admin. L.R. (5th) 63, 93 C.E.L.R. (3d) 1, [2015] 4 C.N.L.R. 199, 339 C.R.R. (2d) 183, [2016] 3 W.W.R. 423, [2015] B.C.J. </w:t>
      </w:r>
      <w:r w:rsidR="00C416BC" w:rsidRPr="00D560D2">
        <w:rPr>
          <w:lang w:val="fr-CA"/>
        </w:rPr>
        <w:t>No. </w:t>
      </w:r>
      <w:r w:rsidRPr="00D560D2">
        <w:rPr>
          <w:lang w:val="fr-CA"/>
        </w:rPr>
        <w:t>1682 (QL), 2015 CarswellBC 2215 (WL Can.), qui a confirmé une décision du juge Savage, 2014 BCSC 568,</w:t>
      </w:r>
      <w:r w:rsidR="005B5D98" w:rsidRPr="00D560D2">
        <w:rPr>
          <w:lang w:val="fr-CA"/>
        </w:rPr>
        <w:t xml:space="preserve"> 306 C.R.R. (2d) 211,</w:t>
      </w:r>
      <w:r w:rsidRPr="00D560D2">
        <w:rPr>
          <w:lang w:val="fr-CA"/>
        </w:rPr>
        <w:t xml:space="preserve"> 82 Admin. L.R. (5th) 117, 86 C.E.L.R. (</w:t>
      </w:r>
      <w:r w:rsidR="005B5D98" w:rsidRPr="00D560D2">
        <w:rPr>
          <w:lang w:val="fr-CA"/>
        </w:rPr>
        <w:t>3d) 202, [2014] 4 C.N.L.R. 143</w:t>
      </w:r>
      <w:r w:rsidRPr="00D560D2">
        <w:rPr>
          <w:lang w:val="fr-CA"/>
        </w:rPr>
        <w:t xml:space="preserve">, [2014] B.C.J. </w:t>
      </w:r>
      <w:r w:rsidR="00C416BC" w:rsidRPr="00D560D2">
        <w:rPr>
          <w:lang w:val="fr-CA"/>
        </w:rPr>
        <w:t>No. </w:t>
      </w:r>
      <w:r w:rsidRPr="00D560D2">
        <w:rPr>
          <w:lang w:val="fr-CA"/>
        </w:rPr>
        <w:t xml:space="preserve">584 (QL), 2014 CarswellBC 901 (WL Can.), </w:t>
      </w:r>
      <w:r w:rsidR="007A60AF" w:rsidRPr="00D560D2">
        <w:rPr>
          <w:lang w:val="fr-CA"/>
        </w:rPr>
        <w:t xml:space="preserve">qui a rejeté une demande de contrôle judiciaire de la décision du </w:t>
      </w:r>
      <w:r w:rsidR="00B702F7" w:rsidRPr="00D560D2">
        <w:rPr>
          <w:lang w:val="fr-CA"/>
        </w:rPr>
        <w:t>M</w:t>
      </w:r>
      <w:r w:rsidR="007A60AF" w:rsidRPr="00D560D2">
        <w:rPr>
          <w:lang w:val="fr-CA"/>
        </w:rPr>
        <w:t>inistre</w:t>
      </w:r>
      <w:r w:rsidR="001B4B5D" w:rsidRPr="00D560D2">
        <w:rPr>
          <w:lang w:val="fr-CA"/>
        </w:rPr>
        <w:t xml:space="preserve"> d’approuver une station de ski</w:t>
      </w:r>
      <w:r w:rsidRPr="00D560D2">
        <w:rPr>
          <w:lang w:val="fr-CA"/>
        </w:rPr>
        <w:t xml:space="preserve">. </w:t>
      </w:r>
      <w:r w:rsidR="005B5D98" w:rsidRPr="00D560D2">
        <w:rPr>
          <w:lang w:val="fr-CA"/>
        </w:rPr>
        <w:t>Pourvoi rejeté</w:t>
      </w:r>
      <w:r w:rsidRPr="00D560D2">
        <w:rPr>
          <w:lang w:val="fr-CA"/>
        </w:rPr>
        <w:t>.</w:t>
      </w:r>
    </w:p>
    <w:p w:rsidR="00682BCE" w:rsidRPr="00D560D2" w:rsidRDefault="001A6002" w:rsidP="0055329A">
      <w:pPr>
        <w:pStyle w:val="SCCNormalDoubleSpacing"/>
        <w:widowControl w:val="0"/>
        <w:spacing w:before="480" w:after="480"/>
        <w:rPr>
          <w:lang w:val="fr-CA"/>
        </w:rPr>
      </w:pPr>
      <w:r w:rsidRPr="00D560D2">
        <w:rPr>
          <w:rStyle w:val="SCCCounselNameChar"/>
          <w:i w:val="0"/>
          <w:lang w:val="fr-CA"/>
        </w:rPr>
        <w:tab/>
      </w:r>
      <w:r w:rsidRPr="00D560D2">
        <w:rPr>
          <w:rStyle w:val="SCCCounselNameChar"/>
          <w:lang w:val="fr-CA"/>
        </w:rPr>
        <w:t>Peter Grant</w:t>
      </w:r>
      <w:r w:rsidRPr="00D560D2">
        <w:rPr>
          <w:rStyle w:val="SCCCounselSeparatorChar"/>
          <w:lang w:val="fr-CA"/>
        </w:rPr>
        <w:t xml:space="preserve">, </w:t>
      </w:r>
      <w:r w:rsidRPr="00D560D2">
        <w:rPr>
          <w:rStyle w:val="SCCCounselNameChar"/>
          <w:lang w:val="fr-CA"/>
        </w:rPr>
        <w:t>Jeff Huberman</w:t>
      </w:r>
      <w:r w:rsidRPr="00D560D2">
        <w:rPr>
          <w:rStyle w:val="SCCCounselPartyRoleChar"/>
          <w:lang w:val="fr-CA"/>
        </w:rPr>
        <w:t xml:space="preserve">, </w:t>
      </w:r>
      <w:r w:rsidRPr="00D560D2">
        <w:rPr>
          <w:rStyle w:val="SCCCounselPartyRoleChar"/>
          <w:i/>
          <w:lang w:val="fr-CA"/>
        </w:rPr>
        <w:t>Karenna Williams</w:t>
      </w:r>
      <w:r w:rsidRPr="00D560D2">
        <w:rPr>
          <w:rStyle w:val="SCCCounselPartyRoleChar"/>
          <w:lang w:val="fr-CA"/>
        </w:rPr>
        <w:t xml:space="preserve"> et </w:t>
      </w:r>
      <w:r w:rsidRPr="00D560D2">
        <w:rPr>
          <w:rStyle w:val="SCCCounselPartyRoleChar"/>
          <w:i/>
          <w:lang w:val="fr-CA"/>
        </w:rPr>
        <w:t>Diane Soroka</w:t>
      </w:r>
      <w:r w:rsidR="00D73EA2" w:rsidRPr="00D560D2">
        <w:rPr>
          <w:rStyle w:val="SCCCounselPartyRoleChar"/>
          <w:lang w:val="fr-CA"/>
        </w:rPr>
        <w:t>, pour l</w:t>
      </w:r>
      <w:r w:rsidR="00612A25" w:rsidRPr="00D560D2">
        <w:rPr>
          <w:rStyle w:val="SCCCounselPartyRoleChar"/>
          <w:lang w:val="fr-CA"/>
        </w:rPr>
        <w:t xml:space="preserve">es </w:t>
      </w:r>
      <w:r w:rsidR="00D73EA2" w:rsidRPr="00D560D2">
        <w:rPr>
          <w:rStyle w:val="SCCCounselPartyRoleChar"/>
          <w:lang w:val="fr-CA"/>
        </w:rPr>
        <w:t>appelant</w:t>
      </w:r>
      <w:r w:rsidR="00612A25" w:rsidRPr="00D560D2">
        <w:rPr>
          <w:rStyle w:val="SCCCounselPartyRoleChar"/>
          <w:lang w:val="fr-CA"/>
        </w:rPr>
        <w:t>s</w:t>
      </w:r>
      <w:r w:rsidR="00D73EA2" w:rsidRPr="00D560D2">
        <w:rPr>
          <w:rStyle w:val="SCCCounselPartyRoleChar"/>
          <w:lang w:val="fr-CA"/>
        </w:rPr>
        <w:t>.</w:t>
      </w:r>
    </w:p>
    <w:p w:rsidR="00682BCE" w:rsidRPr="00D560D2" w:rsidRDefault="001A6002" w:rsidP="0055329A">
      <w:pPr>
        <w:pStyle w:val="SCCNormalDoubleSpacing"/>
        <w:widowControl w:val="0"/>
        <w:spacing w:before="480" w:after="480"/>
        <w:rPr>
          <w:rStyle w:val="SCCCounselNameChar"/>
          <w:i w:val="0"/>
          <w:lang w:val="fr-CA"/>
        </w:rPr>
      </w:pPr>
      <w:r w:rsidRPr="00D560D2">
        <w:rPr>
          <w:rStyle w:val="SCCCounselNameChar"/>
          <w:i w:val="0"/>
          <w:lang w:val="fr-CA"/>
        </w:rPr>
        <w:tab/>
      </w:r>
      <w:r w:rsidRPr="00D560D2">
        <w:rPr>
          <w:rStyle w:val="SCCCounselNameChar"/>
          <w:lang w:val="fr-CA"/>
        </w:rPr>
        <w:t>Jonathan G. Penner</w:t>
      </w:r>
      <w:r w:rsidRPr="00D560D2">
        <w:rPr>
          <w:rStyle w:val="SCCCounselNameChar"/>
          <w:i w:val="0"/>
          <w:lang w:val="fr-CA"/>
        </w:rPr>
        <w:t xml:space="preserve"> et</w:t>
      </w:r>
      <w:r w:rsidRPr="00D560D2">
        <w:rPr>
          <w:rStyle w:val="SCCCounselNameChar"/>
          <w:lang w:val="fr-CA"/>
        </w:rPr>
        <w:t xml:space="preserve"> Erin Christie</w:t>
      </w:r>
      <w:r w:rsidR="00D73EA2" w:rsidRPr="00D560D2">
        <w:rPr>
          <w:rStyle w:val="SCCCounselNameChar"/>
          <w:i w:val="0"/>
          <w:lang w:val="fr-CA"/>
        </w:rPr>
        <w:t>, pour l</w:t>
      </w:r>
      <w:r w:rsidR="002A2104" w:rsidRPr="00D560D2">
        <w:rPr>
          <w:rStyle w:val="SCCCounselNameChar"/>
          <w:i w:val="0"/>
          <w:lang w:val="fr-CA"/>
        </w:rPr>
        <w:t>’</w:t>
      </w:r>
      <w:r w:rsidR="00D73EA2" w:rsidRPr="00D560D2">
        <w:rPr>
          <w:rStyle w:val="SCCCounselNameChar"/>
          <w:i w:val="0"/>
          <w:lang w:val="fr-CA"/>
        </w:rPr>
        <w:t>intimé</w:t>
      </w:r>
      <w:r w:rsidR="00912E0C" w:rsidRPr="00D560D2">
        <w:rPr>
          <w:rStyle w:val="SCCCounselNameChar"/>
          <w:i w:val="0"/>
          <w:lang w:val="fr-CA"/>
        </w:rPr>
        <w:t xml:space="preserve"> </w:t>
      </w:r>
      <w:r w:rsidR="00B702F7" w:rsidRPr="009007DA">
        <w:rPr>
          <w:rStyle w:val="SCCCounselPartyRoleChar"/>
          <w:lang w:val="fr-CA"/>
        </w:rPr>
        <w:t>Minister of Forests, Lands and Natural Resource Operations</w:t>
      </w:r>
      <w:r w:rsidR="00D73EA2" w:rsidRPr="00D560D2">
        <w:rPr>
          <w:rStyle w:val="SCCCounselNameChar"/>
          <w:i w:val="0"/>
          <w:lang w:val="fr-CA"/>
        </w:rPr>
        <w:t>.</w:t>
      </w:r>
    </w:p>
    <w:p w:rsidR="00682BCE" w:rsidRPr="00D560D2" w:rsidRDefault="001A6002" w:rsidP="0055329A">
      <w:pPr>
        <w:pStyle w:val="SCCNormalDoubleSpacing"/>
        <w:widowControl w:val="0"/>
        <w:spacing w:before="480" w:after="480"/>
        <w:rPr>
          <w:lang w:val="fr-CA"/>
        </w:rPr>
      </w:pPr>
      <w:r w:rsidRPr="00D560D2">
        <w:rPr>
          <w:rStyle w:val="SCCCounselNameChar"/>
          <w:i w:val="0"/>
          <w:lang w:val="fr-CA"/>
        </w:rPr>
        <w:tab/>
      </w:r>
      <w:r w:rsidRPr="00D560D2">
        <w:rPr>
          <w:rStyle w:val="SCCCounselNameChar"/>
          <w:lang w:val="fr-CA"/>
        </w:rPr>
        <w:t>Gregory J. Tucker</w:t>
      </w:r>
      <w:r w:rsidRPr="00D560D2">
        <w:rPr>
          <w:rStyle w:val="SCCCounselNameChar"/>
          <w:i w:val="0"/>
          <w:lang w:val="fr-CA"/>
        </w:rPr>
        <w:t xml:space="preserve">, </w:t>
      </w:r>
      <w:r w:rsidRPr="00D560D2">
        <w:rPr>
          <w:rStyle w:val="SCCCounselNameChar"/>
          <w:lang w:val="fr-CA"/>
        </w:rPr>
        <w:t>c.r.</w:t>
      </w:r>
      <w:r w:rsidRPr="00D560D2">
        <w:rPr>
          <w:rStyle w:val="SCCCounselPartyRoleChar"/>
          <w:lang w:val="fr-CA"/>
        </w:rPr>
        <w:t xml:space="preserve">, et </w:t>
      </w:r>
      <w:r w:rsidRPr="00D560D2">
        <w:rPr>
          <w:rStyle w:val="SCCCounselPartyRoleChar"/>
          <w:i/>
          <w:lang w:val="fr-CA"/>
        </w:rPr>
        <w:t>Pamela E. Sheppard</w:t>
      </w:r>
      <w:r w:rsidR="00D73EA2" w:rsidRPr="00D560D2">
        <w:rPr>
          <w:rStyle w:val="SCCCounselPartyRoleChar"/>
          <w:lang w:val="fr-CA"/>
        </w:rPr>
        <w:t>, pour l</w:t>
      </w:r>
      <w:r w:rsidR="002A2104" w:rsidRPr="00D560D2">
        <w:rPr>
          <w:rStyle w:val="SCCCounselPartyRoleChar"/>
          <w:lang w:val="fr-CA"/>
        </w:rPr>
        <w:t>’</w:t>
      </w:r>
      <w:r w:rsidR="00D73EA2" w:rsidRPr="00D560D2">
        <w:rPr>
          <w:rStyle w:val="SCCCounselPartyRoleChar"/>
          <w:lang w:val="fr-CA"/>
        </w:rPr>
        <w:t>intimée</w:t>
      </w:r>
      <w:r w:rsidRPr="00D560D2">
        <w:rPr>
          <w:rStyle w:val="SCCCounselPartyRoleChar"/>
          <w:lang w:val="fr-CA"/>
        </w:rPr>
        <w:t xml:space="preserve"> Glacier Resorts Ltd</w:t>
      </w:r>
      <w:r w:rsidR="00D73EA2" w:rsidRPr="00D560D2">
        <w:rPr>
          <w:rStyle w:val="SCCCounselPartyRoleChar"/>
          <w:lang w:val="fr-CA"/>
        </w:rPr>
        <w:t>.</w:t>
      </w:r>
    </w:p>
    <w:p w:rsidR="001A6002" w:rsidRPr="00D560D2" w:rsidRDefault="001A6002" w:rsidP="0055329A">
      <w:pPr>
        <w:pStyle w:val="SCCNormalDoubleSpacing"/>
        <w:widowControl w:val="0"/>
        <w:spacing w:before="480" w:after="480"/>
        <w:rPr>
          <w:lang w:val="fr-CA"/>
        </w:rPr>
      </w:pPr>
      <w:r w:rsidRPr="00D560D2">
        <w:rPr>
          <w:rStyle w:val="SCCCounselNameChar"/>
          <w:i w:val="0"/>
          <w:lang w:val="fr-CA"/>
        </w:rPr>
        <w:tab/>
      </w:r>
      <w:r w:rsidRPr="00D560D2">
        <w:rPr>
          <w:rStyle w:val="SCCCounselNameChar"/>
          <w:lang w:val="fr-CA"/>
        </w:rPr>
        <w:t>Mitchell R. Taylor</w:t>
      </w:r>
      <w:r w:rsidRPr="00D560D2">
        <w:rPr>
          <w:rStyle w:val="SCCCounselNameChar"/>
          <w:i w:val="0"/>
          <w:lang w:val="fr-CA"/>
        </w:rPr>
        <w:t xml:space="preserve">, </w:t>
      </w:r>
      <w:r w:rsidRPr="00D560D2">
        <w:rPr>
          <w:rStyle w:val="SCCCounselNameChar"/>
          <w:lang w:val="fr-CA"/>
        </w:rPr>
        <w:t>c.r.</w:t>
      </w:r>
      <w:r w:rsidRPr="00D560D2">
        <w:rPr>
          <w:rStyle w:val="SCCCounselSeparatorChar"/>
          <w:lang w:val="fr-CA"/>
        </w:rPr>
        <w:t xml:space="preserve">, et </w:t>
      </w:r>
      <w:r w:rsidRPr="00D560D2">
        <w:rPr>
          <w:rStyle w:val="SCCCounselNameChar"/>
          <w:lang w:val="fr-CA"/>
        </w:rPr>
        <w:t>Sharlene Telles</w:t>
      </w:r>
      <w:r w:rsidR="00C416BC" w:rsidRPr="00D560D2">
        <w:rPr>
          <w:rStyle w:val="SCCCounselNameChar"/>
          <w:lang w:val="fr-CA"/>
        </w:rPr>
        <w:noBreakHyphen/>
      </w:r>
      <w:r w:rsidRPr="00D560D2">
        <w:rPr>
          <w:rStyle w:val="SCCCounselNameChar"/>
          <w:lang w:val="fr-CA"/>
        </w:rPr>
        <w:t>Langdon</w:t>
      </w:r>
      <w:r w:rsidRPr="00D560D2">
        <w:rPr>
          <w:rStyle w:val="SCCCounselPartyRoleChar"/>
          <w:lang w:val="fr-CA"/>
        </w:rPr>
        <w:t>, pour l’intervenant le procureur général du Canada.</w:t>
      </w:r>
    </w:p>
    <w:p w:rsidR="001A6002" w:rsidRPr="00D560D2" w:rsidRDefault="001A6002" w:rsidP="0055329A">
      <w:pPr>
        <w:pStyle w:val="SCCNormalDoubleSpacing"/>
        <w:widowControl w:val="0"/>
        <w:spacing w:before="480" w:after="480"/>
        <w:rPr>
          <w:lang w:val="fr-CA"/>
        </w:rPr>
      </w:pPr>
      <w:r w:rsidRPr="00D560D2">
        <w:rPr>
          <w:rStyle w:val="SCCCounselNameChar"/>
          <w:i w:val="0"/>
          <w:lang w:val="fr-CA"/>
        </w:rPr>
        <w:tab/>
      </w:r>
      <w:r w:rsidRPr="00D560D2">
        <w:rPr>
          <w:rStyle w:val="SCCCounselNameChar"/>
          <w:lang w:val="fr-CA"/>
        </w:rPr>
        <w:t>Richard James Fyfe</w:t>
      </w:r>
      <w:r w:rsidRPr="00D560D2">
        <w:rPr>
          <w:rStyle w:val="SCCCounselPartyRoleChar"/>
          <w:lang w:val="fr-CA"/>
        </w:rPr>
        <w:t>, pour l’intervenant le procureur général de la Saskatchewan.</w:t>
      </w:r>
    </w:p>
    <w:p w:rsidR="00682BCE" w:rsidRPr="00D560D2" w:rsidRDefault="001A6002" w:rsidP="0055329A">
      <w:pPr>
        <w:pStyle w:val="SCCNormalDoubleSpacing"/>
        <w:widowControl w:val="0"/>
        <w:spacing w:before="480" w:after="480"/>
      </w:pPr>
      <w:r w:rsidRPr="00D560D2">
        <w:rPr>
          <w:rStyle w:val="SCCCounselNameChar"/>
          <w:i w:val="0"/>
          <w:lang w:val="fr-CA"/>
        </w:rPr>
        <w:lastRenderedPageBreak/>
        <w:tab/>
      </w:r>
      <w:r w:rsidRPr="00D560D2">
        <w:rPr>
          <w:rStyle w:val="SCCCounselNameChar"/>
        </w:rPr>
        <w:t>Justin Safayeni</w:t>
      </w:r>
      <w:r w:rsidRPr="00D560D2">
        <w:rPr>
          <w:rStyle w:val="SCCCounselPartyRoleChar"/>
        </w:rPr>
        <w:t xml:space="preserve"> et </w:t>
      </w:r>
      <w:r w:rsidRPr="00D560D2">
        <w:rPr>
          <w:rStyle w:val="SCCCounselPartyRoleChar"/>
          <w:i/>
        </w:rPr>
        <w:t>Khalid Elgazzar</w:t>
      </w:r>
      <w:r w:rsidR="00D73EA2" w:rsidRPr="00D560D2">
        <w:rPr>
          <w:rStyle w:val="SCCCounselPartyRoleChar"/>
        </w:rPr>
        <w:t>, pour l</w:t>
      </w:r>
      <w:r w:rsidRPr="00D560D2">
        <w:rPr>
          <w:rStyle w:val="SCCCounselPartyRoleChar"/>
        </w:rPr>
        <w:t xml:space="preserve">es </w:t>
      </w:r>
      <w:r w:rsidR="00D73EA2" w:rsidRPr="00D560D2">
        <w:rPr>
          <w:rStyle w:val="SCCCounselPartyRoleChar"/>
        </w:rPr>
        <w:t>intervenant</w:t>
      </w:r>
      <w:r w:rsidRPr="00D560D2">
        <w:rPr>
          <w:rStyle w:val="SCCCounselPartyRoleChar"/>
        </w:rPr>
        <w:t>s</w:t>
      </w:r>
      <w:r w:rsidR="00D73EA2" w:rsidRPr="00D560D2">
        <w:rPr>
          <w:rStyle w:val="SCCCounselPartyRoleChar"/>
        </w:rPr>
        <w:t xml:space="preserve"> </w:t>
      </w:r>
      <w:r w:rsidR="001E0A72" w:rsidRPr="00D560D2">
        <w:rPr>
          <w:rStyle w:val="SCCCounselPartyRoleChar"/>
        </w:rPr>
        <w:t xml:space="preserve">l’Association canadienne des avocats musulmans, </w:t>
      </w:r>
      <w:r w:rsidR="00D73EA2" w:rsidRPr="00D560D2">
        <w:rPr>
          <w:rStyle w:val="SCCCounselPartyRoleChar"/>
        </w:rPr>
        <w:t>South Asian Legal Clinic of Ontario</w:t>
      </w:r>
      <w:r w:rsidR="001E0A72" w:rsidRPr="00D560D2">
        <w:rPr>
          <w:rStyle w:val="SCCCounselPartyRoleChar"/>
        </w:rPr>
        <w:t xml:space="preserve"> et Kootenay Presbytery (United Church of Canada)</w:t>
      </w:r>
      <w:r w:rsidR="00D73EA2" w:rsidRPr="00D560D2">
        <w:rPr>
          <w:rStyle w:val="SCCCounselPartyRoleChar"/>
        </w:rPr>
        <w:t>.</w:t>
      </w:r>
    </w:p>
    <w:p w:rsidR="00682BCE" w:rsidRPr="00D560D2" w:rsidRDefault="001E0A72" w:rsidP="0055329A">
      <w:pPr>
        <w:pStyle w:val="SCCNormalDoubleSpacing"/>
        <w:widowControl w:val="0"/>
        <w:spacing w:before="480" w:after="480"/>
        <w:rPr>
          <w:lang w:val="fr-CA"/>
        </w:rPr>
      </w:pPr>
      <w:r w:rsidRPr="00D560D2">
        <w:rPr>
          <w:rStyle w:val="SCCCounselNameChar"/>
          <w:i w:val="0"/>
        </w:rPr>
        <w:tab/>
      </w:r>
      <w:r w:rsidRPr="00D560D2">
        <w:rPr>
          <w:rStyle w:val="SCCCounselNameChar"/>
          <w:lang w:val="fr-CA"/>
        </w:rPr>
        <w:t>Albertos Polizogopoulos</w:t>
      </w:r>
      <w:r w:rsidRPr="00D560D2">
        <w:rPr>
          <w:rStyle w:val="SCCCounselSeparatorChar"/>
          <w:lang w:val="fr-CA"/>
        </w:rPr>
        <w:t xml:space="preserve"> et </w:t>
      </w:r>
      <w:r w:rsidRPr="00D560D2">
        <w:rPr>
          <w:rStyle w:val="SCCCounselNameChar"/>
          <w:lang w:val="fr-CA"/>
        </w:rPr>
        <w:t>Derek Ross</w:t>
      </w:r>
      <w:r w:rsidR="00D73EA2" w:rsidRPr="00D560D2">
        <w:rPr>
          <w:rStyle w:val="SCCCounselPartyRoleChar"/>
          <w:lang w:val="fr-CA"/>
        </w:rPr>
        <w:t>, pour l</w:t>
      </w:r>
      <w:r w:rsidRPr="00D560D2">
        <w:rPr>
          <w:rStyle w:val="SCCCounselPartyRoleChar"/>
          <w:lang w:val="fr-CA"/>
        </w:rPr>
        <w:t xml:space="preserve">es </w:t>
      </w:r>
      <w:r w:rsidR="00D73EA2" w:rsidRPr="00D560D2">
        <w:rPr>
          <w:rStyle w:val="SCCCounselPartyRoleChar"/>
          <w:lang w:val="fr-CA"/>
        </w:rPr>
        <w:t>intervenant</w:t>
      </w:r>
      <w:r w:rsidRPr="00D560D2">
        <w:rPr>
          <w:rStyle w:val="SCCCounselPartyRoleChar"/>
          <w:lang w:val="fr-CA"/>
        </w:rPr>
        <w:t>es</w:t>
      </w:r>
      <w:r w:rsidR="00D73EA2" w:rsidRPr="00D560D2">
        <w:rPr>
          <w:rStyle w:val="SCCCounselPartyRoleChar"/>
          <w:lang w:val="fr-CA"/>
        </w:rPr>
        <w:t xml:space="preserve"> </w:t>
      </w:r>
      <w:r w:rsidRPr="00D560D2">
        <w:rPr>
          <w:rStyle w:val="SCCCounselPartyRoleChar"/>
          <w:lang w:val="fr-CA"/>
        </w:rPr>
        <w:t>l’Alliance évangélique du Canada et l’Alliance des chrétiens en droit</w:t>
      </w:r>
      <w:r w:rsidR="00D73EA2" w:rsidRPr="00D560D2">
        <w:rPr>
          <w:rStyle w:val="SCCCounselPartyRoleChar"/>
          <w:lang w:val="fr-CA"/>
        </w:rPr>
        <w:t>.</w:t>
      </w:r>
    </w:p>
    <w:p w:rsidR="00682BCE" w:rsidRPr="00D560D2" w:rsidRDefault="001E0A72" w:rsidP="0055329A">
      <w:pPr>
        <w:pStyle w:val="SCCNormalDoubleSpacing"/>
        <w:widowControl w:val="0"/>
        <w:spacing w:before="480" w:after="480"/>
        <w:rPr>
          <w:lang w:val="fr-CA"/>
        </w:rPr>
      </w:pPr>
      <w:r w:rsidRPr="00D560D2">
        <w:rPr>
          <w:rStyle w:val="SCCCounselNameChar"/>
          <w:i w:val="0"/>
          <w:lang w:val="fr-CA"/>
        </w:rPr>
        <w:tab/>
        <w:t xml:space="preserve">Argumentation écrite seulement par </w:t>
      </w:r>
      <w:r w:rsidR="00D73EA2" w:rsidRPr="00D560D2">
        <w:rPr>
          <w:rStyle w:val="SCCCounselNameChar"/>
          <w:lang w:val="fr-CA"/>
        </w:rPr>
        <w:t>Avnish Nanda</w:t>
      </w:r>
      <w:r w:rsidR="00D73EA2" w:rsidRPr="00D560D2">
        <w:rPr>
          <w:rStyle w:val="SCCCounselPartyRoleChar"/>
          <w:lang w:val="fr-CA"/>
        </w:rPr>
        <w:t>, pour l</w:t>
      </w:r>
      <w:r w:rsidR="002A2104" w:rsidRPr="00D560D2">
        <w:rPr>
          <w:rStyle w:val="SCCCounselPartyRoleChar"/>
          <w:lang w:val="fr-CA"/>
        </w:rPr>
        <w:t>’</w:t>
      </w:r>
      <w:r w:rsidR="00D73EA2" w:rsidRPr="00D560D2">
        <w:rPr>
          <w:rStyle w:val="SCCCounselPartyRoleChar"/>
          <w:lang w:val="fr-CA"/>
        </w:rPr>
        <w:t>intervenant Alberta Muslim Public Affairs Council.</w:t>
      </w:r>
    </w:p>
    <w:p w:rsidR="00682BCE" w:rsidRPr="00D560D2" w:rsidRDefault="001E0A72" w:rsidP="0055329A">
      <w:pPr>
        <w:pStyle w:val="SCCNormalDoubleSpacing"/>
        <w:widowControl w:val="0"/>
        <w:spacing w:before="480" w:after="480"/>
        <w:rPr>
          <w:lang w:val="fr-CA"/>
        </w:rPr>
      </w:pPr>
      <w:r w:rsidRPr="00D560D2">
        <w:rPr>
          <w:rStyle w:val="SCCCounselNameChar"/>
          <w:i w:val="0"/>
          <w:lang w:val="fr-CA"/>
        </w:rPr>
        <w:tab/>
      </w:r>
      <w:r w:rsidRPr="00D560D2">
        <w:rPr>
          <w:rStyle w:val="SCCCounselNameChar"/>
          <w:lang w:val="fr-CA"/>
        </w:rPr>
        <w:t>Joshua Ginsberg</w:t>
      </w:r>
      <w:r w:rsidRPr="00D560D2">
        <w:rPr>
          <w:rStyle w:val="SCCCounselSeparatorChar"/>
          <w:lang w:val="fr-CA"/>
        </w:rPr>
        <w:t xml:space="preserve"> et </w:t>
      </w:r>
      <w:r w:rsidRPr="00D560D2">
        <w:rPr>
          <w:rStyle w:val="SCCCounselNameChar"/>
          <w:lang w:val="fr-CA"/>
        </w:rPr>
        <w:t>Randy Christensen</w:t>
      </w:r>
      <w:r w:rsidRPr="00D560D2">
        <w:rPr>
          <w:rStyle w:val="SCCCounselPartyRoleChar"/>
          <w:lang w:val="fr-CA"/>
        </w:rPr>
        <w:t>,</w:t>
      </w:r>
      <w:r w:rsidR="00D73EA2" w:rsidRPr="00D560D2">
        <w:rPr>
          <w:rStyle w:val="SCCCounselPartyRoleChar"/>
          <w:lang w:val="fr-CA"/>
        </w:rPr>
        <w:t xml:space="preserve"> pour l</w:t>
      </w:r>
      <w:r w:rsidR="002A2104" w:rsidRPr="00D560D2">
        <w:rPr>
          <w:rStyle w:val="SCCCounselPartyRoleChar"/>
          <w:lang w:val="fr-CA"/>
        </w:rPr>
        <w:t>’</w:t>
      </w:r>
      <w:r w:rsidR="00D73EA2" w:rsidRPr="00D560D2">
        <w:rPr>
          <w:rStyle w:val="SCCCounselPartyRoleChar"/>
          <w:lang w:val="fr-CA"/>
        </w:rPr>
        <w:t xml:space="preserve">intervenante </w:t>
      </w:r>
      <w:r w:rsidR="003C760F" w:rsidRPr="00D560D2">
        <w:rPr>
          <w:rStyle w:val="SCCCounselPartyRoleChar"/>
          <w:lang w:val="fr-CA"/>
        </w:rPr>
        <w:t>Amnistie internationale (Canada)</w:t>
      </w:r>
      <w:r w:rsidR="00D73EA2" w:rsidRPr="00D560D2">
        <w:rPr>
          <w:rStyle w:val="SCCCounselPartyRoleChar"/>
          <w:lang w:val="fr-CA"/>
        </w:rPr>
        <w:t>.</w:t>
      </w:r>
    </w:p>
    <w:p w:rsidR="00682BCE" w:rsidRPr="00D560D2" w:rsidRDefault="001E0A72" w:rsidP="0055329A">
      <w:pPr>
        <w:pStyle w:val="SCCNormalDoubleSpacing"/>
        <w:widowControl w:val="0"/>
        <w:spacing w:before="480" w:after="480"/>
        <w:rPr>
          <w:lang w:val="fr-CA"/>
        </w:rPr>
      </w:pPr>
      <w:r w:rsidRPr="00D560D2">
        <w:rPr>
          <w:rStyle w:val="SCCCounselNameChar"/>
          <w:i w:val="0"/>
          <w:lang w:val="fr-CA"/>
        </w:rPr>
        <w:tab/>
      </w:r>
      <w:r w:rsidRPr="00D560D2">
        <w:rPr>
          <w:rStyle w:val="SCCCounselNameChar"/>
          <w:lang w:val="fr-CA"/>
        </w:rPr>
        <w:t>Robert J. M. Janes</w:t>
      </w:r>
      <w:r w:rsidRPr="00D560D2">
        <w:rPr>
          <w:rStyle w:val="SCCCounselNameChar"/>
          <w:i w:val="0"/>
          <w:lang w:val="fr-CA"/>
        </w:rPr>
        <w:t xml:space="preserve">, </w:t>
      </w:r>
      <w:r w:rsidRPr="00D560D2">
        <w:rPr>
          <w:rStyle w:val="SCCCounselNameChar"/>
          <w:lang w:val="fr-CA"/>
        </w:rPr>
        <w:t>c.r.</w:t>
      </w:r>
      <w:r w:rsidRPr="00D560D2">
        <w:rPr>
          <w:rStyle w:val="SCCCounselSeparatorChar"/>
          <w:lang w:val="fr-CA"/>
        </w:rPr>
        <w:t xml:space="preserve">, et </w:t>
      </w:r>
      <w:r w:rsidRPr="00D560D2">
        <w:rPr>
          <w:rStyle w:val="SCCCounselNameChar"/>
          <w:lang w:val="fr-CA"/>
        </w:rPr>
        <w:t>Claire Truesdale</w:t>
      </w:r>
      <w:r w:rsidR="00D73EA2" w:rsidRPr="00D560D2">
        <w:rPr>
          <w:rStyle w:val="SCCCounselPartyRoleChar"/>
          <w:lang w:val="fr-CA"/>
        </w:rPr>
        <w:t>, pour l</w:t>
      </w:r>
      <w:r w:rsidR="002A2104" w:rsidRPr="00D560D2">
        <w:rPr>
          <w:rStyle w:val="SCCCounselPartyRoleChar"/>
          <w:lang w:val="fr-CA"/>
        </w:rPr>
        <w:t>’</w:t>
      </w:r>
      <w:r w:rsidR="00D73EA2" w:rsidRPr="00D560D2">
        <w:rPr>
          <w:rStyle w:val="SCCCounselPartyRoleChar"/>
          <w:lang w:val="fr-CA"/>
        </w:rPr>
        <w:t>intervenante Te</w:t>
      </w:r>
      <w:r w:rsidR="002A2104" w:rsidRPr="00D560D2">
        <w:rPr>
          <w:rStyle w:val="SCCCounselPartyRoleChar"/>
          <w:lang w:val="fr-CA"/>
        </w:rPr>
        <w:t>’</w:t>
      </w:r>
      <w:r w:rsidR="00D73EA2" w:rsidRPr="00D560D2">
        <w:rPr>
          <w:rStyle w:val="SCCCounselPartyRoleChar"/>
          <w:lang w:val="fr-CA"/>
        </w:rPr>
        <w:t>mexw Treaty Association.</w:t>
      </w:r>
    </w:p>
    <w:p w:rsidR="00682BCE" w:rsidRPr="00D560D2" w:rsidRDefault="001E0A72" w:rsidP="0055329A">
      <w:pPr>
        <w:pStyle w:val="SCCNormalDoubleSpacing"/>
        <w:widowControl w:val="0"/>
        <w:spacing w:before="480" w:after="480"/>
        <w:rPr>
          <w:lang w:val="fr-CA"/>
        </w:rPr>
      </w:pPr>
      <w:r w:rsidRPr="00D560D2">
        <w:rPr>
          <w:rStyle w:val="SCCCounselNameChar"/>
          <w:i w:val="0"/>
          <w:lang w:val="fr-CA"/>
        </w:rPr>
        <w:tab/>
        <w:t xml:space="preserve">Argumentation écrite seulement par </w:t>
      </w:r>
      <w:r w:rsidRPr="00D560D2">
        <w:rPr>
          <w:rStyle w:val="SCCCounselNameChar"/>
          <w:lang w:val="fr-CA"/>
        </w:rPr>
        <w:t>Lisa </w:t>
      </w:r>
      <w:r w:rsidR="00D73EA2" w:rsidRPr="00D560D2">
        <w:rPr>
          <w:rStyle w:val="SCCCounselNameChar"/>
          <w:lang w:val="fr-CA"/>
        </w:rPr>
        <w:t>C. Fong</w:t>
      </w:r>
      <w:r w:rsidR="00D73EA2" w:rsidRPr="00D560D2">
        <w:rPr>
          <w:rStyle w:val="SCCCounselPartyRoleChar"/>
          <w:lang w:val="fr-CA"/>
        </w:rPr>
        <w:t>, pour l</w:t>
      </w:r>
      <w:r w:rsidR="002A2104" w:rsidRPr="00D560D2">
        <w:rPr>
          <w:rStyle w:val="SCCCounselPartyRoleChar"/>
          <w:lang w:val="fr-CA"/>
        </w:rPr>
        <w:t>’</w:t>
      </w:r>
      <w:r w:rsidR="00D73EA2" w:rsidRPr="00D560D2">
        <w:rPr>
          <w:rStyle w:val="SCCCounselPartyRoleChar"/>
          <w:lang w:val="fr-CA"/>
        </w:rPr>
        <w:t>intervenante Central Coast Indigenous Resource Alliance.</w:t>
      </w:r>
    </w:p>
    <w:p w:rsidR="00682BCE" w:rsidRPr="00D560D2" w:rsidRDefault="001E0A72" w:rsidP="0055329A">
      <w:pPr>
        <w:pStyle w:val="SCCNormalDoubleSpacing"/>
        <w:widowControl w:val="0"/>
        <w:spacing w:before="480" w:after="480"/>
        <w:rPr>
          <w:lang w:val="fr-CA"/>
        </w:rPr>
      </w:pPr>
      <w:r w:rsidRPr="00D560D2">
        <w:rPr>
          <w:rStyle w:val="SCCCounselNameChar"/>
          <w:i w:val="0"/>
          <w:lang w:val="fr-CA"/>
        </w:rPr>
        <w:tab/>
      </w:r>
      <w:r w:rsidRPr="00D560D2">
        <w:rPr>
          <w:rStyle w:val="SCCCounselNameChar"/>
          <w:lang w:val="fr-CA"/>
        </w:rPr>
        <w:t>Senwung Luk</w:t>
      </w:r>
      <w:r w:rsidRPr="00D560D2">
        <w:rPr>
          <w:rStyle w:val="SCCCounselSeparatorChar"/>
          <w:lang w:val="fr-CA"/>
        </w:rPr>
        <w:t xml:space="preserve"> et </w:t>
      </w:r>
      <w:r w:rsidRPr="00D560D2">
        <w:rPr>
          <w:rStyle w:val="SCCCounselNameChar"/>
          <w:lang w:val="fr-CA"/>
        </w:rPr>
        <w:t>Krista Nerland</w:t>
      </w:r>
      <w:r w:rsidR="00D73EA2" w:rsidRPr="00D560D2">
        <w:rPr>
          <w:rStyle w:val="SCCCounselPartyRoleChar"/>
          <w:lang w:val="fr-CA"/>
        </w:rPr>
        <w:t>, pour l</w:t>
      </w:r>
      <w:r w:rsidR="002A2104" w:rsidRPr="00D560D2">
        <w:rPr>
          <w:rStyle w:val="SCCCounselPartyRoleChar"/>
          <w:lang w:val="fr-CA"/>
        </w:rPr>
        <w:t>’</w:t>
      </w:r>
      <w:r w:rsidR="00D73EA2" w:rsidRPr="00D560D2">
        <w:rPr>
          <w:rStyle w:val="SCCCounselPartyRoleChar"/>
          <w:lang w:val="fr-CA"/>
        </w:rPr>
        <w:t>intervenant Shibogama First Nations Council.</w:t>
      </w:r>
    </w:p>
    <w:p w:rsidR="00682BCE" w:rsidRPr="00D560D2" w:rsidRDefault="001E0A72" w:rsidP="0055329A">
      <w:pPr>
        <w:pStyle w:val="SCCNormalDoubleSpacing"/>
        <w:widowControl w:val="0"/>
        <w:spacing w:before="480" w:after="480"/>
        <w:rPr>
          <w:lang w:val="fr-CA"/>
        </w:rPr>
      </w:pPr>
      <w:r w:rsidRPr="00D560D2">
        <w:rPr>
          <w:rStyle w:val="SCCCounselNameChar"/>
          <w:i w:val="0"/>
          <w:lang w:val="fr-CA"/>
        </w:rPr>
        <w:tab/>
      </w:r>
      <w:r w:rsidRPr="00D560D2">
        <w:rPr>
          <w:rStyle w:val="SCCCounselNameChar"/>
          <w:lang w:val="fr-CA"/>
        </w:rPr>
        <w:t>Neil Finkelstein</w:t>
      </w:r>
      <w:r w:rsidRPr="00D560D2">
        <w:rPr>
          <w:rStyle w:val="SCCCounselSeparatorChar"/>
          <w:lang w:val="fr-CA"/>
        </w:rPr>
        <w:t xml:space="preserve">, </w:t>
      </w:r>
      <w:r w:rsidRPr="00D560D2">
        <w:rPr>
          <w:rStyle w:val="SCCCounselNameChar"/>
          <w:lang w:val="fr-CA"/>
        </w:rPr>
        <w:t>Brandon Kain</w:t>
      </w:r>
      <w:r w:rsidRPr="00D560D2">
        <w:rPr>
          <w:rStyle w:val="SCCCounselNameChar"/>
          <w:i w:val="0"/>
          <w:lang w:val="fr-CA"/>
        </w:rPr>
        <w:t xml:space="preserve"> et</w:t>
      </w:r>
      <w:r w:rsidRPr="00D560D2">
        <w:rPr>
          <w:rStyle w:val="SCCCounselSeparatorChar"/>
          <w:lang w:val="fr-CA"/>
        </w:rPr>
        <w:t xml:space="preserve"> </w:t>
      </w:r>
      <w:r w:rsidRPr="00D560D2">
        <w:rPr>
          <w:rStyle w:val="SCCCounselNameChar"/>
          <w:lang w:val="fr-CA"/>
        </w:rPr>
        <w:t>Bryn Gray</w:t>
      </w:r>
      <w:r w:rsidR="00D73EA2" w:rsidRPr="00D560D2">
        <w:rPr>
          <w:rStyle w:val="SCCCounselPartyRoleChar"/>
          <w:lang w:val="fr-CA"/>
        </w:rPr>
        <w:t>, pour l</w:t>
      </w:r>
      <w:r w:rsidR="002A2104" w:rsidRPr="00D560D2">
        <w:rPr>
          <w:rStyle w:val="SCCCounselPartyRoleChar"/>
          <w:lang w:val="fr-CA"/>
        </w:rPr>
        <w:t>’</w:t>
      </w:r>
      <w:r w:rsidRPr="00D560D2">
        <w:rPr>
          <w:rStyle w:val="SCCCounselPartyRoleChar"/>
          <w:lang w:val="fr-CA"/>
        </w:rPr>
        <w:t>intervenant</w:t>
      </w:r>
      <w:r w:rsidR="00D73EA2" w:rsidRPr="00D560D2">
        <w:rPr>
          <w:rStyle w:val="SCCCounselPartyRoleChar"/>
          <w:lang w:val="fr-CA"/>
        </w:rPr>
        <w:t>e</w:t>
      </w:r>
      <w:r w:rsidRPr="00D560D2">
        <w:rPr>
          <w:rStyle w:val="SCCCounselPartyRoleChar"/>
          <w:lang w:val="fr-CA"/>
        </w:rPr>
        <w:t xml:space="preserve"> la</w:t>
      </w:r>
      <w:r w:rsidR="00D73EA2" w:rsidRPr="00D560D2">
        <w:rPr>
          <w:rStyle w:val="SCCCounselPartyRoleChar"/>
          <w:lang w:val="fr-CA"/>
        </w:rPr>
        <w:t xml:space="preserve"> </w:t>
      </w:r>
      <w:r w:rsidRPr="00D560D2">
        <w:rPr>
          <w:lang w:val="fr-CA"/>
        </w:rPr>
        <w:t>Chambre de commerce du Canada</w:t>
      </w:r>
      <w:r w:rsidR="00D73EA2" w:rsidRPr="00D560D2">
        <w:rPr>
          <w:rStyle w:val="SCCCounselPartyRoleChar"/>
          <w:lang w:val="fr-CA"/>
        </w:rPr>
        <w:t>.</w:t>
      </w:r>
    </w:p>
    <w:p w:rsidR="00682BCE" w:rsidRPr="00D560D2" w:rsidRDefault="001E0A72" w:rsidP="0055329A">
      <w:pPr>
        <w:pStyle w:val="SCCNormalDoubleSpacing"/>
        <w:widowControl w:val="0"/>
        <w:spacing w:before="480" w:after="480"/>
      </w:pPr>
      <w:r w:rsidRPr="00D560D2">
        <w:rPr>
          <w:rStyle w:val="SCCCounselNameChar"/>
          <w:i w:val="0"/>
          <w:lang w:val="fr-CA"/>
        </w:rPr>
        <w:lastRenderedPageBreak/>
        <w:tab/>
      </w:r>
      <w:r w:rsidRPr="00D560D2">
        <w:rPr>
          <w:rStyle w:val="SCCCounselNameChar"/>
        </w:rPr>
        <w:t>Jessica Orkin</w:t>
      </w:r>
      <w:r w:rsidRPr="00D560D2">
        <w:rPr>
          <w:rStyle w:val="SCCCounselSeparatorChar"/>
        </w:rPr>
        <w:t xml:space="preserve"> et </w:t>
      </w:r>
      <w:r w:rsidRPr="00D560D2">
        <w:rPr>
          <w:rStyle w:val="SCCCounselNameChar"/>
        </w:rPr>
        <w:t>Adriel Weaver</w:t>
      </w:r>
      <w:r w:rsidR="00D73EA2" w:rsidRPr="00D560D2">
        <w:rPr>
          <w:rStyle w:val="SCCCounselPartyRoleChar"/>
        </w:rPr>
        <w:t>, pour l</w:t>
      </w:r>
      <w:r w:rsidR="002A2104" w:rsidRPr="00D560D2">
        <w:rPr>
          <w:rStyle w:val="SCCCounselPartyRoleChar"/>
        </w:rPr>
        <w:t>’</w:t>
      </w:r>
      <w:r w:rsidR="00D73EA2" w:rsidRPr="00D560D2">
        <w:rPr>
          <w:rStyle w:val="SCCCounselPartyRoleChar"/>
        </w:rPr>
        <w:t xml:space="preserve">intervenante </w:t>
      </w:r>
      <w:r w:rsidR="00A12706" w:rsidRPr="00D560D2">
        <w:t>British Columbia Civil Liberties Association</w:t>
      </w:r>
      <w:r w:rsidR="00D73EA2" w:rsidRPr="00D560D2">
        <w:rPr>
          <w:rStyle w:val="SCCCounselPartyRoleChar"/>
        </w:rPr>
        <w:t>.</w:t>
      </w:r>
    </w:p>
    <w:p w:rsidR="00682BCE" w:rsidRPr="00D560D2" w:rsidRDefault="001E0A72" w:rsidP="0055329A">
      <w:pPr>
        <w:pStyle w:val="SCCNormalDoubleSpacing"/>
        <w:widowControl w:val="0"/>
        <w:spacing w:before="480" w:after="480"/>
      </w:pPr>
      <w:r w:rsidRPr="00D560D2">
        <w:rPr>
          <w:rStyle w:val="SCCCounselNameChar"/>
          <w:i w:val="0"/>
        </w:rPr>
        <w:tab/>
      </w:r>
      <w:r w:rsidRPr="00D560D2">
        <w:rPr>
          <w:rStyle w:val="SCCCounselNameChar"/>
        </w:rPr>
        <w:t>Paul Williams</w:t>
      </w:r>
      <w:r w:rsidR="00D73EA2" w:rsidRPr="00D560D2">
        <w:rPr>
          <w:rStyle w:val="SCCCounselPartyRoleChar"/>
        </w:rPr>
        <w:t>, pour l</w:t>
      </w:r>
      <w:r w:rsidR="002A2104" w:rsidRPr="00D560D2">
        <w:rPr>
          <w:rStyle w:val="SCCCounselPartyRoleChar"/>
        </w:rPr>
        <w:t>’</w:t>
      </w:r>
      <w:r w:rsidR="00D73EA2" w:rsidRPr="00D560D2">
        <w:rPr>
          <w:rStyle w:val="SCCCounselPartyRoleChar"/>
        </w:rPr>
        <w:t>intervenant Council of the Passamaquoddy Nation at Schoodic.</w:t>
      </w:r>
    </w:p>
    <w:p w:rsidR="00682BCE" w:rsidRPr="00D560D2" w:rsidRDefault="001E0A72" w:rsidP="0055329A">
      <w:pPr>
        <w:pStyle w:val="SCCNormalDoubleSpacing"/>
        <w:widowControl w:val="0"/>
        <w:spacing w:before="480" w:after="480"/>
        <w:rPr>
          <w:lang w:val="fr-CA"/>
        </w:rPr>
      </w:pPr>
      <w:r w:rsidRPr="00D560D2">
        <w:rPr>
          <w:rStyle w:val="SCCCounselNameChar"/>
          <w:i w:val="0"/>
        </w:rPr>
        <w:tab/>
      </w:r>
      <w:r w:rsidRPr="00D560D2">
        <w:rPr>
          <w:rStyle w:val="SCCCounselNameChar"/>
          <w:i w:val="0"/>
          <w:lang w:val="fr-CA"/>
        </w:rPr>
        <w:t xml:space="preserve">Argumentation écrite seulement par </w:t>
      </w:r>
      <w:r w:rsidR="00D73EA2" w:rsidRPr="00D560D2">
        <w:rPr>
          <w:rStyle w:val="SCCCounselNameChar"/>
          <w:lang w:val="fr-CA"/>
        </w:rPr>
        <w:t>John Burns</w:t>
      </w:r>
      <w:r w:rsidR="00D73EA2" w:rsidRPr="00D560D2">
        <w:rPr>
          <w:rStyle w:val="SCCCounselSeparatorChar"/>
          <w:lang w:val="fr-CA"/>
        </w:rPr>
        <w:t xml:space="preserve"> et </w:t>
      </w:r>
      <w:r w:rsidR="00D73EA2" w:rsidRPr="00D560D2">
        <w:rPr>
          <w:rStyle w:val="SCCCounselNameChar"/>
          <w:lang w:val="fr-CA"/>
        </w:rPr>
        <w:t>Amy</w:t>
      </w:r>
      <w:r w:rsidRPr="00D560D2">
        <w:rPr>
          <w:rStyle w:val="SCCCounselNameChar"/>
          <w:lang w:val="fr-CA"/>
        </w:rPr>
        <w:t xml:space="preserve"> </w:t>
      </w:r>
      <w:r w:rsidR="00D73EA2" w:rsidRPr="00D560D2">
        <w:rPr>
          <w:rStyle w:val="SCCCounselNameChar"/>
          <w:lang w:val="fr-CA"/>
        </w:rPr>
        <w:t>Jo Scherman</w:t>
      </w:r>
      <w:r w:rsidR="00D73EA2" w:rsidRPr="00D560D2">
        <w:rPr>
          <w:rStyle w:val="SCCCounselPartyRoleChar"/>
          <w:lang w:val="fr-CA"/>
        </w:rPr>
        <w:t>, pour l</w:t>
      </w:r>
      <w:r w:rsidR="002A2104" w:rsidRPr="00D560D2">
        <w:rPr>
          <w:rStyle w:val="SCCCounselPartyRoleChar"/>
          <w:lang w:val="fr-CA"/>
        </w:rPr>
        <w:t>’</w:t>
      </w:r>
      <w:r w:rsidR="00D73EA2" w:rsidRPr="00D560D2">
        <w:rPr>
          <w:rStyle w:val="SCCCounselPartyRoleChar"/>
          <w:lang w:val="fr-CA"/>
        </w:rPr>
        <w:t>intervenante Katzie First Nation.</w:t>
      </w:r>
    </w:p>
    <w:p w:rsidR="007921BE" w:rsidRDefault="001E0A72" w:rsidP="0055329A">
      <w:pPr>
        <w:pStyle w:val="SCCNormalDoubleSpacing"/>
        <w:widowControl w:val="0"/>
        <w:spacing w:before="480" w:after="480"/>
        <w:rPr>
          <w:rStyle w:val="SCCCounselPartyRoleChar"/>
          <w:lang w:val="fr-CA"/>
        </w:rPr>
      </w:pPr>
      <w:r w:rsidRPr="00D560D2">
        <w:rPr>
          <w:rStyle w:val="SCCCounselNameChar"/>
          <w:i w:val="0"/>
          <w:lang w:val="fr-CA"/>
        </w:rPr>
        <w:tab/>
        <w:t xml:space="preserve">Argumentation écrite seulement par </w:t>
      </w:r>
      <w:r w:rsidRPr="00D560D2">
        <w:rPr>
          <w:rStyle w:val="SCCCounselNameChar"/>
          <w:lang w:val="fr-CA"/>
        </w:rPr>
        <w:t>John W. Gailus</w:t>
      </w:r>
      <w:r w:rsidRPr="00D560D2">
        <w:rPr>
          <w:rStyle w:val="SCCCounselSeparatorChar"/>
          <w:lang w:val="fr-CA"/>
        </w:rPr>
        <w:t xml:space="preserve"> et </w:t>
      </w:r>
      <w:r w:rsidRPr="00D560D2">
        <w:rPr>
          <w:rStyle w:val="SCCCounselSeparatorChar"/>
          <w:i/>
          <w:lang w:val="fr-CA"/>
        </w:rPr>
        <w:t>Christopher G. Devlin</w:t>
      </w:r>
      <w:r w:rsidR="00D73EA2" w:rsidRPr="00D560D2">
        <w:rPr>
          <w:rStyle w:val="SCCCounselPartyRoleChar"/>
          <w:lang w:val="fr-CA"/>
        </w:rPr>
        <w:t>, pour l</w:t>
      </w:r>
      <w:r w:rsidRPr="00D560D2">
        <w:rPr>
          <w:rStyle w:val="SCCCounselPartyRoleChar"/>
          <w:lang w:val="fr-CA"/>
        </w:rPr>
        <w:t xml:space="preserve">es </w:t>
      </w:r>
      <w:r w:rsidR="00D73EA2" w:rsidRPr="00D560D2">
        <w:rPr>
          <w:rStyle w:val="SCCCounselPartyRoleChar"/>
          <w:lang w:val="fr-CA"/>
        </w:rPr>
        <w:t>intervenante</w:t>
      </w:r>
      <w:r w:rsidRPr="00D560D2">
        <w:rPr>
          <w:rStyle w:val="SCCCounselPartyRoleChar"/>
          <w:lang w:val="fr-CA"/>
        </w:rPr>
        <w:t>s</w:t>
      </w:r>
      <w:r w:rsidR="00D73EA2" w:rsidRPr="00D560D2">
        <w:rPr>
          <w:rStyle w:val="SCCCounselPartyRoleChar"/>
          <w:lang w:val="fr-CA"/>
        </w:rPr>
        <w:t xml:space="preserve"> West Moberly First Nations </w:t>
      </w:r>
      <w:r w:rsidRPr="00D560D2">
        <w:rPr>
          <w:rStyle w:val="SCCCounselPartyRoleChar"/>
          <w:lang w:val="fr-CA"/>
        </w:rPr>
        <w:t>et</w:t>
      </w:r>
      <w:r w:rsidR="00D73EA2" w:rsidRPr="00D560D2">
        <w:rPr>
          <w:rStyle w:val="SCCCounselPartyRoleChar"/>
          <w:lang w:val="fr-CA"/>
        </w:rPr>
        <w:t xml:space="preserve"> Prophet River First Nation.</w:t>
      </w:r>
    </w:p>
    <w:p w:rsidR="00094732" w:rsidRDefault="00BB0F16" w:rsidP="0055329A">
      <w:pPr>
        <w:pStyle w:val="SCCNormalDoubleSpacing"/>
        <w:widowControl w:val="0"/>
        <w:spacing w:before="480" w:after="480"/>
        <w:rPr>
          <w:lang w:val="fr-CA"/>
        </w:rPr>
      </w:pPr>
      <w:r>
        <w:rPr>
          <w:lang w:val="fr-CA"/>
        </w:rPr>
        <w:tab/>
      </w:r>
      <w:r w:rsidR="00094732" w:rsidRPr="00FF5197">
        <w:rPr>
          <w:lang w:val="fr-CA"/>
        </w:rPr>
        <w:t xml:space="preserve">Version française </w:t>
      </w:r>
      <w:r w:rsidR="00094732">
        <w:rPr>
          <w:lang w:val="fr-CA"/>
        </w:rPr>
        <w:t>du jugement de la juge en chef McLachlin et des</w:t>
      </w:r>
      <w:r w:rsidR="00094732" w:rsidRPr="00EA53E1">
        <w:rPr>
          <w:lang w:val="fr-CA"/>
        </w:rPr>
        <w:t xml:space="preserve"> juges Abella, Karakatsanis, </w:t>
      </w:r>
      <w:r w:rsidR="00094732">
        <w:rPr>
          <w:lang w:val="fr-CA"/>
        </w:rPr>
        <w:t>Wagner, Gascon, Brown et Rowe</w:t>
      </w:r>
      <w:r w:rsidR="00094732" w:rsidRPr="00EA53E1">
        <w:rPr>
          <w:lang w:val="fr-CA"/>
        </w:rPr>
        <w:t xml:space="preserve"> rendu par </w:t>
      </w:r>
    </w:p>
    <w:p w:rsidR="00094732" w:rsidRPr="002A6EA4" w:rsidRDefault="00094732" w:rsidP="0055329A">
      <w:pPr>
        <w:pStyle w:val="JudgeJuge"/>
        <w:widowControl w:val="0"/>
        <w:spacing w:before="480"/>
        <w:rPr>
          <w:lang w:val="fr-CA"/>
        </w:rPr>
      </w:pPr>
      <w:r w:rsidRPr="002A6EA4">
        <w:rPr>
          <w:lang w:val="fr-CA"/>
        </w:rPr>
        <w:tab/>
        <w:t xml:space="preserve">La Juge en chef et le juge Rowe — </w:t>
      </w:r>
    </w:p>
    <w:p w:rsidR="00094732" w:rsidRPr="002A6EA4" w:rsidRDefault="00094732" w:rsidP="0055329A">
      <w:pPr>
        <w:pStyle w:val="Title1LevelTitre1Niveau-AltL"/>
        <w:widowControl w:val="0"/>
        <w:rPr>
          <w:rFonts w:cs="Times New Roman"/>
          <w:lang w:val="fr-CA"/>
        </w:rPr>
      </w:pPr>
      <w:r w:rsidRPr="002A6EA4">
        <w:rPr>
          <w:rFonts w:cs="Times New Roman"/>
          <w:lang w:val="fr-CA"/>
        </w:rPr>
        <w:t>Introduction</w:t>
      </w:r>
    </w:p>
    <w:p w:rsidR="00094732" w:rsidRPr="002A6EA4" w:rsidRDefault="00094732" w:rsidP="0055329A">
      <w:pPr>
        <w:pStyle w:val="ParaNoNdepar-AltN"/>
        <w:widowControl w:val="0"/>
        <w:rPr>
          <w:rFonts w:cs="Times New Roman"/>
          <w:lang w:val="fr-CA"/>
        </w:rPr>
      </w:pPr>
      <w:r w:rsidRPr="002A6EA4">
        <w:rPr>
          <w:rFonts w:cs="Times New Roman"/>
          <w:lang w:val="fr-CA"/>
        </w:rPr>
        <w:t>Dans le présent pourvoi, il s’agit de décider si l’intimé, Minister of Forests, Lands and Natural Resource Operations de la Colombie</w:t>
      </w:r>
      <w:r w:rsidRPr="002A6EA4">
        <w:rPr>
          <w:rFonts w:cs="Times New Roman"/>
          <w:lang w:val="fr-CA"/>
        </w:rPr>
        <w:noBreakHyphen/>
        <w:t xml:space="preserve">Britannique (« Ministre »), a commis une erreur en approuvant l’aménagement d’une station de ski malgré les revendications des Ktunaxa, qui soutenaient que l’aménagement porterait atteinte à leur </w:t>
      </w:r>
      <w:r w:rsidRPr="002A6EA4">
        <w:rPr>
          <w:rFonts w:cs="Times New Roman"/>
          <w:lang w:val="fr-CA"/>
        </w:rPr>
        <w:lastRenderedPageBreak/>
        <w:t xml:space="preserve">droit constitutionnel à la liberté de religion et à leurs droits ancestraux dont l’art. 35 de la </w:t>
      </w:r>
      <w:r w:rsidRPr="002A6EA4">
        <w:rPr>
          <w:rFonts w:cs="Times New Roman"/>
          <w:i/>
          <w:lang w:val="fr-CA"/>
        </w:rPr>
        <w:t>Loi constitutionnelle de 1982</w:t>
      </w:r>
      <w:r w:rsidRPr="002A6EA4">
        <w:rPr>
          <w:rFonts w:cs="Times New Roman"/>
          <w:lang w:val="fr-CA"/>
        </w:rPr>
        <w:t xml:space="preserve"> commande la protection.</w:t>
      </w:r>
    </w:p>
    <w:p w:rsidR="00094732" w:rsidRPr="002A6EA4" w:rsidRDefault="00094732" w:rsidP="0055329A">
      <w:pPr>
        <w:pStyle w:val="ParaNoNdepar-AltN"/>
        <w:widowControl w:val="0"/>
        <w:rPr>
          <w:rFonts w:cs="Times New Roman"/>
          <w:lang w:val="fr-CA"/>
        </w:rPr>
      </w:pPr>
      <w:r w:rsidRPr="002A6EA4">
        <w:rPr>
          <w:rFonts w:cs="Times New Roman"/>
          <w:lang w:val="fr-CA"/>
        </w:rPr>
        <w:t>Les appelants représentent le peuple des Ktunaxa dont le territoire traditionnel regrouperait des terres qui s’étendent de part et d’autre de la frontière internationale entre le Canada et les États</w:t>
      </w:r>
      <w:r w:rsidRPr="002A6EA4">
        <w:rPr>
          <w:rFonts w:cs="Times New Roman"/>
          <w:lang w:val="fr-CA"/>
        </w:rPr>
        <w:noBreakHyphen/>
        <w:t>Unis et englobent le nord</w:t>
      </w:r>
      <w:r w:rsidRPr="002A6EA4">
        <w:rPr>
          <w:rFonts w:cs="Times New Roman"/>
          <w:lang w:val="fr-CA"/>
        </w:rPr>
        <w:noBreakHyphen/>
        <w:t>est de l’État de Washington, le nord de l’Idaho, le nord</w:t>
      </w:r>
      <w:r w:rsidRPr="002A6EA4">
        <w:rPr>
          <w:rFonts w:cs="Times New Roman"/>
          <w:lang w:val="fr-CA"/>
        </w:rPr>
        <w:noBreakHyphen/>
        <w:t>ouest du Montana, le sud</w:t>
      </w:r>
      <w:r w:rsidRPr="002A6EA4">
        <w:rPr>
          <w:rFonts w:cs="Times New Roman"/>
          <w:lang w:val="fr-CA"/>
        </w:rPr>
        <w:noBreakHyphen/>
        <w:t>ouest de l’Alberta et le sud</w:t>
      </w:r>
      <w:r w:rsidRPr="002A6EA4">
        <w:rPr>
          <w:rFonts w:cs="Times New Roman"/>
          <w:lang w:val="fr-CA"/>
        </w:rPr>
        <w:noBreakHyphen/>
        <w:t>est de la Colombie</w:t>
      </w:r>
      <w:r w:rsidRPr="002A6EA4">
        <w:rPr>
          <w:rFonts w:cs="Times New Roman"/>
          <w:lang w:val="fr-CA"/>
        </w:rPr>
        <w:noBreakHyphen/>
        <w:t xml:space="preserve">Britannique. </w:t>
      </w:r>
    </w:p>
    <w:p w:rsidR="00094732" w:rsidRPr="002A6EA4" w:rsidRDefault="00094732" w:rsidP="0055329A">
      <w:pPr>
        <w:pStyle w:val="ParaNoNdepar-AltN"/>
        <w:widowControl w:val="0"/>
        <w:rPr>
          <w:rFonts w:cs="Times New Roman"/>
          <w:lang w:val="fr-CA"/>
        </w:rPr>
      </w:pPr>
      <w:r w:rsidRPr="002A6EA4">
        <w:rPr>
          <w:rFonts w:cs="Times New Roman"/>
          <w:lang w:val="fr-CA"/>
        </w:rPr>
        <w:t>La présente affaire concerne une proposition d’aménagement dans un secteur que les Ktunaxa appellent le Qat’muk. Ce secteur est situé dans une vallée canadienne, dans la partie nord</w:t>
      </w:r>
      <w:r w:rsidRPr="002A6EA4">
        <w:rPr>
          <w:rFonts w:cs="Times New Roman"/>
          <w:lang w:val="fr-CA"/>
        </w:rPr>
        <w:noBreakHyphen/>
        <w:t>ouest du vaste territoire des Ktunaxa, la vallée Jumbo, à environ 55 kilomètres à l’ouest de la ville d’Invermere, en Colombie</w:t>
      </w:r>
      <w:r w:rsidRPr="002A6EA4">
        <w:rPr>
          <w:rFonts w:cs="Times New Roman"/>
          <w:lang w:val="fr-CA"/>
        </w:rPr>
        <w:noBreakHyphen/>
        <w:t>Britannique.</w:t>
      </w:r>
    </w:p>
    <w:p w:rsidR="00094732" w:rsidRPr="002A6EA4" w:rsidRDefault="00094732" w:rsidP="0055329A">
      <w:pPr>
        <w:pStyle w:val="ParaNoNdepar-AltN"/>
        <w:widowControl w:val="0"/>
        <w:rPr>
          <w:rFonts w:cs="Times New Roman"/>
          <w:lang w:val="fr-CA"/>
        </w:rPr>
      </w:pPr>
      <w:r w:rsidRPr="002A6EA4">
        <w:rPr>
          <w:rFonts w:cs="Times New Roman"/>
          <w:lang w:val="fr-CA"/>
        </w:rPr>
        <w:t>L’intimée Glacier Resorts Ltd. (« Glacier Resorts »</w:t>
      </w:r>
      <w:r>
        <w:rPr>
          <w:rFonts w:cs="Times New Roman"/>
          <w:lang w:val="fr-CA"/>
        </w:rPr>
        <w:t>)</w:t>
      </w:r>
      <w:r w:rsidRPr="002A6EA4">
        <w:rPr>
          <w:rFonts w:cs="Times New Roman"/>
          <w:lang w:val="fr-CA"/>
        </w:rPr>
        <w:t xml:space="preserve"> souhaite construire dans le Qat’muk une station de ski ouverte à longueur d’année et munie de remonte-pentes par lesquels on pourrait accéder aux pistes de glacier et qui offrirait un hébergement pour la nuit aux visiteurs et au personnel. Glacier Resorts a négocié pendant plus de 20 ans les conditions de l’aménagement avec le gouvernement de la Colombie</w:t>
      </w:r>
      <w:r w:rsidRPr="002A6EA4">
        <w:rPr>
          <w:rFonts w:cs="Times New Roman"/>
          <w:lang w:val="fr-CA"/>
        </w:rPr>
        <w:noBreakHyphen/>
        <w:t>Britannique et différents intéressés, notamment les peuples autochtones qui habitent la vallée, les Ktunaxa et les Shuswap.</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Au début du processus, les peuples des Ktunaxa et des Shuswap ont fait part de leurs préoccupations quant aux répercussions du projet. Les Ktunaxa ont affirmé </w:t>
      </w:r>
      <w:r w:rsidRPr="002A6EA4">
        <w:rPr>
          <w:rFonts w:cs="Times New Roman"/>
          <w:lang w:val="fr-CA"/>
        </w:rPr>
        <w:lastRenderedPageBreak/>
        <w:t xml:space="preserve">que le Qat’muk était un lieu d’importance spirituelle pour eux. Fait à noter, il abrite une population importante de grizzlys et l’Esprit de l’Ours Grizzly, ou </w:t>
      </w:r>
      <w:r w:rsidRPr="002A6EA4">
        <w:rPr>
          <w:rFonts w:cs="Times New Roman"/>
          <w:szCs w:val="24"/>
          <w:lang w:val="fr-CA"/>
        </w:rPr>
        <w:t>K</w:t>
      </w:r>
      <w:r w:rsidRPr="002A6EA4">
        <w:rPr>
          <w:rFonts w:cs="Times New Roman"/>
          <w:szCs w:val="24"/>
        </w:rPr>
        <w:t>ⱡ</w:t>
      </w:r>
      <w:r w:rsidRPr="002A6EA4">
        <w:rPr>
          <w:rFonts w:cs="Times New Roman"/>
          <w:szCs w:val="24"/>
          <w:lang w:val="fr-CA"/>
        </w:rPr>
        <w:t>aw</w:t>
      </w:r>
      <w:r w:rsidRPr="002A6EA4">
        <w:rPr>
          <w:rFonts w:cs="Times New Roman"/>
          <w:szCs w:val="24"/>
        </w:rPr>
        <w:t>ⱡ</w:t>
      </w:r>
      <w:r w:rsidRPr="002A6EA4">
        <w:rPr>
          <w:rFonts w:cs="Times New Roman"/>
          <w:szCs w:val="24"/>
          <w:lang w:val="fr-CA"/>
        </w:rPr>
        <w:t>a Tuk</w:t>
      </w:r>
      <w:r w:rsidRPr="002A6EA4">
        <w:rPr>
          <w:rFonts w:cs="Times New Roman"/>
          <w:szCs w:val="24"/>
        </w:rPr>
        <w:t>ⱡ</w:t>
      </w:r>
      <w:r w:rsidRPr="002A6EA4">
        <w:rPr>
          <w:rFonts w:cs="Times New Roman"/>
          <w:szCs w:val="24"/>
          <w:lang w:val="fr-CA"/>
        </w:rPr>
        <w:t>u</w:t>
      </w:r>
      <w:r w:rsidRPr="002A6EA4">
        <w:rPr>
          <w:rFonts w:cs="Times New Roman"/>
          <w:szCs w:val="24"/>
        </w:rPr>
        <w:t>ⱡ</w:t>
      </w:r>
      <w:r w:rsidRPr="002A6EA4">
        <w:rPr>
          <w:rFonts w:cs="Times New Roman"/>
          <w:szCs w:val="24"/>
          <w:lang w:val="fr-CA"/>
        </w:rPr>
        <w:t>akʔis, [</w:t>
      </w:r>
      <w:r w:rsidRPr="002A6EA4">
        <w:rPr>
          <w:rFonts w:cs="Times New Roman"/>
          <w:smallCaps/>
          <w:szCs w:val="24"/>
          <w:lang w:val="fr-CA"/>
        </w:rPr>
        <w:t>traduction</w:t>
      </w:r>
      <w:r w:rsidRPr="002A6EA4">
        <w:rPr>
          <w:rFonts w:cs="Times New Roman"/>
          <w:szCs w:val="24"/>
          <w:lang w:val="fr-CA"/>
        </w:rPr>
        <w:t>] « un esprit principal des croyances religieuses et de la cosmologie des Ktunaxa »</w:t>
      </w:r>
      <w:r w:rsidR="00DA7800">
        <w:rPr>
          <w:rFonts w:cs="Times New Roman"/>
          <w:szCs w:val="24"/>
          <w:lang w:val="fr-CA"/>
        </w:rPr>
        <w:t> : m.a., par. 18</w:t>
      </w:r>
      <w:r w:rsidRPr="002A6EA4">
        <w:rPr>
          <w:rFonts w:cs="Times New Roman"/>
          <w:szCs w:val="24"/>
          <w:lang w:val="fr-CA"/>
        </w:rPr>
        <w:t xml:space="preserve">. </w:t>
      </w:r>
    </w:p>
    <w:p w:rsidR="00094732" w:rsidRPr="002A6EA4" w:rsidRDefault="00094732" w:rsidP="0055329A">
      <w:pPr>
        <w:pStyle w:val="ParaNoNdepar-AltN"/>
        <w:widowControl w:val="0"/>
        <w:rPr>
          <w:rFonts w:cs="Times New Roman"/>
          <w:lang w:val="fr-CA"/>
        </w:rPr>
      </w:pPr>
      <w:r w:rsidRPr="002A6EA4">
        <w:rPr>
          <w:rFonts w:cs="Times New Roman"/>
          <w:lang w:val="fr-CA"/>
        </w:rPr>
        <w:t>Des consultations ont débouché sur des modifications importantes à la proposition initiale. Les Shuswap se sont dits satisfaits des changements et ont donné leur appui à la proposition compte tenu des avantages qu’elle présenterait pour leur peuple et la région. Les Ktunaxa se sont quant à eux dit</w:t>
      </w:r>
      <w:r w:rsidR="00FF02D7">
        <w:rPr>
          <w:rFonts w:cs="Times New Roman"/>
          <w:lang w:val="fr-CA"/>
        </w:rPr>
        <w:t>s</w:t>
      </w:r>
      <w:r w:rsidRPr="002A6EA4">
        <w:rPr>
          <w:rFonts w:cs="Times New Roman"/>
          <w:lang w:val="fr-CA"/>
        </w:rPr>
        <w:t xml:space="preserve"> insatisfaits, mais ils se sont engagés à participer à de nouvelles consultations en vue d’éliminer les derniers obstacles et d’arriver à un compromis satisfaisant pour tous. De longs pourparlers s’ensuivirent et les parties semblaient sur le point de parvenir à un accord. Puis, vers la fin du processus, les Ktunaxa ont adopté une position inflexible, estimant désormais qu’il était impossible d’arriver à un compromis parce qu’une station de ski munie de remonte</w:t>
      </w:r>
      <w:r w:rsidRPr="002A6EA4">
        <w:rPr>
          <w:rFonts w:cs="Times New Roman"/>
          <w:lang w:val="fr-CA"/>
        </w:rPr>
        <w:noBreakHyphen/>
        <w:t>pentes vers les pistes de glacier et d’installations permanentes chasserait l’Esprit de l’Ours Grizzly du Qat’muk et porterait irrémédiablement atteinte à leurs croyances et pratiques religieuses. Après avoir tenté sans succès de relancer le processus de consultation et de parvenir à un accord, le gouvernement a déclaré qu’il y avait eu une consultation raisonnable et a approuvé le projet.</w:t>
      </w:r>
    </w:p>
    <w:p w:rsidR="00094732" w:rsidRPr="002A6EA4" w:rsidRDefault="00094732" w:rsidP="0055329A">
      <w:pPr>
        <w:pStyle w:val="ParaNoNdepar-AltN"/>
        <w:widowControl w:val="0"/>
        <w:rPr>
          <w:rFonts w:cs="Times New Roman"/>
          <w:lang w:val="fr-CA"/>
        </w:rPr>
      </w:pPr>
      <w:r w:rsidRPr="002A6EA4">
        <w:rPr>
          <w:rFonts w:cs="Times New Roman"/>
          <w:lang w:val="fr-CA"/>
        </w:rPr>
        <w:t>Les appelants, Ktunaxa Nation Council et Kathryn Teneese, la présidente de ce conseil, ont intenté une procédure de contrôle judiciaire devant la Cour suprême de la Colombie</w:t>
      </w:r>
      <w:r w:rsidRPr="002A6EA4">
        <w:rPr>
          <w:rFonts w:cs="Times New Roman"/>
          <w:lang w:val="fr-CA"/>
        </w:rPr>
        <w:noBreakHyphen/>
        <w:t xml:space="preserve">Britannique pour faire annuler l’approbation, par le Ministre, du projet </w:t>
      </w:r>
      <w:r w:rsidRPr="002A6EA4">
        <w:rPr>
          <w:rFonts w:cs="Times New Roman"/>
          <w:lang w:val="fr-CA"/>
        </w:rPr>
        <w:lastRenderedPageBreak/>
        <w:t>de station de ski. Ils invoquaient deux moyens indépendants : premièrement, le projet porterait atteinte à la liberté de religion garantie aux Ktunaxa par l’al. 2</w:t>
      </w:r>
      <w:r w:rsidRPr="002A6EA4">
        <w:rPr>
          <w:rFonts w:cs="Times New Roman"/>
          <w:i/>
          <w:lang w:val="fr-CA"/>
        </w:rPr>
        <w:t>a</w:t>
      </w:r>
      <w:r w:rsidRPr="002A6EA4">
        <w:rPr>
          <w:rFonts w:cs="Times New Roman"/>
          <w:lang w:val="fr-CA"/>
        </w:rPr>
        <w:t xml:space="preserve">) de la </w:t>
      </w:r>
      <w:r w:rsidRPr="002A6EA4">
        <w:rPr>
          <w:rFonts w:cs="Times New Roman"/>
          <w:i/>
          <w:lang w:val="fr-CA"/>
        </w:rPr>
        <w:t>Charte canadienne des droits et libertés</w:t>
      </w:r>
      <w:r w:rsidRPr="002A6EA4">
        <w:rPr>
          <w:rFonts w:cs="Times New Roman"/>
          <w:lang w:val="fr-CA"/>
        </w:rPr>
        <w:t xml:space="preserve">; deuxièmement, le gouvernement a manqué à l’obligation de consultation et d’accommodement qu’impose à la Couronne l’art. 35 de la </w:t>
      </w:r>
      <w:r w:rsidRPr="002A6EA4">
        <w:rPr>
          <w:rFonts w:cs="Times New Roman"/>
          <w:i/>
          <w:lang w:val="fr-CA"/>
        </w:rPr>
        <w:t>Loi constitutionnelle de 1982</w:t>
      </w:r>
      <w:r w:rsidRPr="002A6EA4">
        <w:rPr>
          <w:rFonts w:cs="Times New Roman"/>
          <w:lang w:val="fr-CA"/>
        </w:rPr>
        <w:t>. Le juge en chambre a rejeté la requête en contrôle judiciaire, et la Cour d’appel a confirmé sa décision. Les Ktunaxa se pourvoient maintenant devant notre Cour.</w:t>
      </w:r>
    </w:p>
    <w:p w:rsidR="00094732" w:rsidRPr="002A6EA4" w:rsidRDefault="00094732" w:rsidP="0055329A">
      <w:pPr>
        <w:pStyle w:val="ParaNoNdepar-AltN"/>
        <w:widowControl w:val="0"/>
        <w:rPr>
          <w:rFonts w:cs="Times New Roman"/>
          <w:lang w:val="fr-CA"/>
        </w:rPr>
      </w:pPr>
      <w:r w:rsidRPr="002A6EA4">
        <w:rPr>
          <w:rFonts w:cs="Times New Roman"/>
          <w:lang w:val="fr-CA"/>
        </w:rPr>
        <w:t>Nous sommes d’avis de rejeter le pourvoi. Nous concluons que la revendication ne fait pas intervenir le droit à la liberté de conscience et de religion garanti à l’al. 2</w:t>
      </w:r>
      <w:r w:rsidRPr="002A6EA4">
        <w:rPr>
          <w:rFonts w:cs="Times New Roman"/>
          <w:i/>
          <w:lang w:val="fr-CA"/>
        </w:rPr>
        <w:t>a</w:t>
      </w:r>
      <w:r w:rsidRPr="002A6EA4">
        <w:rPr>
          <w:rFonts w:cs="Times New Roman"/>
          <w:lang w:val="fr-CA"/>
        </w:rPr>
        <w:t xml:space="preserve">) de la </w:t>
      </w:r>
      <w:r w:rsidRPr="002A6EA4">
        <w:rPr>
          <w:rFonts w:cs="Times New Roman"/>
          <w:i/>
          <w:lang w:val="fr-CA"/>
        </w:rPr>
        <w:t xml:space="preserve">Charte. </w:t>
      </w:r>
      <w:r w:rsidRPr="002A6EA4">
        <w:rPr>
          <w:rFonts w:cs="Times New Roman"/>
          <w:lang w:val="fr-CA"/>
        </w:rPr>
        <w:t>L’alinéa 2</w:t>
      </w:r>
      <w:r w:rsidRPr="002A6EA4">
        <w:rPr>
          <w:rFonts w:cs="Times New Roman"/>
          <w:i/>
          <w:lang w:val="fr-CA"/>
        </w:rPr>
        <w:t>a</w:t>
      </w:r>
      <w:r w:rsidRPr="002A6EA4">
        <w:rPr>
          <w:rFonts w:cs="Times New Roman"/>
          <w:lang w:val="fr-CA"/>
        </w:rPr>
        <w:t>) protège la liberté des individus et des groupes d’avoir et de manifester des croyances religieuses</w:t>
      </w:r>
      <w:r w:rsidR="00835BFA">
        <w:rPr>
          <w:rFonts w:cs="Times New Roman"/>
          <w:lang w:val="fr-CA"/>
        </w:rPr>
        <w:t xml:space="preserve"> : </w:t>
      </w:r>
      <w:r w:rsidRPr="002A6EA4">
        <w:rPr>
          <w:rFonts w:cs="Times New Roman"/>
          <w:i/>
          <w:lang w:val="fr-CA"/>
        </w:rPr>
        <w:t>R. c. Big M Drug Mart Ltd.</w:t>
      </w:r>
      <w:r w:rsidR="00835BFA">
        <w:rPr>
          <w:rFonts w:cs="Times New Roman"/>
          <w:lang w:val="fr-CA"/>
        </w:rPr>
        <w:t>, [1985] 1 R.C.S. 295, p. 336</w:t>
      </w:r>
      <w:r w:rsidRPr="002A6EA4">
        <w:rPr>
          <w:rFonts w:cs="Times New Roman"/>
          <w:lang w:val="fr-CA"/>
        </w:rPr>
        <w:t>. La revendication des Ktunaxa ne relève pas de cette disposition car la décision du Ministre d’approuver le projet ne porte atteinte ni à la liberté des Ktunaxa d’avoir leurs croyances ni à leur liberté de manifester ces croyances.</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Nous jugeons aussi que le Ministre, quoique tenu par l’art. 35 de la </w:t>
      </w:r>
      <w:r w:rsidRPr="002A6EA4">
        <w:rPr>
          <w:rFonts w:cs="Times New Roman"/>
          <w:i/>
          <w:lang w:val="fr-CA"/>
        </w:rPr>
        <w:t>Loi constitutionnelle de 1982</w:t>
      </w:r>
      <w:r w:rsidRPr="002A6EA4">
        <w:rPr>
          <w:rFonts w:cs="Times New Roman"/>
          <w:lang w:val="fr-CA"/>
        </w:rPr>
        <w:t xml:space="preserve"> de consulter les Ktunaxa pour essayer de répondre à leurs préoccupations, n’a pas agi déraisonnablement en concluant que les exigences de l’art. 35 avaient été respectées et en approuvant le projet.</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Nous arrivons à ces conclusions en étant conscients de l’importance de protéger les croyances et pratiques religieuses des Autochtones et du rôle que joue une </w:t>
      </w:r>
      <w:r w:rsidRPr="002A6EA4">
        <w:rPr>
          <w:rFonts w:cs="Times New Roman"/>
          <w:lang w:val="fr-CA"/>
        </w:rPr>
        <w:lastRenderedPageBreak/>
        <w:t xml:space="preserve">telle protection dans l’atteinte d’une réconciliation entre les peuples autochtones et les communautés non autochtones. </w:t>
      </w:r>
    </w:p>
    <w:p w:rsidR="00094732" w:rsidRPr="002A6EA4" w:rsidRDefault="00094732" w:rsidP="0055329A">
      <w:pPr>
        <w:pStyle w:val="Title1LevelTitre1Niveau-AltL"/>
        <w:widowControl w:val="0"/>
        <w:rPr>
          <w:rFonts w:cs="Times New Roman"/>
          <w:lang w:val="fr-CA"/>
        </w:rPr>
      </w:pPr>
      <w:r w:rsidRPr="002A6EA4">
        <w:rPr>
          <w:rFonts w:cs="Times New Roman"/>
          <w:lang w:val="fr-CA"/>
        </w:rPr>
        <w:t>Faits</w:t>
      </w:r>
    </w:p>
    <w:p w:rsidR="00094732" w:rsidRPr="002A6EA4" w:rsidRDefault="00094732" w:rsidP="0055329A">
      <w:pPr>
        <w:pStyle w:val="ParaNoNdepar-AltN"/>
        <w:widowControl w:val="0"/>
        <w:rPr>
          <w:rFonts w:cs="Times New Roman"/>
          <w:lang w:val="fr-CA"/>
        </w:rPr>
      </w:pPr>
      <w:r w:rsidRPr="002A6EA4">
        <w:rPr>
          <w:rFonts w:cs="Times New Roman"/>
          <w:lang w:val="fr-CA"/>
        </w:rPr>
        <w:t>La vallée Jumbo et le Qat’muk se situent dans le territoire traditionnel des Ktunaxa. Ces derniers croient que l’Esprit de l’Ours Grizzly habite le Qat’muk. Personne ne conteste que cet esprit est au cœur des croyances et pratiques religieuses des Ktunaxa.</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La vallée Jumbo a longtemps été utilisée pour l’héliski, pratique qui consiste à amener par hélicoptère des skieurs au sommet de pistes, d’où ils descendent jusqu’au fond de la vallée. Dans les années 1980, Glacier Resorts s’est mise à caresser un projet de construction d’une station de ski permanente près de l’extrémité nord de la vallée, pour lequel </w:t>
      </w:r>
      <w:r>
        <w:rPr>
          <w:rFonts w:cs="Times New Roman"/>
          <w:lang w:val="fr-CA"/>
        </w:rPr>
        <w:t>elle</w:t>
      </w:r>
      <w:r w:rsidRPr="002A6EA4">
        <w:rPr>
          <w:rFonts w:cs="Times New Roman"/>
          <w:lang w:val="fr-CA"/>
        </w:rPr>
        <w:t xml:space="preserve"> a sollicité l’approbation du gouvernement.</w:t>
      </w:r>
    </w:p>
    <w:p w:rsidR="00094732" w:rsidRPr="002A6EA4" w:rsidRDefault="00094732" w:rsidP="0055329A">
      <w:pPr>
        <w:pStyle w:val="ParaNoNdepar-AltN"/>
        <w:widowControl w:val="0"/>
        <w:spacing w:before="10"/>
        <w:rPr>
          <w:rFonts w:cs="Times New Roman"/>
          <w:lang w:val="fr-CA"/>
        </w:rPr>
      </w:pPr>
      <w:r w:rsidRPr="002A6EA4">
        <w:rPr>
          <w:rFonts w:cs="Times New Roman"/>
          <w:lang w:val="fr-CA"/>
        </w:rPr>
        <w:t xml:space="preserve">Le processus d’approbation réglementaire de la station de ski s’est révélé une entreprise de longue haleine en raison de ses étapes consécutives : (1) l’étape relative à la politique sur les centres de ski alpin à vocation commerciale (« PCSAVC »), qui vise à déterminer la qualité de seul promoteur; (2) l’étape relative à la Commission sur les ressources et l’environnement (« CORE »), qui vise à déterminer les meilleures utilisations du terrain; (3) l’étape relative à l’évaluation environnementale, qui cherche à résoudre les questions liées aux répercussions sur l’environnement, la faune et la culture, et se termine par la délivrance d’un certificat </w:t>
      </w:r>
      <w:r w:rsidRPr="002A6EA4">
        <w:rPr>
          <w:rFonts w:cs="Times New Roman"/>
          <w:lang w:val="fr-CA"/>
        </w:rPr>
        <w:lastRenderedPageBreak/>
        <w:t>d’évaluation environnementale (« CÉE »); (4) la présentation d’un plan directeur qui, s’il est approuvé, mènerait à un accord</w:t>
      </w:r>
      <w:r w:rsidRPr="002A6EA4">
        <w:rPr>
          <w:rFonts w:cs="Times New Roman"/>
          <w:lang w:val="fr-CA"/>
        </w:rPr>
        <w:noBreakHyphen/>
        <w:t>cadre d’aménagement (« ACA ») entre le promoteur et le gouvernement. Le processus global comportait une consultation publique à laquelle les Ktunaxa ont participé à chacune des étapes. Au cours des divers examens, de nombreux changements ont été apportés au plan initial. L’ensemble du processus, au terme duquel le Ministre a jugé la consultation adéquate, a duré de 1991 à 2011, soit plus de 20 ans.</w:t>
      </w:r>
    </w:p>
    <w:p w:rsidR="00094732" w:rsidRPr="002A6EA4" w:rsidRDefault="00094732" w:rsidP="0055329A">
      <w:pPr>
        <w:pStyle w:val="ParaNoNdepar-AltN"/>
        <w:widowControl w:val="0"/>
        <w:rPr>
          <w:rFonts w:cs="Times New Roman"/>
          <w:lang w:val="fr-CA"/>
        </w:rPr>
      </w:pPr>
      <w:r w:rsidRPr="002A6EA4">
        <w:rPr>
          <w:rFonts w:cs="Times New Roman"/>
          <w:lang w:val="fr-CA"/>
        </w:rPr>
        <w:t>Jusqu’en 2005, les Ktunaxa ont participé aux étapes réglementaires conjointement avec les Shuswap par l’entremise du Ktunaxa/Kinbasket Tribal Council (« KKTC »). Toutefois, en 2005, les Shuswap se sont dissociés des Ktunaxa au sujet de la station de ski proposée et ont quitté le KKTC. Les Shuswap soutiennent le projet, estimant qu’on a raisonnablement tenu compte de leurs intérêts et que le projet sera bénéfique pour leur communauté, alors que les Ktunaxa disent que leurs intérêts ne peuvent être pris en compte et exigent le rejet du projet.</w:t>
      </w:r>
    </w:p>
    <w:p w:rsidR="00094732" w:rsidRPr="002A6EA4" w:rsidRDefault="00094732" w:rsidP="0055329A">
      <w:pPr>
        <w:pStyle w:val="ParaNoNdepar-AltN"/>
        <w:widowControl w:val="0"/>
        <w:rPr>
          <w:rFonts w:cs="Times New Roman"/>
          <w:lang w:val="fr-CA"/>
        </w:rPr>
      </w:pPr>
      <w:r w:rsidRPr="002A6EA4">
        <w:rPr>
          <w:rFonts w:cs="Times New Roman"/>
          <w:lang w:val="fr-CA"/>
        </w:rPr>
        <w:t>La question du caractère adéquat de la consultation est au centre du présent pourvoi. Il est par conséquent nécessaire de relater de manière assez détaillée ce qui s’est produit à chaque étape du processus réglementaire.</w:t>
      </w:r>
    </w:p>
    <w:p w:rsidR="00094732" w:rsidRPr="002A6EA4" w:rsidRDefault="00094732" w:rsidP="0055329A">
      <w:pPr>
        <w:pStyle w:val="Title2LevelTitre2Niveau"/>
        <w:widowControl w:val="0"/>
        <w:rPr>
          <w:rFonts w:eastAsia="Times New Roman" w:cs="Times New Roman"/>
          <w:szCs w:val="24"/>
          <w:lang w:val="fr-CA"/>
        </w:rPr>
      </w:pPr>
      <w:r w:rsidRPr="002A6EA4">
        <w:rPr>
          <w:rFonts w:cs="Times New Roman"/>
          <w:lang w:val="fr-CA"/>
        </w:rPr>
        <w:t>Première étape : PCSAVC</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En 1991, Glacier Resorts a déposé une proposition officielle pour la construction d’une station de ski ouverte à l’année dans la partie supérieure de la vallée </w:t>
      </w:r>
      <w:r w:rsidRPr="002A6EA4">
        <w:rPr>
          <w:rFonts w:cs="Times New Roman"/>
          <w:lang w:val="fr-CA"/>
        </w:rPr>
        <w:lastRenderedPageBreak/>
        <w:t>Jumbo. Le gouvernement a mené des audiences publiques sur le projet conformément à la PCSAVC, première étape du processus d’approbation réglementaire. Le prédécesseur des appelants, le KKTC, a participé aux audiences publiques tenues à l’automne 1991. À la suite d’un appel de propositions, Glacier Resorts s’est vu reconnaître la qualité de seul promoteur et a pu passer à l’étape suivante du processus réglementaire.</w:t>
      </w:r>
    </w:p>
    <w:p w:rsidR="00094732" w:rsidRPr="002A6EA4" w:rsidRDefault="00094732" w:rsidP="0055329A">
      <w:pPr>
        <w:pStyle w:val="Title2LevelTitre2Niveau"/>
        <w:widowControl w:val="0"/>
        <w:rPr>
          <w:rFonts w:eastAsia="Times New Roman" w:cs="Times New Roman"/>
          <w:szCs w:val="24"/>
          <w:lang w:val="fr-CA"/>
        </w:rPr>
      </w:pPr>
      <w:r w:rsidRPr="002A6EA4">
        <w:rPr>
          <w:rFonts w:cs="Times New Roman"/>
          <w:lang w:val="fr-CA"/>
        </w:rPr>
        <w:t>Deuxième étape :</w:t>
      </w:r>
      <w:r w:rsidRPr="002A6EA4">
        <w:rPr>
          <w:rFonts w:cs="Times New Roman"/>
          <w:spacing w:val="-1"/>
          <w:lang w:val="fr-CA"/>
        </w:rPr>
        <w:t xml:space="preserve"> utilisation du terrain ou </w:t>
      </w:r>
      <w:r w:rsidRPr="002A6EA4">
        <w:rPr>
          <w:rFonts w:cs="Times New Roman"/>
          <w:lang w:val="fr-CA"/>
        </w:rPr>
        <w:t>CORE</w:t>
      </w:r>
    </w:p>
    <w:p w:rsidR="00094732" w:rsidRPr="002A6EA4" w:rsidRDefault="00094732" w:rsidP="0055329A">
      <w:pPr>
        <w:pStyle w:val="ParaNoNdepar-AltN"/>
        <w:widowControl w:val="0"/>
        <w:rPr>
          <w:rFonts w:cs="Times New Roman"/>
          <w:lang w:val="fr-CA"/>
        </w:rPr>
      </w:pPr>
      <w:r w:rsidRPr="002A6EA4">
        <w:rPr>
          <w:rFonts w:cs="Times New Roman"/>
          <w:lang w:val="fr-CA"/>
        </w:rPr>
        <w:t>En 1993 et 1994, la deuxième étape du processus réglementaire s’est amorcée. Le gouvernement a examiné l’utilisation du site conformément au processus de la CORE dans le but de produire un nouveau plan d’utilisation du terrain pour la région prévoyant expressément la construction de la station de ski. Le processus de la CORE comportait des audiences publiques auxquelles le KKTC a assisté comme observateur. En 1994, le processus s’est conclu par le dépôt d’un rapport accordant une très grande valeur au chapitre du loisir et du tourisme à la région choisie pour la station de ski proposée et recommandait que le processus d’approbation comprenne une évaluation environnementale prévue par la loi</w:t>
      </w:r>
      <w:r w:rsidRPr="002A6EA4">
        <w:rPr>
          <w:rFonts w:cs="Times New Roman"/>
          <w:i/>
          <w:lang w:val="fr-CA"/>
        </w:rPr>
        <w:t>.</w:t>
      </w:r>
    </w:p>
    <w:p w:rsidR="00094732" w:rsidRPr="002A6EA4" w:rsidRDefault="00094732" w:rsidP="0055329A">
      <w:pPr>
        <w:pStyle w:val="ParaNoNdepar-AltN"/>
        <w:widowControl w:val="0"/>
        <w:rPr>
          <w:rFonts w:cs="Times New Roman"/>
          <w:lang w:val="fr-CA"/>
        </w:rPr>
      </w:pPr>
      <w:r w:rsidRPr="002A6EA4">
        <w:rPr>
          <w:rFonts w:cs="Times New Roman"/>
          <w:lang w:val="fr-CA"/>
        </w:rPr>
        <w:t>En mars 1995, le gouvernement a publié un résumé des plans d’utilisation du terrain d’East Kootenay et de West Kootenay</w:t>
      </w:r>
      <w:r w:rsidRPr="002A6EA4">
        <w:rPr>
          <w:rFonts w:cs="Times New Roman"/>
          <w:lang w:val="fr-CA"/>
        </w:rPr>
        <w:noBreakHyphen/>
        <w:t xml:space="preserve">Boundary préparés par la CORE, lequel indique que l’aménagement d’une station de ski constitue une utilisation acceptable du terrain de la partie supérieure de la vallée Jumbo Creek. En juillet 1995, le gouvernement et Glacier Resorts ont conclu une entente intérimaire conformément </w:t>
      </w:r>
      <w:r w:rsidRPr="002A6EA4">
        <w:rPr>
          <w:rFonts w:cs="Times New Roman"/>
          <w:lang w:val="fr-CA"/>
        </w:rPr>
        <w:lastRenderedPageBreak/>
        <w:t>à la PCSAVC, ce qui a constitué le coup d’envoi de la troisième étape prévue par la réglementation : un examen en application de l’</w:t>
      </w:r>
      <w:r w:rsidRPr="002A6EA4">
        <w:rPr>
          <w:rFonts w:cs="Times New Roman"/>
          <w:i/>
          <w:lang w:val="fr-CA"/>
        </w:rPr>
        <w:t>Environmental Assessment Act</w:t>
      </w:r>
      <w:r w:rsidRPr="002A6EA4">
        <w:rPr>
          <w:rFonts w:cs="Times New Roman"/>
          <w:lang w:val="fr-CA"/>
        </w:rPr>
        <w:t>, S.B.C. 1994, c. 35.</w:t>
      </w:r>
    </w:p>
    <w:p w:rsidR="00094732" w:rsidRPr="002A6EA4" w:rsidRDefault="00094732" w:rsidP="0055329A">
      <w:pPr>
        <w:pStyle w:val="Title2LevelTitre2Niveau"/>
        <w:widowControl w:val="0"/>
        <w:spacing w:before="0"/>
        <w:rPr>
          <w:rFonts w:eastAsia="Times New Roman" w:cs="Times New Roman"/>
          <w:szCs w:val="24"/>
          <w:lang w:val="fr-CA"/>
        </w:rPr>
      </w:pPr>
      <w:r w:rsidRPr="002A6EA4">
        <w:rPr>
          <w:rFonts w:cs="Times New Roman"/>
          <w:lang w:val="fr-CA"/>
        </w:rPr>
        <w:t>Troisième étape : processus d’évaluation environnementale</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Le processus d’évaluation environnementale a duré presque une décennie, soit de 1995 à 2004. Le KKTC, qui représentait tant le peuple des Ktunaxa que celui des Shuswap et recevait l’aide financière du gouvernement, a participé activement au processus d’évaluation environnementale de la station de ski. Il a été invité à se joindre au comité d’examen technique et à commenter le rapport sur le projet. Il a ainsi soulevé la question des </w:t>
      </w:r>
      <w:r w:rsidR="00BA1198">
        <w:rPr>
          <w:rFonts w:cs="Times New Roman"/>
          <w:lang w:val="fr-CA"/>
        </w:rPr>
        <w:t>[</w:t>
      </w:r>
      <w:r w:rsidR="00BA1198" w:rsidRPr="00BA1198">
        <w:rPr>
          <w:rFonts w:cs="Times New Roman"/>
          <w:smallCaps/>
          <w:lang w:val="fr-CA"/>
        </w:rPr>
        <w:t>traduction</w:t>
      </w:r>
      <w:r w:rsidR="00BA1198">
        <w:rPr>
          <w:rFonts w:cs="Times New Roman"/>
          <w:lang w:val="fr-CA"/>
        </w:rPr>
        <w:t xml:space="preserve">] </w:t>
      </w:r>
      <w:r w:rsidRPr="002A6EA4">
        <w:rPr>
          <w:rFonts w:cs="Times New Roman"/>
          <w:lang w:val="fr-CA"/>
        </w:rPr>
        <w:t>« valeurs sacrées » associées à la vallée, lesquelles ont été examinée</w:t>
      </w:r>
      <w:r>
        <w:rPr>
          <w:rFonts w:cs="Times New Roman"/>
          <w:lang w:val="fr-CA"/>
        </w:rPr>
        <w:t>s</w:t>
      </w:r>
      <w:r w:rsidRPr="002A6EA4">
        <w:rPr>
          <w:rFonts w:cs="Times New Roman"/>
          <w:lang w:val="fr-CA"/>
        </w:rPr>
        <w:t xml:space="preserve"> dans un rapport de 2003 qui a pour titre « First Nations Socio</w:t>
      </w:r>
      <w:r w:rsidRPr="002A6EA4">
        <w:rPr>
          <w:rFonts w:cs="Times New Roman"/>
          <w:lang w:val="fr-CA"/>
        </w:rPr>
        <w:noBreakHyphen/>
        <w:t>Economic Assessment : Jumbo Glacier Resort Project, A Genuine Wealth Analysis », rédigé par des consu</w:t>
      </w:r>
      <w:r w:rsidR="003D686E">
        <w:rPr>
          <w:rFonts w:cs="Times New Roman"/>
          <w:lang w:val="fr-CA"/>
        </w:rPr>
        <w:t>ltants auxquels a fait appel l’Environ</w:t>
      </w:r>
      <w:r w:rsidRPr="002A6EA4">
        <w:rPr>
          <w:rFonts w:cs="Times New Roman"/>
          <w:lang w:val="fr-CA"/>
        </w:rPr>
        <w:t>mental Assessment Office (« Bureau ») de la Colombie</w:t>
      </w:r>
      <w:r w:rsidRPr="002A6EA4">
        <w:rPr>
          <w:rFonts w:cs="Times New Roman"/>
          <w:lang w:val="fr-CA"/>
        </w:rPr>
        <w:noBreakHyphen/>
        <w:t>Britannique.</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Parallèlement, Glacier Resorts a fourni en décembre 2003, dans son exhaustif </w:t>
      </w:r>
      <w:r w:rsidR="00BA1198">
        <w:rPr>
          <w:rFonts w:cs="Times New Roman"/>
          <w:lang w:val="fr-CA"/>
        </w:rPr>
        <w:t>[</w:t>
      </w:r>
      <w:r w:rsidR="00BA1198" w:rsidRPr="00BA1198">
        <w:rPr>
          <w:rFonts w:cs="Times New Roman"/>
          <w:smallCaps/>
          <w:lang w:val="fr-CA"/>
        </w:rPr>
        <w:t>traduction</w:t>
      </w:r>
      <w:r w:rsidR="00BA1198">
        <w:rPr>
          <w:rFonts w:cs="Times New Roman"/>
          <w:lang w:val="fr-CA"/>
        </w:rPr>
        <w:t xml:space="preserve">] </w:t>
      </w:r>
      <w:r w:rsidRPr="002A6EA4">
        <w:rPr>
          <w:rFonts w:cs="Times New Roman"/>
          <w:lang w:val="fr-CA"/>
        </w:rPr>
        <w:t xml:space="preserve">« rapport sur le projet », les renseignements nécessaires à l’évaluation environnementale prévue par la nouvelle </w:t>
      </w:r>
      <w:r w:rsidRPr="002A6EA4">
        <w:rPr>
          <w:rFonts w:cs="Times New Roman"/>
          <w:i/>
          <w:lang w:val="fr-CA"/>
        </w:rPr>
        <w:t>Environmental Assessment Act</w:t>
      </w:r>
      <w:r w:rsidRPr="002A6EA4">
        <w:rPr>
          <w:rFonts w:cs="Times New Roman"/>
          <w:lang w:val="fr-CA"/>
        </w:rPr>
        <w:t>, S.B.C. 2002, c. 43. Le Bureau a accepté ce rapport dans les mois qui ont suivi.</w:t>
      </w:r>
    </w:p>
    <w:p w:rsidR="00094732" w:rsidRPr="002A6EA4" w:rsidRDefault="00094732" w:rsidP="0055329A">
      <w:pPr>
        <w:pStyle w:val="ParaNoNdepar-AltN"/>
        <w:widowControl w:val="0"/>
        <w:rPr>
          <w:rFonts w:cs="Times New Roman"/>
          <w:lang w:val="fr-CA"/>
        </w:rPr>
      </w:pPr>
      <w:r w:rsidRPr="002A6EA4">
        <w:rPr>
          <w:rFonts w:cs="Times New Roman"/>
          <w:lang w:val="fr-CA"/>
        </w:rPr>
        <w:t>En réponse à ce rapport, le KKTC a présenté au Bureau un document intitulé « Jumbo Glacier Resort Project</w:t>
      </w:r>
      <w:r w:rsidR="00BA1198">
        <w:rPr>
          <w:rFonts w:cs="Times New Roman"/>
          <w:lang w:val="fr-CA"/>
        </w:rPr>
        <w:t xml:space="preserve"> </w:t>
      </w:r>
      <w:r w:rsidRPr="002A6EA4">
        <w:rPr>
          <w:rFonts w:cs="Times New Roman"/>
          <w:lang w:val="fr-CA"/>
        </w:rPr>
        <w:t xml:space="preserve">: Final Comments on Measures Proposed to </w:t>
      </w:r>
      <w:r w:rsidRPr="002A6EA4">
        <w:rPr>
          <w:rFonts w:cs="Times New Roman"/>
          <w:lang w:val="fr-CA"/>
        </w:rPr>
        <w:lastRenderedPageBreak/>
        <w:t>Address Issues Identified by the Ktunaxa Nation », qui expliquait que des valeurs sacrées étaient associées à la région de la vallée Jumbo et que Glacier Resorts devrait avoir l’obligation de négocier une entente sur la gestion des répercussions et les avantages (</w:t>
      </w:r>
      <w:r w:rsidR="00BA1198">
        <w:rPr>
          <w:rFonts w:cs="Times New Roman"/>
          <w:lang w:val="fr-CA"/>
        </w:rPr>
        <w:t>« </w:t>
      </w:r>
      <w:r w:rsidRPr="002A6EA4">
        <w:rPr>
          <w:rFonts w:cs="Times New Roman"/>
          <w:lang w:val="fr-CA"/>
        </w:rPr>
        <w:t>EGRA</w:t>
      </w:r>
      <w:r w:rsidR="00BA1198">
        <w:rPr>
          <w:rFonts w:cs="Times New Roman"/>
          <w:lang w:val="fr-CA"/>
        </w:rPr>
        <w:t> »</w:t>
      </w:r>
      <w:r w:rsidRPr="002A6EA4">
        <w:rPr>
          <w:rFonts w:cs="Times New Roman"/>
          <w:lang w:val="fr-CA"/>
        </w:rPr>
        <w:t>) pour atténuer les éventuelles répercussions de la station de ski. Le KKTC a présenté sous toutes réserves des commentaires détaillés au sujet des mesures proposées par le Bureau pour répondre aux préoccupations des habitants autochtones de la vallée.</w:t>
      </w:r>
    </w:p>
    <w:p w:rsidR="00094732" w:rsidRPr="002A6EA4" w:rsidRDefault="00094732" w:rsidP="0055329A">
      <w:pPr>
        <w:pStyle w:val="ParaNoNdepar-AltN"/>
        <w:widowControl w:val="0"/>
        <w:rPr>
          <w:rFonts w:cs="Times New Roman"/>
          <w:lang w:val="fr-CA"/>
        </w:rPr>
      </w:pPr>
      <w:r w:rsidRPr="002A6EA4">
        <w:rPr>
          <w:rFonts w:cs="Times New Roman"/>
          <w:lang w:val="fr-CA"/>
        </w:rPr>
        <w:t>Le 4 octobre 2004, un CÉE approuvant l’aménagement a été délivré sous réserve de nombreuses conditions, dont celle que Glacier Resorts négocie avec le KKTC et tente de conclure une EGRA avant la prochaine étape du processus réglementaire. Le KKTC n’a pas sollicité le contrôle judiciaire de ce CÉE conditionnel. Le gouvernement avait alors l’impression que la consultation se dirigeait sans heurts vers un compromis acceptable pour tous.</w:t>
      </w:r>
    </w:p>
    <w:p w:rsidR="00094732" w:rsidRPr="002A6EA4" w:rsidRDefault="00094732" w:rsidP="0055329A">
      <w:pPr>
        <w:pStyle w:val="Title2LevelTitre2Niveau"/>
        <w:widowControl w:val="0"/>
        <w:rPr>
          <w:rFonts w:eastAsia="Times New Roman" w:cs="Times New Roman"/>
          <w:szCs w:val="24"/>
          <w:lang w:val="fr-CA"/>
        </w:rPr>
      </w:pPr>
      <w:r w:rsidRPr="002A6EA4">
        <w:rPr>
          <w:rFonts w:cs="Times New Roman"/>
          <w:lang w:val="fr-CA"/>
        </w:rPr>
        <w:t>Quatrième étape : élaboration d’un plan directeur pour la station de ski</w:t>
      </w:r>
    </w:p>
    <w:p w:rsidR="00094732" w:rsidRPr="002A6EA4" w:rsidRDefault="00094732" w:rsidP="0055329A">
      <w:pPr>
        <w:pStyle w:val="ParaNoNdepar-AltN"/>
        <w:widowControl w:val="0"/>
        <w:rPr>
          <w:rFonts w:cs="Times New Roman"/>
          <w:lang w:val="fr-CA"/>
        </w:rPr>
      </w:pPr>
      <w:r w:rsidRPr="002A6EA4">
        <w:rPr>
          <w:rFonts w:cs="Times New Roman"/>
          <w:lang w:val="fr-CA"/>
        </w:rPr>
        <w:t>Le projet est passé ainsi à la quatrième étape du processus réglementaire : l’élaboration d’un plan directeur et d’un ACA pour la station de ski.</w:t>
      </w:r>
    </w:p>
    <w:p w:rsidR="00094732" w:rsidRPr="002A6EA4" w:rsidRDefault="00094732" w:rsidP="0055329A">
      <w:pPr>
        <w:pStyle w:val="ParaNoNdepar-AltN"/>
        <w:widowControl w:val="0"/>
        <w:rPr>
          <w:rFonts w:cs="Times New Roman"/>
          <w:lang w:val="fr-CA"/>
        </w:rPr>
      </w:pPr>
      <w:r w:rsidRPr="002A6EA4">
        <w:rPr>
          <w:rFonts w:cs="Times New Roman"/>
          <w:lang w:val="fr-CA"/>
        </w:rPr>
        <w:t>Glacier Resorts a présenté une ébauche révisée du plan directeur en 2005. La révision de ce plan s’est déroulée de décembre 2005 à juillet 2007.</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Au début de la révision, le gouvernement a offert de poursuivre les </w:t>
      </w:r>
      <w:r w:rsidRPr="002A6EA4">
        <w:rPr>
          <w:rFonts w:cs="Times New Roman"/>
          <w:lang w:val="fr-CA"/>
        </w:rPr>
        <w:lastRenderedPageBreak/>
        <w:t>consultations avec le Ktunaxa Nation Council, qui avait été constitué après que les Shuswap se soient retirés du KKTC. En juin 2006, un consultant retenu par les Ktunaxa mais payé par le gouvernement a préparé une [</w:t>
      </w:r>
      <w:r w:rsidRPr="002A6EA4">
        <w:rPr>
          <w:rFonts w:cs="Times New Roman"/>
          <w:smallCaps/>
          <w:lang w:val="fr-CA"/>
        </w:rPr>
        <w:t>traduction</w:t>
      </w:r>
      <w:r w:rsidRPr="002A6EA4">
        <w:rPr>
          <w:rFonts w:cs="Times New Roman"/>
          <w:lang w:val="fr-CA"/>
        </w:rPr>
        <w:t>] « analyse de l’écart » pour faire ressortir ce que les Ktunaxa considéraient être les questions non réglées devant faire l’objet de discussions. Cette analyse mettait en lumière le besoin d’obtenir des renseignements additionnels pour faciliter les discussions sur les enjeux suivants : (1) l’utilisation actuelle du terrain et des ressources par les Ktunaxa de la vallée Jumbo; (2) l’efficacité des mesures d’atténuation proposées pour réduire les perturbations, les déplacements et la mortalité des principales espèces d’animaux sauvages causés par le trafic sur la route d’accès; (3) les effets socio</w:t>
      </w:r>
      <w:r w:rsidRPr="002A6EA4">
        <w:rPr>
          <w:rFonts w:cs="Times New Roman"/>
          <w:lang w:val="fr-CA"/>
        </w:rPr>
        <w:noBreakHyphen/>
        <w:t>économiques du projet sur l’économie régionale, notamment en ce qui a trait à l’utilisation du terrain et au coût de la vie, qui pourraient avoir une incidence sur le bien</w:t>
      </w:r>
      <w:r w:rsidRPr="002A6EA4">
        <w:rPr>
          <w:rFonts w:cs="Times New Roman"/>
          <w:lang w:val="fr-CA"/>
        </w:rPr>
        <w:noBreakHyphen/>
        <w:t>être des Ktunaxa. L’une des 34 questions soulevées dans l’analyse concernait le fait que la vallée Jumbo est une [</w:t>
      </w:r>
      <w:r w:rsidRPr="002A6EA4">
        <w:rPr>
          <w:rFonts w:cs="Times New Roman"/>
          <w:smallCaps/>
          <w:lang w:val="fr-CA"/>
        </w:rPr>
        <w:t>traduction</w:t>
      </w:r>
      <w:r w:rsidRPr="002A6EA4">
        <w:rPr>
          <w:rFonts w:cs="Times New Roman"/>
          <w:lang w:val="fr-CA"/>
        </w:rPr>
        <w:t>] « région d’importance culturelle et porteuse de valeurs sacrées »</w:t>
      </w:r>
      <w:r w:rsidR="00BA1198">
        <w:rPr>
          <w:rFonts w:cs="Times New Roman"/>
          <w:lang w:val="fr-CA"/>
        </w:rPr>
        <w:t xml:space="preserve"> : </w:t>
      </w:r>
      <w:r w:rsidRPr="002A6EA4">
        <w:rPr>
          <w:rFonts w:cs="Times New Roman"/>
          <w:lang w:val="fr-CA"/>
        </w:rPr>
        <w:t>motifs du juge en chambre, 2014 BCSC 56</w:t>
      </w:r>
      <w:r w:rsidR="00BA1198">
        <w:rPr>
          <w:rFonts w:cs="Times New Roman"/>
          <w:lang w:val="fr-CA"/>
        </w:rPr>
        <w:t>8, 306 C.R.R. (2d) 211, par. 69</w:t>
      </w:r>
      <w:r w:rsidRPr="002A6EA4">
        <w:rPr>
          <w:rFonts w:cs="Times New Roman"/>
          <w:lang w:val="fr-CA"/>
        </w:rPr>
        <w:t xml:space="preserve">. À cet égard, l’analyse mentionnait que les </w:t>
      </w:r>
      <w:r w:rsidR="00BA1198" w:rsidRPr="002A6EA4">
        <w:rPr>
          <w:rFonts w:cs="Times New Roman"/>
          <w:lang w:val="fr-CA"/>
        </w:rPr>
        <w:t>« </w:t>
      </w:r>
      <w:r w:rsidRPr="002A6EA4">
        <w:rPr>
          <w:rFonts w:cs="Times New Roman"/>
          <w:lang w:val="fr-CA"/>
        </w:rPr>
        <w:t>conséquences culturelles ne sont toujours pas évaluées » (</w:t>
      </w:r>
      <w:r w:rsidRPr="002A6EA4">
        <w:rPr>
          <w:rFonts w:cs="Times New Roman"/>
          <w:i/>
          <w:lang w:val="fr-CA"/>
        </w:rPr>
        <w:t>ibid.</w:t>
      </w:r>
      <w:r w:rsidRPr="002A6EA4">
        <w:rPr>
          <w:rFonts w:cs="Times New Roman"/>
          <w:lang w:val="fr-CA"/>
        </w:rPr>
        <w:t>).</w:t>
      </w:r>
    </w:p>
    <w:p w:rsidR="00094732" w:rsidRPr="002A6EA4" w:rsidRDefault="00094732" w:rsidP="0055329A">
      <w:pPr>
        <w:pStyle w:val="ParaNoNdepar-AltN"/>
        <w:widowControl w:val="0"/>
        <w:rPr>
          <w:rFonts w:cs="Times New Roman"/>
          <w:lang w:val="fr-CA"/>
        </w:rPr>
      </w:pPr>
      <w:r w:rsidRPr="002A6EA4">
        <w:rPr>
          <w:rFonts w:cs="Times New Roman"/>
          <w:lang w:val="fr-CA"/>
        </w:rPr>
        <w:t>Les Ktunaxa ont rencontré le Ministre et accepté de continuer de participer à des consultations additionnelles sur le fondement de l’analyse de l’écart. Dans le cadre du processus, les parties ont discuté de la question de l’importance culturelle et de la valeur sacrée des lieux en cause dans l’atelier [</w:t>
      </w:r>
      <w:r w:rsidRPr="002A6EA4">
        <w:rPr>
          <w:rFonts w:cs="Times New Roman"/>
          <w:smallCaps/>
          <w:lang w:val="fr-CA"/>
        </w:rPr>
        <w:t>traduction</w:t>
      </w:r>
      <w:r w:rsidRPr="002A6EA4">
        <w:rPr>
          <w:rFonts w:cs="Times New Roman"/>
          <w:lang w:val="fr-CA"/>
        </w:rPr>
        <w:t>] « Enjeux fonciers » tenu les 12 et 13 octobre 2006 à Cranbrook, en Colombie</w:t>
      </w:r>
      <w:r w:rsidRPr="002A6EA4">
        <w:rPr>
          <w:rFonts w:cs="Times New Roman"/>
          <w:lang w:val="fr-CA"/>
        </w:rPr>
        <w:noBreakHyphen/>
        <w:t>Britannique. Après l’atelier, le consultant des Ktunaxa a fait circuler un document intitulé « Working Outline</w:t>
      </w:r>
      <w:r w:rsidR="005B1238">
        <w:rPr>
          <w:rFonts w:cs="Times New Roman"/>
          <w:lang w:val="fr-CA"/>
        </w:rPr>
        <w:t xml:space="preserve"> </w:t>
      </w:r>
      <w:r w:rsidRPr="002A6EA4">
        <w:rPr>
          <w:rFonts w:cs="Times New Roman"/>
          <w:lang w:val="fr-CA"/>
        </w:rPr>
        <w:t xml:space="preserve">: </w:t>
      </w:r>
      <w:r w:rsidRPr="002A6EA4">
        <w:rPr>
          <w:rFonts w:cs="Times New Roman"/>
          <w:lang w:val="fr-CA"/>
        </w:rPr>
        <w:lastRenderedPageBreak/>
        <w:t>Ktunaxa</w:t>
      </w:r>
      <w:r w:rsidRPr="002A6EA4">
        <w:rPr>
          <w:rFonts w:cs="Times New Roman"/>
          <w:lang w:val="fr-CA"/>
        </w:rPr>
        <w:noBreakHyphen/>
        <w:t>British Columbia Accommodation », qui indiquait que la question de l’importance culturelle et sacrée de la vallée devait être examinée et proposait, pour répondre aux préoccupations des Ktunaxa quant à l’utilisation du terrain, un cadre conceptuel consistant en a) un transfert de terres en fief simple aux Ktunaxa, b) l’établissement d’une réserve foncière et c) la création d’une aire de conservation à proximité des pistes de ski. L’atelier sur les enjeux fonciers a été suivi d’autres ateliers en novembre et décembre 2006 et en janvier 2007. Il a alors été question des grizzlys, d’autres animaux sauvages et d’enjeux résiduels.</w:t>
      </w:r>
    </w:p>
    <w:p w:rsidR="00094732" w:rsidRPr="002A6EA4" w:rsidRDefault="00094732" w:rsidP="0055329A">
      <w:pPr>
        <w:pStyle w:val="ParaNoNdepar-AltN"/>
        <w:widowControl w:val="0"/>
        <w:rPr>
          <w:rFonts w:cs="Times New Roman"/>
          <w:lang w:val="fr-CA"/>
        </w:rPr>
      </w:pPr>
      <w:r w:rsidRPr="002A6EA4">
        <w:rPr>
          <w:rFonts w:cs="Times New Roman"/>
          <w:lang w:val="fr-CA"/>
        </w:rPr>
        <w:t>En novembre 2006, les perspectives d’accord sur un accommodement semblaient bonnes. Le Ministre a reçu une copie d’une lettre dans laquelle les Ktunaxa informaient Glacier Resorts qu’ils estimaient avoir réalisé [</w:t>
      </w:r>
      <w:r w:rsidRPr="002A6EA4">
        <w:rPr>
          <w:rFonts w:cs="Times New Roman"/>
          <w:smallCaps/>
          <w:lang w:val="fr-CA"/>
        </w:rPr>
        <w:t>traduction</w:t>
      </w:r>
      <w:r w:rsidRPr="002A6EA4">
        <w:rPr>
          <w:rFonts w:cs="Times New Roman"/>
          <w:lang w:val="fr-CA"/>
        </w:rPr>
        <w:t>] « des progrès considérables dans l’établissement d’une marche à suivre pour la négociation d’une [EGRA] »</w:t>
      </w:r>
      <w:r w:rsidR="005B1238">
        <w:rPr>
          <w:rFonts w:cs="Times New Roman"/>
          <w:lang w:val="fr-CA"/>
        </w:rPr>
        <w:t xml:space="preserve"> : </w:t>
      </w:r>
      <w:r w:rsidRPr="002A6EA4">
        <w:rPr>
          <w:rFonts w:cs="Times New Roman"/>
          <w:lang w:val="fr-CA"/>
        </w:rPr>
        <w:t>motifs du ju</w:t>
      </w:r>
      <w:r w:rsidR="005B1238">
        <w:rPr>
          <w:rFonts w:cs="Times New Roman"/>
          <w:lang w:val="fr-CA"/>
        </w:rPr>
        <w:t>ge en chambre, par. 76</w:t>
      </w:r>
      <w:r w:rsidRPr="002A6EA4">
        <w:rPr>
          <w:rFonts w:cs="Times New Roman"/>
          <w:lang w:val="fr-CA"/>
        </w:rPr>
        <w:t>. Il ne semblait rester que deux questions à régler pour parvenir à un accord définitif : « le financement » et « la question non réglée des sommes d’argent non versées » (</w:t>
      </w:r>
      <w:r w:rsidRPr="002A6EA4">
        <w:rPr>
          <w:rFonts w:cs="Times New Roman"/>
          <w:i/>
          <w:lang w:val="fr-CA"/>
        </w:rPr>
        <w:t>ibid.</w:t>
      </w:r>
      <w:r w:rsidRPr="002A6EA4">
        <w:rPr>
          <w:rFonts w:cs="Times New Roman"/>
          <w:lang w:val="fr-CA"/>
        </w:rPr>
        <w:t>). En avril 2007, Glacier Resorts a écrit au Ministre qu’elle estimait être parvenue à un « accord de principe » avec les Ktunaxa (</w:t>
      </w:r>
      <w:r w:rsidRPr="002A6EA4">
        <w:rPr>
          <w:rFonts w:cs="Times New Roman"/>
          <w:i/>
          <w:lang w:val="fr-CA"/>
        </w:rPr>
        <w:t>ibid.</w:t>
      </w:r>
      <w:r w:rsidRPr="002A6EA4">
        <w:rPr>
          <w:rFonts w:cs="Times New Roman"/>
          <w:lang w:val="fr-CA"/>
        </w:rPr>
        <w:t xml:space="preserve">). Le 12 juillet, le Ministre a approuvé un </w:t>
      </w:r>
      <w:r w:rsidR="004E3371">
        <w:rPr>
          <w:rFonts w:cs="Times New Roman"/>
          <w:lang w:val="fr-CA"/>
        </w:rPr>
        <w:t>plan directeur</w:t>
      </w:r>
      <w:r w:rsidRPr="002A6EA4">
        <w:rPr>
          <w:rFonts w:cs="Times New Roman"/>
          <w:lang w:val="fr-CA"/>
        </w:rPr>
        <w:t>, qui décrivait la nature, l’étendue et le rythme de réalisation de l’aménagement proposé, énonçait les exigences relatives au mode de tenure et formulait des recommandations découlant du processus d’évaluation environnementale et des consultations menées auprès de Glacier Resorts, du public et des Premières Nations.</w:t>
      </w:r>
    </w:p>
    <w:p w:rsidR="00094732" w:rsidRPr="002A6EA4" w:rsidRDefault="00094732" w:rsidP="0055329A">
      <w:pPr>
        <w:pStyle w:val="ParaNoNdepar-AltN"/>
        <w:widowControl w:val="0"/>
        <w:rPr>
          <w:rFonts w:cs="Times New Roman"/>
          <w:lang w:val="fr-CA"/>
        </w:rPr>
      </w:pPr>
      <w:r w:rsidRPr="002A6EA4">
        <w:rPr>
          <w:rFonts w:cs="Times New Roman"/>
          <w:lang w:val="fr-CA"/>
        </w:rPr>
        <w:lastRenderedPageBreak/>
        <w:t xml:space="preserve">Le Ministre a avisé les Ktunaxa que l’approbation </w:t>
      </w:r>
      <w:r w:rsidR="004E3371">
        <w:rPr>
          <w:rFonts w:cs="Times New Roman"/>
          <w:lang w:val="fr-CA"/>
        </w:rPr>
        <w:t>du plan directeur</w:t>
      </w:r>
      <w:r w:rsidRPr="002A6EA4">
        <w:rPr>
          <w:rFonts w:cs="Times New Roman"/>
          <w:lang w:val="fr-CA"/>
        </w:rPr>
        <w:t xml:space="preserve"> n’empêchait pas la prise de mesures d’atténuation additionnelles découlant de la poursuite de la consultation. Dans les mois qui ont suivi l’approbation, la discussion s’est orientée sur des enjeux économiques. Le Ministre a proposé en décembre 2007 aux Ktunaxa un accommodement qui comprenait des avantages économiques de 650 000 dollars en argent ou terres publiques ainsi que neuf mesures d’accommodement non pécuniaires. En février 2008, les Ktunaxa ont rejeté la proposition d’accommodement au motif (1) que le volet financier était [</w:t>
      </w:r>
      <w:r w:rsidRPr="002A6EA4">
        <w:rPr>
          <w:rFonts w:cs="Times New Roman"/>
          <w:smallCaps/>
          <w:lang w:val="fr-CA"/>
        </w:rPr>
        <w:t>traduction</w:t>
      </w:r>
      <w:r w:rsidRPr="002A6EA4">
        <w:rPr>
          <w:rFonts w:cs="Times New Roman"/>
          <w:lang w:val="fr-CA"/>
        </w:rPr>
        <w:t>] « nettement insuffisant » et (2) qu’il était inapproprié de la part du Ministre de fournir les mêmes mesures d’accommodement financières aux Shuswap et aux Ktunaxa étant donné que « les liens historiques [de ces derniers] avec la région Jumbo étaient nettement plus forts »</w:t>
      </w:r>
      <w:r w:rsidR="005B1238">
        <w:rPr>
          <w:rFonts w:cs="Times New Roman"/>
          <w:lang w:val="fr-CA"/>
        </w:rPr>
        <w:t xml:space="preserve"> : </w:t>
      </w:r>
      <w:r w:rsidRPr="002A6EA4">
        <w:rPr>
          <w:rFonts w:cs="Times New Roman"/>
          <w:lang w:val="fr-CA"/>
        </w:rPr>
        <w:t>mot</w:t>
      </w:r>
      <w:r w:rsidR="005B1238">
        <w:rPr>
          <w:rFonts w:cs="Times New Roman"/>
          <w:lang w:val="fr-CA"/>
        </w:rPr>
        <w:t>ifs du juge en chambre, par. 82</w:t>
      </w:r>
      <w:r w:rsidRPr="002A6EA4">
        <w:rPr>
          <w:rFonts w:cs="Times New Roman"/>
          <w:lang w:val="fr-CA"/>
        </w:rPr>
        <w:t>. La lettre de rejet ne mentionnait ni la nature sacrée de la vallée Jumbo ni l’Esprit de l’Ours Grizzly.</w:t>
      </w:r>
    </w:p>
    <w:p w:rsidR="00094732" w:rsidRPr="002A6EA4" w:rsidRDefault="00094732" w:rsidP="0055329A">
      <w:pPr>
        <w:pStyle w:val="ParaNoNdepar-AltN"/>
        <w:widowControl w:val="0"/>
        <w:rPr>
          <w:rFonts w:cs="Times New Roman"/>
          <w:lang w:val="fr-CA"/>
        </w:rPr>
      </w:pPr>
      <w:r w:rsidRPr="002A6EA4">
        <w:rPr>
          <w:rFonts w:cs="Times New Roman"/>
          <w:lang w:val="fr-CA"/>
        </w:rPr>
        <w:t>En septembre 2008, le Ministre a fait une seconde offre d’accommodement aux Ktunaxa, à savoir un partage de revenus dans le cadre d’une entente de développement économique et communautaire. Les Ktunaxa l’ont rejetée en décembre. Bien que les négociations donnaient à penser qu’un accord sur le projet de construction de la station de ski pourrait être conclu, les Ktunaxa ont rejeté la proposition au motif que la vallée Jumbo était un [</w:t>
      </w:r>
      <w:r w:rsidRPr="002A6EA4">
        <w:rPr>
          <w:rFonts w:cs="Times New Roman"/>
          <w:smallCaps/>
          <w:lang w:val="fr-CA"/>
        </w:rPr>
        <w:t>traduction</w:t>
      </w:r>
      <w:r w:rsidRPr="002A6EA4">
        <w:rPr>
          <w:rFonts w:cs="Times New Roman"/>
          <w:lang w:val="fr-CA"/>
        </w:rPr>
        <w:t>] « lieu unique et sacré » pour eux</w:t>
      </w:r>
      <w:r w:rsidR="001945C5">
        <w:rPr>
          <w:rFonts w:cs="Times New Roman"/>
          <w:lang w:val="fr-CA"/>
        </w:rPr>
        <w:t xml:space="preserve"> : </w:t>
      </w:r>
      <w:r w:rsidRPr="002A6EA4">
        <w:rPr>
          <w:rFonts w:cs="Times New Roman"/>
          <w:lang w:val="fr-CA"/>
        </w:rPr>
        <w:t>mot</w:t>
      </w:r>
      <w:r w:rsidR="001945C5">
        <w:rPr>
          <w:rFonts w:cs="Times New Roman"/>
          <w:lang w:val="fr-CA"/>
        </w:rPr>
        <w:t>ifs du juge en chambre, par. 83</w:t>
      </w:r>
      <w:r w:rsidRPr="002A6EA4">
        <w:rPr>
          <w:rFonts w:cs="Times New Roman"/>
          <w:lang w:val="fr-CA"/>
        </w:rPr>
        <w:t>. Encore une fois, ils n’ont pas expressémen</w:t>
      </w:r>
      <w:r w:rsidR="003304AA">
        <w:rPr>
          <w:rFonts w:cs="Times New Roman"/>
          <w:lang w:val="fr-CA"/>
        </w:rPr>
        <w:t>t mentionné l’Esprit de l’Ours G</w:t>
      </w:r>
      <w:r w:rsidRPr="002A6EA4">
        <w:rPr>
          <w:rFonts w:cs="Times New Roman"/>
          <w:lang w:val="fr-CA"/>
        </w:rPr>
        <w:t>rizzly.</w:t>
      </w:r>
    </w:p>
    <w:p w:rsidR="00094732" w:rsidRPr="002A6EA4" w:rsidRDefault="00094732" w:rsidP="0055329A">
      <w:pPr>
        <w:pStyle w:val="ParaNoNdepar-AltN"/>
        <w:widowControl w:val="0"/>
        <w:rPr>
          <w:rFonts w:cs="Times New Roman"/>
          <w:lang w:val="fr-CA"/>
        </w:rPr>
      </w:pPr>
      <w:r w:rsidRPr="002A6EA4">
        <w:rPr>
          <w:rFonts w:cs="Times New Roman"/>
          <w:lang w:val="fr-CA"/>
        </w:rPr>
        <w:lastRenderedPageBreak/>
        <w:t xml:space="preserve">Les discussions se sont donc poursuivies. En février 2009, les Ktunaxa ont formellement avisé le Ministre qu’ils souhaitaient amorcer la négociation d’une entente sur des mesures d’accommodement et des avantages. En avril, le Ministre a accepté leur demande et leur a alloué de nouveaux fonds pour la négociation. Le mois suivant, les Ktunaxa ont remis au Ministre une liste de questions non réglées et de mesures d’accommodement possibles dont ils souhaitaient discuter : transferts de terres, réserves foncières, conservation de la faune, zones tampons non aménagées à côté de la route d’accès, droits d’accès à la zone de loisir contrôlée, cadre de gestion pour l’indemnisation pécuniaire, partage des revenus, supervision continue des engagements environnementaux, etc. Les Ktunaxa n’ont pas inscrit la nature sacrée de la vallée Jumbo dans </w:t>
      </w:r>
      <w:r>
        <w:rPr>
          <w:rFonts w:cs="Times New Roman"/>
          <w:lang w:val="fr-CA"/>
        </w:rPr>
        <w:t>leur</w:t>
      </w:r>
      <w:r w:rsidRPr="002A6EA4">
        <w:rPr>
          <w:rFonts w:cs="Times New Roman"/>
          <w:lang w:val="fr-CA"/>
        </w:rPr>
        <w:t xml:space="preserve"> liste des questions non réglées.</w:t>
      </w:r>
    </w:p>
    <w:p w:rsidR="00094732" w:rsidRPr="002A6EA4" w:rsidRDefault="00094732" w:rsidP="0055329A">
      <w:pPr>
        <w:pStyle w:val="ParaNoNdepar-AltN"/>
        <w:widowControl w:val="0"/>
        <w:rPr>
          <w:rFonts w:cs="Times New Roman"/>
          <w:lang w:val="fr-CA"/>
        </w:rPr>
      </w:pPr>
      <w:r w:rsidRPr="002A6EA4">
        <w:rPr>
          <w:rFonts w:cs="Times New Roman"/>
          <w:lang w:val="fr-CA"/>
        </w:rPr>
        <w:t>Le 3 juin 2009, le Ministre a avisé les Ktunaxa qu’à son avis, il y avait eu un processus de consultation raisonnable et que la plupart des questions non réglées avaient</w:t>
      </w:r>
      <w:r>
        <w:rPr>
          <w:rFonts w:cs="Times New Roman"/>
          <w:lang w:val="fr-CA"/>
        </w:rPr>
        <w:t xml:space="preserve"> [</w:t>
      </w:r>
      <w:r w:rsidRPr="008E6196">
        <w:rPr>
          <w:rFonts w:cs="Times New Roman"/>
          <w:smallCaps/>
          <w:lang w:val="fr-CA"/>
        </w:rPr>
        <w:t>traduction</w:t>
      </w:r>
      <w:r>
        <w:rPr>
          <w:rFonts w:cs="Times New Roman"/>
          <w:lang w:val="fr-CA"/>
        </w:rPr>
        <w:t>]</w:t>
      </w:r>
      <w:r w:rsidRPr="002A6EA4">
        <w:rPr>
          <w:rFonts w:cs="Times New Roman"/>
          <w:lang w:val="fr-CA"/>
        </w:rPr>
        <w:t xml:space="preserve"> « essentiellement trait à des intérêts plutôt qu’à des revendications de droits et de titre ancestraux »</w:t>
      </w:r>
      <w:r w:rsidR="0000277F">
        <w:rPr>
          <w:rFonts w:cs="Times New Roman"/>
          <w:lang w:val="fr-CA"/>
        </w:rPr>
        <w:t xml:space="preserve"> : </w:t>
      </w:r>
      <w:r w:rsidRPr="002A6EA4">
        <w:rPr>
          <w:rFonts w:cs="Times New Roman"/>
          <w:lang w:val="fr-CA"/>
        </w:rPr>
        <w:t>motifs du juge en chambre, par. 86. Par conséquent, il estimait possible de donner l’aval au projet, mais a exprimé l’intention de continuer à négocier avec les Ktunaxa une entente sur les avantages.</w:t>
      </w:r>
    </w:p>
    <w:p w:rsidR="00094732" w:rsidRPr="002A6EA4" w:rsidRDefault="00094732" w:rsidP="0055329A">
      <w:pPr>
        <w:pStyle w:val="ParaNoNdepar-AltN"/>
        <w:widowControl w:val="0"/>
        <w:rPr>
          <w:rFonts w:cs="Times New Roman"/>
          <w:lang w:val="fr-CA"/>
        </w:rPr>
      </w:pPr>
      <w:r w:rsidRPr="002A6EA4">
        <w:rPr>
          <w:rFonts w:cs="Times New Roman"/>
          <w:lang w:val="fr-CA"/>
        </w:rPr>
        <w:t>À ce stade, les grandes questions semblaient avoir été réglées. Pour respecter la demande des Ktunaxa, l’ACA a modifié l’étendue de l’aménagement proposé et ajouté de nouvelles protections à l’égard des intérêts des Ktunaxa. La taille de la zone de loisir contrôlée a été réduite d’environ 60 p. </w:t>
      </w:r>
      <w:r w:rsidR="001C7153">
        <w:rPr>
          <w:rFonts w:cs="Times New Roman"/>
          <w:lang w:val="fr-CA"/>
        </w:rPr>
        <w:t>100</w:t>
      </w:r>
      <w:r w:rsidRPr="002A6EA4">
        <w:rPr>
          <w:rFonts w:cs="Times New Roman"/>
          <w:lang w:val="fr-CA"/>
        </w:rPr>
        <w:t xml:space="preserve"> et l’aire totale de la </w:t>
      </w:r>
      <w:r w:rsidRPr="002A6EA4">
        <w:rPr>
          <w:rFonts w:cs="Times New Roman"/>
          <w:lang w:val="fr-CA"/>
        </w:rPr>
        <w:lastRenderedPageBreak/>
        <w:t>station de ski</w:t>
      </w:r>
      <w:r>
        <w:rPr>
          <w:rFonts w:cs="Times New Roman"/>
          <w:lang w:val="fr-CA"/>
        </w:rPr>
        <w:t xml:space="preserve">, à </w:t>
      </w:r>
      <w:r w:rsidRPr="002A6EA4">
        <w:rPr>
          <w:rFonts w:cs="Times New Roman"/>
          <w:lang w:val="fr-CA"/>
        </w:rPr>
        <w:t>environ 104 hectares. Par ailleurs, des mesures ont été prévues pour protéger l’accès et les activités des Ktunaxa ainsi que l’environnement.</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Pour répondre aux préoccupations de nature spirituelle des Ktunaxa, on a proposé des changements pour que l’habitat du grizzly bénéficie d’une protection spéciale : </w:t>
      </w:r>
    </w:p>
    <w:p w:rsidR="00094732" w:rsidRPr="002A6EA4" w:rsidRDefault="00094732" w:rsidP="0055329A">
      <w:pPr>
        <w:pStyle w:val="Citation-AltC"/>
        <w:widowControl w:val="0"/>
        <w:numPr>
          <w:ilvl w:val="0"/>
          <w:numId w:val="33"/>
        </w:numPr>
        <w:spacing w:before="480" w:after="480" w:line="480" w:lineRule="auto"/>
        <w:ind w:left="720" w:hanging="720"/>
        <w:contextualSpacing w:val="0"/>
        <w:rPr>
          <w:rFonts w:eastAsiaTheme="minorEastAsia"/>
          <w:szCs w:val="22"/>
          <w:lang w:val="fr-CA" w:eastAsia="en-US"/>
        </w:rPr>
      </w:pPr>
      <w:r w:rsidRPr="002A6EA4">
        <w:rPr>
          <w:rFonts w:eastAsiaTheme="minorEastAsia"/>
          <w:szCs w:val="22"/>
          <w:lang w:val="fr-CA" w:eastAsia="en-US"/>
        </w:rPr>
        <w:t xml:space="preserve">Le secteur inférieur de Jumbo Creek a été retiré de la zone de loisir parce qu’il était perçu comme davantage susceptible d’être fréquenté par les grizzlys. </w:t>
      </w:r>
    </w:p>
    <w:p w:rsidR="00094732" w:rsidRPr="002A6EA4" w:rsidRDefault="00094732" w:rsidP="0055329A">
      <w:pPr>
        <w:pStyle w:val="Citation-AltC"/>
        <w:widowControl w:val="0"/>
        <w:numPr>
          <w:ilvl w:val="0"/>
          <w:numId w:val="33"/>
        </w:numPr>
        <w:spacing w:before="480" w:after="480" w:line="480" w:lineRule="auto"/>
        <w:ind w:left="720" w:hanging="720"/>
        <w:contextualSpacing w:val="0"/>
        <w:rPr>
          <w:rFonts w:eastAsiaTheme="minorEastAsia"/>
          <w:szCs w:val="22"/>
          <w:lang w:val="fr-CA" w:eastAsia="en-US"/>
        </w:rPr>
      </w:pPr>
      <w:r w:rsidRPr="002A6EA4">
        <w:rPr>
          <w:rFonts w:eastAsiaTheme="minorEastAsia"/>
          <w:szCs w:val="22"/>
          <w:lang w:val="fr-CA" w:eastAsia="en-US"/>
        </w:rPr>
        <w:t>On a retiré les remonte</w:t>
      </w:r>
      <w:r w:rsidRPr="002A6EA4">
        <w:rPr>
          <w:rFonts w:eastAsiaTheme="minorEastAsia"/>
          <w:szCs w:val="22"/>
          <w:lang w:val="fr-CA" w:eastAsia="en-US"/>
        </w:rPr>
        <w:noBreakHyphen/>
        <w:t>pentes du côté ouest de la vallée, car on pensait que les répercussions sur l’habitat du grizzly y seraient plus importantes.</w:t>
      </w:r>
    </w:p>
    <w:p w:rsidR="00094732" w:rsidRPr="002A6EA4" w:rsidRDefault="00094732" w:rsidP="0055329A">
      <w:pPr>
        <w:pStyle w:val="Citation-AltC"/>
        <w:widowControl w:val="0"/>
        <w:numPr>
          <w:ilvl w:val="0"/>
          <w:numId w:val="33"/>
        </w:numPr>
        <w:spacing w:before="480" w:after="480" w:line="480" w:lineRule="auto"/>
        <w:ind w:left="720" w:hanging="720"/>
        <w:contextualSpacing w:val="0"/>
        <w:rPr>
          <w:rFonts w:eastAsiaTheme="minorEastAsia"/>
          <w:szCs w:val="22"/>
          <w:lang w:val="fr-CA" w:eastAsia="en-US"/>
        </w:rPr>
      </w:pPr>
      <w:r w:rsidRPr="002A6EA4">
        <w:rPr>
          <w:rFonts w:eastAsiaTheme="minorEastAsia"/>
          <w:szCs w:val="22"/>
          <w:lang w:val="fr-CA" w:eastAsia="en-US"/>
        </w:rPr>
        <w:t>La province s’est engagée à mettre sur pied une aire de gestion de la faune pour contrer les répercussions possibles du projet sur les grizzlys et les revendications autochtones touchant la valeur spirituelle de la vallée.</w:t>
      </w:r>
    </w:p>
    <w:p w:rsidR="00094732" w:rsidRPr="002A6EA4" w:rsidRDefault="00094732" w:rsidP="0055329A">
      <w:pPr>
        <w:pStyle w:val="ParaNoNdepar-AltN"/>
        <w:widowControl w:val="0"/>
        <w:rPr>
          <w:rFonts w:cs="Times New Roman"/>
          <w:lang w:val="fr-CA"/>
        </w:rPr>
      </w:pPr>
      <w:r w:rsidRPr="002A6EA4">
        <w:rPr>
          <w:rFonts w:cs="Times New Roman"/>
          <w:lang w:val="fr-CA"/>
        </w:rPr>
        <w:t>Le 8 juin 2009, soit cinq jours après que le Ministre eut conclu que toutes les questions importantes avaient été réglées, les Ktunaxa lui ont présenté un tableau des questions non résolues, dans lequel ils n’ont pas mentionné la nature sacrée de la région ni les menaces pour la population de grizzlys.</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Aux rencontres tenues les 9 et 10 juin, les Ktunaxa ont toutefois adopté une position très différente et inflexible concernant la valeur spirituelle du Qat’muk. Ils ont </w:t>
      </w:r>
      <w:r w:rsidRPr="002A6EA4">
        <w:rPr>
          <w:rFonts w:cs="Times New Roman"/>
          <w:lang w:val="fr-CA"/>
        </w:rPr>
        <w:lastRenderedPageBreak/>
        <w:t>affirmé que le processus de consultation était déficient, non pas en raison de questions ayant trait à des intérêts, comme l’indemnisation pécuniaire et les réserves foncières, mais parce qu’on n’avait pas adéquatement tenu compte dans le processus de renseignements selon lesquels la vallée Jumbo est un lieu sacré. Ils ont expliqué au Ministre que seuls certains membres de la collectivité, les gardiens du savoir, détenaient de l’information sur ces valeurs. L’aîné Chris Luke père était le mieux placé pour parler de cet enjeu. Le Ministre a accepté de le rencontrer le 22 juin 2009, mais la réunion n’a pas eu lieu ce jour</w:t>
      </w:r>
      <w:r w:rsidRPr="002A6EA4">
        <w:rPr>
          <w:rFonts w:cs="Times New Roman"/>
          <w:lang w:val="fr-CA"/>
        </w:rPr>
        <w:noBreakHyphen/>
        <w:t>là. Le Ministre a accepté de prolonger la consultation auprès des Ktunaxa jusqu’au moins décembre 2009 pour traiter tout particulièrement de l’enjeu de la nature sacrée de la vallée Jumbo.</w:t>
      </w:r>
    </w:p>
    <w:p w:rsidR="00094732" w:rsidRPr="002A6EA4" w:rsidRDefault="00094732" w:rsidP="0055329A">
      <w:pPr>
        <w:pStyle w:val="ParaNoNdepar-AltN"/>
        <w:widowControl w:val="0"/>
        <w:rPr>
          <w:rFonts w:cs="Times New Roman"/>
          <w:lang w:val="fr-CA"/>
        </w:rPr>
      </w:pPr>
      <w:r w:rsidRPr="002A6EA4">
        <w:rPr>
          <w:rFonts w:cs="Times New Roman"/>
          <w:lang w:val="fr-CA"/>
        </w:rPr>
        <w:t>Après avoir déployé des efforts constants en vue d’organiser une rencontre pour discuter des valeurs sacrées, le Ministre a finalement réussi à rencontrer les Ktunaxa et M. Luke le 19 septembre 2009 à Cranbrook. S’exprimant par l’entremise d’interprètes, M. Luke a informé le Ministre que la question du Qat’muk en était une [</w:t>
      </w:r>
      <w:r w:rsidRPr="002A6EA4">
        <w:rPr>
          <w:rFonts w:cs="Times New Roman"/>
          <w:smallCaps/>
          <w:lang w:val="fr-CA"/>
        </w:rPr>
        <w:t>traduction</w:t>
      </w:r>
      <w:r w:rsidRPr="002A6EA4">
        <w:rPr>
          <w:rFonts w:cs="Times New Roman"/>
          <w:lang w:val="fr-CA"/>
        </w:rPr>
        <w:t>] « de vie et de mort »</w:t>
      </w:r>
      <w:r w:rsidR="00046B1D">
        <w:rPr>
          <w:rFonts w:cs="Times New Roman"/>
          <w:lang w:val="fr-CA"/>
        </w:rPr>
        <w:t>,</w:t>
      </w:r>
      <w:r w:rsidRPr="002A6EA4">
        <w:rPr>
          <w:rFonts w:cs="Times New Roman"/>
          <w:lang w:val="fr-CA"/>
        </w:rPr>
        <w:t xml:space="preserve"> que « Jumbo [était] l’un des principaux lieux spirituels » de leur nation, et que dire que la nature sacrée du lieu est importante pour les Ktunaxa serait un euphémisme</w:t>
      </w:r>
      <w:r w:rsidR="00C90E8F">
        <w:rPr>
          <w:rFonts w:cs="Times New Roman"/>
          <w:lang w:val="fr-CA"/>
        </w:rPr>
        <w:t xml:space="preserve"> : </w:t>
      </w:r>
      <w:r w:rsidRPr="002A6EA4">
        <w:rPr>
          <w:rFonts w:cs="Times New Roman"/>
          <w:lang w:val="fr-CA"/>
        </w:rPr>
        <w:t xml:space="preserve">motifs du juge en chambre, par. 94. Il a déclaré que tout déplacement de la terre ou toute construction d’installations permanentes enlèverait à la région son caractère sacré et détruirait la valeur spirituelle de la vallée. À la réunion, les Ktunaxa ont dit au Ministre qu’il n’y avait aucune solution intermédiaire au regard du projet. En termes simples, aucun accommodement n’était possible. Les Ktunaxa ont confirmé cette position lors d’une seconde rencontre le </w:t>
      </w:r>
      <w:r w:rsidRPr="002A6EA4">
        <w:rPr>
          <w:rFonts w:cs="Times New Roman"/>
          <w:lang w:val="fr-CA"/>
        </w:rPr>
        <w:lastRenderedPageBreak/>
        <w:t>7 décembre 2009 à Creston, en Colombie</w:t>
      </w:r>
      <w:r w:rsidRPr="002A6EA4">
        <w:rPr>
          <w:rFonts w:cs="Times New Roman"/>
          <w:lang w:val="fr-CA"/>
        </w:rPr>
        <w:noBreakHyphen/>
        <w:t xml:space="preserve">Britannique. Il </w:t>
      </w:r>
      <w:r w:rsidR="00046B1D">
        <w:rPr>
          <w:rFonts w:cs="Times New Roman"/>
          <w:lang w:val="fr-CA"/>
        </w:rPr>
        <w:t xml:space="preserve">en </w:t>
      </w:r>
      <w:r w:rsidRPr="002A6EA4">
        <w:rPr>
          <w:rFonts w:cs="Times New Roman"/>
          <w:lang w:val="fr-CA"/>
        </w:rPr>
        <w:t>est ressorti que M. Luke avait eu en 2004 la révélation qui a mené à la position que des installations permanentes enlèveraient au site son caractère sacré et le dévalueraient de façon irrévocable, mais que des problèmes de santé et des préoccupations liées au caractère secret de cette révélation l’avaient empêché d’en faire part à autrui avant 2009.</w:t>
      </w:r>
    </w:p>
    <w:p w:rsidR="00094732" w:rsidRPr="002A6EA4" w:rsidRDefault="00094732" w:rsidP="0055329A">
      <w:pPr>
        <w:pStyle w:val="ParaNoNdepar-AltN"/>
        <w:widowControl w:val="0"/>
        <w:rPr>
          <w:rFonts w:cs="Times New Roman"/>
          <w:lang w:val="fr-CA"/>
        </w:rPr>
      </w:pPr>
      <w:r w:rsidRPr="002A6EA4">
        <w:rPr>
          <w:rFonts w:cs="Times New Roman"/>
          <w:lang w:val="fr-CA"/>
        </w:rPr>
        <w:t>Le Ministre a persisté. Après examen plus approfondi des revendications à caractère spirituel des Ktunaxa, il a envoyé à ces derniers, le 11 juin 2010, un document préliminaire de 71 pages, « Consultation</w:t>
      </w:r>
      <w:r w:rsidR="00C90E8F">
        <w:rPr>
          <w:rFonts w:cs="Times New Roman"/>
          <w:lang w:val="fr-CA"/>
        </w:rPr>
        <w:t>/</w:t>
      </w:r>
      <w:r w:rsidRPr="002A6EA4">
        <w:rPr>
          <w:rFonts w:cs="Times New Roman"/>
          <w:lang w:val="fr-CA"/>
        </w:rPr>
        <w:t>Accommodation Summary » (Résumé des consultations et des mesures d’accommodement). Sept pages étaient consacrées à la description des consultations et des mesures d’accommodement qui avaient directement trait aux affirmations des Ktunaxa quant à la nature sacrée de la vallée Jumbo. On invitait par ailleurs les Ktunaxa à présenter leurs observations. Il a rencontré les Ktunaxa le 8 juillet 2010 et des modifications ont été apportées au document.</w:t>
      </w:r>
    </w:p>
    <w:p w:rsidR="00094732" w:rsidRPr="002A6EA4" w:rsidRDefault="00094732" w:rsidP="0055329A">
      <w:pPr>
        <w:pStyle w:val="ParaNoNdepar-AltN"/>
        <w:widowControl w:val="0"/>
        <w:rPr>
          <w:rFonts w:cs="Times New Roman"/>
          <w:lang w:val="fr-CA"/>
        </w:rPr>
      </w:pPr>
      <w:r w:rsidRPr="002A6EA4">
        <w:rPr>
          <w:rFonts w:cs="Times New Roman"/>
          <w:lang w:val="fr-CA"/>
        </w:rPr>
        <w:t>La réponse des Ktunaxa est contenue dans un document de 40 pages dont la première page et demie portait sur les valeurs sacrées. Quelques mois plus tard, en novembre 2010, les Ktunaxa ont publié une déclaration de droits unilatérale sur le Qat’muk, la « Qat’muk Declaration » (déclaration sur le Qat’muk)</w:t>
      </w:r>
      <w:r w:rsidR="00C90E8F">
        <w:rPr>
          <w:rFonts w:cs="Times New Roman"/>
          <w:lang w:val="fr-CA"/>
        </w:rPr>
        <w:t xml:space="preserve"> </w:t>
      </w:r>
      <w:r w:rsidR="00C90E8F" w:rsidRPr="002A6EA4">
        <w:rPr>
          <w:rFonts w:cs="Times New Roman"/>
          <w:lang w:val="fr-CA"/>
        </w:rPr>
        <w:t>(annexe « E » de la</w:t>
      </w:r>
      <w:r w:rsidR="00D854B8">
        <w:rPr>
          <w:rFonts w:cs="Times New Roman"/>
          <w:lang w:val="fr-CA"/>
        </w:rPr>
        <w:t xml:space="preserve"> décision 2014 BCSC 568, p. 115-</w:t>
      </w:r>
      <w:r w:rsidR="00C90E8F" w:rsidRPr="002A6EA4">
        <w:rPr>
          <w:rFonts w:cs="Times New Roman"/>
          <w:lang w:val="fr-CA"/>
        </w:rPr>
        <w:t>116 (CanLII))</w:t>
      </w:r>
      <w:r w:rsidRPr="002A6EA4">
        <w:rPr>
          <w:rFonts w:cs="Times New Roman"/>
          <w:lang w:val="fr-CA"/>
        </w:rPr>
        <w:t>, fondée sur leur [</w:t>
      </w:r>
      <w:r w:rsidRPr="002A6EA4">
        <w:rPr>
          <w:rFonts w:cs="Times New Roman"/>
          <w:smallCaps/>
          <w:lang w:val="fr-CA"/>
        </w:rPr>
        <w:t>traduction</w:t>
      </w:r>
      <w:r w:rsidRPr="002A6EA4">
        <w:rPr>
          <w:rFonts w:cs="Times New Roman"/>
          <w:lang w:val="fr-CA"/>
        </w:rPr>
        <w:t>] « souveraineté préexistante ». Ce document dressait la carte d’une région où les Ktunaxa empêcheraient tout aménagement. Aucune perturbation ou altération ne serait permise dans la région identifiée sous le nom d</w:t>
      </w:r>
      <w:r w:rsidR="00D854B8">
        <w:rPr>
          <w:rFonts w:cs="Times New Roman"/>
          <w:lang w:val="fr-CA"/>
        </w:rPr>
        <w:t>’</w:t>
      </w:r>
      <w:r w:rsidRPr="002A6EA4">
        <w:rPr>
          <w:rFonts w:cs="Times New Roman"/>
          <w:lang w:val="fr-CA"/>
        </w:rPr>
        <w:t xml:space="preserve">« aire de refuge ». Il était interdit de </w:t>
      </w:r>
      <w:r w:rsidRPr="002A6EA4">
        <w:rPr>
          <w:rFonts w:cs="Times New Roman"/>
          <w:lang w:val="fr-CA"/>
        </w:rPr>
        <w:lastRenderedPageBreak/>
        <w:t>construire des immeubles avec des fondations permanentes ou des habitations permanentes pour les humains dans l’aire de refuge ainsi qu’à l’intérieur de la zone tampon et sur la route d’accès, ce qui revenait à dire que le projet de station de ski ne pouvait pas aller de l’avant puisqu’il était partiellement situé dans l’aire de refuge et que sa route d’accès traversait la zone tampon.</w:t>
      </w:r>
    </w:p>
    <w:p w:rsidR="00094732" w:rsidRPr="002A6EA4" w:rsidRDefault="00094732" w:rsidP="0055329A">
      <w:pPr>
        <w:pStyle w:val="ParaNoNdepar-AltN"/>
        <w:widowControl w:val="0"/>
        <w:rPr>
          <w:rFonts w:cs="Times New Roman"/>
          <w:lang w:val="fr-CA"/>
        </w:rPr>
      </w:pPr>
      <w:r w:rsidRPr="002A6EA4">
        <w:rPr>
          <w:rFonts w:cs="Times New Roman"/>
          <w:lang w:val="fr-CA"/>
        </w:rPr>
        <w:t>Dans la même veine que la déclaration sur le Qat’muk, les Ktunaxa ont désormais soutenu que les négociations étaient terminées. Les discussions pouvaient uniquement se poursuivre pour faire comprendre aux décideurs la raison pour laquelle le projet de station de ski ne pouvait pas aller de l’avant. Le Ministre a continué à tenter de trouver des mesures d’atténuation et d’accommodement en procédant à des consultations additionnelles, mais sans succès. Les négociations étaient terminées.</w:t>
      </w:r>
    </w:p>
    <w:p w:rsidR="00094732" w:rsidRPr="002A6EA4" w:rsidRDefault="00094732" w:rsidP="0055329A">
      <w:pPr>
        <w:pStyle w:val="ParaNoNdepar-AltN"/>
        <w:widowControl w:val="0"/>
        <w:rPr>
          <w:rFonts w:cs="Times New Roman"/>
          <w:lang w:val="fr-CA"/>
        </w:rPr>
      </w:pPr>
      <w:r w:rsidRPr="002A6EA4">
        <w:rPr>
          <w:rFonts w:cs="Times New Roman"/>
          <w:lang w:val="fr-CA"/>
        </w:rPr>
        <w:t>Le 20 mars 2012, le Ministre a signé l’ACA avec Glacier Resorts. Le document prévoyait un certain nombre de mesures pour répondre aux préoccupations soulevées par les Ktunaxa lors des consultations</w:t>
      </w:r>
      <w:r w:rsidR="00CD36C2">
        <w:rPr>
          <w:rFonts w:cs="Times New Roman"/>
          <w:lang w:val="fr-CA"/>
        </w:rPr>
        <w:t xml:space="preserve"> : </w:t>
      </w:r>
      <w:r w:rsidRPr="002A6EA4">
        <w:rPr>
          <w:rFonts w:cs="Times New Roman"/>
          <w:lang w:val="fr-CA"/>
        </w:rPr>
        <w:t>motifs du juge en chambre, par. 236</w:t>
      </w:r>
      <w:r w:rsidR="00CD36C2">
        <w:rPr>
          <w:rFonts w:cs="Times New Roman"/>
          <w:lang w:val="fr-CA"/>
        </w:rPr>
        <w:t>-</w:t>
      </w:r>
      <w:r w:rsidRPr="002A6EA4">
        <w:rPr>
          <w:rFonts w:cs="Times New Roman"/>
          <w:lang w:val="fr-CA"/>
        </w:rPr>
        <w:t>239.</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En résumé, les Ktunaxa ont joué un rôle actif à toutes les phases du long processus réglementaire qui a mené à l’approbation du projet de station de ski. Par suite de la consultation qui a eu lieu au cours du processus réglementaire, l’étendue du projet a été grandement réduite, des mesures ont été prises pour protéger les grizzlys et les intérêts spirituels des Ktunaxa, et des discussions ont été engagées sur des enjeux économiques et autres intérêts, notamment en matière d’indemnisation. Les zones </w:t>
      </w:r>
      <w:r w:rsidRPr="002A6EA4">
        <w:rPr>
          <w:rFonts w:cs="Times New Roman"/>
          <w:lang w:val="fr-CA"/>
        </w:rPr>
        <w:lastRenderedPageBreak/>
        <w:t>fréquentées abondamment par les grizzlys ont été retirées du projet. Enfin, des progrès ont été réalisés et la conclusion d’un accord semblait imminente.</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En 2010, la déclaration sur le Qat’muk a mis fin à cette perspective d’entente sur d’éventuels accommodements. Les Ktunaxa ont dit à la réunion de septembre 2009 qu’il n’était pas possible de répondre à leurs préoccupations d’ordre spirituel. La déclaration sur le Qat’muk de 2010 a changé sans équivoque le processus : d’une recherche d’accommodements acceptables, on est passé à un rejet de l’ensemble du projet, et d’une recherche de protection des valeurs spirituelles inhérentes à la vallée et de la population de grizzlys, on en est venu à la position que toute installation permanente sur l’emplacement proposé de la station de ski chasserait l’Esprit de l’Ours Grizzly et détruirait le fondement de la pratique spirituelle des Ktunaxa. </w:t>
      </w:r>
    </w:p>
    <w:p w:rsidR="00094732" w:rsidRPr="002A6EA4" w:rsidRDefault="00094732" w:rsidP="0055329A">
      <w:pPr>
        <w:pStyle w:val="ParaNoNdepar-AltN"/>
        <w:widowControl w:val="0"/>
        <w:rPr>
          <w:rFonts w:cs="Times New Roman"/>
          <w:lang w:val="fr-CA"/>
        </w:rPr>
      </w:pPr>
      <w:r w:rsidRPr="002A6EA4">
        <w:rPr>
          <w:rFonts w:cs="Times New Roman"/>
          <w:lang w:val="fr-CA"/>
        </w:rPr>
        <w:t>La position adoptée par les Ktunaxa en septembre 2009 et de nouveau à la fin de 2010 avec la publication de la déclaration sur le Qat’muk équivalait en fait à une revendication différente et inflexible au sujet d’un accommodement convenable. La revendication ne portait alors plus sur les valeurs spirituelles répandues auxquelles il serait possible de satisfaire par la prise de mesures comme la création de réserves foncières, le versement de sommes d’argent et la protection de l’environnement. Il s’agissait désormais plutôt d’une revendication absolue à l’égard d’un lieu sacré qui devait être préservé et protégé de l’habitation humaine permanente. Nous l’appelons ci</w:t>
      </w:r>
      <w:r w:rsidRPr="002A6EA4">
        <w:rPr>
          <w:rFonts w:cs="Times New Roman"/>
          <w:lang w:val="fr-CA"/>
        </w:rPr>
        <w:noBreakHyphen/>
        <w:t>dessous « revendication de la fin de 2009 », laquelle a été formulée la première fois en septembre 2009 puis de nouveau</w:t>
      </w:r>
      <w:r>
        <w:rPr>
          <w:rFonts w:cs="Times New Roman"/>
          <w:lang w:val="fr-CA"/>
        </w:rPr>
        <w:t xml:space="preserve"> en décembre 2009 ainsi que</w:t>
      </w:r>
      <w:r w:rsidRPr="002A6EA4">
        <w:rPr>
          <w:rFonts w:cs="Times New Roman"/>
          <w:lang w:val="fr-CA"/>
        </w:rPr>
        <w:t xml:space="preserve"> dans la déclaration </w:t>
      </w:r>
      <w:r w:rsidR="007C520F">
        <w:rPr>
          <w:rFonts w:cs="Times New Roman"/>
          <w:lang w:val="fr-CA"/>
        </w:rPr>
        <w:t xml:space="preserve">sur </w:t>
      </w:r>
      <w:r w:rsidR="007C520F">
        <w:rPr>
          <w:rFonts w:cs="Times New Roman"/>
          <w:lang w:val="fr-CA"/>
        </w:rPr>
        <w:lastRenderedPageBreak/>
        <w:t>le</w:t>
      </w:r>
      <w:r w:rsidRPr="002A6EA4">
        <w:rPr>
          <w:rFonts w:cs="Times New Roman"/>
          <w:lang w:val="fr-CA"/>
        </w:rPr>
        <w:t xml:space="preserve"> Qat’muk. Il n’y avait aucun moyen de concilier cette revendication avec le projet de station de ski. Le Ministre a essayé de poursuivre les consultations mais, sans surprise, celles</w:t>
      </w:r>
      <w:r w:rsidRPr="002A6EA4">
        <w:rPr>
          <w:rFonts w:cs="Times New Roman"/>
          <w:lang w:val="fr-CA"/>
        </w:rPr>
        <w:noBreakHyphen/>
        <w:t>ci ont échoué. En 2011, le Ministre a conclu qu’il y avait eu des consultations suffisantes et a approuvé l’aménagement de la station de ski.</w:t>
      </w:r>
    </w:p>
    <w:p w:rsidR="00094732" w:rsidRPr="002A6EA4" w:rsidRDefault="00094732" w:rsidP="0055329A">
      <w:pPr>
        <w:pStyle w:val="Title1LevelTitre1Niveau-AltL"/>
        <w:widowControl w:val="0"/>
        <w:rPr>
          <w:rFonts w:cs="Times New Roman"/>
          <w:lang w:val="fr-CA"/>
        </w:rPr>
      </w:pPr>
      <w:r w:rsidRPr="002A6EA4">
        <w:rPr>
          <w:rFonts w:cs="Times New Roman"/>
          <w:lang w:val="fr-CA"/>
        </w:rPr>
        <w:t>Historique des décisions</w:t>
      </w:r>
    </w:p>
    <w:p w:rsidR="00094732" w:rsidRPr="002A6EA4" w:rsidRDefault="00094732" w:rsidP="0055329A">
      <w:pPr>
        <w:pStyle w:val="Title2LevelTitre2Niveau"/>
        <w:widowControl w:val="0"/>
        <w:rPr>
          <w:rFonts w:cs="Times New Roman"/>
          <w:lang w:val="fr-CA"/>
        </w:rPr>
      </w:pPr>
      <w:r w:rsidRPr="002A6EA4">
        <w:rPr>
          <w:rFonts w:cs="Times New Roman"/>
          <w:lang w:val="fr-CA"/>
        </w:rPr>
        <w:t>Les motifs du Ministre</w:t>
      </w:r>
    </w:p>
    <w:p w:rsidR="00094732" w:rsidRPr="002A6EA4" w:rsidRDefault="00094732" w:rsidP="0055329A">
      <w:pPr>
        <w:pStyle w:val="ParaNoNdepar-AltN"/>
        <w:widowControl w:val="0"/>
        <w:rPr>
          <w:rFonts w:cs="Times New Roman"/>
          <w:lang w:val="fr-CA"/>
        </w:rPr>
      </w:pPr>
      <w:r w:rsidRPr="002A6EA4">
        <w:rPr>
          <w:rFonts w:cs="Times New Roman"/>
          <w:lang w:val="fr-CA"/>
        </w:rPr>
        <w:t>Le 20 mars 2012, le Ministre a approuvé l’ACA et rendu les motifs de sa décision (annexe « F » de la décision 2014 BCSC 568, p. 117</w:t>
      </w:r>
      <w:r w:rsidR="003D5828">
        <w:rPr>
          <w:rFonts w:cs="Times New Roman"/>
          <w:lang w:val="fr-CA"/>
        </w:rPr>
        <w:t>-</w:t>
      </w:r>
      <w:r w:rsidRPr="002A6EA4">
        <w:rPr>
          <w:rFonts w:cs="Times New Roman"/>
          <w:lang w:val="fr-CA"/>
        </w:rPr>
        <w:t>124 (CanLII) (« Motifs »)), lesquels renvoyaient au détaillé Résumé des consultations et des mesures d’accommodement, qui a été achevé en mars 2011 (voir le d.i. (Ministre), p. 66</w:t>
      </w:r>
      <w:r w:rsidR="00D854B8">
        <w:rPr>
          <w:rFonts w:cs="Times New Roman"/>
          <w:lang w:val="fr-CA"/>
        </w:rPr>
        <w:t>-</w:t>
      </w:r>
      <w:r w:rsidRPr="002A6EA4">
        <w:rPr>
          <w:rFonts w:cs="Times New Roman"/>
          <w:lang w:val="fr-CA"/>
        </w:rPr>
        <w:t>154).</w:t>
      </w:r>
    </w:p>
    <w:p w:rsidR="00094732" w:rsidRPr="002A6EA4" w:rsidRDefault="00094732" w:rsidP="0055329A">
      <w:pPr>
        <w:pStyle w:val="ParaNoNdepar-AltN"/>
        <w:widowControl w:val="0"/>
        <w:rPr>
          <w:rFonts w:cs="Times New Roman"/>
          <w:lang w:val="fr-CA"/>
        </w:rPr>
      </w:pPr>
      <w:r w:rsidRPr="002A6EA4">
        <w:rPr>
          <w:rFonts w:cs="Times New Roman"/>
          <w:lang w:val="fr-CA"/>
        </w:rPr>
        <w:t>Le Ministre a déclaré que le bien</w:t>
      </w:r>
      <w:r w:rsidRPr="002A6EA4">
        <w:rPr>
          <w:rFonts w:cs="Times New Roman"/>
          <w:lang w:val="fr-CA"/>
        </w:rPr>
        <w:noBreakHyphen/>
        <w:t>fondé des revendications des Autochtones à l’égard de la région devait encore être prouvé, mais qu’il devait malgré tout faire preuve de respect à l’égard de ces revendications et reconnaître leur existence et qu’il devait consulter les groupes dans le but de tenir compte de leurs intérêts. Les Shuswap avaient conclu au caractère suffisant de la consultation, mais non les Ktunaxa.</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Le Ministre a déclaré qu’il reconnaissait les valeurs véritablement sacrées en jeu pour les dirigeants des Ktunaxa et les gardiens du savoir. Il a ajouté qu’on ne savait pas si les revendications de nature spirituelle des Ktunaxa seraient considérées comme un droit protégé par la Constitution ou si le droit revendiqué pourrait être </w:t>
      </w:r>
      <w:r w:rsidRPr="002A6EA4">
        <w:rPr>
          <w:rFonts w:cs="Times New Roman"/>
          <w:lang w:val="fr-CA"/>
        </w:rPr>
        <w:lastRenderedPageBreak/>
        <w:t>concilié avec d’autres droits revendiqués par les Autochtones et l’accès des Ktunaxa à la vallée pour diverses activités traditionnelles et modernes, notamment la chasse, la cueillette et la pêche. À son avis, la revendication était faible car, d’une part, peu d’indices laissaient croire que le droit revendiqué faisait partie d’une tradition, pratique ou activité ancestrale essentielle à la culture des Ktunaxa et, d’autre part, en raison du fait que les détails de l’intérêt en question n’étaient ni communiqués à la population générale des Ktunaxa ni connus de cette dernière. (Le dernier point renvoie à la revendication de la fin de 2009, étant donné que les revendications plus générales de nature spirituelle invoquées depuis le début du processus étaient notoires.)</w:t>
      </w:r>
    </w:p>
    <w:p w:rsidR="00094732" w:rsidRPr="002A6EA4" w:rsidRDefault="00094732" w:rsidP="0055329A">
      <w:pPr>
        <w:pStyle w:val="ParaNoNdepar-AltN"/>
        <w:widowControl w:val="0"/>
        <w:rPr>
          <w:rFonts w:cs="Times New Roman"/>
          <w:lang w:val="fr-CA"/>
        </w:rPr>
      </w:pPr>
      <w:r w:rsidRPr="002A6EA4">
        <w:rPr>
          <w:rFonts w:cs="Times New Roman"/>
          <w:lang w:val="fr-CA"/>
        </w:rPr>
        <w:t>Le Ministre, qui a examiné le volumineux dossier des consultations menées auprès des Ktunaxa au cours des deux dernières décennies, a indiqué qu’un grand nombre de mesures d’accommodement et d’ajustements avaient été consentis pour tenter de répondre aux intérêts de cette nation. On avait par exemple réduit de 60 p. </w:t>
      </w:r>
      <w:r w:rsidR="003D5828">
        <w:rPr>
          <w:rFonts w:cs="Times New Roman"/>
          <w:lang w:val="fr-CA"/>
        </w:rPr>
        <w:t>100</w:t>
      </w:r>
      <w:r w:rsidRPr="002A6EA4">
        <w:rPr>
          <w:rFonts w:cs="Times New Roman"/>
          <w:lang w:val="fr-CA"/>
        </w:rPr>
        <w:t xml:space="preserve"> la zone d’aménagement réservée à la station de ski, dépêché sur place des inspecteurs de l’environnement, assuré l’utilisation continue de la zone pour des pratiques traditionnelles et pris des mesures pour atténuer les répercussions de l’aménagement sur les grizzlys. On avait retiré du projet le secteur inférieur de Jumbo Creek et un remonte</w:t>
      </w:r>
      <w:r w:rsidRPr="002A6EA4">
        <w:rPr>
          <w:rFonts w:cs="Times New Roman"/>
          <w:lang w:val="fr-CA"/>
        </w:rPr>
        <w:noBreakHyphen/>
        <w:t xml:space="preserve">pente du côté ouest de la vallée parce qu’on avait l’impression que le grizzly fréquentait davantage ces secteurs. Une aire de gestion de la faune avait été établie pour atténuer les éventuelles répercussions du projet sur les grizzlys et la valeur spirituelle de la vallée. Par ailleurs, la province s’était engagée à poursuivre la gestion proactive de la population de grizzlys grâce à la législation et aux politiques existantes. Le </w:t>
      </w:r>
      <w:r w:rsidRPr="002A6EA4">
        <w:rPr>
          <w:rFonts w:cs="Times New Roman"/>
          <w:lang w:val="fr-CA"/>
        </w:rPr>
        <w:lastRenderedPageBreak/>
        <w:t>Ministre a déclaré ce qui suit dans ses Motifs :</w:t>
      </w:r>
    </w:p>
    <w:p w:rsidR="00094732" w:rsidRPr="002A6EA4" w:rsidRDefault="00094732" w:rsidP="0055329A">
      <w:pPr>
        <w:pStyle w:val="Citation-AltC"/>
        <w:widowControl w:val="0"/>
        <w:ind w:hanging="1166"/>
        <w:contextualSpacing w:val="0"/>
        <w:rPr>
          <w:lang w:val="fr-CA"/>
        </w:rPr>
      </w:pPr>
      <w:r w:rsidRPr="002A6EA4">
        <w:rPr>
          <w:lang w:val="fr-CA"/>
        </w:rPr>
        <w:tab/>
        <w:t>[</w:t>
      </w:r>
      <w:r w:rsidRPr="002A6EA4">
        <w:rPr>
          <w:smallCaps/>
          <w:lang w:val="fr-CA"/>
        </w:rPr>
        <w:t>traduction</w:t>
      </w:r>
      <w:r w:rsidRPr="002A6EA4">
        <w:rPr>
          <w:lang w:val="fr-CA"/>
        </w:rPr>
        <w:t>] Tout bien considéré, j’ai conclu pour ces raisons que les engagements et stratégies en place sont raisonnables et minimisent les éventuelles répercussions sur l’environnement et, en particulier, sur l’habitat du grizzly. [p. 124]</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Le Ministre a conclu que, dans l’ensemble, la consultation s’était rendue </w:t>
      </w:r>
      <w:r w:rsidRPr="002A6EA4">
        <w:rPr>
          <w:rFonts w:cs="Times New Roman"/>
          <w:spacing w:val="-1"/>
          <w:lang w:val="fr-CA"/>
        </w:rPr>
        <w:t>[</w:t>
      </w:r>
      <w:r w:rsidRPr="002A6EA4">
        <w:rPr>
          <w:rFonts w:cs="Times New Roman"/>
          <w:smallCaps/>
          <w:spacing w:val="-1"/>
          <w:lang w:val="fr-CA"/>
        </w:rPr>
        <w:t>traduction</w:t>
      </w:r>
      <w:r w:rsidRPr="002A6EA4">
        <w:rPr>
          <w:rFonts w:cs="Times New Roman"/>
          <w:spacing w:val="-1"/>
          <w:lang w:val="fr-CA"/>
        </w:rPr>
        <w:t>]</w:t>
      </w:r>
      <w:r w:rsidRPr="002A6EA4">
        <w:rPr>
          <w:rFonts w:cs="Times New Roman"/>
          <w:lang w:val="fr-CA"/>
        </w:rPr>
        <w:t> « à l’extrémité supérieure du continuum de consultation » (p. 123). Si l’on tient compte en outre des mesures d’</w:t>
      </w:r>
      <w:r>
        <w:rPr>
          <w:rFonts w:cs="Times New Roman"/>
          <w:lang w:val="fr-CA"/>
        </w:rPr>
        <w:t>accommodement</w:t>
      </w:r>
      <w:r w:rsidRPr="002A6EA4">
        <w:rPr>
          <w:rFonts w:cs="Times New Roman"/>
          <w:lang w:val="fr-CA"/>
        </w:rPr>
        <w:t xml:space="preserve"> prises, la consultation était adéquate « à l’égard des droits pour lesquels il existait une revendication solide, et pour lesquels les conséquences du projet pourraient être importantes » (</w:t>
      </w:r>
      <w:r w:rsidRPr="002A6EA4">
        <w:rPr>
          <w:rFonts w:cs="Times New Roman"/>
          <w:i/>
          <w:lang w:val="fr-CA"/>
        </w:rPr>
        <w:t>ibid.</w:t>
      </w:r>
      <w:r w:rsidRPr="002A6EA4">
        <w:rPr>
          <w:rFonts w:cs="Times New Roman"/>
          <w:lang w:val="fr-CA"/>
        </w:rPr>
        <w:t>). Il a jugé raisonnables les mesures importantes d’accommodement prises pour permettre aux Ktunaxa de continuer à exercer leurs droits ancestraux, par rapport aux avantages du projet pour la collectivité (investissements de 900 millions de dollars et entre 750 et 800 emplois directs et permanents).</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Rappelant les vastes consultations et processus d’évaluation qui avaient eu lieu, le Ministre a affirmé avoir décidé d’approuver </w:t>
      </w:r>
      <w:r w:rsidR="004809C1">
        <w:rPr>
          <w:rFonts w:cs="Times New Roman"/>
          <w:lang w:val="fr-CA"/>
        </w:rPr>
        <w:t>l’ACA pour</w:t>
      </w:r>
      <w:r w:rsidRPr="002A6EA4">
        <w:rPr>
          <w:rFonts w:cs="Times New Roman"/>
          <w:lang w:val="fr-CA"/>
        </w:rPr>
        <w:t xml:space="preserve"> la station de ski Jumbo Glacier.</w:t>
      </w:r>
    </w:p>
    <w:p w:rsidR="00094732" w:rsidRPr="002A6EA4" w:rsidRDefault="00094732" w:rsidP="0055329A">
      <w:pPr>
        <w:pStyle w:val="Title2LevelTitre2Niveau"/>
        <w:widowControl w:val="0"/>
        <w:rPr>
          <w:rFonts w:cs="Times New Roman"/>
          <w:lang w:val="fr-CA"/>
        </w:rPr>
      </w:pPr>
      <w:r w:rsidRPr="002A6EA4">
        <w:rPr>
          <w:rFonts w:cs="Times New Roman"/>
          <w:lang w:val="fr-CA"/>
        </w:rPr>
        <w:t>Les motifs du juge en chambre</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Les Ktunaxa ont sollicité le contrôle judiciaire de la décision du Ministre. Ils ont déposé une requête dans laquelle ils faisaient valoir que la décision portait </w:t>
      </w:r>
      <w:r w:rsidRPr="002A6EA4">
        <w:rPr>
          <w:rFonts w:cs="Times New Roman"/>
          <w:lang w:val="fr-CA"/>
        </w:rPr>
        <w:lastRenderedPageBreak/>
        <w:t>atteinte à leur liberté de religion garantie par l’al. 2</w:t>
      </w:r>
      <w:r w:rsidRPr="002A6EA4">
        <w:rPr>
          <w:rFonts w:cs="Times New Roman"/>
          <w:i/>
          <w:lang w:val="fr-CA"/>
        </w:rPr>
        <w:t>a</w:t>
      </w:r>
      <w:r w:rsidRPr="002A6EA4">
        <w:rPr>
          <w:rFonts w:cs="Times New Roman"/>
          <w:lang w:val="fr-CA"/>
        </w:rPr>
        <w:t xml:space="preserve">) de la </w:t>
      </w:r>
      <w:r w:rsidRPr="002A6EA4">
        <w:rPr>
          <w:rFonts w:cs="Times New Roman"/>
          <w:i/>
          <w:lang w:val="fr-CA"/>
        </w:rPr>
        <w:t>Charte</w:t>
      </w:r>
      <w:r w:rsidRPr="002A6EA4">
        <w:rPr>
          <w:rFonts w:cs="Times New Roman"/>
          <w:lang w:val="fr-CA"/>
        </w:rPr>
        <w:t xml:space="preserve"> et ne respectait pas l’obligation de la Couronne de les consulter et de tenir compte des droits ancestraux qui leur sont reconnus à l’art. 35 de la </w:t>
      </w:r>
      <w:r w:rsidRPr="002A6EA4">
        <w:rPr>
          <w:rFonts w:cs="Times New Roman"/>
          <w:i/>
          <w:lang w:val="fr-CA"/>
        </w:rPr>
        <w:t>Loi constitutionnelle de 1982</w:t>
      </w:r>
      <w:r w:rsidRPr="002A6EA4">
        <w:rPr>
          <w:rFonts w:cs="Times New Roman"/>
          <w:lang w:val="fr-CA"/>
        </w:rPr>
        <w:t>.</w:t>
      </w:r>
    </w:p>
    <w:p w:rsidR="00094732" w:rsidRPr="002A6EA4" w:rsidRDefault="00094732" w:rsidP="0055329A">
      <w:pPr>
        <w:pStyle w:val="ParaNoNdepar-AltN"/>
        <w:widowControl w:val="0"/>
        <w:rPr>
          <w:rFonts w:cs="Times New Roman"/>
          <w:lang w:val="fr-CA"/>
        </w:rPr>
      </w:pPr>
      <w:r w:rsidRPr="002A6EA4">
        <w:rPr>
          <w:rFonts w:cs="Times New Roman"/>
          <w:lang w:val="fr-CA"/>
        </w:rPr>
        <w:t>Le juge en chambre, le juge Savage</w:t>
      </w:r>
      <w:r w:rsidR="00CC1C19">
        <w:rPr>
          <w:rFonts w:cs="Times New Roman"/>
          <w:lang w:val="fr-CA"/>
        </w:rPr>
        <w:t xml:space="preserve"> (maintenant juge à la Cour d’appel de la</w:t>
      </w:r>
      <w:r w:rsidRPr="002A6EA4">
        <w:rPr>
          <w:rFonts w:cs="Times New Roman"/>
          <w:lang w:val="fr-CA"/>
        </w:rPr>
        <w:t xml:space="preserve"> Colombie</w:t>
      </w:r>
      <w:r w:rsidRPr="002A6EA4">
        <w:rPr>
          <w:rFonts w:cs="Times New Roman"/>
          <w:lang w:val="fr-CA"/>
        </w:rPr>
        <w:noBreakHyphen/>
        <w:t>Britannique</w:t>
      </w:r>
      <w:r w:rsidR="00CC1C19">
        <w:rPr>
          <w:rFonts w:cs="Times New Roman"/>
          <w:lang w:val="fr-CA"/>
        </w:rPr>
        <w:t>)</w:t>
      </w:r>
      <w:r w:rsidRPr="002A6EA4">
        <w:rPr>
          <w:rFonts w:cs="Times New Roman"/>
          <w:lang w:val="fr-CA"/>
        </w:rPr>
        <w:t xml:space="preserve">, a rejeté la requête. Pour ce qui est de la revendication fondée sur la </w:t>
      </w:r>
      <w:r w:rsidRPr="002A6EA4">
        <w:rPr>
          <w:rFonts w:cs="Times New Roman"/>
          <w:i/>
          <w:lang w:val="fr-CA"/>
        </w:rPr>
        <w:t>Charte</w:t>
      </w:r>
      <w:r w:rsidRPr="002A6EA4">
        <w:rPr>
          <w:rFonts w:cs="Times New Roman"/>
          <w:lang w:val="fr-CA"/>
        </w:rPr>
        <w:t>, il a jugé que l’al. 2</w:t>
      </w:r>
      <w:r w:rsidRPr="002A6EA4">
        <w:rPr>
          <w:rFonts w:cs="Times New Roman"/>
          <w:i/>
          <w:lang w:val="fr-CA"/>
        </w:rPr>
        <w:t>a</w:t>
      </w:r>
      <w:r w:rsidRPr="002A6EA4">
        <w:rPr>
          <w:rFonts w:cs="Times New Roman"/>
          <w:lang w:val="fr-CA"/>
        </w:rPr>
        <w:t>) protège l’individu contre la coercition ou contrainte exercée par l’État, mais ne vise pas une [</w:t>
      </w:r>
      <w:r w:rsidRPr="002A6EA4">
        <w:rPr>
          <w:rFonts w:cs="Times New Roman"/>
          <w:smallCaps/>
          <w:lang w:val="fr-CA"/>
        </w:rPr>
        <w:t>traduction</w:t>
      </w:r>
      <w:r w:rsidRPr="002A6EA4">
        <w:rPr>
          <w:rFonts w:cs="Times New Roman"/>
          <w:lang w:val="fr-CA"/>
        </w:rPr>
        <w:t>] « perte subjective de sens » d’une religion, en l’absence de la coercition ou contrainte associée à la conduite (par. 299). Il a par conséquent rejeté l’argument des Ktunaxa selon lequel l’État était tenu par l’al. 2</w:t>
      </w:r>
      <w:r w:rsidRPr="002A6EA4">
        <w:rPr>
          <w:rFonts w:cs="Times New Roman"/>
          <w:i/>
          <w:lang w:val="fr-CA"/>
        </w:rPr>
        <w:t>a</w:t>
      </w:r>
      <w:r w:rsidRPr="002A6EA4">
        <w:rPr>
          <w:rFonts w:cs="Times New Roman"/>
          <w:lang w:val="fr-CA"/>
        </w:rPr>
        <w:t>) de mettre un terme au projet parce qu’ils croyaient qu’il nuirait à leurs croyances et pratiques religieuses.</w:t>
      </w:r>
    </w:p>
    <w:p w:rsidR="00094732" w:rsidRPr="002A6EA4" w:rsidRDefault="00094732" w:rsidP="0055329A">
      <w:pPr>
        <w:pStyle w:val="ParaNoNdepar-AltN"/>
        <w:widowControl w:val="0"/>
        <w:rPr>
          <w:rFonts w:cs="Times New Roman"/>
          <w:lang w:val="fr-CA"/>
        </w:rPr>
      </w:pPr>
      <w:r w:rsidRPr="002A6EA4">
        <w:rPr>
          <w:rFonts w:cs="Times New Roman"/>
          <w:lang w:val="fr-CA"/>
        </w:rPr>
        <w:t>Le juge en chambre a ajouté que si sa conclusion au sujet de la portée de l’al. 2</w:t>
      </w:r>
      <w:r w:rsidRPr="002A6EA4">
        <w:rPr>
          <w:rFonts w:cs="Times New Roman"/>
          <w:i/>
          <w:lang w:val="fr-CA"/>
        </w:rPr>
        <w:t>a</w:t>
      </w:r>
      <w:r w:rsidRPr="002A6EA4">
        <w:rPr>
          <w:rFonts w:cs="Times New Roman"/>
          <w:lang w:val="fr-CA"/>
        </w:rPr>
        <w:t>) était erronée, il y avait un équilibre raisonnable entre, d’une part, les actes du Ministre et les mesures d’accommodement qu’il a prises et, d’autre part, les valeurs sous</w:t>
      </w:r>
      <w:r w:rsidRPr="002A6EA4">
        <w:rPr>
          <w:rFonts w:cs="Times New Roman"/>
          <w:lang w:val="fr-CA"/>
        </w:rPr>
        <w:noBreakHyphen/>
        <w:t>jacentes à l’al. 2</w:t>
      </w:r>
      <w:r w:rsidRPr="002A6EA4">
        <w:rPr>
          <w:rFonts w:cs="Times New Roman"/>
          <w:i/>
          <w:lang w:val="fr-CA"/>
        </w:rPr>
        <w:t>a</w:t>
      </w:r>
      <w:r w:rsidRPr="002A6EA4">
        <w:rPr>
          <w:rFonts w:cs="Times New Roman"/>
          <w:lang w:val="fr-CA"/>
        </w:rPr>
        <w:t>) et les objectifs de cette disposition, et qu’il n’était par conséquent pas porté atteinte de façon déraisonnable à la liberté de religion.</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Sur la question de la consultation, le juge en chambre a conclu que le processus de consultation suivi par le Ministre était raisonnable et approprié et que les mesures d’accommodement proposées par ce dernier faisaient partie des réponses raisonnables de nature à préserver l’honneur de la Couronne et respectaient l’obligation de la Couronne en matière de consultation et d’accommodement découlant de l’art. 35 </w:t>
      </w:r>
      <w:r w:rsidRPr="002A6EA4">
        <w:rPr>
          <w:rFonts w:cs="Times New Roman"/>
          <w:lang w:val="fr-CA"/>
        </w:rPr>
        <w:lastRenderedPageBreak/>
        <w:t xml:space="preserve">de la </w:t>
      </w:r>
      <w:r w:rsidRPr="002A6EA4">
        <w:rPr>
          <w:rFonts w:cs="Times New Roman"/>
          <w:i/>
          <w:lang w:val="fr-CA"/>
        </w:rPr>
        <w:t>Loi constitutionnelle de 1982</w:t>
      </w:r>
      <w:r w:rsidRPr="002A6EA4">
        <w:rPr>
          <w:rFonts w:cs="Times New Roman"/>
          <w:lang w:val="fr-CA"/>
        </w:rPr>
        <w:t xml:space="preserve">. </w:t>
      </w:r>
    </w:p>
    <w:p w:rsidR="00094732" w:rsidRPr="002A6EA4" w:rsidRDefault="00094732" w:rsidP="0055329A">
      <w:pPr>
        <w:pStyle w:val="Title2LevelTitre2Niveau"/>
        <w:widowControl w:val="0"/>
        <w:rPr>
          <w:rFonts w:cs="Times New Roman"/>
          <w:lang w:val="fr-CA"/>
        </w:rPr>
      </w:pPr>
      <w:r w:rsidRPr="002A6EA4">
        <w:rPr>
          <w:rFonts w:cs="Times New Roman"/>
          <w:lang w:val="fr-CA"/>
        </w:rPr>
        <w:t>La Cour d’appel</w:t>
      </w:r>
    </w:p>
    <w:p w:rsidR="00094732" w:rsidRPr="002A6EA4" w:rsidRDefault="00094732" w:rsidP="0055329A">
      <w:pPr>
        <w:pStyle w:val="ParaNoNdepar-AltN"/>
        <w:widowControl w:val="0"/>
        <w:rPr>
          <w:rFonts w:cs="Times New Roman"/>
          <w:lang w:val="fr-CA"/>
        </w:rPr>
      </w:pPr>
      <w:r w:rsidRPr="002A6EA4">
        <w:rPr>
          <w:rFonts w:cs="Times New Roman"/>
          <w:lang w:val="fr-CA"/>
        </w:rPr>
        <w:t>La Cour d’appel a rejeté l’appel</w:t>
      </w:r>
      <w:r w:rsidR="004011B0">
        <w:rPr>
          <w:rFonts w:cs="Times New Roman"/>
          <w:lang w:val="fr-CA"/>
        </w:rPr>
        <w:t xml:space="preserve"> : </w:t>
      </w:r>
      <w:r w:rsidRPr="002A6EA4">
        <w:rPr>
          <w:rFonts w:cs="Times New Roman"/>
          <w:lang w:val="fr-CA"/>
        </w:rPr>
        <w:t>201</w:t>
      </w:r>
      <w:r w:rsidR="004011B0">
        <w:rPr>
          <w:rFonts w:cs="Times New Roman"/>
          <w:lang w:val="fr-CA"/>
        </w:rPr>
        <w:t>5 BCCA 352, 387 D.L.R. (4th) 10</w:t>
      </w:r>
      <w:r w:rsidRPr="002A6EA4">
        <w:rPr>
          <w:rFonts w:cs="Times New Roman"/>
          <w:lang w:val="fr-CA"/>
        </w:rPr>
        <w:t>.</w:t>
      </w:r>
    </w:p>
    <w:p w:rsidR="00094732" w:rsidRPr="002A6EA4" w:rsidRDefault="00094732" w:rsidP="0055329A">
      <w:pPr>
        <w:pStyle w:val="ParaNoNdepar-AltN"/>
        <w:widowControl w:val="0"/>
        <w:rPr>
          <w:rFonts w:cs="Times New Roman"/>
          <w:lang w:val="fr-CA"/>
        </w:rPr>
      </w:pPr>
      <w:r w:rsidRPr="002A6EA4">
        <w:rPr>
          <w:rFonts w:cs="Times New Roman"/>
          <w:lang w:val="fr-CA"/>
        </w:rPr>
        <w:t>Selon la Cour d’appel, la décision du Ministre ne portait pas atteinte au droit à la liberté de religion garanti aux Ktunaxa par l’al. 2</w:t>
      </w:r>
      <w:r w:rsidRPr="002A6EA4">
        <w:rPr>
          <w:rFonts w:cs="Times New Roman"/>
          <w:i/>
          <w:lang w:val="fr-CA"/>
        </w:rPr>
        <w:t>a</w:t>
      </w:r>
      <w:r w:rsidRPr="002A6EA4">
        <w:rPr>
          <w:rFonts w:cs="Times New Roman"/>
          <w:lang w:val="fr-CA"/>
        </w:rPr>
        <w:t xml:space="preserve">) de la </w:t>
      </w:r>
      <w:r w:rsidRPr="002A6EA4">
        <w:rPr>
          <w:rFonts w:cs="Times New Roman"/>
          <w:i/>
          <w:lang w:val="fr-CA"/>
        </w:rPr>
        <w:t>Charte</w:t>
      </w:r>
      <w:r w:rsidRPr="002A6EA4">
        <w:rPr>
          <w:rFonts w:cs="Times New Roman"/>
          <w:lang w:val="fr-CA"/>
        </w:rPr>
        <w:t>. Elle a par ailleurs trouvé trop restrictive l’opinion du juge en chambre selon laquelle l’al. 2</w:t>
      </w:r>
      <w:r w:rsidRPr="002A6EA4">
        <w:rPr>
          <w:rFonts w:cs="Times New Roman"/>
          <w:i/>
          <w:lang w:val="fr-CA"/>
        </w:rPr>
        <w:t>a</w:t>
      </w:r>
      <w:r w:rsidRPr="002A6EA4">
        <w:rPr>
          <w:rFonts w:cs="Times New Roman"/>
          <w:lang w:val="fr-CA"/>
        </w:rPr>
        <w:t>) n’accordait une protection qu’à l’égard de la coercition ou contrainte exercée par l’État à l’égard d’une conduite individuelle, estimant que la liberté protégée à l’al. 2</w:t>
      </w:r>
      <w:r w:rsidRPr="002A6EA4">
        <w:rPr>
          <w:rFonts w:cs="Times New Roman"/>
          <w:i/>
          <w:lang w:val="fr-CA"/>
        </w:rPr>
        <w:t>a</w:t>
      </w:r>
      <w:r w:rsidRPr="002A6EA4">
        <w:rPr>
          <w:rFonts w:cs="Times New Roman"/>
          <w:lang w:val="fr-CA"/>
        </w:rPr>
        <w:t>) implique la vitalité d’une communauté religieuse dans son ensemble. Le bon test consistait à déterminer si [</w:t>
      </w:r>
      <w:r w:rsidRPr="002A6EA4">
        <w:rPr>
          <w:rFonts w:cs="Times New Roman"/>
          <w:smallCaps/>
          <w:lang w:val="fr-CA"/>
        </w:rPr>
        <w:t>traduction</w:t>
      </w:r>
      <w:r w:rsidRPr="002A6EA4">
        <w:rPr>
          <w:rFonts w:cs="Times New Roman"/>
          <w:lang w:val="fr-CA"/>
        </w:rPr>
        <w:t xml:space="preserve">] « la perte de sens subjective [entravait] d’une manière plus que négligeable ou insignifiante la </w:t>
      </w:r>
      <w:r w:rsidRPr="002A6EA4">
        <w:rPr>
          <w:rFonts w:cs="Times New Roman"/>
          <w:i/>
          <w:lang w:val="fr-CA"/>
        </w:rPr>
        <w:t>dimension collective</w:t>
      </w:r>
      <w:r w:rsidRPr="002A6EA4">
        <w:rPr>
          <w:rFonts w:cs="Times New Roman"/>
          <w:lang w:val="fr-CA"/>
        </w:rPr>
        <w:t xml:space="preserve"> du droit reconnu à l’al. 2</w:t>
      </w:r>
      <w:r w:rsidRPr="00385B25">
        <w:rPr>
          <w:rFonts w:cs="Times New Roman"/>
          <w:lang w:val="fr-CA"/>
        </w:rPr>
        <w:t>a</w:t>
      </w:r>
      <w:r w:rsidRPr="002A6EA4">
        <w:rPr>
          <w:rFonts w:cs="Times New Roman"/>
          <w:lang w:val="fr-CA"/>
        </w:rPr>
        <w:t xml:space="preserve">) en diminuant la vitalité de la communauté religieuse des Ktunaxa par la </w:t>
      </w:r>
      <w:r>
        <w:rPr>
          <w:rFonts w:cs="Times New Roman"/>
          <w:lang w:val="fr-CA"/>
        </w:rPr>
        <w:t>perturbation des “liens profonds”</w:t>
      </w:r>
      <w:r w:rsidRPr="002A6EA4">
        <w:rPr>
          <w:rFonts w:cs="Times New Roman"/>
          <w:lang w:val="fr-CA"/>
        </w:rPr>
        <w:t xml:space="preserve"> entre la croyance religieuse invoquée et sa manifestation au sein des institutions collectives des Ktunaxa »</w:t>
      </w:r>
      <w:r w:rsidR="00385B25">
        <w:rPr>
          <w:rFonts w:cs="Times New Roman"/>
          <w:lang w:val="fr-CA"/>
        </w:rPr>
        <w:t> : par. 67 (en italique dans l’original)</w:t>
      </w:r>
      <w:r w:rsidRPr="002A6EA4">
        <w:rPr>
          <w:rFonts w:cs="Times New Roman"/>
          <w:lang w:val="fr-CA"/>
        </w:rPr>
        <w:t>. Toutefois, la protection de la dimension collective de la liberté de religion ne va pas jusqu’</w:t>
      </w:r>
      <w:r>
        <w:rPr>
          <w:rFonts w:cs="Times New Roman"/>
          <w:lang w:val="fr-CA"/>
        </w:rPr>
        <w:t xml:space="preserve">à </w:t>
      </w:r>
      <w:r w:rsidRPr="002A6EA4">
        <w:rPr>
          <w:rFonts w:cs="Times New Roman"/>
          <w:lang w:val="fr-CA"/>
        </w:rPr>
        <w:t xml:space="preserve">« restreindre et limiter, au nom de la préservation d’un sens religieux subjectif, la conduite d’autres personnes qui ne partagent pas cette croyance » (par. 73). La Cour d’appel a conclu que les Ktunaxa ne peuvent pas, au nom de leur propre liberté de religion, exiger d’autres personnes ne partageant pas cette croyance qu’elles modifient leur comportement. Comme l’indique l’arrêt </w:t>
      </w:r>
      <w:r w:rsidRPr="002A6EA4">
        <w:rPr>
          <w:rFonts w:cs="Times New Roman"/>
          <w:i/>
          <w:iCs/>
          <w:lang w:val="fr-CA"/>
        </w:rPr>
        <w:t>Syndicat Northcrest c. Amselem</w:t>
      </w:r>
      <w:r w:rsidRPr="002A6EA4">
        <w:rPr>
          <w:rFonts w:cs="Times New Roman"/>
          <w:lang w:val="fr-CA"/>
        </w:rPr>
        <w:t xml:space="preserve">, 2004 CSC 47, [2004] 2 R.C.S. 551, par. 62, « [u]ne conduite susceptible de </w:t>
      </w:r>
      <w:r w:rsidRPr="002A6EA4">
        <w:rPr>
          <w:rFonts w:cs="Times New Roman"/>
          <w:lang w:val="fr-CA"/>
        </w:rPr>
        <w:lastRenderedPageBreak/>
        <w:t>causer préjudice aux droits d’autrui ou d’entraver l’exercice de ces droits [ne peut être] protégée</w:t>
      </w:r>
      <w:r w:rsidR="00C757DE">
        <w:rPr>
          <w:rFonts w:cs="Times New Roman"/>
          <w:lang w:val="fr-CA"/>
        </w:rPr>
        <w:t>.</w:t>
      </w:r>
      <w:r w:rsidRPr="002A6EA4">
        <w:rPr>
          <w:rFonts w:cs="Times New Roman"/>
          <w:lang w:val="fr-CA"/>
        </w:rPr>
        <w:t> »</w:t>
      </w:r>
    </w:p>
    <w:p w:rsidR="00094732" w:rsidRPr="002A6EA4" w:rsidRDefault="00094732" w:rsidP="0055329A">
      <w:pPr>
        <w:pStyle w:val="ParaNoNdepar-AltN"/>
        <w:widowControl w:val="0"/>
        <w:rPr>
          <w:rFonts w:cs="Times New Roman"/>
          <w:lang w:val="fr-CA"/>
        </w:rPr>
      </w:pPr>
      <w:r w:rsidRPr="002A6EA4">
        <w:rPr>
          <w:rFonts w:cs="Times New Roman"/>
          <w:lang w:val="fr-CA"/>
        </w:rPr>
        <w:t>Sur l’art</w:t>
      </w:r>
      <w:r w:rsidR="00113E11">
        <w:rPr>
          <w:rFonts w:cs="Times New Roman"/>
          <w:lang w:val="fr-CA"/>
        </w:rPr>
        <w:t>.</w:t>
      </w:r>
      <w:r w:rsidRPr="002A6EA4">
        <w:rPr>
          <w:rFonts w:cs="Times New Roman"/>
          <w:lang w:val="fr-CA"/>
        </w:rPr>
        <w:t> 35, la Cour d’appel a souscrit à la conclusion du juge en chambre selon laquelle [</w:t>
      </w:r>
      <w:r w:rsidRPr="002A6EA4">
        <w:rPr>
          <w:rFonts w:cs="Times New Roman"/>
          <w:smallCaps/>
          <w:lang w:val="fr-CA"/>
        </w:rPr>
        <w:t>traduction</w:t>
      </w:r>
      <w:r w:rsidRPr="002A6EA4">
        <w:rPr>
          <w:rFonts w:cs="Times New Roman"/>
          <w:lang w:val="fr-CA"/>
        </w:rPr>
        <w:t>] « le processus de consultation et l’accommodement offert satisfont à la norme du caractère raisonnable » (par. 93). D’après la Cour d’appel, le juge en chambre n’a pas commis d’erreur de droit en estimant raisonnable le fait que le Ministre a décrit l’éventuel droit ancestral comme un droit « d’empêcher tout aménagement permanent » plutôt qu’un droit de « se livrer à des pratiques spirituelles qui reposent sur un lieu sacré dont la protection est requise » (par. 81). Le juge en chambre n’a pas non plus minimisé l’étendue du préjudice dont seraient victimes les Ktunaxa ni appliqué une norme de consultation trop basse; il y a eu en effet des consultations approfondies en accord avec l’étendue du préjudice. Enfin, le juge en chambre n’a pas commis d’erreur en concluant que les Ktunaxa avaient fait valoir la première fois en 2009 que la nature permanente du projet porterait atteinte à leurs droits ancestraux reconnus à l’art. 35. En fait, il a conclu que ce qui a été exprimé la première fois en 2009, c’est la position qu’« aucun accommodement » n’était possible — conclusion étayée par le dossier.</w:t>
      </w:r>
    </w:p>
    <w:p w:rsidR="00094732" w:rsidRPr="002A6EA4" w:rsidRDefault="00094732" w:rsidP="0055329A">
      <w:pPr>
        <w:pStyle w:val="Title1LevelTitre1Niveau-AltL"/>
        <w:widowControl w:val="0"/>
        <w:rPr>
          <w:rFonts w:cs="Times New Roman"/>
          <w:lang w:val="fr-CA"/>
        </w:rPr>
      </w:pPr>
      <w:r w:rsidRPr="002A6EA4">
        <w:rPr>
          <w:rFonts w:cs="Times New Roman"/>
          <w:lang w:val="fr-CA"/>
        </w:rPr>
        <w:t>Questions en litige</w:t>
      </w:r>
    </w:p>
    <w:p w:rsidR="00094732" w:rsidRPr="002A6EA4" w:rsidRDefault="00094732" w:rsidP="0055329A">
      <w:pPr>
        <w:pStyle w:val="ParaNoNdepar-AltN"/>
        <w:widowControl w:val="0"/>
        <w:tabs>
          <w:tab w:val="clear" w:pos="1152"/>
          <w:tab w:val="left" w:pos="1170"/>
          <w:tab w:val="left" w:pos="1620"/>
        </w:tabs>
        <w:ind w:left="1620" w:hanging="1620"/>
        <w:rPr>
          <w:rFonts w:cs="Times New Roman"/>
          <w:lang w:val="fr-CA"/>
        </w:rPr>
      </w:pPr>
      <w:r w:rsidRPr="002A6EA4">
        <w:rPr>
          <w:rFonts w:cs="Times New Roman"/>
          <w:lang w:val="fr-CA"/>
        </w:rPr>
        <w:t>A.</w:t>
      </w:r>
      <w:r w:rsidRPr="002A6EA4">
        <w:rPr>
          <w:rFonts w:cs="Times New Roman"/>
          <w:lang w:val="fr-CA"/>
        </w:rPr>
        <w:tab/>
        <w:t>La décision du Ministre a</w:t>
      </w:r>
      <w:r w:rsidRPr="002A6EA4">
        <w:rPr>
          <w:rFonts w:cs="Times New Roman"/>
          <w:lang w:val="fr-CA"/>
        </w:rPr>
        <w:noBreakHyphen/>
        <w:t>t</w:t>
      </w:r>
      <w:r w:rsidRPr="002A6EA4">
        <w:rPr>
          <w:rFonts w:cs="Times New Roman"/>
          <w:lang w:val="fr-CA"/>
        </w:rPr>
        <w:noBreakHyphen/>
        <w:t>elle violé la liberté de conscience et de religion des Ktunaxa?</w:t>
      </w:r>
    </w:p>
    <w:p w:rsidR="00094732" w:rsidRPr="002A6EA4" w:rsidRDefault="00094732" w:rsidP="0055329A">
      <w:pPr>
        <w:pStyle w:val="ParaNoNdepar-AltN"/>
        <w:widowControl w:val="0"/>
        <w:numPr>
          <w:ilvl w:val="0"/>
          <w:numId w:val="0"/>
        </w:numPr>
        <w:tabs>
          <w:tab w:val="left" w:pos="1620"/>
        </w:tabs>
        <w:ind w:left="1620" w:hanging="450"/>
        <w:rPr>
          <w:rFonts w:cs="Times New Roman"/>
          <w:lang w:val="fr-CA"/>
        </w:rPr>
      </w:pPr>
      <w:r w:rsidRPr="002A6EA4">
        <w:rPr>
          <w:rFonts w:cs="Times New Roman"/>
          <w:lang w:val="fr-CA"/>
        </w:rPr>
        <w:lastRenderedPageBreak/>
        <w:t>B.</w:t>
      </w:r>
      <w:r w:rsidRPr="002A6EA4">
        <w:rPr>
          <w:rFonts w:cs="Times New Roman"/>
          <w:lang w:val="fr-CA"/>
        </w:rPr>
        <w:tab/>
        <w:t>Était</w:t>
      </w:r>
      <w:r w:rsidRPr="002A6EA4">
        <w:rPr>
          <w:rFonts w:cs="Times New Roman"/>
          <w:lang w:val="fr-CA"/>
        </w:rPr>
        <w:noBreakHyphen/>
        <w:t>il raisonnable de la part du Ministre de décider que la Couronne s’était acquittée de l’obligation de consultation et d’accommodement que lui impose l’art. 35</w:t>
      </w:r>
      <w:r w:rsidRPr="002A6EA4">
        <w:rPr>
          <w:rFonts w:cs="Times New Roman"/>
          <w:spacing w:val="2"/>
          <w:lang w:val="fr-CA"/>
        </w:rPr>
        <w:t xml:space="preserve"> de la </w:t>
      </w:r>
      <w:r w:rsidRPr="002A6EA4">
        <w:rPr>
          <w:rFonts w:cs="Times New Roman"/>
          <w:i/>
          <w:lang w:val="fr-CA"/>
        </w:rPr>
        <w:t>Loi constitutionnelle de 1982</w:t>
      </w:r>
      <w:r w:rsidRPr="002A6EA4">
        <w:rPr>
          <w:rFonts w:cs="Times New Roman"/>
          <w:lang w:val="fr-CA"/>
        </w:rPr>
        <w:t>?</w:t>
      </w:r>
    </w:p>
    <w:p w:rsidR="00094732" w:rsidRPr="002A6EA4" w:rsidRDefault="00094732" w:rsidP="0055329A">
      <w:pPr>
        <w:pStyle w:val="Title1LevelTitre1Niveau-AltL"/>
        <w:widowControl w:val="0"/>
        <w:rPr>
          <w:rFonts w:cs="Times New Roman"/>
          <w:bCs/>
          <w:u w:val="none"/>
          <w:lang w:val="fr-CA"/>
        </w:rPr>
      </w:pPr>
      <w:r w:rsidRPr="002A6EA4">
        <w:rPr>
          <w:rFonts w:cs="Times New Roman"/>
          <w:lang w:val="fr-CA"/>
        </w:rPr>
        <w:t>Analyse</w:t>
      </w:r>
    </w:p>
    <w:p w:rsidR="00094732" w:rsidRPr="002A6EA4" w:rsidRDefault="00094732" w:rsidP="0055329A">
      <w:pPr>
        <w:pStyle w:val="Title2LevelTitre2Niveau"/>
        <w:widowControl w:val="0"/>
        <w:ind w:left="578" w:hanging="578"/>
        <w:rPr>
          <w:rFonts w:cs="Times New Roman"/>
          <w:lang w:val="fr-CA"/>
        </w:rPr>
      </w:pPr>
      <w:r w:rsidRPr="002A6EA4">
        <w:rPr>
          <w:rFonts w:cs="Times New Roman"/>
          <w:lang w:val="fr-CA"/>
        </w:rPr>
        <w:t>La décision du Ministre a</w:t>
      </w:r>
      <w:r w:rsidRPr="002A6EA4">
        <w:rPr>
          <w:rFonts w:cs="Times New Roman"/>
          <w:lang w:val="fr-CA"/>
        </w:rPr>
        <w:noBreakHyphen/>
        <w:t>t</w:t>
      </w:r>
      <w:r w:rsidRPr="002A6EA4">
        <w:rPr>
          <w:rFonts w:cs="Times New Roman"/>
          <w:lang w:val="fr-CA"/>
        </w:rPr>
        <w:noBreakHyphen/>
        <w:t>elle violé la liberté de conscience et de religion des Ktunaxa?</w:t>
      </w:r>
    </w:p>
    <w:p w:rsidR="00094732" w:rsidRPr="002A6EA4" w:rsidRDefault="00094732" w:rsidP="0055329A">
      <w:pPr>
        <w:pStyle w:val="Title3LevelTitre3Niveau"/>
        <w:widowControl w:val="0"/>
        <w:rPr>
          <w:rFonts w:cs="Times New Roman"/>
        </w:rPr>
      </w:pPr>
      <w:r w:rsidRPr="002A6EA4">
        <w:rPr>
          <w:rFonts w:cs="Times New Roman"/>
        </w:rPr>
        <w:t>La prétention</w:t>
      </w:r>
    </w:p>
    <w:p w:rsidR="00094732" w:rsidRPr="002A6EA4" w:rsidRDefault="00094732" w:rsidP="0055329A">
      <w:pPr>
        <w:pStyle w:val="ParaNoNdepar-AltN"/>
        <w:widowControl w:val="0"/>
        <w:rPr>
          <w:rFonts w:cs="Times New Roman"/>
          <w:lang w:val="fr-CA"/>
        </w:rPr>
      </w:pPr>
      <w:r w:rsidRPr="002A6EA4">
        <w:rPr>
          <w:rFonts w:cs="Times New Roman"/>
          <w:lang w:val="fr-CA"/>
        </w:rPr>
        <w:t>Les Ktunaxa soutiennent que la décision du Ministre d’autoriser la poursuite du projet de Glacier Resorts viole leur droit à la liberté de conscience et de religion protégé par l’al. 2</w:t>
      </w:r>
      <w:r w:rsidRPr="002A6EA4">
        <w:rPr>
          <w:rFonts w:cs="Times New Roman"/>
          <w:i/>
          <w:lang w:val="fr-CA"/>
        </w:rPr>
        <w:t>a</w:t>
      </w:r>
      <w:r w:rsidRPr="002A6EA4">
        <w:rPr>
          <w:rFonts w:cs="Times New Roman"/>
          <w:lang w:val="fr-CA"/>
        </w:rPr>
        <w:t xml:space="preserve">) de la </w:t>
      </w:r>
      <w:r w:rsidRPr="002A6EA4">
        <w:rPr>
          <w:rFonts w:cs="Times New Roman"/>
          <w:i/>
          <w:lang w:val="fr-CA"/>
        </w:rPr>
        <w:t>Charte</w:t>
      </w:r>
      <w:r w:rsidRPr="002A6EA4">
        <w:rPr>
          <w:rFonts w:cs="Times New Roman"/>
          <w:lang w:val="fr-CA"/>
        </w:rPr>
        <w:t xml:space="preserve">. Cette prétention est présentée indépendamment de la revendication des Ktunaxa fondée sur l’art. 35. Même si le Ministre a procédé à une consultation adéquate au titre de l’art. 35 de la </w:t>
      </w:r>
      <w:r w:rsidRPr="002A6EA4">
        <w:rPr>
          <w:rFonts w:cs="Times New Roman"/>
          <w:i/>
          <w:lang w:val="fr-CA"/>
        </w:rPr>
        <w:t>Loi constitutionnelle de 1982</w:t>
      </w:r>
      <w:r w:rsidRPr="002A6EA4">
        <w:rPr>
          <w:rFonts w:cs="Times New Roman"/>
          <w:lang w:val="fr-CA"/>
        </w:rPr>
        <w:t xml:space="preserve">, sa décision pourrait être attaquée au motif qu’elle a porté atteinte à la liberté de religion des Ktunaxa garantie par la </w:t>
      </w:r>
      <w:r w:rsidRPr="002A6EA4">
        <w:rPr>
          <w:rFonts w:cs="Times New Roman"/>
          <w:i/>
          <w:lang w:val="fr-CA"/>
        </w:rPr>
        <w:t>Charte</w:t>
      </w:r>
      <w:r w:rsidRPr="002A6EA4">
        <w:rPr>
          <w:rFonts w:cs="Times New Roman"/>
          <w:lang w:val="fr-CA"/>
        </w:rPr>
        <w:t>. Nous tenons à souligner qu’en ce qui concerne la revendication fondée sur l’al. 2</w:t>
      </w:r>
      <w:r w:rsidRPr="002A6EA4">
        <w:rPr>
          <w:rFonts w:cs="Times New Roman"/>
          <w:i/>
          <w:lang w:val="fr-CA"/>
        </w:rPr>
        <w:t>a</w:t>
      </w:r>
      <w:r w:rsidRPr="002A6EA4">
        <w:rPr>
          <w:rFonts w:cs="Times New Roman"/>
          <w:lang w:val="fr-CA"/>
        </w:rPr>
        <w:t>), la situation des Ktunaxa est la même que celle des plaideurs non autochtones.</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Les Ktunaxa affirment que le projet, et en particulier les installations permanentes d’hébergement pour la nuit, chassera l’Esprit de l’Ours Grizzly du Qat’muk. Comme cet esprit est au cœur de leurs croyances et pratiques religieuses, ils </w:t>
      </w:r>
      <w:r w:rsidRPr="002A6EA4">
        <w:rPr>
          <w:rFonts w:cs="Times New Roman"/>
          <w:lang w:val="fr-CA"/>
        </w:rPr>
        <w:lastRenderedPageBreak/>
        <w:t>disent que son départ aurait pour effet d’éliminer le fondement de leurs croyances et de rendre inutiles leurs pratiques. Les Ktunaxa plaident que la vitalité de leur communauté religieuse dépend du maintien de la présence de l’Esprit de l’Ours Grizzly dans le Qat’muk.</w:t>
      </w:r>
    </w:p>
    <w:p w:rsidR="00094732" w:rsidRPr="002A6EA4" w:rsidRDefault="00094732" w:rsidP="0055329A">
      <w:pPr>
        <w:pStyle w:val="ParaNoNdepar-AltN"/>
        <w:widowControl w:val="0"/>
        <w:spacing w:before="240"/>
        <w:rPr>
          <w:rFonts w:cs="Times New Roman"/>
          <w:lang w:val="fr-CA"/>
        </w:rPr>
      </w:pPr>
      <w:r w:rsidRPr="002A6EA4">
        <w:rPr>
          <w:rFonts w:cs="Times New Roman"/>
          <w:lang w:val="fr-CA"/>
        </w:rPr>
        <w:t>Les Ktunaxa reprochent au Ministre de ne pas avoir tenu compte dans sa décision de leur droit à la liberté de religion. Ils ont soutenu devant lui qu’il pourrait y avoir contravention à l’al. 2</w:t>
      </w:r>
      <w:r w:rsidRPr="002A6EA4">
        <w:rPr>
          <w:rFonts w:cs="Times New Roman"/>
          <w:i/>
          <w:lang w:val="fr-CA"/>
        </w:rPr>
        <w:t>a</w:t>
      </w:r>
      <w:r w:rsidRPr="002A6EA4">
        <w:rPr>
          <w:rFonts w:cs="Times New Roman"/>
          <w:lang w:val="fr-CA"/>
        </w:rPr>
        <w:t>). Malgré cela, les motifs pour lesquels le Ministre a approuvé le projet Jumbo Glacier ne contenaient pas d’analyse de la revendication fondée sur l’al. 2</w:t>
      </w:r>
      <w:r w:rsidRPr="002A6EA4">
        <w:rPr>
          <w:rFonts w:cs="Times New Roman"/>
          <w:i/>
          <w:lang w:val="fr-CA"/>
        </w:rPr>
        <w:t>a</w:t>
      </w:r>
      <w:r w:rsidRPr="002A6EA4">
        <w:rPr>
          <w:rFonts w:cs="Times New Roman"/>
          <w:lang w:val="fr-CA"/>
        </w:rPr>
        <w:t>). Le Ministre aurait dû analyser cette revendication. L’omission du Ministre d’examiner le droit à la liberté de religion des Ktunaxa est toutefois sans importance parce que la revendication ne relève pas de l’al. 2</w:t>
      </w:r>
      <w:r w:rsidRPr="002A6EA4">
        <w:rPr>
          <w:rFonts w:cs="Times New Roman"/>
          <w:i/>
          <w:lang w:val="fr-CA"/>
        </w:rPr>
        <w:t>a</w:t>
      </w:r>
      <w:r w:rsidRPr="002A6EA4">
        <w:rPr>
          <w:rFonts w:cs="Times New Roman"/>
          <w:lang w:val="fr-CA"/>
        </w:rPr>
        <w:t xml:space="preserve">). C’est la conclusion à laquelle sont arrivés le juge en chambre et la Cour d’appel et nous partageons leur avis, quoique pour des raisons quelque peu différentes. </w:t>
      </w:r>
    </w:p>
    <w:p w:rsidR="00094732" w:rsidRPr="002A6EA4" w:rsidRDefault="00094732" w:rsidP="0055329A">
      <w:pPr>
        <w:pStyle w:val="Title3LevelTitre3Niveau"/>
        <w:widowControl w:val="0"/>
        <w:rPr>
          <w:rFonts w:cs="Times New Roman"/>
          <w:lang w:val="fr-CA"/>
        </w:rPr>
      </w:pPr>
      <w:r w:rsidRPr="002A6EA4">
        <w:rPr>
          <w:rFonts w:cs="Times New Roman"/>
          <w:lang w:val="fr-CA"/>
        </w:rPr>
        <w:t>La portée de la liberté de religion</w:t>
      </w:r>
    </w:p>
    <w:p w:rsidR="00094732" w:rsidRPr="002A6EA4" w:rsidRDefault="00094732" w:rsidP="0055329A">
      <w:pPr>
        <w:pStyle w:val="ParaNoNdepar-AltN"/>
        <w:widowControl w:val="0"/>
        <w:rPr>
          <w:rFonts w:cs="Times New Roman"/>
          <w:lang w:val="fr-CA"/>
        </w:rPr>
      </w:pPr>
      <w:r w:rsidRPr="002A6EA4">
        <w:rPr>
          <w:rFonts w:cs="Times New Roman"/>
          <w:lang w:val="fr-CA"/>
        </w:rPr>
        <w:t>Lorsqu’un intéressé fait valoir qu’une mesure législative ou une action de l’État viole sa liberté de religion, la première étape consiste à juger si l’allégation relève de l’al. 2</w:t>
      </w:r>
      <w:r w:rsidRPr="002A6EA4">
        <w:rPr>
          <w:rFonts w:cs="Times New Roman"/>
          <w:i/>
          <w:lang w:val="fr-CA"/>
        </w:rPr>
        <w:t>a</w:t>
      </w:r>
      <w:r w:rsidRPr="002A6EA4">
        <w:rPr>
          <w:rFonts w:cs="Times New Roman"/>
          <w:lang w:val="fr-CA"/>
        </w:rPr>
        <w:t>). Dans la négative, il n’est pas nécessaire de chercher à savoir si la décision est le fruit d’une mise en balance proportionnée de la liberté de religion et d’autres facteurs</w:t>
      </w:r>
      <w:r w:rsidR="00B67C1D">
        <w:rPr>
          <w:rFonts w:cs="Times New Roman"/>
          <w:lang w:val="fr-CA"/>
        </w:rPr>
        <w:t xml:space="preserve"> : </w:t>
      </w:r>
      <w:r w:rsidRPr="002A6EA4">
        <w:rPr>
          <w:rFonts w:cs="Times New Roman"/>
          <w:i/>
          <w:lang w:val="fr-CA"/>
        </w:rPr>
        <w:t>Amselem</w:t>
      </w:r>
      <w:r w:rsidRPr="002A6EA4">
        <w:rPr>
          <w:rFonts w:cs="Times New Roman"/>
          <w:lang w:val="fr-CA"/>
        </w:rPr>
        <w:t>, par. 181.</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L’arrêt de principe sur l’étendue de la liberté de religion garantie par la </w:t>
      </w:r>
      <w:r w:rsidRPr="002A6EA4">
        <w:rPr>
          <w:rFonts w:cs="Times New Roman"/>
          <w:i/>
          <w:lang w:val="fr-CA"/>
        </w:rPr>
        <w:lastRenderedPageBreak/>
        <w:t>Charte</w:t>
      </w:r>
      <w:r w:rsidRPr="002A6EA4">
        <w:rPr>
          <w:rFonts w:cs="Times New Roman"/>
          <w:lang w:val="fr-CA"/>
        </w:rPr>
        <w:t xml:space="preserve"> est </w:t>
      </w:r>
      <w:r>
        <w:rPr>
          <w:rFonts w:cs="Times New Roman"/>
          <w:i/>
          <w:lang w:val="fr-CA"/>
        </w:rPr>
        <w:t>Big M</w:t>
      </w:r>
      <w:r w:rsidRPr="002A6EA4">
        <w:rPr>
          <w:rFonts w:cs="Times New Roman"/>
          <w:i/>
          <w:lang w:val="fr-CA"/>
        </w:rPr>
        <w:t xml:space="preserve"> Drug Mart</w:t>
      </w:r>
      <w:r w:rsidRPr="002A6EA4">
        <w:rPr>
          <w:rFonts w:cs="Times New Roman"/>
          <w:lang w:val="fr-CA"/>
        </w:rPr>
        <w:t xml:space="preserve">. Au nom des juges majoritaires de la Cour, le juge Dickson (plus tard </w:t>
      </w:r>
      <w:r w:rsidR="00BF7C58">
        <w:rPr>
          <w:rFonts w:cs="Times New Roman"/>
          <w:lang w:val="fr-CA"/>
        </w:rPr>
        <w:t>J</w:t>
      </w:r>
      <w:r w:rsidRPr="002A6EA4">
        <w:rPr>
          <w:rFonts w:cs="Times New Roman"/>
          <w:lang w:val="fr-CA"/>
        </w:rPr>
        <w:t>uge en chef) a décrit l’al. 2</w:t>
      </w:r>
      <w:r w:rsidRPr="002A6EA4">
        <w:rPr>
          <w:rFonts w:cs="Times New Roman"/>
          <w:i/>
          <w:lang w:val="fr-CA"/>
        </w:rPr>
        <w:t>a</w:t>
      </w:r>
      <w:r w:rsidRPr="002A6EA4">
        <w:rPr>
          <w:rFonts w:cs="Times New Roman"/>
          <w:lang w:val="fr-CA"/>
        </w:rPr>
        <w:t xml:space="preserve">) comme protégeant « le droit de croire ce que l’on veut en matière religieuse, le droit de professer ouvertement des croyances religieuses sans crainte d’empêchement ou de représailles, et le droit de manifester ses croyances religieuses par leur mise en pratique et par le culte ou par leur enseignement et leur propagation » (p. 336). </w:t>
      </w:r>
    </w:p>
    <w:p w:rsidR="00094732" w:rsidRPr="002A6EA4" w:rsidRDefault="00094732" w:rsidP="0055329A">
      <w:pPr>
        <w:pStyle w:val="ParaNoNdepar-AltN"/>
        <w:widowControl w:val="0"/>
        <w:rPr>
          <w:rFonts w:cs="Times New Roman"/>
          <w:lang w:val="fr-CA"/>
        </w:rPr>
      </w:pPr>
      <w:r w:rsidRPr="002A6EA4">
        <w:rPr>
          <w:rFonts w:cs="Times New Roman"/>
          <w:lang w:val="fr-CA"/>
        </w:rPr>
        <w:t>Ainsi défini, l’al. 2</w:t>
      </w:r>
      <w:r w:rsidRPr="002A6EA4">
        <w:rPr>
          <w:rFonts w:cs="Times New Roman"/>
          <w:i/>
          <w:lang w:val="fr-CA"/>
        </w:rPr>
        <w:t>a</w:t>
      </w:r>
      <w:r w:rsidRPr="002A6EA4">
        <w:rPr>
          <w:rFonts w:cs="Times New Roman"/>
          <w:lang w:val="fr-CA"/>
        </w:rPr>
        <w:t xml:space="preserve">) comporte deux volets : la liberté d’avoir des croyances religieuses et celle de manifester ces croyances. Cette définition a été reprise dans des arrêts ultérieurs : </w:t>
      </w:r>
      <w:r w:rsidRPr="002A6EA4">
        <w:rPr>
          <w:rFonts w:cs="Times New Roman"/>
          <w:i/>
          <w:lang w:val="fr-CA"/>
        </w:rPr>
        <w:t>École secondaire Loyola c. Québec (Procureur général)</w:t>
      </w:r>
      <w:r w:rsidRPr="002A6EA4">
        <w:rPr>
          <w:rFonts w:cs="Times New Roman"/>
          <w:lang w:val="fr-CA"/>
        </w:rPr>
        <w:t xml:space="preserve">, 2015 CSC 12, [2015] 1 R.C.S. 613, par. 58; </w:t>
      </w:r>
      <w:r w:rsidRPr="002A6EA4">
        <w:rPr>
          <w:rFonts w:cs="Times New Roman"/>
          <w:i/>
          <w:lang w:val="fr-CA"/>
        </w:rPr>
        <w:t>Mouvement laïque québécois c. Saguenay (Ville)</w:t>
      </w:r>
      <w:r w:rsidRPr="002A6EA4">
        <w:rPr>
          <w:rFonts w:cs="Times New Roman"/>
          <w:lang w:val="fr-CA"/>
        </w:rPr>
        <w:t xml:space="preserve">, 2015 CSC 16, [2015] 2 R.C.S. 3, par. 68; </w:t>
      </w:r>
      <w:r w:rsidRPr="002A6EA4">
        <w:rPr>
          <w:rFonts w:cs="Times New Roman"/>
          <w:i/>
          <w:lang w:val="fr-CA"/>
        </w:rPr>
        <w:t xml:space="preserve">Saskatchewan (Human Rights </w:t>
      </w:r>
      <w:r w:rsidR="00333641">
        <w:rPr>
          <w:rFonts w:cs="Times New Roman"/>
          <w:i/>
          <w:lang w:val="fr-CA"/>
        </w:rPr>
        <w:t>Commission</w:t>
      </w:r>
      <w:r w:rsidRPr="002A6EA4">
        <w:rPr>
          <w:rFonts w:cs="Times New Roman"/>
          <w:i/>
          <w:lang w:val="fr-CA"/>
        </w:rPr>
        <w:t>) c. Whatcott</w:t>
      </w:r>
      <w:r w:rsidRPr="002A6EA4">
        <w:rPr>
          <w:rFonts w:cs="Times New Roman"/>
          <w:lang w:val="fr-CA"/>
        </w:rPr>
        <w:t xml:space="preserve">, 2013 CSC 11, [2013] 1 R.C.S. 467, par. 159; </w:t>
      </w:r>
      <w:r w:rsidRPr="002A6EA4">
        <w:rPr>
          <w:rFonts w:cs="Times New Roman"/>
          <w:i/>
          <w:lang w:val="fr-CA"/>
        </w:rPr>
        <w:t>Multani c. Commission scolaire Marguerite</w:t>
      </w:r>
      <w:r w:rsidRPr="002A6EA4">
        <w:rPr>
          <w:rFonts w:cs="Times New Roman"/>
          <w:i/>
          <w:lang w:val="fr-CA"/>
        </w:rPr>
        <w:noBreakHyphen/>
        <w:t>Bourgeoys</w:t>
      </w:r>
      <w:r w:rsidRPr="002A6EA4">
        <w:rPr>
          <w:rFonts w:cs="Times New Roman"/>
          <w:lang w:val="fr-CA"/>
        </w:rPr>
        <w:t xml:space="preserve">, 2006 CSC 6, [2006] 1 R.C.S. 256, par. 32; </w:t>
      </w:r>
      <w:r w:rsidRPr="002A6EA4">
        <w:rPr>
          <w:rFonts w:cs="Times New Roman"/>
          <w:i/>
          <w:lang w:val="fr-CA"/>
        </w:rPr>
        <w:t>Amselem</w:t>
      </w:r>
      <w:r w:rsidRPr="002A6EA4">
        <w:rPr>
          <w:rFonts w:cs="Times New Roman"/>
          <w:lang w:val="fr-CA"/>
        </w:rPr>
        <w:t xml:space="preserve">, par. 40. </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Ces deux volets du droit à la liberté de religion — la liberté d’avoir une croyance religieuse et la liberté de la manifester — trouvent leur expression dans le droit international en matière de droits de la personne. L’article 18 de la </w:t>
      </w:r>
      <w:r w:rsidRPr="002A6EA4">
        <w:rPr>
          <w:rFonts w:cs="Times New Roman"/>
          <w:i/>
          <w:lang w:val="fr-CA"/>
        </w:rPr>
        <w:t>Déclaration universelle des droits de l’homme</w:t>
      </w:r>
      <w:r w:rsidRPr="002A6EA4">
        <w:rPr>
          <w:rFonts w:cs="Times New Roman"/>
          <w:lang w:val="fr-CA"/>
        </w:rPr>
        <w:t xml:space="preserve">, </w:t>
      </w:r>
      <w:r w:rsidRPr="005F0C15">
        <w:rPr>
          <w:rFonts w:cs="Times New Roman"/>
          <w:lang w:val="fr-CA"/>
        </w:rPr>
        <w:t>A.G.</w:t>
      </w:r>
      <w:r w:rsidRPr="002A6EA4">
        <w:rPr>
          <w:rFonts w:cs="Times New Roman"/>
          <w:lang w:val="fr-CA"/>
        </w:rPr>
        <w:t xml:space="preserve"> </w:t>
      </w:r>
      <w:r w:rsidR="00333641" w:rsidRPr="005F0C15">
        <w:rPr>
          <w:rFonts w:cs="Times New Roman"/>
          <w:lang w:val="fr-CA"/>
        </w:rPr>
        <w:t xml:space="preserve">Rés. </w:t>
      </w:r>
      <w:r w:rsidRPr="002A6EA4">
        <w:rPr>
          <w:rFonts w:cs="Times New Roman"/>
          <w:lang w:val="fr-CA"/>
        </w:rPr>
        <w:t>217 A</w:t>
      </w:r>
      <w:r>
        <w:rPr>
          <w:rFonts w:cs="Times New Roman"/>
          <w:lang w:val="fr-CA"/>
        </w:rPr>
        <w:t xml:space="preserve"> </w:t>
      </w:r>
      <w:r w:rsidR="0018677E">
        <w:rPr>
          <w:rFonts w:cs="Times New Roman"/>
          <w:lang w:val="fr-CA"/>
        </w:rPr>
        <w:t>(III), Doc. N.</w:t>
      </w:r>
      <w:r w:rsidRPr="002A6EA4">
        <w:rPr>
          <w:rFonts w:cs="Times New Roman"/>
          <w:lang w:val="fr-CA"/>
        </w:rPr>
        <w:t xml:space="preserve">U. A/810, p. 71 (1948) (« DUDH »), a défini ainsi pour la première fois ce droit en droit international : « Toute personne a droit à la liberté de pensée, de conscience et de religion; ce droit implique la liberté de changer de religion ou de conviction ainsi que la liberté de manifester sa </w:t>
      </w:r>
      <w:r w:rsidRPr="002A6EA4">
        <w:rPr>
          <w:rFonts w:cs="Times New Roman"/>
          <w:lang w:val="fr-CA"/>
        </w:rPr>
        <w:lastRenderedPageBreak/>
        <w:t xml:space="preserve">religion ou sa conviction, seule ou en commun, tant en public qu’en privé, par l’enseignement, les pratiques, le culte et l’accomplissement des rites. »  </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De même, le par. 18(1) du </w:t>
      </w:r>
      <w:r w:rsidRPr="002A6EA4">
        <w:rPr>
          <w:rFonts w:cs="Times New Roman"/>
          <w:i/>
          <w:lang w:val="fr-CA"/>
        </w:rPr>
        <w:t>Pacte international relatif aux droits civils et politiques</w:t>
      </w:r>
      <w:r w:rsidRPr="002A6EA4">
        <w:rPr>
          <w:rFonts w:cs="Times New Roman"/>
          <w:lang w:val="fr-CA"/>
        </w:rPr>
        <w:t>, R.T. Can. 1976 n</w:t>
      </w:r>
      <w:r w:rsidRPr="002A6EA4">
        <w:rPr>
          <w:rFonts w:cs="Times New Roman"/>
          <w:vertAlign w:val="superscript"/>
          <w:lang w:val="fr-CA"/>
        </w:rPr>
        <w:t>o</w:t>
      </w:r>
      <w:r w:rsidRPr="002A6EA4">
        <w:rPr>
          <w:rFonts w:cs="Times New Roman"/>
          <w:lang w:val="fr-CA"/>
        </w:rPr>
        <w:t> 47 (« PIDCP »)</w:t>
      </w:r>
      <w:r w:rsidR="0018677E">
        <w:rPr>
          <w:rFonts w:cs="Times New Roman"/>
          <w:lang w:val="fr-CA"/>
        </w:rPr>
        <w:t>,</w:t>
      </w:r>
      <w:r w:rsidRPr="002A6EA4">
        <w:rPr>
          <w:rFonts w:cs="Times New Roman"/>
          <w:lang w:val="fr-CA"/>
        </w:rPr>
        <w:t xml:space="preserve"> a défini le droit à la liberté de religion comme « la liberté d’avoir ou d’adopter une religion ou une conviction de son choix » et « la liberté de manifester sa religion ou sa conviction, individuellement ou en commun, tant en public qu’en privé, par le culte et l’accomplissement des rites, les pratiques et l’enseignement ». La pertinence du par. 18(1) du PIDCP pour l’al. 2</w:t>
      </w:r>
      <w:r w:rsidRPr="002A6EA4">
        <w:rPr>
          <w:rFonts w:cs="Times New Roman"/>
          <w:i/>
          <w:lang w:val="fr-CA"/>
        </w:rPr>
        <w:t>a</w:t>
      </w:r>
      <w:r w:rsidRPr="002A6EA4">
        <w:rPr>
          <w:rFonts w:cs="Times New Roman"/>
          <w:lang w:val="fr-CA"/>
        </w:rPr>
        <w:t xml:space="preserve">) de la </w:t>
      </w:r>
      <w:r w:rsidRPr="002A6EA4">
        <w:rPr>
          <w:rFonts w:cs="Times New Roman"/>
          <w:i/>
          <w:lang w:val="fr-CA"/>
        </w:rPr>
        <w:t>Charte</w:t>
      </w:r>
      <w:r w:rsidRPr="002A6EA4">
        <w:rPr>
          <w:rFonts w:cs="Times New Roman"/>
          <w:lang w:val="fr-CA"/>
        </w:rPr>
        <w:t xml:space="preserve"> a été examinée par un éminent juriste des droits de la personne, le juge Tarnopolsky, dans </w:t>
      </w:r>
      <w:r w:rsidRPr="002A6EA4">
        <w:rPr>
          <w:rFonts w:cs="Times New Roman"/>
          <w:i/>
          <w:lang w:val="fr-CA"/>
        </w:rPr>
        <w:t>R. c. Videoflicks Ltd</w:t>
      </w:r>
      <w:r w:rsidRPr="002A6EA4">
        <w:rPr>
          <w:rFonts w:cs="Times New Roman"/>
          <w:lang w:val="fr-CA"/>
        </w:rPr>
        <w:t>. (1984), 48 O.R. (2d) 395 (C.A.). Il a fait observer que, selon le par. 18(1), la liberté de religion [</w:t>
      </w:r>
      <w:r w:rsidRPr="002A6EA4">
        <w:rPr>
          <w:rFonts w:cs="Times New Roman"/>
          <w:smallCaps/>
          <w:lang w:val="fr-CA"/>
        </w:rPr>
        <w:t>traduction</w:t>
      </w:r>
      <w:r w:rsidRPr="002A6EA4">
        <w:rPr>
          <w:rFonts w:cs="Times New Roman"/>
          <w:lang w:val="fr-CA"/>
        </w:rPr>
        <w:t xml:space="preserve">] « comprend non seulement le droit d’avoir ou d’adopter une religion ou une conviction de son choix, mais aussi la faculté de “manifester” la religion ou conviction » (p. 421 (soulignement </w:t>
      </w:r>
      <w:r w:rsidR="00B5053D">
        <w:rPr>
          <w:rFonts w:cs="Times New Roman"/>
          <w:lang w:val="fr-CA"/>
        </w:rPr>
        <w:t>omis</w:t>
      </w:r>
      <w:r w:rsidRPr="002A6EA4">
        <w:rPr>
          <w:rFonts w:cs="Times New Roman"/>
          <w:lang w:val="fr-CA"/>
        </w:rPr>
        <w:t>)), et ajouté que l’al. 2</w:t>
      </w:r>
      <w:r w:rsidRPr="002A6EA4">
        <w:rPr>
          <w:rFonts w:cs="Times New Roman"/>
          <w:i/>
          <w:lang w:val="fr-CA"/>
        </w:rPr>
        <w:t>a</w:t>
      </w:r>
      <w:r w:rsidRPr="002A6EA4">
        <w:rPr>
          <w:rFonts w:cs="Times New Roman"/>
          <w:lang w:val="fr-CA"/>
        </w:rPr>
        <w:t xml:space="preserve">) de la </w:t>
      </w:r>
      <w:r w:rsidRPr="002A6EA4">
        <w:rPr>
          <w:rFonts w:cs="Times New Roman"/>
          <w:i/>
          <w:lang w:val="fr-CA"/>
        </w:rPr>
        <w:t xml:space="preserve">Charte </w:t>
      </w:r>
      <w:r w:rsidRPr="002A6EA4">
        <w:rPr>
          <w:rFonts w:cs="Times New Roman"/>
          <w:lang w:val="fr-CA"/>
        </w:rPr>
        <w:t>— alors un nouvel aspect de la Constitution canadienne sur lequel les tribunaux ne s’étaient pas encore penchés — doit être « interprété conformément à nos obligations internationales » (p. 420). À la suite du pourvoi formé devant notre Cour, le juge en chef Dickson a souscrit à la manière dont le juge Tarnopolsky a abordé l’al. 2</w:t>
      </w:r>
      <w:r w:rsidRPr="002A6EA4">
        <w:rPr>
          <w:rFonts w:cs="Times New Roman"/>
          <w:i/>
          <w:lang w:val="fr-CA"/>
        </w:rPr>
        <w:t>a</w:t>
      </w:r>
      <w:r w:rsidRPr="002A6EA4">
        <w:rPr>
          <w:rFonts w:cs="Times New Roman"/>
          <w:lang w:val="fr-CA"/>
        </w:rPr>
        <w:t xml:space="preserve">) et signalé qu’en définissant la liberté de religion « comme incluant la liberté de manifester et de mettre en pratique ses croyances religieuses [. . .] le juge Tarnopolsky a devancé les conclusions tirées par notre Cour dans l’arrêt </w:t>
      </w:r>
      <w:r w:rsidRPr="002A6EA4">
        <w:rPr>
          <w:rFonts w:cs="Times New Roman"/>
          <w:i/>
          <w:lang w:val="fr-CA"/>
        </w:rPr>
        <w:t>Big M Drug Mart</w:t>
      </w:r>
      <w:r w:rsidRPr="002A6EA4">
        <w:rPr>
          <w:rFonts w:cs="Times New Roman"/>
          <w:lang w:val="fr-CA"/>
        </w:rPr>
        <w:t xml:space="preserve"> </w:t>
      </w:r>
      <w:r w:rsidRPr="002A6EA4">
        <w:rPr>
          <w:rFonts w:cs="Times New Roman"/>
          <w:i/>
          <w:lang w:val="fr-CA"/>
        </w:rPr>
        <w:t>Ltd. </w:t>
      </w:r>
      <w:r w:rsidRPr="002A6EA4">
        <w:rPr>
          <w:rFonts w:cs="Times New Roman"/>
          <w:lang w:val="fr-CA"/>
        </w:rPr>
        <w:t xml:space="preserve">» : </w:t>
      </w:r>
      <w:r w:rsidRPr="002A6EA4">
        <w:rPr>
          <w:rFonts w:cs="Times New Roman"/>
          <w:i/>
          <w:lang w:val="fr-CA"/>
        </w:rPr>
        <w:t>R. c. Edwards Books and Art Ltd.</w:t>
      </w:r>
      <w:r w:rsidRPr="002A6EA4">
        <w:rPr>
          <w:rFonts w:cs="Times New Roman"/>
          <w:lang w:val="fr-CA"/>
        </w:rPr>
        <w:t xml:space="preserve">, [1986] 2 R.C.S. 713, p. 735. Puis, dans le </w:t>
      </w:r>
      <w:r w:rsidRPr="002A6EA4">
        <w:rPr>
          <w:rFonts w:cs="Times New Roman"/>
          <w:i/>
          <w:lang w:val="fr-CA"/>
        </w:rPr>
        <w:t xml:space="preserve">Renvoi relatif à la Public Service Employee Relations Act </w:t>
      </w:r>
      <w:r w:rsidRPr="002A6EA4">
        <w:rPr>
          <w:rFonts w:cs="Times New Roman"/>
          <w:i/>
          <w:lang w:val="fr-CA"/>
        </w:rPr>
        <w:lastRenderedPageBreak/>
        <w:t>(Alb.)</w:t>
      </w:r>
      <w:r w:rsidRPr="002A6EA4">
        <w:rPr>
          <w:rFonts w:cs="Times New Roman"/>
          <w:lang w:val="fr-CA"/>
        </w:rPr>
        <w:t xml:space="preserve">, [1987] 1 R.C.S. 313, p. 349, le juge en chef Dickson a proposé, à l’instar du juge Tarnopolsky, de présumer que la </w:t>
      </w:r>
      <w:r w:rsidRPr="002A6EA4">
        <w:rPr>
          <w:rFonts w:cs="Times New Roman"/>
          <w:i/>
          <w:lang w:val="fr-CA"/>
        </w:rPr>
        <w:t>Charte</w:t>
      </w:r>
      <w:r w:rsidRPr="002A6EA4">
        <w:rPr>
          <w:rFonts w:cs="Times New Roman"/>
          <w:lang w:val="fr-CA"/>
        </w:rPr>
        <w:t xml:space="preserve"> accorde une protection au moins aussi grande que les obligations internationales du Canada relatives aux droits de la personne. La Cour a depuis fait sienne cette présomption d’interprétation : </w:t>
      </w:r>
      <w:r w:rsidRPr="002A6EA4">
        <w:rPr>
          <w:rFonts w:cs="Times New Roman"/>
          <w:i/>
          <w:lang w:val="fr-CA"/>
        </w:rPr>
        <w:t xml:space="preserve">Health Services and Support </w:t>
      </w:r>
      <w:r>
        <w:rPr>
          <w:rFonts w:cs="Times New Roman"/>
          <w:i/>
          <w:lang w:val="fr-CA"/>
        </w:rPr>
        <w:t xml:space="preserve">— </w:t>
      </w:r>
      <w:r w:rsidRPr="002A6EA4">
        <w:rPr>
          <w:rFonts w:cs="Times New Roman"/>
          <w:i/>
          <w:lang w:val="fr-CA"/>
        </w:rPr>
        <w:t>Facilities Subsector Bargaining Assn. c. Colombie</w:t>
      </w:r>
      <w:r w:rsidRPr="002A6EA4">
        <w:rPr>
          <w:rFonts w:cs="Times New Roman"/>
          <w:i/>
          <w:lang w:val="fr-CA"/>
        </w:rPr>
        <w:noBreakHyphen/>
        <w:t>Britannique</w:t>
      </w:r>
      <w:r w:rsidRPr="002A6EA4">
        <w:rPr>
          <w:rFonts w:cs="Times New Roman"/>
          <w:lang w:val="fr-CA"/>
        </w:rPr>
        <w:t xml:space="preserve">, 2007 CSC 27, [2007] 2 R.C.S. 391, par. 70; </w:t>
      </w:r>
      <w:r w:rsidRPr="002A6EA4">
        <w:rPr>
          <w:rFonts w:cs="Times New Roman"/>
          <w:i/>
          <w:lang w:val="fr-CA"/>
        </w:rPr>
        <w:t>Divito c. Canada (Sécurité publique et Protection civile)</w:t>
      </w:r>
      <w:r w:rsidRPr="002A6EA4">
        <w:rPr>
          <w:rFonts w:cs="Times New Roman"/>
          <w:lang w:val="fr-CA"/>
        </w:rPr>
        <w:t>, 2013 CSC 47, [2013] 3 R.C.S. 157, par. 22</w:t>
      </w:r>
      <w:r w:rsidR="00B5053D">
        <w:rPr>
          <w:rFonts w:cs="Times New Roman"/>
          <w:lang w:val="fr-CA"/>
        </w:rPr>
        <w:t>-</w:t>
      </w:r>
      <w:r w:rsidRPr="002A6EA4">
        <w:rPr>
          <w:rFonts w:cs="Times New Roman"/>
          <w:lang w:val="fr-CA"/>
        </w:rPr>
        <w:t xml:space="preserve">23 et 25; </w:t>
      </w:r>
      <w:r w:rsidRPr="002A6EA4">
        <w:rPr>
          <w:rFonts w:cs="Times New Roman"/>
          <w:i/>
          <w:lang w:val="fr-CA" w:bidi="en-US"/>
        </w:rPr>
        <w:t>Inde c. Badesha</w:t>
      </w:r>
      <w:r w:rsidRPr="002A6EA4">
        <w:rPr>
          <w:rFonts w:cs="Times New Roman"/>
          <w:lang w:val="fr-CA" w:bidi="en-US"/>
        </w:rPr>
        <w:t xml:space="preserve">, 2017 CSC 44, </w:t>
      </w:r>
      <w:r w:rsidR="00B5053D">
        <w:rPr>
          <w:rFonts w:cs="Times New Roman"/>
          <w:lang w:val="fr-CA" w:bidi="en-US"/>
        </w:rPr>
        <w:t xml:space="preserve">[2017] 2 R.C.S. 127, </w:t>
      </w:r>
      <w:r w:rsidRPr="002A6EA4">
        <w:rPr>
          <w:rFonts w:cs="Times New Roman"/>
          <w:lang w:val="fr-CA" w:bidi="en-US"/>
        </w:rPr>
        <w:t>par. 38.</w:t>
      </w:r>
      <w:r w:rsidRPr="002A6EA4">
        <w:rPr>
          <w:rFonts w:cs="Times New Roman"/>
          <w:lang w:val="fr-CA"/>
        </w:rPr>
        <w:t xml:space="preserve"> </w:t>
      </w:r>
    </w:p>
    <w:p w:rsidR="00094732" w:rsidRPr="002A6EA4" w:rsidRDefault="00094732" w:rsidP="0055329A">
      <w:pPr>
        <w:pStyle w:val="ParaNoNdepar-AltN"/>
        <w:widowControl w:val="0"/>
        <w:rPr>
          <w:rFonts w:cs="Times New Roman"/>
          <w:lang w:val="fr-CA"/>
        </w:rPr>
      </w:pPr>
      <w:r w:rsidRPr="002A6EA4">
        <w:rPr>
          <w:rFonts w:cs="Times New Roman"/>
          <w:lang w:val="fr-CA"/>
        </w:rPr>
        <w:t>Les deux volets de la liberté de religion énoncés dans la DUDH et le PIDCP figurent aussi dans les instruments internationaux sur les droits de l’homme auxquels le Canada n’est pas partie. Le paragraphe</w:t>
      </w:r>
      <w:r>
        <w:rPr>
          <w:rFonts w:cs="Times New Roman"/>
          <w:lang w:val="fr-CA"/>
        </w:rPr>
        <w:t> </w:t>
      </w:r>
      <w:r w:rsidRPr="002A6EA4">
        <w:rPr>
          <w:rFonts w:cs="Times New Roman"/>
          <w:lang w:val="fr-CA"/>
        </w:rPr>
        <w:t xml:space="preserve">9(1) de la </w:t>
      </w:r>
      <w:r w:rsidRPr="002A6EA4">
        <w:rPr>
          <w:rFonts w:cs="Times New Roman"/>
          <w:i/>
          <w:lang w:val="fr-CA"/>
        </w:rPr>
        <w:t>Convention européenne des droits de l’homme</w:t>
      </w:r>
      <w:r w:rsidRPr="002A6EA4">
        <w:rPr>
          <w:rFonts w:cs="Times New Roman"/>
          <w:lang w:val="fr-CA"/>
        </w:rPr>
        <w:t xml:space="preserve">, 213 R.T.N.U. 221, reconnaît à toute personne le droit à « la liberté de pensée, de conscience et de religion », notamment « la liberté [. . .] de manifester sa religion ou sa conviction [. . .] par le culte, l’enseignement, les pratiques et l’accomplissement des rites ». La </w:t>
      </w:r>
      <w:r w:rsidRPr="002A6EA4">
        <w:rPr>
          <w:rFonts w:cs="Times New Roman"/>
          <w:i/>
          <w:lang w:val="fr-CA"/>
        </w:rPr>
        <w:t>Convention américaine relative aux droits de l’homme</w:t>
      </w:r>
      <w:r w:rsidRPr="002A6EA4">
        <w:rPr>
          <w:rFonts w:cs="Times New Roman"/>
          <w:lang w:val="fr-CA"/>
        </w:rPr>
        <w:t xml:space="preserve">, 1144 R.T.N.U. 123, dispose, en son par. 12(1), que « [t]oute personne a droit à la liberté de conscience et de religion », y compris « la liberté de professer et de répandre sa foi ou ses croyances », tandis que le par. 12(3) indique que « [l]a liberté de manifester sa religion ou ses croyances » ne peut être assortie que de restrictions prévues par la loi. Bien que ces instruments ne lient pas le Canada et ne font donc pas intervenir la présomption de conformité, ils constituent des illustrations importantes de la manière dont on conçoit la liberté de religion partout dans le monde. </w:t>
      </w:r>
    </w:p>
    <w:p w:rsidR="00094732" w:rsidRPr="002A6EA4" w:rsidRDefault="00094732" w:rsidP="0055329A">
      <w:pPr>
        <w:pStyle w:val="ParaNoNdepar-AltN"/>
        <w:widowControl w:val="0"/>
        <w:rPr>
          <w:rFonts w:cs="Times New Roman"/>
          <w:lang w:val="fr-CA"/>
        </w:rPr>
      </w:pPr>
      <w:r w:rsidRPr="002A6EA4">
        <w:rPr>
          <w:rFonts w:cs="Times New Roman"/>
          <w:lang w:val="fr-CA"/>
        </w:rPr>
        <w:lastRenderedPageBreak/>
        <w:t xml:space="preserve">La portée de la liberté de religion est exprimée dans ces instruments sous l’angle des deux volets du droit : la liberté de croire et la liberté de manifester une croyance. La définition donnée par notre Cour dans </w:t>
      </w:r>
      <w:r w:rsidRPr="002A6EA4">
        <w:rPr>
          <w:rFonts w:cs="Times New Roman"/>
          <w:i/>
          <w:lang w:val="fr-CA"/>
        </w:rPr>
        <w:t>Big M Drug Mart</w:t>
      </w:r>
      <w:r w:rsidRPr="002A6EA4">
        <w:rPr>
          <w:rFonts w:cs="Times New Roman"/>
          <w:lang w:val="fr-CA"/>
        </w:rPr>
        <w:t xml:space="preserve"> et systématiquement appliquée par la suite concorde avec cette conception de la portée du droit. Il s’agit alors de savoir si la revendication des Ktunaxa s’inscrit dans cette portée. </w:t>
      </w:r>
    </w:p>
    <w:p w:rsidR="00094732" w:rsidRPr="002A6EA4" w:rsidRDefault="00094732" w:rsidP="0055329A">
      <w:pPr>
        <w:pStyle w:val="Title3LevelTitre3Niveau"/>
        <w:widowControl w:val="0"/>
        <w:rPr>
          <w:rFonts w:cs="Times New Roman"/>
        </w:rPr>
      </w:pPr>
      <w:r w:rsidRPr="002A6EA4">
        <w:rPr>
          <w:rFonts w:cs="Times New Roman"/>
        </w:rPr>
        <w:t>Application en l’espèce</w:t>
      </w:r>
    </w:p>
    <w:p w:rsidR="00094732" w:rsidRPr="002A6EA4" w:rsidRDefault="00094732" w:rsidP="0055329A">
      <w:pPr>
        <w:pStyle w:val="ParaNoNdepar-AltN"/>
        <w:widowControl w:val="0"/>
        <w:rPr>
          <w:rFonts w:cs="Times New Roman"/>
          <w:lang w:val="fr-CA"/>
        </w:rPr>
      </w:pPr>
      <w:r w:rsidRPr="002A6EA4">
        <w:rPr>
          <w:rFonts w:cs="Times New Roman"/>
          <w:lang w:val="fr-CA"/>
        </w:rPr>
        <w:t>Pour démontrer qu’il y a atteinte au droit à la liberté de religion, le demandeur doit établir (1) qu’il croit sincèrement à une pratique ou à une croyance ayant un lien avec la religion, et (2) que la conduite qu’il reproche à l’État nuit d’une manière plus que négligeable ou insignifiante à sa capacité de se conforme</w:t>
      </w:r>
      <w:r w:rsidR="00C42833">
        <w:rPr>
          <w:rFonts w:cs="Times New Roman"/>
          <w:lang w:val="fr-CA"/>
        </w:rPr>
        <w:t>r à cette pratique ou croyance</w:t>
      </w:r>
      <w:r w:rsidR="00476749">
        <w:rPr>
          <w:rFonts w:cs="Times New Roman"/>
          <w:lang w:val="fr-CA"/>
        </w:rPr>
        <w:t xml:space="preserve"> : </w:t>
      </w:r>
      <w:r w:rsidRPr="002A6EA4">
        <w:rPr>
          <w:rFonts w:cs="Times New Roman"/>
          <w:lang w:val="fr-CA"/>
        </w:rPr>
        <w:t xml:space="preserve">voir </w:t>
      </w:r>
      <w:r w:rsidRPr="002A6EA4">
        <w:rPr>
          <w:rFonts w:cs="Times New Roman"/>
          <w:i/>
          <w:lang w:val="fr-CA"/>
        </w:rPr>
        <w:t>Multani</w:t>
      </w:r>
      <w:r w:rsidRPr="002A6EA4">
        <w:rPr>
          <w:rFonts w:cs="Times New Roman"/>
          <w:lang w:val="fr-CA"/>
        </w:rPr>
        <w:t>, par. 34.</w:t>
      </w:r>
    </w:p>
    <w:p w:rsidR="00094732" w:rsidRPr="002A6EA4" w:rsidRDefault="00094732" w:rsidP="0055329A">
      <w:pPr>
        <w:pStyle w:val="ParaNoNdepar-AltN"/>
        <w:widowControl w:val="0"/>
        <w:rPr>
          <w:rFonts w:cs="Times New Roman"/>
          <w:lang w:val="fr-CA"/>
        </w:rPr>
      </w:pPr>
      <w:r w:rsidRPr="002A6EA4">
        <w:rPr>
          <w:rFonts w:cs="Times New Roman"/>
          <w:lang w:val="fr-CA"/>
        </w:rPr>
        <w:t>Dans la présente affaire, nul ne conteste que les Ktunaxa croient sincèrement en l’existence et l’importance de l’Esprit de l’Ours Grizzly. Ils croient aussi qu’un aménagement permanent à l’intérieur du Qat’muk en chassera cet esprit. Selon le juge en chambre, M. Luke est parvenu à cette croyance en 2004, mais le caractère ancien ou récent de cette croyance ne joue aucun rôle dans notre analyse fondée sur l’al. 2</w:t>
      </w:r>
      <w:r w:rsidRPr="002A6EA4">
        <w:rPr>
          <w:rFonts w:cs="Times New Roman"/>
          <w:i/>
          <w:lang w:val="fr-CA"/>
        </w:rPr>
        <w:t>a</w:t>
      </w:r>
      <w:r w:rsidRPr="002A6EA4">
        <w:rPr>
          <w:rFonts w:cs="Times New Roman"/>
          <w:lang w:val="fr-CA"/>
        </w:rPr>
        <w:t xml:space="preserve">). La </w:t>
      </w:r>
      <w:r w:rsidRPr="002A6EA4">
        <w:rPr>
          <w:rFonts w:cs="Times New Roman"/>
          <w:i/>
          <w:lang w:val="fr-CA"/>
        </w:rPr>
        <w:t>Charte</w:t>
      </w:r>
      <w:r w:rsidRPr="002A6EA4">
        <w:rPr>
          <w:rFonts w:cs="Times New Roman"/>
          <w:lang w:val="fr-CA"/>
        </w:rPr>
        <w:t xml:space="preserve"> protège toutes les croyances et pratiques religieuses sincères, qu’elles soient anciennes ou récentes.</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Il n’est toutefois pas satisfait au second volet du critère en l’espèce. À ce stade de l’analyse, il faut examiner objectivement l’atteinte causée par l’acte reproché </w:t>
      </w:r>
      <w:r w:rsidRPr="002A6EA4">
        <w:rPr>
          <w:rFonts w:cs="Times New Roman"/>
          <w:lang w:val="fr-CA"/>
        </w:rPr>
        <w:lastRenderedPageBreak/>
        <w:t xml:space="preserve">à l’État : </w:t>
      </w:r>
      <w:r w:rsidRPr="002A6EA4">
        <w:rPr>
          <w:rFonts w:cs="Times New Roman"/>
          <w:i/>
          <w:lang w:val="fr-CA"/>
        </w:rPr>
        <w:t>S.L. c. Commission scolaire des Chênes</w:t>
      </w:r>
      <w:r w:rsidRPr="002A6EA4">
        <w:rPr>
          <w:rFonts w:cs="Times New Roman"/>
          <w:lang w:val="fr-CA"/>
        </w:rPr>
        <w:t>, 2012 CSC 7, [2012] 1 R.C.S. 235, par. 24.</w:t>
      </w:r>
      <w:r w:rsidRPr="002A6EA4">
        <w:rPr>
          <w:rFonts w:cs="Times New Roman"/>
          <w:i/>
          <w:lang w:val="fr-CA"/>
        </w:rPr>
        <w:t xml:space="preserve"> </w:t>
      </w:r>
      <w:r w:rsidRPr="002A6EA4">
        <w:rPr>
          <w:rFonts w:cs="Times New Roman"/>
          <w:lang w:val="fr-CA"/>
        </w:rPr>
        <w:t>Les Ktunaxa doivent démontrer que la décision du Ministre d’approuver l’aménagement porte atteinte soit à leur liberté de croire en l’Esprit de l’Ours Grizzly, soit à leur liberté de manifester cette croyance. Or, la décision ne porte atteinte à aucune de ces libertés. La présente affaire ne porte ni sur la liberté d’avoir une croyance religieuse ni sur celle de manifester cette croyance, mais plutôt sur l’allégation que l’al. 2</w:t>
      </w:r>
      <w:r w:rsidRPr="00C42833">
        <w:rPr>
          <w:rFonts w:cs="Times New Roman"/>
          <w:i/>
          <w:lang w:val="fr-CA"/>
        </w:rPr>
        <w:t>a</w:t>
      </w:r>
      <w:r w:rsidRPr="002A6EA4">
        <w:rPr>
          <w:rFonts w:cs="Times New Roman"/>
          <w:lang w:val="fr-CA"/>
        </w:rPr>
        <w:t xml:space="preserve">) de la </w:t>
      </w:r>
      <w:r w:rsidRPr="002A6EA4">
        <w:rPr>
          <w:rFonts w:cs="Times New Roman"/>
          <w:i/>
          <w:lang w:val="fr-CA"/>
        </w:rPr>
        <w:t>Charte</w:t>
      </w:r>
      <w:r w:rsidRPr="002A6EA4">
        <w:rPr>
          <w:rFonts w:cs="Times New Roman"/>
          <w:lang w:val="fr-CA"/>
        </w:rPr>
        <w:t xml:space="preserve"> assure la présence de l’Esprit de l’Ours Grizzly dans le Qat’muk. Par cette allégation inédite, on invite la Cour à étendre l’al. 2</w:t>
      </w:r>
      <w:r w:rsidRPr="002A6EA4">
        <w:rPr>
          <w:rFonts w:cs="Times New Roman"/>
          <w:i/>
          <w:lang w:val="fr-CA"/>
        </w:rPr>
        <w:t>a</w:t>
      </w:r>
      <w:r w:rsidRPr="002A6EA4">
        <w:rPr>
          <w:rFonts w:cs="Times New Roman"/>
          <w:lang w:val="fr-CA"/>
        </w:rPr>
        <w:t>) au</w:t>
      </w:r>
      <w:r w:rsidRPr="002A6EA4">
        <w:rPr>
          <w:rFonts w:cs="Times New Roman"/>
          <w:lang w:val="fr-CA"/>
        </w:rPr>
        <w:noBreakHyphen/>
        <w:t xml:space="preserve">delà de ce que reconnaît le droit canadien. </w:t>
      </w:r>
    </w:p>
    <w:p w:rsidR="00094732" w:rsidRPr="002A6EA4" w:rsidRDefault="00094732" w:rsidP="0055329A">
      <w:pPr>
        <w:pStyle w:val="ParaNoNdepar-AltN"/>
        <w:widowControl w:val="0"/>
        <w:rPr>
          <w:rFonts w:cs="Times New Roman"/>
          <w:lang w:val="fr-CA"/>
        </w:rPr>
      </w:pPr>
      <w:r w:rsidRPr="002A6EA4">
        <w:rPr>
          <w:rFonts w:cs="Times New Roman"/>
          <w:lang w:val="fr-CA"/>
        </w:rPr>
        <w:t>Nous sommes d’avis de décliner cette invitation. L’obligation imposée à l’État par l’al. 2</w:t>
      </w:r>
      <w:r w:rsidRPr="002A6EA4">
        <w:rPr>
          <w:rFonts w:cs="Times New Roman"/>
          <w:i/>
          <w:lang w:val="fr-CA"/>
        </w:rPr>
        <w:t>a</w:t>
      </w:r>
      <w:r w:rsidRPr="002A6EA4">
        <w:rPr>
          <w:rFonts w:cs="Times New Roman"/>
          <w:lang w:val="fr-CA"/>
        </w:rPr>
        <w:t xml:space="preserve">) ne consiste pas à protéger l’objet des croyances, comme l’Esprit de l’Ours Grizzly. Il incombe plutôt à l’État de protéger la liberté de toute personne d’avoir pareilles croyances et de les manifester par le culte et la pratique ou par l’enseignement et la propagation. Bref, la </w:t>
      </w:r>
      <w:r w:rsidRPr="002A6EA4">
        <w:rPr>
          <w:rFonts w:cs="Times New Roman"/>
          <w:i/>
          <w:lang w:val="fr-CA"/>
        </w:rPr>
        <w:t>Charte</w:t>
      </w:r>
      <w:r w:rsidRPr="002A6EA4">
        <w:rPr>
          <w:rFonts w:cs="Times New Roman"/>
          <w:lang w:val="fr-CA"/>
        </w:rPr>
        <w:t xml:space="preserve"> protège la liberté de culte, mais non le point de mire spirituel du culte. On ne nous a présenté aucune source qui étaye la proposition selon laquelle l’al. 2</w:t>
      </w:r>
      <w:r w:rsidRPr="002A6EA4">
        <w:rPr>
          <w:rFonts w:cs="Times New Roman"/>
          <w:i/>
          <w:lang w:val="fr-CA"/>
        </w:rPr>
        <w:t>a</w:t>
      </w:r>
      <w:r w:rsidRPr="002A6EA4">
        <w:rPr>
          <w:rFonts w:cs="Times New Roman"/>
          <w:lang w:val="fr-CA"/>
        </w:rPr>
        <w:t>) protège cette composante plutôt que la liberté des individus d’avoir une croyance et de la manifester. L’alinéa 2</w:t>
      </w:r>
      <w:r w:rsidRPr="002A6EA4">
        <w:rPr>
          <w:rFonts w:cs="Times New Roman"/>
          <w:i/>
          <w:lang w:val="fr-CA"/>
        </w:rPr>
        <w:t>a</w:t>
      </w:r>
      <w:r w:rsidRPr="002A6EA4">
        <w:rPr>
          <w:rFonts w:cs="Times New Roman"/>
          <w:lang w:val="fr-CA"/>
        </w:rPr>
        <w:t xml:space="preserve">) protège la liberté de se livrer à des pratiques, comme le port d’un kirpan </w:t>
      </w:r>
      <w:r>
        <w:rPr>
          <w:rFonts w:cs="Times New Roman"/>
          <w:lang w:val="fr-CA"/>
        </w:rPr>
        <w:t>(</w:t>
      </w:r>
      <w:r w:rsidRPr="002A6EA4">
        <w:rPr>
          <w:rFonts w:cs="Times New Roman"/>
          <w:lang w:val="fr-CA"/>
        </w:rPr>
        <w:t xml:space="preserve">dans </w:t>
      </w:r>
      <w:r w:rsidRPr="002A6EA4">
        <w:rPr>
          <w:rFonts w:cs="Times New Roman"/>
          <w:i/>
          <w:lang w:val="fr-CA"/>
        </w:rPr>
        <w:t>Multani</w:t>
      </w:r>
      <w:r w:rsidRPr="005F0C15">
        <w:rPr>
          <w:rFonts w:cs="Times New Roman"/>
          <w:lang w:val="fr-CA"/>
        </w:rPr>
        <w:t>)</w:t>
      </w:r>
      <w:r w:rsidRPr="002A6EA4">
        <w:rPr>
          <w:rFonts w:cs="Times New Roman"/>
          <w:i/>
          <w:lang w:val="fr-CA"/>
        </w:rPr>
        <w:t xml:space="preserve"> </w:t>
      </w:r>
      <w:r w:rsidRPr="002A6EA4">
        <w:rPr>
          <w:rFonts w:cs="Times New Roman"/>
          <w:lang w:val="fr-CA"/>
        </w:rPr>
        <w:t xml:space="preserve">ou le refus d’être photographié </w:t>
      </w:r>
      <w:r>
        <w:rPr>
          <w:rFonts w:cs="Times New Roman"/>
          <w:lang w:val="fr-CA"/>
        </w:rPr>
        <w:t>(</w:t>
      </w:r>
      <w:r w:rsidRPr="002A6EA4">
        <w:rPr>
          <w:rFonts w:cs="Times New Roman"/>
          <w:lang w:val="fr-CA"/>
        </w:rPr>
        <w:t xml:space="preserve">dans </w:t>
      </w:r>
      <w:r w:rsidRPr="002A6EA4">
        <w:rPr>
          <w:rFonts w:cs="Times New Roman"/>
          <w:i/>
          <w:lang w:val="fr-CA"/>
        </w:rPr>
        <w:t>Alberta c. Hutterian Brethren of Wilson Colony</w:t>
      </w:r>
      <w:r w:rsidRPr="002A6EA4">
        <w:rPr>
          <w:rFonts w:cs="Times New Roman"/>
          <w:lang w:val="fr-CA"/>
        </w:rPr>
        <w:t>, 2009 CSC 37, [2009] 2 R.C.S. 567</w:t>
      </w:r>
      <w:r>
        <w:rPr>
          <w:rFonts w:cs="Times New Roman"/>
          <w:lang w:val="fr-CA"/>
        </w:rPr>
        <w:t>)</w:t>
      </w:r>
      <w:r w:rsidRPr="002A6EA4">
        <w:rPr>
          <w:rFonts w:cs="Times New Roman"/>
          <w:lang w:val="fr-CA"/>
        </w:rPr>
        <w:t>. L’alinéa 2</w:t>
      </w:r>
      <w:r w:rsidRPr="002A6EA4">
        <w:rPr>
          <w:rFonts w:cs="Times New Roman"/>
          <w:i/>
          <w:lang w:val="fr-CA"/>
        </w:rPr>
        <w:t>a</w:t>
      </w:r>
      <w:r w:rsidRPr="002A6EA4">
        <w:rPr>
          <w:rFonts w:cs="Times New Roman"/>
          <w:lang w:val="fr-CA"/>
        </w:rPr>
        <w:t xml:space="preserve">) protège en outre le droit à la liberté d’avoir des croyances religieuses qui motivent de telles pratiques. Or, en l’espèce, les appelants ne réclament pas la protection de la liberté de croire en l’Esprit de l’Ours Grizzly ou de s’adonner à des </w:t>
      </w:r>
      <w:r w:rsidRPr="002A6EA4">
        <w:rPr>
          <w:rFonts w:cs="Times New Roman"/>
          <w:lang w:val="fr-CA"/>
        </w:rPr>
        <w:lastRenderedPageBreak/>
        <w:t>pratiques connexes. Ils sollicitent plutôt la protection de l’Esprit de l’Ours Grizzly lui</w:t>
      </w:r>
      <w:r w:rsidRPr="002A6EA4">
        <w:rPr>
          <w:rFonts w:cs="Times New Roman"/>
          <w:lang w:val="fr-CA"/>
        </w:rPr>
        <w:noBreakHyphen/>
        <w:t>même et du sens spirituel subjectif qu’ils en dégagent. Cette revendication déborde le cadre de l’al. 2</w:t>
      </w:r>
      <w:r w:rsidRPr="002A6EA4">
        <w:rPr>
          <w:rFonts w:cs="Times New Roman"/>
          <w:i/>
          <w:lang w:val="fr-CA"/>
        </w:rPr>
        <w:t>a</w:t>
      </w:r>
      <w:r w:rsidRPr="002A6EA4">
        <w:rPr>
          <w:rFonts w:cs="Times New Roman"/>
          <w:lang w:val="fr-CA"/>
        </w:rPr>
        <w:t>).</w:t>
      </w:r>
    </w:p>
    <w:p w:rsidR="00094732" w:rsidRPr="002A6EA4" w:rsidRDefault="00094732" w:rsidP="0055329A">
      <w:pPr>
        <w:pStyle w:val="ParaNoNdepar-AltN"/>
        <w:widowControl w:val="0"/>
        <w:rPr>
          <w:rFonts w:cs="Times New Roman"/>
          <w:lang w:val="fr-CA"/>
        </w:rPr>
      </w:pPr>
      <w:r w:rsidRPr="002A6EA4">
        <w:rPr>
          <w:rFonts w:cs="Times New Roman"/>
          <w:lang w:val="fr-CA"/>
        </w:rPr>
        <w:t>L’élargissement de l’al. 2</w:t>
      </w:r>
      <w:r w:rsidRPr="002A6EA4">
        <w:rPr>
          <w:rFonts w:cs="Times New Roman"/>
          <w:i/>
          <w:lang w:val="fr-CA"/>
        </w:rPr>
        <w:t>a</w:t>
      </w:r>
      <w:r w:rsidRPr="002A6EA4">
        <w:rPr>
          <w:rFonts w:cs="Times New Roman"/>
          <w:lang w:val="fr-CA"/>
        </w:rPr>
        <w:t>) proposé par les Ktunaxa exposerait les croyances intimes profondes au contrôle des tribunaux. Statuer sur la protection exacte dont doit bénéficier un esprit reviendrait à obliger l’État et ses tribunaux à juger de la teneur et du bien</w:t>
      </w:r>
      <w:r w:rsidRPr="002A6EA4">
        <w:rPr>
          <w:rFonts w:cs="Times New Roman"/>
          <w:lang w:val="fr-CA"/>
        </w:rPr>
        <w:noBreakHyphen/>
        <w:t xml:space="preserve">fondé de croyances religieuses. Dans </w:t>
      </w:r>
      <w:r w:rsidRPr="002A6EA4">
        <w:rPr>
          <w:rFonts w:cs="Times New Roman"/>
          <w:i/>
          <w:lang w:val="fr-CA"/>
        </w:rPr>
        <w:t>Amselem</w:t>
      </w:r>
      <w:r w:rsidRPr="002A6EA4">
        <w:rPr>
          <w:rFonts w:cs="Times New Roman"/>
          <w:lang w:val="fr-CA"/>
        </w:rPr>
        <w:t xml:space="preserve">, notre Cour a choisi de protéger </w:t>
      </w:r>
      <w:r w:rsidRPr="002A6EA4">
        <w:rPr>
          <w:rFonts w:cs="Times New Roman"/>
          <w:i/>
          <w:lang w:val="fr-CA"/>
        </w:rPr>
        <w:t xml:space="preserve">toute </w:t>
      </w:r>
      <w:r w:rsidRPr="002A6EA4">
        <w:rPr>
          <w:rFonts w:cs="Times New Roman"/>
          <w:lang w:val="fr-CA"/>
        </w:rPr>
        <w:t>croyance sincère au lieu d’examiner le bien</w:t>
      </w:r>
      <w:r w:rsidRPr="002A6EA4">
        <w:rPr>
          <w:rFonts w:cs="Times New Roman"/>
          <w:lang w:val="fr-CA"/>
        </w:rPr>
        <w:noBreakHyphen/>
        <w:t>fondé précis de croyances religieuses :</w:t>
      </w:r>
    </w:p>
    <w:p w:rsidR="00094732" w:rsidRPr="002A6EA4" w:rsidRDefault="00094732" w:rsidP="0055329A">
      <w:pPr>
        <w:pStyle w:val="Citation-AltC"/>
        <w:widowControl w:val="0"/>
        <w:tabs>
          <w:tab w:val="left" w:pos="1620"/>
        </w:tabs>
        <w:spacing w:after="240"/>
        <w:ind w:hanging="1166"/>
        <w:contextualSpacing w:val="0"/>
        <w:rPr>
          <w:lang w:val="fr-CA"/>
        </w:rPr>
      </w:pPr>
      <w:r w:rsidRPr="002A6EA4">
        <w:rPr>
          <w:lang w:val="fr-CA"/>
        </w:rPr>
        <w:tab/>
      </w:r>
      <w:r w:rsidRPr="002A6EA4">
        <w:rPr>
          <w:lang w:val="fr-CA"/>
        </w:rPr>
        <w:tab/>
        <w:t xml:space="preserve">À mon avis, l’État n’est pas en mesure d’agir comme arbitre des dogmes religieux, et il ne devrait pas le devenir. Les tribunaux devraient donc éviter d’interpréter ― et ce faisant de déterminer ―, explicitement ou implicitement, le contenu d’une conception subjective de quelque exigence, « obligation », précepte, « commandement », coutume ou rituel d’ordre religieux. Statuer sur des différends théologiques ou religieux ou sur des questions litigieuses touchant la doctrine religieuse amènerait les tribunaux à s’empêtrer sans justification dans le domaine de la religion. </w:t>
      </w:r>
    </w:p>
    <w:p w:rsidR="00094732" w:rsidRPr="002A6EA4" w:rsidRDefault="00094732" w:rsidP="0055329A">
      <w:pPr>
        <w:pStyle w:val="Citation-AltC"/>
        <w:widowControl w:val="0"/>
        <w:ind w:hanging="1166"/>
        <w:contextualSpacing w:val="0"/>
        <w:rPr>
          <w:lang w:val="fr-CA"/>
        </w:rPr>
      </w:pPr>
      <w:r w:rsidRPr="002A6EA4">
        <w:rPr>
          <w:lang w:val="fr-CA"/>
        </w:rPr>
        <w:t>(par. 50, le juge Iacobucci)</w:t>
      </w:r>
    </w:p>
    <w:p w:rsidR="00094732" w:rsidRPr="002A6EA4" w:rsidRDefault="00094732" w:rsidP="0055329A">
      <w:pPr>
        <w:pStyle w:val="ContinueParaSuitedupar-AltP"/>
        <w:widowControl w:val="0"/>
        <w:rPr>
          <w:rFonts w:cs="Times New Roman"/>
          <w:lang w:val="fr-CA"/>
        </w:rPr>
      </w:pPr>
      <w:r w:rsidRPr="002A6EA4">
        <w:rPr>
          <w:rFonts w:cs="Times New Roman"/>
          <w:lang w:val="fr-CA"/>
        </w:rPr>
        <w:t xml:space="preserve">Dans </w:t>
      </w:r>
      <w:r w:rsidRPr="002A6EA4">
        <w:rPr>
          <w:rFonts w:cs="Times New Roman"/>
          <w:i/>
          <w:lang w:val="fr-CA"/>
        </w:rPr>
        <w:t>Amselem</w:t>
      </w:r>
      <w:r w:rsidRPr="002A6EA4">
        <w:rPr>
          <w:rFonts w:cs="Times New Roman"/>
          <w:lang w:val="fr-CA"/>
        </w:rPr>
        <w:t xml:space="preserve">, la Cour a conclu que pareil examen des croyances intimes profondes est incompatible avec les principes de base de la liberté de religion (par. 49). </w:t>
      </w:r>
    </w:p>
    <w:p w:rsidR="00094732" w:rsidRPr="002A6EA4" w:rsidRDefault="00094732" w:rsidP="0055329A">
      <w:pPr>
        <w:pStyle w:val="ParaNoNdepar-AltN"/>
        <w:widowControl w:val="0"/>
        <w:rPr>
          <w:rFonts w:cs="Times New Roman"/>
          <w:lang w:val="fr-CA"/>
        </w:rPr>
      </w:pPr>
      <w:r w:rsidRPr="002A6EA4">
        <w:rPr>
          <w:rFonts w:cs="Times New Roman"/>
          <w:lang w:val="fr-CA"/>
        </w:rPr>
        <w:t>Les Ktunaxa soutiennent que la définition de la garantie de l’al. 2</w:t>
      </w:r>
      <w:r w:rsidRPr="002A6EA4">
        <w:rPr>
          <w:rFonts w:cs="Times New Roman"/>
          <w:i/>
          <w:lang w:val="fr-CA"/>
        </w:rPr>
        <w:t>a</w:t>
      </w:r>
      <w:r w:rsidRPr="002A6EA4">
        <w:rPr>
          <w:rFonts w:cs="Times New Roman"/>
          <w:lang w:val="fr-CA"/>
        </w:rPr>
        <w:t xml:space="preserve">) formulée dans </w:t>
      </w:r>
      <w:r>
        <w:rPr>
          <w:rFonts w:cs="Times New Roman"/>
          <w:i/>
          <w:lang w:val="fr-CA"/>
        </w:rPr>
        <w:t>Big M</w:t>
      </w:r>
      <w:r w:rsidRPr="002A6EA4">
        <w:rPr>
          <w:rFonts w:cs="Times New Roman"/>
          <w:i/>
          <w:lang w:val="fr-CA"/>
        </w:rPr>
        <w:t xml:space="preserve"> Drug Mart</w:t>
      </w:r>
      <w:r w:rsidRPr="002A6EA4">
        <w:rPr>
          <w:rFonts w:cs="Times New Roman"/>
          <w:lang w:val="fr-CA"/>
        </w:rPr>
        <w:t xml:space="preserve"> a été ultérieurement enrichie par la compréhension du fait que la liberté de religion comporte un volet collectif et que l’État ne peut agir d’une </w:t>
      </w:r>
      <w:r w:rsidRPr="002A6EA4">
        <w:rPr>
          <w:rFonts w:cs="Times New Roman"/>
          <w:lang w:val="fr-CA"/>
        </w:rPr>
        <w:lastRenderedPageBreak/>
        <w:t>façon qui restreint ou détruit la dimension collective d’une religion. Selon eux, le maintien de la présence de l’Esprit de l’Ours Grizzly au Qat’muk est essentiel au volet collectif des croyances et pratiques religieuses des Ktunaxa. Aux dires des Ktunaxa, l’action de l’État qui a pour effet de chasser l’Esprit de l’Ours Grizzly du Qat’muk [</w:t>
      </w:r>
      <w:r w:rsidRPr="002A6EA4">
        <w:rPr>
          <w:rFonts w:cs="Times New Roman"/>
          <w:smallCaps/>
          <w:lang w:val="fr-CA"/>
        </w:rPr>
        <w:t>traduction</w:t>
      </w:r>
      <w:r w:rsidRPr="002A6EA4">
        <w:rPr>
          <w:rFonts w:cs="Times New Roman"/>
          <w:lang w:val="fr-CA"/>
        </w:rPr>
        <w:t>] « restrei</w:t>
      </w:r>
      <w:r w:rsidR="004B2AA8">
        <w:rPr>
          <w:rFonts w:cs="Times New Roman"/>
          <w:lang w:val="fr-CA"/>
        </w:rPr>
        <w:t>ndr</w:t>
      </w:r>
      <w:r w:rsidRPr="002A6EA4">
        <w:rPr>
          <w:rFonts w:cs="Times New Roman"/>
          <w:lang w:val="fr-CA"/>
        </w:rPr>
        <w:t>ait » ou « entraverait » — voire détruirait — le volet collectif de la protection offerte par l’al. 2</w:t>
      </w:r>
      <w:r w:rsidRPr="002A6EA4">
        <w:rPr>
          <w:rFonts w:cs="Times New Roman"/>
          <w:i/>
          <w:lang w:val="fr-CA"/>
        </w:rPr>
        <w:t>a</w:t>
      </w:r>
      <w:r w:rsidRPr="002A6EA4">
        <w:rPr>
          <w:rFonts w:cs="Times New Roman"/>
          <w:lang w:val="fr-CA"/>
        </w:rPr>
        <w:t>).</w:t>
      </w:r>
    </w:p>
    <w:p w:rsidR="00094732" w:rsidRPr="002A6EA4" w:rsidRDefault="00094732" w:rsidP="0055329A">
      <w:pPr>
        <w:pStyle w:val="ParaNoNdepar-AltN"/>
        <w:widowControl w:val="0"/>
        <w:rPr>
          <w:rFonts w:cs="Times New Roman"/>
          <w:lang w:val="fr-CA"/>
        </w:rPr>
      </w:pPr>
      <w:r w:rsidRPr="002A6EA4">
        <w:rPr>
          <w:rFonts w:cs="Times New Roman"/>
          <w:lang w:val="fr-CA"/>
        </w:rPr>
        <w:t>Le problème que pose cet argument est que le volet collectif de la revendication</w:t>
      </w:r>
      <w:r>
        <w:rPr>
          <w:rFonts w:cs="Times New Roman"/>
          <w:lang w:val="fr-CA"/>
        </w:rPr>
        <w:t xml:space="preserve"> doit lui aussi s’inscrire dans les limites</w:t>
      </w:r>
      <w:r w:rsidRPr="002A6EA4">
        <w:rPr>
          <w:rFonts w:cs="Times New Roman"/>
          <w:lang w:val="fr-CA"/>
        </w:rPr>
        <w:t xml:space="preserve"> de la liberté de religion reconnue à l’al. 2</w:t>
      </w:r>
      <w:r w:rsidRPr="002A6EA4">
        <w:rPr>
          <w:rFonts w:cs="Times New Roman"/>
          <w:i/>
          <w:lang w:val="fr-CA"/>
        </w:rPr>
        <w:t>a</w:t>
      </w:r>
      <w:r w:rsidRPr="002A6EA4">
        <w:rPr>
          <w:rFonts w:cs="Times New Roman"/>
          <w:lang w:val="fr-CA"/>
        </w:rPr>
        <w:t xml:space="preserve">). Il est vrai que cette liberté de religion comporte un volet collectif : </w:t>
      </w:r>
      <w:r w:rsidRPr="002A6EA4">
        <w:rPr>
          <w:rFonts w:cs="Times New Roman"/>
          <w:i/>
          <w:lang w:val="fr-CA"/>
        </w:rPr>
        <w:t>Loyola</w:t>
      </w:r>
      <w:r w:rsidRPr="002A6EA4">
        <w:rPr>
          <w:rFonts w:cs="Times New Roman"/>
          <w:lang w:val="fr-CA"/>
        </w:rPr>
        <w:t xml:space="preserve">; </w:t>
      </w:r>
      <w:r w:rsidRPr="002A6EA4">
        <w:rPr>
          <w:rFonts w:cs="Times New Roman"/>
          <w:i/>
          <w:lang w:val="fr-CA"/>
        </w:rPr>
        <w:t>Hutterian Brethren</w:t>
      </w:r>
      <w:r w:rsidRPr="002A6EA4">
        <w:rPr>
          <w:rFonts w:cs="Times New Roman"/>
          <w:lang w:val="fr-CA"/>
        </w:rPr>
        <w:t xml:space="preserve">, par. 89; </w:t>
      </w:r>
      <w:r w:rsidRPr="002A6EA4">
        <w:rPr>
          <w:rFonts w:cs="Times New Roman"/>
          <w:i/>
          <w:lang w:val="fr-CA"/>
        </w:rPr>
        <w:t>Congrégation des témoins de Jéhovah de St</w:t>
      </w:r>
      <w:r w:rsidRPr="002A6EA4">
        <w:rPr>
          <w:rFonts w:cs="Times New Roman"/>
          <w:i/>
          <w:lang w:val="fr-CA"/>
        </w:rPr>
        <w:noBreakHyphen/>
        <w:t>Jérôme</w:t>
      </w:r>
      <w:r w:rsidRPr="002A6EA4">
        <w:rPr>
          <w:rFonts w:cs="Times New Roman"/>
          <w:i/>
          <w:lang w:val="fr-CA"/>
        </w:rPr>
        <w:noBreakHyphen/>
        <w:t>Lafontaine c. Lafontaine (Village)</w:t>
      </w:r>
      <w:r w:rsidRPr="002A6EA4">
        <w:rPr>
          <w:rFonts w:cs="Times New Roman"/>
          <w:lang w:val="fr-CA"/>
        </w:rPr>
        <w:t>, 2004 CSC 48, [2004] 2 R.C.S. 650. Toutefois, la dimension collective de la liberté de religion n’étend pas, et ne doit pas étendre, la protection accordée par l’al. 2</w:t>
      </w:r>
      <w:r w:rsidRPr="002A6EA4">
        <w:rPr>
          <w:rFonts w:cs="Times New Roman"/>
          <w:i/>
          <w:lang w:val="fr-CA"/>
        </w:rPr>
        <w:t>a</w:t>
      </w:r>
      <w:r w:rsidRPr="002A6EA4">
        <w:rPr>
          <w:rFonts w:cs="Times New Roman"/>
          <w:lang w:val="fr-CA"/>
        </w:rPr>
        <w:t>) au</w:t>
      </w:r>
      <w:r w:rsidRPr="002A6EA4">
        <w:rPr>
          <w:rFonts w:cs="Times New Roman"/>
          <w:lang w:val="fr-CA"/>
        </w:rPr>
        <w:noBreakHyphen/>
        <w:t>delà de la liberté d’avoir des croyances et de la liberté de les manifester.</w:t>
      </w:r>
    </w:p>
    <w:p w:rsidR="00094732" w:rsidRPr="002A6EA4" w:rsidRDefault="00094732" w:rsidP="0055329A">
      <w:pPr>
        <w:pStyle w:val="ParaNoNdepar-AltN"/>
        <w:widowControl w:val="0"/>
        <w:rPr>
          <w:rFonts w:cs="Times New Roman"/>
          <w:lang w:val="fr-CA"/>
        </w:rPr>
      </w:pPr>
      <w:r w:rsidRPr="002A6EA4">
        <w:rPr>
          <w:rFonts w:cs="Times New Roman"/>
          <w:lang w:val="fr-CA"/>
        </w:rPr>
        <w:t>Nous concluons que l’al. 2</w:t>
      </w:r>
      <w:r w:rsidRPr="002A6EA4">
        <w:rPr>
          <w:rFonts w:cs="Times New Roman"/>
          <w:i/>
          <w:lang w:val="fr-CA"/>
        </w:rPr>
        <w:t>a</w:t>
      </w:r>
      <w:r w:rsidRPr="002A6EA4">
        <w:rPr>
          <w:rFonts w:cs="Times New Roman"/>
          <w:lang w:val="fr-CA"/>
        </w:rPr>
        <w:t>) protège la liberté d’avoir des croyances religieuses et de les manifester et que la revendication des Ktunaxa</w:t>
      </w:r>
      <w:r w:rsidRPr="002A6EA4">
        <w:rPr>
          <w:rFonts w:eastAsia="Times New Roman" w:cs="Times New Roman"/>
          <w:lang w:val="fr-CA"/>
        </w:rPr>
        <w:t xml:space="preserve"> ne relève pas de ces paramètres</w:t>
      </w:r>
      <w:r w:rsidRPr="002A6EA4">
        <w:rPr>
          <w:rFonts w:cs="Times New Roman"/>
          <w:lang w:val="fr-CA"/>
        </w:rPr>
        <w:t>.</w:t>
      </w:r>
      <w:r w:rsidRPr="002A6EA4">
        <w:rPr>
          <w:rFonts w:cs="Times New Roman"/>
          <w:spacing w:val="4"/>
          <w:lang w:val="fr-CA"/>
        </w:rPr>
        <w:t xml:space="preserve"> Il n’est donc pas nécessaire de se demander si la décision du Ministre représente une mise en balance raisonnable de la liberté de religion et d’autres facteurs. </w:t>
      </w:r>
    </w:p>
    <w:p w:rsidR="00094732" w:rsidRPr="002A6EA4" w:rsidRDefault="00094732" w:rsidP="0055329A">
      <w:pPr>
        <w:pStyle w:val="Title2LevelTitre2Niveau"/>
        <w:widowControl w:val="0"/>
        <w:jc w:val="both"/>
        <w:rPr>
          <w:rFonts w:cs="Times New Roman"/>
          <w:lang w:val="fr-CA"/>
        </w:rPr>
      </w:pPr>
      <w:r w:rsidRPr="002A6EA4">
        <w:rPr>
          <w:rFonts w:cs="Times New Roman"/>
          <w:lang w:val="fr-CA"/>
        </w:rPr>
        <w:t>Était</w:t>
      </w:r>
      <w:r w:rsidRPr="002A6EA4">
        <w:rPr>
          <w:rFonts w:cs="Times New Roman"/>
          <w:lang w:val="fr-CA"/>
        </w:rPr>
        <w:noBreakHyphen/>
        <w:t>il raisonnable pour le Ministre de décider que la Couronne s’était acquittée de l’obligation de consultation et d’accommodement que lui impose l’art. 35</w:t>
      </w:r>
      <w:r w:rsidRPr="002A6EA4">
        <w:rPr>
          <w:rFonts w:cs="Times New Roman"/>
          <w:spacing w:val="2"/>
          <w:lang w:val="fr-CA"/>
        </w:rPr>
        <w:t xml:space="preserve"> de la </w:t>
      </w:r>
      <w:r w:rsidRPr="002A6EA4">
        <w:rPr>
          <w:rFonts w:cs="Times New Roman"/>
          <w:lang w:val="fr-CA"/>
        </w:rPr>
        <w:t>Loi constitutionnelle de 1982</w:t>
      </w:r>
      <w:r w:rsidRPr="002A6EA4">
        <w:rPr>
          <w:rFonts w:cs="Times New Roman"/>
          <w:spacing w:val="-1"/>
          <w:lang w:val="fr-CA"/>
        </w:rPr>
        <w:t>?</w:t>
      </w:r>
    </w:p>
    <w:p w:rsidR="00094732" w:rsidRPr="002A6EA4" w:rsidRDefault="00094732" w:rsidP="0055329A">
      <w:pPr>
        <w:pStyle w:val="ParaNoNdepar-AltN"/>
        <w:widowControl w:val="0"/>
        <w:rPr>
          <w:rFonts w:cs="Times New Roman"/>
          <w:lang w:val="fr-CA"/>
        </w:rPr>
      </w:pPr>
      <w:r w:rsidRPr="002A6EA4">
        <w:rPr>
          <w:rFonts w:cs="Times New Roman"/>
          <w:lang w:val="fr-CA"/>
        </w:rPr>
        <w:lastRenderedPageBreak/>
        <w:t>Les Ktunaxa affirment qu’il était déraisonnable de la part du Ministre de décider que les consultations menées et les mesures d’accommodement prises étaient suffisantes pour respecter l’art. 35, et que cela rendait par ricochet déraisonnable et invalide sa décision d’approuver la station de ski.</w:t>
      </w:r>
    </w:p>
    <w:p w:rsidR="00094732" w:rsidRPr="002A6EA4" w:rsidRDefault="00094732" w:rsidP="0055329A">
      <w:pPr>
        <w:pStyle w:val="ParaNoNdepar-AltN"/>
        <w:widowControl w:val="0"/>
        <w:rPr>
          <w:rFonts w:cs="Times New Roman"/>
          <w:lang w:val="fr-CA"/>
        </w:rPr>
      </w:pPr>
      <w:r w:rsidRPr="002A6EA4">
        <w:rPr>
          <w:rFonts w:cs="Times New Roman"/>
          <w:lang w:val="fr-CA"/>
        </w:rPr>
        <w:t>Il convient de faire preuve de déférence à l’égard de la décision du Ministre selon laquelle les consultations menées et les mesures d’accommodement prises étaient adéquates</w:t>
      </w:r>
      <w:r w:rsidR="0045438E">
        <w:rPr>
          <w:rFonts w:cs="Times New Roman"/>
          <w:lang w:val="fr-CA"/>
        </w:rPr>
        <w:t xml:space="preserve"> : </w:t>
      </w:r>
      <w:r w:rsidRPr="002A6EA4">
        <w:rPr>
          <w:rFonts w:cs="Times New Roman"/>
          <w:i/>
          <w:lang w:val="fr-CA"/>
        </w:rPr>
        <w:t>Nation haïda c. Colombie</w:t>
      </w:r>
      <w:r w:rsidRPr="002A6EA4">
        <w:rPr>
          <w:rFonts w:cs="Times New Roman"/>
          <w:i/>
          <w:lang w:val="fr-CA"/>
        </w:rPr>
        <w:noBreakHyphen/>
        <w:t>Britannique (Ministre des Forêts)</w:t>
      </w:r>
      <w:r w:rsidRPr="002A6EA4">
        <w:rPr>
          <w:rFonts w:cs="Times New Roman"/>
          <w:lang w:val="fr-CA"/>
        </w:rPr>
        <w:t xml:space="preserve">, 2004 CSC 73, [2004] 3 R.C.S. 511, par. 62. Le juge en chambre devait décider s’il était raisonnable de la part du Ministre de conclure que la Couronne s’était acquittée de son obligation de consulter et d’accommoder. Un juge qui siège en révision ne tranche pas les questions constitutionnelles soulevées de façon isolée selon la norme de la décision correcte, mais se demande plutôt si la décision du Ministre, prise dans son ensemble, était raisonnable. </w:t>
      </w:r>
    </w:p>
    <w:p w:rsidR="00094732" w:rsidRPr="002A6EA4" w:rsidRDefault="00094732" w:rsidP="0055329A">
      <w:pPr>
        <w:pStyle w:val="Title3LevelTitre3Niveau"/>
        <w:widowControl w:val="0"/>
        <w:jc w:val="both"/>
        <w:rPr>
          <w:rFonts w:cs="Times New Roman"/>
          <w:lang w:val="fr-CA"/>
        </w:rPr>
      </w:pPr>
      <w:r w:rsidRPr="002A6EA4">
        <w:rPr>
          <w:rFonts w:cs="Times New Roman"/>
          <w:lang w:val="fr-CA"/>
        </w:rPr>
        <w:t>Les exigences juridiques du processus de consultation et d’accommodement établi à l’art. 35</w:t>
      </w:r>
    </w:p>
    <w:p w:rsidR="00094732" w:rsidRPr="002A6EA4" w:rsidRDefault="00094732" w:rsidP="0055329A">
      <w:pPr>
        <w:pStyle w:val="ParaNoNdepar-AltN"/>
        <w:widowControl w:val="0"/>
        <w:rPr>
          <w:rFonts w:cs="Times New Roman"/>
          <w:lang w:val="fr-CA"/>
        </w:rPr>
      </w:pPr>
      <w:r w:rsidRPr="002A6EA4">
        <w:rPr>
          <w:rFonts w:cs="Times New Roman"/>
          <w:lang w:val="fr-CA"/>
        </w:rPr>
        <w:t>La garantie constitutionnelle de l’art</w:t>
      </w:r>
      <w:r>
        <w:rPr>
          <w:rFonts w:cs="Times New Roman"/>
          <w:lang w:val="fr-CA"/>
        </w:rPr>
        <w:t>.</w:t>
      </w:r>
      <w:r w:rsidRPr="002A6EA4">
        <w:rPr>
          <w:rFonts w:cs="Times New Roman"/>
          <w:lang w:val="fr-CA"/>
        </w:rPr>
        <w:t xml:space="preserve"> 35 de la </w:t>
      </w:r>
      <w:r w:rsidRPr="002A6EA4">
        <w:rPr>
          <w:rFonts w:cs="Times New Roman"/>
          <w:i/>
          <w:lang w:val="fr-CA"/>
        </w:rPr>
        <w:t>Loi constitutionnelle de 1982</w:t>
      </w:r>
      <w:r w:rsidRPr="002A6EA4">
        <w:rPr>
          <w:rFonts w:cs="Times New Roman"/>
          <w:lang w:val="fr-CA"/>
        </w:rPr>
        <w:t xml:space="preserve"> ne vise pas uniquement les droits issus de traités ou les revendications prouvées ou réglées de droits ancestraux et de titre</w:t>
      </w:r>
      <w:r>
        <w:rPr>
          <w:rFonts w:cs="Times New Roman"/>
          <w:lang w:val="fr-CA"/>
        </w:rPr>
        <w:t xml:space="preserve"> ancestral</w:t>
      </w:r>
      <w:r w:rsidRPr="002A6EA4">
        <w:rPr>
          <w:rFonts w:cs="Times New Roman"/>
          <w:lang w:val="fr-CA"/>
        </w:rPr>
        <w:t xml:space="preserve">. L’article 35 protège aussi les droits éventuels inhérents aux revendications autochtones qui n’ont pas encore été formellement établies et il peut obliger la Couronne à consulter les Autochtones et à prendre en compte leurs intérêts en attendant qu’il soit statué sur ces revendications par </w:t>
      </w:r>
      <w:r w:rsidRPr="002A6EA4">
        <w:rPr>
          <w:rFonts w:cs="Times New Roman"/>
          <w:lang w:val="fr-CA"/>
        </w:rPr>
        <w:lastRenderedPageBreak/>
        <w:t xml:space="preserve">la négociation ou une autre procédure : </w:t>
      </w:r>
      <w:r w:rsidRPr="002A6EA4">
        <w:rPr>
          <w:rFonts w:cs="Times New Roman"/>
          <w:i/>
          <w:lang w:val="fr-CA"/>
        </w:rPr>
        <w:t>Nation haïda</w:t>
      </w:r>
      <w:r w:rsidRPr="002A6EA4">
        <w:rPr>
          <w:rFonts w:cs="Times New Roman"/>
          <w:lang w:val="fr-CA"/>
        </w:rPr>
        <w:t>, par. 25 et 27. Lorsque, comme en l’espèce, on demande un permis pour utiliser ou aménager des terres qui font l’objet d’une revendication autochtone dont le bien</w:t>
      </w:r>
      <w:r w:rsidRPr="002A6EA4">
        <w:rPr>
          <w:rFonts w:cs="Times New Roman"/>
          <w:lang w:val="fr-CA"/>
        </w:rPr>
        <w:noBreakHyphen/>
        <w:t xml:space="preserve">fondé n’a pas été démontré, le gouvernement est tenu de consulter le groupe autochtone touché et, s’il y a lieu, de tenir compte de la revendication du groupe en attendant son règlement définitif. Cette obligation découle de l’honneur de la Couronne et est constitutionnalisée à l’art. 35. </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L’étendue de l’obligation de la Couronne de consulter les Autochtones et de tenir compte d’une revendication autochtone non encore établie varie selon la solidité de la revendication à première vue et l’effet du projet d’aménagement ou d’utilisation des terres sur le droit ancestral revendiqué : </w:t>
      </w:r>
      <w:r w:rsidRPr="002A6EA4">
        <w:rPr>
          <w:rFonts w:cs="Times New Roman"/>
          <w:i/>
          <w:lang w:val="fr-CA"/>
        </w:rPr>
        <w:t>Nation haïda</w:t>
      </w:r>
      <w:r w:rsidRPr="002A6EA4">
        <w:rPr>
          <w:rFonts w:cs="Times New Roman"/>
          <w:lang w:val="fr-CA"/>
        </w:rPr>
        <w:t>, par. 43</w:t>
      </w:r>
      <w:r w:rsidR="00AC77F5">
        <w:rPr>
          <w:rFonts w:cs="Times New Roman"/>
          <w:lang w:val="fr-CA"/>
        </w:rPr>
        <w:t>-</w:t>
      </w:r>
      <w:r w:rsidRPr="002A6EA4">
        <w:rPr>
          <w:rFonts w:cs="Times New Roman"/>
          <w:lang w:val="fr-CA"/>
        </w:rPr>
        <w:t>44. Une revendication solide à première vue et des conséquences importantes peuvent nécessiter une consultation approfondie. Une revendication faible ou des conséquences temporaires peuvent commander une consultation moins vaste. L’obligation en est une de consultation et, s’il y a lieu, d’accommodement. L’article 35 garantit un processus, et non un résultat précis. Le groupe autochtone est appelé à faciliter le processus de consultation et d’accommodement en énonçant ses revendications clairement (</w:t>
      </w:r>
      <w:r w:rsidRPr="002A6EA4">
        <w:rPr>
          <w:rFonts w:cs="Times New Roman"/>
          <w:i/>
          <w:lang w:val="fr-CA"/>
        </w:rPr>
        <w:t>Nation</w:t>
      </w:r>
      <w:r w:rsidRPr="002A6EA4">
        <w:rPr>
          <w:rFonts w:cs="Times New Roman"/>
          <w:lang w:val="fr-CA"/>
        </w:rPr>
        <w:t xml:space="preserve"> </w:t>
      </w:r>
      <w:r w:rsidRPr="002A6EA4">
        <w:rPr>
          <w:rFonts w:cs="Times New Roman"/>
          <w:i/>
          <w:lang w:val="fr-CA"/>
        </w:rPr>
        <w:t>haïda</w:t>
      </w:r>
      <w:r w:rsidRPr="002A6EA4">
        <w:rPr>
          <w:rFonts w:cs="Times New Roman"/>
          <w:lang w:val="fr-CA"/>
        </w:rPr>
        <w:t>, par. 36) et le plus tôt possible. Rien ne garantit qu’en fin de compte il sera justifié ou possible d’obtenir l’accommodement précis demandé. L’obligation incontournable est que la Couronne agisse honorablement.</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Les conclusions de </w:t>
      </w:r>
      <w:r w:rsidRPr="002A6EA4">
        <w:rPr>
          <w:rFonts w:cs="Times New Roman"/>
          <w:i/>
          <w:lang w:val="fr-CA"/>
        </w:rPr>
        <w:t>Nation haïda</w:t>
      </w:r>
      <w:r w:rsidRPr="002A6EA4">
        <w:rPr>
          <w:rFonts w:cs="Times New Roman"/>
          <w:lang w:val="fr-CA"/>
        </w:rPr>
        <w:t xml:space="preserve"> applicables en l’espèce peuvent être résumées comme suit :</w:t>
      </w:r>
    </w:p>
    <w:p w:rsidR="00094732" w:rsidRPr="002A6EA4" w:rsidRDefault="00094732" w:rsidP="0055329A">
      <w:pPr>
        <w:pStyle w:val="Citation-AltC"/>
        <w:widowControl w:val="0"/>
        <w:numPr>
          <w:ilvl w:val="0"/>
          <w:numId w:val="28"/>
        </w:numPr>
        <w:spacing w:after="480" w:line="480" w:lineRule="auto"/>
        <w:ind w:left="720" w:hanging="720"/>
        <w:contextualSpacing w:val="0"/>
        <w:rPr>
          <w:lang w:val="fr-CA"/>
        </w:rPr>
      </w:pPr>
      <w:r w:rsidRPr="002A6EA4">
        <w:rPr>
          <w:lang w:val="fr-CA"/>
        </w:rPr>
        <w:lastRenderedPageBreak/>
        <w:t>L’obligation de consulter et, s’il y a lieu, d’accommoder en attendant le règlement des revendications découle du principe de l’honneur de la Couronne et doit recevoir une interprétation généreuse pour que l’on parvienne à une réconciliation (par. 16</w:t>
      </w:r>
      <w:r w:rsidRPr="002A6EA4">
        <w:rPr>
          <w:lang w:val="fr-CA"/>
        </w:rPr>
        <w:noBreakHyphen/>
        <w:t>17).</w:t>
      </w:r>
    </w:p>
    <w:p w:rsidR="00094732" w:rsidRPr="002A6EA4" w:rsidRDefault="00094732" w:rsidP="0055329A">
      <w:pPr>
        <w:pStyle w:val="Citation-AltC"/>
        <w:widowControl w:val="0"/>
        <w:numPr>
          <w:ilvl w:val="0"/>
          <w:numId w:val="28"/>
        </w:numPr>
        <w:spacing w:after="480" w:line="480" w:lineRule="auto"/>
        <w:ind w:left="720" w:hanging="720"/>
        <w:contextualSpacing w:val="0"/>
        <w:rPr>
          <w:lang w:val="fr-CA"/>
        </w:rPr>
      </w:pPr>
      <w:r w:rsidRPr="002A6EA4">
        <w:rPr>
          <w:lang w:val="fr-CA"/>
        </w:rPr>
        <w:t>La Couronne, qui agit honorablement, ne peut « traiter cavalièrement les intérêts autochtones qui font l’objet de revendications sérieuses dans le cadre du processus de négociation et d’établissement d’un traité »</w:t>
      </w:r>
      <w:r w:rsidRPr="002A6EA4">
        <w:rPr>
          <w:spacing w:val="-1"/>
          <w:lang w:val="fr-CA"/>
        </w:rPr>
        <w:t>;</w:t>
      </w:r>
      <w:r w:rsidRPr="002A6EA4">
        <w:rPr>
          <w:spacing w:val="2"/>
          <w:lang w:val="fr-CA"/>
        </w:rPr>
        <w:t xml:space="preserve"> elle doit consulter et, s’il y a lieu, prendre en compte l’intérêt des Autochtones</w:t>
      </w:r>
      <w:r w:rsidRPr="002A6EA4">
        <w:rPr>
          <w:lang w:val="fr-CA"/>
        </w:rPr>
        <w:t xml:space="preserve"> </w:t>
      </w:r>
      <w:r w:rsidRPr="002A6EA4">
        <w:rPr>
          <w:spacing w:val="-1"/>
          <w:lang w:val="fr-CA"/>
        </w:rPr>
        <w:t>(par. </w:t>
      </w:r>
      <w:r w:rsidRPr="002A6EA4">
        <w:rPr>
          <w:lang w:val="fr-CA"/>
        </w:rPr>
        <w:t>27).</w:t>
      </w:r>
    </w:p>
    <w:p w:rsidR="00094732" w:rsidRPr="002A6EA4" w:rsidRDefault="00094732" w:rsidP="0055329A">
      <w:pPr>
        <w:pStyle w:val="Citation-AltC"/>
        <w:widowControl w:val="0"/>
        <w:numPr>
          <w:ilvl w:val="0"/>
          <w:numId w:val="28"/>
        </w:numPr>
        <w:spacing w:after="480" w:line="480" w:lineRule="auto"/>
        <w:ind w:left="720" w:hanging="720"/>
        <w:contextualSpacing w:val="0"/>
        <w:rPr>
          <w:lang w:val="fr-CA"/>
        </w:rPr>
      </w:pPr>
      <w:r w:rsidRPr="002A6EA4">
        <w:rPr>
          <w:lang w:val="fr-CA"/>
        </w:rPr>
        <w:t xml:space="preserve">L’obligation de consulter découle de la « connaissance [par la Couronne] d’une revendication crédible mais non encore établie » </w:t>
      </w:r>
      <w:r w:rsidRPr="002A6EA4">
        <w:rPr>
          <w:spacing w:val="-1"/>
          <w:lang w:val="fr-CA"/>
        </w:rPr>
        <w:t>(par. </w:t>
      </w:r>
      <w:r w:rsidRPr="002A6EA4">
        <w:rPr>
          <w:lang w:val="fr-CA"/>
        </w:rPr>
        <w:t>37).</w:t>
      </w:r>
    </w:p>
    <w:p w:rsidR="00094732" w:rsidRPr="002A6EA4" w:rsidRDefault="00094732" w:rsidP="0055329A">
      <w:pPr>
        <w:pStyle w:val="Citation-AltC"/>
        <w:widowControl w:val="0"/>
        <w:numPr>
          <w:ilvl w:val="0"/>
          <w:numId w:val="28"/>
        </w:numPr>
        <w:spacing w:after="480" w:line="480" w:lineRule="auto"/>
        <w:ind w:left="720" w:hanging="720"/>
        <w:contextualSpacing w:val="0"/>
        <w:rPr>
          <w:lang w:val="fr-CA"/>
        </w:rPr>
      </w:pPr>
      <w:r w:rsidRPr="002A6EA4">
        <w:rPr>
          <w:lang w:val="fr-CA"/>
        </w:rPr>
        <w:t>Le contenu de l’obligation de consulter et d’accommoder varie selon la solidité de la revendication et l’importance de l’effet préjudiciable potentiel sur l’intérêt autochtone (par. 39). Les cas où la revendication est peu solide, le droit ancestral</w:t>
      </w:r>
      <w:r w:rsidR="00490F57">
        <w:rPr>
          <w:lang w:val="fr-CA"/>
        </w:rPr>
        <w:t>,</w:t>
      </w:r>
      <w:r w:rsidRPr="002A6EA4">
        <w:rPr>
          <w:lang w:val="fr-CA"/>
        </w:rPr>
        <w:t xml:space="preserve"> limité ou le risque d’atteinte faible</w:t>
      </w:r>
      <w:r w:rsidR="00490F57">
        <w:rPr>
          <w:lang w:val="fr-CA"/>
        </w:rPr>
        <w:t>,</w:t>
      </w:r>
      <w:r w:rsidRPr="002A6EA4">
        <w:rPr>
          <w:lang w:val="fr-CA"/>
        </w:rPr>
        <w:t xml:space="preserve"> peu</w:t>
      </w:r>
      <w:r w:rsidR="00490F57">
        <w:rPr>
          <w:lang w:val="fr-CA"/>
        </w:rPr>
        <w:t>vent</w:t>
      </w:r>
      <w:r w:rsidRPr="002A6EA4">
        <w:rPr>
          <w:lang w:val="fr-CA"/>
        </w:rPr>
        <w:t xml:space="preserve"> nécessiter uniquement un avis, une communication de renseignements et de réponses aux questions. À l’autre extrémité du continuum, les cas où la revendication repose sur une preuve solide à première vue et où le droit et l’atteinte potentielle sont d’une haute importance peuvent obliger la Couronne à tenir une « consultation approfondie » et à prendre en compte les intérêts en modifiant ses projets. D’autres situations </w:t>
      </w:r>
      <w:r w:rsidRPr="002A6EA4">
        <w:rPr>
          <w:spacing w:val="1"/>
          <w:lang w:val="fr-CA"/>
        </w:rPr>
        <w:t>se situent e</w:t>
      </w:r>
      <w:r w:rsidRPr="002A6EA4">
        <w:rPr>
          <w:spacing w:val="-1"/>
          <w:lang w:val="fr-CA"/>
        </w:rPr>
        <w:t>ntre ces deux extrémités</w:t>
      </w:r>
      <w:r w:rsidRPr="002A6EA4">
        <w:rPr>
          <w:spacing w:val="54"/>
          <w:lang w:val="fr-CA"/>
        </w:rPr>
        <w:t xml:space="preserve"> </w:t>
      </w:r>
      <w:r w:rsidRPr="002A6EA4">
        <w:rPr>
          <w:spacing w:val="-1"/>
          <w:lang w:val="fr-CA"/>
        </w:rPr>
        <w:t>(par. </w:t>
      </w:r>
      <w:r w:rsidRPr="002A6EA4">
        <w:rPr>
          <w:lang w:val="fr-CA"/>
        </w:rPr>
        <w:t>43</w:t>
      </w:r>
      <w:r w:rsidRPr="002A6EA4">
        <w:rPr>
          <w:lang w:val="fr-CA"/>
        </w:rPr>
        <w:noBreakHyphen/>
        <w:t>45).</w:t>
      </w:r>
    </w:p>
    <w:p w:rsidR="00094732" w:rsidRPr="002A6EA4" w:rsidRDefault="00094732" w:rsidP="0055329A">
      <w:pPr>
        <w:pStyle w:val="Citation-AltC"/>
        <w:widowControl w:val="0"/>
        <w:numPr>
          <w:ilvl w:val="0"/>
          <w:numId w:val="28"/>
        </w:numPr>
        <w:spacing w:after="480" w:line="480" w:lineRule="auto"/>
        <w:ind w:left="720" w:hanging="720"/>
        <w:contextualSpacing w:val="0"/>
        <w:rPr>
          <w:lang w:val="fr-CA"/>
        </w:rPr>
      </w:pPr>
      <w:r w:rsidRPr="002A6EA4">
        <w:rPr>
          <w:lang w:val="fr-CA"/>
        </w:rPr>
        <w:lastRenderedPageBreak/>
        <w:t xml:space="preserve">S’il ressort des consultations que des modifications à la politique de la Couronne s’imposent, une obligation de tenir raisonnablement compte de l’intérêt autochtone peut prendre naissance </w:t>
      </w:r>
      <w:r w:rsidRPr="002A6EA4">
        <w:rPr>
          <w:spacing w:val="-1"/>
          <w:lang w:val="fr-CA"/>
        </w:rPr>
        <w:t>(par. </w:t>
      </w:r>
      <w:r w:rsidRPr="002A6EA4">
        <w:rPr>
          <w:lang w:val="fr-CA"/>
        </w:rPr>
        <w:t>47).</w:t>
      </w:r>
    </w:p>
    <w:p w:rsidR="00094732" w:rsidRPr="002A6EA4" w:rsidRDefault="00094732" w:rsidP="0055329A">
      <w:pPr>
        <w:pStyle w:val="Citation-AltC"/>
        <w:widowControl w:val="0"/>
        <w:numPr>
          <w:ilvl w:val="0"/>
          <w:numId w:val="28"/>
        </w:numPr>
        <w:spacing w:after="480" w:line="480" w:lineRule="auto"/>
        <w:ind w:left="720" w:hanging="720"/>
        <w:contextualSpacing w:val="0"/>
        <w:rPr>
          <w:lang w:val="fr-CA"/>
        </w:rPr>
      </w:pPr>
      <w:r w:rsidRPr="002A6EA4">
        <w:rPr>
          <w:lang w:val="fr-CA"/>
        </w:rPr>
        <w:t>L’obligation de consulter et, le cas échéant, de tenir compte de l’intérêt ancestral implique une réciprocité. Les obligations de la Couronne consistent à donner un avis et des renseignements sur le projet et à consulter le groupe autochtone au sujet de ses préoccupations. Quant au groupe autochtone, il doit notamment définir clairement les éléments de ses revendications (par. 36), ne pas contrecarrer les efforts déployés de bonne foi par la Couronne et ne pas défendre des positions déraisonnables pour empêcher la Couronne de prendre des décisions ou d’agir dans les cas où, malgré une véritable consultation, on ne parvient pas à s’entendre</w:t>
      </w:r>
      <w:r w:rsidRPr="002A6EA4">
        <w:rPr>
          <w:spacing w:val="81"/>
          <w:lang w:val="fr-CA"/>
        </w:rPr>
        <w:t xml:space="preserve"> </w:t>
      </w:r>
      <w:r w:rsidRPr="002A6EA4">
        <w:rPr>
          <w:spacing w:val="-1"/>
          <w:lang w:val="fr-CA"/>
        </w:rPr>
        <w:t>(par. </w:t>
      </w:r>
      <w:r w:rsidRPr="002A6EA4">
        <w:rPr>
          <w:lang w:val="fr-CA"/>
        </w:rPr>
        <w:t>42).</w:t>
      </w:r>
    </w:p>
    <w:p w:rsidR="00094732" w:rsidRPr="002A6EA4" w:rsidRDefault="00094732" w:rsidP="0055329A">
      <w:pPr>
        <w:pStyle w:val="Citation-AltC"/>
        <w:widowControl w:val="0"/>
        <w:numPr>
          <w:ilvl w:val="0"/>
          <w:numId w:val="28"/>
        </w:numPr>
        <w:spacing w:after="480" w:line="480" w:lineRule="auto"/>
        <w:ind w:left="720" w:hanging="720"/>
        <w:contextualSpacing w:val="0"/>
        <w:rPr>
          <w:lang w:val="fr-CA"/>
        </w:rPr>
      </w:pPr>
      <w:r w:rsidRPr="002A6EA4">
        <w:rPr>
          <w:spacing w:val="-1"/>
          <w:lang w:val="fr-CA"/>
        </w:rPr>
        <w:t xml:space="preserve">L’obligation de </w:t>
      </w:r>
      <w:r w:rsidRPr="002A6EA4">
        <w:rPr>
          <w:lang w:val="fr-CA"/>
        </w:rPr>
        <w:t>consulter</w:t>
      </w:r>
      <w:r w:rsidRPr="002A6EA4">
        <w:rPr>
          <w:spacing w:val="-1"/>
          <w:lang w:val="fr-CA"/>
        </w:rPr>
        <w:t xml:space="preserve"> et, le cas échéant, de tenir compte des intérêts autochtones peut nécessiter la modification d’un projet. Elle ne confère toutefois pas aux groupes autochtones un droit de veto à l’égard des projets en attendant que leurs revendications soient établies. Le consentement n’est requis que dans les cas des revendications </w:t>
      </w:r>
      <w:r w:rsidRPr="002A6EA4">
        <w:rPr>
          <w:i/>
          <w:spacing w:val="-1"/>
          <w:lang w:val="fr-CA"/>
        </w:rPr>
        <w:t xml:space="preserve">établies </w:t>
      </w:r>
      <w:r w:rsidRPr="002A6EA4">
        <w:rPr>
          <w:spacing w:val="-1"/>
          <w:lang w:val="fr-CA"/>
        </w:rPr>
        <w:t>et, même en pareille éventualité, seules certaines de ces revendications requièrent un consentement. Ce qu’il faut faire, c’est de mettre en balance les intérêts, un processus de concessions mutuelles</w:t>
      </w:r>
      <w:r w:rsidRPr="002A6EA4">
        <w:rPr>
          <w:spacing w:val="2"/>
          <w:lang w:val="fr-CA"/>
        </w:rPr>
        <w:t xml:space="preserve"> </w:t>
      </w:r>
      <w:r w:rsidRPr="002A6EA4">
        <w:rPr>
          <w:spacing w:val="-1"/>
          <w:lang w:val="fr-CA"/>
        </w:rPr>
        <w:t>(par. </w:t>
      </w:r>
      <w:r w:rsidRPr="002A6EA4">
        <w:rPr>
          <w:lang w:val="fr-CA"/>
        </w:rPr>
        <w:t>45</w:t>
      </w:r>
      <w:r w:rsidR="00BE5609">
        <w:rPr>
          <w:lang w:val="fr-CA"/>
        </w:rPr>
        <w:t xml:space="preserve"> et </w:t>
      </w:r>
      <w:r w:rsidRPr="002A6EA4">
        <w:rPr>
          <w:lang w:val="fr-CA"/>
        </w:rPr>
        <w:t>48</w:t>
      </w:r>
      <w:r w:rsidR="00BE5609">
        <w:rPr>
          <w:lang w:val="fr-CA"/>
        </w:rPr>
        <w:t>-</w:t>
      </w:r>
      <w:r w:rsidRPr="002A6EA4">
        <w:rPr>
          <w:lang w:val="fr-CA"/>
        </w:rPr>
        <w:t>50).</w:t>
      </w:r>
    </w:p>
    <w:p w:rsidR="00094732" w:rsidRPr="002A6EA4" w:rsidRDefault="00094732" w:rsidP="0055329A">
      <w:pPr>
        <w:pStyle w:val="ParaNoNdepar-AltN"/>
        <w:widowControl w:val="0"/>
        <w:rPr>
          <w:rFonts w:cs="Times New Roman"/>
          <w:lang w:val="fr-CA"/>
        </w:rPr>
      </w:pPr>
      <w:r w:rsidRPr="002A6EA4">
        <w:rPr>
          <w:rFonts w:cs="Times New Roman"/>
          <w:lang w:val="fr-CA"/>
        </w:rPr>
        <w:lastRenderedPageBreak/>
        <w:t xml:space="preserve">Les étapes du processus de consultation peuvent être résumées ainsi : </w:t>
      </w:r>
    </w:p>
    <w:p w:rsidR="00094732" w:rsidRPr="002A6EA4" w:rsidRDefault="00094732" w:rsidP="0055329A">
      <w:pPr>
        <w:pStyle w:val="Citation-AltC"/>
        <w:widowControl w:val="0"/>
        <w:tabs>
          <w:tab w:val="left" w:pos="720"/>
        </w:tabs>
        <w:spacing w:after="480" w:line="480" w:lineRule="auto"/>
        <w:ind w:left="720" w:hanging="720"/>
        <w:contextualSpacing w:val="0"/>
        <w:rPr>
          <w:lang w:val="fr-CA"/>
        </w:rPr>
      </w:pPr>
      <w:r w:rsidRPr="002A6EA4">
        <w:rPr>
          <w:spacing w:val="-1"/>
          <w:lang w:val="fr-CA"/>
        </w:rPr>
        <w:t>1.</w:t>
      </w:r>
      <w:r w:rsidRPr="002A6EA4">
        <w:rPr>
          <w:spacing w:val="-1"/>
          <w:lang w:val="fr-CA"/>
        </w:rPr>
        <w:tab/>
        <w:t>Initiation</w:t>
      </w:r>
      <w:r w:rsidRPr="002A6EA4">
        <w:rPr>
          <w:lang w:val="fr-CA"/>
        </w:rPr>
        <w:t xml:space="preserve"> du processus de consultation dès que la Couronne a connaissance, réellement ou par interprétation, de l’existence possible d’un droit ancestral ou issu d’un traité et envisage </w:t>
      </w:r>
      <w:r w:rsidR="00490F57">
        <w:rPr>
          <w:lang w:val="fr-CA"/>
        </w:rPr>
        <w:t>d’accomplir</w:t>
      </w:r>
      <w:r w:rsidRPr="002A6EA4">
        <w:rPr>
          <w:lang w:val="fr-CA"/>
        </w:rPr>
        <w:t xml:space="preserve"> un acte susceptible de lui porter préjudice;</w:t>
      </w:r>
    </w:p>
    <w:p w:rsidR="00094732" w:rsidRPr="002A6EA4" w:rsidRDefault="00094732" w:rsidP="0055329A">
      <w:pPr>
        <w:pStyle w:val="Citation-AltC"/>
        <w:widowControl w:val="0"/>
        <w:tabs>
          <w:tab w:val="left" w:pos="720"/>
        </w:tabs>
        <w:spacing w:after="480" w:line="480" w:lineRule="auto"/>
        <w:ind w:left="720" w:hanging="720"/>
        <w:contextualSpacing w:val="0"/>
        <w:rPr>
          <w:lang w:val="fr-CA"/>
        </w:rPr>
      </w:pPr>
      <w:r w:rsidRPr="002A6EA4">
        <w:rPr>
          <w:lang w:val="fr-CA"/>
        </w:rPr>
        <w:t>2.</w:t>
      </w:r>
      <w:r w:rsidRPr="002A6EA4">
        <w:rPr>
          <w:lang w:val="fr-CA"/>
        </w:rPr>
        <w:tab/>
        <w:t>Détermination du niveau de consultation requis en fonction de la solidité à première vue de la revendication et de l’importance de l’effet préjudiciable potentiel sur l’intérêt autochtone;</w:t>
      </w:r>
    </w:p>
    <w:p w:rsidR="00094732" w:rsidRPr="002A6EA4" w:rsidRDefault="00094732" w:rsidP="0055329A">
      <w:pPr>
        <w:pStyle w:val="Citation-AltC"/>
        <w:widowControl w:val="0"/>
        <w:tabs>
          <w:tab w:val="left" w:pos="720"/>
        </w:tabs>
        <w:spacing w:after="480" w:line="480" w:lineRule="auto"/>
        <w:ind w:left="720" w:hanging="720"/>
        <w:contextualSpacing w:val="0"/>
        <w:rPr>
          <w:lang w:val="fr-CA"/>
        </w:rPr>
      </w:pPr>
      <w:r w:rsidRPr="002A6EA4">
        <w:rPr>
          <w:lang w:val="fr-CA"/>
        </w:rPr>
        <w:t>3.</w:t>
      </w:r>
      <w:r w:rsidRPr="002A6EA4">
        <w:rPr>
          <w:lang w:val="fr-CA"/>
        </w:rPr>
        <w:tab/>
        <w:t>Consultation au degré approprié</w:t>
      </w:r>
      <w:r w:rsidRPr="002A6EA4">
        <w:rPr>
          <w:spacing w:val="-1"/>
          <w:lang w:val="fr-CA"/>
        </w:rPr>
        <w:t>;</w:t>
      </w:r>
    </w:p>
    <w:p w:rsidR="00094732" w:rsidRPr="002A6EA4" w:rsidRDefault="00094732" w:rsidP="0055329A">
      <w:pPr>
        <w:pStyle w:val="Citation-AltC"/>
        <w:widowControl w:val="0"/>
        <w:tabs>
          <w:tab w:val="left" w:pos="720"/>
        </w:tabs>
        <w:spacing w:after="480" w:line="480" w:lineRule="auto"/>
        <w:ind w:left="720" w:hanging="720"/>
        <w:contextualSpacing w:val="0"/>
        <w:rPr>
          <w:lang w:val="fr-CA"/>
        </w:rPr>
      </w:pPr>
      <w:r w:rsidRPr="002A6EA4">
        <w:rPr>
          <w:lang w:val="fr-CA"/>
        </w:rPr>
        <w:t>4.</w:t>
      </w:r>
      <w:r w:rsidRPr="002A6EA4">
        <w:rPr>
          <w:lang w:val="fr-CA"/>
        </w:rPr>
        <w:tab/>
        <w:t>S’il ressort de la consultation que cela est indiqué, prise en compte de l’intérêt autochtone jusqu’au règlement définitif de la revendication sous</w:t>
      </w:r>
      <w:r w:rsidRPr="002A6EA4">
        <w:rPr>
          <w:lang w:val="fr-CA"/>
        </w:rPr>
        <w:noBreakHyphen/>
        <w:t>jacente.</w:t>
      </w:r>
    </w:p>
    <w:p w:rsidR="00094732" w:rsidRPr="002A6EA4" w:rsidRDefault="00094732" w:rsidP="0055329A">
      <w:pPr>
        <w:pStyle w:val="ContinueParaSuitedupar-AltP"/>
        <w:widowControl w:val="0"/>
        <w:rPr>
          <w:rFonts w:cs="Times New Roman"/>
          <w:lang w:val="fr-CA"/>
        </w:rPr>
      </w:pPr>
      <w:r w:rsidRPr="002A6EA4">
        <w:rPr>
          <w:rFonts w:cs="Times New Roman"/>
          <w:lang w:val="fr-CA"/>
        </w:rPr>
        <w:t>Le résumé ci</w:t>
      </w:r>
      <w:r w:rsidRPr="002A6EA4">
        <w:rPr>
          <w:rFonts w:cs="Times New Roman"/>
          <w:lang w:val="fr-CA"/>
        </w:rPr>
        <w:noBreakHyphen/>
        <w:t>dessus des étapes du processus de consultation sert de guide pour aider les parties à garantir une consultation adéquate; il ne se veut pas un critère rigoureux ou une formule superficielle. Au bout du compte, il n’y a qu’une seule question à se poser : la consultation qui a eu lieu était</w:t>
      </w:r>
      <w:r w:rsidRPr="002A6EA4">
        <w:rPr>
          <w:rFonts w:cs="Times New Roman"/>
          <w:lang w:val="fr-CA"/>
        </w:rPr>
        <w:noBreakHyphen/>
        <w:t xml:space="preserve">elle réellement adéquate? </w:t>
      </w:r>
    </w:p>
    <w:p w:rsidR="00094732" w:rsidRPr="002A6EA4" w:rsidRDefault="00094732" w:rsidP="0055329A">
      <w:pPr>
        <w:pStyle w:val="Title3LevelTitre3Niveau"/>
        <w:widowControl w:val="0"/>
        <w:ind w:left="1156" w:hanging="578"/>
        <w:jc w:val="both"/>
        <w:rPr>
          <w:rFonts w:cs="Times New Roman"/>
          <w:u w:color="000000"/>
          <w:lang w:val="fr-CA"/>
        </w:rPr>
      </w:pPr>
      <w:r w:rsidRPr="002A6EA4">
        <w:rPr>
          <w:rFonts w:cs="Times New Roman"/>
          <w:u w:color="000000"/>
          <w:lang w:val="fr-CA"/>
        </w:rPr>
        <w:t>La conclusion du Ministre selon laquelle le processus de consultation respecte l’art. 35 était</w:t>
      </w:r>
      <w:r w:rsidRPr="002A6EA4">
        <w:rPr>
          <w:rFonts w:cs="Times New Roman"/>
          <w:u w:color="000000"/>
          <w:lang w:val="fr-CA"/>
        </w:rPr>
        <w:noBreakHyphen/>
        <w:t>elle raisonnable?</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Au terme d’un long processus réglementaire et de négociations avec les </w:t>
      </w:r>
      <w:r w:rsidRPr="002A6EA4">
        <w:rPr>
          <w:rFonts w:cs="Times New Roman"/>
          <w:lang w:val="fr-CA"/>
        </w:rPr>
        <w:lastRenderedPageBreak/>
        <w:t>Ktunaxa qui se sont échelonnés sur deux décennies, le Ministre a conclu qu’il avait été satisfait à l’obligation de consultation et d’accommodement visée à l’art. 35</w:t>
      </w:r>
      <w:r w:rsidRPr="002A6EA4">
        <w:rPr>
          <w:rFonts w:cs="Times New Roman"/>
          <w:spacing w:val="16"/>
          <w:lang w:val="fr-CA"/>
        </w:rPr>
        <w:t xml:space="preserve"> et il a </w:t>
      </w:r>
      <w:r w:rsidRPr="002A6EA4">
        <w:rPr>
          <w:rFonts w:cs="Times New Roman"/>
          <w:lang w:val="fr-CA"/>
        </w:rPr>
        <w:t xml:space="preserve">autorisé le projet de station de ski de Glacier Resorts. Comme nous l’avons signalé, la cour qui contrôle une décision administrative au titre de l’art. 35 ne tranche pas la question constitutionnelle </w:t>
      </w:r>
      <w:r w:rsidRPr="002A6EA4">
        <w:rPr>
          <w:rFonts w:cs="Times New Roman"/>
          <w:i/>
          <w:lang w:val="fr-CA"/>
        </w:rPr>
        <w:t>de novo</w:t>
      </w:r>
      <w:r w:rsidRPr="002A6EA4">
        <w:rPr>
          <w:rFonts w:cs="Times New Roman"/>
          <w:lang w:val="fr-CA"/>
        </w:rPr>
        <w:t>, de façon indépendante. Elle doit plutôt se demander si la conclusion du décideur administratif sur cette question était raisonnable. La question dont nous sommes saisis consiste à savoir s’il était raisonnable de la part du Ministre de conclure que la consultation et les mesures d’accommodement étaient suffisantes pour respecter l’art. 35.</w:t>
      </w:r>
    </w:p>
    <w:p w:rsidR="00094732" w:rsidRPr="002A6EA4" w:rsidRDefault="00094732" w:rsidP="0055329A">
      <w:pPr>
        <w:pStyle w:val="ParaNoNdepar-AltN"/>
        <w:widowControl w:val="0"/>
        <w:rPr>
          <w:rFonts w:cs="Times New Roman"/>
          <w:lang w:val="fr-CA"/>
        </w:rPr>
      </w:pPr>
      <w:r w:rsidRPr="002A6EA4">
        <w:rPr>
          <w:rFonts w:cs="Times New Roman"/>
          <w:lang w:val="fr-CA"/>
        </w:rPr>
        <w:t>L’obligation de consultation et d’accommodement visée à l’art. 35 pour ce qui est des revendications non établies est un droit à un processus, et non à un résultat en particulier. Il ne s’agit pas de savoir si les Ktunaxa ont obtenu le résultat qu’ils recherchaient, mais si le processus était conforme au principe de l’honneur de la Couronne. S’il est vrai qu’on espère toujours que les consultations menées au titre de l’art. 35 déboucheront sur une entente et une conciliation des intérêts des Autochtones et de ceux des non</w:t>
      </w:r>
      <w:r w:rsidRPr="002A6EA4">
        <w:rPr>
          <w:rFonts w:cs="Times New Roman"/>
          <w:lang w:val="fr-CA"/>
        </w:rPr>
        <w:noBreakHyphen/>
        <w:t xml:space="preserve">Autochtones, </w:t>
      </w:r>
      <w:r w:rsidRPr="002A6EA4">
        <w:rPr>
          <w:rFonts w:cs="Times New Roman"/>
          <w:i/>
          <w:lang w:val="fr-CA"/>
        </w:rPr>
        <w:t xml:space="preserve">Nation haïda </w:t>
      </w:r>
      <w:r w:rsidRPr="002A6EA4">
        <w:rPr>
          <w:rFonts w:cs="Times New Roman"/>
          <w:lang w:val="fr-CA"/>
        </w:rPr>
        <w:t>indique clairement que, dans les situations où cela ne se produit pas, l’art. 35 ne confère pas aux demandeurs insatisfaits un droit de veto sur les projets. S’il y a eu consultation adéquate, le projet peut aller de l’avant sans le consentement du groupe autochtone concerné.</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Dans leur requête, les Ktunaxa demandent au juge en chambre de rendre un jugement déclaratoire portant que le Qat’muk est sacré pour eux et qu’il est interdit </w:t>
      </w:r>
      <w:r w:rsidRPr="002A6EA4">
        <w:rPr>
          <w:rFonts w:cs="Times New Roman"/>
          <w:lang w:val="fr-CA"/>
        </w:rPr>
        <w:lastRenderedPageBreak/>
        <w:t xml:space="preserve">d’ériger des installations permanentes en ce lieu. En fait, ils demandent aux tribunaux, sous le couvert d’une demande de contrôle judiciaire d’une décision administrative, de se prononcer sur la validité de leur revendication à l’égard d’un lieu sacré et des pratiques spirituelles connexes. Ce jugement déclaratoire ne peut être rendu par une cour siégeant en contrôle d’une décision administrative d’approuver un aménagement. Dans une instance judiciaire, pareil jugement déclaratoire ne peut être rendu qu’après l’instruction de la question quand le tribunal bénéficie des actes de procédure, des interrogatoires préalables, des éléments de preuve et des arguments. Les droits ancestraux doivent être prouvés au moyen d’éléments mis à l’épreuve; ils ne peuvent être établis accessoirement dans le cadre d’une procédure administrative dont le point de mire est le caractère adéquat des consultations et des mesures d’accommodement. Permettre une telle chose causerait de l’incertitude et découragerait le règlement définitif des droits allégués par la procédure appropriée. Les revendications de droits ancestraux nécessitent que l’on rassemble des preuves adéquates pour répondre à des critères juridiques précis dans le cadre d’un procès : </w:t>
      </w:r>
      <w:r w:rsidRPr="002A6EA4">
        <w:rPr>
          <w:rFonts w:cs="Times New Roman"/>
          <w:i/>
          <w:lang w:val="fr-CA"/>
        </w:rPr>
        <w:t>R. c. Van der Peet</w:t>
      </w:r>
      <w:r w:rsidRPr="002A6EA4">
        <w:rPr>
          <w:rFonts w:cs="Times New Roman"/>
          <w:lang w:val="fr-CA"/>
        </w:rPr>
        <w:t xml:space="preserve">, [1996] 2 R.C.S. 507; </w:t>
      </w:r>
      <w:r w:rsidRPr="002A6EA4">
        <w:rPr>
          <w:rFonts w:cs="Times New Roman"/>
          <w:i/>
          <w:lang w:val="fr-CA"/>
        </w:rPr>
        <w:t>Delgamuukw c. Colombie</w:t>
      </w:r>
      <w:r w:rsidRPr="002A6EA4">
        <w:rPr>
          <w:rFonts w:cs="Times New Roman"/>
          <w:i/>
          <w:lang w:val="fr-CA"/>
        </w:rPr>
        <w:noBreakHyphen/>
        <w:t>Britannique</w:t>
      </w:r>
      <w:r w:rsidRPr="002A6EA4">
        <w:rPr>
          <w:rFonts w:cs="Times New Roman"/>
          <w:lang w:val="fr-CA"/>
        </w:rPr>
        <w:t xml:space="preserve">, [1997] 3 R.C.S. 1010, par. 109 et 143; </w:t>
      </w:r>
      <w:r w:rsidRPr="002A6EA4">
        <w:rPr>
          <w:rFonts w:cs="Times New Roman"/>
          <w:i/>
          <w:lang w:val="fr-CA"/>
        </w:rPr>
        <w:t>Mitchell c. M.R.N.</w:t>
      </w:r>
      <w:r w:rsidRPr="002A6EA4">
        <w:rPr>
          <w:rFonts w:cs="Times New Roman"/>
          <w:lang w:val="fr-CA"/>
        </w:rPr>
        <w:t xml:space="preserve">, 2001 CSC 33, [2001] 1 R.C.S. 911, par. 26; </w:t>
      </w:r>
      <w:r w:rsidRPr="002A6EA4">
        <w:rPr>
          <w:rFonts w:cs="Times New Roman"/>
          <w:i/>
          <w:lang w:val="fr-CA"/>
        </w:rPr>
        <w:t>Nation Tsilhqot’in c. Colombie</w:t>
      </w:r>
      <w:r w:rsidRPr="002A6EA4">
        <w:rPr>
          <w:rFonts w:cs="Times New Roman"/>
          <w:i/>
          <w:lang w:val="fr-CA"/>
        </w:rPr>
        <w:noBreakHyphen/>
        <w:t>Britannique</w:t>
      </w:r>
      <w:r w:rsidRPr="002A6EA4">
        <w:rPr>
          <w:rFonts w:cs="Times New Roman"/>
          <w:lang w:val="fr-CA"/>
        </w:rPr>
        <w:t>, 2014 CSC 44, [2014] 2 R.C.S. 257, par. 26.</w:t>
      </w:r>
    </w:p>
    <w:p w:rsidR="00094732" w:rsidRPr="002A6EA4" w:rsidRDefault="00094732" w:rsidP="0055329A">
      <w:pPr>
        <w:pStyle w:val="ParaNoNdepar-AltN"/>
        <w:widowControl w:val="0"/>
        <w:rPr>
          <w:rFonts w:cs="Times New Roman"/>
          <w:lang w:val="fr-CA"/>
        </w:rPr>
      </w:pPr>
      <w:r w:rsidRPr="002A6EA4">
        <w:rPr>
          <w:rFonts w:cs="Times New Roman"/>
          <w:lang w:val="fr-CA"/>
        </w:rPr>
        <w:t>Sans un pouvoir expressément délégué, les décideurs administratifs ne peuvent pas se prononcer eux</w:t>
      </w:r>
      <w:r w:rsidRPr="002A6EA4">
        <w:rPr>
          <w:rFonts w:cs="Times New Roman"/>
          <w:lang w:val="fr-CA"/>
        </w:rPr>
        <w:noBreakHyphen/>
        <w:t xml:space="preserve">mêmes sur l’existence ou la portée de droits ancestraux, mais ils peuvent être appelés à évaluer la solidité à première vue de revendications autochtones non établies et l’effet préjudiciable de mesures gouvernementales </w:t>
      </w:r>
      <w:r w:rsidRPr="002A6EA4">
        <w:rPr>
          <w:rFonts w:cs="Times New Roman"/>
          <w:lang w:val="fr-CA"/>
        </w:rPr>
        <w:lastRenderedPageBreak/>
        <w:t>proposées sur ces revendications afin de déterminer l’ampleur des consultations nécessaires. En effet, dans la présente affaire, l’obligation de consulter prend naissance à l’égard de droits qui ne sont toujours pas établis</w:t>
      </w:r>
      <w:r w:rsidR="006143CE">
        <w:rPr>
          <w:rFonts w:cs="Times New Roman"/>
          <w:lang w:val="fr-CA"/>
        </w:rPr>
        <w:t xml:space="preserve"> : </w:t>
      </w:r>
      <w:r w:rsidRPr="002A6EA4">
        <w:rPr>
          <w:rFonts w:cs="Times New Roman"/>
          <w:i/>
          <w:lang w:val="fr-CA"/>
        </w:rPr>
        <w:t>Nation haïda</w:t>
      </w:r>
      <w:r w:rsidR="006143CE">
        <w:rPr>
          <w:rFonts w:cs="Times New Roman"/>
          <w:lang w:val="fr-CA"/>
        </w:rPr>
        <w:t>, par. 37</w:t>
      </w:r>
      <w:r w:rsidRPr="002A6EA4">
        <w:rPr>
          <w:rFonts w:cs="Times New Roman"/>
          <w:lang w:val="fr-CA"/>
        </w:rPr>
        <w:t>.</w:t>
      </w:r>
    </w:p>
    <w:p w:rsidR="00094732" w:rsidRPr="002A6EA4" w:rsidRDefault="00094732" w:rsidP="0055329A">
      <w:pPr>
        <w:pStyle w:val="ParaNoNdepar-AltN"/>
        <w:widowControl w:val="0"/>
        <w:rPr>
          <w:rFonts w:cs="Times New Roman"/>
          <w:lang w:val="fr-CA"/>
        </w:rPr>
      </w:pPr>
      <w:r w:rsidRPr="002A6EA4">
        <w:rPr>
          <w:rFonts w:cs="Times New Roman"/>
          <w:lang w:val="fr-CA"/>
        </w:rPr>
        <w:t>Les Ktunaxa répliquent qu’ils doivent obtenir réparation maintenant parce que, si le projet va de l’avant, l’Espr</w:t>
      </w:r>
      <w:r w:rsidR="00490F57">
        <w:rPr>
          <w:rFonts w:cs="Times New Roman"/>
          <w:lang w:val="fr-CA"/>
        </w:rPr>
        <w:t>it de l’Ours Grizzly fuira le Q</w:t>
      </w:r>
      <w:r w:rsidRPr="002A6EA4">
        <w:rPr>
          <w:rFonts w:cs="Times New Roman"/>
          <w:lang w:val="fr-CA"/>
        </w:rPr>
        <w:t>at’muk bien avant qu’ils parviennent à établir le bien</w:t>
      </w:r>
      <w:r w:rsidRPr="002A6EA4">
        <w:rPr>
          <w:rFonts w:cs="Times New Roman"/>
          <w:lang w:val="fr-CA"/>
        </w:rPr>
        <w:noBreakHyphen/>
        <w:t>fondé de leur revendication ou à le faire dans le cadre du processus des traités de la Colombie</w:t>
      </w:r>
      <w:r w:rsidRPr="002A6EA4">
        <w:rPr>
          <w:rFonts w:cs="Times New Roman"/>
          <w:lang w:val="fr-CA"/>
        </w:rPr>
        <w:noBreakHyphen/>
        <w:t xml:space="preserve">Britannique. Nous ne sommes pas insensibles à ce point. Toutefois, la solution ne consiste pas pour les tribunaux à faire des déclarations constitutionnelles d’une portée considérable lors d’une procédure de contrôle judiciaire accessoire à des droits ancestraux et à des revendications de titre et mal conçue pour les trancher. Il est possible d’obtenir une injonction pour retarder l’exécution du projet. Sinon, le mieux que l’on puisse faire pendant la période d’incertitude temporaire où les revendications sont en voie de règlement, c’est de suivre un processus équitable et respectueux et de s’employer de bonne foi à parvenir à une réconciliation. Les revendications devraient être mentionnées tôt dans le processus et définies aussi clairement que possible. Dans la plupart des cas, une telle démarche mènera à un accord et à une conciliation. Dans les autres cas, pour atténuer les éventuels effets préjudiciables sur le droit revendiqué, il faudra, en dernière analyse, régler le plus rapidement possible les questions de l’existence et de la portée des revendications non encore établies. Pour les Ktunaxa, cette solution peut sembler insatisfaisante, voire tragique. Toutefois, lors de la difficile période allant de la présentation de la revendication à son règlement, la consultation et l’accommodement, aussi imparfaits </w:t>
      </w:r>
      <w:r w:rsidRPr="002A6EA4">
        <w:rPr>
          <w:rFonts w:cs="Times New Roman"/>
          <w:lang w:val="fr-CA"/>
        </w:rPr>
        <w:lastRenderedPageBreak/>
        <w:t>soient</w:t>
      </w:r>
      <w:r w:rsidRPr="002A6EA4">
        <w:rPr>
          <w:rFonts w:cs="Times New Roman"/>
          <w:lang w:val="fr-CA"/>
        </w:rPr>
        <w:noBreakHyphen/>
        <w:t>ils, demeurent les meilleurs outils juridiques dont ils disposent pour parvenir à une réconciliation.</w:t>
      </w:r>
    </w:p>
    <w:p w:rsidR="00094732" w:rsidRPr="002A6EA4" w:rsidRDefault="00094732" w:rsidP="0055329A">
      <w:pPr>
        <w:pStyle w:val="ParaNoNdepar-AltN"/>
        <w:widowControl w:val="0"/>
        <w:rPr>
          <w:rFonts w:cs="Times New Roman"/>
          <w:lang w:val="fr-CA"/>
        </w:rPr>
      </w:pPr>
      <w:r w:rsidRPr="002A6EA4">
        <w:rPr>
          <w:rFonts w:cs="Times New Roman"/>
          <w:lang w:val="fr-CA"/>
        </w:rPr>
        <w:t>Au vu du dossier, la conclusion du Ministre qu’il y avait eu consultation suffisante pour respecter l’art. 35 ne semble pas déraisonnable. Les revendications de nature spirituelle des Ktunaxa à l’égard du Qat’muk ont été reconnues dès le départ. Des négociations se sont échelonnées sur deux décennies et il y a eu des consultations approfondies. De nombreux changements ont été apportés au projet pour tenir compte des revendications de nature spirituelle des Ktunaxa. Alors que tous les différends importants semblaient réglés, les Ktunaxa, dans leur revendication de la fin de 2009, ont adopté une nouvelle position absolue selon laquelle aucun accommodement n’était possible parce que des installations permanentes chasseraient l’Esprit de l’Ours Grizzly du Qat’muk. Le Ministre a cherché à consulter les Ktunaxa pour discuter de la revendication nouvellement formulée, mais on lui a répondu qu’il était inutile de le faire vu la nouvelle position des Ktunaxa : aucun accommodement n’était possible et seul le rejet du projet dans son intégralité leur donnerait satisfaction. Le processus protégé par l’art. 35 a alors pris fin.</w:t>
      </w:r>
    </w:p>
    <w:p w:rsidR="00094732" w:rsidRPr="002A6EA4" w:rsidRDefault="00094732" w:rsidP="0055329A">
      <w:pPr>
        <w:pStyle w:val="ParaNoNdepar-AltN"/>
        <w:widowControl w:val="0"/>
        <w:rPr>
          <w:rFonts w:cs="Times New Roman"/>
          <w:lang w:val="fr-CA"/>
        </w:rPr>
      </w:pPr>
      <w:r w:rsidRPr="002A6EA4">
        <w:rPr>
          <w:rFonts w:cs="Times New Roman"/>
          <w:lang w:val="fr-CA"/>
        </w:rPr>
        <w:t>Nous concluons que, de prime abord, le dossier étaye le caractère raisonnable de la conclusion du Ministre selon laquelle l’obligation de consultation et d’accommodement visée à l’art. 35 a été respectée. Il est toutefois nécessaire d’examiner les arguments présen</w:t>
      </w:r>
      <w:r w:rsidR="00490F57">
        <w:rPr>
          <w:rFonts w:cs="Times New Roman"/>
          <w:lang w:val="fr-CA"/>
        </w:rPr>
        <w:t>tés par les Ktunaxa au soutien</w:t>
      </w:r>
      <w:r w:rsidRPr="002A6EA4">
        <w:rPr>
          <w:rFonts w:cs="Times New Roman"/>
          <w:lang w:val="fr-CA"/>
        </w:rPr>
        <w:t xml:space="preserve"> de leur thèse selon laquelle cette conclusion était déraisonnable.</w:t>
      </w:r>
    </w:p>
    <w:p w:rsidR="00094732" w:rsidRPr="002A6EA4" w:rsidRDefault="00094732" w:rsidP="0055329A">
      <w:pPr>
        <w:pStyle w:val="ParaNoNdepar-AltN"/>
        <w:widowControl w:val="0"/>
        <w:rPr>
          <w:rFonts w:cs="Times New Roman"/>
          <w:lang w:val="fr-CA"/>
        </w:rPr>
      </w:pPr>
      <w:r w:rsidRPr="002A6EA4">
        <w:rPr>
          <w:rFonts w:cs="Times New Roman"/>
          <w:lang w:val="fr-CA"/>
        </w:rPr>
        <w:lastRenderedPageBreak/>
        <w:t xml:space="preserve">Dans leur mémoire, les Ktunaxa affirment que le processus de consultation était insuffisant pour respecter l’art. 35 car : (1) le gouvernement n’a pas décrit correctement le droit; (2) le gouvernement n’a pas compris le rôle des gardiens du savoir, qui </w:t>
      </w:r>
      <w:r w:rsidR="006143CE">
        <w:rPr>
          <w:rFonts w:cs="Times New Roman"/>
          <w:lang w:val="fr-CA"/>
        </w:rPr>
        <w:t>a contribué à</w:t>
      </w:r>
      <w:r w:rsidRPr="002A6EA4">
        <w:rPr>
          <w:rFonts w:cs="Times New Roman"/>
          <w:lang w:val="fr-CA"/>
        </w:rPr>
        <w:t xml:space="preserve"> la divulgation tardive de la véritable nature de la revendication; (3) le gouvernement a qualifié à tort le droit spirituel de faible; (4) le gouvernement a mal évalué l’effet préjudiciable du projet sur les droits des Ktunaxa; (5) la consultation était inadéquate; (6) le gouvernement </w:t>
      </w:r>
      <w:r>
        <w:rPr>
          <w:rFonts w:cs="Times New Roman"/>
          <w:lang w:val="fr-CA"/>
        </w:rPr>
        <w:t>ne s’est pas adapté a</w:t>
      </w:r>
      <w:r w:rsidRPr="002A6EA4">
        <w:rPr>
          <w:rFonts w:cs="Times New Roman"/>
          <w:lang w:val="fr-CA"/>
        </w:rPr>
        <w:t>u droit spirituel. Les Ktunaxa relèvent des erreurs et omissions dans les Motifs de la décision du Ministre qui, selon eux, témoignent du caractère déraisonnable de sa conclusion selon laquelle il y avait eu consultation adéquate au titre de l’art. 35. Somme toute, les Ktunaxa soutiennent que le processus de consultation était déficient, qu’il ne respectait pas le principe de l’honneur de la Couronne et qu’il ne permettait pas de réaliser l’objectif de réconciliation. Nous examinerons chacune de ces prétentions à tour de rôle. Dans cette analyse, nous employons l’adjectif « spirituel » au lieu de « religieux » uniquement parce qu’il s’agit du mot utilisé par les parties dans leur argumentation. Comme l’a signalé à juste titre le juge en chambre (au par. 275), il est acquis aux débats en l’espèce que le système de croyances spirituelles des Ktunaxa constitue une religion.</w:t>
      </w:r>
    </w:p>
    <w:p w:rsidR="00094732" w:rsidRPr="002A6EA4" w:rsidRDefault="00094732" w:rsidP="0055329A">
      <w:pPr>
        <w:pStyle w:val="Title4LevelTitre4Niveau"/>
        <w:widowControl w:val="0"/>
        <w:numPr>
          <w:ilvl w:val="1"/>
          <w:numId w:val="1"/>
        </w:numPr>
        <w:tabs>
          <w:tab w:val="num" w:pos="1152"/>
          <w:tab w:val="num" w:pos="1296"/>
        </w:tabs>
        <w:ind w:left="1170" w:hanging="630"/>
        <w:rPr>
          <w:rFonts w:cs="Times New Roman"/>
          <w:lang w:val="fr-CA"/>
        </w:rPr>
      </w:pPr>
      <w:r w:rsidRPr="002A6EA4">
        <w:rPr>
          <w:rFonts w:cs="Times New Roman"/>
          <w:lang w:val="fr-CA"/>
        </w:rPr>
        <w:t>Description erronée du droit</w:t>
      </w:r>
    </w:p>
    <w:p w:rsidR="00094732" w:rsidRPr="002A6EA4" w:rsidRDefault="00094732" w:rsidP="0055329A">
      <w:pPr>
        <w:pStyle w:val="ParaNoNdepar-AltN"/>
        <w:widowControl w:val="0"/>
        <w:rPr>
          <w:rFonts w:cs="Times New Roman"/>
          <w:lang w:val="fr-CA"/>
        </w:rPr>
      </w:pPr>
      <w:r w:rsidRPr="002A6EA4">
        <w:rPr>
          <w:rFonts w:cs="Times New Roman"/>
          <w:lang w:val="fr-CA"/>
        </w:rPr>
        <w:t>Les Ktunaxa disent que le droit revendiqué était celui [</w:t>
      </w:r>
      <w:r w:rsidRPr="002A6EA4">
        <w:rPr>
          <w:rFonts w:cs="Times New Roman"/>
          <w:smallCaps/>
          <w:lang w:val="fr-CA"/>
        </w:rPr>
        <w:t>traduction</w:t>
      </w:r>
      <w:r w:rsidRPr="002A6EA4">
        <w:rPr>
          <w:rFonts w:cs="Times New Roman"/>
          <w:lang w:val="fr-CA"/>
        </w:rPr>
        <w:t>] « de se livrer à des pratiques spirituelles qui reposent sur</w:t>
      </w:r>
      <w:r w:rsidR="00490F57">
        <w:rPr>
          <w:rFonts w:cs="Times New Roman"/>
          <w:lang w:val="fr-CA"/>
        </w:rPr>
        <w:t xml:space="preserve"> un</w:t>
      </w:r>
      <w:r w:rsidRPr="002A6EA4">
        <w:rPr>
          <w:rFonts w:cs="Times New Roman"/>
          <w:lang w:val="fr-CA"/>
        </w:rPr>
        <w:t xml:space="preserve"> lieu sacré dont la protection est requise » (m.a., par. 112), mais que le Ministre a erronément décrit ce droit comme </w:t>
      </w:r>
      <w:r w:rsidRPr="002A6EA4">
        <w:rPr>
          <w:rFonts w:cs="Times New Roman"/>
          <w:lang w:val="fr-CA"/>
        </w:rPr>
        <w:lastRenderedPageBreak/>
        <w:t>« un droit d’empêcher tout aménagement permanent » (</w:t>
      </w:r>
      <w:r w:rsidRPr="002A6EA4">
        <w:rPr>
          <w:rFonts w:cs="Times New Roman"/>
          <w:i/>
          <w:lang w:val="fr-CA"/>
        </w:rPr>
        <w:t>ibid.</w:t>
      </w:r>
      <w:r w:rsidRPr="002A6EA4">
        <w:rPr>
          <w:rFonts w:cs="Times New Roman"/>
          <w:lang w:val="fr-CA"/>
        </w:rPr>
        <w:t>, par. 116). Selon les Ktunaxa, cette description erronée faisait obstacle à une consultation et à des mesures d’accommodement appropriées. En résumé, ils soutiennent que le Ministre a considéré qu’ils formulaient une revendication pour empêcher tout aménagement plutôt que la revendication d’un droit spirituel.</w:t>
      </w:r>
    </w:p>
    <w:p w:rsidR="00094732" w:rsidRPr="002A6EA4" w:rsidRDefault="00094732" w:rsidP="0055329A">
      <w:pPr>
        <w:pStyle w:val="ParaNoNdepar-AltN"/>
        <w:widowControl w:val="0"/>
        <w:rPr>
          <w:rFonts w:cs="Times New Roman"/>
          <w:lang w:val="fr-CA"/>
        </w:rPr>
      </w:pPr>
      <w:r w:rsidRPr="002A6EA4">
        <w:rPr>
          <w:rFonts w:cs="Times New Roman"/>
          <w:lang w:val="fr-CA"/>
        </w:rPr>
        <w:t>Le dossier n’étaye pas la prétention selon laquelle le Ministre a mal décrit ainsi le droit revendiqué. Les Ktunaxa ont évoqué des pratiques et intérêts spirituels au début du processus réglementaire et les parties ont continué de discuter de ces questions tout au long du processus, ce qui a mené à un certain nombre de mesures d’accommodement. Dans ses Motifs, le Ministre écrit :</w:t>
      </w:r>
    </w:p>
    <w:p w:rsidR="00094732" w:rsidRPr="002A6EA4" w:rsidRDefault="00094732" w:rsidP="0055329A">
      <w:pPr>
        <w:pStyle w:val="Citation-AltC"/>
        <w:widowControl w:val="0"/>
        <w:ind w:hanging="1166"/>
        <w:contextualSpacing w:val="0"/>
        <w:rPr>
          <w:lang w:val="fr-CA"/>
        </w:rPr>
      </w:pPr>
      <w:r w:rsidRPr="002A6EA4">
        <w:rPr>
          <w:lang w:val="fr-CA"/>
        </w:rPr>
        <w:tab/>
        <w:t>[</w:t>
      </w:r>
      <w:r w:rsidRPr="002A6EA4">
        <w:rPr>
          <w:smallCaps/>
          <w:lang w:val="fr-CA"/>
        </w:rPr>
        <w:t>traduction</w:t>
      </w:r>
      <w:r w:rsidRPr="002A6EA4">
        <w:rPr>
          <w:lang w:val="fr-CA"/>
        </w:rPr>
        <w:t>] En ce qui concerne les intérêts spirituels revendiqués par la Ktunaxa Nation à l’égard de la région [. . .] le Résumé des consultations et des mesures d’accommodement précise que la Couronne s’est efforcée de tenir compte honorablement de ces intérêts, tout en appliquant les critères énoncés dans la jurisprudence pertinente pour déterminer les droits ancestraux. [p. 122]</w:t>
      </w:r>
    </w:p>
    <w:p w:rsidR="00094732" w:rsidRPr="002A6EA4" w:rsidRDefault="00094732" w:rsidP="0055329A">
      <w:pPr>
        <w:pStyle w:val="ParaNoNdepar-AltN"/>
        <w:widowControl w:val="0"/>
        <w:rPr>
          <w:rFonts w:cs="Times New Roman"/>
          <w:lang w:val="fr-CA"/>
        </w:rPr>
      </w:pPr>
      <w:r w:rsidRPr="002A6EA4">
        <w:rPr>
          <w:rFonts w:cs="Times New Roman"/>
          <w:lang w:val="fr-CA"/>
        </w:rPr>
        <w:t>Le Résumé des consultations et des mesures d’accommodement indique :</w:t>
      </w:r>
    </w:p>
    <w:p w:rsidR="00094732" w:rsidRPr="002A6EA4" w:rsidRDefault="00094732" w:rsidP="0055329A">
      <w:pPr>
        <w:pStyle w:val="Citation-AltC"/>
        <w:widowControl w:val="0"/>
        <w:spacing w:after="240"/>
        <w:ind w:hanging="1166"/>
        <w:contextualSpacing w:val="0"/>
        <w:rPr>
          <w:lang w:val="fr-CA"/>
        </w:rPr>
      </w:pPr>
      <w:r w:rsidRPr="002A6EA4">
        <w:rPr>
          <w:lang w:val="fr-CA"/>
        </w:rPr>
        <w:tab/>
        <w:t>[</w:t>
      </w:r>
      <w:r w:rsidRPr="002A6EA4">
        <w:rPr>
          <w:smallCaps/>
          <w:lang w:val="fr-CA"/>
        </w:rPr>
        <w:t>traduction</w:t>
      </w:r>
      <w:r w:rsidRPr="002A6EA4">
        <w:rPr>
          <w:lang w:val="fr-CA"/>
        </w:rPr>
        <w:t xml:space="preserve">] Pour ce qui est de la revendication de droits ancestraux, le Ministère a dû examiner les renseignements sur les grizzlys et les valeurs spirituelles présentés et les décrire au regard d’une tradition, pratique ou activité ancestrale qui fait partie intégrante de la culture des Ktunaxa. En plus des droits revendiqués de chasse, de cueillette et de pêche déjà examinés, </w:t>
      </w:r>
      <w:r w:rsidRPr="002A6EA4">
        <w:rPr>
          <w:u w:val="single"/>
          <w:lang w:val="fr-CA"/>
        </w:rPr>
        <w:t xml:space="preserve">le Ministère a considéré les renseignements liés à la spiritualité et à la culture non pas comme une revendication de droits d’exercer une activité particulière, mais plutôt comme une revendication de droits ancestraux non exclusifs pour protéger la vallée Jumbo contre toute forme d’aménagement permanent en vue de préserver un lieu pour l’Esprit de </w:t>
      </w:r>
      <w:r w:rsidRPr="002A6EA4">
        <w:rPr>
          <w:u w:val="single"/>
          <w:lang w:val="fr-CA"/>
        </w:rPr>
        <w:lastRenderedPageBreak/>
        <w:t>l’Ours Grizzly, qui incarne un esprit fondamental du peuple des Ktunaxa</w:t>
      </w:r>
      <w:r w:rsidRPr="002A6EA4">
        <w:rPr>
          <w:lang w:val="fr-CA"/>
        </w:rPr>
        <w:t>. La revendication semble équivaloir à un droit d’empêcher certains types d’aménagement permanent (mais exclut des activités plus éphémères comme l’exploitation forestière et l’extraction de ressources) pour permettre de préserver le grizzly et son esprit ainsi que l’esprit des Ktunaxa.</w:t>
      </w:r>
      <w:r w:rsidRPr="002A6EA4">
        <w:rPr>
          <w:lang w:val="fr-CA"/>
        </w:rPr>
        <w:tab/>
        <w:t>[Nous soulignons.]</w:t>
      </w:r>
    </w:p>
    <w:p w:rsidR="00094732" w:rsidRPr="002A6EA4" w:rsidRDefault="00094732" w:rsidP="0055329A">
      <w:pPr>
        <w:pStyle w:val="Citation-AltC"/>
        <w:widowControl w:val="0"/>
        <w:ind w:hanging="1166"/>
        <w:contextualSpacing w:val="0"/>
        <w:rPr>
          <w:lang w:val="fr-CA"/>
        </w:rPr>
      </w:pPr>
      <w:r w:rsidRPr="002A6EA4">
        <w:rPr>
          <w:lang w:val="fr-CA"/>
        </w:rPr>
        <w:t>(d.i. (Ministre), p. 115)</w:t>
      </w:r>
    </w:p>
    <w:p w:rsidR="00094732" w:rsidRPr="002A6EA4" w:rsidRDefault="00094732" w:rsidP="0055329A">
      <w:pPr>
        <w:pStyle w:val="ParaNoNdepar-AltN"/>
        <w:widowControl w:val="0"/>
        <w:rPr>
          <w:rFonts w:cs="Times New Roman"/>
          <w:lang w:val="fr-CA"/>
        </w:rPr>
      </w:pPr>
      <w:r w:rsidRPr="002A6EA4">
        <w:rPr>
          <w:rFonts w:cs="Times New Roman"/>
          <w:lang w:val="fr-CA"/>
        </w:rPr>
        <w:t>Il ressort de ces documents et de beaucoup d’autres déclarations faites tout au long du processus que le Ministre comprenait que les Ktunaxa revendiquaient un large droit spirituel, et pas uniquement un droit d’empêcher tout aménagement. De même, le Ministre comprenait que ce droit supposait des pratiques qui dépendaient de la présence continue de l’Esprit de l’Ours Grizzly dans la vallée, alors que l’aménagement proposé chasserait cet esprit selon les croyances des Ktunaxa.</w:t>
      </w:r>
    </w:p>
    <w:p w:rsidR="00094732" w:rsidRPr="00515C9E" w:rsidRDefault="00094732" w:rsidP="0055329A">
      <w:pPr>
        <w:pStyle w:val="ParaNoNdepar-AltN"/>
        <w:widowControl w:val="0"/>
        <w:shd w:val="clear" w:color="auto" w:fill="FFFFFF" w:themeFill="background1"/>
        <w:rPr>
          <w:rFonts w:cs="Times New Roman"/>
          <w:lang w:val="fr-CA"/>
        </w:rPr>
      </w:pPr>
      <w:r w:rsidRPr="00515C9E">
        <w:rPr>
          <w:rFonts w:cs="Times New Roman"/>
          <w:lang w:val="fr-CA"/>
        </w:rPr>
        <w:t xml:space="preserve">Qui plus est, la revendication de la fin de 2009 n’a pas modifié la nature des intérêts spirituels en jeu. Elle visait plutôt à intégrer au droit revendiqué un </w:t>
      </w:r>
      <w:r w:rsidRPr="000F0110">
        <w:rPr>
          <w:rFonts w:cs="Times New Roman"/>
          <w:i/>
          <w:lang w:val="fr-CA"/>
        </w:rPr>
        <w:t>accommodement</w:t>
      </w:r>
      <w:r w:rsidRPr="00C467A1">
        <w:rPr>
          <w:rFonts w:cs="Times New Roman"/>
          <w:lang w:val="fr-CA"/>
        </w:rPr>
        <w:t xml:space="preserve"> </w:t>
      </w:r>
      <w:r w:rsidRPr="00515C9E">
        <w:rPr>
          <w:rFonts w:cs="Times New Roman"/>
          <w:lang w:val="fr-CA"/>
        </w:rPr>
        <w:t>précis, l’absence d’installation permanente. La définition d’un droit revendiqué ne devrait pas assortir celui</w:t>
      </w:r>
      <w:r w:rsidRPr="00515C9E">
        <w:rPr>
          <w:rFonts w:cs="Times New Roman"/>
          <w:lang w:val="fr-CA"/>
        </w:rPr>
        <w:noBreakHyphen/>
        <w:t>ci de restrictions précises</w:t>
      </w:r>
      <w:r w:rsidR="000F0110">
        <w:rPr>
          <w:rFonts w:cs="Times New Roman"/>
          <w:lang w:val="fr-CA"/>
        </w:rPr>
        <w:t xml:space="preserve"> : </w:t>
      </w:r>
      <w:r w:rsidRPr="000F0110">
        <w:rPr>
          <w:rFonts w:cs="Times New Roman"/>
          <w:i/>
          <w:lang w:val="fr-CA"/>
        </w:rPr>
        <w:t>Mitchell</w:t>
      </w:r>
      <w:r w:rsidRPr="00515C9E">
        <w:rPr>
          <w:rFonts w:cs="Times New Roman"/>
          <w:lang w:val="fr-CA"/>
        </w:rPr>
        <w:t>, par. 23. Il vaut mieux examiner ces limites potentielles dans l’analyse des effets préjudiciables et du caractère raisonnable de l’accommodement et elles sont abordées ci</w:t>
      </w:r>
      <w:r w:rsidRPr="00515C9E">
        <w:rPr>
          <w:rFonts w:cs="Times New Roman"/>
          <w:lang w:val="fr-CA"/>
        </w:rPr>
        <w:noBreakHyphen/>
        <w:t>après.</w:t>
      </w:r>
    </w:p>
    <w:p w:rsidR="00094732" w:rsidRPr="002A6EA4" w:rsidRDefault="00094732" w:rsidP="0055329A">
      <w:pPr>
        <w:pStyle w:val="Title4LevelTitre4Niveau"/>
        <w:widowControl w:val="0"/>
        <w:numPr>
          <w:ilvl w:val="1"/>
          <w:numId w:val="41"/>
        </w:numPr>
        <w:tabs>
          <w:tab w:val="left" w:pos="1170"/>
        </w:tabs>
        <w:ind w:left="1170" w:hanging="630"/>
        <w:rPr>
          <w:rFonts w:cs="Times New Roman"/>
          <w:lang w:val="fr-CA"/>
        </w:rPr>
      </w:pPr>
      <w:r w:rsidRPr="002A6EA4">
        <w:rPr>
          <w:rFonts w:cs="Times New Roman"/>
          <w:lang w:val="fr-CA"/>
        </w:rPr>
        <w:t>Incompréhension du rôle des gardiens du savoir</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Les Ktunaxa soutiennent que le Ministre a commis une erreur en ne saisissant pas le rôle des gardiens du savoir. Cette critique repose sur une affirmation </w:t>
      </w:r>
      <w:r w:rsidRPr="002A6EA4">
        <w:rPr>
          <w:rFonts w:cs="Times New Roman"/>
          <w:lang w:val="fr-CA"/>
        </w:rPr>
        <w:lastRenderedPageBreak/>
        <w:t>faite dans les Motifs : [</w:t>
      </w:r>
      <w:r w:rsidRPr="002A6EA4">
        <w:rPr>
          <w:rFonts w:cs="Times New Roman"/>
          <w:smallCaps/>
          <w:lang w:val="fr-CA"/>
        </w:rPr>
        <w:t>traduction</w:t>
      </w:r>
      <w:r w:rsidRPr="002A6EA4">
        <w:rPr>
          <w:rFonts w:cs="Times New Roman"/>
          <w:lang w:val="fr-CA"/>
        </w:rPr>
        <w:t>] « </w:t>
      </w:r>
      <w:r w:rsidR="00490F57">
        <w:rPr>
          <w:rFonts w:cs="Times New Roman"/>
          <w:lang w:val="fr-CA"/>
        </w:rPr>
        <w:t xml:space="preserve">. . . </w:t>
      </w:r>
      <w:r w:rsidRPr="002A6EA4">
        <w:rPr>
          <w:rFonts w:cs="Times New Roman"/>
          <w:lang w:val="fr-CA"/>
        </w:rPr>
        <w:t>des détails de l’intérêt spirituel de la vallée n’ont pas été communiqués à la population générale des Ktunaxa ou n’étaient pas connus d’elle » (p. 122), ce qui avait amené, aux dires des Ktunaxa, le Ministre à se demander « si l’une ou l’autre de ces valeurs peut prendre la forme d’un droit ancestral garanti par la Constitution » (</w:t>
      </w:r>
      <w:r w:rsidRPr="002A6EA4">
        <w:rPr>
          <w:rFonts w:cs="Times New Roman"/>
          <w:i/>
          <w:lang w:val="fr-CA"/>
        </w:rPr>
        <w:t>ibid.</w:t>
      </w:r>
      <w:r w:rsidRPr="002A6EA4">
        <w:rPr>
          <w:rFonts w:cs="Times New Roman"/>
          <w:lang w:val="fr-CA"/>
        </w:rPr>
        <w:t>).</w:t>
      </w:r>
    </w:p>
    <w:p w:rsidR="00094732" w:rsidRPr="002A6EA4" w:rsidRDefault="00094732" w:rsidP="0055329A">
      <w:pPr>
        <w:pStyle w:val="ParaNoNdepar-AltN"/>
        <w:widowControl w:val="0"/>
        <w:rPr>
          <w:rFonts w:cs="Times New Roman"/>
          <w:lang w:val="fr-CA"/>
        </w:rPr>
      </w:pPr>
      <w:r w:rsidRPr="002A6EA4">
        <w:rPr>
          <w:rFonts w:cs="Times New Roman"/>
          <w:lang w:val="fr-CA"/>
        </w:rPr>
        <w:t>L’interrogation du Ministre ne prouve pas qu’il a mal compris l’impératif du secret. Les Motifs indiquent clairement que le Ministre a compris le rôle particulier des gardiens du savoir et a accepté que les croyances spirituelles ne permettaient pas que certains détails des croyances soient communiqués à la population ou aux gens de l’extérieur. Le Ministre renvoie aux [</w:t>
      </w:r>
      <w:r w:rsidRPr="002A6EA4">
        <w:rPr>
          <w:rFonts w:cs="Times New Roman"/>
          <w:smallCaps/>
          <w:lang w:val="fr-CA"/>
        </w:rPr>
        <w:t>traduction</w:t>
      </w:r>
      <w:r w:rsidRPr="002A6EA4">
        <w:rPr>
          <w:rFonts w:cs="Times New Roman"/>
          <w:lang w:val="fr-CA"/>
        </w:rPr>
        <w:t>] « renseignements spirituels » qui lui ont été fournis « </w:t>
      </w:r>
      <w:r w:rsidR="00490F57">
        <w:rPr>
          <w:rFonts w:cs="Times New Roman"/>
          <w:lang w:val="fr-CA"/>
        </w:rPr>
        <w:t>sous le s</w:t>
      </w:r>
      <w:r w:rsidR="00146B05">
        <w:rPr>
          <w:rFonts w:cs="Times New Roman"/>
          <w:lang w:val="fr-CA"/>
        </w:rPr>
        <w:t>c</w:t>
      </w:r>
      <w:r w:rsidR="00490F57">
        <w:rPr>
          <w:rFonts w:cs="Times New Roman"/>
          <w:lang w:val="fr-CA"/>
        </w:rPr>
        <w:t>eau de la</w:t>
      </w:r>
      <w:r w:rsidRPr="002A6EA4">
        <w:rPr>
          <w:rFonts w:cs="Times New Roman"/>
          <w:lang w:val="fr-CA"/>
        </w:rPr>
        <w:t xml:space="preserve"> confiance »</w:t>
      </w:r>
      <w:r w:rsidR="000F0110">
        <w:rPr>
          <w:rFonts w:cs="Times New Roman"/>
          <w:lang w:val="fr-CA"/>
        </w:rPr>
        <w:t xml:space="preserve"> : </w:t>
      </w:r>
      <w:r w:rsidRPr="002A6EA4">
        <w:rPr>
          <w:rFonts w:cs="Times New Roman"/>
          <w:lang w:val="fr-CA"/>
        </w:rPr>
        <w:t>Motifs, p. 122. On a clairement expliqué au Ministre que les gardiens du savoir devaient garder secrets certains détails des croyances spirituelles lors du processus réglementaire, et notamment lors de sa réunion à Cranbrook avec le gardien du savoir M. Luke et d’autres membres des Ktunaxa en septembre 2009. Le dossier indique clairement qu’à cette réunion, les Ktunaxa ont informé le Ministre que seuls certains membres de la communauté, les gardiens du savoir, possédaient des renseignements sur les valeurs spirituelles, et que seul M. Luke pouvait en parler. Rien dans les Motifs ne porte à croire que le Ministre a oublié cet élément fondamental quand il a décidé qu’il y avait eu une consultation adéquate.</w:t>
      </w:r>
    </w:p>
    <w:p w:rsidR="00094732" w:rsidRPr="002A6EA4" w:rsidRDefault="00094732" w:rsidP="0055329A">
      <w:pPr>
        <w:pStyle w:val="Title4LevelTitre4Niveau"/>
        <w:widowControl w:val="0"/>
        <w:numPr>
          <w:ilvl w:val="1"/>
          <w:numId w:val="42"/>
        </w:numPr>
        <w:tabs>
          <w:tab w:val="left" w:pos="1170"/>
        </w:tabs>
        <w:ind w:left="1170" w:hanging="630"/>
        <w:rPr>
          <w:rFonts w:cs="Times New Roman"/>
          <w:lang w:val="fr-CA"/>
        </w:rPr>
      </w:pPr>
      <w:r w:rsidRPr="002A6EA4">
        <w:rPr>
          <w:rFonts w:cs="Times New Roman"/>
          <w:lang w:val="fr-CA"/>
        </w:rPr>
        <w:t>Qualifier le droit constitutionnel de faible</w:t>
      </w:r>
    </w:p>
    <w:p w:rsidR="00094732" w:rsidRPr="002A6EA4" w:rsidRDefault="00094732" w:rsidP="0055329A">
      <w:pPr>
        <w:pStyle w:val="ParaNoNdepar-AltN"/>
        <w:widowControl w:val="0"/>
        <w:rPr>
          <w:rFonts w:cs="Times New Roman"/>
          <w:lang w:val="fr-CA"/>
        </w:rPr>
      </w:pPr>
      <w:r w:rsidRPr="002A6EA4">
        <w:rPr>
          <w:rFonts w:cs="Times New Roman"/>
          <w:lang w:val="fr-CA"/>
        </w:rPr>
        <w:lastRenderedPageBreak/>
        <w:t>Les Ktunaxa soutiennent que le Ministre a qualifié de faible l’intérêt spirituel qu’ils revendiquent à l’égard du Qat’muk. Si la Couronne sous</w:t>
      </w:r>
      <w:r w:rsidRPr="002A6EA4">
        <w:rPr>
          <w:rFonts w:cs="Times New Roman"/>
          <w:lang w:val="fr-CA"/>
        </w:rPr>
        <w:noBreakHyphen/>
        <w:t>estime grandement le droit ancestral en jeu, cela peut rendre susceptible de contrôle une d</w:t>
      </w:r>
      <w:r w:rsidR="00B11856">
        <w:rPr>
          <w:rFonts w:cs="Times New Roman"/>
          <w:lang w:val="fr-CA"/>
        </w:rPr>
        <w:t xml:space="preserve">écision défavorable à ce droit : </w:t>
      </w:r>
      <w:r w:rsidRPr="002A6EA4">
        <w:rPr>
          <w:rFonts w:cs="Times New Roman"/>
          <w:i/>
          <w:lang w:val="fr-CA"/>
        </w:rPr>
        <w:t>Nation haïda</w:t>
      </w:r>
      <w:r w:rsidRPr="002A6EA4">
        <w:rPr>
          <w:rFonts w:cs="Times New Roman"/>
          <w:lang w:val="fr-CA"/>
        </w:rPr>
        <w:t>,</w:t>
      </w:r>
      <w:r w:rsidRPr="002A6EA4">
        <w:rPr>
          <w:rFonts w:cs="Times New Roman"/>
          <w:i/>
          <w:lang w:val="fr-CA"/>
        </w:rPr>
        <w:t xml:space="preserve"> </w:t>
      </w:r>
      <w:r w:rsidR="00B11856">
        <w:rPr>
          <w:rFonts w:cs="Times New Roman"/>
          <w:lang w:val="fr-CA"/>
        </w:rPr>
        <w:t>par. 63</w:t>
      </w:r>
      <w:r w:rsidRPr="002A6EA4">
        <w:rPr>
          <w:rFonts w:cs="Times New Roman"/>
          <w:lang w:val="fr-CA"/>
        </w:rPr>
        <w:t xml:space="preserve">. </w:t>
      </w:r>
    </w:p>
    <w:p w:rsidR="00094732" w:rsidRPr="002A6EA4" w:rsidRDefault="00094732" w:rsidP="0055329A">
      <w:pPr>
        <w:pStyle w:val="ParaNoNdepar-AltN"/>
        <w:widowControl w:val="0"/>
        <w:rPr>
          <w:rFonts w:cs="Times New Roman"/>
          <w:lang w:val="fr-CA"/>
        </w:rPr>
      </w:pPr>
      <w:r w:rsidRPr="002A6EA4">
        <w:rPr>
          <w:rFonts w:cs="Times New Roman"/>
          <w:lang w:val="fr-CA"/>
        </w:rPr>
        <w:t>Le Ministre a tenu compte de nombreux droits ancestraux revendiqués, y compris ceux de cueillette, de chasse et de pêche ainsi que le droit au titre ancestral</w:t>
      </w:r>
      <w:r w:rsidR="00B11856">
        <w:rPr>
          <w:rFonts w:cs="Times New Roman"/>
          <w:lang w:val="fr-CA"/>
        </w:rPr>
        <w:t> : Motifs, p. 122</w:t>
      </w:r>
      <w:r w:rsidRPr="002A6EA4">
        <w:rPr>
          <w:rFonts w:cs="Times New Roman"/>
          <w:lang w:val="fr-CA"/>
        </w:rPr>
        <w:t>. L’appréciation par le Ministre de la solidité de ces droits revendiqués ainsi que de la consultation et des accommodements qui en découlent ne sont pas en litige dans la présente affaire. Le nœud principal du débat est plutôt l’évaluation et la pondération qu’a fait</w:t>
      </w:r>
      <w:r w:rsidR="00146B05">
        <w:rPr>
          <w:rFonts w:cs="Times New Roman"/>
          <w:lang w:val="fr-CA"/>
        </w:rPr>
        <w:t>es</w:t>
      </w:r>
      <w:r w:rsidRPr="002A6EA4">
        <w:rPr>
          <w:rFonts w:cs="Times New Roman"/>
          <w:lang w:val="fr-CA"/>
        </w:rPr>
        <w:t xml:space="preserve"> le Ministre de l’importance spirituelle du Qat’muk, surtout après que les Ktunaxa </w:t>
      </w:r>
      <w:r w:rsidR="00146B05">
        <w:rPr>
          <w:rFonts w:cs="Times New Roman"/>
          <w:lang w:val="fr-CA"/>
        </w:rPr>
        <w:t>eure</w:t>
      </w:r>
      <w:r w:rsidRPr="002A6EA4">
        <w:rPr>
          <w:rFonts w:cs="Times New Roman"/>
          <w:lang w:val="fr-CA"/>
        </w:rPr>
        <w:t>nt fait valoir la revendication de la fin de 2009.</w:t>
      </w:r>
    </w:p>
    <w:p w:rsidR="00094732" w:rsidRPr="002A6EA4" w:rsidRDefault="00094732" w:rsidP="0055329A">
      <w:pPr>
        <w:pStyle w:val="ParaNoNdepar-AltN"/>
        <w:widowControl w:val="0"/>
        <w:rPr>
          <w:rFonts w:cs="Times New Roman"/>
          <w:lang w:val="fr-CA"/>
        </w:rPr>
      </w:pPr>
      <w:r w:rsidRPr="002A6EA4">
        <w:rPr>
          <w:rFonts w:cs="Times New Roman"/>
          <w:lang w:val="fr-CA"/>
        </w:rPr>
        <w:t>Dans ses Motifs, le Ministre a bel et bien qualifié de [</w:t>
      </w:r>
      <w:r w:rsidRPr="002A6EA4">
        <w:rPr>
          <w:rFonts w:cs="Times New Roman"/>
          <w:smallCaps/>
          <w:lang w:val="fr-CA"/>
        </w:rPr>
        <w:t>traduction</w:t>
      </w:r>
      <w:r w:rsidRPr="002A6EA4">
        <w:rPr>
          <w:rFonts w:cs="Times New Roman"/>
          <w:lang w:val="fr-CA"/>
        </w:rPr>
        <w:t>] « faible » la revendication de nature spirituelle, expliquant qu’on n’avait pas démontré que la pratique faisait partie intégrante de la culture des Ktunaxa avant leur contact avec les Européens et que la population générale des Ktunaxa n’avait pas été informée de son existence et ne la connaissait pas (p. 122). Cette remarque paraît peut</w:t>
      </w:r>
      <w:r w:rsidRPr="002A6EA4">
        <w:rPr>
          <w:rFonts w:cs="Times New Roman"/>
          <w:lang w:val="fr-CA"/>
        </w:rPr>
        <w:noBreakHyphen/>
        <w:t xml:space="preserve">être contraire à la déclaration ultérieure du Ministre selon laquelle « [d]ans l’ensemble, la consultation effectuée en l’espèce se situe à l’extrémité supérieure du continuum de consultation » (p. 123). Cette contradiction apparente peut s’expliquer par le fait que, lorsque le Ministre a qualifié la revendication de « faible » au début de ses Motifs, il avait à l’esprit la revendication de la fin de 2009 selon laquelle </w:t>
      </w:r>
      <w:r w:rsidRPr="002A6EA4">
        <w:rPr>
          <w:rFonts w:cs="Times New Roman"/>
          <w:lang w:val="fr-CA"/>
        </w:rPr>
        <w:lastRenderedPageBreak/>
        <w:t>l’aménagement de la station de ski ne pouvait aller de l’avant parce qu’il chasserait l’Esprit de l’Ours Grizzly et porterait atteinte irrémédiablement au fondement des pratiques spirituelles des Ktunaxa. Le Ministre ne parlait pas ici de la revendication générale visant les valeurs spirituelles associées au Qat’muk. C’est ce qui ressort de la déclaration du Ministre selon laquelle la revendication qu’il a qualifiée de « faible » n’avait pas été communiquée à la population générale des Ktunaxa et celle</w:t>
      </w:r>
      <w:r w:rsidRPr="002A6EA4">
        <w:rPr>
          <w:rFonts w:cs="Times New Roman"/>
          <w:lang w:val="fr-CA"/>
        </w:rPr>
        <w:noBreakHyphen/>
        <w:t>ci n’était pas au courant de son existence. Le point de vue du Ministre est aussi étayé par sa remarque selon laquelle des consultations approfondies étaient adéquates « à l’égard de ces droits qui reposent sur une preuve solide » (p. 123). D’après nous, les Motifs indiquent que le Ministre a jugé solide la revendication générale de nature spirituelle, mais qu’il avait des doutes quant à la solidité de la revendication de la fin de 2009.</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Même si le Ministre avait partagé l’avis des Ktunaxa selon lequel la revendication de la fin de 2009 visait le droit </w:t>
      </w:r>
      <w:r w:rsidR="003C4072" w:rsidRPr="002A6EA4">
        <w:rPr>
          <w:rFonts w:cs="Times New Roman"/>
          <w:lang w:val="fr-CA"/>
        </w:rPr>
        <w:t>d’</w:t>
      </w:r>
      <w:r w:rsidRPr="002A6EA4">
        <w:rPr>
          <w:rFonts w:cs="Times New Roman"/>
          <w:lang w:val="fr-CA"/>
        </w:rPr>
        <w:t>[</w:t>
      </w:r>
      <w:r w:rsidRPr="002A6EA4">
        <w:rPr>
          <w:rFonts w:cs="Times New Roman"/>
          <w:smallCaps/>
          <w:lang w:val="fr-CA"/>
        </w:rPr>
        <w:t>traduction</w:t>
      </w:r>
      <w:r w:rsidRPr="002A6EA4">
        <w:rPr>
          <w:rFonts w:cs="Times New Roman"/>
          <w:lang w:val="fr-CA"/>
        </w:rPr>
        <w:t>] « exercer des pratiques spirituelles qui reposent sur un lieu sacré dont la protection est requise », il aurait néanmoins été raisonnable de juger faible cet aspect de la revendication générale des Ktunaxa</w:t>
      </w:r>
      <w:r w:rsidR="003C4072">
        <w:rPr>
          <w:rFonts w:cs="Times New Roman"/>
          <w:lang w:val="fr-CA"/>
        </w:rPr>
        <w:t xml:space="preserve"> : </w:t>
      </w:r>
      <w:r w:rsidRPr="002A6EA4">
        <w:rPr>
          <w:rFonts w:cs="Times New Roman"/>
          <w:lang w:val="fr-CA"/>
        </w:rPr>
        <w:t>motifs de la C</w:t>
      </w:r>
      <w:r w:rsidR="003C4072">
        <w:rPr>
          <w:rFonts w:cs="Times New Roman"/>
          <w:lang w:val="fr-CA"/>
        </w:rPr>
        <w:t>.</w:t>
      </w:r>
      <w:r w:rsidRPr="002A6EA4">
        <w:rPr>
          <w:rFonts w:cs="Times New Roman"/>
          <w:lang w:val="fr-CA"/>
        </w:rPr>
        <w:t>A</w:t>
      </w:r>
      <w:r w:rsidR="003C4072">
        <w:rPr>
          <w:rFonts w:cs="Times New Roman"/>
          <w:lang w:val="fr-CA"/>
        </w:rPr>
        <w:t>.</w:t>
      </w:r>
      <w:r w:rsidRPr="002A6EA4">
        <w:rPr>
          <w:rFonts w:cs="Times New Roman"/>
          <w:lang w:val="fr-CA"/>
        </w:rPr>
        <w:t>, par. 81. Comme l’a fait remarquer le Ministre, les Ktunaxa n’ont pas informé la Couronne de l’existence de</w:t>
      </w:r>
      <w:r w:rsidR="003C4072">
        <w:rPr>
          <w:rFonts w:cs="Times New Roman"/>
          <w:lang w:val="fr-CA"/>
        </w:rPr>
        <w:t xml:space="preserve"> [</w:t>
      </w:r>
      <w:r w:rsidR="003C4072" w:rsidRPr="003C4072">
        <w:rPr>
          <w:rFonts w:cs="Times New Roman"/>
          <w:smallCaps/>
          <w:lang w:val="fr-CA"/>
        </w:rPr>
        <w:t>traduction</w:t>
      </w:r>
      <w:r w:rsidR="003C4072">
        <w:rPr>
          <w:rFonts w:cs="Times New Roman"/>
          <w:lang w:val="fr-CA"/>
        </w:rPr>
        <w:t>]</w:t>
      </w:r>
      <w:r w:rsidRPr="002A6EA4">
        <w:rPr>
          <w:rFonts w:cs="Times New Roman"/>
          <w:lang w:val="fr-CA"/>
        </w:rPr>
        <w:t xml:space="preserve"> « pratiques spirituelles en particulier » lors des négociations</w:t>
      </w:r>
      <w:r w:rsidR="003C4072">
        <w:rPr>
          <w:rFonts w:cs="Times New Roman"/>
          <w:lang w:val="fr-CA"/>
        </w:rPr>
        <w:t xml:space="preserve"> : </w:t>
      </w:r>
      <w:r w:rsidRPr="002A6EA4">
        <w:rPr>
          <w:rFonts w:cs="Times New Roman"/>
          <w:lang w:val="fr-CA"/>
        </w:rPr>
        <w:t>d.i. (Ministre), p. 113; voir aussi les moti</w:t>
      </w:r>
      <w:r w:rsidR="003C4072">
        <w:rPr>
          <w:rFonts w:cs="Times New Roman"/>
          <w:lang w:val="fr-CA"/>
        </w:rPr>
        <w:t>fs du juge en chambre, par. 212</w:t>
      </w:r>
      <w:r w:rsidRPr="002A6EA4">
        <w:rPr>
          <w:rFonts w:cs="Times New Roman"/>
          <w:lang w:val="fr-CA"/>
        </w:rPr>
        <w:t xml:space="preserve">. En conséquence, le Ministre ne disposait pas de preuve que les Ktunaxa faisaient valoir une pratique exercée dans le Qat’muk avant le contact avec les Européens. La revendication de la fin de 2009 semblait avoir pour objet d’exiger un accommodement donné plutôt que de faire valoir et d’appuyer une pratique, coutume </w:t>
      </w:r>
      <w:r w:rsidRPr="002A6EA4">
        <w:rPr>
          <w:rFonts w:cs="Times New Roman"/>
          <w:lang w:val="fr-CA"/>
        </w:rPr>
        <w:lastRenderedPageBreak/>
        <w:t xml:space="preserve">ou tradition précontact sur le territoire en question. </w:t>
      </w:r>
    </w:p>
    <w:p w:rsidR="00094732" w:rsidRPr="002A6EA4" w:rsidRDefault="00094732" w:rsidP="0055329A">
      <w:pPr>
        <w:pStyle w:val="Title4LevelTitre4Niveau"/>
        <w:widowControl w:val="0"/>
        <w:numPr>
          <w:ilvl w:val="1"/>
          <w:numId w:val="43"/>
        </w:numPr>
        <w:tabs>
          <w:tab w:val="left" w:pos="1170"/>
        </w:tabs>
        <w:ind w:left="1170" w:hanging="630"/>
        <w:jc w:val="both"/>
        <w:rPr>
          <w:rFonts w:cs="Times New Roman"/>
          <w:lang w:val="fr-CA"/>
        </w:rPr>
      </w:pPr>
      <w:r w:rsidRPr="002A6EA4">
        <w:rPr>
          <w:rFonts w:cs="Times New Roman"/>
          <w:lang w:val="fr-CA"/>
        </w:rPr>
        <w:t xml:space="preserve">Mauvaise évaluation de l’effet préjudiciable du projet sur le droit spirituel </w:t>
      </w:r>
    </w:p>
    <w:p w:rsidR="00094732" w:rsidRPr="002A6EA4" w:rsidRDefault="00094732" w:rsidP="0055329A">
      <w:pPr>
        <w:pStyle w:val="ParaNoNdepar-AltN"/>
        <w:widowControl w:val="0"/>
        <w:rPr>
          <w:rFonts w:cs="Times New Roman"/>
          <w:lang w:val="fr-CA"/>
        </w:rPr>
      </w:pPr>
      <w:r w:rsidRPr="002A6EA4">
        <w:rPr>
          <w:rFonts w:cs="Times New Roman"/>
          <w:lang w:val="fr-CA"/>
        </w:rPr>
        <w:t>Les Ktunaxa affirment que le Ministre [</w:t>
      </w:r>
      <w:r w:rsidRPr="002A6EA4">
        <w:rPr>
          <w:rFonts w:cs="Times New Roman"/>
          <w:smallCaps/>
          <w:lang w:val="fr-CA"/>
        </w:rPr>
        <w:t>traduction</w:t>
      </w:r>
      <w:r w:rsidRPr="002A6EA4">
        <w:rPr>
          <w:rFonts w:cs="Times New Roman"/>
          <w:lang w:val="fr-CA"/>
        </w:rPr>
        <w:t>] « ne pouvait pas avoir correctement évalué l’effet préjudiciable de la station de ski sur le droit revendiqué » (m.a., par. 123) puisqu’il a mal décrit ce droit. Ils ne renvoient à aucune observation du Ministre, mais plutôt au par. 83 des motifs de la Cour d’appel.</w:t>
      </w:r>
    </w:p>
    <w:p w:rsidR="00094732" w:rsidRPr="002A6EA4" w:rsidRDefault="00094732" w:rsidP="0055329A">
      <w:pPr>
        <w:pStyle w:val="ParaNoNdepar-AltN"/>
        <w:widowControl w:val="0"/>
        <w:rPr>
          <w:rFonts w:cs="Times New Roman"/>
          <w:lang w:val="fr-CA"/>
        </w:rPr>
      </w:pPr>
      <w:r w:rsidRPr="002A6EA4">
        <w:rPr>
          <w:rFonts w:cs="Times New Roman"/>
          <w:lang w:val="fr-CA"/>
        </w:rPr>
        <w:t>Le dossier permet de dire qu’après juin 2009, le Ministre a compris la position des Ktunaxa selon laquelle toute installation d’hébergement permanente construite sur le site de la station de ski chasserait l’Esprit de l’Ours Grizzly du Qat’muk et minerait le fondement de leurs croyances et pratiques spirituelles. La Cour d’appel a résumé ainsi la question de l’effet préjudiciable, en renvoyant à la description fournie par les Ktunaxa eux</w:t>
      </w:r>
      <w:r w:rsidRPr="002A6EA4">
        <w:rPr>
          <w:rFonts w:cs="Times New Roman"/>
          <w:lang w:val="fr-CA"/>
        </w:rPr>
        <w:noBreakHyphen/>
        <w:t>mêmes dans la déclaration sur le Qat’muk, et a conclu que le Ministre a saisi l’effet préjudiciable du point de vue des Ktunaxa :</w:t>
      </w:r>
    </w:p>
    <w:p w:rsidR="00094732" w:rsidRPr="002A6EA4" w:rsidRDefault="00094732" w:rsidP="0055329A">
      <w:pPr>
        <w:pStyle w:val="Citation-AltC"/>
        <w:widowControl w:val="0"/>
        <w:spacing w:after="240"/>
        <w:ind w:hanging="1166"/>
        <w:contextualSpacing w:val="0"/>
        <w:rPr>
          <w:lang w:val="fr-CA"/>
        </w:rPr>
      </w:pPr>
      <w:r w:rsidRPr="002A6EA4">
        <w:rPr>
          <w:lang w:val="fr-CA"/>
        </w:rPr>
        <w:tab/>
      </w:r>
      <w:r w:rsidRPr="002A6EA4">
        <w:rPr>
          <w:lang w:val="fr-CA"/>
        </w:rPr>
        <w:tab/>
      </w:r>
      <w:r w:rsidR="00F351A9" w:rsidRPr="002A6EA4">
        <w:rPr>
          <w:lang w:val="fr-CA"/>
        </w:rPr>
        <w:t>[</w:t>
      </w:r>
      <w:r w:rsidR="00F351A9" w:rsidRPr="002A6EA4">
        <w:rPr>
          <w:smallCaps/>
          <w:lang w:val="fr-CA"/>
        </w:rPr>
        <w:t>traduction</w:t>
      </w:r>
      <w:r w:rsidR="00F351A9" w:rsidRPr="002A6EA4">
        <w:rPr>
          <w:lang w:val="fr-CA"/>
        </w:rPr>
        <w:t>]</w:t>
      </w:r>
      <w:r w:rsidR="00F351A9">
        <w:rPr>
          <w:lang w:val="fr-CA"/>
        </w:rPr>
        <w:t xml:space="preserve"> </w:t>
      </w:r>
      <w:r w:rsidRPr="002A6EA4">
        <w:rPr>
          <w:lang w:val="fr-CA"/>
        </w:rPr>
        <w:t>Dans la présente affaire, les « effets préjudiciables découlant de la proposition précise de la Couronne » concernent les conséquences spirituelles qui découlent de l’autorisation de l’aménagement de la station de ski proposée dans la région du Qat’muk. Dans la déclaration sur le Qat’muk, voici l’effet préjudiciable que décrivent les Ktunaxa :</w:t>
      </w:r>
    </w:p>
    <w:p w:rsidR="00094732" w:rsidRPr="00FE2FC4" w:rsidRDefault="00094732" w:rsidP="00FE2FC4">
      <w:pPr>
        <w:pStyle w:val="Citation-AltC"/>
        <w:widowControl w:val="0"/>
        <w:spacing w:after="240"/>
        <w:ind w:left="1440"/>
        <w:contextualSpacing w:val="0"/>
        <w:rPr>
          <w:spacing w:val="-1"/>
          <w:lang w:val="fr-CA"/>
        </w:rPr>
      </w:pPr>
      <w:r w:rsidRPr="002A6EA4">
        <w:rPr>
          <w:lang w:val="fr-CA"/>
        </w:rPr>
        <w:t>Les aires de refuge et les zones tampons ne seront pas partagées avec ceux qui se livrent à des activités nuisant à la nature spirituelle du secteur ou la faisant disparaître.</w:t>
      </w:r>
      <w:r w:rsidR="00FE2FC4">
        <w:rPr>
          <w:spacing w:val="-1"/>
          <w:lang w:val="fr-CA"/>
        </w:rPr>
        <w:t xml:space="preserve"> </w:t>
      </w:r>
      <w:r w:rsidRPr="002A6EA4">
        <w:rPr>
          <w:spacing w:val="-1"/>
          <w:lang w:val="fr-CA"/>
        </w:rPr>
        <w:t>Ces activités comprennent :</w:t>
      </w:r>
    </w:p>
    <w:p w:rsidR="00094732" w:rsidRPr="002A6EA4" w:rsidRDefault="00094732" w:rsidP="0055329A">
      <w:pPr>
        <w:pStyle w:val="Citation-AltC"/>
        <w:widowControl w:val="0"/>
        <w:numPr>
          <w:ilvl w:val="0"/>
          <w:numId w:val="30"/>
        </w:numPr>
        <w:spacing w:after="240"/>
        <w:ind w:left="2160"/>
        <w:contextualSpacing w:val="0"/>
        <w:rPr>
          <w:lang w:val="fr-CA"/>
        </w:rPr>
      </w:pPr>
      <w:r w:rsidRPr="002A6EA4">
        <w:rPr>
          <w:lang w:val="fr-CA"/>
        </w:rPr>
        <w:t>la construction d’immeubles ou d’installations comportant des fondations permanentes;</w:t>
      </w:r>
    </w:p>
    <w:p w:rsidR="00094732" w:rsidRPr="002A6EA4" w:rsidRDefault="00094732" w:rsidP="0055329A">
      <w:pPr>
        <w:pStyle w:val="Citation-AltC"/>
        <w:widowControl w:val="0"/>
        <w:numPr>
          <w:ilvl w:val="0"/>
          <w:numId w:val="30"/>
        </w:numPr>
        <w:spacing w:after="240"/>
        <w:ind w:left="2160"/>
        <w:contextualSpacing w:val="0"/>
        <w:rPr>
          <w:lang w:val="fr-CA"/>
        </w:rPr>
      </w:pPr>
      <w:r w:rsidRPr="002A6EA4">
        <w:rPr>
          <w:spacing w:val="-1"/>
          <w:lang w:val="fr-CA"/>
        </w:rPr>
        <w:lastRenderedPageBreak/>
        <w:t>l’occupation permanente de résidences</w:t>
      </w:r>
      <w:r w:rsidR="00FE2FC4">
        <w:rPr>
          <w:spacing w:val="-1"/>
          <w:lang w:val="fr-CA"/>
        </w:rPr>
        <w:t>.</w:t>
      </w:r>
    </w:p>
    <w:p w:rsidR="00094732" w:rsidRPr="002A6EA4" w:rsidRDefault="00094732" w:rsidP="0055329A">
      <w:pPr>
        <w:pStyle w:val="Citation-AltC"/>
        <w:widowControl w:val="0"/>
        <w:spacing w:after="240"/>
        <w:ind w:left="1440"/>
        <w:contextualSpacing w:val="0"/>
        <w:rPr>
          <w:lang w:val="fr-CA"/>
        </w:rPr>
      </w:pPr>
      <w:r w:rsidRPr="002A6EA4">
        <w:rPr>
          <w:lang w:val="fr-CA"/>
        </w:rPr>
        <w:t>Pour mieux sauvegarder les valeurs spirituelles, aucune perturbation ou modification du sol ne sera permise dans l’aire de refuge.</w:t>
      </w:r>
    </w:p>
    <w:p w:rsidR="00094732" w:rsidRPr="002A6EA4" w:rsidRDefault="00094732" w:rsidP="0055329A">
      <w:pPr>
        <w:pStyle w:val="Citation-AltC"/>
        <w:widowControl w:val="0"/>
        <w:contextualSpacing w:val="0"/>
        <w:rPr>
          <w:lang w:val="fr-CA"/>
        </w:rPr>
      </w:pPr>
      <w:r w:rsidRPr="002A6EA4">
        <w:rPr>
          <w:w w:val="95"/>
          <w:lang w:val="fr-CA"/>
        </w:rPr>
        <w:tab/>
        <w:t>À mon avis, le Ministre a raisonnablement décrit l’effet préjudiciable susmentionné sur le droit reconnu à l’art. </w:t>
      </w:r>
      <w:r w:rsidRPr="002A6EA4">
        <w:rPr>
          <w:lang w:val="fr-CA"/>
        </w:rPr>
        <w:t>35 comme concernant les répercussions de l’aménagement de la station de ski proposée sur les Ktunaxa</w:t>
      </w:r>
      <w:r w:rsidRPr="002A6EA4">
        <w:rPr>
          <w:spacing w:val="-1"/>
          <w:lang w:val="fr-CA"/>
        </w:rPr>
        <w:t xml:space="preserve"> et,</w:t>
      </w:r>
      <w:r w:rsidRPr="002A6EA4">
        <w:rPr>
          <w:lang w:val="fr-CA"/>
        </w:rPr>
        <w:t xml:space="preserve"> en particulier, comme visant l’aménagement dans la région du </w:t>
      </w:r>
      <w:r w:rsidRPr="002A6EA4">
        <w:rPr>
          <w:spacing w:val="-1"/>
          <w:lang w:val="fr-CA"/>
        </w:rPr>
        <w:t>Qat’muk, lequel</w:t>
      </w:r>
      <w:r w:rsidRPr="002A6EA4">
        <w:rPr>
          <w:lang w:val="fr-CA"/>
        </w:rPr>
        <w:t xml:space="preserve"> allait fondamentalement à l’encontre de leur croyance. [par. 83</w:t>
      </w:r>
      <w:r w:rsidR="00F351A9">
        <w:rPr>
          <w:lang w:val="fr-CA"/>
        </w:rPr>
        <w:t>-</w:t>
      </w:r>
      <w:r w:rsidRPr="002A6EA4">
        <w:rPr>
          <w:lang w:val="fr-CA"/>
        </w:rPr>
        <w:t>84]</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Nous partageons l’avis de la Cour d’appel sur ce point. Le dossier n’étaye pas l’opinion selon laquelle le Ministre a mal évalué l’effet préjudiciable du projet sur la revendication de nature spirituelle. </w:t>
      </w:r>
    </w:p>
    <w:p w:rsidR="00094732" w:rsidRPr="002A6EA4" w:rsidRDefault="00094732" w:rsidP="0055329A">
      <w:pPr>
        <w:pStyle w:val="Title4LevelTitre4Niveau"/>
        <w:widowControl w:val="0"/>
        <w:numPr>
          <w:ilvl w:val="1"/>
          <w:numId w:val="44"/>
        </w:numPr>
        <w:tabs>
          <w:tab w:val="left" w:pos="1170"/>
        </w:tabs>
        <w:ind w:left="1170" w:hanging="630"/>
        <w:rPr>
          <w:rFonts w:cs="Times New Roman"/>
          <w:lang w:val="fr-CA"/>
        </w:rPr>
      </w:pPr>
      <w:r w:rsidRPr="002A6EA4">
        <w:rPr>
          <w:rFonts w:cs="Times New Roman"/>
          <w:lang w:val="fr-CA"/>
        </w:rPr>
        <w:t>Consultation inadéquate à propos du droit revendiqué</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De façon générale, les Ktunaxa font valoir que les consultations offertes par la Couronne au sujet du droit qu’ils revendiquent n’étaient pas suffisantes. Il se peut qu’un décideur décrive mal un droit et s’acquitte néanmoins de l’obligation de consulter : </w:t>
      </w:r>
      <w:r w:rsidRPr="002A6EA4">
        <w:rPr>
          <w:rFonts w:cs="Times New Roman"/>
          <w:i/>
          <w:lang w:val="fr-CA"/>
        </w:rPr>
        <w:t>Beckman c. Première nation de Little Salmon/Carmacks</w:t>
      </w:r>
      <w:r w:rsidRPr="002A6EA4">
        <w:rPr>
          <w:rFonts w:cs="Times New Roman"/>
          <w:lang w:val="fr-CA"/>
        </w:rPr>
        <w:t>, 2010 CSC 53, [2010] 3 R.C.S. 103, par. 38</w:t>
      </w:r>
      <w:r w:rsidR="00F351A9">
        <w:rPr>
          <w:rFonts w:cs="Times New Roman"/>
          <w:lang w:val="fr-CA"/>
        </w:rPr>
        <w:t>-</w:t>
      </w:r>
      <w:r w:rsidRPr="002A6EA4">
        <w:rPr>
          <w:rFonts w:cs="Times New Roman"/>
          <w:lang w:val="fr-CA"/>
        </w:rPr>
        <w:t>39. Donc, même en présence d’une prétendue mauvaise description ou sous</w:t>
      </w:r>
      <w:r w:rsidRPr="002A6EA4">
        <w:rPr>
          <w:rFonts w:cs="Times New Roman"/>
          <w:lang w:val="fr-CA"/>
        </w:rPr>
        <w:noBreakHyphen/>
        <w:t>évaluation, la question clé est l’ampleur de la consultation au sujet du droit revendiqué.</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Nous sommes convaincus que le Ministre s’est livré à des consultations approfondies sur la revendication de nature spirituelle. L’ampleur de ces consultations a été confirmée à la fois par le juge en chambre (par. 233) et par la Cour d’appel </w:t>
      </w:r>
      <w:r w:rsidRPr="002A6EA4">
        <w:rPr>
          <w:rFonts w:cs="Times New Roman"/>
          <w:lang w:val="fr-CA"/>
        </w:rPr>
        <w:lastRenderedPageBreak/>
        <w:t>(par. 86) et nous ne sommes pas d’avis de modifier cette conclusion.</w:t>
      </w:r>
    </w:p>
    <w:p w:rsidR="00094732" w:rsidRPr="002A6EA4" w:rsidRDefault="00094732" w:rsidP="0055329A">
      <w:pPr>
        <w:pStyle w:val="ParaNoNdepar-AltN"/>
        <w:widowControl w:val="0"/>
        <w:rPr>
          <w:rFonts w:cs="Times New Roman"/>
          <w:lang w:val="fr-CA"/>
        </w:rPr>
      </w:pPr>
      <w:r w:rsidRPr="002A6EA4">
        <w:rPr>
          <w:rFonts w:cs="Times New Roman"/>
          <w:lang w:val="fr-CA"/>
        </w:rPr>
        <w:t>En ce qui concerne la revendication de la fin de 2009 qu’aucune installation permanente ne soit érigée, les Ktunaxa soutiennent que le Ministre a mis fin à tort aux consultations le 3 juin 2009. D’après eux, il existe une contradiction entre la lettre du Ministre datée du 3 juin 2009 dans laquelle il se dit d’avis que le processus de consultation au titre de l’art. 35 était terminé, et la conclusion du juge en chambre selon laquelle, si l’on examinait les consultations postérieures à 2009 eu égard à la poursuite de la consultation antérieure approfondie, [</w:t>
      </w:r>
      <w:r w:rsidRPr="002A6EA4">
        <w:rPr>
          <w:rFonts w:cs="Times New Roman"/>
          <w:smallCaps/>
          <w:lang w:val="fr-CA"/>
        </w:rPr>
        <w:t>traduction</w:t>
      </w:r>
      <w:r w:rsidRPr="002A6EA4">
        <w:rPr>
          <w:rFonts w:cs="Times New Roman"/>
          <w:lang w:val="fr-CA"/>
        </w:rPr>
        <w:t>] « les consultations du Ministre au sujet des revendications de nature spirituelle des Ktunaxa étaient raisonnables et appropriées »</w:t>
      </w:r>
      <w:r w:rsidR="008D2C7C">
        <w:rPr>
          <w:rFonts w:cs="Times New Roman"/>
          <w:lang w:val="fr-CA"/>
        </w:rPr>
        <w:t xml:space="preserve"> : </w:t>
      </w:r>
      <w:r w:rsidRPr="002A6EA4">
        <w:rPr>
          <w:rFonts w:cs="Times New Roman"/>
          <w:lang w:val="fr-CA"/>
        </w:rPr>
        <w:t>m.a., par. 128, citant les motifs du juge en chambre, par. 232; voir aussi le m.a., par. 129.</w:t>
      </w:r>
    </w:p>
    <w:p w:rsidR="00094732" w:rsidRPr="002A6EA4" w:rsidRDefault="00094732" w:rsidP="0055329A">
      <w:pPr>
        <w:pStyle w:val="ParaNoNdepar-AltN"/>
        <w:widowControl w:val="0"/>
        <w:rPr>
          <w:rFonts w:cs="Times New Roman"/>
          <w:lang w:val="fr-CA"/>
        </w:rPr>
      </w:pPr>
      <w:r w:rsidRPr="002A6EA4">
        <w:rPr>
          <w:rFonts w:cs="Times New Roman"/>
          <w:lang w:val="fr-CA"/>
        </w:rPr>
        <w:t>Cet argument sort de son contexte la lettre dans laquelle le Ministre a jugé suffisantes les consultations menées jusqu’au 3 juin 2009 et ne tient pas compte de ce qu’il a réellement dit. La lettre avait été écrite à l’époque où la valeur sacrée de la vallée Jumbo ne figurait plus parmi les questions non réglées en vue de l’assentiment des Ktunaxa et avant la revendication de la fin de 2009. Les négociations avec les Ktunaxa allaient bon train, et le Ministre croyait raisonnablement que les seules questions non réglées étaient étrangères aux revendications de droits des Ktunaxa. Le Ministre a par conséquent informé dans sa lettre les Ktunaxa qu’à son avis il y avait eu un processus de consultation raisonnable et que la plupart des questions non réglées portaient principalement sur des intérêts.</w:t>
      </w:r>
    </w:p>
    <w:p w:rsidR="00094732" w:rsidRPr="002A6EA4" w:rsidRDefault="00094732" w:rsidP="0055329A">
      <w:pPr>
        <w:pStyle w:val="ParaNoNdepar-AltN"/>
        <w:widowControl w:val="0"/>
        <w:rPr>
          <w:rFonts w:cs="Times New Roman"/>
          <w:lang w:val="fr-CA"/>
        </w:rPr>
      </w:pPr>
      <w:r w:rsidRPr="002A6EA4">
        <w:rPr>
          <w:rFonts w:cs="Times New Roman"/>
          <w:lang w:val="fr-CA"/>
        </w:rPr>
        <w:lastRenderedPageBreak/>
        <w:t>Cinq jours plus tard, le 8 juin 2009, les Ktunaxa ont répondu à cette lettre en énumérant des sujets de préoccupation, mais non la nature sacrée de la région. Aux réunions tenues le lendemain, les Ktunaxa ont toutefois mis à nouveau l’accent sur la nature sacrée du lieu et demandé des consultations supplémentaires à ce sujet, ce que le Ministre a accepté de faire. De longues consultations approfondies sur cette nouvelle revendication d’ordre spirituel ont eu lieu, y compris une réunion en septembre, à Cranbrook, entre le Ministre lui</w:t>
      </w:r>
      <w:r w:rsidRPr="002A6EA4">
        <w:rPr>
          <w:rFonts w:cs="Times New Roman"/>
          <w:lang w:val="fr-CA"/>
        </w:rPr>
        <w:noBreakHyphen/>
        <w:t>même et M. Luke, le gardien du savoir. Le Ministre a envoyé aux Ktunaxa un « Résumé des consultations et des mesures d’accommodement » qui comportait une description des consultations et des mesures d’accommodement se rapportant expressément à la revendication d</w:t>
      </w:r>
      <w:r w:rsidR="00FE2FC4">
        <w:rPr>
          <w:rFonts w:cs="Times New Roman"/>
          <w:lang w:val="fr-CA"/>
        </w:rPr>
        <w:t>e la fin de 2009 et les invitai</w:t>
      </w:r>
      <w:r w:rsidRPr="002A6EA4">
        <w:rPr>
          <w:rFonts w:cs="Times New Roman"/>
          <w:lang w:val="fr-CA"/>
        </w:rPr>
        <w:t>t à commenter le résumé. Il les a ensuite rencontrés et des modifications ont été apportées au document. Les consultations se sont poursuivies jusqu’à la déclaration sur le Qat’muk des Ktunaxa en novembre 2010 portant qu’aucun accommodement n’était possible et que la seule raison pour laquelle il serait justifié de poursuivre les discussions serait de faire comprendre aux décideurs pourquoi le projet de station de ski ne pouvait pas aller de l’avant. Même après ce revirement, le Ministre a cherché à poursuivre les consultations, mais en vain.</w:t>
      </w:r>
    </w:p>
    <w:p w:rsidR="00094732" w:rsidRPr="002A6EA4" w:rsidRDefault="00094732" w:rsidP="0055329A">
      <w:pPr>
        <w:pStyle w:val="ParaNoNdepar-AltN"/>
        <w:widowControl w:val="0"/>
        <w:rPr>
          <w:rFonts w:cs="Times New Roman"/>
          <w:lang w:val="fr-CA"/>
        </w:rPr>
      </w:pPr>
      <w:r w:rsidRPr="002A6EA4">
        <w:rPr>
          <w:rFonts w:cs="Times New Roman"/>
          <w:lang w:val="fr-CA"/>
        </w:rPr>
        <w:t xml:space="preserve">Il n’y a aucune contradiction entre la lettre écrite le 3 juin 2009 par le Ministre et la conclusion du juge en chambre selon laquelle les négociations menées à partir de 2009 avaient comporté des consultations approfondies sur la revendication de la fin de 2009. Le 3 juin, cette revendication n’était pas en jeu. Six jours plus tard, étant donné le changement de position des Ktunaxa, elle revêtait une importance capitale, et </w:t>
      </w:r>
      <w:r w:rsidRPr="002A6EA4">
        <w:rPr>
          <w:rFonts w:cs="Times New Roman"/>
          <w:lang w:val="fr-CA"/>
        </w:rPr>
        <w:lastRenderedPageBreak/>
        <w:t>de nouvelles consultations axées sur cet enjeu ont suivi.</w:t>
      </w:r>
    </w:p>
    <w:p w:rsidR="00094732" w:rsidRPr="002A6EA4" w:rsidRDefault="00094732" w:rsidP="0055329A">
      <w:pPr>
        <w:pStyle w:val="ParaNoNdepar-AltN"/>
        <w:widowControl w:val="0"/>
        <w:rPr>
          <w:rFonts w:cs="Times New Roman"/>
          <w:lang w:val="fr-CA"/>
        </w:rPr>
      </w:pPr>
      <w:r w:rsidRPr="002A6EA4">
        <w:rPr>
          <w:rFonts w:cs="Times New Roman"/>
          <w:lang w:val="fr-CA"/>
        </w:rPr>
        <w:t>Les Ktunaxa soutiennent également que les cours d’instance inférieure se sont appuyées trop fortement sur la longueur du processus de consultation. Nous convenons que ce n’est pas la longueur du processus qui détermine le caractère adéquat de la consultation, même s’il peut s’agir d’un facteur à prendre en considération. Bien que le Ministre mentionne dans ses Motifs les deux décennies de consultations, rien ne prouve qu’il a rendu sa décision simplement parce qu’il estimait que le processus avait trop duré. Au contraire, il était clair pour tous au printemps 2012 que la poursuite des consultations serait vaine étant donné la position des Ktunaxa.</w:t>
      </w:r>
    </w:p>
    <w:p w:rsidR="00094732" w:rsidRPr="002A6EA4" w:rsidRDefault="00094732" w:rsidP="0055329A">
      <w:pPr>
        <w:pStyle w:val="ParaNoNdepar-AltN"/>
        <w:widowControl w:val="0"/>
        <w:rPr>
          <w:rFonts w:cs="Times New Roman"/>
          <w:lang w:val="fr-CA"/>
        </w:rPr>
      </w:pPr>
      <w:r w:rsidRPr="002A6EA4">
        <w:rPr>
          <w:rFonts w:cs="Times New Roman"/>
          <w:lang w:val="fr-CA"/>
        </w:rPr>
        <w:t>Enfin, les Ktunaxa affirment que, bien que le Ministre se soit peut</w:t>
      </w:r>
      <w:r w:rsidRPr="002A6EA4">
        <w:rPr>
          <w:rFonts w:cs="Times New Roman"/>
          <w:lang w:val="fr-CA"/>
        </w:rPr>
        <w:noBreakHyphen/>
        <w:t xml:space="preserve">être livré à des consultations approfondies sur d’autres enjeux, il ne l’a pas fait à l’égard de la revendication de la fin de 2009. Nous ne pouvons souscrire à cette affirmation. En effet, même après que les Ktunaxa eurent dit qu’il ne servait à rien de poursuivre les consultations, le Ministre a continué de tenter de les consulter. </w:t>
      </w:r>
    </w:p>
    <w:p w:rsidR="00094732" w:rsidRPr="002A6EA4" w:rsidRDefault="00094732" w:rsidP="0055329A">
      <w:pPr>
        <w:pStyle w:val="Title4LevelTitre4Niveau"/>
        <w:widowControl w:val="0"/>
        <w:numPr>
          <w:ilvl w:val="1"/>
          <w:numId w:val="45"/>
        </w:numPr>
        <w:tabs>
          <w:tab w:val="left" w:pos="1170"/>
        </w:tabs>
        <w:ind w:left="1170" w:hanging="630"/>
        <w:rPr>
          <w:rFonts w:cs="Times New Roman"/>
          <w:lang w:val="fr-CA"/>
        </w:rPr>
      </w:pPr>
      <w:r w:rsidRPr="002A6EA4">
        <w:rPr>
          <w:rFonts w:cs="Times New Roman"/>
          <w:lang w:val="fr-CA"/>
        </w:rPr>
        <w:t>Omission</w:t>
      </w:r>
      <w:r>
        <w:rPr>
          <w:rFonts w:cs="Times New Roman"/>
          <w:lang w:val="fr-CA"/>
        </w:rPr>
        <w:t xml:space="preserve"> de</w:t>
      </w:r>
      <w:r w:rsidRPr="002A6EA4">
        <w:rPr>
          <w:rFonts w:cs="Times New Roman"/>
          <w:lang w:val="fr-CA"/>
        </w:rPr>
        <w:t xml:space="preserve"> </w:t>
      </w:r>
      <w:r>
        <w:rPr>
          <w:rFonts w:cs="Times New Roman"/>
          <w:lang w:val="fr-CA"/>
        </w:rPr>
        <w:t>s’adapter</w:t>
      </w:r>
      <w:r w:rsidRPr="002A6EA4">
        <w:rPr>
          <w:rFonts w:cs="Times New Roman"/>
          <w:lang w:val="fr-CA"/>
        </w:rPr>
        <w:t xml:space="preserve"> </w:t>
      </w:r>
      <w:r>
        <w:rPr>
          <w:rFonts w:cs="Times New Roman"/>
          <w:lang w:val="fr-CA"/>
        </w:rPr>
        <w:t xml:space="preserve">au </w:t>
      </w:r>
      <w:r w:rsidRPr="002A6EA4">
        <w:rPr>
          <w:rFonts w:cs="Times New Roman"/>
          <w:lang w:val="fr-CA"/>
        </w:rPr>
        <w:t>droit revendiqué</w:t>
      </w:r>
    </w:p>
    <w:p w:rsidR="00094732" w:rsidRPr="002A6EA4" w:rsidRDefault="00094732" w:rsidP="0055329A">
      <w:pPr>
        <w:pStyle w:val="ParaNoNdepar-AltN"/>
        <w:widowControl w:val="0"/>
        <w:rPr>
          <w:rFonts w:cs="Times New Roman"/>
          <w:lang w:val="fr-CA"/>
        </w:rPr>
      </w:pPr>
      <w:r w:rsidRPr="002A6EA4">
        <w:rPr>
          <w:rFonts w:cs="Times New Roman"/>
          <w:lang w:val="fr-CA"/>
        </w:rPr>
        <w:t>Le long processus réglementaire s’est soldé par la prise de nombreuses mesures d’accommodement à l’égard des préoccupations de nature spirituelle des Ktunaxa. Entre autres, on a apporté des changements précis pour protéger la population de grizzlys dans le Qat’muk, le remonte</w:t>
      </w:r>
      <w:r w:rsidRPr="002A6EA4">
        <w:rPr>
          <w:rFonts w:cs="Times New Roman"/>
          <w:lang w:val="fr-CA"/>
        </w:rPr>
        <w:noBreakHyphen/>
        <w:t xml:space="preserve">pente ouest a été retiré en raison de la présence de grizzlys dans le secteur et la station de ski a été confinée à la moitié supérieure de la </w:t>
      </w:r>
      <w:r w:rsidRPr="002A6EA4">
        <w:rPr>
          <w:rFonts w:cs="Times New Roman"/>
          <w:lang w:val="fr-CA"/>
        </w:rPr>
        <w:lastRenderedPageBreak/>
        <w:t>vallée, sans compter la création et la surveillance de réserves environnementales d’envergure. Les conclusions du juge en chambre sur ce point (par. 236) n’ont pas été contestées.</w:t>
      </w:r>
    </w:p>
    <w:p w:rsidR="00094732" w:rsidRPr="002A6EA4" w:rsidRDefault="00094732" w:rsidP="0055329A">
      <w:pPr>
        <w:pStyle w:val="ParaNoNdepar-AltN"/>
        <w:widowControl w:val="0"/>
        <w:rPr>
          <w:rFonts w:cs="Times New Roman"/>
          <w:lang w:val="fr-CA"/>
        </w:rPr>
      </w:pPr>
      <w:r w:rsidRPr="002A6EA4">
        <w:rPr>
          <w:rFonts w:cs="Times New Roman"/>
          <w:lang w:val="fr-CA"/>
        </w:rPr>
        <w:t>Selon les Ktunaxa, ces modifications étaient inadéquates : [</w:t>
      </w:r>
      <w:r w:rsidRPr="002A6EA4">
        <w:rPr>
          <w:rFonts w:cs="Times New Roman"/>
          <w:smallCaps/>
          <w:lang w:val="fr-CA"/>
        </w:rPr>
        <w:t>traduction</w:t>
      </w:r>
      <w:r w:rsidRPr="002A6EA4">
        <w:rPr>
          <w:rFonts w:cs="Times New Roman"/>
          <w:lang w:val="fr-CA"/>
        </w:rPr>
        <w:t>] « Les modifications apportées à la station de ski étaient des mesures nécessaires en raison de préoccupations économiques, environnementales et de protection de la faune et, s’il est vrai qu’elles prévoient effectivement une protection limitée des grizzlys, elles ne proposent rien au sujet de la capacité des Ktunaxa à poursuivre leurs pratiques spirituelles tributaires de la présence de l’Esprit de l’Ours Grizzly »</w:t>
      </w:r>
      <w:r w:rsidR="00BF263B">
        <w:rPr>
          <w:rFonts w:cs="Times New Roman"/>
          <w:lang w:val="fr-CA"/>
        </w:rPr>
        <w:t xml:space="preserve"> : </w:t>
      </w:r>
      <w:r w:rsidRPr="002A6EA4">
        <w:rPr>
          <w:rFonts w:cs="Times New Roman"/>
          <w:lang w:val="fr-CA"/>
        </w:rPr>
        <w:t>m.a., par. 133; voir de façon générale les par. 133</w:t>
      </w:r>
      <w:r w:rsidR="00BF263B">
        <w:rPr>
          <w:rFonts w:cs="Times New Roman"/>
          <w:lang w:val="fr-CA"/>
        </w:rPr>
        <w:t>-</w:t>
      </w:r>
      <w:r w:rsidRPr="002A6EA4">
        <w:rPr>
          <w:rFonts w:cs="Times New Roman"/>
          <w:lang w:val="fr-CA"/>
        </w:rPr>
        <w:t>138.</w:t>
      </w:r>
    </w:p>
    <w:p w:rsidR="00094732" w:rsidRPr="002A6EA4" w:rsidRDefault="00094732" w:rsidP="0055329A">
      <w:pPr>
        <w:pStyle w:val="ParaNoNdepar-AltN"/>
        <w:widowControl w:val="0"/>
        <w:rPr>
          <w:rFonts w:cs="Times New Roman"/>
          <w:lang w:val="fr-CA"/>
        </w:rPr>
      </w:pPr>
      <w:r w:rsidRPr="002A6EA4">
        <w:rPr>
          <w:rFonts w:cs="Times New Roman"/>
          <w:lang w:val="fr-CA"/>
        </w:rPr>
        <w:t>Dans les faits, le Ministre n’avait aucune preuve de l’existence de [</w:t>
      </w:r>
      <w:r w:rsidRPr="002A6EA4">
        <w:rPr>
          <w:rFonts w:cs="Times New Roman"/>
          <w:smallCaps/>
          <w:lang w:val="fr-CA"/>
        </w:rPr>
        <w:t>traduction</w:t>
      </w:r>
      <w:r w:rsidRPr="002A6EA4">
        <w:rPr>
          <w:rFonts w:cs="Times New Roman"/>
          <w:lang w:val="fr-CA"/>
        </w:rPr>
        <w:t xml:space="preserve">] « pratiques spirituelles </w:t>
      </w:r>
      <w:r w:rsidR="00BF263B">
        <w:rPr>
          <w:rFonts w:cs="Times New Roman"/>
          <w:lang w:val="fr-CA"/>
        </w:rPr>
        <w:t>en particulier</w:t>
      </w:r>
      <w:r w:rsidRPr="002A6EA4">
        <w:rPr>
          <w:rFonts w:cs="Times New Roman"/>
          <w:lang w:val="fr-CA"/>
        </w:rPr>
        <w:t xml:space="preserve"> ». Il est vrai, bien sûr, que le Ministre n’a pas offert la mesure d’accommodement ultime exigée par les Ktunaxa, soit le rejet complet du projet de station de ski. Il ne s’ensuit toutefois pas que la Couronne a failli à son obligation de consulter et d’accommoder. Le droit de consultation et d’accommodement reconnu à l’art. 35 est un droit à un processus, et non un droit à un résultat précis : </w:t>
      </w:r>
      <w:r w:rsidRPr="002A6EA4">
        <w:rPr>
          <w:rFonts w:cs="Times New Roman"/>
          <w:i/>
          <w:lang w:val="fr-CA"/>
        </w:rPr>
        <w:t>Nation haïda</w:t>
      </w:r>
      <w:r w:rsidRPr="002A6EA4">
        <w:rPr>
          <w:rFonts w:cs="Times New Roman"/>
          <w:lang w:val="fr-CA"/>
        </w:rPr>
        <w:t xml:space="preserve">. Bien que l’objectif du processus soit la conciliation des intérêts des Autochtones et de ceux de l’État, il n’est pas toujours possible d’y parvenir. Le processus en est un de </w:t>
      </w:r>
      <w:r w:rsidR="00405E59">
        <w:rPr>
          <w:rFonts w:cs="Times New Roman"/>
          <w:lang w:val="fr-CA"/>
        </w:rPr>
        <w:t>« </w:t>
      </w:r>
      <w:r w:rsidRPr="002A6EA4">
        <w:rPr>
          <w:rFonts w:cs="Times New Roman"/>
          <w:lang w:val="fr-CA"/>
        </w:rPr>
        <w:t>concessions mutuelles</w:t>
      </w:r>
      <w:r w:rsidR="00405E59">
        <w:rPr>
          <w:rFonts w:cs="Times New Roman"/>
          <w:lang w:val="fr-CA"/>
        </w:rPr>
        <w:t> »</w:t>
      </w:r>
      <w:r w:rsidRPr="002A6EA4">
        <w:rPr>
          <w:rFonts w:cs="Times New Roman"/>
          <w:lang w:val="fr-CA"/>
        </w:rPr>
        <w:t>, et les résultats ne sont pas garantis.</w:t>
      </w:r>
    </w:p>
    <w:p w:rsidR="00094732" w:rsidRPr="002A6EA4" w:rsidRDefault="00094732" w:rsidP="0055329A">
      <w:pPr>
        <w:pStyle w:val="Title1LevelTitre1Niveau-AltL"/>
        <w:widowControl w:val="0"/>
        <w:rPr>
          <w:rFonts w:cs="Times New Roman"/>
          <w:bCs/>
          <w:lang w:val="fr-CA"/>
        </w:rPr>
      </w:pPr>
      <w:r w:rsidRPr="002A6EA4">
        <w:rPr>
          <w:rFonts w:cs="Times New Roman"/>
          <w:u w:color="000000"/>
          <w:lang w:val="fr-CA"/>
        </w:rPr>
        <w:t>Conclusion</w:t>
      </w:r>
    </w:p>
    <w:p w:rsidR="00094732" w:rsidRPr="002A6EA4" w:rsidRDefault="00094732" w:rsidP="0055329A">
      <w:pPr>
        <w:pStyle w:val="ParaNoNdepar-AltN"/>
        <w:widowControl w:val="0"/>
        <w:rPr>
          <w:rFonts w:cs="Times New Roman"/>
          <w:lang w:val="fr-CA"/>
        </w:rPr>
      </w:pPr>
      <w:r w:rsidRPr="002A6EA4">
        <w:rPr>
          <w:rFonts w:cs="Times New Roman"/>
          <w:lang w:val="fr-CA"/>
        </w:rPr>
        <w:lastRenderedPageBreak/>
        <w:t>La décision du Ministre n’a pas violé la liberté de religion des Ktunaxa car leur revendication ne relève pas de l’al. 2</w:t>
      </w:r>
      <w:r w:rsidRPr="002A6EA4">
        <w:rPr>
          <w:rFonts w:cs="Times New Roman"/>
          <w:i/>
          <w:lang w:val="fr-CA"/>
        </w:rPr>
        <w:t>a</w:t>
      </w:r>
      <w:r w:rsidRPr="002A6EA4">
        <w:rPr>
          <w:rFonts w:cs="Times New Roman"/>
          <w:lang w:val="fr-CA"/>
        </w:rPr>
        <w:t xml:space="preserve">) de la </w:t>
      </w:r>
      <w:r w:rsidRPr="002A6EA4">
        <w:rPr>
          <w:rFonts w:cs="Times New Roman"/>
          <w:i/>
          <w:lang w:val="fr-CA"/>
        </w:rPr>
        <w:t>Charte</w:t>
      </w:r>
      <w:r w:rsidRPr="002A6EA4">
        <w:rPr>
          <w:rFonts w:cs="Times New Roman"/>
          <w:lang w:val="fr-CA"/>
        </w:rPr>
        <w:t xml:space="preserve">. On n’a pas démontré le caractère déraisonnable de la conclusion du Ministre qu’il y avait eu une consultation suffisante pour respecter l’art. 35 de la </w:t>
      </w:r>
      <w:r w:rsidRPr="002A6EA4">
        <w:rPr>
          <w:rFonts w:cs="Times New Roman"/>
          <w:i/>
          <w:lang w:val="fr-CA"/>
        </w:rPr>
        <w:t>Loi constitutionnelle de 1982</w:t>
      </w:r>
      <w:r w:rsidRPr="002A6EA4">
        <w:rPr>
          <w:rFonts w:cs="Times New Roman"/>
          <w:lang w:val="fr-CA"/>
        </w:rPr>
        <w:t>. Pour ces motifs, nous sommes d’avis de rejeter le pourvoi.</w:t>
      </w:r>
    </w:p>
    <w:p w:rsidR="00094732" w:rsidRDefault="00BB0F16" w:rsidP="0055329A">
      <w:pPr>
        <w:pStyle w:val="SCCNormalDoubleSpacing"/>
        <w:widowControl w:val="0"/>
        <w:spacing w:before="480" w:after="480"/>
        <w:rPr>
          <w:lang w:val="fr-CA"/>
        </w:rPr>
      </w:pPr>
      <w:r>
        <w:rPr>
          <w:lang w:val="fr-CA"/>
        </w:rPr>
        <w:tab/>
      </w:r>
      <w:r w:rsidR="00094732" w:rsidRPr="0000345F">
        <w:rPr>
          <w:lang w:val="fr-CA"/>
        </w:rPr>
        <w:t>Version française des motifs des juges Moldaver et Côté rendus par</w:t>
      </w:r>
    </w:p>
    <w:p w:rsidR="00094732" w:rsidRPr="00D84730" w:rsidRDefault="00094732" w:rsidP="0055329A">
      <w:pPr>
        <w:pStyle w:val="JudgeJuge"/>
        <w:widowControl w:val="0"/>
        <w:spacing w:before="480"/>
      </w:pPr>
      <w:r w:rsidRPr="00D84730">
        <w:rPr>
          <w:lang w:val="fr-CA"/>
        </w:rPr>
        <w:tab/>
        <w:t xml:space="preserve">Le juge </w:t>
      </w:r>
      <w:r w:rsidRPr="00D84730">
        <w:t xml:space="preserve">Moldaver — </w:t>
      </w:r>
    </w:p>
    <w:p w:rsidR="00094732" w:rsidRPr="00A10B0D" w:rsidRDefault="00094732" w:rsidP="0055329A">
      <w:pPr>
        <w:pStyle w:val="Title1LevelTitre1Niveau-AltL"/>
        <w:widowControl w:val="0"/>
        <w:numPr>
          <w:ilvl w:val="0"/>
          <w:numId w:val="37"/>
        </w:numPr>
        <w:spacing w:before="0"/>
        <w:rPr>
          <w:rFonts w:cs="Times New Roman"/>
        </w:rPr>
      </w:pPr>
      <w:r w:rsidRPr="00A10B0D">
        <w:rPr>
          <w:rFonts w:cs="Times New Roman"/>
        </w:rPr>
        <w:t>Vue d’ensemble</w:t>
      </w:r>
    </w:p>
    <w:p w:rsidR="00094732" w:rsidRPr="00D84730" w:rsidRDefault="00094732" w:rsidP="0055329A">
      <w:pPr>
        <w:pStyle w:val="ParaNoNdepar-AltN"/>
        <w:widowControl w:val="0"/>
        <w:rPr>
          <w:rFonts w:cs="Times New Roman"/>
          <w:lang w:val="fr-CA"/>
        </w:rPr>
      </w:pPr>
      <w:r w:rsidRPr="00D84730">
        <w:rPr>
          <w:rFonts w:cs="Times New Roman"/>
          <w:lang w:val="fr-CA"/>
        </w:rPr>
        <w:t>Les Ktunaxa forment un peuple autochtone qui habite certains secteurs du sud</w:t>
      </w:r>
      <w:r w:rsidRPr="00D84730">
        <w:rPr>
          <w:rFonts w:cs="Times New Roman"/>
          <w:lang w:val="fr-CA"/>
        </w:rPr>
        <w:noBreakHyphen/>
        <w:t>est de la Colombie</w:t>
      </w:r>
      <w:r w:rsidRPr="00D84730">
        <w:rPr>
          <w:rFonts w:cs="Times New Roman"/>
          <w:lang w:val="fr-CA"/>
        </w:rPr>
        <w:noBreakHyphen/>
        <w:t>Britannique. Selon eux, la décision de l’intimé, Minister of Forests, Lands and Natural Resource Operations de la Colombie</w:t>
      </w:r>
      <w:r w:rsidRPr="00D84730">
        <w:rPr>
          <w:rFonts w:cs="Times New Roman"/>
          <w:lang w:val="fr-CA"/>
        </w:rPr>
        <w:noBreakHyphen/>
        <w:t>Britannique (« Ministre »), d’approuver l’aménagement d’une station de ski porte atteinte au droit à la liberté de religion que leur garantit l’al. 2</w:t>
      </w:r>
      <w:r w:rsidRPr="00D84730">
        <w:rPr>
          <w:rFonts w:cs="Times New Roman"/>
          <w:i/>
          <w:lang w:val="fr-CA"/>
        </w:rPr>
        <w:t>a</w:t>
      </w:r>
      <w:r w:rsidRPr="00D84730">
        <w:rPr>
          <w:rFonts w:cs="Times New Roman"/>
          <w:lang w:val="fr-CA"/>
        </w:rPr>
        <w:t xml:space="preserve">) de la </w:t>
      </w:r>
      <w:r w:rsidRPr="00D84730">
        <w:rPr>
          <w:rFonts w:cs="Times New Roman"/>
          <w:i/>
          <w:lang w:val="fr-CA"/>
        </w:rPr>
        <w:t xml:space="preserve">Charte canadienne des droits et libertés </w:t>
      </w:r>
      <w:r w:rsidRPr="00D84730">
        <w:rPr>
          <w:rFonts w:cs="Times New Roman"/>
          <w:lang w:val="fr-CA"/>
        </w:rPr>
        <w:t xml:space="preserve">et constitue un manquement à l’obligation de consultation imposée à la Couronne par l’art. 35 de la </w:t>
      </w:r>
      <w:r w:rsidRPr="00D84730">
        <w:rPr>
          <w:rFonts w:cs="Times New Roman"/>
          <w:i/>
          <w:lang w:val="fr-CA"/>
        </w:rPr>
        <w:t>Loi constitutionnelle de 1982</w:t>
      </w:r>
      <w:r w:rsidRPr="00D84730">
        <w:rPr>
          <w:rFonts w:cs="Times New Roman"/>
          <w:lang w:val="fr-CA"/>
        </w:rPr>
        <w:t xml:space="preserve">. </w:t>
      </w:r>
    </w:p>
    <w:p w:rsidR="00094732" w:rsidRPr="00D84730" w:rsidRDefault="00094732" w:rsidP="0055329A">
      <w:pPr>
        <w:pStyle w:val="ParaNoNdepar-AltN"/>
        <w:widowControl w:val="0"/>
        <w:rPr>
          <w:rFonts w:cs="Times New Roman"/>
          <w:lang w:val="fr-CA"/>
        </w:rPr>
      </w:pPr>
      <w:r w:rsidRPr="00D84730">
        <w:rPr>
          <w:rFonts w:cs="Times New Roman"/>
          <w:lang w:val="fr-CA"/>
        </w:rPr>
        <w:t>Je conviens avec la Juge en chef et le juge Rowe que le Ministre a raisonnablement conclu à l’acquittement de l’obligation de consulter et d’accommoder les Ktunaxa prévue à l’art. 35. En revanche, je ne peux malheureusement faire mienne leur analyse fondée sur l’al. 2</w:t>
      </w:r>
      <w:r w:rsidRPr="00D84730">
        <w:rPr>
          <w:rFonts w:cs="Times New Roman"/>
          <w:i/>
          <w:lang w:val="fr-CA"/>
        </w:rPr>
        <w:t>a</w:t>
      </w:r>
      <w:r w:rsidRPr="00D84730">
        <w:rPr>
          <w:rFonts w:cs="Times New Roman"/>
          <w:lang w:val="fr-CA"/>
        </w:rPr>
        <w:t xml:space="preserve">). À mon avis, la décision du Ministre d’approuver </w:t>
      </w:r>
      <w:r w:rsidRPr="00D84730">
        <w:rPr>
          <w:rFonts w:cs="Times New Roman"/>
          <w:lang w:val="fr-CA"/>
        </w:rPr>
        <w:lastRenderedPageBreak/>
        <w:t xml:space="preserve">l’aménagement de la station de ski proposée par l’intimée Glacier Resorts Ltd. a porté atteinte au droit des Ktunaxa à la liberté de religion. Les Ktunaxa tiennent pour sacrés plusieurs secteurs de leur territoire traditionnel et la vénération de nombreux esprits fait partie de leur religion. Ils croient qu’un esprit fort important dans leur tradition religieuse, l’Esprit de l’Ours Grizzly, habite le Qat’muk, un lieu sacré qui se situe au cœur de la station de ski proposée. L’aménagement de la station de ski profanerait le Qat’muk et ferait fuir l’Esprit de l’Ours Grizzly, rompant par le fait même le lien entre les Ktunaxa et la terre. Ces derniers seraient ainsi privés de ses conseils et de son assistance spirituels. L’ensemble des chansons, rites et cérémonies associés à l’Esprit de l’Ours Grizzly perdraient tout leur sens. </w:t>
      </w:r>
    </w:p>
    <w:p w:rsidR="00094732" w:rsidRPr="00D84730" w:rsidRDefault="00094732" w:rsidP="0055329A">
      <w:pPr>
        <w:pStyle w:val="ParaNoNdepar-AltN"/>
        <w:widowControl w:val="0"/>
        <w:rPr>
          <w:rFonts w:cs="Times New Roman"/>
          <w:lang w:val="fr-CA"/>
        </w:rPr>
      </w:pPr>
      <w:r w:rsidRPr="00D84730">
        <w:rPr>
          <w:rFonts w:cs="Times New Roman"/>
          <w:lang w:val="fr-CA"/>
        </w:rPr>
        <w:t xml:space="preserve">À mon humble avis, la conduite de l’État qui prive de toute signification religieuse les croyances religieuses sincères d’une personne porte atteinte à son droit à la liberté de religion. Les croyances religieuses revêtent une signification spirituelle pour le croyant. Lorsque cette signification est supprimée par l’État, la personne ne peut plus se conformer à ses croyances </w:t>
      </w:r>
      <w:r w:rsidRPr="00D84730">
        <w:rPr>
          <w:rFonts w:cs="Times New Roman"/>
          <w:i/>
          <w:lang w:val="fr-CA"/>
        </w:rPr>
        <w:t>religieuses</w:t>
      </w:r>
      <w:r w:rsidRPr="00D84730">
        <w:rPr>
          <w:rFonts w:cs="Times New Roman"/>
          <w:lang w:val="fr-CA"/>
        </w:rPr>
        <w:t xml:space="preserve">, ce qui constitue une </w:t>
      </w:r>
      <w:r>
        <w:rPr>
          <w:rFonts w:cs="Times New Roman"/>
          <w:lang w:val="fr-CA"/>
        </w:rPr>
        <w:t>contravention</w:t>
      </w:r>
      <w:r w:rsidRPr="00D84730">
        <w:rPr>
          <w:rFonts w:cs="Times New Roman"/>
          <w:lang w:val="fr-CA"/>
        </w:rPr>
        <w:t xml:space="preserve"> à l’al. 2</w:t>
      </w:r>
      <w:r w:rsidRPr="00D84730">
        <w:rPr>
          <w:rFonts w:cs="Times New Roman"/>
          <w:i/>
          <w:lang w:val="fr-CA"/>
        </w:rPr>
        <w:t>a</w:t>
      </w:r>
      <w:r w:rsidRPr="00D84730">
        <w:rPr>
          <w:rFonts w:cs="Times New Roman"/>
          <w:lang w:val="fr-CA"/>
        </w:rPr>
        <w:t>). C’est exactement ce qui s’est produit en l’espèce. La décision du Ministre d’approuver la station de ski privera de toute signification spirituelle l’ensemble des croyances religieuses des Ktunaxa touchant l’Esprit de l’Ours Grizzly. Par conséquent, les Ktunaxa ne pourront pas interpréter des chansons, se livrer à des rituels ou tenir des cérémonies en l’honneur de l’Esprit de l’Ours Grizzly d’une manière qui a une signification religieuse à leurs yeux. À mon avis, il s’agit là d’une violation de l’al. 2</w:t>
      </w:r>
      <w:r w:rsidRPr="00D84730">
        <w:rPr>
          <w:rFonts w:cs="Times New Roman"/>
          <w:i/>
          <w:lang w:val="fr-CA"/>
        </w:rPr>
        <w:t>a</w:t>
      </w:r>
      <w:r w:rsidRPr="00D84730">
        <w:rPr>
          <w:rFonts w:cs="Times New Roman"/>
          <w:lang w:val="fr-CA"/>
        </w:rPr>
        <w:t xml:space="preserve">). </w:t>
      </w:r>
    </w:p>
    <w:p w:rsidR="00094732" w:rsidRPr="00D84730" w:rsidRDefault="00094732" w:rsidP="0055329A">
      <w:pPr>
        <w:pStyle w:val="ParaNoNdepar-AltN"/>
        <w:widowControl w:val="0"/>
        <w:rPr>
          <w:rFonts w:cs="Times New Roman"/>
          <w:lang w:val="fr-CA"/>
        </w:rPr>
      </w:pPr>
      <w:r w:rsidRPr="00D84730">
        <w:rPr>
          <w:rFonts w:cs="Times New Roman"/>
          <w:lang w:val="fr-CA"/>
        </w:rPr>
        <w:lastRenderedPageBreak/>
        <w:t>Cela dit, j’estime que le Ministre a mis en balance de façon proportionnée le droit reconnu aux Ktunaxa par l’al. 2</w:t>
      </w:r>
      <w:r w:rsidRPr="00D84730">
        <w:rPr>
          <w:rFonts w:cs="Times New Roman"/>
          <w:i/>
          <w:lang w:val="fr-CA"/>
        </w:rPr>
        <w:t>a</w:t>
      </w:r>
      <w:r w:rsidRPr="00D84730">
        <w:rPr>
          <w:rFonts w:cs="Times New Roman"/>
          <w:lang w:val="fr-CA"/>
        </w:rPr>
        <w:t xml:space="preserve">) et les objectifs pertinents de la loi : administrer les terres de la Couronne et les aliéner dans l’intérêt public. Deux choix se présentaient au Ministre : approuver l’aménagement de la station de ski ou conférer aux Ktunaxa le droit d’interdire à autrui de construire des installations permanentes sur plus de </w:t>
      </w:r>
      <w:r w:rsidR="00D35E18">
        <w:rPr>
          <w:rFonts w:cs="Times New Roman"/>
          <w:lang w:val="fr-CA"/>
        </w:rPr>
        <w:t>50</w:t>
      </w:r>
      <w:r w:rsidRPr="00D84730">
        <w:rPr>
          <w:rFonts w:cs="Times New Roman"/>
          <w:lang w:val="fr-CA"/>
        </w:rPr>
        <w:t xml:space="preserve"> kilomètres carrés de terres de la Couronne. Le Ministre se retrouvait donc dans une situation difficile, voire impossible. S’il conférait ce droit d’interdiction aux Ktunaxa, cela le gênerait considérablement dans l’atteinte des objectifs que lui confie la loi, voire l’empêcherait d’atteindre ces objectifs. Au bout du compte, il a manifestement décidé que la réalisation de son mandat législatif l’empêchait d’accorder aux Ktunaxa le droit de veto qu’ils réclamaient. </w:t>
      </w:r>
    </w:p>
    <w:p w:rsidR="00094732" w:rsidRPr="00D84730" w:rsidRDefault="00094732" w:rsidP="0055329A">
      <w:pPr>
        <w:pStyle w:val="ParaNoNdepar-AltN"/>
        <w:widowControl w:val="0"/>
        <w:rPr>
          <w:rFonts w:cs="Times New Roman"/>
          <w:lang w:val="fr-CA"/>
        </w:rPr>
      </w:pPr>
      <w:r w:rsidRPr="00D84730">
        <w:rPr>
          <w:rFonts w:cs="Times New Roman"/>
          <w:lang w:val="fr-CA"/>
        </w:rPr>
        <w:t>Vu les choix qui s’offraient au Ministre, je suis convaincu que sa décision était raisonnable. Elle a restreint le droit des Ktunaxa « aussi peu que cela [était] raisonnablement possible » compte tenu de ces objectifs visés par la loi (</w:t>
      </w:r>
      <w:r w:rsidRPr="00D84730">
        <w:rPr>
          <w:rFonts w:cs="Times New Roman"/>
          <w:i/>
          <w:lang w:val="fr-CA"/>
        </w:rPr>
        <w:t>École secondaire</w:t>
      </w:r>
      <w:r w:rsidRPr="00D84730">
        <w:rPr>
          <w:rFonts w:cs="Times New Roman"/>
          <w:lang w:val="fr-CA"/>
        </w:rPr>
        <w:t xml:space="preserve"> </w:t>
      </w:r>
      <w:r w:rsidRPr="00D84730">
        <w:rPr>
          <w:rFonts w:cs="Times New Roman"/>
          <w:i/>
          <w:lang w:val="fr-CA"/>
        </w:rPr>
        <w:t>Loyola c. Québec (Procureur général)</w:t>
      </w:r>
      <w:r w:rsidRPr="00D84730">
        <w:rPr>
          <w:rFonts w:cs="Times New Roman"/>
          <w:lang w:val="fr-CA"/>
        </w:rPr>
        <w:t xml:space="preserve">, </w:t>
      </w:r>
      <w:r w:rsidRPr="00D84730">
        <w:rPr>
          <w:rFonts w:cs="Times New Roman"/>
          <w:bCs/>
          <w:lang w:val="fr-CA"/>
        </w:rPr>
        <w:t>2015 CSC 12, [2015] 1 R.C.S. 613, par. </w:t>
      </w:r>
      <w:r w:rsidRPr="00D84730">
        <w:rPr>
          <w:rFonts w:cs="Times New Roman"/>
          <w:lang w:val="fr-CA"/>
        </w:rPr>
        <w:t>40), et était le fruit d’une mise en balance proportionnée. Je suis donc d’avis de rejeter le pourvoi.</w:t>
      </w:r>
    </w:p>
    <w:p w:rsidR="00094732" w:rsidRPr="00D84730" w:rsidRDefault="00094732" w:rsidP="0055329A">
      <w:pPr>
        <w:pStyle w:val="Title1LevelTitre1Niveau-AltL"/>
        <w:widowControl w:val="0"/>
        <w:numPr>
          <w:ilvl w:val="0"/>
          <w:numId w:val="26"/>
        </w:numPr>
        <w:jc w:val="both"/>
        <w:rPr>
          <w:rFonts w:cs="Times New Roman"/>
        </w:rPr>
      </w:pPr>
      <w:r w:rsidRPr="00D84730">
        <w:rPr>
          <w:rFonts w:cs="Times New Roman"/>
        </w:rPr>
        <w:t xml:space="preserve">Analyse </w:t>
      </w:r>
    </w:p>
    <w:p w:rsidR="00094732" w:rsidRPr="00D84730" w:rsidRDefault="00094732" w:rsidP="0055329A">
      <w:pPr>
        <w:pStyle w:val="Title2LevelTitre2Niveau"/>
        <w:widowControl w:val="0"/>
        <w:numPr>
          <w:ilvl w:val="1"/>
          <w:numId w:val="26"/>
        </w:numPr>
        <w:jc w:val="both"/>
        <w:rPr>
          <w:rFonts w:cs="Times New Roman"/>
          <w:lang w:val="fr-CA"/>
        </w:rPr>
      </w:pPr>
      <w:r w:rsidRPr="00D84730">
        <w:rPr>
          <w:rFonts w:cs="Times New Roman"/>
          <w:lang w:val="fr-CA"/>
        </w:rPr>
        <w:t xml:space="preserve">Alinéa 2a) de la Charte </w:t>
      </w:r>
    </w:p>
    <w:p w:rsidR="00094732" w:rsidRPr="00D84730" w:rsidRDefault="00094732" w:rsidP="0055329A">
      <w:pPr>
        <w:pStyle w:val="Title3LevelTitre3Niveau"/>
        <w:widowControl w:val="0"/>
        <w:numPr>
          <w:ilvl w:val="2"/>
          <w:numId w:val="26"/>
        </w:numPr>
        <w:jc w:val="both"/>
        <w:rPr>
          <w:rFonts w:cs="Times New Roman"/>
          <w:lang w:val="fr-CA"/>
        </w:rPr>
      </w:pPr>
      <w:r w:rsidRPr="00D84730">
        <w:rPr>
          <w:rFonts w:cs="Times New Roman"/>
          <w:lang w:val="fr-CA"/>
        </w:rPr>
        <w:t>La portée de l’al. 2</w:t>
      </w:r>
      <w:r w:rsidRPr="00D84730">
        <w:rPr>
          <w:rFonts w:cs="Times New Roman"/>
          <w:i/>
          <w:lang w:val="fr-CA"/>
        </w:rPr>
        <w:t>a</w:t>
      </w:r>
      <w:r w:rsidRPr="00D84730">
        <w:rPr>
          <w:rFonts w:cs="Times New Roman"/>
          <w:lang w:val="fr-CA"/>
        </w:rPr>
        <w:t>)</w:t>
      </w:r>
    </w:p>
    <w:p w:rsidR="00094732" w:rsidRPr="00D84730" w:rsidRDefault="00094732" w:rsidP="0055329A">
      <w:pPr>
        <w:pStyle w:val="ParaNoNdepar-AltN"/>
        <w:widowControl w:val="0"/>
        <w:rPr>
          <w:rFonts w:cs="Times New Roman"/>
          <w:lang w:val="fr-CA"/>
        </w:rPr>
      </w:pPr>
      <w:r w:rsidRPr="00D84730">
        <w:rPr>
          <w:rFonts w:cs="Times New Roman"/>
          <w:lang w:val="fr-CA"/>
        </w:rPr>
        <w:lastRenderedPageBreak/>
        <w:t xml:space="preserve">Tous les droits garantis par la </w:t>
      </w:r>
      <w:r w:rsidRPr="00D84730">
        <w:rPr>
          <w:rFonts w:cs="Times New Roman"/>
          <w:i/>
          <w:lang w:val="fr-CA"/>
        </w:rPr>
        <w:t>Charte</w:t>
      </w:r>
      <w:r w:rsidRPr="00D84730">
        <w:rPr>
          <w:rFonts w:cs="Times New Roman"/>
          <w:lang w:val="fr-CA"/>
        </w:rPr>
        <w:t xml:space="preserve"> — notamment la liberté de religion reconnue à l’al. 2</w:t>
      </w:r>
      <w:r w:rsidRPr="00D84730">
        <w:rPr>
          <w:rFonts w:cs="Times New Roman"/>
          <w:i/>
          <w:lang w:val="fr-CA"/>
        </w:rPr>
        <w:t>a</w:t>
      </w:r>
      <w:r w:rsidRPr="00D84730">
        <w:rPr>
          <w:rFonts w:cs="Times New Roman"/>
          <w:lang w:val="fr-CA"/>
        </w:rPr>
        <w:t>) — doivent recevoir une interprétation libérale et téléologique (</w:t>
      </w:r>
      <w:r w:rsidRPr="00D84730">
        <w:rPr>
          <w:rFonts w:cs="Times New Roman"/>
          <w:i/>
          <w:lang w:val="fr-CA"/>
        </w:rPr>
        <w:t>Figueroa c. Canada (Procureur général)</w:t>
      </w:r>
      <w:r w:rsidRPr="00D84730">
        <w:rPr>
          <w:rFonts w:cs="Times New Roman"/>
          <w:lang w:val="fr-CA"/>
        </w:rPr>
        <w:t xml:space="preserve">, 2003 CSC 37, [2003] 1 R.C.S. 912, par. 20; </w:t>
      </w:r>
      <w:r w:rsidRPr="00D84730">
        <w:rPr>
          <w:rFonts w:cs="Times New Roman"/>
          <w:i/>
          <w:lang w:val="fr-CA"/>
        </w:rPr>
        <w:t>Renvoi : Circ.</w:t>
      </w:r>
      <w:r>
        <w:rPr>
          <w:rFonts w:cs="Times New Roman"/>
          <w:i/>
          <w:lang w:val="fr-CA"/>
        </w:rPr>
        <w:t xml:space="preserve"> </w:t>
      </w:r>
      <w:r w:rsidRPr="00D84730">
        <w:rPr>
          <w:rFonts w:cs="Times New Roman"/>
          <w:i/>
          <w:lang w:val="fr-CA"/>
        </w:rPr>
        <w:t>électorales provinciales</w:t>
      </w:r>
      <w:r>
        <w:rPr>
          <w:rFonts w:cs="Times New Roman"/>
          <w:i/>
          <w:lang w:val="fr-CA"/>
        </w:rPr>
        <w:t xml:space="preserve"> (Sask.)</w:t>
      </w:r>
      <w:r w:rsidRPr="00D84730">
        <w:rPr>
          <w:rFonts w:cs="Times New Roman"/>
          <w:lang w:val="fr-CA"/>
        </w:rPr>
        <w:t>,</w:t>
      </w:r>
      <w:r w:rsidRPr="00D84730">
        <w:rPr>
          <w:rFonts w:cs="Times New Roman"/>
          <w:i/>
          <w:lang w:val="fr-CA"/>
        </w:rPr>
        <w:t xml:space="preserve"> </w:t>
      </w:r>
      <w:r w:rsidRPr="00D84730">
        <w:rPr>
          <w:rFonts w:cs="Times New Roman"/>
          <w:lang w:val="fr-CA"/>
        </w:rPr>
        <w:t xml:space="preserve">[1991] 2 R.C.S. 158, p. 179, la juge McLachlin (maintenant Juge en chef)). Comme l’a dit la Cour dans </w:t>
      </w:r>
      <w:r w:rsidRPr="00D84730">
        <w:rPr>
          <w:rFonts w:cs="Times New Roman"/>
          <w:i/>
          <w:lang w:val="fr-CA"/>
        </w:rPr>
        <w:t>R. c. Big M Drug Mart Ltd.</w:t>
      </w:r>
      <w:r w:rsidRPr="00D84730">
        <w:rPr>
          <w:rFonts w:cs="Times New Roman"/>
          <w:lang w:val="fr-CA"/>
        </w:rPr>
        <w:t>, [1985] 1 R.C.S. 295, p. 344, l’interprétation de la liberté de religion doit être « </w:t>
      </w:r>
      <w:r w:rsidRPr="00D84730">
        <w:rPr>
          <w:rFonts w:cs="Times New Roman"/>
          <w:u w:val="single"/>
          <w:lang w:val="fr-CA"/>
        </w:rPr>
        <w:t>libérale</w:t>
      </w:r>
      <w:r w:rsidRPr="00D84730">
        <w:rPr>
          <w:rFonts w:cs="Times New Roman"/>
          <w:lang w:val="fr-CA"/>
        </w:rPr>
        <w:t xml:space="preserve"> plutôt que formaliste et </w:t>
      </w:r>
      <w:r w:rsidRPr="00D84730">
        <w:rPr>
          <w:rFonts w:cs="Times New Roman"/>
          <w:u w:val="single"/>
          <w:lang w:val="fr-CA"/>
        </w:rPr>
        <w:t>viser à réaliser l’objet de la garantie</w:t>
      </w:r>
      <w:r w:rsidRPr="00D84730">
        <w:rPr>
          <w:rFonts w:cs="Times New Roman"/>
          <w:lang w:val="fr-CA"/>
        </w:rPr>
        <w:t xml:space="preserve"> et à assurer que les citoyens bénéficient pleinement de la protection accordée par la </w:t>
      </w:r>
      <w:r w:rsidRPr="00D84730">
        <w:rPr>
          <w:rFonts w:cs="Times New Roman"/>
          <w:i/>
          <w:lang w:val="fr-CA"/>
        </w:rPr>
        <w:t>Charte</w:t>
      </w:r>
      <w:r w:rsidRPr="00D84730">
        <w:rPr>
          <w:rFonts w:cs="Times New Roman"/>
          <w:lang w:val="fr-CA"/>
        </w:rPr>
        <w:t> » (je souligne). L’interprétation de l’al. 2</w:t>
      </w:r>
      <w:r w:rsidRPr="00D84730">
        <w:rPr>
          <w:rFonts w:cs="Times New Roman"/>
          <w:i/>
          <w:lang w:val="fr-CA"/>
        </w:rPr>
        <w:t>a</w:t>
      </w:r>
      <w:r w:rsidRPr="00D84730">
        <w:rPr>
          <w:rFonts w:cs="Times New Roman"/>
          <w:lang w:val="fr-CA"/>
        </w:rPr>
        <w:t>) doit donc tenir compte de son objet, qui est d’« assurer que la société ne s’ingérera pas dans les croyances intimes profondes qui régissent la perception qu’on a de soi, de l’humanité, de la nature et, dans certains cas, d’un être supérieur ou différent » (</w:t>
      </w:r>
      <w:r w:rsidRPr="00D84730">
        <w:rPr>
          <w:rFonts w:cs="Times New Roman"/>
          <w:i/>
          <w:lang w:val="fr-CA"/>
        </w:rPr>
        <w:t xml:space="preserve">R. c. </w:t>
      </w:r>
      <w:r w:rsidRPr="00D84730">
        <w:rPr>
          <w:rFonts w:cs="Times New Roman"/>
          <w:i/>
          <w:iCs/>
          <w:lang w:val="fr-CA"/>
        </w:rPr>
        <w:t>Edwards Books and Art Ltd.</w:t>
      </w:r>
      <w:r w:rsidRPr="00D84730">
        <w:rPr>
          <w:rFonts w:cs="Times New Roman"/>
          <w:iCs/>
          <w:lang w:val="fr-CA"/>
        </w:rPr>
        <w:t>, [1986] 2 R.C.S. 713, p. 759</w:t>
      </w:r>
      <w:r w:rsidRPr="00D84730">
        <w:rPr>
          <w:rFonts w:cs="Times New Roman"/>
          <w:lang w:val="fr-CA"/>
        </w:rPr>
        <w:t>).</w:t>
      </w:r>
    </w:p>
    <w:p w:rsidR="00094732" w:rsidRPr="00D84730" w:rsidRDefault="00094732" w:rsidP="0055329A">
      <w:pPr>
        <w:pStyle w:val="ParaNoNdepar-AltN"/>
        <w:widowControl w:val="0"/>
        <w:rPr>
          <w:rFonts w:cs="Times New Roman"/>
          <w:lang w:val="fr-CA"/>
        </w:rPr>
      </w:pPr>
      <w:r w:rsidRPr="00D84730">
        <w:rPr>
          <w:rFonts w:cs="Times New Roman"/>
          <w:lang w:val="fr-CA"/>
        </w:rPr>
        <w:t xml:space="preserve">À la lumière de cet objet, la Cour a formulé un critère à deux volets permettant de décider s’il y a eu </w:t>
      </w:r>
      <w:r>
        <w:rPr>
          <w:rFonts w:cs="Times New Roman"/>
          <w:lang w:val="fr-CA"/>
        </w:rPr>
        <w:t>contravention</w:t>
      </w:r>
      <w:r w:rsidRPr="00D84730">
        <w:rPr>
          <w:rFonts w:cs="Times New Roman"/>
          <w:lang w:val="fr-CA"/>
        </w:rPr>
        <w:t xml:space="preserve"> à l’al. 2</w:t>
      </w:r>
      <w:r w:rsidRPr="00D84730">
        <w:rPr>
          <w:rFonts w:cs="Times New Roman"/>
          <w:i/>
          <w:lang w:val="fr-CA"/>
        </w:rPr>
        <w:t>a</w:t>
      </w:r>
      <w:r w:rsidRPr="00D84730">
        <w:rPr>
          <w:rFonts w:cs="Times New Roman"/>
          <w:lang w:val="fr-CA"/>
        </w:rPr>
        <w:t>). Le demandeur doit démontrer : (1) qu’il croit sincèrement à une croyance ou à une pratique ayant un lien avec la religion et (2) que la conduite reprochée nuit « d’une manière plus que négligeable ou insignifiante » à sa capacité de se conformer à cette croyance ou pratique (</w:t>
      </w:r>
      <w:r w:rsidRPr="00D84730">
        <w:rPr>
          <w:rFonts w:cs="Times New Roman"/>
          <w:i/>
          <w:lang w:val="fr-CA"/>
        </w:rPr>
        <w:t>Syndicat Northcrest c. Amselem</w:t>
      </w:r>
      <w:r w:rsidRPr="00D84730">
        <w:rPr>
          <w:rFonts w:cs="Times New Roman"/>
          <w:lang w:val="fr-CA"/>
        </w:rPr>
        <w:t>, 2004 CSC 47, [2004] 2 R.C.S. 551, par. </w:t>
      </w:r>
      <w:r w:rsidR="007A12AF">
        <w:rPr>
          <w:rFonts w:cs="Times New Roman"/>
          <w:lang w:val="fr-CA"/>
        </w:rPr>
        <w:t>59</w:t>
      </w:r>
      <w:r w:rsidR="001B3746">
        <w:rPr>
          <w:rFonts w:cs="Times New Roman"/>
          <w:lang w:val="fr-CA"/>
        </w:rPr>
        <w:t xml:space="preserve"> (soulignement omis)</w:t>
      </w:r>
      <w:r w:rsidRPr="00D84730">
        <w:rPr>
          <w:rFonts w:cs="Times New Roman"/>
          <w:lang w:val="fr-CA"/>
        </w:rPr>
        <w:t xml:space="preserve">; </w:t>
      </w:r>
      <w:r w:rsidRPr="00D84730">
        <w:rPr>
          <w:rFonts w:cs="Times New Roman"/>
          <w:i/>
          <w:lang w:val="fr-CA"/>
        </w:rPr>
        <w:t>Multani c. Commission scolaire Marguerite</w:t>
      </w:r>
      <w:r w:rsidRPr="00D84730">
        <w:rPr>
          <w:rFonts w:cs="Times New Roman"/>
          <w:i/>
          <w:lang w:val="fr-CA"/>
        </w:rPr>
        <w:noBreakHyphen/>
        <w:t>Bourgeoys</w:t>
      </w:r>
      <w:r w:rsidRPr="00D84730">
        <w:rPr>
          <w:rFonts w:cs="Times New Roman"/>
          <w:lang w:val="fr-CA"/>
        </w:rPr>
        <w:t>,</w:t>
      </w:r>
      <w:r w:rsidRPr="00D84730">
        <w:rPr>
          <w:rFonts w:cs="Times New Roman"/>
          <w:i/>
          <w:lang w:val="fr-CA"/>
        </w:rPr>
        <w:t xml:space="preserve"> </w:t>
      </w:r>
      <w:r w:rsidRPr="00D84730">
        <w:rPr>
          <w:rFonts w:cs="Times New Roman"/>
          <w:lang w:val="fr-CA"/>
        </w:rPr>
        <w:t xml:space="preserve">2006 CSC 6, [2006] 1 R.C.S. 256, par. 34; </w:t>
      </w:r>
      <w:r w:rsidRPr="00D84730">
        <w:rPr>
          <w:rFonts w:cs="Times New Roman"/>
          <w:i/>
          <w:lang w:val="fr-CA"/>
        </w:rPr>
        <w:t>Alberta c. Hutterian Brethren of Wilson Colony</w:t>
      </w:r>
      <w:r w:rsidRPr="00D84730">
        <w:rPr>
          <w:rFonts w:cs="Times New Roman"/>
          <w:lang w:val="fr-CA"/>
        </w:rPr>
        <w:t>,</w:t>
      </w:r>
      <w:r w:rsidRPr="00D84730">
        <w:rPr>
          <w:rFonts w:cs="Times New Roman"/>
          <w:i/>
          <w:lang w:val="fr-CA"/>
        </w:rPr>
        <w:t xml:space="preserve"> </w:t>
      </w:r>
      <w:r w:rsidRPr="00D84730">
        <w:rPr>
          <w:rFonts w:cs="Times New Roman"/>
          <w:lang w:val="fr-CA"/>
        </w:rPr>
        <w:t xml:space="preserve">2009 CSC 37, [2009] 2 R.C.S. 567, par. 32). </w:t>
      </w:r>
    </w:p>
    <w:p w:rsidR="00094732" w:rsidRPr="00D84730" w:rsidRDefault="00094732" w:rsidP="0055329A">
      <w:pPr>
        <w:pStyle w:val="ParaNoNdepar-AltN"/>
        <w:widowControl w:val="0"/>
        <w:rPr>
          <w:rFonts w:cs="Times New Roman"/>
          <w:lang w:val="fr-CA"/>
        </w:rPr>
      </w:pPr>
      <w:r w:rsidRPr="00D84730">
        <w:rPr>
          <w:rFonts w:cs="Times New Roman"/>
          <w:lang w:val="fr-CA"/>
        </w:rPr>
        <w:lastRenderedPageBreak/>
        <w:t>Le premier volet du critère n’est pas en litige dans la présente affaire. Aucune des parties ne conteste le fait que les Ktunaxa croient sincèrement que l’Esprit de l’Ours Grizzly vit dans le Qat’muk et que tout aménagement permanent en chasserait cet esprit, profanerait le terrain et romprait le lien spirituel qui l’unit aux Ktunaxa. La question principale soulevée par le présent pourvoi touche le second volet du critère. La Juge en chef et le juge Rowe affirment que la décision du Ministre ne nuit pas à la capacité des Ktunaxa de se conformer à leurs croyances ou pratiques religieuses. Soit dit en tout respect, je ne partage pas leur avis. Comme je l’expliquerai, la décision du Ministre me semble nuire d’une manière plus que négligeable ou insignifiante à la capacité des Ktunaxa de se conformer à leurs croyances et pratiques religieuses, et la revendication des Ktunaxa relève donc de l’al. 2</w:t>
      </w:r>
      <w:r w:rsidRPr="00D84730">
        <w:rPr>
          <w:rFonts w:cs="Times New Roman"/>
          <w:i/>
          <w:lang w:val="fr-CA"/>
        </w:rPr>
        <w:t>a</w:t>
      </w:r>
      <w:r w:rsidRPr="00D84730">
        <w:rPr>
          <w:rFonts w:cs="Times New Roman"/>
          <w:lang w:val="fr-CA"/>
        </w:rPr>
        <w:t xml:space="preserve">). </w:t>
      </w:r>
    </w:p>
    <w:p w:rsidR="00094732" w:rsidRPr="00D84730" w:rsidRDefault="00094732" w:rsidP="0055329A">
      <w:pPr>
        <w:pStyle w:val="Title3LevelTitre3Niveau"/>
        <w:widowControl w:val="0"/>
        <w:numPr>
          <w:ilvl w:val="2"/>
          <w:numId w:val="26"/>
        </w:numPr>
        <w:jc w:val="both"/>
        <w:rPr>
          <w:rFonts w:cs="Times New Roman"/>
          <w:lang w:val="fr-CA"/>
        </w:rPr>
      </w:pPr>
      <w:r w:rsidRPr="00D84730">
        <w:rPr>
          <w:rFonts w:cs="Times New Roman"/>
          <w:lang w:val="fr-CA"/>
        </w:rPr>
        <w:t xml:space="preserve">La capacité de se conformer à une croyance ou pratique religieuse </w:t>
      </w:r>
    </w:p>
    <w:p w:rsidR="00094732" w:rsidRPr="00D84730" w:rsidRDefault="00094732" w:rsidP="0055329A">
      <w:pPr>
        <w:pStyle w:val="ParaNoNdepar-AltN"/>
        <w:widowControl w:val="0"/>
        <w:rPr>
          <w:rFonts w:cs="Times New Roman"/>
          <w:lang w:val="fr-CA"/>
        </w:rPr>
      </w:pPr>
      <w:r w:rsidRPr="00D84730">
        <w:rPr>
          <w:rFonts w:cs="Times New Roman"/>
          <w:lang w:val="fr-CA"/>
        </w:rPr>
        <w:t>Rappelons que l’analyse fondée sur l’al. 2</w:t>
      </w:r>
      <w:r w:rsidRPr="00D84730">
        <w:rPr>
          <w:rFonts w:cs="Times New Roman"/>
          <w:i/>
          <w:lang w:val="fr-CA"/>
        </w:rPr>
        <w:t>a</w:t>
      </w:r>
      <w:r w:rsidRPr="00D84730">
        <w:rPr>
          <w:rFonts w:cs="Times New Roman"/>
          <w:lang w:val="fr-CA"/>
        </w:rPr>
        <w:t>) s’attache au point de savoir si une mesure étatique a nui à la capacité d’une personne de se conformer à ses croyances ou pratiques religieuses. La Cour a reconnu que les croyances religieuses sont « de profondes [. . .] convictions volontaires, [. . .] qui sont intégralement liées à la façon dont [l’individu] se définit et s’épanouit spirituellement », tandis que les pratiques religieuses « permettent à l’individu de communiquer avec l’être divin » (</w:t>
      </w:r>
      <w:r w:rsidRPr="00D84730">
        <w:rPr>
          <w:rFonts w:cs="Times New Roman"/>
          <w:i/>
          <w:lang w:val="fr-CA"/>
        </w:rPr>
        <w:t>Amselem</w:t>
      </w:r>
      <w:r w:rsidRPr="00D84730">
        <w:rPr>
          <w:rFonts w:cs="Times New Roman"/>
          <w:lang w:val="fr-CA"/>
        </w:rPr>
        <w:t xml:space="preserve">, par. 39). À mon avis, si la croyance religieuse d’une personne ne lui offre plus d’épanouissement spirituel, ou si sa pratique religieuse ne lui permet plus de communiquer avec l’être divin, cette personne ne peut se conformer à ses croyances ou </w:t>
      </w:r>
      <w:r w:rsidRPr="00D84730">
        <w:rPr>
          <w:rFonts w:cs="Times New Roman"/>
          <w:lang w:val="fr-CA"/>
        </w:rPr>
        <w:lastRenderedPageBreak/>
        <w:t xml:space="preserve">pratiques </w:t>
      </w:r>
      <w:r w:rsidRPr="00D84730">
        <w:rPr>
          <w:rFonts w:cs="Times New Roman"/>
          <w:i/>
          <w:lang w:val="fr-CA"/>
        </w:rPr>
        <w:t>religieuses</w:t>
      </w:r>
      <w:r w:rsidRPr="00D84730">
        <w:rPr>
          <w:rFonts w:cs="Times New Roman"/>
          <w:lang w:val="fr-CA"/>
        </w:rPr>
        <w:t xml:space="preserve">, car elles ont perdu toute signification religieuse. Bien qu’une personne puisse toujours professer une croyance en particulier ou s’adonner à un rite donné, cette croyance ou ce rite n’aurait aucune signification religieuse pour elle. </w:t>
      </w:r>
    </w:p>
    <w:p w:rsidR="00094732" w:rsidRPr="00D84730" w:rsidRDefault="00094732" w:rsidP="0055329A">
      <w:pPr>
        <w:pStyle w:val="ParaNoNdepar-AltN"/>
        <w:widowControl w:val="0"/>
        <w:rPr>
          <w:rFonts w:cs="Times New Roman"/>
          <w:szCs w:val="24"/>
          <w:lang w:val="fr-CA"/>
        </w:rPr>
      </w:pPr>
      <w:r w:rsidRPr="00D84730">
        <w:rPr>
          <w:rFonts w:cs="Times New Roman"/>
          <w:lang w:val="fr-CA"/>
        </w:rPr>
        <w:t>Il en va de même de la capacité d’une personne de transmettre des croyances et des pratiques aux générations futures. La Cour a reconnu que la capacité des membres d’une communauté religieuse de transmettre leurs croyances à leurs enfants est un aspect essentiel de la liberté de religion protégé par l’al. 2</w:t>
      </w:r>
      <w:r w:rsidRPr="00D84730">
        <w:rPr>
          <w:rFonts w:cs="Times New Roman"/>
          <w:i/>
          <w:lang w:val="fr-CA"/>
        </w:rPr>
        <w:t>a</w:t>
      </w:r>
      <w:r w:rsidRPr="00D84730">
        <w:rPr>
          <w:rFonts w:cs="Times New Roman"/>
          <w:lang w:val="fr-CA"/>
        </w:rPr>
        <w:t>) (</w:t>
      </w:r>
      <w:r w:rsidRPr="00D84730">
        <w:rPr>
          <w:rFonts w:cs="Times New Roman"/>
          <w:i/>
          <w:iCs/>
          <w:lang w:val="fr-CA"/>
        </w:rPr>
        <w:t>Loyola</w:t>
      </w:r>
      <w:r w:rsidRPr="00D84730">
        <w:rPr>
          <w:rFonts w:cs="Times New Roman"/>
          <w:iCs/>
          <w:lang w:val="fr-CA"/>
        </w:rPr>
        <w:t>, par. </w:t>
      </w:r>
      <w:r w:rsidRPr="00D84730">
        <w:rPr>
          <w:rFonts w:cs="Times New Roman"/>
          <w:lang w:val="fr-CA"/>
        </w:rPr>
        <w:t xml:space="preserve">64 et 67). Lorsqu’une mesure étatique prive de toute signification spirituelle une certaine croyance ou pratique, cela nuit à la capacité d’une personne de transmettre cette tradition aux générations futures, car il ne servirait à rien de poursuivre une tradition dénuée de signification spirituelle. </w:t>
      </w:r>
    </w:p>
    <w:p w:rsidR="00094732" w:rsidRPr="00D84730" w:rsidRDefault="00094732" w:rsidP="0055329A">
      <w:pPr>
        <w:pStyle w:val="ParaNoNdepar-AltN"/>
        <w:widowControl w:val="0"/>
        <w:rPr>
          <w:rFonts w:cs="Times New Roman"/>
          <w:szCs w:val="24"/>
          <w:lang w:val="fr-CA"/>
        </w:rPr>
      </w:pPr>
      <w:r w:rsidRPr="00D84730">
        <w:rPr>
          <w:rFonts w:cs="Times New Roman"/>
          <w:lang w:val="fr-CA"/>
        </w:rPr>
        <w:t xml:space="preserve">Ainsi, lorsqu’une mesure étatique enlève à des croyances ou pratiques leur signification spirituelle, cela nuit à la capacité d’une personne de se conformer à ses croyances ou pratiques religieuses, que ce soit en professant une croyance, en se livrant à un rite ou en transmettant des traditions aux générations futures. </w:t>
      </w:r>
    </w:p>
    <w:p w:rsidR="00094732" w:rsidRPr="00D84730" w:rsidRDefault="00094732" w:rsidP="0055329A">
      <w:pPr>
        <w:pStyle w:val="ParaNoNdepar-AltN"/>
        <w:widowControl w:val="0"/>
        <w:rPr>
          <w:rFonts w:cs="Times New Roman"/>
          <w:lang w:val="fr-CA"/>
        </w:rPr>
      </w:pPr>
      <w:r w:rsidRPr="00D84730">
        <w:rPr>
          <w:rFonts w:cs="Times New Roman"/>
          <w:lang w:val="fr-CA"/>
        </w:rPr>
        <w:t>Ce type d’ingérence de l’État est une réalité lorsque les citoyens s’épanouissent spirituellement par le lien qui les unit au monde concret. Le lien au monde concret, particulièrement à la terre, est un élément primordial des religions autochtones. En effet, comme l’explique M.</w:t>
      </w:r>
      <w:r w:rsidR="00EE0D52">
        <w:rPr>
          <w:rFonts w:cs="Times New Roman"/>
          <w:lang w:val="fr-CA"/>
        </w:rPr>
        <w:t xml:space="preserve"> </w:t>
      </w:r>
      <w:r w:rsidRPr="00D84730">
        <w:rPr>
          <w:rFonts w:cs="Times New Roman"/>
          <w:lang w:val="fr-CA"/>
        </w:rPr>
        <w:t>L. Ross, [</w:t>
      </w:r>
      <w:r w:rsidRPr="00D84730">
        <w:rPr>
          <w:rFonts w:cs="Times New Roman"/>
          <w:smallCaps/>
          <w:lang w:val="fr-CA"/>
        </w:rPr>
        <w:t>traduction</w:t>
      </w:r>
      <w:r w:rsidRPr="00D84730">
        <w:rPr>
          <w:rFonts w:cs="Times New Roman"/>
          <w:lang w:val="fr-CA"/>
        </w:rPr>
        <w:t>] « la spiritualit</w:t>
      </w:r>
      <w:r w:rsidR="00FE2FC4">
        <w:rPr>
          <w:rFonts w:cs="Times New Roman"/>
          <w:lang w:val="fr-CA"/>
        </w:rPr>
        <w:t>é et la religion des Premières N</w:t>
      </w:r>
      <w:r w:rsidRPr="00D84730">
        <w:rPr>
          <w:rFonts w:cs="Times New Roman"/>
          <w:lang w:val="fr-CA"/>
        </w:rPr>
        <w:t xml:space="preserve">ations sont </w:t>
      </w:r>
      <w:r w:rsidRPr="00D84730">
        <w:rPr>
          <w:rFonts w:cs="Times New Roman"/>
          <w:u w:val="single"/>
          <w:lang w:val="fr-CA"/>
        </w:rPr>
        <w:t>ancrées dans la terre</w:t>
      </w:r>
      <w:r w:rsidRPr="00D84730">
        <w:rPr>
          <w:rFonts w:cs="Times New Roman"/>
          <w:lang w:val="fr-CA"/>
        </w:rPr>
        <w:t> » (</w:t>
      </w:r>
      <w:r w:rsidRPr="00D84730">
        <w:rPr>
          <w:rFonts w:cs="Times New Roman"/>
          <w:i/>
          <w:iCs/>
          <w:lang w:val="fr-CA"/>
        </w:rPr>
        <w:t xml:space="preserve">First Nations Sacred Sites in Canada’s Courts </w:t>
      </w:r>
      <w:r w:rsidRPr="00D84730">
        <w:rPr>
          <w:rFonts w:cs="Times New Roman"/>
          <w:iCs/>
          <w:lang w:val="fr-CA"/>
        </w:rPr>
        <w:t>(2005)</w:t>
      </w:r>
      <w:r w:rsidR="003414BD">
        <w:rPr>
          <w:rFonts w:cs="Times New Roman"/>
          <w:iCs/>
          <w:lang w:val="fr-CA"/>
        </w:rPr>
        <w:t>,</w:t>
      </w:r>
      <w:r w:rsidR="003414BD">
        <w:rPr>
          <w:rFonts w:cs="Times New Roman"/>
          <w:lang w:val="fr-CA"/>
        </w:rPr>
        <w:t xml:space="preserve"> p. 3</w:t>
      </w:r>
      <w:r w:rsidRPr="00D84730">
        <w:rPr>
          <w:rFonts w:cs="Times New Roman"/>
          <w:lang w:val="fr-CA"/>
        </w:rPr>
        <w:t xml:space="preserve"> (je souligne)). Dans de nombreuses religions </w:t>
      </w:r>
      <w:r w:rsidRPr="00D84730">
        <w:rPr>
          <w:rFonts w:cs="Times New Roman"/>
          <w:lang w:val="fr-CA"/>
        </w:rPr>
        <w:lastRenderedPageBreak/>
        <w:t xml:space="preserve">autochtones, la terre est non seulement le lieu où s’exercent des pratiques spirituelles au même titre que peut l’être une église, une mosquée ou un lieu saint; la terre peut </w:t>
      </w:r>
      <w:r w:rsidRPr="00D84730">
        <w:rPr>
          <w:rFonts w:cs="Times New Roman"/>
          <w:i/>
          <w:lang w:val="fr-CA"/>
        </w:rPr>
        <w:t>elle</w:t>
      </w:r>
      <w:r w:rsidRPr="00D84730">
        <w:rPr>
          <w:rFonts w:cs="Times New Roman"/>
          <w:i/>
          <w:lang w:val="fr-CA"/>
        </w:rPr>
        <w:noBreakHyphen/>
        <w:t>même</w:t>
      </w:r>
      <w:r w:rsidRPr="00D84730">
        <w:rPr>
          <w:rFonts w:cs="Times New Roman"/>
          <w:lang w:val="fr-CA"/>
        </w:rPr>
        <w:t xml:space="preserve"> être sacrée, en ce sens que c’est là que l’être divin se manifeste. Contrairement aux fois judéo</w:t>
      </w:r>
      <w:r w:rsidRPr="00D84730">
        <w:rPr>
          <w:rFonts w:cs="Times New Roman"/>
          <w:lang w:val="fr-CA"/>
        </w:rPr>
        <w:noBreakHyphen/>
        <w:t xml:space="preserve">chrétiennes, par exemple, où l’être divin est perçu comme étant surnaturel, dans les fois autochtones, le domaine spirituel est inextricablement lié au monde concret. Du point de vue des religions autochtones, une mesure étatique qui touche la terre peut donc rompre le lien avec l’être divin, ce qui priverait les croyances et pratiques de leur signification spirituelle. La mesure étatique qui a cet effet sur une religion autochtone nuit à la capacité d’un croyant de se conformer à ses croyances et pratiques religieuses. </w:t>
      </w:r>
    </w:p>
    <w:p w:rsidR="00094732" w:rsidRPr="00D84730" w:rsidRDefault="00094732" w:rsidP="0055329A">
      <w:pPr>
        <w:pStyle w:val="ParaNoNdepar-AltN"/>
        <w:widowControl w:val="0"/>
        <w:rPr>
          <w:rFonts w:cs="Times New Roman"/>
          <w:lang w:val="fr-CA"/>
        </w:rPr>
      </w:pPr>
      <w:r w:rsidRPr="00D84730">
        <w:rPr>
          <w:rFonts w:cs="Times New Roman"/>
          <w:lang w:val="fr-CA"/>
        </w:rPr>
        <w:t xml:space="preserve">Il est crucial de prendre en compte cet élément des religions autochtones pour juger s’il y a eu </w:t>
      </w:r>
      <w:r>
        <w:rPr>
          <w:rFonts w:cs="Times New Roman"/>
          <w:lang w:val="fr-CA"/>
        </w:rPr>
        <w:t>contravention</w:t>
      </w:r>
      <w:r w:rsidRPr="00D84730">
        <w:rPr>
          <w:rFonts w:cs="Times New Roman"/>
          <w:lang w:val="fr-CA"/>
        </w:rPr>
        <w:t xml:space="preserve"> à l’al. 2</w:t>
      </w:r>
      <w:r w:rsidRPr="00D84730">
        <w:rPr>
          <w:rFonts w:cs="Times New Roman"/>
          <w:i/>
          <w:lang w:val="fr-CA"/>
        </w:rPr>
        <w:t>a</w:t>
      </w:r>
      <w:r w:rsidRPr="00D84730">
        <w:rPr>
          <w:rFonts w:cs="Times New Roman"/>
          <w:lang w:val="fr-CA"/>
        </w:rPr>
        <w:t xml:space="preserve">). Le principe de la neutralité de l’État exige que l’État ne favorise ni ne défavorise une religion aux dépens de l’autre (voir </w:t>
      </w:r>
      <w:r w:rsidRPr="00D84730">
        <w:rPr>
          <w:rFonts w:cs="Times New Roman"/>
          <w:i/>
          <w:iCs/>
          <w:lang w:val="fr-CA"/>
        </w:rPr>
        <w:t xml:space="preserve">S.L. c. Commission </w:t>
      </w:r>
      <w:r w:rsidRPr="00D84730">
        <w:rPr>
          <w:rFonts w:cs="Times New Roman"/>
          <w:i/>
          <w:lang w:val="fr-CA"/>
        </w:rPr>
        <w:t>scolaire</w:t>
      </w:r>
      <w:r w:rsidRPr="00D84730">
        <w:rPr>
          <w:rFonts w:cs="Times New Roman"/>
          <w:i/>
          <w:iCs/>
          <w:lang w:val="fr-CA"/>
        </w:rPr>
        <w:t xml:space="preserve"> des Chênes</w:t>
      </w:r>
      <w:r w:rsidRPr="00D84730">
        <w:rPr>
          <w:rFonts w:cs="Times New Roman"/>
          <w:lang w:val="fr-CA"/>
        </w:rPr>
        <w:t xml:space="preserve">, 2012 CSC 7, [2012] 1 R.C.S. 235, par. 32; </w:t>
      </w:r>
      <w:r w:rsidRPr="00D84730">
        <w:rPr>
          <w:rFonts w:cs="Times New Roman"/>
          <w:i/>
          <w:lang w:val="fr-CA"/>
        </w:rPr>
        <w:t>Mouvement laïque québécois c</w:t>
      </w:r>
      <w:r w:rsidRPr="00D84730">
        <w:rPr>
          <w:rFonts w:cs="Times New Roman"/>
          <w:i/>
          <w:iCs/>
          <w:lang w:val="fr-CA"/>
        </w:rPr>
        <w:t>.</w:t>
      </w:r>
      <w:r w:rsidRPr="00D84730">
        <w:rPr>
          <w:rFonts w:cs="Times New Roman"/>
          <w:i/>
          <w:lang w:val="fr-CA"/>
        </w:rPr>
        <w:t xml:space="preserve"> Saguenay (Ville)</w:t>
      </w:r>
      <w:r w:rsidRPr="00D84730">
        <w:rPr>
          <w:rFonts w:cs="Times New Roman"/>
          <w:lang w:val="fr-CA"/>
        </w:rPr>
        <w:t>,</w:t>
      </w:r>
      <w:r w:rsidRPr="00D84730">
        <w:rPr>
          <w:rFonts w:cs="Times New Roman"/>
          <w:i/>
          <w:lang w:val="fr-CA"/>
        </w:rPr>
        <w:t xml:space="preserve"> </w:t>
      </w:r>
      <w:r w:rsidR="00FE2FC4">
        <w:rPr>
          <w:rFonts w:cs="Times New Roman"/>
          <w:lang w:val="fr-CA"/>
        </w:rPr>
        <w:t>2015 CS</w:t>
      </w:r>
      <w:r w:rsidRPr="00D84730">
        <w:rPr>
          <w:rFonts w:cs="Times New Roman"/>
          <w:lang w:val="fr-CA"/>
        </w:rPr>
        <w:t>C 16, [2015] 2 R.C.S. 3, par. 72). Pour veiller à ce que l’al. 2</w:t>
      </w:r>
      <w:r w:rsidRPr="00D84730">
        <w:rPr>
          <w:rFonts w:cs="Times New Roman"/>
          <w:i/>
          <w:lang w:val="fr-CA"/>
        </w:rPr>
        <w:t>a</w:t>
      </w:r>
      <w:r w:rsidRPr="00D84730">
        <w:rPr>
          <w:rFonts w:cs="Times New Roman"/>
          <w:lang w:val="fr-CA"/>
        </w:rPr>
        <w:t xml:space="preserve">) accorde la même protection à toutes les religions, les tribunaux doivent être conscients des caractéristiques propres à chacune d’elles et </w:t>
      </w:r>
      <w:r w:rsidR="00FE2FC4">
        <w:rPr>
          <w:rFonts w:cs="Times New Roman"/>
          <w:lang w:val="fr-CA"/>
        </w:rPr>
        <w:t>de</w:t>
      </w:r>
      <w:r w:rsidR="00907034">
        <w:rPr>
          <w:rFonts w:cs="Times New Roman"/>
          <w:lang w:val="fr-CA"/>
        </w:rPr>
        <w:t>s</w:t>
      </w:r>
      <w:r w:rsidRPr="00D84730">
        <w:rPr>
          <w:rFonts w:cs="Times New Roman"/>
          <w:lang w:val="fr-CA"/>
        </w:rPr>
        <w:t xml:space="preserve"> différentes manières dont l’État peut nuire aux croyances ou pratiques de c</w:t>
      </w:r>
      <w:r w:rsidR="00FE2FC4">
        <w:rPr>
          <w:rFonts w:cs="Times New Roman"/>
          <w:lang w:val="fr-CA"/>
        </w:rPr>
        <w:t xml:space="preserve">haque </w:t>
      </w:r>
      <w:r w:rsidRPr="00D84730">
        <w:rPr>
          <w:rFonts w:cs="Times New Roman"/>
          <w:lang w:val="fr-CA"/>
        </w:rPr>
        <w:t>religion</w:t>
      </w:r>
      <w:r w:rsidRPr="00D84730">
        <w:rPr>
          <w:rFonts w:cs="Times New Roman"/>
          <w:iCs/>
          <w:lang w:val="fr-CA"/>
        </w:rPr>
        <w:t xml:space="preserve">. </w:t>
      </w:r>
    </w:p>
    <w:p w:rsidR="00094732" w:rsidRPr="00D84730" w:rsidRDefault="00094732" w:rsidP="0055329A">
      <w:pPr>
        <w:pStyle w:val="Title3LevelTitre3Niveau"/>
        <w:widowControl w:val="0"/>
        <w:numPr>
          <w:ilvl w:val="2"/>
          <w:numId w:val="26"/>
        </w:numPr>
        <w:jc w:val="both"/>
        <w:rPr>
          <w:rFonts w:cs="Times New Roman"/>
          <w:lang w:val="fr-CA"/>
        </w:rPr>
      </w:pPr>
      <w:r w:rsidRPr="00D84730">
        <w:rPr>
          <w:rFonts w:cs="Times New Roman"/>
          <w:lang w:val="fr-CA"/>
        </w:rPr>
        <w:t>La position de la Juge en chef et du juge Rowe sur la portée de l’al. 2</w:t>
      </w:r>
      <w:r w:rsidRPr="00D84730">
        <w:rPr>
          <w:rFonts w:cs="Times New Roman"/>
          <w:i/>
          <w:lang w:val="fr-CA"/>
        </w:rPr>
        <w:t>a</w:t>
      </w:r>
      <w:r w:rsidRPr="00D84730">
        <w:rPr>
          <w:rFonts w:cs="Times New Roman"/>
          <w:lang w:val="fr-CA"/>
        </w:rPr>
        <w:t xml:space="preserve">) </w:t>
      </w:r>
    </w:p>
    <w:p w:rsidR="00094732" w:rsidRPr="00D84730" w:rsidRDefault="00094732" w:rsidP="0055329A">
      <w:pPr>
        <w:pStyle w:val="ParaNoNdepar-AltN"/>
        <w:widowControl w:val="0"/>
        <w:rPr>
          <w:rFonts w:cs="Times New Roman"/>
          <w:lang w:val="fr-CA"/>
        </w:rPr>
      </w:pPr>
      <w:r w:rsidRPr="00D84730">
        <w:rPr>
          <w:rFonts w:cs="Times New Roman"/>
          <w:lang w:val="fr-CA"/>
        </w:rPr>
        <w:t xml:space="preserve">La Juge en chef et le juge Rowe voient les choses autrement. Selon eux, la </w:t>
      </w:r>
      <w:r w:rsidRPr="00D84730">
        <w:rPr>
          <w:rFonts w:cs="Times New Roman"/>
          <w:i/>
          <w:lang w:val="fr-CA"/>
        </w:rPr>
        <w:lastRenderedPageBreak/>
        <w:t>Charte</w:t>
      </w:r>
      <w:r w:rsidRPr="00D84730">
        <w:rPr>
          <w:rFonts w:cs="Times New Roman"/>
          <w:lang w:val="fr-CA"/>
        </w:rPr>
        <w:t xml:space="preserve"> protège la « liberté de culte », mais non ce qu’ils appellent le « point de mire spirituel du culte » (par. 71). Si je comprends bien la thèse de mes collègues, l’al. 2</w:t>
      </w:r>
      <w:r w:rsidRPr="00D84730">
        <w:rPr>
          <w:rFonts w:cs="Times New Roman"/>
          <w:i/>
          <w:lang w:val="fr-CA"/>
        </w:rPr>
        <w:t>a</w:t>
      </w:r>
      <w:r w:rsidRPr="00D84730">
        <w:rPr>
          <w:rFonts w:cs="Times New Roman"/>
          <w:lang w:val="fr-CA"/>
        </w:rPr>
        <w:t xml:space="preserve">) de la </w:t>
      </w:r>
      <w:r w:rsidRPr="00D84730">
        <w:rPr>
          <w:rFonts w:cs="Times New Roman"/>
          <w:i/>
          <w:lang w:val="fr-CA"/>
        </w:rPr>
        <w:t>Charte</w:t>
      </w:r>
      <w:r w:rsidRPr="00D84730">
        <w:rPr>
          <w:rFonts w:cs="Times New Roman"/>
          <w:lang w:val="fr-CA"/>
        </w:rPr>
        <w:t xml:space="preserve"> protège </w:t>
      </w:r>
      <w:r w:rsidRPr="00D84730">
        <w:rPr>
          <w:rFonts w:cs="Times New Roman"/>
          <w:i/>
          <w:lang w:val="fr-CA"/>
        </w:rPr>
        <w:t xml:space="preserve">uniquement </w:t>
      </w:r>
      <w:r w:rsidRPr="00D84730">
        <w:rPr>
          <w:rFonts w:cs="Times New Roman"/>
          <w:lang w:val="fr-CA"/>
        </w:rPr>
        <w:t xml:space="preserve">la liberté d’avoir des croyances et de les manifester par le culte et la pratique (par. 71). À leur avis, même si une mesure étatique a pour effet de priver des croyances et des pratiques de toute signification spirituelle, les demandeurs conservent néanmoins la liberté d’avoir des croyances et de les manifester en se livrant à des pratiques, et il n’y a donc pas atteinte à leur capacité de se conformer à leurs croyances. Par conséquent, selon la thèse de mes collègues, tant qu’un élève de religion sikhe peut porter un </w:t>
      </w:r>
      <w:r w:rsidRPr="00D84730">
        <w:rPr>
          <w:rFonts w:cs="Times New Roman"/>
          <w:iCs/>
          <w:lang w:val="fr-CA"/>
        </w:rPr>
        <w:t xml:space="preserve">kirpan à l’école </w:t>
      </w:r>
      <w:r w:rsidRPr="00D84730">
        <w:rPr>
          <w:rFonts w:cs="Times New Roman"/>
          <w:lang w:val="fr-CA"/>
        </w:rPr>
        <w:t>(</w:t>
      </w:r>
      <w:r w:rsidRPr="00D84730">
        <w:rPr>
          <w:rFonts w:cs="Times New Roman"/>
          <w:i/>
          <w:iCs/>
          <w:lang w:val="fr-CA"/>
        </w:rPr>
        <w:t>Multani</w:t>
      </w:r>
      <w:r w:rsidRPr="00D84730">
        <w:rPr>
          <w:rFonts w:cs="Times New Roman"/>
          <w:lang w:val="fr-CA"/>
        </w:rPr>
        <w:t>), que des Juifs orthodoxes peuvent ériger une souccah individuelle (</w:t>
      </w:r>
      <w:r w:rsidRPr="00D84730">
        <w:rPr>
          <w:rFonts w:cs="Times New Roman"/>
          <w:i/>
          <w:iCs/>
          <w:lang w:val="fr-CA"/>
        </w:rPr>
        <w:t>Amselem</w:t>
      </w:r>
      <w:r w:rsidRPr="00D84730">
        <w:rPr>
          <w:rFonts w:cs="Times New Roman"/>
          <w:lang w:val="fr-CA"/>
        </w:rPr>
        <w:t xml:space="preserve">), ou que les Ktunaxa peuvent tenir des cérémonies et des rituels, il n’y a pas </w:t>
      </w:r>
      <w:r>
        <w:rPr>
          <w:rFonts w:cs="Times New Roman"/>
          <w:lang w:val="fr-CA"/>
        </w:rPr>
        <w:t>contravention</w:t>
      </w:r>
      <w:r w:rsidRPr="00D84730">
        <w:rPr>
          <w:rFonts w:cs="Times New Roman"/>
          <w:lang w:val="fr-CA"/>
        </w:rPr>
        <w:t xml:space="preserve"> à l’al. 2</w:t>
      </w:r>
      <w:r w:rsidRPr="00D84730">
        <w:rPr>
          <w:rFonts w:cs="Times New Roman"/>
          <w:i/>
          <w:lang w:val="fr-CA"/>
        </w:rPr>
        <w:t>a</w:t>
      </w:r>
      <w:r w:rsidRPr="00D84730">
        <w:rPr>
          <w:rFonts w:cs="Times New Roman"/>
          <w:lang w:val="fr-CA"/>
        </w:rPr>
        <w:t xml:space="preserve">) même si la mesure étatique a pour effet de vider ces gestes de tout sens. </w:t>
      </w:r>
    </w:p>
    <w:p w:rsidR="00094732" w:rsidRPr="00D84730" w:rsidRDefault="00094732" w:rsidP="0055329A">
      <w:pPr>
        <w:pStyle w:val="ParaNoNdepar-AltN"/>
        <w:widowControl w:val="0"/>
        <w:rPr>
          <w:rFonts w:cs="Times New Roman"/>
          <w:szCs w:val="24"/>
          <w:lang w:val="fr-CA"/>
        </w:rPr>
      </w:pPr>
      <w:r w:rsidRPr="00D84730">
        <w:rPr>
          <w:rFonts w:cs="Times New Roman"/>
          <w:lang w:val="fr-CA"/>
        </w:rPr>
        <w:t>Je ne peux souscrire à une interprétation aussi restrictive de l’al. 2</w:t>
      </w:r>
      <w:r w:rsidRPr="00D84730">
        <w:rPr>
          <w:rFonts w:cs="Times New Roman"/>
          <w:i/>
          <w:lang w:val="fr-CA"/>
        </w:rPr>
        <w:t>a</w:t>
      </w:r>
      <w:r w:rsidRPr="00D84730">
        <w:rPr>
          <w:rFonts w:cs="Times New Roman"/>
          <w:lang w:val="fr-CA"/>
        </w:rPr>
        <w:t xml:space="preserve">). Comme je l’ai mentionné, lorsqu’une croyance ou pratique est dénuée de signification spirituelle, il y a manifestement atteinte à la capacité de se conformer à cette croyance ou pratique </w:t>
      </w:r>
      <w:r w:rsidRPr="00D84730">
        <w:rPr>
          <w:rFonts w:cs="Times New Roman"/>
          <w:i/>
          <w:lang w:val="fr-CA"/>
        </w:rPr>
        <w:t>religieuse</w:t>
      </w:r>
      <w:r w:rsidRPr="00D84730">
        <w:rPr>
          <w:rFonts w:cs="Times New Roman"/>
          <w:lang w:val="fr-CA"/>
        </w:rPr>
        <w:t>. L’alinéa 2</w:t>
      </w:r>
      <w:r w:rsidRPr="00D84730">
        <w:rPr>
          <w:rFonts w:cs="Times New Roman"/>
          <w:i/>
          <w:lang w:val="fr-CA"/>
        </w:rPr>
        <w:t>a</w:t>
      </w:r>
      <w:r w:rsidRPr="00D84730">
        <w:rPr>
          <w:rFonts w:cs="Times New Roman"/>
          <w:lang w:val="fr-CA"/>
        </w:rPr>
        <w:t xml:space="preserve">) ne protège donc pas seulement la liberté d’avoir une croyance et de la manifester en se livrant à des pratiques religieuses. D’ailleurs, comme l’a souligné la Cour dans </w:t>
      </w:r>
      <w:r w:rsidRPr="00D84730">
        <w:rPr>
          <w:rFonts w:cs="Times New Roman"/>
          <w:i/>
          <w:lang w:val="fr-CA"/>
        </w:rPr>
        <w:t>Amselem</w:t>
      </w:r>
      <w:r w:rsidRPr="00D84730">
        <w:rPr>
          <w:rFonts w:cs="Times New Roman"/>
          <w:lang w:val="fr-CA"/>
        </w:rPr>
        <w:t>, « [c]’est le caractère religieux ou spirituel d’un acte » qui entraîne la protection de l’al. 2</w:t>
      </w:r>
      <w:r w:rsidRPr="00D84730">
        <w:rPr>
          <w:rFonts w:cs="Times New Roman"/>
          <w:i/>
          <w:lang w:val="fr-CA"/>
        </w:rPr>
        <w:t>a</w:t>
      </w:r>
      <w:r w:rsidRPr="00D84730">
        <w:rPr>
          <w:rFonts w:cs="Times New Roman"/>
          <w:lang w:val="fr-CA"/>
        </w:rPr>
        <w:t xml:space="preserve">) (par. 47). J’estime que l’approche adoptée par mes collègues fait abstraction de ce point capital. Elle ne tient pas compte du fait que, si une croyance ou pratique perd sa signification spirituelle, il est fort peu probable qu’une personne conserve cette croyance ou se livre toujours à cette pratique. </w:t>
      </w:r>
      <w:r w:rsidRPr="00D84730">
        <w:rPr>
          <w:rFonts w:cs="Times New Roman"/>
          <w:lang w:val="fr-CA"/>
        </w:rPr>
        <w:lastRenderedPageBreak/>
        <w:t>En effet, cette personne n’aurait aucune raison de le faire. Soit dit en tout respect, l’approche de mes collègues revient à protéger des gestes vains et des rites vides de sens plutôt qu’à se prémunir contre la conduite de l’État qui nuit à des « croyances intimes profondes », le véritable objet de la protection accordée par l’al. 2</w:t>
      </w:r>
      <w:r w:rsidRPr="00D84730">
        <w:rPr>
          <w:rFonts w:cs="Times New Roman"/>
          <w:i/>
          <w:lang w:val="fr-CA"/>
        </w:rPr>
        <w:t>a</w:t>
      </w:r>
      <w:r w:rsidRPr="00D84730">
        <w:rPr>
          <w:rFonts w:cs="Times New Roman"/>
          <w:lang w:val="fr-CA"/>
        </w:rPr>
        <w:t>) (</w:t>
      </w:r>
      <w:r w:rsidRPr="00D84730">
        <w:rPr>
          <w:rFonts w:cs="Times New Roman"/>
          <w:i/>
          <w:lang w:val="fr-CA"/>
        </w:rPr>
        <w:t>Edwards Books</w:t>
      </w:r>
      <w:r w:rsidRPr="00D84730">
        <w:rPr>
          <w:rFonts w:cs="Times New Roman"/>
          <w:lang w:val="fr-CA"/>
        </w:rPr>
        <w:t>, p. 759).</w:t>
      </w:r>
    </w:p>
    <w:p w:rsidR="00094732" w:rsidRPr="00D84730" w:rsidRDefault="00094732" w:rsidP="0055329A">
      <w:pPr>
        <w:pStyle w:val="ParaNoNdepar-AltN"/>
        <w:widowControl w:val="0"/>
        <w:rPr>
          <w:rFonts w:cs="Times New Roman"/>
          <w:lang w:val="fr-CA"/>
        </w:rPr>
      </w:pPr>
      <w:r w:rsidRPr="00D84730">
        <w:rPr>
          <w:rFonts w:cs="Times New Roman"/>
          <w:lang w:val="fr-CA"/>
        </w:rPr>
        <w:t>Cette approche risque aussi d’exclure des revendications territoriales autochtones fondées sur la liberté de religion de la protection accordée par l’al. 2</w:t>
      </w:r>
      <w:r w:rsidRPr="00D84730">
        <w:rPr>
          <w:rFonts w:cs="Times New Roman"/>
          <w:i/>
          <w:lang w:val="fr-CA"/>
        </w:rPr>
        <w:t>a</w:t>
      </w:r>
      <w:r w:rsidRPr="00D84730">
        <w:rPr>
          <w:rFonts w:cs="Times New Roman"/>
          <w:lang w:val="fr-CA"/>
        </w:rPr>
        <w:t>).</w:t>
      </w:r>
      <w:r w:rsidRPr="00D84730">
        <w:rPr>
          <w:rFonts w:cs="Times New Roman"/>
          <w:b/>
          <w:lang w:val="fr-CA"/>
        </w:rPr>
        <w:t xml:space="preserve"> </w:t>
      </w:r>
      <w:r w:rsidRPr="00D84730">
        <w:rPr>
          <w:rFonts w:cs="Times New Roman"/>
          <w:lang w:val="fr-CA"/>
        </w:rPr>
        <w:t>Comme je l’ai</w:t>
      </w:r>
      <w:r w:rsidRPr="00D84730">
        <w:rPr>
          <w:rFonts w:cs="Times New Roman"/>
          <w:b/>
          <w:lang w:val="fr-CA"/>
        </w:rPr>
        <w:t xml:space="preserve"> </w:t>
      </w:r>
      <w:r w:rsidRPr="00D84730">
        <w:rPr>
          <w:rFonts w:cs="Times New Roman"/>
          <w:lang w:val="fr-CA"/>
        </w:rPr>
        <w:t>mentionné, un lien inextricable unit la spiritualité et la terre dans les traditions religieuses autochtones. Dans ces conditions, une mesure étatique qui touche la terre peut rompre le lien spirituel avec l’être divin et priver ainsi les croyances et pratiques autochtones de leur signification spirituelle. Mes collègues n’ont pas tenu compte de cette caractéristique unique et centrale de la religion autochtone. Leur approche risque donc d’exclure des éléments importants de traditions religieuses autochtones de la protection accordée par l’al. 2</w:t>
      </w:r>
      <w:r w:rsidRPr="00D84730">
        <w:rPr>
          <w:rFonts w:cs="Times New Roman"/>
          <w:i/>
          <w:lang w:val="fr-CA"/>
        </w:rPr>
        <w:t>a</w:t>
      </w:r>
      <w:r w:rsidRPr="00D84730">
        <w:rPr>
          <w:rFonts w:cs="Times New Roman"/>
          <w:lang w:val="fr-CA"/>
        </w:rPr>
        <w:t xml:space="preserve">) de la </w:t>
      </w:r>
      <w:r w:rsidRPr="00D84730">
        <w:rPr>
          <w:rFonts w:cs="Times New Roman"/>
          <w:i/>
          <w:lang w:val="fr-CA"/>
        </w:rPr>
        <w:t>Charte</w:t>
      </w:r>
      <w:r w:rsidRPr="00D84730">
        <w:rPr>
          <w:rFonts w:cs="Times New Roman"/>
          <w:lang w:val="fr-CA"/>
        </w:rPr>
        <w:t xml:space="preserve">. </w:t>
      </w:r>
    </w:p>
    <w:p w:rsidR="00094732" w:rsidRPr="00D84730" w:rsidRDefault="00094732" w:rsidP="0055329A">
      <w:pPr>
        <w:pStyle w:val="Title3LevelTitre3Niveau"/>
        <w:widowControl w:val="0"/>
        <w:numPr>
          <w:ilvl w:val="2"/>
          <w:numId w:val="26"/>
        </w:numPr>
        <w:jc w:val="both"/>
        <w:rPr>
          <w:rFonts w:cs="Times New Roman"/>
          <w:lang w:val="fr-CA"/>
        </w:rPr>
      </w:pPr>
      <w:r w:rsidRPr="00D84730">
        <w:rPr>
          <w:rFonts w:cs="Times New Roman"/>
          <w:lang w:val="fr-CA"/>
        </w:rPr>
        <w:t>La décision du Ministre porte atteinte à la liberté de religion garantie aux Ktunaxa par l’al. 2</w:t>
      </w:r>
      <w:r w:rsidRPr="00D84730">
        <w:rPr>
          <w:rFonts w:cs="Times New Roman"/>
          <w:i/>
          <w:lang w:val="fr-CA"/>
        </w:rPr>
        <w:t>a</w:t>
      </w:r>
      <w:r w:rsidRPr="00D84730">
        <w:rPr>
          <w:rFonts w:cs="Times New Roman"/>
          <w:lang w:val="fr-CA"/>
        </w:rPr>
        <w:t xml:space="preserve">) de la </w:t>
      </w:r>
      <w:r w:rsidRPr="00D84730">
        <w:rPr>
          <w:rFonts w:cs="Times New Roman"/>
          <w:i/>
          <w:lang w:val="fr-CA"/>
        </w:rPr>
        <w:t>Charte</w:t>
      </w:r>
    </w:p>
    <w:p w:rsidR="00094732" w:rsidRPr="00D84730" w:rsidRDefault="00094732" w:rsidP="0055329A">
      <w:pPr>
        <w:pStyle w:val="ParaNoNdepar-AltN"/>
        <w:widowControl w:val="0"/>
        <w:rPr>
          <w:rFonts w:cs="Times New Roman"/>
          <w:lang w:val="fr-CA"/>
        </w:rPr>
      </w:pPr>
      <w:r w:rsidRPr="00D84730">
        <w:rPr>
          <w:rFonts w:cs="Times New Roman"/>
          <w:lang w:val="fr-CA"/>
        </w:rPr>
        <w:t>Je passe maintenant aux faits de l’espèce. La religion des Ktunaxa englobe de multiples esprits et plusieurs lieux d’importance spirituelle (voir</w:t>
      </w:r>
      <w:r w:rsidR="00EE0D52">
        <w:rPr>
          <w:rFonts w:cs="Times New Roman"/>
          <w:lang w:val="fr-CA"/>
        </w:rPr>
        <w:t>,</w:t>
      </w:r>
      <w:r w:rsidRPr="00D84730">
        <w:rPr>
          <w:rFonts w:cs="Times New Roman"/>
          <w:lang w:val="fr-CA"/>
        </w:rPr>
        <w:t xml:space="preserve"> p. ex.</w:t>
      </w:r>
      <w:r w:rsidR="00EE0D52">
        <w:rPr>
          <w:rFonts w:cs="Times New Roman"/>
          <w:lang w:val="fr-CA"/>
        </w:rPr>
        <w:t>,</w:t>
      </w:r>
      <w:r w:rsidRPr="00D84730">
        <w:rPr>
          <w:rFonts w:cs="Times New Roman"/>
          <w:lang w:val="fr-CA"/>
        </w:rPr>
        <w:t xml:space="preserve"> d.a., vol. II, p. 119 et 197). Les Ktunaxa croient sincèrement que le Qat’muk est un lieu très sacré, le foyer d’un esprit fort important, celui de l’</w:t>
      </w:r>
      <w:r>
        <w:rPr>
          <w:rFonts w:cs="Times New Roman"/>
          <w:lang w:val="fr-CA"/>
        </w:rPr>
        <w:t>Ours G</w:t>
      </w:r>
      <w:r w:rsidRPr="00D84730">
        <w:rPr>
          <w:rFonts w:cs="Times New Roman"/>
          <w:lang w:val="fr-CA"/>
        </w:rPr>
        <w:t xml:space="preserve">rizzly. Selon eux, cet esprit leur donne des conseils et de l’assistance spirituels. Ils prétendent que l’aménagement </w:t>
      </w:r>
      <w:r w:rsidRPr="00D84730">
        <w:rPr>
          <w:rFonts w:cs="Times New Roman"/>
          <w:lang w:val="fr-CA"/>
        </w:rPr>
        <w:lastRenderedPageBreak/>
        <w:t xml:space="preserve">proposé chasserait l’Esprit de l’Ours Grizzly, romprait leur lien spirituel avec le Qat’muk et priverait leurs croyances en cet esprit de toute signification spirituelle. </w:t>
      </w:r>
    </w:p>
    <w:p w:rsidR="00094732" w:rsidRPr="00D84730" w:rsidRDefault="00094732" w:rsidP="0055329A">
      <w:pPr>
        <w:pStyle w:val="ParaNoNdepar-AltN"/>
        <w:widowControl w:val="0"/>
        <w:rPr>
          <w:rFonts w:cs="Times New Roman"/>
          <w:lang w:val="fr-CA"/>
        </w:rPr>
      </w:pPr>
      <w:r w:rsidRPr="00D84730">
        <w:rPr>
          <w:rFonts w:cs="Times New Roman"/>
          <w:lang w:val="fr-CA"/>
        </w:rPr>
        <w:t>La Juge en chef et le juge Rowe disent que la revendication des Ktunaxa fondée sur la liberté de religion vise à protéger le « point de mire spirituel du culte », en l’occurrence l’Esprit de l’Ours Grizzly (par. 71). Je ne suis pas de cet avis. Les Ktunaxa réclament la protection de leur capacité de se conformer à leurs croyances et pratiques religieuses, qui relèvent nettement de l’al. 2</w:t>
      </w:r>
      <w:r w:rsidRPr="00D84730">
        <w:rPr>
          <w:rFonts w:cs="Times New Roman"/>
          <w:i/>
          <w:lang w:val="fr-CA"/>
        </w:rPr>
        <w:t>a</w:t>
      </w:r>
      <w:r w:rsidRPr="00D84730">
        <w:rPr>
          <w:rFonts w:cs="Times New Roman"/>
          <w:lang w:val="fr-CA"/>
        </w:rPr>
        <w:t>). Si les croyances religieuses des Ktunaxa en l’Esprit de l’Ours Grizzly perdent toute signification religieuse, leurs prières, cérémonies et rites en l’honneur de cet esprit ne seraient plus que de vaines paroles et des gestes vides de sens. Les Ktunaxa n’auraient aucune raison de continuer de se livrer à ces actes, car ceux</w:t>
      </w:r>
      <w:r w:rsidRPr="00D84730">
        <w:rPr>
          <w:rFonts w:cs="Times New Roman"/>
          <w:lang w:val="fr-CA"/>
        </w:rPr>
        <w:noBreakHyphen/>
        <w:t xml:space="preserve">ci seraient dépourvus de toute signification spirituelle. Des membres des Ktunaxa mentionnent que, sans leur lien spirituel avec le Qat’muk et l’Esprit de l’Ours Grizzly, ils ne seraient pas en mesure de transmettre de façon significative leurs croyances et pratiques aux générations futures, comme le montre l’extrait suivant d’un affidavit cité dans le mémoire des appelants : </w:t>
      </w:r>
    </w:p>
    <w:p w:rsidR="00094732" w:rsidRPr="00D84730" w:rsidRDefault="00094732" w:rsidP="0055329A">
      <w:pPr>
        <w:pStyle w:val="Citation-AltC"/>
        <w:widowControl w:val="0"/>
        <w:ind w:hanging="1166"/>
        <w:contextualSpacing w:val="0"/>
        <w:rPr>
          <w:lang w:val="fr-CA"/>
        </w:rPr>
      </w:pPr>
      <w:r w:rsidRPr="00D84730">
        <w:rPr>
          <w:lang w:val="fr-CA"/>
        </w:rPr>
        <w:tab/>
      </w:r>
      <w:r w:rsidR="00EF274B">
        <w:rPr>
          <w:lang w:val="fr-CA"/>
        </w:rPr>
        <w:tab/>
      </w:r>
      <w:r w:rsidR="008B5ABC" w:rsidRPr="00D84730">
        <w:rPr>
          <w:lang w:val="fr-CA"/>
        </w:rPr>
        <w:t>[</w:t>
      </w:r>
      <w:r w:rsidR="008B5ABC" w:rsidRPr="00D84730">
        <w:rPr>
          <w:smallCaps/>
          <w:lang w:val="fr-CA"/>
        </w:rPr>
        <w:t>traduction]</w:t>
      </w:r>
      <w:r w:rsidR="008B5ABC">
        <w:rPr>
          <w:smallCaps/>
          <w:lang w:val="fr-CA"/>
        </w:rPr>
        <w:t xml:space="preserve"> </w:t>
      </w:r>
      <w:r w:rsidRPr="00D84730">
        <w:rPr>
          <w:lang w:val="fr-CA"/>
        </w:rPr>
        <w:t>Si la construction de la station de ski proposée devait aller de l’avant dans le cœur du Qat’muk, je ne vois pas comment je pourrais parler de façon significative de l’Esprit de l’Ours Grizzly à mes petits</w:t>
      </w:r>
      <w:r w:rsidRPr="00D84730">
        <w:rPr>
          <w:lang w:val="fr-CA"/>
        </w:rPr>
        <w:noBreakHyphen/>
        <w:t>enfants. Comment pourrais</w:t>
      </w:r>
      <w:r w:rsidRPr="00D84730">
        <w:rPr>
          <w:lang w:val="fr-CA"/>
        </w:rPr>
        <w:noBreakHyphen/>
        <w:t xml:space="preserve">je leur enseigner ses chansons, ce que nous pouvons lui demander, s’il n’occupe plus une place que nous reconnaissons et qui est tenue pour la sienne dans notre monde? [par. 28] </w:t>
      </w:r>
    </w:p>
    <w:p w:rsidR="00094732" w:rsidRPr="00D84730" w:rsidRDefault="00094732" w:rsidP="0055329A">
      <w:pPr>
        <w:pStyle w:val="ParaNoNdepar-AltN"/>
        <w:widowControl w:val="0"/>
        <w:rPr>
          <w:rFonts w:cs="Times New Roman"/>
          <w:lang w:val="fr-CA"/>
        </w:rPr>
      </w:pPr>
      <w:r w:rsidRPr="00D84730">
        <w:rPr>
          <w:rFonts w:cs="Times New Roman"/>
          <w:lang w:val="fr-CA"/>
        </w:rPr>
        <w:t xml:space="preserve">Dans cette optique, je suis convaincu que la décision du Ministre d’approuver l’aménagement proposé nuit d’une manière plus que négligeable ou </w:t>
      </w:r>
      <w:r w:rsidRPr="00D84730">
        <w:rPr>
          <w:rFonts w:cs="Times New Roman"/>
          <w:lang w:val="fr-CA"/>
        </w:rPr>
        <w:lastRenderedPageBreak/>
        <w:t>insignifiante à la capacité des Ktunaxa de se conformer à leurs croyances ou pratiques religieuses. La décision porte donc atteinte à la liberté de religion garantie aux Ktunaxa par l’al. 2</w:t>
      </w:r>
      <w:r w:rsidRPr="00D84730">
        <w:rPr>
          <w:rFonts w:cs="Times New Roman"/>
          <w:i/>
          <w:lang w:val="fr-CA"/>
        </w:rPr>
        <w:t>a</w:t>
      </w:r>
      <w:r w:rsidRPr="00D84730">
        <w:rPr>
          <w:rFonts w:cs="Times New Roman"/>
          <w:lang w:val="fr-CA"/>
        </w:rPr>
        <w:t xml:space="preserve">). </w:t>
      </w:r>
    </w:p>
    <w:p w:rsidR="00094732" w:rsidRPr="00D84730" w:rsidRDefault="00094732" w:rsidP="0055329A">
      <w:pPr>
        <w:pStyle w:val="Title2LevelTitre2Niveau"/>
        <w:widowControl w:val="0"/>
        <w:numPr>
          <w:ilvl w:val="1"/>
          <w:numId w:val="26"/>
        </w:numPr>
        <w:jc w:val="both"/>
        <w:rPr>
          <w:rFonts w:cs="Times New Roman"/>
          <w:lang w:val="fr-CA"/>
        </w:rPr>
      </w:pPr>
      <w:r w:rsidRPr="00D84730">
        <w:rPr>
          <w:rFonts w:cs="Times New Roman"/>
          <w:lang w:val="fr-CA"/>
        </w:rPr>
        <w:t xml:space="preserve">La décision du Ministre était raisonnable </w:t>
      </w:r>
    </w:p>
    <w:p w:rsidR="00094732" w:rsidRPr="00D84730" w:rsidRDefault="00094732" w:rsidP="0055329A">
      <w:pPr>
        <w:pStyle w:val="Title3LevelTitre3Niveau"/>
        <w:widowControl w:val="0"/>
        <w:jc w:val="both"/>
        <w:rPr>
          <w:rFonts w:cs="Times New Roman"/>
          <w:lang w:val="fr-CA"/>
        </w:rPr>
      </w:pPr>
      <w:r w:rsidRPr="00D84730">
        <w:rPr>
          <w:rFonts w:cs="Times New Roman"/>
          <w:lang w:val="fr-CA"/>
        </w:rPr>
        <w:t xml:space="preserve">Le cadre d’analyse établi dans </w:t>
      </w:r>
      <w:r w:rsidRPr="00D84730">
        <w:rPr>
          <w:rFonts w:cs="Times New Roman"/>
          <w:i/>
          <w:lang w:val="fr-CA"/>
        </w:rPr>
        <w:t>Doré</w:t>
      </w:r>
    </w:p>
    <w:p w:rsidR="00094732" w:rsidRPr="00D84730" w:rsidRDefault="00094732" w:rsidP="0055329A">
      <w:pPr>
        <w:pStyle w:val="ParaNoNdepar-AltN"/>
        <w:widowControl w:val="0"/>
        <w:rPr>
          <w:rFonts w:cs="Times New Roman"/>
          <w:lang w:val="fr-CA"/>
        </w:rPr>
      </w:pPr>
      <w:r w:rsidRPr="00D84730">
        <w:rPr>
          <w:rFonts w:cs="Times New Roman"/>
          <w:lang w:val="fr-CA"/>
        </w:rPr>
        <w:t>Ayant réglé la question préliminaire en statuant que la décision du Ministre d’approuver l’aménagement porte atteinte au droit garanti aux Ktunaxa par l’al. 2</w:t>
      </w:r>
      <w:r w:rsidRPr="00D84730">
        <w:rPr>
          <w:rFonts w:cs="Times New Roman"/>
          <w:i/>
          <w:lang w:val="fr-CA"/>
        </w:rPr>
        <w:t>a</w:t>
      </w:r>
      <w:r w:rsidRPr="00D84730">
        <w:rPr>
          <w:rFonts w:cs="Times New Roman"/>
          <w:lang w:val="fr-CA"/>
        </w:rPr>
        <w:t xml:space="preserve">), j’aborde maintenant le point de savoir si cette décision était raisonnable. </w:t>
      </w:r>
    </w:p>
    <w:p w:rsidR="00094732" w:rsidRPr="00D84730" w:rsidRDefault="00094732" w:rsidP="0055329A">
      <w:pPr>
        <w:pStyle w:val="ParaNoNdepar-AltN"/>
        <w:widowControl w:val="0"/>
        <w:rPr>
          <w:rFonts w:cs="Times New Roman"/>
          <w:lang w:val="fr-CA"/>
        </w:rPr>
      </w:pPr>
      <w:r w:rsidRPr="00D84730">
        <w:rPr>
          <w:rFonts w:cs="Times New Roman"/>
          <w:lang w:val="fr-CA"/>
        </w:rPr>
        <w:t xml:space="preserve">Dans l’arrêt </w:t>
      </w:r>
      <w:r w:rsidRPr="00D84730">
        <w:rPr>
          <w:rFonts w:cs="Times New Roman"/>
          <w:i/>
          <w:lang w:val="fr-CA"/>
        </w:rPr>
        <w:t>Doré c. Barreau du Québec</w:t>
      </w:r>
      <w:r w:rsidRPr="00D84730">
        <w:rPr>
          <w:rFonts w:cs="Times New Roman"/>
          <w:lang w:val="fr-CA"/>
        </w:rPr>
        <w:t xml:space="preserve">, 2012 CSC 12, [2012] 1 R.C.S. 395, la Cour établit le cadre d’analyse applicable pour décider si le Ministre a raisonnablement exercé le pouvoir discrétionnaire que lui accorde la loi en conformité avec les protections conférées par la </w:t>
      </w:r>
      <w:r w:rsidRPr="00D84730">
        <w:rPr>
          <w:rFonts w:cs="Times New Roman"/>
          <w:i/>
          <w:lang w:val="fr-CA"/>
        </w:rPr>
        <w:t xml:space="preserve">Charte </w:t>
      </w:r>
      <w:r w:rsidRPr="00D84730">
        <w:rPr>
          <w:rFonts w:cs="Times New Roman"/>
          <w:lang w:val="fr-CA"/>
        </w:rPr>
        <w:t>aux Ktunaxa (</w:t>
      </w:r>
      <w:r w:rsidRPr="00D84730">
        <w:rPr>
          <w:rFonts w:cs="Times New Roman"/>
          <w:i/>
          <w:lang w:val="fr-CA"/>
        </w:rPr>
        <w:t>Loyola</w:t>
      </w:r>
      <w:r w:rsidRPr="00D84730">
        <w:rPr>
          <w:rFonts w:cs="Times New Roman"/>
          <w:lang w:val="fr-CA"/>
        </w:rPr>
        <w:t xml:space="preserve">, par. 3). Lors d’un contrôle judiciaire, le rôle de la cour appelée à appliquer le cadre d’analyse établi dans </w:t>
      </w:r>
      <w:r w:rsidRPr="00D84730">
        <w:rPr>
          <w:rFonts w:cs="Times New Roman"/>
          <w:i/>
          <w:lang w:val="fr-CA"/>
        </w:rPr>
        <w:t xml:space="preserve">Doré </w:t>
      </w:r>
      <w:r w:rsidRPr="00D84730">
        <w:rPr>
          <w:rFonts w:cs="Times New Roman"/>
          <w:lang w:val="fr-CA"/>
        </w:rPr>
        <w:t>«</w:t>
      </w:r>
      <w:r w:rsidRPr="00D84730">
        <w:rPr>
          <w:rFonts w:cs="Times New Roman"/>
          <w:i/>
          <w:lang w:val="fr-CA"/>
        </w:rPr>
        <w:t> </w:t>
      </w:r>
      <w:r w:rsidRPr="00D84730">
        <w:rPr>
          <w:rFonts w:cs="Times New Roman"/>
          <w:lang w:val="fr-CA"/>
        </w:rPr>
        <w:t xml:space="preserve">consiste à se demander si la décision en cause est raisonnable parce qu’elle est le fruit d’une mise en balance proportionnée » des protections de la </w:t>
      </w:r>
      <w:r w:rsidRPr="00D84730">
        <w:rPr>
          <w:rFonts w:cs="Times New Roman"/>
          <w:i/>
          <w:lang w:val="fr-CA"/>
        </w:rPr>
        <w:t xml:space="preserve">Charte </w:t>
      </w:r>
      <w:r w:rsidRPr="00D84730">
        <w:rPr>
          <w:rFonts w:cs="Times New Roman"/>
          <w:lang w:val="fr-CA"/>
        </w:rPr>
        <w:t>— tant les droits que les valeurs — en jeu et des objectifs pertinents visés par la loi (</w:t>
      </w:r>
      <w:r w:rsidRPr="00D84730">
        <w:rPr>
          <w:rFonts w:cs="Times New Roman"/>
          <w:i/>
          <w:lang w:val="fr-CA"/>
        </w:rPr>
        <w:t>Loyola</w:t>
      </w:r>
      <w:r w:rsidRPr="00D84730">
        <w:rPr>
          <w:rFonts w:cs="Times New Roman"/>
          <w:lang w:val="fr-CA"/>
        </w:rPr>
        <w:t>, par. 37</w:t>
      </w:r>
      <w:r>
        <w:rPr>
          <w:rFonts w:cs="Times New Roman"/>
          <w:lang w:val="fr-CA"/>
        </w:rPr>
        <w:t xml:space="preserve">, </w:t>
      </w:r>
      <w:r w:rsidRPr="00D84730">
        <w:rPr>
          <w:rFonts w:cs="Times New Roman"/>
          <w:lang w:val="fr-CA"/>
        </w:rPr>
        <w:t>citant</w:t>
      </w:r>
      <w:r w:rsidRPr="00D84730">
        <w:rPr>
          <w:rFonts w:cs="Times New Roman"/>
          <w:i/>
          <w:lang w:val="fr-CA"/>
        </w:rPr>
        <w:t xml:space="preserve"> Doré</w:t>
      </w:r>
      <w:r w:rsidRPr="00D84730">
        <w:rPr>
          <w:rFonts w:cs="Times New Roman"/>
          <w:lang w:val="fr-CA"/>
        </w:rPr>
        <w:t xml:space="preserve">, par. 57). Comme l’a expliqué la Cour dans </w:t>
      </w:r>
      <w:r w:rsidRPr="00D84730">
        <w:rPr>
          <w:rFonts w:cs="Times New Roman"/>
          <w:i/>
          <w:lang w:val="fr-CA"/>
        </w:rPr>
        <w:t>Loyola</w:t>
      </w:r>
      <w:r w:rsidRPr="00D84730">
        <w:rPr>
          <w:rFonts w:cs="Times New Roman"/>
          <w:lang w:val="fr-CA"/>
        </w:rPr>
        <w:t xml:space="preserve">, une mise en balance proportionnée en est une « qui donne effet autant que possible aux protections en cause conférées par la </w:t>
      </w:r>
      <w:r w:rsidRPr="00D84730">
        <w:rPr>
          <w:rFonts w:cs="Times New Roman"/>
          <w:i/>
          <w:lang w:val="fr-CA"/>
        </w:rPr>
        <w:t>Charte</w:t>
      </w:r>
      <w:r w:rsidRPr="00D84730">
        <w:rPr>
          <w:rFonts w:cs="Times New Roman"/>
          <w:lang w:val="fr-CA"/>
        </w:rPr>
        <w:t xml:space="preserve"> compte tenu du mandat législatif particulier en cause » (par. 39). Autrement dit, quand le Ministre met en balance les protections conférées par </w:t>
      </w:r>
      <w:r w:rsidRPr="00D84730">
        <w:rPr>
          <w:rFonts w:cs="Times New Roman"/>
          <w:lang w:val="fr-CA"/>
        </w:rPr>
        <w:lastRenderedPageBreak/>
        <w:t xml:space="preserve">la </w:t>
      </w:r>
      <w:r w:rsidRPr="00D84730">
        <w:rPr>
          <w:rFonts w:cs="Times New Roman"/>
          <w:i/>
          <w:lang w:val="fr-CA"/>
        </w:rPr>
        <w:t xml:space="preserve">Charte </w:t>
      </w:r>
      <w:r w:rsidRPr="00D84730">
        <w:rPr>
          <w:rFonts w:cs="Times New Roman"/>
          <w:lang w:val="fr-CA"/>
        </w:rPr>
        <w:t>et les objectifs pertinents de la loi, il doit s’assurer que ces protections sont « restrei[ntes] [. . .] aussi peu que cela est raisonnablement possible » eu égard aux objectifs particuliers de l’État (</w:t>
      </w:r>
      <w:r w:rsidRPr="00D84730">
        <w:rPr>
          <w:rFonts w:cs="Times New Roman"/>
          <w:i/>
          <w:lang w:val="fr-CA"/>
        </w:rPr>
        <w:t>Loyola</w:t>
      </w:r>
      <w:r w:rsidRPr="00D84730">
        <w:rPr>
          <w:rFonts w:cs="Times New Roman"/>
          <w:lang w:val="fr-CA"/>
        </w:rPr>
        <w:t xml:space="preserve">, par. 40). Cette approche respecte l’expertise que les décideurs comme le Ministre apportent à la mise en balance des protections conférées par la </w:t>
      </w:r>
      <w:r w:rsidRPr="00D84730">
        <w:rPr>
          <w:rFonts w:cs="Times New Roman"/>
          <w:i/>
          <w:lang w:val="fr-CA"/>
        </w:rPr>
        <w:t>Charte</w:t>
      </w:r>
      <w:r w:rsidRPr="00D84730">
        <w:rPr>
          <w:rFonts w:cs="Times New Roman"/>
          <w:lang w:val="fr-CA"/>
        </w:rPr>
        <w:t xml:space="preserve"> et des objectifs de la loi dans le contexte des faits particuliers dont ils sont saisis (</w:t>
      </w:r>
      <w:r w:rsidRPr="00D84730">
        <w:rPr>
          <w:rFonts w:cs="Times New Roman"/>
          <w:i/>
          <w:lang w:val="fr-CA"/>
        </w:rPr>
        <w:t>Loyola</w:t>
      </w:r>
      <w:r w:rsidRPr="00D84730">
        <w:rPr>
          <w:rFonts w:cs="Times New Roman"/>
          <w:lang w:val="fr-CA"/>
        </w:rPr>
        <w:t xml:space="preserve">, par. 42, citant </w:t>
      </w:r>
      <w:r w:rsidRPr="00D84730">
        <w:rPr>
          <w:rFonts w:cs="Times New Roman"/>
          <w:i/>
          <w:lang w:val="fr-CA"/>
        </w:rPr>
        <w:t>Doré</w:t>
      </w:r>
      <w:r w:rsidRPr="00D84730">
        <w:rPr>
          <w:rFonts w:cs="Times New Roman"/>
          <w:lang w:val="fr-CA"/>
        </w:rPr>
        <w:t>, par. 47).</w:t>
      </w:r>
    </w:p>
    <w:p w:rsidR="00094732" w:rsidRPr="00D84730" w:rsidRDefault="00094732" w:rsidP="0055329A">
      <w:pPr>
        <w:pStyle w:val="Title3LevelTitre3Niveau"/>
        <w:widowControl w:val="0"/>
        <w:jc w:val="both"/>
        <w:rPr>
          <w:rFonts w:cs="Times New Roman"/>
          <w:lang w:val="fr-CA"/>
        </w:rPr>
      </w:pPr>
      <w:r w:rsidRPr="00D84730">
        <w:rPr>
          <w:rFonts w:cs="Times New Roman"/>
          <w:lang w:val="fr-CA"/>
        </w:rPr>
        <w:t>Une cour de révision peut examiner les motifs implicites d’un décideur administratif</w:t>
      </w:r>
    </w:p>
    <w:p w:rsidR="00094732" w:rsidRPr="00D84730" w:rsidRDefault="00094732" w:rsidP="0055329A">
      <w:pPr>
        <w:pStyle w:val="ParaNoNdepar-AltN"/>
        <w:widowControl w:val="0"/>
        <w:rPr>
          <w:rFonts w:cs="Times New Roman"/>
          <w:lang w:val="fr-CA"/>
        </w:rPr>
      </w:pPr>
      <w:r w:rsidRPr="00D84730">
        <w:rPr>
          <w:rFonts w:cs="Times New Roman"/>
          <w:lang w:val="fr-CA"/>
        </w:rPr>
        <w:t>Les Ktunaxa soutiennent que le Ministre n’a pas du tout pris en compte leur revendication fondée sur l’al. 2</w:t>
      </w:r>
      <w:r w:rsidRPr="00D84730">
        <w:rPr>
          <w:rFonts w:cs="Times New Roman"/>
          <w:i/>
          <w:lang w:val="fr-CA"/>
        </w:rPr>
        <w:t>a</w:t>
      </w:r>
      <w:r w:rsidRPr="00D84730">
        <w:rPr>
          <w:rFonts w:cs="Times New Roman"/>
          <w:lang w:val="fr-CA"/>
        </w:rPr>
        <w:t>) au moment de prendre sa décision et que celle</w:t>
      </w:r>
      <w:r w:rsidRPr="00D84730">
        <w:rPr>
          <w:rFonts w:cs="Times New Roman"/>
          <w:lang w:val="fr-CA"/>
        </w:rPr>
        <w:noBreakHyphen/>
        <w:t>ci était donc déraisonnable. Bien que les Ktunaxa aient informé le Ministre que sa décision concernant l’aménagement mettait en jeu le droit que leur reconnaissait l’al. 2</w:t>
      </w:r>
      <w:r w:rsidRPr="00D84730">
        <w:rPr>
          <w:rFonts w:cs="Times New Roman"/>
          <w:i/>
          <w:lang w:val="fr-CA"/>
        </w:rPr>
        <w:t>a</w:t>
      </w:r>
      <w:r w:rsidRPr="00D84730">
        <w:rPr>
          <w:rFonts w:cs="Times New Roman"/>
          <w:lang w:val="fr-CA"/>
        </w:rPr>
        <w:t xml:space="preserve">) (m.a., par. 17), il n’a pas mentionné explicitement cet alinéa dans ses motifs de décision. </w:t>
      </w:r>
    </w:p>
    <w:p w:rsidR="00094732" w:rsidRPr="00D84730" w:rsidRDefault="00094732" w:rsidP="0055329A">
      <w:pPr>
        <w:pStyle w:val="ParaNoNdepar-AltN"/>
        <w:widowControl w:val="0"/>
        <w:rPr>
          <w:rFonts w:cs="Times New Roman"/>
          <w:lang w:val="fr-CA"/>
        </w:rPr>
      </w:pPr>
      <w:r w:rsidRPr="00D84730">
        <w:rPr>
          <w:rFonts w:cs="Times New Roman"/>
          <w:lang w:val="fr-CA"/>
        </w:rPr>
        <w:t>Le juge en chambre, le juge Savage, a conclu que le Ministre n’avait pas à mentionner expressément la revendication faite par les Ktunaxa sur la base de l’al. 2</w:t>
      </w:r>
      <w:r w:rsidRPr="00D84730">
        <w:rPr>
          <w:rFonts w:cs="Times New Roman"/>
          <w:i/>
          <w:lang w:val="fr-CA"/>
        </w:rPr>
        <w:t>a</w:t>
      </w:r>
      <w:r w:rsidRPr="00D84730">
        <w:rPr>
          <w:rFonts w:cs="Times New Roman"/>
          <w:lang w:val="fr-CA"/>
        </w:rPr>
        <w:t xml:space="preserve">) parce qu’il a traité de la « substance » du droit invoqué au titre de la </w:t>
      </w:r>
      <w:r w:rsidRPr="00D84730">
        <w:rPr>
          <w:rFonts w:cs="Times New Roman"/>
          <w:i/>
          <w:lang w:val="fr-CA"/>
        </w:rPr>
        <w:t xml:space="preserve">Charte </w:t>
      </w:r>
      <w:r w:rsidRPr="00D84730">
        <w:rPr>
          <w:rFonts w:cs="Times New Roman"/>
          <w:lang w:val="fr-CA"/>
        </w:rPr>
        <w:t>dans ses motifs : le lien spirituel des Ktunaxa avec le Qat’muk et l’impact qu’aurait l’aménagement sur ce lien (2014 BCSC 568, 306 C.R.R. (2d) 211, par. 270 et 273). Bien que le juge Savage ait estimé que la décision du Ministre ne portait pas atteinte au droit reconnu aux Ktunaxa par l’al. 2</w:t>
      </w:r>
      <w:r w:rsidRPr="00D84730">
        <w:rPr>
          <w:rFonts w:cs="Times New Roman"/>
          <w:i/>
          <w:lang w:val="fr-CA"/>
        </w:rPr>
        <w:t>a</w:t>
      </w:r>
      <w:r w:rsidRPr="00D84730">
        <w:rPr>
          <w:rFonts w:cs="Times New Roman"/>
          <w:lang w:val="fr-CA"/>
        </w:rPr>
        <w:t xml:space="preserve">), il a dit que, même s’il se trompait sur ce </w:t>
      </w:r>
      <w:r w:rsidRPr="00D84730">
        <w:rPr>
          <w:rFonts w:cs="Times New Roman"/>
          <w:lang w:val="fr-CA"/>
        </w:rPr>
        <w:lastRenderedPageBreak/>
        <w:t xml:space="preserve">point, la décision du Ministre était le fruit d’une mise en balance proportionnée des protections conférées par la </w:t>
      </w:r>
      <w:r w:rsidRPr="00D84730">
        <w:rPr>
          <w:rFonts w:cs="Times New Roman"/>
          <w:i/>
          <w:lang w:val="fr-CA"/>
        </w:rPr>
        <w:t>Charte</w:t>
      </w:r>
      <w:r w:rsidRPr="00D84730">
        <w:rPr>
          <w:rFonts w:cs="Times New Roman"/>
          <w:lang w:val="fr-CA"/>
        </w:rPr>
        <w:t xml:space="preserve"> et des objectifs de la loi (par. 301). </w:t>
      </w:r>
    </w:p>
    <w:p w:rsidR="00094732" w:rsidRPr="00D84730" w:rsidRDefault="00094732" w:rsidP="0055329A">
      <w:pPr>
        <w:pStyle w:val="ParaNoNdepar-AltN"/>
        <w:widowControl w:val="0"/>
        <w:rPr>
          <w:rFonts w:cs="Times New Roman"/>
          <w:lang w:val="fr-CA"/>
        </w:rPr>
      </w:pPr>
      <w:r w:rsidRPr="00D84730">
        <w:rPr>
          <w:rFonts w:cs="Times New Roman"/>
          <w:lang w:val="fr-CA"/>
        </w:rPr>
        <w:t>Comme je l’expliquerai, je partage l’avis du juge Savage à deux égards : (1) le Ministre a traité de la « substance » du droit garanti aux Ktunaxa par l’al. 2</w:t>
      </w:r>
      <w:r w:rsidRPr="00D84730">
        <w:rPr>
          <w:rFonts w:cs="Times New Roman"/>
          <w:i/>
          <w:lang w:val="fr-CA"/>
        </w:rPr>
        <w:t>a</w:t>
      </w:r>
      <w:r w:rsidRPr="00D84730">
        <w:rPr>
          <w:rFonts w:cs="Times New Roman"/>
          <w:lang w:val="fr-CA"/>
        </w:rPr>
        <w:t xml:space="preserve">) et (2) il ressort implicitement des motifs du Ministre qu’il a mis en balance de façon proportionnée les protections de la </w:t>
      </w:r>
      <w:r w:rsidRPr="00D84730">
        <w:rPr>
          <w:rFonts w:cs="Times New Roman"/>
          <w:i/>
          <w:lang w:val="fr-CA"/>
        </w:rPr>
        <w:t xml:space="preserve">Charte </w:t>
      </w:r>
      <w:r w:rsidRPr="00D84730">
        <w:rPr>
          <w:rFonts w:cs="Times New Roman"/>
          <w:lang w:val="fr-CA"/>
        </w:rPr>
        <w:t xml:space="preserve">en jeu pour les Ktunaxa et les objectifs pertinents de la loi. En l’espèce, il importe de rappeler que la cour de révision peut tenir compte du raisonnement adopté implicitement par le décideur administratif pour parvenir à une décision. Comme l’a déclaré la juge Abella dans </w:t>
      </w:r>
      <w:r w:rsidRPr="00D84730">
        <w:rPr>
          <w:rFonts w:cs="Times New Roman"/>
          <w:i/>
          <w:lang w:val="fr-CA"/>
        </w:rPr>
        <w:t>Newfoundland and Labrador Nurses’ Union c. Terre</w:t>
      </w:r>
      <w:r w:rsidRPr="00D84730">
        <w:rPr>
          <w:rFonts w:cs="Times New Roman"/>
          <w:i/>
          <w:lang w:val="fr-CA"/>
        </w:rPr>
        <w:noBreakHyphen/>
        <w:t>Neuve</w:t>
      </w:r>
      <w:r w:rsidRPr="00D84730">
        <w:rPr>
          <w:rFonts w:cs="Times New Roman"/>
          <w:i/>
          <w:lang w:val="fr-CA"/>
        </w:rPr>
        <w:noBreakHyphen/>
        <w:t>et</w:t>
      </w:r>
      <w:r w:rsidRPr="00D84730">
        <w:rPr>
          <w:rFonts w:cs="Times New Roman"/>
          <w:i/>
          <w:lang w:val="fr-CA"/>
        </w:rPr>
        <w:noBreakHyphen/>
        <w:t>Labrador (Conseil du Trésor)</w:t>
      </w:r>
      <w:r w:rsidRPr="00D84730">
        <w:rPr>
          <w:rFonts w:cs="Times New Roman"/>
          <w:lang w:val="fr-CA"/>
        </w:rPr>
        <w:t>, 2011 CSC 62, [2011] 3 R.C.S. 708, il n’est pas nécessaire que les motifs du décideur administratif abordent explicitement chaque argument soulevé par le demandeur :</w:t>
      </w:r>
    </w:p>
    <w:p w:rsidR="00094732" w:rsidRPr="00D84730" w:rsidRDefault="00094732" w:rsidP="0055329A">
      <w:pPr>
        <w:pStyle w:val="Citation-AltC"/>
        <w:widowControl w:val="0"/>
        <w:ind w:hanging="1166"/>
        <w:contextualSpacing w:val="0"/>
        <w:rPr>
          <w:lang w:val="fr-CA"/>
        </w:rPr>
      </w:pPr>
      <w:r w:rsidRPr="00D84730">
        <w:rPr>
          <w:lang w:val="fr-CA"/>
        </w:rPr>
        <w:tab/>
      </w:r>
      <w:r w:rsidR="008B5ABC">
        <w:rPr>
          <w:lang w:val="fr-CA"/>
        </w:rPr>
        <w:tab/>
      </w:r>
      <w:r w:rsidRPr="00D84730">
        <w:rPr>
          <w:lang w:val="fr-CA"/>
        </w:rPr>
        <w:t>Il se peut que les motifs ne fassent pas référence à tous les arguments, dispositions législatives, précédents ou autres détails que le juge siégeant en révision aurait voulu y lire, mais cela ne met pas en doute leur validité ni celle du résultat au terme de l’analyse du caractère raisonnable</w:t>
      </w:r>
      <w:r w:rsidR="008B5ABC">
        <w:rPr>
          <w:lang w:val="fr-CA"/>
        </w:rPr>
        <w:t xml:space="preserve"> de la décision</w:t>
      </w:r>
      <w:r w:rsidRPr="00D84730">
        <w:rPr>
          <w:lang w:val="fr-CA"/>
        </w:rPr>
        <w:t>. Le décideur n’est pas tenu de tirer une conclusion explicite sur chaque élément constitutif du raisonnement, si subordonné soit</w:t>
      </w:r>
      <w:r w:rsidRPr="00D84730">
        <w:rPr>
          <w:lang w:val="fr-CA"/>
        </w:rPr>
        <w:noBreakHyphen/>
        <w:t>il, qui a mené à sa conclusion finale</w:t>
      </w:r>
      <w:r>
        <w:rPr>
          <w:lang w:val="fr-CA"/>
        </w:rPr>
        <w:t xml:space="preserve"> . </w:t>
      </w:r>
      <w:r w:rsidR="008B5ABC">
        <w:rPr>
          <w:lang w:val="fr-CA"/>
        </w:rPr>
        <w:t>. .</w:t>
      </w:r>
      <w:r w:rsidRPr="00D84730">
        <w:rPr>
          <w:lang w:val="fr-CA"/>
        </w:rPr>
        <w:t xml:space="preserve"> [par. 16]</w:t>
      </w:r>
    </w:p>
    <w:p w:rsidR="00094732" w:rsidRPr="00D84730" w:rsidRDefault="00094732" w:rsidP="0055329A">
      <w:pPr>
        <w:pStyle w:val="ParaNoNdepar-AltN"/>
        <w:widowControl w:val="0"/>
        <w:rPr>
          <w:rFonts w:cs="Times New Roman"/>
          <w:lang w:val="fr-CA"/>
        </w:rPr>
      </w:pPr>
      <w:r w:rsidRPr="00D84730">
        <w:rPr>
          <w:rFonts w:cs="Times New Roman"/>
          <w:lang w:val="fr-CA"/>
        </w:rPr>
        <w:t>La question que la cour de révision doit trancher au bout du compte est plutôt de savoir si « [les motifs] permettent à la cour de révision de comprendre le fondement de la décision du [décideur administratif] et de déterminer si la conclusion fait partie des issues possibles acceptables » (</w:t>
      </w:r>
      <w:r w:rsidRPr="00D84730">
        <w:rPr>
          <w:rFonts w:cs="Times New Roman"/>
          <w:i/>
          <w:lang w:val="fr-CA"/>
        </w:rPr>
        <w:t>ibid.</w:t>
      </w:r>
      <w:r w:rsidRPr="00D84730">
        <w:rPr>
          <w:rFonts w:cs="Times New Roman"/>
          <w:lang w:val="fr-CA"/>
        </w:rPr>
        <w:t xml:space="preserve">). Même si les motifs ne semblent pas tout à fait convenables pour justifier l’issue, la cour de révision doit d’abord </w:t>
      </w:r>
      <w:r w:rsidRPr="00D84730">
        <w:rPr>
          <w:rFonts w:cs="Times New Roman"/>
          <w:lang w:val="fr-CA"/>
        </w:rPr>
        <w:lastRenderedPageBreak/>
        <w:t>chercher à les compléter avant de leur substituer sa propre décision (</w:t>
      </w:r>
      <w:r w:rsidRPr="00D84730">
        <w:rPr>
          <w:rFonts w:cs="Times New Roman"/>
          <w:i/>
          <w:lang w:val="fr-CA"/>
        </w:rPr>
        <w:t>ibid</w:t>
      </w:r>
      <w:r w:rsidRPr="00D84730">
        <w:rPr>
          <w:rFonts w:cs="Times New Roman"/>
          <w:lang w:val="fr-CA"/>
        </w:rPr>
        <w:t xml:space="preserve">., par. 12). Le contrôle selon la norme de la décision raisonnable commande donc </w:t>
      </w:r>
      <w:r w:rsidR="008B5ABC">
        <w:rPr>
          <w:rFonts w:cs="Times New Roman"/>
          <w:lang w:val="fr-CA"/>
        </w:rPr>
        <w:t>[</w:t>
      </w:r>
      <w:r w:rsidR="008B5ABC" w:rsidRPr="008B5ABC">
        <w:rPr>
          <w:rFonts w:cs="Times New Roman"/>
          <w:smallCaps/>
          <w:lang w:val="fr-CA"/>
        </w:rPr>
        <w:t>traduction</w:t>
      </w:r>
      <w:r w:rsidR="008B5ABC">
        <w:rPr>
          <w:rFonts w:cs="Times New Roman"/>
          <w:lang w:val="fr-CA"/>
        </w:rPr>
        <w:t xml:space="preserve">] </w:t>
      </w:r>
      <w:r w:rsidRPr="00D84730">
        <w:rPr>
          <w:rFonts w:cs="Times New Roman"/>
          <w:lang w:val="fr-CA"/>
        </w:rPr>
        <w:t>« une attention respectueuse aux motifs donnés ou qui pourraient être donnés à l’appui d’une décision » (</w:t>
      </w:r>
      <w:r w:rsidR="00F17A34">
        <w:rPr>
          <w:rFonts w:cs="Times New Roman"/>
          <w:i/>
          <w:lang w:val="fr-CA"/>
        </w:rPr>
        <w:t>ibid.</w:t>
      </w:r>
      <w:r w:rsidRPr="00D84730">
        <w:rPr>
          <w:rFonts w:cs="Times New Roman"/>
          <w:lang w:val="fr-CA"/>
        </w:rPr>
        <w:t>, par. 12, citant D. Dyzenhaus, « The Politics of Defe</w:t>
      </w:r>
      <w:r w:rsidR="00FE2FC4">
        <w:rPr>
          <w:rFonts w:cs="Times New Roman"/>
          <w:lang w:val="fr-CA"/>
        </w:rPr>
        <w:t>re</w:t>
      </w:r>
      <w:r w:rsidRPr="00D84730">
        <w:rPr>
          <w:rFonts w:cs="Times New Roman"/>
          <w:lang w:val="fr-CA"/>
        </w:rPr>
        <w:t>nce</w:t>
      </w:r>
      <w:r>
        <w:rPr>
          <w:rFonts w:cs="Times New Roman"/>
          <w:lang w:val="fr-CA"/>
        </w:rPr>
        <w:t> </w:t>
      </w:r>
      <w:r w:rsidRPr="00D84730">
        <w:rPr>
          <w:rFonts w:cs="Times New Roman"/>
          <w:lang w:val="fr-CA"/>
        </w:rPr>
        <w:t xml:space="preserve">: Judicial Review and Democracy », dans M. Taggart, dir., </w:t>
      </w:r>
      <w:r w:rsidRPr="00D84730">
        <w:rPr>
          <w:rFonts w:cs="Times New Roman"/>
          <w:i/>
          <w:lang w:val="fr-CA"/>
        </w:rPr>
        <w:t xml:space="preserve">The Province of Administrative Law </w:t>
      </w:r>
      <w:r w:rsidRPr="00D84730">
        <w:rPr>
          <w:rFonts w:cs="Times New Roman"/>
          <w:lang w:val="fr-CA"/>
        </w:rPr>
        <w:t xml:space="preserve">(1997), 279, p. 286; voir aussi </w:t>
      </w:r>
      <w:r w:rsidRPr="00D84730">
        <w:rPr>
          <w:rFonts w:cs="Times New Roman"/>
          <w:i/>
          <w:lang w:val="fr-CA"/>
        </w:rPr>
        <w:t>Agraira c. Canada (Sécurité publique et Protection civile)</w:t>
      </w:r>
      <w:r w:rsidRPr="00D84730">
        <w:rPr>
          <w:rFonts w:cs="Times New Roman"/>
          <w:lang w:val="fr-CA"/>
        </w:rPr>
        <w:t xml:space="preserve">, 2013 CSC 36, [2013] 2 R.C.S. 559, par. 58). Par exemple, dans </w:t>
      </w:r>
      <w:r w:rsidRPr="00D84730">
        <w:rPr>
          <w:rFonts w:cs="Times New Roman"/>
          <w:i/>
          <w:lang w:val="fr-CA"/>
        </w:rPr>
        <w:t>Newfoundland Nurses</w:t>
      </w:r>
      <w:r w:rsidRPr="00D84730">
        <w:rPr>
          <w:rFonts w:cs="Times New Roman"/>
          <w:lang w:val="fr-CA"/>
        </w:rPr>
        <w:t>, bien que le juge siégeant en cabinet et une juge dissidente de la Cour d’appel aient conclu que les motifs du décideur administratif ne faisaient ressortir aucun raisonnement susceptible de mener à la conclusion à laquelle il était parvenu, notre Cour a jugé que le décideur avait « bien saisi la question en litige et qu’il [était] parvenu à un résultat faisant sans aucun doute partie des issues possibles raisonnables » (par. 26). Sa décision était donc raisonnable.</w:t>
      </w:r>
    </w:p>
    <w:p w:rsidR="00094732" w:rsidRPr="00D84730" w:rsidRDefault="00094732" w:rsidP="0055329A">
      <w:pPr>
        <w:pStyle w:val="Title3LevelTitre3Niveau"/>
        <w:widowControl w:val="0"/>
        <w:jc w:val="both"/>
        <w:rPr>
          <w:rFonts w:cs="Times New Roman"/>
          <w:lang w:val="fr-CA"/>
        </w:rPr>
      </w:pPr>
      <w:r w:rsidRPr="00D84730">
        <w:rPr>
          <w:rFonts w:cs="Times New Roman"/>
          <w:lang w:val="fr-CA"/>
        </w:rPr>
        <w:t>Le Ministre a bien saisi la substance du droit garanti aux Ktunaxa par l’al. 2</w:t>
      </w:r>
      <w:r w:rsidRPr="00D84730">
        <w:rPr>
          <w:rFonts w:cs="Times New Roman"/>
          <w:i/>
          <w:lang w:val="fr-CA"/>
        </w:rPr>
        <w:t>a</w:t>
      </w:r>
      <w:r w:rsidRPr="00D84730">
        <w:rPr>
          <w:rFonts w:cs="Times New Roman"/>
          <w:lang w:val="fr-CA"/>
        </w:rPr>
        <w:t>)</w:t>
      </w:r>
    </w:p>
    <w:p w:rsidR="00094732" w:rsidRPr="00D84730" w:rsidRDefault="00094732" w:rsidP="0055329A">
      <w:pPr>
        <w:pStyle w:val="ParaNoNdepar-AltN"/>
        <w:widowControl w:val="0"/>
        <w:rPr>
          <w:rFonts w:cs="Times New Roman"/>
          <w:lang w:val="fr-CA"/>
        </w:rPr>
      </w:pPr>
      <w:r w:rsidRPr="00D84730">
        <w:rPr>
          <w:rFonts w:cs="Times New Roman"/>
          <w:lang w:val="fr-CA"/>
        </w:rPr>
        <w:t xml:space="preserve">À mon avis, il ressort des motifs du Ministre qu’il a bien saisi la « substance » du droit revendiqué par les Ktunaxa en vertu de la </w:t>
      </w:r>
      <w:r w:rsidRPr="00D84730">
        <w:rPr>
          <w:rFonts w:cs="Times New Roman"/>
          <w:i/>
          <w:lang w:val="fr-CA"/>
        </w:rPr>
        <w:t>Charte</w:t>
      </w:r>
      <w:r w:rsidRPr="00FE2FC4">
        <w:rPr>
          <w:rFonts w:cs="Times New Roman"/>
          <w:lang w:val="fr-CA"/>
        </w:rPr>
        <w:t> :</w:t>
      </w:r>
      <w:r w:rsidRPr="00D84730">
        <w:rPr>
          <w:rFonts w:cs="Times New Roman"/>
          <w:lang w:val="fr-CA"/>
        </w:rPr>
        <w:t xml:space="preserve"> leur lien spirituel avec le Qat’muk et le fait que toute installation permanente dans ce secteur romprait le lien en question. Le Ministre a effectivement qualifié de </w:t>
      </w:r>
      <w:r w:rsidR="00496D4E">
        <w:rPr>
          <w:rFonts w:cs="Times New Roman"/>
          <w:lang w:val="fr-CA"/>
        </w:rPr>
        <w:t>[</w:t>
      </w:r>
      <w:r w:rsidR="00496D4E" w:rsidRPr="00496D4E">
        <w:rPr>
          <w:rFonts w:cs="Times New Roman"/>
          <w:smallCaps/>
          <w:lang w:val="fr-CA"/>
        </w:rPr>
        <w:t>traduction</w:t>
      </w:r>
      <w:r w:rsidR="00496D4E">
        <w:rPr>
          <w:rFonts w:cs="Times New Roman"/>
          <w:lang w:val="fr-CA"/>
        </w:rPr>
        <w:t xml:space="preserve">] </w:t>
      </w:r>
      <w:r w:rsidRPr="00D84730">
        <w:rPr>
          <w:rFonts w:cs="Times New Roman"/>
          <w:lang w:val="fr-CA"/>
        </w:rPr>
        <w:t>« faible » la revendication à première vue, par les Ktunaxa, d’un droit ancestral reconnu à l’art. 35 du fait de leur lien spirituel avec la terre (voir les motifs du Ministre à l’annexe </w:t>
      </w:r>
      <w:r w:rsidR="00496D4E">
        <w:rPr>
          <w:rFonts w:cs="Times New Roman"/>
          <w:lang w:val="fr-CA"/>
        </w:rPr>
        <w:t>« </w:t>
      </w:r>
      <w:r w:rsidRPr="00D84730">
        <w:rPr>
          <w:rFonts w:cs="Times New Roman"/>
          <w:lang w:val="fr-CA"/>
        </w:rPr>
        <w:t>F</w:t>
      </w:r>
      <w:r w:rsidR="00496D4E">
        <w:rPr>
          <w:rFonts w:cs="Times New Roman"/>
          <w:lang w:val="fr-CA"/>
        </w:rPr>
        <w:t> »</w:t>
      </w:r>
      <w:r w:rsidRPr="00D84730">
        <w:rPr>
          <w:rFonts w:cs="Times New Roman"/>
          <w:lang w:val="fr-CA"/>
        </w:rPr>
        <w:t xml:space="preserve"> de la décision 2014 BCSC 568, p. 117</w:t>
      </w:r>
      <w:r w:rsidR="00496D4E">
        <w:rPr>
          <w:rFonts w:cs="Times New Roman"/>
          <w:lang w:val="fr-CA"/>
        </w:rPr>
        <w:t>-1</w:t>
      </w:r>
      <w:r w:rsidRPr="00D84730">
        <w:rPr>
          <w:rFonts w:cs="Times New Roman"/>
          <w:lang w:val="fr-CA"/>
        </w:rPr>
        <w:t xml:space="preserve">24 (« Motifs »), p. 122 </w:t>
      </w:r>
      <w:r w:rsidRPr="00D84730">
        <w:rPr>
          <w:rFonts w:cs="Times New Roman"/>
          <w:lang w:val="fr-CA"/>
        </w:rPr>
        <w:lastRenderedPageBreak/>
        <w:t>(CanLII)). Toutefois, comme je l’expliquerai, cette évaluation de la revendication fondée sur l’art. 35 reposait sur des facteurs étrangers à l’analyse concernant l’al. 2</w:t>
      </w:r>
      <w:r w:rsidRPr="00D84730">
        <w:rPr>
          <w:rFonts w:cs="Times New Roman"/>
          <w:i/>
          <w:lang w:val="fr-CA"/>
        </w:rPr>
        <w:t>a</w:t>
      </w:r>
      <w:r w:rsidRPr="00D84730">
        <w:rPr>
          <w:rFonts w:cs="Times New Roman"/>
          <w:lang w:val="fr-CA"/>
        </w:rPr>
        <w:t>) et ne se rapportait donc pas à la décision du Ministre sur le droit garanti aux Ktunaxa par l’al. 2</w:t>
      </w:r>
      <w:r w:rsidRPr="00D84730">
        <w:rPr>
          <w:rFonts w:cs="Times New Roman"/>
          <w:i/>
          <w:lang w:val="fr-CA"/>
        </w:rPr>
        <w:t>a</w:t>
      </w:r>
      <w:r w:rsidRPr="00D84730">
        <w:rPr>
          <w:rFonts w:cs="Times New Roman"/>
          <w:lang w:val="fr-CA"/>
        </w:rPr>
        <w:t xml:space="preserve">). </w:t>
      </w:r>
    </w:p>
    <w:p w:rsidR="00094732" w:rsidRPr="00D84730" w:rsidRDefault="00094732" w:rsidP="0055329A">
      <w:pPr>
        <w:pStyle w:val="ParaNoNdepar-AltN"/>
        <w:widowControl w:val="0"/>
        <w:rPr>
          <w:rFonts w:cs="Times New Roman"/>
          <w:lang w:val="fr-CA"/>
        </w:rPr>
      </w:pPr>
      <w:r w:rsidRPr="00D84730">
        <w:rPr>
          <w:rFonts w:cs="Times New Roman"/>
          <w:lang w:val="fr-CA"/>
        </w:rPr>
        <w:t xml:space="preserve">Pour juger « faible » la revendication à première vue d’un droit ancestral, le Ministre a explicitement mentionné des éléments du test à utiliser en application de l’art. 35 pour évaluer ce droit (voir </w:t>
      </w:r>
      <w:r w:rsidR="00FE2FC4">
        <w:rPr>
          <w:rFonts w:cs="Times New Roman"/>
          <w:i/>
          <w:lang w:val="fr-CA"/>
        </w:rPr>
        <w:t>R. c. Van d</w:t>
      </w:r>
      <w:r w:rsidRPr="00D84730">
        <w:rPr>
          <w:rFonts w:cs="Times New Roman"/>
          <w:i/>
          <w:lang w:val="fr-CA"/>
        </w:rPr>
        <w:t>er Peet</w:t>
      </w:r>
      <w:r w:rsidRPr="00D84730">
        <w:rPr>
          <w:rFonts w:cs="Times New Roman"/>
          <w:lang w:val="fr-CA"/>
        </w:rPr>
        <w:t>, [1996] 2 R.C.S. 507, par. 46, 55 et 60). Au nombre de ces éléments figurent les points de savoir si la tradition ou pratique précède le contact avec les Européens et si elle faisait partie intégrante de la culture distinctive du groupe autochtone. D’après le Ministre, rien n’indique que la vallée Jumbo était menacée par des [</w:t>
      </w:r>
      <w:r w:rsidRPr="00D84730">
        <w:rPr>
          <w:rFonts w:cs="Times New Roman"/>
          <w:smallCaps/>
          <w:lang w:val="fr-CA"/>
        </w:rPr>
        <w:t>traduction</w:t>
      </w:r>
      <w:r w:rsidRPr="00D84730">
        <w:rPr>
          <w:rFonts w:cs="Times New Roman"/>
          <w:lang w:val="fr-CA"/>
        </w:rPr>
        <w:t>] « aménagements permanents au moment du contact qui auraient entraîné l’exercice du droit revendiqué ou fait en sorte que celui</w:t>
      </w:r>
      <w:r w:rsidRPr="00D84730">
        <w:rPr>
          <w:rFonts w:cs="Times New Roman"/>
          <w:lang w:val="fr-CA"/>
        </w:rPr>
        <w:noBreakHyphen/>
        <w:t xml:space="preserve">ci constitue une tradition, pratique ou activité ancestrale au cœur de la culture des Ktunaxa », et les « détails de l’intérêt spirituel dans la vallée » n’étaient ni communiqués à la population générale des Ktunaxa ni connus de cette dernière (Motifs, p. 122). </w:t>
      </w:r>
    </w:p>
    <w:p w:rsidR="00094732" w:rsidRPr="00D84730" w:rsidRDefault="00094732" w:rsidP="0055329A">
      <w:pPr>
        <w:pStyle w:val="ParaNoNdepar-AltN"/>
        <w:widowControl w:val="0"/>
        <w:rPr>
          <w:rFonts w:cs="Times New Roman"/>
          <w:lang w:val="fr-CA"/>
        </w:rPr>
      </w:pPr>
      <w:r w:rsidRPr="00D84730">
        <w:rPr>
          <w:rFonts w:cs="Times New Roman"/>
          <w:lang w:val="fr-CA"/>
        </w:rPr>
        <w:t>Ces éléments du test servant à identifier un droit ancestral reconnu à l’art. 35 ne font pas partie de l’analyse fondée sur l’al. 2</w:t>
      </w:r>
      <w:r w:rsidRPr="00D84730">
        <w:rPr>
          <w:rFonts w:cs="Times New Roman"/>
          <w:i/>
          <w:lang w:val="fr-CA"/>
        </w:rPr>
        <w:t>a</w:t>
      </w:r>
      <w:r w:rsidRPr="00D84730">
        <w:rPr>
          <w:rFonts w:cs="Times New Roman"/>
          <w:lang w:val="fr-CA"/>
        </w:rPr>
        <w:t>). Comme je l’ai indiqué, pour décider qu’il y a atteinte à un droit garanti à l’al. 2</w:t>
      </w:r>
      <w:r w:rsidRPr="00D84730">
        <w:rPr>
          <w:rFonts w:cs="Times New Roman"/>
          <w:i/>
          <w:lang w:val="fr-CA"/>
        </w:rPr>
        <w:t>a</w:t>
      </w:r>
      <w:r w:rsidRPr="00D84730">
        <w:rPr>
          <w:rFonts w:cs="Times New Roman"/>
          <w:lang w:val="fr-CA"/>
        </w:rPr>
        <w:t xml:space="preserve">), deux conditions doivent être réunies : (1) il s’agit d’une croyance ou pratique religieuse sincère et (2) la conduite étatique a nui à la capacité de se conformer à la croyance ou pratique de manière non </w:t>
      </w:r>
      <w:r w:rsidRPr="00D84730">
        <w:rPr>
          <w:rFonts w:cs="Times New Roman"/>
          <w:lang w:val="fr-CA"/>
        </w:rPr>
        <w:lastRenderedPageBreak/>
        <w:t>négligeable. Par conséquent, la remarque du Ministre selon laquelle la revendication à première vue concernant le lien spirituel des Ktunaxa avec la terre était « faible » se rapporte uniquement à la solidité de la revendication fondée sur l’art. 35 et n’a rien à voir avec l’évaluation du droit garanti aux Ktunaxa par l’al. 2</w:t>
      </w:r>
      <w:r w:rsidRPr="00D84730">
        <w:rPr>
          <w:rFonts w:cs="Times New Roman"/>
          <w:i/>
          <w:lang w:val="fr-CA"/>
        </w:rPr>
        <w:t>a</w:t>
      </w:r>
      <w:r w:rsidRPr="00D84730">
        <w:rPr>
          <w:rFonts w:cs="Times New Roman"/>
          <w:lang w:val="fr-CA"/>
        </w:rPr>
        <w:t xml:space="preserve">). </w:t>
      </w:r>
    </w:p>
    <w:p w:rsidR="00094732" w:rsidRPr="00D84730" w:rsidRDefault="00094732" w:rsidP="0055329A">
      <w:pPr>
        <w:pStyle w:val="ParaNoNdepar-AltN"/>
        <w:widowControl w:val="0"/>
        <w:rPr>
          <w:rFonts w:cs="Times New Roman"/>
          <w:lang w:val="fr-CA"/>
        </w:rPr>
      </w:pPr>
      <w:r w:rsidRPr="00D84730">
        <w:rPr>
          <w:rFonts w:cs="Times New Roman"/>
          <w:lang w:val="fr-CA"/>
        </w:rPr>
        <w:t>En fait, dans ses Motifs, le Ministre a expressément reconnu que l’aménagement proposé mettait en jeu le lien spirituel des Ktunaxa avec le Qat’muk, la substance du droit que leur garantit l’al. 2</w:t>
      </w:r>
      <w:r w:rsidRPr="00D84730">
        <w:rPr>
          <w:rFonts w:cs="Times New Roman"/>
          <w:i/>
          <w:lang w:val="fr-CA"/>
        </w:rPr>
        <w:t>a</w:t>
      </w:r>
      <w:r w:rsidRPr="00D84730">
        <w:rPr>
          <w:rFonts w:cs="Times New Roman"/>
          <w:lang w:val="fr-CA"/>
        </w:rPr>
        <w:t xml:space="preserve">). Bien que le Ministre ait jugé « faible » la revendication d’un droit ancestral fondée sur l’art. 35, il a dit avoir </w:t>
      </w:r>
      <w:r w:rsidR="00FE2FC4" w:rsidRPr="00D84730">
        <w:rPr>
          <w:rFonts w:cs="Times New Roman"/>
          <w:lang w:val="fr-CA"/>
        </w:rPr>
        <w:t>[</w:t>
      </w:r>
      <w:r w:rsidR="00FE2FC4" w:rsidRPr="00D84730">
        <w:rPr>
          <w:rFonts w:cs="Times New Roman"/>
          <w:smallCaps/>
          <w:lang w:val="fr-CA"/>
        </w:rPr>
        <w:t>traduction</w:t>
      </w:r>
      <w:r w:rsidR="00FE2FC4" w:rsidRPr="00D84730">
        <w:rPr>
          <w:rFonts w:cs="Times New Roman"/>
          <w:lang w:val="fr-CA"/>
        </w:rPr>
        <w:t xml:space="preserve">] </w:t>
      </w:r>
      <w:r w:rsidRPr="00D84730">
        <w:rPr>
          <w:rFonts w:cs="Times New Roman"/>
          <w:lang w:val="fr-CA"/>
        </w:rPr>
        <w:t>« reconn[u] sincèrement les valeurs réellement sacrées en jeu pour les dirigeants des Ktunaxa et les gardiens du savoir en particulier » (p. 122). Dans son Résumé des consultations et des mesures d’accommodement (reproduit dans le d</w:t>
      </w:r>
      <w:r w:rsidR="00496D4E">
        <w:rPr>
          <w:rFonts w:cs="Times New Roman"/>
          <w:lang w:val="fr-CA"/>
        </w:rPr>
        <w:t>.i. (Ministre), p. 66-</w:t>
      </w:r>
      <w:r w:rsidRPr="00D84730">
        <w:rPr>
          <w:rFonts w:cs="Times New Roman"/>
          <w:lang w:val="fr-CA"/>
        </w:rPr>
        <w:t>154), auquel renvoie le Ministre dans ses Motifs, il a signalé que la vallée Jumbo est un secteur d’importance culturelle auquel sont associées des valeurs sacrées et que [</w:t>
      </w:r>
      <w:r w:rsidRPr="00D84730">
        <w:rPr>
          <w:rFonts w:cs="Times New Roman"/>
          <w:smallCaps/>
          <w:lang w:val="fr-CA"/>
        </w:rPr>
        <w:t>traduction</w:t>
      </w:r>
      <w:r w:rsidRPr="00D84730">
        <w:rPr>
          <w:rFonts w:cs="Times New Roman"/>
          <w:lang w:val="fr-CA"/>
        </w:rPr>
        <w:t>] « la terre de l’Esprit de l’Ours Grizzly » est une partie fort importante sur le plan spirituel du territoire traditionnel des Ktunaxa (p. 111). J’estime donc que le Ministre a bien saisi la substance du droit garanti aux Ktunaxa par l’al. 2</w:t>
      </w:r>
      <w:r w:rsidRPr="00D84730">
        <w:rPr>
          <w:rFonts w:cs="Times New Roman"/>
          <w:i/>
          <w:lang w:val="fr-CA"/>
        </w:rPr>
        <w:t>a</w:t>
      </w:r>
      <w:r w:rsidRPr="00D84730">
        <w:rPr>
          <w:rFonts w:cs="Times New Roman"/>
          <w:lang w:val="fr-CA"/>
        </w:rPr>
        <w:t xml:space="preserve">). </w:t>
      </w:r>
    </w:p>
    <w:p w:rsidR="00094732" w:rsidRPr="00D84730" w:rsidRDefault="00094732" w:rsidP="0055329A">
      <w:pPr>
        <w:pStyle w:val="Title3LevelTitre3Niveau"/>
        <w:widowControl w:val="0"/>
        <w:rPr>
          <w:rFonts w:cs="Times New Roman"/>
          <w:lang w:val="fr-CA"/>
        </w:rPr>
      </w:pPr>
      <w:r w:rsidRPr="00D84730">
        <w:rPr>
          <w:rFonts w:cs="Times New Roman"/>
          <w:lang w:val="fr-CA"/>
        </w:rPr>
        <w:t>Le Ministre s’est livré à une mise en balance proportionnée</w:t>
      </w:r>
    </w:p>
    <w:p w:rsidR="00094732" w:rsidRPr="00D84730" w:rsidRDefault="00094732" w:rsidP="0055329A">
      <w:pPr>
        <w:pStyle w:val="Title4LevelTitre4Niveau"/>
        <w:widowControl w:val="0"/>
        <w:numPr>
          <w:ilvl w:val="3"/>
          <w:numId w:val="2"/>
        </w:numPr>
        <w:jc w:val="both"/>
        <w:rPr>
          <w:rFonts w:cs="Times New Roman"/>
        </w:rPr>
      </w:pPr>
      <w:r w:rsidRPr="00D84730">
        <w:rPr>
          <w:rFonts w:cs="Times New Roman"/>
        </w:rPr>
        <w:t>Objectifs visés par la loi</w:t>
      </w:r>
    </w:p>
    <w:p w:rsidR="00094732" w:rsidRPr="00D84730" w:rsidRDefault="00094732" w:rsidP="0055329A">
      <w:pPr>
        <w:pStyle w:val="ParaNoNdepar-AltN"/>
        <w:widowControl w:val="0"/>
        <w:rPr>
          <w:rFonts w:cs="Times New Roman"/>
          <w:lang w:val="fr-CA"/>
        </w:rPr>
      </w:pPr>
      <w:r w:rsidRPr="00D84730">
        <w:rPr>
          <w:rFonts w:cs="Times New Roman"/>
          <w:lang w:val="fr-CA"/>
        </w:rPr>
        <w:t>Avant de passer à la question de savoir si le Ministre a mis en balance de façon proportionnée la substance du droit garanti aux Ktunaxa par l’al. 2</w:t>
      </w:r>
      <w:r w:rsidRPr="00D84730">
        <w:rPr>
          <w:rFonts w:cs="Times New Roman"/>
          <w:i/>
          <w:lang w:val="fr-CA"/>
        </w:rPr>
        <w:t>a</w:t>
      </w:r>
      <w:r w:rsidRPr="00D84730">
        <w:rPr>
          <w:rFonts w:cs="Times New Roman"/>
          <w:lang w:val="fr-CA"/>
        </w:rPr>
        <w:t xml:space="preserve">) et le mandat </w:t>
      </w:r>
      <w:r w:rsidRPr="00D84730">
        <w:rPr>
          <w:rFonts w:cs="Times New Roman"/>
          <w:lang w:val="fr-CA"/>
        </w:rPr>
        <w:lastRenderedPageBreak/>
        <w:t xml:space="preserve">que lui confie la loi, j’aborde les objectifs législatifs pertinents en l’espèce. Le Ministre a fait état de plusieurs de ses obligations découlant de la </w:t>
      </w:r>
      <w:r w:rsidRPr="00D84730">
        <w:rPr>
          <w:rFonts w:cs="Times New Roman"/>
          <w:i/>
          <w:lang w:val="fr-CA"/>
        </w:rPr>
        <w:t>Land Act</w:t>
      </w:r>
      <w:r w:rsidRPr="00D84730">
        <w:rPr>
          <w:rFonts w:cs="Times New Roman"/>
          <w:lang w:val="fr-CA"/>
        </w:rPr>
        <w:t>, R.S.B.C. 1996, c. 245,</w:t>
      </w:r>
      <w:r w:rsidRPr="00D84730">
        <w:rPr>
          <w:rFonts w:cs="Times New Roman"/>
          <w:i/>
          <w:lang w:val="fr-CA"/>
        </w:rPr>
        <w:t xml:space="preserve"> </w:t>
      </w:r>
      <w:r w:rsidRPr="00D84730">
        <w:rPr>
          <w:rFonts w:cs="Times New Roman"/>
          <w:lang w:val="fr-CA"/>
        </w:rPr>
        <w:t xml:space="preserve">et de la </w:t>
      </w:r>
      <w:r w:rsidRPr="00D84730">
        <w:rPr>
          <w:rFonts w:cs="Times New Roman"/>
          <w:i/>
          <w:lang w:val="fr-CA"/>
        </w:rPr>
        <w:t>Ministry of Lands, Parks and Housing Act</w:t>
      </w:r>
      <w:r w:rsidRPr="00D84730">
        <w:rPr>
          <w:rFonts w:cs="Times New Roman"/>
          <w:lang w:val="fr-CA"/>
        </w:rPr>
        <w:t>, R.S.B.C. 1996, c. 307,</w:t>
      </w:r>
      <w:r w:rsidRPr="00D84730">
        <w:rPr>
          <w:rFonts w:cs="Times New Roman"/>
          <w:i/>
          <w:lang w:val="fr-CA"/>
        </w:rPr>
        <w:t xml:space="preserve"> </w:t>
      </w:r>
      <w:r w:rsidRPr="00D84730">
        <w:rPr>
          <w:rFonts w:cs="Times New Roman"/>
          <w:lang w:val="fr-CA"/>
        </w:rPr>
        <w:t>qui ont joué dans sa décision. À la p. 119 de ses Motifs, il fait remarquer qu’aux termes de ces lois, il est [</w:t>
      </w:r>
      <w:r w:rsidRPr="00D84730">
        <w:rPr>
          <w:rFonts w:cs="Times New Roman"/>
          <w:smallCaps/>
          <w:lang w:val="fr-CA"/>
        </w:rPr>
        <w:t>traduction</w:t>
      </w:r>
      <w:r w:rsidRPr="00D84730">
        <w:rPr>
          <w:rFonts w:cs="Times New Roman"/>
          <w:lang w:val="fr-CA"/>
        </w:rPr>
        <w:t xml:space="preserve">] « responsable de l’administration des terres de la Couronne » (voir la </w:t>
      </w:r>
      <w:r w:rsidRPr="00D84730">
        <w:rPr>
          <w:rFonts w:cs="Times New Roman"/>
          <w:i/>
          <w:lang w:val="fr-CA"/>
        </w:rPr>
        <w:t>Land Act</w:t>
      </w:r>
      <w:r w:rsidRPr="00D84730">
        <w:rPr>
          <w:rFonts w:cs="Times New Roman"/>
          <w:lang w:val="fr-CA"/>
        </w:rPr>
        <w:t xml:space="preserve">, art. 4), « chargé d’aliéner les terres de la Couronne lorsqu[’il] l’estime indiqué dans l’intérêt public » (voir la </w:t>
      </w:r>
      <w:r w:rsidRPr="00D84730">
        <w:rPr>
          <w:rFonts w:cs="Times New Roman"/>
          <w:i/>
          <w:lang w:val="fr-CA"/>
        </w:rPr>
        <w:t>Land Act</w:t>
      </w:r>
      <w:r w:rsidRPr="00D84730">
        <w:rPr>
          <w:rFonts w:cs="Times New Roman"/>
          <w:lang w:val="fr-CA"/>
        </w:rPr>
        <w:t xml:space="preserve">, par. 11(1)) et « chargé d’encourager les activités de plein air » (voir la </w:t>
      </w:r>
      <w:r w:rsidRPr="00D84730">
        <w:rPr>
          <w:rFonts w:cs="Times New Roman"/>
          <w:i/>
          <w:lang w:val="fr-CA"/>
        </w:rPr>
        <w:t>Ministry of Lands, Parks and Housing Act</w:t>
      </w:r>
      <w:r w:rsidRPr="00D84730">
        <w:rPr>
          <w:rFonts w:cs="Times New Roman"/>
          <w:lang w:val="fr-CA"/>
        </w:rPr>
        <w:t>, al. 5</w:t>
      </w:r>
      <w:r w:rsidR="00FE2FC4">
        <w:rPr>
          <w:rFonts w:cs="Times New Roman"/>
          <w:lang w:val="fr-CA"/>
        </w:rPr>
        <w:t>(</w:t>
      </w:r>
      <w:r w:rsidRPr="00D84730">
        <w:rPr>
          <w:rFonts w:cs="Times New Roman"/>
          <w:lang w:val="fr-CA"/>
        </w:rPr>
        <w:t xml:space="preserve">b)). Lorsqu’on interprète impartialement les motifs du Ministre dans leur ensemble, il est clair qu’il a tenu compte de ces objectifs pour parvenir à sa décision. </w:t>
      </w:r>
    </w:p>
    <w:p w:rsidR="00094732" w:rsidRPr="00D84730" w:rsidRDefault="00094732" w:rsidP="0055329A">
      <w:pPr>
        <w:pStyle w:val="Title4LevelTitre4Niveau"/>
        <w:widowControl w:val="0"/>
        <w:numPr>
          <w:ilvl w:val="3"/>
          <w:numId w:val="2"/>
        </w:numPr>
        <w:jc w:val="both"/>
        <w:rPr>
          <w:rFonts w:cs="Times New Roman"/>
          <w:lang w:val="fr-CA"/>
        </w:rPr>
      </w:pPr>
      <w:r w:rsidRPr="00D84730">
        <w:rPr>
          <w:rFonts w:cs="Times New Roman"/>
          <w:lang w:val="fr-CA"/>
        </w:rPr>
        <w:t>Les efforts déployés par le Ministre pour satisfaire à la revendication des Ktunaxa fondée sur l’al. 2a)</w:t>
      </w:r>
    </w:p>
    <w:p w:rsidR="00094732" w:rsidRPr="00D84730" w:rsidRDefault="00094732" w:rsidP="0055329A">
      <w:pPr>
        <w:pStyle w:val="ParaNoNdepar-AltN"/>
        <w:widowControl w:val="0"/>
        <w:rPr>
          <w:rFonts w:cs="Times New Roman"/>
          <w:lang w:val="fr-CA"/>
        </w:rPr>
      </w:pPr>
      <w:r w:rsidRPr="00D84730">
        <w:rPr>
          <w:rFonts w:cs="Times New Roman"/>
          <w:lang w:val="fr-CA"/>
        </w:rPr>
        <w:t>Comme je l’expliquerai, il ressort des motifs du Ministre qu’il a essayé de limiter autant qu’il était raisonnablement possible de le faire l’impact de l’aménagement proposé sur la substance du droit garanti aux Ktunaxa par l’al. 2</w:t>
      </w:r>
      <w:r w:rsidRPr="00D84730">
        <w:rPr>
          <w:rFonts w:cs="Times New Roman"/>
          <w:i/>
          <w:lang w:val="fr-CA"/>
        </w:rPr>
        <w:t>a</w:t>
      </w:r>
      <w:r w:rsidRPr="00D84730">
        <w:rPr>
          <w:rFonts w:cs="Times New Roman"/>
          <w:lang w:val="fr-CA"/>
        </w:rPr>
        <w:t>) compte tenu de ces objectifs visés par la loi. Le Ministre a en fait consenti des mesures d’accommodement importantes qui touchaient précisément le lien spirituel des Ktunaxa avec la terre. Comme l’a souligné le juge Savage, ces mesures d’accommodement [</w:t>
      </w:r>
      <w:r w:rsidRPr="00D84730">
        <w:rPr>
          <w:rFonts w:cs="Times New Roman"/>
          <w:smallCaps/>
          <w:lang w:val="fr-CA"/>
        </w:rPr>
        <w:t>traduction</w:t>
      </w:r>
      <w:r w:rsidRPr="00D84730">
        <w:rPr>
          <w:rFonts w:cs="Times New Roman"/>
          <w:lang w:val="fr-CA"/>
        </w:rPr>
        <w:t xml:space="preserve">] « visaient clairement à réduire l’empreinte de la station de ski proposée dans le Qat’muk et à atténuer les répercussions de cette station sur les grizzlys dans lesquels, aux dires des Ktunaxa, se manifeste l’Esprit de l’Ours </w:t>
      </w:r>
      <w:r w:rsidRPr="00D84730">
        <w:rPr>
          <w:rFonts w:cs="Times New Roman"/>
          <w:lang w:val="fr-CA"/>
        </w:rPr>
        <w:lastRenderedPageBreak/>
        <w:t>Grizzly » (par. 313). Ces mesures comprenaient les suivantes (Motifs, p. 123) :</w:t>
      </w:r>
    </w:p>
    <w:p w:rsidR="00094732" w:rsidRDefault="00496D4E" w:rsidP="0055329A">
      <w:pPr>
        <w:pStyle w:val="Citation-AltC"/>
        <w:widowControl w:val="0"/>
        <w:spacing w:line="480" w:lineRule="auto"/>
        <w:ind w:left="720" w:hanging="720"/>
        <w:rPr>
          <w:lang w:val="fr-CA"/>
        </w:rPr>
      </w:pPr>
      <w:r>
        <w:rPr>
          <w:lang w:val="fr-CA"/>
        </w:rPr>
        <w:t>●</w:t>
      </w:r>
      <w:r>
        <w:rPr>
          <w:lang w:val="fr-CA"/>
        </w:rPr>
        <w:tab/>
      </w:r>
      <w:r w:rsidR="00094732" w:rsidRPr="00D84730">
        <w:rPr>
          <w:lang w:val="fr-CA"/>
        </w:rPr>
        <w:t xml:space="preserve">La </w:t>
      </w:r>
      <w:r w:rsidR="00094732" w:rsidRPr="00496D4E">
        <w:rPr>
          <w:lang w:val="fr-CA"/>
        </w:rPr>
        <w:t>taille</w:t>
      </w:r>
      <w:r w:rsidR="00094732" w:rsidRPr="00D84730">
        <w:rPr>
          <w:lang w:val="fr-CA"/>
        </w:rPr>
        <w:t xml:space="preserve"> </w:t>
      </w:r>
      <w:r w:rsidR="00094732" w:rsidRPr="00496D4E">
        <w:rPr>
          <w:lang w:val="fr-CA"/>
        </w:rPr>
        <w:t>de</w:t>
      </w:r>
      <w:r w:rsidR="00094732" w:rsidRPr="00D84730">
        <w:rPr>
          <w:lang w:val="fr-CA"/>
        </w:rPr>
        <w:t xml:space="preserve"> la [</w:t>
      </w:r>
      <w:r w:rsidR="00094732" w:rsidRPr="00D84730">
        <w:rPr>
          <w:smallCaps/>
          <w:lang w:val="fr-CA"/>
        </w:rPr>
        <w:t>traduction</w:t>
      </w:r>
      <w:r w:rsidR="00094732" w:rsidRPr="00D84730">
        <w:rPr>
          <w:lang w:val="fr-CA"/>
        </w:rPr>
        <w:t>] « zone de loisir contrôlée » a été réduite de 60 </w:t>
      </w:r>
      <w:r w:rsidR="00CE11E2">
        <w:rPr>
          <w:lang w:val="fr-CA"/>
        </w:rPr>
        <w:t>p. 100</w:t>
      </w:r>
      <w:r w:rsidR="00094732" w:rsidRPr="00D84730">
        <w:rPr>
          <w:lang w:val="fr-CA"/>
        </w:rPr>
        <w:t xml:space="preserve"> et on a également amputé « l’aire total</w:t>
      </w:r>
      <w:r w:rsidR="00FE2FC4">
        <w:rPr>
          <w:lang w:val="fr-CA"/>
        </w:rPr>
        <w:t>e d’aménagement de la station ».</w:t>
      </w:r>
    </w:p>
    <w:p w:rsidR="00CE11E2" w:rsidRPr="00D84730" w:rsidRDefault="00CE11E2" w:rsidP="0055329A">
      <w:pPr>
        <w:pStyle w:val="Citation-AltC"/>
        <w:widowControl w:val="0"/>
        <w:spacing w:line="480" w:lineRule="auto"/>
        <w:ind w:left="720" w:hanging="720"/>
        <w:rPr>
          <w:lang w:val="fr-CA"/>
        </w:rPr>
      </w:pPr>
    </w:p>
    <w:p w:rsidR="00094732" w:rsidRDefault="00496D4E" w:rsidP="0055329A">
      <w:pPr>
        <w:pStyle w:val="Citation-AltC"/>
        <w:widowControl w:val="0"/>
        <w:spacing w:line="480" w:lineRule="auto"/>
        <w:ind w:left="720" w:hanging="720"/>
        <w:rPr>
          <w:lang w:val="fr-CA"/>
        </w:rPr>
      </w:pPr>
      <w:r>
        <w:rPr>
          <w:lang w:val="fr-CA"/>
        </w:rPr>
        <w:t>●</w:t>
      </w:r>
      <w:r>
        <w:rPr>
          <w:lang w:val="fr-CA"/>
        </w:rPr>
        <w:tab/>
      </w:r>
      <w:r w:rsidR="00094732" w:rsidRPr="00D84730">
        <w:rPr>
          <w:lang w:val="fr-CA"/>
        </w:rPr>
        <w:t xml:space="preserve">On a retranché « de la zone de loisir contrôlée du secteur inférieur de la vallée Jumbo une région perçue comme davantage susceptible d’être fréquentée par </w:t>
      </w:r>
      <w:r w:rsidR="00094732" w:rsidRPr="00496D4E">
        <w:rPr>
          <w:lang w:val="fr-CA"/>
        </w:rPr>
        <w:t>les</w:t>
      </w:r>
      <w:r w:rsidR="00FE2FC4">
        <w:rPr>
          <w:lang w:val="fr-CA"/>
        </w:rPr>
        <w:t xml:space="preserve"> grizzlys ».</w:t>
      </w:r>
    </w:p>
    <w:p w:rsidR="00496D4E" w:rsidRPr="00D84730" w:rsidRDefault="00496D4E" w:rsidP="0055329A">
      <w:pPr>
        <w:pStyle w:val="Citation-AltC"/>
        <w:widowControl w:val="0"/>
        <w:spacing w:line="480" w:lineRule="auto"/>
        <w:ind w:left="720"/>
        <w:rPr>
          <w:lang w:val="fr-CA"/>
        </w:rPr>
      </w:pPr>
    </w:p>
    <w:p w:rsidR="00094732" w:rsidRDefault="00496D4E" w:rsidP="0055329A">
      <w:pPr>
        <w:pStyle w:val="Citation-AltC"/>
        <w:widowControl w:val="0"/>
        <w:spacing w:line="480" w:lineRule="auto"/>
        <w:ind w:left="720" w:hanging="720"/>
        <w:rPr>
          <w:lang w:val="fr-CA"/>
        </w:rPr>
      </w:pPr>
      <w:r>
        <w:rPr>
          <w:lang w:val="fr-CA"/>
        </w:rPr>
        <w:t>●</w:t>
      </w:r>
      <w:r>
        <w:rPr>
          <w:lang w:val="fr-CA"/>
        </w:rPr>
        <w:tab/>
      </w:r>
      <w:r w:rsidR="00094732" w:rsidRPr="00D84730">
        <w:rPr>
          <w:lang w:val="fr-CA"/>
        </w:rPr>
        <w:t>La « </w:t>
      </w:r>
      <w:r w:rsidR="00094732" w:rsidRPr="00496D4E">
        <w:rPr>
          <w:lang w:val="fr-CA"/>
        </w:rPr>
        <w:t>zone</w:t>
      </w:r>
      <w:r w:rsidR="00094732" w:rsidRPr="00D84730">
        <w:rPr>
          <w:lang w:val="fr-CA"/>
        </w:rPr>
        <w:t xml:space="preserve"> de loisir contrôlée » a aussi été « modifiée par le retrait des remonte</w:t>
      </w:r>
      <w:r w:rsidR="00094732" w:rsidRPr="00D84730">
        <w:rPr>
          <w:lang w:val="fr-CA"/>
        </w:rPr>
        <w:noBreakHyphen/>
        <w:t xml:space="preserve">pentes sur le côté ouest de la vallée </w:t>
      </w:r>
      <w:r w:rsidR="00094732" w:rsidRPr="00D84730">
        <w:rPr>
          <w:rFonts w:eastAsiaTheme="minorEastAsia"/>
          <w:szCs w:val="22"/>
          <w:lang w:val="fr-CA" w:eastAsia="en-US"/>
        </w:rPr>
        <w:t>car on pensait que l’impact sur l’habitat du grizzly y serait plus important »</w:t>
      </w:r>
      <w:r w:rsidR="00FE2FC4">
        <w:rPr>
          <w:lang w:val="fr-CA"/>
        </w:rPr>
        <w:t>.</w:t>
      </w:r>
    </w:p>
    <w:p w:rsidR="00496D4E" w:rsidRPr="00D84730" w:rsidRDefault="00496D4E" w:rsidP="0055329A">
      <w:pPr>
        <w:pStyle w:val="Citation-AltC"/>
        <w:widowControl w:val="0"/>
        <w:spacing w:line="480" w:lineRule="auto"/>
        <w:ind w:left="0"/>
        <w:rPr>
          <w:lang w:val="fr-CA"/>
        </w:rPr>
      </w:pPr>
    </w:p>
    <w:p w:rsidR="00094732" w:rsidRPr="00D84730" w:rsidRDefault="00496D4E" w:rsidP="0055329A">
      <w:pPr>
        <w:pStyle w:val="Citation-AltC"/>
        <w:widowControl w:val="0"/>
        <w:spacing w:line="480" w:lineRule="auto"/>
        <w:ind w:left="720" w:hanging="720"/>
        <w:rPr>
          <w:lang w:val="fr-CA"/>
        </w:rPr>
      </w:pPr>
      <w:r>
        <w:rPr>
          <w:lang w:val="fr-CA"/>
        </w:rPr>
        <w:t>●</w:t>
      </w:r>
      <w:r>
        <w:rPr>
          <w:lang w:val="fr-CA"/>
        </w:rPr>
        <w:tab/>
      </w:r>
      <w:r w:rsidR="00094732" w:rsidRPr="00D84730">
        <w:rPr>
          <w:lang w:val="fr-CA"/>
        </w:rPr>
        <w:t xml:space="preserve">La </w:t>
      </w:r>
      <w:r w:rsidR="00094732" w:rsidRPr="00496D4E">
        <w:rPr>
          <w:lang w:val="fr-CA"/>
        </w:rPr>
        <w:t>province</w:t>
      </w:r>
      <w:r w:rsidR="00094732" w:rsidRPr="00D84730">
        <w:rPr>
          <w:lang w:val="fr-CA"/>
        </w:rPr>
        <w:t xml:space="preserve"> de la Colombie</w:t>
      </w:r>
      <w:r w:rsidR="00094732" w:rsidRPr="00D84730">
        <w:rPr>
          <w:lang w:val="fr-CA"/>
        </w:rPr>
        <w:noBreakHyphen/>
        <w:t>Britannique « irait de l’avant avec la mise sur pied d’une aire de gestion de la faune (AGF)</w:t>
      </w:r>
      <w:r w:rsidR="00990A60">
        <w:rPr>
          <w:lang w:val="fr-CA"/>
        </w:rPr>
        <w:t> »</w:t>
      </w:r>
      <w:r w:rsidR="00094732" w:rsidRPr="00D84730">
        <w:rPr>
          <w:lang w:val="fr-CA"/>
        </w:rPr>
        <w:t xml:space="preserve"> afin </w:t>
      </w:r>
      <w:r w:rsidR="00990A60">
        <w:rPr>
          <w:lang w:val="fr-CA"/>
        </w:rPr>
        <w:t>« </w:t>
      </w:r>
      <w:r w:rsidR="00094732" w:rsidRPr="00D84730">
        <w:rPr>
          <w:lang w:val="fr-CA"/>
        </w:rPr>
        <w:t xml:space="preserve">de contrer les répercussions possibles du projet sur </w:t>
      </w:r>
      <w:r w:rsidR="00094732" w:rsidRPr="00496D4E">
        <w:rPr>
          <w:lang w:val="fr-CA"/>
        </w:rPr>
        <w:t>les</w:t>
      </w:r>
      <w:r w:rsidR="00094732" w:rsidRPr="00D84730">
        <w:rPr>
          <w:lang w:val="fr-CA"/>
        </w:rPr>
        <w:t xml:space="preserve"> grizzlys et les revendications autochtones touchant la valeur spirituelle de la vallée ». On a invité les Ktunaxa à discuter ave</w:t>
      </w:r>
      <w:r w:rsidR="00FE2FC4">
        <w:rPr>
          <w:lang w:val="fr-CA"/>
        </w:rPr>
        <w:t>c la p</w:t>
      </w:r>
      <w:r w:rsidR="00094732" w:rsidRPr="00D84730">
        <w:rPr>
          <w:lang w:val="fr-CA"/>
        </w:rPr>
        <w:t>rovince de l’élaboration et de la mise en œuvre des objectifs de l’AGF.</w:t>
      </w:r>
    </w:p>
    <w:p w:rsidR="00094732" w:rsidRPr="00D84730" w:rsidRDefault="00094732" w:rsidP="0055329A">
      <w:pPr>
        <w:pStyle w:val="ParaNoNdepar-AltN"/>
        <w:widowControl w:val="0"/>
        <w:rPr>
          <w:rFonts w:cs="Times New Roman"/>
          <w:lang w:val="fr-CA"/>
        </w:rPr>
      </w:pPr>
      <w:r w:rsidRPr="00D84730">
        <w:rPr>
          <w:rFonts w:cs="Times New Roman"/>
          <w:lang w:val="fr-CA"/>
        </w:rPr>
        <w:t>Certes, ces mesures d’accommodement ont été consenties eu égard à l’obligation du Ministre de consulter et d’accommoder découlant de l’art. 35. Le Ministre a offert ces mesures et d’autres accommodements dans le cadre d’un processus de consultation qui s’était rendu</w:t>
      </w:r>
      <w:r>
        <w:rPr>
          <w:rFonts w:cs="Times New Roman"/>
          <w:lang w:val="fr-CA"/>
        </w:rPr>
        <w:t xml:space="preserve"> </w:t>
      </w:r>
      <w:r w:rsidRPr="00D84730">
        <w:rPr>
          <w:rFonts w:cs="Times New Roman"/>
          <w:lang w:val="fr-CA"/>
        </w:rPr>
        <w:t>[</w:t>
      </w:r>
      <w:r w:rsidRPr="00D84730">
        <w:rPr>
          <w:rFonts w:cs="Times New Roman"/>
          <w:smallCaps/>
          <w:lang w:val="fr-CA"/>
        </w:rPr>
        <w:t>traduction</w:t>
      </w:r>
      <w:r>
        <w:rPr>
          <w:rFonts w:cs="Times New Roman"/>
          <w:lang w:val="fr-CA"/>
        </w:rPr>
        <w:t>]</w:t>
      </w:r>
      <w:r w:rsidRPr="00D84730">
        <w:rPr>
          <w:rFonts w:cs="Times New Roman"/>
          <w:lang w:val="fr-CA"/>
        </w:rPr>
        <w:t xml:space="preserve"> « à l’extrémité supérieure du </w:t>
      </w:r>
      <w:r w:rsidRPr="00D84730">
        <w:rPr>
          <w:rFonts w:cs="Times New Roman"/>
          <w:lang w:val="fr-CA"/>
        </w:rPr>
        <w:lastRenderedPageBreak/>
        <w:t>continuum de consultation » (Motifs, p. 123). Mais, tel qu’il est indiqué précédemment, le Ministre a offert les accommodements énumérés ci</w:t>
      </w:r>
      <w:r w:rsidRPr="00D84730">
        <w:rPr>
          <w:rFonts w:cs="Times New Roman"/>
          <w:lang w:val="fr-CA"/>
        </w:rPr>
        <w:noBreakHyphen/>
        <w:t xml:space="preserve">dessus pour répondre précisément à l’intérêt spirituel des Ktunaxa sur la terre même s’il a jugé « faible » la revendication à première vue des Ktunaxa fondée sur l’art. 35. Il me semble illogique que le Ministre consente des accommodements importants pour une « faible » revendication fondée sur l’art. 35, ce qui donne à penser que le Ministre a tenu compte de l’intérêt spirituel général des Ktunaxa sur le terrain indépendamment de leur revendication fondée sur l’art. 35. </w:t>
      </w:r>
    </w:p>
    <w:p w:rsidR="00094732" w:rsidRPr="00D84730" w:rsidRDefault="00094732" w:rsidP="0055329A">
      <w:pPr>
        <w:pStyle w:val="ParaNoNdepar-AltN"/>
        <w:widowControl w:val="0"/>
        <w:rPr>
          <w:rFonts w:cs="Times New Roman"/>
          <w:lang w:val="fr-CA"/>
        </w:rPr>
      </w:pPr>
      <w:r w:rsidRPr="00D84730">
        <w:rPr>
          <w:rFonts w:cs="Times New Roman"/>
          <w:lang w:val="fr-CA"/>
        </w:rPr>
        <w:t>La Juge en chef et le juge Rowe adoptent une perspective différente. Ils expliquent cette contradiction apparente en affirmant que le Ministre a qualifié de « faible » uniquement la prétention des Ktunaxa fondée sur l’art. 35 selon laquelle leur lien spirituel avec la terre serait rompu par tout aménagement permanent. D’après eux, le Ministre a décidé que leur « revendication générale visant les valeurs spirituelles associées au Qat’muk » au titre de l’art. 35 était solide et il a donc procédé à des consultations approfondies (par. 99)</w:t>
      </w:r>
      <w:r w:rsidRPr="00A10B0D">
        <w:rPr>
          <w:rStyle w:val="Hyperlink"/>
          <w:vertAlign w:val="superscript"/>
        </w:rPr>
        <w:footnoteReference w:id="1"/>
      </w:r>
      <w:r w:rsidRPr="00D84730">
        <w:rPr>
          <w:rFonts w:cs="Times New Roman"/>
          <w:lang w:val="fr-CA"/>
        </w:rPr>
        <w:t xml:space="preserve">. À mon avis, même si mes collègues ont raison de dire que le Ministre a procédé à des consultations approfondies pour répondre à la « revendication générale de nature spirituelle » (par. 99) des Ktunaxa en conformité avec l’art. 35, il s’ensuit que le Ministre a offert les accommodements susmentionnés pour réduire l’incidence de l’aménagement sur le lien spirituel des Ktunaxa avec le Qat’muk. Ces mesures indiquent que le Ministre s’est efforcé d’atténuer autant qu’il </w:t>
      </w:r>
      <w:r w:rsidRPr="00D84730">
        <w:rPr>
          <w:rFonts w:cs="Times New Roman"/>
          <w:lang w:val="fr-CA"/>
        </w:rPr>
        <w:lastRenderedPageBreak/>
        <w:t>était raisonnablement possible de le faire l’impact sur la substance du droit que leur garantit l’al. 2</w:t>
      </w:r>
      <w:r w:rsidRPr="00D84730">
        <w:rPr>
          <w:rFonts w:cs="Times New Roman"/>
          <w:i/>
          <w:lang w:val="fr-CA"/>
        </w:rPr>
        <w:t>a</w:t>
      </w:r>
      <w:r w:rsidRPr="00D84730">
        <w:rPr>
          <w:rFonts w:cs="Times New Roman"/>
          <w:lang w:val="fr-CA"/>
        </w:rPr>
        <w:t>) compte tenu de son mandat législatif. </w:t>
      </w:r>
    </w:p>
    <w:p w:rsidR="00094732" w:rsidRPr="00D84730" w:rsidRDefault="00094732" w:rsidP="0055329A">
      <w:pPr>
        <w:pStyle w:val="ParaNoNdepar-AltN"/>
        <w:widowControl w:val="0"/>
        <w:rPr>
          <w:rFonts w:cs="Times New Roman"/>
          <w:lang w:val="fr-CA"/>
        </w:rPr>
      </w:pPr>
      <w:r w:rsidRPr="00D84730">
        <w:rPr>
          <w:rFonts w:cs="Times New Roman"/>
          <w:lang w:val="fr-CA"/>
        </w:rPr>
        <w:t xml:space="preserve">Néanmoins, je reconnais que ces mesures d’accommodement ne font que réduire l’empreinte de l’aménagement sur le Qat’muk, un lieu spirituel qui revêt une grande importance dans la religion des Ktunaxa. Elles n’empêchent pas les Ktunaxa de perdre leur lien spirituel avec la terre après que la station de ski soit construite et que l’Esprit de l’Ours Grizzly quitte le Qat’muk. Les Ktunaxa estiment qu’il n’y pas de « moyen terme » à l’égard de l’aménagement : aucun accommodement n’est possible, car aucune installation permanente ne peut être érigée sur la terre, sinon le Qat’muk perdra son caractère sacré. Le Ministre avait donc deux choix : approuver l’aménagement ou permettre aux Ktunaxa d’opposer leur veto à l’aménagement en raison de leur liberté de religion. Comme je l’expliquerai, on peut déduire de la décision du Ministre que le deuxième choix n’était pas compatible avec son mandat législatif. En effet, cela minerait considérablement la réalisation de ce mandat, voire lui porterait un coup fatal. </w:t>
      </w:r>
    </w:p>
    <w:p w:rsidR="00094732" w:rsidRPr="00D84730" w:rsidRDefault="00094732" w:rsidP="0055329A">
      <w:pPr>
        <w:pStyle w:val="Title4LevelTitre4Niveau"/>
        <w:widowControl w:val="0"/>
        <w:numPr>
          <w:ilvl w:val="3"/>
          <w:numId w:val="2"/>
        </w:numPr>
        <w:jc w:val="both"/>
        <w:rPr>
          <w:rFonts w:cs="Times New Roman"/>
        </w:rPr>
      </w:pPr>
      <w:r w:rsidRPr="00D84730">
        <w:rPr>
          <w:rFonts w:cs="Times New Roman"/>
        </w:rPr>
        <w:t>Le droit d’interdiction</w:t>
      </w:r>
    </w:p>
    <w:p w:rsidR="00094732" w:rsidRPr="00D84730" w:rsidRDefault="00094732" w:rsidP="0055329A">
      <w:pPr>
        <w:pStyle w:val="ParaNoNdepar-AltN"/>
        <w:widowControl w:val="0"/>
        <w:rPr>
          <w:rFonts w:cs="Times New Roman"/>
          <w:lang w:val="fr-CA"/>
        </w:rPr>
      </w:pPr>
      <w:r w:rsidRPr="00D84730">
        <w:rPr>
          <w:rFonts w:cs="Times New Roman"/>
          <w:szCs w:val="24"/>
          <w:lang w:val="fr-CA"/>
        </w:rPr>
        <w:t xml:space="preserve">Conférer aux Ktunaxa le pouvoir d’opposer leur veto à l’aménagement du territoire en question leur donnerait dans les faits un intérêt propriétal d’envergure sur le Qat’muk, à savoir le pouvoir d’interdire à autrui de construire des installations permanentes sur plus de </w:t>
      </w:r>
      <w:r w:rsidR="00FD38FB">
        <w:rPr>
          <w:rFonts w:cs="Times New Roman"/>
          <w:szCs w:val="24"/>
          <w:lang w:val="fr-CA"/>
        </w:rPr>
        <w:t>50</w:t>
      </w:r>
      <w:r w:rsidRPr="00D84730">
        <w:rPr>
          <w:rFonts w:cs="Times New Roman"/>
          <w:szCs w:val="24"/>
          <w:lang w:val="fr-CA"/>
        </w:rPr>
        <w:t xml:space="preserve"> kilomètres carrés de terres publiques. Ce droit d’interdiction n’est pas une restriction minimale ou négligeable de la propriété publique. Il donne aux </w:t>
      </w:r>
      <w:r w:rsidRPr="00D84730">
        <w:rPr>
          <w:rFonts w:cs="Times New Roman"/>
          <w:szCs w:val="24"/>
          <w:lang w:val="fr-CA"/>
        </w:rPr>
        <w:lastRenderedPageBreak/>
        <w:t>Ktunaxa le pouvoir d’interdire à autrui d’aménager un territoire qui appartient effectivement à la population. Cette dernière comprend un groupe autochtone, la Shuswap Indian Band, qui est en faveur de l’aménagement, un fait dont a expressément tenu compte le Ministre dans ses motifs. La Shuswap Indian Band est favorable à l’aménagement notamment en raison</w:t>
      </w:r>
      <w:r w:rsidR="00FD38FB">
        <w:rPr>
          <w:rFonts w:cs="Times New Roman"/>
          <w:szCs w:val="24"/>
          <w:lang w:val="fr-CA"/>
        </w:rPr>
        <w:t xml:space="preserve"> [</w:t>
      </w:r>
      <w:r w:rsidR="00FD38FB" w:rsidRPr="00FD38FB">
        <w:rPr>
          <w:rFonts w:cs="Times New Roman"/>
          <w:smallCaps/>
          <w:szCs w:val="24"/>
          <w:lang w:val="fr-CA"/>
        </w:rPr>
        <w:t>traduction</w:t>
      </w:r>
      <w:r w:rsidR="00FD38FB">
        <w:rPr>
          <w:rFonts w:cs="Times New Roman"/>
          <w:szCs w:val="24"/>
          <w:lang w:val="fr-CA"/>
        </w:rPr>
        <w:t>]</w:t>
      </w:r>
      <w:r w:rsidRPr="00D84730">
        <w:rPr>
          <w:rFonts w:cs="Times New Roman"/>
          <w:szCs w:val="24"/>
          <w:lang w:val="fr-CA"/>
        </w:rPr>
        <w:t xml:space="preserve"> « des possibilités de développement économique qu’il peut offrir » (d.i. (Ministre), p. 68).</w:t>
      </w:r>
    </w:p>
    <w:p w:rsidR="00094732" w:rsidRPr="00D84730" w:rsidRDefault="00094732" w:rsidP="0055329A">
      <w:pPr>
        <w:pStyle w:val="ParaNoNdepar-AltN"/>
        <w:widowControl w:val="0"/>
        <w:rPr>
          <w:rFonts w:cs="Times New Roman"/>
          <w:lang w:val="fr-CA"/>
        </w:rPr>
      </w:pPr>
      <w:r w:rsidRPr="00D84730">
        <w:rPr>
          <w:rFonts w:cs="Times New Roman"/>
          <w:szCs w:val="24"/>
          <w:lang w:val="fr-CA"/>
        </w:rPr>
        <w:t xml:space="preserve">Le pouvoir d’interdiction est un droit essentiel à la propriété d’un bien car il accorde au propriétaire le droit exclusif de décider de l’usage de son bien et d’éviter que d’autres personnes ne nuisent à cet usage (voir B. Ziff, </w:t>
      </w:r>
      <w:r w:rsidRPr="00D84730">
        <w:rPr>
          <w:rFonts w:cs="Times New Roman"/>
          <w:i/>
          <w:szCs w:val="24"/>
          <w:lang w:val="fr-CA"/>
        </w:rPr>
        <w:t>Principles of Property Law</w:t>
      </w:r>
      <w:r w:rsidRPr="00D84730">
        <w:rPr>
          <w:rFonts w:cs="Times New Roman"/>
          <w:szCs w:val="24"/>
          <w:lang w:val="fr-CA"/>
        </w:rPr>
        <w:t xml:space="preserve"> (6</w:t>
      </w:r>
      <w:r w:rsidRPr="00D84730">
        <w:rPr>
          <w:rFonts w:cs="Times New Roman"/>
          <w:szCs w:val="24"/>
          <w:vertAlign w:val="superscript"/>
          <w:lang w:val="fr-CA"/>
        </w:rPr>
        <w:t>e</w:t>
      </w:r>
      <w:r w:rsidRPr="00D84730">
        <w:rPr>
          <w:rFonts w:cs="Times New Roman"/>
          <w:szCs w:val="24"/>
          <w:lang w:val="fr-CA"/>
        </w:rPr>
        <w:t xml:space="preserve"> éd. 2014), p. 6). Sans le pouvoir d’interdiction, le propriétaire ne peut dicter l’usage qui sera fait de son bien. Même le titulaire d’un pouvoir limité d’interdiction — comme celui de prévenir l’aménagement du territoire — pourra exercer un contrôle sur le bien et en dicter l’usage dans une large mesure. </w:t>
      </w:r>
    </w:p>
    <w:p w:rsidR="00094732" w:rsidRPr="00D84730" w:rsidRDefault="00094732" w:rsidP="0055329A">
      <w:pPr>
        <w:pStyle w:val="ParaNoNdepar-AltN"/>
        <w:widowControl w:val="0"/>
        <w:rPr>
          <w:rFonts w:cs="Times New Roman"/>
          <w:lang w:val="fr-CA"/>
        </w:rPr>
      </w:pPr>
      <w:r w:rsidRPr="00D84730">
        <w:rPr>
          <w:rFonts w:cs="Times New Roman"/>
          <w:szCs w:val="24"/>
          <w:lang w:val="fr-CA"/>
        </w:rPr>
        <w:t>S’il accordait aux Ktunaxa un pouvoir limité d’i</w:t>
      </w:r>
      <w:r w:rsidR="00C34F23">
        <w:rPr>
          <w:rFonts w:cs="Times New Roman"/>
          <w:szCs w:val="24"/>
          <w:lang w:val="fr-CA"/>
        </w:rPr>
        <w:t>nterdiction, le Ministre leur cé</w:t>
      </w:r>
      <w:r w:rsidRPr="00D84730">
        <w:rPr>
          <w:rFonts w:cs="Times New Roman"/>
          <w:szCs w:val="24"/>
          <w:lang w:val="fr-CA"/>
        </w:rPr>
        <w:t xml:space="preserve">derait dans les faits le contrôle que détient le public sur l’utilisation de plus de </w:t>
      </w:r>
      <w:r w:rsidR="00FD38FB">
        <w:rPr>
          <w:rFonts w:cs="Times New Roman"/>
          <w:szCs w:val="24"/>
          <w:lang w:val="fr-CA"/>
        </w:rPr>
        <w:t>50</w:t>
      </w:r>
      <w:r w:rsidRPr="00D84730">
        <w:rPr>
          <w:rFonts w:cs="Times New Roman"/>
          <w:szCs w:val="24"/>
          <w:lang w:val="fr-CA"/>
        </w:rPr>
        <w:t xml:space="preserve"> kilomètres carrés de terres. Ce pouvoir permettrait aux Ktunaxa de dicter l’usage du territoire — soit empêcher la construction de toute installation permanente — pour éviter qu’elle n’entre en conflit avec leur croyance religieuse dans le caractère sacré du Qat’muk. Un groupe religieux </w:t>
      </w:r>
      <w:r w:rsidR="00C34F23">
        <w:rPr>
          <w:rFonts w:cs="Times New Roman"/>
          <w:szCs w:val="24"/>
          <w:lang w:val="fr-CA"/>
        </w:rPr>
        <w:t xml:space="preserve">serait </w:t>
      </w:r>
      <w:r w:rsidRPr="00D84730">
        <w:rPr>
          <w:rFonts w:cs="Times New Roman"/>
          <w:szCs w:val="24"/>
          <w:lang w:val="fr-CA"/>
        </w:rPr>
        <w:t xml:space="preserve">donc en mesure de réglementer l’utilisation d’une vaste étendue de terre publique pour qu’elle se conforme à sa croyance religieuse. Il semble se dégager implicitement des motifs du Ministre que permettre à un groupe </w:t>
      </w:r>
      <w:r w:rsidRPr="00D84730">
        <w:rPr>
          <w:rFonts w:cs="Times New Roman"/>
          <w:szCs w:val="24"/>
          <w:lang w:val="fr-CA"/>
        </w:rPr>
        <w:lastRenderedPageBreak/>
        <w:t>religieux de dicter l’utilisation d’une grande étendue de terrain selon sa croyance religieuse — et d’interdire à la population d’utiliser le terrain contrairement à cette croyance — entraverait la réalisation des objectifs d’administrer les terres de la Couronne et de les aliéner dans l’intérêt public. On peut en déduire que, selon le Ministre, conférer aux Ktunaxa pareil pouvoir d’interdiction ne lui permettrait pas de remplir son mandat législatif. L’octroi de ce pouvoir compromettrait plutôt substantiellement l’atteinte de ces objectifs, voire lui porterait un coup fatal. </w:t>
      </w:r>
    </w:p>
    <w:p w:rsidR="00094732" w:rsidRPr="00D84730" w:rsidRDefault="00094732" w:rsidP="0055329A">
      <w:pPr>
        <w:pStyle w:val="ParaNoNdepar-AltN"/>
        <w:widowControl w:val="0"/>
        <w:rPr>
          <w:rFonts w:cs="Times New Roman"/>
          <w:lang w:val="fr-CA"/>
        </w:rPr>
      </w:pPr>
      <w:r w:rsidRPr="00D84730">
        <w:rPr>
          <w:rFonts w:cs="Times New Roman"/>
          <w:lang w:val="fr-CA"/>
        </w:rPr>
        <w:t>Comme je l’ai indiqué, la revendication des Ktunaxa fondée sur l’al. 2</w:t>
      </w:r>
      <w:r w:rsidRPr="00D84730">
        <w:rPr>
          <w:rFonts w:cs="Times New Roman"/>
          <w:i/>
          <w:lang w:val="fr-CA"/>
        </w:rPr>
        <w:t>a</w:t>
      </w:r>
      <w:r w:rsidRPr="00D84730">
        <w:rPr>
          <w:rFonts w:cs="Times New Roman"/>
          <w:lang w:val="fr-CA"/>
        </w:rPr>
        <w:t xml:space="preserve">) laissait deux choix au Ministre : soit approuver l’aménagement, soit accorder aux Ktunaxa le droit d’interdire à autrui de construire toute installation permanente sur plus de </w:t>
      </w:r>
      <w:r w:rsidR="00D41F6A">
        <w:rPr>
          <w:rFonts w:cs="Times New Roman"/>
          <w:lang w:val="fr-CA"/>
        </w:rPr>
        <w:t>50</w:t>
      </w:r>
      <w:r w:rsidRPr="00D84730">
        <w:rPr>
          <w:rFonts w:cs="Times New Roman"/>
          <w:lang w:val="fr-CA"/>
        </w:rPr>
        <w:t xml:space="preserve"> kilomètres carrés de terres publiques. Ce cas se distingue d’une situation où il est possible de parvenir à un compromis raisonnable, un « moyen terme ». Par exemple, lorsqu’un demandeur réclame l’accès limité à un secteur ou cherche à restreindre une activité donnée dans un secteur pendant certaines périodes limitées, le fait d’offrir un accommodement n’aura peut</w:t>
      </w:r>
      <w:r w:rsidRPr="00D84730">
        <w:rPr>
          <w:rFonts w:cs="Times New Roman"/>
          <w:lang w:val="fr-CA"/>
        </w:rPr>
        <w:noBreakHyphen/>
        <w:t xml:space="preserve">être pas pour effet d’entraver la réalisation des objectifs confiés par la loi au Ministre d’administrer les terres de la Couronne et de les aliéner dans l’intérêt public. Puisque la mise en balance proportionnée établie dans </w:t>
      </w:r>
      <w:r w:rsidRPr="00D84730">
        <w:rPr>
          <w:rFonts w:cs="Times New Roman"/>
          <w:i/>
          <w:lang w:val="fr-CA"/>
        </w:rPr>
        <w:t>Doré</w:t>
      </w:r>
      <w:r w:rsidRPr="00D84730">
        <w:rPr>
          <w:rFonts w:cs="Times New Roman"/>
          <w:lang w:val="fr-CA"/>
        </w:rPr>
        <w:t xml:space="preserve"> exige qu’on ne limite pas les protections énumérées dans la </w:t>
      </w:r>
      <w:r w:rsidRPr="00D84730">
        <w:rPr>
          <w:rFonts w:cs="Times New Roman"/>
          <w:i/>
          <w:lang w:val="fr-CA"/>
        </w:rPr>
        <w:t xml:space="preserve">Charte </w:t>
      </w:r>
      <w:r w:rsidRPr="00D84730">
        <w:rPr>
          <w:rFonts w:cs="Times New Roman"/>
          <w:lang w:val="fr-CA"/>
        </w:rPr>
        <w:t>« plus qu’il n’est nécessaire compte tenu des objectifs applicables visés par la loi » (</w:t>
      </w:r>
      <w:r w:rsidRPr="00D84730">
        <w:rPr>
          <w:rFonts w:cs="Times New Roman"/>
          <w:i/>
          <w:lang w:val="fr-CA"/>
        </w:rPr>
        <w:t>Loyola</w:t>
      </w:r>
      <w:r w:rsidRPr="00D84730">
        <w:rPr>
          <w:rFonts w:cs="Times New Roman"/>
          <w:lang w:val="fr-CA"/>
        </w:rPr>
        <w:t xml:space="preserve">, par. 4), en pareil cas, il peut être déraisonnable pour le Ministre de ne pas offrir ces accommodements. </w:t>
      </w:r>
    </w:p>
    <w:p w:rsidR="00094732" w:rsidRPr="00D84730" w:rsidRDefault="00094732" w:rsidP="0055329A">
      <w:pPr>
        <w:pStyle w:val="ParaNoNdepar-AltN"/>
        <w:widowControl w:val="0"/>
        <w:rPr>
          <w:rFonts w:cs="Times New Roman"/>
          <w:lang w:val="fr-CA"/>
        </w:rPr>
      </w:pPr>
      <w:r w:rsidRPr="00D84730">
        <w:rPr>
          <w:rFonts w:cs="Times New Roman"/>
          <w:lang w:val="fr-CA"/>
        </w:rPr>
        <w:lastRenderedPageBreak/>
        <w:t xml:space="preserve">Mais dans l’affaire qui nous occupe, il était impossible d’offrir un accommodement qui ne compromettrait pas la réalisation du mandat confié au Ministre par la loi. Je le rappelle, le Ministre s’est efforcé de fournir aux Ktunaxa un accommodement pour limiter l’impact du projet sur leur liberté de religion, mais les Ktunaxa ont soutenu qu’on ne pouvait autoriser aucun aménagement permanent dans le secteur. Cela a mis le Ministre dans une situation difficile, voire impossible. Selon lui, s’il accordait le pouvoir d’interdiction aux Ktunaxa, cela le gênerait considérablement dans la réalisation de ses objectifs légaux, voire l’empêcherait de les réaliser : administrer les terres de la Couronne et les aliéner dans l’intérêt public. En fin de compte, il a jugé que la réalisation du mandat que lui attribue la loi l’empêchait de donner aux Ktunaxa un droit de veto sur la construction d’installations permanentes sur plus de </w:t>
      </w:r>
      <w:r w:rsidR="0097460D">
        <w:rPr>
          <w:rFonts w:cs="Times New Roman"/>
          <w:lang w:val="fr-CA"/>
        </w:rPr>
        <w:t>50</w:t>
      </w:r>
      <w:r w:rsidRPr="00D84730">
        <w:rPr>
          <w:rFonts w:cs="Times New Roman"/>
          <w:lang w:val="fr-CA"/>
        </w:rPr>
        <w:t xml:space="preserve"> kilomètres carrés de terres publiques. </w:t>
      </w:r>
    </w:p>
    <w:p w:rsidR="00094732" w:rsidRPr="00D84730" w:rsidRDefault="00094732" w:rsidP="0055329A">
      <w:pPr>
        <w:pStyle w:val="ParaNoNdepar-AltN"/>
        <w:widowControl w:val="0"/>
        <w:rPr>
          <w:rFonts w:cs="Times New Roman"/>
          <w:lang w:val="fr-CA"/>
        </w:rPr>
      </w:pPr>
      <w:r w:rsidRPr="00D84730">
        <w:rPr>
          <w:rFonts w:cs="Times New Roman"/>
          <w:lang w:val="fr-CA"/>
        </w:rPr>
        <w:t>Vu les choix qui s’offraient au Ministre, je suis convaincu que cette décision était raisonnable dans les circonstances. Elle a restreint le droit des Ktunaxa « aussi peu que cela [était] raisonnablement possible » compte tenu des objectifs visés par la loi (</w:t>
      </w:r>
      <w:r w:rsidRPr="00D84730">
        <w:rPr>
          <w:rFonts w:cs="Times New Roman"/>
          <w:i/>
          <w:lang w:val="fr-CA"/>
        </w:rPr>
        <w:t>Loyola</w:t>
      </w:r>
      <w:r w:rsidRPr="00D84730">
        <w:rPr>
          <w:rFonts w:cs="Times New Roman"/>
          <w:lang w:val="fr-CA"/>
        </w:rPr>
        <w:t xml:space="preserve">, par. 40) et était le fruit d’une mise en balance proportionnée. </w:t>
      </w:r>
    </w:p>
    <w:p w:rsidR="00094732" w:rsidRPr="00D84730" w:rsidRDefault="00094732" w:rsidP="0055329A">
      <w:pPr>
        <w:pStyle w:val="Title1LevelTitre1Niveau-AltL"/>
        <w:widowControl w:val="0"/>
        <w:jc w:val="both"/>
        <w:rPr>
          <w:rFonts w:cs="Times New Roman"/>
          <w:lang w:val="en-US"/>
        </w:rPr>
      </w:pPr>
      <w:r w:rsidRPr="00D84730">
        <w:rPr>
          <w:rFonts w:cs="Times New Roman"/>
          <w:lang w:val="en-US"/>
        </w:rPr>
        <w:t>Conclusion</w:t>
      </w:r>
    </w:p>
    <w:p w:rsidR="00094732" w:rsidRPr="00D84730" w:rsidRDefault="00094732" w:rsidP="0055329A">
      <w:pPr>
        <w:pStyle w:val="ParaNoNdepar-AltN"/>
        <w:widowControl w:val="0"/>
        <w:rPr>
          <w:rFonts w:cs="Times New Roman"/>
          <w:lang w:val="fr-CA"/>
        </w:rPr>
      </w:pPr>
      <w:r w:rsidRPr="00D84730">
        <w:rPr>
          <w:rFonts w:cs="Times New Roman"/>
          <w:lang w:val="fr-CA"/>
        </w:rPr>
        <w:t xml:space="preserve">Pour ces motifs, je suis d’avis de rejeter le pourvoi. </w:t>
      </w:r>
    </w:p>
    <w:p w:rsidR="004D7D95" w:rsidRPr="00D560D2" w:rsidRDefault="004D7D95" w:rsidP="0055329A">
      <w:pPr>
        <w:pStyle w:val="SCCNormalDoubleSpacing"/>
        <w:widowControl w:val="0"/>
        <w:spacing w:before="480" w:after="480"/>
        <w:rPr>
          <w:i/>
          <w:lang w:val="fr-CA"/>
        </w:rPr>
      </w:pPr>
      <w:r w:rsidRPr="00D560D2">
        <w:rPr>
          <w:lang w:val="fr-CA"/>
        </w:rPr>
        <w:tab/>
      </w:r>
      <w:r w:rsidR="007921BE" w:rsidRPr="00D560D2">
        <w:rPr>
          <w:i/>
          <w:lang w:val="fr-CA"/>
        </w:rPr>
        <w:t>Pourvoi rejeté</w:t>
      </w:r>
      <w:r w:rsidR="002A2104" w:rsidRPr="00D560D2">
        <w:rPr>
          <w:i/>
          <w:lang w:val="fr-CA"/>
        </w:rPr>
        <w:t>.</w:t>
      </w:r>
    </w:p>
    <w:p w:rsidR="00D73EA2" w:rsidRPr="00D560D2" w:rsidRDefault="00D73EA2" w:rsidP="0055329A">
      <w:pPr>
        <w:pStyle w:val="SCCLawFirm"/>
        <w:widowControl w:val="0"/>
        <w:spacing w:before="480" w:after="480"/>
        <w:rPr>
          <w:lang w:val="fr-CA"/>
        </w:rPr>
      </w:pPr>
      <w:r w:rsidRPr="00D560D2">
        <w:rPr>
          <w:lang w:val="fr-CA"/>
        </w:rPr>
        <w:lastRenderedPageBreak/>
        <w:tab/>
        <w:t>Procureurs des appelants</w:t>
      </w:r>
      <w:r w:rsidR="00C416BC" w:rsidRPr="00D560D2">
        <w:rPr>
          <w:lang w:val="fr-CA"/>
        </w:rPr>
        <w:t> :</w:t>
      </w:r>
      <w:r w:rsidR="00891018" w:rsidRPr="00D560D2">
        <w:rPr>
          <w:lang w:val="fr-CA"/>
        </w:rPr>
        <w:t> </w:t>
      </w:r>
      <w:r w:rsidRPr="00D560D2">
        <w:rPr>
          <w:lang w:val="fr-CA"/>
        </w:rPr>
        <w:t>Peter Grant &amp; Associates, Vancouver; Diane Soroka Avocate Inc., Westmount, Québec.</w:t>
      </w:r>
    </w:p>
    <w:p w:rsidR="00D73EA2" w:rsidRPr="00D560D2" w:rsidRDefault="00912E0C" w:rsidP="0055329A">
      <w:pPr>
        <w:pStyle w:val="SCCLawFirm"/>
        <w:widowControl w:val="0"/>
        <w:spacing w:before="480" w:after="480"/>
        <w:rPr>
          <w:lang w:val="fr-CA"/>
        </w:rPr>
      </w:pPr>
      <w:r w:rsidRPr="00D560D2">
        <w:rPr>
          <w:lang w:val="fr-CA"/>
        </w:rPr>
        <w:tab/>
        <w:t>Procureur de l’intimé</w:t>
      </w:r>
      <w:r w:rsidRPr="00D560D2">
        <w:rPr>
          <w:rStyle w:val="SCCCounselNameChar"/>
          <w:i/>
          <w:lang w:val="fr-CA"/>
        </w:rPr>
        <w:t xml:space="preserve"> </w:t>
      </w:r>
      <w:r w:rsidR="003C760F" w:rsidRPr="00D560D2">
        <w:rPr>
          <w:rStyle w:val="SCCCounselPartyRoleChar"/>
          <w:lang w:val="fr-CA"/>
        </w:rPr>
        <w:t>Minister of Forests, Lands and Natural Resource Operations</w:t>
      </w:r>
      <w:r w:rsidR="00C416BC" w:rsidRPr="00D560D2">
        <w:rPr>
          <w:lang w:val="fr-CA"/>
        </w:rPr>
        <w:t> :</w:t>
      </w:r>
      <w:r w:rsidR="00891018" w:rsidRPr="00D560D2">
        <w:rPr>
          <w:lang w:val="fr-CA"/>
        </w:rPr>
        <w:t> </w:t>
      </w:r>
      <w:r w:rsidR="00D73EA2" w:rsidRPr="00D560D2">
        <w:rPr>
          <w:lang w:val="fr-CA"/>
        </w:rPr>
        <w:t>Procureur général de la Colombie</w:t>
      </w:r>
      <w:r w:rsidR="00C416BC" w:rsidRPr="00D560D2">
        <w:rPr>
          <w:lang w:val="fr-CA"/>
        </w:rPr>
        <w:noBreakHyphen/>
      </w:r>
      <w:r w:rsidR="00D73EA2" w:rsidRPr="00D560D2">
        <w:rPr>
          <w:lang w:val="fr-CA"/>
        </w:rPr>
        <w:t>Britannique, Victoria.</w:t>
      </w:r>
    </w:p>
    <w:p w:rsidR="00D73EA2" w:rsidRPr="00D560D2" w:rsidRDefault="00D73EA2" w:rsidP="0055329A">
      <w:pPr>
        <w:pStyle w:val="SCCLawFirm"/>
        <w:widowControl w:val="0"/>
        <w:spacing w:before="480" w:after="480"/>
        <w:rPr>
          <w:lang w:val="fr-CA"/>
        </w:rPr>
      </w:pPr>
      <w:r w:rsidRPr="00D560D2">
        <w:rPr>
          <w:lang w:val="fr-CA"/>
        </w:rPr>
        <w:tab/>
        <w:t xml:space="preserve">Procureurs de l’intimée </w:t>
      </w:r>
      <w:r w:rsidRPr="00D560D2">
        <w:rPr>
          <w:rStyle w:val="SCCCounselPartyRoleChar"/>
          <w:lang w:val="fr-CA"/>
        </w:rPr>
        <w:t>Glacier Resorts Ltd.</w:t>
      </w:r>
      <w:r w:rsidR="00C416BC" w:rsidRPr="00D560D2">
        <w:rPr>
          <w:lang w:val="fr-CA"/>
        </w:rPr>
        <w:t> :</w:t>
      </w:r>
      <w:r w:rsidR="00891018" w:rsidRPr="00D560D2">
        <w:rPr>
          <w:lang w:val="fr-CA"/>
        </w:rPr>
        <w:t> </w:t>
      </w:r>
      <w:r w:rsidRPr="00D560D2">
        <w:rPr>
          <w:lang w:val="fr-CA"/>
        </w:rPr>
        <w:t>Owen Bird Law Corporation, Vancouver.</w:t>
      </w:r>
    </w:p>
    <w:p w:rsidR="00D73EA2" w:rsidRPr="00D560D2" w:rsidRDefault="00D73EA2" w:rsidP="0055329A">
      <w:pPr>
        <w:pStyle w:val="SCCLawFirm"/>
        <w:widowControl w:val="0"/>
        <w:spacing w:before="480" w:after="480"/>
        <w:rPr>
          <w:lang w:val="fr-CA"/>
        </w:rPr>
      </w:pPr>
      <w:r w:rsidRPr="00D560D2">
        <w:rPr>
          <w:lang w:val="fr-CA"/>
        </w:rPr>
        <w:tab/>
        <w:t>Procureur de l’intervenant le procureur général du Canada</w:t>
      </w:r>
      <w:r w:rsidR="00C416BC" w:rsidRPr="00D560D2">
        <w:rPr>
          <w:lang w:val="fr-CA"/>
        </w:rPr>
        <w:t> :</w:t>
      </w:r>
      <w:r w:rsidR="00891018" w:rsidRPr="00D560D2">
        <w:rPr>
          <w:lang w:val="fr-CA"/>
        </w:rPr>
        <w:t> </w:t>
      </w:r>
      <w:r w:rsidRPr="00D560D2">
        <w:rPr>
          <w:lang w:val="fr-CA"/>
        </w:rPr>
        <w:t>Procureur général du Canada, Vancouver.</w:t>
      </w:r>
    </w:p>
    <w:p w:rsidR="00D73EA2" w:rsidRPr="00D560D2" w:rsidRDefault="00D73EA2" w:rsidP="0055329A">
      <w:pPr>
        <w:pStyle w:val="SCCLawFirm"/>
        <w:widowControl w:val="0"/>
        <w:spacing w:before="480" w:after="480"/>
        <w:rPr>
          <w:lang w:val="fr-CA"/>
        </w:rPr>
      </w:pPr>
      <w:r w:rsidRPr="00D560D2">
        <w:rPr>
          <w:lang w:val="fr-CA"/>
        </w:rPr>
        <w:tab/>
        <w:t>Procureur de l’intervenant le procureur général de la Saskatchewan</w:t>
      </w:r>
      <w:r w:rsidR="00C416BC" w:rsidRPr="00D560D2">
        <w:rPr>
          <w:lang w:val="fr-CA"/>
        </w:rPr>
        <w:t> :</w:t>
      </w:r>
      <w:r w:rsidR="00891018" w:rsidRPr="00D560D2">
        <w:rPr>
          <w:lang w:val="fr-CA"/>
        </w:rPr>
        <w:t> </w:t>
      </w:r>
      <w:r w:rsidRPr="00D560D2">
        <w:rPr>
          <w:lang w:val="fr-CA"/>
        </w:rPr>
        <w:t>Procureur général de la Saskatchewan, Regina.</w:t>
      </w:r>
    </w:p>
    <w:p w:rsidR="00D73EA2" w:rsidRPr="00D560D2" w:rsidRDefault="00D73EA2" w:rsidP="0055329A">
      <w:pPr>
        <w:pStyle w:val="SCCLawFirm"/>
        <w:widowControl w:val="0"/>
        <w:spacing w:before="480" w:after="480"/>
      </w:pPr>
      <w:r w:rsidRPr="00D560D2">
        <w:rPr>
          <w:lang w:val="fr-CA"/>
        </w:rPr>
        <w:tab/>
      </w:r>
      <w:r w:rsidRPr="00D560D2">
        <w:t>Procureurs d</w:t>
      </w:r>
      <w:r w:rsidRPr="00D560D2">
        <w:rPr>
          <w:rStyle w:val="SCCCounselPartyRoleChar"/>
        </w:rPr>
        <w:t>es intervenants l’Association canadienne des avocats musulmans, South Asian Legal Clinic of Ontario et Kootenay Presbytery (United Church of Canada)</w:t>
      </w:r>
      <w:r w:rsidR="00C416BC" w:rsidRPr="00D560D2">
        <w:t> :</w:t>
      </w:r>
      <w:r w:rsidR="00891018" w:rsidRPr="00D560D2">
        <w:t> </w:t>
      </w:r>
      <w:r w:rsidRPr="00D560D2">
        <w:t>Stockwoods, Toronto; Khalid Elgazzar, Ottawa.</w:t>
      </w:r>
    </w:p>
    <w:p w:rsidR="00D73EA2" w:rsidRPr="00D560D2" w:rsidRDefault="00D73EA2" w:rsidP="0055329A">
      <w:pPr>
        <w:pStyle w:val="SCCLawFirm"/>
        <w:widowControl w:val="0"/>
        <w:spacing w:before="480" w:after="480"/>
        <w:rPr>
          <w:lang w:val="fr-CA"/>
        </w:rPr>
      </w:pPr>
      <w:r w:rsidRPr="00D560D2">
        <w:tab/>
      </w:r>
      <w:r w:rsidRPr="00D560D2">
        <w:rPr>
          <w:lang w:val="fr-CA"/>
        </w:rPr>
        <w:t xml:space="preserve">Procureurs des intervenantes </w:t>
      </w:r>
      <w:r w:rsidRPr="00D560D2">
        <w:rPr>
          <w:rStyle w:val="SCCCounselPartyRoleChar"/>
          <w:lang w:val="fr-CA"/>
        </w:rPr>
        <w:t>l’Alliance évangélique du Canada et l’Alliance des chrétiens en droit</w:t>
      </w:r>
      <w:r w:rsidR="00C416BC" w:rsidRPr="00D560D2">
        <w:rPr>
          <w:lang w:val="fr-CA"/>
        </w:rPr>
        <w:t> :</w:t>
      </w:r>
      <w:r w:rsidR="00891018" w:rsidRPr="00D560D2">
        <w:rPr>
          <w:lang w:val="fr-CA"/>
        </w:rPr>
        <w:t> </w:t>
      </w:r>
      <w:r w:rsidRPr="00D560D2">
        <w:rPr>
          <w:lang w:val="fr-CA"/>
        </w:rPr>
        <w:t xml:space="preserve">Vincent Dagenais Gibson, Ottawa; </w:t>
      </w:r>
      <w:r w:rsidRPr="00D560D2">
        <w:rPr>
          <w:rStyle w:val="SCCCounselPartyRoleChar"/>
          <w:lang w:val="fr-CA"/>
        </w:rPr>
        <w:t>Alliance des chrétiens en droit</w:t>
      </w:r>
      <w:r w:rsidRPr="00D560D2">
        <w:rPr>
          <w:lang w:val="fr-CA"/>
        </w:rPr>
        <w:t xml:space="preserve">, </w:t>
      </w:r>
      <w:r w:rsidR="000B5523" w:rsidRPr="00D560D2">
        <w:rPr>
          <w:lang w:val="fr-CA"/>
        </w:rPr>
        <w:t>London, Ontario</w:t>
      </w:r>
      <w:r w:rsidRPr="00D560D2">
        <w:rPr>
          <w:lang w:val="fr-CA"/>
        </w:rPr>
        <w:t>.</w:t>
      </w:r>
    </w:p>
    <w:p w:rsidR="00D73EA2" w:rsidRPr="00D560D2" w:rsidRDefault="00D73EA2" w:rsidP="0055329A">
      <w:pPr>
        <w:pStyle w:val="SCCLawFirm"/>
        <w:widowControl w:val="0"/>
        <w:spacing w:before="480" w:after="480"/>
        <w:rPr>
          <w:lang w:val="fr-CA"/>
        </w:rPr>
      </w:pPr>
      <w:r w:rsidRPr="00D560D2">
        <w:rPr>
          <w:lang w:val="fr-CA"/>
        </w:rPr>
        <w:tab/>
        <w:t xml:space="preserve">Procureurs de l’intervenant Alberta Muslim Public Affairs </w:t>
      </w:r>
      <w:r w:rsidRPr="00D560D2">
        <w:rPr>
          <w:lang w:val="fr-CA"/>
        </w:rPr>
        <w:lastRenderedPageBreak/>
        <w:t>Council</w:t>
      </w:r>
      <w:r w:rsidR="00C416BC" w:rsidRPr="00D560D2">
        <w:rPr>
          <w:lang w:val="fr-CA"/>
        </w:rPr>
        <w:t> :</w:t>
      </w:r>
      <w:r w:rsidR="00891018" w:rsidRPr="00D560D2">
        <w:rPr>
          <w:lang w:val="fr-CA"/>
        </w:rPr>
        <w:t> </w:t>
      </w:r>
      <w:r w:rsidRPr="00D560D2">
        <w:rPr>
          <w:lang w:val="fr-CA"/>
        </w:rPr>
        <w:t>Nanda &amp; Company, Edmonton.</w:t>
      </w:r>
    </w:p>
    <w:p w:rsidR="00D73EA2" w:rsidRPr="00D560D2" w:rsidRDefault="00D73EA2" w:rsidP="0055329A">
      <w:pPr>
        <w:pStyle w:val="SCCLawFirm"/>
        <w:widowControl w:val="0"/>
        <w:spacing w:before="480" w:after="480"/>
        <w:rPr>
          <w:lang w:val="fr-CA"/>
        </w:rPr>
      </w:pPr>
      <w:r w:rsidRPr="00D560D2">
        <w:rPr>
          <w:lang w:val="fr-CA"/>
        </w:rPr>
        <w:tab/>
        <w:t>Pro</w:t>
      </w:r>
      <w:r w:rsidR="003C760F" w:rsidRPr="00D560D2">
        <w:rPr>
          <w:lang w:val="fr-CA"/>
        </w:rPr>
        <w:t>cureur de l’intervenante Amnistie internationale (Canada)</w:t>
      </w:r>
      <w:r w:rsidR="00C416BC" w:rsidRPr="00D560D2">
        <w:rPr>
          <w:lang w:val="fr-CA"/>
        </w:rPr>
        <w:t> :</w:t>
      </w:r>
      <w:r w:rsidR="00891018" w:rsidRPr="00D560D2">
        <w:rPr>
          <w:lang w:val="fr-CA"/>
        </w:rPr>
        <w:t> </w:t>
      </w:r>
      <w:r w:rsidRPr="00D560D2">
        <w:rPr>
          <w:lang w:val="fr-CA"/>
        </w:rPr>
        <w:t>Ecojustice Canada, Toronto.</w:t>
      </w:r>
    </w:p>
    <w:p w:rsidR="00D73EA2" w:rsidRPr="00D560D2" w:rsidRDefault="00D73EA2" w:rsidP="0055329A">
      <w:pPr>
        <w:pStyle w:val="SCCLawFirm"/>
        <w:widowControl w:val="0"/>
        <w:spacing w:before="480" w:after="480"/>
        <w:rPr>
          <w:lang w:val="fr-CA"/>
        </w:rPr>
      </w:pPr>
      <w:r w:rsidRPr="00D560D2">
        <w:rPr>
          <w:lang w:val="fr-CA"/>
        </w:rPr>
        <w:tab/>
        <w:t>Procureurs de l’intervenante Te’mexw Treaty Association</w:t>
      </w:r>
      <w:r w:rsidR="00C416BC" w:rsidRPr="00D560D2">
        <w:rPr>
          <w:lang w:val="fr-CA"/>
        </w:rPr>
        <w:t> :</w:t>
      </w:r>
      <w:r w:rsidR="00891018" w:rsidRPr="00D560D2">
        <w:rPr>
          <w:lang w:val="fr-CA"/>
        </w:rPr>
        <w:t> </w:t>
      </w:r>
      <w:r w:rsidRPr="00D560D2">
        <w:rPr>
          <w:lang w:val="fr-CA"/>
        </w:rPr>
        <w:t>JFK Law Corporation, Victoria.</w:t>
      </w:r>
    </w:p>
    <w:p w:rsidR="00D73EA2" w:rsidRPr="00D560D2" w:rsidRDefault="00D73EA2" w:rsidP="0055329A">
      <w:pPr>
        <w:pStyle w:val="SCCLawFirm"/>
        <w:widowControl w:val="0"/>
        <w:spacing w:before="480" w:after="480"/>
        <w:rPr>
          <w:lang w:val="fr-CA"/>
        </w:rPr>
      </w:pPr>
      <w:r w:rsidRPr="00D560D2">
        <w:rPr>
          <w:lang w:val="fr-CA"/>
        </w:rPr>
        <w:tab/>
        <w:t>Procureurs de l’intervenante Central Coast Indigenous Resource Alliance</w:t>
      </w:r>
      <w:r w:rsidR="00C416BC" w:rsidRPr="00D560D2">
        <w:rPr>
          <w:lang w:val="fr-CA"/>
        </w:rPr>
        <w:t> :</w:t>
      </w:r>
      <w:r w:rsidR="00891018" w:rsidRPr="00D560D2">
        <w:rPr>
          <w:lang w:val="fr-CA"/>
        </w:rPr>
        <w:t> </w:t>
      </w:r>
      <w:r w:rsidRPr="00D560D2">
        <w:rPr>
          <w:lang w:val="fr-CA"/>
        </w:rPr>
        <w:t>Ng Ariss Fong, Vancouver.</w:t>
      </w:r>
    </w:p>
    <w:p w:rsidR="00D73EA2" w:rsidRPr="00D560D2" w:rsidRDefault="00D73EA2" w:rsidP="0055329A">
      <w:pPr>
        <w:pStyle w:val="SCCLawFirm"/>
        <w:widowControl w:val="0"/>
        <w:spacing w:before="480" w:after="480"/>
        <w:rPr>
          <w:lang w:val="fr-CA"/>
        </w:rPr>
      </w:pPr>
      <w:r w:rsidRPr="00D560D2">
        <w:rPr>
          <w:lang w:val="fr-CA"/>
        </w:rPr>
        <w:tab/>
        <w:t>Procureurs de l’intervenant Shibogama First Nations Council</w:t>
      </w:r>
      <w:r w:rsidR="00C416BC" w:rsidRPr="00D560D2">
        <w:rPr>
          <w:lang w:val="fr-CA"/>
        </w:rPr>
        <w:t> :</w:t>
      </w:r>
      <w:r w:rsidR="00891018" w:rsidRPr="00D560D2">
        <w:rPr>
          <w:lang w:val="fr-CA"/>
        </w:rPr>
        <w:t> </w:t>
      </w:r>
      <w:r w:rsidRPr="00D560D2">
        <w:rPr>
          <w:lang w:val="fr-CA"/>
        </w:rPr>
        <w:t>Olthuis, Kleer, Townshend, Toronto.</w:t>
      </w:r>
    </w:p>
    <w:p w:rsidR="00D73EA2" w:rsidRPr="00D560D2" w:rsidRDefault="00D73EA2" w:rsidP="0055329A">
      <w:pPr>
        <w:pStyle w:val="SCCLawFirm"/>
        <w:widowControl w:val="0"/>
        <w:spacing w:before="480" w:after="480"/>
        <w:rPr>
          <w:lang w:val="fr-CA"/>
        </w:rPr>
      </w:pPr>
      <w:r w:rsidRPr="00D560D2">
        <w:rPr>
          <w:lang w:val="fr-CA"/>
        </w:rPr>
        <w:tab/>
        <w:t>Procureurs de l’intervenante la Chambre de commerce du Canada</w:t>
      </w:r>
      <w:r w:rsidR="00C416BC" w:rsidRPr="00D560D2">
        <w:rPr>
          <w:lang w:val="fr-CA"/>
        </w:rPr>
        <w:t> :</w:t>
      </w:r>
      <w:r w:rsidR="00891018" w:rsidRPr="00D560D2">
        <w:rPr>
          <w:lang w:val="fr-CA"/>
        </w:rPr>
        <w:t> </w:t>
      </w:r>
      <w:r w:rsidRPr="00D560D2">
        <w:rPr>
          <w:lang w:val="fr-CA"/>
        </w:rPr>
        <w:t>McCarthy Tétrault, Toronto.</w:t>
      </w:r>
    </w:p>
    <w:p w:rsidR="00D73EA2" w:rsidRPr="00D560D2" w:rsidRDefault="00D73EA2" w:rsidP="0055329A">
      <w:pPr>
        <w:pStyle w:val="SCCLawFirm"/>
        <w:widowControl w:val="0"/>
        <w:spacing w:before="480" w:after="480"/>
      </w:pPr>
      <w:r w:rsidRPr="00D560D2">
        <w:rPr>
          <w:lang w:val="fr-CA"/>
        </w:rPr>
        <w:tab/>
      </w:r>
      <w:r w:rsidRPr="00D560D2">
        <w:t xml:space="preserve">Procureurs de l’intervenante </w:t>
      </w:r>
      <w:r w:rsidR="00A12706" w:rsidRPr="00D560D2">
        <w:t>British Columbia Civil Liberties Association</w:t>
      </w:r>
      <w:r w:rsidR="00C416BC" w:rsidRPr="00D560D2">
        <w:t> :</w:t>
      </w:r>
      <w:r w:rsidR="00891018" w:rsidRPr="00D560D2">
        <w:t> </w:t>
      </w:r>
      <w:r w:rsidRPr="00D560D2">
        <w:t>Goldblatt Partners, Toronto.</w:t>
      </w:r>
    </w:p>
    <w:p w:rsidR="00D73EA2" w:rsidRPr="00D560D2" w:rsidRDefault="00D73EA2" w:rsidP="0055329A">
      <w:pPr>
        <w:pStyle w:val="SCCLawFirm"/>
        <w:widowControl w:val="0"/>
        <w:spacing w:before="480" w:after="480"/>
      </w:pPr>
      <w:r w:rsidRPr="00D560D2">
        <w:tab/>
        <w:t>Procureur de l’intervenant Council of the Passamaquoddy Nation at Schoodic</w:t>
      </w:r>
      <w:r w:rsidR="00C416BC" w:rsidRPr="00D560D2">
        <w:t> :</w:t>
      </w:r>
      <w:r w:rsidR="00891018" w:rsidRPr="00D560D2">
        <w:t> </w:t>
      </w:r>
      <w:r w:rsidRPr="00D560D2">
        <w:t>Paul Williams, Ohsweken, Ontario.</w:t>
      </w:r>
    </w:p>
    <w:p w:rsidR="00D73EA2" w:rsidRPr="00D560D2" w:rsidRDefault="00D73EA2" w:rsidP="0055329A">
      <w:pPr>
        <w:pStyle w:val="SCCLawFirm"/>
        <w:widowControl w:val="0"/>
        <w:spacing w:before="480" w:after="480"/>
        <w:rPr>
          <w:lang w:val="fr-CA"/>
        </w:rPr>
      </w:pPr>
      <w:r w:rsidRPr="00D560D2">
        <w:tab/>
      </w:r>
      <w:r w:rsidRPr="00D560D2">
        <w:rPr>
          <w:lang w:val="fr-CA"/>
        </w:rPr>
        <w:t>Procureurs de l’intervenante Katzie First Nation</w:t>
      </w:r>
      <w:r w:rsidR="00C416BC" w:rsidRPr="00D560D2">
        <w:rPr>
          <w:lang w:val="fr-CA"/>
        </w:rPr>
        <w:t> :</w:t>
      </w:r>
      <w:r w:rsidR="00891018" w:rsidRPr="00D560D2">
        <w:rPr>
          <w:lang w:val="fr-CA"/>
        </w:rPr>
        <w:t> </w:t>
      </w:r>
      <w:r w:rsidRPr="00D560D2">
        <w:rPr>
          <w:lang w:val="fr-CA"/>
        </w:rPr>
        <w:t xml:space="preserve">Donovan &amp; Company, </w:t>
      </w:r>
      <w:r w:rsidRPr="00D560D2">
        <w:rPr>
          <w:lang w:val="fr-CA"/>
        </w:rPr>
        <w:lastRenderedPageBreak/>
        <w:t>Vancouver.</w:t>
      </w:r>
    </w:p>
    <w:p w:rsidR="009B57B3" w:rsidRPr="00D560D2" w:rsidRDefault="00D73EA2" w:rsidP="0055329A">
      <w:pPr>
        <w:pStyle w:val="SCCLawFirm"/>
        <w:widowControl w:val="0"/>
      </w:pPr>
      <w:r w:rsidRPr="00D560D2">
        <w:rPr>
          <w:lang w:val="fr-CA"/>
        </w:rPr>
        <w:tab/>
      </w:r>
      <w:r w:rsidRPr="00D560D2">
        <w:t>Procureurs des intervenantes West Moberly First Nations et Prophet River First Nation</w:t>
      </w:r>
      <w:r w:rsidR="00C416BC" w:rsidRPr="00D560D2">
        <w:t> :</w:t>
      </w:r>
      <w:r w:rsidR="00891018" w:rsidRPr="00D560D2">
        <w:t> </w:t>
      </w:r>
      <w:r w:rsidRPr="00D560D2">
        <w:t>Devlin Gailus Westaway, Victoria.</w:t>
      </w:r>
      <w:r w:rsidR="002324DD">
        <w:t xml:space="preserve"> </w:t>
      </w:r>
    </w:p>
    <w:sectPr w:rsidR="009B57B3" w:rsidRPr="00D560D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CF" w:rsidRDefault="00292FCF">
      <w:r>
        <w:separator/>
      </w:r>
    </w:p>
  </w:endnote>
  <w:endnote w:type="continuationSeparator" w:id="0">
    <w:p w:rsidR="00292FCF" w:rsidRDefault="0029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CF" w:rsidRDefault="00292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CF" w:rsidRDefault="00292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CF" w:rsidRDefault="00292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CF" w:rsidRDefault="00292FCF">
      <w:r>
        <w:separator/>
      </w:r>
    </w:p>
  </w:footnote>
  <w:footnote w:type="continuationSeparator" w:id="0">
    <w:p w:rsidR="00292FCF" w:rsidRDefault="00292FCF">
      <w:r>
        <w:continuationSeparator/>
      </w:r>
    </w:p>
  </w:footnote>
  <w:footnote w:id="1">
    <w:p w:rsidR="00292FCF" w:rsidRPr="003B677C" w:rsidRDefault="00292FCF" w:rsidP="00094732">
      <w:pPr>
        <w:pStyle w:val="FootnoteText"/>
        <w:keepNext/>
        <w:keepLines/>
        <w:rPr>
          <w:lang w:val="fr-CA"/>
        </w:rPr>
      </w:pPr>
      <w:r w:rsidRPr="00FF47F6">
        <w:rPr>
          <w:rStyle w:val="FootnoteReference"/>
        </w:rPr>
        <w:footnoteRef/>
      </w:r>
      <w:r>
        <w:rPr>
          <w:lang w:val="fr-CA"/>
        </w:rPr>
        <w:t xml:space="preserve"> </w:t>
      </w:r>
      <w:r>
        <w:rPr>
          <w:lang w:val="fr-CA"/>
        </w:rPr>
        <w:tab/>
      </w:r>
      <w:r w:rsidRPr="003B677C">
        <w:rPr>
          <w:lang w:val="fr-CA"/>
        </w:rPr>
        <w:t>Précisons que, comme je l’ai mentionné</w:t>
      </w:r>
      <w:r>
        <w:rPr>
          <w:lang w:val="fr-CA"/>
        </w:rPr>
        <w:t xml:space="preserve"> précédemment</w:t>
      </w:r>
      <w:r w:rsidRPr="003B677C">
        <w:rPr>
          <w:lang w:val="fr-CA"/>
        </w:rPr>
        <w:t xml:space="preserve">, il ressort des motifs du Ministre qu’il a </w:t>
      </w:r>
      <w:r>
        <w:rPr>
          <w:lang w:val="fr-CA"/>
        </w:rPr>
        <w:t>jugé « </w:t>
      </w:r>
      <w:r w:rsidRPr="003B677C">
        <w:rPr>
          <w:lang w:val="fr-CA"/>
        </w:rPr>
        <w:t>faible</w:t>
      </w:r>
      <w:r>
        <w:rPr>
          <w:lang w:val="fr-CA"/>
        </w:rPr>
        <w:t> </w:t>
      </w:r>
      <w:r w:rsidRPr="003B677C">
        <w:rPr>
          <w:lang w:val="fr-CA"/>
        </w:rPr>
        <w:t>» la revendication</w:t>
      </w:r>
      <w:r>
        <w:rPr>
          <w:lang w:val="fr-CA"/>
        </w:rPr>
        <w:t xml:space="preserve"> faite par les </w:t>
      </w:r>
      <w:r w:rsidRPr="003B677C">
        <w:rPr>
          <w:lang w:val="fr-CA"/>
        </w:rPr>
        <w:t xml:space="preserve">Ktunaxa </w:t>
      </w:r>
      <w:r>
        <w:rPr>
          <w:lang w:val="fr-CA"/>
        </w:rPr>
        <w:t>au titre de l’art. </w:t>
      </w:r>
      <w:r w:rsidRPr="003B677C">
        <w:rPr>
          <w:lang w:val="fr-CA"/>
        </w:rPr>
        <w:t>35</w:t>
      </w:r>
      <w:r>
        <w:rPr>
          <w:lang w:val="fr-CA"/>
        </w:rPr>
        <w:t xml:space="preserve"> sur la base de leur lien spirituel avec la terre. Or, je suis convaincu que le Ministre s’est acquitté de l’obligation de consulter et d’a</w:t>
      </w:r>
      <w:r w:rsidRPr="003B677C">
        <w:rPr>
          <w:lang w:val="fr-CA"/>
        </w:rPr>
        <w:t>ccommod</w:t>
      </w:r>
      <w:r>
        <w:rPr>
          <w:lang w:val="fr-CA"/>
        </w:rPr>
        <w:t>er que lui impose cet article en procédant aux consultations approfondies</w:t>
      </w:r>
      <w:r w:rsidRPr="003B677C">
        <w:rPr>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CF" w:rsidRDefault="00292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CF" w:rsidRPr="00450352" w:rsidRDefault="00292FCF"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CF" w:rsidRDefault="00292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75EE4"/>
    <w:multiLevelType w:val="hybridMultilevel"/>
    <w:tmpl w:val="5F3CD77A"/>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1" w15:restartNumberingAfterBreak="0">
    <w:nsid w:val="03E94133"/>
    <w:multiLevelType w:val="hybridMultilevel"/>
    <w:tmpl w:val="0A803526"/>
    <w:lvl w:ilvl="0" w:tplc="45DEB0AA">
      <w:start w:val="1"/>
      <w:numFmt w:val="upperRoman"/>
      <w:lvlText w:val="%1."/>
      <w:lvlJc w:val="left"/>
      <w:pPr>
        <w:ind w:left="1420" w:hanging="1080"/>
        <w:jc w:val="right"/>
      </w:pPr>
      <w:rPr>
        <w:rFonts w:ascii="Times New Roman" w:eastAsia="Times New Roman" w:hAnsi="Times New Roman" w:hint="default"/>
        <w:b/>
        <w:bCs/>
        <w:sz w:val="24"/>
        <w:szCs w:val="24"/>
      </w:rPr>
    </w:lvl>
    <w:lvl w:ilvl="1" w:tplc="F7865752">
      <w:start w:val="1"/>
      <w:numFmt w:val="upperLetter"/>
      <w:lvlText w:val="%2."/>
      <w:lvlJc w:val="left"/>
      <w:pPr>
        <w:ind w:left="1780" w:hanging="360"/>
      </w:pPr>
      <w:rPr>
        <w:rFonts w:ascii="Times New Roman" w:eastAsia="Times New Roman" w:hAnsi="Times New Roman" w:hint="default"/>
        <w:spacing w:val="-1"/>
        <w:sz w:val="24"/>
        <w:szCs w:val="24"/>
      </w:rPr>
    </w:lvl>
    <w:lvl w:ilvl="2" w:tplc="55340F1E">
      <w:start w:val="1"/>
      <w:numFmt w:val="bullet"/>
      <w:lvlText w:val="•"/>
      <w:lvlJc w:val="left"/>
      <w:pPr>
        <w:ind w:left="2589" w:hanging="360"/>
      </w:pPr>
      <w:rPr>
        <w:rFonts w:hint="default"/>
      </w:rPr>
    </w:lvl>
    <w:lvl w:ilvl="3" w:tplc="62F82556">
      <w:start w:val="1"/>
      <w:numFmt w:val="bullet"/>
      <w:lvlText w:val="•"/>
      <w:lvlJc w:val="left"/>
      <w:pPr>
        <w:ind w:left="3398" w:hanging="360"/>
      </w:pPr>
      <w:rPr>
        <w:rFonts w:hint="default"/>
      </w:rPr>
    </w:lvl>
    <w:lvl w:ilvl="4" w:tplc="B6D0CF8C">
      <w:start w:val="1"/>
      <w:numFmt w:val="bullet"/>
      <w:lvlText w:val="•"/>
      <w:lvlJc w:val="left"/>
      <w:pPr>
        <w:ind w:left="4206" w:hanging="360"/>
      </w:pPr>
      <w:rPr>
        <w:rFonts w:hint="default"/>
      </w:rPr>
    </w:lvl>
    <w:lvl w:ilvl="5" w:tplc="ACE08080">
      <w:start w:val="1"/>
      <w:numFmt w:val="bullet"/>
      <w:lvlText w:val="•"/>
      <w:lvlJc w:val="left"/>
      <w:pPr>
        <w:ind w:left="5015" w:hanging="360"/>
      </w:pPr>
      <w:rPr>
        <w:rFonts w:hint="default"/>
      </w:rPr>
    </w:lvl>
    <w:lvl w:ilvl="6" w:tplc="201E73A6">
      <w:start w:val="1"/>
      <w:numFmt w:val="bullet"/>
      <w:lvlText w:val="•"/>
      <w:lvlJc w:val="left"/>
      <w:pPr>
        <w:ind w:left="5824" w:hanging="360"/>
      </w:pPr>
      <w:rPr>
        <w:rFonts w:hint="default"/>
      </w:rPr>
    </w:lvl>
    <w:lvl w:ilvl="7" w:tplc="4072D2E0">
      <w:start w:val="1"/>
      <w:numFmt w:val="bullet"/>
      <w:lvlText w:val="•"/>
      <w:lvlJc w:val="left"/>
      <w:pPr>
        <w:ind w:left="6633" w:hanging="360"/>
      </w:pPr>
      <w:rPr>
        <w:rFonts w:hint="default"/>
      </w:rPr>
    </w:lvl>
    <w:lvl w:ilvl="8" w:tplc="765AB56A">
      <w:start w:val="1"/>
      <w:numFmt w:val="bullet"/>
      <w:lvlText w:val="•"/>
      <w:lvlJc w:val="left"/>
      <w:pPr>
        <w:ind w:left="7442" w:hanging="360"/>
      </w:pPr>
      <w:rPr>
        <w:rFonts w:hint="default"/>
      </w:rPr>
    </w:lvl>
  </w:abstractNum>
  <w:abstractNum w:abstractNumId="12" w15:restartNumberingAfterBreak="0">
    <w:nsid w:val="08844F73"/>
    <w:multiLevelType w:val="hybridMultilevel"/>
    <w:tmpl w:val="72C43BF4"/>
    <w:lvl w:ilvl="0" w:tplc="8AA0A2E8">
      <w:start w:val="1"/>
      <w:numFmt w:val="decimal"/>
      <w:lvlText w:val="%1."/>
      <w:lvlJc w:val="left"/>
      <w:pPr>
        <w:ind w:left="1420" w:hanging="360"/>
      </w:pPr>
      <w:rPr>
        <w:rFonts w:ascii="Times New Roman" w:eastAsia="Times New Roman" w:hAnsi="Times New Roman" w:hint="default"/>
        <w:sz w:val="24"/>
        <w:szCs w:val="24"/>
      </w:rPr>
    </w:lvl>
    <w:lvl w:ilvl="1" w:tplc="0CACA4C2">
      <w:start w:val="1"/>
      <w:numFmt w:val="bullet"/>
      <w:lvlText w:val="•"/>
      <w:lvlJc w:val="left"/>
      <w:pPr>
        <w:ind w:left="2184" w:hanging="360"/>
      </w:pPr>
      <w:rPr>
        <w:rFonts w:hint="default"/>
      </w:rPr>
    </w:lvl>
    <w:lvl w:ilvl="2" w:tplc="146E2816">
      <w:start w:val="1"/>
      <w:numFmt w:val="bullet"/>
      <w:lvlText w:val="•"/>
      <w:lvlJc w:val="left"/>
      <w:pPr>
        <w:ind w:left="2948" w:hanging="360"/>
      </w:pPr>
      <w:rPr>
        <w:rFonts w:hint="default"/>
      </w:rPr>
    </w:lvl>
    <w:lvl w:ilvl="3" w:tplc="417C809A">
      <w:start w:val="1"/>
      <w:numFmt w:val="bullet"/>
      <w:lvlText w:val="•"/>
      <w:lvlJc w:val="left"/>
      <w:pPr>
        <w:ind w:left="3712" w:hanging="360"/>
      </w:pPr>
      <w:rPr>
        <w:rFonts w:hint="default"/>
      </w:rPr>
    </w:lvl>
    <w:lvl w:ilvl="4" w:tplc="0DA03432">
      <w:start w:val="1"/>
      <w:numFmt w:val="bullet"/>
      <w:lvlText w:val="•"/>
      <w:lvlJc w:val="left"/>
      <w:pPr>
        <w:ind w:left="4476" w:hanging="360"/>
      </w:pPr>
      <w:rPr>
        <w:rFonts w:hint="default"/>
      </w:rPr>
    </w:lvl>
    <w:lvl w:ilvl="5" w:tplc="E084C494">
      <w:start w:val="1"/>
      <w:numFmt w:val="bullet"/>
      <w:lvlText w:val="•"/>
      <w:lvlJc w:val="left"/>
      <w:pPr>
        <w:ind w:left="5240" w:hanging="360"/>
      </w:pPr>
      <w:rPr>
        <w:rFonts w:hint="default"/>
      </w:rPr>
    </w:lvl>
    <w:lvl w:ilvl="6" w:tplc="DEF62EA2">
      <w:start w:val="1"/>
      <w:numFmt w:val="bullet"/>
      <w:lvlText w:val="•"/>
      <w:lvlJc w:val="left"/>
      <w:pPr>
        <w:ind w:left="6004" w:hanging="360"/>
      </w:pPr>
      <w:rPr>
        <w:rFonts w:hint="default"/>
      </w:rPr>
    </w:lvl>
    <w:lvl w:ilvl="7" w:tplc="665653DA">
      <w:start w:val="1"/>
      <w:numFmt w:val="bullet"/>
      <w:lvlText w:val="•"/>
      <w:lvlJc w:val="left"/>
      <w:pPr>
        <w:ind w:left="6768" w:hanging="360"/>
      </w:pPr>
      <w:rPr>
        <w:rFonts w:hint="default"/>
      </w:rPr>
    </w:lvl>
    <w:lvl w:ilvl="8" w:tplc="4118B5D6">
      <w:start w:val="1"/>
      <w:numFmt w:val="bullet"/>
      <w:lvlText w:val="•"/>
      <w:lvlJc w:val="left"/>
      <w:pPr>
        <w:ind w:left="7532" w:hanging="360"/>
      </w:pPr>
      <w:rPr>
        <w:rFonts w:hint="default"/>
      </w:r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70215D"/>
    <w:multiLevelType w:val="hybridMultilevel"/>
    <w:tmpl w:val="36F23CA4"/>
    <w:lvl w:ilvl="0" w:tplc="9806C7B0">
      <w:start w:val="1"/>
      <w:numFmt w:val="bullet"/>
      <w:lvlText w:val=""/>
      <w:lvlJc w:val="left"/>
      <w:pPr>
        <w:ind w:left="1886" w:hanging="360"/>
      </w:pPr>
      <w:rPr>
        <w:rFonts w:ascii="Wingdings" w:hAnsi="Wingding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5" w15:restartNumberingAfterBreak="0">
    <w:nsid w:val="0FA0152C"/>
    <w:multiLevelType w:val="hybridMultilevel"/>
    <w:tmpl w:val="FEA83B2A"/>
    <w:lvl w:ilvl="0" w:tplc="0F54655E">
      <w:numFmt w:val="bullet"/>
      <w:lvlText w:val="-"/>
      <w:lvlJc w:val="left"/>
      <w:pPr>
        <w:ind w:left="1886" w:hanging="360"/>
      </w:pPr>
      <w:rPr>
        <w:rFonts w:ascii="Times New Roman" w:eastAsiaTheme="minorEastAsia" w:hAnsi="Times New Roman" w:cs="Times New Roman"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FBA57B1"/>
    <w:multiLevelType w:val="hybridMultilevel"/>
    <w:tmpl w:val="D7429A30"/>
    <w:lvl w:ilvl="0" w:tplc="9C0C077A">
      <w:start w:val="257"/>
      <w:numFmt w:val="decimal"/>
      <w:lvlText w:val="%1."/>
      <w:lvlJc w:val="left"/>
      <w:pPr>
        <w:ind w:left="340" w:hanging="509"/>
      </w:pPr>
      <w:rPr>
        <w:rFonts w:ascii="Times New Roman" w:eastAsia="Times New Roman" w:hAnsi="Times New Roman" w:hint="default"/>
        <w:sz w:val="24"/>
        <w:szCs w:val="24"/>
      </w:rPr>
    </w:lvl>
    <w:lvl w:ilvl="1" w:tplc="19B48812">
      <w:start w:val="1"/>
      <w:numFmt w:val="decimal"/>
      <w:lvlText w:val="%2."/>
      <w:lvlJc w:val="left"/>
      <w:pPr>
        <w:ind w:left="1420" w:hanging="360"/>
      </w:pPr>
      <w:rPr>
        <w:rFonts w:ascii="Times New Roman" w:eastAsia="Times New Roman" w:hAnsi="Times New Roman" w:hint="default"/>
        <w:sz w:val="24"/>
        <w:szCs w:val="24"/>
      </w:rPr>
    </w:lvl>
    <w:lvl w:ilvl="2" w:tplc="9342B162">
      <w:start w:val="1"/>
      <w:numFmt w:val="bullet"/>
      <w:lvlText w:val="•"/>
      <w:lvlJc w:val="left"/>
      <w:pPr>
        <w:ind w:left="2269" w:hanging="360"/>
      </w:pPr>
      <w:rPr>
        <w:rFonts w:hint="default"/>
      </w:rPr>
    </w:lvl>
    <w:lvl w:ilvl="3" w:tplc="A3047098">
      <w:start w:val="1"/>
      <w:numFmt w:val="bullet"/>
      <w:lvlText w:val="•"/>
      <w:lvlJc w:val="left"/>
      <w:pPr>
        <w:ind w:left="3118" w:hanging="360"/>
      </w:pPr>
      <w:rPr>
        <w:rFonts w:hint="default"/>
      </w:rPr>
    </w:lvl>
    <w:lvl w:ilvl="4" w:tplc="D8F26A9C">
      <w:start w:val="1"/>
      <w:numFmt w:val="bullet"/>
      <w:lvlText w:val="•"/>
      <w:lvlJc w:val="left"/>
      <w:pPr>
        <w:ind w:left="3966" w:hanging="360"/>
      </w:pPr>
      <w:rPr>
        <w:rFonts w:hint="default"/>
      </w:rPr>
    </w:lvl>
    <w:lvl w:ilvl="5" w:tplc="610C9798">
      <w:start w:val="1"/>
      <w:numFmt w:val="bullet"/>
      <w:lvlText w:val="•"/>
      <w:lvlJc w:val="left"/>
      <w:pPr>
        <w:ind w:left="4815" w:hanging="360"/>
      </w:pPr>
      <w:rPr>
        <w:rFonts w:hint="default"/>
      </w:rPr>
    </w:lvl>
    <w:lvl w:ilvl="6" w:tplc="2104D802">
      <w:start w:val="1"/>
      <w:numFmt w:val="bullet"/>
      <w:lvlText w:val="•"/>
      <w:lvlJc w:val="left"/>
      <w:pPr>
        <w:ind w:left="5664" w:hanging="360"/>
      </w:pPr>
      <w:rPr>
        <w:rFonts w:hint="default"/>
      </w:rPr>
    </w:lvl>
    <w:lvl w:ilvl="7" w:tplc="5852CA64">
      <w:start w:val="1"/>
      <w:numFmt w:val="bullet"/>
      <w:lvlText w:val="•"/>
      <w:lvlJc w:val="left"/>
      <w:pPr>
        <w:ind w:left="6513" w:hanging="360"/>
      </w:pPr>
      <w:rPr>
        <w:rFonts w:hint="default"/>
      </w:rPr>
    </w:lvl>
    <w:lvl w:ilvl="8" w:tplc="1C508904">
      <w:start w:val="1"/>
      <w:numFmt w:val="bullet"/>
      <w:lvlText w:val="•"/>
      <w:lvlJc w:val="left"/>
      <w:pPr>
        <w:ind w:left="7362" w:hanging="360"/>
      </w:pPr>
      <w:rPr>
        <w:rFonts w:hint="default"/>
      </w:rPr>
    </w:lvl>
  </w:abstractNum>
  <w:abstractNum w:abstractNumId="18" w15:restartNumberingAfterBreak="0">
    <w:nsid w:val="1FE84664"/>
    <w:multiLevelType w:val="hybridMultilevel"/>
    <w:tmpl w:val="6F64F040"/>
    <w:lvl w:ilvl="0" w:tplc="0C0C0001">
      <w:start w:val="1"/>
      <w:numFmt w:val="bullet"/>
      <w:lvlText w:val=""/>
      <w:lvlJc w:val="left"/>
      <w:pPr>
        <w:ind w:left="1886" w:hanging="360"/>
      </w:pPr>
      <w:rPr>
        <w:rFonts w:ascii="Symbol" w:hAnsi="Symbol"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9" w15:restartNumberingAfterBreak="0">
    <w:nsid w:val="27580E12"/>
    <w:multiLevelType w:val="hybridMultilevel"/>
    <w:tmpl w:val="4FD06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11D47"/>
    <w:multiLevelType w:val="hybridMultilevel"/>
    <w:tmpl w:val="B9B6108E"/>
    <w:lvl w:ilvl="0" w:tplc="10090015">
      <w:start w:val="1"/>
      <w:numFmt w:val="upperLetter"/>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21"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03130A"/>
    <w:multiLevelType w:val="multilevel"/>
    <w:tmpl w:val="60D8D1E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3"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0F7815"/>
    <w:multiLevelType w:val="hybridMultilevel"/>
    <w:tmpl w:val="29FAAA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54283EE8"/>
    <w:multiLevelType w:val="multilevel"/>
    <w:tmpl w:val="2F0AE8A0"/>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90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BF002E"/>
    <w:multiLevelType w:val="hybridMultilevel"/>
    <w:tmpl w:val="1F58D292"/>
    <w:lvl w:ilvl="0" w:tplc="C6CE811E">
      <w:start w:val="1"/>
      <w:numFmt w:val="upperLetter"/>
      <w:lvlText w:val="%1."/>
      <w:lvlJc w:val="left"/>
      <w:pPr>
        <w:ind w:left="1060" w:hanging="720"/>
        <w:jc w:val="right"/>
      </w:pPr>
      <w:rPr>
        <w:rFonts w:ascii="Times New Roman" w:eastAsia="Times New Roman" w:hAnsi="Times New Roman" w:hint="default"/>
        <w:b/>
        <w:bCs/>
        <w:spacing w:val="-1"/>
        <w:sz w:val="24"/>
        <w:szCs w:val="24"/>
      </w:rPr>
    </w:lvl>
    <w:lvl w:ilvl="1" w:tplc="E2D2449E">
      <w:start w:val="1"/>
      <w:numFmt w:val="decimal"/>
      <w:lvlText w:val="%2."/>
      <w:lvlJc w:val="left"/>
      <w:pPr>
        <w:ind w:left="1060" w:hanging="360"/>
      </w:pPr>
      <w:rPr>
        <w:rFonts w:ascii="Times New Roman" w:eastAsia="Times New Roman" w:hAnsi="Times New Roman" w:hint="default"/>
        <w:b/>
        <w:bCs/>
        <w:sz w:val="24"/>
        <w:szCs w:val="24"/>
      </w:rPr>
    </w:lvl>
    <w:lvl w:ilvl="2" w:tplc="DC4A9064">
      <w:start w:val="1"/>
      <w:numFmt w:val="bullet"/>
      <w:lvlText w:val="•"/>
      <w:lvlJc w:val="left"/>
      <w:pPr>
        <w:ind w:left="2660" w:hanging="360"/>
      </w:pPr>
      <w:rPr>
        <w:rFonts w:hint="default"/>
      </w:rPr>
    </w:lvl>
    <w:lvl w:ilvl="3" w:tplc="E2EADE54">
      <w:start w:val="1"/>
      <w:numFmt w:val="bullet"/>
      <w:lvlText w:val="•"/>
      <w:lvlJc w:val="left"/>
      <w:pPr>
        <w:ind w:left="3460" w:hanging="360"/>
      </w:pPr>
      <w:rPr>
        <w:rFonts w:hint="default"/>
      </w:rPr>
    </w:lvl>
    <w:lvl w:ilvl="4" w:tplc="D2CC779E">
      <w:start w:val="1"/>
      <w:numFmt w:val="bullet"/>
      <w:lvlText w:val="•"/>
      <w:lvlJc w:val="left"/>
      <w:pPr>
        <w:ind w:left="4260" w:hanging="360"/>
      </w:pPr>
      <w:rPr>
        <w:rFonts w:hint="default"/>
      </w:rPr>
    </w:lvl>
    <w:lvl w:ilvl="5" w:tplc="4CCEE2F2">
      <w:start w:val="1"/>
      <w:numFmt w:val="bullet"/>
      <w:lvlText w:val="•"/>
      <w:lvlJc w:val="left"/>
      <w:pPr>
        <w:ind w:left="5060" w:hanging="360"/>
      </w:pPr>
      <w:rPr>
        <w:rFonts w:hint="default"/>
      </w:rPr>
    </w:lvl>
    <w:lvl w:ilvl="6" w:tplc="11B83DFC">
      <w:start w:val="1"/>
      <w:numFmt w:val="bullet"/>
      <w:lvlText w:val="•"/>
      <w:lvlJc w:val="left"/>
      <w:pPr>
        <w:ind w:left="5860" w:hanging="360"/>
      </w:pPr>
      <w:rPr>
        <w:rFonts w:hint="default"/>
      </w:rPr>
    </w:lvl>
    <w:lvl w:ilvl="7" w:tplc="50E0313E">
      <w:start w:val="1"/>
      <w:numFmt w:val="bullet"/>
      <w:lvlText w:val="•"/>
      <w:lvlJc w:val="left"/>
      <w:pPr>
        <w:ind w:left="6660" w:hanging="360"/>
      </w:pPr>
      <w:rPr>
        <w:rFonts w:hint="default"/>
      </w:rPr>
    </w:lvl>
    <w:lvl w:ilvl="8" w:tplc="744E484E">
      <w:start w:val="1"/>
      <w:numFmt w:val="bullet"/>
      <w:lvlText w:val="•"/>
      <w:lvlJc w:val="left"/>
      <w:pPr>
        <w:ind w:left="7460" w:hanging="360"/>
      </w:pPr>
      <w:rPr>
        <w:rFonts w:hint="default"/>
      </w:rPr>
    </w:lvl>
  </w:abstractNum>
  <w:abstractNum w:abstractNumId="2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561C48"/>
    <w:multiLevelType w:val="hybridMultilevel"/>
    <w:tmpl w:val="3504575C"/>
    <w:lvl w:ilvl="0" w:tplc="E17E43CA">
      <w:start w:val="19"/>
      <w:numFmt w:val="lowerLetter"/>
      <w:lvlText w:val="%1."/>
      <w:lvlJc w:val="left"/>
      <w:pPr>
        <w:ind w:left="340" w:hanging="243"/>
      </w:pPr>
      <w:rPr>
        <w:rFonts w:ascii="Times New Roman" w:eastAsia="Times New Roman" w:hAnsi="Times New Roman" w:hint="default"/>
        <w:sz w:val="24"/>
        <w:szCs w:val="24"/>
      </w:rPr>
    </w:lvl>
    <w:lvl w:ilvl="1" w:tplc="F32EEBA6">
      <w:start w:val="1"/>
      <w:numFmt w:val="lowerLetter"/>
      <w:lvlText w:val="(%2)"/>
      <w:lvlJc w:val="left"/>
      <w:pPr>
        <w:ind w:left="1420" w:hanging="360"/>
      </w:pPr>
      <w:rPr>
        <w:rFonts w:ascii="Times New Roman" w:eastAsia="Times New Roman" w:hAnsi="Times New Roman" w:hint="default"/>
        <w:sz w:val="24"/>
        <w:szCs w:val="24"/>
      </w:rPr>
    </w:lvl>
    <w:lvl w:ilvl="2" w:tplc="D32013BA">
      <w:start w:val="1"/>
      <w:numFmt w:val="bullet"/>
      <w:lvlText w:val=""/>
      <w:lvlJc w:val="left"/>
      <w:pPr>
        <w:ind w:left="2500" w:hanging="360"/>
      </w:pPr>
      <w:rPr>
        <w:rFonts w:ascii="Symbol" w:eastAsia="Symbol" w:hAnsi="Symbol" w:hint="default"/>
        <w:sz w:val="24"/>
        <w:szCs w:val="24"/>
      </w:rPr>
    </w:lvl>
    <w:lvl w:ilvl="3" w:tplc="2FCAA036">
      <w:start w:val="1"/>
      <w:numFmt w:val="bullet"/>
      <w:lvlText w:val="•"/>
      <w:lvlJc w:val="left"/>
      <w:pPr>
        <w:ind w:left="3320" w:hanging="360"/>
      </w:pPr>
      <w:rPr>
        <w:rFonts w:hint="default"/>
      </w:rPr>
    </w:lvl>
    <w:lvl w:ilvl="4" w:tplc="9FB68878">
      <w:start w:val="1"/>
      <w:numFmt w:val="bullet"/>
      <w:lvlText w:val="•"/>
      <w:lvlJc w:val="left"/>
      <w:pPr>
        <w:ind w:left="4140" w:hanging="360"/>
      </w:pPr>
      <w:rPr>
        <w:rFonts w:hint="default"/>
      </w:rPr>
    </w:lvl>
    <w:lvl w:ilvl="5" w:tplc="CF160040">
      <w:start w:val="1"/>
      <w:numFmt w:val="bullet"/>
      <w:lvlText w:val="•"/>
      <w:lvlJc w:val="left"/>
      <w:pPr>
        <w:ind w:left="4960" w:hanging="360"/>
      </w:pPr>
      <w:rPr>
        <w:rFonts w:hint="default"/>
      </w:rPr>
    </w:lvl>
    <w:lvl w:ilvl="6" w:tplc="FB00EC30">
      <w:start w:val="1"/>
      <w:numFmt w:val="bullet"/>
      <w:lvlText w:val="•"/>
      <w:lvlJc w:val="left"/>
      <w:pPr>
        <w:ind w:left="5780" w:hanging="360"/>
      </w:pPr>
      <w:rPr>
        <w:rFonts w:hint="default"/>
      </w:rPr>
    </w:lvl>
    <w:lvl w:ilvl="7" w:tplc="936AC9D6">
      <w:start w:val="1"/>
      <w:numFmt w:val="bullet"/>
      <w:lvlText w:val="•"/>
      <w:lvlJc w:val="left"/>
      <w:pPr>
        <w:ind w:left="6600" w:hanging="360"/>
      </w:pPr>
      <w:rPr>
        <w:rFonts w:hint="default"/>
      </w:rPr>
    </w:lvl>
    <w:lvl w:ilvl="8" w:tplc="A82ACCA2">
      <w:start w:val="1"/>
      <w:numFmt w:val="bullet"/>
      <w:lvlText w:val="•"/>
      <w:lvlJc w:val="left"/>
      <w:pPr>
        <w:ind w:left="7420" w:hanging="360"/>
      </w:pPr>
      <w:rPr>
        <w:rFonts w:hint="default"/>
      </w:rPr>
    </w:lvl>
  </w:abstractNum>
  <w:abstractNum w:abstractNumId="31" w15:restartNumberingAfterBreak="0">
    <w:nsid w:val="75B735B0"/>
    <w:multiLevelType w:val="hybridMultilevel"/>
    <w:tmpl w:val="B570426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7"/>
  </w:num>
  <w:num w:numId="2">
    <w:abstractNumId w:val="22"/>
  </w:num>
  <w:num w:numId="3">
    <w:abstractNumId w:val="30"/>
  </w:num>
  <w:num w:numId="4">
    <w:abstractNumId w:val="12"/>
  </w:num>
  <w:num w:numId="5">
    <w:abstractNumId w:val="17"/>
  </w:num>
  <w:num w:numId="6">
    <w:abstractNumId w:val="28"/>
  </w:num>
  <w:num w:numId="7">
    <w:abstractNumId w:val="11"/>
  </w:num>
  <w:num w:numId="8">
    <w:abstractNumId w:val="15"/>
  </w:num>
  <w:num w:numId="9">
    <w:abstractNumId w:val="29"/>
  </w:num>
  <w:num w:numId="10">
    <w:abstractNumId w:val="16"/>
  </w:num>
  <w:num w:numId="11">
    <w:abstractNumId w:val="13"/>
  </w:num>
  <w:num w:numId="12">
    <w:abstractNumId w:val="24"/>
  </w:num>
  <w:num w:numId="13">
    <w:abstractNumId w:val="25"/>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2"/>
  </w:num>
  <w:num w:numId="27">
    <w:abstractNumId w:val="20"/>
  </w:num>
  <w:num w:numId="28">
    <w:abstractNumId w:val="18"/>
  </w:num>
  <w:num w:numId="29">
    <w:abstractNumId w:val="10"/>
  </w:num>
  <w:num w:numId="30">
    <w:abstractNumId w:val="14"/>
  </w:num>
  <w:num w:numId="31">
    <w:abstractNumId w:val="31"/>
  </w:num>
  <w:num w:numId="32">
    <w:abstractNumId w:val="2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3366"/>
          </w:tabs>
          <w:ind w:left="336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3">
    <w:abstractNumId w:val="26"/>
  </w:num>
  <w:num w:numId="34">
    <w:abstractNumId w:val="2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8">
    <w:abstractNumId w:val="2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9">
    <w:abstractNumId w:val="2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0">
    <w:abstractNumId w:val="2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1">
    <w:abstractNumId w:val="27"/>
    <w:lvlOverride w:ilvl="0">
      <w:startOverride w:val="1"/>
    </w:lvlOverride>
    <w:lvlOverride w:ilvl="1">
      <w:startOverride w:val="2"/>
    </w:lvlOverride>
  </w:num>
  <w:num w:numId="42">
    <w:abstractNumId w:val="27"/>
    <w:lvlOverride w:ilvl="0">
      <w:startOverride w:val="1"/>
    </w:lvlOverride>
    <w:lvlOverride w:ilvl="1">
      <w:startOverride w:val="3"/>
    </w:lvlOverride>
  </w:num>
  <w:num w:numId="43">
    <w:abstractNumId w:val="27"/>
    <w:lvlOverride w:ilvl="0">
      <w:startOverride w:val="1"/>
    </w:lvlOverride>
    <w:lvlOverride w:ilvl="1">
      <w:startOverride w:val="4"/>
    </w:lvlOverride>
  </w:num>
  <w:num w:numId="44">
    <w:abstractNumId w:val="27"/>
    <w:lvlOverride w:ilvl="0">
      <w:startOverride w:val="1"/>
    </w:lvlOverride>
    <w:lvlOverride w:ilvl="1">
      <w:startOverride w:val="5"/>
    </w:lvlOverride>
  </w:num>
  <w:num w:numId="45">
    <w:abstractNumId w:val="27"/>
    <w:lvlOverride w:ilvl="0">
      <w:startOverride w:val="1"/>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3FD"/>
    <w:rsid w:val="0000277F"/>
    <w:rsid w:val="000037DD"/>
    <w:rsid w:val="00022AF0"/>
    <w:rsid w:val="00023FC7"/>
    <w:rsid w:val="00025198"/>
    <w:rsid w:val="00046B1D"/>
    <w:rsid w:val="000513C8"/>
    <w:rsid w:val="000557B4"/>
    <w:rsid w:val="000578A3"/>
    <w:rsid w:val="000648CC"/>
    <w:rsid w:val="00090EF6"/>
    <w:rsid w:val="00094732"/>
    <w:rsid w:val="000B5523"/>
    <w:rsid w:val="000C1CFE"/>
    <w:rsid w:val="000C59B8"/>
    <w:rsid w:val="000C6AF0"/>
    <w:rsid w:val="000D0A77"/>
    <w:rsid w:val="000F0110"/>
    <w:rsid w:val="000F53F2"/>
    <w:rsid w:val="000F7993"/>
    <w:rsid w:val="00104F33"/>
    <w:rsid w:val="00107030"/>
    <w:rsid w:val="00111DE2"/>
    <w:rsid w:val="00113E11"/>
    <w:rsid w:val="00116B38"/>
    <w:rsid w:val="0012053C"/>
    <w:rsid w:val="00126FC8"/>
    <w:rsid w:val="00135406"/>
    <w:rsid w:val="00135972"/>
    <w:rsid w:val="0014146E"/>
    <w:rsid w:val="001426A9"/>
    <w:rsid w:val="001445AD"/>
    <w:rsid w:val="00146B05"/>
    <w:rsid w:val="0015429F"/>
    <w:rsid w:val="00154D7C"/>
    <w:rsid w:val="001570B0"/>
    <w:rsid w:val="0015752C"/>
    <w:rsid w:val="00157737"/>
    <w:rsid w:val="00161F07"/>
    <w:rsid w:val="00165277"/>
    <w:rsid w:val="00170592"/>
    <w:rsid w:val="001720F7"/>
    <w:rsid w:val="001826FD"/>
    <w:rsid w:val="0018677E"/>
    <w:rsid w:val="001918FB"/>
    <w:rsid w:val="001945C5"/>
    <w:rsid w:val="001954CB"/>
    <w:rsid w:val="00195D83"/>
    <w:rsid w:val="00196F12"/>
    <w:rsid w:val="001A00C1"/>
    <w:rsid w:val="001A5139"/>
    <w:rsid w:val="001A6002"/>
    <w:rsid w:val="001B3335"/>
    <w:rsid w:val="001B33E0"/>
    <w:rsid w:val="001B3746"/>
    <w:rsid w:val="001B4573"/>
    <w:rsid w:val="001B4B5D"/>
    <w:rsid w:val="001C08DF"/>
    <w:rsid w:val="001C44F4"/>
    <w:rsid w:val="001C64C1"/>
    <w:rsid w:val="001C7153"/>
    <w:rsid w:val="001C779F"/>
    <w:rsid w:val="001D2AC1"/>
    <w:rsid w:val="001D4E88"/>
    <w:rsid w:val="001E0A72"/>
    <w:rsid w:val="001F22D9"/>
    <w:rsid w:val="00220FC2"/>
    <w:rsid w:val="002222F4"/>
    <w:rsid w:val="00224FC0"/>
    <w:rsid w:val="00225EA4"/>
    <w:rsid w:val="00226EAF"/>
    <w:rsid w:val="00227540"/>
    <w:rsid w:val="00231F3A"/>
    <w:rsid w:val="002324DD"/>
    <w:rsid w:val="002406EE"/>
    <w:rsid w:val="00242784"/>
    <w:rsid w:val="00243EC8"/>
    <w:rsid w:val="002556F1"/>
    <w:rsid w:val="00270D93"/>
    <w:rsid w:val="002745CC"/>
    <w:rsid w:val="00275733"/>
    <w:rsid w:val="00280F85"/>
    <w:rsid w:val="0028120E"/>
    <w:rsid w:val="00283DEF"/>
    <w:rsid w:val="00292FCF"/>
    <w:rsid w:val="002A2104"/>
    <w:rsid w:val="002B6FBE"/>
    <w:rsid w:val="002B7924"/>
    <w:rsid w:val="002C10A6"/>
    <w:rsid w:val="002C6C61"/>
    <w:rsid w:val="002D28C3"/>
    <w:rsid w:val="002D39A4"/>
    <w:rsid w:val="002E6705"/>
    <w:rsid w:val="002F65EF"/>
    <w:rsid w:val="002F68A2"/>
    <w:rsid w:val="0030329A"/>
    <w:rsid w:val="0031086F"/>
    <w:rsid w:val="0031414C"/>
    <w:rsid w:val="00314E01"/>
    <w:rsid w:val="0032089D"/>
    <w:rsid w:val="00324DED"/>
    <w:rsid w:val="003304AA"/>
    <w:rsid w:val="003310DE"/>
    <w:rsid w:val="003323B0"/>
    <w:rsid w:val="00333641"/>
    <w:rsid w:val="00340A49"/>
    <w:rsid w:val="003414BD"/>
    <w:rsid w:val="00344A29"/>
    <w:rsid w:val="00350021"/>
    <w:rsid w:val="0035169A"/>
    <w:rsid w:val="0035259D"/>
    <w:rsid w:val="00361C56"/>
    <w:rsid w:val="00363467"/>
    <w:rsid w:val="00364B18"/>
    <w:rsid w:val="0038207F"/>
    <w:rsid w:val="003837D1"/>
    <w:rsid w:val="00385B25"/>
    <w:rsid w:val="00385E35"/>
    <w:rsid w:val="003941BD"/>
    <w:rsid w:val="003A125D"/>
    <w:rsid w:val="003A4C70"/>
    <w:rsid w:val="003A4FCC"/>
    <w:rsid w:val="003B215F"/>
    <w:rsid w:val="003C4072"/>
    <w:rsid w:val="003C760F"/>
    <w:rsid w:val="003C799C"/>
    <w:rsid w:val="003D0399"/>
    <w:rsid w:val="003D25BD"/>
    <w:rsid w:val="003D5828"/>
    <w:rsid w:val="003D686E"/>
    <w:rsid w:val="003E1C71"/>
    <w:rsid w:val="003E452B"/>
    <w:rsid w:val="003E611F"/>
    <w:rsid w:val="003F00D0"/>
    <w:rsid w:val="003F327B"/>
    <w:rsid w:val="003F7341"/>
    <w:rsid w:val="004011B0"/>
    <w:rsid w:val="00405E59"/>
    <w:rsid w:val="00406166"/>
    <w:rsid w:val="0040704B"/>
    <w:rsid w:val="00410A55"/>
    <w:rsid w:val="00410B5F"/>
    <w:rsid w:val="00411300"/>
    <w:rsid w:val="00413F17"/>
    <w:rsid w:val="00415417"/>
    <w:rsid w:val="004214C9"/>
    <w:rsid w:val="00426659"/>
    <w:rsid w:val="00435325"/>
    <w:rsid w:val="004460D1"/>
    <w:rsid w:val="00450352"/>
    <w:rsid w:val="0045331E"/>
    <w:rsid w:val="0045438E"/>
    <w:rsid w:val="00454BDB"/>
    <w:rsid w:val="004551F8"/>
    <w:rsid w:val="0045688E"/>
    <w:rsid w:val="004603BE"/>
    <w:rsid w:val="00465132"/>
    <w:rsid w:val="00476113"/>
    <w:rsid w:val="00476749"/>
    <w:rsid w:val="004809C1"/>
    <w:rsid w:val="00480C90"/>
    <w:rsid w:val="00480CEA"/>
    <w:rsid w:val="0048396F"/>
    <w:rsid w:val="00490F57"/>
    <w:rsid w:val="00493C18"/>
    <w:rsid w:val="00496D4E"/>
    <w:rsid w:val="004A600C"/>
    <w:rsid w:val="004A6118"/>
    <w:rsid w:val="004B2AA8"/>
    <w:rsid w:val="004C2A66"/>
    <w:rsid w:val="004C478D"/>
    <w:rsid w:val="004D10B2"/>
    <w:rsid w:val="004D7D95"/>
    <w:rsid w:val="004E07C8"/>
    <w:rsid w:val="004E2C26"/>
    <w:rsid w:val="004E3371"/>
    <w:rsid w:val="00503430"/>
    <w:rsid w:val="0050593D"/>
    <w:rsid w:val="0051032D"/>
    <w:rsid w:val="005125A8"/>
    <w:rsid w:val="00514315"/>
    <w:rsid w:val="00517549"/>
    <w:rsid w:val="00520ABC"/>
    <w:rsid w:val="00521AE8"/>
    <w:rsid w:val="00527180"/>
    <w:rsid w:val="005328B5"/>
    <w:rsid w:val="00535821"/>
    <w:rsid w:val="00546585"/>
    <w:rsid w:val="00546771"/>
    <w:rsid w:val="0055329A"/>
    <w:rsid w:val="00555291"/>
    <w:rsid w:val="00566AD1"/>
    <w:rsid w:val="0057248C"/>
    <w:rsid w:val="005758AC"/>
    <w:rsid w:val="00583EDE"/>
    <w:rsid w:val="00592991"/>
    <w:rsid w:val="005948A9"/>
    <w:rsid w:val="005A6079"/>
    <w:rsid w:val="005B023C"/>
    <w:rsid w:val="005B1238"/>
    <w:rsid w:val="005B5D98"/>
    <w:rsid w:val="005E4698"/>
    <w:rsid w:val="005E67FB"/>
    <w:rsid w:val="00603924"/>
    <w:rsid w:val="00610539"/>
    <w:rsid w:val="00612093"/>
    <w:rsid w:val="00612A25"/>
    <w:rsid w:val="00613969"/>
    <w:rsid w:val="006143CE"/>
    <w:rsid w:val="0061446E"/>
    <w:rsid w:val="00625C35"/>
    <w:rsid w:val="00627051"/>
    <w:rsid w:val="00645BE4"/>
    <w:rsid w:val="00647E49"/>
    <w:rsid w:val="00656313"/>
    <w:rsid w:val="006565F4"/>
    <w:rsid w:val="00682BCE"/>
    <w:rsid w:val="00683070"/>
    <w:rsid w:val="00683EBD"/>
    <w:rsid w:val="00684EEA"/>
    <w:rsid w:val="00694441"/>
    <w:rsid w:val="0069689B"/>
    <w:rsid w:val="006B5FF5"/>
    <w:rsid w:val="006E310A"/>
    <w:rsid w:val="006F30AF"/>
    <w:rsid w:val="007002AA"/>
    <w:rsid w:val="00701759"/>
    <w:rsid w:val="00705C15"/>
    <w:rsid w:val="007110F6"/>
    <w:rsid w:val="00711832"/>
    <w:rsid w:val="007208D1"/>
    <w:rsid w:val="00741A05"/>
    <w:rsid w:val="00743AC0"/>
    <w:rsid w:val="00744518"/>
    <w:rsid w:val="0074712A"/>
    <w:rsid w:val="00747288"/>
    <w:rsid w:val="00747DD3"/>
    <w:rsid w:val="007549C8"/>
    <w:rsid w:val="00763F79"/>
    <w:rsid w:val="00766D14"/>
    <w:rsid w:val="00767A0F"/>
    <w:rsid w:val="00770411"/>
    <w:rsid w:val="00772B85"/>
    <w:rsid w:val="00791272"/>
    <w:rsid w:val="00791B30"/>
    <w:rsid w:val="007921BE"/>
    <w:rsid w:val="007A0353"/>
    <w:rsid w:val="007A05F6"/>
    <w:rsid w:val="007A12AF"/>
    <w:rsid w:val="007A60AF"/>
    <w:rsid w:val="007A74BB"/>
    <w:rsid w:val="007B2C61"/>
    <w:rsid w:val="007B6F4A"/>
    <w:rsid w:val="007C35E1"/>
    <w:rsid w:val="007C520F"/>
    <w:rsid w:val="007E1C47"/>
    <w:rsid w:val="007E337A"/>
    <w:rsid w:val="007E5C70"/>
    <w:rsid w:val="007F2FF5"/>
    <w:rsid w:val="007F3F08"/>
    <w:rsid w:val="007F51F5"/>
    <w:rsid w:val="00804CC6"/>
    <w:rsid w:val="00817190"/>
    <w:rsid w:val="008260E2"/>
    <w:rsid w:val="008321F0"/>
    <w:rsid w:val="008322BD"/>
    <w:rsid w:val="00834F73"/>
    <w:rsid w:val="00835BFA"/>
    <w:rsid w:val="00850EE0"/>
    <w:rsid w:val="008555EA"/>
    <w:rsid w:val="00864C8A"/>
    <w:rsid w:val="00864CF8"/>
    <w:rsid w:val="00874914"/>
    <w:rsid w:val="008853B5"/>
    <w:rsid w:val="00891018"/>
    <w:rsid w:val="00891422"/>
    <w:rsid w:val="00892E1A"/>
    <w:rsid w:val="008B5ABC"/>
    <w:rsid w:val="008B660A"/>
    <w:rsid w:val="008C01DA"/>
    <w:rsid w:val="008D2157"/>
    <w:rsid w:val="008D2C7C"/>
    <w:rsid w:val="008F0BE2"/>
    <w:rsid w:val="008F2674"/>
    <w:rsid w:val="008F78E9"/>
    <w:rsid w:val="009007DA"/>
    <w:rsid w:val="00907034"/>
    <w:rsid w:val="00912E0C"/>
    <w:rsid w:val="009179F9"/>
    <w:rsid w:val="00917C7A"/>
    <w:rsid w:val="009213EA"/>
    <w:rsid w:val="00933E5E"/>
    <w:rsid w:val="00935218"/>
    <w:rsid w:val="00936467"/>
    <w:rsid w:val="00937C52"/>
    <w:rsid w:val="009403F3"/>
    <w:rsid w:val="00943F04"/>
    <w:rsid w:val="00950F80"/>
    <w:rsid w:val="00952853"/>
    <w:rsid w:val="009555B7"/>
    <w:rsid w:val="009567AA"/>
    <w:rsid w:val="009602C9"/>
    <w:rsid w:val="00960577"/>
    <w:rsid w:val="00967374"/>
    <w:rsid w:val="0097460D"/>
    <w:rsid w:val="00982601"/>
    <w:rsid w:val="00990A60"/>
    <w:rsid w:val="009918B4"/>
    <w:rsid w:val="009A1235"/>
    <w:rsid w:val="009A343A"/>
    <w:rsid w:val="009A7DF2"/>
    <w:rsid w:val="009B2F23"/>
    <w:rsid w:val="009B57B3"/>
    <w:rsid w:val="009C06B8"/>
    <w:rsid w:val="009D2920"/>
    <w:rsid w:val="009D5AEB"/>
    <w:rsid w:val="009F0E33"/>
    <w:rsid w:val="00A02F62"/>
    <w:rsid w:val="00A10B0D"/>
    <w:rsid w:val="00A12706"/>
    <w:rsid w:val="00A149DF"/>
    <w:rsid w:val="00A1755C"/>
    <w:rsid w:val="00A2127E"/>
    <w:rsid w:val="00A21B90"/>
    <w:rsid w:val="00A22AAC"/>
    <w:rsid w:val="00A41805"/>
    <w:rsid w:val="00A46D38"/>
    <w:rsid w:val="00A4757A"/>
    <w:rsid w:val="00A51882"/>
    <w:rsid w:val="00A52AFB"/>
    <w:rsid w:val="00A548CB"/>
    <w:rsid w:val="00A5521C"/>
    <w:rsid w:val="00A643E7"/>
    <w:rsid w:val="00A653BD"/>
    <w:rsid w:val="00A71A53"/>
    <w:rsid w:val="00A71F5A"/>
    <w:rsid w:val="00A73C38"/>
    <w:rsid w:val="00A75449"/>
    <w:rsid w:val="00A76CEA"/>
    <w:rsid w:val="00A8165C"/>
    <w:rsid w:val="00A85BAE"/>
    <w:rsid w:val="00A921A7"/>
    <w:rsid w:val="00A9616F"/>
    <w:rsid w:val="00AA08B5"/>
    <w:rsid w:val="00AA1C49"/>
    <w:rsid w:val="00AA3E45"/>
    <w:rsid w:val="00AA4369"/>
    <w:rsid w:val="00AA6489"/>
    <w:rsid w:val="00AB3F6C"/>
    <w:rsid w:val="00AB670D"/>
    <w:rsid w:val="00AC77F5"/>
    <w:rsid w:val="00AD3ABC"/>
    <w:rsid w:val="00AF03C5"/>
    <w:rsid w:val="00B000D8"/>
    <w:rsid w:val="00B00F75"/>
    <w:rsid w:val="00B01626"/>
    <w:rsid w:val="00B07832"/>
    <w:rsid w:val="00B11856"/>
    <w:rsid w:val="00B11F51"/>
    <w:rsid w:val="00B145B6"/>
    <w:rsid w:val="00B279EB"/>
    <w:rsid w:val="00B5053D"/>
    <w:rsid w:val="00B50C81"/>
    <w:rsid w:val="00B52033"/>
    <w:rsid w:val="00B557F8"/>
    <w:rsid w:val="00B61AB8"/>
    <w:rsid w:val="00B67C1D"/>
    <w:rsid w:val="00B702F7"/>
    <w:rsid w:val="00B815FC"/>
    <w:rsid w:val="00B83AB4"/>
    <w:rsid w:val="00B93FBC"/>
    <w:rsid w:val="00BA1198"/>
    <w:rsid w:val="00BA7DA0"/>
    <w:rsid w:val="00BB0F16"/>
    <w:rsid w:val="00BB2EE4"/>
    <w:rsid w:val="00BB4C92"/>
    <w:rsid w:val="00BC2108"/>
    <w:rsid w:val="00BD0E9E"/>
    <w:rsid w:val="00BD1A32"/>
    <w:rsid w:val="00BD1BEC"/>
    <w:rsid w:val="00BD32FF"/>
    <w:rsid w:val="00BD4BD3"/>
    <w:rsid w:val="00BD6CD6"/>
    <w:rsid w:val="00BE5609"/>
    <w:rsid w:val="00BF263B"/>
    <w:rsid w:val="00BF6FE9"/>
    <w:rsid w:val="00BF7C58"/>
    <w:rsid w:val="00C02092"/>
    <w:rsid w:val="00C24D91"/>
    <w:rsid w:val="00C26DB2"/>
    <w:rsid w:val="00C34F23"/>
    <w:rsid w:val="00C416BC"/>
    <w:rsid w:val="00C42833"/>
    <w:rsid w:val="00C53F14"/>
    <w:rsid w:val="00C600CF"/>
    <w:rsid w:val="00C6084F"/>
    <w:rsid w:val="00C62A66"/>
    <w:rsid w:val="00C66359"/>
    <w:rsid w:val="00C71199"/>
    <w:rsid w:val="00C7144C"/>
    <w:rsid w:val="00C71458"/>
    <w:rsid w:val="00C74BBC"/>
    <w:rsid w:val="00C757DE"/>
    <w:rsid w:val="00C77613"/>
    <w:rsid w:val="00C828E7"/>
    <w:rsid w:val="00C86719"/>
    <w:rsid w:val="00C90577"/>
    <w:rsid w:val="00C90E8F"/>
    <w:rsid w:val="00C921DD"/>
    <w:rsid w:val="00CA48E2"/>
    <w:rsid w:val="00CA6391"/>
    <w:rsid w:val="00CA7723"/>
    <w:rsid w:val="00CC1C19"/>
    <w:rsid w:val="00CD36C2"/>
    <w:rsid w:val="00CE036E"/>
    <w:rsid w:val="00CE11E2"/>
    <w:rsid w:val="00CE3171"/>
    <w:rsid w:val="00CF1601"/>
    <w:rsid w:val="00D00E72"/>
    <w:rsid w:val="00D0172F"/>
    <w:rsid w:val="00D01E33"/>
    <w:rsid w:val="00D068A7"/>
    <w:rsid w:val="00D17476"/>
    <w:rsid w:val="00D17B0E"/>
    <w:rsid w:val="00D2653A"/>
    <w:rsid w:val="00D307FB"/>
    <w:rsid w:val="00D32086"/>
    <w:rsid w:val="00D35E18"/>
    <w:rsid w:val="00D37910"/>
    <w:rsid w:val="00D37A3F"/>
    <w:rsid w:val="00D41F6A"/>
    <w:rsid w:val="00D42794"/>
    <w:rsid w:val="00D4431D"/>
    <w:rsid w:val="00D4667A"/>
    <w:rsid w:val="00D560D2"/>
    <w:rsid w:val="00D63A1C"/>
    <w:rsid w:val="00D7208A"/>
    <w:rsid w:val="00D73EA2"/>
    <w:rsid w:val="00D7516F"/>
    <w:rsid w:val="00D8397E"/>
    <w:rsid w:val="00D854B8"/>
    <w:rsid w:val="00D90FE7"/>
    <w:rsid w:val="00D95F8E"/>
    <w:rsid w:val="00DA0590"/>
    <w:rsid w:val="00DA13FE"/>
    <w:rsid w:val="00DA7800"/>
    <w:rsid w:val="00DC1739"/>
    <w:rsid w:val="00DC1788"/>
    <w:rsid w:val="00DC50A1"/>
    <w:rsid w:val="00DE2BFD"/>
    <w:rsid w:val="00DE319C"/>
    <w:rsid w:val="00DF0CA8"/>
    <w:rsid w:val="00DF2B48"/>
    <w:rsid w:val="00DF49A7"/>
    <w:rsid w:val="00E07EE2"/>
    <w:rsid w:val="00E07FD1"/>
    <w:rsid w:val="00E24573"/>
    <w:rsid w:val="00E25E1E"/>
    <w:rsid w:val="00E27EE7"/>
    <w:rsid w:val="00E35404"/>
    <w:rsid w:val="00E44EE6"/>
    <w:rsid w:val="00E45109"/>
    <w:rsid w:val="00E47B7A"/>
    <w:rsid w:val="00E56A44"/>
    <w:rsid w:val="00E573CD"/>
    <w:rsid w:val="00E60269"/>
    <w:rsid w:val="00E61E85"/>
    <w:rsid w:val="00E97830"/>
    <w:rsid w:val="00EE0830"/>
    <w:rsid w:val="00EE0D52"/>
    <w:rsid w:val="00EE6CB8"/>
    <w:rsid w:val="00EF0683"/>
    <w:rsid w:val="00EF274B"/>
    <w:rsid w:val="00EF79BF"/>
    <w:rsid w:val="00F0070C"/>
    <w:rsid w:val="00F00EB7"/>
    <w:rsid w:val="00F17A34"/>
    <w:rsid w:val="00F327A0"/>
    <w:rsid w:val="00F351A9"/>
    <w:rsid w:val="00F36AB6"/>
    <w:rsid w:val="00F37A09"/>
    <w:rsid w:val="00F409CE"/>
    <w:rsid w:val="00F41203"/>
    <w:rsid w:val="00F4379D"/>
    <w:rsid w:val="00F50D2D"/>
    <w:rsid w:val="00F56C8B"/>
    <w:rsid w:val="00F62639"/>
    <w:rsid w:val="00F66810"/>
    <w:rsid w:val="00F71CE4"/>
    <w:rsid w:val="00F84DF4"/>
    <w:rsid w:val="00F85C97"/>
    <w:rsid w:val="00FA1131"/>
    <w:rsid w:val="00FB37D2"/>
    <w:rsid w:val="00FB4A48"/>
    <w:rsid w:val="00FC4EFB"/>
    <w:rsid w:val="00FD068D"/>
    <w:rsid w:val="00FD38FB"/>
    <w:rsid w:val="00FD4F28"/>
    <w:rsid w:val="00FE2FC4"/>
    <w:rsid w:val="00FE6784"/>
    <w:rsid w:val="00FE7A8B"/>
    <w:rsid w:val="00FF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0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4732"/>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94732"/>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94732"/>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94732"/>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94732"/>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94732"/>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94732"/>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NormalWeb">
    <w:name w:val="Normal (Web)"/>
    <w:basedOn w:val="Normal"/>
    <w:uiPriority w:val="99"/>
    <w:unhideWhenUsed/>
    <w:rsid w:val="000F53F2"/>
    <w:pPr>
      <w:spacing w:before="100" w:beforeAutospacing="1" w:after="100" w:afterAutospacing="1"/>
    </w:pPr>
    <w:rPr>
      <w:rFonts w:eastAsiaTheme="minorHAnsi"/>
      <w:szCs w:val="24"/>
      <w:lang w:val="en-US" w:eastAsia="en-US"/>
    </w:rPr>
  </w:style>
  <w:style w:type="character" w:styleId="Emphasis">
    <w:name w:val="Emphasis"/>
    <w:basedOn w:val="DefaultParagraphFont"/>
    <w:uiPriority w:val="20"/>
    <w:qFormat/>
    <w:rsid w:val="000F53F2"/>
    <w:rPr>
      <w:i/>
      <w:iCs/>
    </w:rPr>
  </w:style>
  <w:style w:type="paragraph" w:customStyle="1" w:styleId="ParaNoNdepar-AltN">
    <w:name w:val="Para. No. / Nº de par. - Alt N"/>
    <w:qFormat/>
    <w:rsid w:val="002C6C61"/>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094732"/>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94732"/>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94732"/>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94732"/>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94732"/>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94732"/>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94732"/>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094732"/>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094732"/>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094732"/>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094732"/>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094732"/>
    <w:rPr>
      <w:b/>
      <w:sz w:val="24"/>
    </w:rPr>
  </w:style>
  <w:style w:type="table" w:styleId="TableGrid">
    <w:name w:val="Table Grid"/>
    <w:basedOn w:val="TableNormal"/>
    <w:uiPriority w:val="59"/>
    <w:rsid w:val="00094732"/>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9473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94732"/>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94732"/>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094732"/>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9473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94732"/>
    <w:pPr>
      <w:numPr>
        <w:ilvl w:val="2"/>
      </w:numPr>
      <w:outlineLvl w:val="2"/>
    </w:pPr>
  </w:style>
  <w:style w:type="paragraph" w:customStyle="1" w:styleId="Title4LevelTitre4Niveau">
    <w:name w:val="Title 4 Level / Titre 4 Niveau"/>
    <w:basedOn w:val="Title3LevelTitre3Niveau"/>
    <w:next w:val="ParaNoNdepar-AltN"/>
    <w:uiPriority w:val="4"/>
    <w:qFormat/>
    <w:rsid w:val="00094732"/>
    <w:pPr>
      <w:numPr>
        <w:ilvl w:val="0"/>
        <w:numId w:val="0"/>
      </w:numPr>
      <w:outlineLvl w:val="3"/>
    </w:pPr>
    <w:rPr>
      <w:i/>
      <w:u w:val="none"/>
    </w:rPr>
  </w:style>
  <w:style w:type="paragraph" w:customStyle="1" w:styleId="Title5LevelTitre5Niveau">
    <w:name w:val="Title 5 Level / Titre 5 Niveau"/>
    <w:basedOn w:val="Title1LevelTitre1Niveau-AltL"/>
    <w:next w:val="ParaNoNdepar-AltN"/>
    <w:uiPriority w:val="4"/>
    <w:qFormat/>
    <w:rsid w:val="00094732"/>
    <w:pPr>
      <w:numPr>
        <w:ilvl w:val="4"/>
      </w:numPr>
      <w:tabs>
        <w:tab w:val="clear" w:pos="1728"/>
        <w:tab w:val="num" w:pos="1440"/>
      </w:tabs>
      <w:outlineLvl w:val="4"/>
    </w:pPr>
  </w:style>
  <w:style w:type="paragraph" w:styleId="TOC1">
    <w:name w:val="toc 1"/>
    <w:basedOn w:val="Normal"/>
    <w:next w:val="Normal"/>
    <w:autoRedefine/>
    <w:uiPriority w:val="39"/>
    <w:unhideWhenUsed/>
    <w:rsid w:val="00094732"/>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094732"/>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094732"/>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094732"/>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094732"/>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094732"/>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09473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9473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94732"/>
    <w:pPr>
      <w:numPr>
        <w:ilvl w:val="5"/>
      </w:numPr>
      <w:jc w:val="both"/>
      <w:outlineLvl w:val="5"/>
    </w:pPr>
    <w:rPr>
      <w:i/>
      <w:u w:val="none"/>
    </w:rPr>
  </w:style>
  <w:style w:type="paragraph" w:styleId="FootnoteText">
    <w:name w:val="footnote text"/>
    <w:basedOn w:val="Normal"/>
    <w:link w:val="FootnoteTextChar"/>
    <w:uiPriority w:val="99"/>
    <w:unhideWhenUsed/>
    <w:rsid w:val="0009473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94732"/>
  </w:style>
  <w:style w:type="character" w:styleId="FootnoteReference">
    <w:name w:val="footnote reference"/>
    <w:basedOn w:val="DefaultParagraphFont"/>
    <w:uiPriority w:val="99"/>
    <w:semiHidden/>
    <w:unhideWhenUsed/>
    <w:rsid w:val="00094732"/>
    <w:rPr>
      <w:vertAlign w:val="superscript"/>
    </w:rPr>
  </w:style>
  <w:style w:type="paragraph" w:styleId="ListParagraph">
    <w:name w:val="List Paragraph"/>
    <w:basedOn w:val="Normal"/>
    <w:uiPriority w:val="34"/>
    <w:qFormat/>
    <w:rsid w:val="00094732"/>
    <w:pPr>
      <w:ind w:left="720"/>
      <w:contextualSpacing/>
    </w:pPr>
    <w:rPr>
      <w:rFonts w:eastAsiaTheme="minorHAnsi" w:cstheme="minorBidi"/>
      <w:szCs w:val="22"/>
      <w:lang w:val="en-US" w:eastAsia="en-US" w:bidi="en-US"/>
    </w:rPr>
  </w:style>
  <w:style w:type="paragraph" w:styleId="BodyText">
    <w:name w:val="Body Text"/>
    <w:basedOn w:val="Normal"/>
    <w:link w:val="BodyTextChar"/>
    <w:uiPriority w:val="1"/>
    <w:qFormat/>
    <w:rsid w:val="00094732"/>
    <w:pPr>
      <w:widowControl w:val="0"/>
      <w:spacing w:before="69"/>
      <w:ind w:left="340"/>
    </w:pPr>
    <w:rPr>
      <w:rFonts w:eastAsiaTheme="minorHAnsi" w:cstheme="minorBidi"/>
      <w:szCs w:val="22"/>
      <w:lang w:val="en-US" w:eastAsia="en-US" w:bidi="en-US"/>
    </w:rPr>
  </w:style>
  <w:style w:type="character" w:customStyle="1" w:styleId="BodyTextChar">
    <w:name w:val="Body Text Char"/>
    <w:basedOn w:val="DefaultParagraphFont"/>
    <w:link w:val="BodyText"/>
    <w:uiPriority w:val="1"/>
    <w:rsid w:val="00094732"/>
    <w:rPr>
      <w:rFonts w:eastAsiaTheme="minorHAnsi" w:cstheme="minorBidi"/>
      <w:sz w:val="24"/>
      <w:szCs w:val="22"/>
      <w:lang w:val="en-US" w:eastAsia="en-US" w:bidi="en-US"/>
    </w:rPr>
  </w:style>
  <w:style w:type="paragraph" w:customStyle="1" w:styleId="TableParagraph">
    <w:name w:val="Table Paragraph"/>
    <w:basedOn w:val="Normal"/>
    <w:uiPriority w:val="1"/>
    <w:qFormat/>
    <w:rsid w:val="00094732"/>
    <w:pPr>
      <w:widowControl w:val="0"/>
    </w:pPr>
    <w:rPr>
      <w:rFonts w:asciiTheme="minorHAnsi" w:eastAsiaTheme="minorHAnsi" w:hAnsiTheme="minorHAnsi" w:cstheme="minorBidi"/>
      <w:sz w:val="22"/>
      <w:szCs w:val="22"/>
      <w:lang w:val="en-US" w:eastAsia="en-US" w:bidi="en-US"/>
    </w:rPr>
  </w:style>
  <w:style w:type="character" w:styleId="CommentReference">
    <w:name w:val="annotation reference"/>
    <w:basedOn w:val="DefaultParagraphFont"/>
    <w:uiPriority w:val="99"/>
    <w:semiHidden/>
    <w:unhideWhenUsed/>
    <w:rsid w:val="00094732"/>
    <w:rPr>
      <w:sz w:val="16"/>
      <w:szCs w:val="16"/>
    </w:rPr>
  </w:style>
  <w:style w:type="paragraph" w:styleId="CommentText">
    <w:name w:val="annotation text"/>
    <w:basedOn w:val="Normal"/>
    <w:link w:val="CommentTextChar"/>
    <w:uiPriority w:val="99"/>
    <w:semiHidden/>
    <w:unhideWhenUsed/>
    <w:rsid w:val="00094732"/>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094732"/>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094732"/>
    <w:rPr>
      <w:b/>
      <w:bCs/>
    </w:rPr>
  </w:style>
  <w:style w:type="character" w:customStyle="1" w:styleId="CommentSubjectChar">
    <w:name w:val="Comment Subject Char"/>
    <w:basedOn w:val="CommentTextChar"/>
    <w:link w:val="CommentSubject"/>
    <w:uiPriority w:val="99"/>
    <w:semiHidden/>
    <w:rsid w:val="00094732"/>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094732"/>
    <w:rPr>
      <w:smallCaps/>
      <w:sz w:val="24"/>
    </w:rPr>
  </w:style>
  <w:style w:type="paragraph" w:styleId="NoSpacing">
    <w:name w:val="No Spacing"/>
    <w:uiPriority w:val="1"/>
    <w:qFormat/>
    <w:rsid w:val="00094732"/>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094732"/>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094732"/>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947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9473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94732"/>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94732"/>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094732"/>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94732"/>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94732"/>
    <w:rPr>
      <w:i/>
      <w:iCs/>
      <w:color w:val="808080" w:themeColor="text1" w:themeTint="7F"/>
    </w:rPr>
  </w:style>
  <w:style w:type="character" w:styleId="IntenseEmphasis">
    <w:name w:val="Intense Emphasis"/>
    <w:basedOn w:val="DefaultParagraphFont"/>
    <w:uiPriority w:val="21"/>
    <w:rsid w:val="00094732"/>
    <w:rPr>
      <w:b/>
      <w:bCs/>
      <w:i/>
      <w:iCs/>
      <w:color w:val="4F81BD" w:themeColor="accent1"/>
    </w:rPr>
  </w:style>
  <w:style w:type="character" w:styleId="SubtleReference">
    <w:name w:val="Subtle Reference"/>
    <w:basedOn w:val="DefaultParagraphFont"/>
    <w:uiPriority w:val="31"/>
    <w:rsid w:val="00094732"/>
    <w:rPr>
      <w:smallCaps/>
      <w:color w:val="C0504D" w:themeColor="accent2"/>
      <w:u w:val="single"/>
    </w:rPr>
  </w:style>
  <w:style w:type="character" w:styleId="IntenseReference">
    <w:name w:val="Intense Reference"/>
    <w:basedOn w:val="DefaultParagraphFont"/>
    <w:uiPriority w:val="32"/>
    <w:rsid w:val="00094732"/>
    <w:rPr>
      <w:b/>
      <w:bCs/>
      <w:smallCaps/>
      <w:color w:val="C0504D" w:themeColor="accent2"/>
      <w:spacing w:val="5"/>
      <w:u w:val="single"/>
    </w:rPr>
  </w:style>
  <w:style w:type="character" w:styleId="BookTitle">
    <w:name w:val="Book Title"/>
    <w:basedOn w:val="DefaultParagraphFont"/>
    <w:uiPriority w:val="33"/>
    <w:rsid w:val="00094732"/>
    <w:rPr>
      <w:b/>
      <w:bCs/>
      <w:smallCaps/>
      <w:spacing w:val="5"/>
    </w:rPr>
  </w:style>
  <w:style w:type="paragraph" w:styleId="Revision">
    <w:name w:val="Revision"/>
    <w:hidden/>
    <w:uiPriority w:val="99"/>
    <w:semiHidden/>
    <w:rsid w:val="00094732"/>
    <w:rPr>
      <w:rFonts w:eastAsiaTheme="minorHAnsi" w:cstheme="minorBidi"/>
      <w:sz w:val="24"/>
      <w:szCs w:val="22"/>
      <w:lang w:val="en-US" w:eastAsia="en-US" w:bidi="en-US"/>
    </w:rPr>
  </w:style>
  <w:style w:type="character" w:styleId="Hyperlink">
    <w:name w:val="Hyperlink"/>
    <w:basedOn w:val="DefaultParagraphFont"/>
    <w:uiPriority w:val="99"/>
    <w:unhideWhenUsed/>
    <w:rsid w:val="00094732"/>
    <w:rPr>
      <w:color w:val="0000FF" w:themeColor="hyperlink"/>
      <w:u w:val="single"/>
    </w:rPr>
  </w:style>
  <w:style w:type="table" w:customStyle="1" w:styleId="TableGrid2">
    <w:name w:val="Table Grid2"/>
    <w:basedOn w:val="TableNormal"/>
    <w:next w:val="TableGrid"/>
    <w:uiPriority w:val="59"/>
    <w:rsid w:val="0009473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A9616F"/>
    <w:rPr>
      <w:lang w:val="fr-CA"/>
    </w:rPr>
  </w:style>
  <w:style w:type="paragraph" w:customStyle="1" w:styleId="SCCLsocPrefix">
    <w:name w:val="SCC.Lsoc.Prefix"/>
    <w:basedOn w:val="Normal"/>
    <w:next w:val="Normal"/>
    <w:link w:val="SCCLsocPrefixChar"/>
    <w:rsid w:val="00A9616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A9616F"/>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DBE52-B633-472D-821A-EFEE37AF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22761</Words>
  <Characters>129739</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2017-11-02T14:06:00Z</dcterms:created>
  <dcterms:modified xsi:type="dcterms:W3CDTF">2018-02-14T19:07:00Z</dcterms:modified>
</cp:coreProperties>
</file>