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RPr="00BA0FDE" w:rsidTr="00423C0D">
        <w:trPr>
          <w:trHeight w:val="1786"/>
        </w:trPr>
        <w:tc>
          <w:tcPr>
            <w:tcW w:w="5000" w:type="pct"/>
            <w:gridSpan w:val="4"/>
          </w:tcPr>
          <w:p w:rsidR="00423C0D" w:rsidRPr="00BA0FDE" w:rsidRDefault="00423C0D" w:rsidP="00A51442">
            <w:pPr>
              <w:pStyle w:val="SCCBold"/>
              <w:jc w:val="center"/>
            </w:pPr>
            <w:r w:rsidRPr="00BA0FDE">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BA0FDE" w:rsidRDefault="00423C0D" w:rsidP="009764CA">
            <w:pPr>
              <w:spacing w:before="120" w:after="100" w:afterAutospacing="1"/>
              <w:jc w:val="center"/>
              <w:rPr>
                <w:rFonts w:eastAsia="Calibri"/>
              </w:rPr>
            </w:pPr>
            <w:r w:rsidRPr="00BA0FDE">
              <w:rPr>
                <w:rFonts w:eastAsia="Calibri"/>
                <w:b/>
              </w:rPr>
              <w:t>COUR SUPRÊME DU CANADA</w:t>
            </w:r>
          </w:p>
        </w:tc>
      </w:tr>
      <w:tr w:rsidR="00D056AE" w:rsidRPr="00BA0FDE" w:rsidTr="00D056AE">
        <w:tblPrEx>
          <w:tblCellMar>
            <w:top w:w="58" w:type="dxa"/>
            <w:left w:w="58" w:type="dxa"/>
            <w:bottom w:w="58" w:type="dxa"/>
            <w:right w:w="58" w:type="dxa"/>
          </w:tblCellMar>
        </w:tblPrEx>
        <w:trPr>
          <w:cantSplit/>
        </w:trPr>
        <w:tc>
          <w:tcPr>
            <w:tcW w:w="2110" w:type="pct"/>
            <w:gridSpan w:val="2"/>
          </w:tcPr>
          <w:p w:rsidR="008215C3" w:rsidRPr="00BA0FDE" w:rsidRDefault="008215C3" w:rsidP="002F0B6C">
            <w:pPr>
              <w:rPr>
                <w:b/>
                <w:smallCaps/>
              </w:rPr>
            </w:pPr>
          </w:p>
          <w:p w:rsidR="00303489" w:rsidRPr="00BA0FDE" w:rsidRDefault="00D056AE" w:rsidP="00303489">
            <w:r w:rsidRPr="00BA0FDE">
              <w:rPr>
                <w:b/>
                <w:smallCaps/>
              </w:rPr>
              <w:t>Référence :</w:t>
            </w:r>
            <w:r w:rsidRPr="00BA0FDE">
              <w:t xml:space="preserve"> </w:t>
            </w:r>
            <w:bookmarkStart w:id="0" w:name="_MailEndCompose"/>
            <w:r w:rsidR="00303489" w:rsidRPr="00BA0FDE">
              <w:t xml:space="preserve">R. </w:t>
            </w:r>
            <w:r w:rsidR="00303489" w:rsidRPr="00BA0FDE">
              <w:rPr>
                <w:i/>
              </w:rPr>
              <w:t>c.</w:t>
            </w:r>
            <w:r w:rsidR="00303489" w:rsidRPr="00BA0FDE">
              <w:t xml:space="preserve"> </w:t>
            </w:r>
            <w:r w:rsidR="00FE3A25" w:rsidRPr="00BA0FDE">
              <w:t>Landry</w:t>
            </w:r>
            <w:r w:rsidR="00303489" w:rsidRPr="00BA0FDE">
              <w:t xml:space="preserve">, 2024 CSC </w:t>
            </w:r>
            <w:bookmarkEnd w:id="0"/>
            <w:r w:rsidR="00FE3A25" w:rsidRPr="00BA0FDE">
              <w:t>2</w:t>
            </w:r>
          </w:p>
          <w:p w:rsidR="00D056AE" w:rsidRPr="00BA0FDE" w:rsidRDefault="00D056AE" w:rsidP="002F0B6C">
            <w:pPr>
              <w:rPr>
                <w:b/>
                <w:smallCaps/>
              </w:rPr>
            </w:pPr>
          </w:p>
        </w:tc>
        <w:tc>
          <w:tcPr>
            <w:tcW w:w="780" w:type="pct"/>
          </w:tcPr>
          <w:p w:rsidR="00D056AE" w:rsidRPr="00BA0FDE" w:rsidRDefault="00D056AE" w:rsidP="002F0B6C"/>
        </w:tc>
        <w:tc>
          <w:tcPr>
            <w:tcW w:w="2109" w:type="pct"/>
          </w:tcPr>
          <w:p w:rsidR="00D056AE" w:rsidRPr="00BA0FDE" w:rsidRDefault="00D056AE" w:rsidP="00423C0D">
            <w:pPr>
              <w:jc w:val="both"/>
              <w:rPr>
                <w:b/>
                <w:smallCaps/>
              </w:rPr>
            </w:pPr>
          </w:p>
          <w:p w:rsidR="00D056AE" w:rsidRPr="00BA0FDE" w:rsidRDefault="00D056AE" w:rsidP="00423C0D">
            <w:pPr>
              <w:jc w:val="both"/>
            </w:pPr>
            <w:r w:rsidRPr="00BA0FDE">
              <w:rPr>
                <w:b/>
                <w:smallCaps/>
              </w:rPr>
              <w:t>Appel entendu :</w:t>
            </w:r>
            <w:r w:rsidRPr="00BA0FDE">
              <w:t xml:space="preserve"> </w:t>
            </w:r>
            <w:r w:rsidR="00FE3A25" w:rsidRPr="00BA0FDE">
              <w:t>17</w:t>
            </w:r>
            <w:r w:rsidR="00303489" w:rsidRPr="00BA0FDE">
              <w:t xml:space="preserve"> janvier 2024</w:t>
            </w:r>
          </w:p>
          <w:p w:rsidR="00D056AE" w:rsidRPr="00BA0FDE" w:rsidRDefault="00D056AE">
            <w:r w:rsidRPr="00BA0FDE">
              <w:rPr>
                <w:b/>
                <w:smallCaps/>
              </w:rPr>
              <w:t>Jugement rendu :</w:t>
            </w:r>
            <w:r w:rsidRPr="00BA0FDE">
              <w:t xml:space="preserve"> </w:t>
            </w:r>
            <w:r w:rsidR="00FE3A25" w:rsidRPr="00BA0FDE">
              <w:t>17</w:t>
            </w:r>
            <w:r w:rsidR="00303489" w:rsidRPr="00BA0FDE">
              <w:t xml:space="preserve"> janvier 2024</w:t>
            </w:r>
          </w:p>
          <w:p w:rsidR="00D056AE" w:rsidRPr="00BA0FDE" w:rsidRDefault="00D056AE" w:rsidP="002F0B6C">
            <w:r w:rsidRPr="00BA0FDE">
              <w:rPr>
                <w:b/>
                <w:smallCaps/>
              </w:rPr>
              <w:t>Dossier :</w:t>
            </w:r>
            <w:r w:rsidR="00FE3A25" w:rsidRPr="00BA0FDE">
              <w:t xml:space="preserve"> 40394</w:t>
            </w:r>
          </w:p>
        </w:tc>
      </w:tr>
      <w:tr w:rsidR="00423C0D" w:rsidRPr="00BA0FDE" w:rsidTr="00423C0D">
        <w:tblPrEx>
          <w:tblCellMar>
            <w:top w:w="58" w:type="dxa"/>
            <w:left w:w="58" w:type="dxa"/>
            <w:bottom w:w="58" w:type="dxa"/>
            <w:right w:w="58" w:type="dxa"/>
          </w:tblCellMar>
        </w:tblPrEx>
        <w:trPr>
          <w:cantSplit/>
        </w:trPr>
        <w:tc>
          <w:tcPr>
            <w:tcW w:w="5000" w:type="pct"/>
            <w:gridSpan w:val="4"/>
          </w:tcPr>
          <w:p w:rsidR="00423C0D" w:rsidRPr="00BA0FDE" w:rsidRDefault="00423C0D" w:rsidP="00423C0D"/>
          <w:p w:rsidR="00C911E5" w:rsidRPr="00BA0FDE" w:rsidRDefault="00303489">
            <w:pPr>
              <w:pStyle w:val="SCCLsocPrefix"/>
            </w:pPr>
            <w:r w:rsidRPr="00BA0FDE">
              <w:t>Entre </w:t>
            </w:r>
            <w:r w:rsidR="00F25A57" w:rsidRPr="00BA0FDE">
              <w:t>:</w:t>
            </w:r>
          </w:p>
          <w:p w:rsidR="00303489" w:rsidRPr="00BA0FDE" w:rsidRDefault="00303489" w:rsidP="00303489"/>
          <w:p w:rsidR="00FE3A25" w:rsidRPr="00BA0FDE" w:rsidRDefault="00FE3A25" w:rsidP="00FE3A25">
            <w:pPr>
              <w:pStyle w:val="SCCLsocParty"/>
            </w:pPr>
            <w:r w:rsidRPr="00BA0FDE">
              <w:t>Nicolas Landry</w:t>
            </w:r>
          </w:p>
          <w:p w:rsidR="00C911E5" w:rsidRPr="00BA0FDE" w:rsidRDefault="00303489">
            <w:pPr>
              <w:pStyle w:val="SCCLsocPartyRole"/>
            </w:pPr>
            <w:r w:rsidRPr="00BA0FDE">
              <w:t>Appelant</w:t>
            </w:r>
          </w:p>
          <w:p w:rsidR="00C911E5" w:rsidRPr="00BA0FDE" w:rsidRDefault="00C911E5"/>
          <w:p w:rsidR="00C911E5" w:rsidRPr="00BA0FDE" w:rsidRDefault="00303489">
            <w:pPr>
              <w:pStyle w:val="SCCLsocVersus"/>
            </w:pPr>
            <w:r w:rsidRPr="00BA0FDE">
              <w:t>et</w:t>
            </w:r>
          </w:p>
          <w:p w:rsidR="00C911E5" w:rsidRPr="00BA0FDE" w:rsidRDefault="00C911E5"/>
          <w:p w:rsidR="00FE3A25" w:rsidRPr="00BA0FDE" w:rsidRDefault="00FE3A25" w:rsidP="00FE3A25">
            <w:pPr>
              <w:pStyle w:val="SCCLsocParty"/>
            </w:pPr>
            <w:r w:rsidRPr="00BA0FDE">
              <w:t>Sa Majesté le Roi</w:t>
            </w:r>
          </w:p>
          <w:p w:rsidR="00C911E5" w:rsidRPr="00BA0FDE" w:rsidRDefault="00303489">
            <w:pPr>
              <w:pStyle w:val="SCCLsocPartyRole"/>
            </w:pPr>
            <w:r w:rsidRPr="00BA0FDE">
              <w:t>Intimé</w:t>
            </w:r>
          </w:p>
          <w:p w:rsidR="00C34313" w:rsidRPr="00BA0FDE" w:rsidRDefault="00C34313" w:rsidP="00423C0D"/>
          <w:p w:rsidR="00423C0D" w:rsidRPr="00BA0FDE" w:rsidRDefault="00423C0D" w:rsidP="00423C0D">
            <w:pPr>
              <w:jc w:val="center"/>
              <w:rPr>
                <w:b/>
                <w:smallCaps/>
              </w:rPr>
            </w:pPr>
          </w:p>
          <w:p w:rsidR="00423C0D" w:rsidRPr="00BA0FDE" w:rsidRDefault="00423C0D" w:rsidP="00423C0D"/>
          <w:p w:rsidR="00423C0D" w:rsidRPr="00BA0FDE" w:rsidRDefault="00423C0D" w:rsidP="00423C0D">
            <w:r w:rsidRPr="00BA0FDE">
              <w:rPr>
                <w:b/>
                <w:smallCaps/>
              </w:rPr>
              <w:t>Coram :</w:t>
            </w:r>
            <w:r w:rsidRPr="00BA0FDE">
              <w:t xml:space="preserve"> </w:t>
            </w:r>
            <w:r w:rsidR="00FE3A25" w:rsidRPr="00BA0FDE">
              <w:t>L</w:t>
            </w:r>
            <w:r w:rsidR="00303489" w:rsidRPr="00BA0FDE">
              <w:t xml:space="preserve">es juges Karakatsanis, </w:t>
            </w:r>
            <w:r w:rsidR="00FE3A25" w:rsidRPr="00BA0FDE">
              <w:t>Côté, Kasirer, O’Bonsawin et Moreau</w:t>
            </w:r>
          </w:p>
          <w:p w:rsidR="00423C0D" w:rsidRPr="00BA0FDE" w:rsidRDefault="00423C0D" w:rsidP="00423C0D">
            <w:pPr>
              <w:jc w:val="both"/>
              <w:rPr>
                <w:b/>
                <w:smallCaps/>
              </w:rPr>
            </w:pPr>
          </w:p>
        </w:tc>
      </w:tr>
      <w:tr w:rsidR="004E69EC" w:rsidRPr="00BA0FDE" w:rsidTr="00D056AE">
        <w:tblPrEx>
          <w:tblCellMar>
            <w:top w:w="58" w:type="dxa"/>
            <w:left w:w="58" w:type="dxa"/>
            <w:bottom w:w="58" w:type="dxa"/>
            <w:right w:w="58" w:type="dxa"/>
          </w:tblCellMar>
        </w:tblPrEx>
        <w:trPr>
          <w:cantSplit/>
        </w:trPr>
        <w:tc>
          <w:tcPr>
            <w:tcW w:w="1251" w:type="pct"/>
          </w:tcPr>
          <w:p w:rsidR="00303489" w:rsidRPr="00BA0FDE" w:rsidRDefault="00303489" w:rsidP="00303489">
            <w:pPr>
              <w:rPr>
                <w:b/>
              </w:rPr>
            </w:pPr>
            <w:r w:rsidRPr="00BA0FDE">
              <w:rPr>
                <w:b/>
                <w:smallCaps/>
              </w:rPr>
              <w:t>Jugement lu par</w:t>
            </w:r>
            <w:r w:rsidRPr="00BA0FDE">
              <w:rPr>
                <w:b/>
              </w:rPr>
              <w:t> :</w:t>
            </w:r>
          </w:p>
          <w:p w:rsidR="00303489" w:rsidRPr="00BA0FDE" w:rsidRDefault="00303489" w:rsidP="00303489">
            <w:r w:rsidRPr="00BA0FDE">
              <w:t>(par. </w:t>
            </w:r>
            <w:r w:rsidR="00F25A57" w:rsidRPr="00BA0FDE">
              <w:t>1</w:t>
            </w:r>
            <w:r w:rsidRPr="00BA0FDE">
              <w:t xml:space="preserve"> à </w:t>
            </w:r>
            <w:r w:rsidR="00311B72" w:rsidRPr="00BA0FDE">
              <w:t>4</w:t>
            </w:r>
            <w:r w:rsidRPr="00BA0FDE">
              <w:t>)</w:t>
            </w:r>
          </w:p>
          <w:p w:rsidR="004E69EC" w:rsidRPr="00BA0FDE" w:rsidRDefault="004E69EC" w:rsidP="002F0B6C"/>
        </w:tc>
        <w:tc>
          <w:tcPr>
            <w:tcW w:w="3749" w:type="pct"/>
            <w:gridSpan w:val="3"/>
          </w:tcPr>
          <w:p w:rsidR="004E69EC" w:rsidRPr="00BA0FDE" w:rsidRDefault="00FE3A25">
            <w:r w:rsidRPr="00BA0FDE">
              <w:t>La juge Karakatsanis</w:t>
            </w:r>
          </w:p>
        </w:tc>
      </w:tr>
      <w:tr w:rsidR="00303489" w:rsidRPr="00BA0FDE" w:rsidTr="00D056AE">
        <w:tblPrEx>
          <w:tblCellMar>
            <w:top w:w="58" w:type="dxa"/>
            <w:left w:w="58" w:type="dxa"/>
            <w:bottom w:w="58" w:type="dxa"/>
            <w:right w:w="58" w:type="dxa"/>
          </w:tblCellMar>
        </w:tblPrEx>
        <w:trPr>
          <w:cantSplit/>
        </w:trPr>
        <w:tc>
          <w:tcPr>
            <w:tcW w:w="1251" w:type="pct"/>
          </w:tcPr>
          <w:p w:rsidR="00303489" w:rsidRPr="00BA0FDE" w:rsidRDefault="00303489" w:rsidP="00303489">
            <w:pPr>
              <w:rPr>
                <w:b/>
                <w:smallCaps/>
              </w:rPr>
            </w:pPr>
            <w:r w:rsidRPr="00BA0FDE">
              <w:rPr>
                <w:b/>
                <w:smallCaps/>
              </w:rPr>
              <w:t>Majorité :</w:t>
            </w:r>
          </w:p>
        </w:tc>
        <w:tc>
          <w:tcPr>
            <w:tcW w:w="3749" w:type="pct"/>
            <w:gridSpan w:val="3"/>
          </w:tcPr>
          <w:p w:rsidR="00303489" w:rsidRPr="00BA0FDE" w:rsidRDefault="00FE3A25" w:rsidP="00303489">
            <w:r w:rsidRPr="00BA0FDE">
              <w:t>L</w:t>
            </w:r>
            <w:r w:rsidR="00021689" w:rsidRPr="00BA0FDE">
              <w:t xml:space="preserve">es juges Karakatsanis, </w:t>
            </w:r>
            <w:r w:rsidRPr="00BA0FDE">
              <w:t>Kasirer, O’Bonsawin et Moreau</w:t>
            </w:r>
          </w:p>
          <w:p w:rsidR="00303489" w:rsidRPr="00BA0FDE" w:rsidRDefault="00303489" w:rsidP="00303489"/>
        </w:tc>
      </w:tr>
      <w:tr w:rsidR="00303489" w:rsidRPr="00BA0FDE" w:rsidTr="00D056AE">
        <w:tblPrEx>
          <w:tblCellMar>
            <w:top w:w="58" w:type="dxa"/>
            <w:left w:w="58" w:type="dxa"/>
            <w:bottom w:w="58" w:type="dxa"/>
            <w:right w:w="58" w:type="dxa"/>
          </w:tblCellMar>
        </w:tblPrEx>
        <w:trPr>
          <w:cantSplit/>
        </w:trPr>
        <w:tc>
          <w:tcPr>
            <w:tcW w:w="1251" w:type="pct"/>
          </w:tcPr>
          <w:p w:rsidR="00303489" w:rsidRPr="00BA0FDE" w:rsidRDefault="00303489" w:rsidP="00303489">
            <w:pPr>
              <w:rPr>
                <w:b/>
                <w:smallCaps/>
              </w:rPr>
            </w:pPr>
            <w:r w:rsidRPr="00BA0FDE">
              <w:rPr>
                <w:b/>
                <w:smallCaps/>
              </w:rPr>
              <w:t>Dissidence :</w:t>
            </w:r>
          </w:p>
          <w:p w:rsidR="00303489" w:rsidRPr="00BA0FDE" w:rsidRDefault="00303489" w:rsidP="00303489">
            <w:pPr>
              <w:rPr>
                <w:b/>
                <w:smallCaps/>
              </w:rPr>
            </w:pPr>
          </w:p>
        </w:tc>
        <w:tc>
          <w:tcPr>
            <w:tcW w:w="3749" w:type="pct"/>
            <w:gridSpan w:val="3"/>
          </w:tcPr>
          <w:p w:rsidR="00303489" w:rsidRPr="00BA0FDE" w:rsidRDefault="00303489" w:rsidP="00FE3A25">
            <w:r w:rsidRPr="00BA0FDE">
              <w:t xml:space="preserve">La juge </w:t>
            </w:r>
            <w:r w:rsidR="00FE3A25" w:rsidRPr="00BA0FDE">
              <w:rPr>
                <w:lang w:val="en-CA"/>
              </w:rPr>
              <w:t>Côté</w:t>
            </w:r>
          </w:p>
        </w:tc>
      </w:tr>
      <w:tr w:rsidR="00303489" w:rsidRPr="00BA0FDE" w:rsidTr="00271D16">
        <w:tblPrEx>
          <w:tblCellMar>
            <w:top w:w="58" w:type="dxa"/>
            <w:left w:w="58" w:type="dxa"/>
            <w:bottom w:w="58" w:type="dxa"/>
            <w:right w:w="58" w:type="dxa"/>
          </w:tblCellMar>
        </w:tblPrEx>
        <w:trPr>
          <w:cantSplit/>
        </w:trPr>
        <w:tc>
          <w:tcPr>
            <w:tcW w:w="1" w:type="pct"/>
            <w:gridSpan w:val="4"/>
          </w:tcPr>
          <w:p w:rsidR="00303489" w:rsidRPr="00BA0FDE" w:rsidRDefault="00303489" w:rsidP="003F3AA5">
            <w:pPr>
              <w:rPr>
                <w:b/>
              </w:rPr>
            </w:pPr>
          </w:p>
        </w:tc>
      </w:tr>
    </w:tbl>
    <w:p w:rsidR="00C911E5" w:rsidRPr="00BA0FDE" w:rsidRDefault="00C911E5"/>
    <w:p w:rsidR="00904937" w:rsidRPr="00BA0FDE" w:rsidRDefault="00904937">
      <w:r w:rsidRPr="00BA0FDE">
        <w:rPr>
          <w:b/>
          <w:smallCaps/>
        </w:rPr>
        <w:t>Note</w:t>
      </w:r>
      <w:r w:rsidR="002F0B6C" w:rsidRPr="00BA0FDE">
        <w:rPr>
          <w:b/>
          <w:smallCaps/>
        </w:rPr>
        <w:t> :</w:t>
      </w:r>
      <w:r w:rsidRPr="00BA0FDE">
        <w:rPr>
          <w:b/>
        </w:rPr>
        <w:t xml:space="preserve"> </w:t>
      </w:r>
      <w:r w:rsidR="001E12E2" w:rsidRPr="00BA0FDE">
        <w:t>Ce document fera l’objet de retouches de forme avant la parution</w:t>
      </w:r>
      <w:r w:rsidR="005C0397" w:rsidRPr="00BA0FDE">
        <w:t xml:space="preserve"> </w:t>
      </w:r>
      <w:r w:rsidR="001E12E2" w:rsidRPr="00BA0FDE">
        <w:t>de sa version définitive dans le</w:t>
      </w:r>
      <w:r w:rsidRPr="00BA0FDE">
        <w:t xml:space="preserve"> </w:t>
      </w:r>
      <w:r w:rsidR="001E12E2" w:rsidRPr="00BA0FDE">
        <w:rPr>
          <w:i/>
        </w:rPr>
        <w:t>Recueil des arrêts de la Cour suprême du C</w:t>
      </w:r>
      <w:r w:rsidRPr="00BA0FDE">
        <w:rPr>
          <w:i/>
        </w:rPr>
        <w:t>anada</w:t>
      </w:r>
      <w:r w:rsidRPr="00BA0FD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BA0FDE" w:rsidTr="003375C9">
        <w:tc>
          <w:tcPr>
            <w:tcW w:w="1500" w:type="pct"/>
            <w:tcMar>
              <w:top w:w="284" w:type="dxa"/>
            </w:tcMar>
          </w:tcPr>
          <w:p w:rsidR="000D1436" w:rsidRPr="00BA0FDE" w:rsidRDefault="000D1436" w:rsidP="003375C9">
            <w:pPr>
              <w:rPr>
                <w:rFonts w:eastAsia="Calibri"/>
              </w:rPr>
            </w:pPr>
          </w:p>
        </w:tc>
        <w:tc>
          <w:tcPr>
            <w:tcW w:w="2000" w:type="pct"/>
            <w:tcBorders>
              <w:bottom w:val="single" w:sz="4" w:space="0" w:color="auto"/>
            </w:tcBorders>
            <w:tcMar>
              <w:top w:w="284" w:type="dxa"/>
            </w:tcMar>
          </w:tcPr>
          <w:p w:rsidR="000D1436" w:rsidRPr="00BA0FDE" w:rsidRDefault="000D1436" w:rsidP="003375C9">
            <w:pPr>
              <w:rPr>
                <w:rFonts w:eastAsia="Calibri"/>
              </w:rPr>
            </w:pPr>
          </w:p>
        </w:tc>
        <w:tc>
          <w:tcPr>
            <w:tcW w:w="1500" w:type="pct"/>
            <w:tcMar>
              <w:top w:w="284" w:type="dxa"/>
            </w:tcMar>
          </w:tcPr>
          <w:p w:rsidR="000D1436" w:rsidRPr="00BA0FDE" w:rsidRDefault="000D1436" w:rsidP="003375C9">
            <w:pPr>
              <w:rPr>
                <w:rFonts w:eastAsia="Calibri"/>
              </w:rPr>
            </w:pPr>
          </w:p>
        </w:tc>
      </w:tr>
    </w:tbl>
    <w:p w:rsidR="00BA0FDE" w:rsidRDefault="00BA0FDE" w:rsidP="003F3AA5"/>
    <w:p w:rsidR="003F3AA5" w:rsidRPr="003F3AA5" w:rsidRDefault="003F3AA5" w:rsidP="003F3AA5">
      <w:pPr>
        <w:tabs>
          <w:tab w:val="right" w:pos="8222"/>
        </w:tabs>
        <w:spacing w:after="720"/>
        <w:rPr>
          <w:rFonts w:eastAsia="Times New Roman" w:cs="Times New Roman"/>
          <w:b/>
          <w:szCs w:val="20"/>
          <w:lang w:eastAsia="en-CA"/>
        </w:rPr>
      </w:pPr>
      <w:r w:rsidRPr="003F3AA5">
        <w:rPr>
          <w:rFonts w:eastAsia="Times New Roman" w:cs="Times New Roman"/>
          <w:b/>
          <w:szCs w:val="20"/>
          <w:lang w:eastAsia="en-CA"/>
        </w:rPr>
        <w:lastRenderedPageBreak/>
        <w:t>Nicolas Landry</w:t>
      </w:r>
      <w:r w:rsidRPr="003F3AA5">
        <w:rPr>
          <w:rFonts w:eastAsia="Times New Roman" w:cs="Times New Roman"/>
          <w:i/>
          <w:szCs w:val="20"/>
          <w:lang w:eastAsia="en-CA"/>
        </w:rPr>
        <w:tab/>
        <w:t>Appelant</w:t>
      </w:r>
    </w:p>
    <w:p w:rsidR="003F3AA5" w:rsidRPr="003F3AA5" w:rsidRDefault="003F3AA5" w:rsidP="003F3AA5">
      <w:pPr>
        <w:spacing w:after="720"/>
        <w:rPr>
          <w:rFonts w:eastAsia="Times New Roman" w:cs="Times New Roman"/>
          <w:i/>
          <w:szCs w:val="20"/>
          <w:lang w:eastAsia="en-CA"/>
        </w:rPr>
      </w:pPr>
      <w:proofErr w:type="gramStart"/>
      <w:r w:rsidRPr="003F3AA5">
        <w:rPr>
          <w:rFonts w:eastAsia="Times New Roman" w:cs="Times New Roman"/>
          <w:i/>
          <w:szCs w:val="20"/>
          <w:lang w:eastAsia="en-CA"/>
        </w:rPr>
        <w:t>c</w:t>
      </w:r>
      <w:proofErr w:type="gramEnd"/>
      <w:r w:rsidRPr="003F3AA5">
        <w:rPr>
          <w:rFonts w:eastAsia="Times New Roman" w:cs="Times New Roman"/>
          <w:i/>
          <w:szCs w:val="20"/>
          <w:lang w:eastAsia="en-CA"/>
        </w:rPr>
        <w:t>.</w:t>
      </w:r>
    </w:p>
    <w:p w:rsidR="003F3AA5" w:rsidRPr="003F3AA5" w:rsidRDefault="003F3AA5" w:rsidP="003F3AA5">
      <w:pPr>
        <w:tabs>
          <w:tab w:val="right" w:pos="8222"/>
        </w:tabs>
        <w:spacing w:after="720"/>
        <w:rPr>
          <w:rFonts w:eastAsia="Times New Roman" w:cs="Times New Roman"/>
          <w:b/>
          <w:szCs w:val="20"/>
          <w:lang w:eastAsia="en-CA"/>
        </w:rPr>
      </w:pPr>
      <w:r w:rsidRPr="003F3AA5">
        <w:rPr>
          <w:rFonts w:eastAsia="Times New Roman" w:cs="Times New Roman"/>
          <w:b/>
          <w:szCs w:val="20"/>
          <w:lang w:eastAsia="en-CA"/>
        </w:rPr>
        <w:t>Sa Majesté le Roi</w:t>
      </w:r>
      <w:r w:rsidRPr="003F3AA5">
        <w:rPr>
          <w:rFonts w:eastAsia="Times New Roman" w:cs="Times New Roman"/>
          <w:i/>
          <w:szCs w:val="20"/>
          <w:lang w:eastAsia="en-CA"/>
        </w:rPr>
        <w:tab/>
        <w:t>Intimé</w:t>
      </w:r>
    </w:p>
    <w:p w:rsidR="003F3AA5" w:rsidRPr="003F3AA5" w:rsidRDefault="003F3AA5" w:rsidP="003F3AA5">
      <w:pPr>
        <w:spacing w:after="720"/>
        <w:jc w:val="both"/>
        <w:rPr>
          <w:rFonts w:eastAsia="Times New Roman" w:cs="Times New Roman"/>
          <w:b/>
          <w:szCs w:val="20"/>
          <w:lang w:eastAsia="en-CA"/>
        </w:rPr>
      </w:pPr>
      <w:r w:rsidRPr="003F3AA5">
        <w:rPr>
          <w:rFonts w:eastAsia="Times New Roman" w:cs="Times New Roman"/>
          <w:b/>
          <w:szCs w:val="20"/>
          <w:lang w:eastAsia="en-CA"/>
        </w:rPr>
        <w:t xml:space="preserve">Répertorié : R. </w:t>
      </w:r>
      <w:r w:rsidRPr="003F3AA5">
        <w:rPr>
          <w:rFonts w:eastAsia="Times New Roman" w:cs="Times New Roman"/>
          <w:b/>
          <w:i/>
          <w:szCs w:val="20"/>
          <w:lang w:eastAsia="en-CA"/>
        </w:rPr>
        <w:t>c.</w:t>
      </w:r>
      <w:r w:rsidRPr="003F3AA5">
        <w:rPr>
          <w:rFonts w:eastAsia="Times New Roman" w:cs="Times New Roman"/>
          <w:b/>
          <w:szCs w:val="20"/>
          <w:lang w:eastAsia="en-CA"/>
        </w:rPr>
        <w:t xml:space="preserve"> Landry</w:t>
      </w:r>
    </w:p>
    <w:p w:rsidR="003F3AA5" w:rsidRPr="003F3AA5" w:rsidRDefault="003F3AA5" w:rsidP="003F3AA5">
      <w:pPr>
        <w:spacing w:after="720"/>
        <w:jc w:val="both"/>
        <w:rPr>
          <w:rFonts w:eastAsia="Times New Roman" w:cs="Times New Roman"/>
          <w:b/>
          <w:szCs w:val="20"/>
          <w:lang w:eastAsia="en-CA"/>
        </w:rPr>
      </w:pPr>
      <w:r w:rsidRPr="003F3AA5">
        <w:rPr>
          <w:rFonts w:eastAsia="Times New Roman" w:cs="Times New Roman"/>
          <w:b/>
          <w:szCs w:val="20"/>
          <w:lang w:eastAsia="en-CA"/>
        </w:rPr>
        <w:t>2024 CSC 2</w:t>
      </w:r>
    </w:p>
    <w:p w:rsidR="003F3AA5" w:rsidRPr="003F3AA5" w:rsidRDefault="003F3AA5" w:rsidP="003F3AA5">
      <w:pPr>
        <w:spacing w:after="720"/>
        <w:jc w:val="both"/>
        <w:rPr>
          <w:rFonts w:eastAsia="Times New Roman" w:cs="Times New Roman"/>
          <w:szCs w:val="20"/>
          <w:lang w:eastAsia="en-CA"/>
        </w:rPr>
      </w:pPr>
      <w:r w:rsidRPr="003F3AA5">
        <w:rPr>
          <w:rFonts w:eastAsia="Times New Roman" w:cs="Times New Roman"/>
          <w:szCs w:val="20"/>
          <w:lang w:eastAsia="en-CA"/>
        </w:rPr>
        <w:t>N</w:t>
      </w:r>
      <w:r w:rsidRPr="003F3AA5">
        <w:rPr>
          <w:rFonts w:eastAsia="Times New Roman" w:cs="Times New Roman"/>
          <w:szCs w:val="20"/>
          <w:vertAlign w:val="superscript"/>
          <w:lang w:eastAsia="en-CA"/>
        </w:rPr>
        <w:t>o</w:t>
      </w:r>
      <w:r w:rsidRPr="003F3AA5">
        <w:rPr>
          <w:rFonts w:eastAsia="Times New Roman" w:cs="Times New Roman"/>
          <w:szCs w:val="20"/>
          <w:lang w:eastAsia="en-CA"/>
        </w:rPr>
        <w:t xml:space="preserve"> du greffe : 40394.</w:t>
      </w:r>
    </w:p>
    <w:p w:rsidR="003F3AA5" w:rsidRPr="003F3AA5" w:rsidRDefault="003F3AA5" w:rsidP="003F3AA5">
      <w:pPr>
        <w:spacing w:after="720"/>
        <w:jc w:val="both"/>
        <w:rPr>
          <w:rFonts w:eastAsia="Times New Roman" w:cs="Times New Roman"/>
          <w:szCs w:val="20"/>
          <w:lang w:eastAsia="en-CA"/>
        </w:rPr>
      </w:pPr>
      <w:r w:rsidRPr="003F3AA5">
        <w:rPr>
          <w:rFonts w:eastAsia="Times New Roman" w:cs="Times New Roman"/>
          <w:szCs w:val="20"/>
          <w:lang w:eastAsia="en-CA"/>
        </w:rPr>
        <w:t>2024 : 17 janvier.</w:t>
      </w:r>
    </w:p>
    <w:p w:rsidR="003F3AA5" w:rsidRPr="003F3AA5" w:rsidRDefault="003F3AA5" w:rsidP="003F3AA5">
      <w:pPr>
        <w:spacing w:after="720"/>
        <w:jc w:val="both"/>
        <w:rPr>
          <w:rFonts w:eastAsia="Times New Roman" w:cs="Times New Roman"/>
          <w:szCs w:val="20"/>
          <w:lang w:eastAsia="en-CA"/>
        </w:rPr>
      </w:pPr>
      <w:r w:rsidRPr="003F3AA5">
        <w:rPr>
          <w:rFonts w:eastAsia="Times New Roman" w:cs="Times New Roman"/>
          <w:szCs w:val="20"/>
          <w:lang w:eastAsia="en-CA"/>
        </w:rPr>
        <w:t xml:space="preserve">Présents : Les juges </w:t>
      </w:r>
      <w:proofErr w:type="spellStart"/>
      <w:r w:rsidRPr="003F3AA5">
        <w:rPr>
          <w:rFonts w:eastAsia="Times New Roman" w:cs="Times New Roman"/>
          <w:szCs w:val="20"/>
          <w:lang w:eastAsia="en-CA"/>
        </w:rPr>
        <w:t>Karakatsanis</w:t>
      </w:r>
      <w:proofErr w:type="spellEnd"/>
      <w:r w:rsidRPr="003F3AA5">
        <w:rPr>
          <w:rFonts w:eastAsia="Times New Roman" w:cs="Times New Roman"/>
          <w:szCs w:val="20"/>
          <w:lang w:eastAsia="en-CA"/>
        </w:rPr>
        <w:t xml:space="preserve">, Côté, </w:t>
      </w:r>
      <w:proofErr w:type="spellStart"/>
      <w:r w:rsidRPr="003F3AA5">
        <w:rPr>
          <w:rFonts w:eastAsia="Times New Roman" w:cs="Times New Roman"/>
          <w:szCs w:val="20"/>
          <w:lang w:eastAsia="en-CA"/>
        </w:rPr>
        <w:t>Kasirer</w:t>
      </w:r>
      <w:proofErr w:type="spellEnd"/>
      <w:r w:rsidRPr="003F3AA5">
        <w:rPr>
          <w:rFonts w:eastAsia="Times New Roman" w:cs="Times New Roman"/>
          <w:szCs w:val="20"/>
          <w:lang w:eastAsia="en-CA"/>
        </w:rPr>
        <w:t xml:space="preserve">, </w:t>
      </w:r>
      <w:proofErr w:type="spellStart"/>
      <w:r w:rsidRPr="003F3AA5">
        <w:rPr>
          <w:rFonts w:eastAsia="Times New Roman" w:cs="Times New Roman"/>
          <w:szCs w:val="20"/>
          <w:lang w:eastAsia="en-CA"/>
        </w:rPr>
        <w:t>O’Bonsawin</w:t>
      </w:r>
      <w:proofErr w:type="spellEnd"/>
      <w:r w:rsidRPr="003F3AA5">
        <w:rPr>
          <w:rFonts w:eastAsia="Times New Roman" w:cs="Times New Roman"/>
          <w:szCs w:val="20"/>
          <w:lang w:eastAsia="en-CA"/>
        </w:rPr>
        <w:t xml:space="preserve"> et Moreau.</w:t>
      </w:r>
    </w:p>
    <w:p w:rsidR="003F3AA5" w:rsidRPr="003F3AA5" w:rsidRDefault="003F3AA5" w:rsidP="003F3AA5">
      <w:pPr>
        <w:spacing w:after="720"/>
        <w:jc w:val="both"/>
        <w:rPr>
          <w:rFonts w:eastAsia="Times New Roman" w:cs="Times New Roman"/>
          <w:smallCaps/>
          <w:szCs w:val="20"/>
          <w:lang w:eastAsia="en-CA"/>
        </w:rPr>
      </w:pPr>
      <w:r w:rsidRPr="003F3AA5">
        <w:rPr>
          <w:rFonts w:eastAsia="Times New Roman" w:cs="Times New Roman"/>
          <w:smallCaps/>
          <w:szCs w:val="20"/>
          <w:lang w:eastAsia="en-CA"/>
        </w:rPr>
        <w:t xml:space="preserve">en appel de la cour d’appel du </w:t>
      </w:r>
      <w:proofErr w:type="spellStart"/>
      <w:r w:rsidRPr="003F3AA5">
        <w:rPr>
          <w:rFonts w:eastAsia="Times New Roman" w:cs="Times New Roman"/>
          <w:smallCaps/>
          <w:szCs w:val="20"/>
          <w:lang w:eastAsia="en-CA"/>
        </w:rPr>
        <w:t>québec</w:t>
      </w:r>
      <w:proofErr w:type="spellEnd"/>
    </w:p>
    <w:p w:rsidR="003F3AA5" w:rsidRPr="003F3AA5" w:rsidRDefault="003F3AA5" w:rsidP="003F3AA5">
      <w:pPr>
        <w:tabs>
          <w:tab w:val="left" w:pos="1168"/>
        </w:tabs>
        <w:spacing w:after="480" w:line="480" w:lineRule="auto"/>
        <w:jc w:val="both"/>
        <w:rPr>
          <w:rFonts w:eastAsia="Times New Roman" w:cs="Times New Roman"/>
          <w:i/>
          <w:szCs w:val="20"/>
          <w:lang w:eastAsia="en-CA"/>
        </w:rPr>
      </w:pPr>
      <w:r w:rsidRPr="003F3AA5">
        <w:rPr>
          <w:rFonts w:eastAsia="Times New Roman" w:cs="Times New Roman"/>
          <w:i/>
          <w:szCs w:val="20"/>
          <w:lang w:eastAsia="en-CA"/>
        </w:rPr>
        <w:tab/>
        <w:t>Droit criminel — Fraude — Éléments de l’infraction — Privation — Lien de causalité — Policier déclaré coupable d’avoir fraudé son employeur en le frustrant d’une somme d’argent dépassant cinq mille dollars — Conclusion du juge du procès portant que l’accusé a menti et a omis volontairement de fournir certaines informations lors d’une évaluation par un médecin</w:t>
      </w:r>
      <w:r w:rsidRPr="003F3AA5">
        <w:rPr>
          <w:rFonts w:eastAsia="Times New Roman" w:cs="Times New Roman"/>
          <w:i/>
          <w:szCs w:val="20"/>
          <w:lang w:eastAsia="en-CA"/>
        </w:rPr>
        <w:noBreakHyphen/>
        <w:t xml:space="preserve">arbitre responsable de la décision finale quant à son diagnostic d’invalidité dans un dessein caché ayant pour effet de priver ou de risquer de priver l’employeur de ce qui lui appartenait, et qu’en raison d’un lien de causalité suffisant l’accusé savait subjectivement que ses actes malhonnêtes mèneraient à une privation de l’employeur — Déclaration de culpabilité confirmée par les juges majoritaires de la Cour d’appel — Opinion de la juge dissidente portant que le juge du procès a fait erreur en concluant à l’existence d’une privation et qu’un verdict de culpabilité pour tentative de fraude s’imposait </w:t>
      </w:r>
      <w:r w:rsidRPr="003F3AA5">
        <w:rPr>
          <w:rFonts w:eastAsia="Times New Roman" w:cs="Times New Roman"/>
          <w:szCs w:val="20"/>
          <w:lang w:eastAsia="en-CA"/>
        </w:rPr>
        <w:t>—</w:t>
      </w:r>
      <w:r w:rsidRPr="003F3AA5">
        <w:rPr>
          <w:rFonts w:eastAsia="Times New Roman" w:cs="Times New Roman"/>
          <w:i/>
          <w:szCs w:val="20"/>
          <w:lang w:eastAsia="en-CA"/>
        </w:rPr>
        <w:t xml:space="preserve"> Déclaration de culpabilité confirmée.</w:t>
      </w:r>
    </w:p>
    <w:p w:rsidR="003F3AA5" w:rsidRPr="003F3AA5" w:rsidRDefault="003F3AA5" w:rsidP="003F3AA5">
      <w:pPr>
        <w:tabs>
          <w:tab w:val="left" w:pos="1168"/>
        </w:tabs>
        <w:spacing w:after="480" w:line="480" w:lineRule="auto"/>
        <w:jc w:val="both"/>
        <w:rPr>
          <w:rFonts w:eastAsia="Times New Roman" w:cs="Times New Roman"/>
          <w:i/>
          <w:szCs w:val="20"/>
          <w:lang w:eastAsia="en-CA"/>
        </w:rPr>
      </w:pPr>
      <w:r w:rsidRPr="003F3AA5">
        <w:rPr>
          <w:rFonts w:eastAsia="Times New Roman" w:cs="Times New Roman"/>
          <w:i/>
          <w:szCs w:val="20"/>
          <w:lang w:eastAsia="en-CA"/>
        </w:rPr>
        <w:tab/>
        <w:t xml:space="preserve">Droit criminel — Appels — Appels à la Cour suprême du Canada — Appel de plein droit — Dissidence sur une question de droit — Déclaration de culpabilité pour fraude prononcée contre l’accusé par le juge du procès et confirmée par les juges majoritaires de la Cour d’appel — Opinion de la juge dissidente de la Cour d’appel portant qu’un verdict de culpabilité pour tentative de fraude devrait être substitué au verdict de culpabilité pour fraude — L’opinion de la juge dissidente étant un désaccord qui influence le résultat, l’appel est un appel de plein droit </w:t>
      </w:r>
      <w:r w:rsidRPr="003F3AA5">
        <w:rPr>
          <w:i/>
        </w:rPr>
        <w:t>à l’encontre d’un arrêt ayant fait l’objet d’une dissidence sur une question de droit</w:t>
      </w:r>
      <w:r w:rsidRPr="003F3AA5">
        <w:rPr>
          <w:rFonts w:eastAsia="Times New Roman" w:cs="Times New Roman"/>
          <w:i/>
          <w:szCs w:val="20"/>
          <w:lang w:eastAsia="en-CA"/>
        </w:rPr>
        <w:t>.</w:t>
      </w:r>
    </w:p>
    <w:p w:rsidR="003F3AA5" w:rsidRPr="003F3AA5" w:rsidRDefault="003F3AA5" w:rsidP="003F3AA5">
      <w:pPr>
        <w:widowControl w:val="0"/>
        <w:tabs>
          <w:tab w:val="left" w:pos="1168"/>
        </w:tabs>
        <w:spacing w:after="720"/>
        <w:jc w:val="both"/>
        <w:rPr>
          <w:rFonts w:eastAsia="Times New Roman" w:cs="Times New Roman"/>
          <w:b/>
          <w:szCs w:val="20"/>
          <w:lang w:eastAsia="en-CA"/>
        </w:rPr>
      </w:pPr>
      <w:r w:rsidRPr="003F3AA5">
        <w:rPr>
          <w:rFonts w:eastAsia="Times New Roman" w:cs="Times New Roman"/>
          <w:b/>
          <w:szCs w:val="20"/>
          <w:lang w:eastAsia="en-CA"/>
        </w:rPr>
        <w:t>Jurisprudence</w:t>
      </w:r>
    </w:p>
    <w:p w:rsidR="003F3AA5" w:rsidRPr="003F3AA5" w:rsidRDefault="003F3AA5" w:rsidP="003F3AA5">
      <w:pPr>
        <w:widowControl w:val="0"/>
        <w:tabs>
          <w:tab w:val="left" w:pos="1168"/>
        </w:tabs>
        <w:spacing w:after="480" w:line="480" w:lineRule="auto"/>
        <w:jc w:val="both"/>
        <w:rPr>
          <w:rFonts w:eastAsia="Times New Roman" w:cs="Times New Roman"/>
          <w:szCs w:val="20"/>
          <w:lang w:eastAsia="en-CA"/>
        </w:rPr>
      </w:pPr>
      <w:r w:rsidRPr="003F3AA5">
        <w:rPr>
          <w:rFonts w:eastAsia="Times New Roman" w:cs="Times New Roman"/>
          <w:szCs w:val="20"/>
          <w:lang w:eastAsia="en-CA"/>
        </w:rPr>
        <w:tab/>
      </w:r>
      <w:r w:rsidRPr="003F3AA5">
        <w:rPr>
          <w:rFonts w:eastAsia="Times New Roman" w:cs="Times New Roman"/>
          <w:b/>
          <w:szCs w:val="20"/>
          <w:lang w:eastAsia="en-CA"/>
        </w:rPr>
        <w:t>Arrêt mentionné :</w:t>
      </w:r>
      <w:r w:rsidRPr="003F3AA5">
        <w:rPr>
          <w:rFonts w:eastAsia="Times New Roman" w:cs="Times New Roman"/>
          <w:szCs w:val="20"/>
          <w:lang w:eastAsia="en-CA"/>
        </w:rPr>
        <w:t xml:space="preserve"> </w:t>
      </w:r>
      <w:r w:rsidRPr="003F3AA5">
        <w:rPr>
          <w:rFonts w:eastAsia="Times New Roman" w:cs="Times New Roman"/>
          <w:i/>
          <w:szCs w:val="20"/>
          <w:lang w:eastAsia="en-CA"/>
        </w:rPr>
        <w:t>R. c. D’</w:t>
      </w:r>
      <w:proofErr w:type="spellStart"/>
      <w:r w:rsidRPr="003F3AA5">
        <w:rPr>
          <w:rFonts w:eastAsia="Times New Roman" w:cs="Times New Roman"/>
          <w:i/>
          <w:szCs w:val="20"/>
          <w:lang w:eastAsia="en-CA"/>
        </w:rPr>
        <w:t>Amico</w:t>
      </w:r>
      <w:proofErr w:type="spellEnd"/>
      <w:r w:rsidRPr="003F3AA5">
        <w:rPr>
          <w:rFonts w:eastAsia="Times New Roman" w:cs="Times New Roman"/>
          <w:szCs w:val="20"/>
          <w:lang w:eastAsia="en-CA"/>
        </w:rPr>
        <w:t xml:space="preserve">, 2019 CSC 23, [2019] 2 </w:t>
      </w:r>
      <w:proofErr w:type="spellStart"/>
      <w:r w:rsidRPr="003F3AA5">
        <w:rPr>
          <w:rFonts w:eastAsia="Times New Roman" w:cs="Times New Roman"/>
          <w:szCs w:val="20"/>
          <w:lang w:eastAsia="en-CA"/>
        </w:rPr>
        <w:t>R.C.S</w:t>
      </w:r>
      <w:proofErr w:type="spellEnd"/>
      <w:r w:rsidRPr="003F3AA5">
        <w:rPr>
          <w:rFonts w:eastAsia="Times New Roman" w:cs="Times New Roman"/>
          <w:szCs w:val="20"/>
          <w:lang w:eastAsia="en-CA"/>
        </w:rPr>
        <w:t>. 394.</w:t>
      </w:r>
    </w:p>
    <w:p w:rsidR="003F3AA5" w:rsidRPr="003F3AA5" w:rsidRDefault="003F3AA5" w:rsidP="003F3AA5">
      <w:pPr>
        <w:tabs>
          <w:tab w:val="left" w:pos="1168"/>
        </w:tabs>
        <w:spacing w:after="480" w:line="480" w:lineRule="auto"/>
        <w:jc w:val="both"/>
        <w:rPr>
          <w:rFonts w:eastAsia="Times New Roman" w:cs="Times New Roman"/>
          <w:szCs w:val="20"/>
          <w:lang w:eastAsia="en-CA"/>
        </w:rPr>
      </w:pPr>
      <w:r w:rsidRPr="003F3AA5">
        <w:rPr>
          <w:rFonts w:eastAsia="Times New Roman" w:cs="Times New Roman"/>
          <w:szCs w:val="20"/>
          <w:lang w:eastAsia="en-CA"/>
        </w:rPr>
        <w:tab/>
        <w:t xml:space="preserve">POURVOI contre un arrêt de la Cour d’appel du Québec (les juges </w:t>
      </w:r>
      <w:proofErr w:type="spellStart"/>
      <w:r w:rsidRPr="003F3AA5">
        <w:rPr>
          <w:rFonts w:eastAsia="Times New Roman" w:cs="Times New Roman"/>
          <w:szCs w:val="20"/>
          <w:lang w:eastAsia="en-CA"/>
        </w:rPr>
        <w:t>Hogue</w:t>
      </w:r>
      <w:proofErr w:type="spellEnd"/>
      <w:r w:rsidRPr="003F3AA5">
        <w:rPr>
          <w:rFonts w:eastAsia="Times New Roman" w:cs="Times New Roman"/>
          <w:szCs w:val="20"/>
          <w:lang w:eastAsia="en-CA"/>
        </w:rPr>
        <w:t xml:space="preserve">, </w:t>
      </w:r>
      <w:proofErr w:type="spellStart"/>
      <w:r w:rsidRPr="003F3AA5">
        <w:rPr>
          <w:rFonts w:eastAsia="Times New Roman" w:cs="Times New Roman"/>
          <w:szCs w:val="20"/>
          <w:lang w:eastAsia="en-CA"/>
        </w:rPr>
        <w:t>Cotnam</w:t>
      </w:r>
      <w:proofErr w:type="spellEnd"/>
      <w:r w:rsidRPr="003F3AA5">
        <w:rPr>
          <w:rFonts w:eastAsia="Times New Roman" w:cs="Times New Roman"/>
          <w:szCs w:val="20"/>
          <w:lang w:eastAsia="en-CA"/>
        </w:rPr>
        <w:t xml:space="preserve"> et </w:t>
      </w:r>
      <w:proofErr w:type="spellStart"/>
      <w:r w:rsidRPr="003F3AA5">
        <w:rPr>
          <w:rFonts w:eastAsia="Times New Roman" w:cs="Times New Roman"/>
          <w:szCs w:val="20"/>
          <w:lang w:eastAsia="en-CA"/>
        </w:rPr>
        <w:t>Cournoyer</w:t>
      </w:r>
      <w:proofErr w:type="spellEnd"/>
      <w:r w:rsidRPr="003F3AA5">
        <w:rPr>
          <w:rFonts w:eastAsia="Times New Roman" w:cs="Times New Roman"/>
          <w:szCs w:val="20"/>
          <w:lang w:eastAsia="en-CA"/>
        </w:rPr>
        <w:t xml:space="preserve">), </w:t>
      </w:r>
      <w:hyperlink r:id="rId8" w:history="1">
        <w:r w:rsidRPr="003F3AA5">
          <w:rPr>
            <w:rFonts w:eastAsia="Times New Roman" w:cs="Times New Roman"/>
            <w:color w:val="660000"/>
            <w:szCs w:val="20"/>
            <w:lang w:eastAsia="en-CA"/>
          </w:rPr>
          <w:t xml:space="preserve">2022 </w:t>
        </w:r>
        <w:proofErr w:type="spellStart"/>
        <w:r w:rsidRPr="003F3AA5">
          <w:rPr>
            <w:rFonts w:eastAsia="Times New Roman" w:cs="Times New Roman"/>
            <w:color w:val="660000"/>
            <w:szCs w:val="20"/>
            <w:lang w:eastAsia="en-CA"/>
          </w:rPr>
          <w:t>QCCA</w:t>
        </w:r>
        <w:proofErr w:type="spellEnd"/>
        <w:r w:rsidRPr="003F3AA5">
          <w:rPr>
            <w:rFonts w:eastAsia="Times New Roman" w:cs="Times New Roman"/>
            <w:color w:val="660000"/>
            <w:szCs w:val="20"/>
            <w:lang w:eastAsia="en-CA"/>
          </w:rPr>
          <w:t xml:space="preserve"> 1186</w:t>
        </w:r>
      </w:hyperlink>
      <w:r w:rsidRPr="003F3AA5">
        <w:rPr>
          <w:rFonts w:eastAsia="Times New Roman" w:cs="Times New Roman"/>
          <w:szCs w:val="20"/>
          <w:lang w:eastAsia="en-CA"/>
        </w:rPr>
        <w:t xml:space="preserve">, [2022] </w:t>
      </w:r>
      <w:proofErr w:type="spellStart"/>
      <w:r w:rsidRPr="003F3AA5">
        <w:rPr>
          <w:rFonts w:eastAsia="Times New Roman" w:cs="Times New Roman"/>
          <w:szCs w:val="20"/>
          <w:lang w:eastAsia="en-CA"/>
        </w:rPr>
        <w:t>AZ</w:t>
      </w:r>
      <w:proofErr w:type="spellEnd"/>
      <w:r w:rsidRPr="003F3AA5">
        <w:rPr>
          <w:rFonts w:eastAsia="Times New Roman" w:cs="Times New Roman"/>
          <w:szCs w:val="20"/>
          <w:lang w:eastAsia="en-CA"/>
        </w:rPr>
        <w:noBreakHyphen/>
        <w:t xml:space="preserve">51877852, [2022] </w:t>
      </w:r>
      <w:proofErr w:type="spellStart"/>
      <w:r w:rsidRPr="003F3AA5">
        <w:rPr>
          <w:rFonts w:eastAsia="Times New Roman" w:cs="Times New Roman"/>
          <w:szCs w:val="20"/>
          <w:lang w:eastAsia="en-CA"/>
        </w:rPr>
        <w:t>J.Q</w:t>
      </w:r>
      <w:proofErr w:type="spellEnd"/>
      <w:r w:rsidRPr="003F3AA5">
        <w:rPr>
          <w:rFonts w:eastAsia="Times New Roman" w:cs="Times New Roman"/>
          <w:szCs w:val="20"/>
          <w:lang w:eastAsia="en-CA"/>
        </w:rPr>
        <w:t>. n</w:t>
      </w:r>
      <w:r w:rsidRPr="003F3AA5">
        <w:rPr>
          <w:rFonts w:eastAsia="Times New Roman" w:cs="Times New Roman"/>
          <w:szCs w:val="20"/>
          <w:vertAlign w:val="superscript"/>
          <w:lang w:eastAsia="en-CA"/>
        </w:rPr>
        <w:t>o</w:t>
      </w:r>
      <w:r w:rsidRPr="003F3AA5">
        <w:rPr>
          <w:rFonts w:eastAsia="Times New Roman" w:cs="Times New Roman"/>
          <w:szCs w:val="20"/>
          <w:lang w:eastAsia="en-CA"/>
        </w:rPr>
        <w:t xml:space="preserve"> 8674 (Lexis), 2022 </w:t>
      </w:r>
      <w:proofErr w:type="spellStart"/>
      <w:r w:rsidRPr="003F3AA5">
        <w:rPr>
          <w:rFonts w:eastAsia="Times New Roman" w:cs="Times New Roman"/>
          <w:szCs w:val="20"/>
          <w:lang w:eastAsia="en-CA"/>
        </w:rPr>
        <w:t>CarswellQue</w:t>
      </w:r>
      <w:proofErr w:type="spellEnd"/>
      <w:r w:rsidRPr="003F3AA5">
        <w:rPr>
          <w:rFonts w:eastAsia="Times New Roman" w:cs="Times New Roman"/>
          <w:szCs w:val="20"/>
          <w:lang w:eastAsia="en-CA"/>
        </w:rPr>
        <w:t xml:space="preserve"> 13194 (</w:t>
      </w:r>
      <w:proofErr w:type="spellStart"/>
      <w:r w:rsidRPr="003F3AA5">
        <w:rPr>
          <w:rFonts w:eastAsia="Times New Roman" w:cs="Times New Roman"/>
          <w:szCs w:val="20"/>
          <w:lang w:eastAsia="en-CA"/>
        </w:rPr>
        <w:t>WL</w:t>
      </w:r>
      <w:proofErr w:type="spellEnd"/>
      <w:r w:rsidRPr="003F3AA5">
        <w:rPr>
          <w:rFonts w:eastAsia="Times New Roman" w:cs="Times New Roman"/>
          <w:szCs w:val="20"/>
          <w:lang w:eastAsia="en-CA"/>
        </w:rPr>
        <w:t>), qui a confirmé la déclaration de culpabilité pour fraude prononcée contre l’accusé. Pourvoi rejeté, la juge Côté est dissidente.</w:t>
      </w:r>
    </w:p>
    <w:p w:rsidR="003F3AA5" w:rsidRPr="003F3AA5" w:rsidRDefault="003F3AA5" w:rsidP="003F3AA5">
      <w:pPr>
        <w:tabs>
          <w:tab w:val="left" w:pos="1168"/>
        </w:tabs>
        <w:spacing w:after="480" w:line="480" w:lineRule="auto"/>
        <w:jc w:val="both"/>
        <w:rPr>
          <w:rFonts w:eastAsia="Times New Roman" w:cs="Times New Roman"/>
          <w:szCs w:val="20"/>
          <w:lang w:eastAsia="en-CA"/>
        </w:rPr>
      </w:pPr>
      <w:r w:rsidRPr="003F3AA5">
        <w:rPr>
          <w:rFonts w:eastAsia="Times New Roman" w:cs="Times New Roman"/>
          <w:i/>
          <w:szCs w:val="20"/>
          <w:lang w:eastAsia="en-CA"/>
        </w:rPr>
        <w:tab/>
        <w:t>Ariane Gagnon</w:t>
      </w:r>
      <w:r w:rsidRPr="003F3AA5">
        <w:rPr>
          <w:rFonts w:eastAsia="Times New Roman" w:cs="Times New Roman"/>
          <w:i/>
          <w:szCs w:val="20"/>
          <w:lang w:eastAsia="en-CA"/>
        </w:rPr>
        <w:noBreakHyphen/>
        <w:t>Rocque</w:t>
      </w:r>
      <w:r w:rsidRPr="003F3AA5">
        <w:rPr>
          <w:rFonts w:eastAsia="Times New Roman" w:cs="Times New Roman"/>
          <w:szCs w:val="20"/>
          <w:lang w:eastAsia="en-CA"/>
        </w:rPr>
        <w:t xml:space="preserve"> et </w:t>
      </w:r>
      <w:r w:rsidRPr="003F3AA5">
        <w:rPr>
          <w:rFonts w:eastAsia="Times New Roman" w:cs="Times New Roman"/>
          <w:i/>
          <w:szCs w:val="20"/>
          <w:lang w:eastAsia="en-CA"/>
        </w:rPr>
        <w:t>Maude Cloutier</w:t>
      </w:r>
      <w:r w:rsidRPr="003F3AA5">
        <w:rPr>
          <w:rFonts w:eastAsia="Times New Roman" w:cs="Times New Roman"/>
          <w:szCs w:val="20"/>
          <w:lang w:eastAsia="en-CA"/>
        </w:rPr>
        <w:t>, pour l’appelant.</w:t>
      </w:r>
    </w:p>
    <w:p w:rsidR="003F3AA5" w:rsidRPr="003F3AA5" w:rsidRDefault="003F3AA5" w:rsidP="003F3AA5">
      <w:pPr>
        <w:tabs>
          <w:tab w:val="left" w:pos="1168"/>
        </w:tabs>
        <w:spacing w:after="480" w:line="480" w:lineRule="auto"/>
        <w:jc w:val="both"/>
        <w:rPr>
          <w:rFonts w:eastAsia="Times New Roman" w:cs="Times New Roman"/>
          <w:szCs w:val="20"/>
          <w:lang w:eastAsia="en-CA"/>
        </w:rPr>
      </w:pPr>
      <w:r w:rsidRPr="003F3AA5">
        <w:rPr>
          <w:rFonts w:eastAsia="Times New Roman" w:cs="Times New Roman"/>
          <w:i/>
          <w:szCs w:val="20"/>
          <w:lang w:eastAsia="en-CA"/>
        </w:rPr>
        <w:tab/>
        <w:t>Patrick Cardinal</w:t>
      </w:r>
      <w:r w:rsidRPr="003F3AA5">
        <w:rPr>
          <w:rFonts w:eastAsia="Times New Roman" w:cs="Times New Roman"/>
          <w:szCs w:val="20"/>
          <w:lang w:eastAsia="en-CA"/>
        </w:rPr>
        <w:t xml:space="preserve"> et </w:t>
      </w:r>
      <w:r w:rsidRPr="003F3AA5">
        <w:rPr>
          <w:rFonts w:eastAsia="Times New Roman" w:cs="Times New Roman"/>
          <w:i/>
          <w:szCs w:val="20"/>
          <w:lang w:eastAsia="en-CA"/>
        </w:rPr>
        <w:t xml:space="preserve">Nicolas </w:t>
      </w:r>
      <w:proofErr w:type="spellStart"/>
      <w:r w:rsidRPr="003F3AA5">
        <w:rPr>
          <w:rFonts w:eastAsia="Times New Roman" w:cs="Times New Roman"/>
          <w:i/>
          <w:szCs w:val="20"/>
          <w:lang w:eastAsia="en-CA"/>
        </w:rPr>
        <w:t>Abran</w:t>
      </w:r>
      <w:proofErr w:type="spellEnd"/>
      <w:r w:rsidRPr="003F3AA5">
        <w:rPr>
          <w:rFonts w:eastAsia="Times New Roman" w:cs="Times New Roman"/>
          <w:szCs w:val="20"/>
          <w:lang w:eastAsia="en-CA"/>
        </w:rPr>
        <w:t>, pour l’intimé.</w:t>
      </w:r>
    </w:p>
    <w:p w:rsidR="003F3AA5" w:rsidRPr="003F3AA5" w:rsidRDefault="003F3AA5" w:rsidP="003F3AA5">
      <w:pPr>
        <w:tabs>
          <w:tab w:val="left" w:pos="1168"/>
        </w:tabs>
        <w:spacing w:after="480" w:line="480" w:lineRule="auto"/>
        <w:jc w:val="both"/>
        <w:rPr>
          <w:rFonts w:eastAsia="Times New Roman" w:cs="Times New Roman"/>
          <w:szCs w:val="20"/>
          <w:lang w:eastAsia="en-CA"/>
        </w:rPr>
      </w:pPr>
      <w:r w:rsidRPr="003F3AA5">
        <w:rPr>
          <w:rFonts w:eastAsia="Times New Roman" w:cs="Times New Roman"/>
          <w:i/>
          <w:szCs w:val="20"/>
          <w:lang w:eastAsia="en-CA"/>
        </w:rPr>
        <w:tab/>
      </w:r>
      <w:r w:rsidRPr="003F3AA5">
        <w:rPr>
          <w:rFonts w:eastAsia="Times New Roman" w:cs="Times New Roman"/>
          <w:szCs w:val="20"/>
          <w:lang w:eastAsia="en-CA"/>
        </w:rPr>
        <w:t>Le jugement de la Cour a été rendu oralement par</w:t>
      </w:r>
      <w:r w:rsidR="00913C42">
        <w:rPr>
          <w:rFonts w:eastAsia="Times New Roman" w:cs="Times New Roman"/>
          <w:szCs w:val="20"/>
          <w:lang w:eastAsia="en-CA"/>
        </w:rPr>
        <w:t xml:space="preserve"> </w:t>
      </w:r>
      <w:bookmarkStart w:id="1" w:name="_GoBack"/>
      <w:bookmarkEnd w:id="1"/>
    </w:p>
    <w:p w:rsidR="003F3AA5" w:rsidRPr="003F3AA5" w:rsidRDefault="003F3AA5" w:rsidP="003F3AA5">
      <w:pPr>
        <w:tabs>
          <w:tab w:val="num" w:pos="1152"/>
        </w:tabs>
        <w:spacing w:before="480" w:after="480" w:line="480" w:lineRule="auto"/>
        <w:jc w:val="both"/>
      </w:pPr>
      <w:r w:rsidRPr="003F3AA5">
        <w:rPr>
          <w:rFonts w:eastAsiaTheme="minorEastAsia"/>
          <w:szCs w:val="22"/>
        </w:rPr>
        <w:t>[1]</w:t>
      </w:r>
      <w:r w:rsidRPr="003F3AA5">
        <w:rPr>
          <w:rFonts w:eastAsiaTheme="minorEastAsia"/>
          <w:szCs w:val="22"/>
        </w:rPr>
        <w:tab/>
      </w:r>
      <w:r w:rsidRPr="003F3AA5">
        <w:rPr>
          <w:smallCaps/>
        </w:rPr>
        <w:t xml:space="preserve">La juge </w:t>
      </w:r>
      <w:proofErr w:type="spellStart"/>
      <w:r w:rsidRPr="003F3AA5">
        <w:rPr>
          <w:smallCaps/>
        </w:rPr>
        <w:t>Karakatsanis</w:t>
      </w:r>
      <w:proofErr w:type="spellEnd"/>
      <w:r w:rsidRPr="003F3AA5">
        <w:t xml:space="preserve"> — Il s’agit d’un appel de plein droit à l’encontre d’un arrêt ayant fait l’objet d’une dissidence sur une question de droit. En l’espèce, la majorité de la Cour d’appel du Québec a confirmé la déclaration de culpabilité pour fraude et la juge dissidente aurait substitué à ce verdict celui de tentative de fraude. Il y a donc un « désaccord qui influence le résultat » au sens de l’arrêt </w:t>
      </w:r>
      <w:r w:rsidRPr="003F3AA5">
        <w:rPr>
          <w:i/>
        </w:rPr>
        <w:t>R. c. D’</w:t>
      </w:r>
      <w:proofErr w:type="spellStart"/>
      <w:r w:rsidRPr="003F3AA5">
        <w:rPr>
          <w:i/>
        </w:rPr>
        <w:t>Amico</w:t>
      </w:r>
      <w:proofErr w:type="spellEnd"/>
      <w:r w:rsidRPr="003F3AA5">
        <w:t xml:space="preserve">, 2019 CSC 23, [2019] 2 </w:t>
      </w:r>
      <w:proofErr w:type="spellStart"/>
      <w:r w:rsidRPr="003F3AA5">
        <w:t>R.C.S</w:t>
      </w:r>
      <w:proofErr w:type="spellEnd"/>
      <w:r w:rsidRPr="003F3AA5">
        <w:t>. 394, par. 3.</w:t>
      </w:r>
    </w:p>
    <w:p w:rsidR="003F3AA5" w:rsidRPr="003F3AA5" w:rsidRDefault="003F3AA5" w:rsidP="003F3AA5">
      <w:pPr>
        <w:tabs>
          <w:tab w:val="num" w:pos="1152"/>
        </w:tabs>
        <w:spacing w:before="480" w:after="480" w:line="480" w:lineRule="auto"/>
        <w:jc w:val="both"/>
        <w:rPr>
          <w:rFonts w:eastAsiaTheme="minorEastAsia"/>
          <w:szCs w:val="22"/>
        </w:rPr>
      </w:pPr>
      <w:r w:rsidRPr="003F3AA5">
        <w:t>[2]</w:t>
      </w:r>
      <w:r w:rsidRPr="003F3AA5">
        <w:tab/>
      </w:r>
      <w:r w:rsidRPr="003F3AA5">
        <w:rPr>
          <w:rFonts w:eastAsiaTheme="minorEastAsia"/>
          <w:szCs w:val="22"/>
        </w:rPr>
        <w:t>La majorité de la Cour est d’avis de rejeter l’appel, essentiellement pour les motifs des juges majoritaires de la Cour d’appel.</w:t>
      </w:r>
    </w:p>
    <w:p w:rsidR="003F3AA5" w:rsidRPr="003F3AA5" w:rsidRDefault="003F3AA5" w:rsidP="003F3AA5">
      <w:pPr>
        <w:tabs>
          <w:tab w:val="num" w:pos="1152"/>
        </w:tabs>
        <w:spacing w:before="480" w:after="480" w:line="480" w:lineRule="auto"/>
        <w:jc w:val="both"/>
        <w:rPr>
          <w:rFonts w:eastAsiaTheme="minorEastAsia"/>
          <w:szCs w:val="22"/>
        </w:rPr>
      </w:pPr>
      <w:r w:rsidRPr="003F3AA5">
        <w:rPr>
          <w:rFonts w:eastAsiaTheme="minorEastAsia"/>
          <w:szCs w:val="22"/>
        </w:rPr>
        <w:t>[3]</w:t>
      </w:r>
      <w:r w:rsidRPr="003F3AA5">
        <w:rPr>
          <w:rFonts w:eastAsiaTheme="minorEastAsia"/>
          <w:szCs w:val="22"/>
        </w:rPr>
        <w:tab/>
        <w:t xml:space="preserve">La juge Côté, pour sa part, aurait accueilli l’appel en partie et substitué une déclaration de culpabilité pour tentative de fraude à celle pour fraude, essentiellement pour les motifs de la juge </w:t>
      </w:r>
      <w:proofErr w:type="spellStart"/>
      <w:r w:rsidRPr="003F3AA5">
        <w:rPr>
          <w:rFonts w:eastAsiaTheme="minorEastAsia"/>
          <w:szCs w:val="22"/>
        </w:rPr>
        <w:t>Cotnam</w:t>
      </w:r>
      <w:proofErr w:type="spellEnd"/>
      <w:r w:rsidRPr="003F3AA5">
        <w:rPr>
          <w:rFonts w:eastAsiaTheme="minorEastAsia"/>
          <w:szCs w:val="22"/>
        </w:rPr>
        <w:t xml:space="preserve"> et aurait renvoyé l’affaire au tribunal de première instance pour la détermination de la peine.</w:t>
      </w:r>
    </w:p>
    <w:p w:rsidR="003F3AA5" w:rsidRPr="003F3AA5" w:rsidRDefault="003F3AA5" w:rsidP="003F3AA5">
      <w:pPr>
        <w:tabs>
          <w:tab w:val="num" w:pos="1152"/>
        </w:tabs>
        <w:spacing w:before="480" w:after="480" w:line="480" w:lineRule="auto"/>
        <w:jc w:val="both"/>
        <w:rPr>
          <w:rFonts w:eastAsiaTheme="minorEastAsia"/>
          <w:szCs w:val="22"/>
        </w:rPr>
      </w:pPr>
      <w:r w:rsidRPr="003F3AA5">
        <w:rPr>
          <w:rFonts w:eastAsiaTheme="minorEastAsia"/>
          <w:szCs w:val="22"/>
        </w:rPr>
        <w:t>[4]</w:t>
      </w:r>
      <w:r w:rsidRPr="003F3AA5">
        <w:rPr>
          <w:rFonts w:eastAsiaTheme="minorEastAsia"/>
          <w:szCs w:val="22"/>
        </w:rPr>
        <w:tab/>
        <w:t>En conséquence, l’appel est rejeté.</w:t>
      </w:r>
    </w:p>
    <w:p w:rsidR="003F3AA5" w:rsidRPr="003F3AA5" w:rsidRDefault="003F3AA5" w:rsidP="003F3AA5">
      <w:pPr>
        <w:tabs>
          <w:tab w:val="left" w:pos="1168"/>
        </w:tabs>
        <w:spacing w:after="480" w:line="480" w:lineRule="auto"/>
        <w:jc w:val="both"/>
        <w:rPr>
          <w:rFonts w:eastAsia="Times New Roman" w:cs="Times New Roman"/>
          <w:i/>
          <w:szCs w:val="20"/>
          <w:lang w:eastAsia="en-CA"/>
        </w:rPr>
      </w:pPr>
      <w:r w:rsidRPr="003F3AA5">
        <w:rPr>
          <w:rFonts w:eastAsia="Times New Roman" w:cs="Times New Roman"/>
          <w:i/>
          <w:szCs w:val="20"/>
          <w:lang w:eastAsia="en-CA"/>
        </w:rPr>
        <w:tab/>
        <w:t>Jugement en conséquence.</w:t>
      </w:r>
    </w:p>
    <w:p w:rsidR="003F3AA5" w:rsidRPr="003F3AA5" w:rsidRDefault="003F3AA5" w:rsidP="003F3AA5">
      <w:pPr>
        <w:tabs>
          <w:tab w:val="left" w:pos="1168"/>
        </w:tabs>
        <w:spacing w:after="480" w:line="480" w:lineRule="auto"/>
        <w:jc w:val="both"/>
        <w:rPr>
          <w:rFonts w:eastAsia="Times New Roman" w:cs="Times New Roman"/>
          <w:i/>
          <w:szCs w:val="20"/>
          <w:lang w:eastAsia="en-CA"/>
        </w:rPr>
      </w:pPr>
      <w:r w:rsidRPr="003F3AA5">
        <w:rPr>
          <w:rFonts w:eastAsia="Times New Roman" w:cs="Times New Roman"/>
          <w:i/>
          <w:szCs w:val="20"/>
          <w:lang w:eastAsia="en-CA"/>
        </w:rPr>
        <w:tab/>
        <w:t>Procureurs de l’appelant : Roy &amp; Charbonneau, Québec.</w:t>
      </w:r>
    </w:p>
    <w:p w:rsidR="003F3AA5" w:rsidRPr="003F3AA5" w:rsidRDefault="003F3AA5" w:rsidP="003F3AA5">
      <w:pPr>
        <w:tabs>
          <w:tab w:val="left" w:pos="1168"/>
        </w:tabs>
        <w:spacing w:after="480" w:line="480" w:lineRule="auto"/>
        <w:jc w:val="both"/>
        <w:rPr>
          <w:rFonts w:eastAsia="Times New Roman" w:cs="Times New Roman"/>
          <w:i/>
          <w:szCs w:val="20"/>
          <w:lang w:eastAsia="en-CA"/>
        </w:rPr>
      </w:pPr>
      <w:r w:rsidRPr="003F3AA5">
        <w:rPr>
          <w:rFonts w:eastAsia="Times New Roman" w:cs="Times New Roman"/>
          <w:i/>
          <w:szCs w:val="20"/>
          <w:lang w:eastAsia="en-CA"/>
        </w:rPr>
        <w:tab/>
        <w:t>Procureur de l’intimé : Directeur des poursuites criminelles et pénales, Salaberry</w:t>
      </w:r>
      <w:r w:rsidRPr="003F3AA5">
        <w:rPr>
          <w:rFonts w:eastAsia="Times New Roman" w:cs="Times New Roman"/>
          <w:i/>
          <w:szCs w:val="20"/>
          <w:lang w:eastAsia="en-CA"/>
        </w:rPr>
        <w:noBreakHyphen/>
        <w:t>de</w:t>
      </w:r>
      <w:r w:rsidRPr="003F3AA5">
        <w:rPr>
          <w:rFonts w:eastAsia="Times New Roman" w:cs="Times New Roman"/>
          <w:i/>
          <w:szCs w:val="20"/>
          <w:lang w:eastAsia="en-CA"/>
        </w:rPr>
        <w:noBreakHyphen/>
        <w:t>Valleyfield (</w:t>
      </w:r>
      <w:proofErr w:type="spellStart"/>
      <w:r w:rsidRPr="003F3AA5">
        <w:rPr>
          <w:rFonts w:eastAsia="Times New Roman" w:cs="Times New Roman"/>
          <w:i/>
          <w:szCs w:val="20"/>
          <w:lang w:eastAsia="en-CA"/>
        </w:rPr>
        <w:t>Qc</w:t>
      </w:r>
      <w:proofErr w:type="spellEnd"/>
      <w:r w:rsidRPr="003F3AA5">
        <w:rPr>
          <w:rFonts w:eastAsia="Times New Roman" w:cs="Times New Roman"/>
          <w:i/>
          <w:szCs w:val="20"/>
          <w:lang w:eastAsia="en-CA"/>
        </w:rPr>
        <w:t>).</w:t>
      </w:r>
    </w:p>
    <w:p w:rsidR="003F3AA5" w:rsidRPr="00BA0FDE" w:rsidRDefault="003F3AA5" w:rsidP="003F3AA5"/>
    <w:sectPr w:rsidR="003F3AA5" w:rsidRPr="00BA0FDE" w:rsidSect="00F72014">
      <w:headerReference w:type="default" r:id="rId9"/>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21689"/>
    <w:rsid w:val="00030E87"/>
    <w:rsid w:val="000D1436"/>
    <w:rsid w:val="000F4467"/>
    <w:rsid w:val="00100074"/>
    <w:rsid w:val="001311DA"/>
    <w:rsid w:val="00177E57"/>
    <w:rsid w:val="00196882"/>
    <w:rsid w:val="001A2CF8"/>
    <w:rsid w:val="001D6B8C"/>
    <w:rsid w:val="001E12E2"/>
    <w:rsid w:val="001E5B5A"/>
    <w:rsid w:val="001F1F83"/>
    <w:rsid w:val="00212D2D"/>
    <w:rsid w:val="00256B56"/>
    <w:rsid w:val="0028675F"/>
    <w:rsid w:val="0029156B"/>
    <w:rsid w:val="002E28BA"/>
    <w:rsid w:val="002F0B6C"/>
    <w:rsid w:val="00303489"/>
    <w:rsid w:val="00311B72"/>
    <w:rsid w:val="00326DC8"/>
    <w:rsid w:val="00355967"/>
    <w:rsid w:val="0036772A"/>
    <w:rsid w:val="00384384"/>
    <w:rsid w:val="003B2BE1"/>
    <w:rsid w:val="003B3C63"/>
    <w:rsid w:val="003B7306"/>
    <w:rsid w:val="003F3AA5"/>
    <w:rsid w:val="00423C0D"/>
    <w:rsid w:val="00460AFC"/>
    <w:rsid w:val="00467372"/>
    <w:rsid w:val="004B6D25"/>
    <w:rsid w:val="004E69EC"/>
    <w:rsid w:val="004F090E"/>
    <w:rsid w:val="004F7322"/>
    <w:rsid w:val="00535189"/>
    <w:rsid w:val="00582136"/>
    <w:rsid w:val="0058383C"/>
    <w:rsid w:val="005C0397"/>
    <w:rsid w:val="005D5624"/>
    <w:rsid w:val="006034F1"/>
    <w:rsid w:val="006936F1"/>
    <w:rsid w:val="006D697E"/>
    <w:rsid w:val="00701ABD"/>
    <w:rsid w:val="007740CA"/>
    <w:rsid w:val="00787F6E"/>
    <w:rsid w:val="007C06D7"/>
    <w:rsid w:val="008029A6"/>
    <w:rsid w:val="008029AC"/>
    <w:rsid w:val="00803557"/>
    <w:rsid w:val="008215C3"/>
    <w:rsid w:val="00842677"/>
    <w:rsid w:val="008714CB"/>
    <w:rsid w:val="00880B14"/>
    <w:rsid w:val="008B5797"/>
    <w:rsid w:val="008C75A4"/>
    <w:rsid w:val="008F4691"/>
    <w:rsid w:val="008F6CEE"/>
    <w:rsid w:val="00904937"/>
    <w:rsid w:val="00913C42"/>
    <w:rsid w:val="00961237"/>
    <w:rsid w:val="00996510"/>
    <w:rsid w:val="009F0F2D"/>
    <w:rsid w:val="00A51442"/>
    <w:rsid w:val="00A51D10"/>
    <w:rsid w:val="00A863F7"/>
    <w:rsid w:val="00AB2201"/>
    <w:rsid w:val="00B97E34"/>
    <w:rsid w:val="00BA0FDE"/>
    <w:rsid w:val="00BD4217"/>
    <w:rsid w:val="00C31C70"/>
    <w:rsid w:val="00C34313"/>
    <w:rsid w:val="00C911E5"/>
    <w:rsid w:val="00CA3730"/>
    <w:rsid w:val="00D030DA"/>
    <w:rsid w:val="00D056AE"/>
    <w:rsid w:val="00D07EED"/>
    <w:rsid w:val="00D5237B"/>
    <w:rsid w:val="00D751FC"/>
    <w:rsid w:val="00D76BDF"/>
    <w:rsid w:val="00E356C7"/>
    <w:rsid w:val="00E53ED9"/>
    <w:rsid w:val="00E64FA7"/>
    <w:rsid w:val="00E7577F"/>
    <w:rsid w:val="00E770CB"/>
    <w:rsid w:val="00EB19AF"/>
    <w:rsid w:val="00F01FC5"/>
    <w:rsid w:val="00F060D9"/>
    <w:rsid w:val="00F25646"/>
    <w:rsid w:val="00F25A57"/>
    <w:rsid w:val="00F72014"/>
    <w:rsid w:val="00F837E7"/>
    <w:rsid w:val="00F9518C"/>
    <w:rsid w:val="00FA59EF"/>
    <w:rsid w:val="00FB616D"/>
    <w:rsid w:val="00FE3A25"/>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oquij.ca/q8SMg"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2024-01-19T16:14:00Z</dcterms:created>
  <dcterms:modified xsi:type="dcterms:W3CDTF">2024-02-28T19:05:00Z</dcterms:modified>
</cp:coreProperties>
</file>