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17" w:rsidRPr="00612B10" w:rsidRDefault="00614F17" w:rsidP="00614F17">
      <w:pPr>
        <w:tabs>
          <w:tab w:val="center" w:pos="4680"/>
          <w:tab w:val="right" w:pos="9360"/>
        </w:tabs>
        <w:rPr>
          <w:rFonts w:eastAsiaTheme="minorHAnsi" w:cstheme="minorBidi"/>
          <w:szCs w:val="24"/>
          <w:lang w:eastAsia="en-US"/>
        </w:rPr>
      </w:pPr>
      <w:r w:rsidRPr="00612B10">
        <w:rPr>
          <w:rFonts w:eastAsiaTheme="minorHAnsi" w:cstheme="minorBidi"/>
          <w:szCs w:val="24"/>
          <w:lang w:eastAsia="en-US"/>
        </w:rPr>
        <w:ptab w:relativeTo="margin" w:alignment="center" w:leader="none"/>
      </w:r>
      <w:r w:rsidRPr="00612B10">
        <w:rPr>
          <w:rFonts w:eastAsiaTheme="minorHAnsi" w:cstheme="minorBidi"/>
          <w:szCs w:val="24"/>
          <w:lang w:eastAsia="en-US"/>
        </w:rPr>
        <w:t xml:space="preserve"> </w:t>
      </w:r>
      <w:r w:rsidRPr="00612B1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70690864" r:id="rId9"/>
        </w:object>
      </w:r>
      <w:r w:rsidRPr="00612B10">
        <w:rPr>
          <w:rFonts w:eastAsiaTheme="minorHAnsi" w:cstheme="minorBidi"/>
          <w:szCs w:val="24"/>
          <w:lang w:eastAsia="en-US"/>
        </w:rPr>
        <w:t xml:space="preserve"> </w:t>
      </w:r>
      <w:r w:rsidRPr="00612B10">
        <w:rPr>
          <w:rFonts w:eastAsiaTheme="minorHAnsi" w:cstheme="minorBidi"/>
          <w:szCs w:val="24"/>
          <w:lang w:eastAsia="en-US"/>
        </w:rPr>
        <w:ptab w:relativeTo="margin" w:alignment="right" w:leader="none"/>
      </w:r>
    </w:p>
    <w:p w:rsidR="00614F17" w:rsidRPr="00612B10" w:rsidRDefault="00614F17" w:rsidP="00614F17">
      <w:pPr>
        <w:tabs>
          <w:tab w:val="center" w:pos="4680"/>
          <w:tab w:val="right" w:pos="9360"/>
        </w:tabs>
        <w:rPr>
          <w:rFonts w:eastAsiaTheme="minorHAnsi" w:cstheme="minorBidi"/>
          <w:szCs w:val="24"/>
          <w:lang w:eastAsia="en-US"/>
        </w:rPr>
      </w:pPr>
    </w:p>
    <w:p w:rsidR="00614F17" w:rsidRPr="00612B10" w:rsidRDefault="00614F17" w:rsidP="00614F17">
      <w:pPr>
        <w:jc w:val="center"/>
        <w:rPr>
          <w:rFonts w:eastAsiaTheme="minorHAnsi" w:cstheme="minorBidi"/>
          <w:b/>
          <w:szCs w:val="24"/>
          <w:lang w:eastAsia="en-US"/>
        </w:rPr>
      </w:pPr>
      <w:r w:rsidRPr="00612B10">
        <w:rPr>
          <w:rFonts w:eastAsiaTheme="minorHAnsi" w:cstheme="minorBidi"/>
          <w:b/>
          <w:szCs w:val="24"/>
          <w:lang w:eastAsia="en-US"/>
        </w:rPr>
        <w:t>COUR SUPRÊME DU CANADA</w:t>
      </w:r>
    </w:p>
    <w:p w:rsidR="00614F17" w:rsidRPr="00612B10" w:rsidRDefault="00614F17" w:rsidP="00614F1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14F17" w:rsidRPr="00612B10" w:rsidTr="00F943DD">
        <w:trPr>
          <w:cantSplit/>
        </w:trPr>
        <w:tc>
          <w:tcPr>
            <w:tcW w:w="6768" w:type="dxa"/>
          </w:tcPr>
          <w:p w:rsidR="00614F17" w:rsidRPr="00614F17" w:rsidRDefault="00614F17" w:rsidP="00F943DD">
            <w:pPr>
              <w:rPr>
                <w:lang w:val="fr-CA"/>
              </w:rPr>
            </w:pPr>
            <w:r w:rsidRPr="00614F17">
              <w:rPr>
                <w:b/>
                <w:smallCaps/>
                <w:lang w:val="fr-CA"/>
              </w:rPr>
              <w:t>Référence :</w:t>
            </w:r>
            <w:r w:rsidRPr="00614F17">
              <w:rPr>
                <w:lang w:val="fr-CA"/>
              </w:rPr>
              <w:t xml:space="preserve"> R. </w:t>
            </w:r>
            <w:r w:rsidRPr="00614F17">
              <w:rPr>
                <w:i/>
                <w:lang w:val="fr-CA"/>
              </w:rPr>
              <w:t>c</w:t>
            </w:r>
            <w:r w:rsidRPr="00614F17">
              <w:rPr>
                <w:b/>
                <w:i/>
                <w:lang w:val="fr-CA"/>
              </w:rPr>
              <w:t xml:space="preserve">. </w:t>
            </w:r>
            <w:proofErr w:type="spellStart"/>
            <w:r w:rsidRPr="00614F17">
              <w:rPr>
                <w:lang w:val="fr-CA"/>
              </w:rPr>
              <w:t>Miljevic</w:t>
            </w:r>
            <w:proofErr w:type="spellEnd"/>
            <w:r w:rsidRPr="00614F17">
              <w:rPr>
                <w:lang w:val="fr-CA"/>
              </w:rPr>
              <w:t xml:space="preserve">, </w:t>
            </w:r>
            <w:r w:rsidRPr="00614F17">
              <w:rPr>
                <w:rStyle w:val="SCCRespondentForIndexChar"/>
                <w:b w:val="0"/>
                <w:lang w:val="fr-CA"/>
              </w:rPr>
              <w:t>2011 CSC 8, [2011] 1 R.C.S. 203</w:t>
            </w:r>
          </w:p>
        </w:tc>
        <w:tc>
          <w:tcPr>
            <w:tcW w:w="2808" w:type="dxa"/>
          </w:tcPr>
          <w:p w:rsidR="00614F17" w:rsidRPr="00612B10" w:rsidRDefault="00614F17" w:rsidP="00F943DD">
            <w:r w:rsidRPr="00612B10">
              <w:rPr>
                <w:b/>
                <w:smallCaps/>
              </w:rPr>
              <w:t>Date :</w:t>
            </w:r>
            <w:r w:rsidRPr="00612B10">
              <w:t xml:space="preserve"> 20110216</w:t>
            </w:r>
          </w:p>
          <w:p w:rsidR="00614F17" w:rsidRPr="00612B10" w:rsidRDefault="00614F17" w:rsidP="00F943DD">
            <w:r w:rsidRPr="00612B10">
              <w:rPr>
                <w:b/>
                <w:smallCaps/>
              </w:rPr>
              <w:t>Dossier :</w:t>
            </w:r>
            <w:r w:rsidRPr="00612B10">
              <w:t xml:space="preserve"> 33714</w:t>
            </w:r>
          </w:p>
        </w:tc>
      </w:tr>
    </w:tbl>
    <w:p w:rsidR="00614F17" w:rsidRPr="00612B10" w:rsidRDefault="00614F17" w:rsidP="00614F17">
      <w:pPr>
        <w:rPr>
          <w:rFonts w:eastAsiaTheme="minorHAnsi" w:cstheme="minorBidi"/>
          <w:szCs w:val="24"/>
          <w:lang w:eastAsia="en-US"/>
        </w:rPr>
      </w:pPr>
    </w:p>
    <w:p w:rsidR="00614F17" w:rsidRPr="00612B10" w:rsidRDefault="00614F17" w:rsidP="00614F17">
      <w:pPr>
        <w:rPr>
          <w:rFonts w:eastAsiaTheme="minorHAnsi" w:cstheme="minorBidi"/>
          <w:b/>
          <w:smallCaps/>
          <w:szCs w:val="24"/>
          <w:lang w:eastAsia="en-US"/>
        </w:rPr>
      </w:pPr>
      <w:proofErr w:type="gramStart"/>
      <w:r w:rsidRPr="00612B10">
        <w:rPr>
          <w:rFonts w:eastAsiaTheme="minorHAnsi" w:cstheme="minorBidi"/>
          <w:b/>
          <w:smallCaps/>
          <w:szCs w:val="24"/>
          <w:lang w:eastAsia="en-US"/>
        </w:rPr>
        <w:t>Entre :</w:t>
      </w:r>
      <w:proofErr w:type="gramEnd"/>
    </w:p>
    <w:p w:rsidR="00614F17" w:rsidRPr="00612B10" w:rsidRDefault="00614F17" w:rsidP="00614F17">
      <w:pPr>
        <w:jc w:val="center"/>
        <w:rPr>
          <w:rFonts w:eastAsiaTheme="minorHAnsi" w:cstheme="minorBidi"/>
          <w:b/>
          <w:szCs w:val="24"/>
          <w:lang w:eastAsia="en-US"/>
        </w:rPr>
      </w:pPr>
      <w:r w:rsidRPr="00612B10">
        <w:rPr>
          <w:rFonts w:eastAsiaTheme="minorHAnsi" w:cstheme="minorBidi"/>
          <w:b/>
          <w:szCs w:val="24"/>
          <w:lang w:eastAsia="en-US"/>
        </w:rPr>
        <w:t xml:space="preserve">Marko </w:t>
      </w:r>
      <w:proofErr w:type="spellStart"/>
      <w:r w:rsidRPr="00612B10">
        <w:rPr>
          <w:rFonts w:eastAsiaTheme="minorHAnsi" w:cstheme="minorBidi"/>
          <w:b/>
          <w:szCs w:val="24"/>
          <w:lang w:eastAsia="en-US"/>
        </w:rPr>
        <w:t>Miljevic</w:t>
      </w:r>
      <w:proofErr w:type="spellEnd"/>
    </w:p>
    <w:p w:rsidR="00614F17" w:rsidRPr="00612B10" w:rsidRDefault="00614F17" w:rsidP="00614F17">
      <w:pPr>
        <w:jc w:val="center"/>
        <w:rPr>
          <w:rFonts w:eastAsiaTheme="minorHAnsi" w:cstheme="minorBidi"/>
          <w:szCs w:val="24"/>
          <w:lang w:eastAsia="en-US"/>
        </w:rPr>
      </w:pPr>
      <w:proofErr w:type="spellStart"/>
      <w:r w:rsidRPr="00612B10">
        <w:rPr>
          <w:rFonts w:eastAsiaTheme="minorHAnsi" w:cstheme="minorBidi"/>
          <w:szCs w:val="24"/>
          <w:lang w:eastAsia="en-US"/>
        </w:rPr>
        <w:t>Appelant</w:t>
      </w:r>
      <w:proofErr w:type="spellEnd"/>
    </w:p>
    <w:p w:rsidR="00614F17" w:rsidRPr="00612B10" w:rsidRDefault="00614F17" w:rsidP="00614F17">
      <w:pPr>
        <w:jc w:val="center"/>
        <w:rPr>
          <w:rFonts w:eastAsiaTheme="minorHAnsi" w:cstheme="minorBidi"/>
          <w:szCs w:val="24"/>
          <w:lang w:eastAsia="en-US"/>
        </w:rPr>
      </w:pPr>
      <w:proofErr w:type="gramStart"/>
      <w:r w:rsidRPr="00612B10">
        <w:rPr>
          <w:rFonts w:eastAsiaTheme="minorHAnsi" w:cstheme="minorBidi"/>
          <w:szCs w:val="24"/>
          <w:lang w:eastAsia="en-US"/>
        </w:rPr>
        <w:t>et</w:t>
      </w:r>
      <w:proofErr w:type="gramEnd"/>
    </w:p>
    <w:p w:rsidR="00614F17" w:rsidRPr="00612B10" w:rsidRDefault="00614F17" w:rsidP="00614F17">
      <w:pPr>
        <w:jc w:val="center"/>
        <w:rPr>
          <w:rFonts w:eastAsiaTheme="minorHAnsi" w:cstheme="minorBidi"/>
          <w:b/>
          <w:szCs w:val="24"/>
          <w:lang w:eastAsia="en-US"/>
        </w:rPr>
      </w:pPr>
      <w:r w:rsidRPr="00612B10">
        <w:rPr>
          <w:rFonts w:eastAsiaTheme="minorHAnsi" w:cstheme="minorBidi"/>
          <w:b/>
          <w:szCs w:val="24"/>
          <w:lang w:eastAsia="en-US"/>
        </w:rPr>
        <w:t xml:space="preserve">Sa </w:t>
      </w:r>
      <w:proofErr w:type="spellStart"/>
      <w:r w:rsidRPr="00612B10">
        <w:rPr>
          <w:rFonts w:eastAsiaTheme="minorHAnsi" w:cstheme="minorBidi"/>
          <w:b/>
          <w:szCs w:val="24"/>
          <w:lang w:eastAsia="en-US"/>
        </w:rPr>
        <w:t>Majesté</w:t>
      </w:r>
      <w:proofErr w:type="spellEnd"/>
      <w:r w:rsidRPr="00612B10">
        <w:rPr>
          <w:rFonts w:eastAsiaTheme="minorHAnsi" w:cstheme="minorBidi"/>
          <w:b/>
          <w:szCs w:val="24"/>
          <w:lang w:eastAsia="en-US"/>
        </w:rPr>
        <w:t xml:space="preserve"> la </w:t>
      </w:r>
      <w:proofErr w:type="spellStart"/>
      <w:r w:rsidRPr="00612B10">
        <w:rPr>
          <w:rFonts w:eastAsiaTheme="minorHAnsi" w:cstheme="minorBidi"/>
          <w:b/>
          <w:szCs w:val="24"/>
          <w:lang w:eastAsia="en-US"/>
        </w:rPr>
        <w:t>Reine</w:t>
      </w:r>
      <w:proofErr w:type="spellEnd"/>
    </w:p>
    <w:p w:rsidR="00614F17" w:rsidRPr="00612B10" w:rsidRDefault="00614F17" w:rsidP="00614F17">
      <w:pPr>
        <w:jc w:val="center"/>
        <w:rPr>
          <w:rFonts w:eastAsiaTheme="minorHAnsi" w:cstheme="minorBidi"/>
          <w:szCs w:val="24"/>
          <w:lang w:eastAsia="en-US"/>
        </w:rPr>
      </w:pPr>
      <w:proofErr w:type="spellStart"/>
      <w:r w:rsidRPr="00612B10">
        <w:rPr>
          <w:rFonts w:eastAsiaTheme="minorHAnsi" w:cstheme="minorBidi"/>
          <w:szCs w:val="24"/>
          <w:lang w:eastAsia="en-US"/>
        </w:rPr>
        <w:t>Intimée</w:t>
      </w:r>
      <w:proofErr w:type="spellEnd"/>
    </w:p>
    <w:p w:rsidR="00614F17" w:rsidRPr="00612B10" w:rsidRDefault="00614F17" w:rsidP="00614F17">
      <w:pPr>
        <w:rPr>
          <w:rFonts w:eastAsiaTheme="minorHAnsi" w:cstheme="minorBidi"/>
          <w:szCs w:val="24"/>
          <w:lang w:eastAsia="en-US"/>
        </w:rPr>
      </w:pPr>
    </w:p>
    <w:p w:rsidR="00614F17" w:rsidRPr="00612B10" w:rsidRDefault="00614F17" w:rsidP="00614F17">
      <w:pPr>
        <w:rPr>
          <w:rFonts w:eastAsiaTheme="minorHAnsi" w:cstheme="minorBidi"/>
          <w:szCs w:val="24"/>
          <w:lang w:eastAsia="en-US"/>
        </w:rPr>
      </w:pPr>
    </w:p>
    <w:p w:rsidR="00614F17" w:rsidRPr="00612B10" w:rsidRDefault="00614F17" w:rsidP="00614F17">
      <w:pPr>
        <w:jc w:val="center"/>
        <w:rPr>
          <w:rFonts w:eastAsiaTheme="minorHAnsi" w:cstheme="minorBidi"/>
          <w:b/>
          <w:smallCaps/>
          <w:szCs w:val="24"/>
          <w:lang w:eastAsia="en-US"/>
        </w:rPr>
      </w:pPr>
      <w:proofErr w:type="spellStart"/>
      <w:r w:rsidRPr="00612B10">
        <w:rPr>
          <w:rFonts w:eastAsiaTheme="minorHAnsi" w:cstheme="minorBidi"/>
          <w:b/>
          <w:smallCaps/>
          <w:szCs w:val="24"/>
          <w:lang w:eastAsia="en-US"/>
        </w:rPr>
        <w:t>Traduction</w:t>
      </w:r>
      <w:proofErr w:type="spellEnd"/>
      <w:r w:rsidRPr="00612B10">
        <w:rPr>
          <w:rFonts w:eastAsiaTheme="minorHAnsi" w:cstheme="minorBidi"/>
          <w:b/>
          <w:smallCaps/>
          <w:szCs w:val="24"/>
          <w:lang w:eastAsia="en-US"/>
        </w:rPr>
        <w:t xml:space="preserve"> </w:t>
      </w:r>
      <w:proofErr w:type="spellStart"/>
      <w:r w:rsidRPr="00612B10">
        <w:rPr>
          <w:rFonts w:eastAsiaTheme="minorHAnsi" w:cstheme="minorBidi"/>
          <w:b/>
          <w:smallCaps/>
          <w:szCs w:val="24"/>
          <w:lang w:eastAsia="en-US"/>
        </w:rPr>
        <w:t>française</w:t>
      </w:r>
      <w:proofErr w:type="spellEnd"/>
      <w:r w:rsidRPr="00612B10">
        <w:rPr>
          <w:rFonts w:eastAsiaTheme="minorHAnsi" w:cstheme="minorBidi"/>
          <w:b/>
          <w:smallCaps/>
          <w:szCs w:val="24"/>
          <w:lang w:eastAsia="en-US"/>
        </w:rPr>
        <w:t xml:space="preserve"> </w:t>
      </w:r>
      <w:proofErr w:type="spellStart"/>
      <w:r w:rsidRPr="00612B10">
        <w:rPr>
          <w:rFonts w:eastAsiaTheme="minorHAnsi" w:cstheme="minorBidi"/>
          <w:b/>
          <w:smallCaps/>
          <w:szCs w:val="24"/>
          <w:lang w:eastAsia="en-US"/>
        </w:rPr>
        <w:t>officielle</w:t>
      </w:r>
      <w:proofErr w:type="spellEnd"/>
    </w:p>
    <w:p w:rsidR="00614F17" w:rsidRPr="00612B10" w:rsidRDefault="00614F17" w:rsidP="00614F17">
      <w:pPr>
        <w:rPr>
          <w:rFonts w:eastAsiaTheme="minorHAnsi" w:cstheme="minorBidi"/>
          <w:szCs w:val="24"/>
          <w:lang w:eastAsia="en-US"/>
        </w:rPr>
      </w:pPr>
    </w:p>
    <w:p w:rsidR="00614F17" w:rsidRPr="00614F17" w:rsidRDefault="00614F17" w:rsidP="00614F17">
      <w:pPr>
        <w:rPr>
          <w:rFonts w:eastAsiaTheme="minorHAnsi" w:cstheme="minorBidi"/>
          <w:szCs w:val="24"/>
          <w:lang w:val="fr-CA" w:eastAsia="en-US"/>
        </w:rPr>
      </w:pPr>
      <w:r w:rsidRPr="00614F17">
        <w:rPr>
          <w:rFonts w:eastAsiaTheme="minorHAnsi" w:cstheme="minorBidi"/>
          <w:b/>
          <w:smallCaps/>
          <w:szCs w:val="24"/>
          <w:lang w:val="fr-CA" w:eastAsia="en-US"/>
        </w:rPr>
        <w:t>Coram :</w:t>
      </w:r>
      <w:r w:rsidRPr="00614F17">
        <w:rPr>
          <w:rFonts w:eastAsiaTheme="minorHAnsi" w:cstheme="minorBidi"/>
          <w:szCs w:val="24"/>
          <w:lang w:val="fr-CA" w:eastAsia="en-US"/>
        </w:rPr>
        <w:t xml:space="preserve"> La juge en chef </w:t>
      </w:r>
      <w:proofErr w:type="spellStart"/>
      <w:r w:rsidRPr="00614F17">
        <w:rPr>
          <w:rFonts w:eastAsiaTheme="minorHAnsi" w:cstheme="minorBidi"/>
          <w:szCs w:val="24"/>
          <w:lang w:val="fr-CA" w:eastAsia="en-US"/>
        </w:rPr>
        <w:t>McLachlin</w:t>
      </w:r>
      <w:proofErr w:type="spellEnd"/>
      <w:r w:rsidRPr="00614F17">
        <w:rPr>
          <w:rFonts w:eastAsiaTheme="minorHAnsi" w:cstheme="minorBidi"/>
          <w:szCs w:val="24"/>
          <w:lang w:val="fr-CA" w:eastAsia="en-US"/>
        </w:rPr>
        <w:t xml:space="preserve"> et les juges Deschamps, Fish, Abella, Charron, </w:t>
      </w:r>
      <w:proofErr w:type="spellStart"/>
      <w:r w:rsidRPr="00614F17">
        <w:rPr>
          <w:rFonts w:eastAsiaTheme="minorHAnsi" w:cstheme="minorBidi"/>
          <w:szCs w:val="24"/>
          <w:lang w:val="fr-CA" w:eastAsia="en-US"/>
        </w:rPr>
        <w:t>Rothstein</w:t>
      </w:r>
      <w:proofErr w:type="spellEnd"/>
      <w:r w:rsidRPr="00614F17">
        <w:rPr>
          <w:rFonts w:eastAsiaTheme="minorHAnsi" w:cstheme="minorBidi"/>
          <w:szCs w:val="24"/>
          <w:lang w:val="fr-CA" w:eastAsia="en-US"/>
        </w:rPr>
        <w:t xml:space="preserve"> et Cromwell</w:t>
      </w:r>
    </w:p>
    <w:p w:rsidR="00614F17" w:rsidRPr="00614F17" w:rsidRDefault="00614F17" w:rsidP="00614F17">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14F17" w:rsidRPr="00614F17" w:rsidTr="00F943DD">
        <w:trPr>
          <w:cantSplit/>
        </w:trPr>
        <w:tc>
          <w:tcPr>
            <w:tcW w:w="3618" w:type="dxa"/>
          </w:tcPr>
          <w:p w:rsidR="00614F17" w:rsidRPr="00614F17" w:rsidRDefault="00614F17" w:rsidP="00F943DD">
            <w:pPr>
              <w:rPr>
                <w:b/>
                <w:smallCaps/>
                <w:lang w:val="fr-CA"/>
              </w:rPr>
            </w:pPr>
            <w:r w:rsidRPr="00614F17">
              <w:rPr>
                <w:b/>
                <w:smallCaps/>
                <w:lang w:val="fr-CA"/>
              </w:rPr>
              <w:t>Motifs de jugement :</w:t>
            </w:r>
          </w:p>
          <w:p w:rsidR="00614F17" w:rsidRPr="00614F17" w:rsidRDefault="00614F17" w:rsidP="00F943DD">
            <w:pPr>
              <w:rPr>
                <w:lang w:val="fr-CA"/>
              </w:rPr>
            </w:pPr>
            <w:r w:rsidRPr="00614F17">
              <w:rPr>
                <w:lang w:val="fr-CA"/>
              </w:rPr>
              <w:t>(par. 1 à 4)</w:t>
            </w:r>
          </w:p>
          <w:p w:rsidR="00614F17" w:rsidRPr="00614F17" w:rsidRDefault="00614F17" w:rsidP="00F943DD">
            <w:pPr>
              <w:rPr>
                <w:lang w:val="fr-CA"/>
              </w:rPr>
            </w:pPr>
          </w:p>
          <w:p w:rsidR="00614F17" w:rsidRPr="00612B10" w:rsidRDefault="00614F17" w:rsidP="00F943DD">
            <w:pPr>
              <w:rPr>
                <w:b/>
                <w:smallCaps/>
              </w:rPr>
            </w:pPr>
            <w:r w:rsidRPr="00612B10">
              <w:rPr>
                <w:b/>
                <w:smallCaps/>
              </w:rPr>
              <w:t>Motifs dissidents :</w:t>
            </w:r>
          </w:p>
          <w:p w:rsidR="00614F17" w:rsidRPr="00612B10" w:rsidRDefault="00614F17" w:rsidP="00F943DD">
            <w:pPr>
              <w:rPr>
                <w:b/>
                <w:smallCaps/>
              </w:rPr>
            </w:pPr>
            <w:r w:rsidRPr="00612B10">
              <w:t>(par. 5 à 27)</w:t>
            </w:r>
          </w:p>
        </w:tc>
        <w:tc>
          <w:tcPr>
            <w:tcW w:w="5958" w:type="dxa"/>
          </w:tcPr>
          <w:p w:rsidR="00614F17" w:rsidRPr="00614F17" w:rsidRDefault="00614F17" w:rsidP="00F943DD">
            <w:pPr>
              <w:rPr>
                <w:lang w:val="fr-CA"/>
              </w:rPr>
            </w:pPr>
            <w:r w:rsidRPr="00614F17">
              <w:rPr>
                <w:lang w:val="fr-CA"/>
              </w:rPr>
              <w:t xml:space="preserve">Le juge Cromwell (avec l’accord des juges Abella, Charron et </w:t>
            </w:r>
            <w:proofErr w:type="spellStart"/>
            <w:r w:rsidRPr="00614F17">
              <w:rPr>
                <w:lang w:val="fr-CA"/>
              </w:rPr>
              <w:t>Rothstein</w:t>
            </w:r>
            <w:proofErr w:type="spellEnd"/>
            <w:r w:rsidRPr="00614F17">
              <w:rPr>
                <w:lang w:val="fr-CA"/>
              </w:rPr>
              <w:t>)</w:t>
            </w:r>
          </w:p>
          <w:p w:rsidR="00614F17" w:rsidRPr="00614F17" w:rsidRDefault="00614F17" w:rsidP="00F943DD">
            <w:pPr>
              <w:rPr>
                <w:lang w:val="fr-CA"/>
              </w:rPr>
            </w:pPr>
          </w:p>
          <w:p w:rsidR="00614F17" w:rsidRPr="00614F17" w:rsidRDefault="00614F17" w:rsidP="00F943DD">
            <w:pPr>
              <w:rPr>
                <w:lang w:val="fr-CA"/>
              </w:rPr>
            </w:pPr>
            <w:r w:rsidRPr="00614F17">
              <w:rPr>
                <w:lang w:val="fr-CA"/>
              </w:rPr>
              <w:t xml:space="preserve">Le juge Fish (avec l’accord de la juge en chef </w:t>
            </w:r>
            <w:proofErr w:type="spellStart"/>
            <w:r w:rsidRPr="00614F17">
              <w:rPr>
                <w:lang w:val="fr-CA"/>
              </w:rPr>
              <w:t>McLachlin</w:t>
            </w:r>
            <w:proofErr w:type="spellEnd"/>
            <w:r w:rsidRPr="00614F17">
              <w:rPr>
                <w:lang w:val="fr-CA"/>
              </w:rPr>
              <w:t xml:space="preserve"> et la juge Deschamps)</w:t>
            </w:r>
          </w:p>
        </w:tc>
      </w:tr>
    </w:tbl>
    <w:p w:rsidR="00614F17" w:rsidRPr="00614F17" w:rsidRDefault="00614F17" w:rsidP="00614F17">
      <w:pPr>
        <w:rPr>
          <w:rFonts w:eastAsiaTheme="minorHAnsi" w:cstheme="minorBidi"/>
          <w:szCs w:val="24"/>
          <w:lang w:val="fr-CA" w:eastAsia="en-US"/>
        </w:rPr>
      </w:pPr>
    </w:p>
    <w:p w:rsidR="00614F17" w:rsidRPr="00614F17" w:rsidRDefault="00614F17" w:rsidP="00614F17">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14F17" w:rsidRPr="00614F17" w:rsidRDefault="00614F17" w:rsidP="00614F17">
      <w:pPr>
        <w:rPr>
          <w:rStyle w:val="SCCAppellantForRunningHeadChar"/>
          <w:lang w:val="fr-CA"/>
        </w:rPr>
      </w:pPr>
      <w:r w:rsidRPr="00614F17">
        <w:rPr>
          <w:rStyle w:val="SCCAppellantForRunningHeadChar"/>
          <w:lang w:val="fr-CA"/>
        </w:rPr>
        <w:br w:type="page"/>
      </w:r>
    </w:p>
    <w:p w:rsidR="008322BD" w:rsidRPr="00E576FA" w:rsidRDefault="00E576FA" w:rsidP="000377A2">
      <w:pPr>
        <w:spacing w:line="480" w:lineRule="auto"/>
        <w:jc w:val="both"/>
        <w:rPr>
          <w:rStyle w:val="SCCAppellantForRunningHeadChar"/>
          <w:lang w:val="en-US"/>
        </w:rPr>
      </w:pPr>
      <w:r w:rsidRPr="00E576FA">
        <w:rPr>
          <w:lang w:val="en-US"/>
        </w:rPr>
        <w:lastRenderedPageBreak/>
        <w:t xml:space="preserve">R. </w:t>
      </w:r>
      <w:r w:rsidRPr="00E576FA">
        <w:rPr>
          <w:i/>
          <w:lang w:val="en-US"/>
        </w:rPr>
        <w:t xml:space="preserve">c. </w:t>
      </w:r>
      <w:proofErr w:type="spellStart"/>
      <w:r w:rsidRPr="00E576FA">
        <w:rPr>
          <w:rStyle w:val="SCCAppellantForIndexChar"/>
          <w:b w:val="0"/>
          <w:lang w:val="en-US"/>
        </w:rPr>
        <w:t>Miljevic</w:t>
      </w:r>
      <w:proofErr w:type="spellEnd"/>
      <w:r w:rsidRPr="00E576FA">
        <w:rPr>
          <w:rStyle w:val="SCCAppellantForRunningHeadChar"/>
          <w:lang w:val="en-US"/>
        </w:rPr>
        <w:t xml:space="preserve">, </w:t>
      </w:r>
      <w:r w:rsidRPr="00E576FA">
        <w:rPr>
          <w:rStyle w:val="SCCRespondentForIndexChar"/>
          <w:b w:val="0"/>
          <w:lang w:val="en-US"/>
        </w:rPr>
        <w:t xml:space="preserve">2011 CSC </w:t>
      </w:r>
      <w:r>
        <w:rPr>
          <w:rStyle w:val="SCCRespondentForIndexChar"/>
          <w:b w:val="0"/>
          <w:lang w:val="en-US"/>
        </w:rPr>
        <w:t>8</w:t>
      </w:r>
      <w:r w:rsidRPr="00E576FA">
        <w:rPr>
          <w:rStyle w:val="SCCRespondentForIndexChar"/>
          <w:b w:val="0"/>
          <w:lang w:val="en-US"/>
        </w:rPr>
        <w:t>, [2011] 1 R.C.S. 2</w:t>
      </w:r>
      <w:r>
        <w:rPr>
          <w:rStyle w:val="SCCRespondentForIndexChar"/>
          <w:b w:val="0"/>
          <w:lang w:val="en-US"/>
        </w:rPr>
        <w:t>03</w:t>
      </w:r>
    </w:p>
    <w:p w:rsidR="00351C28" w:rsidRPr="00E576FA" w:rsidRDefault="00351C28" w:rsidP="000377A2">
      <w:pPr>
        <w:spacing w:line="480" w:lineRule="auto"/>
        <w:jc w:val="both"/>
        <w:rPr>
          <w:lang w:val="en-US"/>
        </w:rPr>
      </w:pPr>
    </w:p>
    <w:p w:rsidR="00D960C4" w:rsidRPr="003B74BD" w:rsidRDefault="004204FF" w:rsidP="003B74BD">
      <w:pPr>
        <w:pStyle w:val="SCCLsocParty"/>
        <w:tabs>
          <w:tab w:val="right" w:pos="8280"/>
        </w:tabs>
        <w:rPr>
          <w:lang w:val="fr-CA"/>
        </w:rPr>
      </w:pPr>
      <w:r w:rsidRPr="003B74BD">
        <w:rPr>
          <w:b/>
          <w:lang w:val="fr-CA"/>
        </w:rPr>
        <w:t xml:space="preserve">Marko </w:t>
      </w:r>
      <w:proofErr w:type="spellStart"/>
      <w:r w:rsidRPr="003B74BD">
        <w:rPr>
          <w:b/>
          <w:lang w:val="fr-CA"/>
        </w:rPr>
        <w:t>Miljevic</w:t>
      </w:r>
      <w:proofErr w:type="spellEnd"/>
      <w:r w:rsidR="00351C28" w:rsidRPr="003B74BD">
        <w:rPr>
          <w:lang w:val="fr-CA"/>
        </w:rPr>
        <w:tab/>
      </w:r>
      <w:r w:rsidRPr="003B74BD">
        <w:rPr>
          <w:i/>
          <w:lang w:val="fr-CA"/>
        </w:rPr>
        <w:t>Appelant</w:t>
      </w:r>
      <w:r w:rsidRPr="003B74BD">
        <w:rPr>
          <w:lang w:val="fr-CA"/>
        </w:rPr>
        <w:br/>
      </w:r>
    </w:p>
    <w:p w:rsidR="00D960C4" w:rsidRPr="003B74BD" w:rsidRDefault="004204FF" w:rsidP="003B74BD">
      <w:pPr>
        <w:pStyle w:val="SCCLsocVersus"/>
        <w:rPr>
          <w:i/>
          <w:lang w:val="fr-CA"/>
        </w:rPr>
      </w:pPr>
      <w:proofErr w:type="gramStart"/>
      <w:r w:rsidRPr="003B74BD">
        <w:rPr>
          <w:i/>
          <w:lang w:val="fr-CA"/>
        </w:rPr>
        <w:t>c</w:t>
      </w:r>
      <w:proofErr w:type="gramEnd"/>
      <w:r w:rsidRPr="003B74BD">
        <w:rPr>
          <w:i/>
          <w:lang w:val="fr-CA"/>
        </w:rPr>
        <w:t>.</w:t>
      </w:r>
      <w:r w:rsidRPr="003B74BD">
        <w:rPr>
          <w:i/>
          <w:lang w:val="fr-CA"/>
        </w:rPr>
        <w:br/>
      </w:r>
    </w:p>
    <w:p w:rsidR="00D960C4" w:rsidRPr="003B74BD" w:rsidRDefault="004204FF" w:rsidP="003B74BD">
      <w:pPr>
        <w:pStyle w:val="SCCLsocParty"/>
        <w:tabs>
          <w:tab w:val="right" w:pos="8280"/>
        </w:tabs>
        <w:rPr>
          <w:lang w:val="fr-CA"/>
        </w:rPr>
      </w:pPr>
      <w:r w:rsidRPr="003B74BD">
        <w:rPr>
          <w:b/>
          <w:lang w:val="fr-CA"/>
        </w:rPr>
        <w:t>Sa Majesté la Reine</w:t>
      </w:r>
      <w:r w:rsidR="00351C28" w:rsidRPr="003B74BD">
        <w:rPr>
          <w:lang w:val="fr-CA"/>
        </w:rPr>
        <w:tab/>
      </w:r>
      <w:r w:rsidRPr="003B74BD">
        <w:rPr>
          <w:i/>
          <w:lang w:val="fr-CA"/>
        </w:rPr>
        <w:t>Intimé</w:t>
      </w:r>
      <w:r w:rsidR="00351C28" w:rsidRPr="003B74BD">
        <w:rPr>
          <w:i/>
          <w:lang w:val="fr-CA"/>
        </w:rPr>
        <w:t>e</w:t>
      </w:r>
    </w:p>
    <w:p w:rsidR="00766D14" w:rsidRPr="003B74BD" w:rsidRDefault="00766D14" w:rsidP="000377A2">
      <w:pPr>
        <w:spacing w:line="480" w:lineRule="auto"/>
        <w:jc w:val="both"/>
        <w:rPr>
          <w:lang w:val="fr-CA"/>
        </w:rPr>
      </w:pPr>
    </w:p>
    <w:p w:rsidR="00351C28" w:rsidRPr="003B74BD" w:rsidRDefault="0043088E" w:rsidP="000377A2">
      <w:pPr>
        <w:spacing w:line="480" w:lineRule="auto"/>
        <w:jc w:val="both"/>
        <w:rPr>
          <w:b/>
          <w:i/>
          <w:lang w:val="fr-CA"/>
        </w:rPr>
      </w:pPr>
      <w:r w:rsidRPr="003B74BD">
        <w:rPr>
          <w:b/>
          <w:lang w:val="fr-CA"/>
        </w:rPr>
        <w:t>Répertorié</w:t>
      </w:r>
      <w:r w:rsidR="00C67CA5" w:rsidRPr="003B74BD">
        <w:rPr>
          <w:b/>
          <w:lang w:val="fr-CA"/>
        </w:rPr>
        <w:t> </w:t>
      </w:r>
      <w:r w:rsidR="00426659" w:rsidRPr="003B74BD">
        <w:rPr>
          <w:b/>
          <w:lang w:val="fr-CA"/>
        </w:rPr>
        <w:t>:</w:t>
      </w:r>
      <w:r w:rsidR="00C67CA5" w:rsidRPr="003B74BD">
        <w:rPr>
          <w:b/>
          <w:lang w:val="fr-CA"/>
        </w:rPr>
        <w:t> </w:t>
      </w:r>
      <w:r w:rsidR="00351C28" w:rsidRPr="003B74BD">
        <w:rPr>
          <w:b/>
          <w:lang w:val="fr-CA"/>
        </w:rPr>
        <w:t xml:space="preserve">R. </w:t>
      </w:r>
      <w:r w:rsidR="00351C28" w:rsidRPr="003B74BD">
        <w:rPr>
          <w:b/>
          <w:i/>
          <w:lang w:val="fr-CA"/>
        </w:rPr>
        <w:t xml:space="preserve">c. </w:t>
      </w:r>
      <w:proofErr w:type="spellStart"/>
      <w:r w:rsidRPr="003B74BD">
        <w:rPr>
          <w:rStyle w:val="SCCAppellantForIndexChar"/>
          <w:lang w:val="fr-CA"/>
        </w:rPr>
        <w:t>Miljevic</w:t>
      </w:r>
      <w:proofErr w:type="spellEnd"/>
    </w:p>
    <w:p w:rsidR="00426659" w:rsidRPr="003B74BD" w:rsidRDefault="00426659" w:rsidP="000377A2">
      <w:pPr>
        <w:spacing w:line="480" w:lineRule="auto"/>
        <w:jc w:val="both"/>
        <w:rPr>
          <w:lang w:val="fr-CA"/>
        </w:rPr>
      </w:pPr>
    </w:p>
    <w:p w:rsidR="00426659" w:rsidRPr="003B74BD" w:rsidRDefault="00C0663B" w:rsidP="000377A2">
      <w:pPr>
        <w:pStyle w:val="SCCSystemYear"/>
        <w:spacing w:line="480" w:lineRule="auto"/>
        <w:jc w:val="both"/>
        <w:rPr>
          <w:lang w:val="fr-CA"/>
        </w:rPr>
      </w:pPr>
      <w:r w:rsidRPr="003B74BD">
        <w:rPr>
          <w:lang w:val="fr-CA"/>
        </w:rPr>
        <w:t>201</w:t>
      </w:r>
      <w:r w:rsidR="00351C28" w:rsidRPr="003B74BD">
        <w:rPr>
          <w:lang w:val="fr-CA"/>
        </w:rPr>
        <w:t>1</w:t>
      </w:r>
      <w:r w:rsidR="00EE0FAF" w:rsidRPr="003B74BD">
        <w:rPr>
          <w:lang w:val="fr-CA"/>
        </w:rPr>
        <w:t xml:space="preserve"> </w:t>
      </w:r>
      <w:r w:rsidR="00C71F58" w:rsidRPr="003B74BD">
        <w:rPr>
          <w:lang w:val="fr-CA"/>
        </w:rPr>
        <w:t>C</w:t>
      </w:r>
      <w:r w:rsidR="00426659" w:rsidRPr="003B74BD">
        <w:rPr>
          <w:lang w:val="fr-CA"/>
        </w:rPr>
        <w:t>SC </w:t>
      </w:r>
      <w:r w:rsidR="00B03FA1" w:rsidRPr="003B74BD">
        <w:rPr>
          <w:lang w:val="fr-CA"/>
        </w:rPr>
        <w:t>8</w:t>
      </w:r>
    </w:p>
    <w:p w:rsidR="00426659" w:rsidRPr="003B74BD" w:rsidRDefault="00426659" w:rsidP="000377A2">
      <w:pPr>
        <w:spacing w:line="480" w:lineRule="auto"/>
        <w:jc w:val="both"/>
        <w:rPr>
          <w:lang w:val="fr-CA"/>
        </w:rPr>
      </w:pPr>
    </w:p>
    <w:p w:rsidR="008322BD" w:rsidRPr="003B74BD" w:rsidRDefault="009B57B3" w:rsidP="000377A2">
      <w:pPr>
        <w:spacing w:line="480" w:lineRule="auto"/>
        <w:jc w:val="both"/>
        <w:rPr>
          <w:lang w:val="fr-CA"/>
        </w:rPr>
      </w:pPr>
      <w:r w:rsidRPr="003B74BD">
        <w:rPr>
          <w:lang w:val="fr-CA"/>
        </w:rPr>
        <w:t>N</w:t>
      </w:r>
      <w:r w:rsidRPr="003B74BD">
        <w:rPr>
          <w:vertAlign w:val="superscript"/>
          <w:lang w:val="fr-CA"/>
        </w:rPr>
        <w:t>o</w:t>
      </w:r>
      <w:r w:rsidR="0043088E" w:rsidRPr="003B74BD">
        <w:rPr>
          <w:lang w:val="fr-CA"/>
        </w:rPr>
        <w:t xml:space="preserve"> du greffe</w:t>
      </w:r>
      <w:r w:rsidR="00C67CA5" w:rsidRPr="003B74BD">
        <w:rPr>
          <w:lang w:val="fr-CA"/>
        </w:rPr>
        <w:t> </w:t>
      </w:r>
      <w:r w:rsidRPr="003B74BD">
        <w:rPr>
          <w:lang w:val="fr-CA"/>
        </w:rPr>
        <w:t>:</w:t>
      </w:r>
      <w:r w:rsidR="00C67CA5" w:rsidRPr="003B74BD">
        <w:rPr>
          <w:lang w:val="fr-CA"/>
        </w:rPr>
        <w:t> </w:t>
      </w:r>
      <w:r w:rsidRPr="003B74BD">
        <w:rPr>
          <w:lang w:val="fr-CA"/>
        </w:rPr>
        <w:t>33714.</w:t>
      </w:r>
    </w:p>
    <w:p w:rsidR="00E97830" w:rsidRPr="003B74BD" w:rsidRDefault="00E97830" w:rsidP="000377A2">
      <w:pPr>
        <w:spacing w:line="480" w:lineRule="auto"/>
        <w:jc w:val="both"/>
        <w:rPr>
          <w:lang w:val="fr-CA"/>
        </w:rPr>
      </w:pPr>
    </w:p>
    <w:p w:rsidR="008322BD" w:rsidRPr="003B74BD" w:rsidRDefault="00D3287E" w:rsidP="000377A2">
      <w:pPr>
        <w:spacing w:line="480" w:lineRule="auto"/>
        <w:jc w:val="both"/>
        <w:rPr>
          <w:lang w:val="fr-CA"/>
        </w:rPr>
      </w:pPr>
      <w:r w:rsidRPr="003B74BD">
        <w:rPr>
          <w:lang w:val="fr-CA"/>
        </w:rPr>
        <w:t>2010 </w:t>
      </w:r>
      <w:r w:rsidR="00C0663B" w:rsidRPr="003B74BD">
        <w:rPr>
          <w:lang w:val="fr-CA"/>
        </w:rPr>
        <w:t>:</w:t>
      </w:r>
      <w:r w:rsidRPr="003B74BD">
        <w:rPr>
          <w:lang w:val="fr-CA"/>
        </w:rPr>
        <w:t> </w:t>
      </w:r>
      <w:r w:rsidR="00C0663B" w:rsidRPr="003B74BD">
        <w:rPr>
          <w:lang w:val="fr-CA"/>
        </w:rPr>
        <w:t>17</w:t>
      </w:r>
      <w:r w:rsidRPr="003B74BD">
        <w:rPr>
          <w:lang w:val="fr-CA"/>
        </w:rPr>
        <w:t> </w:t>
      </w:r>
      <w:r w:rsidR="00C0663B" w:rsidRPr="003B74BD">
        <w:rPr>
          <w:lang w:val="fr-CA"/>
        </w:rPr>
        <w:t>décembre</w:t>
      </w:r>
      <w:r w:rsidR="009B57B3" w:rsidRPr="003B74BD">
        <w:rPr>
          <w:lang w:val="fr-CA"/>
        </w:rPr>
        <w:t xml:space="preserve">; </w:t>
      </w:r>
      <w:r w:rsidR="00351C28" w:rsidRPr="003B74BD">
        <w:rPr>
          <w:lang w:val="fr-CA"/>
        </w:rPr>
        <w:t>2011 :</w:t>
      </w:r>
      <w:r w:rsidRPr="003B74BD">
        <w:rPr>
          <w:lang w:val="fr-CA"/>
        </w:rPr>
        <w:t> </w:t>
      </w:r>
      <w:r w:rsidR="002652D5" w:rsidRPr="003B74BD">
        <w:rPr>
          <w:lang w:val="fr-CA"/>
        </w:rPr>
        <w:t>16 février</w:t>
      </w:r>
      <w:r w:rsidR="009B57B3" w:rsidRPr="003B74BD">
        <w:rPr>
          <w:lang w:val="fr-CA"/>
        </w:rPr>
        <w:t>.</w:t>
      </w:r>
    </w:p>
    <w:p w:rsidR="00E97830" w:rsidRPr="003B74BD" w:rsidRDefault="00E97830" w:rsidP="000377A2">
      <w:pPr>
        <w:spacing w:line="480" w:lineRule="auto"/>
        <w:jc w:val="both"/>
        <w:rPr>
          <w:lang w:val="fr-CA"/>
        </w:rPr>
      </w:pPr>
    </w:p>
    <w:p w:rsidR="007834A8" w:rsidRPr="003B74BD" w:rsidRDefault="009B57B3" w:rsidP="00D3287E">
      <w:pPr>
        <w:spacing w:after="240"/>
        <w:jc w:val="both"/>
        <w:rPr>
          <w:lang w:val="fr-CA"/>
        </w:rPr>
      </w:pPr>
      <w:r w:rsidRPr="003B74BD">
        <w:rPr>
          <w:lang w:val="fr-CA"/>
        </w:rPr>
        <w:t>Pr</w:t>
      </w:r>
      <w:r w:rsidR="0043088E" w:rsidRPr="003B74BD">
        <w:rPr>
          <w:lang w:val="fr-CA"/>
        </w:rPr>
        <w:t>é</w:t>
      </w:r>
      <w:r w:rsidRPr="003B74BD">
        <w:rPr>
          <w:lang w:val="fr-CA"/>
        </w:rPr>
        <w:t>sent</w:t>
      </w:r>
      <w:r w:rsidR="008A6558" w:rsidRPr="003B74BD">
        <w:rPr>
          <w:lang w:val="fr-CA"/>
        </w:rPr>
        <w:t>s</w:t>
      </w:r>
      <w:r w:rsidR="00C67CA5" w:rsidRPr="003B74BD">
        <w:rPr>
          <w:lang w:val="fr-CA"/>
        </w:rPr>
        <w:t> </w:t>
      </w:r>
      <w:r w:rsidRPr="003B74BD">
        <w:rPr>
          <w:lang w:val="fr-CA"/>
        </w:rPr>
        <w:t>:</w:t>
      </w:r>
      <w:r w:rsidR="00C67CA5" w:rsidRPr="003B74BD">
        <w:rPr>
          <w:lang w:val="fr-CA"/>
        </w:rPr>
        <w:t> </w:t>
      </w:r>
      <w:r w:rsidRPr="003B74BD">
        <w:rPr>
          <w:lang w:val="fr-CA"/>
        </w:rPr>
        <w:t xml:space="preserve">La juge en chef </w:t>
      </w:r>
      <w:proofErr w:type="spellStart"/>
      <w:r w:rsidRPr="003B74BD">
        <w:rPr>
          <w:lang w:val="fr-CA"/>
        </w:rPr>
        <w:t>McLachlin</w:t>
      </w:r>
      <w:proofErr w:type="spellEnd"/>
      <w:r w:rsidRPr="003B74BD">
        <w:rPr>
          <w:lang w:val="fr-CA"/>
        </w:rPr>
        <w:t xml:space="preserve"> et les juges Deschamps, Fish, Abella, Charron, </w:t>
      </w:r>
      <w:proofErr w:type="spellStart"/>
      <w:r w:rsidRPr="003B74BD">
        <w:rPr>
          <w:lang w:val="fr-CA"/>
        </w:rPr>
        <w:t>Rothstein</w:t>
      </w:r>
      <w:proofErr w:type="spellEnd"/>
      <w:r w:rsidRPr="003B74BD">
        <w:rPr>
          <w:lang w:val="fr-CA"/>
        </w:rPr>
        <w:t xml:space="preserve"> et Cromwell.</w:t>
      </w:r>
    </w:p>
    <w:p w:rsidR="00351C28" w:rsidRPr="003B74BD" w:rsidRDefault="00351C28" w:rsidP="000377A2">
      <w:pPr>
        <w:spacing w:line="480" w:lineRule="auto"/>
        <w:jc w:val="both"/>
        <w:rPr>
          <w:lang w:val="fr-CA"/>
        </w:rPr>
      </w:pPr>
    </w:p>
    <w:p w:rsidR="003A4C70" w:rsidRPr="003B74BD" w:rsidRDefault="00AC7437" w:rsidP="000377A2">
      <w:pPr>
        <w:pStyle w:val="SCCLowerCourtNameLowercase"/>
        <w:rPr>
          <w:lang w:val="fr-CA"/>
        </w:rPr>
      </w:pPr>
      <w:r w:rsidRPr="003B74BD">
        <w:rPr>
          <w:lang w:val="fr-CA"/>
        </w:rPr>
        <w:t>e</w:t>
      </w:r>
      <w:r w:rsidR="00855307" w:rsidRPr="003B74BD">
        <w:rPr>
          <w:lang w:val="fr-CA"/>
        </w:rPr>
        <w:t>n</w:t>
      </w:r>
      <w:r w:rsidR="00224FC0" w:rsidRPr="003B74BD">
        <w:rPr>
          <w:lang w:val="fr-CA"/>
        </w:rPr>
        <w:t xml:space="preserve"> </w:t>
      </w:r>
      <w:r w:rsidR="00855307" w:rsidRPr="003B74BD">
        <w:rPr>
          <w:lang w:val="fr-CA"/>
        </w:rPr>
        <w:t>appel</w:t>
      </w:r>
      <w:r w:rsidR="00224FC0" w:rsidRPr="003B74BD">
        <w:rPr>
          <w:lang w:val="fr-CA"/>
        </w:rPr>
        <w:t xml:space="preserve"> </w:t>
      </w:r>
      <w:r w:rsidR="00855307" w:rsidRPr="003B74BD">
        <w:rPr>
          <w:lang w:val="fr-CA"/>
        </w:rPr>
        <w:t>de</w:t>
      </w:r>
      <w:r w:rsidR="0043088E" w:rsidRPr="003B74BD">
        <w:rPr>
          <w:lang w:val="fr-CA"/>
        </w:rPr>
        <w:t xml:space="preserve"> </w:t>
      </w:r>
      <w:r w:rsidR="00855307" w:rsidRPr="003B74BD">
        <w:rPr>
          <w:lang w:val="fr-CA"/>
        </w:rPr>
        <w:t>la</w:t>
      </w:r>
      <w:r w:rsidR="00224FC0" w:rsidRPr="003B74BD">
        <w:rPr>
          <w:lang w:val="fr-CA"/>
        </w:rPr>
        <w:t xml:space="preserve"> </w:t>
      </w:r>
      <w:r w:rsidR="009B57B3" w:rsidRPr="003B74BD">
        <w:rPr>
          <w:lang w:val="fr-CA"/>
        </w:rPr>
        <w:t>cour d</w:t>
      </w:r>
      <w:r w:rsidR="00351C28" w:rsidRPr="003B74BD">
        <w:rPr>
          <w:lang w:val="fr-CA"/>
        </w:rPr>
        <w:t>’</w:t>
      </w:r>
      <w:r w:rsidR="009B57B3" w:rsidRPr="003B74BD">
        <w:rPr>
          <w:lang w:val="fr-CA"/>
        </w:rPr>
        <w:t>appel de l’</w:t>
      </w:r>
      <w:proofErr w:type="spellStart"/>
      <w:r w:rsidR="009B57B3" w:rsidRPr="003B74BD">
        <w:rPr>
          <w:lang w:val="fr-CA"/>
        </w:rPr>
        <w:t>alberta</w:t>
      </w:r>
      <w:proofErr w:type="spellEnd"/>
    </w:p>
    <w:p w:rsidR="00351C28" w:rsidRPr="003B74BD" w:rsidRDefault="00351C28" w:rsidP="000377A2">
      <w:pPr>
        <w:pStyle w:val="SCCNormalDoubleSpacing"/>
        <w:rPr>
          <w:lang w:val="fr-CA"/>
        </w:rPr>
      </w:pPr>
    </w:p>
    <w:p w:rsidR="006902DE" w:rsidRPr="003B74BD" w:rsidRDefault="006902DE" w:rsidP="006902DE">
      <w:pPr>
        <w:pStyle w:val="SCCNormalDoubleSpacing"/>
        <w:spacing w:after="480"/>
        <w:rPr>
          <w:i/>
          <w:lang w:val="fr-CA"/>
        </w:rPr>
      </w:pPr>
      <w:r w:rsidRPr="003B74BD">
        <w:rPr>
          <w:lang w:val="fr-CA"/>
        </w:rPr>
        <w:tab/>
      </w:r>
      <w:r w:rsidRPr="003B74BD">
        <w:rPr>
          <w:i/>
          <w:lang w:val="fr-CA"/>
        </w:rPr>
        <w:t xml:space="preserve">Droit </w:t>
      </w:r>
      <w:r w:rsidR="000A7980" w:rsidRPr="003B74BD">
        <w:rPr>
          <w:i/>
          <w:lang w:val="fr-CA"/>
        </w:rPr>
        <w:t xml:space="preserve">criminel </w:t>
      </w:r>
      <w:r w:rsidRPr="003B74BD">
        <w:rPr>
          <w:i/>
          <w:lang w:val="fr-CA" w:eastAsia="en-US"/>
        </w:rPr>
        <w:t>— Procès — Exposé au jury — Questions du jury — Le juge du procès a-t-il commis une erreur en répondant aux questions du jury?</w:t>
      </w:r>
    </w:p>
    <w:p w:rsidR="006902DE" w:rsidRPr="003B74BD" w:rsidRDefault="006902DE" w:rsidP="006902DE">
      <w:pPr>
        <w:pStyle w:val="SCCNormalDoubleSpacing"/>
        <w:spacing w:after="480"/>
        <w:rPr>
          <w:lang w:val="fr-CA"/>
        </w:rPr>
      </w:pPr>
      <w:r w:rsidRPr="003B74BD">
        <w:rPr>
          <w:bCs/>
          <w:color w:val="000000"/>
          <w:szCs w:val="24"/>
          <w:lang w:val="fr-CA"/>
        </w:rPr>
        <w:lastRenderedPageBreak/>
        <w:tab/>
        <w:t xml:space="preserve">L’accusé était inculpé de meurtre au deuxième degré.  Au </w:t>
      </w:r>
      <w:r w:rsidR="00681F81" w:rsidRPr="003B74BD">
        <w:rPr>
          <w:bCs/>
          <w:color w:val="000000"/>
          <w:szCs w:val="24"/>
          <w:lang w:val="fr-CA"/>
        </w:rPr>
        <w:t>procè</w:t>
      </w:r>
      <w:r w:rsidR="00F52D9C" w:rsidRPr="003B74BD">
        <w:rPr>
          <w:bCs/>
          <w:color w:val="000000"/>
          <w:szCs w:val="24"/>
          <w:lang w:val="fr-CA"/>
        </w:rPr>
        <w:t>s</w:t>
      </w:r>
      <w:r w:rsidRPr="003B74BD">
        <w:rPr>
          <w:bCs/>
          <w:color w:val="000000"/>
          <w:szCs w:val="24"/>
          <w:lang w:val="fr-CA"/>
        </w:rPr>
        <w:t xml:space="preserve">, il a </w:t>
      </w:r>
      <w:r w:rsidR="000A7980" w:rsidRPr="003B74BD">
        <w:rPr>
          <w:bCs/>
          <w:color w:val="000000"/>
          <w:szCs w:val="24"/>
          <w:lang w:val="fr-CA"/>
        </w:rPr>
        <w:t xml:space="preserve">reconnu </w:t>
      </w:r>
      <w:r w:rsidR="00C836A3" w:rsidRPr="003B74BD">
        <w:rPr>
          <w:bCs/>
          <w:color w:val="000000"/>
          <w:szCs w:val="24"/>
          <w:lang w:val="fr-CA"/>
        </w:rPr>
        <w:t>être coupable d’homicide involontaire coupable, mais il soutenait ne pas avoir eu l’état d’esprit requis pour commettre un meurtre.  Pendant ses délibérations, le jury a demandé au juge du procès de lui expliquer la différence entre un homicide involontaire coupable et un meurtre au deuxième degré et de lui donner des exemples et</w:t>
      </w:r>
      <w:r w:rsidR="00C836A3" w:rsidRPr="003B74BD">
        <w:rPr>
          <w:lang w:val="fr-CA"/>
        </w:rPr>
        <w:t xml:space="preserve"> une définition précise d’un homicide involontaire coupable.  Le juge du procès a répondu à ces questions, mais n’a pas donné d’exemples ni de définition précise d’un homicide involontaire coupable.  Le jury a déclaré l’accusé coupable de meurtre au deuxième degré.</w:t>
      </w:r>
    </w:p>
    <w:p w:rsidR="006902DE" w:rsidRPr="003B74BD" w:rsidRDefault="006902DE" w:rsidP="006902DE">
      <w:pPr>
        <w:pStyle w:val="SCCNormalDoubleSpacing"/>
        <w:spacing w:after="480"/>
        <w:rPr>
          <w:lang w:val="fr-CA"/>
        </w:rPr>
      </w:pPr>
      <w:r w:rsidRPr="003B74BD">
        <w:rPr>
          <w:lang w:val="fr-CA"/>
        </w:rPr>
        <w:tab/>
      </w:r>
      <w:r w:rsidR="00C836A3" w:rsidRPr="00FD40A9">
        <w:rPr>
          <w:i/>
          <w:lang w:val="fr-CA"/>
        </w:rPr>
        <w:t>Arrêt</w:t>
      </w:r>
      <w:r w:rsidR="00124086" w:rsidRPr="003B74BD">
        <w:rPr>
          <w:lang w:val="fr-CA"/>
        </w:rPr>
        <w:t xml:space="preserve"> </w:t>
      </w:r>
      <w:r w:rsidR="00FD40A9">
        <w:rPr>
          <w:lang w:val="fr-CA"/>
        </w:rPr>
        <w:t>(</w:t>
      </w:r>
      <w:r w:rsidR="00C836A3" w:rsidRPr="003B74BD">
        <w:rPr>
          <w:lang w:val="fr-CA"/>
        </w:rPr>
        <w:t xml:space="preserve">la juge en chef </w:t>
      </w:r>
      <w:proofErr w:type="spellStart"/>
      <w:r w:rsidRPr="003B74BD">
        <w:rPr>
          <w:lang w:val="fr-CA"/>
        </w:rPr>
        <w:t>McLachlin</w:t>
      </w:r>
      <w:proofErr w:type="spellEnd"/>
      <w:r w:rsidRPr="003B74BD">
        <w:rPr>
          <w:lang w:val="fr-CA"/>
        </w:rPr>
        <w:t> </w:t>
      </w:r>
      <w:r w:rsidR="00C836A3" w:rsidRPr="003B74BD">
        <w:rPr>
          <w:lang w:val="fr-CA"/>
        </w:rPr>
        <w:t>et le</w:t>
      </w:r>
      <w:r w:rsidR="00F428D1" w:rsidRPr="003B74BD">
        <w:rPr>
          <w:lang w:val="fr-CA"/>
        </w:rPr>
        <w:t>s</w:t>
      </w:r>
      <w:r w:rsidR="00C836A3" w:rsidRPr="003B74BD">
        <w:rPr>
          <w:lang w:val="fr-CA"/>
        </w:rPr>
        <w:t xml:space="preserve"> juge</w:t>
      </w:r>
      <w:r w:rsidR="00F428D1" w:rsidRPr="003B74BD">
        <w:rPr>
          <w:lang w:val="fr-CA"/>
        </w:rPr>
        <w:t>s Deschamps et</w:t>
      </w:r>
      <w:r w:rsidR="00C836A3" w:rsidRPr="003B74BD">
        <w:rPr>
          <w:lang w:val="fr-CA"/>
        </w:rPr>
        <w:t xml:space="preserve"> </w:t>
      </w:r>
      <w:r w:rsidRPr="003B74BD">
        <w:rPr>
          <w:lang w:val="fr-CA"/>
        </w:rPr>
        <w:t>Fish</w:t>
      </w:r>
      <w:r w:rsidR="00C836A3" w:rsidRPr="003B74BD">
        <w:rPr>
          <w:lang w:val="fr-CA"/>
        </w:rPr>
        <w:t xml:space="preserve"> sont</w:t>
      </w:r>
      <w:r w:rsidRPr="003B74BD">
        <w:rPr>
          <w:lang w:val="fr-CA"/>
        </w:rPr>
        <w:t xml:space="preserve"> </w:t>
      </w:r>
      <w:r w:rsidRPr="00FD40A9">
        <w:rPr>
          <w:lang w:val="fr-CA"/>
        </w:rPr>
        <w:t>diss</w:t>
      </w:r>
      <w:r w:rsidR="00C836A3" w:rsidRPr="00FD40A9">
        <w:rPr>
          <w:lang w:val="fr-CA"/>
        </w:rPr>
        <w:t>idents</w:t>
      </w:r>
      <w:r w:rsidR="00FD40A9">
        <w:rPr>
          <w:lang w:val="fr-CA"/>
        </w:rPr>
        <w:t>)</w:t>
      </w:r>
      <w:r w:rsidR="00C836A3" w:rsidRPr="003B74BD">
        <w:rPr>
          <w:lang w:val="fr-CA"/>
        </w:rPr>
        <w:t> </w:t>
      </w:r>
      <w:r w:rsidR="00124086" w:rsidRPr="003B74BD">
        <w:rPr>
          <w:lang w:val="fr-CA"/>
        </w:rPr>
        <w:t>: Le pourvoi est rejeté.</w:t>
      </w:r>
    </w:p>
    <w:p w:rsidR="006902DE" w:rsidRPr="003B74BD" w:rsidRDefault="006902DE" w:rsidP="006902DE">
      <w:pPr>
        <w:pStyle w:val="SCCNormalDoubleSpacing"/>
        <w:spacing w:after="480"/>
        <w:rPr>
          <w:b/>
          <w:lang w:val="fr-CA"/>
        </w:rPr>
      </w:pPr>
      <w:r w:rsidRPr="003B74BD">
        <w:rPr>
          <w:i/>
          <w:lang w:val="fr-CA"/>
        </w:rPr>
        <w:tab/>
      </w:r>
      <w:r w:rsidR="00124086" w:rsidRPr="003B74BD">
        <w:rPr>
          <w:i/>
          <w:lang w:val="fr-CA"/>
        </w:rPr>
        <w:t xml:space="preserve">Les </w:t>
      </w:r>
      <w:r w:rsidR="000A7980" w:rsidRPr="003B74BD">
        <w:rPr>
          <w:lang w:val="fr-CA"/>
        </w:rPr>
        <w:t>juges</w:t>
      </w:r>
      <w:r w:rsidRPr="003B74BD">
        <w:rPr>
          <w:lang w:val="fr-CA"/>
        </w:rPr>
        <w:t xml:space="preserve"> Abella, Charron, </w:t>
      </w:r>
      <w:proofErr w:type="spellStart"/>
      <w:r w:rsidRPr="003B74BD">
        <w:rPr>
          <w:lang w:val="fr-CA"/>
        </w:rPr>
        <w:t>Rothstein</w:t>
      </w:r>
      <w:proofErr w:type="spellEnd"/>
      <w:r w:rsidRPr="003B74BD">
        <w:rPr>
          <w:lang w:val="fr-CA"/>
        </w:rPr>
        <w:t xml:space="preserve"> </w:t>
      </w:r>
      <w:r w:rsidR="00124086" w:rsidRPr="003B74BD">
        <w:rPr>
          <w:lang w:val="fr-CA"/>
        </w:rPr>
        <w:t>et</w:t>
      </w:r>
      <w:r w:rsidRPr="003B74BD">
        <w:rPr>
          <w:lang w:val="fr-CA"/>
        </w:rPr>
        <w:t xml:space="preserve"> </w:t>
      </w:r>
      <w:r w:rsidRPr="00FD40A9">
        <w:rPr>
          <w:lang w:val="fr-CA"/>
        </w:rPr>
        <w:t>Cromwell</w:t>
      </w:r>
      <w:r w:rsidR="00124086" w:rsidRPr="00FD40A9">
        <w:rPr>
          <w:lang w:val="fr-CA"/>
        </w:rPr>
        <w:t> </w:t>
      </w:r>
      <w:r w:rsidRPr="003B74BD">
        <w:rPr>
          <w:lang w:val="fr-CA"/>
        </w:rPr>
        <w:t xml:space="preserve">: </w:t>
      </w:r>
      <w:r w:rsidR="00124086" w:rsidRPr="003B74BD">
        <w:rPr>
          <w:lang w:val="fr-CA"/>
        </w:rPr>
        <w:t xml:space="preserve">Le juge du procès a répondu correctement aux questions du jury.  Il lui a expliqué que la différence entre un homicide involontaire coupable et un meurtre au deuxième degré </w:t>
      </w:r>
      <w:r w:rsidR="00124086" w:rsidRPr="003B74BD">
        <w:rPr>
          <w:szCs w:val="24"/>
          <w:lang w:val="fr-CA"/>
        </w:rPr>
        <w:t xml:space="preserve">réside dans l’état d’esprit de l’accusé. </w:t>
      </w:r>
      <w:r w:rsidR="00124086" w:rsidRPr="003B74BD">
        <w:rPr>
          <w:lang w:val="fr-CA"/>
        </w:rPr>
        <w:t xml:space="preserve"> </w:t>
      </w:r>
      <w:r w:rsidR="00124086" w:rsidRPr="003B74BD">
        <w:rPr>
          <w:szCs w:val="24"/>
          <w:lang w:val="fr-CA"/>
        </w:rPr>
        <w:t xml:space="preserve">On ne pourrait raisonnablement conclure que le jury a pu mal comprendre ce qui devait être prouvé pour lui permettre de rendre un verdict de culpabilité de meurtre au deuxième degré ou </w:t>
      </w:r>
      <w:r w:rsidR="00006140" w:rsidRPr="003B74BD">
        <w:rPr>
          <w:szCs w:val="24"/>
          <w:lang w:val="fr-CA"/>
        </w:rPr>
        <w:t>qu’</w:t>
      </w:r>
      <w:r w:rsidR="00124086" w:rsidRPr="003B74BD">
        <w:rPr>
          <w:szCs w:val="24"/>
          <w:lang w:val="fr-CA"/>
        </w:rPr>
        <w:t>il devait rendre un verdict de culpabilité d’homicide involontaire coupable</w:t>
      </w:r>
      <w:r w:rsidR="00006140" w:rsidRPr="003B74BD">
        <w:rPr>
          <w:szCs w:val="24"/>
          <w:lang w:val="fr-CA"/>
        </w:rPr>
        <w:t xml:space="preserve"> si le meurtre n’était pas prouvé</w:t>
      </w:r>
      <w:r w:rsidRPr="003B74BD">
        <w:rPr>
          <w:lang w:val="fr-CA"/>
        </w:rPr>
        <w:t>.</w:t>
      </w:r>
    </w:p>
    <w:p w:rsidR="006902DE" w:rsidRPr="003B74BD" w:rsidRDefault="006902DE" w:rsidP="006902DE">
      <w:pPr>
        <w:pStyle w:val="SCCNormalDoubleSpacing"/>
        <w:spacing w:after="480"/>
        <w:rPr>
          <w:lang w:val="fr-CA"/>
        </w:rPr>
      </w:pPr>
      <w:r w:rsidRPr="003B74BD">
        <w:rPr>
          <w:i/>
          <w:lang w:val="fr-CA"/>
        </w:rPr>
        <w:tab/>
      </w:r>
      <w:r w:rsidR="00124086" w:rsidRPr="003B74BD">
        <w:rPr>
          <w:i/>
          <w:lang w:val="fr-CA"/>
        </w:rPr>
        <w:t>La</w:t>
      </w:r>
      <w:r w:rsidRPr="003B74BD">
        <w:rPr>
          <w:lang w:val="fr-CA"/>
        </w:rPr>
        <w:t xml:space="preserve"> </w:t>
      </w:r>
      <w:r w:rsidR="00124086" w:rsidRPr="003B74BD">
        <w:rPr>
          <w:lang w:val="fr-CA"/>
        </w:rPr>
        <w:t xml:space="preserve">juge en chef </w:t>
      </w:r>
      <w:proofErr w:type="spellStart"/>
      <w:r w:rsidRPr="003B74BD">
        <w:rPr>
          <w:lang w:val="fr-CA"/>
        </w:rPr>
        <w:t>McLachlin</w:t>
      </w:r>
      <w:proofErr w:type="spellEnd"/>
      <w:r w:rsidRPr="003B74BD">
        <w:rPr>
          <w:lang w:val="fr-CA"/>
        </w:rPr>
        <w:t xml:space="preserve"> </w:t>
      </w:r>
      <w:r w:rsidR="00124086" w:rsidRPr="003B74BD">
        <w:rPr>
          <w:lang w:val="fr-CA"/>
        </w:rPr>
        <w:t>et le</w:t>
      </w:r>
      <w:r w:rsidR="000241CA" w:rsidRPr="003B74BD">
        <w:rPr>
          <w:lang w:val="fr-CA"/>
        </w:rPr>
        <w:t>s</w:t>
      </w:r>
      <w:r w:rsidR="00124086" w:rsidRPr="003B74BD">
        <w:rPr>
          <w:lang w:val="fr-CA"/>
        </w:rPr>
        <w:t xml:space="preserve"> juge</w:t>
      </w:r>
      <w:r w:rsidR="000241CA" w:rsidRPr="003B74BD">
        <w:rPr>
          <w:lang w:val="fr-CA"/>
        </w:rPr>
        <w:t>s Deschamps et</w:t>
      </w:r>
      <w:r w:rsidRPr="003B74BD">
        <w:rPr>
          <w:lang w:val="fr-CA"/>
        </w:rPr>
        <w:t xml:space="preserve"> </w:t>
      </w:r>
      <w:r w:rsidRPr="00FD40A9">
        <w:rPr>
          <w:lang w:val="fr-CA"/>
        </w:rPr>
        <w:t>Fish </w:t>
      </w:r>
      <w:r w:rsidR="00FD40A9">
        <w:rPr>
          <w:lang w:val="fr-CA"/>
        </w:rPr>
        <w:t>(</w:t>
      </w:r>
      <w:r w:rsidR="00124086" w:rsidRPr="00FD40A9">
        <w:rPr>
          <w:lang w:val="fr-CA"/>
        </w:rPr>
        <w:t>dissidents</w:t>
      </w:r>
      <w:r w:rsidR="00FD40A9">
        <w:rPr>
          <w:lang w:val="fr-CA"/>
        </w:rPr>
        <w:t>)</w:t>
      </w:r>
      <w:r w:rsidR="00124086" w:rsidRPr="003B74BD">
        <w:rPr>
          <w:b/>
          <w:lang w:val="fr-CA"/>
        </w:rPr>
        <w:t> </w:t>
      </w:r>
      <w:r w:rsidRPr="003B74BD">
        <w:rPr>
          <w:lang w:val="fr-CA"/>
        </w:rPr>
        <w:t xml:space="preserve">: </w:t>
      </w:r>
      <w:r w:rsidR="00124086" w:rsidRPr="003B74BD">
        <w:rPr>
          <w:lang w:val="fr-CA"/>
        </w:rPr>
        <w:t xml:space="preserve">L’omission du juge du procès d’expliquer la différence entre un homicide </w:t>
      </w:r>
      <w:r w:rsidR="00124086" w:rsidRPr="003B74BD">
        <w:rPr>
          <w:lang w:val="fr-CA"/>
        </w:rPr>
        <w:lastRenderedPageBreak/>
        <w:t>involontaire coupable et un meurtre au deuxième degré était une erreur fatale</w:t>
      </w:r>
      <w:r w:rsidRPr="003B74BD">
        <w:rPr>
          <w:szCs w:val="24"/>
          <w:lang w:val="fr-CA"/>
        </w:rPr>
        <w:t xml:space="preserve">.  </w:t>
      </w:r>
      <w:r w:rsidR="00124086" w:rsidRPr="003B74BD">
        <w:rPr>
          <w:szCs w:val="24"/>
          <w:lang w:val="fr-CA"/>
        </w:rPr>
        <w:t>Les jurés ne devraient pas se voir</w:t>
      </w:r>
      <w:r w:rsidR="00006140" w:rsidRPr="003B74BD">
        <w:rPr>
          <w:szCs w:val="24"/>
          <w:lang w:val="fr-CA"/>
        </w:rPr>
        <w:t xml:space="preserve"> demander de déclarer l’accusé coupable</w:t>
      </w:r>
      <w:r w:rsidR="00124086" w:rsidRPr="003B74BD">
        <w:rPr>
          <w:szCs w:val="24"/>
          <w:lang w:val="fr-CA"/>
        </w:rPr>
        <w:t xml:space="preserve"> </w:t>
      </w:r>
      <w:r w:rsidR="00124086" w:rsidRPr="003B74BD">
        <w:rPr>
          <w:lang w:val="fr-CA"/>
        </w:rPr>
        <w:t xml:space="preserve">de l’une ou l’autre de deux infractions sans comprendre </w:t>
      </w:r>
      <w:r w:rsidR="00D66A76" w:rsidRPr="003B74BD">
        <w:rPr>
          <w:lang w:val="fr-CA"/>
        </w:rPr>
        <w:t xml:space="preserve">les éléments constitutifs de chacune et </w:t>
      </w:r>
      <w:r w:rsidR="00124086" w:rsidRPr="003B74BD">
        <w:rPr>
          <w:lang w:val="fr-CA"/>
        </w:rPr>
        <w:t xml:space="preserve">le lien </w:t>
      </w:r>
      <w:r w:rsidR="00D66A76" w:rsidRPr="003B74BD">
        <w:rPr>
          <w:lang w:val="fr-CA"/>
        </w:rPr>
        <w:t xml:space="preserve">entre </w:t>
      </w:r>
      <w:r w:rsidR="00124086" w:rsidRPr="003B74BD">
        <w:rPr>
          <w:lang w:val="fr-CA"/>
        </w:rPr>
        <w:t xml:space="preserve">la preuve </w:t>
      </w:r>
      <w:r w:rsidR="00D66A76" w:rsidRPr="003B74BD">
        <w:rPr>
          <w:lang w:val="fr-CA"/>
        </w:rPr>
        <w:t>et chacune des infractions</w:t>
      </w:r>
      <w:r w:rsidR="00F428D1" w:rsidRPr="003B74BD">
        <w:rPr>
          <w:lang w:val="fr-CA"/>
        </w:rPr>
        <w:t>.</w:t>
      </w:r>
      <w:r w:rsidR="00565388" w:rsidRPr="003B74BD">
        <w:rPr>
          <w:lang w:val="fr-CA"/>
        </w:rPr>
        <w:t xml:space="preserve"> </w:t>
      </w:r>
      <w:r w:rsidR="00D66A76" w:rsidRPr="003B74BD">
        <w:rPr>
          <w:lang w:val="fr-CA"/>
        </w:rPr>
        <w:t xml:space="preserve"> </w:t>
      </w:r>
      <w:r w:rsidR="00F428D1" w:rsidRPr="003B74BD">
        <w:rPr>
          <w:lang w:val="fr-CA"/>
        </w:rPr>
        <w:t xml:space="preserve">Le jury </w:t>
      </w:r>
      <w:r w:rsidR="00F428D1" w:rsidRPr="003B74BD">
        <w:rPr>
          <w:szCs w:val="24"/>
          <w:lang w:val="fr-CA"/>
        </w:rPr>
        <w:t>aurait dû être informé du fait que l’élément moral de l’infraction exigeait à la fois l’application intentionnelle de la force et la prévisibilité objective du risque de lésions corporelles</w:t>
      </w:r>
      <w:r w:rsidR="002652D5" w:rsidRPr="003B74BD">
        <w:rPr>
          <w:szCs w:val="24"/>
          <w:lang w:val="fr-CA"/>
        </w:rPr>
        <w:t>,</w:t>
      </w:r>
      <w:r w:rsidR="00F428D1" w:rsidRPr="003B74BD">
        <w:rPr>
          <w:szCs w:val="24"/>
          <w:lang w:val="fr-CA"/>
        </w:rPr>
        <w:t xml:space="preserve"> qui ne sont ni sans importance ni de nature passagère, dans le contexte de l’acte dangereux.  </w:t>
      </w:r>
      <w:r w:rsidR="00D66A76" w:rsidRPr="003B74BD">
        <w:rPr>
          <w:lang w:val="fr-CA"/>
        </w:rPr>
        <w:t xml:space="preserve">Le juge du procès </w:t>
      </w:r>
      <w:r w:rsidR="00F428D1" w:rsidRPr="003B74BD">
        <w:rPr>
          <w:lang w:val="fr-CA"/>
        </w:rPr>
        <w:t xml:space="preserve">a donné une définition incorrecte </w:t>
      </w:r>
      <w:r w:rsidR="00583D6C" w:rsidRPr="003B74BD">
        <w:rPr>
          <w:lang w:val="fr-CA"/>
        </w:rPr>
        <w:t xml:space="preserve">des lésions corporelles requises pour qu’il y ait meurtre </w:t>
      </w:r>
      <w:r w:rsidR="00F428D1" w:rsidRPr="003B74BD">
        <w:rPr>
          <w:lang w:val="fr-CA"/>
        </w:rPr>
        <w:t>et il</w:t>
      </w:r>
      <w:r w:rsidR="00583D6C" w:rsidRPr="003B74BD">
        <w:rPr>
          <w:lang w:val="fr-CA"/>
        </w:rPr>
        <w:t xml:space="preserve"> a omis</w:t>
      </w:r>
      <w:r w:rsidR="00D66A76" w:rsidRPr="003B74BD">
        <w:rPr>
          <w:lang w:val="fr-CA"/>
        </w:rPr>
        <w:t xml:space="preserve"> d’attirer </w:t>
      </w:r>
      <w:r w:rsidR="00EA63EF" w:rsidRPr="003B74BD">
        <w:rPr>
          <w:lang w:val="fr-CA"/>
        </w:rPr>
        <w:t>l’</w:t>
      </w:r>
      <w:r w:rsidR="00D66A76" w:rsidRPr="003B74BD">
        <w:rPr>
          <w:lang w:val="fr-CA"/>
        </w:rPr>
        <w:t xml:space="preserve">attention </w:t>
      </w:r>
      <w:r w:rsidR="00EA63EF" w:rsidRPr="003B74BD">
        <w:rPr>
          <w:lang w:val="fr-CA"/>
        </w:rPr>
        <w:t xml:space="preserve">des jurés </w:t>
      </w:r>
      <w:r w:rsidR="00D66A76" w:rsidRPr="003B74BD">
        <w:rPr>
          <w:lang w:val="fr-CA"/>
        </w:rPr>
        <w:t>sur</w:t>
      </w:r>
      <w:r w:rsidR="00EA63EF" w:rsidRPr="003B74BD">
        <w:rPr>
          <w:lang w:val="fr-CA"/>
        </w:rPr>
        <w:t xml:space="preserve"> la question de savoir s</w:t>
      </w:r>
      <w:r w:rsidR="002F3768" w:rsidRPr="003B74BD">
        <w:rPr>
          <w:lang w:val="fr-CA"/>
        </w:rPr>
        <w:t xml:space="preserve">i, en raison de son abondante consommation d’alcool et de drogues, l’accusé ne présentait pas l’élément de prévision subjective </w:t>
      </w:r>
      <w:r w:rsidR="000A7980" w:rsidRPr="003B74BD">
        <w:rPr>
          <w:lang w:val="fr-CA"/>
        </w:rPr>
        <w:t>qui distingue le meurtre de l’homicide involontaire coupable</w:t>
      </w:r>
      <w:r w:rsidRPr="003B74BD">
        <w:rPr>
          <w:lang w:val="fr-CA"/>
        </w:rPr>
        <w:t xml:space="preserve">. </w:t>
      </w:r>
    </w:p>
    <w:p w:rsidR="007E1C47" w:rsidRPr="003B74BD" w:rsidRDefault="0043088E" w:rsidP="00DC31C3">
      <w:pPr>
        <w:pStyle w:val="SCCNormalDoubleSpacing"/>
        <w:keepNext/>
        <w:spacing w:after="480"/>
        <w:rPr>
          <w:b/>
          <w:lang w:val="fr-CA"/>
        </w:rPr>
      </w:pPr>
      <w:r w:rsidRPr="003B74BD">
        <w:rPr>
          <w:b/>
          <w:lang w:val="fr-CA"/>
        </w:rPr>
        <w:t>Jurisprudence</w:t>
      </w:r>
    </w:p>
    <w:p w:rsidR="006A6E9E" w:rsidRPr="003B74BD" w:rsidRDefault="006A6E9E" w:rsidP="00DC31C3">
      <w:pPr>
        <w:pStyle w:val="SCCNormalDoubleSpacing"/>
        <w:keepNext/>
        <w:spacing w:after="480"/>
        <w:rPr>
          <w:lang w:val="fr-CA"/>
        </w:rPr>
      </w:pPr>
      <w:r w:rsidRPr="003B74BD">
        <w:rPr>
          <w:lang w:val="fr-CA"/>
        </w:rPr>
        <w:t>Citée par le juge Cromwell</w:t>
      </w:r>
    </w:p>
    <w:p w:rsidR="002E6705" w:rsidRPr="003B74BD" w:rsidRDefault="002E6705" w:rsidP="00C07798">
      <w:pPr>
        <w:pStyle w:val="SCCNormalDoubleSpacing"/>
        <w:spacing w:after="480"/>
        <w:rPr>
          <w:b/>
          <w:lang w:val="fr-CA"/>
        </w:rPr>
      </w:pPr>
      <w:r w:rsidRPr="003B74BD">
        <w:rPr>
          <w:lang w:val="fr-CA"/>
        </w:rPr>
        <w:tab/>
      </w:r>
      <w:r w:rsidR="002812BC" w:rsidRPr="003B74BD">
        <w:rPr>
          <w:b/>
          <w:lang w:val="fr-CA"/>
        </w:rPr>
        <w:t>Distinction d’avec l’arrêt</w:t>
      </w:r>
      <w:r w:rsidR="00F33658" w:rsidRPr="003B74BD">
        <w:rPr>
          <w:b/>
          <w:lang w:val="fr-CA"/>
        </w:rPr>
        <w:t> </w:t>
      </w:r>
      <w:r w:rsidRPr="003B74BD">
        <w:rPr>
          <w:b/>
          <w:lang w:val="fr-CA"/>
        </w:rPr>
        <w:t>:</w:t>
      </w:r>
      <w:r w:rsidR="004779F1" w:rsidRPr="003B74BD">
        <w:rPr>
          <w:b/>
          <w:lang w:val="fr-CA"/>
        </w:rPr>
        <w:t xml:space="preserve"> </w:t>
      </w:r>
      <w:r w:rsidR="004779F1" w:rsidRPr="003B74BD">
        <w:rPr>
          <w:i/>
          <w:lang w:val="fr-CA"/>
        </w:rPr>
        <w:t>R. c. Layton</w:t>
      </w:r>
      <w:r w:rsidR="004779F1" w:rsidRPr="003B74BD">
        <w:rPr>
          <w:lang w:val="fr-CA"/>
        </w:rPr>
        <w:t>, 2009 CSC 36, [2009] 2 R.C.S. 540.</w:t>
      </w:r>
    </w:p>
    <w:p w:rsidR="000423E0" w:rsidRPr="00FD40A9" w:rsidRDefault="000423E0" w:rsidP="00DC31C3">
      <w:pPr>
        <w:pStyle w:val="SCCNormalDoubleSpacing"/>
        <w:keepNext/>
        <w:spacing w:after="480"/>
        <w:rPr>
          <w:lang w:val="fr-CA"/>
        </w:rPr>
      </w:pPr>
      <w:r w:rsidRPr="00FD40A9">
        <w:rPr>
          <w:lang w:val="fr-CA"/>
        </w:rPr>
        <w:lastRenderedPageBreak/>
        <w:t>Citée par le juge Fish (dissident)</w:t>
      </w:r>
    </w:p>
    <w:p w:rsidR="000423E0" w:rsidRPr="00FD40A9" w:rsidRDefault="000423E0" w:rsidP="00C07798">
      <w:pPr>
        <w:pStyle w:val="SCCNormalDoubleSpacing"/>
        <w:spacing w:after="480"/>
        <w:rPr>
          <w:lang w:val="fr-CA"/>
        </w:rPr>
      </w:pPr>
      <w:r w:rsidRPr="00FD40A9">
        <w:rPr>
          <w:lang w:val="fr-CA"/>
        </w:rPr>
        <w:tab/>
      </w:r>
      <w:r w:rsidRPr="00FD40A9">
        <w:rPr>
          <w:i/>
          <w:lang w:val="fr-CA"/>
        </w:rPr>
        <w:t xml:space="preserve">R. </w:t>
      </w:r>
      <w:r w:rsidR="006A6E9E" w:rsidRPr="00FD40A9">
        <w:rPr>
          <w:i/>
          <w:lang w:val="fr-CA"/>
        </w:rPr>
        <w:t>c</w:t>
      </w:r>
      <w:r w:rsidRPr="00FD40A9">
        <w:rPr>
          <w:i/>
          <w:lang w:val="fr-CA"/>
        </w:rPr>
        <w:t xml:space="preserve">. </w:t>
      </w:r>
      <w:proofErr w:type="spellStart"/>
      <w:r w:rsidRPr="00FD40A9">
        <w:rPr>
          <w:i/>
          <w:lang w:val="fr-CA"/>
        </w:rPr>
        <w:t>MacKay</w:t>
      </w:r>
      <w:proofErr w:type="spellEnd"/>
      <w:r w:rsidRPr="00FD40A9">
        <w:rPr>
          <w:lang w:val="fr-CA"/>
        </w:rPr>
        <w:t xml:space="preserve">, </w:t>
      </w:r>
      <w:r w:rsidR="006A6E9E" w:rsidRPr="00FD40A9">
        <w:rPr>
          <w:lang w:val="fr-CA"/>
        </w:rPr>
        <w:t xml:space="preserve">2005 CSC 75, </w:t>
      </w:r>
      <w:r w:rsidRPr="00FD40A9">
        <w:rPr>
          <w:lang w:val="fr-CA"/>
        </w:rPr>
        <w:t xml:space="preserve">[2005] 3 </w:t>
      </w:r>
      <w:r w:rsidR="006A6E9E" w:rsidRPr="00FD40A9">
        <w:rPr>
          <w:lang w:val="fr-CA"/>
        </w:rPr>
        <w:t>R.C.</w:t>
      </w:r>
      <w:r w:rsidRPr="00FD40A9">
        <w:rPr>
          <w:lang w:val="fr-CA"/>
        </w:rPr>
        <w:t>S. 607;</w:t>
      </w:r>
      <w:r w:rsidRPr="00FD40A9">
        <w:rPr>
          <w:i/>
          <w:lang w:val="fr-CA"/>
        </w:rPr>
        <w:t xml:space="preserve"> </w:t>
      </w:r>
      <w:proofErr w:type="spellStart"/>
      <w:r w:rsidRPr="00FD40A9">
        <w:rPr>
          <w:i/>
          <w:lang w:val="fr-CA"/>
        </w:rPr>
        <w:t>Azoulay</w:t>
      </w:r>
      <w:proofErr w:type="spellEnd"/>
      <w:r w:rsidRPr="00FD40A9">
        <w:rPr>
          <w:i/>
          <w:lang w:val="fr-CA"/>
        </w:rPr>
        <w:t xml:space="preserve"> </w:t>
      </w:r>
      <w:r w:rsidR="006A6E9E" w:rsidRPr="00FD40A9">
        <w:rPr>
          <w:i/>
          <w:lang w:val="fr-CA"/>
        </w:rPr>
        <w:t>c</w:t>
      </w:r>
      <w:r w:rsidRPr="00FD40A9">
        <w:rPr>
          <w:i/>
          <w:lang w:val="fr-CA"/>
        </w:rPr>
        <w:t xml:space="preserve">. The </w:t>
      </w:r>
      <w:proofErr w:type="spellStart"/>
      <w:r w:rsidRPr="00FD40A9">
        <w:rPr>
          <w:i/>
          <w:lang w:val="fr-CA"/>
        </w:rPr>
        <w:t>Queen</w:t>
      </w:r>
      <w:proofErr w:type="spellEnd"/>
      <w:r w:rsidRPr="00FD40A9">
        <w:rPr>
          <w:lang w:val="fr-CA"/>
        </w:rPr>
        <w:t xml:space="preserve">, [1952] 2 </w:t>
      </w:r>
      <w:r w:rsidR="006A6E9E" w:rsidRPr="00FD40A9">
        <w:rPr>
          <w:lang w:val="fr-CA"/>
        </w:rPr>
        <w:t>R.C.</w:t>
      </w:r>
      <w:r w:rsidRPr="00FD40A9">
        <w:rPr>
          <w:lang w:val="fr-CA"/>
        </w:rPr>
        <w:t>S. 495</w:t>
      </w:r>
      <w:r w:rsidR="00903B16" w:rsidRPr="00FD40A9">
        <w:rPr>
          <w:lang w:val="fr-CA"/>
        </w:rPr>
        <w:t xml:space="preserve">; </w:t>
      </w:r>
      <w:r w:rsidR="00903B16" w:rsidRPr="00FD40A9">
        <w:rPr>
          <w:i/>
          <w:lang w:val="fr-CA"/>
        </w:rPr>
        <w:t>R. c. S. (W.D.)</w:t>
      </w:r>
      <w:r w:rsidR="00903B16" w:rsidRPr="00FD40A9">
        <w:rPr>
          <w:lang w:val="fr-CA"/>
        </w:rPr>
        <w:t>, [1994] 3 R.C.S. 521</w:t>
      </w:r>
      <w:r w:rsidR="0040531A" w:rsidRPr="00FD40A9">
        <w:rPr>
          <w:lang w:val="fr-CA"/>
        </w:rPr>
        <w:t xml:space="preserve">; </w:t>
      </w:r>
      <w:r w:rsidR="0040531A" w:rsidRPr="00FD40A9">
        <w:rPr>
          <w:i/>
          <w:lang w:val="fr-CA"/>
        </w:rPr>
        <w:t>R. c. Daley</w:t>
      </w:r>
      <w:r w:rsidR="0040531A" w:rsidRPr="00FD40A9">
        <w:rPr>
          <w:lang w:val="fr-CA"/>
        </w:rPr>
        <w:t>, 2007 CSC 53, [2007] 3 R.C.S. 523</w:t>
      </w:r>
      <w:r w:rsidRPr="00FD40A9">
        <w:rPr>
          <w:lang w:val="fr-CA"/>
        </w:rPr>
        <w:t>.</w:t>
      </w:r>
    </w:p>
    <w:p w:rsidR="00231F3A" w:rsidRPr="002D6999" w:rsidRDefault="0043088E" w:rsidP="00C07798">
      <w:pPr>
        <w:pStyle w:val="SCCNormalDoubleSpacing"/>
        <w:keepNext/>
        <w:spacing w:after="480"/>
        <w:rPr>
          <w:b/>
          <w:lang w:val="fr-CA"/>
        </w:rPr>
      </w:pPr>
      <w:r w:rsidRPr="002D6999">
        <w:rPr>
          <w:b/>
          <w:lang w:val="fr-CA"/>
        </w:rPr>
        <w:t>Lois</w:t>
      </w:r>
      <w:r w:rsidR="002E6705" w:rsidRPr="002D6999">
        <w:rPr>
          <w:b/>
          <w:lang w:val="fr-CA"/>
        </w:rPr>
        <w:t xml:space="preserve"> </w:t>
      </w:r>
      <w:r w:rsidR="008A6558" w:rsidRPr="002D6999">
        <w:rPr>
          <w:b/>
          <w:lang w:val="fr-CA"/>
        </w:rPr>
        <w:t>et</w:t>
      </w:r>
      <w:r w:rsidR="002E6705" w:rsidRPr="002D6999">
        <w:rPr>
          <w:b/>
          <w:lang w:val="fr-CA"/>
        </w:rPr>
        <w:t xml:space="preserve"> </w:t>
      </w:r>
      <w:r w:rsidRPr="002D6999">
        <w:rPr>
          <w:b/>
          <w:lang w:val="fr-CA"/>
        </w:rPr>
        <w:t>rè</w:t>
      </w:r>
      <w:r w:rsidR="002E6705" w:rsidRPr="002D6999">
        <w:rPr>
          <w:b/>
          <w:lang w:val="fr-CA"/>
        </w:rPr>
        <w:t>gl</w:t>
      </w:r>
      <w:r w:rsidRPr="002D6999">
        <w:rPr>
          <w:b/>
          <w:lang w:val="fr-CA"/>
        </w:rPr>
        <w:t>ements</w:t>
      </w:r>
      <w:r w:rsidR="002E6705" w:rsidRPr="002D6999">
        <w:rPr>
          <w:b/>
          <w:lang w:val="fr-CA"/>
        </w:rPr>
        <w:t xml:space="preserve"> </w:t>
      </w:r>
      <w:r w:rsidRPr="002D6999">
        <w:rPr>
          <w:b/>
          <w:lang w:val="fr-CA"/>
        </w:rPr>
        <w:t>c</w:t>
      </w:r>
      <w:r w:rsidR="002E6705" w:rsidRPr="002D6999">
        <w:rPr>
          <w:b/>
          <w:lang w:val="fr-CA"/>
        </w:rPr>
        <w:t>it</w:t>
      </w:r>
      <w:r w:rsidRPr="002D6999">
        <w:rPr>
          <w:b/>
          <w:lang w:val="fr-CA"/>
        </w:rPr>
        <w:t>és</w:t>
      </w:r>
    </w:p>
    <w:p w:rsidR="004204FF" w:rsidRPr="007E2486" w:rsidRDefault="004204FF" w:rsidP="00C07798">
      <w:pPr>
        <w:pStyle w:val="SCCNormalDoubleSpacing"/>
        <w:spacing w:after="480"/>
        <w:ind w:left="547" w:hanging="547"/>
        <w:rPr>
          <w:lang w:val="en-US"/>
        </w:rPr>
      </w:pPr>
      <w:r w:rsidRPr="00FD40A9">
        <w:rPr>
          <w:i/>
          <w:lang w:val="fr-CA"/>
        </w:rPr>
        <w:t>Code criminel</w:t>
      </w:r>
      <w:r w:rsidRPr="00FD40A9">
        <w:rPr>
          <w:lang w:val="fr-CA"/>
        </w:rPr>
        <w:t>, L.R.C</w:t>
      </w:r>
      <w:r w:rsidR="007122AC" w:rsidRPr="00FD40A9">
        <w:rPr>
          <w:lang w:val="fr-CA"/>
        </w:rPr>
        <w:t>. 1985, ch. </w:t>
      </w:r>
      <w:r w:rsidR="007122AC" w:rsidRPr="007E2486">
        <w:rPr>
          <w:lang w:val="en-US"/>
        </w:rPr>
        <w:t>C</w:t>
      </w:r>
      <w:r w:rsidR="007122AC" w:rsidRPr="007E2486">
        <w:rPr>
          <w:lang w:val="en-US"/>
        </w:rPr>
        <w:noBreakHyphen/>
      </w:r>
      <w:r w:rsidRPr="007E2486">
        <w:rPr>
          <w:lang w:val="en-US"/>
        </w:rPr>
        <w:t>46</w:t>
      </w:r>
      <w:r w:rsidR="00DC31C3" w:rsidRPr="007E2486">
        <w:rPr>
          <w:lang w:val="en-US"/>
        </w:rPr>
        <w:t>, art. </w:t>
      </w:r>
      <w:r w:rsidR="00161311" w:rsidRPr="007E2486">
        <w:rPr>
          <w:lang w:val="en-US"/>
        </w:rPr>
        <w:t>229</w:t>
      </w:r>
      <w:r w:rsidR="00161311" w:rsidRPr="007E2486">
        <w:rPr>
          <w:i/>
          <w:lang w:val="en-US"/>
        </w:rPr>
        <w:t>a</w:t>
      </w:r>
      <w:proofErr w:type="gramStart"/>
      <w:r w:rsidR="00161311" w:rsidRPr="007E2486">
        <w:rPr>
          <w:lang w:val="en-US"/>
        </w:rPr>
        <w:t>)(</w:t>
      </w:r>
      <w:proofErr w:type="gramEnd"/>
      <w:r w:rsidR="00161311" w:rsidRPr="007E2486">
        <w:rPr>
          <w:lang w:val="en-US"/>
        </w:rPr>
        <w:t>ii)</w:t>
      </w:r>
      <w:r w:rsidR="003C2A35" w:rsidRPr="007E2486">
        <w:rPr>
          <w:lang w:val="en-US"/>
        </w:rPr>
        <w:t>, 691(1)</w:t>
      </w:r>
      <w:r w:rsidR="003C2A35" w:rsidRPr="007E2486">
        <w:rPr>
          <w:i/>
          <w:lang w:val="en-US"/>
        </w:rPr>
        <w:t>a</w:t>
      </w:r>
      <w:r w:rsidR="003C2A35" w:rsidRPr="007E2486">
        <w:rPr>
          <w:lang w:val="en-US"/>
        </w:rPr>
        <w:t>)</w:t>
      </w:r>
      <w:r w:rsidRPr="007E2486">
        <w:rPr>
          <w:lang w:val="en-US"/>
        </w:rPr>
        <w:t>.</w:t>
      </w:r>
    </w:p>
    <w:p w:rsidR="00C70BE2" w:rsidRPr="007E2486" w:rsidRDefault="00C70BE2" w:rsidP="00C07798">
      <w:pPr>
        <w:pStyle w:val="SCCNormalDoubleSpacing"/>
        <w:keepNext/>
        <w:spacing w:after="480"/>
        <w:ind w:left="547" w:hanging="547"/>
        <w:rPr>
          <w:b/>
          <w:szCs w:val="24"/>
          <w:lang w:val="en-US"/>
        </w:rPr>
      </w:pPr>
      <w:r w:rsidRPr="007E2486">
        <w:rPr>
          <w:b/>
          <w:szCs w:val="24"/>
          <w:lang w:val="en-US"/>
        </w:rPr>
        <w:t>Doctrine</w:t>
      </w:r>
    </w:p>
    <w:p w:rsidR="00C70BE2" w:rsidRPr="003B74BD" w:rsidRDefault="00BD3D8F" w:rsidP="00C07798">
      <w:pPr>
        <w:pStyle w:val="SCCNormalDoubleSpacing"/>
        <w:spacing w:after="720" w:line="240" w:lineRule="auto"/>
        <w:ind w:left="547" w:hanging="547"/>
        <w:rPr>
          <w:szCs w:val="24"/>
          <w:lang w:val="fr-CA"/>
        </w:rPr>
      </w:pPr>
      <w:r w:rsidRPr="007E2486">
        <w:rPr>
          <w:szCs w:val="24"/>
        </w:rPr>
        <w:fldChar w:fldCharType="begin"/>
      </w:r>
      <w:r w:rsidR="00C70BE2" w:rsidRPr="007E2486">
        <w:rPr>
          <w:szCs w:val="24"/>
          <w:lang w:val="en-US"/>
        </w:rPr>
        <w:instrText xml:space="preserve"> SEQ CHAPTER \h \r 1</w:instrText>
      </w:r>
      <w:r w:rsidRPr="007E2486">
        <w:rPr>
          <w:szCs w:val="24"/>
        </w:rPr>
        <w:fldChar w:fldCharType="end"/>
      </w:r>
      <w:r w:rsidR="00C70BE2" w:rsidRPr="007E2486">
        <w:rPr>
          <w:szCs w:val="24"/>
          <w:lang w:val="en-US"/>
        </w:rPr>
        <w:t xml:space="preserve">Watt, David.  </w:t>
      </w:r>
      <w:r w:rsidR="00C70BE2" w:rsidRPr="007E2486">
        <w:rPr>
          <w:i/>
          <w:iCs/>
          <w:szCs w:val="24"/>
          <w:lang w:val="en-US"/>
        </w:rPr>
        <w:t>Watt’s Manual of Criminal Jury Instructions</w:t>
      </w:r>
      <w:r w:rsidR="00C70BE2" w:rsidRPr="007E2486">
        <w:rPr>
          <w:szCs w:val="24"/>
          <w:lang w:val="en-US"/>
        </w:rPr>
        <w:t xml:space="preserve">.  </w:t>
      </w:r>
      <w:r w:rsidR="00C70BE2" w:rsidRPr="003B74BD">
        <w:rPr>
          <w:szCs w:val="24"/>
          <w:lang w:val="fr-CA"/>
        </w:rPr>
        <w:t>Toronto</w:t>
      </w:r>
      <w:r w:rsidR="00DC31C3" w:rsidRPr="003B74BD">
        <w:rPr>
          <w:szCs w:val="24"/>
          <w:lang w:val="fr-CA"/>
        </w:rPr>
        <w:t> </w:t>
      </w:r>
      <w:r w:rsidR="00C70BE2" w:rsidRPr="003B74BD">
        <w:rPr>
          <w:szCs w:val="24"/>
          <w:lang w:val="fr-CA"/>
        </w:rPr>
        <w:t>: Thomson/</w:t>
      </w:r>
      <w:proofErr w:type="spellStart"/>
      <w:r w:rsidR="00C70BE2" w:rsidRPr="003B74BD">
        <w:rPr>
          <w:szCs w:val="24"/>
          <w:lang w:val="fr-CA"/>
        </w:rPr>
        <w:t>Carswell</w:t>
      </w:r>
      <w:proofErr w:type="spellEnd"/>
      <w:r w:rsidR="00C70BE2" w:rsidRPr="003B74BD">
        <w:rPr>
          <w:szCs w:val="24"/>
          <w:lang w:val="fr-CA"/>
        </w:rPr>
        <w:t>, 2005.</w:t>
      </w:r>
    </w:p>
    <w:p w:rsidR="000377A2" w:rsidRPr="003B74BD" w:rsidRDefault="009B57B3" w:rsidP="00C07798">
      <w:pPr>
        <w:pStyle w:val="SCCNormalDoubleSpacing"/>
        <w:spacing w:after="480"/>
        <w:rPr>
          <w:szCs w:val="24"/>
          <w:lang w:val="fr-CA"/>
        </w:rPr>
      </w:pPr>
      <w:r w:rsidRPr="003B74BD">
        <w:rPr>
          <w:lang w:val="fr-CA"/>
        </w:rPr>
        <w:tab/>
        <w:t>P</w:t>
      </w:r>
      <w:r w:rsidR="0043088E" w:rsidRPr="003B74BD">
        <w:rPr>
          <w:lang w:val="fr-CA"/>
        </w:rPr>
        <w:t>OURVOI contre un arrêt de la</w:t>
      </w:r>
      <w:r w:rsidRPr="003B74BD">
        <w:rPr>
          <w:lang w:val="fr-CA"/>
        </w:rPr>
        <w:t xml:space="preserve"> Cour d</w:t>
      </w:r>
      <w:r w:rsidR="000377A2" w:rsidRPr="003B74BD">
        <w:rPr>
          <w:lang w:val="fr-CA"/>
        </w:rPr>
        <w:t>’</w:t>
      </w:r>
      <w:r w:rsidRPr="003B74BD">
        <w:rPr>
          <w:lang w:val="fr-CA"/>
        </w:rPr>
        <w:t xml:space="preserve">appel de l’Alberta </w:t>
      </w:r>
      <w:r w:rsidR="000377A2" w:rsidRPr="003B74BD">
        <w:rPr>
          <w:lang w:val="fr-CA"/>
        </w:rPr>
        <w:t xml:space="preserve">(les juges </w:t>
      </w:r>
      <w:r w:rsidR="00BD3D8F" w:rsidRPr="007E2486">
        <w:rPr>
          <w:szCs w:val="24"/>
        </w:rPr>
        <w:fldChar w:fldCharType="begin"/>
      </w:r>
      <w:r w:rsidR="000377A2" w:rsidRPr="003B74BD">
        <w:rPr>
          <w:szCs w:val="24"/>
          <w:lang w:val="fr-CA"/>
        </w:rPr>
        <w:instrText xml:space="preserve"> SEQ CHAPTER \h \r 1</w:instrText>
      </w:r>
      <w:r w:rsidR="00BD3D8F" w:rsidRPr="007E2486">
        <w:rPr>
          <w:szCs w:val="24"/>
        </w:rPr>
        <w:fldChar w:fldCharType="end"/>
      </w:r>
      <w:r w:rsidR="000377A2" w:rsidRPr="003B74BD">
        <w:rPr>
          <w:szCs w:val="24"/>
          <w:lang w:val="fr-CA"/>
        </w:rPr>
        <w:t xml:space="preserve">Côté, O’Brien et McDonald), </w:t>
      </w:r>
      <w:r w:rsidR="00BD3D8F" w:rsidRPr="007E2486">
        <w:rPr>
          <w:szCs w:val="24"/>
        </w:rPr>
        <w:fldChar w:fldCharType="begin"/>
      </w:r>
      <w:r w:rsidR="000377A2" w:rsidRPr="003B74BD">
        <w:rPr>
          <w:szCs w:val="24"/>
          <w:lang w:val="fr-CA"/>
        </w:rPr>
        <w:instrText xml:space="preserve"> SEQ CHAPTER \h \r 1</w:instrText>
      </w:r>
      <w:r w:rsidR="00BD3D8F" w:rsidRPr="007E2486">
        <w:rPr>
          <w:szCs w:val="24"/>
        </w:rPr>
        <w:fldChar w:fldCharType="end"/>
      </w:r>
      <w:r w:rsidR="000377A2" w:rsidRPr="003B74BD">
        <w:rPr>
          <w:szCs w:val="24"/>
          <w:lang w:val="fr-CA"/>
        </w:rPr>
        <w:t>2010 ABCA 115</w:t>
      </w:r>
      <w:r w:rsidR="007C12C0" w:rsidRPr="003B74BD">
        <w:rPr>
          <w:szCs w:val="24"/>
          <w:lang w:val="fr-CA"/>
        </w:rPr>
        <w:t>,</w:t>
      </w:r>
      <w:r w:rsidR="000377A2" w:rsidRPr="003B74BD">
        <w:rPr>
          <w:szCs w:val="24"/>
          <w:lang w:val="fr-CA"/>
        </w:rPr>
        <w:t xml:space="preserve"> 25 Alta. L.R. (5th) 135, 482 A.R. 115</w:t>
      </w:r>
      <w:r w:rsidR="00800FF3" w:rsidRPr="003B74BD">
        <w:rPr>
          <w:szCs w:val="24"/>
          <w:lang w:val="fr-CA"/>
        </w:rPr>
        <w:t>, 490 W.A.C. 115</w:t>
      </w:r>
      <w:r w:rsidR="000377A2" w:rsidRPr="003B74BD">
        <w:rPr>
          <w:szCs w:val="24"/>
          <w:lang w:val="fr-CA"/>
        </w:rPr>
        <w:t xml:space="preserve">, 254 C.C.C. (3d) 25, [2010] 9 W.W.R. 279, [2010] </w:t>
      </w:r>
      <w:r w:rsidR="007122AC" w:rsidRPr="003B74BD">
        <w:rPr>
          <w:szCs w:val="24"/>
          <w:lang w:val="fr-CA"/>
        </w:rPr>
        <w:t>A.J. No. </w:t>
      </w:r>
      <w:r w:rsidR="000377A2" w:rsidRPr="003B74BD">
        <w:rPr>
          <w:szCs w:val="24"/>
          <w:lang w:val="fr-CA"/>
        </w:rPr>
        <w:t xml:space="preserve">384 (QL), 2010 </w:t>
      </w:r>
      <w:proofErr w:type="spellStart"/>
      <w:r w:rsidR="000377A2" w:rsidRPr="003B74BD">
        <w:rPr>
          <w:szCs w:val="24"/>
          <w:lang w:val="fr-CA"/>
        </w:rPr>
        <w:t>CarswellAlta</w:t>
      </w:r>
      <w:proofErr w:type="spellEnd"/>
      <w:r w:rsidR="000377A2" w:rsidRPr="003B74BD">
        <w:rPr>
          <w:szCs w:val="24"/>
          <w:lang w:val="fr-CA"/>
        </w:rPr>
        <w:t xml:space="preserve"> 637, qui a confirmé </w:t>
      </w:r>
      <w:r w:rsidR="00FD40A9">
        <w:rPr>
          <w:szCs w:val="24"/>
          <w:lang w:val="fr-CA"/>
        </w:rPr>
        <w:t>la déclaration de culpabilité de meurtre au deuxième degré prononcée contre l’accusé</w:t>
      </w:r>
      <w:r w:rsidR="000377A2" w:rsidRPr="003B74BD">
        <w:rPr>
          <w:szCs w:val="24"/>
          <w:lang w:val="fr-CA"/>
        </w:rPr>
        <w:t>.  Pourvoi rejeté</w:t>
      </w:r>
      <w:r w:rsidR="006A6E9E" w:rsidRPr="003B74BD">
        <w:rPr>
          <w:szCs w:val="24"/>
          <w:lang w:val="fr-CA"/>
        </w:rPr>
        <w:t>, l</w:t>
      </w:r>
      <w:r w:rsidR="00522225" w:rsidRPr="003B74BD">
        <w:rPr>
          <w:szCs w:val="24"/>
          <w:lang w:val="fr-CA"/>
        </w:rPr>
        <w:t xml:space="preserve">a juge en chef </w:t>
      </w:r>
      <w:proofErr w:type="spellStart"/>
      <w:r w:rsidR="00522225" w:rsidRPr="003B74BD">
        <w:rPr>
          <w:szCs w:val="24"/>
          <w:lang w:val="fr-CA"/>
        </w:rPr>
        <w:t>McLachlin</w:t>
      </w:r>
      <w:proofErr w:type="spellEnd"/>
      <w:r w:rsidR="00522225" w:rsidRPr="003B74BD">
        <w:rPr>
          <w:szCs w:val="24"/>
          <w:lang w:val="fr-CA"/>
        </w:rPr>
        <w:t xml:space="preserve"> et l</w:t>
      </w:r>
      <w:r w:rsidR="006A6E9E" w:rsidRPr="003B74BD">
        <w:rPr>
          <w:szCs w:val="24"/>
          <w:lang w:val="fr-CA"/>
        </w:rPr>
        <w:t xml:space="preserve">es juges </w:t>
      </w:r>
      <w:r w:rsidR="00522225" w:rsidRPr="003B74BD">
        <w:rPr>
          <w:szCs w:val="24"/>
          <w:lang w:val="fr-CA"/>
        </w:rPr>
        <w:t xml:space="preserve">Deschamps et </w:t>
      </w:r>
      <w:r w:rsidR="006A6E9E" w:rsidRPr="003B74BD">
        <w:rPr>
          <w:szCs w:val="24"/>
          <w:lang w:val="fr-CA"/>
        </w:rPr>
        <w:t>Fish sont dissidents</w:t>
      </w:r>
      <w:r w:rsidR="000377A2" w:rsidRPr="003B74BD">
        <w:rPr>
          <w:szCs w:val="24"/>
          <w:lang w:val="fr-CA"/>
        </w:rPr>
        <w:t>.</w:t>
      </w:r>
    </w:p>
    <w:p w:rsidR="00D960C4" w:rsidRPr="00FD40A9" w:rsidRDefault="007122AC" w:rsidP="00C07798">
      <w:pPr>
        <w:pStyle w:val="SCCNormalDoubleSpacing"/>
        <w:spacing w:after="480"/>
        <w:rPr>
          <w:lang w:val="fr-CA"/>
        </w:rPr>
      </w:pPr>
      <w:r w:rsidRPr="007E2486">
        <w:rPr>
          <w:rStyle w:val="SCCCounselNameChar"/>
        </w:rPr>
        <w:tab/>
        <w:t>Noel C.</w:t>
      </w:r>
      <w:r w:rsidRPr="00FD40A9">
        <w:rPr>
          <w:lang w:val="fr-CA"/>
        </w:rPr>
        <w:t> </w:t>
      </w:r>
      <w:r w:rsidR="000377A2" w:rsidRPr="007E2486">
        <w:rPr>
          <w:rStyle w:val="SCCCounselNameChar"/>
        </w:rPr>
        <w:t>O’</w:t>
      </w:r>
      <w:r w:rsidR="004204FF" w:rsidRPr="007E2486">
        <w:rPr>
          <w:rStyle w:val="SCCCounselNameChar"/>
        </w:rPr>
        <w:t>Brien</w:t>
      </w:r>
      <w:r w:rsidR="004204FF" w:rsidRPr="007E2486">
        <w:rPr>
          <w:rStyle w:val="SCCCounselNameChar"/>
          <w:i w:val="0"/>
        </w:rPr>
        <w:t xml:space="preserve">, </w:t>
      </w:r>
      <w:proofErr w:type="gramStart"/>
      <w:r w:rsidR="002C1E39" w:rsidRPr="007E2486">
        <w:rPr>
          <w:rStyle w:val="SCCCounselNameChar"/>
        </w:rPr>
        <w:t>c</w:t>
      </w:r>
      <w:r w:rsidR="004204FF" w:rsidRPr="007E2486">
        <w:rPr>
          <w:rStyle w:val="SCCCounselNameChar"/>
        </w:rPr>
        <w:t>.</w:t>
      </w:r>
      <w:r w:rsidR="002C1E39" w:rsidRPr="007E2486">
        <w:rPr>
          <w:rStyle w:val="SCCCounselNameChar"/>
        </w:rPr>
        <w:t>r</w:t>
      </w:r>
      <w:r w:rsidR="004204FF" w:rsidRPr="007E2486">
        <w:rPr>
          <w:rStyle w:val="SCCCounselNameChar"/>
        </w:rPr>
        <w:t>.</w:t>
      </w:r>
      <w:r w:rsidR="004204FF" w:rsidRPr="007E2486">
        <w:rPr>
          <w:rStyle w:val="SCCCounselPartyRoleChar"/>
        </w:rPr>
        <w:t>,</w:t>
      </w:r>
      <w:proofErr w:type="gramEnd"/>
      <w:r w:rsidR="004204FF" w:rsidRPr="007E2486">
        <w:rPr>
          <w:rStyle w:val="SCCCounselPartyRoleChar"/>
        </w:rPr>
        <w:t xml:space="preserve"> pour l</w:t>
      </w:r>
      <w:r w:rsidR="002C1E39" w:rsidRPr="007E2486">
        <w:rPr>
          <w:rStyle w:val="SCCCounselPartyRoleChar"/>
        </w:rPr>
        <w:t>’</w:t>
      </w:r>
      <w:r w:rsidR="004204FF" w:rsidRPr="007E2486">
        <w:rPr>
          <w:rStyle w:val="SCCCounselPartyRoleChar"/>
        </w:rPr>
        <w:t>appelant.</w:t>
      </w:r>
    </w:p>
    <w:p w:rsidR="00D960C4" w:rsidRPr="00FD40A9" w:rsidRDefault="004204FF" w:rsidP="00C07798">
      <w:pPr>
        <w:pStyle w:val="SCCNormalDoubleSpacing"/>
        <w:spacing w:after="480"/>
        <w:rPr>
          <w:lang w:val="fr-CA"/>
        </w:rPr>
      </w:pPr>
      <w:r w:rsidRPr="007E2486">
        <w:rPr>
          <w:rStyle w:val="SCCCounselNameChar"/>
        </w:rPr>
        <w:lastRenderedPageBreak/>
        <w:tab/>
        <w:t xml:space="preserve">Goran </w:t>
      </w:r>
      <w:proofErr w:type="spellStart"/>
      <w:r w:rsidRPr="007E2486">
        <w:rPr>
          <w:rStyle w:val="SCCCounselNameChar"/>
        </w:rPr>
        <w:t>Tomljanovic</w:t>
      </w:r>
      <w:proofErr w:type="spellEnd"/>
      <w:r w:rsidRPr="007E2486">
        <w:rPr>
          <w:rStyle w:val="SCCCounselNameChar"/>
          <w:i w:val="0"/>
        </w:rPr>
        <w:t xml:space="preserve">, </w:t>
      </w:r>
      <w:proofErr w:type="gramStart"/>
      <w:r w:rsidR="002C1E39" w:rsidRPr="007E2486">
        <w:rPr>
          <w:rStyle w:val="SCCCounselNameChar"/>
        </w:rPr>
        <w:t>c</w:t>
      </w:r>
      <w:r w:rsidRPr="007E2486">
        <w:rPr>
          <w:rStyle w:val="SCCCounselNameChar"/>
        </w:rPr>
        <w:t>.</w:t>
      </w:r>
      <w:r w:rsidR="002C1E39" w:rsidRPr="007E2486">
        <w:rPr>
          <w:rStyle w:val="SCCCounselNameChar"/>
        </w:rPr>
        <w:t>r</w:t>
      </w:r>
      <w:r w:rsidRPr="007E2486">
        <w:rPr>
          <w:rStyle w:val="SCCCounselNameChar"/>
        </w:rPr>
        <w:t>.</w:t>
      </w:r>
      <w:r w:rsidRPr="007E2486">
        <w:rPr>
          <w:rStyle w:val="SCCCounselPartyRoleChar"/>
        </w:rPr>
        <w:t>,</w:t>
      </w:r>
      <w:proofErr w:type="gramEnd"/>
      <w:r w:rsidRPr="007E2486">
        <w:rPr>
          <w:rStyle w:val="SCCCounselPartyRoleChar"/>
        </w:rPr>
        <w:t xml:space="preserve"> </w:t>
      </w:r>
      <w:r w:rsidR="002C1E39" w:rsidRPr="007E2486">
        <w:rPr>
          <w:rStyle w:val="SCCCounselPartyRoleChar"/>
        </w:rPr>
        <w:t xml:space="preserve">et </w:t>
      </w:r>
      <w:proofErr w:type="spellStart"/>
      <w:r w:rsidR="002C1E39" w:rsidRPr="00BE0D58">
        <w:rPr>
          <w:rStyle w:val="SCCCounselPartyRoleChar"/>
          <w:i/>
        </w:rPr>
        <w:t>Iwona</w:t>
      </w:r>
      <w:proofErr w:type="spellEnd"/>
      <w:r w:rsidR="002C1E39" w:rsidRPr="00BE0D58">
        <w:rPr>
          <w:rStyle w:val="SCCCounselPartyRoleChar"/>
          <w:i/>
        </w:rPr>
        <w:t xml:space="preserve"> </w:t>
      </w:r>
      <w:proofErr w:type="spellStart"/>
      <w:r w:rsidR="002C1E39" w:rsidRPr="00BE0D58">
        <w:rPr>
          <w:rStyle w:val="SCCCounselPartyRoleChar"/>
          <w:i/>
        </w:rPr>
        <w:t>Kuklicz</w:t>
      </w:r>
      <w:proofErr w:type="spellEnd"/>
      <w:r w:rsidR="002C1E39" w:rsidRPr="007E2486">
        <w:rPr>
          <w:rStyle w:val="SCCCounselPartyRoleChar"/>
        </w:rPr>
        <w:t xml:space="preserve">, </w:t>
      </w:r>
      <w:r w:rsidRPr="007E2486">
        <w:rPr>
          <w:rStyle w:val="SCCCounselPartyRoleChar"/>
        </w:rPr>
        <w:t>pour l</w:t>
      </w:r>
      <w:r w:rsidR="002C1E39" w:rsidRPr="007E2486">
        <w:rPr>
          <w:rStyle w:val="SCCCounselPartyRoleChar"/>
        </w:rPr>
        <w:t>’</w:t>
      </w:r>
      <w:r w:rsidRPr="007E2486">
        <w:rPr>
          <w:rStyle w:val="SCCCounselPartyRoleChar"/>
        </w:rPr>
        <w:t>intimée.</w:t>
      </w:r>
    </w:p>
    <w:p w:rsidR="00FD40A9" w:rsidRDefault="00FD40A9" w:rsidP="00525255">
      <w:pPr>
        <w:tabs>
          <w:tab w:val="left" w:pos="-1440"/>
          <w:tab w:val="left" w:pos="-720"/>
          <w:tab w:val="left" w:pos="1170"/>
        </w:tabs>
        <w:spacing w:after="480" w:line="480" w:lineRule="auto"/>
        <w:jc w:val="both"/>
        <w:rPr>
          <w:szCs w:val="24"/>
          <w:lang w:val="fr-CA"/>
        </w:rPr>
      </w:pPr>
      <w:r>
        <w:rPr>
          <w:szCs w:val="24"/>
          <w:lang w:val="fr-CA"/>
        </w:rPr>
        <w:tab/>
        <w:t xml:space="preserve">Version française du jugement des juges Abella, Charron, </w:t>
      </w:r>
      <w:proofErr w:type="spellStart"/>
      <w:r>
        <w:rPr>
          <w:szCs w:val="24"/>
          <w:lang w:val="fr-CA"/>
        </w:rPr>
        <w:t>Rothstein</w:t>
      </w:r>
      <w:proofErr w:type="spellEnd"/>
      <w:r>
        <w:rPr>
          <w:szCs w:val="24"/>
          <w:lang w:val="fr-CA"/>
        </w:rPr>
        <w:t xml:space="preserve"> et Cromwell rendu par</w:t>
      </w:r>
    </w:p>
    <w:p w:rsidR="00525255" w:rsidRPr="000B614B" w:rsidRDefault="00FD40A9" w:rsidP="00FD40A9">
      <w:pPr>
        <w:pStyle w:val="ReasonsNumbering-AltN"/>
        <w:ind w:left="0" w:firstLine="0"/>
        <w:rPr>
          <w:lang w:val="fr-CA"/>
        </w:rPr>
      </w:pPr>
      <w:r w:rsidRPr="00FD40A9">
        <w:rPr>
          <w:smallCaps/>
          <w:szCs w:val="24"/>
          <w:lang w:val="fr-CA"/>
        </w:rPr>
        <w:t>Le juge Cromwell</w:t>
      </w:r>
      <w:r w:rsidRPr="00FD40A9">
        <w:rPr>
          <w:szCs w:val="24"/>
          <w:lang w:val="fr-CA"/>
        </w:rPr>
        <w:t xml:space="preserve"> — </w:t>
      </w:r>
      <w:r w:rsidR="00525255" w:rsidRPr="000B614B">
        <w:rPr>
          <w:lang w:val="fr-CA"/>
        </w:rPr>
        <w:t>L’appelant a admis avoir illégalement causé la mort de la victime et qu’il était donc coupable d’homicide involontaire coupable.  Le jury l’a déclaré coupable de meurtre au deuxième degré.  La seule question en litige était de savoir si l’appelant avait l’état d’esprit requis pour pouvoir être déclaré coupable de meurtre, c’est</w:t>
      </w:r>
      <w:r w:rsidR="00525255" w:rsidRPr="000B614B">
        <w:rPr>
          <w:lang w:val="fr-CA"/>
        </w:rPr>
        <w:noBreakHyphen/>
      </w:r>
      <w:proofErr w:type="spellStart"/>
      <w:r w:rsidR="00525255" w:rsidRPr="000B614B">
        <w:rPr>
          <w:lang w:val="fr-CA"/>
        </w:rPr>
        <w:t>à</w:t>
      </w:r>
      <w:r w:rsidR="00525255" w:rsidRPr="000B614B">
        <w:rPr>
          <w:lang w:val="fr-CA"/>
        </w:rPr>
        <w:noBreakHyphen/>
        <w:t>dire</w:t>
      </w:r>
      <w:proofErr w:type="spellEnd"/>
      <w:r w:rsidR="00525255" w:rsidRPr="000B614B">
        <w:rPr>
          <w:lang w:val="fr-CA"/>
        </w:rPr>
        <w:t xml:space="preserve">, s’il avait l’intention de causer la mort ou s’il avait l’intention d’infliger des lésions corporelles qu’il savait de nature à causer la mort et </w:t>
      </w:r>
      <w:r w:rsidR="00525255" w:rsidRPr="000B614B">
        <w:rPr>
          <w:color w:val="000000"/>
          <w:lang w:val="fr-CA"/>
        </w:rPr>
        <w:t>qu’il lui était indifférent que la mort s’ensuive ou non</w:t>
      </w:r>
      <w:r w:rsidR="00525255" w:rsidRPr="000B614B">
        <w:rPr>
          <w:lang w:val="fr-CA"/>
        </w:rPr>
        <w:t>.  Le présent appel de plein droit, interjeté en vertu de l’al. 691(1)</w:t>
      </w:r>
      <w:r w:rsidR="00525255" w:rsidRPr="000B614B">
        <w:rPr>
          <w:i/>
          <w:lang w:val="fr-CA"/>
        </w:rPr>
        <w:t>a</w:t>
      </w:r>
      <w:r w:rsidR="00525255" w:rsidRPr="000B614B">
        <w:rPr>
          <w:lang w:val="fr-CA"/>
        </w:rPr>
        <w:t xml:space="preserve">) du </w:t>
      </w:r>
      <w:r w:rsidR="00525255" w:rsidRPr="000B614B">
        <w:rPr>
          <w:i/>
          <w:lang w:val="fr-CA"/>
        </w:rPr>
        <w:t>Code criminel</w:t>
      </w:r>
      <w:r w:rsidR="00525255" w:rsidRPr="000B614B">
        <w:rPr>
          <w:lang w:val="fr-CA"/>
        </w:rPr>
        <w:t>, L.R.C. 1985, ch. C</w:t>
      </w:r>
      <w:r w:rsidR="00525255" w:rsidRPr="000B614B">
        <w:rPr>
          <w:lang w:val="fr-CA"/>
        </w:rPr>
        <w:noBreakHyphen/>
        <w:t>46, porte sur la question de savoir si le juge du procès a commis une erreur dans sa réponse aux questions du jury au sujet de l’infraction d’homicide involontaire coupable, infraction que l’appelant a reconnu avoir commise.  Voici les motifs de dissidence tels qu’ils ont été exprimés dans le jugement formel de la Cour d’appel :</w:t>
      </w:r>
    </w:p>
    <w:p w:rsidR="00525255" w:rsidRPr="000B614B" w:rsidRDefault="002D6999" w:rsidP="002D6999">
      <w:pPr>
        <w:pStyle w:val="Citation1"/>
        <w:tabs>
          <w:tab w:val="left" w:pos="1170"/>
        </w:tabs>
        <w:ind w:hanging="1166"/>
        <w:rPr>
          <w:color w:val="000000"/>
          <w:lang w:val="fr-CA"/>
        </w:rPr>
      </w:pPr>
      <w:r>
        <w:rPr>
          <w:lang w:val="fr-CA"/>
        </w:rPr>
        <w:tab/>
      </w:r>
      <w:r w:rsidR="00525255" w:rsidRPr="000B614B">
        <w:rPr>
          <w:lang w:val="fr-CA"/>
        </w:rPr>
        <w:t>[</w:t>
      </w:r>
      <w:r w:rsidR="00525255" w:rsidRPr="000B614B">
        <w:rPr>
          <w:smallCaps/>
          <w:lang w:val="fr-CA"/>
        </w:rPr>
        <w:t xml:space="preserve">traduction] </w:t>
      </w:r>
      <w:r w:rsidR="00525255" w:rsidRPr="000B614B">
        <w:rPr>
          <w:lang w:val="fr-CA"/>
        </w:rPr>
        <w:t xml:space="preserve">Dans la présente affaire, l’acte illégal ayant été admis, il aurait fallu expliquer au jury que </w:t>
      </w:r>
      <w:proofErr w:type="gramStart"/>
      <w:r w:rsidR="00525255" w:rsidRPr="000B614B">
        <w:rPr>
          <w:lang w:val="fr-CA"/>
        </w:rPr>
        <w:t>l’</w:t>
      </w:r>
      <w:r w:rsidR="00525255" w:rsidRPr="000B614B">
        <w:rPr>
          <w:i/>
          <w:lang w:val="fr-CA"/>
        </w:rPr>
        <w:t>actus</w:t>
      </w:r>
      <w:proofErr w:type="gramEnd"/>
      <w:r w:rsidR="00525255" w:rsidRPr="000B614B">
        <w:rPr>
          <w:i/>
          <w:lang w:val="fr-CA"/>
        </w:rPr>
        <w:t xml:space="preserve"> </w:t>
      </w:r>
      <w:proofErr w:type="spellStart"/>
      <w:r w:rsidR="00525255" w:rsidRPr="000B614B">
        <w:rPr>
          <w:i/>
          <w:lang w:val="fr-CA"/>
        </w:rPr>
        <w:t>reus</w:t>
      </w:r>
      <w:proofErr w:type="spellEnd"/>
      <w:r w:rsidR="00525255" w:rsidRPr="000B614B">
        <w:rPr>
          <w:lang w:val="fr-CA"/>
        </w:rPr>
        <w:t xml:space="preserve"> avait été admis, soit qu’un objet lourd avait été lancé délibérément dans la foule</w:t>
      </w:r>
      <w:r>
        <w:rPr>
          <w:lang w:val="fr-CA"/>
        </w:rPr>
        <w:t xml:space="preserve"> — </w:t>
      </w:r>
      <w:r w:rsidR="00525255" w:rsidRPr="000B614B">
        <w:rPr>
          <w:lang w:val="fr-CA"/>
        </w:rPr>
        <w:t xml:space="preserve">un acte dangereux par nature (qui, dans les circonstances, constituait une agression). De plus, le jury </w:t>
      </w:r>
      <w:r w:rsidR="00525255" w:rsidRPr="000B614B">
        <w:rPr>
          <w:szCs w:val="24"/>
          <w:lang w:val="fr-CA"/>
        </w:rPr>
        <w:t xml:space="preserve">aurait dû être informé du fait que l’élément moral de l’infraction, en l’espèce, exigeait à la fois l’application intentionnelle de la force (qui a été admise) et la prévisibilité objective du risque de lésions corporelles, qui ne sont ni sans importance ni de nature passagère, dans le contexte de l’acte dangereux. </w:t>
      </w:r>
    </w:p>
    <w:p w:rsidR="00525255" w:rsidRPr="000B614B" w:rsidRDefault="00525255" w:rsidP="003B74BD">
      <w:pPr>
        <w:pStyle w:val="ContinueReasonsNo-AltP"/>
        <w:jc w:val="both"/>
        <w:rPr>
          <w:lang w:val="fr-CA"/>
        </w:rPr>
      </w:pPr>
      <w:r w:rsidRPr="000B614B">
        <w:rPr>
          <w:lang w:val="fr-CA"/>
        </w:rPr>
        <w:lastRenderedPageBreak/>
        <w:t>Selon moi, le juge du procès n’a commis aucune erreur et, pour les motifs exprimés par la majorité de la Cour d’appel de l’Alberta</w:t>
      </w:r>
      <w:r w:rsidR="00DF6E60">
        <w:rPr>
          <w:lang w:val="fr-CA"/>
        </w:rPr>
        <w:t xml:space="preserve"> (</w:t>
      </w:r>
      <w:r w:rsidRPr="000B614B">
        <w:rPr>
          <w:lang w:val="fr-CA"/>
        </w:rPr>
        <w:t>2010 ABCA 115, 25 Alta. L.R. (5th) 135</w:t>
      </w:r>
      <w:r w:rsidR="00DF6E60">
        <w:rPr>
          <w:lang w:val="fr-CA"/>
        </w:rPr>
        <w:t>)</w:t>
      </w:r>
      <w:r w:rsidRPr="000B614B">
        <w:rPr>
          <w:lang w:val="fr-CA"/>
        </w:rPr>
        <w:t xml:space="preserve"> aux par. 21</w:t>
      </w:r>
      <w:r w:rsidR="00FD40A9">
        <w:rPr>
          <w:lang w:val="fr-CA"/>
        </w:rPr>
        <w:t>-</w:t>
      </w:r>
      <w:r w:rsidRPr="000B614B">
        <w:rPr>
          <w:lang w:val="fr-CA"/>
        </w:rPr>
        <w:t>26, je suis d’avis de rejeter l’appel.</w:t>
      </w:r>
    </w:p>
    <w:p w:rsidR="00525255" w:rsidRPr="000B614B" w:rsidRDefault="00525255" w:rsidP="003B74BD">
      <w:pPr>
        <w:pStyle w:val="ReasonsNumbering-AltN"/>
        <w:ind w:left="0" w:firstLine="0"/>
        <w:rPr>
          <w:szCs w:val="24"/>
          <w:lang w:val="fr-CA"/>
        </w:rPr>
      </w:pPr>
      <w:r w:rsidRPr="003B74BD">
        <w:rPr>
          <w:lang w:val="fr-CA"/>
        </w:rPr>
        <w:t>J’ajouterais</w:t>
      </w:r>
      <w:r w:rsidRPr="000B614B">
        <w:rPr>
          <w:szCs w:val="24"/>
          <w:lang w:val="fr-CA"/>
        </w:rPr>
        <w:t xml:space="preserve"> seulement que le juge a répondu correctement et utilement aux questions du jury.  En outre, contrairement à ce qui est advenu dans </w:t>
      </w:r>
      <w:r w:rsidRPr="000B614B">
        <w:rPr>
          <w:i/>
          <w:szCs w:val="24"/>
          <w:lang w:val="fr-CA"/>
        </w:rPr>
        <w:t>R. c. Layton</w:t>
      </w:r>
      <w:r w:rsidRPr="000B614B">
        <w:rPr>
          <w:szCs w:val="24"/>
          <w:lang w:val="fr-CA"/>
        </w:rPr>
        <w:t xml:space="preserve">, 2009 CSC 36, [2009] 2 R.C.S. 540, le juge du procès a encouragé en l’espèce le jury à poser une autre question si sa réponse ne l’aidait pas.  Le jury a demandé : </w:t>
      </w:r>
      <w:r w:rsidRPr="000B614B">
        <w:rPr>
          <w:smallCaps/>
          <w:szCs w:val="24"/>
          <w:lang w:val="fr-CA"/>
        </w:rPr>
        <w:t>[traduction]</w:t>
      </w:r>
      <w:r w:rsidRPr="000B614B">
        <w:rPr>
          <w:szCs w:val="24"/>
          <w:lang w:val="fr-CA"/>
        </w:rPr>
        <w:t xml:space="preserve"> « En “langage courant”, quelle est la différence entre un meurtre </w:t>
      </w:r>
      <w:r w:rsidR="00B545EC">
        <w:rPr>
          <w:szCs w:val="24"/>
          <w:lang w:val="fr-CA"/>
        </w:rPr>
        <w:t xml:space="preserve">au deuxième degré </w:t>
      </w:r>
      <w:r w:rsidRPr="000B614B">
        <w:rPr>
          <w:szCs w:val="24"/>
          <w:lang w:val="fr-CA"/>
        </w:rPr>
        <w:t xml:space="preserve">et un homicide involontaire coupable?  Des exemples?  [. . .] Une définition précise de l’homicide involontaire coupable? »  Avec l’approbation des avocats de la poursuite et de la défense, le juge a dit au jury que la différence réside dans l’état d’esprit de l’accusé, puis il a examiné la partie de son exposé original précisant l’élément moral de l’infraction de meurtre au deuxième degré.  Il a ajouté que le jury devait tenir pour établi que l’appelant avait tué la victime illégalement, mais que pour démontrer que cet homicide était un meurtre le ministère public devait prouver un élément de plus, soit l’état d’esprit requis pour commettre un meurtre.  Le juge a refusé de donner des exemples au jury de crainte qu’ils ne clarifient en rien la différence entre un meurtre et un homicide involontaire coupable.  Il a expliqué au jury que chaque affaire est un cas d’espèce et que les faits propres à une affaire ou un exemple risquaient de ne pas les aider vraiment.  En ce qui concerne la « définition précise de l’homicide involontaire coupable » demandée par le jury, le juge a dit au jury qu’aucune définition précise de l’homicide involontaire coupable ne figure dans </w:t>
      </w:r>
      <w:r w:rsidRPr="000B614B">
        <w:rPr>
          <w:szCs w:val="24"/>
          <w:lang w:val="fr-CA"/>
        </w:rPr>
        <w:lastRenderedPageBreak/>
        <w:t xml:space="preserve">le </w:t>
      </w:r>
      <w:r w:rsidRPr="000B614B">
        <w:rPr>
          <w:i/>
          <w:szCs w:val="24"/>
          <w:lang w:val="fr-CA"/>
        </w:rPr>
        <w:t>Code criminel</w:t>
      </w:r>
      <w:r w:rsidRPr="000B614B">
        <w:rPr>
          <w:szCs w:val="24"/>
          <w:lang w:val="fr-CA"/>
        </w:rPr>
        <w:t>, mais qu’il pouvait les aider en disant que l’homicide dont il était question en l’espèce était soit un meurtre soit un homicide involontaire coupable et que, s’il n’était pas prouvé que l’appelant avait l’état d’esprit requis pour commettre un meurtre, alors il s’agissait d’un homicide involontaire coupable.  Il a conclu en encourageant le jury à poser une autre question si ses réponses ne l’aidaient pas.</w:t>
      </w:r>
    </w:p>
    <w:p w:rsidR="00525255" w:rsidRPr="000B614B" w:rsidRDefault="00525255" w:rsidP="003B74BD">
      <w:pPr>
        <w:pStyle w:val="ReasonsNumbering-AltN"/>
        <w:ind w:left="0" w:firstLine="0"/>
        <w:rPr>
          <w:szCs w:val="24"/>
          <w:lang w:val="fr-CA"/>
        </w:rPr>
      </w:pPr>
      <w:r w:rsidRPr="000B614B">
        <w:rPr>
          <w:szCs w:val="24"/>
          <w:lang w:val="fr-CA"/>
        </w:rPr>
        <w:t xml:space="preserve">Selon </w:t>
      </w:r>
      <w:r w:rsidRPr="003B74BD">
        <w:rPr>
          <w:lang w:val="fr-CA"/>
        </w:rPr>
        <w:t>moi</w:t>
      </w:r>
      <w:r w:rsidRPr="000B614B">
        <w:rPr>
          <w:szCs w:val="24"/>
          <w:lang w:val="fr-CA"/>
        </w:rPr>
        <w:t xml:space="preserve">, contrairement à ce qu’a prétendu l’appelant, ces directives ne sont entachées d’aucune erreur de droit.  On ne pourrait raisonnablement conclure que le jury a pu mal comprendre ce qui devait être prouvé pour lui permettre de rendre un verdict de culpabilité de meurtre au deuxième degré.  On ne pourrait non plus raisonnablement conclure que le jury a pu mal comprendre que, s’il n’était pas prouvé qu’il y </w:t>
      </w:r>
      <w:proofErr w:type="gramStart"/>
      <w:r w:rsidRPr="000B614B">
        <w:rPr>
          <w:szCs w:val="24"/>
          <w:lang w:val="fr-CA"/>
        </w:rPr>
        <w:t>avait</w:t>
      </w:r>
      <w:proofErr w:type="gramEnd"/>
      <w:r w:rsidRPr="000B614B">
        <w:rPr>
          <w:szCs w:val="24"/>
          <w:lang w:val="fr-CA"/>
        </w:rPr>
        <w:t xml:space="preserve"> eu meurtre, il devait rendre un verdict de culpabilité d’homicide involontaire coupable comme le procureur de la défense le lui demandait.  Le juge, dans ses directives, a dirigé l’attention du jury sur la seule question qu’il devait trancher et l’a correctement instruit des principes juridiques à appliquer.</w:t>
      </w:r>
    </w:p>
    <w:p w:rsidR="00525255" w:rsidRPr="000B614B" w:rsidRDefault="00525255" w:rsidP="003B74BD">
      <w:pPr>
        <w:pStyle w:val="ReasonsNumbering-AltN"/>
        <w:ind w:left="0" w:firstLine="0"/>
        <w:rPr>
          <w:szCs w:val="24"/>
          <w:lang w:val="fr-CA"/>
        </w:rPr>
      </w:pPr>
      <w:r w:rsidRPr="000B614B">
        <w:rPr>
          <w:szCs w:val="24"/>
          <w:lang w:val="fr-CA"/>
        </w:rPr>
        <w:t>Je suis d’avis de rejeter l’appel.</w:t>
      </w:r>
    </w:p>
    <w:p w:rsidR="00525255" w:rsidRDefault="00B545EC" w:rsidP="00B545EC">
      <w:pPr>
        <w:spacing w:after="480" w:line="480" w:lineRule="auto"/>
        <w:ind w:firstLine="1166"/>
        <w:rPr>
          <w:lang w:val="fr-CA"/>
        </w:rPr>
      </w:pPr>
      <w:r>
        <w:rPr>
          <w:lang w:val="fr-CA"/>
        </w:rPr>
        <w:t xml:space="preserve">Version française des motifs de la juge en chef </w:t>
      </w:r>
      <w:proofErr w:type="spellStart"/>
      <w:r>
        <w:rPr>
          <w:lang w:val="fr-CA"/>
        </w:rPr>
        <w:t>McLachlin</w:t>
      </w:r>
      <w:proofErr w:type="spellEnd"/>
      <w:r>
        <w:rPr>
          <w:lang w:val="fr-CA"/>
        </w:rPr>
        <w:t xml:space="preserve"> et des juges Deschamps et Fish rendus par </w:t>
      </w:r>
    </w:p>
    <w:p w:rsidR="00525255" w:rsidRPr="00B545EC" w:rsidRDefault="00525255" w:rsidP="00525255">
      <w:pPr>
        <w:tabs>
          <w:tab w:val="left" w:pos="-1440"/>
          <w:tab w:val="left" w:pos="-720"/>
          <w:tab w:val="left" w:pos="1170"/>
        </w:tabs>
        <w:spacing w:after="480" w:line="480" w:lineRule="auto"/>
        <w:jc w:val="both"/>
        <w:rPr>
          <w:lang w:val="fr-CA"/>
        </w:rPr>
      </w:pPr>
      <w:r w:rsidRPr="003B74BD">
        <w:rPr>
          <w:lang w:val="fr-CA"/>
        </w:rPr>
        <w:tab/>
      </w:r>
      <w:r w:rsidRPr="00B545EC">
        <w:rPr>
          <w:smallCaps/>
          <w:lang w:val="fr-CA"/>
        </w:rPr>
        <w:t>Le juge Fish</w:t>
      </w:r>
      <w:r w:rsidRPr="00B545EC">
        <w:rPr>
          <w:lang w:val="fr-CA"/>
        </w:rPr>
        <w:t xml:space="preserve"> </w:t>
      </w:r>
      <w:r w:rsidR="009C562E">
        <w:rPr>
          <w:lang w:val="fr-CA"/>
        </w:rPr>
        <w:t xml:space="preserve">(dissident) </w:t>
      </w:r>
      <w:r w:rsidRPr="00B545EC">
        <w:rPr>
          <w:lang w:val="fr-CA"/>
        </w:rPr>
        <w:t>—</w:t>
      </w:r>
    </w:p>
    <w:p w:rsidR="00525255" w:rsidRPr="00FA296F" w:rsidRDefault="00525255" w:rsidP="003B74BD">
      <w:pPr>
        <w:pStyle w:val="Heading1"/>
        <w:spacing w:after="720"/>
        <w:jc w:val="center"/>
        <w:rPr>
          <w:lang w:val="fr-CA"/>
        </w:rPr>
      </w:pPr>
      <w:r w:rsidRPr="00FA296F">
        <w:rPr>
          <w:lang w:val="fr-CA"/>
        </w:rPr>
        <w:lastRenderedPageBreak/>
        <w:t>I</w:t>
      </w:r>
    </w:p>
    <w:p w:rsidR="00525255" w:rsidRPr="00FA296F" w:rsidRDefault="00525255" w:rsidP="003B74BD">
      <w:pPr>
        <w:pStyle w:val="ReasonsNumbering-AltN"/>
        <w:ind w:left="0" w:firstLine="0"/>
        <w:rPr>
          <w:lang w:val="fr-CA"/>
        </w:rPr>
      </w:pPr>
      <w:r w:rsidRPr="00FA296F">
        <w:rPr>
          <w:lang w:val="fr-CA"/>
        </w:rPr>
        <w:t xml:space="preserve">À l’instar du juge O’Brien, dissident en </w:t>
      </w:r>
      <w:r w:rsidR="009C562E">
        <w:rPr>
          <w:lang w:val="fr-CA"/>
        </w:rPr>
        <w:t>C</w:t>
      </w:r>
      <w:r w:rsidRPr="00FA296F">
        <w:rPr>
          <w:lang w:val="fr-CA"/>
        </w:rPr>
        <w:t>our d’appel (2010 ABCA 115, 25 Alta.</w:t>
      </w:r>
      <w:r w:rsidR="009C562E">
        <w:rPr>
          <w:lang w:val="fr-CA"/>
        </w:rPr>
        <w:t xml:space="preserve"> </w:t>
      </w:r>
      <w:r w:rsidRPr="00FA296F">
        <w:rPr>
          <w:lang w:val="fr-CA"/>
        </w:rPr>
        <w:t>L.R. (5th) 135), et en grande partie pour les mêmes motifs, je suis d’avis d’accueillir le pourvoi et d’ordonner la tenue d’un nouveau procès.</w:t>
      </w:r>
    </w:p>
    <w:p w:rsidR="00525255" w:rsidRPr="00FA296F" w:rsidRDefault="00525255" w:rsidP="003B74BD">
      <w:pPr>
        <w:pStyle w:val="ReasonsNumbering-AltN"/>
        <w:ind w:left="0" w:firstLine="0"/>
        <w:rPr>
          <w:szCs w:val="24"/>
          <w:lang w:val="fr-CA"/>
        </w:rPr>
      </w:pPr>
      <w:r w:rsidRPr="00FA296F">
        <w:rPr>
          <w:lang w:val="fr-CA"/>
        </w:rPr>
        <w:t xml:space="preserve">Comme le juge O’Brien le souligne </w:t>
      </w:r>
      <w:r w:rsidRPr="00FA296F">
        <w:rPr>
          <w:szCs w:val="24"/>
          <w:lang w:val="fr-CA"/>
        </w:rPr>
        <w:t xml:space="preserve">(par. 75), le juge du procès a dit au jury qu’il était tenu de déclarer l’appelant coupable soit de meurtre soit d’homicide involontaire coupable.  Il a informé le jury des éléments essentiels de l’infraction de meurtre, mais il ne leur a donné </w:t>
      </w:r>
      <w:r w:rsidRPr="00FA296F">
        <w:rPr>
          <w:i/>
          <w:szCs w:val="24"/>
          <w:lang w:val="fr-CA"/>
        </w:rPr>
        <w:t>aucune</w:t>
      </w:r>
      <w:r w:rsidRPr="00FA296F">
        <w:rPr>
          <w:szCs w:val="24"/>
          <w:lang w:val="fr-CA"/>
        </w:rPr>
        <w:t xml:space="preserve"> définition de l’homicide involontaire coupable ni </w:t>
      </w:r>
      <w:r w:rsidRPr="00FA296F">
        <w:rPr>
          <w:i/>
          <w:szCs w:val="24"/>
          <w:lang w:val="fr-CA"/>
        </w:rPr>
        <w:t>aucune</w:t>
      </w:r>
      <w:r w:rsidRPr="00FA296F">
        <w:rPr>
          <w:szCs w:val="24"/>
          <w:lang w:val="fr-CA"/>
        </w:rPr>
        <w:t xml:space="preserve"> directive quant aux éléments essentiels de cette infraction.</w:t>
      </w:r>
    </w:p>
    <w:p w:rsidR="00525255" w:rsidRPr="00FA296F" w:rsidRDefault="00525255" w:rsidP="003B74BD">
      <w:pPr>
        <w:pStyle w:val="ReasonsNumbering-AltN"/>
        <w:ind w:left="0" w:firstLine="0"/>
        <w:rPr>
          <w:szCs w:val="24"/>
          <w:lang w:val="fr-CA"/>
        </w:rPr>
      </w:pPr>
      <w:r w:rsidRPr="00FA296F">
        <w:rPr>
          <w:szCs w:val="24"/>
          <w:lang w:val="fr-CA"/>
        </w:rPr>
        <w:t xml:space="preserve">Après </w:t>
      </w:r>
      <w:r w:rsidRPr="003B74BD">
        <w:rPr>
          <w:lang w:val="fr-CA"/>
        </w:rPr>
        <w:t>avoir</w:t>
      </w:r>
      <w:r w:rsidRPr="00FA296F">
        <w:rPr>
          <w:szCs w:val="24"/>
          <w:lang w:val="fr-CA"/>
        </w:rPr>
        <w:t xml:space="preserve"> délibéré pendant quelque temps, les jurés avaient de toute évidence besoin de directives additionnelles et ont expressément demandé au juge de leur expliquer la différence entre l’homicide involontaire coupable et le meurtre au deuxième degré et de leur donner une </w:t>
      </w:r>
      <w:r w:rsidRPr="00FA296F">
        <w:rPr>
          <w:smallCaps/>
          <w:szCs w:val="24"/>
          <w:lang w:val="fr-CA"/>
        </w:rPr>
        <w:t>[traduction]</w:t>
      </w:r>
      <w:r w:rsidRPr="00FA296F">
        <w:rPr>
          <w:szCs w:val="24"/>
          <w:lang w:val="fr-CA"/>
        </w:rPr>
        <w:t xml:space="preserve"> « définition précise de l’homicide involontaire coupable ».</w:t>
      </w:r>
    </w:p>
    <w:p w:rsidR="00525255" w:rsidRPr="00FA296F" w:rsidRDefault="00525255" w:rsidP="003B74BD">
      <w:pPr>
        <w:pStyle w:val="ReasonsNumbering-AltN"/>
        <w:ind w:left="0" w:firstLine="0"/>
        <w:rPr>
          <w:szCs w:val="24"/>
          <w:lang w:val="fr-CA"/>
        </w:rPr>
      </w:pPr>
      <w:r w:rsidRPr="00FA296F">
        <w:rPr>
          <w:szCs w:val="24"/>
          <w:lang w:val="fr-CA"/>
        </w:rPr>
        <w:t xml:space="preserve">Le juge a conclu que les jurés avaient de la difficulté à comprendre la distinction entre un homicide involontaire coupable et un meurtre, malgré ce qu’il leur avait dit dans son exposé. Selon le juge, le fait que le jury ait demandé une définition de l’homicide involontaire coupable </w:t>
      </w:r>
      <w:r w:rsidRPr="00FA296F">
        <w:rPr>
          <w:smallCaps/>
          <w:szCs w:val="24"/>
          <w:lang w:val="fr-CA"/>
        </w:rPr>
        <w:t>[traduction]</w:t>
      </w:r>
      <w:r w:rsidRPr="00FA296F">
        <w:rPr>
          <w:szCs w:val="24"/>
          <w:lang w:val="fr-CA"/>
        </w:rPr>
        <w:t xml:space="preserve"> « </w:t>
      </w:r>
      <w:proofErr w:type="spellStart"/>
      <w:proofErr w:type="gramStart"/>
      <w:r w:rsidRPr="00FA296F">
        <w:rPr>
          <w:szCs w:val="24"/>
          <w:lang w:val="fr-CA"/>
        </w:rPr>
        <w:t>donn</w:t>
      </w:r>
      <w:proofErr w:type="spellEnd"/>
      <w:r w:rsidRPr="00FA296F">
        <w:rPr>
          <w:szCs w:val="24"/>
          <w:lang w:val="fr-CA"/>
        </w:rPr>
        <w:t>[</w:t>
      </w:r>
      <w:proofErr w:type="gramEnd"/>
      <w:r w:rsidRPr="00FA296F">
        <w:rPr>
          <w:szCs w:val="24"/>
          <w:lang w:val="fr-CA"/>
        </w:rPr>
        <w:t>ait] à penser qu’il a[</w:t>
      </w:r>
      <w:proofErr w:type="spellStart"/>
      <w:r w:rsidRPr="00FA296F">
        <w:rPr>
          <w:szCs w:val="24"/>
          <w:lang w:val="fr-CA"/>
        </w:rPr>
        <w:t>vait</w:t>
      </w:r>
      <w:proofErr w:type="spellEnd"/>
      <w:r w:rsidRPr="00FA296F">
        <w:rPr>
          <w:szCs w:val="24"/>
          <w:lang w:val="fr-CA"/>
        </w:rPr>
        <w:t xml:space="preserve">] de la difficulté à établir si oui ou non c’en est un ». Il a néanmoins refusé </w:t>
      </w:r>
      <w:r w:rsidRPr="00FA296F">
        <w:rPr>
          <w:szCs w:val="24"/>
          <w:lang w:val="fr-CA"/>
        </w:rPr>
        <w:lastRenderedPageBreak/>
        <w:t>de donner au jury la définition qu’il avait demandée ou de lui donner des directives quant aux éléments essentiels de l’homicide involontaire coupable.</w:t>
      </w:r>
    </w:p>
    <w:p w:rsidR="00525255" w:rsidRPr="00FA296F" w:rsidRDefault="00525255" w:rsidP="003B74BD">
      <w:pPr>
        <w:pStyle w:val="ReasonsNumbering-AltN"/>
        <w:ind w:left="0" w:firstLine="0"/>
        <w:rPr>
          <w:szCs w:val="24"/>
          <w:lang w:val="fr-CA"/>
        </w:rPr>
      </w:pPr>
      <w:r w:rsidRPr="00FA296F">
        <w:rPr>
          <w:szCs w:val="24"/>
          <w:lang w:val="fr-CA"/>
        </w:rPr>
        <w:t xml:space="preserve">Selon moi, </w:t>
      </w:r>
      <w:r w:rsidRPr="003B74BD">
        <w:rPr>
          <w:lang w:val="fr-CA"/>
        </w:rPr>
        <w:t>aucun</w:t>
      </w:r>
      <w:r w:rsidRPr="00FA296F">
        <w:rPr>
          <w:szCs w:val="24"/>
          <w:lang w:val="fr-CA"/>
        </w:rPr>
        <w:t xml:space="preserve"> jury de 12 personnes ne devrait se voir demander par le juge du procès de déclarer l’accusé dont il détermine le sort </w:t>
      </w:r>
      <w:r w:rsidRPr="00FA296F">
        <w:rPr>
          <w:lang w:val="fr-CA"/>
        </w:rPr>
        <w:t xml:space="preserve">coupable de l’une ou l’autre de deux infractions </w:t>
      </w:r>
      <w:r w:rsidRPr="00FA296F">
        <w:rPr>
          <w:i/>
          <w:lang w:val="fr-CA"/>
        </w:rPr>
        <w:t>sans comprendre le lien qui peut exister entre ces deux infractions et la preuve qui lui a été présentée</w:t>
      </w:r>
      <w:r w:rsidRPr="00FA296F">
        <w:rPr>
          <w:lang w:val="fr-CA"/>
        </w:rPr>
        <w:t xml:space="preserve"> (voir</w:t>
      </w:r>
      <w:r w:rsidRPr="00FA296F">
        <w:rPr>
          <w:i/>
          <w:lang w:val="fr-CA"/>
        </w:rPr>
        <w:t xml:space="preserve"> R. c. </w:t>
      </w:r>
      <w:proofErr w:type="spellStart"/>
      <w:r w:rsidRPr="00FA296F">
        <w:rPr>
          <w:i/>
          <w:lang w:val="fr-CA"/>
        </w:rPr>
        <w:t>MacKay</w:t>
      </w:r>
      <w:proofErr w:type="spellEnd"/>
      <w:r w:rsidRPr="00FA296F">
        <w:rPr>
          <w:lang w:val="fr-CA"/>
        </w:rPr>
        <w:t xml:space="preserve">, 2005 CSC 75, [2005] 3 R.C.S. 607, par. 1, citant </w:t>
      </w:r>
      <w:proofErr w:type="spellStart"/>
      <w:r w:rsidRPr="00FA296F">
        <w:rPr>
          <w:i/>
          <w:lang w:val="fr-CA"/>
        </w:rPr>
        <w:t>Azoulay</w:t>
      </w:r>
      <w:proofErr w:type="spellEnd"/>
      <w:r w:rsidRPr="00FA296F">
        <w:rPr>
          <w:i/>
          <w:lang w:val="fr-CA"/>
        </w:rPr>
        <w:t xml:space="preserve"> c. The </w:t>
      </w:r>
      <w:proofErr w:type="spellStart"/>
      <w:r w:rsidRPr="00FA296F">
        <w:rPr>
          <w:i/>
          <w:lang w:val="fr-CA"/>
        </w:rPr>
        <w:t>Queen</w:t>
      </w:r>
      <w:proofErr w:type="spellEnd"/>
      <w:r w:rsidRPr="00FA296F">
        <w:rPr>
          <w:lang w:val="fr-CA"/>
        </w:rPr>
        <w:t xml:space="preserve">, [1952] 2 R.C.S. 495, p. 503). </w:t>
      </w:r>
      <w:r w:rsidRPr="00FA296F">
        <w:rPr>
          <w:szCs w:val="24"/>
          <w:lang w:val="fr-CA"/>
        </w:rPr>
        <w:t xml:space="preserve"> C’est pourtant ce qui s’est produit en l’espèce.</w:t>
      </w:r>
    </w:p>
    <w:p w:rsidR="00525255" w:rsidRPr="00FA296F" w:rsidRDefault="00525255" w:rsidP="003B74BD">
      <w:pPr>
        <w:pStyle w:val="ReasonsNumbering-AltN"/>
        <w:ind w:left="0" w:firstLine="0"/>
        <w:rPr>
          <w:szCs w:val="24"/>
          <w:lang w:val="fr-CA"/>
        </w:rPr>
      </w:pPr>
      <w:r w:rsidRPr="00FA296F">
        <w:rPr>
          <w:szCs w:val="24"/>
          <w:lang w:val="fr-CA"/>
        </w:rPr>
        <w:t>En toute déférence pour les tenants de l’opinion contraire, je souscris à l’opinion du juge O’Brien selon laquelle le juge du procès a commis une erreur qui a été fatale au verdict du jury et que, pour ce motif, il y a lieu d’ordonner la tenue d’un nouveau procès.</w:t>
      </w:r>
    </w:p>
    <w:p w:rsidR="00525255" w:rsidRPr="00FA296F" w:rsidRDefault="00525255" w:rsidP="003B74BD">
      <w:pPr>
        <w:pStyle w:val="Heading1"/>
        <w:spacing w:after="720"/>
        <w:jc w:val="center"/>
        <w:rPr>
          <w:szCs w:val="24"/>
        </w:rPr>
      </w:pPr>
      <w:r w:rsidRPr="003B74BD">
        <w:rPr>
          <w:lang w:val="fr-CA"/>
        </w:rPr>
        <w:t>II</w:t>
      </w:r>
    </w:p>
    <w:p w:rsidR="00525255" w:rsidRPr="00FA296F" w:rsidRDefault="00525255" w:rsidP="003B74BD">
      <w:pPr>
        <w:pStyle w:val="ReasonsNumbering-AltN"/>
        <w:ind w:left="0" w:firstLine="0"/>
        <w:rPr>
          <w:szCs w:val="24"/>
          <w:lang w:val="fr-CA"/>
        </w:rPr>
      </w:pPr>
      <w:r w:rsidRPr="00FA296F">
        <w:rPr>
          <w:szCs w:val="24"/>
          <w:lang w:val="fr-CA"/>
        </w:rPr>
        <w:t xml:space="preserve">S’exprimant au nom de la majorité dans </w:t>
      </w:r>
      <w:r w:rsidRPr="00FA296F">
        <w:rPr>
          <w:i/>
          <w:lang w:val="fr-CA"/>
        </w:rPr>
        <w:t>R. c. S. (W.D.)</w:t>
      </w:r>
      <w:r w:rsidRPr="00FA296F">
        <w:rPr>
          <w:lang w:val="fr-CA"/>
        </w:rPr>
        <w:t>, [1994] 3 R.C.S. 521, le juge Cory a réaffirmé l’importance particulière des questions posées par le jury et l’obligation primordiale des juges du procès de donner des réponses « </w:t>
      </w:r>
      <w:r w:rsidRPr="00FA296F">
        <w:rPr>
          <w:rFonts w:ascii="CG Times" w:hAnsi="CG Times"/>
          <w:spacing w:val="-3"/>
          <w:lang w:val="fr-FR"/>
        </w:rPr>
        <w:t xml:space="preserve">claires, </w:t>
      </w:r>
      <w:r w:rsidRPr="003B74BD">
        <w:rPr>
          <w:lang w:val="fr-CA"/>
        </w:rPr>
        <w:t>correctes</w:t>
      </w:r>
      <w:r w:rsidRPr="00FA296F">
        <w:rPr>
          <w:rFonts w:ascii="CG Times" w:hAnsi="CG Times"/>
          <w:spacing w:val="-3"/>
          <w:lang w:val="fr-FR"/>
        </w:rPr>
        <w:t xml:space="preserve"> et complètes</w:t>
      </w:r>
      <w:r w:rsidRPr="00FA296F">
        <w:rPr>
          <w:rFonts w:ascii="CG Times" w:hAnsi="CG Times" w:hint="eastAsia"/>
          <w:spacing w:val="-3"/>
          <w:lang w:val="fr-FR"/>
        </w:rPr>
        <w:t> </w:t>
      </w:r>
      <w:r w:rsidRPr="00FA296F">
        <w:rPr>
          <w:rFonts w:ascii="CG Times" w:hAnsi="CG Times"/>
          <w:spacing w:val="-3"/>
          <w:lang w:val="fr-FR"/>
        </w:rPr>
        <w:t>» à ces questions (p. 528)</w:t>
      </w:r>
      <w:r w:rsidRPr="00FA296F">
        <w:rPr>
          <w:szCs w:val="24"/>
          <w:lang w:val="fr-CA"/>
        </w:rPr>
        <w:t>.</w:t>
      </w:r>
      <w:r w:rsidRPr="00FA296F">
        <w:rPr>
          <w:lang w:val="fr-CA"/>
        </w:rPr>
        <w:t xml:space="preserve">  Le juge Cory a ajouté : « M</w:t>
      </w:r>
      <w:proofErr w:type="spellStart"/>
      <w:r w:rsidRPr="00FA296F">
        <w:rPr>
          <w:rFonts w:ascii="CG Times" w:hAnsi="CG Times"/>
          <w:spacing w:val="-3"/>
          <w:lang w:val="fr-FR"/>
        </w:rPr>
        <w:t>ême</w:t>
      </w:r>
      <w:proofErr w:type="spellEnd"/>
      <w:r w:rsidRPr="00FA296F">
        <w:rPr>
          <w:rFonts w:ascii="CG Times" w:hAnsi="CG Times"/>
          <w:spacing w:val="-3"/>
          <w:lang w:val="fr-FR"/>
        </w:rPr>
        <w:t xml:space="preserve"> si la question se rapporte à un sujet qui a été examiné soigneusement dans l'exposé principal, il faut y répondre quand même de façon complète et attentive</w:t>
      </w:r>
      <w:r w:rsidR="009C562E">
        <w:rPr>
          <w:rFonts w:ascii="CG Times" w:hAnsi="CG Times"/>
          <w:spacing w:val="-3"/>
          <w:lang w:val="fr-FR"/>
        </w:rPr>
        <w:t>.</w:t>
      </w:r>
      <w:r w:rsidRPr="00FA296F">
        <w:rPr>
          <w:rFonts w:ascii="CG Times" w:hAnsi="CG Times" w:hint="eastAsia"/>
          <w:spacing w:val="-3"/>
          <w:lang w:val="fr-FR"/>
        </w:rPr>
        <w:t> </w:t>
      </w:r>
      <w:r w:rsidRPr="00FA296F">
        <w:rPr>
          <w:rFonts w:ascii="CG Times" w:hAnsi="CG Times"/>
          <w:spacing w:val="-3"/>
          <w:lang w:val="fr-FR"/>
        </w:rPr>
        <w:t>»  Il a de plus affirmé</w:t>
      </w:r>
      <w:r w:rsidRPr="00FA296F">
        <w:rPr>
          <w:rFonts w:ascii="CG Times" w:hAnsi="CG Times" w:hint="eastAsia"/>
          <w:spacing w:val="-3"/>
          <w:lang w:val="fr-FR"/>
        </w:rPr>
        <w:t> :</w:t>
      </w:r>
      <w:r w:rsidRPr="00FA296F">
        <w:rPr>
          <w:rFonts w:ascii="CG Times" w:hAnsi="CG Times"/>
          <w:spacing w:val="-3"/>
          <w:lang w:val="fr-FR"/>
        </w:rPr>
        <w:t xml:space="preserve"> </w:t>
      </w:r>
      <w:r w:rsidRPr="00FA296F">
        <w:rPr>
          <w:rFonts w:ascii="CG Times" w:hAnsi="CG Times"/>
          <w:spacing w:val="-3"/>
          <w:lang w:val="fr-FR"/>
        </w:rPr>
        <w:lastRenderedPageBreak/>
        <w:t>« Le jury doit recevoir une réponse complète et adéquate.  Il a droit à au moins cela. »</w:t>
      </w:r>
      <w:r w:rsidRPr="00FA296F">
        <w:rPr>
          <w:szCs w:val="24"/>
          <w:lang w:val="fr-CA"/>
        </w:rPr>
        <w:t xml:space="preserve">  Voilà le droit applicable.</w:t>
      </w:r>
    </w:p>
    <w:p w:rsidR="00525255" w:rsidRPr="00FA296F" w:rsidRDefault="00525255" w:rsidP="003B74BD">
      <w:pPr>
        <w:pStyle w:val="ReasonsNumbering-AltN"/>
        <w:ind w:left="0" w:firstLine="0"/>
        <w:rPr>
          <w:szCs w:val="24"/>
          <w:lang w:val="fr-CA"/>
        </w:rPr>
      </w:pPr>
      <w:r w:rsidRPr="00FA296F">
        <w:rPr>
          <w:lang w:val="fr-CA"/>
        </w:rPr>
        <w:t>En l’espèce, comme nous l’avons vu, le juge a bien saisi le sens de la question du jury.  Les jurés avaient besoin de directives supplémentaires, et en ont demandé, quant à la distinction entre un homicide involontaire coupable et un meurtre au deuxième degré.  Pour mieux comprendre cette distinction, dont dépendait entièrement son verdict, le jury a demandé une définition de l’homicide involontaire coupable.  On aurait pu facilement lui répondre par une simple directive sur les éléments essentiels de l’homicide involontaire coupable et sur leur lien avec les principaux éléments de preuve.  Au lieu de cela, le jury a reçu une réponse qui ne lui était d’aucun secours.</w:t>
      </w:r>
    </w:p>
    <w:p w:rsidR="00525255" w:rsidRPr="00FA296F" w:rsidRDefault="00525255" w:rsidP="003B74BD">
      <w:pPr>
        <w:pStyle w:val="ReasonsNumbering-AltN"/>
        <w:ind w:left="0" w:firstLine="0"/>
        <w:rPr>
          <w:szCs w:val="24"/>
          <w:lang w:val="fr-CA"/>
        </w:rPr>
      </w:pPr>
      <w:r w:rsidRPr="00FA296F">
        <w:rPr>
          <w:szCs w:val="24"/>
          <w:lang w:val="fr-CA"/>
        </w:rPr>
        <w:t>Le juge O</w:t>
      </w:r>
      <w:r w:rsidR="009C562E">
        <w:rPr>
          <w:szCs w:val="24"/>
          <w:lang w:val="fr-CA"/>
        </w:rPr>
        <w:t>’</w:t>
      </w:r>
      <w:r w:rsidRPr="00FA296F">
        <w:rPr>
          <w:szCs w:val="24"/>
          <w:lang w:val="fr-CA"/>
        </w:rPr>
        <w:t xml:space="preserve">Brien a affirmé ce qui suit, aux par. 84 et 88 : </w:t>
      </w:r>
    </w:p>
    <w:p w:rsidR="00525255" w:rsidRPr="003B74BD" w:rsidRDefault="003B74BD" w:rsidP="009C562E">
      <w:pPr>
        <w:pStyle w:val="Citation-AltC"/>
        <w:tabs>
          <w:tab w:val="left" w:pos="1440"/>
        </w:tabs>
        <w:spacing w:after="240"/>
        <w:contextualSpacing w:val="0"/>
        <w:rPr>
          <w:lang w:val="fr-CA"/>
        </w:rPr>
      </w:pPr>
      <w:r>
        <w:rPr>
          <w:smallCaps/>
          <w:lang w:val="fr-CA"/>
        </w:rPr>
        <w:tab/>
      </w:r>
      <w:r w:rsidR="00525255" w:rsidRPr="003B74BD">
        <w:rPr>
          <w:smallCaps/>
          <w:lang w:val="fr-CA"/>
        </w:rPr>
        <w:t xml:space="preserve">[traduction]  </w:t>
      </w:r>
      <w:r w:rsidR="00525255" w:rsidRPr="003B74BD">
        <w:rPr>
          <w:lang w:val="fr-CA"/>
        </w:rPr>
        <w:t xml:space="preserve">La réponse fournie au jury par le juge du procès ne lui a guère expliqué la distinction. Le juge commence par réitérer qu’il a été prouvé qu’il y a eu « mort causée par un acte illégal ».  Cet élément s’applique, évidemment, à la fois au meurtre et à l’homicide involontaire coupable.  Le juge a ensuite lu des parties choisies de ses directives que le jury avait déjà par écrit. </w:t>
      </w:r>
    </w:p>
    <w:p w:rsidR="00525255" w:rsidRPr="003B74BD" w:rsidRDefault="00525255" w:rsidP="003B74BD">
      <w:pPr>
        <w:pStyle w:val="Citation-AltC"/>
        <w:tabs>
          <w:tab w:val="left" w:pos="1800"/>
        </w:tabs>
        <w:spacing w:after="240"/>
        <w:contextualSpacing w:val="0"/>
        <w:jc w:val="center"/>
        <w:rPr>
          <w:szCs w:val="24"/>
          <w:lang w:val="fr-CA"/>
        </w:rPr>
      </w:pPr>
      <w:r w:rsidRPr="003B74BD">
        <w:rPr>
          <w:szCs w:val="24"/>
          <w:lang w:val="fr-CA"/>
        </w:rPr>
        <w:t>. . .</w:t>
      </w:r>
    </w:p>
    <w:p w:rsidR="00525255" w:rsidRPr="003B74BD" w:rsidRDefault="003B74BD" w:rsidP="009C562E">
      <w:pPr>
        <w:pStyle w:val="Citation-AltC"/>
        <w:tabs>
          <w:tab w:val="left" w:pos="1440"/>
          <w:tab w:val="left" w:pos="1800"/>
        </w:tabs>
        <w:rPr>
          <w:lang w:val="fr-CA"/>
        </w:rPr>
      </w:pPr>
      <w:r>
        <w:rPr>
          <w:lang w:val="fr-CA"/>
        </w:rPr>
        <w:tab/>
      </w:r>
      <w:r w:rsidR="00525255" w:rsidRPr="003B74BD">
        <w:rPr>
          <w:lang w:val="fr-CA"/>
        </w:rPr>
        <w:t xml:space="preserve">Il n’incombe évidemment pas à l’appelant de trouver la raison pour laquelle le jury avait de la difficulté à faire la distinction entre les deux infractions.  En l’espèce, voici tout simplement ce dont il s’agit. On a demandé au jury de déclarer l’appelant coupable soit de meurtre soit d’homicide involontaire coupable.  Pour une raison quelconque, le jury désirait qu’on lui explique ce qu’est, en droit, un homicide involontaire </w:t>
      </w:r>
      <w:r w:rsidR="00525255" w:rsidRPr="003B74BD">
        <w:rPr>
          <w:lang w:val="fr-CA"/>
        </w:rPr>
        <w:lastRenderedPageBreak/>
        <w:t xml:space="preserve">coupable.  La question portait sur un point important en litige et je ne vois aucune raison valable de priver le jury de cette explication. </w:t>
      </w:r>
    </w:p>
    <w:p w:rsidR="00525255" w:rsidRPr="00FA296F" w:rsidRDefault="00525255" w:rsidP="003B74BD">
      <w:pPr>
        <w:pStyle w:val="ReasonsNumbering-AltN"/>
        <w:ind w:left="0" w:firstLine="0"/>
        <w:rPr>
          <w:lang w:val="fr-CA"/>
        </w:rPr>
      </w:pPr>
      <w:r w:rsidRPr="00FA296F">
        <w:rPr>
          <w:lang w:val="fr-CA"/>
        </w:rPr>
        <w:t xml:space="preserve">Il ressort du dossier que le juge du procès a choisi de ne pas préciser les éléments constitutifs de l’homicide involontaire coupable pour deux raisons : premièrement, parce que cela pouvait accroître le degré de confusion du jury (il a affirmé que, pour les profanes, cette notion </w:t>
      </w:r>
      <w:r w:rsidRPr="00FA296F">
        <w:rPr>
          <w:smallCaps/>
          <w:szCs w:val="24"/>
          <w:lang w:val="fr-CA"/>
        </w:rPr>
        <w:t xml:space="preserve">[traduction] </w:t>
      </w:r>
      <w:r w:rsidRPr="00FA296F">
        <w:rPr>
          <w:szCs w:val="24"/>
          <w:lang w:val="fr-CA"/>
        </w:rPr>
        <w:t>« n’est pas nécessairement une chose facile à comprendre »</w:t>
      </w:r>
      <w:r w:rsidRPr="00FA296F">
        <w:rPr>
          <w:lang w:val="fr-CA"/>
        </w:rPr>
        <w:t>); deuxièmement, parce que les jurés auraient pu, à la suite de cette explication, acquitter l’accusé de l’infraction d’homicide involontaire coupable, contrairement à sa directive claire qui excluait ce verdict.</w:t>
      </w:r>
    </w:p>
    <w:p w:rsidR="00525255" w:rsidRPr="00FA296F" w:rsidRDefault="00525255" w:rsidP="003B74BD">
      <w:pPr>
        <w:pStyle w:val="ReasonsNumbering-AltN"/>
        <w:ind w:left="0" w:firstLine="0"/>
        <w:rPr>
          <w:lang w:val="fr-CA"/>
        </w:rPr>
      </w:pPr>
      <w:r w:rsidRPr="00FA296F">
        <w:rPr>
          <w:lang w:val="fr-CA"/>
        </w:rPr>
        <w:t xml:space="preserve">En toute déférence, je suis d’accord avec le juge O’Brien pour dire que ces motifs de refuser l’aide demandée </w:t>
      </w:r>
      <w:r w:rsidRPr="00FA296F">
        <w:rPr>
          <w:smallCaps/>
          <w:szCs w:val="24"/>
          <w:lang w:val="fr-CA"/>
        </w:rPr>
        <w:t xml:space="preserve">[traduction] </w:t>
      </w:r>
      <w:r w:rsidRPr="00FA296F">
        <w:rPr>
          <w:szCs w:val="24"/>
          <w:lang w:val="fr-CA"/>
        </w:rPr>
        <w:t xml:space="preserve">« déprécie[nt] le rôle des jurés » </w:t>
      </w:r>
      <w:r w:rsidRPr="00FA296F">
        <w:rPr>
          <w:lang w:val="fr-CA"/>
        </w:rPr>
        <w:t>(par.  89), dont le droit tient pour acquises la « </w:t>
      </w:r>
      <w:r w:rsidRPr="00FA296F">
        <w:rPr>
          <w:lang w:val="fr-FR"/>
        </w:rPr>
        <w:t xml:space="preserve">sagesse et l’intelligence collectives » </w:t>
      </w:r>
      <w:r w:rsidRPr="00FA296F">
        <w:rPr>
          <w:lang w:val="fr-CA"/>
        </w:rPr>
        <w:t>(</w:t>
      </w:r>
      <w:r w:rsidRPr="00FA296F">
        <w:rPr>
          <w:i/>
          <w:lang w:val="fr-CA"/>
        </w:rPr>
        <w:t>R. c. Daley</w:t>
      </w:r>
      <w:r w:rsidRPr="00FA296F">
        <w:rPr>
          <w:lang w:val="fr-CA"/>
        </w:rPr>
        <w:t>, 2007 CSC 53, [2007] 3 R.C.S. 523, par. 139).  Je rejette l’argument voulant que les jurés puissent être désorientés et dissuadés d’accomplir leur tâche si on leur explique clairement la règle de droit qu’ils sont précisément tenus d’appliquer pour s’en acquitter.</w:t>
      </w:r>
    </w:p>
    <w:p w:rsidR="00525255" w:rsidRPr="00FA296F" w:rsidRDefault="00525255" w:rsidP="003B74BD">
      <w:pPr>
        <w:pStyle w:val="ReasonsNumbering-AltN"/>
        <w:ind w:left="0" w:firstLine="0"/>
        <w:rPr>
          <w:szCs w:val="24"/>
          <w:lang w:val="fr-CA"/>
        </w:rPr>
      </w:pPr>
      <w:r w:rsidRPr="00FA296F">
        <w:rPr>
          <w:lang w:val="fr-CA"/>
        </w:rPr>
        <w:t xml:space="preserve">En outre, le juge du procès aurait pu facilement répondre à la demande du jury à l’aide du modèle de directives sur l’homicide involontaire coupable proposé, par exemple, dans D. Watt, </w:t>
      </w:r>
      <w:proofErr w:type="spellStart"/>
      <w:r w:rsidRPr="00FA296F">
        <w:rPr>
          <w:i/>
          <w:lang w:val="fr-CA"/>
        </w:rPr>
        <w:t>Watt’s</w:t>
      </w:r>
      <w:proofErr w:type="spellEnd"/>
      <w:r w:rsidRPr="00FA296F">
        <w:rPr>
          <w:i/>
          <w:lang w:val="fr-CA"/>
        </w:rPr>
        <w:t xml:space="preserve"> </w:t>
      </w:r>
      <w:proofErr w:type="spellStart"/>
      <w:r w:rsidRPr="00FA296F">
        <w:rPr>
          <w:i/>
          <w:szCs w:val="24"/>
          <w:lang w:val="fr-CA"/>
        </w:rPr>
        <w:t>Manual</w:t>
      </w:r>
      <w:proofErr w:type="spellEnd"/>
      <w:r w:rsidRPr="00FA296F">
        <w:rPr>
          <w:i/>
          <w:szCs w:val="24"/>
          <w:lang w:val="fr-CA"/>
        </w:rPr>
        <w:t xml:space="preserve"> of </w:t>
      </w:r>
      <w:proofErr w:type="spellStart"/>
      <w:r w:rsidRPr="00FA296F">
        <w:rPr>
          <w:i/>
          <w:szCs w:val="24"/>
          <w:lang w:val="fr-CA"/>
        </w:rPr>
        <w:t>Criminal</w:t>
      </w:r>
      <w:proofErr w:type="spellEnd"/>
      <w:r w:rsidRPr="00FA296F">
        <w:rPr>
          <w:i/>
          <w:szCs w:val="24"/>
          <w:lang w:val="fr-CA"/>
        </w:rPr>
        <w:t xml:space="preserve"> Jury Instructions</w:t>
      </w:r>
      <w:r w:rsidRPr="00FA296F">
        <w:rPr>
          <w:szCs w:val="24"/>
          <w:lang w:val="fr-CA"/>
        </w:rPr>
        <w:t xml:space="preserve"> (2005), p. 472</w:t>
      </w:r>
      <w:r w:rsidRPr="00FA296F">
        <w:rPr>
          <w:szCs w:val="24"/>
          <w:lang w:val="fr-CA"/>
        </w:rPr>
        <w:noBreakHyphen/>
        <w:t>473, dont le juge s’est servi pour préparer d’autres éléments de son exposé.</w:t>
      </w:r>
    </w:p>
    <w:p w:rsidR="00525255" w:rsidRPr="00FA296F" w:rsidRDefault="00525255" w:rsidP="003B74BD">
      <w:pPr>
        <w:pStyle w:val="ReasonsNumbering-AltN"/>
        <w:ind w:left="0" w:firstLine="0"/>
        <w:rPr>
          <w:szCs w:val="24"/>
          <w:lang w:val="fr-CA"/>
        </w:rPr>
      </w:pPr>
      <w:r w:rsidRPr="00FA296F">
        <w:rPr>
          <w:szCs w:val="24"/>
          <w:lang w:val="fr-CA"/>
        </w:rPr>
        <w:lastRenderedPageBreak/>
        <w:t xml:space="preserve">On a plutôt </w:t>
      </w:r>
      <w:r w:rsidRPr="003B74BD">
        <w:rPr>
          <w:lang w:val="fr-CA"/>
        </w:rPr>
        <w:t>laissé</w:t>
      </w:r>
      <w:r w:rsidRPr="00FA296F">
        <w:rPr>
          <w:szCs w:val="24"/>
          <w:lang w:val="fr-CA"/>
        </w:rPr>
        <w:t xml:space="preserve"> les jurés rejeter le verdict d’homicide involontaire coupable que l’avocat de la défense les exhortait à rendre, sans leur donner quelque directive que ce soit sur le droit applicable quant aux éléments constitutifs de cette infraction.  Ne voulant ni ne pouvant rendre ce verdict, en toute conscience, les jurés ont demandé — mais n’ont jamais reçu — l’aide du juge du procès, qu’ils étaient juridiquement en droit d’obtenir.</w:t>
      </w:r>
    </w:p>
    <w:p w:rsidR="00525255" w:rsidRPr="00FA296F" w:rsidRDefault="00525255" w:rsidP="003B74BD">
      <w:pPr>
        <w:pStyle w:val="ReasonsNumbering-AltN"/>
        <w:ind w:left="0" w:firstLine="0"/>
        <w:rPr>
          <w:szCs w:val="24"/>
          <w:lang w:val="fr-CA"/>
        </w:rPr>
      </w:pPr>
      <w:r w:rsidRPr="00FA296F">
        <w:rPr>
          <w:lang w:val="fr-CA"/>
        </w:rPr>
        <w:t>Les observations et les concessions faites par les avocats ne libéraient pas le juge de son obligation d’expliquer les éléments essentiels de chacune des infractions entre lesquelles le jury devait faire un choix, de faire ressortir leur lien avec les principaux éléments de preuve et de donner des réponses claires et adéquates aux questions du jury, le cas échéant.  Or, il ne l’a pas fait.</w:t>
      </w:r>
    </w:p>
    <w:p w:rsidR="00525255" w:rsidRPr="00FA296F" w:rsidRDefault="00525255" w:rsidP="003B74BD">
      <w:pPr>
        <w:pStyle w:val="ReasonsNumbering-AltN"/>
        <w:ind w:left="0" w:firstLine="0"/>
        <w:rPr>
          <w:lang w:val="fr-CA"/>
        </w:rPr>
      </w:pPr>
      <w:r w:rsidRPr="00FA296F">
        <w:rPr>
          <w:lang w:val="fr-CA"/>
        </w:rPr>
        <w:t>Le juge O’Brien a conclu en disant ce qui suit, aux par. 89</w:t>
      </w:r>
      <w:r w:rsidRPr="00FA296F">
        <w:rPr>
          <w:lang w:val="fr-CA"/>
        </w:rPr>
        <w:noBreakHyphen/>
        <w:t xml:space="preserve">90 : </w:t>
      </w:r>
    </w:p>
    <w:p w:rsidR="00525255" w:rsidRPr="003B74BD" w:rsidRDefault="003B74BD" w:rsidP="009C562E">
      <w:pPr>
        <w:pStyle w:val="Citation-AltC"/>
        <w:tabs>
          <w:tab w:val="left" w:pos="1440"/>
          <w:tab w:val="left" w:pos="1800"/>
        </w:tabs>
        <w:spacing w:after="240"/>
        <w:contextualSpacing w:val="0"/>
        <w:rPr>
          <w:lang w:val="fr-CA"/>
        </w:rPr>
      </w:pPr>
      <w:r>
        <w:rPr>
          <w:smallCaps/>
          <w:lang w:val="fr-CA"/>
        </w:rPr>
        <w:tab/>
      </w:r>
      <w:r w:rsidR="00525255" w:rsidRPr="003B74BD">
        <w:rPr>
          <w:smallCaps/>
          <w:lang w:val="fr-CA"/>
        </w:rPr>
        <w:t xml:space="preserve">[traduction]  </w:t>
      </w:r>
      <w:r w:rsidR="00525255" w:rsidRPr="003B74BD">
        <w:rPr>
          <w:lang w:val="fr-CA"/>
        </w:rPr>
        <w:t xml:space="preserve">Le jury devait déterminer si les faits mis en preuve établissaient qu’il y avait eu meurtre ou homicide involontaire coupable — l’un ou l’autre. Le juge du procès avait la responsabilité de lui donner des directives sur les règles de droit pertinentes.  On ne saurait affirmer, dans une situation comme </w:t>
      </w:r>
      <w:proofErr w:type="spellStart"/>
      <w:r w:rsidR="00525255" w:rsidRPr="003B74BD">
        <w:rPr>
          <w:lang w:val="fr-CA"/>
        </w:rPr>
        <w:t>celle</w:t>
      </w:r>
      <w:r w:rsidR="00525255" w:rsidRPr="003B74BD">
        <w:rPr>
          <w:lang w:val="fr-CA"/>
        </w:rPr>
        <w:noBreakHyphen/>
        <w:t>ci</w:t>
      </w:r>
      <w:proofErr w:type="spellEnd"/>
      <w:r w:rsidR="00525255" w:rsidRPr="003B74BD">
        <w:rPr>
          <w:lang w:val="fr-CA"/>
        </w:rPr>
        <w:t>, que la connaissance de ce qui constitue un homicide involontaire coupable est sans importance. . .</w:t>
      </w:r>
    </w:p>
    <w:p w:rsidR="00525255" w:rsidRPr="003B74BD" w:rsidRDefault="00525255" w:rsidP="009C562E">
      <w:pPr>
        <w:pStyle w:val="Citation-AltC"/>
        <w:tabs>
          <w:tab w:val="left" w:pos="1440"/>
        </w:tabs>
        <w:rPr>
          <w:lang w:val="fr-CA"/>
        </w:rPr>
      </w:pPr>
      <w:r w:rsidRPr="003B74BD">
        <w:rPr>
          <w:lang w:val="fr-CA"/>
        </w:rPr>
        <w:tab/>
        <w:t>. . . Le jury avait le droit de prendre une décision éclairée en sachant au préalable en quoi consistait chacune des infractions, afin de mieux les distinguer.</w:t>
      </w:r>
    </w:p>
    <w:p w:rsidR="00525255" w:rsidRPr="00FA296F" w:rsidRDefault="00525255" w:rsidP="003B74BD">
      <w:pPr>
        <w:pStyle w:val="Heading1"/>
        <w:spacing w:after="720"/>
        <w:jc w:val="center"/>
        <w:rPr>
          <w:b/>
          <w:lang w:val="fr-CA"/>
        </w:rPr>
      </w:pPr>
      <w:r w:rsidRPr="00FA296F">
        <w:rPr>
          <w:lang w:val="fr-CA"/>
        </w:rPr>
        <w:t>III</w:t>
      </w:r>
    </w:p>
    <w:p w:rsidR="00525255" w:rsidRPr="00FA296F" w:rsidRDefault="00525255" w:rsidP="003B74BD">
      <w:pPr>
        <w:pStyle w:val="ReasonsNumbering-AltN"/>
        <w:ind w:left="0" w:firstLine="0"/>
        <w:rPr>
          <w:lang w:val="fr-CA"/>
        </w:rPr>
      </w:pPr>
      <w:r w:rsidRPr="00FA296F">
        <w:rPr>
          <w:szCs w:val="24"/>
          <w:lang w:val="fr-CA"/>
        </w:rPr>
        <w:lastRenderedPageBreak/>
        <w:t xml:space="preserve">C’est sur la </w:t>
      </w:r>
      <w:r w:rsidRPr="003B74BD">
        <w:rPr>
          <w:lang w:val="fr-CA"/>
        </w:rPr>
        <w:t>dissidence</w:t>
      </w:r>
      <w:r w:rsidRPr="00FA296F">
        <w:rPr>
          <w:szCs w:val="24"/>
          <w:lang w:val="fr-CA"/>
        </w:rPr>
        <w:t xml:space="preserve"> du juge O’Brien en </w:t>
      </w:r>
      <w:r w:rsidR="009C562E">
        <w:rPr>
          <w:szCs w:val="24"/>
          <w:lang w:val="fr-CA"/>
        </w:rPr>
        <w:t>C</w:t>
      </w:r>
      <w:r w:rsidRPr="00FA296F">
        <w:rPr>
          <w:szCs w:val="24"/>
          <w:lang w:val="fr-CA"/>
        </w:rPr>
        <w:t>our d’appel que repose le présent appel de plein droit.  Pour les motifs exposés dans les paragraphes qui précèdent, je partage l’opinion du juge O’Brien que l’omission du juge du procès de définir les éléments de l’homicide involontaire coupable équivalait en soi à une erreur justifiant l’annulation du verdict.  J’estime aussi comme lui que le jury [</w:t>
      </w:r>
      <w:r w:rsidRPr="00FA296F">
        <w:rPr>
          <w:smallCaps/>
          <w:szCs w:val="24"/>
          <w:lang w:val="fr-CA"/>
        </w:rPr>
        <w:t>traduction]</w:t>
      </w:r>
      <w:r w:rsidRPr="00FA296F">
        <w:rPr>
          <w:szCs w:val="24"/>
          <w:lang w:val="fr-CA"/>
        </w:rPr>
        <w:t xml:space="preserve"> « aurait dû être informé du fait que l’élément moral de l’infraction, en l’espèce, exigeait à la fois l’application intentionnelle de la force (qui a été admise) et la prévisibilité objective du risque de lésions corporelles, qui ne sont ni sans importance ni de nature passagère, dans le contexte de l’acte dangereux » (</w:t>
      </w:r>
      <w:r w:rsidR="009C562E">
        <w:rPr>
          <w:szCs w:val="24"/>
          <w:lang w:val="fr-CA"/>
        </w:rPr>
        <w:t>par. 92</w:t>
      </w:r>
      <w:r w:rsidRPr="00FA296F">
        <w:rPr>
          <w:szCs w:val="24"/>
          <w:lang w:val="fr-CA"/>
        </w:rPr>
        <w:t>).</w:t>
      </w:r>
    </w:p>
    <w:p w:rsidR="00525255" w:rsidRPr="00FA296F" w:rsidRDefault="00525255" w:rsidP="003B74BD">
      <w:pPr>
        <w:pStyle w:val="ReasonsNumbering-AltN"/>
        <w:ind w:left="0" w:firstLine="0"/>
        <w:rPr>
          <w:lang w:val="fr-CA"/>
        </w:rPr>
      </w:pPr>
      <w:r w:rsidRPr="00FA296F">
        <w:rPr>
          <w:lang w:val="fr-CA"/>
        </w:rPr>
        <w:t xml:space="preserve">À cet égard, deux aspects de l’exposé du juge posent plus particulièrement problème. </w:t>
      </w:r>
    </w:p>
    <w:p w:rsidR="00525255" w:rsidRPr="00FA296F" w:rsidRDefault="00525255" w:rsidP="003B74BD">
      <w:pPr>
        <w:pStyle w:val="ReasonsNumbering-AltN"/>
        <w:ind w:left="0" w:firstLine="0"/>
        <w:rPr>
          <w:lang w:val="fr-CA"/>
        </w:rPr>
      </w:pPr>
      <w:r w:rsidRPr="00FA296F">
        <w:rPr>
          <w:lang w:val="fr-CA"/>
        </w:rPr>
        <w:t xml:space="preserve">Premièrement, le juge a brouillé la distinction entre meurtre et homicide involontaire coupable en définissant les lésions corporelles exigées par le </w:t>
      </w:r>
      <w:proofErr w:type="spellStart"/>
      <w:r w:rsidRPr="00FA296F">
        <w:rPr>
          <w:lang w:val="fr-CA"/>
        </w:rPr>
        <w:t>sous</w:t>
      </w:r>
      <w:r w:rsidRPr="00FA296F">
        <w:rPr>
          <w:lang w:val="fr-CA"/>
        </w:rPr>
        <w:noBreakHyphen/>
        <w:t>al</w:t>
      </w:r>
      <w:proofErr w:type="spellEnd"/>
      <w:r w:rsidRPr="00FA296F">
        <w:rPr>
          <w:lang w:val="fr-CA"/>
        </w:rPr>
        <w:t>. 229</w:t>
      </w:r>
      <w:r w:rsidRPr="00FA296F">
        <w:rPr>
          <w:i/>
          <w:lang w:val="fr-CA"/>
        </w:rPr>
        <w:t>a</w:t>
      </w:r>
      <w:proofErr w:type="gramStart"/>
      <w:r w:rsidRPr="00FA296F">
        <w:rPr>
          <w:lang w:val="fr-CA"/>
        </w:rPr>
        <w:t>)(</w:t>
      </w:r>
      <w:proofErr w:type="gramEnd"/>
      <w:r w:rsidRPr="00FA296F">
        <w:rPr>
          <w:lang w:val="fr-CA"/>
        </w:rPr>
        <w:t xml:space="preserve">ii) du </w:t>
      </w:r>
      <w:r w:rsidRPr="00FA296F">
        <w:rPr>
          <w:i/>
          <w:lang w:val="fr-CA"/>
        </w:rPr>
        <w:t>Code criminel</w:t>
      </w:r>
      <w:r w:rsidRPr="00FA296F">
        <w:rPr>
          <w:lang w:val="fr-CA"/>
        </w:rPr>
        <w:t>, L.R.C. 1985, ch. C</w:t>
      </w:r>
      <w:r w:rsidRPr="00FA296F">
        <w:rPr>
          <w:lang w:val="fr-CA"/>
        </w:rPr>
        <w:noBreakHyphen/>
        <w:t xml:space="preserve">46, pour qu’il y ait meurtre comme </w:t>
      </w:r>
      <w:r w:rsidRPr="00FA296F">
        <w:rPr>
          <w:smallCaps/>
          <w:szCs w:val="24"/>
          <w:lang w:val="fr-CA"/>
        </w:rPr>
        <w:t xml:space="preserve">[traduction] </w:t>
      </w:r>
      <w:r w:rsidRPr="00FA296F">
        <w:rPr>
          <w:szCs w:val="24"/>
          <w:lang w:val="fr-CA"/>
        </w:rPr>
        <w:t xml:space="preserve">« toute blessure ou lésion qui nuit à la santé ou au </w:t>
      </w:r>
      <w:proofErr w:type="spellStart"/>
      <w:r w:rsidRPr="00FA296F">
        <w:rPr>
          <w:szCs w:val="24"/>
          <w:lang w:val="fr-CA"/>
        </w:rPr>
        <w:t>bien</w:t>
      </w:r>
      <w:r w:rsidRPr="00FA296F">
        <w:rPr>
          <w:szCs w:val="24"/>
          <w:lang w:val="fr-CA"/>
        </w:rPr>
        <w:noBreakHyphen/>
        <w:t>être</w:t>
      </w:r>
      <w:proofErr w:type="spellEnd"/>
      <w:r w:rsidRPr="00FA296F">
        <w:rPr>
          <w:szCs w:val="24"/>
          <w:lang w:val="fr-CA"/>
        </w:rPr>
        <w:t xml:space="preserve"> corporel et dont l’effet n’est pas simplement éphémère ou mineur ».</w:t>
      </w:r>
      <w:r w:rsidRPr="00FA296F">
        <w:rPr>
          <w:lang w:val="fr-CA"/>
        </w:rPr>
        <w:t xml:space="preserve">  Le juge O’Brien explique, au par. 86 : </w:t>
      </w:r>
    </w:p>
    <w:p w:rsidR="00525255" w:rsidRPr="00FA296F" w:rsidRDefault="00525255" w:rsidP="00525255">
      <w:pPr>
        <w:pStyle w:val="Citation1"/>
        <w:ind w:firstLine="274"/>
        <w:rPr>
          <w:lang w:val="fr-CA"/>
        </w:rPr>
      </w:pPr>
      <w:r w:rsidRPr="00FA296F">
        <w:rPr>
          <w:smallCaps/>
          <w:lang w:val="fr-CA"/>
        </w:rPr>
        <w:t xml:space="preserve">[traduction]  </w:t>
      </w:r>
      <w:r w:rsidRPr="00FA296F">
        <w:rPr>
          <w:lang w:val="fr-CA"/>
        </w:rPr>
        <w:t>Ce type de lésions corporelles a trait à l’homicide involontaire coupable et non au meurtre; il peut avoir semé une certaine confusion dans l’esprit des jurés et les avoir amenés à réduire l’intention requise pour qu’il soit établi qu’il y a eu meurtre.  Cela est d’autant plus vrai que cette partie erronée des directives a été répétée au jury en réponse à sa question.</w:t>
      </w:r>
    </w:p>
    <w:p w:rsidR="00525255" w:rsidRPr="00FA296F" w:rsidRDefault="00525255" w:rsidP="003B74BD">
      <w:pPr>
        <w:pStyle w:val="ReasonsNumbering-AltN"/>
        <w:ind w:left="0" w:firstLine="0"/>
        <w:rPr>
          <w:lang w:val="fr-CA"/>
        </w:rPr>
      </w:pPr>
      <w:r w:rsidRPr="00FA296F">
        <w:rPr>
          <w:lang w:val="fr-CA"/>
        </w:rPr>
        <w:lastRenderedPageBreak/>
        <w:t>Deuxièmement, en résumant la thèse de la défense, le juge du procès n’a pas attiré l’attention du jury sur son élément le plus important, soit le fait qu’en raison de son abondante consommation d’alcool et de drogues au cours des heures qui ont précédé l’incident, l’appelant n’avait pas prévu subjectivement la mort, élément qui, en droit, distingue le meurtre de l’homicide involontaire coupable.  Pourtant, comme le ministère public le reconnaît dans son mémoire, l’une des principales questions en litige en l’espèce était de savoir [</w:t>
      </w:r>
      <w:r w:rsidRPr="00FA296F">
        <w:rPr>
          <w:smallCaps/>
          <w:lang w:val="fr-CA"/>
        </w:rPr>
        <w:t>traduction] « </w:t>
      </w:r>
      <w:r w:rsidRPr="00FA296F">
        <w:rPr>
          <w:lang w:val="fr-CA"/>
        </w:rPr>
        <w:t>si l’intoxication suscitait un doute quant à l’intention de commettre un meurtre » (</w:t>
      </w:r>
      <w:r w:rsidR="009C562E">
        <w:rPr>
          <w:lang w:val="fr-CA"/>
        </w:rPr>
        <w:t>m.i.</w:t>
      </w:r>
      <w:r w:rsidRPr="00FA296F">
        <w:rPr>
          <w:lang w:val="fr-CA"/>
        </w:rPr>
        <w:t xml:space="preserve">, par. 1) et, par conséquent, lors des discussions avec le juge qui ont précédé ses directives au jury, « l’avocat de la défense a accepté l[a] </w:t>
      </w:r>
      <w:proofErr w:type="spellStart"/>
      <w:r w:rsidRPr="00FA296F">
        <w:rPr>
          <w:lang w:val="fr-CA"/>
        </w:rPr>
        <w:t>suggestio</w:t>
      </w:r>
      <w:proofErr w:type="spellEnd"/>
      <w:r w:rsidRPr="00FA296F">
        <w:rPr>
          <w:lang w:val="fr-CA"/>
        </w:rPr>
        <w:t>[n] du juge du procès : [. . .] les directives au jury doivent être centrées sur les véritables questions en litige, soit l’intention et l’intoxication » (</w:t>
      </w:r>
      <w:r w:rsidR="009C562E">
        <w:rPr>
          <w:lang w:val="fr-CA"/>
        </w:rPr>
        <w:t>m.i.</w:t>
      </w:r>
      <w:r w:rsidRPr="00FA296F">
        <w:rPr>
          <w:lang w:val="fr-CA"/>
        </w:rPr>
        <w:t>, par. 9).  Il est incontesté que des éléments de preuve pouvant étayer cette allégation ont été produits au procès.</w:t>
      </w:r>
    </w:p>
    <w:p w:rsidR="00525255" w:rsidRPr="00FA296F" w:rsidRDefault="00525255" w:rsidP="003B74BD">
      <w:pPr>
        <w:pStyle w:val="Heading1"/>
        <w:spacing w:after="720"/>
        <w:jc w:val="center"/>
        <w:rPr>
          <w:lang w:val="fr-CA"/>
        </w:rPr>
      </w:pPr>
      <w:r w:rsidRPr="00FA296F">
        <w:rPr>
          <w:lang w:val="fr-CA"/>
        </w:rPr>
        <w:t>IV</w:t>
      </w:r>
    </w:p>
    <w:p w:rsidR="00525255" w:rsidRPr="00FA296F" w:rsidRDefault="00525255" w:rsidP="003B74BD">
      <w:pPr>
        <w:pStyle w:val="ReasonsNumbering-AltN"/>
        <w:ind w:left="0" w:firstLine="0"/>
        <w:rPr>
          <w:lang w:val="fr-CA"/>
        </w:rPr>
      </w:pPr>
      <w:r w:rsidRPr="00FA296F">
        <w:rPr>
          <w:lang w:val="fr-CA"/>
        </w:rPr>
        <w:t>Enfin, le fait que</w:t>
      </w:r>
      <w:r w:rsidR="009C562E">
        <w:rPr>
          <w:lang w:val="fr-CA"/>
        </w:rPr>
        <w:t xml:space="preserve"> le</w:t>
      </w:r>
      <w:r w:rsidRPr="00FA296F">
        <w:rPr>
          <w:lang w:val="fr-CA"/>
        </w:rPr>
        <w:t xml:space="preserve"> juge du procès a invité le jury à formuler une autre question si sa réponse aux questions qu’il avait déjà posées ne lui était d’aucune aide (par. 94</w:t>
      </w:r>
      <w:r w:rsidRPr="00FA296F">
        <w:rPr>
          <w:lang w:val="fr-CA"/>
        </w:rPr>
        <w:noBreakHyphen/>
        <w:t>95) ne me rassure aucunement.</w:t>
      </w:r>
    </w:p>
    <w:p w:rsidR="00525255" w:rsidRPr="00FA296F" w:rsidRDefault="00525255" w:rsidP="003B74BD">
      <w:pPr>
        <w:pStyle w:val="ReasonsNumbering-AltN"/>
        <w:ind w:left="0" w:firstLine="0"/>
        <w:rPr>
          <w:lang w:val="fr-CA"/>
        </w:rPr>
      </w:pPr>
      <w:r w:rsidRPr="00FA296F">
        <w:rPr>
          <w:lang w:val="fr-CA"/>
        </w:rPr>
        <w:t xml:space="preserve">Le jury avait déjà exprimé son unique préoccupation — comment distinguer les deux infractions entre lesquelles le juge leur demandait de faire un choix —, de trois façons différentes.  Le juge a mentionné au jury qu’il avait répondu </w:t>
      </w:r>
      <w:r w:rsidRPr="00FA296F">
        <w:rPr>
          <w:lang w:val="fr-CA"/>
        </w:rPr>
        <w:lastRenderedPageBreak/>
        <w:t xml:space="preserve">à ses questions du mieux que </w:t>
      </w:r>
      <w:r w:rsidRPr="00FA296F">
        <w:rPr>
          <w:smallCaps/>
          <w:szCs w:val="24"/>
          <w:lang w:val="fr-CA"/>
        </w:rPr>
        <w:t>[traduction]</w:t>
      </w:r>
      <w:r w:rsidRPr="00FA296F">
        <w:rPr>
          <w:lang w:val="fr-CA"/>
        </w:rPr>
        <w:t xml:space="preserve"> « le permet la loi ».  Si bien intentionnée qu’elle fût, l’invitation du juge ne pouvait pas raisonnablement encourager le jury à formuler d’autres questions sur le même sujet. </w:t>
      </w:r>
    </w:p>
    <w:p w:rsidR="00525255" w:rsidRPr="00FA296F" w:rsidRDefault="00525255" w:rsidP="003B74BD">
      <w:pPr>
        <w:pStyle w:val="ReasonsNumbering-AltN"/>
        <w:ind w:left="0" w:firstLine="0"/>
        <w:rPr>
          <w:lang w:val="fr-CA"/>
        </w:rPr>
      </w:pPr>
      <w:r w:rsidRPr="00FA296F">
        <w:rPr>
          <w:lang w:val="fr-CA"/>
        </w:rPr>
        <w:t>On ne pouvait guère s’attendre à ce que les jurés demandent à nouveau au juge de définir l’homicide involontaire coupable ou d’en préciser les éléments essentiels.  Et même s’ils l’avaient fait, ils auraient sans doute obtenu une réponse identique à celle qu’ils avaient déjà reçue et que j’estime, en toute déférence, nettement inadéquate.</w:t>
      </w:r>
    </w:p>
    <w:p w:rsidR="00525255" w:rsidRPr="00FA296F" w:rsidRDefault="00525255" w:rsidP="003B74BD">
      <w:pPr>
        <w:pStyle w:val="Heading1"/>
        <w:spacing w:after="720"/>
        <w:jc w:val="center"/>
        <w:rPr>
          <w:lang w:val="fr-CA"/>
        </w:rPr>
      </w:pPr>
      <w:r w:rsidRPr="00FA296F">
        <w:rPr>
          <w:lang w:val="fr-CA"/>
        </w:rPr>
        <w:t>V</w:t>
      </w:r>
    </w:p>
    <w:p w:rsidR="00525255" w:rsidRPr="00FA296F" w:rsidRDefault="00525255" w:rsidP="003B74BD">
      <w:pPr>
        <w:pStyle w:val="ReasonsNumbering-AltN"/>
        <w:ind w:left="0" w:firstLine="0"/>
        <w:rPr>
          <w:lang w:val="fr-CA"/>
        </w:rPr>
      </w:pPr>
      <w:r w:rsidRPr="00FA296F">
        <w:rPr>
          <w:lang w:val="fr-CA"/>
        </w:rPr>
        <w:t xml:space="preserve">Pour tous ces motifs, et avec les plus grands égards, je suis d’avis d’accueillir l’appel, d’annuler la condamnation et d’ordonner la tenue d’un nouveau procès. </w:t>
      </w:r>
    </w:p>
    <w:p w:rsidR="0033393C" w:rsidRPr="003B74BD" w:rsidRDefault="0033393C" w:rsidP="00C07798">
      <w:pPr>
        <w:pStyle w:val="SCCNormalDoubleSpacing"/>
        <w:spacing w:after="480"/>
        <w:rPr>
          <w:i/>
          <w:lang w:val="fr-CA"/>
        </w:rPr>
      </w:pPr>
      <w:r w:rsidRPr="003B74BD">
        <w:rPr>
          <w:lang w:val="fr-CA"/>
        </w:rPr>
        <w:tab/>
      </w:r>
      <w:r w:rsidR="00111D75" w:rsidRPr="003B74BD">
        <w:rPr>
          <w:i/>
          <w:lang w:val="fr-CA"/>
        </w:rPr>
        <w:t>Pourvoi rejeté</w:t>
      </w:r>
      <w:r w:rsidR="006A6E9E" w:rsidRPr="003B74BD">
        <w:rPr>
          <w:i/>
          <w:szCs w:val="24"/>
          <w:lang w:val="fr-CA"/>
        </w:rPr>
        <w:t>, l</w:t>
      </w:r>
      <w:r w:rsidR="001D0D8B" w:rsidRPr="003B74BD">
        <w:rPr>
          <w:i/>
          <w:szCs w:val="24"/>
          <w:lang w:val="fr-CA"/>
        </w:rPr>
        <w:t xml:space="preserve">a juge en chef </w:t>
      </w:r>
      <w:proofErr w:type="spellStart"/>
      <w:r w:rsidR="001D0D8B" w:rsidRPr="003B74BD">
        <w:rPr>
          <w:smallCaps/>
          <w:szCs w:val="24"/>
          <w:lang w:val="fr-CA"/>
        </w:rPr>
        <w:t>McLachlin</w:t>
      </w:r>
      <w:proofErr w:type="spellEnd"/>
      <w:r w:rsidR="001D0D8B" w:rsidRPr="003B74BD">
        <w:rPr>
          <w:i/>
          <w:szCs w:val="24"/>
          <w:lang w:val="fr-CA"/>
        </w:rPr>
        <w:t xml:space="preserve"> et les juges </w:t>
      </w:r>
      <w:r w:rsidR="001D0D8B" w:rsidRPr="003B74BD">
        <w:rPr>
          <w:smallCaps/>
          <w:szCs w:val="24"/>
          <w:lang w:val="fr-CA"/>
        </w:rPr>
        <w:t>Deschamps</w:t>
      </w:r>
      <w:r w:rsidR="001D0D8B" w:rsidRPr="003B74BD">
        <w:rPr>
          <w:i/>
          <w:szCs w:val="24"/>
          <w:lang w:val="fr-CA"/>
        </w:rPr>
        <w:t xml:space="preserve"> et</w:t>
      </w:r>
      <w:r w:rsidR="001D0D8B" w:rsidRPr="003B74BD">
        <w:rPr>
          <w:szCs w:val="24"/>
          <w:lang w:val="fr-CA"/>
        </w:rPr>
        <w:t xml:space="preserve"> </w:t>
      </w:r>
      <w:r w:rsidR="006A6E9E" w:rsidRPr="003B74BD">
        <w:rPr>
          <w:smallCaps/>
          <w:szCs w:val="24"/>
          <w:lang w:val="fr-CA"/>
        </w:rPr>
        <w:t>Fish</w:t>
      </w:r>
      <w:r w:rsidR="006A6E9E" w:rsidRPr="003B74BD">
        <w:rPr>
          <w:i/>
          <w:szCs w:val="24"/>
          <w:lang w:val="fr-CA"/>
        </w:rPr>
        <w:t xml:space="preserve"> sont dissidents</w:t>
      </w:r>
      <w:r w:rsidR="00111D75" w:rsidRPr="003B74BD">
        <w:rPr>
          <w:i/>
          <w:lang w:val="fr-CA"/>
        </w:rPr>
        <w:t>.</w:t>
      </w:r>
    </w:p>
    <w:p w:rsidR="00111D75" w:rsidRPr="003B74BD" w:rsidRDefault="00111D75" w:rsidP="00C07798">
      <w:pPr>
        <w:pStyle w:val="SCCLawFirm"/>
        <w:spacing w:after="480"/>
        <w:rPr>
          <w:lang w:val="fr-CA"/>
        </w:rPr>
      </w:pPr>
      <w:r w:rsidRPr="003B74BD">
        <w:rPr>
          <w:lang w:val="fr-CA"/>
        </w:rPr>
        <w:tab/>
        <w:t>Procureurs d</w:t>
      </w:r>
      <w:r w:rsidR="00D3287E" w:rsidRPr="003B74BD">
        <w:rPr>
          <w:lang w:val="fr-CA"/>
        </w:rPr>
        <w:t>e l’appelant : </w:t>
      </w:r>
      <w:r w:rsidRPr="003B74BD">
        <w:rPr>
          <w:lang w:val="fr-CA"/>
        </w:rPr>
        <w:t xml:space="preserve">O’Brien </w:t>
      </w:r>
      <w:proofErr w:type="spellStart"/>
      <w:r w:rsidRPr="003B74BD">
        <w:rPr>
          <w:lang w:val="fr-CA"/>
        </w:rPr>
        <w:t>Devlin</w:t>
      </w:r>
      <w:proofErr w:type="spellEnd"/>
      <w:r w:rsidRPr="003B74BD">
        <w:rPr>
          <w:lang w:val="fr-CA"/>
        </w:rPr>
        <w:t xml:space="preserve"> </w:t>
      </w:r>
      <w:proofErr w:type="spellStart"/>
      <w:r w:rsidRPr="003B74BD">
        <w:rPr>
          <w:lang w:val="fr-CA"/>
        </w:rPr>
        <w:t>Mac</w:t>
      </w:r>
      <w:r w:rsidR="009C562E">
        <w:rPr>
          <w:lang w:val="fr-CA"/>
        </w:rPr>
        <w:t>L</w:t>
      </w:r>
      <w:r w:rsidRPr="003B74BD">
        <w:rPr>
          <w:lang w:val="fr-CA"/>
        </w:rPr>
        <w:t>eod</w:t>
      </w:r>
      <w:proofErr w:type="spellEnd"/>
      <w:r w:rsidRPr="003B74BD">
        <w:rPr>
          <w:lang w:val="fr-CA"/>
        </w:rPr>
        <w:t>, Calgary.</w:t>
      </w:r>
    </w:p>
    <w:p w:rsidR="00111D75" w:rsidRPr="003B74BD" w:rsidRDefault="00111D75" w:rsidP="00111D75">
      <w:pPr>
        <w:pStyle w:val="SCCLawFirm"/>
        <w:rPr>
          <w:lang w:val="fr-CA"/>
        </w:rPr>
      </w:pPr>
      <w:r w:rsidRPr="003B74BD">
        <w:rPr>
          <w:lang w:val="fr-CA"/>
        </w:rPr>
        <w:tab/>
      </w:r>
      <w:r w:rsidR="00D3287E" w:rsidRPr="003B74BD">
        <w:rPr>
          <w:lang w:val="fr-CA"/>
        </w:rPr>
        <w:t>Procureur de l’intimée : </w:t>
      </w:r>
      <w:r w:rsidRPr="003B74BD">
        <w:rPr>
          <w:lang w:val="fr-CA"/>
        </w:rPr>
        <w:t>Procureur général de l’Alberta, Calgary.</w:t>
      </w:r>
    </w:p>
    <w:sectPr w:rsidR="00111D75" w:rsidRPr="003B74BD" w:rsidSect="002D699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99" w:rsidRDefault="002D6999">
      <w:r>
        <w:separator/>
      </w:r>
    </w:p>
  </w:endnote>
  <w:endnote w:type="continuationSeparator" w:id="0">
    <w:p w:rsidR="002D6999" w:rsidRDefault="002D6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9" w:rsidRDefault="002D699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9" w:rsidRDefault="002D699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99" w:rsidRDefault="002D6999">
      <w:r>
        <w:separator/>
      </w:r>
    </w:p>
  </w:footnote>
  <w:footnote w:type="continuationSeparator" w:id="0">
    <w:p w:rsidR="002D6999" w:rsidRDefault="002D6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9" w:rsidRDefault="002D699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9" w:rsidRDefault="002D6999">
    <w:pPr>
      <w:pStyle w:val="Header"/>
      <w:jc w:val="center"/>
    </w:pPr>
    <w:r>
      <w:t xml:space="preserve">- </w:t>
    </w:r>
    <w:sdt>
      <w:sdtPr>
        <w:id w:val="4489881"/>
        <w:docPartObj>
          <w:docPartGallery w:val="Page Numbers (Top of Page)"/>
          <w:docPartUnique/>
        </w:docPartObj>
      </w:sdtPr>
      <w:sdtContent>
        <w:fldSimple w:instr=" PAGE   \* MERGEFORMAT ">
          <w:r w:rsidR="00614F17">
            <w:rPr>
              <w:noProof/>
            </w:rPr>
            <w:t>2</w:t>
          </w:r>
        </w:fldSimple>
        <w:r>
          <w:t xml:space="preserve"> -</w:t>
        </w:r>
      </w:sdtContent>
    </w:sdt>
  </w:p>
  <w:p w:rsidR="002D6999" w:rsidRDefault="002D6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rsids>
    <w:rsidRoot w:val="0031414C"/>
    <w:rsid w:val="00006140"/>
    <w:rsid w:val="000241CA"/>
    <w:rsid w:val="00025198"/>
    <w:rsid w:val="000377A2"/>
    <w:rsid w:val="000423E0"/>
    <w:rsid w:val="00055A36"/>
    <w:rsid w:val="000578A3"/>
    <w:rsid w:val="00064563"/>
    <w:rsid w:val="000648CC"/>
    <w:rsid w:val="00077DEC"/>
    <w:rsid w:val="00094DE0"/>
    <w:rsid w:val="000A5321"/>
    <w:rsid w:val="000A7980"/>
    <w:rsid w:val="000C59B8"/>
    <w:rsid w:val="00111D75"/>
    <w:rsid w:val="00111DE2"/>
    <w:rsid w:val="00116B38"/>
    <w:rsid w:val="00124086"/>
    <w:rsid w:val="0013109F"/>
    <w:rsid w:val="00135406"/>
    <w:rsid w:val="00135972"/>
    <w:rsid w:val="00140667"/>
    <w:rsid w:val="001426A9"/>
    <w:rsid w:val="00154D7C"/>
    <w:rsid w:val="001570B0"/>
    <w:rsid w:val="00161311"/>
    <w:rsid w:val="00172A04"/>
    <w:rsid w:val="00175A97"/>
    <w:rsid w:val="00185394"/>
    <w:rsid w:val="001A451D"/>
    <w:rsid w:val="001B33E0"/>
    <w:rsid w:val="001B4573"/>
    <w:rsid w:val="001C779F"/>
    <w:rsid w:val="001D0D8B"/>
    <w:rsid w:val="001D2AC1"/>
    <w:rsid w:val="001F7673"/>
    <w:rsid w:val="00220FC2"/>
    <w:rsid w:val="00224FC0"/>
    <w:rsid w:val="00225EA4"/>
    <w:rsid w:val="00226EAF"/>
    <w:rsid w:val="00231F3A"/>
    <w:rsid w:val="002406EE"/>
    <w:rsid w:val="002652D5"/>
    <w:rsid w:val="002745CC"/>
    <w:rsid w:val="002812BC"/>
    <w:rsid w:val="002C1E39"/>
    <w:rsid w:val="002D39A4"/>
    <w:rsid w:val="002D6999"/>
    <w:rsid w:val="002E6705"/>
    <w:rsid w:val="002F3768"/>
    <w:rsid w:val="002F696C"/>
    <w:rsid w:val="002F7139"/>
    <w:rsid w:val="0030329A"/>
    <w:rsid w:val="00307AFD"/>
    <w:rsid w:val="0031086F"/>
    <w:rsid w:val="00310E05"/>
    <w:rsid w:val="0031414C"/>
    <w:rsid w:val="00314E01"/>
    <w:rsid w:val="0032089D"/>
    <w:rsid w:val="00323292"/>
    <w:rsid w:val="0033393C"/>
    <w:rsid w:val="0034770C"/>
    <w:rsid w:val="00351C28"/>
    <w:rsid w:val="0035259D"/>
    <w:rsid w:val="003866EC"/>
    <w:rsid w:val="00394476"/>
    <w:rsid w:val="003A4C70"/>
    <w:rsid w:val="003A4E15"/>
    <w:rsid w:val="003B74BD"/>
    <w:rsid w:val="003C2A35"/>
    <w:rsid w:val="003C799C"/>
    <w:rsid w:val="003E1C71"/>
    <w:rsid w:val="003F327B"/>
    <w:rsid w:val="0040531A"/>
    <w:rsid w:val="004059A7"/>
    <w:rsid w:val="00406166"/>
    <w:rsid w:val="00411300"/>
    <w:rsid w:val="004204FF"/>
    <w:rsid w:val="00426659"/>
    <w:rsid w:val="0043088E"/>
    <w:rsid w:val="004439D8"/>
    <w:rsid w:val="00465132"/>
    <w:rsid w:val="004779F1"/>
    <w:rsid w:val="00480C90"/>
    <w:rsid w:val="0048396F"/>
    <w:rsid w:val="00493C18"/>
    <w:rsid w:val="00494CDC"/>
    <w:rsid w:val="004A600C"/>
    <w:rsid w:val="004C0ED7"/>
    <w:rsid w:val="004C35BE"/>
    <w:rsid w:val="004C478D"/>
    <w:rsid w:val="004D57C0"/>
    <w:rsid w:val="004E6A2C"/>
    <w:rsid w:val="00514B9A"/>
    <w:rsid w:val="00521AE8"/>
    <w:rsid w:val="00522225"/>
    <w:rsid w:val="00525255"/>
    <w:rsid w:val="00527180"/>
    <w:rsid w:val="00536719"/>
    <w:rsid w:val="005564A7"/>
    <w:rsid w:val="00565388"/>
    <w:rsid w:val="00583D6C"/>
    <w:rsid w:val="005E0521"/>
    <w:rsid w:val="005E4698"/>
    <w:rsid w:val="00614F17"/>
    <w:rsid w:val="00625C35"/>
    <w:rsid w:val="00633C03"/>
    <w:rsid w:val="00633E4E"/>
    <w:rsid w:val="00634E1B"/>
    <w:rsid w:val="00645057"/>
    <w:rsid w:val="00654858"/>
    <w:rsid w:val="006565F4"/>
    <w:rsid w:val="00681AD1"/>
    <w:rsid w:val="00681F81"/>
    <w:rsid w:val="006902DE"/>
    <w:rsid w:val="006A56F1"/>
    <w:rsid w:val="006A6E9E"/>
    <w:rsid w:val="006B5FF5"/>
    <w:rsid w:val="006C5661"/>
    <w:rsid w:val="006D4790"/>
    <w:rsid w:val="00701759"/>
    <w:rsid w:val="00702C6F"/>
    <w:rsid w:val="007122AC"/>
    <w:rsid w:val="00747288"/>
    <w:rsid w:val="00747DD3"/>
    <w:rsid w:val="00752F4E"/>
    <w:rsid w:val="007549C8"/>
    <w:rsid w:val="00762D30"/>
    <w:rsid w:val="00763377"/>
    <w:rsid w:val="00766D14"/>
    <w:rsid w:val="00767A0F"/>
    <w:rsid w:val="007834A8"/>
    <w:rsid w:val="007A05F6"/>
    <w:rsid w:val="007B3384"/>
    <w:rsid w:val="007B6F4A"/>
    <w:rsid w:val="007C12C0"/>
    <w:rsid w:val="007D4349"/>
    <w:rsid w:val="007E1C47"/>
    <w:rsid w:val="007E2486"/>
    <w:rsid w:val="007E2758"/>
    <w:rsid w:val="007E337A"/>
    <w:rsid w:val="007E5C70"/>
    <w:rsid w:val="007F2FF5"/>
    <w:rsid w:val="00800FF3"/>
    <w:rsid w:val="00817190"/>
    <w:rsid w:val="008322BD"/>
    <w:rsid w:val="00852E66"/>
    <w:rsid w:val="00855307"/>
    <w:rsid w:val="00862CF3"/>
    <w:rsid w:val="00864CF8"/>
    <w:rsid w:val="00874914"/>
    <w:rsid w:val="00892E1A"/>
    <w:rsid w:val="008958F5"/>
    <w:rsid w:val="008A6558"/>
    <w:rsid w:val="008A727C"/>
    <w:rsid w:val="008C01DA"/>
    <w:rsid w:val="008D3219"/>
    <w:rsid w:val="008F16D9"/>
    <w:rsid w:val="008F78E9"/>
    <w:rsid w:val="00902462"/>
    <w:rsid w:val="00903B16"/>
    <w:rsid w:val="00924543"/>
    <w:rsid w:val="009403F3"/>
    <w:rsid w:val="00957FA2"/>
    <w:rsid w:val="00966913"/>
    <w:rsid w:val="00967374"/>
    <w:rsid w:val="00971B47"/>
    <w:rsid w:val="0097543E"/>
    <w:rsid w:val="00983F3F"/>
    <w:rsid w:val="00985C69"/>
    <w:rsid w:val="0099079B"/>
    <w:rsid w:val="009B2F23"/>
    <w:rsid w:val="009B53E2"/>
    <w:rsid w:val="009B57B3"/>
    <w:rsid w:val="009C562E"/>
    <w:rsid w:val="009D5AEB"/>
    <w:rsid w:val="009F1355"/>
    <w:rsid w:val="009F383F"/>
    <w:rsid w:val="00A05F0E"/>
    <w:rsid w:val="00A1348F"/>
    <w:rsid w:val="00A21107"/>
    <w:rsid w:val="00A21B90"/>
    <w:rsid w:val="00A24E15"/>
    <w:rsid w:val="00A548CB"/>
    <w:rsid w:val="00A6242E"/>
    <w:rsid w:val="00A643E7"/>
    <w:rsid w:val="00A73C38"/>
    <w:rsid w:val="00AB328C"/>
    <w:rsid w:val="00AC6322"/>
    <w:rsid w:val="00AC7437"/>
    <w:rsid w:val="00AC7A44"/>
    <w:rsid w:val="00AF03C5"/>
    <w:rsid w:val="00B000D8"/>
    <w:rsid w:val="00B00F75"/>
    <w:rsid w:val="00B03FA1"/>
    <w:rsid w:val="00B145B6"/>
    <w:rsid w:val="00B50C81"/>
    <w:rsid w:val="00B545EC"/>
    <w:rsid w:val="00B557F8"/>
    <w:rsid w:val="00B64972"/>
    <w:rsid w:val="00B66DD8"/>
    <w:rsid w:val="00B8145D"/>
    <w:rsid w:val="00B815FC"/>
    <w:rsid w:val="00B93FBC"/>
    <w:rsid w:val="00BD3D8F"/>
    <w:rsid w:val="00BE0D58"/>
    <w:rsid w:val="00C02092"/>
    <w:rsid w:val="00C057F7"/>
    <w:rsid w:val="00C0663B"/>
    <w:rsid w:val="00C0690B"/>
    <w:rsid w:val="00C07798"/>
    <w:rsid w:val="00C24C8C"/>
    <w:rsid w:val="00C24D91"/>
    <w:rsid w:val="00C52532"/>
    <w:rsid w:val="00C53F14"/>
    <w:rsid w:val="00C55C2E"/>
    <w:rsid w:val="00C600CF"/>
    <w:rsid w:val="00C6084F"/>
    <w:rsid w:val="00C62A66"/>
    <w:rsid w:val="00C62A6F"/>
    <w:rsid w:val="00C67CA5"/>
    <w:rsid w:val="00C70BE2"/>
    <w:rsid w:val="00C71458"/>
    <w:rsid w:val="00C71F58"/>
    <w:rsid w:val="00C77613"/>
    <w:rsid w:val="00C828E7"/>
    <w:rsid w:val="00C836A3"/>
    <w:rsid w:val="00C921DD"/>
    <w:rsid w:val="00CA4D82"/>
    <w:rsid w:val="00CA6391"/>
    <w:rsid w:val="00CE3171"/>
    <w:rsid w:val="00CF1601"/>
    <w:rsid w:val="00CF6977"/>
    <w:rsid w:val="00D32086"/>
    <w:rsid w:val="00D3287E"/>
    <w:rsid w:val="00D37A3F"/>
    <w:rsid w:val="00D45FCF"/>
    <w:rsid w:val="00D4667A"/>
    <w:rsid w:val="00D510BB"/>
    <w:rsid w:val="00D5435D"/>
    <w:rsid w:val="00D66A76"/>
    <w:rsid w:val="00D74F2E"/>
    <w:rsid w:val="00D960C4"/>
    <w:rsid w:val="00DA0590"/>
    <w:rsid w:val="00DB01F9"/>
    <w:rsid w:val="00DC1788"/>
    <w:rsid w:val="00DC31C3"/>
    <w:rsid w:val="00DF0CA8"/>
    <w:rsid w:val="00DF49A7"/>
    <w:rsid w:val="00DF6E60"/>
    <w:rsid w:val="00E01106"/>
    <w:rsid w:val="00E07EE2"/>
    <w:rsid w:val="00E24573"/>
    <w:rsid w:val="00E377A1"/>
    <w:rsid w:val="00E41273"/>
    <w:rsid w:val="00E45109"/>
    <w:rsid w:val="00E51277"/>
    <w:rsid w:val="00E54B02"/>
    <w:rsid w:val="00E576FA"/>
    <w:rsid w:val="00E86452"/>
    <w:rsid w:val="00E935E3"/>
    <w:rsid w:val="00E97830"/>
    <w:rsid w:val="00EA03E5"/>
    <w:rsid w:val="00EA06CB"/>
    <w:rsid w:val="00EA63EF"/>
    <w:rsid w:val="00EE0FAF"/>
    <w:rsid w:val="00F00EB7"/>
    <w:rsid w:val="00F2258E"/>
    <w:rsid w:val="00F33658"/>
    <w:rsid w:val="00F353BB"/>
    <w:rsid w:val="00F36AB6"/>
    <w:rsid w:val="00F409CE"/>
    <w:rsid w:val="00F428D1"/>
    <w:rsid w:val="00F52D9C"/>
    <w:rsid w:val="00F771ED"/>
    <w:rsid w:val="00F84DF4"/>
    <w:rsid w:val="00F853FB"/>
    <w:rsid w:val="00F85C97"/>
    <w:rsid w:val="00FA2FE1"/>
    <w:rsid w:val="00FC606D"/>
    <w:rsid w:val="00FD068D"/>
    <w:rsid w:val="00FD40A9"/>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BD"/>
    <w:rPr>
      <w:sz w:val="24"/>
    </w:rPr>
  </w:style>
  <w:style w:type="paragraph" w:styleId="Heading1">
    <w:name w:val="heading 1"/>
    <w:next w:val="ReasonsNumbering-AltN"/>
    <w:link w:val="Heading1Char"/>
    <w:uiPriority w:val="2"/>
    <w:qFormat/>
    <w:rsid w:val="003B74BD"/>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3B7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74BD"/>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3B74BD"/>
    <w:rPr>
      <w:color w:val="808080"/>
    </w:rPr>
  </w:style>
  <w:style w:type="paragraph" w:styleId="BalloonText">
    <w:name w:val="Balloon Text"/>
    <w:basedOn w:val="Normal"/>
    <w:link w:val="BalloonTextChar"/>
    <w:uiPriority w:val="99"/>
    <w:semiHidden/>
    <w:unhideWhenUsed/>
    <w:rsid w:val="003B74BD"/>
    <w:rPr>
      <w:rFonts w:cs="Tahoma"/>
      <w:sz w:val="28"/>
      <w:szCs w:val="16"/>
    </w:rPr>
  </w:style>
  <w:style w:type="character" w:customStyle="1" w:styleId="BalloonTextChar">
    <w:name w:val="Balloon Text Char"/>
    <w:basedOn w:val="DefaultParagraphFont"/>
    <w:link w:val="BalloonText"/>
    <w:uiPriority w:val="99"/>
    <w:semiHidden/>
    <w:rsid w:val="003B74BD"/>
    <w:rPr>
      <w:rFonts w:cs="Tahoma"/>
      <w:sz w:val="28"/>
      <w:szCs w:val="16"/>
    </w:rPr>
  </w:style>
  <w:style w:type="paragraph" w:styleId="Header">
    <w:name w:val="header"/>
    <w:basedOn w:val="Normal"/>
    <w:link w:val="HeaderChar"/>
    <w:uiPriority w:val="99"/>
    <w:unhideWhenUsed/>
    <w:rsid w:val="003B74BD"/>
    <w:pPr>
      <w:tabs>
        <w:tab w:val="center" w:pos="4680"/>
        <w:tab w:val="right" w:pos="9360"/>
      </w:tabs>
    </w:pPr>
  </w:style>
  <w:style w:type="character" w:customStyle="1" w:styleId="HeaderChar">
    <w:name w:val="Header Char"/>
    <w:basedOn w:val="DefaultParagraphFont"/>
    <w:link w:val="Header"/>
    <w:uiPriority w:val="99"/>
    <w:rsid w:val="003B74BD"/>
    <w:rPr>
      <w:sz w:val="24"/>
    </w:rPr>
  </w:style>
  <w:style w:type="paragraph" w:styleId="Footer">
    <w:name w:val="footer"/>
    <w:basedOn w:val="Normal"/>
    <w:link w:val="FooterChar"/>
    <w:uiPriority w:val="99"/>
    <w:semiHidden/>
    <w:unhideWhenUsed/>
    <w:rsid w:val="003B74BD"/>
    <w:pPr>
      <w:tabs>
        <w:tab w:val="center" w:pos="4680"/>
        <w:tab w:val="right" w:pos="9360"/>
      </w:tabs>
    </w:pPr>
  </w:style>
  <w:style w:type="character" w:customStyle="1" w:styleId="FooterChar">
    <w:name w:val="Footer Char"/>
    <w:basedOn w:val="DefaultParagraphFont"/>
    <w:link w:val="Footer"/>
    <w:uiPriority w:val="99"/>
    <w:semiHidden/>
    <w:rsid w:val="003B74BD"/>
    <w:rPr>
      <w:sz w:val="24"/>
    </w:rPr>
  </w:style>
  <w:style w:type="paragraph" w:customStyle="1" w:styleId="SCCLsocParty">
    <w:name w:val="SCC.Lsoc.Party"/>
    <w:basedOn w:val="Normal"/>
    <w:next w:val="Normal"/>
    <w:link w:val="SCCLsocPartyChar"/>
    <w:rsid w:val="003B74BD"/>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3B74BD"/>
    <w:rPr>
      <w:rFonts w:eastAsiaTheme="minorHAnsi" w:cstheme="minorBidi"/>
      <w:sz w:val="24"/>
      <w:szCs w:val="22"/>
      <w:lang w:eastAsia="en-US"/>
    </w:rPr>
  </w:style>
  <w:style w:type="paragraph" w:customStyle="1" w:styleId="SCCLsocVersus">
    <w:name w:val="SCC.Lsoc.Versus"/>
    <w:basedOn w:val="Normal"/>
    <w:next w:val="Normal"/>
    <w:link w:val="SCCLsocVersusChar"/>
    <w:rsid w:val="003B74BD"/>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3B74BD"/>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3B74BD"/>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3B74BD"/>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3B74BD"/>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3B74BD"/>
    <w:rPr>
      <w:rFonts w:eastAsiaTheme="minorHAnsi" w:cstheme="minorBidi"/>
      <w:sz w:val="24"/>
      <w:szCs w:val="22"/>
      <w:lang w:eastAsia="en-US"/>
    </w:rPr>
  </w:style>
  <w:style w:type="character" w:customStyle="1" w:styleId="Heading1Char">
    <w:name w:val="Heading 1 Char"/>
    <w:basedOn w:val="DefaultParagraphFont"/>
    <w:link w:val="Heading1"/>
    <w:uiPriority w:val="2"/>
    <w:rsid w:val="003B74BD"/>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3B74BD"/>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525255"/>
    <w:pPr>
      <w:ind w:left="720"/>
    </w:pPr>
  </w:style>
  <w:style w:type="paragraph" w:customStyle="1" w:styleId="SCCCoram">
    <w:name w:val="SCC.Coram"/>
    <w:basedOn w:val="Normal"/>
    <w:next w:val="Normal"/>
    <w:link w:val="SCCCoramChar"/>
    <w:rsid w:val="003B74B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B74BD"/>
    <w:rPr>
      <w:rFonts w:eastAsiaTheme="minorHAnsi" w:cstheme="minorBidi"/>
      <w:sz w:val="24"/>
      <w:szCs w:val="22"/>
      <w:lang w:eastAsia="en-US"/>
    </w:rPr>
  </w:style>
  <w:style w:type="table" w:styleId="TableGrid">
    <w:name w:val="Table Grid"/>
    <w:basedOn w:val="TableNormal"/>
    <w:uiPriority w:val="59"/>
    <w:rsid w:val="003B74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525255"/>
    <w:pPr>
      <w:spacing w:after="720"/>
      <w:ind w:left="1166"/>
      <w:contextualSpacing/>
      <w:jc w:val="both"/>
    </w:pPr>
  </w:style>
  <w:style w:type="paragraph" w:customStyle="1" w:styleId="ContinueReasonsNo-AltP">
    <w:name w:val="Continue Reasons No # - Alt P"/>
    <w:next w:val="ReasonsNumbering-AltN"/>
    <w:uiPriority w:val="1"/>
    <w:qFormat/>
    <w:rsid w:val="003B74BD"/>
    <w:pPr>
      <w:spacing w:before="480" w:after="480" w:line="480" w:lineRule="auto"/>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B74B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B74BD"/>
    <w:rPr>
      <w:rFonts w:eastAsiaTheme="minorHAnsi" w:cstheme="minorBidi"/>
      <w:sz w:val="24"/>
      <w:szCs w:val="22"/>
      <w:lang w:eastAsia="en-US"/>
    </w:rPr>
  </w:style>
  <w:style w:type="character" w:customStyle="1" w:styleId="SCCBanSummaryChar">
    <w:name w:val="SCC.BanSummary Char"/>
    <w:basedOn w:val="DefaultParagraphFont"/>
    <w:link w:val="SCCBanSummary"/>
    <w:rsid w:val="003B74BD"/>
    <w:rPr>
      <w:rFonts w:eastAsiaTheme="minorEastAsia"/>
      <w:b/>
      <w:sz w:val="24"/>
      <w:szCs w:val="24"/>
    </w:rPr>
  </w:style>
  <w:style w:type="paragraph" w:customStyle="1" w:styleId="ReasonsNumbering-AltN">
    <w:name w:val="Reasons Numbering - Alt N"/>
    <w:qFormat/>
    <w:rsid w:val="003B74BD"/>
    <w:pPr>
      <w:numPr>
        <w:numId w:val="6"/>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3B74BD"/>
    <w:pPr>
      <w:spacing w:after="720"/>
      <w:ind w:left="1166"/>
      <w:contextualSpacing/>
      <w:jc w:val="both"/>
    </w:pPr>
    <w:rPr>
      <w:sz w:val="24"/>
    </w:rPr>
  </w:style>
  <w:style w:type="character" w:styleId="CommentReference">
    <w:name w:val="annotation reference"/>
    <w:basedOn w:val="DefaultParagraphFont"/>
    <w:uiPriority w:val="99"/>
    <w:semiHidden/>
    <w:unhideWhenUsed/>
    <w:rsid w:val="003B74BD"/>
    <w:rPr>
      <w:sz w:val="16"/>
      <w:szCs w:val="16"/>
    </w:rPr>
  </w:style>
  <w:style w:type="paragraph" w:styleId="CommentText">
    <w:name w:val="annotation text"/>
    <w:basedOn w:val="Normal"/>
    <w:link w:val="CommentTextChar"/>
    <w:uiPriority w:val="99"/>
    <w:semiHidden/>
    <w:unhideWhenUsed/>
    <w:rsid w:val="003B74BD"/>
    <w:rPr>
      <w:sz w:val="20"/>
    </w:rPr>
  </w:style>
  <w:style w:type="character" w:customStyle="1" w:styleId="CommentTextChar">
    <w:name w:val="Comment Text Char"/>
    <w:basedOn w:val="DefaultParagraphFont"/>
    <w:link w:val="CommentText"/>
    <w:uiPriority w:val="99"/>
    <w:semiHidden/>
    <w:rsid w:val="003B74BD"/>
  </w:style>
  <w:style w:type="paragraph" w:styleId="CommentSubject">
    <w:name w:val="annotation subject"/>
    <w:basedOn w:val="CommentText"/>
    <w:next w:val="CommentText"/>
    <w:link w:val="CommentSubjectChar"/>
    <w:uiPriority w:val="99"/>
    <w:semiHidden/>
    <w:unhideWhenUsed/>
    <w:rsid w:val="003B74BD"/>
    <w:rPr>
      <w:b/>
      <w:bCs/>
    </w:rPr>
  </w:style>
  <w:style w:type="character" w:customStyle="1" w:styleId="CommentSubjectChar">
    <w:name w:val="Comment Subject Char"/>
    <w:basedOn w:val="CommentTextChar"/>
    <w:link w:val="CommentSubject"/>
    <w:uiPriority w:val="99"/>
    <w:semiHidden/>
    <w:rsid w:val="003B74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AC37-F3B8-4376-A013-92557D97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16</Pages>
  <Words>3499</Words>
  <Characters>17668</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2011-02-16T14:34:00Z</dcterms:created>
  <dcterms:modified xsi:type="dcterms:W3CDTF">2011-06-27T18:40:00Z</dcterms:modified>
</cp:coreProperties>
</file>