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1F" w:rsidRPr="00030B9A" w:rsidRDefault="009E641F" w:rsidP="009E641F">
      <w:pPr>
        <w:tabs>
          <w:tab w:val="center" w:pos="4680"/>
          <w:tab w:val="right" w:pos="9360"/>
        </w:tabs>
        <w:jc w:val="center"/>
        <w:rPr>
          <w:rFonts w:eastAsiaTheme="minorHAnsi" w:cstheme="minorBidi"/>
          <w:lang w:val="fr-CA" w:eastAsia="en-US"/>
        </w:rPr>
      </w:pPr>
      <w:r w:rsidRPr="00030B9A">
        <w:rPr>
          <w:rFonts w:eastAsiaTheme="minorHAnsi" w:cstheme="minorBidi"/>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82425471" r:id="rId9"/>
        </w:object>
      </w:r>
    </w:p>
    <w:p w:rsidR="009E641F" w:rsidRPr="00030B9A" w:rsidRDefault="009E641F" w:rsidP="009E641F">
      <w:pPr>
        <w:tabs>
          <w:tab w:val="center" w:pos="4680"/>
          <w:tab w:val="right" w:pos="9360"/>
        </w:tabs>
        <w:rPr>
          <w:rFonts w:eastAsiaTheme="minorHAnsi" w:cstheme="minorBidi"/>
          <w:lang w:val="fr-CA" w:eastAsia="en-US"/>
        </w:rPr>
      </w:pPr>
    </w:p>
    <w:p w:rsidR="009E641F" w:rsidRPr="00030B9A" w:rsidRDefault="009E641F" w:rsidP="009E641F">
      <w:pPr>
        <w:jc w:val="center"/>
        <w:rPr>
          <w:rFonts w:eastAsiaTheme="minorHAnsi" w:cstheme="minorBidi"/>
          <w:b/>
          <w:lang w:val="fr-CA" w:eastAsia="en-US"/>
        </w:rPr>
      </w:pPr>
      <w:r w:rsidRPr="00030B9A">
        <w:rPr>
          <w:rFonts w:eastAsiaTheme="minorHAnsi" w:cstheme="minorBidi"/>
          <w:b/>
          <w:lang w:val="fr-CA" w:eastAsia="en-US"/>
        </w:rPr>
        <w:t>COUR SUPRÊME DU CANADA</w:t>
      </w:r>
    </w:p>
    <w:p w:rsidR="009E641F" w:rsidRPr="00030B9A" w:rsidRDefault="009E641F" w:rsidP="009E641F">
      <w:pPr>
        <w:rPr>
          <w:rFonts w:eastAsiaTheme="minorHAnsi" w:cstheme="minorBidi"/>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E641F" w:rsidRPr="00030B9A" w:rsidTr="00FB13AC">
        <w:trPr>
          <w:cantSplit/>
        </w:trPr>
        <w:tc>
          <w:tcPr>
            <w:tcW w:w="6768" w:type="dxa"/>
          </w:tcPr>
          <w:p w:rsidR="009E641F" w:rsidRPr="00030B9A" w:rsidRDefault="009E641F" w:rsidP="00FB13AC">
            <w:pPr>
              <w:rPr>
                <w:rFonts w:eastAsiaTheme="minorHAnsi" w:cstheme="minorBidi"/>
                <w:lang w:val="fr-CA" w:eastAsia="en-US"/>
              </w:rPr>
            </w:pPr>
            <w:r w:rsidRPr="00030B9A">
              <w:rPr>
                <w:rFonts w:eastAsiaTheme="minorHAnsi" w:cstheme="minorBidi"/>
                <w:b/>
                <w:smallCaps/>
                <w:lang w:val="fr-CA" w:eastAsia="en-US"/>
              </w:rPr>
              <w:t>Référence </w:t>
            </w:r>
            <w:proofErr w:type="gramStart"/>
            <w:r w:rsidRPr="00030B9A">
              <w:rPr>
                <w:rFonts w:eastAsiaTheme="minorHAnsi" w:cstheme="minorBidi"/>
                <w:b/>
                <w:smallCaps/>
                <w:lang w:val="fr-CA" w:eastAsia="en-US"/>
              </w:rPr>
              <w:t>:</w:t>
            </w:r>
            <w:r w:rsidRPr="00030B9A">
              <w:rPr>
                <w:rFonts w:eastAsiaTheme="minorHAnsi" w:cstheme="minorBidi"/>
                <w:lang w:val="fr-CA" w:eastAsia="en-US"/>
              </w:rPr>
              <w:t xml:space="preserve">  </w:t>
            </w:r>
            <w:proofErr w:type="spellStart"/>
            <w:r w:rsidRPr="00030B9A">
              <w:rPr>
                <w:rFonts w:eastAsiaTheme="minorHAnsi" w:cstheme="minorBidi"/>
                <w:lang w:eastAsia="en-US"/>
              </w:rPr>
              <w:t>Sharbern</w:t>
            </w:r>
            <w:proofErr w:type="spellEnd"/>
            <w:proofErr w:type="gramEnd"/>
            <w:r w:rsidRPr="00030B9A">
              <w:rPr>
                <w:rFonts w:eastAsiaTheme="minorHAnsi" w:cstheme="minorBidi"/>
                <w:lang w:eastAsia="en-US"/>
              </w:rPr>
              <w:t xml:space="preserve"> Holding Inc. </w:t>
            </w:r>
            <w:r w:rsidRPr="00030B9A">
              <w:rPr>
                <w:rFonts w:eastAsiaTheme="minorHAnsi" w:cstheme="minorBidi"/>
                <w:i/>
                <w:lang w:eastAsia="en-US"/>
              </w:rPr>
              <w:t>c</w:t>
            </w:r>
            <w:r w:rsidRPr="00030B9A">
              <w:rPr>
                <w:rFonts w:eastAsiaTheme="minorHAnsi" w:cstheme="minorBidi"/>
                <w:lang w:eastAsia="en-US"/>
              </w:rPr>
              <w:t xml:space="preserve">. Vancouver Airport Centre Ltd., </w:t>
            </w:r>
            <w:r>
              <w:rPr>
                <w:rStyle w:val="SCCRespondentForRunningHeadChar"/>
              </w:rPr>
              <w:t>2011 CSC 23, [2011] 2 R.C.S. 175</w:t>
            </w:r>
          </w:p>
        </w:tc>
        <w:tc>
          <w:tcPr>
            <w:tcW w:w="2808" w:type="dxa"/>
          </w:tcPr>
          <w:p w:rsidR="009E641F" w:rsidRPr="00030B9A" w:rsidRDefault="009E641F" w:rsidP="00FB13AC">
            <w:pPr>
              <w:rPr>
                <w:rFonts w:eastAsiaTheme="minorHAnsi" w:cstheme="minorBidi"/>
                <w:lang w:val="fr-CA" w:eastAsia="en-US"/>
              </w:rPr>
            </w:pPr>
            <w:r w:rsidRPr="00030B9A">
              <w:rPr>
                <w:rFonts w:eastAsiaTheme="minorHAnsi" w:cstheme="minorBidi"/>
                <w:b/>
                <w:smallCaps/>
                <w:lang w:val="fr-CA" w:eastAsia="en-US"/>
              </w:rPr>
              <w:t>Date :</w:t>
            </w:r>
            <w:r w:rsidRPr="00030B9A">
              <w:rPr>
                <w:rFonts w:eastAsiaTheme="minorHAnsi" w:cstheme="minorBidi"/>
                <w:lang w:val="fr-CA" w:eastAsia="en-US"/>
              </w:rPr>
              <w:t xml:space="preserve"> 20110511</w:t>
            </w:r>
          </w:p>
          <w:p w:rsidR="009E641F" w:rsidRPr="00030B9A" w:rsidRDefault="009E641F" w:rsidP="00FB13AC">
            <w:pPr>
              <w:rPr>
                <w:rFonts w:eastAsiaTheme="minorHAnsi" w:cstheme="minorBidi"/>
                <w:lang w:val="fr-CA" w:eastAsia="en-US"/>
              </w:rPr>
            </w:pPr>
            <w:r w:rsidRPr="00030B9A">
              <w:rPr>
                <w:rFonts w:eastAsiaTheme="minorHAnsi" w:cstheme="minorBidi"/>
                <w:b/>
                <w:smallCaps/>
                <w:lang w:val="fr-CA" w:eastAsia="en-US"/>
              </w:rPr>
              <w:t>Dossier :</w:t>
            </w:r>
            <w:r w:rsidRPr="00030B9A">
              <w:rPr>
                <w:rFonts w:eastAsiaTheme="minorHAnsi" w:cstheme="minorBidi"/>
                <w:lang w:val="fr-CA" w:eastAsia="en-US"/>
              </w:rPr>
              <w:t xml:space="preserve"> 33280</w:t>
            </w:r>
          </w:p>
        </w:tc>
      </w:tr>
    </w:tbl>
    <w:p w:rsidR="009E641F" w:rsidRPr="00030B9A" w:rsidRDefault="009E641F" w:rsidP="009E641F">
      <w:pPr>
        <w:rPr>
          <w:rFonts w:eastAsiaTheme="minorHAnsi" w:cstheme="minorBidi"/>
          <w:lang w:val="fr-CA" w:eastAsia="en-US"/>
        </w:rPr>
      </w:pPr>
    </w:p>
    <w:p w:rsidR="009E641F" w:rsidRPr="00030B9A" w:rsidRDefault="009E641F" w:rsidP="009E641F">
      <w:pPr>
        <w:rPr>
          <w:rFonts w:eastAsiaTheme="minorHAnsi" w:cstheme="minorBidi"/>
          <w:b/>
          <w:smallCaps/>
          <w:lang w:val="fr-CA" w:eastAsia="en-US"/>
        </w:rPr>
      </w:pPr>
      <w:r w:rsidRPr="00030B9A">
        <w:rPr>
          <w:rFonts w:eastAsiaTheme="minorHAnsi" w:cstheme="minorBidi"/>
          <w:b/>
          <w:smallCaps/>
          <w:lang w:val="fr-CA" w:eastAsia="en-US"/>
        </w:rPr>
        <w:t>Entre :</w:t>
      </w:r>
    </w:p>
    <w:p w:rsidR="009E641F" w:rsidRPr="00030B9A" w:rsidRDefault="009E641F" w:rsidP="009E641F">
      <w:pPr>
        <w:jc w:val="center"/>
        <w:rPr>
          <w:rFonts w:eastAsiaTheme="minorHAnsi" w:cstheme="minorBidi"/>
          <w:b/>
          <w:lang w:val="fr-CA" w:eastAsia="en-US"/>
        </w:rPr>
      </w:pPr>
      <w:proofErr w:type="spellStart"/>
      <w:r w:rsidRPr="00030B9A">
        <w:rPr>
          <w:rFonts w:eastAsiaTheme="minorHAnsi" w:cstheme="minorBidi"/>
          <w:b/>
          <w:lang w:val="fr-CA" w:eastAsia="en-US"/>
        </w:rPr>
        <w:t>Sharbern</w:t>
      </w:r>
      <w:proofErr w:type="spellEnd"/>
      <w:r w:rsidRPr="00030B9A">
        <w:rPr>
          <w:rFonts w:eastAsiaTheme="minorHAnsi" w:cstheme="minorBidi"/>
          <w:b/>
          <w:lang w:val="fr-CA" w:eastAsia="en-US"/>
        </w:rPr>
        <w:t xml:space="preserve"> Holding Inc.</w:t>
      </w:r>
    </w:p>
    <w:p w:rsidR="009E641F" w:rsidRPr="00030B9A" w:rsidRDefault="009E641F" w:rsidP="009E641F">
      <w:pPr>
        <w:jc w:val="center"/>
        <w:rPr>
          <w:rFonts w:eastAsiaTheme="minorHAnsi" w:cstheme="minorBidi"/>
          <w:lang w:val="fr-CA" w:eastAsia="en-US"/>
        </w:rPr>
      </w:pPr>
      <w:r w:rsidRPr="00030B9A">
        <w:rPr>
          <w:rFonts w:eastAsiaTheme="minorHAnsi" w:cstheme="minorBidi"/>
          <w:lang w:val="fr-CA" w:eastAsia="en-US"/>
        </w:rPr>
        <w:t>Appelant</w:t>
      </w:r>
    </w:p>
    <w:p w:rsidR="009E641F" w:rsidRPr="00030B9A" w:rsidRDefault="009E641F" w:rsidP="009E641F">
      <w:pPr>
        <w:jc w:val="center"/>
        <w:rPr>
          <w:rFonts w:eastAsiaTheme="minorHAnsi" w:cstheme="minorBidi"/>
          <w:lang w:val="fr-CA" w:eastAsia="en-US"/>
        </w:rPr>
      </w:pPr>
      <w:proofErr w:type="gramStart"/>
      <w:r w:rsidRPr="00030B9A">
        <w:rPr>
          <w:rFonts w:eastAsiaTheme="minorHAnsi" w:cstheme="minorBidi"/>
          <w:lang w:val="fr-CA" w:eastAsia="en-US"/>
        </w:rPr>
        <w:t>et</w:t>
      </w:r>
      <w:proofErr w:type="gramEnd"/>
    </w:p>
    <w:p w:rsidR="009E641F" w:rsidRPr="00030B9A" w:rsidRDefault="009E641F" w:rsidP="009E641F">
      <w:pPr>
        <w:jc w:val="center"/>
        <w:rPr>
          <w:rFonts w:eastAsiaTheme="minorHAnsi" w:cstheme="minorBidi"/>
          <w:b/>
          <w:lang w:val="fr-CA" w:eastAsia="en-US"/>
        </w:rPr>
      </w:pPr>
      <w:r w:rsidRPr="00030B9A">
        <w:rPr>
          <w:rFonts w:eastAsiaTheme="minorHAnsi" w:cstheme="minorBidi"/>
          <w:b/>
          <w:lang w:val="fr-CA" w:eastAsia="en-US"/>
        </w:rPr>
        <w:t xml:space="preserve">Vancouver </w:t>
      </w:r>
      <w:proofErr w:type="spellStart"/>
      <w:r w:rsidRPr="00030B9A">
        <w:rPr>
          <w:rFonts w:eastAsiaTheme="minorHAnsi" w:cstheme="minorBidi"/>
          <w:b/>
          <w:lang w:val="fr-CA" w:eastAsia="en-US"/>
        </w:rPr>
        <w:t>Airport</w:t>
      </w:r>
      <w:proofErr w:type="spellEnd"/>
      <w:r w:rsidRPr="00030B9A">
        <w:rPr>
          <w:rFonts w:eastAsiaTheme="minorHAnsi" w:cstheme="minorBidi"/>
          <w:b/>
          <w:lang w:val="fr-CA" w:eastAsia="en-US"/>
        </w:rPr>
        <w:t xml:space="preserve"> Centre Ltd., </w:t>
      </w:r>
      <w:proofErr w:type="spellStart"/>
      <w:r w:rsidRPr="00030B9A">
        <w:rPr>
          <w:rFonts w:eastAsiaTheme="minorHAnsi" w:cstheme="minorBidi"/>
          <w:b/>
          <w:lang w:val="fr-CA" w:eastAsia="en-US"/>
        </w:rPr>
        <w:t>Larco</w:t>
      </w:r>
      <w:proofErr w:type="spellEnd"/>
      <w:r w:rsidRPr="00030B9A">
        <w:rPr>
          <w:rFonts w:eastAsiaTheme="minorHAnsi" w:cstheme="minorBidi"/>
          <w:b/>
          <w:lang w:val="fr-CA" w:eastAsia="en-US"/>
        </w:rPr>
        <w:t xml:space="preserve"> </w:t>
      </w:r>
      <w:proofErr w:type="spellStart"/>
      <w:r w:rsidRPr="00030B9A">
        <w:rPr>
          <w:rFonts w:eastAsiaTheme="minorHAnsi" w:cstheme="minorBidi"/>
          <w:b/>
          <w:lang w:val="fr-CA" w:eastAsia="en-US"/>
        </w:rPr>
        <w:t>Hospitality</w:t>
      </w:r>
      <w:proofErr w:type="spellEnd"/>
      <w:r w:rsidRPr="00030B9A">
        <w:rPr>
          <w:rFonts w:eastAsiaTheme="minorHAnsi" w:cstheme="minorBidi"/>
          <w:b/>
          <w:lang w:val="fr-CA" w:eastAsia="en-US"/>
        </w:rPr>
        <w:t xml:space="preserve"> Management Inc.,</w:t>
      </w:r>
    </w:p>
    <w:p w:rsidR="009E641F" w:rsidRPr="00030B9A" w:rsidRDefault="009E641F" w:rsidP="009E641F">
      <w:pPr>
        <w:jc w:val="center"/>
        <w:rPr>
          <w:rFonts w:eastAsiaTheme="minorHAnsi" w:cstheme="minorBidi"/>
          <w:b/>
          <w:lang w:val="fr-CA" w:eastAsia="en-US"/>
        </w:rPr>
      </w:pPr>
      <w:r w:rsidRPr="00030B9A">
        <w:rPr>
          <w:rFonts w:eastAsiaTheme="minorHAnsi" w:cstheme="minorBidi"/>
          <w:b/>
          <w:lang w:val="fr-CA" w:eastAsia="en-US"/>
        </w:rPr>
        <w:t xml:space="preserve">MM&amp;R </w:t>
      </w:r>
      <w:proofErr w:type="spellStart"/>
      <w:r w:rsidRPr="00030B9A">
        <w:rPr>
          <w:rFonts w:eastAsiaTheme="minorHAnsi" w:cstheme="minorBidi"/>
          <w:b/>
          <w:lang w:val="fr-CA" w:eastAsia="en-US"/>
        </w:rPr>
        <w:t>Valuation</w:t>
      </w:r>
      <w:proofErr w:type="spellEnd"/>
      <w:r w:rsidRPr="00030B9A">
        <w:rPr>
          <w:rFonts w:eastAsiaTheme="minorHAnsi" w:cstheme="minorBidi"/>
          <w:b/>
          <w:lang w:val="fr-CA" w:eastAsia="en-US"/>
        </w:rPr>
        <w:t xml:space="preserve"> Services Inc. faisant affaire sous la dénomination </w:t>
      </w:r>
    </w:p>
    <w:p w:rsidR="009E641F" w:rsidRPr="00030B9A" w:rsidRDefault="009E641F" w:rsidP="009E641F">
      <w:pPr>
        <w:jc w:val="center"/>
        <w:rPr>
          <w:rFonts w:eastAsiaTheme="minorHAnsi" w:cstheme="minorBidi"/>
          <w:b/>
          <w:lang w:val="fr-CA" w:eastAsia="en-US"/>
        </w:rPr>
      </w:pPr>
      <w:r w:rsidRPr="00030B9A">
        <w:rPr>
          <w:rFonts w:eastAsiaTheme="minorHAnsi" w:cstheme="minorBidi"/>
          <w:b/>
          <w:lang w:val="fr-CA" w:eastAsia="en-US"/>
        </w:rPr>
        <w:t xml:space="preserve">HVS International </w:t>
      </w:r>
      <w:r w:rsidRPr="00030B9A">
        <w:rPr>
          <w:rFonts w:eastAsiaTheme="minorHAnsi"/>
          <w:b/>
          <w:lang w:val="fr-CA" w:eastAsia="en-US"/>
        </w:rPr>
        <w:t>—</w:t>
      </w:r>
      <w:r w:rsidRPr="00030B9A">
        <w:rPr>
          <w:rFonts w:eastAsiaTheme="minorHAnsi" w:cstheme="minorBidi"/>
          <w:b/>
          <w:lang w:val="fr-CA" w:eastAsia="en-US"/>
        </w:rPr>
        <w:t xml:space="preserve"> Canada et HVS International </w:t>
      </w:r>
      <w:r w:rsidRPr="00030B9A">
        <w:rPr>
          <w:rFonts w:eastAsiaTheme="minorHAnsi"/>
          <w:b/>
          <w:lang w:val="fr-CA" w:eastAsia="en-US"/>
        </w:rPr>
        <w:t>—</w:t>
      </w:r>
      <w:r w:rsidRPr="00030B9A">
        <w:rPr>
          <w:rFonts w:eastAsiaTheme="minorHAnsi" w:cstheme="minorBidi"/>
          <w:b/>
          <w:lang w:val="fr-CA" w:eastAsia="en-US"/>
        </w:rPr>
        <w:t xml:space="preserve"> Canada</w:t>
      </w:r>
    </w:p>
    <w:p w:rsidR="009E641F" w:rsidRPr="00030B9A" w:rsidRDefault="009E641F" w:rsidP="009E641F">
      <w:pPr>
        <w:jc w:val="center"/>
        <w:rPr>
          <w:rFonts w:eastAsiaTheme="minorHAnsi" w:cstheme="minorBidi"/>
          <w:lang w:val="fr-CA" w:eastAsia="en-US"/>
        </w:rPr>
      </w:pPr>
      <w:r w:rsidRPr="00030B9A">
        <w:rPr>
          <w:rFonts w:eastAsiaTheme="minorHAnsi" w:cstheme="minorBidi"/>
          <w:lang w:val="fr-CA" w:eastAsia="en-US"/>
        </w:rPr>
        <w:t>Intimés</w:t>
      </w:r>
    </w:p>
    <w:p w:rsidR="009E641F" w:rsidRPr="00030B9A" w:rsidRDefault="009E641F" w:rsidP="009E641F">
      <w:pPr>
        <w:rPr>
          <w:rFonts w:eastAsiaTheme="minorHAnsi" w:cstheme="minorBidi"/>
          <w:lang w:val="fr-CA" w:eastAsia="en-US"/>
        </w:rPr>
      </w:pPr>
    </w:p>
    <w:p w:rsidR="009E641F" w:rsidRPr="00030B9A" w:rsidRDefault="009E641F" w:rsidP="009E641F">
      <w:pPr>
        <w:rPr>
          <w:rFonts w:eastAsiaTheme="minorHAnsi" w:cstheme="minorBidi"/>
          <w:lang w:val="fr-CA" w:eastAsia="en-US"/>
        </w:rPr>
      </w:pPr>
    </w:p>
    <w:p w:rsidR="009E641F" w:rsidRPr="00030B9A" w:rsidRDefault="009E641F" w:rsidP="009E641F">
      <w:pPr>
        <w:jc w:val="center"/>
        <w:rPr>
          <w:rFonts w:eastAsiaTheme="minorHAnsi" w:cstheme="minorBidi"/>
          <w:b/>
          <w:smallCaps/>
          <w:lang w:val="fr-CA" w:eastAsia="en-US"/>
        </w:rPr>
      </w:pPr>
      <w:r w:rsidRPr="00030B9A">
        <w:rPr>
          <w:rFonts w:eastAsiaTheme="minorHAnsi" w:cstheme="minorBidi"/>
          <w:b/>
          <w:smallCaps/>
          <w:lang w:val="fr-CA" w:eastAsia="en-US"/>
        </w:rPr>
        <w:t>Traduction française officielle</w:t>
      </w:r>
    </w:p>
    <w:p w:rsidR="009E641F" w:rsidRPr="00030B9A" w:rsidRDefault="009E641F" w:rsidP="009E641F">
      <w:pPr>
        <w:rPr>
          <w:rFonts w:eastAsiaTheme="minorHAnsi" w:cstheme="minorBidi"/>
          <w:lang w:val="fr-CA" w:eastAsia="en-US"/>
        </w:rPr>
      </w:pPr>
    </w:p>
    <w:p w:rsidR="009E641F" w:rsidRPr="00030B9A" w:rsidRDefault="009E641F" w:rsidP="009E641F">
      <w:pPr>
        <w:rPr>
          <w:rFonts w:eastAsiaTheme="minorHAnsi" w:cstheme="minorBidi"/>
          <w:lang w:val="fr-CA" w:eastAsia="en-US"/>
        </w:rPr>
      </w:pPr>
      <w:r w:rsidRPr="00030B9A">
        <w:rPr>
          <w:rFonts w:eastAsiaTheme="minorHAnsi" w:cstheme="minorBidi"/>
          <w:b/>
          <w:smallCaps/>
          <w:lang w:val="fr-CA" w:eastAsia="en-US"/>
        </w:rPr>
        <w:t>Coram :</w:t>
      </w:r>
      <w:r w:rsidRPr="00030B9A">
        <w:rPr>
          <w:rFonts w:eastAsiaTheme="minorHAnsi" w:cstheme="minorBidi"/>
          <w:lang w:val="fr-CA" w:eastAsia="en-US"/>
        </w:rPr>
        <w:t xml:space="preserve"> La juge en chef </w:t>
      </w:r>
      <w:proofErr w:type="spellStart"/>
      <w:r w:rsidRPr="00030B9A">
        <w:rPr>
          <w:rFonts w:eastAsiaTheme="minorHAnsi" w:cstheme="minorBidi"/>
          <w:lang w:val="fr-CA" w:eastAsia="en-US"/>
        </w:rPr>
        <w:t>McLachlin</w:t>
      </w:r>
      <w:proofErr w:type="spellEnd"/>
      <w:r w:rsidRPr="00030B9A">
        <w:rPr>
          <w:rFonts w:eastAsiaTheme="minorHAnsi" w:cstheme="minorBidi"/>
          <w:lang w:val="fr-CA" w:eastAsia="en-US"/>
        </w:rPr>
        <w:t xml:space="preserve"> et les juges </w:t>
      </w:r>
      <w:proofErr w:type="spellStart"/>
      <w:r w:rsidRPr="00030B9A">
        <w:rPr>
          <w:rFonts w:eastAsiaTheme="minorHAnsi" w:cstheme="minorBidi"/>
          <w:lang w:val="fr-CA" w:eastAsia="en-US"/>
        </w:rPr>
        <w:t>Binnie</w:t>
      </w:r>
      <w:proofErr w:type="spellEnd"/>
      <w:r w:rsidRPr="00030B9A">
        <w:rPr>
          <w:rFonts w:eastAsiaTheme="minorHAnsi" w:cstheme="minorBidi"/>
          <w:lang w:val="fr-CA" w:eastAsia="en-US"/>
        </w:rPr>
        <w:t xml:space="preserve">, </w:t>
      </w:r>
      <w:proofErr w:type="spellStart"/>
      <w:r w:rsidRPr="00030B9A">
        <w:rPr>
          <w:rFonts w:eastAsiaTheme="minorHAnsi" w:cstheme="minorBidi"/>
          <w:lang w:val="fr-CA" w:eastAsia="en-US"/>
        </w:rPr>
        <w:t>LeBel</w:t>
      </w:r>
      <w:proofErr w:type="spellEnd"/>
      <w:r w:rsidRPr="00030B9A">
        <w:rPr>
          <w:rFonts w:eastAsiaTheme="minorHAnsi" w:cstheme="minorBidi"/>
          <w:lang w:val="fr-CA" w:eastAsia="en-US"/>
        </w:rPr>
        <w:t xml:space="preserve">, Deschamps, Fish, Abella, Charron, </w:t>
      </w:r>
      <w:proofErr w:type="spellStart"/>
      <w:r w:rsidRPr="00030B9A">
        <w:rPr>
          <w:rFonts w:eastAsiaTheme="minorHAnsi" w:cstheme="minorBidi"/>
          <w:lang w:val="fr-CA" w:eastAsia="en-US"/>
        </w:rPr>
        <w:t>Rothstein</w:t>
      </w:r>
      <w:proofErr w:type="spellEnd"/>
      <w:r w:rsidRPr="00030B9A">
        <w:rPr>
          <w:rFonts w:eastAsiaTheme="minorHAnsi" w:cstheme="minorBidi"/>
          <w:lang w:val="fr-CA" w:eastAsia="en-US"/>
        </w:rPr>
        <w:t xml:space="preserve"> et Cromwell</w:t>
      </w:r>
    </w:p>
    <w:p w:rsidR="009E641F" w:rsidRPr="00030B9A" w:rsidRDefault="009E641F" w:rsidP="009E641F">
      <w:pPr>
        <w:rPr>
          <w:rFonts w:eastAsiaTheme="minorHAnsi" w:cstheme="minorBidi"/>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E641F" w:rsidRPr="00C663CD" w:rsidTr="00FB13AC">
        <w:trPr>
          <w:cantSplit/>
        </w:trPr>
        <w:tc>
          <w:tcPr>
            <w:tcW w:w="3618" w:type="dxa"/>
          </w:tcPr>
          <w:p w:rsidR="009E641F" w:rsidRPr="00030B9A" w:rsidRDefault="009E641F" w:rsidP="00FB13AC">
            <w:pPr>
              <w:rPr>
                <w:rFonts w:eastAsiaTheme="minorHAnsi" w:cstheme="minorBidi"/>
                <w:b/>
                <w:smallCaps/>
                <w:lang w:val="fr-CA" w:eastAsia="en-US"/>
              </w:rPr>
            </w:pPr>
            <w:r w:rsidRPr="00030B9A">
              <w:rPr>
                <w:rFonts w:eastAsiaTheme="minorHAnsi" w:cstheme="minorBidi"/>
                <w:b/>
                <w:smallCaps/>
                <w:lang w:val="fr-CA" w:eastAsia="en-US"/>
              </w:rPr>
              <w:t>Motifs de jugement :</w:t>
            </w:r>
          </w:p>
          <w:p w:rsidR="009E641F" w:rsidRPr="00030B9A" w:rsidRDefault="009E641F" w:rsidP="00FB13AC">
            <w:pPr>
              <w:rPr>
                <w:rFonts w:eastAsiaTheme="minorHAnsi" w:cstheme="minorBidi"/>
                <w:lang w:val="fr-CA" w:eastAsia="en-US"/>
              </w:rPr>
            </w:pPr>
            <w:r w:rsidRPr="00030B9A">
              <w:rPr>
                <w:rFonts w:eastAsiaTheme="minorHAnsi" w:cstheme="minorBidi"/>
                <w:lang w:val="fr-CA" w:eastAsia="en-US"/>
              </w:rPr>
              <w:t>(par. 1 à 178)</w:t>
            </w:r>
          </w:p>
        </w:tc>
        <w:tc>
          <w:tcPr>
            <w:tcW w:w="5958" w:type="dxa"/>
          </w:tcPr>
          <w:p w:rsidR="009E641F" w:rsidRPr="00030B9A" w:rsidRDefault="009E641F" w:rsidP="00FB13AC">
            <w:pPr>
              <w:rPr>
                <w:rFonts w:eastAsiaTheme="minorHAnsi" w:cstheme="minorBidi"/>
                <w:lang w:val="fr-CA" w:eastAsia="en-US"/>
              </w:rPr>
            </w:pPr>
            <w:r w:rsidRPr="00030B9A">
              <w:rPr>
                <w:rFonts w:eastAsiaTheme="minorHAnsi" w:cstheme="minorBidi"/>
                <w:lang w:val="fr-CA" w:eastAsia="en-US"/>
              </w:rPr>
              <w:t xml:space="preserve">Le juge </w:t>
            </w:r>
            <w:proofErr w:type="spellStart"/>
            <w:r w:rsidRPr="00030B9A">
              <w:rPr>
                <w:rFonts w:eastAsiaTheme="minorHAnsi" w:cstheme="minorBidi"/>
                <w:lang w:val="fr-CA" w:eastAsia="en-US"/>
              </w:rPr>
              <w:t>Rothstein</w:t>
            </w:r>
            <w:proofErr w:type="spellEnd"/>
            <w:r w:rsidRPr="00030B9A">
              <w:rPr>
                <w:rFonts w:eastAsiaTheme="minorHAnsi" w:cstheme="minorBidi"/>
                <w:lang w:val="fr-CA" w:eastAsia="en-US"/>
              </w:rPr>
              <w:t xml:space="preserve"> (avec l’accord de la juge en chef </w:t>
            </w:r>
            <w:proofErr w:type="spellStart"/>
            <w:r w:rsidRPr="00030B9A">
              <w:rPr>
                <w:rFonts w:eastAsiaTheme="minorHAnsi" w:cstheme="minorBidi"/>
                <w:lang w:val="fr-CA" w:eastAsia="en-US"/>
              </w:rPr>
              <w:t>McLachlin</w:t>
            </w:r>
            <w:proofErr w:type="spellEnd"/>
            <w:r w:rsidRPr="00030B9A">
              <w:rPr>
                <w:rFonts w:eastAsiaTheme="minorHAnsi" w:cstheme="minorBidi"/>
                <w:lang w:val="fr-CA" w:eastAsia="en-US"/>
              </w:rPr>
              <w:t xml:space="preserve"> et des juges </w:t>
            </w:r>
            <w:proofErr w:type="spellStart"/>
            <w:r w:rsidRPr="00030B9A">
              <w:rPr>
                <w:rFonts w:eastAsiaTheme="minorHAnsi" w:cstheme="minorBidi"/>
                <w:lang w:val="fr-CA" w:eastAsia="en-US"/>
              </w:rPr>
              <w:t>Binnie</w:t>
            </w:r>
            <w:proofErr w:type="spellEnd"/>
            <w:r w:rsidRPr="00030B9A">
              <w:rPr>
                <w:rFonts w:eastAsiaTheme="minorHAnsi" w:cstheme="minorBidi"/>
                <w:lang w:val="fr-CA" w:eastAsia="en-US"/>
              </w:rPr>
              <w:t xml:space="preserve">, </w:t>
            </w:r>
            <w:proofErr w:type="spellStart"/>
            <w:r w:rsidRPr="00030B9A">
              <w:rPr>
                <w:rFonts w:eastAsiaTheme="minorHAnsi" w:cstheme="minorBidi"/>
                <w:lang w:val="fr-CA" w:eastAsia="en-US"/>
              </w:rPr>
              <w:t>LeBel</w:t>
            </w:r>
            <w:proofErr w:type="spellEnd"/>
            <w:r w:rsidRPr="00030B9A">
              <w:rPr>
                <w:rFonts w:eastAsiaTheme="minorHAnsi" w:cstheme="minorBidi"/>
                <w:lang w:val="fr-CA" w:eastAsia="en-US"/>
              </w:rPr>
              <w:t>, Deschamps, Fish, Abella, Charron et Cromwell)</w:t>
            </w:r>
          </w:p>
        </w:tc>
      </w:tr>
    </w:tbl>
    <w:p w:rsidR="009E641F" w:rsidRPr="00030B9A" w:rsidRDefault="009E641F" w:rsidP="009E641F">
      <w:pPr>
        <w:rPr>
          <w:rFonts w:eastAsiaTheme="minorHAnsi" w:cstheme="minorBidi"/>
          <w:lang w:val="fr-CA" w:eastAsia="en-US"/>
        </w:rPr>
      </w:pPr>
    </w:p>
    <w:p w:rsidR="009E641F" w:rsidRPr="00030B9A" w:rsidRDefault="009E641F" w:rsidP="009E641F">
      <w:pPr>
        <w:rPr>
          <w:rFonts w:eastAsiaTheme="minorHAnsi" w:cstheme="minorBidi"/>
          <w:lang w:val="fr-CA" w:eastAsia="en-US"/>
        </w:rPr>
      </w:pPr>
    </w:p>
    <w:p w:rsidR="009E641F" w:rsidRPr="00030B9A" w:rsidRDefault="000738EB" w:rsidP="009E641F">
      <w:pPr>
        <w:rPr>
          <w:rFonts w:eastAsiaTheme="minorHAnsi" w:cstheme="minorBidi"/>
          <w:lang w:val="fr-CA" w:eastAsia="en-US"/>
        </w:rPr>
      </w:pPr>
      <w:r>
        <w:rPr>
          <w:rFonts w:eastAsiaTheme="minorHAnsi" w:cstheme="minorBidi"/>
          <w:noProof/>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E641F" w:rsidRPr="005D32BE" w:rsidRDefault="009E641F" w:rsidP="009E641F">
      <w:pPr>
        <w:spacing w:after="200" w:line="276" w:lineRule="auto"/>
        <w:rPr>
          <w:rStyle w:val="SCCAppellantForRunningHeadChar"/>
          <w:lang w:val="fr-CA"/>
        </w:rPr>
      </w:pPr>
      <w:r w:rsidRPr="005D32BE">
        <w:rPr>
          <w:rStyle w:val="SCCAppellantForRunningHeadChar"/>
          <w:lang w:val="fr-CA"/>
        </w:rPr>
        <w:br w:type="page"/>
      </w:r>
    </w:p>
    <w:p w:rsidR="00805846" w:rsidRPr="003A6D24" w:rsidRDefault="00873EFF" w:rsidP="001211F3">
      <w:pPr>
        <w:spacing w:after="480" w:line="480" w:lineRule="auto"/>
        <w:jc w:val="both"/>
        <w:rPr>
          <w:rStyle w:val="SCCRespondentForRunningHeadChar"/>
          <w:lang w:val="en-US"/>
        </w:rPr>
      </w:pPr>
      <w:proofErr w:type="spellStart"/>
      <w:r w:rsidRPr="00873EFF">
        <w:rPr>
          <w:rStyle w:val="SCCAppellantForIndexChar"/>
          <w:b w:val="0"/>
          <w:lang w:val="en-US"/>
        </w:rPr>
        <w:lastRenderedPageBreak/>
        <w:t>Sharbern</w:t>
      </w:r>
      <w:proofErr w:type="spellEnd"/>
      <w:r w:rsidRPr="00873EFF">
        <w:rPr>
          <w:rStyle w:val="SCCAppellantForIndexChar"/>
          <w:b w:val="0"/>
          <w:lang w:val="en-US"/>
        </w:rPr>
        <w:t xml:space="preserve"> Holding Inc.</w:t>
      </w:r>
      <w:r w:rsidRPr="00873EFF">
        <w:rPr>
          <w:lang w:val="en-US"/>
        </w:rPr>
        <w:t xml:space="preserve"> </w:t>
      </w:r>
      <w:r w:rsidRPr="00873EFF">
        <w:rPr>
          <w:i/>
          <w:lang w:val="en-US"/>
        </w:rPr>
        <w:t>c.</w:t>
      </w:r>
      <w:r w:rsidRPr="00873EFF">
        <w:rPr>
          <w:lang w:val="en-US"/>
        </w:rPr>
        <w:t xml:space="preserve"> </w:t>
      </w:r>
      <w:r w:rsidRPr="00873EFF">
        <w:rPr>
          <w:rStyle w:val="SCCRespondentForIndexChar"/>
          <w:b w:val="0"/>
          <w:lang w:val="en-US"/>
        </w:rPr>
        <w:t>Vancouver Airport Centre Ltd.</w:t>
      </w:r>
      <w:r>
        <w:rPr>
          <w:rStyle w:val="SCCRespondentForRunningHeadChar"/>
          <w:lang w:val="en-US"/>
        </w:rPr>
        <w:t xml:space="preserve">, </w:t>
      </w:r>
      <w:r>
        <w:rPr>
          <w:rStyle w:val="SCCRespondentForRunningHeadChar"/>
        </w:rPr>
        <w:t>2011 CSC 23, [2011] 2 R.C.S. 175</w:t>
      </w:r>
    </w:p>
    <w:p w:rsidR="00805846" w:rsidRPr="003A6D24" w:rsidRDefault="00805846" w:rsidP="001211F3">
      <w:pPr>
        <w:pStyle w:val="SCCLsocParty"/>
        <w:tabs>
          <w:tab w:val="right" w:pos="8280"/>
        </w:tabs>
        <w:spacing w:line="480" w:lineRule="auto"/>
        <w:rPr>
          <w:b/>
          <w:i/>
          <w:szCs w:val="24"/>
          <w:lang w:val="en-US"/>
        </w:rPr>
      </w:pPr>
      <w:proofErr w:type="spellStart"/>
      <w:r w:rsidRPr="003A6D24">
        <w:rPr>
          <w:szCs w:val="24"/>
          <w:lang w:val="en-US"/>
        </w:rPr>
        <w:t>Sharbern</w:t>
      </w:r>
      <w:proofErr w:type="spellEnd"/>
      <w:r w:rsidRPr="003A6D24">
        <w:rPr>
          <w:szCs w:val="24"/>
          <w:lang w:val="en-US"/>
        </w:rPr>
        <w:t xml:space="preserve"> Holding Inc.</w:t>
      </w:r>
      <w:r w:rsidRPr="003A6D24">
        <w:rPr>
          <w:szCs w:val="24"/>
          <w:lang w:val="en-US"/>
        </w:rPr>
        <w:tab/>
      </w:r>
      <w:proofErr w:type="spellStart"/>
      <w:r w:rsidRPr="003A6D24">
        <w:rPr>
          <w:i/>
          <w:szCs w:val="24"/>
          <w:lang w:val="en-US"/>
        </w:rPr>
        <w:t>Appelant</w:t>
      </w:r>
      <w:r w:rsidR="009A631A" w:rsidRPr="003A6D24">
        <w:rPr>
          <w:i/>
          <w:szCs w:val="24"/>
          <w:lang w:val="en-US"/>
        </w:rPr>
        <w:t>e</w:t>
      </w:r>
      <w:proofErr w:type="spellEnd"/>
    </w:p>
    <w:p w:rsidR="00805846" w:rsidRPr="00C663CD" w:rsidRDefault="005E30A9" w:rsidP="001211F3">
      <w:pPr>
        <w:pStyle w:val="SCCLsocVersus"/>
        <w:spacing w:line="480" w:lineRule="auto"/>
        <w:rPr>
          <w:szCs w:val="24"/>
          <w:lang w:val="fr-CA"/>
        </w:rPr>
      </w:pPr>
      <w:proofErr w:type="gramStart"/>
      <w:r w:rsidRPr="00C663CD">
        <w:rPr>
          <w:szCs w:val="24"/>
          <w:lang w:val="fr-CA"/>
        </w:rPr>
        <w:t>c</w:t>
      </w:r>
      <w:proofErr w:type="gramEnd"/>
      <w:r w:rsidR="00805846" w:rsidRPr="00C663CD">
        <w:rPr>
          <w:szCs w:val="24"/>
          <w:lang w:val="fr-CA"/>
        </w:rPr>
        <w:t>.</w:t>
      </w:r>
    </w:p>
    <w:p w:rsidR="00AF47F7" w:rsidRPr="00C663CD" w:rsidRDefault="00805846" w:rsidP="00AF47F7">
      <w:pPr>
        <w:pStyle w:val="SCCLsocParty"/>
        <w:rPr>
          <w:szCs w:val="24"/>
          <w:lang w:val="fr-CA"/>
        </w:rPr>
      </w:pPr>
      <w:r w:rsidRPr="00C663CD">
        <w:rPr>
          <w:szCs w:val="24"/>
          <w:lang w:val="fr-CA"/>
        </w:rPr>
        <w:t xml:space="preserve">Vancouver </w:t>
      </w:r>
      <w:proofErr w:type="spellStart"/>
      <w:r w:rsidRPr="00C663CD">
        <w:rPr>
          <w:szCs w:val="24"/>
          <w:lang w:val="fr-CA"/>
        </w:rPr>
        <w:t>Airport</w:t>
      </w:r>
      <w:proofErr w:type="spellEnd"/>
      <w:r w:rsidRPr="00C663CD">
        <w:rPr>
          <w:szCs w:val="24"/>
          <w:lang w:val="fr-CA"/>
        </w:rPr>
        <w:t xml:space="preserve"> Centre Ltd., </w:t>
      </w:r>
      <w:proofErr w:type="spellStart"/>
      <w:r w:rsidRPr="00C663CD">
        <w:rPr>
          <w:szCs w:val="24"/>
          <w:lang w:val="fr-CA"/>
        </w:rPr>
        <w:t>Larco</w:t>
      </w:r>
      <w:proofErr w:type="spellEnd"/>
      <w:r w:rsidRPr="00C663CD">
        <w:rPr>
          <w:szCs w:val="24"/>
          <w:lang w:val="fr-CA"/>
        </w:rPr>
        <w:t xml:space="preserve"> </w:t>
      </w:r>
      <w:proofErr w:type="spellStart"/>
      <w:r w:rsidRPr="00C663CD">
        <w:rPr>
          <w:szCs w:val="24"/>
          <w:lang w:val="fr-CA"/>
        </w:rPr>
        <w:t>Hospitality</w:t>
      </w:r>
      <w:proofErr w:type="spellEnd"/>
    </w:p>
    <w:p w:rsidR="00AF47F7" w:rsidRDefault="00805846" w:rsidP="00AF47F7">
      <w:pPr>
        <w:pStyle w:val="SCCLsocParty"/>
        <w:rPr>
          <w:szCs w:val="24"/>
          <w:lang w:val="fr-CA"/>
        </w:rPr>
      </w:pPr>
      <w:r w:rsidRPr="00AF47F7">
        <w:rPr>
          <w:szCs w:val="24"/>
          <w:lang w:val="fr-CA"/>
        </w:rPr>
        <w:t xml:space="preserve">Management Inc., MM&amp;R </w:t>
      </w:r>
      <w:proofErr w:type="spellStart"/>
      <w:r w:rsidRPr="00AF47F7">
        <w:rPr>
          <w:szCs w:val="24"/>
          <w:lang w:val="fr-CA"/>
        </w:rPr>
        <w:t>Valuation</w:t>
      </w:r>
      <w:proofErr w:type="spellEnd"/>
      <w:r w:rsidRPr="00AF47F7">
        <w:rPr>
          <w:szCs w:val="24"/>
          <w:lang w:val="fr-CA"/>
        </w:rPr>
        <w:t xml:space="preserve"> Services Inc.</w:t>
      </w:r>
    </w:p>
    <w:p w:rsidR="00AF47F7" w:rsidRDefault="005E30A9" w:rsidP="00AF47F7">
      <w:pPr>
        <w:pStyle w:val="SCCLsocParty"/>
        <w:rPr>
          <w:szCs w:val="24"/>
          <w:lang w:val="fr-CA"/>
        </w:rPr>
      </w:pPr>
      <w:proofErr w:type="gramStart"/>
      <w:r w:rsidRPr="003A6D24">
        <w:rPr>
          <w:szCs w:val="24"/>
          <w:lang w:val="fr-CA"/>
        </w:rPr>
        <w:t>faisant</w:t>
      </w:r>
      <w:proofErr w:type="gramEnd"/>
      <w:r w:rsidRPr="003A6D24">
        <w:rPr>
          <w:szCs w:val="24"/>
          <w:lang w:val="fr-CA"/>
        </w:rPr>
        <w:t xml:space="preserve"> affaire sous l</w:t>
      </w:r>
      <w:r w:rsidR="00894A95">
        <w:rPr>
          <w:szCs w:val="24"/>
          <w:lang w:val="fr-CA"/>
        </w:rPr>
        <w:t>a</w:t>
      </w:r>
      <w:r w:rsidRPr="003A6D24">
        <w:rPr>
          <w:szCs w:val="24"/>
          <w:lang w:val="fr-CA"/>
        </w:rPr>
        <w:t xml:space="preserve"> dénomination</w:t>
      </w:r>
      <w:r w:rsidR="00AF47F7">
        <w:rPr>
          <w:szCs w:val="24"/>
          <w:lang w:val="fr-CA"/>
        </w:rPr>
        <w:t xml:space="preserve"> </w:t>
      </w:r>
      <w:r w:rsidR="007563AB" w:rsidRPr="003A6D24">
        <w:rPr>
          <w:szCs w:val="24"/>
          <w:lang w:val="fr-CA"/>
        </w:rPr>
        <w:t>HVS International</w:t>
      </w:r>
    </w:p>
    <w:p w:rsidR="00805846" w:rsidRPr="00AF47F7" w:rsidRDefault="007563AB" w:rsidP="00AF47F7">
      <w:pPr>
        <w:pStyle w:val="SCCLsocParty"/>
        <w:tabs>
          <w:tab w:val="right" w:pos="8280"/>
        </w:tabs>
        <w:spacing w:line="480" w:lineRule="auto"/>
        <w:rPr>
          <w:szCs w:val="24"/>
          <w:lang w:val="fr-CA"/>
        </w:rPr>
      </w:pPr>
      <w:r w:rsidRPr="003A6D24">
        <w:rPr>
          <w:szCs w:val="24"/>
          <w:lang w:val="fr-CA"/>
        </w:rPr>
        <w:t>—</w:t>
      </w:r>
      <w:r w:rsidR="00805846" w:rsidRPr="003A6D24">
        <w:rPr>
          <w:szCs w:val="24"/>
          <w:lang w:val="fr-CA"/>
        </w:rPr>
        <w:t xml:space="preserve"> Canada </w:t>
      </w:r>
      <w:r w:rsidR="005E30A9" w:rsidRPr="003A6D24">
        <w:rPr>
          <w:szCs w:val="24"/>
          <w:lang w:val="fr-CA"/>
        </w:rPr>
        <w:t>et</w:t>
      </w:r>
      <w:r w:rsidR="00805846" w:rsidRPr="003A6D24">
        <w:rPr>
          <w:szCs w:val="24"/>
          <w:lang w:val="fr-CA"/>
        </w:rPr>
        <w:t xml:space="preserve"> </w:t>
      </w:r>
      <w:r w:rsidRPr="003A6D24">
        <w:rPr>
          <w:szCs w:val="24"/>
          <w:lang w:val="fr-CA"/>
        </w:rPr>
        <w:t>HVS International —</w:t>
      </w:r>
      <w:r w:rsidR="00805846" w:rsidRPr="003A6D24">
        <w:rPr>
          <w:szCs w:val="24"/>
          <w:lang w:val="fr-CA"/>
        </w:rPr>
        <w:t xml:space="preserve"> Canada</w:t>
      </w:r>
      <w:r w:rsidR="00805846" w:rsidRPr="003A6D24">
        <w:rPr>
          <w:szCs w:val="24"/>
          <w:lang w:val="fr-CA"/>
        </w:rPr>
        <w:tab/>
      </w:r>
      <w:r w:rsidR="009A631A" w:rsidRPr="003A6D24">
        <w:rPr>
          <w:i/>
          <w:szCs w:val="24"/>
          <w:lang w:val="fr-CA"/>
        </w:rPr>
        <w:t>Intimés</w:t>
      </w:r>
    </w:p>
    <w:p w:rsidR="00805846" w:rsidRPr="003A2075" w:rsidRDefault="009F1BA6" w:rsidP="001211F3">
      <w:pPr>
        <w:spacing w:after="480" w:line="480" w:lineRule="auto"/>
        <w:jc w:val="both"/>
        <w:rPr>
          <w:b/>
          <w:lang w:val="en-US"/>
        </w:rPr>
      </w:pPr>
      <w:proofErr w:type="spellStart"/>
      <w:proofErr w:type="gramStart"/>
      <w:r w:rsidRPr="003A2075">
        <w:rPr>
          <w:b/>
          <w:lang w:val="en-US"/>
        </w:rPr>
        <w:t>Répertorié</w:t>
      </w:r>
      <w:proofErr w:type="spellEnd"/>
      <w:r w:rsidR="003A2DDE">
        <w:rPr>
          <w:b/>
          <w:lang w:val="en-US"/>
        </w:rPr>
        <w:t> :</w:t>
      </w:r>
      <w:proofErr w:type="gramEnd"/>
      <w:r w:rsidR="00805846" w:rsidRPr="003A2075">
        <w:rPr>
          <w:b/>
          <w:lang w:val="en-US"/>
        </w:rPr>
        <w:t xml:space="preserve"> </w:t>
      </w:r>
      <w:proofErr w:type="spellStart"/>
      <w:r w:rsidR="00805846" w:rsidRPr="003A2075">
        <w:rPr>
          <w:rStyle w:val="SCCAppellantForIndexChar"/>
          <w:lang w:val="en-US"/>
        </w:rPr>
        <w:t>Sharbern</w:t>
      </w:r>
      <w:proofErr w:type="spellEnd"/>
      <w:r w:rsidR="00805846" w:rsidRPr="003A2075">
        <w:rPr>
          <w:rStyle w:val="SCCAppellantForIndexChar"/>
          <w:lang w:val="en-US"/>
        </w:rPr>
        <w:t xml:space="preserve"> Holding Inc.</w:t>
      </w:r>
      <w:r w:rsidR="00805846" w:rsidRPr="003A2075">
        <w:rPr>
          <w:b/>
          <w:lang w:val="en-US"/>
        </w:rPr>
        <w:t xml:space="preserve"> </w:t>
      </w:r>
      <w:r w:rsidR="00713CFC" w:rsidRPr="003A2075">
        <w:rPr>
          <w:b/>
          <w:i/>
          <w:lang w:val="en-US"/>
        </w:rPr>
        <w:t>c</w:t>
      </w:r>
      <w:r w:rsidR="00805846" w:rsidRPr="003A2075">
        <w:rPr>
          <w:b/>
          <w:i/>
          <w:lang w:val="en-US"/>
        </w:rPr>
        <w:t>.</w:t>
      </w:r>
      <w:r w:rsidR="00805846" w:rsidRPr="003A2075">
        <w:rPr>
          <w:b/>
          <w:lang w:val="en-US"/>
        </w:rPr>
        <w:t xml:space="preserve"> </w:t>
      </w:r>
      <w:r w:rsidR="00805846" w:rsidRPr="003A2075">
        <w:rPr>
          <w:rStyle w:val="SCCRespondentForIndexChar"/>
          <w:lang w:val="en-US"/>
        </w:rPr>
        <w:t>Vancouver Airport Centre Ltd.</w:t>
      </w:r>
    </w:p>
    <w:p w:rsidR="00805846" w:rsidRPr="003A6D24" w:rsidRDefault="00805846" w:rsidP="001211F3">
      <w:pPr>
        <w:pStyle w:val="SCCSystemYear"/>
        <w:spacing w:after="480" w:line="480" w:lineRule="auto"/>
        <w:jc w:val="both"/>
        <w:rPr>
          <w:lang w:val="fr-CA"/>
        </w:rPr>
      </w:pPr>
      <w:r w:rsidRPr="003A6D24">
        <w:rPr>
          <w:lang w:val="fr-CA"/>
        </w:rPr>
        <w:t xml:space="preserve">2011 </w:t>
      </w:r>
      <w:r w:rsidR="009F1BA6" w:rsidRPr="003A6D24">
        <w:rPr>
          <w:lang w:val="fr-CA"/>
        </w:rPr>
        <w:t>CSC</w:t>
      </w:r>
      <w:r w:rsidRPr="003A6D24">
        <w:rPr>
          <w:lang w:val="fr-CA"/>
        </w:rPr>
        <w:t> </w:t>
      </w:r>
      <w:r w:rsidR="00235335" w:rsidRPr="003A6D24">
        <w:rPr>
          <w:lang w:val="fr-CA"/>
        </w:rPr>
        <w:t>23</w:t>
      </w:r>
    </w:p>
    <w:p w:rsidR="00805846" w:rsidRPr="003A6D24" w:rsidRDefault="009F1BA6" w:rsidP="001211F3">
      <w:pPr>
        <w:spacing w:after="480" w:line="480" w:lineRule="auto"/>
        <w:jc w:val="both"/>
        <w:rPr>
          <w:lang w:val="fr-CA"/>
        </w:rPr>
      </w:pPr>
      <w:r w:rsidRPr="003A6D24">
        <w:rPr>
          <w:lang w:val="fr-CA"/>
        </w:rPr>
        <w:t>N</w:t>
      </w:r>
      <w:r w:rsidRPr="003A6D24">
        <w:rPr>
          <w:vertAlign w:val="superscript"/>
          <w:lang w:val="fr-CA"/>
        </w:rPr>
        <w:t>o</w:t>
      </w:r>
      <w:r w:rsidRPr="003A6D24">
        <w:rPr>
          <w:lang w:val="fr-CA"/>
        </w:rPr>
        <w:t xml:space="preserve"> du greffe</w:t>
      </w:r>
      <w:r w:rsidR="003A2DDE">
        <w:rPr>
          <w:lang w:val="fr-CA"/>
        </w:rPr>
        <w:t> :</w:t>
      </w:r>
      <w:r w:rsidR="00805846" w:rsidRPr="003A6D24">
        <w:rPr>
          <w:lang w:val="fr-CA"/>
        </w:rPr>
        <w:t xml:space="preserve"> 33280.</w:t>
      </w:r>
    </w:p>
    <w:p w:rsidR="00805846" w:rsidRPr="003A6D24" w:rsidRDefault="009F1BA6" w:rsidP="001211F3">
      <w:pPr>
        <w:spacing w:after="480" w:line="480" w:lineRule="auto"/>
        <w:jc w:val="both"/>
        <w:rPr>
          <w:lang w:val="fr-CA"/>
        </w:rPr>
      </w:pPr>
      <w:r w:rsidRPr="003A6D24">
        <w:rPr>
          <w:lang w:val="fr-CA"/>
        </w:rPr>
        <w:t>2010</w:t>
      </w:r>
      <w:r w:rsidR="003A2DDE">
        <w:rPr>
          <w:lang w:val="fr-CA"/>
        </w:rPr>
        <w:t> :</w:t>
      </w:r>
      <w:r w:rsidRPr="003A6D24">
        <w:rPr>
          <w:lang w:val="fr-CA"/>
        </w:rPr>
        <w:t xml:space="preserve"> 6 </w:t>
      </w:r>
      <w:r w:rsidR="00167770" w:rsidRPr="003A6D24">
        <w:rPr>
          <w:lang w:val="fr-CA"/>
        </w:rPr>
        <w:t>octobre</w:t>
      </w:r>
      <w:r w:rsidR="00805846" w:rsidRPr="003A6D24">
        <w:rPr>
          <w:lang w:val="fr-CA"/>
        </w:rPr>
        <w:t>; 2011</w:t>
      </w:r>
      <w:r w:rsidR="003A2DDE">
        <w:rPr>
          <w:lang w:val="fr-CA"/>
        </w:rPr>
        <w:t> :</w:t>
      </w:r>
      <w:r w:rsidR="00805846" w:rsidRPr="003A6D24">
        <w:rPr>
          <w:lang w:val="fr-CA"/>
        </w:rPr>
        <w:t xml:space="preserve"> </w:t>
      </w:r>
      <w:r w:rsidR="00167770" w:rsidRPr="003A6D24">
        <w:rPr>
          <w:lang w:val="fr-CA"/>
        </w:rPr>
        <w:t>11 mai</w:t>
      </w:r>
      <w:r w:rsidR="00805846" w:rsidRPr="003A6D24">
        <w:rPr>
          <w:lang w:val="fr-CA"/>
        </w:rPr>
        <w:t>.</w:t>
      </w:r>
    </w:p>
    <w:p w:rsidR="00805846" w:rsidRPr="003A6D24" w:rsidRDefault="00805846" w:rsidP="00731213">
      <w:pPr>
        <w:spacing w:after="720"/>
        <w:jc w:val="both"/>
        <w:rPr>
          <w:lang w:val="fr-CA"/>
        </w:rPr>
      </w:pPr>
      <w:r w:rsidRPr="003A6D24">
        <w:rPr>
          <w:lang w:val="fr-CA"/>
        </w:rPr>
        <w:t>Pr</w:t>
      </w:r>
      <w:r w:rsidR="00167770" w:rsidRPr="003A6D24">
        <w:rPr>
          <w:lang w:val="fr-CA"/>
        </w:rPr>
        <w:t>é</w:t>
      </w:r>
      <w:r w:rsidRPr="003A6D24">
        <w:rPr>
          <w:lang w:val="fr-CA"/>
        </w:rPr>
        <w:t>sent</w:t>
      </w:r>
      <w:r w:rsidR="00167770" w:rsidRPr="003A6D24">
        <w:rPr>
          <w:lang w:val="fr-CA"/>
        </w:rPr>
        <w:t>s</w:t>
      </w:r>
      <w:r w:rsidR="003A2DDE">
        <w:rPr>
          <w:lang w:val="fr-CA"/>
        </w:rPr>
        <w:t> :</w:t>
      </w:r>
      <w:r w:rsidRPr="003A6D24">
        <w:rPr>
          <w:lang w:val="fr-CA"/>
        </w:rPr>
        <w:t xml:space="preserve"> </w:t>
      </w:r>
      <w:r w:rsidR="00167770" w:rsidRPr="003A6D24">
        <w:rPr>
          <w:lang w:val="fr-CA"/>
        </w:rPr>
        <w:t xml:space="preserve">La juge en chef </w:t>
      </w:r>
      <w:proofErr w:type="spellStart"/>
      <w:r w:rsidRPr="003A6D24">
        <w:rPr>
          <w:lang w:val="fr-CA"/>
        </w:rPr>
        <w:t>McLachlin</w:t>
      </w:r>
      <w:proofErr w:type="spellEnd"/>
      <w:r w:rsidR="00167770" w:rsidRPr="003A6D24">
        <w:rPr>
          <w:lang w:val="fr-CA"/>
        </w:rPr>
        <w:t xml:space="preserve"> et les juges </w:t>
      </w:r>
      <w:proofErr w:type="spellStart"/>
      <w:r w:rsidRPr="003A6D24">
        <w:rPr>
          <w:lang w:val="fr-CA"/>
        </w:rPr>
        <w:t>Binnie</w:t>
      </w:r>
      <w:proofErr w:type="spellEnd"/>
      <w:r w:rsidRPr="003A6D24">
        <w:rPr>
          <w:lang w:val="fr-CA"/>
        </w:rPr>
        <w:t xml:space="preserve">, </w:t>
      </w:r>
      <w:proofErr w:type="spellStart"/>
      <w:r w:rsidRPr="003A6D24">
        <w:rPr>
          <w:lang w:val="fr-CA"/>
        </w:rPr>
        <w:t>LeBel</w:t>
      </w:r>
      <w:proofErr w:type="spellEnd"/>
      <w:r w:rsidRPr="003A6D24">
        <w:rPr>
          <w:lang w:val="fr-CA"/>
        </w:rPr>
        <w:t xml:space="preserve">, Deschamps, Fish, Abella, Charron, </w:t>
      </w:r>
      <w:proofErr w:type="spellStart"/>
      <w:r w:rsidRPr="003A6D24">
        <w:rPr>
          <w:lang w:val="fr-CA"/>
        </w:rPr>
        <w:t>Rothstein</w:t>
      </w:r>
      <w:proofErr w:type="spellEnd"/>
      <w:r w:rsidRPr="003A6D24">
        <w:rPr>
          <w:lang w:val="fr-CA"/>
        </w:rPr>
        <w:t xml:space="preserve"> </w:t>
      </w:r>
      <w:r w:rsidR="00167770" w:rsidRPr="003A6D24">
        <w:rPr>
          <w:lang w:val="fr-CA"/>
        </w:rPr>
        <w:t>et</w:t>
      </w:r>
      <w:r w:rsidRPr="003A6D24">
        <w:rPr>
          <w:lang w:val="fr-CA"/>
        </w:rPr>
        <w:t xml:space="preserve"> Cromwell.</w:t>
      </w:r>
    </w:p>
    <w:p w:rsidR="00805846" w:rsidRPr="003A6D24" w:rsidRDefault="00167770" w:rsidP="00731213">
      <w:pPr>
        <w:pStyle w:val="SCCLowerCourtNameLowercase"/>
        <w:spacing w:after="720" w:line="240" w:lineRule="auto"/>
        <w:rPr>
          <w:lang w:val="fr-CA"/>
        </w:rPr>
      </w:pPr>
      <w:r w:rsidRPr="003A6D24">
        <w:rPr>
          <w:lang w:val="fr-CA"/>
        </w:rPr>
        <w:lastRenderedPageBreak/>
        <w:t>en appel de la cour d</w:t>
      </w:r>
      <w:r w:rsidR="00C50E02">
        <w:rPr>
          <w:lang w:val="fr-CA"/>
        </w:rPr>
        <w:t>’</w:t>
      </w:r>
      <w:r w:rsidRPr="003A6D24">
        <w:rPr>
          <w:lang w:val="fr-CA"/>
        </w:rPr>
        <w:t xml:space="preserve">appel de la </w:t>
      </w:r>
      <w:proofErr w:type="spellStart"/>
      <w:r w:rsidRPr="003A6D24">
        <w:rPr>
          <w:lang w:val="fr-CA"/>
        </w:rPr>
        <w:t>colombie</w:t>
      </w:r>
      <w:r w:rsidR="003A2DDE">
        <w:rPr>
          <w:lang w:val="fr-CA"/>
        </w:rPr>
        <w:noBreakHyphen/>
      </w:r>
      <w:r w:rsidRPr="003A6D24">
        <w:rPr>
          <w:lang w:val="fr-CA"/>
        </w:rPr>
        <w:t>britannique</w:t>
      </w:r>
      <w:proofErr w:type="spellEnd"/>
    </w:p>
    <w:p w:rsidR="002653BF" w:rsidRPr="00C663CD" w:rsidRDefault="007563AB" w:rsidP="001211F3">
      <w:pPr>
        <w:pStyle w:val="SCCNormalDoubleSpacing"/>
        <w:spacing w:after="480"/>
        <w:rPr>
          <w:i/>
          <w:lang w:val="fr-CA"/>
        </w:rPr>
      </w:pPr>
      <w:r w:rsidRPr="00C663CD">
        <w:rPr>
          <w:i/>
          <w:lang w:val="fr-CA"/>
        </w:rPr>
        <w:tab/>
      </w:r>
      <w:r w:rsidR="001964B0" w:rsidRPr="00C663CD">
        <w:rPr>
          <w:i/>
          <w:lang w:val="fr-CA"/>
        </w:rPr>
        <w:t>Droit commercial</w:t>
      </w:r>
      <w:r w:rsidR="00F828FD" w:rsidRPr="00C663CD">
        <w:rPr>
          <w:i/>
          <w:lang w:val="fr-CA"/>
        </w:rPr>
        <w:t xml:space="preserve"> </w:t>
      </w:r>
      <w:r w:rsidR="00781DC2" w:rsidRPr="00C663CD">
        <w:rPr>
          <w:i/>
          <w:lang w:val="fr-CA"/>
        </w:rPr>
        <w:t>—</w:t>
      </w:r>
      <w:r w:rsidR="00F828FD" w:rsidRPr="00C663CD">
        <w:rPr>
          <w:i/>
          <w:lang w:val="fr-CA"/>
        </w:rPr>
        <w:t xml:space="preserve"> </w:t>
      </w:r>
      <w:r w:rsidR="001964B0" w:rsidRPr="00C663CD">
        <w:rPr>
          <w:i/>
          <w:lang w:val="fr-CA"/>
        </w:rPr>
        <w:t>Biens</w:t>
      </w:r>
      <w:r w:rsidR="00F828FD" w:rsidRPr="00C663CD">
        <w:rPr>
          <w:i/>
          <w:lang w:val="fr-CA"/>
        </w:rPr>
        <w:t xml:space="preserve"> </w:t>
      </w:r>
      <w:r w:rsidR="00781DC2" w:rsidRPr="00C663CD">
        <w:rPr>
          <w:i/>
          <w:lang w:val="fr-CA"/>
        </w:rPr>
        <w:t xml:space="preserve">— </w:t>
      </w:r>
      <w:r w:rsidR="00F013C2" w:rsidRPr="00C663CD">
        <w:rPr>
          <w:i/>
          <w:lang w:val="fr-CA"/>
        </w:rPr>
        <w:t>Communication de renseignements</w:t>
      </w:r>
      <w:r w:rsidR="00F828FD" w:rsidRPr="00C663CD">
        <w:rPr>
          <w:i/>
          <w:lang w:val="fr-CA"/>
        </w:rPr>
        <w:t xml:space="preserve"> </w:t>
      </w:r>
      <w:r w:rsidR="00781DC2" w:rsidRPr="00C663CD">
        <w:rPr>
          <w:i/>
          <w:lang w:val="fr-CA"/>
        </w:rPr>
        <w:t xml:space="preserve">— </w:t>
      </w:r>
      <w:r w:rsidR="00836E05" w:rsidRPr="00C663CD">
        <w:rPr>
          <w:i/>
          <w:lang w:val="fr-CA"/>
        </w:rPr>
        <w:t xml:space="preserve">Société </w:t>
      </w:r>
      <w:r w:rsidR="00772E70" w:rsidRPr="00C663CD">
        <w:rPr>
          <w:i/>
          <w:lang w:val="fr-CA"/>
        </w:rPr>
        <w:t>qui</w:t>
      </w:r>
      <w:r w:rsidR="00836E05" w:rsidRPr="00C663CD">
        <w:rPr>
          <w:i/>
          <w:lang w:val="fr-CA"/>
        </w:rPr>
        <w:t xml:space="preserve"> développ</w:t>
      </w:r>
      <w:r w:rsidR="00772E70" w:rsidRPr="00C663CD">
        <w:rPr>
          <w:i/>
          <w:lang w:val="fr-CA"/>
        </w:rPr>
        <w:t>e</w:t>
      </w:r>
      <w:r w:rsidR="00836E05" w:rsidRPr="00C663CD">
        <w:rPr>
          <w:i/>
          <w:lang w:val="fr-CA"/>
        </w:rPr>
        <w:t xml:space="preserve"> </w:t>
      </w:r>
      <w:r w:rsidR="00772E70" w:rsidRPr="00C663CD">
        <w:rPr>
          <w:i/>
          <w:lang w:val="fr-CA"/>
        </w:rPr>
        <w:t>puis</w:t>
      </w:r>
      <w:r w:rsidR="00836E05" w:rsidRPr="00C663CD">
        <w:rPr>
          <w:i/>
          <w:lang w:val="fr-CA"/>
        </w:rPr>
        <w:t xml:space="preserve"> exploite deux hôtels sur le même terrain</w:t>
      </w:r>
      <w:r w:rsidR="00F828FD" w:rsidRPr="00C663CD">
        <w:rPr>
          <w:i/>
          <w:lang w:val="fr-CA"/>
        </w:rPr>
        <w:t xml:space="preserve"> </w:t>
      </w:r>
      <w:r w:rsidR="00781DC2" w:rsidRPr="00C663CD">
        <w:rPr>
          <w:i/>
          <w:lang w:val="fr-CA"/>
        </w:rPr>
        <w:t xml:space="preserve">— </w:t>
      </w:r>
      <w:r w:rsidR="00772E70" w:rsidRPr="00C663CD">
        <w:rPr>
          <w:i/>
          <w:lang w:val="fr-CA"/>
        </w:rPr>
        <w:t>Les acheteurs</w:t>
      </w:r>
      <w:r w:rsidR="006C4188" w:rsidRPr="00C663CD">
        <w:rPr>
          <w:i/>
          <w:lang w:val="fr-CA"/>
        </w:rPr>
        <w:t xml:space="preserve"> d</w:t>
      </w:r>
      <w:r w:rsidR="00C50E02" w:rsidRPr="00C663CD">
        <w:rPr>
          <w:i/>
          <w:lang w:val="fr-CA"/>
        </w:rPr>
        <w:t>’</w:t>
      </w:r>
      <w:r w:rsidR="006C4188" w:rsidRPr="00C663CD">
        <w:rPr>
          <w:i/>
          <w:lang w:val="fr-CA"/>
        </w:rPr>
        <w:t>unités dans l</w:t>
      </w:r>
      <w:r w:rsidR="00C50E02" w:rsidRPr="00C663CD">
        <w:rPr>
          <w:i/>
          <w:lang w:val="fr-CA"/>
        </w:rPr>
        <w:t>’</w:t>
      </w:r>
      <w:r w:rsidR="006C4188" w:rsidRPr="00C663CD">
        <w:rPr>
          <w:i/>
          <w:lang w:val="fr-CA"/>
        </w:rPr>
        <w:t>un et l</w:t>
      </w:r>
      <w:r w:rsidR="00C50E02" w:rsidRPr="00C663CD">
        <w:rPr>
          <w:i/>
          <w:lang w:val="fr-CA"/>
        </w:rPr>
        <w:t>’</w:t>
      </w:r>
      <w:r w:rsidR="006C4188" w:rsidRPr="00C663CD">
        <w:rPr>
          <w:i/>
          <w:lang w:val="fr-CA"/>
        </w:rPr>
        <w:t>autre hôtel conclu</w:t>
      </w:r>
      <w:r w:rsidR="00772E70" w:rsidRPr="00C663CD">
        <w:rPr>
          <w:i/>
          <w:lang w:val="fr-CA"/>
        </w:rPr>
        <w:t>ent</w:t>
      </w:r>
      <w:r w:rsidR="006C4188" w:rsidRPr="00C663CD">
        <w:rPr>
          <w:i/>
          <w:lang w:val="fr-CA"/>
        </w:rPr>
        <w:t xml:space="preserve"> avec le promoteur des ententes distinctes</w:t>
      </w:r>
      <w:r w:rsidR="00390B63" w:rsidRPr="00C663CD">
        <w:rPr>
          <w:i/>
          <w:lang w:val="fr-CA"/>
        </w:rPr>
        <w:t xml:space="preserve"> </w:t>
      </w:r>
      <w:r w:rsidR="00781DC2" w:rsidRPr="00C663CD">
        <w:rPr>
          <w:i/>
          <w:lang w:val="fr-CA"/>
        </w:rPr>
        <w:t xml:space="preserve">— </w:t>
      </w:r>
      <w:r w:rsidR="00EF440B" w:rsidRPr="00C663CD">
        <w:rPr>
          <w:i/>
          <w:lang w:val="fr-CA"/>
        </w:rPr>
        <w:t>Les a</w:t>
      </w:r>
      <w:r w:rsidR="00B1353D" w:rsidRPr="00C663CD">
        <w:rPr>
          <w:i/>
          <w:lang w:val="fr-CA"/>
        </w:rPr>
        <w:t>cheteurs</w:t>
      </w:r>
      <w:r w:rsidR="004733E2" w:rsidRPr="00C663CD">
        <w:rPr>
          <w:i/>
          <w:lang w:val="fr-CA"/>
        </w:rPr>
        <w:t xml:space="preserve"> d</w:t>
      </w:r>
      <w:r w:rsidR="00C50E02" w:rsidRPr="00C663CD">
        <w:rPr>
          <w:i/>
          <w:lang w:val="fr-CA"/>
        </w:rPr>
        <w:t>’</w:t>
      </w:r>
      <w:r w:rsidR="004733E2" w:rsidRPr="00C663CD">
        <w:rPr>
          <w:i/>
          <w:lang w:val="fr-CA"/>
        </w:rPr>
        <w:t xml:space="preserve">unités dans le </w:t>
      </w:r>
      <w:r w:rsidR="00390B63" w:rsidRPr="00C663CD">
        <w:rPr>
          <w:i/>
          <w:lang w:val="fr-CA"/>
        </w:rPr>
        <w:t xml:space="preserve">Hilton </w:t>
      </w:r>
      <w:r w:rsidR="004733E2" w:rsidRPr="00C663CD">
        <w:rPr>
          <w:i/>
          <w:lang w:val="fr-CA"/>
        </w:rPr>
        <w:t>n</w:t>
      </w:r>
      <w:r w:rsidR="00EF440B" w:rsidRPr="00C663CD">
        <w:rPr>
          <w:i/>
          <w:lang w:val="fr-CA"/>
        </w:rPr>
        <w:t>e sont pas</w:t>
      </w:r>
      <w:r w:rsidR="004733E2" w:rsidRPr="00C663CD">
        <w:rPr>
          <w:i/>
          <w:lang w:val="fr-CA"/>
        </w:rPr>
        <w:t xml:space="preserve"> informés des différences entre les ententes financières conclues avec eux et celles offertes aux ac</w:t>
      </w:r>
      <w:r w:rsidR="00B1353D" w:rsidRPr="00C663CD">
        <w:rPr>
          <w:i/>
          <w:lang w:val="fr-CA"/>
        </w:rPr>
        <w:t>heteurs</w:t>
      </w:r>
      <w:r w:rsidR="004733E2" w:rsidRPr="00C663CD">
        <w:rPr>
          <w:i/>
          <w:lang w:val="fr-CA"/>
        </w:rPr>
        <w:t xml:space="preserve"> d</w:t>
      </w:r>
      <w:r w:rsidR="00C50E02" w:rsidRPr="00C663CD">
        <w:rPr>
          <w:i/>
          <w:lang w:val="fr-CA"/>
        </w:rPr>
        <w:t>’</w:t>
      </w:r>
      <w:r w:rsidR="004733E2" w:rsidRPr="00C663CD">
        <w:rPr>
          <w:i/>
          <w:lang w:val="fr-CA"/>
        </w:rPr>
        <w:t>unités dans le Marriott</w:t>
      </w:r>
      <w:r w:rsidR="00390B63" w:rsidRPr="00C663CD">
        <w:rPr>
          <w:i/>
          <w:lang w:val="fr-CA"/>
        </w:rPr>
        <w:t xml:space="preserve"> </w:t>
      </w:r>
      <w:r w:rsidR="00781DC2" w:rsidRPr="00C663CD">
        <w:rPr>
          <w:i/>
          <w:lang w:val="fr-CA"/>
        </w:rPr>
        <w:t xml:space="preserve">— </w:t>
      </w:r>
      <w:r w:rsidR="00B1353D" w:rsidRPr="00C663CD">
        <w:rPr>
          <w:i/>
          <w:lang w:val="fr-CA"/>
        </w:rPr>
        <w:t>Le</w:t>
      </w:r>
      <w:r w:rsidR="009C42BC" w:rsidRPr="00C663CD">
        <w:rPr>
          <w:i/>
          <w:lang w:val="fr-CA"/>
        </w:rPr>
        <w:t xml:space="preserve"> Hilton n</w:t>
      </w:r>
      <w:r w:rsidR="00B1353D" w:rsidRPr="00C663CD">
        <w:rPr>
          <w:i/>
          <w:lang w:val="fr-CA"/>
        </w:rPr>
        <w:t>e connaît</w:t>
      </w:r>
      <w:r w:rsidR="009C42BC" w:rsidRPr="00C663CD">
        <w:rPr>
          <w:i/>
          <w:lang w:val="fr-CA"/>
        </w:rPr>
        <w:t xml:space="preserve"> pas</w:t>
      </w:r>
      <w:r w:rsidR="00B1353D" w:rsidRPr="00C663CD">
        <w:rPr>
          <w:i/>
          <w:lang w:val="fr-CA"/>
        </w:rPr>
        <w:t xml:space="preserve"> </w:t>
      </w:r>
      <w:r w:rsidR="009C42BC" w:rsidRPr="00C663CD">
        <w:rPr>
          <w:i/>
          <w:lang w:val="fr-CA"/>
        </w:rPr>
        <w:t xml:space="preserve">le succès </w:t>
      </w:r>
      <w:r w:rsidR="00D45FDD" w:rsidRPr="00C663CD">
        <w:rPr>
          <w:i/>
          <w:lang w:val="fr-CA"/>
        </w:rPr>
        <w:t xml:space="preserve">anticipé </w:t>
      </w:r>
      <w:r w:rsidR="009C42BC" w:rsidRPr="00C663CD">
        <w:rPr>
          <w:i/>
          <w:lang w:val="fr-CA"/>
        </w:rPr>
        <w:t xml:space="preserve">et </w:t>
      </w:r>
      <w:r w:rsidR="00B1353D" w:rsidRPr="00C663CD">
        <w:rPr>
          <w:i/>
          <w:lang w:val="fr-CA"/>
        </w:rPr>
        <w:t>s</w:t>
      </w:r>
      <w:r w:rsidR="009C42BC" w:rsidRPr="00C663CD">
        <w:rPr>
          <w:i/>
          <w:lang w:val="fr-CA"/>
        </w:rPr>
        <w:t>es propriétaires subi</w:t>
      </w:r>
      <w:r w:rsidR="00B1353D" w:rsidRPr="00C663CD">
        <w:rPr>
          <w:i/>
          <w:lang w:val="fr-CA"/>
        </w:rPr>
        <w:t>ssent</w:t>
      </w:r>
      <w:r w:rsidR="009C42BC" w:rsidRPr="00C663CD">
        <w:rPr>
          <w:i/>
          <w:lang w:val="fr-CA"/>
        </w:rPr>
        <w:t xml:space="preserve"> des pertes</w:t>
      </w:r>
      <w:r w:rsidR="00784FE8" w:rsidRPr="00C663CD">
        <w:rPr>
          <w:i/>
          <w:lang w:val="fr-CA"/>
        </w:rPr>
        <w:t xml:space="preserve"> </w:t>
      </w:r>
      <w:r w:rsidR="00781DC2" w:rsidRPr="00C663CD">
        <w:rPr>
          <w:i/>
          <w:lang w:val="fr-CA"/>
        </w:rPr>
        <w:t xml:space="preserve">— </w:t>
      </w:r>
      <w:r w:rsidR="00633ECB" w:rsidRPr="00C663CD">
        <w:rPr>
          <w:i/>
          <w:lang w:val="fr-CA"/>
        </w:rPr>
        <w:t>L</w:t>
      </w:r>
      <w:r w:rsidR="00B1353D" w:rsidRPr="00C663CD">
        <w:rPr>
          <w:i/>
          <w:lang w:val="fr-CA"/>
        </w:rPr>
        <w:t>a responsabilité du</w:t>
      </w:r>
      <w:r w:rsidR="002B0361" w:rsidRPr="00C663CD">
        <w:rPr>
          <w:i/>
          <w:lang w:val="fr-CA"/>
        </w:rPr>
        <w:t xml:space="preserve"> </w:t>
      </w:r>
      <w:r w:rsidR="00633ECB" w:rsidRPr="00C663CD">
        <w:rPr>
          <w:i/>
          <w:lang w:val="fr-CA"/>
        </w:rPr>
        <w:t xml:space="preserve">promoteur </w:t>
      </w:r>
      <w:proofErr w:type="spellStart"/>
      <w:r w:rsidR="00B1353D" w:rsidRPr="00C663CD">
        <w:rPr>
          <w:i/>
          <w:lang w:val="fr-CA"/>
        </w:rPr>
        <w:t>est</w:t>
      </w:r>
      <w:r w:rsidR="003A2DDE" w:rsidRPr="00C663CD">
        <w:rPr>
          <w:i/>
          <w:lang w:val="fr-CA"/>
        </w:rPr>
        <w:noBreakHyphen/>
      </w:r>
      <w:r w:rsidR="00B1353D" w:rsidRPr="00C663CD">
        <w:rPr>
          <w:i/>
          <w:lang w:val="fr-CA"/>
        </w:rPr>
        <w:t>e</w:t>
      </w:r>
      <w:r w:rsidR="00344FBC" w:rsidRPr="00C663CD">
        <w:rPr>
          <w:i/>
          <w:lang w:val="fr-CA"/>
        </w:rPr>
        <w:t>l</w:t>
      </w:r>
      <w:r w:rsidR="00B1353D" w:rsidRPr="00C663CD">
        <w:rPr>
          <w:i/>
          <w:lang w:val="fr-CA"/>
        </w:rPr>
        <w:t>le</w:t>
      </w:r>
      <w:proofErr w:type="spellEnd"/>
      <w:r w:rsidR="00B1353D" w:rsidRPr="00C663CD">
        <w:rPr>
          <w:i/>
          <w:lang w:val="fr-CA"/>
        </w:rPr>
        <w:t xml:space="preserve"> engagée</w:t>
      </w:r>
      <w:r w:rsidR="00344FBC" w:rsidRPr="00C663CD">
        <w:rPr>
          <w:i/>
          <w:lang w:val="fr-CA"/>
        </w:rPr>
        <w:t xml:space="preserve"> </w:t>
      </w:r>
      <w:r w:rsidR="00B1353D" w:rsidRPr="00C663CD">
        <w:rPr>
          <w:i/>
          <w:lang w:val="fr-CA"/>
        </w:rPr>
        <w:t xml:space="preserve">sous le régime de la </w:t>
      </w:r>
      <w:r w:rsidR="00633ECB" w:rsidRPr="00C663CD">
        <w:rPr>
          <w:i/>
          <w:lang w:val="fr-CA"/>
        </w:rPr>
        <w:t xml:space="preserve">Real </w:t>
      </w:r>
      <w:proofErr w:type="spellStart"/>
      <w:r w:rsidR="00633ECB" w:rsidRPr="00C663CD">
        <w:rPr>
          <w:i/>
          <w:lang w:val="fr-CA"/>
        </w:rPr>
        <w:t>Estate</w:t>
      </w:r>
      <w:proofErr w:type="spellEnd"/>
      <w:r w:rsidR="00633ECB" w:rsidRPr="00C663CD">
        <w:rPr>
          <w:i/>
          <w:lang w:val="fr-CA"/>
        </w:rPr>
        <w:t xml:space="preserve"> </w:t>
      </w:r>
      <w:proofErr w:type="spellStart"/>
      <w:r w:rsidR="00633ECB" w:rsidRPr="00C663CD">
        <w:rPr>
          <w:i/>
          <w:lang w:val="fr-CA"/>
        </w:rPr>
        <w:t>Act</w:t>
      </w:r>
      <w:proofErr w:type="spellEnd"/>
      <w:r w:rsidR="00633ECB" w:rsidRPr="00C663CD">
        <w:rPr>
          <w:i/>
          <w:lang w:val="fr-CA"/>
        </w:rPr>
        <w:t xml:space="preserve"> de la C.</w:t>
      </w:r>
      <w:r w:rsidR="003A2DDE" w:rsidRPr="00C663CD">
        <w:rPr>
          <w:i/>
          <w:lang w:val="fr-CA"/>
        </w:rPr>
        <w:noBreakHyphen/>
      </w:r>
      <w:r w:rsidR="00633ECB" w:rsidRPr="00C663CD">
        <w:rPr>
          <w:i/>
          <w:lang w:val="fr-CA"/>
        </w:rPr>
        <w:t xml:space="preserve">B. </w:t>
      </w:r>
      <w:r w:rsidR="002B0361" w:rsidRPr="00C663CD">
        <w:rPr>
          <w:i/>
          <w:lang w:val="fr-CA"/>
        </w:rPr>
        <w:t>au motif qu</w:t>
      </w:r>
      <w:r w:rsidR="00C50E02" w:rsidRPr="00C663CD">
        <w:rPr>
          <w:i/>
          <w:lang w:val="fr-CA"/>
        </w:rPr>
        <w:t>’</w:t>
      </w:r>
      <w:r w:rsidR="002B0361" w:rsidRPr="00C663CD">
        <w:rPr>
          <w:i/>
          <w:lang w:val="fr-CA"/>
        </w:rPr>
        <w:t>il aurait fait des dé</w:t>
      </w:r>
      <w:r w:rsidR="00633ECB" w:rsidRPr="00C663CD">
        <w:rPr>
          <w:i/>
          <w:lang w:val="fr-CA"/>
        </w:rPr>
        <w:t>clarations erronées sur des points importants?</w:t>
      </w:r>
      <w:r w:rsidR="009F7F33" w:rsidRPr="00C663CD">
        <w:rPr>
          <w:i/>
          <w:lang w:val="fr-CA"/>
        </w:rPr>
        <w:t xml:space="preserve"> </w:t>
      </w:r>
      <w:r w:rsidR="00781DC2" w:rsidRPr="00C663CD">
        <w:rPr>
          <w:i/>
          <w:lang w:val="fr-CA"/>
        </w:rPr>
        <w:t xml:space="preserve">— </w:t>
      </w:r>
      <w:r w:rsidR="00C439A3" w:rsidRPr="00C663CD">
        <w:rPr>
          <w:i/>
          <w:lang w:val="fr-CA"/>
        </w:rPr>
        <w:t>Le p</w:t>
      </w:r>
      <w:r w:rsidR="00633ECB" w:rsidRPr="00C663CD">
        <w:rPr>
          <w:i/>
          <w:lang w:val="fr-CA"/>
        </w:rPr>
        <w:t xml:space="preserve">romoteur </w:t>
      </w:r>
      <w:proofErr w:type="spellStart"/>
      <w:r w:rsidR="00633ECB" w:rsidRPr="00C663CD">
        <w:rPr>
          <w:i/>
          <w:lang w:val="fr-CA"/>
        </w:rPr>
        <w:t>peut</w:t>
      </w:r>
      <w:r w:rsidR="003A2DDE" w:rsidRPr="00C663CD">
        <w:rPr>
          <w:i/>
          <w:lang w:val="fr-CA"/>
        </w:rPr>
        <w:noBreakHyphen/>
      </w:r>
      <w:r w:rsidR="00633ECB" w:rsidRPr="00C663CD">
        <w:rPr>
          <w:i/>
          <w:lang w:val="fr-CA"/>
        </w:rPr>
        <w:t>il</w:t>
      </w:r>
      <w:proofErr w:type="spellEnd"/>
      <w:r w:rsidR="00633ECB" w:rsidRPr="00C663CD">
        <w:rPr>
          <w:i/>
          <w:lang w:val="fr-CA"/>
        </w:rPr>
        <w:t xml:space="preserve"> se prévaloir du moyen de défense prévu par la </w:t>
      </w:r>
      <w:r w:rsidR="00291746" w:rsidRPr="00C663CD">
        <w:rPr>
          <w:i/>
          <w:lang w:val="fr-CA"/>
        </w:rPr>
        <w:t xml:space="preserve">Real </w:t>
      </w:r>
      <w:proofErr w:type="spellStart"/>
      <w:r w:rsidR="00291746" w:rsidRPr="00C663CD">
        <w:rPr>
          <w:i/>
          <w:lang w:val="fr-CA"/>
        </w:rPr>
        <w:t>Estate</w:t>
      </w:r>
      <w:proofErr w:type="spellEnd"/>
      <w:r w:rsidR="00291746" w:rsidRPr="00C663CD">
        <w:rPr>
          <w:i/>
          <w:lang w:val="fr-CA"/>
        </w:rPr>
        <w:t xml:space="preserve"> </w:t>
      </w:r>
      <w:proofErr w:type="spellStart"/>
      <w:r w:rsidR="00291746" w:rsidRPr="00C663CD">
        <w:rPr>
          <w:i/>
          <w:lang w:val="fr-CA"/>
        </w:rPr>
        <w:t>Act</w:t>
      </w:r>
      <w:proofErr w:type="spellEnd"/>
      <w:r w:rsidR="00633ECB" w:rsidRPr="00C663CD">
        <w:rPr>
          <w:i/>
          <w:lang w:val="fr-CA"/>
        </w:rPr>
        <w:t>?</w:t>
      </w:r>
      <w:r w:rsidR="002C00A5" w:rsidRPr="00C663CD">
        <w:rPr>
          <w:i/>
          <w:lang w:val="fr-CA"/>
        </w:rPr>
        <w:t xml:space="preserve"> </w:t>
      </w:r>
      <w:r w:rsidR="00781DC2" w:rsidRPr="00C663CD">
        <w:rPr>
          <w:i/>
          <w:lang w:val="fr-CA"/>
        </w:rPr>
        <w:t xml:space="preserve">— </w:t>
      </w:r>
      <w:r w:rsidR="00291746" w:rsidRPr="00C663CD">
        <w:rPr>
          <w:i/>
          <w:lang w:val="fr-CA"/>
        </w:rPr>
        <w:t xml:space="preserve">La présomption prévue par la Real </w:t>
      </w:r>
      <w:proofErr w:type="spellStart"/>
      <w:r w:rsidR="00291746" w:rsidRPr="00C663CD">
        <w:rPr>
          <w:i/>
          <w:lang w:val="fr-CA"/>
        </w:rPr>
        <w:t>Estate</w:t>
      </w:r>
      <w:proofErr w:type="spellEnd"/>
      <w:r w:rsidR="00291746" w:rsidRPr="00C663CD">
        <w:rPr>
          <w:i/>
          <w:lang w:val="fr-CA"/>
        </w:rPr>
        <w:t xml:space="preserve"> </w:t>
      </w:r>
      <w:proofErr w:type="spellStart"/>
      <w:r w:rsidR="00291746" w:rsidRPr="00C663CD">
        <w:rPr>
          <w:i/>
          <w:lang w:val="fr-CA"/>
        </w:rPr>
        <w:t>Act</w:t>
      </w:r>
      <w:proofErr w:type="spellEnd"/>
      <w:r w:rsidR="00291746" w:rsidRPr="00C663CD">
        <w:rPr>
          <w:i/>
          <w:lang w:val="fr-CA"/>
        </w:rPr>
        <w:t xml:space="preserve"> selon laquelle les investisseurs sont réputés s</w:t>
      </w:r>
      <w:r w:rsidR="00C50E02" w:rsidRPr="00C663CD">
        <w:rPr>
          <w:i/>
          <w:lang w:val="fr-CA"/>
        </w:rPr>
        <w:t>’</w:t>
      </w:r>
      <w:r w:rsidR="00291746" w:rsidRPr="00C663CD">
        <w:rPr>
          <w:i/>
          <w:lang w:val="fr-CA"/>
        </w:rPr>
        <w:t xml:space="preserve">être fiés à ce qui leur a été présenté </w:t>
      </w:r>
      <w:proofErr w:type="spellStart"/>
      <w:r w:rsidR="00291746" w:rsidRPr="00C663CD">
        <w:rPr>
          <w:i/>
          <w:lang w:val="fr-CA"/>
        </w:rPr>
        <w:t>est</w:t>
      </w:r>
      <w:r w:rsidR="003A2DDE" w:rsidRPr="00C663CD">
        <w:rPr>
          <w:i/>
          <w:lang w:val="fr-CA"/>
        </w:rPr>
        <w:noBreakHyphen/>
      </w:r>
      <w:r w:rsidR="00291746" w:rsidRPr="00C663CD">
        <w:rPr>
          <w:i/>
          <w:lang w:val="fr-CA"/>
        </w:rPr>
        <w:t>elle</w:t>
      </w:r>
      <w:proofErr w:type="spellEnd"/>
      <w:r w:rsidR="00291746" w:rsidRPr="00C663CD">
        <w:rPr>
          <w:i/>
          <w:lang w:val="fr-CA"/>
        </w:rPr>
        <w:t xml:space="preserve"> réfutable?</w:t>
      </w:r>
      <w:r w:rsidR="009F7F33" w:rsidRPr="00C663CD">
        <w:rPr>
          <w:i/>
          <w:lang w:val="fr-CA"/>
        </w:rPr>
        <w:t xml:space="preserve"> </w:t>
      </w:r>
      <w:r w:rsidR="00781DC2" w:rsidRPr="00C663CD">
        <w:rPr>
          <w:i/>
          <w:lang w:val="fr-CA"/>
        </w:rPr>
        <w:t xml:space="preserve">— </w:t>
      </w:r>
      <w:r w:rsidR="009F7F33" w:rsidRPr="00C663CD">
        <w:rPr>
          <w:i/>
          <w:lang w:val="fr-CA"/>
        </w:rPr>
        <w:t xml:space="preserve">Real </w:t>
      </w:r>
      <w:proofErr w:type="spellStart"/>
      <w:r w:rsidR="009F7F33" w:rsidRPr="00C663CD">
        <w:rPr>
          <w:i/>
          <w:lang w:val="fr-CA"/>
        </w:rPr>
        <w:t>Estate</w:t>
      </w:r>
      <w:proofErr w:type="spellEnd"/>
      <w:r w:rsidR="009F7F33" w:rsidRPr="00C663CD">
        <w:rPr>
          <w:i/>
          <w:lang w:val="fr-CA"/>
        </w:rPr>
        <w:t xml:space="preserve"> </w:t>
      </w:r>
      <w:proofErr w:type="spellStart"/>
      <w:r w:rsidR="009F7F33" w:rsidRPr="00C663CD">
        <w:rPr>
          <w:i/>
          <w:lang w:val="fr-CA"/>
        </w:rPr>
        <w:t>Act</w:t>
      </w:r>
      <w:proofErr w:type="spellEnd"/>
      <w:r w:rsidR="00C439A3" w:rsidRPr="00C663CD">
        <w:rPr>
          <w:i/>
          <w:lang w:val="fr-CA"/>
        </w:rPr>
        <w:t>,</w:t>
      </w:r>
      <w:r w:rsidR="009F7F33" w:rsidRPr="00C663CD">
        <w:rPr>
          <w:i/>
          <w:lang w:val="fr-CA"/>
        </w:rPr>
        <w:t xml:space="preserve"> R.S.B.C. 1996, </w:t>
      </w:r>
      <w:r w:rsidR="003A2DDE" w:rsidRPr="00C663CD">
        <w:rPr>
          <w:i/>
          <w:lang w:val="fr-CA"/>
        </w:rPr>
        <w:t>ch. </w:t>
      </w:r>
      <w:r w:rsidR="009F7F33" w:rsidRPr="00C663CD">
        <w:rPr>
          <w:i/>
          <w:lang w:val="fr-CA"/>
        </w:rPr>
        <w:t>397</w:t>
      </w:r>
      <w:r w:rsidR="002C00A5" w:rsidRPr="00C663CD">
        <w:rPr>
          <w:i/>
          <w:lang w:val="fr-CA"/>
        </w:rPr>
        <w:t xml:space="preserve">, </w:t>
      </w:r>
      <w:r w:rsidR="003A2DDE" w:rsidRPr="00C663CD">
        <w:rPr>
          <w:i/>
          <w:lang w:val="fr-CA"/>
        </w:rPr>
        <w:t>art. </w:t>
      </w:r>
      <w:r w:rsidR="002C00A5" w:rsidRPr="00C663CD">
        <w:rPr>
          <w:i/>
          <w:lang w:val="fr-CA"/>
        </w:rPr>
        <w:t>75</w:t>
      </w:r>
      <w:r w:rsidR="00781DC2" w:rsidRPr="00C663CD">
        <w:rPr>
          <w:i/>
          <w:lang w:val="fr-CA"/>
        </w:rPr>
        <w:t>.</w:t>
      </w:r>
    </w:p>
    <w:p w:rsidR="002653BF" w:rsidRPr="00C663CD" w:rsidRDefault="007563AB" w:rsidP="001211F3">
      <w:pPr>
        <w:pStyle w:val="SCCNormalDoubleSpacing"/>
        <w:spacing w:after="480"/>
        <w:rPr>
          <w:i/>
          <w:lang w:val="fr-CA"/>
        </w:rPr>
      </w:pPr>
      <w:r w:rsidRPr="00C663CD">
        <w:rPr>
          <w:i/>
          <w:lang w:val="fr-CA"/>
        </w:rPr>
        <w:tab/>
      </w:r>
      <w:r w:rsidR="001C5FD4" w:rsidRPr="00C663CD">
        <w:rPr>
          <w:i/>
          <w:lang w:val="fr-CA"/>
        </w:rPr>
        <w:t>Responsabilité délictuelle</w:t>
      </w:r>
      <w:r w:rsidR="009F7F33" w:rsidRPr="00C663CD">
        <w:rPr>
          <w:i/>
          <w:lang w:val="fr-CA"/>
        </w:rPr>
        <w:t xml:space="preserve"> </w:t>
      </w:r>
      <w:r w:rsidR="00781DC2" w:rsidRPr="00C663CD">
        <w:rPr>
          <w:i/>
          <w:lang w:val="fr-CA"/>
        </w:rPr>
        <w:t xml:space="preserve">— </w:t>
      </w:r>
      <w:r w:rsidR="001C5FD4" w:rsidRPr="00C663CD">
        <w:rPr>
          <w:i/>
          <w:lang w:val="fr-CA"/>
        </w:rPr>
        <w:t>Déclarations inexactes faites par négligence</w:t>
      </w:r>
      <w:r w:rsidR="009F7F33" w:rsidRPr="00C663CD">
        <w:rPr>
          <w:i/>
          <w:lang w:val="fr-CA"/>
        </w:rPr>
        <w:t xml:space="preserve"> </w:t>
      </w:r>
      <w:r w:rsidR="00781DC2" w:rsidRPr="00C663CD">
        <w:rPr>
          <w:i/>
          <w:lang w:val="fr-CA"/>
        </w:rPr>
        <w:t xml:space="preserve">— </w:t>
      </w:r>
      <w:r w:rsidR="00F013C2" w:rsidRPr="00C663CD">
        <w:rPr>
          <w:i/>
          <w:lang w:val="fr-CA"/>
        </w:rPr>
        <w:t>Communication de renseignements</w:t>
      </w:r>
      <w:r w:rsidR="009F7F33" w:rsidRPr="00C663CD">
        <w:rPr>
          <w:i/>
          <w:lang w:val="fr-CA"/>
        </w:rPr>
        <w:t xml:space="preserve"> </w:t>
      </w:r>
      <w:r w:rsidR="00781DC2" w:rsidRPr="00C663CD">
        <w:rPr>
          <w:i/>
          <w:lang w:val="fr-CA"/>
        </w:rPr>
        <w:t xml:space="preserve">— </w:t>
      </w:r>
      <w:r w:rsidR="00D922FF" w:rsidRPr="00C663CD">
        <w:rPr>
          <w:i/>
          <w:lang w:val="fr-CA"/>
        </w:rPr>
        <w:t xml:space="preserve">Société </w:t>
      </w:r>
      <w:r w:rsidR="00772E70" w:rsidRPr="00C663CD">
        <w:rPr>
          <w:i/>
          <w:lang w:val="fr-CA"/>
        </w:rPr>
        <w:t>qui</w:t>
      </w:r>
      <w:r w:rsidR="00D922FF" w:rsidRPr="00C663CD">
        <w:rPr>
          <w:i/>
          <w:lang w:val="fr-CA"/>
        </w:rPr>
        <w:t xml:space="preserve"> développ</w:t>
      </w:r>
      <w:r w:rsidR="00772E70" w:rsidRPr="00C663CD">
        <w:rPr>
          <w:i/>
          <w:lang w:val="fr-CA"/>
        </w:rPr>
        <w:t>e</w:t>
      </w:r>
      <w:r w:rsidR="00D922FF" w:rsidRPr="00C663CD">
        <w:rPr>
          <w:i/>
          <w:lang w:val="fr-CA"/>
        </w:rPr>
        <w:t xml:space="preserve"> </w:t>
      </w:r>
      <w:r w:rsidR="00772E70" w:rsidRPr="00C663CD">
        <w:rPr>
          <w:i/>
          <w:lang w:val="fr-CA"/>
        </w:rPr>
        <w:t>puis</w:t>
      </w:r>
      <w:r w:rsidR="00D922FF" w:rsidRPr="00C663CD">
        <w:rPr>
          <w:i/>
          <w:lang w:val="fr-CA"/>
        </w:rPr>
        <w:t xml:space="preserve"> exploite deux hôtels sur le même terrain</w:t>
      </w:r>
      <w:r w:rsidR="009F7F33" w:rsidRPr="00C663CD">
        <w:rPr>
          <w:i/>
          <w:lang w:val="fr-CA"/>
        </w:rPr>
        <w:t xml:space="preserve"> </w:t>
      </w:r>
      <w:r w:rsidR="00781DC2" w:rsidRPr="00C663CD">
        <w:rPr>
          <w:i/>
          <w:lang w:val="fr-CA"/>
        </w:rPr>
        <w:t xml:space="preserve">— </w:t>
      </w:r>
      <w:r w:rsidR="00772E70" w:rsidRPr="00C663CD">
        <w:rPr>
          <w:i/>
          <w:lang w:val="fr-CA"/>
        </w:rPr>
        <w:t>Les acheteurs d</w:t>
      </w:r>
      <w:r w:rsidR="00C50E02" w:rsidRPr="00C663CD">
        <w:rPr>
          <w:i/>
          <w:lang w:val="fr-CA"/>
        </w:rPr>
        <w:t>’</w:t>
      </w:r>
      <w:r w:rsidR="00772E70" w:rsidRPr="00C663CD">
        <w:rPr>
          <w:i/>
          <w:lang w:val="fr-CA"/>
        </w:rPr>
        <w:t>unités dans l</w:t>
      </w:r>
      <w:r w:rsidR="00C50E02" w:rsidRPr="00C663CD">
        <w:rPr>
          <w:i/>
          <w:lang w:val="fr-CA"/>
        </w:rPr>
        <w:t>’</w:t>
      </w:r>
      <w:r w:rsidR="00772E70" w:rsidRPr="00C663CD">
        <w:rPr>
          <w:i/>
          <w:lang w:val="fr-CA"/>
        </w:rPr>
        <w:t>un et l</w:t>
      </w:r>
      <w:r w:rsidR="00C50E02" w:rsidRPr="00C663CD">
        <w:rPr>
          <w:i/>
          <w:lang w:val="fr-CA"/>
        </w:rPr>
        <w:t>’</w:t>
      </w:r>
      <w:r w:rsidR="00772E70" w:rsidRPr="00C663CD">
        <w:rPr>
          <w:i/>
          <w:lang w:val="fr-CA"/>
        </w:rPr>
        <w:t xml:space="preserve">autre hôtel concluent avec le promoteur des ententes distinctes </w:t>
      </w:r>
      <w:r w:rsidR="00781DC2" w:rsidRPr="00C663CD">
        <w:rPr>
          <w:i/>
          <w:lang w:val="fr-CA"/>
        </w:rPr>
        <w:t xml:space="preserve">— </w:t>
      </w:r>
      <w:r w:rsidR="00EF440B" w:rsidRPr="00C663CD">
        <w:rPr>
          <w:i/>
          <w:lang w:val="fr-CA"/>
        </w:rPr>
        <w:t>Les a</w:t>
      </w:r>
      <w:r w:rsidR="00B1353D" w:rsidRPr="00C663CD">
        <w:rPr>
          <w:i/>
          <w:lang w:val="fr-CA"/>
        </w:rPr>
        <w:t>cheteurs d</w:t>
      </w:r>
      <w:r w:rsidR="00C50E02" w:rsidRPr="00C663CD">
        <w:rPr>
          <w:i/>
          <w:lang w:val="fr-CA"/>
        </w:rPr>
        <w:t>’</w:t>
      </w:r>
      <w:r w:rsidR="00B1353D" w:rsidRPr="00C663CD">
        <w:rPr>
          <w:i/>
          <w:lang w:val="fr-CA"/>
        </w:rPr>
        <w:t>unités dans le Hilton n</w:t>
      </w:r>
      <w:r w:rsidR="00EF440B" w:rsidRPr="00C663CD">
        <w:rPr>
          <w:i/>
          <w:lang w:val="fr-CA"/>
        </w:rPr>
        <w:t>e sont pas</w:t>
      </w:r>
      <w:r w:rsidR="00B1353D" w:rsidRPr="00C663CD">
        <w:rPr>
          <w:i/>
          <w:lang w:val="fr-CA"/>
        </w:rPr>
        <w:t xml:space="preserve"> informés des différences entre les ententes financières conclues avec eux et celles offertes aux acheteurs d</w:t>
      </w:r>
      <w:r w:rsidR="00C50E02" w:rsidRPr="00C663CD">
        <w:rPr>
          <w:i/>
          <w:lang w:val="fr-CA"/>
        </w:rPr>
        <w:t>’</w:t>
      </w:r>
      <w:r w:rsidR="00B1353D" w:rsidRPr="00C663CD">
        <w:rPr>
          <w:i/>
          <w:lang w:val="fr-CA"/>
        </w:rPr>
        <w:t xml:space="preserve">unités dans le Marriott </w:t>
      </w:r>
      <w:r w:rsidR="00781DC2" w:rsidRPr="00C663CD">
        <w:rPr>
          <w:i/>
          <w:lang w:val="fr-CA"/>
        </w:rPr>
        <w:t xml:space="preserve">— </w:t>
      </w:r>
      <w:r w:rsidR="00B1353D" w:rsidRPr="00C663CD">
        <w:rPr>
          <w:i/>
          <w:lang w:val="fr-CA"/>
        </w:rPr>
        <w:t>Le Hilton ne connaît pas le succès anticipé et ses propriétaires subissent des pertes</w:t>
      </w:r>
      <w:r w:rsidR="009F7F33" w:rsidRPr="00C663CD">
        <w:rPr>
          <w:i/>
          <w:lang w:val="fr-CA"/>
        </w:rPr>
        <w:t xml:space="preserve"> </w:t>
      </w:r>
      <w:r w:rsidR="00781DC2" w:rsidRPr="00C663CD">
        <w:rPr>
          <w:i/>
          <w:lang w:val="fr-CA"/>
        </w:rPr>
        <w:t xml:space="preserve">— </w:t>
      </w:r>
      <w:r w:rsidR="002E5835" w:rsidRPr="00C663CD">
        <w:rPr>
          <w:i/>
          <w:lang w:val="fr-CA"/>
        </w:rPr>
        <w:t xml:space="preserve">Le </w:t>
      </w:r>
      <w:r w:rsidR="002E5835" w:rsidRPr="00C663CD">
        <w:rPr>
          <w:i/>
          <w:lang w:val="fr-CA"/>
        </w:rPr>
        <w:lastRenderedPageBreak/>
        <w:t xml:space="preserve">promoteur </w:t>
      </w:r>
      <w:proofErr w:type="spellStart"/>
      <w:r w:rsidR="002E5835" w:rsidRPr="00C663CD">
        <w:rPr>
          <w:i/>
          <w:lang w:val="fr-CA"/>
        </w:rPr>
        <w:t>est</w:t>
      </w:r>
      <w:r w:rsidR="003A2DDE" w:rsidRPr="00C663CD">
        <w:rPr>
          <w:i/>
          <w:lang w:val="fr-CA"/>
        </w:rPr>
        <w:noBreakHyphen/>
      </w:r>
      <w:r w:rsidR="002E5835" w:rsidRPr="00C663CD">
        <w:rPr>
          <w:i/>
          <w:lang w:val="fr-CA"/>
        </w:rPr>
        <w:t>il</w:t>
      </w:r>
      <w:proofErr w:type="spellEnd"/>
      <w:r w:rsidR="002E5835" w:rsidRPr="00C663CD">
        <w:rPr>
          <w:i/>
          <w:lang w:val="fr-CA"/>
        </w:rPr>
        <w:t xml:space="preserve"> responsable en </w:t>
      </w:r>
      <w:proofErr w:type="spellStart"/>
      <w:r w:rsidR="002E5835" w:rsidRPr="00C663CD">
        <w:rPr>
          <w:i/>
          <w:lang w:val="fr-CA"/>
        </w:rPr>
        <w:t>common</w:t>
      </w:r>
      <w:proofErr w:type="spellEnd"/>
      <w:r w:rsidR="002E5835" w:rsidRPr="00C663CD">
        <w:rPr>
          <w:i/>
          <w:lang w:val="fr-CA"/>
        </w:rPr>
        <w:t xml:space="preserve"> </w:t>
      </w:r>
      <w:proofErr w:type="spellStart"/>
      <w:r w:rsidR="002E5835" w:rsidRPr="00C663CD">
        <w:rPr>
          <w:i/>
          <w:lang w:val="fr-CA"/>
        </w:rPr>
        <w:t>law</w:t>
      </w:r>
      <w:proofErr w:type="spellEnd"/>
      <w:r w:rsidR="002E5835" w:rsidRPr="00C663CD">
        <w:rPr>
          <w:i/>
          <w:lang w:val="fr-CA"/>
        </w:rPr>
        <w:t xml:space="preserve"> pour avoir fait par négligence des déclarations inexactes?</w:t>
      </w:r>
    </w:p>
    <w:p w:rsidR="002653BF" w:rsidRPr="00C663CD" w:rsidRDefault="007563AB" w:rsidP="001211F3">
      <w:pPr>
        <w:pStyle w:val="SCCNormalDoubleSpacing"/>
        <w:spacing w:after="480"/>
        <w:rPr>
          <w:lang w:val="fr-CA"/>
        </w:rPr>
      </w:pPr>
      <w:r w:rsidRPr="00C663CD">
        <w:rPr>
          <w:i/>
          <w:lang w:val="fr-CA"/>
        </w:rPr>
        <w:tab/>
      </w:r>
      <w:r w:rsidR="002E5835" w:rsidRPr="00C663CD">
        <w:rPr>
          <w:i/>
          <w:lang w:val="fr-CA"/>
        </w:rPr>
        <w:t>Obligation fiducia</w:t>
      </w:r>
      <w:r w:rsidR="003A2075" w:rsidRPr="00C663CD">
        <w:rPr>
          <w:i/>
          <w:lang w:val="fr-CA"/>
        </w:rPr>
        <w:t>ir</w:t>
      </w:r>
      <w:r w:rsidR="002E5835" w:rsidRPr="00C663CD">
        <w:rPr>
          <w:i/>
          <w:lang w:val="fr-CA"/>
        </w:rPr>
        <w:t>e</w:t>
      </w:r>
      <w:r w:rsidR="009F7F33" w:rsidRPr="00C663CD">
        <w:rPr>
          <w:i/>
          <w:lang w:val="fr-CA"/>
        </w:rPr>
        <w:t xml:space="preserve"> </w:t>
      </w:r>
      <w:r w:rsidR="00781DC2" w:rsidRPr="00C663CD">
        <w:rPr>
          <w:i/>
          <w:lang w:val="fr-CA"/>
        </w:rPr>
        <w:t xml:space="preserve">— </w:t>
      </w:r>
      <w:r w:rsidR="00A9653A" w:rsidRPr="00C663CD">
        <w:rPr>
          <w:i/>
          <w:lang w:val="fr-CA"/>
        </w:rPr>
        <w:t>Mandataire</w:t>
      </w:r>
      <w:r w:rsidR="009F7F33" w:rsidRPr="00C663CD">
        <w:rPr>
          <w:i/>
          <w:lang w:val="fr-CA"/>
        </w:rPr>
        <w:t xml:space="preserve"> </w:t>
      </w:r>
      <w:r w:rsidR="00781DC2" w:rsidRPr="00C663CD">
        <w:rPr>
          <w:i/>
          <w:lang w:val="fr-CA"/>
        </w:rPr>
        <w:t xml:space="preserve">— </w:t>
      </w:r>
      <w:r w:rsidR="00A9653A" w:rsidRPr="00C663CD">
        <w:rPr>
          <w:i/>
          <w:lang w:val="fr-CA"/>
        </w:rPr>
        <w:t xml:space="preserve">Société </w:t>
      </w:r>
      <w:r w:rsidR="00772E70" w:rsidRPr="00C663CD">
        <w:rPr>
          <w:i/>
          <w:lang w:val="fr-CA"/>
        </w:rPr>
        <w:t>qui</w:t>
      </w:r>
      <w:r w:rsidR="00A9653A" w:rsidRPr="00C663CD">
        <w:rPr>
          <w:i/>
          <w:lang w:val="fr-CA"/>
        </w:rPr>
        <w:t xml:space="preserve"> développ</w:t>
      </w:r>
      <w:r w:rsidR="00772E70" w:rsidRPr="00C663CD">
        <w:rPr>
          <w:i/>
          <w:lang w:val="fr-CA"/>
        </w:rPr>
        <w:t>e</w:t>
      </w:r>
      <w:r w:rsidR="00A9653A" w:rsidRPr="00C663CD">
        <w:rPr>
          <w:i/>
          <w:lang w:val="fr-CA"/>
        </w:rPr>
        <w:t xml:space="preserve"> </w:t>
      </w:r>
      <w:r w:rsidR="00772E70" w:rsidRPr="00C663CD">
        <w:rPr>
          <w:i/>
          <w:lang w:val="fr-CA"/>
        </w:rPr>
        <w:t>puis</w:t>
      </w:r>
      <w:r w:rsidR="00A9653A" w:rsidRPr="00C663CD">
        <w:rPr>
          <w:i/>
          <w:lang w:val="fr-CA"/>
        </w:rPr>
        <w:t xml:space="preserve"> exploite deux hôtels sur le même terrain</w:t>
      </w:r>
      <w:r w:rsidR="009F7F33" w:rsidRPr="00C663CD">
        <w:rPr>
          <w:i/>
          <w:lang w:val="fr-CA"/>
        </w:rPr>
        <w:t xml:space="preserve"> </w:t>
      </w:r>
      <w:r w:rsidR="00781DC2" w:rsidRPr="00C663CD">
        <w:rPr>
          <w:i/>
          <w:lang w:val="fr-CA"/>
        </w:rPr>
        <w:t xml:space="preserve">— </w:t>
      </w:r>
      <w:r w:rsidR="00772E70" w:rsidRPr="00C663CD">
        <w:rPr>
          <w:i/>
          <w:lang w:val="fr-CA"/>
        </w:rPr>
        <w:t>Les acheteurs d</w:t>
      </w:r>
      <w:r w:rsidR="00C50E02" w:rsidRPr="00C663CD">
        <w:rPr>
          <w:i/>
          <w:lang w:val="fr-CA"/>
        </w:rPr>
        <w:t>’</w:t>
      </w:r>
      <w:r w:rsidR="00772E70" w:rsidRPr="00C663CD">
        <w:rPr>
          <w:i/>
          <w:lang w:val="fr-CA"/>
        </w:rPr>
        <w:t>unités dans l</w:t>
      </w:r>
      <w:r w:rsidR="00C50E02" w:rsidRPr="00C663CD">
        <w:rPr>
          <w:i/>
          <w:lang w:val="fr-CA"/>
        </w:rPr>
        <w:t>’</w:t>
      </w:r>
      <w:r w:rsidR="00772E70" w:rsidRPr="00C663CD">
        <w:rPr>
          <w:i/>
          <w:lang w:val="fr-CA"/>
        </w:rPr>
        <w:t>un et l</w:t>
      </w:r>
      <w:r w:rsidR="00C50E02" w:rsidRPr="00C663CD">
        <w:rPr>
          <w:i/>
          <w:lang w:val="fr-CA"/>
        </w:rPr>
        <w:t>’</w:t>
      </w:r>
      <w:r w:rsidR="00772E70" w:rsidRPr="00C663CD">
        <w:rPr>
          <w:i/>
          <w:lang w:val="fr-CA"/>
        </w:rPr>
        <w:t>autre hôtel concluent avec le promoteur des ententes distinctes</w:t>
      </w:r>
      <w:r w:rsidR="009F7F33" w:rsidRPr="00C663CD">
        <w:rPr>
          <w:i/>
          <w:lang w:val="fr-CA"/>
        </w:rPr>
        <w:t xml:space="preserve"> </w:t>
      </w:r>
      <w:r w:rsidR="00781DC2" w:rsidRPr="00C663CD">
        <w:rPr>
          <w:i/>
          <w:lang w:val="fr-CA"/>
        </w:rPr>
        <w:t xml:space="preserve">— </w:t>
      </w:r>
      <w:r w:rsidR="00EF440B" w:rsidRPr="00C663CD">
        <w:rPr>
          <w:i/>
          <w:lang w:val="fr-CA"/>
        </w:rPr>
        <w:t>Les a</w:t>
      </w:r>
      <w:r w:rsidR="00B1353D" w:rsidRPr="00C663CD">
        <w:rPr>
          <w:i/>
          <w:lang w:val="fr-CA"/>
        </w:rPr>
        <w:t>cheteurs d</w:t>
      </w:r>
      <w:r w:rsidR="00C50E02" w:rsidRPr="00C663CD">
        <w:rPr>
          <w:i/>
          <w:lang w:val="fr-CA"/>
        </w:rPr>
        <w:t>’</w:t>
      </w:r>
      <w:r w:rsidR="00B1353D" w:rsidRPr="00C663CD">
        <w:rPr>
          <w:i/>
          <w:lang w:val="fr-CA"/>
        </w:rPr>
        <w:t>unités dans le Hilton n</w:t>
      </w:r>
      <w:r w:rsidR="00EF440B" w:rsidRPr="00C663CD">
        <w:rPr>
          <w:i/>
          <w:lang w:val="fr-CA"/>
        </w:rPr>
        <w:t>e sont pas</w:t>
      </w:r>
      <w:r w:rsidR="00B1353D" w:rsidRPr="00C663CD">
        <w:rPr>
          <w:i/>
          <w:lang w:val="fr-CA"/>
        </w:rPr>
        <w:t xml:space="preserve"> informés des différences entre les ententes financières conclues avec eux et celles offertes aux acheteurs d</w:t>
      </w:r>
      <w:r w:rsidR="00C50E02" w:rsidRPr="00C663CD">
        <w:rPr>
          <w:i/>
          <w:lang w:val="fr-CA"/>
        </w:rPr>
        <w:t>’</w:t>
      </w:r>
      <w:r w:rsidR="00B1353D" w:rsidRPr="00C663CD">
        <w:rPr>
          <w:i/>
          <w:lang w:val="fr-CA"/>
        </w:rPr>
        <w:t xml:space="preserve">unités dans le Marriott </w:t>
      </w:r>
      <w:r w:rsidR="00781DC2" w:rsidRPr="00C663CD">
        <w:rPr>
          <w:i/>
          <w:lang w:val="fr-CA"/>
        </w:rPr>
        <w:t xml:space="preserve">— </w:t>
      </w:r>
      <w:r w:rsidR="00C439A3" w:rsidRPr="00C663CD">
        <w:rPr>
          <w:i/>
          <w:lang w:val="fr-CA"/>
        </w:rPr>
        <w:t>Le p</w:t>
      </w:r>
      <w:r w:rsidR="00313D72" w:rsidRPr="00C663CD">
        <w:rPr>
          <w:i/>
          <w:lang w:val="fr-CA"/>
        </w:rPr>
        <w:t>romoteur conclu</w:t>
      </w:r>
      <w:r w:rsidR="00F04667" w:rsidRPr="00C663CD">
        <w:rPr>
          <w:i/>
          <w:lang w:val="fr-CA"/>
        </w:rPr>
        <w:t>t</w:t>
      </w:r>
      <w:r w:rsidR="00313D72" w:rsidRPr="00C663CD">
        <w:rPr>
          <w:i/>
          <w:lang w:val="fr-CA"/>
        </w:rPr>
        <w:t xml:space="preserve"> pour le compte des propriétaires du Hilton, </w:t>
      </w:r>
      <w:r w:rsidR="00F04667" w:rsidRPr="00C663CD">
        <w:rPr>
          <w:i/>
          <w:lang w:val="fr-CA"/>
        </w:rPr>
        <w:t xml:space="preserve">mais </w:t>
      </w:r>
      <w:r w:rsidR="00313D72" w:rsidRPr="00C663CD">
        <w:rPr>
          <w:i/>
          <w:lang w:val="fr-CA"/>
        </w:rPr>
        <w:t xml:space="preserve">sans avoir préalablement obtenu leur consentement, une entente de </w:t>
      </w:r>
      <w:proofErr w:type="spellStart"/>
      <w:r w:rsidR="00313D72" w:rsidRPr="00C663CD">
        <w:rPr>
          <w:i/>
          <w:lang w:val="fr-CA"/>
        </w:rPr>
        <w:t>non</w:t>
      </w:r>
      <w:r w:rsidR="003A2DDE" w:rsidRPr="00C663CD">
        <w:rPr>
          <w:i/>
          <w:lang w:val="fr-CA"/>
        </w:rPr>
        <w:noBreakHyphen/>
      </w:r>
      <w:r w:rsidR="00313D72" w:rsidRPr="00C663CD">
        <w:rPr>
          <w:i/>
          <w:lang w:val="fr-CA"/>
        </w:rPr>
        <w:t>concurrence</w:t>
      </w:r>
      <w:proofErr w:type="spellEnd"/>
      <w:r w:rsidR="00313D72" w:rsidRPr="00C663CD">
        <w:rPr>
          <w:i/>
          <w:lang w:val="fr-CA"/>
        </w:rPr>
        <w:t xml:space="preserve"> avec les propriétaires du Marriott </w:t>
      </w:r>
      <w:r w:rsidR="00781DC2" w:rsidRPr="00C663CD">
        <w:rPr>
          <w:i/>
          <w:lang w:val="fr-CA"/>
        </w:rPr>
        <w:t xml:space="preserve">— </w:t>
      </w:r>
      <w:r w:rsidR="00B1353D" w:rsidRPr="00C663CD">
        <w:rPr>
          <w:i/>
          <w:lang w:val="fr-CA"/>
        </w:rPr>
        <w:t xml:space="preserve">Le Hilton ne connaît pas le succès anticipé et ses propriétaires subissent des pertes </w:t>
      </w:r>
      <w:r w:rsidR="00781DC2" w:rsidRPr="00C663CD">
        <w:rPr>
          <w:i/>
          <w:lang w:val="fr-CA"/>
        </w:rPr>
        <w:t xml:space="preserve">— </w:t>
      </w:r>
      <w:r w:rsidR="004840B5" w:rsidRPr="00C663CD">
        <w:rPr>
          <w:i/>
          <w:lang w:val="fr-CA"/>
        </w:rPr>
        <w:t xml:space="preserve">Le promoteur </w:t>
      </w:r>
      <w:proofErr w:type="spellStart"/>
      <w:r w:rsidR="004840B5" w:rsidRPr="00C663CD">
        <w:rPr>
          <w:i/>
          <w:lang w:val="fr-CA"/>
        </w:rPr>
        <w:t>avait</w:t>
      </w:r>
      <w:r w:rsidR="003A2DDE" w:rsidRPr="00C663CD">
        <w:rPr>
          <w:i/>
          <w:lang w:val="fr-CA"/>
        </w:rPr>
        <w:noBreakHyphen/>
      </w:r>
      <w:r w:rsidR="004840B5" w:rsidRPr="00C663CD">
        <w:rPr>
          <w:i/>
          <w:lang w:val="fr-CA"/>
        </w:rPr>
        <w:t>il</w:t>
      </w:r>
      <w:proofErr w:type="spellEnd"/>
      <w:r w:rsidR="004840B5" w:rsidRPr="00C663CD">
        <w:rPr>
          <w:i/>
          <w:lang w:val="fr-CA"/>
        </w:rPr>
        <w:t xml:space="preserve"> une obligation fiducia</w:t>
      </w:r>
      <w:r w:rsidR="003A2075" w:rsidRPr="00C663CD">
        <w:rPr>
          <w:i/>
          <w:lang w:val="fr-CA"/>
        </w:rPr>
        <w:t>ir</w:t>
      </w:r>
      <w:r w:rsidR="004840B5" w:rsidRPr="00C663CD">
        <w:rPr>
          <w:i/>
          <w:lang w:val="fr-CA"/>
        </w:rPr>
        <w:t xml:space="preserve">e envers les propriétaires du </w:t>
      </w:r>
      <w:r w:rsidR="009F7F33" w:rsidRPr="00C663CD">
        <w:rPr>
          <w:i/>
          <w:lang w:val="fr-CA"/>
        </w:rPr>
        <w:t>Hilton</w:t>
      </w:r>
      <w:r w:rsidR="004840B5" w:rsidRPr="00C663CD">
        <w:rPr>
          <w:i/>
          <w:lang w:val="fr-CA"/>
        </w:rPr>
        <w:t>?</w:t>
      </w:r>
      <w:r w:rsidR="009F7F33" w:rsidRPr="00C663CD">
        <w:rPr>
          <w:i/>
          <w:lang w:val="fr-CA"/>
        </w:rPr>
        <w:t xml:space="preserve"> </w:t>
      </w:r>
      <w:r w:rsidR="00781DC2" w:rsidRPr="00C663CD">
        <w:rPr>
          <w:i/>
          <w:lang w:val="fr-CA"/>
        </w:rPr>
        <w:t xml:space="preserve">— </w:t>
      </w:r>
      <w:r w:rsidR="00313D72" w:rsidRPr="00C663CD">
        <w:rPr>
          <w:i/>
          <w:lang w:val="fr-CA"/>
        </w:rPr>
        <w:t xml:space="preserve">Le cas échéant, le promoteur </w:t>
      </w:r>
      <w:proofErr w:type="spellStart"/>
      <w:r w:rsidR="00313D72" w:rsidRPr="00C663CD">
        <w:rPr>
          <w:i/>
          <w:lang w:val="fr-CA"/>
        </w:rPr>
        <w:t>a</w:t>
      </w:r>
      <w:r w:rsidR="003A2DDE" w:rsidRPr="00C663CD">
        <w:rPr>
          <w:i/>
          <w:lang w:val="fr-CA"/>
        </w:rPr>
        <w:noBreakHyphen/>
      </w:r>
      <w:r w:rsidR="00313D72" w:rsidRPr="00C663CD">
        <w:rPr>
          <w:i/>
          <w:lang w:val="fr-CA"/>
        </w:rPr>
        <w:t>t</w:t>
      </w:r>
      <w:r w:rsidR="003A2DDE" w:rsidRPr="00C663CD">
        <w:rPr>
          <w:i/>
          <w:lang w:val="fr-CA"/>
        </w:rPr>
        <w:noBreakHyphen/>
      </w:r>
      <w:r w:rsidR="00313D72" w:rsidRPr="00C663CD">
        <w:rPr>
          <w:i/>
          <w:lang w:val="fr-CA"/>
        </w:rPr>
        <w:t>il</w:t>
      </w:r>
      <w:proofErr w:type="spellEnd"/>
      <w:r w:rsidR="00313D72" w:rsidRPr="00C663CD">
        <w:rPr>
          <w:i/>
          <w:lang w:val="fr-CA"/>
        </w:rPr>
        <w:t xml:space="preserve"> manqué à son obligation fiducia</w:t>
      </w:r>
      <w:r w:rsidR="003A2075" w:rsidRPr="00C663CD">
        <w:rPr>
          <w:i/>
          <w:lang w:val="fr-CA"/>
        </w:rPr>
        <w:t>ir</w:t>
      </w:r>
      <w:r w:rsidR="00313D72" w:rsidRPr="00C663CD">
        <w:rPr>
          <w:i/>
          <w:lang w:val="fr-CA"/>
        </w:rPr>
        <w:t>e?</w:t>
      </w:r>
    </w:p>
    <w:p w:rsidR="006F728D" w:rsidRPr="00C663CD" w:rsidRDefault="007563AB" w:rsidP="001211F3">
      <w:pPr>
        <w:pStyle w:val="SCCNormalDoubleSpacing"/>
        <w:spacing w:after="480"/>
        <w:rPr>
          <w:lang w:val="fr-CA"/>
        </w:rPr>
      </w:pPr>
      <w:r w:rsidRPr="00C663CD">
        <w:rPr>
          <w:lang w:val="fr-CA"/>
        </w:rPr>
        <w:tab/>
      </w:r>
      <w:r w:rsidR="00E326EC" w:rsidRPr="00C663CD">
        <w:rPr>
          <w:lang w:val="fr-CA"/>
        </w:rPr>
        <w:t>L</w:t>
      </w:r>
      <w:r w:rsidR="00C50E02" w:rsidRPr="00C663CD">
        <w:rPr>
          <w:lang w:val="fr-CA"/>
        </w:rPr>
        <w:t>’</w:t>
      </w:r>
      <w:r w:rsidR="00CB3D9A" w:rsidRPr="00C663CD">
        <w:rPr>
          <w:lang w:val="fr-CA"/>
        </w:rPr>
        <w:t xml:space="preserve">un des </w:t>
      </w:r>
      <w:r w:rsidR="00E326EC" w:rsidRPr="00C663CD">
        <w:rPr>
          <w:lang w:val="fr-CA"/>
        </w:rPr>
        <w:t>intimé</w:t>
      </w:r>
      <w:r w:rsidR="00CB3D9A" w:rsidRPr="00C663CD">
        <w:rPr>
          <w:lang w:val="fr-CA"/>
        </w:rPr>
        <w:t>s,</w:t>
      </w:r>
      <w:r w:rsidR="00E326EC" w:rsidRPr="00C663CD">
        <w:rPr>
          <w:lang w:val="fr-CA"/>
        </w:rPr>
        <w:t xml:space="preserve"> le</w:t>
      </w:r>
      <w:r w:rsidR="00F013C2" w:rsidRPr="00C663CD">
        <w:rPr>
          <w:lang w:val="fr-CA"/>
        </w:rPr>
        <w:t xml:space="preserve"> promoteur </w:t>
      </w:r>
      <w:r w:rsidR="000E0C83" w:rsidRPr="00C663CD">
        <w:rPr>
          <w:lang w:val="fr-CA"/>
        </w:rPr>
        <w:t xml:space="preserve">Vancouver </w:t>
      </w:r>
      <w:proofErr w:type="spellStart"/>
      <w:r w:rsidR="000E0C83" w:rsidRPr="00C663CD">
        <w:rPr>
          <w:lang w:val="fr-CA"/>
        </w:rPr>
        <w:t>Airport</w:t>
      </w:r>
      <w:proofErr w:type="spellEnd"/>
      <w:r w:rsidR="000E0C83" w:rsidRPr="00C663CD">
        <w:rPr>
          <w:lang w:val="fr-CA"/>
        </w:rPr>
        <w:t xml:space="preserve"> Centre Ltd. </w:t>
      </w:r>
      <w:r w:rsidR="000E0C83" w:rsidRPr="00B64064">
        <w:rPr>
          <w:lang w:val="fr-CA"/>
        </w:rPr>
        <w:t>(</w:t>
      </w:r>
      <w:r w:rsidR="00C200E2" w:rsidRPr="00B64064">
        <w:rPr>
          <w:lang w:val="fr-CA"/>
        </w:rPr>
        <w:t>« </w:t>
      </w:r>
      <w:r w:rsidR="00B32F13" w:rsidRPr="00B64064">
        <w:rPr>
          <w:lang w:val="fr-CA"/>
        </w:rPr>
        <w:t>VAC</w:t>
      </w:r>
      <w:r w:rsidR="00C200E2" w:rsidRPr="00B64064">
        <w:rPr>
          <w:lang w:val="fr-CA"/>
        </w:rPr>
        <w:t> »</w:t>
      </w:r>
      <w:r w:rsidR="000E0C83" w:rsidRPr="00B64064">
        <w:rPr>
          <w:lang w:val="fr-CA"/>
        </w:rPr>
        <w:t>)</w:t>
      </w:r>
      <w:r w:rsidR="00CB3D9A" w:rsidRPr="00B64064">
        <w:rPr>
          <w:lang w:val="fr-CA"/>
        </w:rPr>
        <w:t>,</w:t>
      </w:r>
      <w:r w:rsidR="00B32F13" w:rsidRPr="00B64064">
        <w:rPr>
          <w:lang w:val="fr-CA"/>
        </w:rPr>
        <w:t xml:space="preserve"> </w:t>
      </w:r>
      <w:r w:rsidR="00812CAA" w:rsidRPr="00B64064">
        <w:rPr>
          <w:lang w:val="fr-CA"/>
        </w:rPr>
        <w:t>a été constitué</w:t>
      </w:r>
      <w:r w:rsidR="00B32F13" w:rsidRPr="00B64064">
        <w:rPr>
          <w:lang w:val="fr-CA"/>
        </w:rPr>
        <w:t xml:space="preserve"> </w:t>
      </w:r>
      <w:r w:rsidR="00C200E2" w:rsidRPr="00B64064">
        <w:rPr>
          <w:lang w:val="fr-CA"/>
        </w:rPr>
        <w:t>afin de développer et d</w:t>
      </w:r>
      <w:r w:rsidR="00C50E02" w:rsidRPr="00B64064">
        <w:rPr>
          <w:lang w:val="fr-CA"/>
        </w:rPr>
        <w:t>’</w:t>
      </w:r>
      <w:r w:rsidR="00C200E2" w:rsidRPr="00B64064">
        <w:rPr>
          <w:lang w:val="fr-CA"/>
        </w:rPr>
        <w:t xml:space="preserve">exploiter deux hôtels </w:t>
      </w:r>
      <w:r w:rsidR="00921632" w:rsidRPr="00B64064">
        <w:rPr>
          <w:lang w:val="fr-CA"/>
        </w:rPr>
        <w:t>sur le même terrain</w:t>
      </w:r>
      <w:r w:rsidR="003A2DDE" w:rsidRPr="00B64064">
        <w:rPr>
          <w:lang w:val="fr-CA"/>
        </w:rPr>
        <w:t> :</w:t>
      </w:r>
      <w:r w:rsidR="005169A5" w:rsidRPr="00B64064">
        <w:rPr>
          <w:lang w:val="fr-CA"/>
        </w:rPr>
        <w:t> un hôtel Marriott et un hôtel Hilton.</w:t>
      </w:r>
      <w:r w:rsidR="00CB3D9A" w:rsidRPr="00B64064">
        <w:rPr>
          <w:lang w:val="fr-CA"/>
        </w:rPr>
        <w:t xml:space="preserve">  </w:t>
      </w:r>
      <w:r w:rsidR="00BE06FB" w:rsidRPr="00C663CD">
        <w:rPr>
          <w:lang w:val="fr-CA"/>
        </w:rPr>
        <w:t xml:space="preserve">Les deux hôtels étaient essentiellement identiques et étaient reliés par un </w:t>
      </w:r>
      <w:proofErr w:type="spellStart"/>
      <w:r w:rsidR="00BE06FB" w:rsidRPr="00C663CD">
        <w:rPr>
          <w:lang w:val="fr-CA"/>
        </w:rPr>
        <w:t>hall</w:t>
      </w:r>
      <w:r w:rsidR="003A2DDE" w:rsidRPr="00C663CD">
        <w:rPr>
          <w:lang w:val="fr-CA"/>
        </w:rPr>
        <w:noBreakHyphen/>
      </w:r>
      <w:r w:rsidR="00BE06FB" w:rsidRPr="00C663CD">
        <w:rPr>
          <w:lang w:val="fr-CA"/>
        </w:rPr>
        <w:t>promenade</w:t>
      </w:r>
      <w:proofErr w:type="spellEnd"/>
      <w:r w:rsidR="00BE06FB" w:rsidRPr="00C663CD">
        <w:rPr>
          <w:lang w:val="fr-CA"/>
        </w:rPr>
        <w:t xml:space="preserve"> abritant des boutiques et offrant certains services</w:t>
      </w:r>
      <w:r w:rsidR="00B32F13" w:rsidRPr="00C663CD">
        <w:rPr>
          <w:lang w:val="fr-CA"/>
        </w:rPr>
        <w:t>.</w:t>
      </w:r>
      <w:r w:rsidR="00CB3D9A" w:rsidRPr="00C663CD">
        <w:rPr>
          <w:lang w:val="fr-CA"/>
        </w:rPr>
        <w:t xml:space="preserve">  </w:t>
      </w:r>
      <w:r w:rsidR="00BE06FB" w:rsidRPr="00C663CD">
        <w:rPr>
          <w:lang w:val="fr-CA"/>
        </w:rPr>
        <w:t>Les ac</w:t>
      </w:r>
      <w:r w:rsidR="003D30A6" w:rsidRPr="00C663CD">
        <w:rPr>
          <w:lang w:val="fr-CA"/>
        </w:rPr>
        <w:t>heteurs</w:t>
      </w:r>
      <w:r w:rsidR="00BE06FB" w:rsidRPr="00C663CD">
        <w:rPr>
          <w:lang w:val="fr-CA"/>
        </w:rPr>
        <w:t xml:space="preserve"> d</w:t>
      </w:r>
      <w:r w:rsidR="00C50E02" w:rsidRPr="00C663CD">
        <w:rPr>
          <w:lang w:val="fr-CA"/>
        </w:rPr>
        <w:t>’</w:t>
      </w:r>
      <w:r w:rsidR="00BE06FB" w:rsidRPr="00C663CD">
        <w:rPr>
          <w:lang w:val="fr-CA"/>
        </w:rPr>
        <w:t>unités dans l</w:t>
      </w:r>
      <w:r w:rsidR="00C50E02" w:rsidRPr="00C663CD">
        <w:rPr>
          <w:lang w:val="fr-CA"/>
        </w:rPr>
        <w:t>’</w:t>
      </w:r>
      <w:r w:rsidR="00BE06FB" w:rsidRPr="00C663CD">
        <w:rPr>
          <w:lang w:val="fr-CA"/>
        </w:rPr>
        <w:t>un et l</w:t>
      </w:r>
      <w:r w:rsidR="00C50E02" w:rsidRPr="00C663CD">
        <w:rPr>
          <w:lang w:val="fr-CA"/>
        </w:rPr>
        <w:t>’</w:t>
      </w:r>
      <w:r w:rsidR="00BE06FB" w:rsidRPr="00C663CD">
        <w:rPr>
          <w:lang w:val="fr-CA"/>
        </w:rPr>
        <w:t>autre hôtel ont conclu avec le VAC des ententes distinctes en vue de l</w:t>
      </w:r>
      <w:r w:rsidR="00C50E02" w:rsidRPr="00C663CD">
        <w:rPr>
          <w:lang w:val="fr-CA"/>
        </w:rPr>
        <w:t>’</w:t>
      </w:r>
      <w:r w:rsidR="00BE06FB" w:rsidRPr="00C663CD">
        <w:rPr>
          <w:lang w:val="fr-CA"/>
        </w:rPr>
        <w:t>administration de chaque hôtel</w:t>
      </w:r>
      <w:r w:rsidR="00B32F13" w:rsidRPr="00C663CD">
        <w:rPr>
          <w:lang w:val="fr-CA"/>
        </w:rPr>
        <w:t>.</w:t>
      </w:r>
      <w:r w:rsidR="00CB3D9A" w:rsidRPr="00C663CD">
        <w:rPr>
          <w:lang w:val="fr-CA"/>
        </w:rPr>
        <w:t xml:space="preserve">  </w:t>
      </w:r>
      <w:r w:rsidR="00B6032D" w:rsidRPr="00C663CD">
        <w:rPr>
          <w:lang w:val="fr-CA"/>
        </w:rPr>
        <w:t xml:space="preserve">Les deux </w:t>
      </w:r>
      <w:r w:rsidR="007911BE" w:rsidRPr="00C663CD">
        <w:rPr>
          <w:lang w:val="fr-CA"/>
        </w:rPr>
        <w:t>hôtels</w:t>
      </w:r>
      <w:r w:rsidR="00B6032D" w:rsidRPr="00C663CD">
        <w:rPr>
          <w:lang w:val="fr-CA"/>
        </w:rPr>
        <w:t xml:space="preserve"> ont été lancés sur le marché et mis en valeur à des époques différentes, ce qui a été à l</w:t>
      </w:r>
      <w:r w:rsidR="00C50E02" w:rsidRPr="00C663CD">
        <w:rPr>
          <w:lang w:val="fr-CA"/>
        </w:rPr>
        <w:t>’</w:t>
      </w:r>
      <w:r w:rsidR="00B6032D" w:rsidRPr="00C663CD">
        <w:rPr>
          <w:lang w:val="fr-CA"/>
        </w:rPr>
        <w:t xml:space="preserve">origine des différences dans les ententes financières conclues avec les </w:t>
      </w:r>
      <w:r w:rsidR="00B6032D" w:rsidRPr="00C663CD">
        <w:rPr>
          <w:lang w:val="fr-CA"/>
        </w:rPr>
        <w:lastRenderedPageBreak/>
        <w:t>acheteurs d</w:t>
      </w:r>
      <w:r w:rsidR="00C50E02" w:rsidRPr="00C663CD">
        <w:rPr>
          <w:lang w:val="fr-CA"/>
        </w:rPr>
        <w:t>’</w:t>
      </w:r>
      <w:r w:rsidR="00B6032D" w:rsidRPr="00C663CD">
        <w:rPr>
          <w:lang w:val="fr-CA"/>
        </w:rPr>
        <w:t>unités de l</w:t>
      </w:r>
      <w:r w:rsidR="00C50E02" w:rsidRPr="00C663CD">
        <w:rPr>
          <w:lang w:val="fr-CA"/>
        </w:rPr>
        <w:t>’</w:t>
      </w:r>
      <w:r w:rsidR="00B6032D" w:rsidRPr="00C663CD">
        <w:rPr>
          <w:lang w:val="fr-CA"/>
        </w:rPr>
        <w:t>un et l</w:t>
      </w:r>
      <w:r w:rsidR="00C50E02" w:rsidRPr="00C663CD">
        <w:rPr>
          <w:lang w:val="fr-CA"/>
        </w:rPr>
        <w:t>’</w:t>
      </w:r>
      <w:r w:rsidR="00B6032D" w:rsidRPr="00C663CD">
        <w:rPr>
          <w:lang w:val="fr-CA"/>
        </w:rPr>
        <w:t>autre hôtel.</w:t>
      </w:r>
      <w:r w:rsidR="00CB3D9A" w:rsidRPr="00C663CD">
        <w:rPr>
          <w:lang w:val="fr-CA"/>
        </w:rPr>
        <w:t xml:space="preserve">  </w:t>
      </w:r>
      <w:r w:rsidR="00403B86" w:rsidRPr="00C663CD">
        <w:rPr>
          <w:lang w:val="fr-CA"/>
        </w:rPr>
        <w:t xml:space="preserve">Le VAC a offert </w:t>
      </w:r>
      <w:r w:rsidR="003D30A6" w:rsidRPr="00C663CD">
        <w:rPr>
          <w:lang w:val="fr-CA"/>
        </w:rPr>
        <w:t xml:space="preserve">une garantie </w:t>
      </w:r>
      <w:r w:rsidR="00403B86" w:rsidRPr="00C663CD">
        <w:rPr>
          <w:lang w:val="fr-CA"/>
        </w:rPr>
        <w:t>aux acheteurs d</w:t>
      </w:r>
      <w:r w:rsidR="00C50E02" w:rsidRPr="00C663CD">
        <w:rPr>
          <w:lang w:val="fr-CA"/>
        </w:rPr>
        <w:t>’</w:t>
      </w:r>
      <w:r w:rsidR="00403B86" w:rsidRPr="00C663CD">
        <w:rPr>
          <w:lang w:val="fr-CA"/>
        </w:rPr>
        <w:t>unités du Marriott</w:t>
      </w:r>
      <w:r w:rsidR="00D221B9" w:rsidRPr="00C663CD">
        <w:rPr>
          <w:lang w:val="fr-CA"/>
        </w:rPr>
        <w:t>, et des</w:t>
      </w:r>
      <w:r w:rsidR="002063DD" w:rsidRPr="00C663CD">
        <w:rPr>
          <w:lang w:val="fr-CA"/>
        </w:rPr>
        <w:t xml:space="preserve"> frais d</w:t>
      </w:r>
      <w:r w:rsidR="00C50E02" w:rsidRPr="00C663CD">
        <w:rPr>
          <w:lang w:val="fr-CA"/>
        </w:rPr>
        <w:t>’</w:t>
      </w:r>
      <w:r w:rsidR="002063DD" w:rsidRPr="00C663CD">
        <w:rPr>
          <w:lang w:val="fr-CA"/>
        </w:rPr>
        <w:t xml:space="preserve">administration mensuels équivalant à </w:t>
      </w:r>
      <w:r w:rsidR="0099042E" w:rsidRPr="00C663CD">
        <w:rPr>
          <w:lang w:val="fr-CA"/>
        </w:rPr>
        <w:t>un certain pourcentage</w:t>
      </w:r>
      <w:r w:rsidR="003D30A6" w:rsidRPr="00C663CD">
        <w:rPr>
          <w:lang w:val="fr-CA"/>
        </w:rPr>
        <w:t xml:space="preserve"> </w:t>
      </w:r>
      <w:r w:rsidR="002063DD" w:rsidRPr="00C663CD">
        <w:rPr>
          <w:lang w:val="fr-CA"/>
        </w:rPr>
        <w:t>des revenus de location bruts ainsi qu</w:t>
      </w:r>
      <w:r w:rsidR="00C50E02" w:rsidRPr="00C663CD">
        <w:rPr>
          <w:lang w:val="fr-CA"/>
        </w:rPr>
        <w:t>’</w:t>
      </w:r>
      <w:r w:rsidR="002063DD" w:rsidRPr="00C663CD">
        <w:rPr>
          <w:lang w:val="fr-CA"/>
        </w:rPr>
        <w:t>une prime de performance</w:t>
      </w:r>
      <w:r w:rsidR="00B32F13" w:rsidRPr="00C663CD">
        <w:rPr>
          <w:lang w:val="fr-CA"/>
        </w:rPr>
        <w:t xml:space="preserve"> </w:t>
      </w:r>
      <w:r w:rsidR="00D221B9" w:rsidRPr="00C663CD">
        <w:rPr>
          <w:lang w:val="fr-CA"/>
        </w:rPr>
        <w:t>lui étaient payés</w:t>
      </w:r>
      <w:r w:rsidR="0099042E" w:rsidRPr="00C663CD">
        <w:rPr>
          <w:lang w:val="fr-CA"/>
        </w:rPr>
        <w:t>.</w:t>
      </w:r>
      <w:r w:rsidR="00CB3D9A" w:rsidRPr="00C663CD">
        <w:rPr>
          <w:lang w:val="fr-CA"/>
        </w:rPr>
        <w:t xml:space="preserve">  </w:t>
      </w:r>
      <w:r w:rsidR="00C46A3E" w:rsidRPr="00C663CD">
        <w:rPr>
          <w:lang w:val="fr-CA"/>
        </w:rPr>
        <w:t>Le VAC n</w:t>
      </w:r>
      <w:r w:rsidR="00C50E02" w:rsidRPr="00C663CD">
        <w:rPr>
          <w:lang w:val="fr-CA"/>
        </w:rPr>
        <w:t>’</w:t>
      </w:r>
      <w:r w:rsidR="00C46A3E" w:rsidRPr="00C663CD">
        <w:rPr>
          <w:lang w:val="fr-CA"/>
        </w:rPr>
        <w:t>a offert aucune garantie aux ac</w:t>
      </w:r>
      <w:r w:rsidR="00CB3D9A" w:rsidRPr="00C663CD">
        <w:rPr>
          <w:lang w:val="fr-CA"/>
        </w:rPr>
        <w:t>heteurs</w:t>
      </w:r>
      <w:r w:rsidR="00C46A3E" w:rsidRPr="00C663CD">
        <w:rPr>
          <w:lang w:val="fr-CA"/>
        </w:rPr>
        <w:t xml:space="preserve"> d</w:t>
      </w:r>
      <w:r w:rsidR="00C50E02" w:rsidRPr="00C663CD">
        <w:rPr>
          <w:lang w:val="fr-CA"/>
        </w:rPr>
        <w:t>’</w:t>
      </w:r>
      <w:r w:rsidR="00C46A3E" w:rsidRPr="00C663CD">
        <w:rPr>
          <w:lang w:val="fr-CA"/>
        </w:rPr>
        <w:t>unités d</w:t>
      </w:r>
      <w:r w:rsidR="00CB3D9A" w:rsidRPr="00C663CD">
        <w:rPr>
          <w:lang w:val="fr-CA"/>
        </w:rPr>
        <w:t>u</w:t>
      </w:r>
      <w:r w:rsidR="00C46A3E" w:rsidRPr="00C663CD">
        <w:rPr>
          <w:lang w:val="fr-CA"/>
        </w:rPr>
        <w:t xml:space="preserve"> Hilton, et les frais mensuels </w:t>
      </w:r>
      <w:r w:rsidR="00D221B9" w:rsidRPr="00C663CD">
        <w:rPr>
          <w:lang w:val="fr-CA"/>
        </w:rPr>
        <w:t>qui lui étaient payés p</w:t>
      </w:r>
      <w:r w:rsidR="00C46A3E" w:rsidRPr="00C663CD">
        <w:rPr>
          <w:lang w:val="fr-CA"/>
        </w:rPr>
        <w:t>our l</w:t>
      </w:r>
      <w:r w:rsidR="00C50E02" w:rsidRPr="00C663CD">
        <w:rPr>
          <w:lang w:val="fr-CA"/>
        </w:rPr>
        <w:t>’</w:t>
      </w:r>
      <w:r w:rsidR="00F470CA" w:rsidRPr="00C663CD">
        <w:rPr>
          <w:lang w:val="fr-CA"/>
        </w:rPr>
        <w:t>administration d</w:t>
      </w:r>
      <w:r w:rsidR="00D221B9" w:rsidRPr="00C663CD">
        <w:rPr>
          <w:lang w:val="fr-CA"/>
        </w:rPr>
        <w:t>e cet hôtel é</w:t>
      </w:r>
      <w:r w:rsidR="006C6AE1" w:rsidRPr="00C663CD">
        <w:rPr>
          <w:lang w:val="fr-CA"/>
        </w:rPr>
        <w:t xml:space="preserve">taient moins élevés que ceux du </w:t>
      </w:r>
      <w:r w:rsidR="00C46A3E" w:rsidRPr="00C663CD">
        <w:rPr>
          <w:lang w:val="fr-CA"/>
        </w:rPr>
        <w:t>Marriott</w:t>
      </w:r>
      <w:r w:rsidR="006C6AE1" w:rsidRPr="00C663CD">
        <w:rPr>
          <w:lang w:val="fr-CA"/>
        </w:rPr>
        <w:t xml:space="preserve">.  </w:t>
      </w:r>
      <w:r w:rsidR="00772FDB" w:rsidRPr="00C663CD">
        <w:rPr>
          <w:lang w:val="fr-CA"/>
        </w:rPr>
        <w:t>Le</w:t>
      </w:r>
      <w:r w:rsidR="00D221B9" w:rsidRPr="00C663CD">
        <w:rPr>
          <w:lang w:val="fr-CA"/>
        </w:rPr>
        <w:t xml:space="preserve">s renseignements communiqués relativement au </w:t>
      </w:r>
      <w:r w:rsidR="00772FDB" w:rsidRPr="00C663CD">
        <w:rPr>
          <w:lang w:val="fr-CA"/>
        </w:rPr>
        <w:t>Hilton ne faisai</w:t>
      </w:r>
      <w:r w:rsidR="00D221B9" w:rsidRPr="00C663CD">
        <w:rPr>
          <w:lang w:val="fr-CA"/>
        </w:rPr>
        <w:t>en</w:t>
      </w:r>
      <w:r w:rsidR="00772FDB" w:rsidRPr="00C663CD">
        <w:rPr>
          <w:lang w:val="fr-CA"/>
        </w:rPr>
        <w:t>t pas état de</w:t>
      </w:r>
      <w:r w:rsidR="00EF440B" w:rsidRPr="00C663CD">
        <w:rPr>
          <w:lang w:val="fr-CA"/>
        </w:rPr>
        <w:t xml:space="preserve"> ce</w:t>
      </w:r>
      <w:r w:rsidR="00772FDB" w:rsidRPr="00C663CD">
        <w:rPr>
          <w:lang w:val="fr-CA"/>
        </w:rPr>
        <w:t>s différences</w:t>
      </w:r>
      <w:r w:rsidR="00683F84" w:rsidRPr="00C663CD">
        <w:rPr>
          <w:lang w:val="fr-CA"/>
        </w:rPr>
        <w:t>.</w:t>
      </w:r>
      <w:r w:rsidR="00D221B9" w:rsidRPr="00C663CD">
        <w:rPr>
          <w:lang w:val="fr-CA"/>
        </w:rPr>
        <w:t xml:space="preserve">  </w:t>
      </w:r>
      <w:r w:rsidR="00821359" w:rsidRPr="00C663CD">
        <w:rPr>
          <w:lang w:val="fr-CA"/>
        </w:rPr>
        <w:t>L</w:t>
      </w:r>
      <w:r w:rsidR="004A481B" w:rsidRPr="00C663CD">
        <w:rPr>
          <w:lang w:val="fr-CA"/>
        </w:rPr>
        <w:t>es propriétaires du Hilton ont subi des pertes</w:t>
      </w:r>
      <w:r w:rsidR="00683F84" w:rsidRPr="00C663CD">
        <w:rPr>
          <w:lang w:val="fr-CA"/>
        </w:rPr>
        <w:t>.</w:t>
      </w:r>
    </w:p>
    <w:p w:rsidR="00CE1A63" w:rsidRPr="00C663CD" w:rsidRDefault="007563AB" w:rsidP="001211F3">
      <w:pPr>
        <w:pStyle w:val="SCCNormalDoubleSpacing"/>
        <w:spacing w:after="480"/>
        <w:rPr>
          <w:lang w:val="fr-CA"/>
        </w:rPr>
      </w:pPr>
      <w:r w:rsidRPr="00C663CD">
        <w:rPr>
          <w:lang w:val="fr-CA"/>
        </w:rPr>
        <w:tab/>
      </w:r>
      <w:r w:rsidR="004A481B" w:rsidRPr="00C663CD">
        <w:rPr>
          <w:lang w:val="fr-CA"/>
        </w:rPr>
        <w:t>S représente un groupe d</w:t>
      </w:r>
      <w:r w:rsidR="00C50E02" w:rsidRPr="00C663CD">
        <w:rPr>
          <w:lang w:val="fr-CA"/>
        </w:rPr>
        <w:t>’</w:t>
      </w:r>
      <w:r w:rsidR="004A481B" w:rsidRPr="00C663CD">
        <w:rPr>
          <w:lang w:val="fr-CA"/>
        </w:rPr>
        <w:t>investisseurs qui ont acheté du VAC des unités dans l</w:t>
      </w:r>
      <w:r w:rsidR="00C50E02" w:rsidRPr="00C663CD">
        <w:rPr>
          <w:lang w:val="fr-CA"/>
        </w:rPr>
        <w:t>’</w:t>
      </w:r>
      <w:r w:rsidR="004A481B" w:rsidRPr="00C663CD">
        <w:rPr>
          <w:lang w:val="fr-CA"/>
        </w:rPr>
        <w:t xml:space="preserve">hôtel </w:t>
      </w:r>
      <w:r w:rsidR="00D9298D" w:rsidRPr="00C663CD">
        <w:rPr>
          <w:lang w:val="fr-CA"/>
        </w:rPr>
        <w:t>Hilton</w:t>
      </w:r>
      <w:r w:rsidR="004A481B" w:rsidRPr="00C663CD">
        <w:rPr>
          <w:lang w:val="fr-CA"/>
        </w:rPr>
        <w:t>.</w:t>
      </w:r>
      <w:r w:rsidR="00D221B9" w:rsidRPr="00C663CD">
        <w:rPr>
          <w:lang w:val="fr-CA"/>
        </w:rPr>
        <w:t xml:space="preserve">  </w:t>
      </w:r>
      <w:r w:rsidR="00D9298D" w:rsidRPr="00C663CD">
        <w:rPr>
          <w:lang w:val="fr-CA"/>
        </w:rPr>
        <w:t>S</w:t>
      </w:r>
      <w:r w:rsidR="004A481B" w:rsidRPr="00C663CD">
        <w:rPr>
          <w:lang w:val="fr-CA"/>
        </w:rPr>
        <w:t xml:space="preserve"> soutient que le VAC a engagé sa responsabilité en omettant</w:t>
      </w:r>
      <w:r w:rsidR="00D221B9" w:rsidRPr="00C663CD">
        <w:rPr>
          <w:lang w:val="fr-CA"/>
        </w:rPr>
        <w:t xml:space="preserve"> de fournir aux propriétaires du Hilton</w:t>
      </w:r>
      <w:r w:rsidR="004A481B" w:rsidRPr="00C663CD">
        <w:rPr>
          <w:lang w:val="fr-CA"/>
        </w:rPr>
        <w:t xml:space="preserve"> </w:t>
      </w:r>
      <w:r w:rsidR="00D221B9" w:rsidRPr="00C663CD">
        <w:rPr>
          <w:lang w:val="fr-CA"/>
        </w:rPr>
        <w:t xml:space="preserve">les détails des différences entre les ententes financières conclues avec eux et celles offertes aux propriétaires du Marriott.  </w:t>
      </w:r>
      <w:r w:rsidR="00FE54F2" w:rsidRPr="00C663CD">
        <w:rPr>
          <w:lang w:val="fr-CA"/>
        </w:rPr>
        <w:t>S allègue que ces différences ont engendré un conflit d</w:t>
      </w:r>
      <w:r w:rsidR="00C50E02" w:rsidRPr="00C663CD">
        <w:rPr>
          <w:lang w:val="fr-CA"/>
        </w:rPr>
        <w:t>’</w:t>
      </w:r>
      <w:r w:rsidR="00FE54F2" w:rsidRPr="00C663CD">
        <w:rPr>
          <w:lang w:val="fr-CA"/>
        </w:rPr>
        <w:t>intérêts, dont l</w:t>
      </w:r>
      <w:r w:rsidR="00C50E02" w:rsidRPr="00C663CD">
        <w:rPr>
          <w:lang w:val="fr-CA"/>
        </w:rPr>
        <w:t>’</w:t>
      </w:r>
      <w:r w:rsidR="00FE54F2" w:rsidRPr="00C663CD">
        <w:rPr>
          <w:lang w:val="fr-CA"/>
        </w:rPr>
        <w:t>existence n</w:t>
      </w:r>
      <w:r w:rsidR="00C50E02" w:rsidRPr="00C663CD">
        <w:rPr>
          <w:lang w:val="fr-CA"/>
        </w:rPr>
        <w:t>’</w:t>
      </w:r>
      <w:r w:rsidR="00FE54F2" w:rsidRPr="00C663CD">
        <w:rPr>
          <w:lang w:val="fr-CA"/>
        </w:rPr>
        <w:t>a pas été révélée, du fait qu</w:t>
      </w:r>
      <w:r w:rsidR="00C50E02" w:rsidRPr="00C663CD">
        <w:rPr>
          <w:lang w:val="fr-CA"/>
        </w:rPr>
        <w:t>’</w:t>
      </w:r>
      <w:r w:rsidR="00FE54F2" w:rsidRPr="00C663CD">
        <w:rPr>
          <w:lang w:val="fr-CA"/>
        </w:rPr>
        <w:t>elles incitaient le VAC à favoriser le Marriott au détriment du Hilton, s</w:t>
      </w:r>
      <w:r w:rsidR="00C50E02" w:rsidRPr="00C663CD">
        <w:rPr>
          <w:lang w:val="fr-CA"/>
        </w:rPr>
        <w:t>’</w:t>
      </w:r>
      <w:r w:rsidR="00FE54F2" w:rsidRPr="00C663CD">
        <w:rPr>
          <w:lang w:val="fr-CA"/>
        </w:rPr>
        <w:t>agissant de l</w:t>
      </w:r>
      <w:r w:rsidR="00C50E02" w:rsidRPr="00C663CD">
        <w:rPr>
          <w:lang w:val="fr-CA"/>
        </w:rPr>
        <w:t>’</w:t>
      </w:r>
      <w:r w:rsidR="00FE54F2" w:rsidRPr="00C663CD">
        <w:rPr>
          <w:lang w:val="fr-CA"/>
        </w:rPr>
        <w:t>exploitation et de l</w:t>
      </w:r>
      <w:r w:rsidR="00C50E02" w:rsidRPr="00C663CD">
        <w:rPr>
          <w:lang w:val="fr-CA"/>
        </w:rPr>
        <w:t>’</w:t>
      </w:r>
      <w:r w:rsidR="00FE54F2" w:rsidRPr="00C663CD">
        <w:rPr>
          <w:lang w:val="fr-CA"/>
        </w:rPr>
        <w:t>administration des deux hôtels</w:t>
      </w:r>
      <w:r w:rsidR="002C06EC" w:rsidRPr="00C663CD">
        <w:rPr>
          <w:lang w:val="fr-CA"/>
        </w:rPr>
        <w:t>.</w:t>
      </w:r>
      <w:r w:rsidR="00602E62" w:rsidRPr="00C663CD">
        <w:rPr>
          <w:lang w:val="fr-CA"/>
        </w:rPr>
        <w:t xml:space="preserve"> </w:t>
      </w:r>
    </w:p>
    <w:p w:rsidR="00DC29BD" w:rsidRPr="00C663CD" w:rsidRDefault="007563AB" w:rsidP="001211F3">
      <w:pPr>
        <w:pStyle w:val="SCCNormalDoubleSpacing"/>
        <w:spacing w:after="480"/>
        <w:rPr>
          <w:lang w:val="fr-CA"/>
        </w:rPr>
      </w:pPr>
      <w:r w:rsidRPr="00C663CD">
        <w:rPr>
          <w:lang w:val="fr-CA"/>
        </w:rPr>
        <w:tab/>
      </w:r>
      <w:r w:rsidR="00376A30" w:rsidRPr="00C663CD">
        <w:rPr>
          <w:lang w:val="fr-CA"/>
        </w:rPr>
        <w:t>La juge de première instance a conclu que l</w:t>
      </w:r>
      <w:r w:rsidR="00C50E02" w:rsidRPr="00C663CD">
        <w:rPr>
          <w:lang w:val="fr-CA"/>
        </w:rPr>
        <w:t>’</w:t>
      </w:r>
      <w:r w:rsidR="00376A30" w:rsidRPr="00C663CD">
        <w:rPr>
          <w:lang w:val="fr-CA"/>
        </w:rPr>
        <w:t xml:space="preserve">omission </w:t>
      </w:r>
      <w:r w:rsidR="00B872C6" w:rsidRPr="00C663CD">
        <w:rPr>
          <w:lang w:val="fr-CA"/>
        </w:rPr>
        <w:t>de faire état des différences dans les ententes financières</w:t>
      </w:r>
      <w:r w:rsidR="00376A30" w:rsidRPr="00C663CD">
        <w:rPr>
          <w:lang w:val="fr-CA"/>
        </w:rPr>
        <w:t xml:space="preserve"> était à tout le moins susceptible d</w:t>
      </w:r>
      <w:r w:rsidR="00C50E02" w:rsidRPr="00C663CD">
        <w:rPr>
          <w:lang w:val="fr-CA"/>
        </w:rPr>
        <w:t>’</w:t>
      </w:r>
      <w:r w:rsidR="00376A30" w:rsidRPr="00C663CD">
        <w:rPr>
          <w:lang w:val="fr-CA"/>
        </w:rPr>
        <w:t>engendrer un conflit d</w:t>
      </w:r>
      <w:r w:rsidR="00C50E02" w:rsidRPr="00C663CD">
        <w:rPr>
          <w:lang w:val="fr-CA"/>
        </w:rPr>
        <w:t>’</w:t>
      </w:r>
      <w:r w:rsidR="00376A30" w:rsidRPr="00C663CD">
        <w:rPr>
          <w:lang w:val="fr-CA"/>
        </w:rPr>
        <w:t>intérêts, notamment parce que les deux hôtels pouvaient faire l</w:t>
      </w:r>
      <w:r w:rsidR="00C50E02" w:rsidRPr="00C663CD">
        <w:rPr>
          <w:lang w:val="fr-CA"/>
        </w:rPr>
        <w:t>’</w:t>
      </w:r>
      <w:r w:rsidR="00376A30" w:rsidRPr="00C663CD">
        <w:rPr>
          <w:lang w:val="fr-CA"/>
        </w:rPr>
        <w:t>objet d</w:t>
      </w:r>
      <w:r w:rsidR="00C50E02" w:rsidRPr="00C663CD">
        <w:rPr>
          <w:lang w:val="fr-CA"/>
        </w:rPr>
        <w:t>’</w:t>
      </w:r>
      <w:r w:rsidR="00376A30" w:rsidRPr="00C663CD">
        <w:rPr>
          <w:lang w:val="fr-CA"/>
        </w:rPr>
        <w:t>une administration commune</w:t>
      </w:r>
      <w:r w:rsidR="00602E62" w:rsidRPr="00C663CD">
        <w:rPr>
          <w:lang w:val="fr-CA"/>
        </w:rPr>
        <w:t xml:space="preserve">. </w:t>
      </w:r>
      <w:r w:rsidR="0082778E" w:rsidRPr="00C663CD">
        <w:rPr>
          <w:lang w:val="fr-CA"/>
        </w:rPr>
        <w:t xml:space="preserve"> </w:t>
      </w:r>
      <w:r w:rsidR="00D221B9" w:rsidRPr="00C663CD">
        <w:rPr>
          <w:lang w:val="fr-CA"/>
        </w:rPr>
        <w:t>Elle a ensuite</w:t>
      </w:r>
      <w:r w:rsidR="00265DB3" w:rsidRPr="00C663CD">
        <w:rPr>
          <w:lang w:val="fr-CA"/>
        </w:rPr>
        <w:t xml:space="preserve"> conclu que le VAC avait fait preuve de négligence en faisant des déclarations inexactes quant à l</w:t>
      </w:r>
      <w:r w:rsidR="00C50E02" w:rsidRPr="00C663CD">
        <w:rPr>
          <w:lang w:val="fr-CA"/>
        </w:rPr>
        <w:t>’</w:t>
      </w:r>
      <w:r w:rsidR="00265DB3" w:rsidRPr="00C663CD">
        <w:rPr>
          <w:lang w:val="fr-CA"/>
        </w:rPr>
        <w:t>absence de tout conflit d</w:t>
      </w:r>
      <w:r w:rsidR="00C50E02" w:rsidRPr="00C663CD">
        <w:rPr>
          <w:lang w:val="fr-CA"/>
        </w:rPr>
        <w:t>’</w:t>
      </w:r>
      <w:r w:rsidR="00265DB3" w:rsidRPr="00C663CD">
        <w:rPr>
          <w:lang w:val="fr-CA"/>
        </w:rPr>
        <w:t>intérêts — ou de toute possibilité d</w:t>
      </w:r>
      <w:r w:rsidR="00C50E02" w:rsidRPr="00C663CD">
        <w:rPr>
          <w:lang w:val="fr-CA"/>
        </w:rPr>
        <w:t>’</w:t>
      </w:r>
      <w:r w:rsidR="00265DB3" w:rsidRPr="00C663CD">
        <w:rPr>
          <w:lang w:val="fr-CA"/>
        </w:rPr>
        <w:t xml:space="preserve">un tel conflit — et au véritable contenu des </w:t>
      </w:r>
      <w:r w:rsidR="00265DB3" w:rsidRPr="00C663CD">
        <w:rPr>
          <w:lang w:val="fr-CA"/>
        </w:rPr>
        <w:lastRenderedPageBreak/>
        <w:t xml:space="preserve">ententes conclues </w:t>
      </w:r>
      <w:r w:rsidR="00405E5E" w:rsidRPr="00C663CD">
        <w:rPr>
          <w:lang w:val="fr-CA"/>
        </w:rPr>
        <w:t xml:space="preserve">avec </w:t>
      </w:r>
      <w:r w:rsidR="00265DB3" w:rsidRPr="00C663CD">
        <w:rPr>
          <w:lang w:val="fr-CA"/>
        </w:rPr>
        <w:t>les propriétaires du Marriott</w:t>
      </w:r>
      <w:r w:rsidR="00D221B9" w:rsidRPr="00C663CD">
        <w:rPr>
          <w:lang w:val="fr-CA"/>
        </w:rPr>
        <w:t>.  Selon elle, il</w:t>
      </w:r>
      <w:r w:rsidR="00B438C1" w:rsidRPr="00C663CD">
        <w:rPr>
          <w:lang w:val="fr-CA"/>
        </w:rPr>
        <w:t xml:space="preserve"> s</w:t>
      </w:r>
      <w:r w:rsidR="00C50E02" w:rsidRPr="00C663CD">
        <w:rPr>
          <w:lang w:val="fr-CA"/>
        </w:rPr>
        <w:t>’</w:t>
      </w:r>
      <w:r w:rsidR="00B438C1" w:rsidRPr="00C663CD">
        <w:rPr>
          <w:lang w:val="fr-CA"/>
        </w:rPr>
        <w:t>agissait de déclarations inexactes sur des points importants</w:t>
      </w:r>
      <w:r w:rsidR="00405E5E" w:rsidRPr="00C663CD">
        <w:rPr>
          <w:lang w:val="fr-CA"/>
        </w:rPr>
        <w:t xml:space="preserve">. </w:t>
      </w:r>
      <w:r w:rsidR="0082778E" w:rsidRPr="00C663CD">
        <w:rPr>
          <w:lang w:val="fr-CA"/>
        </w:rPr>
        <w:t xml:space="preserve"> </w:t>
      </w:r>
      <w:r w:rsidR="00DC29BD" w:rsidRPr="00C663CD">
        <w:rPr>
          <w:lang w:val="fr-CA"/>
        </w:rPr>
        <w:t>Bien que ses motifs ne soient pas tout à fait clairs, il semble qu</w:t>
      </w:r>
      <w:r w:rsidR="00C50E02" w:rsidRPr="00C663CD">
        <w:rPr>
          <w:lang w:val="fr-CA"/>
        </w:rPr>
        <w:t>’</w:t>
      </w:r>
      <w:r w:rsidR="00DC29BD" w:rsidRPr="00C663CD">
        <w:rPr>
          <w:lang w:val="fr-CA"/>
        </w:rPr>
        <w:t xml:space="preserve">elle a conclu que la responsabilité du VAC </w:t>
      </w:r>
      <w:r w:rsidR="00D221B9" w:rsidRPr="00C663CD">
        <w:rPr>
          <w:lang w:val="fr-CA"/>
        </w:rPr>
        <w:t>était</w:t>
      </w:r>
      <w:r w:rsidR="00DC29BD" w:rsidRPr="00C663CD">
        <w:rPr>
          <w:lang w:val="fr-CA"/>
        </w:rPr>
        <w:t xml:space="preserve"> engagée selon </w:t>
      </w:r>
      <w:r w:rsidR="00B438C1" w:rsidRPr="00C663CD">
        <w:rPr>
          <w:lang w:val="fr-CA"/>
        </w:rPr>
        <w:t xml:space="preserve">les règles de la </w:t>
      </w:r>
      <w:proofErr w:type="spellStart"/>
      <w:r w:rsidR="00B438C1" w:rsidRPr="00C663CD">
        <w:rPr>
          <w:lang w:val="fr-CA"/>
        </w:rPr>
        <w:t>common</w:t>
      </w:r>
      <w:proofErr w:type="spellEnd"/>
      <w:r w:rsidR="00B438C1" w:rsidRPr="00C663CD">
        <w:rPr>
          <w:lang w:val="fr-CA"/>
        </w:rPr>
        <w:t xml:space="preserve"> </w:t>
      </w:r>
      <w:proofErr w:type="spellStart"/>
      <w:r w:rsidR="00B438C1" w:rsidRPr="00C663CD">
        <w:rPr>
          <w:lang w:val="fr-CA"/>
        </w:rPr>
        <w:t>law</w:t>
      </w:r>
      <w:proofErr w:type="spellEnd"/>
      <w:r w:rsidR="00B438C1" w:rsidRPr="00C663CD">
        <w:rPr>
          <w:lang w:val="fr-CA"/>
        </w:rPr>
        <w:t xml:space="preserve"> et celles de la </w:t>
      </w:r>
      <w:r w:rsidR="00B438C1" w:rsidRPr="00C663CD">
        <w:rPr>
          <w:i/>
          <w:lang w:val="fr-CA"/>
        </w:rPr>
        <w:t xml:space="preserve">Real </w:t>
      </w:r>
      <w:proofErr w:type="spellStart"/>
      <w:r w:rsidR="00B438C1" w:rsidRPr="00C663CD">
        <w:rPr>
          <w:i/>
          <w:lang w:val="fr-CA"/>
        </w:rPr>
        <w:t>Estate</w:t>
      </w:r>
      <w:proofErr w:type="spellEnd"/>
      <w:r w:rsidR="00B438C1" w:rsidRPr="00C663CD">
        <w:rPr>
          <w:i/>
          <w:lang w:val="fr-CA"/>
        </w:rPr>
        <w:t xml:space="preserve"> </w:t>
      </w:r>
      <w:proofErr w:type="spellStart"/>
      <w:r w:rsidR="00B438C1" w:rsidRPr="00C663CD">
        <w:rPr>
          <w:i/>
          <w:lang w:val="fr-CA"/>
        </w:rPr>
        <w:t>Act</w:t>
      </w:r>
      <w:proofErr w:type="spellEnd"/>
      <w:r w:rsidR="00602E62" w:rsidRPr="00C663CD">
        <w:rPr>
          <w:lang w:val="fr-CA"/>
        </w:rPr>
        <w:t>.</w:t>
      </w:r>
      <w:r w:rsidR="00D221B9" w:rsidRPr="00C663CD">
        <w:rPr>
          <w:lang w:val="fr-CA"/>
        </w:rPr>
        <w:t xml:space="preserve">  Elle a aussi</w:t>
      </w:r>
      <w:r w:rsidR="00B438C1" w:rsidRPr="00C663CD">
        <w:rPr>
          <w:lang w:val="fr-CA"/>
        </w:rPr>
        <w:t xml:space="preserve"> conclu que sous le régime de la </w:t>
      </w:r>
      <w:r w:rsidR="00405E5E" w:rsidRPr="00C663CD">
        <w:rPr>
          <w:i/>
          <w:lang w:val="fr-CA"/>
        </w:rPr>
        <w:t xml:space="preserve">Real </w:t>
      </w:r>
      <w:proofErr w:type="spellStart"/>
      <w:r w:rsidR="00405E5E" w:rsidRPr="00C663CD">
        <w:rPr>
          <w:i/>
          <w:lang w:val="fr-CA"/>
        </w:rPr>
        <w:t>Estate</w:t>
      </w:r>
      <w:proofErr w:type="spellEnd"/>
      <w:r w:rsidR="00405E5E" w:rsidRPr="00C663CD">
        <w:rPr>
          <w:i/>
          <w:lang w:val="fr-CA"/>
        </w:rPr>
        <w:t xml:space="preserve"> </w:t>
      </w:r>
      <w:proofErr w:type="spellStart"/>
      <w:r w:rsidR="00405E5E" w:rsidRPr="00C663CD">
        <w:rPr>
          <w:i/>
          <w:lang w:val="fr-CA"/>
        </w:rPr>
        <w:t>Act</w:t>
      </w:r>
      <w:proofErr w:type="spellEnd"/>
      <w:r w:rsidR="00405E5E" w:rsidRPr="00C663CD">
        <w:rPr>
          <w:lang w:val="fr-CA"/>
        </w:rPr>
        <w:t xml:space="preserve"> </w:t>
      </w:r>
      <w:r w:rsidR="00B438C1" w:rsidRPr="00C663CD">
        <w:rPr>
          <w:lang w:val="fr-CA"/>
        </w:rPr>
        <w:t>les investisseurs étaient réputés s</w:t>
      </w:r>
      <w:r w:rsidR="00C50E02" w:rsidRPr="00C663CD">
        <w:rPr>
          <w:lang w:val="fr-CA"/>
        </w:rPr>
        <w:t>’</w:t>
      </w:r>
      <w:r w:rsidR="00B438C1" w:rsidRPr="00C663CD">
        <w:rPr>
          <w:lang w:val="fr-CA"/>
        </w:rPr>
        <w:t>être fiés aux déclarations inexactes du VAC sur des points importants et que cette présomption ne pouvait être réfutée.</w:t>
      </w:r>
      <w:r w:rsidR="009C0F73" w:rsidRPr="00C663CD">
        <w:rPr>
          <w:lang w:val="fr-CA"/>
        </w:rPr>
        <w:t xml:space="preserve">  </w:t>
      </w:r>
      <w:r w:rsidR="00B7580D" w:rsidRPr="00C663CD">
        <w:rPr>
          <w:lang w:val="fr-CA"/>
        </w:rPr>
        <w:t>La juge a conclu qu</w:t>
      </w:r>
      <w:r w:rsidR="00C50E02" w:rsidRPr="00C663CD">
        <w:rPr>
          <w:lang w:val="fr-CA"/>
        </w:rPr>
        <w:t>’</w:t>
      </w:r>
      <w:r w:rsidR="00B7580D" w:rsidRPr="00C663CD">
        <w:rPr>
          <w:lang w:val="fr-CA"/>
        </w:rPr>
        <w:t>à titre d</w:t>
      </w:r>
      <w:r w:rsidR="00C50E02" w:rsidRPr="00C663CD">
        <w:rPr>
          <w:lang w:val="fr-CA"/>
        </w:rPr>
        <w:t>’</w:t>
      </w:r>
      <w:r w:rsidR="00B7580D" w:rsidRPr="00C663CD">
        <w:rPr>
          <w:lang w:val="fr-CA"/>
        </w:rPr>
        <w:t>administrateur</w:t>
      </w:r>
      <w:r w:rsidR="00224705" w:rsidRPr="00C663CD">
        <w:rPr>
          <w:lang w:val="fr-CA"/>
        </w:rPr>
        <w:t>,</w:t>
      </w:r>
      <w:r w:rsidR="00B7580D" w:rsidRPr="00C663CD">
        <w:rPr>
          <w:lang w:val="fr-CA"/>
        </w:rPr>
        <w:t xml:space="preserve"> le VAC avait une obligation fiducia</w:t>
      </w:r>
      <w:r w:rsidR="003A2075" w:rsidRPr="00C663CD">
        <w:rPr>
          <w:lang w:val="fr-CA"/>
        </w:rPr>
        <w:t>ir</w:t>
      </w:r>
      <w:r w:rsidR="00B7580D" w:rsidRPr="00C663CD">
        <w:rPr>
          <w:lang w:val="fr-CA"/>
        </w:rPr>
        <w:t>e envers les propriétaires du Hilton, que ses intérêts relativement à l</w:t>
      </w:r>
      <w:r w:rsidR="00C50E02" w:rsidRPr="00C663CD">
        <w:rPr>
          <w:lang w:val="fr-CA"/>
        </w:rPr>
        <w:t>’</w:t>
      </w:r>
      <w:r w:rsidR="00B7580D" w:rsidRPr="00C663CD">
        <w:rPr>
          <w:lang w:val="fr-CA"/>
        </w:rPr>
        <w:t>un et l</w:t>
      </w:r>
      <w:r w:rsidR="00C50E02" w:rsidRPr="00C663CD">
        <w:rPr>
          <w:lang w:val="fr-CA"/>
        </w:rPr>
        <w:t>’</w:t>
      </w:r>
      <w:r w:rsidR="00B7580D" w:rsidRPr="00C663CD">
        <w:rPr>
          <w:lang w:val="fr-CA"/>
        </w:rPr>
        <w:t xml:space="preserve">autre hôtel étaient </w:t>
      </w:r>
      <w:r w:rsidR="009C0F73" w:rsidRPr="00C663CD">
        <w:rPr>
          <w:lang w:val="fr-CA"/>
        </w:rPr>
        <w:t>en conflit</w:t>
      </w:r>
      <w:r w:rsidR="00B7580D" w:rsidRPr="00C663CD">
        <w:rPr>
          <w:lang w:val="fr-CA"/>
        </w:rPr>
        <w:t>, et qu</w:t>
      </w:r>
      <w:r w:rsidR="00C50E02" w:rsidRPr="00C663CD">
        <w:rPr>
          <w:lang w:val="fr-CA"/>
        </w:rPr>
        <w:t>’</w:t>
      </w:r>
      <w:r w:rsidR="00B7580D" w:rsidRPr="00C663CD">
        <w:rPr>
          <w:lang w:val="fr-CA"/>
        </w:rPr>
        <w:t>il avait manqué à son obligation fiducia</w:t>
      </w:r>
      <w:r w:rsidR="003A2075" w:rsidRPr="00C663CD">
        <w:rPr>
          <w:lang w:val="fr-CA"/>
        </w:rPr>
        <w:t>ir</w:t>
      </w:r>
      <w:r w:rsidR="00B7580D" w:rsidRPr="00C663CD">
        <w:rPr>
          <w:lang w:val="fr-CA"/>
        </w:rPr>
        <w:t>e en omettant de signaler l</w:t>
      </w:r>
      <w:r w:rsidR="00C50E02" w:rsidRPr="00C663CD">
        <w:rPr>
          <w:lang w:val="fr-CA"/>
        </w:rPr>
        <w:t>’</w:t>
      </w:r>
      <w:r w:rsidR="00B7580D" w:rsidRPr="00C663CD">
        <w:rPr>
          <w:lang w:val="fr-CA"/>
        </w:rPr>
        <w:t>existence de ce conflit.</w:t>
      </w:r>
      <w:r w:rsidR="00602E62" w:rsidRPr="00C663CD">
        <w:rPr>
          <w:lang w:val="fr-CA"/>
        </w:rPr>
        <w:t xml:space="preserve"> </w:t>
      </w:r>
      <w:r w:rsidR="0082778E" w:rsidRPr="00C663CD">
        <w:rPr>
          <w:lang w:val="fr-CA"/>
        </w:rPr>
        <w:t xml:space="preserve"> </w:t>
      </w:r>
      <w:r w:rsidR="00190359" w:rsidRPr="00C663CD">
        <w:rPr>
          <w:lang w:val="fr-CA"/>
        </w:rPr>
        <w:t xml:space="preserve">Elle a </w:t>
      </w:r>
      <w:r w:rsidR="009C0F73" w:rsidRPr="00C663CD">
        <w:rPr>
          <w:lang w:val="fr-CA"/>
        </w:rPr>
        <w:t>enfin</w:t>
      </w:r>
      <w:r w:rsidR="00190359" w:rsidRPr="00C663CD">
        <w:rPr>
          <w:lang w:val="fr-CA"/>
        </w:rPr>
        <w:t xml:space="preserve"> conclu que le VAC avait manqué à son obligation fiducia</w:t>
      </w:r>
      <w:r w:rsidR="003A2075" w:rsidRPr="00C663CD">
        <w:rPr>
          <w:lang w:val="fr-CA"/>
        </w:rPr>
        <w:t>ir</w:t>
      </w:r>
      <w:r w:rsidR="00190359" w:rsidRPr="00C663CD">
        <w:rPr>
          <w:lang w:val="fr-CA"/>
        </w:rPr>
        <w:t xml:space="preserve">e </w:t>
      </w:r>
      <w:r w:rsidR="009C0F73" w:rsidRPr="00C663CD">
        <w:rPr>
          <w:lang w:val="fr-CA"/>
        </w:rPr>
        <w:t>en sa qualité d</w:t>
      </w:r>
      <w:r w:rsidR="00C50E02" w:rsidRPr="00C663CD">
        <w:rPr>
          <w:lang w:val="fr-CA"/>
        </w:rPr>
        <w:t>’</w:t>
      </w:r>
      <w:r w:rsidR="00190359" w:rsidRPr="00C663CD">
        <w:rPr>
          <w:lang w:val="fr-CA"/>
        </w:rPr>
        <w:t>administrateur</w:t>
      </w:r>
      <w:r w:rsidR="009C0F73" w:rsidRPr="00C663CD">
        <w:rPr>
          <w:lang w:val="fr-CA"/>
        </w:rPr>
        <w:t>.</w:t>
      </w:r>
      <w:r w:rsidR="00F73BA6" w:rsidRPr="00C663CD">
        <w:rPr>
          <w:lang w:val="fr-CA"/>
        </w:rPr>
        <w:t xml:space="preserve"> </w:t>
      </w:r>
    </w:p>
    <w:p w:rsidR="00602E62" w:rsidRPr="00C663CD" w:rsidRDefault="007563AB" w:rsidP="001211F3">
      <w:pPr>
        <w:pStyle w:val="SCCNormalDoubleSpacing"/>
        <w:spacing w:after="480"/>
        <w:rPr>
          <w:lang w:val="fr-CA"/>
        </w:rPr>
      </w:pPr>
      <w:r w:rsidRPr="00C663CD">
        <w:rPr>
          <w:lang w:val="fr-CA"/>
        </w:rPr>
        <w:tab/>
      </w:r>
      <w:r w:rsidR="00190359" w:rsidRPr="00C663CD">
        <w:rPr>
          <w:lang w:val="fr-CA"/>
        </w:rPr>
        <w:t>La Cour d</w:t>
      </w:r>
      <w:r w:rsidR="00C50E02" w:rsidRPr="00C663CD">
        <w:rPr>
          <w:lang w:val="fr-CA"/>
        </w:rPr>
        <w:t>’</w:t>
      </w:r>
      <w:r w:rsidR="00190359" w:rsidRPr="00C663CD">
        <w:rPr>
          <w:lang w:val="fr-CA"/>
        </w:rPr>
        <w:t>appel a accueilli l</w:t>
      </w:r>
      <w:r w:rsidR="00C50E02" w:rsidRPr="00C663CD">
        <w:rPr>
          <w:lang w:val="fr-CA"/>
        </w:rPr>
        <w:t>’</w:t>
      </w:r>
      <w:r w:rsidR="00190359" w:rsidRPr="00C663CD">
        <w:rPr>
          <w:lang w:val="fr-CA"/>
        </w:rPr>
        <w:t xml:space="preserve">appel du </w:t>
      </w:r>
      <w:r w:rsidR="00F73BA6" w:rsidRPr="00C663CD">
        <w:rPr>
          <w:lang w:val="fr-CA"/>
        </w:rPr>
        <w:t>VAC</w:t>
      </w:r>
      <w:r w:rsidR="009C0F73" w:rsidRPr="00C663CD">
        <w:rPr>
          <w:lang w:val="fr-CA"/>
        </w:rPr>
        <w:t>, concluant que</w:t>
      </w:r>
      <w:r w:rsidR="00F51D76" w:rsidRPr="00C663CD">
        <w:rPr>
          <w:lang w:val="fr-CA"/>
        </w:rPr>
        <w:t xml:space="preserve"> les modalités des ententes financières relatives à l</w:t>
      </w:r>
      <w:r w:rsidR="00C50E02" w:rsidRPr="00C663CD">
        <w:rPr>
          <w:lang w:val="fr-CA"/>
        </w:rPr>
        <w:t>’</w:t>
      </w:r>
      <w:r w:rsidR="00F51D76" w:rsidRPr="00C663CD">
        <w:rPr>
          <w:lang w:val="fr-CA"/>
        </w:rPr>
        <w:t>un et l</w:t>
      </w:r>
      <w:r w:rsidR="00C50E02" w:rsidRPr="00C663CD">
        <w:rPr>
          <w:lang w:val="fr-CA"/>
        </w:rPr>
        <w:t>’</w:t>
      </w:r>
      <w:r w:rsidR="00F51D76" w:rsidRPr="00C663CD">
        <w:rPr>
          <w:lang w:val="fr-CA"/>
        </w:rPr>
        <w:t>autre hôtel étaient sans importance.</w:t>
      </w:r>
      <w:r w:rsidR="009C0F73" w:rsidRPr="00C663CD">
        <w:rPr>
          <w:lang w:val="fr-CA"/>
        </w:rPr>
        <w:t xml:space="preserve">  Elle a aussi</w:t>
      </w:r>
      <w:r w:rsidR="0028406C" w:rsidRPr="00C663CD">
        <w:rPr>
          <w:lang w:val="fr-CA"/>
        </w:rPr>
        <w:t xml:space="preserve"> conclu que le VAC n</w:t>
      </w:r>
      <w:r w:rsidR="00C50E02" w:rsidRPr="00C663CD">
        <w:rPr>
          <w:lang w:val="fr-CA"/>
        </w:rPr>
        <w:t>’</w:t>
      </w:r>
      <w:r w:rsidR="0028406C" w:rsidRPr="00C663CD">
        <w:rPr>
          <w:lang w:val="fr-CA"/>
        </w:rPr>
        <w:t>avait pas manqué à son obligation fiducia</w:t>
      </w:r>
      <w:r w:rsidR="003A2075" w:rsidRPr="00C663CD">
        <w:rPr>
          <w:lang w:val="fr-CA"/>
        </w:rPr>
        <w:t>ir</w:t>
      </w:r>
      <w:r w:rsidR="0028406C" w:rsidRPr="00C663CD">
        <w:rPr>
          <w:lang w:val="fr-CA"/>
        </w:rPr>
        <w:t>e</w:t>
      </w:r>
      <w:r w:rsidR="00F73BA6" w:rsidRPr="00C663CD">
        <w:rPr>
          <w:lang w:val="fr-CA"/>
        </w:rPr>
        <w:t>.</w:t>
      </w:r>
    </w:p>
    <w:p w:rsidR="002700EF" w:rsidRPr="00C663CD" w:rsidRDefault="007563AB" w:rsidP="001211F3">
      <w:pPr>
        <w:pStyle w:val="SCCNormalDoubleSpacing"/>
        <w:spacing w:after="480"/>
        <w:rPr>
          <w:lang w:val="fr-CA"/>
        </w:rPr>
      </w:pPr>
      <w:r w:rsidRPr="00C663CD">
        <w:rPr>
          <w:i/>
          <w:lang w:val="fr-CA"/>
        </w:rPr>
        <w:tab/>
      </w:r>
      <w:r w:rsidR="00781DC2" w:rsidRPr="00C663CD">
        <w:rPr>
          <w:i/>
          <w:lang w:val="fr-CA"/>
        </w:rPr>
        <w:t>Arrêt</w:t>
      </w:r>
      <w:r w:rsidR="003A2DDE" w:rsidRPr="00C663CD">
        <w:rPr>
          <w:lang w:val="fr-CA"/>
        </w:rPr>
        <w:t> :</w:t>
      </w:r>
      <w:r w:rsidR="002C06EC" w:rsidRPr="00C663CD">
        <w:rPr>
          <w:i/>
          <w:lang w:val="fr-CA"/>
        </w:rPr>
        <w:t xml:space="preserve"> </w:t>
      </w:r>
      <w:r w:rsidR="00271B11" w:rsidRPr="00C663CD">
        <w:rPr>
          <w:lang w:val="fr-CA"/>
        </w:rPr>
        <w:t>Le pourvoi est rejeté</w:t>
      </w:r>
      <w:r w:rsidR="002C06EC" w:rsidRPr="00C663CD">
        <w:rPr>
          <w:lang w:val="fr-CA"/>
        </w:rPr>
        <w:t>.</w:t>
      </w:r>
    </w:p>
    <w:p w:rsidR="008B0CB6" w:rsidRPr="00C663CD" w:rsidRDefault="007563AB" w:rsidP="001211F3">
      <w:pPr>
        <w:pStyle w:val="SCCNormalDoubleSpacing"/>
        <w:spacing w:after="480"/>
        <w:rPr>
          <w:lang w:val="fr-CA"/>
        </w:rPr>
      </w:pPr>
      <w:r w:rsidRPr="00C663CD">
        <w:rPr>
          <w:lang w:val="fr-CA"/>
        </w:rPr>
        <w:tab/>
      </w:r>
      <w:r w:rsidR="00271B11" w:rsidRPr="00C663CD">
        <w:rPr>
          <w:lang w:val="fr-CA"/>
        </w:rPr>
        <w:t xml:space="preserve">La </w:t>
      </w:r>
      <w:r w:rsidR="00271B11" w:rsidRPr="00C663CD">
        <w:rPr>
          <w:i/>
          <w:lang w:val="fr-CA"/>
        </w:rPr>
        <w:t xml:space="preserve">Securities </w:t>
      </w:r>
      <w:proofErr w:type="spellStart"/>
      <w:r w:rsidR="00271B11" w:rsidRPr="00C663CD">
        <w:rPr>
          <w:i/>
          <w:lang w:val="fr-CA"/>
        </w:rPr>
        <w:t>Act</w:t>
      </w:r>
      <w:proofErr w:type="spellEnd"/>
      <w:r w:rsidR="00271B11" w:rsidRPr="00C663CD">
        <w:rPr>
          <w:lang w:val="fr-CA"/>
        </w:rPr>
        <w:t xml:space="preserve"> et la </w:t>
      </w:r>
      <w:r w:rsidR="00271B11" w:rsidRPr="00C663CD">
        <w:rPr>
          <w:i/>
          <w:lang w:val="fr-CA"/>
        </w:rPr>
        <w:t xml:space="preserve">Real </w:t>
      </w:r>
      <w:proofErr w:type="spellStart"/>
      <w:r w:rsidR="00271B11" w:rsidRPr="00C663CD">
        <w:rPr>
          <w:i/>
          <w:lang w:val="fr-CA"/>
        </w:rPr>
        <w:t>Estate</w:t>
      </w:r>
      <w:proofErr w:type="spellEnd"/>
      <w:r w:rsidR="00271B11" w:rsidRPr="00C663CD">
        <w:rPr>
          <w:i/>
          <w:lang w:val="fr-CA"/>
        </w:rPr>
        <w:t xml:space="preserve"> </w:t>
      </w:r>
      <w:proofErr w:type="spellStart"/>
      <w:r w:rsidR="00271B11" w:rsidRPr="00C663CD">
        <w:rPr>
          <w:i/>
          <w:lang w:val="fr-CA"/>
        </w:rPr>
        <w:t>Act</w:t>
      </w:r>
      <w:proofErr w:type="spellEnd"/>
      <w:r w:rsidR="00271B11" w:rsidRPr="00C663CD">
        <w:rPr>
          <w:lang w:val="fr-CA"/>
        </w:rPr>
        <w:t xml:space="preserve"> prévoyaient les obligations du VAC en matière de communication</w:t>
      </w:r>
      <w:r w:rsidR="002700EF" w:rsidRPr="00C663CD">
        <w:rPr>
          <w:lang w:val="fr-CA"/>
        </w:rPr>
        <w:t>.</w:t>
      </w:r>
      <w:r w:rsidR="00731213" w:rsidRPr="00C663CD">
        <w:rPr>
          <w:lang w:val="fr-CA"/>
        </w:rPr>
        <w:t xml:space="preserve"> </w:t>
      </w:r>
      <w:r w:rsidR="002700EF" w:rsidRPr="00C663CD">
        <w:rPr>
          <w:lang w:val="fr-CA"/>
        </w:rPr>
        <w:t xml:space="preserve"> </w:t>
      </w:r>
      <w:r w:rsidR="00DC29BD" w:rsidRPr="00C663CD">
        <w:rPr>
          <w:lang w:val="fr-CA"/>
        </w:rPr>
        <w:t>L</w:t>
      </w:r>
      <w:r w:rsidR="00BA2446" w:rsidRPr="00C663CD">
        <w:rPr>
          <w:lang w:val="fr-CA"/>
        </w:rPr>
        <w:t xml:space="preserve">e VAC ne devait fournir que </w:t>
      </w:r>
      <w:r w:rsidR="00DC29BD" w:rsidRPr="00C663CD">
        <w:rPr>
          <w:lang w:val="fr-CA"/>
        </w:rPr>
        <w:t xml:space="preserve">certains </w:t>
      </w:r>
      <w:r w:rsidR="00BA2446" w:rsidRPr="00C663CD">
        <w:rPr>
          <w:lang w:val="fr-CA"/>
        </w:rPr>
        <w:t xml:space="preserve">renseignements </w:t>
      </w:r>
      <w:r w:rsidR="009C0F73" w:rsidRPr="00C663CD">
        <w:rPr>
          <w:lang w:val="fr-CA"/>
        </w:rPr>
        <w:t>bien précis</w:t>
      </w:r>
      <w:r w:rsidR="00DC29BD" w:rsidRPr="00C663CD">
        <w:rPr>
          <w:lang w:val="fr-CA"/>
        </w:rPr>
        <w:t xml:space="preserve">. </w:t>
      </w:r>
      <w:r w:rsidR="0082778E" w:rsidRPr="00C663CD">
        <w:rPr>
          <w:lang w:val="fr-CA"/>
        </w:rPr>
        <w:t xml:space="preserve"> </w:t>
      </w:r>
      <w:r w:rsidR="0001748D" w:rsidRPr="00C663CD">
        <w:rPr>
          <w:lang w:val="fr-CA"/>
        </w:rPr>
        <w:t xml:space="preserve">Le VAC a </w:t>
      </w:r>
      <w:r w:rsidR="009C0F73" w:rsidRPr="00C663CD">
        <w:rPr>
          <w:lang w:val="fr-CA"/>
        </w:rPr>
        <w:t>satisfait aux exigences de l</w:t>
      </w:r>
      <w:r w:rsidR="00C50E02" w:rsidRPr="00C663CD">
        <w:rPr>
          <w:lang w:val="fr-CA"/>
        </w:rPr>
        <w:t>’</w:t>
      </w:r>
      <w:r w:rsidR="009C0F73" w:rsidRPr="00C663CD">
        <w:rPr>
          <w:lang w:val="fr-CA"/>
        </w:rPr>
        <w:t>une et l</w:t>
      </w:r>
      <w:r w:rsidR="00C50E02" w:rsidRPr="00C663CD">
        <w:rPr>
          <w:lang w:val="fr-CA"/>
        </w:rPr>
        <w:t>’</w:t>
      </w:r>
      <w:r w:rsidR="009C0F73" w:rsidRPr="00C663CD">
        <w:rPr>
          <w:lang w:val="fr-CA"/>
        </w:rPr>
        <w:t>autre loi dans un seul document</w:t>
      </w:r>
      <w:r w:rsidR="0044686D" w:rsidRPr="00C663CD">
        <w:rPr>
          <w:lang w:val="fr-CA"/>
        </w:rPr>
        <w:t>, à savoir</w:t>
      </w:r>
      <w:r w:rsidR="009C0F73" w:rsidRPr="00C663CD">
        <w:rPr>
          <w:lang w:val="fr-CA"/>
        </w:rPr>
        <w:t xml:space="preserve"> </w:t>
      </w:r>
      <w:r w:rsidR="0001748D" w:rsidRPr="00C663CD">
        <w:rPr>
          <w:lang w:val="fr-CA"/>
        </w:rPr>
        <w:t>le document du Hilton</w:t>
      </w:r>
      <w:r w:rsidR="002700EF" w:rsidRPr="00C663CD">
        <w:rPr>
          <w:lang w:val="fr-CA"/>
        </w:rPr>
        <w:t>.</w:t>
      </w:r>
      <w:r w:rsidR="00363A9F" w:rsidRPr="00C663CD">
        <w:rPr>
          <w:lang w:val="fr-CA"/>
        </w:rPr>
        <w:t xml:space="preserve"> </w:t>
      </w:r>
    </w:p>
    <w:p w:rsidR="008B0CB6" w:rsidRPr="00C663CD" w:rsidRDefault="007563AB" w:rsidP="001211F3">
      <w:pPr>
        <w:pStyle w:val="SCCNormalDoubleSpacing"/>
        <w:spacing w:after="480"/>
        <w:rPr>
          <w:lang w:val="fr-CA"/>
        </w:rPr>
      </w:pPr>
      <w:r w:rsidRPr="00C663CD">
        <w:rPr>
          <w:lang w:val="fr-CA"/>
        </w:rPr>
        <w:lastRenderedPageBreak/>
        <w:tab/>
      </w:r>
      <w:r w:rsidR="00A47D8F" w:rsidRPr="00C663CD">
        <w:rPr>
          <w:lang w:val="fr-CA"/>
        </w:rPr>
        <w:t>S prétend que la responsabilité du VAC est engagée au motif qu</w:t>
      </w:r>
      <w:r w:rsidR="00C50E02" w:rsidRPr="00C663CD">
        <w:rPr>
          <w:lang w:val="fr-CA"/>
        </w:rPr>
        <w:t>’</w:t>
      </w:r>
      <w:r w:rsidR="00A47D8F" w:rsidRPr="00C663CD">
        <w:rPr>
          <w:lang w:val="fr-CA"/>
        </w:rPr>
        <w:t xml:space="preserve">il aurait fait des déclarations inexactes </w:t>
      </w:r>
      <w:r w:rsidR="008B0CB6" w:rsidRPr="00C663CD">
        <w:rPr>
          <w:lang w:val="fr-CA"/>
        </w:rPr>
        <w:t xml:space="preserve">dans le document du Hilton et que </w:t>
      </w:r>
      <w:proofErr w:type="spellStart"/>
      <w:r w:rsidR="008B0CB6" w:rsidRPr="00C663CD">
        <w:rPr>
          <w:lang w:val="fr-CA"/>
        </w:rPr>
        <w:t>celles</w:t>
      </w:r>
      <w:r w:rsidR="003A2DDE" w:rsidRPr="00C663CD">
        <w:rPr>
          <w:lang w:val="fr-CA"/>
        </w:rPr>
        <w:noBreakHyphen/>
      </w:r>
      <w:r w:rsidR="008B0CB6" w:rsidRPr="00C663CD">
        <w:rPr>
          <w:lang w:val="fr-CA"/>
        </w:rPr>
        <w:t>ci</w:t>
      </w:r>
      <w:proofErr w:type="spellEnd"/>
      <w:r w:rsidR="008B0CB6" w:rsidRPr="00C663CD">
        <w:rPr>
          <w:lang w:val="fr-CA"/>
        </w:rPr>
        <w:t xml:space="preserve"> auraient </w:t>
      </w:r>
      <w:r w:rsidR="00A47D8F" w:rsidRPr="00C663CD">
        <w:rPr>
          <w:lang w:val="fr-CA"/>
        </w:rPr>
        <w:t>mené à l</w:t>
      </w:r>
      <w:r w:rsidR="00C50E02" w:rsidRPr="00C663CD">
        <w:rPr>
          <w:lang w:val="fr-CA"/>
        </w:rPr>
        <w:t>’</w:t>
      </w:r>
      <w:r w:rsidR="00A47D8F" w:rsidRPr="00C663CD">
        <w:rPr>
          <w:lang w:val="fr-CA"/>
        </w:rPr>
        <w:t>omission de faire état d</w:t>
      </w:r>
      <w:r w:rsidR="00C50E02" w:rsidRPr="00C663CD">
        <w:rPr>
          <w:lang w:val="fr-CA"/>
        </w:rPr>
        <w:t>’</w:t>
      </w:r>
      <w:r w:rsidR="00A47D8F" w:rsidRPr="00C663CD">
        <w:rPr>
          <w:lang w:val="fr-CA"/>
        </w:rPr>
        <w:t>un conflit d</w:t>
      </w:r>
      <w:r w:rsidR="00C50E02" w:rsidRPr="00C663CD">
        <w:rPr>
          <w:lang w:val="fr-CA"/>
        </w:rPr>
        <w:t>’</w:t>
      </w:r>
      <w:r w:rsidR="00A47D8F" w:rsidRPr="00C663CD">
        <w:rPr>
          <w:lang w:val="fr-CA"/>
        </w:rPr>
        <w:t>intérêts important</w:t>
      </w:r>
      <w:r w:rsidR="00A96418" w:rsidRPr="00C663CD">
        <w:rPr>
          <w:lang w:val="fr-CA"/>
        </w:rPr>
        <w:t xml:space="preserve"> </w:t>
      </w:r>
      <w:r w:rsidR="00131AF7" w:rsidRPr="00C663CD">
        <w:rPr>
          <w:lang w:val="fr-CA"/>
        </w:rPr>
        <w:t>donnant ouverture à deux causes d</w:t>
      </w:r>
      <w:r w:rsidR="00C50E02" w:rsidRPr="00C663CD">
        <w:rPr>
          <w:lang w:val="fr-CA"/>
        </w:rPr>
        <w:t>’</w:t>
      </w:r>
      <w:r w:rsidR="00131AF7" w:rsidRPr="00C663CD">
        <w:rPr>
          <w:lang w:val="fr-CA"/>
        </w:rPr>
        <w:t>action possibles</w:t>
      </w:r>
      <w:r w:rsidR="003A2DDE" w:rsidRPr="00C663CD">
        <w:rPr>
          <w:lang w:val="fr-CA"/>
        </w:rPr>
        <w:t> :</w:t>
      </w:r>
      <w:r w:rsidR="00731213" w:rsidRPr="00C663CD">
        <w:rPr>
          <w:lang w:val="fr-CA"/>
        </w:rPr>
        <w:t xml:space="preserve"> </w:t>
      </w:r>
      <w:r w:rsidR="00B32675" w:rsidRPr="00C663CD">
        <w:rPr>
          <w:lang w:val="fr-CA"/>
        </w:rPr>
        <w:t>l</w:t>
      </w:r>
      <w:r w:rsidR="00C50E02" w:rsidRPr="00C663CD">
        <w:rPr>
          <w:lang w:val="fr-CA"/>
        </w:rPr>
        <w:t>’</w:t>
      </w:r>
      <w:r w:rsidR="00B32675" w:rsidRPr="00C663CD">
        <w:rPr>
          <w:lang w:val="fr-CA"/>
        </w:rPr>
        <w:t>une repose sur l</w:t>
      </w:r>
      <w:r w:rsidR="00C50E02" w:rsidRPr="00C663CD">
        <w:rPr>
          <w:lang w:val="fr-CA"/>
        </w:rPr>
        <w:t>’</w:t>
      </w:r>
      <w:r w:rsidR="003A2DDE" w:rsidRPr="00C663CD">
        <w:rPr>
          <w:lang w:val="fr-CA"/>
        </w:rPr>
        <w:t>art. </w:t>
      </w:r>
      <w:r w:rsidR="00B32675" w:rsidRPr="00C663CD">
        <w:rPr>
          <w:lang w:val="fr-CA"/>
        </w:rPr>
        <w:t>75 de la</w:t>
      </w:r>
      <w:r w:rsidR="009C0F73" w:rsidRPr="00C663CD">
        <w:rPr>
          <w:lang w:val="fr-CA"/>
        </w:rPr>
        <w:t xml:space="preserve"> </w:t>
      </w:r>
      <w:r w:rsidR="009C0F73" w:rsidRPr="00C663CD">
        <w:rPr>
          <w:i/>
          <w:lang w:val="fr-CA"/>
        </w:rPr>
        <w:t xml:space="preserve">Real </w:t>
      </w:r>
      <w:proofErr w:type="spellStart"/>
      <w:r w:rsidR="009C0F73" w:rsidRPr="00C663CD">
        <w:rPr>
          <w:i/>
          <w:lang w:val="fr-CA"/>
        </w:rPr>
        <w:t>Estate</w:t>
      </w:r>
      <w:proofErr w:type="spellEnd"/>
      <w:r w:rsidR="009C0F73" w:rsidRPr="00C663CD">
        <w:rPr>
          <w:i/>
          <w:lang w:val="fr-CA"/>
        </w:rPr>
        <w:t xml:space="preserve"> </w:t>
      </w:r>
      <w:proofErr w:type="spellStart"/>
      <w:r w:rsidR="009C0F73" w:rsidRPr="00C663CD">
        <w:rPr>
          <w:i/>
          <w:lang w:val="fr-CA"/>
        </w:rPr>
        <w:t>Act</w:t>
      </w:r>
      <w:proofErr w:type="spellEnd"/>
      <w:r w:rsidR="00B32675" w:rsidRPr="00C663CD">
        <w:rPr>
          <w:lang w:val="fr-CA"/>
        </w:rPr>
        <w:t>, l</w:t>
      </w:r>
      <w:r w:rsidR="00C50E02" w:rsidRPr="00C663CD">
        <w:rPr>
          <w:lang w:val="fr-CA"/>
        </w:rPr>
        <w:t>’</w:t>
      </w:r>
      <w:r w:rsidR="00B32675" w:rsidRPr="00C663CD">
        <w:rPr>
          <w:lang w:val="fr-CA"/>
        </w:rPr>
        <w:t xml:space="preserve">autre, sur le délit de </w:t>
      </w:r>
      <w:proofErr w:type="spellStart"/>
      <w:r w:rsidR="00B32675" w:rsidRPr="00C663CD">
        <w:rPr>
          <w:lang w:val="fr-CA"/>
        </w:rPr>
        <w:t>common</w:t>
      </w:r>
      <w:proofErr w:type="spellEnd"/>
      <w:r w:rsidR="00B32675" w:rsidRPr="00C663CD">
        <w:rPr>
          <w:lang w:val="fr-CA"/>
        </w:rPr>
        <w:t xml:space="preserve"> </w:t>
      </w:r>
      <w:proofErr w:type="spellStart"/>
      <w:r w:rsidR="00B32675" w:rsidRPr="00C663CD">
        <w:rPr>
          <w:lang w:val="fr-CA"/>
        </w:rPr>
        <w:t>law</w:t>
      </w:r>
      <w:proofErr w:type="spellEnd"/>
      <w:r w:rsidR="00B32675" w:rsidRPr="00C663CD">
        <w:rPr>
          <w:lang w:val="fr-CA"/>
        </w:rPr>
        <w:t xml:space="preserve"> de déclaration inexacte faite par négligence</w:t>
      </w:r>
      <w:r w:rsidR="00363A9F" w:rsidRPr="00C663CD">
        <w:rPr>
          <w:lang w:val="fr-CA"/>
        </w:rPr>
        <w:t xml:space="preserve">. </w:t>
      </w:r>
    </w:p>
    <w:p w:rsidR="002700EF" w:rsidRPr="00C663CD" w:rsidRDefault="007563AB" w:rsidP="001211F3">
      <w:pPr>
        <w:pStyle w:val="SCCNormalDoubleSpacing"/>
        <w:spacing w:after="480"/>
        <w:rPr>
          <w:lang w:val="fr-CA"/>
        </w:rPr>
      </w:pPr>
      <w:r w:rsidRPr="00C663CD">
        <w:rPr>
          <w:lang w:val="fr-CA"/>
        </w:rPr>
        <w:tab/>
      </w:r>
      <w:r w:rsidR="005C4CA4" w:rsidRPr="00C663CD">
        <w:rPr>
          <w:lang w:val="fr-CA"/>
        </w:rPr>
        <w:t xml:space="preserve">Selon la </w:t>
      </w:r>
      <w:r w:rsidR="00363A9F" w:rsidRPr="00C663CD">
        <w:rPr>
          <w:i/>
          <w:lang w:val="fr-CA"/>
        </w:rPr>
        <w:t xml:space="preserve">Real </w:t>
      </w:r>
      <w:proofErr w:type="spellStart"/>
      <w:r w:rsidR="00363A9F" w:rsidRPr="00C663CD">
        <w:rPr>
          <w:i/>
          <w:lang w:val="fr-CA"/>
        </w:rPr>
        <w:t>Estate</w:t>
      </w:r>
      <w:proofErr w:type="spellEnd"/>
      <w:r w:rsidR="00363A9F" w:rsidRPr="00C663CD">
        <w:rPr>
          <w:i/>
          <w:lang w:val="fr-CA"/>
        </w:rPr>
        <w:t xml:space="preserve"> </w:t>
      </w:r>
      <w:proofErr w:type="spellStart"/>
      <w:r w:rsidR="00363A9F" w:rsidRPr="00C663CD">
        <w:rPr>
          <w:i/>
          <w:lang w:val="fr-CA"/>
        </w:rPr>
        <w:t>Act</w:t>
      </w:r>
      <w:proofErr w:type="spellEnd"/>
      <w:r w:rsidR="00363A9F" w:rsidRPr="00C663CD">
        <w:rPr>
          <w:lang w:val="fr-CA"/>
        </w:rPr>
        <w:t xml:space="preserve">, </w:t>
      </w:r>
      <w:r w:rsidR="005C4CA4" w:rsidRPr="00C663CD">
        <w:rPr>
          <w:lang w:val="fr-CA"/>
        </w:rPr>
        <w:t>si le</w:t>
      </w:r>
      <w:r w:rsidR="00284152" w:rsidRPr="00C663CD">
        <w:rPr>
          <w:lang w:val="fr-CA"/>
        </w:rPr>
        <w:t>s renseignements communiqués contiennent</w:t>
      </w:r>
      <w:r w:rsidR="005C4CA4" w:rsidRPr="00C663CD">
        <w:rPr>
          <w:lang w:val="fr-CA"/>
        </w:rPr>
        <w:t xml:space="preserve"> une déclaration erronée sur un point important à l</w:t>
      </w:r>
      <w:r w:rsidR="00C50E02" w:rsidRPr="00C663CD">
        <w:rPr>
          <w:lang w:val="fr-CA"/>
        </w:rPr>
        <w:t>’</w:t>
      </w:r>
      <w:r w:rsidR="005C4CA4" w:rsidRPr="00C663CD">
        <w:rPr>
          <w:lang w:val="fr-CA"/>
        </w:rPr>
        <w:t>origine d</w:t>
      </w:r>
      <w:r w:rsidR="00C50E02" w:rsidRPr="00C663CD">
        <w:rPr>
          <w:lang w:val="fr-CA"/>
        </w:rPr>
        <w:t>’</w:t>
      </w:r>
      <w:r w:rsidR="005C4CA4" w:rsidRPr="00C663CD">
        <w:rPr>
          <w:lang w:val="fr-CA"/>
        </w:rPr>
        <w:t>une perte subie par l</w:t>
      </w:r>
      <w:r w:rsidR="00C50E02" w:rsidRPr="00C663CD">
        <w:rPr>
          <w:lang w:val="fr-CA"/>
        </w:rPr>
        <w:t>’</w:t>
      </w:r>
      <w:r w:rsidR="005C4CA4" w:rsidRPr="00C663CD">
        <w:rPr>
          <w:lang w:val="fr-CA"/>
        </w:rPr>
        <w:t>investisseur, le promoteur sera tenu de compenser cette perte</w:t>
      </w:r>
      <w:r w:rsidR="00363A9F" w:rsidRPr="00C663CD">
        <w:rPr>
          <w:lang w:val="fr-CA"/>
        </w:rPr>
        <w:t>.</w:t>
      </w:r>
      <w:r w:rsidR="00284152" w:rsidRPr="00C663CD">
        <w:rPr>
          <w:lang w:val="fr-CA"/>
        </w:rPr>
        <w:t xml:space="preserve">  </w:t>
      </w:r>
      <w:r w:rsidR="00AB588B" w:rsidRPr="00C663CD">
        <w:rPr>
          <w:lang w:val="fr-CA"/>
        </w:rPr>
        <w:t>Toutefois, l</w:t>
      </w:r>
      <w:r w:rsidR="00C50E02" w:rsidRPr="00C663CD">
        <w:rPr>
          <w:lang w:val="fr-CA"/>
        </w:rPr>
        <w:t>’</w:t>
      </w:r>
      <w:r w:rsidR="003A2DDE" w:rsidRPr="00C663CD">
        <w:rPr>
          <w:lang w:val="fr-CA"/>
        </w:rPr>
        <w:t>art. </w:t>
      </w:r>
      <w:r w:rsidR="00AB588B" w:rsidRPr="00C663CD">
        <w:rPr>
          <w:lang w:val="fr-CA"/>
        </w:rPr>
        <w:t>75 fournit un moyen de défense au promoteur, qui ne sera pas tenu de compenser la perte s</w:t>
      </w:r>
      <w:r w:rsidR="00C50E02" w:rsidRPr="00C663CD">
        <w:rPr>
          <w:lang w:val="fr-CA"/>
        </w:rPr>
        <w:t>’</w:t>
      </w:r>
      <w:r w:rsidR="00AB588B" w:rsidRPr="00C663CD">
        <w:rPr>
          <w:lang w:val="fr-CA"/>
        </w:rPr>
        <w:t>il établit qu</w:t>
      </w:r>
      <w:r w:rsidR="00C50E02" w:rsidRPr="00C663CD">
        <w:rPr>
          <w:lang w:val="fr-CA"/>
        </w:rPr>
        <w:t>’</w:t>
      </w:r>
      <w:r w:rsidR="00AB588B" w:rsidRPr="00C663CD">
        <w:rPr>
          <w:lang w:val="fr-CA"/>
        </w:rPr>
        <w:t>il avait des motifs raisonnables de croire — et qu</w:t>
      </w:r>
      <w:r w:rsidR="00C50E02" w:rsidRPr="00C663CD">
        <w:rPr>
          <w:lang w:val="fr-CA"/>
        </w:rPr>
        <w:t>’</w:t>
      </w:r>
      <w:r w:rsidR="00AB588B" w:rsidRPr="00C663CD">
        <w:rPr>
          <w:lang w:val="fr-CA"/>
        </w:rPr>
        <w:t>il croyait effectivement — que la déclaration en cause était exacte</w:t>
      </w:r>
      <w:r w:rsidR="00363A9F" w:rsidRPr="00C663CD">
        <w:rPr>
          <w:lang w:val="fr-CA"/>
        </w:rPr>
        <w:t>.</w:t>
      </w:r>
      <w:r w:rsidR="00C43415" w:rsidRPr="00C663CD">
        <w:rPr>
          <w:lang w:val="fr-CA"/>
        </w:rPr>
        <w:t xml:space="preserve"> </w:t>
      </w:r>
    </w:p>
    <w:p w:rsidR="00F042AA" w:rsidRPr="00C663CD" w:rsidRDefault="007563AB" w:rsidP="001211F3">
      <w:pPr>
        <w:pStyle w:val="SCCNormalDoubleSpacing"/>
        <w:spacing w:after="480"/>
        <w:rPr>
          <w:lang w:val="fr-CA"/>
        </w:rPr>
      </w:pPr>
      <w:r w:rsidRPr="00C663CD">
        <w:rPr>
          <w:lang w:val="fr-CA"/>
        </w:rPr>
        <w:tab/>
      </w:r>
      <w:r w:rsidR="0067042F" w:rsidRPr="00C663CD">
        <w:rPr>
          <w:lang w:val="fr-CA"/>
        </w:rPr>
        <w:t>La norme de l</w:t>
      </w:r>
      <w:r w:rsidR="00C50E02" w:rsidRPr="00C663CD">
        <w:rPr>
          <w:lang w:val="fr-CA"/>
        </w:rPr>
        <w:t>’</w:t>
      </w:r>
      <w:r w:rsidR="0067042F" w:rsidRPr="00C663CD">
        <w:rPr>
          <w:lang w:val="fr-CA"/>
        </w:rPr>
        <w:t>importance est le fruit d</w:t>
      </w:r>
      <w:r w:rsidR="00C50E02" w:rsidRPr="00C663CD">
        <w:rPr>
          <w:lang w:val="fr-CA"/>
        </w:rPr>
        <w:t>’</w:t>
      </w:r>
      <w:r w:rsidR="0067042F" w:rsidRPr="00C663CD">
        <w:rPr>
          <w:lang w:val="fr-CA"/>
        </w:rPr>
        <w:t>un équilibre législatif et réglementaire entre une communication surabondante et une communication insuffisante de renseignements</w:t>
      </w:r>
      <w:r w:rsidR="008236B4" w:rsidRPr="00C663CD">
        <w:rPr>
          <w:lang w:val="fr-CA"/>
        </w:rPr>
        <w:t>.</w:t>
      </w:r>
      <w:r w:rsidR="00284152" w:rsidRPr="00C663CD">
        <w:rPr>
          <w:lang w:val="fr-CA"/>
        </w:rPr>
        <w:t xml:space="preserve">  </w:t>
      </w:r>
      <w:r w:rsidR="004F30BD" w:rsidRPr="00C663CD">
        <w:rPr>
          <w:lang w:val="fr-CA"/>
        </w:rPr>
        <w:t>La jurisprudence a reconnu qu</w:t>
      </w:r>
      <w:r w:rsidR="00C50E02" w:rsidRPr="00C663CD">
        <w:rPr>
          <w:lang w:val="fr-CA"/>
        </w:rPr>
        <w:t>’</w:t>
      </w:r>
      <w:r w:rsidR="004F30BD" w:rsidRPr="00C663CD">
        <w:rPr>
          <w:lang w:val="fr-CA"/>
        </w:rPr>
        <w:t>il n</w:t>
      </w:r>
      <w:r w:rsidR="00C50E02" w:rsidRPr="00C663CD">
        <w:rPr>
          <w:lang w:val="fr-CA"/>
        </w:rPr>
        <w:t>’</w:t>
      </w:r>
      <w:r w:rsidR="004F30BD" w:rsidRPr="00C663CD">
        <w:rPr>
          <w:lang w:val="fr-CA"/>
        </w:rPr>
        <w:t>était pas dans l</w:t>
      </w:r>
      <w:r w:rsidR="00C50E02" w:rsidRPr="00C663CD">
        <w:rPr>
          <w:lang w:val="fr-CA"/>
        </w:rPr>
        <w:t>’</w:t>
      </w:r>
      <w:r w:rsidR="004F30BD" w:rsidRPr="00C663CD">
        <w:rPr>
          <w:lang w:val="fr-CA"/>
        </w:rPr>
        <w:t>intérêt des investisseurs d</w:t>
      </w:r>
      <w:r w:rsidR="00C50E02" w:rsidRPr="00C663CD">
        <w:rPr>
          <w:lang w:val="fr-CA"/>
        </w:rPr>
        <w:t>’</w:t>
      </w:r>
      <w:r w:rsidR="004F30BD" w:rsidRPr="00C663CD">
        <w:rPr>
          <w:lang w:val="fr-CA"/>
        </w:rPr>
        <w:t>être inondés de renseignements futiles nuisant à la prise de décision.</w:t>
      </w:r>
      <w:r w:rsidR="00284152" w:rsidRPr="00C663CD">
        <w:rPr>
          <w:lang w:val="fr-CA"/>
        </w:rPr>
        <w:t xml:space="preserve">  </w:t>
      </w:r>
      <w:r w:rsidR="00A63F1E" w:rsidRPr="00C663CD">
        <w:rPr>
          <w:lang w:val="fr-CA"/>
        </w:rPr>
        <w:t xml:space="preserve">Le régime de responsabilité prévu </w:t>
      </w:r>
      <w:r w:rsidR="00284152" w:rsidRPr="00C663CD">
        <w:rPr>
          <w:lang w:val="fr-CA"/>
        </w:rPr>
        <w:t>à</w:t>
      </w:r>
      <w:r w:rsidR="00305E8F" w:rsidRPr="00C663CD">
        <w:rPr>
          <w:lang w:val="fr-CA"/>
        </w:rPr>
        <w:t xml:space="preserve"> </w:t>
      </w:r>
      <w:r w:rsidR="00A63F1E" w:rsidRPr="00C663CD">
        <w:rPr>
          <w:lang w:val="fr-CA"/>
        </w:rPr>
        <w:t>l</w:t>
      </w:r>
      <w:r w:rsidR="00C50E02" w:rsidRPr="00C663CD">
        <w:rPr>
          <w:lang w:val="fr-CA"/>
        </w:rPr>
        <w:t>’</w:t>
      </w:r>
      <w:r w:rsidR="003A2DDE" w:rsidRPr="00C663CD">
        <w:rPr>
          <w:lang w:val="fr-CA"/>
        </w:rPr>
        <w:t>art. </w:t>
      </w:r>
      <w:r w:rsidR="00A63F1E" w:rsidRPr="00C663CD">
        <w:rPr>
          <w:lang w:val="fr-CA"/>
        </w:rPr>
        <w:t xml:space="preserve">75 de la </w:t>
      </w:r>
      <w:r w:rsidR="00A63F1E" w:rsidRPr="00C663CD">
        <w:rPr>
          <w:i/>
          <w:lang w:val="fr-CA"/>
        </w:rPr>
        <w:t xml:space="preserve">Real </w:t>
      </w:r>
      <w:proofErr w:type="spellStart"/>
      <w:r w:rsidR="00A63F1E" w:rsidRPr="00C663CD">
        <w:rPr>
          <w:i/>
          <w:lang w:val="fr-CA"/>
        </w:rPr>
        <w:t>Estate</w:t>
      </w:r>
      <w:proofErr w:type="spellEnd"/>
      <w:r w:rsidR="00A63F1E" w:rsidRPr="00C663CD">
        <w:rPr>
          <w:i/>
          <w:lang w:val="fr-CA"/>
        </w:rPr>
        <w:t xml:space="preserve"> </w:t>
      </w:r>
      <w:proofErr w:type="spellStart"/>
      <w:r w:rsidR="00A63F1E" w:rsidRPr="00C663CD">
        <w:rPr>
          <w:i/>
          <w:lang w:val="fr-CA"/>
        </w:rPr>
        <w:t>Act</w:t>
      </w:r>
      <w:proofErr w:type="spellEnd"/>
      <w:r w:rsidR="00A63F1E" w:rsidRPr="00C663CD">
        <w:rPr>
          <w:lang w:val="fr-CA"/>
        </w:rPr>
        <w:t xml:space="preserve"> ne précise pas ce que signifie « important » dans le mot « déclaration erronée sur un point important »</w:t>
      </w:r>
      <w:r w:rsidR="0057168B" w:rsidRPr="00C663CD">
        <w:rPr>
          <w:lang w:val="fr-CA"/>
        </w:rPr>
        <w:t>.</w:t>
      </w:r>
      <w:r w:rsidR="00284152" w:rsidRPr="00C663CD">
        <w:rPr>
          <w:lang w:val="fr-CA"/>
        </w:rPr>
        <w:t xml:space="preserve">  Le</w:t>
      </w:r>
      <w:r w:rsidR="00F92C9F" w:rsidRPr="00C663CD">
        <w:rPr>
          <w:lang w:val="fr-CA"/>
        </w:rPr>
        <w:t xml:space="preserve"> renseignement</w:t>
      </w:r>
      <w:r w:rsidR="00F92C9F" w:rsidRPr="00C663CD">
        <w:rPr>
          <w:b/>
          <w:lang w:val="fr-CA"/>
        </w:rPr>
        <w:t xml:space="preserve"> </w:t>
      </w:r>
      <w:r w:rsidR="00F92C9F" w:rsidRPr="00C663CD">
        <w:rPr>
          <w:lang w:val="fr-CA"/>
        </w:rPr>
        <w:t>est important s</w:t>
      </w:r>
      <w:r w:rsidR="00C50E02" w:rsidRPr="00C663CD">
        <w:rPr>
          <w:lang w:val="fr-CA"/>
        </w:rPr>
        <w:t>’</w:t>
      </w:r>
      <w:r w:rsidR="00F92C9F" w:rsidRPr="00C663CD">
        <w:rPr>
          <w:lang w:val="fr-CA"/>
        </w:rPr>
        <w:t>il existe une probabilité marquée que l</w:t>
      </w:r>
      <w:r w:rsidR="00C50E02" w:rsidRPr="00C663CD">
        <w:rPr>
          <w:lang w:val="fr-CA"/>
        </w:rPr>
        <w:t>’</w:t>
      </w:r>
      <w:r w:rsidR="00F92C9F" w:rsidRPr="00C663CD">
        <w:rPr>
          <w:lang w:val="fr-CA"/>
        </w:rPr>
        <w:t>investisseur raisonnable l</w:t>
      </w:r>
      <w:r w:rsidR="00C50E02" w:rsidRPr="00C663CD">
        <w:rPr>
          <w:lang w:val="fr-CA"/>
        </w:rPr>
        <w:t>’</w:t>
      </w:r>
      <w:r w:rsidR="00F92C9F" w:rsidRPr="00C663CD">
        <w:rPr>
          <w:iCs/>
          <w:lang w:val="fr-CA"/>
        </w:rPr>
        <w:t>aurait</w:t>
      </w:r>
      <w:r w:rsidR="00F92C9F" w:rsidRPr="00C663CD">
        <w:rPr>
          <w:lang w:val="fr-CA"/>
        </w:rPr>
        <w:t xml:space="preserve"> jugé important au moment de prendre sa décision.  Autrement dit, il doit </w:t>
      </w:r>
      <w:r w:rsidR="00284152" w:rsidRPr="00C663CD">
        <w:rPr>
          <w:lang w:val="fr-CA"/>
        </w:rPr>
        <w:t xml:space="preserve">exister </w:t>
      </w:r>
      <w:r w:rsidR="00F92C9F" w:rsidRPr="00C663CD">
        <w:rPr>
          <w:lang w:val="fr-CA"/>
        </w:rPr>
        <w:t>une probabilité marquée que l</w:t>
      </w:r>
      <w:r w:rsidR="00C50E02" w:rsidRPr="00C663CD">
        <w:rPr>
          <w:lang w:val="fr-CA"/>
        </w:rPr>
        <w:t>’</w:t>
      </w:r>
      <w:r w:rsidR="00F92C9F" w:rsidRPr="00C663CD">
        <w:rPr>
          <w:lang w:val="fr-CA"/>
        </w:rPr>
        <w:t xml:space="preserve">investisseur raisonnable aurait jugé que le </w:t>
      </w:r>
      <w:r w:rsidR="00284152" w:rsidRPr="00C663CD">
        <w:rPr>
          <w:lang w:val="fr-CA"/>
        </w:rPr>
        <w:t>renseignement</w:t>
      </w:r>
      <w:r w:rsidR="00F92C9F" w:rsidRPr="00C663CD">
        <w:rPr>
          <w:lang w:val="fr-CA"/>
        </w:rPr>
        <w:t xml:space="preserve"> aurait modifié de façon significative </w:t>
      </w:r>
      <w:r w:rsidR="00F92C9F" w:rsidRPr="00C663CD">
        <w:rPr>
          <w:lang w:val="fr-CA"/>
        </w:rPr>
        <w:lastRenderedPageBreak/>
        <w:t>l</w:t>
      </w:r>
      <w:r w:rsidR="00C50E02" w:rsidRPr="00C663CD">
        <w:rPr>
          <w:lang w:val="fr-CA"/>
        </w:rPr>
        <w:t>’</w:t>
      </w:r>
      <w:r w:rsidR="00F92C9F" w:rsidRPr="00C663CD">
        <w:rPr>
          <w:lang w:val="fr-CA"/>
        </w:rPr>
        <w:t>ensemble des renseignements mis à sa disposition s</w:t>
      </w:r>
      <w:r w:rsidR="00C50E02" w:rsidRPr="00C663CD">
        <w:rPr>
          <w:lang w:val="fr-CA"/>
        </w:rPr>
        <w:t>’</w:t>
      </w:r>
      <w:r w:rsidR="00F92C9F" w:rsidRPr="00C663CD">
        <w:rPr>
          <w:lang w:val="fr-CA"/>
        </w:rPr>
        <w:t>il lui avait été communiqué. L</w:t>
      </w:r>
      <w:r w:rsidR="00C50E02" w:rsidRPr="00C663CD">
        <w:rPr>
          <w:lang w:val="fr-CA"/>
        </w:rPr>
        <w:t>’</w:t>
      </w:r>
      <w:r w:rsidR="00F92C9F" w:rsidRPr="00C663CD">
        <w:rPr>
          <w:lang w:val="fr-CA"/>
        </w:rPr>
        <w:t xml:space="preserve">importance </w:t>
      </w:r>
      <w:r w:rsidR="00305E8F" w:rsidRPr="00C663CD">
        <w:rPr>
          <w:lang w:val="fr-CA"/>
        </w:rPr>
        <w:t>est</w:t>
      </w:r>
      <w:r w:rsidR="00F92C9F" w:rsidRPr="00C663CD">
        <w:rPr>
          <w:lang w:val="fr-CA"/>
        </w:rPr>
        <w:t xml:space="preserve"> une question mixte de droit et de fait</w:t>
      </w:r>
      <w:r w:rsidR="00305E8F" w:rsidRPr="00C663CD">
        <w:rPr>
          <w:lang w:val="fr-CA"/>
        </w:rPr>
        <w:t xml:space="preserve"> et</w:t>
      </w:r>
      <w:r w:rsidR="00EE1571" w:rsidRPr="00C663CD">
        <w:rPr>
          <w:lang w:val="fr-CA"/>
        </w:rPr>
        <w:t>, sauf dans les cas où des inférences fondées sur le bon sens suffisent, la partie qui allègue l</w:t>
      </w:r>
      <w:r w:rsidR="00C50E02" w:rsidRPr="00C663CD">
        <w:rPr>
          <w:lang w:val="fr-CA"/>
        </w:rPr>
        <w:t>’</w:t>
      </w:r>
      <w:r w:rsidR="00EE1571" w:rsidRPr="00C663CD">
        <w:rPr>
          <w:lang w:val="fr-CA"/>
        </w:rPr>
        <w:t>importance doit présenter des éléments de preuve à l</w:t>
      </w:r>
      <w:r w:rsidR="00C50E02" w:rsidRPr="00C663CD">
        <w:rPr>
          <w:lang w:val="fr-CA"/>
        </w:rPr>
        <w:t>’</w:t>
      </w:r>
      <w:r w:rsidR="00EE1571" w:rsidRPr="00C663CD">
        <w:rPr>
          <w:lang w:val="fr-CA"/>
        </w:rPr>
        <w:t>appui de sa thèse</w:t>
      </w:r>
      <w:r w:rsidR="0057168B" w:rsidRPr="00C663CD">
        <w:rPr>
          <w:lang w:val="fr-CA"/>
        </w:rPr>
        <w:t>.</w:t>
      </w:r>
      <w:r w:rsidR="008A71C9" w:rsidRPr="00C663CD">
        <w:rPr>
          <w:lang w:val="fr-CA"/>
        </w:rPr>
        <w:t xml:space="preserve">  </w:t>
      </w:r>
      <w:r w:rsidR="00E558AC" w:rsidRPr="00C663CD">
        <w:rPr>
          <w:lang w:val="fr-CA"/>
        </w:rPr>
        <w:t>Pour évaluer l</w:t>
      </w:r>
      <w:r w:rsidR="00C50E02" w:rsidRPr="00C663CD">
        <w:rPr>
          <w:lang w:val="fr-CA"/>
        </w:rPr>
        <w:t>’</w:t>
      </w:r>
      <w:r w:rsidR="00E558AC" w:rsidRPr="00C663CD">
        <w:rPr>
          <w:lang w:val="fr-CA"/>
        </w:rPr>
        <w:t>importance, le tribunal doit d</w:t>
      </w:r>
      <w:r w:rsidR="00C50E02" w:rsidRPr="00C663CD">
        <w:rPr>
          <w:lang w:val="fr-CA"/>
        </w:rPr>
        <w:t>’</w:t>
      </w:r>
      <w:r w:rsidR="00E558AC" w:rsidRPr="00C663CD">
        <w:rPr>
          <w:lang w:val="fr-CA"/>
        </w:rPr>
        <w:t>abord examiner les renseignements qui avaient été communiqués aux investisseurs au moment où ils ont pris leur décision</w:t>
      </w:r>
      <w:r w:rsidR="0057168B" w:rsidRPr="00C663CD">
        <w:rPr>
          <w:lang w:val="fr-CA"/>
        </w:rPr>
        <w:t>.</w:t>
      </w:r>
      <w:r w:rsidR="008A71C9" w:rsidRPr="00C663CD">
        <w:rPr>
          <w:lang w:val="fr-CA"/>
        </w:rPr>
        <w:t xml:space="preserve">  </w:t>
      </w:r>
      <w:r w:rsidR="001D5067" w:rsidRPr="00C663CD">
        <w:rPr>
          <w:lang w:val="fr-CA"/>
        </w:rPr>
        <w:t>La prochaine étape consiste à examiner les renseignements omis au regard de ceux qui avaient été communiqués</w:t>
      </w:r>
      <w:r w:rsidR="008A71C9" w:rsidRPr="00C663CD">
        <w:rPr>
          <w:lang w:val="fr-CA"/>
        </w:rPr>
        <w:t xml:space="preserve">.  </w:t>
      </w:r>
      <w:r w:rsidR="008D3178" w:rsidRPr="00C663CD">
        <w:rPr>
          <w:lang w:val="fr-CA"/>
        </w:rPr>
        <w:t>Le tribunal peut, dans le cadre de cette deuxième étape, prendre en compte les éléments de contexte qui permettent d</w:t>
      </w:r>
      <w:r w:rsidR="00C50E02" w:rsidRPr="00C663CD">
        <w:rPr>
          <w:lang w:val="fr-CA"/>
        </w:rPr>
        <w:t>’</w:t>
      </w:r>
      <w:r w:rsidR="008D3178" w:rsidRPr="00C663CD">
        <w:rPr>
          <w:lang w:val="fr-CA"/>
        </w:rPr>
        <w:t>expliquer, interpréter ou analyser les renseignements omis à la lumière d</w:t>
      </w:r>
      <w:r w:rsidR="00C50E02" w:rsidRPr="00C663CD">
        <w:rPr>
          <w:lang w:val="fr-CA"/>
        </w:rPr>
        <w:t>’</w:t>
      </w:r>
      <w:r w:rsidR="008D3178" w:rsidRPr="00C663CD">
        <w:rPr>
          <w:lang w:val="fr-CA"/>
        </w:rPr>
        <w:t>un contexte factuel plus général, pourvu qu</w:t>
      </w:r>
      <w:r w:rsidR="00C50E02" w:rsidRPr="00C663CD">
        <w:rPr>
          <w:lang w:val="fr-CA"/>
        </w:rPr>
        <w:t>’</w:t>
      </w:r>
      <w:r w:rsidR="008D3178" w:rsidRPr="00C663CD">
        <w:rPr>
          <w:lang w:val="fr-CA"/>
        </w:rPr>
        <w:t>il le fasse au regard des renseignements communiqués</w:t>
      </w:r>
      <w:r w:rsidR="0057168B" w:rsidRPr="00C663CD">
        <w:rPr>
          <w:lang w:val="fr-CA"/>
        </w:rPr>
        <w:t>.</w:t>
      </w:r>
      <w:r w:rsidR="008A71C9" w:rsidRPr="00C663CD">
        <w:rPr>
          <w:lang w:val="fr-CA"/>
        </w:rPr>
        <w:t xml:space="preserve">  </w:t>
      </w:r>
      <w:r w:rsidR="00EA4A18" w:rsidRPr="00C663CD">
        <w:rPr>
          <w:lang w:val="fr-CA"/>
        </w:rPr>
        <w:t xml:space="preserve">La preuve du comportement </w:t>
      </w:r>
      <w:r w:rsidR="00072449" w:rsidRPr="00C663CD">
        <w:rPr>
          <w:lang w:val="fr-CA"/>
        </w:rPr>
        <w:t xml:space="preserve">des investisseurs </w:t>
      </w:r>
      <w:r w:rsidR="00EA4A18" w:rsidRPr="00C663CD">
        <w:rPr>
          <w:lang w:val="fr-CA"/>
        </w:rPr>
        <w:t>est</w:t>
      </w:r>
      <w:r w:rsidR="008A71C9" w:rsidRPr="00C663CD">
        <w:rPr>
          <w:lang w:val="fr-CA"/>
        </w:rPr>
        <w:t xml:space="preserve"> </w:t>
      </w:r>
      <w:r w:rsidR="00EA4A18" w:rsidRPr="00C663CD">
        <w:rPr>
          <w:lang w:val="fr-CA"/>
        </w:rPr>
        <w:t>pertinente en ce qui concerne l</w:t>
      </w:r>
      <w:r w:rsidR="00C50E02" w:rsidRPr="00C663CD">
        <w:rPr>
          <w:lang w:val="fr-CA"/>
        </w:rPr>
        <w:t>’</w:t>
      </w:r>
      <w:r w:rsidR="00EA4A18" w:rsidRPr="00C663CD">
        <w:rPr>
          <w:lang w:val="fr-CA"/>
        </w:rPr>
        <w:t>évaluation de l</w:t>
      </w:r>
      <w:r w:rsidR="00C50E02" w:rsidRPr="00C663CD">
        <w:rPr>
          <w:lang w:val="fr-CA"/>
        </w:rPr>
        <w:t>’</w:t>
      </w:r>
      <w:r w:rsidR="00EA4A18" w:rsidRPr="00C663CD">
        <w:rPr>
          <w:lang w:val="fr-CA"/>
        </w:rPr>
        <w:t>importance</w:t>
      </w:r>
      <w:r w:rsidR="00235335" w:rsidRPr="00C663CD">
        <w:rPr>
          <w:lang w:val="fr-CA"/>
        </w:rPr>
        <w:t>. La</w:t>
      </w:r>
      <w:r w:rsidR="008A71C9" w:rsidRPr="00C663CD">
        <w:rPr>
          <w:lang w:val="fr-CA"/>
        </w:rPr>
        <w:t xml:space="preserve"> </w:t>
      </w:r>
      <w:r w:rsidR="00955088" w:rsidRPr="00C663CD">
        <w:rPr>
          <w:lang w:val="fr-CA"/>
        </w:rPr>
        <w:t xml:space="preserve">preuve établissant </w:t>
      </w:r>
      <w:r w:rsidR="00B406D7" w:rsidRPr="00C663CD">
        <w:rPr>
          <w:lang w:val="fr-CA"/>
        </w:rPr>
        <w:t>tout fait de notoriété publique</w:t>
      </w:r>
      <w:r w:rsidR="00955088" w:rsidRPr="00C663CD">
        <w:rPr>
          <w:lang w:val="fr-CA"/>
        </w:rPr>
        <w:t xml:space="preserve"> ou, selon les circonstances, les connaissances de certains investisseurs en particulier</w:t>
      </w:r>
      <w:r w:rsidR="00235335" w:rsidRPr="00C663CD">
        <w:rPr>
          <w:lang w:val="fr-CA"/>
        </w:rPr>
        <w:t xml:space="preserve"> </w:t>
      </w:r>
      <w:proofErr w:type="gramStart"/>
      <w:r w:rsidR="00235335" w:rsidRPr="00C663CD">
        <w:rPr>
          <w:lang w:val="fr-CA"/>
        </w:rPr>
        <w:t>serait</w:t>
      </w:r>
      <w:proofErr w:type="gramEnd"/>
      <w:r w:rsidR="00235335" w:rsidRPr="00C663CD">
        <w:rPr>
          <w:lang w:val="fr-CA"/>
        </w:rPr>
        <w:t xml:space="preserve"> aussi admissible</w:t>
      </w:r>
      <w:r w:rsidR="00F042AA" w:rsidRPr="00C663CD">
        <w:rPr>
          <w:lang w:val="fr-CA"/>
        </w:rPr>
        <w:t>.</w:t>
      </w:r>
      <w:r w:rsidR="00235335" w:rsidRPr="00C663CD">
        <w:rPr>
          <w:lang w:val="fr-CA"/>
        </w:rPr>
        <w:t xml:space="preserve">  </w:t>
      </w:r>
      <w:r w:rsidR="00305188" w:rsidRPr="00C663CD">
        <w:rPr>
          <w:lang w:val="fr-CA"/>
        </w:rPr>
        <w:t>Cependant, l</w:t>
      </w:r>
      <w:r w:rsidR="00C50E02" w:rsidRPr="00C663CD">
        <w:rPr>
          <w:lang w:val="fr-CA"/>
        </w:rPr>
        <w:t>’</w:t>
      </w:r>
      <w:r w:rsidR="00305188" w:rsidRPr="00C663CD">
        <w:rPr>
          <w:lang w:val="fr-CA"/>
        </w:rPr>
        <w:t>examen de l</w:t>
      </w:r>
      <w:r w:rsidR="00C50E02" w:rsidRPr="00C663CD">
        <w:rPr>
          <w:lang w:val="fr-CA"/>
        </w:rPr>
        <w:t>’</w:t>
      </w:r>
      <w:r w:rsidR="00305188" w:rsidRPr="00C663CD">
        <w:rPr>
          <w:lang w:val="fr-CA"/>
        </w:rPr>
        <w:t>importance doit porter principalement sur les renseignements qui ont été communiqués et ceux qui ne l</w:t>
      </w:r>
      <w:r w:rsidR="00C50E02" w:rsidRPr="00C663CD">
        <w:rPr>
          <w:lang w:val="fr-CA"/>
        </w:rPr>
        <w:t>’</w:t>
      </w:r>
      <w:r w:rsidR="00305188" w:rsidRPr="00C663CD">
        <w:rPr>
          <w:lang w:val="fr-CA"/>
        </w:rPr>
        <w:t>ont pas été</w:t>
      </w:r>
      <w:r w:rsidR="00F042AA" w:rsidRPr="00C663CD">
        <w:rPr>
          <w:lang w:val="fr-CA"/>
        </w:rPr>
        <w:t>.</w:t>
      </w:r>
    </w:p>
    <w:p w:rsidR="00E20570" w:rsidRPr="00C663CD" w:rsidRDefault="007563AB" w:rsidP="001211F3">
      <w:pPr>
        <w:pStyle w:val="SCCNormalDoubleSpacing"/>
        <w:spacing w:after="480"/>
        <w:rPr>
          <w:lang w:val="fr-CA"/>
        </w:rPr>
      </w:pPr>
      <w:r w:rsidRPr="00C663CD">
        <w:rPr>
          <w:lang w:val="fr-CA"/>
        </w:rPr>
        <w:tab/>
      </w:r>
      <w:r w:rsidR="00DD260C" w:rsidRPr="00C663CD">
        <w:rPr>
          <w:lang w:val="fr-CA"/>
        </w:rPr>
        <w:t xml:space="preserve">La juge de première instance a commis </w:t>
      </w:r>
      <w:r w:rsidR="003A2075" w:rsidRPr="00C663CD">
        <w:rPr>
          <w:lang w:val="fr-CA"/>
        </w:rPr>
        <w:t>trois</w:t>
      </w:r>
      <w:r w:rsidR="00DD260C" w:rsidRPr="00C663CD">
        <w:rPr>
          <w:lang w:val="fr-CA"/>
        </w:rPr>
        <w:t xml:space="preserve"> erreurs de droit en ce qui concerne </w:t>
      </w:r>
      <w:r w:rsidR="00A959CE" w:rsidRPr="00C663CD">
        <w:rPr>
          <w:lang w:val="fr-CA"/>
        </w:rPr>
        <w:t>l</w:t>
      </w:r>
      <w:r w:rsidR="00C50E02" w:rsidRPr="00C663CD">
        <w:rPr>
          <w:lang w:val="fr-CA"/>
        </w:rPr>
        <w:t>’</w:t>
      </w:r>
      <w:r w:rsidR="002917E3" w:rsidRPr="00C663CD">
        <w:rPr>
          <w:lang w:val="fr-CA"/>
        </w:rPr>
        <w:t>évaluation</w:t>
      </w:r>
      <w:r w:rsidR="00A959CE" w:rsidRPr="00C663CD">
        <w:rPr>
          <w:lang w:val="fr-CA"/>
        </w:rPr>
        <w:t xml:space="preserve"> de </w:t>
      </w:r>
      <w:r w:rsidR="00DD260C" w:rsidRPr="00C663CD">
        <w:rPr>
          <w:lang w:val="fr-CA"/>
        </w:rPr>
        <w:t>l</w:t>
      </w:r>
      <w:r w:rsidR="00C50E02" w:rsidRPr="00C663CD">
        <w:rPr>
          <w:lang w:val="fr-CA"/>
        </w:rPr>
        <w:t>’</w:t>
      </w:r>
      <w:r w:rsidR="00DD260C" w:rsidRPr="00C663CD">
        <w:rPr>
          <w:lang w:val="fr-CA"/>
        </w:rPr>
        <w:t xml:space="preserve">importance des </w:t>
      </w:r>
      <w:r w:rsidR="00230BD3" w:rsidRPr="00C663CD">
        <w:rPr>
          <w:lang w:val="fr-CA"/>
        </w:rPr>
        <w:t>d</w:t>
      </w:r>
      <w:r w:rsidR="00DD260C" w:rsidRPr="00C663CD">
        <w:rPr>
          <w:lang w:val="fr-CA"/>
        </w:rPr>
        <w:t>éclarations erronées</w:t>
      </w:r>
      <w:r w:rsidR="00230BD3" w:rsidRPr="00C663CD">
        <w:rPr>
          <w:lang w:val="fr-CA"/>
        </w:rPr>
        <w:t xml:space="preserve"> qu</w:t>
      </w:r>
      <w:r w:rsidR="00C50E02" w:rsidRPr="00C663CD">
        <w:rPr>
          <w:lang w:val="fr-CA"/>
        </w:rPr>
        <w:t>’</w:t>
      </w:r>
      <w:r w:rsidR="00230BD3" w:rsidRPr="00C663CD">
        <w:rPr>
          <w:lang w:val="fr-CA"/>
        </w:rPr>
        <w:t>aurait faites le VAC</w:t>
      </w:r>
      <w:r w:rsidR="00A959CE" w:rsidRPr="00C663CD">
        <w:rPr>
          <w:lang w:val="fr-CA"/>
        </w:rPr>
        <w:t>.</w:t>
      </w:r>
      <w:r w:rsidR="00230BD3" w:rsidRPr="00C663CD">
        <w:rPr>
          <w:lang w:val="fr-CA"/>
        </w:rPr>
        <w:t xml:space="preserve">  P</w:t>
      </w:r>
      <w:r w:rsidR="00A058C0" w:rsidRPr="00C663CD">
        <w:rPr>
          <w:lang w:val="fr-CA"/>
        </w:rPr>
        <w:t>remièrement</w:t>
      </w:r>
      <w:r w:rsidR="00A959CE" w:rsidRPr="00C663CD">
        <w:rPr>
          <w:lang w:val="fr-CA"/>
        </w:rPr>
        <w:t>,</w:t>
      </w:r>
      <w:r w:rsidR="00DD260C" w:rsidRPr="00C663CD">
        <w:rPr>
          <w:lang w:val="fr-CA"/>
        </w:rPr>
        <w:t xml:space="preserve"> après avoir conclu </w:t>
      </w:r>
      <w:r w:rsidR="00DF5FDA" w:rsidRPr="00C663CD">
        <w:rPr>
          <w:lang w:val="fr-CA"/>
        </w:rPr>
        <w:t>que les différences dans les ent</w:t>
      </w:r>
      <w:r w:rsidR="00DD260C" w:rsidRPr="00C663CD">
        <w:rPr>
          <w:lang w:val="fr-CA"/>
        </w:rPr>
        <w:t>entes financières créaient un conflit d</w:t>
      </w:r>
      <w:r w:rsidR="00C50E02" w:rsidRPr="00C663CD">
        <w:rPr>
          <w:lang w:val="fr-CA"/>
        </w:rPr>
        <w:t>’</w:t>
      </w:r>
      <w:r w:rsidR="00DD260C" w:rsidRPr="00C663CD">
        <w:rPr>
          <w:lang w:val="fr-CA"/>
        </w:rPr>
        <w:t>intérêts ou, à tout le moins, la possibilité d</w:t>
      </w:r>
      <w:r w:rsidR="00C50E02" w:rsidRPr="00C663CD">
        <w:rPr>
          <w:lang w:val="fr-CA"/>
        </w:rPr>
        <w:t>’</w:t>
      </w:r>
      <w:r w:rsidR="00DD260C" w:rsidRPr="00C663CD">
        <w:rPr>
          <w:lang w:val="fr-CA"/>
        </w:rPr>
        <w:t xml:space="preserve">un tel conflit, </w:t>
      </w:r>
      <w:r w:rsidR="00230BD3" w:rsidRPr="00C663CD">
        <w:rPr>
          <w:lang w:val="fr-CA"/>
        </w:rPr>
        <w:t>elle</w:t>
      </w:r>
      <w:r w:rsidR="00A959CE" w:rsidRPr="00C663CD">
        <w:rPr>
          <w:lang w:val="fr-CA"/>
        </w:rPr>
        <w:t xml:space="preserve"> </w:t>
      </w:r>
      <w:r w:rsidR="00DD260C" w:rsidRPr="00C663CD">
        <w:rPr>
          <w:lang w:val="fr-CA"/>
        </w:rPr>
        <w:t>a estimé que le VAC devait en faire part aux investisseurs, comme si l</w:t>
      </w:r>
      <w:r w:rsidR="00C50E02" w:rsidRPr="00C663CD">
        <w:rPr>
          <w:lang w:val="fr-CA"/>
        </w:rPr>
        <w:t>’</w:t>
      </w:r>
      <w:r w:rsidR="00DD260C" w:rsidRPr="00C663CD">
        <w:rPr>
          <w:lang w:val="fr-CA"/>
        </w:rPr>
        <w:t>existence même du conflit était en soi importante.</w:t>
      </w:r>
      <w:r w:rsidR="00230BD3" w:rsidRPr="00C663CD">
        <w:rPr>
          <w:lang w:val="fr-CA"/>
        </w:rPr>
        <w:t xml:space="preserve">  Ce faisant, elle</w:t>
      </w:r>
      <w:r w:rsidR="00DF5FDA" w:rsidRPr="00C663CD">
        <w:rPr>
          <w:lang w:val="fr-CA"/>
        </w:rPr>
        <w:t xml:space="preserve"> a mal interprété </w:t>
      </w:r>
      <w:r w:rsidR="00DF5FDA" w:rsidRPr="00C663CD">
        <w:rPr>
          <w:lang w:val="fr-CA"/>
        </w:rPr>
        <w:lastRenderedPageBreak/>
        <w:t>l</w:t>
      </w:r>
      <w:r w:rsidR="00C50E02" w:rsidRPr="00C663CD">
        <w:rPr>
          <w:lang w:val="fr-CA"/>
        </w:rPr>
        <w:t>’</w:t>
      </w:r>
      <w:r w:rsidR="00DF5FDA" w:rsidRPr="00C663CD">
        <w:rPr>
          <w:lang w:val="fr-CA"/>
        </w:rPr>
        <w:t>obligation légale</w:t>
      </w:r>
      <w:r w:rsidR="00E20570" w:rsidRPr="00C663CD">
        <w:rPr>
          <w:lang w:val="fr-CA"/>
        </w:rPr>
        <w:t xml:space="preserve"> </w:t>
      </w:r>
      <w:r w:rsidR="00DF5FDA" w:rsidRPr="00C663CD">
        <w:rPr>
          <w:lang w:val="fr-CA"/>
        </w:rPr>
        <w:t>ainsi que le critère de l</w:t>
      </w:r>
      <w:r w:rsidR="00C50E02" w:rsidRPr="00C663CD">
        <w:rPr>
          <w:lang w:val="fr-CA"/>
        </w:rPr>
        <w:t>’</w:t>
      </w:r>
      <w:r w:rsidR="00DF5FDA" w:rsidRPr="00C663CD">
        <w:rPr>
          <w:lang w:val="fr-CA"/>
        </w:rPr>
        <w:t>importance</w:t>
      </w:r>
      <w:r w:rsidR="00E20570" w:rsidRPr="00C663CD">
        <w:rPr>
          <w:lang w:val="fr-CA"/>
        </w:rPr>
        <w:t>.</w:t>
      </w:r>
      <w:r w:rsidR="00230BD3" w:rsidRPr="00C663CD">
        <w:rPr>
          <w:lang w:val="fr-CA"/>
        </w:rPr>
        <w:t xml:space="preserve">  </w:t>
      </w:r>
      <w:r w:rsidR="00A959CE" w:rsidRPr="00C663CD">
        <w:rPr>
          <w:lang w:val="fr-CA"/>
        </w:rPr>
        <w:t>Même s</w:t>
      </w:r>
      <w:r w:rsidR="00C50E02" w:rsidRPr="00C663CD">
        <w:rPr>
          <w:lang w:val="fr-CA"/>
        </w:rPr>
        <w:t>’</w:t>
      </w:r>
      <w:r w:rsidR="00A959CE" w:rsidRPr="00C663CD">
        <w:rPr>
          <w:lang w:val="fr-CA"/>
        </w:rPr>
        <w:t>il est vrai que, d</w:t>
      </w:r>
      <w:r w:rsidR="00623663" w:rsidRPr="00C663CD">
        <w:rPr>
          <w:lang w:val="fr-CA"/>
        </w:rPr>
        <w:t xml:space="preserve">ans certaines situations, </w:t>
      </w:r>
      <w:r w:rsidR="00A058C0" w:rsidRPr="00C663CD">
        <w:rPr>
          <w:lang w:val="fr-CA"/>
        </w:rPr>
        <w:t xml:space="preserve">des </w:t>
      </w:r>
      <w:r w:rsidR="00623663" w:rsidRPr="00C663CD">
        <w:rPr>
          <w:lang w:val="fr-CA"/>
        </w:rPr>
        <w:t xml:space="preserve">inférences fondées sur le bon sens </w:t>
      </w:r>
      <w:r w:rsidR="00A058C0" w:rsidRPr="00C663CD">
        <w:rPr>
          <w:lang w:val="fr-CA"/>
        </w:rPr>
        <w:t xml:space="preserve">suffiront </w:t>
      </w:r>
      <w:r w:rsidR="00623663" w:rsidRPr="00C663CD">
        <w:rPr>
          <w:lang w:val="fr-CA"/>
        </w:rPr>
        <w:t>pour établir l</w:t>
      </w:r>
      <w:r w:rsidR="00C50E02" w:rsidRPr="00C663CD">
        <w:rPr>
          <w:lang w:val="fr-CA"/>
        </w:rPr>
        <w:t>’</w:t>
      </w:r>
      <w:r w:rsidR="00623663" w:rsidRPr="00C663CD">
        <w:rPr>
          <w:lang w:val="fr-CA"/>
        </w:rPr>
        <w:t>importance</w:t>
      </w:r>
      <w:r w:rsidR="008C394E" w:rsidRPr="00C663CD">
        <w:rPr>
          <w:lang w:val="fr-CA"/>
        </w:rPr>
        <w:t>, e</w:t>
      </w:r>
      <w:r w:rsidR="006452DB" w:rsidRPr="00C663CD">
        <w:rPr>
          <w:lang w:val="fr-CA"/>
        </w:rPr>
        <w:t>n l</w:t>
      </w:r>
      <w:r w:rsidR="00C50E02" w:rsidRPr="00C663CD">
        <w:rPr>
          <w:lang w:val="fr-CA"/>
        </w:rPr>
        <w:t>’</w:t>
      </w:r>
      <w:r w:rsidR="006452DB" w:rsidRPr="00C663CD">
        <w:rPr>
          <w:lang w:val="fr-CA"/>
        </w:rPr>
        <w:t>espèce</w:t>
      </w:r>
      <w:r w:rsidR="00230BD3" w:rsidRPr="00C663CD">
        <w:rPr>
          <w:lang w:val="fr-CA"/>
        </w:rPr>
        <w:t>,</w:t>
      </w:r>
      <w:r w:rsidR="006452DB" w:rsidRPr="00C663CD">
        <w:rPr>
          <w:lang w:val="fr-CA"/>
        </w:rPr>
        <w:t xml:space="preserve"> certains éléments de preuve établissant que les renseignements omis n</w:t>
      </w:r>
      <w:r w:rsidR="00C50E02" w:rsidRPr="00C663CD">
        <w:rPr>
          <w:lang w:val="fr-CA"/>
        </w:rPr>
        <w:t>’</w:t>
      </w:r>
      <w:r w:rsidR="006452DB" w:rsidRPr="00C663CD">
        <w:rPr>
          <w:lang w:val="fr-CA"/>
        </w:rPr>
        <w:t>étaient pas importants compte tenu de ce qui avait été déjà communiqué aux investisseurs auraient pu permettre d</w:t>
      </w:r>
      <w:r w:rsidR="00C50E02" w:rsidRPr="00C663CD">
        <w:rPr>
          <w:lang w:val="fr-CA"/>
        </w:rPr>
        <w:t>’</w:t>
      </w:r>
      <w:r w:rsidR="006452DB" w:rsidRPr="00C663CD">
        <w:rPr>
          <w:lang w:val="fr-CA"/>
        </w:rPr>
        <w:t>inférer le contraire</w:t>
      </w:r>
      <w:r w:rsidR="00A058C0" w:rsidRPr="00C663CD">
        <w:rPr>
          <w:lang w:val="fr-CA"/>
        </w:rPr>
        <w:t>.  I</w:t>
      </w:r>
      <w:r w:rsidR="006452DB" w:rsidRPr="00C663CD">
        <w:rPr>
          <w:lang w:val="fr-CA"/>
        </w:rPr>
        <w:t xml:space="preserve">l fallait </w:t>
      </w:r>
      <w:r w:rsidR="008C394E" w:rsidRPr="00C663CD">
        <w:rPr>
          <w:lang w:val="fr-CA"/>
        </w:rPr>
        <w:t xml:space="preserve">donc </w:t>
      </w:r>
      <w:r w:rsidR="006452DB" w:rsidRPr="00C663CD">
        <w:rPr>
          <w:lang w:val="fr-CA"/>
        </w:rPr>
        <w:t>faire une analyse plus détaillée des éléments de preuve constituant l</w:t>
      </w:r>
      <w:r w:rsidR="00C50E02" w:rsidRPr="00C663CD">
        <w:rPr>
          <w:lang w:val="fr-CA"/>
        </w:rPr>
        <w:t>’</w:t>
      </w:r>
      <w:r w:rsidR="006452DB" w:rsidRPr="00C663CD">
        <w:rPr>
          <w:lang w:val="fr-CA"/>
        </w:rPr>
        <w:t>ensemble des renseignements mis à la disposition des investisseurs pour déterminer ce que l</w:t>
      </w:r>
      <w:r w:rsidR="00C50E02" w:rsidRPr="00C663CD">
        <w:rPr>
          <w:lang w:val="fr-CA"/>
        </w:rPr>
        <w:t>’</w:t>
      </w:r>
      <w:r w:rsidR="006452DB" w:rsidRPr="00C663CD">
        <w:rPr>
          <w:lang w:val="fr-CA"/>
        </w:rPr>
        <w:t>investisseur raisonnable aurait jugé important.</w:t>
      </w:r>
    </w:p>
    <w:p w:rsidR="00A96418" w:rsidRPr="00C663CD" w:rsidRDefault="007563AB" w:rsidP="001211F3">
      <w:pPr>
        <w:pStyle w:val="SCCNormalDoubleSpacing"/>
        <w:spacing w:after="480"/>
        <w:rPr>
          <w:lang w:val="fr-CA"/>
        </w:rPr>
      </w:pPr>
      <w:r w:rsidRPr="00C663CD">
        <w:rPr>
          <w:lang w:val="fr-CA"/>
        </w:rPr>
        <w:tab/>
      </w:r>
      <w:r w:rsidR="00A058C0" w:rsidRPr="00C663CD">
        <w:rPr>
          <w:lang w:val="fr-CA"/>
        </w:rPr>
        <w:t>Deuxièmement, l</w:t>
      </w:r>
      <w:r w:rsidR="007643EA" w:rsidRPr="00C663CD">
        <w:rPr>
          <w:lang w:val="fr-CA"/>
        </w:rPr>
        <w:t xml:space="preserve">a juge a </w:t>
      </w:r>
      <w:r w:rsidR="00A058C0" w:rsidRPr="00C663CD">
        <w:rPr>
          <w:lang w:val="fr-CA"/>
        </w:rPr>
        <w:t>commis une erreur en faisant</w:t>
      </w:r>
      <w:r w:rsidR="007643EA" w:rsidRPr="00C663CD">
        <w:rPr>
          <w:lang w:val="fr-CA"/>
        </w:rPr>
        <w:t xml:space="preserve"> passer de la partie demanderesse à la défenderesse la charge d</w:t>
      </w:r>
      <w:r w:rsidR="00C50E02" w:rsidRPr="00C663CD">
        <w:rPr>
          <w:lang w:val="fr-CA"/>
        </w:rPr>
        <w:t>’</w:t>
      </w:r>
      <w:r w:rsidR="007643EA" w:rsidRPr="00C663CD">
        <w:rPr>
          <w:lang w:val="fr-CA"/>
        </w:rPr>
        <w:t>établir l</w:t>
      </w:r>
      <w:r w:rsidR="00C50E02" w:rsidRPr="00C663CD">
        <w:rPr>
          <w:lang w:val="fr-CA"/>
        </w:rPr>
        <w:t>’</w:t>
      </w:r>
      <w:r w:rsidR="007643EA" w:rsidRPr="00C663CD">
        <w:rPr>
          <w:lang w:val="fr-CA"/>
        </w:rPr>
        <w:t>importance des déclarations en cause</w:t>
      </w:r>
      <w:r w:rsidR="00E20570" w:rsidRPr="00C663CD">
        <w:rPr>
          <w:lang w:val="fr-CA"/>
        </w:rPr>
        <w:t>.</w:t>
      </w:r>
      <w:r w:rsidR="00230BD3" w:rsidRPr="00C663CD">
        <w:rPr>
          <w:lang w:val="fr-CA"/>
        </w:rPr>
        <w:t xml:space="preserve">  </w:t>
      </w:r>
      <w:r w:rsidR="007643EA" w:rsidRPr="00C663CD">
        <w:rPr>
          <w:lang w:val="fr-CA"/>
        </w:rPr>
        <w:t>Ayant jugé que S avait établi que le VAC était en conflit d</w:t>
      </w:r>
      <w:r w:rsidR="00C50E02" w:rsidRPr="00C663CD">
        <w:rPr>
          <w:lang w:val="fr-CA"/>
        </w:rPr>
        <w:t>’</w:t>
      </w:r>
      <w:r w:rsidR="007643EA" w:rsidRPr="00C663CD">
        <w:rPr>
          <w:lang w:val="fr-CA"/>
        </w:rPr>
        <w:t xml:space="preserve">intérêts, </w:t>
      </w:r>
      <w:r w:rsidR="00440447" w:rsidRPr="00C663CD">
        <w:rPr>
          <w:lang w:val="fr-CA"/>
        </w:rPr>
        <w:t>elle</w:t>
      </w:r>
      <w:r w:rsidR="007643EA" w:rsidRPr="00C663CD">
        <w:rPr>
          <w:lang w:val="fr-CA"/>
        </w:rPr>
        <w:t xml:space="preserve"> a invité ce dernier à expliquer pourquoi ce conflit n</w:t>
      </w:r>
      <w:r w:rsidR="00C50E02" w:rsidRPr="00C663CD">
        <w:rPr>
          <w:lang w:val="fr-CA"/>
        </w:rPr>
        <w:t>’</w:t>
      </w:r>
      <w:r w:rsidR="007643EA" w:rsidRPr="00C663CD">
        <w:rPr>
          <w:lang w:val="fr-CA"/>
        </w:rPr>
        <w:t>était pas important</w:t>
      </w:r>
      <w:r w:rsidR="00E20570" w:rsidRPr="00C663CD">
        <w:rPr>
          <w:lang w:val="fr-CA"/>
        </w:rPr>
        <w:t>.</w:t>
      </w:r>
      <w:r w:rsidR="00440447" w:rsidRPr="00C663CD">
        <w:rPr>
          <w:lang w:val="fr-CA"/>
        </w:rPr>
        <w:t xml:space="preserve">  E</w:t>
      </w:r>
      <w:r w:rsidR="00845B7C" w:rsidRPr="00C663CD">
        <w:rPr>
          <w:lang w:val="fr-CA"/>
        </w:rPr>
        <w:t>lle a donc jugé que le conflit d</w:t>
      </w:r>
      <w:r w:rsidR="00C50E02" w:rsidRPr="00C663CD">
        <w:rPr>
          <w:lang w:val="fr-CA"/>
        </w:rPr>
        <w:t>’</w:t>
      </w:r>
      <w:r w:rsidR="00845B7C" w:rsidRPr="00C663CD">
        <w:rPr>
          <w:lang w:val="fr-CA"/>
        </w:rPr>
        <w:t>intérêts était important sans même exiger que S s</w:t>
      </w:r>
      <w:r w:rsidR="00C50E02" w:rsidRPr="00C663CD">
        <w:rPr>
          <w:lang w:val="fr-CA"/>
        </w:rPr>
        <w:t>’</w:t>
      </w:r>
      <w:r w:rsidR="00845B7C" w:rsidRPr="00C663CD">
        <w:rPr>
          <w:lang w:val="fr-CA"/>
        </w:rPr>
        <w:t>acquitte du fardeau qui lui incombait, en sa qualité de partie demanderesse, d</w:t>
      </w:r>
      <w:r w:rsidR="00C50E02" w:rsidRPr="00C663CD">
        <w:rPr>
          <w:lang w:val="fr-CA"/>
        </w:rPr>
        <w:t>’</w:t>
      </w:r>
      <w:r w:rsidR="00845B7C" w:rsidRPr="00C663CD">
        <w:rPr>
          <w:lang w:val="fr-CA"/>
        </w:rPr>
        <w:t>établir l</w:t>
      </w:r>
      <w:r w:rsidR="00C50E02" w:rsidRPr="00C663CD">
        <w:rPr>
          <w:lang w:val="fr-CA"/>
        </w:rPr>
        <w:t>’</w:t>
      </w:r>
      <w:r w:rsidR="00845B7C" w:rsidRPr="00C663CD">
        <w:rPr>
          <w:lang w:val="fr-CA"/>
        </w:rPr>
        <w:t>importance</w:t>
      </w:r>
      <w:r w:rsidR="00E20570" w:rsidRPr="00C663CD">
        <w:rPr>
          <w:lang w:val="fr-CA"/>
        </w:rPr>
        <w:t xml:space="preserve">. </w:t>
      </w:r>
    </w:p>
    <w:p w:rsidR="00E23356" w:rsidRPr="00C663CD" w:rsidRDefault="007563AB" w:rsidP="001211F3">
      <w:pPr>
        <w:pStyle w:val="SCCNormalDoubleSpacing"/>
        <w:spacing w:after="480"/>
        <w:rPr>
          <w:lang w:val="fr-CA"/>
        </w:rPr>
      </w:pPr>
      <w:r w:rsidRPr="00C663CD">
        <w:rPr>
          <w:lang w:val="fr-CA"/>
        </w:rPr>
        <w:tab/>
      </w:r>
      <w:r w:rsidR="00A058C0" w:rsidRPr="00C663CD">
        <w:rPr>
          <w:lang w:val="fr-CA"/>
        </w:rPr>
        <w:t>Troisièmement, l</w:t>
      </w:r>
      <w:r w:rsidR="00FD2BC1" w:rsidRPr="00C663CD">
        <w:rPr>
          <w:lang w:val="fr-CA"/>
        </w:rPr>
        <w:t xml:space="preserve">a juge a </w:t>
      </w:r>
      <w:r w:rsidR="00A058C0" w:rsidRPr="00C663CD">
        <w:rPr>
          <w:lang w:val="fr-CA"/>
        </w:rPr>
        <w:t xml:space="preserve">commis une erreur en omettant </w:t>
      </w:r>
      <w:r w:rsidR="00FD2BC1" w:rsidRPr="00C663CD">
        <w:rPr>
          <w:lang w:val="fr-CA"/>
        </w:rPr>
        <w:t>de soupeser l</w:t>
      </w:r>
      <w:r w:rsidR="00C50E02" w:rsidRPr="00C663CD">
        <w:rPr>
          <w:lang w:val="fr-CA"/>
        </w:rPr>
        <w:t>’</w:t>
      </w:r>
      <w:r w:rsidR="00FD2BC1" w:rsidRPr="00C663CD">
        <w:rPr>
          <w:lang w:val="fr-CA"/>
        </w:rPr>
        <w:t xml:space="preserve">ensemble des éléments de la preuve se rapportant à </w:t>
      </w:r>
      <w:r w:rsidR="008C394E" w:rsidRPr="00C663CD">
        <w:rPr>
          <w:lang w:val="fr-CA"/>
        </w:rPr>
        <w:t xml:space="preserve">la </w:t>
      </w:r>
      <w:r w:rsidR="00FD2BC1" w:rsidRPr="00C663CD">
        <w:rPr>
          <w:lang w:val="fr-CA"/>
        </w:rPr>
        <w:t>question de l</w:t>
      </w:r>
      <w:r w:rsidR="00C50E02" w:rsidRPr="00C663CD">
        <w:rPr>
          <w:lang w:val="fr-CA"/>
        </w:rPr>
        <w:t>’</w:t>
      </w:r>
      <w:r w:rsidR="00FD2BC1" w:rsidRPr="00C663CD">
        <w:rPr>
          <w:lang w:val="fr-CA"/>
        </w:rPr>
        <w:t>importance des déclarations</w:t>
      </w:r>
      <w:r w:rsidR="00E20570" w:rsidRPr="00C663CD">
        <w:rPr>
          <w:lang w:val="fr-CA"/>
        </w:rPr>
        <w:t>.</w:t>
      </w:r>
      <w:r w:rsidR="00440447" w:rsidRPr="00C663CD">
        <w:rPr>
          <w:lang w:val="fr-CA"/>
        </w:rPr>
        <w:t xml:space="preserve">  </w:t>
      </w:r>
      <w:r w:rsidR="00DC1BE5" w:rsidRPr="00C663CD">
        <w:rPr>
          <w:lang w:val="fr-CA"/>
        </w:rPr>
        <w:t xml:space="preserve">Des </w:t>
      </w:r>
      <w:r w:rsidR="00235335" w:rsidRPr="00C663CD">
        <w:rPr>
          <w:lang w:val="fr-CA"/>
        </w:rPr>
        <w:t xml:space="preserve">éléments de preuve </w:t>
      </w:r>
      <w:r w:rsidR="00A058C0" w:rsidRPr="00C663CD">
        <w:rPr>
          <w:lang w:val="fr-CA"/>
        </w:rPr>
        <w:t xml:space="preserve">pertinents </w:t>
      </w:r>
      <w:r w:rsidR="00DC1BE5" w:rsidRPr="00C663CD">
        <w:rPr>
          <w:lang w:val="fr-CA"/>
        </w:rPr>
        <w:t xml:space="preserve">ont été communiqués </w:t>
      </w:r>
      <w:r w:rsidR="008C394E" w:rsidRPr="00C663CD">
        <w:rPr>
          <w:lang w:val="fr-CA"/>
        </w:rPr>
        <w:t>au sujet de l</w:t>
      </w:r>
      <w:r w:rsidR="007E3736" w:rsidRPr="00C663CD">
        <w:rPr>
          <w:lang w:val="fr-CA"/>
        </w:rPr>
        <w:t xml:space="preserve">a conjoncture économique générale au moment de la vente des unités, </w:t>
      </w:r>
      <w:r w:rsidR="008C394E" w:rsidRPr="00C663CD">
        <w:rPr>
          <w:lang w:val="fr-CA"/>
        </w:rPr>
        <w:t>des</w:t>
      </w:r>
      <w:r w:rsidR="007E3736" w:rsidRPr="00C663CD">
        <w:rPr>
          <w:lang w:val="fr-CA"/>
        </w:rPr>
        <w:t xml:space="preserve"> en</w:t>
      </w:r>
      <w:r w:rsidR="00440447" w:rsidRPr="00C663CD">
        <w:rPr>
          <w:lang w:val="fr-CA"/>
        </w:rPr>
        <w:t>tentes</w:t>
      </w:r>
      <w:r w:rsidR="007E3736" w:rsidRPr="00C663CD">
        <w:rPr>
          <w:lang w:val="fr-CA"/>
        </w:rPr>
        <w:t xml:space="preserve"> financi</w:t>
      </w:r>
      <w:r w:rsidR="00440447" w:rsidRPr="00C663CD">
        <w:rPr>
          <w:lang w:val="fr-CA"/>
        </w:rPr>
        <w:t>ères</w:t>
      </w:r>
      <w:r w:rsidR="007E3736" w:rsidRPr="00C663CD">
        <w:rPr>
          <w:lang w:val="fr-CA"/>
        </w:rPr>
        <w:t xml:space="preserve"> offert</w:t>
      </w:r>
      <w:r w:rsidR="00440447" w:rsidRPr="00C663CD">
        <w:rPr>
          <w:lang w:val="fr-CA"/>
        </w:rPr>
        <w:t>e</w:t>
      </w:r>
      <w:r w:rsidR="007E3736" w:rsidRPr="00C663CD">
        <w:rPr>
          <w:lang w:val="fr-CA"/>
        </w:rPr>
        <w:t xml:space="preserve">s aux propriétaires du Hilton, </w:t>
      </w:r>
      <w:r w:rsidR="008C394E" w:rsidRPr="00C663CD">
        <w:rPr>
          <w:lang w:val="fr-CA"/>
        </w:rPr>
        <w:t>des</w:t>
      </w:r>
      <w:r w:rsidR="007E3736" w:rsidRPr="00C663CD">
        <w:rPr>
          <w:lang w:val="fr-CA"/>
        </w:rPr>
        <w:t xml:space="preserve"> renseignements que le VAC avait fournis concernant l</w:t>
      </w:r>
      <w:r w:rsidR="00C50E02" w:rsidRPr="00C663CD">
        <w:rPr>
          <w:lang w:val="fr-CA"/>
        </w:rPr>
        <w:t>’</w:t>
      </w:r>
      <w:r w:rsidR="007E3736" w:rsidRPr="00C663CD">
        <w:rPr>
          <w:lang w:val="fr-CA"/>
        </w:rPr>
        <w:t xml:space="preserve">administration commune des hôtels et les facteurs de risque, et </w:t>
      </w:r>
      <w:r w:rsidR="00E9168C" w:rsidRPr="00C663CD">
        <w:rPr>
          <w:lang w:val="fr-CA"/>
        </w:rPr>
        <w:lastRenderedPageBreak/>
        <w:t>du</w:t>
      </w:r>
      <w:r w:rsidR="007E3736" w:rsidRPr="00C663CD">
        <w:rPr>
          <w:lang w:val="fr-CA"/>
        </w:rPr>
        <w:t xml:space="preserve"> peu de moyens dont il disposait pour bénéficier de ces différences</w:t>
      </w:r>
      <w:r w:rsidR="00DC1BE5" w:rsidRPr="00C663CD">
        <w:rPr>
          <w:lang w:val="fr-CA"/>
        </w:rPr>
        <w:t>.</w:t>
      </w:r>
      <w:r w:rsidR="00440447" w:rsidRPr="00C663CD">
        <w:rPr>
          <w:lang w:val="fr-CA"/>
        </w:rPr>
        <w:t xml:space="preserve">  Il y avait également</w:t>
      </w:r>
      <w:r w:rsidR="00025053" w:rsidRPr="00C663CD">
        <w:rPr>
          <w:lang w:val="fr-CA"/>
        </w:rPr>
        <w:t xml:space="preserve"> de </w:t>
      </w:r>
      <w:r w:rsidR="00C73F96" w:rsidRPr="00C663CD">
        <w:rPr>
          <w:lang w:val="fr-CA"/>
        </w:rPr>
        <w:t xml:space="preserve">la preuve </w:t>
      </w:r>
      <w:r w:rsidR="00440447" w:rsidRPr="00C663CD">
        <w:rPr>
          <w:lang w:val="fr-CA"/>
        </w:rPr>
        <w:t xml:space="preserve">au sujet </w:t>
      </w:r>
      <w:r w:rsidR="00C73F96" w:rsidRPr="00C663CD">
        <w:rPr>
          <w:lang w:val="fr-CA"/>
        </w:rPr>
        <w:t>du comportement d</w:t>
      </w:r>
      <w:r w:rsidR="00C50E02" w:rsidRPr="00C663CD">
        <w:rPr>
          <w:lang w:val="fr-CA"/>
        </w:rPr>
        <w:t>’</w:t>
      </w:r>
      <w:r w:rsidR="00EB01B8" w:rsidRPr="00C663CD">
        <w:rPr>
          <w:lang w:val="fr-CA"/>
        </w:rPr>
        <w:t xml:space="preserve">investisseurs </w:t>
      </w:r>
      <w:r w:rsidR="00C73F96" w:rsidRPr="00C663CD">
        <w:rPr>
          <w:lang w:val="fr-CA"/>
        </w:rPr>
        <w:t>pleinement informés — soit avant qu</w:t>
      </w:r>
      <w:r w:rsidR="00C50E02" w:rsidRPr="00C663CD">
        <w:rPr>
          <w:lang w:val="fr-CA"/>
        </w:rPr>
        <w:t>’</w:t>
      </w:r>
      <w:r w:rsidR="00C73F96" w:rsidRPr="00C663CD">
        <w:rPr>
          <w:lang w:val="fr-CA"/>
        </w:rPr>
        <w:t>ils ne prennent leur décision d</w:t>
      </w:r>
      <w:r w:rsidR="00C50E02" w:rsidRPr="00C663CD">
        <w:rPr>
          <w:lang w:val="fr-CA"/>
        </w:rPr>
        <w:t>’</w:t>
      </w:r>
      <w:r w:rsidR="00C73F96" w:rsidRPr="00C663CD">
        <w:rPr>
          <w:lang w:val="fr-CA"/>
        </w:rPr>
        <w:t>investir ou non des capitaux, soit après en avoir investis — lorsqu</w:t>
      </w:r>
      <w:r w:rsidR="00C50E02" w:rsidRPr="00C663CD">
        <w:rPr>
          <w:lang w:val="fr-CA"/>
        </w:rPr>
        <w:t>’</w:t>
      </w:r>
      <w:r w:rsidR="00C73F96" w:rsidRPr="00C663CD">
        <w:rPr>
          <w:lang w:val="fr-CA"/>
        </w:rPr>
        <w:t>ils ont appris l</w:t>
      </w:r>
      <w:r w:rsidR="00C50E02" w:rsidRPr="00C663CD">
        <w:rPr>
          <w:lang w:val="fr-CA"/>
        </w:rPr>
        <w:t>’</w:t>
      </w:r>
      <w:r w:rsidR="00C73F96" w:rsidRPr="00C663CD">
        <w:rPr>
          <w:lang w:val="fr-CA"/>
        </w:rPr>
        <w:t>existence de la garantie</w:t>
      </w:r>
      <w:r w:rsidR="00E20570" w:rsidRPr="00C663CD">
        <w:rPr>
          <w:lang w:val="fr-CA"/>
        </w:rPr>
        <w:t xml:space="preserve"> </w:t>
      </w:r>
      <w:r w:rsidR="00C73F96" w:rsidRPr="00C663CD">
        <w:rPr>
          <w:lang w:val="fr-CA"/>
        </w:rPr>
        <w:t xml:space="preserve">donnée </w:t>
      </w:r>
      <w:r w:rsidR="00025053" w:rsidRPr="00C663CD">
        <w:rPr>
          <w:lang w:val="fr-CA"/>
        </w:rPr>
        <w:t>aux propriétaires du Marriott</w:t>
      </w:r>
      <w:r w:rsidR="00E20570" w:rsidRPr="00C663CD">
        <w:rPr>
          <w:lang w:val="fr-CA"/>
        </w:rPr>
        <w:t xml:space="preserve">. </w:t>
      </w:r>
      <w:r w:rsidR="00E9168C" w:rsidRPr="00C663CD">
        <w:rPr>
          <w:lang w:val="fr-CA"/>
        </w:rPr>
        <w:t xml:space="preserve"> </w:t>
      </w:r>
      <w:r w:rsidR="003A2075" w:rsidRPr="00C663CD">
        <w:rPr>
          <w:lang w:val="fr-CA"/>
        </w:rPr>
        <w:t>Cette preuve était pertinente en ce qui concerne l’évaluation de l’importance faite par la juge</w:t>
      </w:r>
      <w:r w:rsidR="00E20570" w:rsidRPr="00C663CD">
        <w:rPr>
          <w:lang w:val="fr-CA"/>
        </w:rPr>
        <w:t>.</w:t>
      </w:r>
      <w:r w:rsidR="00A96418" w:rsidRPr="00C663CD">
        <w:rPr>
          <w:lang w:val="fr-CA"/>
        </w:rPr>
        <w:t xml:space="preserve"> </w:t>
      </w:r>
    </w:p>
    <w:p w:rsidR="00E20570" w:rsidRPr="003E0481" w:rsidRDefault="007563AB" w:rsidP="001211F3">
      <w:pPr>
        <w:pStyle w:val="SCCNormalDoubleSpacing"/>
        <w:spacing w:after="480"/>
        <w:rPr>
          <w:lang w:val="fr-CA"/>
        </w:rPr>
      </w:pPr>
      <w:r w:rsidRPr="00C663CD">
        <w:rPr>
          <w:lang w:val="fr-CA"/>
        </w:rPr>
        <w:tab/>
      </w:r>
      <w:r w:rsidR="00110235" w:rsidRPr="00C663CD">
        <w:rPr>
          <w:lang w:val="fr-CA"/>
        </w:rPr>
        <w:t xml:space="preserve">Même </w:t>
      </w:r>
      <w:r w:rsidR="00E9168C" w:rsidRPr="00C663CD">
        <w:rPr>
          <w:lang w:val="fr-CA"/>
        </w:rPr>
        <w:t xml:space="preserve">si </w:t>
      </w:r>
      <w:r w:rsidR="00110235" w:rsidRPr="00C663CD">
        <w:rPr>
          <w:lang w:val="fr-CA"/>
        </w:rPr>
        <w:t>S n</w:t>
      </w:r>
      <w:r w:rsidR="00C50E02" w:rsidRPr="00C663CD">
        <w:rPr>
          <w:lang w:val="fr-CA"/>
        </w:rPr>
        <w:t>’</w:t>
      </w:r>
      <w:r w:rsidR="00110235" w:rsidRPr="00C663CD">
        <w:rPr>
          <w:lang w:val="fr-CA"/>
        </w:rPr>
        <w:t xml:space="preserve">était pas </w:t>
      </w:r>
      <w:proofErr w:type="gramStart"/>
      <w:r w:rsidR="00110235" w:rsidRPr="00C663CD">
        <w:rPr>
          <w:lang w:val="fr-CA"/>
        </w:rPr>
        <w:t>tenue</w:t>
      </w:r>
      <w:proofErr w:type="gramEnd"/>
      <w:r w:rsidR="00110235" w:rsidRPr="00C663CD">
        <w:rPr>
          <w:lang w:val="fr-CA"/>
        </w:rPr>
        <w:t xml:space="preserve"> de prouver que les investisseurs n</w:t>
      </w:r>
      <w:r w:rsidR="00C50E02" w:rsidRPr="00C663CD">
        <w:rPr>
          <w:lang w:val="fr-CA"/>
        </w:rPr>
        <w:t>’</w:t>
      </w:r>
      <w:r w:rsidR="00110235" w:rsidRPr="00C663CD">
        <w:rPr>
          <w:lang w:val="fr-CA"/>
        </w:rPr>
        <w:t>auraient pas acheté les unités du Hilton s</w:t>
      </w:r>
      <w:r w:rsidR="00C50E02" w:rsidRPr="00C663CD">
        <w:rPr>
          <w:lang w:val="fr-CA"/>
        </w:rPr>
        <w:t>’</w:t>
      </w:r>
      <w:r w:rsidR="00110235" w:rsidRPr="00C663CD">
        <w:rPr>
          <w:lang w:val="fr-CA"/>
        </w:rPr>
        <w:t xml:space="preserve">ils avaient connu les différences </w:t>
      </w:r>
      <w:r w:rsidR="00372774" w:rsidRPr="00C663CD">
        <w:rPr>
          <w:lang w:val="fr-CA"/>
        </w:rPr>
        <w:t>dans</w:t>
      </w:r>
      <w:r w:rsidR="00235335" w:rsidRPr="00C663CD">
        <w:rPr>
          <w:lang w:val="fr-CA"/>
        </w:rPr>
        <w:t xml:space="preserve"> les ententes financières</w:t>
      </w:r>
      <w:r w:rsidR="00110235" w:rsidRPr="00C663CD">
        <w:rPr>
          <w:lang w:val="fr-CA"/>
        </w:rPr>
        <w:t xml:space="preserve">, elle devait </w:t>
      </w:r>
      <w:r w:rsidR="00235335" w:rsidRPr="00C663CD">
        <w:rPr>
          <w:lang w:val="fr-CA"/>
        </w:rPr>
        <w:t>établir l</w:t>
      </w:r>
      <w:r w:rsidR="00C50E02" w:rsidRPr="00C663CD">
        <w:rPr>
          <w:lang w:val="fr-CA"/>
        </w:rPr>
        <w:t>’</w:t>
      </w:r>
      <w:r w:rsidR="00235335" w:rsidRPr="00C663CD">
        <w:rPr>
          <w:lang w:val="fr-CA"/>
        </w:rPr>
        <w:t>importance</w:t>
      </w:r>
      <w:r w:rsidR="00110235" w:rsidRPr="00C663CD">
        <w:rPr>
          <w:lang w:val="fr-CA"/>
        </w:rPr>
        <w:t xml:space="preserve"> selon la prépondérance des probabilités</w:t>
      </w:r>
      <w:r w:rsidR="00E20570" w:rsidRPr="00C663CD">
        <w:rPr>
          <w:lang w:val="fr-CA"/>
        </w:rPr>
        <w:t>.</w:t>
      </w:r>
      <w:r w:rsidR="00235335" w:rsidRPr="00C663CD">
        <w:rPr>
          <w:lang w:val="fr-CA"/>
        </w:rPr>
        <w:t xml:space="preserve">  </w:t>
      </w:r>
      <w:r w:rsidR="00D8730F" w:rsidRPr="003E0481">
        <w:rPr>
          <w:lang w:val="fr-CA"/>
        </w:rPr>
        <w:t>S n</w:t>
      </w:r>
      <w:r w:rsidR="00C50E02" w:rsidRPr="003E0481">
        <w:rPr>
          <w:lang w:val="fr-CA"/>
        </w:rPr>
        <w:t>’</w:t>
      </w:r>
      <w:r w:rsidR="00D8730F" w:rsidRPr="003E0481">
        <w:rPr>
          <w:lang w:val="fr-CA"/>
        </w:rPr>
        <w:t>a produit aucune preuve en vue d</w:t>
      </w:r>
      <w:r w:rsidR="00C50E02" w:rsidRPr="003E0481">
        <w:rPr>
          <w:lang w:val="fr-CA"/>
        </w:rPr>
        <w:t>’</w:t>
      </w:r>
      <w:r w:rsidR="00D8730F" w:rsidRPr="003E0481">
        <w:rPr>
          <w:lang w:val="fr-CA"/>
        </w:rPr>
        <w:t>établir l</w:t>
      </w:r>
      <w:r w:rsidR="00C50E02" w:rsidRPr="003E0481">
        <w:rPr>
          <w:lang w:val="fr-CA"/>
        </w:rPr>
        <w:t>’</w:t>
      </w:r>
      <w:r w:rsidR="00414C53" w:rsidRPr="003E0481">
        <w:rPr>
          <w:lang w:val="fr-CA"/>
        </w:rPr>
        <w:t>importance</w:t>
      </w:r>
      <w:r w:rsidR="00C65773" w:rsidRPr="003E0481">
        <w:rPr>
          <w:lang w:val="fr-CA"/>
        </w:rPr>
        <w:t xml:space="preserve"> d</w:t>
      </w:r>
      <w:r w:rsidR="00D8730F" w:rsidRPr="003E0481">
        <w:rPr>
          <w:lang w:val="fr-CA"/>
        </w:rPr>
        <w:t>e</w:t>
      </w:r>
      <w:r w:rsidR="00235335" w:rsidRPr="003E0481">
        <w:rPr>
          <w:lang w:val="fr-CA"/>
        </w:rPr>
        <w:t xml:space="preserve"> ces</w:t>
      </w:r>
      <w:r w:rsidR="00D8730F" w:rsidRPr="003E0481">
        <w:rPr>
          <w:lang w:val="fr-CA"/>
        </w:rPr>
        <w:t xml:space="preserve"> différences</w:t>
      </w:r>
      <w:r w:rsidR="00C65773" w:rsidRPr="003E0481">
        <w:rPr>
          <w:lang w:val="fr-CA"/>
        </w:rPr>
        <w:t>.</w:t>
      </w:r>
    </w:p>
    <w:p w:rsidR="00101392" w:rsidRPr="003E0481" w:rsidRDefault="007563AB" w:rsidP="001211F3">
      <w:pPr>
        <w:pStyle w:val="SCCNormalDoubleSpacing"/>
        <w:spacing w:after="480"/>
        <w:rPr>
          <w:lang w:val="fr-CA"/>
        </w:rPr>
      </w:pPr>
      <w:r w:rsidRPr="003E0481">
        <w:rPr>
          <w:lang w:val="fr-CA"/>
        </w:rPr>
        <w:tab/>
      </w:r>
      <w:r w:rsidR="0082778E" w:rsidRPr="003E0481">
        <w:rPr>
          <w:lang w:val="fr-CA"/>
        </w:rPr>
        <w:t>Même s</w:t>
      </w:r>
      <w:r w:rsidR="00C50E02" w:rsidRPr="003E0481">
        <w:rPr>
          <w:lang w:val="fr-CA"/>
        </w:rPr>
        <w:t>’</w:t>
      </w:r>
      <w:r w:rsidR="0082778E" w:rsidRPr="003E0481">
        <w:rPr>
          <w:lang w:val="fr-CA"/>
        </w:rPr>
        <w:t>il était établi que le VAC a</w:t>
      </w:r>
      <w:r w:rsidR="006801E4" w:rsidRPr="003E0481">
        <w:rPr>
          <w:lang w:val="fr-CA"/>
        </w:rPr>
        <w:t>vait</w:t>
      </w:r>
      <w:r w:rsidR="0082778E" w:rsidRPr="003E0481">
        <w:rPr>
          <w:lang w:val="fr-CA"/>
        </w:rPr>
        <w:t xml:space="preserve"> fait une déclaration erronée sur un point important, </w:t>
      </w:r>
      <w:r w:rsidR="006801E4" w:rsidRPr="003E0481">
        <w:rPr>
          <w:lang w:val="fr-CA"/>
        </w:rPr>
        <w:t>l</w:t>
      </w:r>
      <w:r w:rsidR="0082778E" w:rsidRPr="003E0481">
        <w:rPr>
          <w:lang w:val="fr-CA"/>
        </w:rPr>
        <w:t xml:space="preserve">e moyen de défense </w:t>
      </w:r>
      <w:r w:rsidR="006801E4" w:rsidRPr="003E0481">
        <w:rPr>
          <w:lang w:val="fr-CA"/>
        </w:rPr>
        <w:t xml:space="preserve">prévu au </w:t>
      </w:r>
      <w:proofErr w:type="spellStart"/>
      <w:r w:rsidR="006801E4" w:rsidRPr="003E0481">
        <w:rPr>
          <w:lang w:val="fr-CA"/>
        </w:rPr>
        <w:t>sous</w:t>
      </w:r>
      <w:r w:rsidR="003A2DDE" w:rsidRPr="003E0481">
        <w:rPr>
          <w:lang w:val="fr-CA"/>
        </w:rPr>
        <w:noBreakHyphen/>
      </w:r>
      <w:r w:rsidR="006801E4" w:rsidRPr="003E0481">
        <w:rPr>
          <w:lang w:val="fr-CA"/>
        </w:rPr>
        <w:t>al</w:t>
      </w:r>
      <w:proofErr w:type="spellEnd"/>
      <w:r w:rsidR="005C57F9" w:rsidRPr="003E0481">
        <w:rPr>
          <w:lang w:val="fr-CA"/>
        </w:rPr>
        <w:t>.</w:t>
      </w:r>
      <w:r w:rsidR="006801E4" w:rsidRPr="003E0481">
        <w:rPr>
          <w:lang w:val="fr-CA"/>
        </w:rPr>
        <w:t> 75(2)b</w:t>
      </w:r>
      <w:proofErr w:type="gramStart"/>
      <w:r w:rsidR="006801E4" w:rsidRPr="003E0481">
        <w:rPr>
          <w:lang w:val="fr-CA"/>
        </w:rPr>
        <w:t>)(</w:t>
      </w:r>
      <w:proofErr w:type="gramEnd"/>
      <w:r w:rsidR="006801E4" w:rsidRPr="003E0481">
        <w:rPr>
          <w:lang w:val="fr-CA"/>
        </w:rPr>
        <w:t xml:space="preserve">viii) de la </w:t>
      </w:r>
      <w:r w:rsidR="006801E4" w:rsidRPr="003E0481">
        <w:rPr>
          <w:i/>
          <w:lang w:val="fr-CA"/>
        </w:rPr>
        <w:t xml:space="preserve">Real </w:t>
      </w:r>
      <w:proofErr w:type="spellStart"/>
      <w:r w:rsidR="006801E4" w:rsidRPr="003E0481">
        <w:rPr>
          <w:i/>
          <w:lang w:val="fr-CA"/>
        </w:rPr>
        <w:t>Estate</w:t>
      </w:r>
      <w:proofErr w:type="spellEnd"/>
      <w:r w:rsidR="006801E4" w:rsidRPr="003E0481">
        <w:rPr>
          <w:i/>
          <w:lang w:val="fr-CA"/>
        </w:rPr>
        <w:t xml:space="preserve"> </w:t>
      </w:r>
      <w:proofErr w:type="spellStart"/>
      <w:r w:rsidR="006801E4" w:rsidRPr="003E0481">
        <w:rPr>
          <w:i/>
          <w:lang w:val="fr-CA"/>
        </w:rPr>
        <w:t>Act</w:t>
      </w:r>
      <w:proofErr w:type="spellEnd"/>
      <w:r w:rsidR="006801E4" w:rsidRPr="003E0481">
        <w:rPr>
          <w:lang w:val="fr-CA"/>
        </w:rPr>
        <w:t xml:space="preserve"> </w:t>
      </w:r>
      <w:r w:rsidR="0082778E" w:rsidRPr="003E0481">
        <w:rPr>
          <w:lang w:val="fr-CA"/>
        </w:rPr>
        <w:t>empêcherait que sa responsabilité ne soit engagée en application d</w:t>
      </w:r>
      <w:r w:rsidR="006801E4" w:rsidRPr="003E0481">
        <w:rPr>
          <w:lang w:val="fr-CA"/>
        </w:rPr>
        <w:t>u par</w:t>
      </w:r>
      <w:r w:rsidR="005C57F9" w:rsidRPr="003E0481">
        <w:rPr>
          <w:lang w:val="fr-CA"/>
        </w:rPr>
        <w:t>.</w:t>
      </w:r>
      <w:r w:rsidR="0082778E" w:rsidRPr="003E0481">
        <w:rPr>
          <w:lang w:val="fr-CA"/>
        </w:rPr>
        <w:t> 75(2).</w:t>
      </w:r>
      <w:r w:rsidR="006801E4" w:rsidRPr="003E0481">
        <w:rPr>
          <w:lang w:val="fr-CA"/>
        </w:rPr>
        <w:t xml:space="preserve">  </w:t>
      </w:r>
      <w:r w:rsidR="002A61C9" w:rsidRPr="003E0481">
        <w:rPr>
          <w:lang w:val="fr-CA"/>
        </w:rPr>
        <w:t>Pour invoquer ce moyen de défense, le VAC devait démontrer qu</w:t>
      </w:r>
      <w:r w:rsidR="00C50E02" w:rsidRPr="003E0481">
        <w:rPr>
          <w:lang w:val="fr-CA"/>
        </w:rPr>
        <w:t>’</w:t>
      </w:r>
      <w:r w:rsidR="002A61C9" w:rsidRPr="003E0481">
        <w:rPr>
          <w:lang w:val="fr-CA"/>
        </w:rPr>
        <w:t>il croyait subjectivement à la véracité des déclarations qu</w:t>
      </w:r>
      <w:r w:rsidR="00C50E02" w:rsidRPr="003E0481">
        <w:rPr>
          <w:lang w:val="fr-CA"/>
        </w:rPr>
        <w:t>’</w:t>
      </w:r>
      <w:r w:rsidR="002A61C9" w:rsidRPr="003E0481">
        <w:rPr>
          <w:lang w:val="fr-CA"/>
        </w:rPr>
        <w:t>il avait faites</w:t>
      </w:r>
      <w:r w:rsidR="006801E4" w:rsidRPr="003E0481">
        <w:rPr>
          <w:lang w:val="fr-CA"/>
        </w:rPr>
        <w:t>,</w:t>
      </w:r>
      <w:r w:rsidR="002A61C9" w:rsidRPr="003E0481">
        <w:rPr>
          <w:lang w:val="fr-CA"/>
        </w:rPr>
        <w:t xml:space="preserve"> et que cette croyance était objectivement fondée sur des motifs raisonnables</w:t>
      </w:r>
      <w:r w:rsidR="00E20570" w:rsidRPr="003E0481">
        <w:rPr>
          <w:lang w:val="fr-CA"/>
        </w:rPr>
        <w:t>.</w:t>
      </w:r>
      <w:r w:rsidR="006801E4" w:rsidRPr="003E0481">
        <w:rPr>
          <w:lang w:val="fr-CA"/>
        </w:rPr>
        <w:t xml:space="preserve">  </w:t>
      </w:r>
      <w:r w:rsidR="008D6C01" w:rsidRPr="003E0481">
        <w:rPr>
          <w:lang w:val="fr-CA"/>
        </w:rPr>
        <w:t>La juge de première instance ne semble pas avoir tenu compte de ce moyen de défense</w:t>
      </w:r>
      <w:r w:rsidR="00384F03" w:rsidRPr="003E0481">
        <w:rPr>
          <w:lang w:val="fr-CA"/>
        </w:rPr>
        <w:t>.</w:t>
      </w:r>
      <w:r w:rsidR="006801E4" w:rsidRPr="003E0481">
        <w:rPr>
          <w:lang w:val="fr-CA"/>
        </w:rPr>
        <w:t xml:space="preserve">  Il ressort de la </w:t>
      </w:r>
      <w:r w:rsidR="00F9308B" w:rsidRPr="003E0481">
        <w:rPr>
          <w:lang w:val="fr-CA"/>
        </w:rPr>
        <w:t>preuve de la pratique au sein de l</w:t>
      </w:r>
      <w:r w:rsidR="00C50E02" w:rsidRPr="003E0481">
        <w:rPr>
          <w:lang w:val="fr-CA"/>
        </w:rPr>
        <w:t>’</w:t>
      </w:r>
      <w:r w:rsidR="00F9308B" w:rsidRPr="003E0481">
        <w:rPr>
          <w:lang w:val="fr-CA"/>
        </w:rPr>
        <w:t>industrie</w:t>
      </w:r>
      <w:r w:rsidR="006801E4" w:rsidRPr="003E0481">
        <w:rPr>
          <w:lang w:val="fr-CA"/>
        </w:rPr>
        <w:t>, d</w:t>
      </w:r>
      <w:r w:rsidR="00C50E02" w:rsidRPr="003E0481">
        <w:rPr>
          <w:lang w:val="fr-CA"/>
        </w:rPr>
        <w:t>’</w:t>
      </w:r>
      <w:r w:rsidR="006801E4" w:rsidRPr="003E0481">
        <w:rPr>
          <w:lang w:val="fr-CA"/>
        </w:rPr>
        <w:t>une part,</w:t>
      </w:r>
      <w:r w:rsidR="00F9308B" w:rsidRPr="003E0481">
        <w:rPr>
          <w:lang w:val="fr-CA"/>
        </w:rPr>
        <w:t xml:space="preserve"> et du fait qu</w:t>
      </w:r>
      <w:r w:rsidR="006801E4" w:rsidRPr="003E0481">
        <w:rPr>
          <w:lang w:val="fr-CA"/>
        </w:rPr>
        <w:t>e le VAC</w:t>
      </w:r>
      <w:r w:rsidR="00F9308B" w:rsidRPr="003E0481">
        <w:rPr>
          <w:lang w:val="fr-CA"/>
        </w:rPr>
        <w:t xml:space="preserve"> disposait de peu de moyens pour favoriser le Marriott au détriment du Hilton et qu</w:t>
      </w:r>
      <w:r w:rsidR="00C50E02" w:rsidRPr="003E0481">
        <w:rPr>
          <w:lang w:val="fr-CA"/>
        </w:rPr>
        <w:t>’</w:t>
      </w:r>
      <w:r w:rsidR="00F9308B" w:rsidRPr="003E0481">
        <w:rPr>
          <w:lang w:val="fr-CA"/>
        </w:rPr>
        <w:t>il avait peu d</w:t>
      </w:r>
      <w:r w:rsidR="00C50E02" w:rsidRPr="003E0481">
        <w:rPr>
          <w:lang w:val="fr-CA"/>
        </w:rPr>
        <w:t>’</w:t>
      </w:r>
      <w:r w:rsidR="00F9308B" w:rsidRPr="003E0481">
        <w:rPr>
          <w:lang w:val="fr-CA"/>
        </w:rPr>
        <w:t>intérêt à le faire</w:t>
      </w:r>
      <w:r w:rsidR="006801E4" w:rsidRPr="003E0481">
        <w:rPr>
          <w:lang w:val="fr-CA"/>
        </w:rPr>
        <w:t>, d</w:t>
      </w:r>
      <w:r w:rsidR="00C50E02" w:rsidRPr="003E0481">
        <w:rPr>
          <w:lang w:val="fr-CA"/>
        </w:rPr>
        <w:t>’</w:t>
      </w:r>
      <w:r w:rsidR="006801E4" w:rsidRPr="003E0481">
        <w:rPr>
          <w:lang w:val="fr-CA"/>
        </w:rPr>
        <w:t xml:space="preserve">autre part, </w:t>
      </w:r>
      <w:r w:rsidR="00F9308B" w:rsidRPr="003E0481">
        <w:rPr>
          <w:lang w:val="fr-CA"/>
        </w:rPr>
        <w:t>que le VAC croyait subjectivement à la véracité de ses déclarations</w:t>
      </w:r>
      <w:r w:rsidR="006801E4" w:rsidRPr="003E0481">
        <w:rPr>
          <w:lang w:val="fr-CA"/>
        </w:rPr>
        <w:t>,</w:t>
      </w:r>
      <w:r w:rsidR="00F9308B" w:rsidRPr="003E0481">
        <w:rPr>
          <w:lang w:val="fr-CA"/>
        </w:rPr>
        <w:t xml:space="preserve"> et que cette croyance était objectivement fondée sur des motifs </w:t>
      </w:r>
      <w:r w:rsidR="00F9308B" w:rsidRPr="003E0481">
        <w:rPr>
          <w:lang w:val="fr-CA"/>
        </w:rPr>
        <w:lastRenderedPageBreak/>
        <w:t>raisonnables</w:t>
      </w:r>
      <w:r w:rsidR="006801E4" w:rsidRPr="003E0481">
        <w:rPr>
          <w:lang w:val="fr-CA"/>
        </w:rPr>
        <w:t xml:space="preserve">, </w:t>
      </w:r>
      <w:r w:rsidR="00F9308B" w:rsidRPr="003E0481">
        <w:rPr>
          <w:lang w:val="fr-CA"/>
        </w:rPr>
        <w:t>même s</w:t>
      </w:r>
      <w:r w:rsidR="00C50E02" w:rsidRPr="003E0481">
        <w:rPr>
          <w:lang w:val="fr-CA"/>
        </w:rPr>
        <w:t>’</w:t>
      </w:r>
      <w:r w:rsidR="00F9308B" w:rsidRPr="003E0481">
        <w:rPr>
          <w:lang w:val="fr-CA"/>
        </w:rPr>
        <w:t>il avait omis d</w:t>
      </w:r>
      <w:r w:rsidR="006801E4" w:rsidRPr="003E0481">
        <w:rPr>
          <w:lang w:val="fr-CA"/>
        </w:rPr>
        <w:t xml:space="preserve">e communiquer </w:t>
      </w:r>
      <w:r w:rsidR="00B22EFC" w:rsidRPr="003E0481">
        <w:rPr>
          <w:lang w:val="fr-CA"/>
        </w:rPr>
        <w:t xml:space="preserve">dans le document du Hilton </w:t>
      </w:r>
      <w:r w:rsidR="006801E4" w:rsidRPr="003E0481">
        <w:rPr>
          <w:lang w:val="fr-CA"/>
        </w:rPr>
        <w:t>les détails des</w:t>
      </w:r>
      <w:r w:rsidR="00F9308B" w:rsidRPr="003E0481">
        <w:rPr>
          <w:lang w:val="fr-CA"/>
        </w:rPr>
        <w:t xml:space="preserve"> différences </w:t>
      </w:r>
      <w:r w:rsidR="00372774" w:rsidRPr="003E0481">
        <w:rPr>
          <w:lang w:val="fr-CA"/>
        </w:rPr>
        <w:t>dans</w:t>
      </w:r>
      <w:r w:rsidR="00F9308B" w:rsidRPr="003E0481">
        <w:rPr>
          <w:lang w:val="fr-CA"/>
        </w:rPr>
        <w:t xml:space="preserve"> les ententes financières</w:t>
      </w:r>
      <w:r w:rsidR="00B22EFC" w:rsidRPr="003E0481">
        <w:rPr>
          <w:lang w:val="fr-CA"/>
        </w:rPr>
        <w:t xml:space="preserve"> </w:t>
      </w:r>
      <w:r w:rsidR="00F9308B" w:rsidRPr="003E0481">
        <w:rPr>
          <w:lang w:val="fr-CA"/>
        </w:rPr>
        <w:t>et y avait déclaré que les ententes qu</w:t>
      </w:r>
      <w:r w:rsidR="00C50E02" w:rsidRPr="003E0481">
        <w:rPr>
          <w:lang w:val="fr-CA"/>
        </w:rPr>
        <w:t>’</w:t>
      </w:r>
      <w:r w:rsidR="00F9308B" w:rsidRPr="003E0481">
        <w:rPr>
          <w:lang w:val="fr-CA"/>
        </w:rPr>
        <w:t>il avait conclues avec le Marriott étaient similaires sur la forme et sur le fond à celles intervenues à l</w:t>
      </w:r>
      <w:r w:rsidR="00C50E02" w:rsidRPr="003E0481">
        <w:rPr>
          <w:lang w:val="fr-CA"/>
        </w:rPr>
        <w:t>’</w:t>
      </w:r>
      <w:r w:rsidR="00F9308B" w:rsidRPr="003E0481">
        <w:rPr>
          <w:lang w:val="fr-CA"/>
        </w:rPr>
        <w:t>égard du Hilton et que, selon lui, il n</w:t>
      </w:r>
      <w:r w:rsidR="00C50E02" w:rsidRPr="003E0481">
        <w:rPr>
          <w:lang w:val="fr-CA"/>
        </w:rPr>
        <w:t>’</w:t>
      </w:r>
      <w:r w:rsidR="00F9308B" w:rsidRPr="003E0481">
        <w:rPr>
          <w:lang w:val="fr-CA"/>
        </w:rPr>
        <w:t>existait aucun conflit d</w:t>
      </w:r>
      <w:r w:rsidR="00C50E02" w:rsidRPr="003E0481">
        <w:rPr>
          <w:lang w:val="fr-CA"/>
        </w:rPr>
        <w:t>’</w:t>
      </w:r>
      <w:r w:rsidR="00F9308B" w:rsidRPr="003E0481">
        <w:rPr>
          <w:lang w:val="fr-CA"/>
        </w:rPr>
        <w:t>intérêts — ni aucune possibilité d</w:t>
      </w:r>
      <w:r w:rsidR="00C50E02" w:rsidRPr="003E0481">
        <w:rPr>
          <w:lang w:val="fr-CA"/>
        </w:rPr>
        <w:t>’</w:t>
      </w:r>
      <w:r w:rsidR="00F9308B" w:rsidRPr="003E0481">
        <w:rPr>
          <w:lang w:val="fr-CA"/>
        </w:rPr>
        <w:t>un tel conflit</w:t>
      </w:r>
      <w:r w:rsidR="00065966" w:rsidRPr="003E0481">
        <w:rPr>
          <w:lang w:val="fr-CA"/>
        </w:rPr>
        <w:t>.</w:t>
      </w:r>
      <w:r w:rsidR="00384F03" w:rsidRPr="003E0481">
        <w:rPr>
          <w:lang w:val="fr-CA"/>
        </w:rPr>
        <w:t xml:space="preserve"> </w:t>
      </w:r>
    </w:p>
    <w:p w:rsidR="00384F03" w:rsidRPr="003E0481" w:rsidRDefault="007563AB" w:rsidP="001211F3">
      <w:pPr>
        <w:pStyle w:val="SCCNormalDoubleSpacing"/>
        <w:spacing w:after="480"/>
        <w:rPr>
          <w:lang w:val="fr-CA"/>
        </w:rPr>
      </w:pPr>
      <w:r w:rsidRPr="003E0481">
        <w:rPr>
          <w:lang w:val="fr-CA"/>
        </w:rPr>
        <w:tab/>
      </w:r>
      <w:r w:rsidR="00C65773" w:rsidRPr="003E0481">
        <w:rPr>
          <w:lang w:val="fr-CA"/>
        </w:rPr>
        <w:t>L</w:t>
      </w:r>
      <w:r w:rsidR="00331788" w:rsidRPr="003E0481">
        <w:rPr>
          <w:lang w:val="fr-CA"/>
        </w:rPr>
        <w:t xml:space="preserve">a présomption </w:t>
      </w:r>
      <w:r w:rsidR="00B22EFC" w:rsidRPr="003E0481">
        <w:rPr>
          <w:lang w:val="fr-CA"/>
        </w:rPr>
        <w:t>prévue par</w:t>
      </w:r>
      <w:r w:rsidR="00331788" w:rsidRPr="003E0481">
        <w:rPr>
          <w:lang w:val="fr-CA"/>
        </w:rPr>
        <w:t xml:space="preserve"> la </w:t>
      </w:r>
      <w:r w:rsidR="00331788" w:rsidRPr="003E0481">
        <w:rPr>
          <w:i/>
          <w:lang w:val="fr-CA"/>
        </w:rPr>
        <w:t xml:space="preserve">Real </w:t>
      </w:r>
      <w:proofErr w:type="spellStart"/>
      <w:r w:rsidR="00331788" w:rsidRPr="003E0481">
        <w:rPr>
          <w:i/>
          <w:lang w:val="fr-CA"/>
        </w:rPr>
        <w:t>Estate</w:t>
      </w:r>
      <w:proofErr w:type="spellEnd"/>
      <w:r w:rsidR="00331788" w:rsidRPr="003E0481">
        <w:rPr>
          <w:lang w:val="fr-CA"/>
        </w:rPr>
        <w:t xml:space="preserve"> </w:t>
      </w:r>
      <w:proofErr w:type="spellStart"/>
      <w:r w:rsidR="00331788" w:rsidRPr="003E0481">
        <w:rPr>
          <w:i/>
          <w:lang w:val="fr-CA"/>
        </w:rPr>
        <w:t>Act</w:t>
      </w:r>
      <w:proofErr w:type="spellEnd"/>
      <w:r w:rsidR="00331788" w:rsidRPr="003E0481">
        <w:rPr>
          <w:lang w:val="fr-CA"/>
        </w:rPr>
        <w:t xml:space="preserve"> était réfutable par le biais d</w:t>
      </w:r>
      <w:r w:rsidR="00C50E02" w:rsidRPr="003E0481">
        <w:rPr>
          <w:lang w:val="fr-CA"/>
        </w:rPr>
        <w:t>’</w:t>
      </w:r>
      <w:r w:rsidR="00331788" w:rsidRPr="003E0481">
        <w:rPr>
          <w:lang w:val="fr-CA"/>
        </w:rPr>
        <w:t>une preuve établissant, selon la prépondérance des probabilités, que l</w:t>
      </w:r>
      <w:r w:rsidR="00C50E02" w:rsidRPr="003E0481">
        <w:rPr>
          <w:lang w:val="fr-CA"/>
        </w:rPr>
        <w:t>’</w:t>
      </w:r>
      <w:r w:rsidR="00331788" w:rsidRPr="003E0481">
        <w:rPr>
          <w:lang w:val="fr-CA"/>
        </w:rPr>
        <w:t>investisseur était au courant des déclarations inexactes ou des omissions au moment où il a fait son acquisition</w:t>
      </w:r>
      <w:r w:rsidR="00384F03" w:rsidRPr="003E0481">
        <w:rPr>
          <w:lang w:val="fr-CA"/>
        </w:rPr>
        <w:t>.</w:t>
      </w:r>
      <w:r w:rsidR="00B22EFC" w:rsidRPr="003E0481">
        <w:rPr>
          <w:lang w:val="fr-CA"/>
        </w:rPr>
        <w:t xml:space="preserve">  La </w:t>
      </w:r>
      <w:r w:rsidR="00B22EFC" w:rsidRPr="003E0481">
        <w:rPr>
          <w:i/>
          <w:lang w:val="fr-CA"/>
        </w:rPr>
        <w:t xml:space="preserve">Real </w:t>
      </w:r>
      <w:proofErr w:type="spellStart"/>
      <w:r w:rsidR="00B22EFC" w:rsidRPr="003E0481">
        <w:rPr>
          <w:i/>
          <w:lang w:val="fr-CA"/>
        </w:rPr>
        <w:t>Estate</w:t>
      </w:r>
      <w:proofErr w:type="spellEnd"/>
      <w:r w:rsidR="00B22EFC" w:rsidRPr="003E0481">
        <w:rPr>
          <w:lang w:val="fr-CA"/>
        </w:rPr>
        <w:t xml:space="preserve"> </w:t>
      </w:r>
      <w:proofErr w:type="spellStart"/>
      <w:r w:rsidR="00B22EFC" w:rsidRPr="003E0481">
        <w:rPr>
          <w:i/>
          <w:lang w:val="fr-CA"/>
        </w:rPr>
        <w:t>Act</w:t>
      </w:r>
      <w:proofErr w:type="spellEnd"/>
      <w:r w:rsidR="00F36431" w:rsidRPr="003E0481">
        <w:rPr>
          <w:lang w:val="fr-CA"/>
        </w:rPr>
        <w:t xml:space="preserve"> ne pré</w:t>
      </w:r>
      <w:r w:rsidR="00B22EFC" w:rsidRPr="003E0481">
        <w:rPr>
          <w:lang w:val="fr-CA"/>
        </w:rPr>
        <w:t>voyait</w:t>
      </w:r>
      <w:r w:rsidR="00F36431" w:rsidRPr="003E0481">
        <w:rPr>
          <w:lang w:val="fr-CA"/>
        </w:rPr>
        <w:t xml:space="preserve"> pas expressément une présomption réfutable, </w:t>
      </w:r>
      <w:r w:rsidR="00B22EFC" w:rsidRPr="003E0481">
        <w:rPr>
          <w:lang w:val="fr-CA"/>
        </w:rPr>
        <w:t xml:space="preserve">mais </w:t>
      </w:r>
      <w:r w:rsidR="00F36431" w:rsidRPr="003E0481">
        <w:rPr>
          <w:lang w:val="fr-CA"/>
        </w:rPr>
        <w:t>l</w:t>
      </w:r>
      <w:r w:rsidR="00C50E02" w:rsidRPr="003E0481">
        <w:rPr>
          <w:lang w:val="fr-CA"/>
        </w:rPr>
        <w:t>’</w:t>
      </w:r>
      <w:r w:rsidR="00F36431" w:rsidRPr="003E0481">
        <w:rPr>
          <w:lang w:val="fr-CA"/>
        </w:rPr>
        <w:t>utilisation du mot « réputé » ne crée pas toujours une présomption décisive et irréfutable</w:t>
      </w:r>
      <w:r w:rsidR="00384F03" w:rsidRPr="003E0481">
        <w:rPr>
          <w:lang w:val="fr-CA"/>
        </w:rPr>
        <w:t>.</w:t>
      </w:r>
      <w:r w:rsidR="00B22EFC" w:rsidRPr="003E0481">
        <w:rPr>
          <w:lang w:val="fr-CA"/>
        </w:rPr>
        <w:t xml:space="preserve">  </w:t>
      </w:r>
      <w:r w:rsidR="00255807" w:rsidRPr="003E0481">
        <w:rPr>
          <w:lang w:val="fr-CA"/>
        </w:rPr>
        <w:t>C</w:t>
      </w:r>
      <w:r w:rsidR="00C50E02" w:rsidRPr="003E0481">
        <w:rPr>
          <w:lang w:val="fr-CA"/>
        </w:rPr>
        <w:t>’</w:t>
      </w:r>
      <w:r w:rsidR="00255807" w:rsidRPr="003E0481">
        <w:rPr>
          <w:lang w:val="fr-CA"/>
        </w:rPr>
        <w:t>est l</w:t>
      </w:r>
      <w:r w:rsidR="00C50E02" w:rsidRPr="003E0481">
        <w:rPr>
          <w:lang w:val="fr-CA"/>
        </w:rPr>
        <w:t>’</w:t>
      </w:r>
      <w:r w:rsidR="00255807" w:rsidRPr="003E0481">
        <w:rPr>
          <w:lang w:val="fr-CA"/>
        </w:rPr>
        <w:t>objet de la loi qu</w:t>
      </w:r>
      <w:r w:rsidR="00C50E02" w:rsidRPr="003E0481">
        <w:rPr>
          <w:lang w:val="fr-CA"/>
        </w:rPr>
        <w:t>’</w:t>
      </w:r>
      <w:r w:rsidR="00255807" w:rsidRPr="003E0481">
        <w:rPr>
          <w:lang w:val="fr-CA"/>
        </w:rPr>
        <w:t>il faut examiner pour savoir si la présomption est réfutable</w:t>
      </w:r>
      <w:r w:rsidR="00384F03" w:rsidRPr="003E0481">
        <w:rPr>
          <w:lang w:val="fr-CA"/>
        </w:rPr>
        <w:t>.</w:t>
      </w:r>
    </w:p>
    <w:p w:rsidR="00384F03" w:rsidRPr="003E0481" w:rsidRDefault="007563AB" w:rsidP="001211F3">
      <w:pPr>
        <w:pStyle w:val="SCCNormalDoubleSpacing"/>
        <w:spacing w:after="480"/>
        <w:rPr>
          <w:lang w:val="fr-CA"/>
        </w:rPr>
      </w:pPr>
      <w:r w:rsidRPr="003E0481">
        <w:rPr>
          <w:lang w:val="fr-CA"/>
        </w:rPr>
        <w:tab/>
      </w:r>
      <w:r w:rsidR="00A47D2E" w:rsidRPr="003E0481">
        <w:rPr>
          <w:lang w:val="fr-CA"/>
        </w:rPr>
        <w:t>La responsabilité du VAC n</w:t>
      </w:r>
      <w:r w:rsidR="00C50E02" w:rsidRPr="003E0481">
        <w:rPr>
          <w:lang w:val="fr-CA"/>
        </w:rPr>
        <w:t>’</w:t>
      </w:r>
      <w:r w:rsidR="00A47D2E" w:rsidRPr="003E0481">
        <w:rPr>
          <w:lang w:val="fr-CA"/>
        </w:rPr>
        <w:t xml:space="preserve">est pas engagée selon les règles de la </w:t>
      </w:r>
      <w:proofErr w:type="spellStart"/>
      <w:r w:rsidR="00A47D2E" w:rsidRPr="003E0481">
        <w:rPr>
          <w:lang w:val="fr-CA"/>
        </w:rPr>
        <w:t>common</w:t>
      </w:r>
      <w:proofErr w:type="spellEnd"/>
      <w:r w:rsidR="00A47D2E" w:rsidRPr="003E0481">
        <w:rPr>
          <w:lang w:val="fr-CA"/>
        </w:rPr>
        <w:t xml:space="preserve"> </w:t>
      </w:r>
      <w:proofErr w:type="spellStart"/>
      <w:r w:rsidR="00A47D2E" w:rsidRPr="003E0481">
        <w:rPr>
          <w:lang w:val="fr-CA"/>
        </w:rPr>
        <w:t>law</w:t>
      </w:r>
      <w:proofErr w:type="spellEnd"/>
      <w:r w:rsidR="00A47D2E" w:rsidRPr="003E0481">
        <w:rPr>
          <w:lang w:val="fr-CA"/>
        </w:rPr>
        <w:t xml:space="preserve"> en matière de déclaration inexacte faite par négligence</w:t>
      </w:r>
      <w:r w:rsidR="007B5EC0" w:rsidRPr="003E0481">
        <w:rPr>
          <w:lang w:val="fr-CA"/>
        </w:rPr>
        <w:t>.</w:t>
      </w:r>
      <w:r w:rsidR="00B22EFC" w:rsidRPr="003E0481">
        <w:rPr>
          <w:lang w:val="fr-CA"/>
        </w:rPr>
        <w:t xml:space="preserve">  </w:t>
      </w:r>
      <w:r w:rsidR="003262BF" w:rsidRPr="003E0481">
        <w:rPr>
          <w:lang w:val="fr-CA"/>
        </w:rPr>
        <w:t>La juge de première instance a omis de se demander si le VAC avait contrevenu à la norme de diligence</w:t>
      </w:r>
      <w:r w:rsidR="00384F03" w:rsidRPr="003E0481">
        <w:rPr>
          <w:lang w:val="fr-CA"/>
        </w:rPr>
        <w:t xml:space="preserve">. </w:t>
      </w:r>
      <w:r w:rsidR="00E9168C" w:rsidRPr="003E0481">
        <w:rPr>
          <w:lang w:val="fr-CA"/>
        </w:rPr>
        <w:t xml:space="preserve"> </w:t>
      </w:r>
      <w:r w:rsidR="003262BF" w:rsidRPr="003E0481">
        <w:rPr>
          <w:lang w:val="fr-CA"/>
        </w:rPr>
        <w:t>L</w:t>
      </w:r>
      <w:r w:rsidR="00C50E02" w:rsidRPr="003E0481">
        <w:rPr>
          <w:lang w:val="fr-CA"/>
        </w:rPr>
        <w:t>’</w:t>
      </w:r>
      <w:r w:rsidR="003262BF" w:rsidRPr="003E0481">
        <w:rPr>
          <w:lang w:val="fr-CA"/>
        </w:rPr>
        <w:t xml:space="preserve">omission de S de prouver en quoi le VAC avait manqué à la norme de diligence est fatale à son recours fondé sur la </w:t>
      </w:r>
      <w:proofErr w:type="spellStart"/>
      <w:r w:rsidR="003262BF" w:rsidRPr="003E0481">
        <w:rPr>
          <w:lang w:val="fr-CA"/>
        </w:rPr>
        <w:t>common</w:t>
      </w:r>
      <w:proofErr w:type="spellEnd"/>
      <w:r w:rsidR="003262BF" w:rsidRPr="003E0481">
        <w:rPr>
          <w:lang w:val="fr-CA"/>
        </w:rPr>
        <w:t xml:space="preserve"> </w:t>
      </w:r>
      <w:proofErr w:type="spellStart"/>
      <w:r w:rsidR="003262BF" w:rsidRPr="003E0481">
        <w:rPr>
          <w:lang w:val="fr-CA"/>
        </w:rPr>
        <w:t>law</w:t>
      </w:r>
      <w:proofErr w:type="spellEnd"/>
      <w:r w:rsidR="00384F03" w:rsidRPr="003E0481">
        <w:rPr>
          <w:lang w:val="fr-CA"/>
        </w:rPr>
        <w:t xml:space="preserve">. </w:t>
      </w:r>
    </w:p>
    <w:p w:rsidR="00E03C5F" w:rsidRPr="003E0481" w:rsidRDefault="007563AB" w:rsidP="001211F3">
      <w:pPr>
        <w:pStyle w:val="SCCNormalDoubleSpacing"/>
        <w:spacing w:after="480"/>
        <w:rPr>
          <w:lang w:val="fr-CA"/>
        </w:rPr>
      </w:pPr>
      <w:r w:rsidRPr="003E0481">
        <w:rPr>
          <w:lang w:val="fr-CA"/>
        </w:rPr>
        <w:tab/>
      </w:r>
      <w:r w:rsidR="00426A1E" w:rsidRPr="003E0481">
        <w:rPr>
          <w:lang w:val="fr-CA"/>
        </w:rPr>
        <w:t>À titre d</w:t>
      </w:r>
      <w:r w:rsidR="00C50E02" w:rsidRPr="003E0481">
        <w:rPr>
          <w:lang w:val="fr-CA"/>
        </w:rPr>
        <w:t>’</w:t>
      </w:r>
      <w:r w:rsidR="00426A1E" w:rsidRPr="003E0481">
        <w:rPr>
          <w:lang w:val="fr-CA"/>
        </w:rPr>
        <w:t>administrateur du Hilton</w:t>
      </w:r>
      <w:r w:rsidR="00224705" w:rsidRPr="003E0481">
        <w:rPr>
          <w:lang w:val="fr-CA"/>
        </w:rPr>
        <w:t>,</w:t>
      </w:r>
      <w:r w:rsidR="00426A1E" w:rsidRPr="003E0481">
        <w:rPr>
          <w:lang w:val="fr-CA"/>
        </w:rPr>
        <w:t xml:space="preserve"> le VAC avait </w:t>
      </w:r>
      <w:r w:rsidR="00B22EFC" w:rsidRPr="003E0481">
        <w:rPr>
          <w:lang w:val="fr-CA"/>
        </w:rPr>
        <w:t>des</w:t>
      </w:r>
      <w:r w:rsidR="00426A1E" w:rsidRPr="003E0481">
        <w:rPr>
          <w:lang w:val="fr-CA"/>
        </w:rPr>
        <w:t xml:space="preserve"> obligation</w:t>
      </w:r>
      <w:r w:rsidR="00B22EFC" w:rsidRPr="003E0481">
        <w:rPr>
          <w:lang w:val="fr-CA"/>
        </w:rPr>
        <w:t>s</w:t>
      </w:r>
      <w:r w:rsidR="00426A1E" w:rsidRPr="003E0481">
        <w:rPr>
          <w:lang w:val="fr-CA"/>
        </w:rPr>
        <w:t xml:space="preserve"> fiducia</w:t>
      </w:r>
      <w:r w:rsidR="003A2075" w:rsidRPr="003E0481">
        <w:rPr>
          <w:lang w:val="fr-CA"/>
        </w:rPr>
        <w:t>ires</w:t>
      </w:r>
      <w:r w:rsidR="00426A1E" w:rsidRPr="003E0481">
        <w:rPr>
          <w:lang w:val="fr-CA"/>
        </w:rPr>
        <w:t xml:space="preserve"> envers S, mais </w:t>
      </w:r>
      <w:proofErr w:type="spellStart"/>
      <w:r w:rsidR="00426A1E" w:rsidRPr="003E0481">
        <w:rPr>
          <w:lang w:val="fr-CA"/>
        </w:rPr>
        <w:t>celle</w:t>
      </w:r>
      <w:r w:rsidR="003A2DDE" w:rsidRPr="003E0481">
        <w:rPr>
          <w:lang w:val="fr-CA"/>
        </w:rPr>
        <w:noBreakHyphen/>
      </w:r>
      <w:r w:rsidR="00426A1E" w:rsidRPr="003E0481">
        <w:rPr>
          <w:lang w:val="fr-CA"/>
        </w:rPr>
        <w:t>ci</w:t>
      </w:r>
      <w:proofErr w:type="spellEnd"/>
      <w:r w:rsidR="00426A1E" w:rsidRPr="003E0481">
        <w:rPr>
          <w:lang w:val="fr-CA"/>
        </w:rPr>
        <w:t xml:space="preserve"> ne s</w:t>
      </w:r>
      <w:r w:rsidR="00C50E02" w:rsidRPr="003E0481">
        <w:rPr>
          <w:lang w:val="fr-CA"/>
        </w:rPr>
        <w:t>’</w:t>
      </w:r>
      <w:r w:rsidR="00426A1E" w:rsidRPr="003E0481">
        <w:rPr>
          <w:lang w:val="fr-CA"/>
        </w:rPr>
        <w:t>est pas acquittée de la charge qui lui incombait d</w:t>
      </w:r>
      <w:r w:rsidR="00C50E02" w:rsidRPr="003E0481">
        <w:rPr>
          <w:lang w:val="fr-CA"/>
        </w:rPr>
        <w:t>’</w:t>
      </w:r>
      <w:r w:rsidR="00426A1E" w:rsidRPr="003E0481">
        <w:rPr>
          <w:lang w:val="fr-CA"/>
        </w:rPr>
        <w:t>établir qu</w:t>
      </w:r>
      <w:r w:rsidR="00C50E02" w:rsidRPr="003E0481">
        <w:rPr>
          <w:lang w:val="fr-CA"/>
        </w:rPr>
        <w:t>’</w:t>
      </w:r>
      <w:r w:rsidR="00426A1E" w:rsidRPr="003E0481">
        <w:rPr>
          <w:lang w:val="fr-CA"/>
        </w:rPr>
        <w:t>il avait manqué à ce</w:t>
      </w:r>
      <w:r w:rsidR="00B22EFC" w:rsidRPr="003E0481">
        <w:rPr>
          <w:lang w:val="fr-CA"/>
        </w:rPr>
        <w:t>s</w:t>
      </w:r>
      <w:r w:rsidR="00426A1E" w:rsidRPr="003E0481">
        <w:rPr>
          <w:lang w:val="fr-CA"/>
        </w:rPr>
        <w:t xml:space="preserve"> obligation</w:t>
      </w:r>
      <w:r w:rsidR="00B22EFC" w:rsidRPr="003E0481">
        <w:rPr>
          <w:lang w:val="fr-CA"/>
        </w:rPr>
        <w:t>s</w:t>
      </w:r>
      <w:r w:rsidR="00E03C5F" w:rsidRPr="003E0481">
        <w:rPr>
          <w:lang w:val="fr-CA"/>
        </w:rPr>
        <w:t>.</w:t>
      </w:r>
      <w:r w:rsidR="00B22EFC" w:rsidRPr="003E0481">
        <w:rPr>
          <w:lang w:val="fr-CA"/>
        </w:rPr>
        <w:t xml:space="preserve">  </w:t>
      </w:r>
      <w:r w:rsidR="007C77EF" w:rsidRPr="003E0481">
        <w:rPr>
          <w:lang w:val="fr-CA"/>
        </w:rPr>
        <w:t xml:space="preserve">La nature et la portée des obligations </w:t>
      </w:r>
      <w:r w:rsidR="007C77EF" w:rsidRPr="003E0481">
        <w:rPr>
          <w:lang w:val="fr-CA"/>
        </w:rPr>
        <w:lastRenderedPageBreak/>
        <w:t>fiducia</w:t>
      </w:r>
      <w:r w:rsidR="003A2075" w:rsidRPr="003E0481">
        <w:rPr>
          <w:lang w:val="fr-CA"/>
        </w:rPr>
        <w:t>ir</w:t>
      </w:r>
      <w:r w:rsidR="007C77EF" w:rsidRPr="003E0481">
        <w:rPr>
          <w:lang w:val="fr-CA"/>
        </w:rPr>
        <w:t>es du VAC s</w:t>
      </w:r>
      <w:r w:rsidR="00C50E02" w:rsidRPr="003E0481">
        <w:rPr>
          <w:lang w:val="fr-CA"/>
        </w:rPr>
        <w:t>’</w:t>
      </w:r>
      <w:r w:rsidR="007C77EF" w:rsidRPr="003E0481">
        <w:rPr>
          <w:lang w:val="fr-CA"/>
        </w:rPr>
        <w:t>apprécient dans le contexte du contrat d</w:t>
      </w:r>
      <w:r w:rsidR="00C50E02" w:rsidRPr="003E0481">
        <w:rPr>
          <w:lang w:val="fr-CA"/>
        </w:rPr>
        <w:t>’</w:t>
      </w:r>
      <w:r w:rsidR="007C77EF" w:rsidRPr="003E0481">
        <w:rPr>
          <w:lang w:val="fr-CA"/>
        </w:rPr>
        <w:t>où elles résultent</w:t>
      </w:r>
      <w:r w:rsidR="00E03C5F" w:rsidRPr="003E0481">
        <w:rPr>
          <w:lang w:val="fr-CA"/>
        </w:rPr>
        <w:t>.</w:t>
      </w:r>
      <w:r w:rsidR="00B22EFC" w:rsidRPr="003E0481">
        <w:rPr>
          <w:lang w:val="fr-CA"/>
        </w:rPr>
        <w:t xml:space="preserve">  </w:t>
      </w:r>
      <w:r w:rsidR="007C77EF" w:rsidRPr="003E0481">
        <w:rPr>
          <w:lang w:val="fr-CA"/>
        </w:rPr>
        <w:t>La relation que le VAC entretenait avec S en sa qualité d</w:t>
      </w:r>
      <w:r w:rsidR="00C50E02" w:rsidRPr="003E0481">
        <w:rPr>
          <w:lang w:val="fr-CA"/>
        </w:rPr>
        <w:t>’</w:t>
      </w:r>
      <w:r w:rsidR="007C77EF" w:rsidRPr="003E0481">
        <w:rPr>
          <w:lang w:val="fr-CA"/>
        </w:rPr>
        <w:t>émetteur de valeurs n</w:t>
      </w:r>
      <w:r w:rsidR="00C50E02" w:rsidRPr="003E0481">
        <w:rPr>
          <w:lang w:val="fr-CA"/>
        </w:rPr>
        <w:t>’</w:t>
      </w:r>
      <w:r w:rsidR="007C77EF" w:rsidRPr="003E0481">
        <w:rPr>
          <w:lang w:val="fr-CA"/>
        </w:rPr>
        <w:t>était pas de nature fiducia</w:t>
      </w:r>
      <w:r w:rsidR="003A2075" w:rsidRPr="003E0481">
        <w:rPr>
          <w:lang w:val="fr-CA"/>
        </w:rPr>
        <w:t>ir</w:t>
      </w:r>
      <w:r w:rsidR="007C77EF" w:rsidRPr="003E0481">
        <w:rPr>
          <w:lang w:val="fr-CA"/>
        </w:rPr>
        <w:t>e</w:t>
      </w:r>
      <w:r w:rsidR="00E03C5F" w:rsidRPr="003E0481">
        <w:rPr>
          <w:lang w:val="fr-CA"/>
        </w:rPr>
        <w:t>.</w:t>
      </w:r>
      <w:r w:rsidR="00B22EFC" w:rsidRPr="003E0481">
        <w:rPr>
          <w:lang w:val="fr-CA"/>
        </w:rPr>
        <w:t xml:space="preserve">  </w:t>
      </w:r>
      <w:r w:rsidR="00AC4000" w:rsidRPr="003E0481">
        <w:rPr>
          <w:lang w:val="fr-CA"/>
        </w:rPr>
        <w:t>Toutefois, à partir du moment où le VAC agissait à titre de mandataire pour S conformément à l</w:t>
      </w:r>
      <w:r w:rsidR="00C50E02" w:rsidRPr="003E0481">
        <w:rPr>
          <w:lang w:val="fr-CA"/>
        </w:rPr>
        <w:t>’</w:t>
      </w:r>
      <w:r w:rsidR="00AC4000" w:rsidRPr="003E0481">
        <w:rPr>
          <w:lang w:val="fr-CA"/>
        </w:rPr>
        <w:t>entente sur l</w:t>
      </w:r>
      <w:r w:rsidR="00C50E02" w:rsidRPr="003E0481">
        <w:rPr>
          <w:lang w:val="fr-CA"/>
        </w:rPr>
        <w:t>’</w:t>
      </w:r>
      <w:r w:rsidR="00AC4000" w:rsidRPr="003E0481">
        <w:rPr>
          <w:lang w:val="fr-CA"/>
        </w:rPr>
        <w:t xml:space="preserve">administration </w:t>
      </w:r>
      <w:r w:rsidR="00B406D7" w:rsidRPr="003E0481">
        <w:rPr>
          <w:lang w:val="fr-CA"/>
        </w:rPr>
        <w:t xml:space="preserve">des biens </w:t>
      </w:r>
      <w:r w:rsidR="00AC4000" w:rsidRPr="003E0481">
        <w:rPr>
          <w:lang w:val="fr-CA"/>
        </w:rPr>
        <w:t>du Hilton, il existait une relation fiducia</w:t>
      </w:r>
      <w:r w:rsidR="003A2075" w:rsidRPr="003E0481">
        <w:rPr>
          <w:lang w:val="fr-CA"/>
        </w:rPr>
        <w:t>ir</w:t>
      </w:r>
      <w:r w:rsidR="00AC4000" w:rsidRPr="003E0481">
        <w:rPr>
          <w:lang w:val="fr-CA"/>
        </w:rPr>
        <w:t>e entre eux</w:t>
      </w:r>
      <w:r w:rsidR="00E03C5F" w:rsidRPr="003E0481">
        <w:rPr>
          <w:lang w:val="fr-CA"/>
        </w:rPr>
        <w:t>.</w:t>
      </w:r>
      <w:r w:rsidR="00B22EFC" w:rsidRPr="003E0481">
        <w:rPr>
          <w:lang w:val="fr-CA"/>
        </w:rPr>
        <w:t xml:space="preserve">  Cependant</w:t>
      </w:r>
      <w:r w:rsidR="00AD0739" w:rsidRPr="003E0481">
        <w:rPr>
          <w:lang w:val="fr-CA"/>
        </w:rPr>
        <w:t>, l</w:t>
      </w:r>
      <w:r w:rsidR="005C7A32" w:rsidRPr="003E0481">
        <w:rPr>
          <w:lang w:val="fr-CA"/>
        </w:rPr>
        <w:t>a situation de conflit d</w:t>
      </w:r>
      <w:r w:rsidR="00C50E02" w:rsidRPr="003E0481">
        <w:rPr>
          <w:lang w:val="fr-CA"/>
        </w:rPr>
        <w:t>’</w:t>
      </w:r>
      <w:r w:rsidR="005C7A32" w:rsidRPr="003E0481">
        <w:rPr>
          <w:lang w:val="fr-CA"/>
        </w:rPr>
        <w:t>intérêts dans laquelle se trouvait le VAC du fait qu</w:t>
      </w:r>
      <w:r w:rsidR="00C50E02" w:rsidRPr="003E0481">
        <w:rPr>
          <w:lang w:val="fr-CA"/>
        </w:rPr>
        <w:t>’</w:t>
      </w:r>
      <w:r w:rsidR="005C7A32" w:rsidRPr="003E0481">
        <w:rPr>
          <w:lang w:val="fr-CA"/>
        </w:rPr>
        <w:t xml:space="preserve">il administrait le Hilton ainsi que le Marriott avait déjà été signalée à S. </w:t>
      </w:r>
    </w:p>
    <w:p w:rsidR="00AD0739" w:rsidRPr="003E0481" w:rsidRDefault="007563AB" w:rsidP="001211F3">
      <w:pPr>
        <w:pStyle w:val="SCCNormalDoubleSpacing"/>
        <w:spacing w:after="480"/>
        <w:rPr>
          <w:lang w:val="fr-CA"/>
        </w:rPr>
      </w:pPr>
      <w:r w:rsidRPr="003E0481">
        <w:rPr>
          <w:lang w:val="fr-CA"/>
        </w:rPr>
        <w:tab/>
      </w:r>
      <w:r w:rsidR="00AD0739" w:rsidRPr="003E0481">
        <w:rPr>
          <w:lang w:val="fr-CA"/>
        </w:rPr>
        <w:t>Les obligations de communication auxquelles le VAC était tenu en sa qualité de fiducia</w:t>
      </w:r>
      <w:r w:rsidR="003A2075" w:rsidRPr="003E0481">
        <w:rPr>
          <w:lang w:val="fr-CA"/>
        </w:rPr>
        <w:t>ire</w:t>
      </w:r>
      <w:r w:rsidR="00AD0739" w:rsidRPr="003E0481">
        <w:rPr>
          <w:lang w:val="fr-CA"/>
        </w:rPr>
        <w:t xml:space="preserve"> n</w:t>
      </w:r>
      <w:r w:rsidR="00C50E02" w:rsidRPr="003E0481">
        <w:rPr>
          <w:lang w:val="fr-CA"/>
        </w:rPr>
        <w:t>’</w:t>
      </w:r>
      <w:r w:rsidR="00AD0739" w:rsidRPr="003E0481">
        <w:rPr>
          <w:lang w:val="fr-CA"/>
        </w:rPr>
        <w:t xml:space="preserve">étaient pas les mêmes que celles qui lui incombaient aux termes de la </w:t>
      </w:r>
      <w:r w:rsidR="00AD0739" w:rsidRPr="003E0481">
        <w:rPr>
          <w:i/>
          <w:lang w:val="fr-CA"/>
        </w:rPr>
        <w:t xml:space="preserve">Real </w:t>
      </w:r>
      <w:proofErr w:type="spellStart"/>
      <w:r w:rsidR="00AD0739" w:rsidRPr="003E0481">
        <w:rPr>
          <w:i/>
          <w:lang w:val="fr-CA"/>
        </w:rPr>
        <w:t>Estate</w:t>
      </w:r>
      <w:proofErr w:type="spellEnd"/>
      <w:r w:rsidR="00AD0739" w:rsidRPr="003E0481">
        <w:rPr>
          <w:i/>
          <w:lang w:val="fr-CA"/>
        </w:rPr>
        <w:t xml:space="preserve"> </w:t>
      </w:r>
      <w:proofErr w:type="spellStart"/>
      <w:r w:rsidR="00AD0739" w:rsidRPr="003E0481">
        <w:rPr>
          <w:i/>
          <w:lang w:val="fr-CA"/>
        </w:rPr>
        <w:t>Act</w:t>
      </w:r>
      <w:proofErr w:type="spellEnd"/>
      <w:r w:rsidR="00AD0739" w:rsidRPr="003E0481">
        <w:rPr>
          <w:lang w:val="fr-CA"/>
        </w:rPr>
        <w:t>.</w:t>
      </w:r>
      <w:r w:rsidR="00B22EFC" w:rsidRPr="003E0481">
        <w:rPr>
          <w:lang w:val="fr-CA"/>
        </w:rPr>
        <w:t xml:space="preserve">  </w:t>
      </w:r>
      <w:r w:rsidR="00191944" w:rsidRPr="003E0481">
        <w:rPr>
          <w:lang w:val="fr-CA"/>
        </w:rPr>
        <w:t>Le VAC avait l</w:t>
      </w:r>
      <w:r w:rsidR="00C50E02" w:rsidRPr="003E0481">
        <w:rPr>
          <w:lang w:val="fr-CA"/>
        </w:rPr>
        <w:t>’</w:t>
      </w:r>
      <w:r w:rsidR="00191944" w:rsidRPr="003E0481">
        <w:rPr>
          <w:lang w:val="fr-CA"/>
        </w:rPr>
        <w:t>obligation fiducia</w:t>
      </w:r>
      <w:r w:rsidR="003A2075" w:rsidRPr="003E0481">
        <w:rPr>
          <w:lang w:val="fr-CA"/>
        </w:rPr>
        <w:t>ir</w:t>
      </w:r>
      <w:r w:rsidR="00191944" w:rsidRPr="003E0481">
        <w:rPr>
          <w:lang w:val="fr-CA"/>
        </w:rPr>
        <w:t>e de communiquer tout fait ou renseignement important comme, par exemple, l</w:t>
      </w:r>
      <w:r w:rsidR="00C50E02" w:rsidRPr="003E0481">
        <w:rPr>
          <w:lang w:val="fr-CA"/>
        </w:rPr>
        <w:t>’</w:t>
      </w:r>
      <w:r w:rsidR="00191944" w:rsidRPr="003E0481">
        <w:rPr>
          <w:lang w:val="fr-CA"/>
        </w:rPr>
        <w:t>existence d</w:t>
      </w:r>
      <w:r w:rsidR="00C50E02" w:rsidRPr="003E0481">
        <w:rPr>
          <w:lang w:val="fr-CA"/>
        </w:rPr>
        <w:t>’</w:t>
      </w:r>
      <w:r w:rsidR="00191944" w:rsidRPr="003E0481">
        <w:rPr>
          <w:lang w:val="fr-CA"/>
        </w:rPr>
        <w:t>un risque sérieux que ses propres intérêts ou ses devoirs envers un tiers nuisent de façon importante à sa relation fiducia</w:t>
      </w:r>
      <w:r w:rsidR="003A2075" w:rsidRPr="003E0481">
        <w:rPr>
          <w:lang w:val="fr-CA"/>
        </w:rPr>
        <w:t>ir</w:t>
      </w:r>
      <w:r w:rsidR="00191944" w:rsidRPr="003E0481">
        <w:rPr>
          <w:lang w:val="fr-CA"/>
        </w:rPr>
        <w:t>e avec les propriétaires du Hilton.</w:t>
      </w:r>
      <w:r w:rsidR="00B22EFC" w:rsidRPr="003E0481">
        <w:rPr>
          <w:lang w:val="fr-CA"/>
        </w:rPr>
        <w:t xml:space="preserve">  </w:t>
      </w:r>
      <w:r w:rsidR="00191944" w:rsidRPr="003E0481">
        <w:rPr>
          <w:lang w:val="fr-CA"/>
        </w:rPr>
        <w:t>L</w:t>
      </w:r>
      <w:r w:rsidR="00C50E02" w:rsidRPr="003E0481">
        <w:rPr>
          <w:lang w:val="fr-CA"/>
        </w:rPr>
        <w:t>’</w:t>
      </w:r>
      <w:r w:rsidR="00191944" w:rsidRPr="003E0481">
        <w:rPr>
          <w:lang w:val="fr-CA"/>
        </w:rPr>
        <w:t xml:space="preserve">obligation légale à laquelle le VAC était tenu consistait simplement à communiquer aux investisseurs certains </w:t>
      </w:r>
      <w:r w:rsidR="00206F8D" w:rsidRPr="003E0481">
        <w:rPr>
          <w:lang w:val="fr-CA"/>
        </w:rPr>
        <w:t>renseignements bien précis tout</w:t>
      </w:r>
      <w:r w:rsidR="00191944" w:rsidRPr="003E0481">
        <w:rPr>
          <w:lang w:val="fr-CA"/>
        </w:rPr>
        <w:t xml:space="preserve"> en évitant de faire une déclaration erronée sur un point important</w:t>
      </w:r>
      <w:r w:rsidR="00AD0739" w:rsidRPr="003E0481">
        <w:rPr>
          <w:lang w:val="fr-CA"/>
        </w:rPr>
        <w:t xml:space="preserve">.  </w:t>
      </w:r>
      <w:r w:rsidR="007448F6" w:rsidRPr="003E0481">
        <w:rPr>
          <w:lang w:val="fr-CA"/>
        </w:rPr>
        <w:t>Il faut également se demander si, au cours de la relation fiducia</w:t>
      </w:r>
      <w:r w:rsidR="003A2075" w:rsidRPr="003E0481">
        <w:rPr>
          <w:lang w:val="fr-CA"/>
        </w:rPr>
        <w:t>ir</w:t>
      </w:r>
      <w:r w:rsidR="007448F6" w:rsidRPr="003E0481">
        <w:rPr>
          <w:lang w:val="fr-CA"/>
        </w:rPr>
        <w:t>e, la situation a changé à un point tel que le VAC devait leur communiquer des renseignements supplémentaires et obtenir de nouveau leur consentement.</w:t>
      </w:r>
    </w:p>
    <w:p w:rsidR="00E03C5F" w:rsidRPr="003E0481" w:rsidRDefault="007563AB" w:rsidP="001211F3">
      <w:pPr>
        <w:pStyle w:val="SCCNormalDoubleSpacing"/>
        <w:spacing w:after="480"/>
        <w:rPr>
          <w:lang w:val="fr-CA"/>
        </w:rPr>
      </w:pPr>
      <w:r w:rsidRPr="003E0481">
        <w:rPr>
          <w:lang w:val="fr-CA"/>
        </w:rPr>
        <w:tab/>
      </w:r>
      <w:r w:rsidR="007448F6" w:rsidRPr="003E0481">
        <w:rPr>
          <w:lang w:val="fr-CA"/>
        </w:rPr>
        <w:t>S n</w:t>
      </w:r>
      <w:r w:rsidR="00C50E02" w:rsidRPr="003E0481">
        <w:rPr>
          <w:lang w:val="fr-CA"/>
        </w:rPr>
        <w:t>’</w:t>
      </w:r>
      <w:r w:rsidR="007448F6" w:rsidRPr="003E0481">
        <w:rPr>
          <w:lang w:val="fr-CA"/>
        </w:rPr>
        <w:t xml:space="preserve">a présenté aucune preuve établissant que les ententes financières, qui différaient les unes des autres, constituaient des faits ou des renseignements </w:t>
      </w:r>
      <w:r w:rsidR="009D112F" w:rsidRPr="003E0481">
        <w:rPr>
          <w:lang w:val="fr-CA"/>
        </w:rPr>
        <w:lastRenderedPageBreak/>
        <w:t xml:space="preserve">importants </w:t>
      </w:r>
      <w:r w:rsidR="00372774" w:rsidRPr="003E0481">
        <w:rPr>
          <w:lang w:val="fr-CA"/>
        </w:rPr>
        <w:t>autres</w:t>
      </w:r>
      <w:r w:rsidR="007448F6" w:rsidRPr="003E0481">
        <w:rPr>
          <w:lang w:val="fr-CA"/>
        </w:rPr>
        <w:t xml:space="preserve"> que ce</w:t>
      </w:r>
      <w:r w:rsidR="00372774" w:rsidRPr="003E0481">
        <w:rPr>
          <w:lang w:val="fr-CA"/>
        </w:rPr>
        <w:t>ux</w:t>
      </w:r>
      <w:r w:rsidR="007448F6" w:rsidRPr="003E0481">
        <w:rPr>
          <w:lang w:val="fr-CA"/>
        </w:rPr>
        <w:t xml:space="preserve"> qui avai</w:t>
      </w:r>
      <w:r w:rsidR="00372774" w:rsidRPr="003E0481">
        <w:rPr>
          <w:lang w:val="fr-CA"/>
        </w:rPr>
        <w:t>en</w:t>
      </w:r>
      <w:r w:rsidR="007448F6" w:rsidRPr="003E0481">
        <w:rPr>
          <w:lang w:val="fr-CA"/>
        </w:rPr>
        <w:t>t déjà été déclaré</w:t>
      </w:r>
      <w:r w:rsidR="00372774" w:rsidRPr="003E0481">
        <w:rPr>
          <w:lang w:val="fr-CA"/>
        </w:rPr>
        <w:t xml:space="preserve">s </w:t>
      </w:r>
      <w:r w:rsidR="007448F6" w:rsidRPr="003E0481">
        <w:rPr>
          <w:lang w:val="fr-CA"/>
        </w:rPr>
        <w:t>par le VAC.</w:t>
      </w:r>
      <w:r w:rsidR="00372774" w:rsidRPr="003E0481">
        <w:rPr>
          <w:lang w:val="fr-CA"/>
        </w:rPr>
        <w:t xml:space="preserve">  </w:t>
      </w:r>
      <w:r w:rsidR="00294863" w:rsidRPr="003E0481">
        <w:rPr>
          <w:lang w:val="fr-CA"/>
        </w:rPr>
        <w:t>S n</w:t>
      </w:r>
      <w:r w:rsidR="00C50E02" w:rsidRPr="003E0481">
        <w:rPr>
          <w:lang w:val="fr-CA"/>
        </w:rPr>
        <w:t>’</w:t>
      </w:r>
      <w:r w:rsidR="00294863" w:rsidRPr="003E0481">
        <w:rPr>
          <w:lang w:val="fr-CA"/>
        </w:rPr>
        <w:t>a produit aucune preuve démontrant l</w:t>
      </w:r>
      <w:r w:rsidR="00C50E02" w:rsidRPr="003E0481">
        <w:rPr>
          <w:lang w:val="fr-CA"/>
        </w:rPr>
        <w:t>’</w:t>
      </w:r>
      <w:r w:rsidR="00294863" w:rsidRPr="003E0481">
        <w:rPr>
          <w:lang w:val="fr-CA"/>
        </w:rPr>
        <w:t>importance de l</w:t>
      </w:r>
      <w:r w:rsidR="00C50E02" w:rsidRPr="003E0481">
        <w:rPr>
          <w:lang w:val="fr-CA"/>
        </w:rPr>
        <w:t>’</w:t>
      </w:r>
      <w:r w:rsidR="00294863" w:rsidRPr="003E0481">
        <w:rPr>
          <w:lang w:val="fr-CA"/>
        </w:rPr>
        <w:t xml:space="preserve">entente de </w:t>
      </w:r>
      <w:proofErr w:type="spellStart"/>
      <w:r w:rsidR="00294863" w:rsidRPr="003E0481">
        <w:rPr>
          <w:lang w:val="fr-CA"/>
        </w:rPr>
        <w:t>non</w:t>
      </w:r>
      <w:r w:rsidR="003A2DDE" w:rsidRPr="003E0481">
        <w:rPr>
          <w:lang w:val="fr-CA"/>
        </w:rPr>
        <w:noBreakHyphen/>
      </w:r>
      <w:r w:rsidR="00294863" w:rsidRPr="003E0481">
        <w:rPr>
          <w:lang w:val="fr-CA"/>
        </w:rPr>
        <w:t>concurrence</w:t>
      </w:r>
      <w:proofErr w:type="spellEnd"/>
      <w:r w:rsidR="00294863" w:rsidRPr="003E0481">
        <w:rPr>
          <w:lang w:val="fr-CA"/>
        </w:rPr>
        <w:t xml:space="preserve"> mise en œuvre par le VAC afin d</w:t>
      </w:r>
      <w:r w:rsidR="00C50E02" w:rsidRPr="003E0481">
        <w:rPr>
          <w:lang w:val="fr-CA"/>
        </w:rPr>
        <w:t>’</w:t>
      </w:r>
      <w:r w:rsidR="00294863" w:rsidRPr="003E0481">
        <w:rPr>
          <w:lang w:val="fr-CA"/>
        </w:rPr>
        <w:t>empêcher que le</w:t>
      </w:r>
      <w:r w:rsidR="00AD0739" w:rsidRPr="003E0481">
        <w:rPr>
          <w:lang w:val="fr-CA"/>
        </w:rPr>
        <w:t xml:space="preserve"> Hilton </w:t>
      </w:r>
      <w:r w:rsidR="00294863" w:rsidRPr="003E0481">
        <w:rPr>
          <w:lang w:val="fr-CA"/>
        </w:rPr>
        <w:t>et le M</w:t>
      </w:r>
      <w:r w:rsidR="00AD0739" w:rsidRPr="003E0481">
        <w:rPr>
          <w:lang w:val="fr-CA"/>
        </w:rPr>
        <w:t xml:space="preserve">arriott </w:t>
      </w:r>
      <w:r w:rsidR="00294863" w:rsidRPr="003E0481">
        <w:rPr>
          <w:lang w:val="fr-CA"/>
        </w:rPr>
        <w:t>s</w:t>
      </w:r>
      <w:r w:rsidR="00372774" w:rsidRPr="003E0481">
        <w:rPr>
          <w:lang w:val="fr-CA"/>
        </w:rPr>
        <w:t>e fassent concurrence en</w:t>
      </w:r>
      <w:r w:rsidR="00294863" w:rsidRPr="003E0481">
        <w:rPr>
          <w:lang w:val="fr-CA"/>
        </w:rPr>
        <w:t xml:space="preserve"> offrant des chambres à rabais</w:t>
      </w:r>
      <w:r w:rsidR="00AD0739" w:rsidRPr="003E0481">
        <w:rPr>
          <w:lang w:val="fr-CA"/>
        </w:rPr>
        <w:t>.</w:t>
      </w:r>
      <w:r w:rsidR="00372774" w:rsidRPr="003E0481">
        <w:rPr>
          <w:lang w:val="fr-CA"/>
        </w:rPr>
        <w:t xml:space="preserve">  </w:t>
      </w:r>
      <w:r w:rsidR="00302651" w:rsidRPr="003E0481">
        <w:rPr>
          <w:lang w:val="fr-CA"/>
        </w:rPr>
        <w:t>La preuve dont le tribunal de première instance a été saisi ne permettait pas de conclure à la responsabilité du VAC pour avoir manqué à son obligation fiducia</w:t>
      </w:r>
      <w:r w:rsidR="003A2075" w:rsidRPr="003E0481">
        <w:rPr>
          <w:lang w:val="fr-CA"/>
        </w:rPr>
        <w:t>ir</w:t>
      </w:r>
      <w:r w:rsidR="00302651" w:rsidRPr="003E0481">
        <w:rPr>
          <w:lang w:val="fr-CA"/>
        </w:rPr>
        <w:t>e, soit parce qu</w:t>
      </w:r>
      <w:r w:rsidR="00C50E02" w:rsidRPr="003E0481">
        <w:rPr>
          <w:lang w:val="fr-CA"/>
        </w:rPr>
        <w:t>’</w:t>
      </w:r>
      <w:r w:rsidR="00302651" w:rsidRPr="003E0481">
        <w:rPr>
          <w:lang w:val="fr-CA"/>
        </w:rPr>
        <w:t xml:space="preserve">il avait omis de </w:t>
      </w:r>
      <w:r w:rsidR="00372774" w:rsidRPr="003E0481">
        <w:rPr>
          <w:lang w:val="fr-CA"/>
        </w:rPr>
        <w:t>communiquer les différences dans les</w:t>
      </w:r>
      <w:r w:rsidR="00302651" w:rsidRPr="003E0481">
        <w:rPr>
          <w:lang w:val="fr-CA"/>
        </w:rPr>
        <w:t xml:space="preserve"> ententes financières, soit en raison</w:t>
      </w:r>
      <w:r w:rsidR="00372774" w:rsidRPr="003E0481">
        <w:rPr>
          <w:lang w:val="fr-CA"/>
        </w:rPr>
        <w:t xml:space="preserve"> du fait qu</w:t>
      </w:r>
      <w:r w:rsidR="00C50E02" w:rsidRPr="003E0481">
        <w:rPr>
          <w:lang w:val="fr-CA"/>
        </w:rPr>
        <w:t>’</w:t>
      </w:r>
      <w:r w:rsidR="00372774" w:rsidRPr="003E0481">
        <w:rPr>
          <w:lang w:val="fr-CA"/>
        </w:rPr>
        <w:t xml:space="preserve">il avait mis en œuvre la politique de </w:t>
      </w:r>
      <w:proofErr w:type="spellStart"/>
      <w:r w:rsidR="00372774" w:rsidRPr="003E0481">
        <w:rPr>
          <w:lang w:val="fr-CA"/>
        </w:rPr>
        <w:t>non</w:t>
      </w:r>
      <w:r w:rsidR="003A2DDE" w:rsidRPr="003E0481">
        <w:rPr>
          <w:lang w:val="fr-CA"/>
        </w:rPr>
        <w:noBreakHyphen/>
      </w:r>
      <w:r w:rsidR="00372774" w:rsidRPr="003E0481">
        <w:rPr>
          <w:lang w:val="fr-CA"/>
        </w:rPr>
        <w:t>concurrence</w:t>
      </w:r>
      <w:proofErr w:type="spellEnd"/>
      <w:r w:rsidR="00372774" w:rsidRPr="003E0481">
        <w:rPr>
          <w:lang w:val="fr-CA"/>
        </w:rPr>
        <w:t>.</w:t>
      </w:r>
    </w:p>
    <w:p w:rsidR="007563AB" w:rsidRPr="003A6D24" w:rsidRDefault="007563AB" w:rsidP="00731213">
      <w:pPr>
        <w:pStyle w:val="SCCNormalDoubleSpacing"/>
        <w:keepNext/>
        <w:spacing w:after="720" w:line="240" w:lineRule="auto"/>
        <w:rPr>
          <w:b/>
          <w:lang w:val="en-US"/>
        </w:rPr>
      </w:pPr>
      <w:r w:rsidRPr="003A6D24">
        <w:rPr>
          <w:b/>
          <w:lang w:val="en-US"/>
        </w:rPr>
        <w:t>Jurisprudence</w:t>
      </w:r>
    </w:p>
    <w:p w:rsidR="00CA5A15" w:rsidRPr="003A6D24" w:rsidRDefault="007563AB" w:rsidP="008F4975">
      <w:pPr>
        <w:pStyle w:val="SCCNormalDoubleSpacing"/>
        <w:spacing w:after="480"/>
        <w:rPr>
          <w:lang w:val="en-US"/>
        </w:rPr>
      </w:pPr>
      <w:r w:rsidRPr="003A6D24">
        <w:rPr>
          <w:lang w:val="en-US"/>
        </w:rPr>
        <w:tab/>
      </w:r>
      <w:proofErr w:type="spellStart"/>
      <w:r w:rsidR="00BB5BF8" w:rsidRPr="003A6D24">
        <w:rPr>
          <w:b/>
          <w:lang w:val="en-US"/>
        </w:rPr>
        <w:t>Arrêts</w:t>
      </w:r>
      <w:proofErr w:type="spellEnd"/>
      <w:r w:rsidR="00BB5BF8" w:rsidRPr="003A6D24">
        <w:rPr>
          <w:b/>
          <w:lang w:val="en-US"/>
        </w:rPr>
        <w:t xml:space="preserve"> </w:t>
      </w:r>
      <w:proofErr w:type="spellStart"/>
      <w:r w:rsidR="00BB5BF8" w:rsidRPr="003A6D24">
        <w:rPr>
          <w:b/>
          <w:lang w:val="en-US"/>
        </w:rPr>
        <w:t>analysés</w:t>
      </w:r>
      <w:proofErr w:type="spellEnd"/>
      <w:r w:rsidR="003A2DDE">
        <w:rPr>
          <w:b/>
          <w:lang w:val="en-US"/>
        </w:rPr>
        <w:t> :</w:t>
      </w:r>
      <w:r w:rsidR="00BB5BF8" w:rsidRPr="003A6D24">
        <w:rPr>
          <w:lang w:val="en-US"/>
        </w:rPr>
        <w:t xml:space="preserve"> </w:t>
      </w:r>
      <w:r w:rsidR="00BB5BF8" w:rsidRPr="003A6D24">
        <w:rPr>
          <w:i/>
        </w:rPr>
        <w:t xml:space="preserve">Kerr c. </w:t>
      </w:r>
      <w:proofErr w:type="spellStart"/>
      <w:r w:rsidR="00BB5BF8" w:rsidRPr="003A6D24">
        <w:rPr>
          <w:i/>
        </w:rPr>
        <w:t>Danier</w:t>
      </w:r>
      <w:proofErr w:type="spellEnd"/>
      <w:r w:rsidR="00BB5BF8" w:rsidRPr="003A6D24">
        <w:rPr>
          <w:i/>
        </w:rPr>
        <w:t xml:space="preserve"> Leather Inc.</w:t>
      </w:r>
      <w:r w:rsidR="00BB5BF8" w:rsidRPr="003A6D24">
        <w:t xml:space="preserve">, 2007 CSC 44, [2007] 3 R.C.S. 331; </w:t>
      </w:r>
      <w:r w:rsidR="00BB5BF8" w:rsidRPr="003A6D24">
        <w:rPr>
          <w:i/>
        </w:rPr>
        <w:t>TSC Industries, Inc. c. Northway, Inc.</w:t>
      </w:r>
      <w:r w:rsidR="00BB5BF8" w:rsidRPr="003A6D24">
        <w:t>, 426 U.S. 438 (1976</w:t>
      </w:r>
      <w:r w:rsidR="00BB5BF8" w:rsidRPr="003A6D24">
        <w:rPr>
          <w:lang w:val="en-US"/>
        </w:rPr>
        <w:t xml:space="preserve">), inf. 512 F.2d 324 (1975); </w:t>
      </w:r>
      <w:r w:rsidR="00BB5BF8" w:rsidRPr="003A6D24">
        <w:rPr>
          <w:i/>
        </w:rPr>
        <w:t xml:space="preserve">Queen c. </w:t>
      </w:r>
      <w:proofErr w:type="spellStart"/>
      <w:r w:rsidR="00BB5BF8" w:rsidRPr="003A6D24">
        <w:rPr>
          <w:i/>
        </w:rPr>
        <w:t>Cognos</w:t>
      </w:r>
      <w:proofErr w:type="spellEnd"/>
      <w:r w:rsidR="00323E80">
        <w:rPr>
          <w:i/>
        </w:rPr>
        <w:t xml:space="preserve"> Inc.</w:t>
      </w:r>
      <w:r w:rsidR="00BB5BF8" w:rsidRPr="003A6D24">
        <w:t>, [1993] 1 R.C.S. 87;</w:t>
      </w:r>
      <w:r w:rsidR="00BB5BF8" w:rsidRPr="003A6D24">
        <w:rPr>
          <w:lang w:val="en-US"/>
        </w:rPr>
        <w:t xml:space="preserve"> </w:t>
      </w:r>
      <w:proofErr w:type="spellStart"/>
      <w:r w:rsidR="00BB5BF8" w:rsidRPr="003A6D24">
        <w:rPr>
          <w:b/>
          <w:lang w:val="en-US"/>
        </w:rPr>
        <w:t>a</w:t>
      </w:r>
      <w:r w:rsidRPr="003A6D24">
        <w:rPr>
          <w:b/>
          <w:lang w:val="en-US"/>
        </w:rPr>
        <w:t>rrêts</w:t>
      </w:r>
      <w:proofErr w:type="spellEnd"/>
      <w:r w:rsidRPr="003A6D24">
        <w:rPr>
          <w:b/>
          <w:lang w:val="en-US"/>
        </w:rPr>
        <w:t xml:space="preserve"> </w:t>
      </w:r>
      <w:proofErr w:type="spellStart"/>
      <w:r w:rsidRPr="003A6D24">
        <w:rPr>
          <w:b/>
          <w:lang w:val="en-US"/>
        </w:rPr>
        <w:t>mentionnés</w:t>
      </w:r>
      <w:proofErr w:type="spellEnd"/>
      <w:r w:rsidR="003A2DDE">
        <w:rPr>
          <w:b/>
          <w:lang w:val="en-US"/>
        </w:rPr>
        <w:t> :</w:t>
      </w:r>
      <w:r w:rsidRPr="003A6D24">
        <w:rPr>
          <w:lang w:val="en-US"/>
        </w:rPr>
        <w:t xml:space="preserve"> </w:t>
      </w:r>
      <w:proofErr w:type="spellStart"/>
      <w:r w:rsidRPr="003A6D24">
        <w:rPr>
          <w:i/>
        </w:rPr>
        <w:t>Sparling</w:t>
      </w:r>
      <w:proofErr w:type="spellEnd"/>
      <w:r w:rsidRPr="003A6D24">
        <w:t xml:space="preserve"> </w:t>
      </w:r>
      <w:r w:rsidRPr="003A6D24">
        <w:rPr>
          <w:i/>
        </w:rPr>
        <w:t xml:space="preserve">c. Royal </w:t>
      </w:r>
      <w:proofErr w:type="spellStart"/>
      <w:r w:rsidRPr="003A6D24">
        <w:rPr>
          <w:i/>
        </w:rPr>
        <w:t>Trustco</w:t>
      </w:r>
      <w:proofErr w:type="spellEnd"/>
      <w:r w:rsidRPr="003A6D24">
        <w:rPr>
          <w:i/>
        </w:rPr>
        <w:t xml:space="preserve"> Ltd.</w:t>
      </w:r>
      <w:r w:rsidRPr="003A6D24">
        <w:t xml:space="preserve"> (1984), 6 D.L.R. (4th) 682, conf. </w:t>
      </w:r>
      <w:r w:rsidR="00D35F28" w:rsidRPr="003A6D24">
        <w:t xml:space="preserve">par </w:t>
      </w:r>
      <w:r w:rsidRPr="003A6D24">
        <w:t xml:space="preserve">[1986] 2 R.C.S. 537; </w:t>
      </w:r>
      <w:r w:rsidRPr="003A6D24">
        <w:rPr>
          <w:i/>
        </w:rPr>
        <w:t>Harris c. Universal Explorations Ltd.</w:t>
      </w:r>
      <w:r w:rsidRPr="003A6D24">
        <w:t xml:space="preserve"> (1982), 17 B.L.R. 135; </w:t>
      </w:r>
      <w:proofErr w:type="spellStart"/>
      <w:r w:rsidRPr="003A6D24">
        <w:rPr>
          <w:i/>
        </w:rPr>
        <w:t>Inmet</w:t>
      </w:r>
      <w:proofErr w:type="spellEnd"/>
      <w:r w:rsidRPr="003A6D24">
        <w:rPr>
          <w:i/>
        </w:rPr>
        <w:t xml:space="preserve"> Mining Cor</w:t>
      </w:r>
      <w:r w:rsidR="003A2DDE">
        <w:rPr>
          <w:i/>
        </w:rPr>
        <w:t>p. </w:t>
      </w:r>
      <w:r w:rsidRPr="003A6D24">
        <w:rPr>
          <w:i/>
        </w:rPr>
        <w:t xml:space="preserve">c. </w:t>
      </w:r>
      <w:proofErr w:type="spellStart"/>
      <w:r w:rsidRPr="003A6D24">
        <w:rPr>
          <w:i/>
        </w:rPr>
        <w:t>Homestake</w:t>
      </w:r>
      <w:proofErr w:type="spellEnd"/>
      <w:r w:rsidRPr="003A6D24">
        <w:rPr>
          <w:i/>
        </w:rPr>
        <w:t xml:space="preserve"> Canada Inc.</w:t>
      </w:r>
      <w:r w:rsidRPr="003A6D24">
        <w:t xml:space="preserve">, 2003 BCCA 610, 189 B.C.A.C. 251; </w:t>
      </w:r>
      <w:proofErr w:type="spellStart"/>
      <w:r w:rsidRPr="003A6D24">
        <w:rPr>
          <w:i/>
        </w:rPr>
        <w:t>Gerstle</w:t>
      </w:r>
      <w:proofErr w:type="spellEnd"/>
      <w:r w:rsidRPr="003A6D24">
        <w:rPr>
          <w:i/>
        </w:rPr>
        <w:t xml:space="preserve"> c. </w:t>
      </w:r>
      <w:proofErr w:type="spellStart"/>
      <w:r w:rsidRPr="003A6D24">
        <w:rPr>
          <w:i/>
        </w:rPr>
        <w:t>Gamble</w:t>
      </w:r>
      <w:r w:rsidR="003A2DDE">
        <w:rPr>
          <w:i/>
        </w:rPr>
        <w:noBreakHyphen/>
      </w:r>
      <w:r w:rsidRPr="003A6D24">
        <w:rPr>
          <w:i/>
        </w:rPr>
        <w:t>Skogmo</w:t>
      </w:r>
      <w:proofErr w:type="spellEnd"/>
      <w:r w:rsidRPr="003A6D24">
        <w:rPr>
          <w:i/>
        </w:rPr>
        <w:t>, Inc.</w:t>
      </w:r>
      <w:r w:rsidRPr="003A6D24">
        <w:t xml:space="preserve">, 478 F.2d 1281 (1973); </w:t>
      </w:r>
      <w:r w:rsidRPr="003A6D24">
        <w:rPr>
          <w:i/>
        </w:rPr>
        <w:t xml:space="preserve">Mills c. Electric </w:t>
      </w:r>
      <w:proofErr w:type="spellStart"/>
      <w:r w:rsidRPr="003A6D24">
        <w:rPr>
          <w:i/>
        </w:rPr>
        <w:t>Auto</w:t>
      </w:r>
      <w:r w:rsidR="003A2DDE">
        <w:rPr>
          <w:i/>
        </w:rPr>
        <w:noBreakHyphen/>
      </w:r>
      <w:r w:rsidRPr="003A6D24">
        <w:rPr>
          <w:i/>
        </w:rPr>
        <w:t>Lite</w:t>
      </w:r>
      <w:proofErr w:type="spellEnd"/>
      <w:r w:rsidRPr="003A6D24">
        <w:rPr>
          <w:i/>
        </w:rPr>
        <w:t xml:space="preserve"> Co.</w:t>
      </w:r>
      <w:r w:rsidRPr="003A6D24">
        <w:t xml:space="preserve">, 396 U.S. 375 (1970); </w:t>
      </w:r>
      <w:r w:rsidRPr="003A6D24">
        <w:rPr>
          <w:i/>
        </w:rPr>
        <w:t>Basic Inc. c. Levinson</w:t>
      </w:r>
      <w:r w:rsidRPr="003A6D24">
        <w:t>, 485 U.S. 224 (1988);</w:t>
      </w:r>
      <w:r w:rsidRPr="003A6D24">
        <w:rPr>
          <w:lang w:val="en-US"/>
        </w:rPr>
        <w:t xml:space="preserve"> </w:t>
      </w:r>
      <w:r w:rsidRPr="003A6D24">
        <w:rPr>
          <w:i/>
          <w:lang w:val="en-US"/>
        </w:rPr>
        <w:t>Maple Leaf Foods Inc. c. Schne</w:t>
      </w:r>
      <w:r w:rsidR="00CA5A15" w:rsidRPr="003A6D24">
        <w:rPr>
          <w:i/>
          <w:lang w:val="en-US"/>
        </w:rPr>
        <w:t>i</w:t>
      </w:r>
      <w:r w:rsidRPr="003A6D24">
        <w:rPr>
          <w:i/>
          <w:lang w:val="en-US"/>
        </w:rPr>
        <w:t>der Cor</w:t>
      </w:r>
      <w:r w:rsidR="003A2DDE">
        <w:rPr>
          <w:i/>
          <w:lang w:val="en-US"/>
        </w:rPr>
        <w:t>p. </w:t>
      </w:r>
      <w:r w:rsidRPr="003A6D24">
        <w:rPr>
          <w:lang w:val="en-US"/>
        </w:rPr>
        <w:t xml:space="preserve">(1998), 42 O.R. (3d) 177; </w:t>
      </w:r>
      <w:r w:rsidRPr="003A6D24">
        <w:rPr>
          <w:i/>
          <w:lang w:val="en-US"/>
        </w:rPr>
        <w:t xml:space="preserve">Van de </w:t>
      </w:r>
      <w:proofErr w:type="spellStart"/>
      <w:r w:rsidRPr="003A6D24">
        <w:rPr>
          <w:i/>
          <w:lang w:val="en-US"/>
        </w:rPr>
        <w:t>Perre</w:t>
      </w:r>
      <w:proofErr w:type="spellEnd"/>
      <w:r w:rsidRPr="003A6D24">
        <w:rPr>
          <w:i/>
          <w:lang w:val="en-US"/>
        </w:rPr>
        <w:t xml:space="preserve"> c. Edwards</w:t>
      </w:r>
      <w:r w:rsidRPr="003A6D24">
        <w:rPr>
          <w:lang w:val="en-US"/>
        </w:rPr>
        <w:t xml:space="preserve">, 2001 CSC 60, [2001] 2 R.C.S. 1014; </w:t>
      </w:r>
      <w:proofErr w:type="spellStart"/>
      <w:r w:rsidRPr="003A6D24">
        <w:rPr>
          <w:i/>
          <w:lang w:val="en-US"/>
        </w:rPr>
        <w:t>Housen</w:t>
      </w:r>
      <w:proofErr w:type="spellEnd"/>
      <w:r w:rsidRPr="003A6D24">
        <w:rPr>
          <w:i/>
          <w:lang w:val="en-US"/>
        </w:rPr>
        <w:t xml:space="preserve"> c. </w:t>
      </w:r>
      <w:proofErr w:type="spellStart"/>
      <w:r w:rsidRPr="003A6D24">
        <w:rPr>
          <w:i/>
          <w:lang w:val="en-US"/>
        </w:rPr>
        <w:t>Nikolaisen</w:t>
      </w:r>
      <w:proofErr w:type="spellEnd"/>
      <w:r w:rsidRPr="003A6D24">
        <w:rPr>
          <w:lang w:val="en-US"/>
        </w:rPr>
        <w:t>, 2002 CSC 33, [2002] 2 R.C.S. 235;</w:t>
      </w:r>
      <w:r w:rsidRPr="003A6D24">
        <w:t xml:space="preserve"> </w:t>
      </w:r>
      <w:r w:rsidRPr="003A6D24">
        <w:rPr>
          <w:i/>
        </w:rPr>
        <w:t>Hollis c. Dow Corning Corp.</w:t>
      </w:r>
      <w:r w:rsidRPr="003A6D24">
        <w:t>, [1995] 4 R.C.S. 634</w:t>
      </w:r>
      <w:r w:rsidRPr="003A6D24">
        <w:rPr>
          <w:lang w:val="en-US"/>
        </w:rPr>
        <w:t>;</w:t>
      </w:r>
      <w:r w:rsidRPr="003A6D24">
        <w:rPr>
          <w:i/>
          <w:lang w:val="en-US"/>
        </w:rPr>
        <w:t xml:space="preserve"> </w:t>
      </w:r>
      <w:proofErr w:type="spellStart"/>
      <w:r w:rsidRPr="003A6D24">
        <w:rPr>
          <w:i/>
          <w:lang w:val="en-US"/>
        </w:rPr>
        <w:t>Église</w:t>
      </w:r>
      <w:proofErr w:type="spellEnd"/>
      <w:r w:rsidRPr="003A6D24">
        <w:rPr>
          <w:i/>
          <w:lang w:val="en-US"/>
        </w:rPr>
        <w:t xml:space="preserve"> </w:t>
      </w:r>
      <w:proofErr w:type="spellStart"/>
      <w:r w:rsidRPr="003A6D24">
        <w:rPr>
          <w:i/>
          <w:lang w:val="en-US"/>
        </w:rPr>
        <w:t>luthérienne</w:t>
      </w:r>
      <w:proofErr w:type="spellEnd"/>
      <w:r w:rsidRPr="003A6D24">
        <w:rPr>
          <w:i/>
          <w:lang w:val="en-US"/>
        </w:rPr>
        <w:t xml:space="preserve"> </w:t>
      </w:r>
      <w:proofErr w:type="spellStart"/>
      <w:r w:rsidRPr="003A6D24">
        <w:rPr>
          <w:i/>
          <w:lang w:val="en-US"/>
        </w:rPr>
        <w:t>évangélique</w:t>
      </w:r>
      <w:proofErr w:type="spellEnd"/>
      <w:r w:rsidRPr="003A6D24">
        <w:rPr>
          <w:i/>
          <w:lang w:val="en-US"/>
        </w:rPr>
        <w:t xml:space="preserve"> St. Peter c. Ottawa</w:t>
      </w:r>
      <w:r w:rsidRPr="003A6D24">
        <w:rPr>
          <w:lang w:val="en-US"/>
        </w:rPr>
        <w:t>, [1982] 2 R.C.S. 616;</w:t>
      </w:r>
      <w:r w:rsidRPr="003A6D24">
        <w:rPr>
          <w:i/>
          <w:lang w:val="en-US"/>
        </w:rPr>
        <w:t xml:space="preserve"> R. c. </w:t>
      </w:r>
      <w:proofErr w:type="spellStart"/>
      <w:r w:rsidRPr="003A6D24">
        <w:rPr>
          <w:i/>
          <w:lang w:val="en-US"/>
        </w:rPr>
        <w:t>Loxdale</w:t>
      </w:r>
      <w:proofErr w:type="spellEnd"/>
      <w:r w:rsidRPr="003A6D24">
        <w:rPr>
          <w:lang w:val="en-US"/>
        </w:rPr>
        <w:t xml:space="preserve"> (1758), 1 Burr. </w:t>
      </w:r>
      <w:proofErr w:type="gramStart"/>
      <w:r w:rsidRPr="003A6D24">
        <w:rPr>
          <w:lang w:val="en-US"/>
        </w:rPr>
        <w:t>445, 97 E.R. 394;</w:t>
      </w:r>
      <w:r w:rsidRPr="003A6D24">
        <w:rPr>
          <w:i/>
          <w:lang w:val="en-US"/>
        </w:rPr>
        <w:t xml:space="preserve"> </w:t>
      </w:r>
      <w:r w:rsidRPr="003A6D24">
        <w:rPr>
          <w:i/>
          <w:lang w:val="en-US"/>
        </w:rPr>
        <w:lastRenderedPageBreak/>
        <w:t>Nova, an Alberta Cor</w:t>
      </w:r>
      <w:r w:rsidR="003A2DDE">
        <w:rPr>
          <w:i/>
          <w:lang w:val="en-US"/>
        </w:rPr>
        <w:t>p. </w:t>
      </w:r>
      <w:r w:rsidRPr="003A6D24">
        <w:rPr>
          <w:i/>
          <w:lang w:val="en-US"/>
        </w:rPr>
        <w:t xml:space="preserve">c. Amoco Canada Petroleum </w:t>
      </w:r>
      <w:r w:rsidR="00323E80">
        <w:rPr>
          <w:i/>
          <w:lang w:val="en-US"/>
        </w:rPr>
        <w:t>Co.</w:t>
      </w:r>
      <w:r w:rsidRPr="003A6D24">
        <w:rPr>
          <w:lang w:val="en-US"/>
        </w:rPr>
        <w:t>, [1981] 2 R.C.S. 437</w:t>
      </w:r>
      <w:r w:rsidRPr="003A6D24">
        <w:t xml:space="preserve">; </w:t>
      </w:r>
      <w:r w:rsidRPr="003A6D24">
        <w:rPr>
          <w:i/>
          <w:lang w:val="en-US"/>
        </w:rPr>
        <w:t>Frame c. Smith</w:t>
      </w:r>
      <w:r w:rsidRPr="003A6D24">
        <w:rPr>
          <w:lang w:val="en-US"/>
        </w:rPr>
        <w:t>, [1987] 2 R.C.S</w:t>
      </w:r>
      <w:r w:rsidR="00224705">
        <w:rPr>
          <w:lang w:val="en-US"/>
        </w:rPr>
        <w:t>.</w:t>
      </w:r>
      <w:r w:rsidRPr="003A6D24">
        <w:rPr>
          <w:lang w:val="en-US"/>
        </w:rPr>
        <w:t xml:space="preserve"> 99; </w:t>
      </w:r>
      <w:proofErr w:type="spellStart"/>
      <w:r w:rsidRPr="003A6D24">
        <w:rPr>
          <w:i/>
          <w:lang w:val="en-US"/>
        </w:rPr>
        <w:t>Galambos</w:t>
      </w:r>
      <w:proofErr w:type="spellEnd"/>
      <w:r w:rsidRPr="003A6D24">
        <w:rPr>
          <w:i/>
          <w:lang w:val="en-US"/>
        </w:rPr>
        <w:t xml:space="preserve"> c. Perez</w:t>
      </w:r>
      <w:r w:rsidRPr="003A6D24">
        <w:rPr>
          <w:lang w:val="en-US"/>
        </w:rPr>
        <w:t xml:space="preserve">, 2009 CSC 48, [2009] 3 R.C.S. 247; </w:t>
      </w:r>
      <w:r w:rsidRPr="003A6D24">
        <w:rPr>
          <w:i/>
          <w:lang w:val="en-US"/>
        </w:rPr>
        <w:t xml:space="preserve">McGuire c. Graham </w:t>
      </w:r>
      <w:r w:rsidRPr="003A6D24">
        <w:rPr>
          <w:lang w:val="en-US"/>
        </w:rPr>
        <w:t xml:space="preserve">(1908), 11 O.W.R. 999; </w:t>
      </w:r>
      <w:r w:rsidRPr="003A6D24">
        <w:rPr>
          <w:i/>
          <w:lang w:val="en-US"/>
        </w:rPr>
        <w:t>R. c. Neil</w:t>
      </w:r>
      <w:r w:rsidRPr="003A6D24">
        <w:rPr>
          <w:lang w:val="en-US"/>
        </w:rPr>
        <w:t>, 2002 CSC 70, [2002] 3 R.C.S. 631.</w:t>
      </w:r>
      <w:proofErr w:type="gramEnd"/>
    </w:p>
    <w:p w:rsidR="007563AB" w:rsidRPr="003A6D24" w:rsidRDefault="007563AB" w:rsidP="008F4975">
      <w:pPr>
        <w:pStyle w:val="SCCNormalDoubleSpacing"/>
        <w:keepNext/>
        <w:spacing w:after="720" w:line="240" w:lineRule="auto"/>
        <w:rPr>
          <w:b/>
          <w:lang w:val="en-US"/>
        </w:rPr>
      </w:pPr>
      <w:r w:rsidRPr="003A6D24">
        <w:rPr>
          <w:b/>
          <w:lang w:val="en-US"/>
        </w:rPr>
        <w:t xml:space="preserve">Lois </w:t>
      </w:r>
      <w:proofErr w:type="gramStart"/>
      <w:r w:rsidRPr="003A6D24">
        <w:rPr>
          <w:b/>
          <w:lang w:val="en-US"/>
        </w:rPr>
        <w:t>et</w:t>
      </w:r>
      <w:proofErr w:type="gramEnd"/>
      <w:r w:rsidRPr="003A6D24">
        <w:rPr>
          <w:b/>
          <w:lang w:val="en-US"/>
        </w:rPr>
        <w:t xml:space="preserve"> </w:t>
      </w:r>
      <w:proofErr w:type="spellStart"/>
      <w:r w:rsidRPr="003A6D24">
        <w:rPr>
          <w:b/>
          <w:lang w:val="en-US"/>
        </w:rPr>
        <w:t>règlements</w:t>
      </w:r>
      <w:proofErr w:type="spellEnd"/>
      <w:r w:rsidRPr="003A6D24">
        <w:rPr>
          <w:b/>
          <w:lang w:val="en-US"/>
        </w:rPr>
        <w:t xml:space="preserve"> </w:t>
      </w:r>
      <w:proofErr w:type="spellStart"/>
      <w:r w:rsidRPr="003A6D24">
        <w:rPr>
          <w:b/>
          <w:lang w:val="en-US"/>
        </w:rPr>
        <w:t>cités</w:t>
      </w:r>
      <w:proofErr w:type="spellEnd"/>
    </w:p>
    <w:p w:rsidR="007563AB" w:rsidRPr="003A6D24" w:rsidRDefault="007563AB" w:rsidP="001211F3">
      <w:pPr>
        <w:pStyle w:val="SCCNormalDoubleSpacing"/>
        <w:spacing w:after="240" w:line="240" w:lineRule="auto"/>
        <w:rPr>
          <w:lang w:val="en-US"/>
        </w:rPr>
      </w:pPr>
      <w:proofErr w:type="gramStart"/>
      <w:r w:rsidRPr="003A6D24">
        <w:rPr>
          <w:i/>
          <w:lang w:val="en-US"/>
        </w:rPr>
        <w:t>Class Proceedings Act</w:t>
      </w:r>
      <w:r w:rsidRPr="003A6D24">
        <w:rPr>
          <w:lang w:val="en-US"/>
        </w:rPr>
        <w:t xml:space="preserve">, R.S.B.C. 1996, </w:t>
      </w:r>
      <w:proofErr w:type="spellStart"/>
      <w:r w:rsidR="003A2DDE">
        <w:rPr>
          <w:lang w:val="en-US"/>
        </w:rPr>
        <w:t>ch</w:t>
      </w:r>
      <w:proofErr w:type="spellEnd"/>
      <w:r w:rsidR="003A2DDE">
        <w:rPr>
          <w:lang w:val="en-US"/>
        </w:rPr>
        <w:t>. </w:t>
      </w:r>
      <w:r w:rsidRPr="003A6D24">
        <w:rPr>
          <w:lang w:val="en-US"/>
        </w:rPr>
        <w:t>50</w:t>
      </w:r>
      <w:r w:rsidR="00622267">
        <w:rPr>
          <w:lang w:val="en-US"/>
        </w:rPr>
        <w:t>, art.</w:t>
      </w:r>
      <w:proofErr w:type="gramEnd"/>
      <w:r w:rsidR="00622267">
        <w:rPr>
          <w:lang w:val="en-US"/>
        </w:rPr>
        <w:t> 37</w:t>
      </w:r>
      <w:r w:rsidRPr="003A6D24">
        <w:rPr>
          <w:lang w:val="en-US"/>
        </w:rPr>
        <w:t>.</w:t>
      </w:r>
    </w:p>
    <w:p w:rsidR="007563AB" w:rsidRDefault="007563AB" w:rsidP="001211F3">
      <w:pPr>
        <w:pStyle w:val="SCCNormalDoubleSpacing"/>
        <w:spacing w:after="240" w:line="240" w:lineRule="auto"/>
        <w:ind w:left="540" w:hanging="540"/>
        <w:rPr>
          <w:lang w:val="en-US"/>
        </w:rPr>
      </w:pPr>
      <w:proofErr w:type="gramStart"/>
      <w:r w:rsidRPr="003A6D24">
        <w:rPr>
          <w:i/>
          <w:lang w:val="en-US"/>
        </w:rPr>
        <w:t>Real Estate Act</w:t>
      </w:r>
      <w:r w:rsidRPr="003A6D24">
        <w:rPr>
          <w:lang w:val="en-US"/>
        </w:rPr>
        <w:t xml:space="preserve">, R.S.B.C. 1996, </w:t>
      </w:r>
      <w:proofErr w:type="spellStart"/>
      <w:r w:rsidR="003A2DDE">
        <w:rPr>
          <w:lang w:val="en-US"/>
        </w:rPr>
        <w:t>ch</w:t>
      </w:r>
      <w:proofErr w:type="spellEnd"/>
      <w:r w:rsidR="003A2DDE">
        <w:rPr>
          <w:lang w:val="en-US"/>
        </w:rPr>
        <w:t>. </w:t>
      </w:r>
      <w:r w:rsidRPr="003A6D24">
        <w:rPr>
          <w:lang w:val="en-US"/>
        </w:rPr>
        <w:t>397</w:t>
      </w:r>
      <w:r w:rsidR="00622267">
        <w:rPr>
          <w:lang w:val="en-US"/>
        </w:rPr>
        <w:t xml:space="preserve"> [abr. 2004, </w:t>
      </w:r>
      <w:proofErr w:type="spellStart"/>
      <w:r w:rsidR="00622267">
        <w:rPr>
          <w:lang w:val="en-US"/>
        </w:rPr>
        <w:t>ch</w:t>
      </w:r>
      <w:proofErr w:type="spellEnd"/>
      <w:r w:rsidR="00622267">
        <w:rPr>
          <w:lang w:val="en-US"/>
        </w:rPr>
        <w:t>. 42, art. 146]</w:t>
      </w:r>
      <w:r w:rsidRPr="003A6D24">
        <w:rPr>
          <w:lang w:val="en-US"/>
        </w:rPr>
        <w:t xml:space="preserve">, </w:t>
      </w:r>
      <w:r w:rsidR="003A2DDE">
        <w:rPr>
          <w:lang w:val="en-US"/>
        </w:rPr>
        <w:t>art.</w:t>
      </w:r>
      <w:proofErr w:type="gramEnd"/>
      <w:r w:rsidR="003A2DDE">
        <w:rPr>
          <w:lang w:val="en-US"/>
        </w:rPr>
        <w:t> </w:t>
      </w:r>
      <w:proofErr w:type="gramStart"/>
      <w:r w:rsidRPr="003A6D24">
        <w:rPr>
          <w:lang w:val="en-US"/>
        </w:rPr>
        <w:t>66, 75.</w:t>
      </w:r>
      <w:proofErr w:type="gramEnd"/>
      <w:r w:rsidRPr="003A6D24">
        <w:rPr>
          <w:lang w:val="en-US"/>
        </w:rPr>
        <w:t xml:space="preserve"> </w:t>
      </w:r>
    </w:p>
    <w:p w:rsidR="007563AB" w:rsidRPr="003A6D24" w:rsidRDefault="007563AB" w:rsidP="001211F3">
      <w:pPr>
        <w:pStyle w:val="SCCNormalDoubleSpacing"/>
        <w:spacing w:after="240" w:line="240" w:lineRule="auto"/>
        <w:ind w:left="540" w:hanging="540"/>
        <w:rPr>
          <w:lang w:val="en-US"/>
        </w:rPr>
      </w:pPr>
      <w:proofErr w:type="gramStart"/>
      <w:r w:rsidRPr="003A6D24">
        <w:rPr>
          <w:i/>
          <w:lang w:val="en-US"/>
        </w:rPr>
        <w:t>Real Estate Development Marketing Act</w:t>
      </w:r>
      <w:r w:rsidRPr="003A6D24">
        <w:rPr>
          <w:lang w:val="en-US"/>
        </w:rPr>
        <w:t xml:space="preserve">, S.B.C. 2004, </w:t>
      </w:r>
      <w:proofErr w:type="spellStart"/>
      <w:r w:rsidR="003A2DDE">
        <w:rPr>
          <w:lang w:val="en-US"/>
        </w:rPr>
        <w:t>ch</w:t>
      </w:r>
      <w:proofErr w:type="spellEnd"/>
      <w:r w:rsidR="003A2DDE">
        <w:rPr>
          <w:lang w:val="en-US"/>
        </w:rPr>
        <w:t>. </w:t>
      </w:r>
      <w:r w:rsidRPr="003A6D24">
        <w:rPr>
          <w:lang w:val="en-US"/>
        </w:rPr>
        <w:t xml:space="preserve">41, </w:t>
      </w:r>
      <w:r w:rsidR="003A2DDE">
        <w:rPr>
          <w:lang w:val="en-US"/>
        </w:rPr>
        <w:t>art.</w:t>
      </w:r>
      <w:proofErr w:type="gramEnd"/>
      <w:r w:rsidR="003A2DDE">
        <w:rPr>
          <w:lang w:val="en-US"/>
        </w:rPr>
        <w:t> </w:t>
      </w:r>
      <w:proofErr w:type="gramStart"/>
      <w:r w:rsidRPr="003A6D24">
        <w:rPr>
          <w:lang w:val="en-US"/>
        </w:rPr>
        <w:t>22(3), (5).</w:t>
      </w:r>
      <w:proofErr w:type="gramEnd"/>
    </w:p>
    <w:p w:rsidR="007563AB" w:rsidRPr="003A6D24" w:rsidRDefault="007563AB" w:rsidP="008F4975">
      <w:pPr>
        <w:pStyle w:val="SCCNormalDoubleSpacing"/>
        <w:spacing w:after="720" w:line="240" w:lineRule="auto"/>
        <w:ind w:left="547" w:hanging="547"/>
        <w:rPr>
          <w:lang w:val="en-US"/>
        </w:rPr>
      </w:pPr>
      <w:r w:rsidRPr="003A6D24">
        <w:rPr>
          <w:i/>
          <w:lang w:val="en-US"/>
        </w:rPr>
        <w:t>Securities Act</w:t>
      </w:r>
      <w:r w:rsidRPr="003A6D24">
        <w:rPr>
          <w:lang w:val="en-US"/>
        </w:rPr>
        <w:t xml:space="preserve">, R.S.B.C. 1996, </w:t>
      </w:r>
      <w:proofErr w:type="spellStart"/>
      <w:r w:rsidR="003A2DDE">
        <w:rPr>
          <w:lang w:val="en-US"/>
        </w:rPr>
        <w:t>ch</w:t>
      </w:r>
      <w:proofErr w:type="spellEnd"/>
      <w:r w:rsidR="003A2DDE">
        <w:rPr>
          <w:lang w:val="en-US"/>
        </w:rPr>
        <w:t>. </w:t>
      </w:r>
      <w:r w:rsidRPr="003A6D24">
        <w:rPr>
          <w:lang w:val="en-US"/>
        </w:rPr>
        <w:t xml:space="preserve">418, </w:t>
      </w:r>
      <w:r w:rsidR="003A2DDE">
        <w:rPr>
          <w:lang w:val="en-US"/>
        </w:rPr>
        <w:t>art. </w:t>
      </w:r>
      <w:r w:rsidRPr="003A6D24">
        <w:rPr>
          <w:lang w:val="en-US"/>
        </w:rPr>
        <w:t>45(2</w:t>
      </w:r>
      <w:proofErr w:type="gramStart"/>
      <w:r w:rsidRPr="003A6D24">
        <w:rPr>
          <w:lang w:val="en-US"/>
        </w:rPr>
        <w:t>)(</w:t>
      </w:r>
      <w:proofErr w:type="gramEnd"/>
      <w:r w:rsidRPr="00622267">
        <w:rPr>
          <w:i/>
          <w:lang w:val="en-US"/>
        </w:rPr>
        <w:t>5</w:t>
      </w:r>
      <w:r w:rsidRPr="003A6D24">
        <w:rPr>
          <w:lang w:val="en-US"/>
        </w:rPr>
        <w:t>), 74(2)(</w:t>
      </w:r>
      <w:r w:rsidRPr="00622267">
        <w:rPr>
          <w:i/>
          <w:lang w:val="en-US"/>
        </w:rPr>
        <w:t>4</w:t>
      </w:r>
      <w:r w:rsidRPr="003A6D24">
        <w:rPr>
          <w:lang w:val="en-US"/>
        </w:rPr>
        <w:t>), 131.</w:t>
      </w:r>
    </w:p>
    <w:p w:rsidR="007563AB" w:rsidRPr="00B64064" w:rsidRDefault="007563AB" w:rsidP="008F4975">
      <w:pPr>
        <w:pStyle w:val="SCCNormalDoubleSpacing"/>
        <w:keepNext/>
        <w:spacing w:after="720" w:line="240" w:lineRule="auto"/>
        <w:rPr>
          <w:b/>
          <w:lang w:val="fr-CA"/>
        </w:rPr>
      </w:pPr>
      <w:r w:rsidRPr="00B64064">
        <w:rPr>
          <w:b/>
          <w:lang w:val="fr-CA"/>
        </w:rPr>
        <w:t>Doctrine citée</w:t>
      </w:r>
    </w:p>
    <w:p w:rsidR="00080D49" w:rsidRPr="00B64064" w:rsidRDefault="00080D49" w:rsidP="00080D49">
      <w:pPr>
        <w:pStyle w:val="SCCNormalDoubleSpacing"/>
        <w:spacing w:after="240" w:line="240" w:lineRule="auto"/>
        <w:ind w:left="547" w:hanging="547"/>
        <w:rPr>
          <w:lang w:val="fr-CA"/>
        </w:rPr>
      </w:pPr>
      <w:r w:rsidRPr="00B64064">
        <w:rPr>
          <w:lang w:val="fr-CA"/>
        </w:rPr>
        <w:t xml:space="preserve">Autorités canadiennes en valeurs mobilières.  </w:t>
      </w:r>
      <w:r w:rsidRPr="00B64064">
        <w:rPr>
          <w:i/>
          <w:iCs/>
          <w:lang w:val="fr-CA"/>
        </w:rPr>
        <w:t>Instruction générale 51</w:t>
      </w:r>
      <w:r w:rsidR="003A2DDE" w:rsidRPr="00B64064">
        <w:rPr>
          <w:i/>
          <w:iCs/>
          <w:lang w:val="fr-CA"/>
        </w:rPr>
        <w:noBreakHyphen/>
      </w:r>
      <w:r w:rsidRPr="00B64064">
        <w:rPr>
          <w:i/>
          <w:iCs/>
          <w:lang w:val="fr-CA"/>
        </w:rPr>
        <w:t>201 Lignes directrices en matière de communication</w:t>
      </w:r>
      <w:r w:rsidRPr="00B64064">
        <w:rPr>
          <w:lang w:val="fr-CA"/>
        </w:rPr>
        <w:t xml:space="preserve"> </w:t>
      </w:r>
      <w:r w:rsidRPr="00B64064">
        <w:rPr>
          <w:i/>
          <w:iCs/>
          <w:lang w:val="fr-CA"/>
        </w:rPr>
        <w:t>de l</w:t>
      </w:r>
      <w:r w:rsidR="00C50E02" w:rsidRPr="00B64064">
        <w:rPr>
          <w:i/>
          <w:iCs/>
          <w:lang w:val="fr-CA"/>
        </w:rPr>
        <w:t>’</w:t>
      </w:r>
      <w:r w:rsidRPr="00B64064">
        <w:rPr>
          <w:i/>
          <w:iCs/>
          <w:lang w:val="fr-CA"/>
        </w:rPr>
        <w:t>information</w:t>
      </w:r>
      <w:r w:rsidRPr="00B64064">
        <w:rPr>
          <w:iCs/>
          <w:lang w:val="fr-CA"/>
        </w:rPr>
        <w:t>,</w:t>
      </w:r>
      <w:r w:rsidRPr="00B64064">
        <w:rPr>
          <w:lang w:val="fr-CA"/>
        </w:rPr>
        <w:t xml:space="preserve"> 12 juillet 2002.</w:t>
      </w:r>
    </w:p>
    <w:p w:rsidR="007563AB" w:rsidRPr="00B64064" w:rsidRDefault="007563AB" w:rsidP="008F4975">
      <w:pPr>
        <w:pStyle w:val="SCCNormalDoubleSpacing"/>
        <w:spacing w:after="240" w:line="240" w:lineRule="auto"/>
        <w:ind w:left="547" w:hanging="547"/>
        <w:rPr>
          <w:lang w:val="fr-CA"/>
        </w:rPr>
      </w:pPr>
      <w:proofErr w:type="spellStart"/>
      <w:r w:rsidRPr="00B64064">
        <w:rPr>
          <w:lang w:val="fr-CA"/>
        </w:rPr>
        <w:t>Colombie</w:t>
      </w:r>
      <w:r w:rsidR="003A2DDE" w:rsidRPr="00B64064">
        <w:rPr>
          <w:lang w:val="fr-CA"/>
        </w:rPr>
        <w:noBreakHyphen/>
      </w:r>
      <w:r w:rsidRPr="00B64064">
        <w:rPr>
          <w:lang w:val="fr-CA"/>
        </w:rPr>
        <w:t>Britannique</w:t>
      </w:r>
      <w:proofErr w:type="spellEnd"/>
      <w:r w:rsidRPr="00B64064">
        <w:rPr>
          <w:lang w:val="fr-CA"/>
        </w:rPr>
        <w:t xml:space="preserve">.  Securities Commission.  Notice and </w:t>
      </w:r>
      <w:proofErr w:type="spellStart"/>
      <w:r w:rsidRPr="00B64064">
        <w:rPr>
          <w:lang w:val="fr-CA"/>
        </w:rPr>
        <w:t>Interpretation</w:t>
      </w:r>
      <w:proofErr w:type="spellEnd"/>
      <w:r w:rsidRPr="00B64064">
        <w:rPr>
          <w:lang w:val="fr-CA"/>
        </w:rPr>
        <w:t xml:space="preserve"> Note </w:t>
      </w:r>
      <w:r w:rsidR="003A2DDE" w:rsidRPr="00B64064">
        <w:rPr>
          <w:lang w:val="fr-CA"/>
        </w:rPr>
        <w:t>No. </w:t>
      </w:r>
      <w:r w:rsidRPr="00B64064">
        <w:rPr>
          <w:lang w:val="fr-CA"/>
        </w:rPr>
        <w:t xml:space="preserve">96/36. </w:t>
      </w:r>
      <w:r w:rsidR="008F4975" w:rsidRPr="00B64064">
        <w:rPr>
          <w:lang w:val="fr-CA"/>
        </w:rPr>
        <w:t xml:space="preserve"> </w:t>
      </w:r>
      <w:r w:rsidR="00D7423F" w:rsidRPr="00B64064">
        <w:rPr>
          <w:lang w:val="fr-CA"/>
        </w:rPr>
        <w:t>« </w:t>
      </w:r>
      <w:r w:rsidRPr="00B64064">
        <w:rPr>
          <w:lang w:val="fr-CA"/>
        </w:rPr>
        <w:t xml:space="preserve">Real </w:t>
      </w:r>
      <w:proofErr w:type="spellStart"/>
      <w:r w:rsidRPr="00B64064">
        <w:rPr>
          <w:lang w:val="fr-CA"/>
        </w:rPr>
        <w:t>Estate</w:t>
      </w:r>
      <w:proofErr w:type="spellEnd"/>
      <w:r w:rsidRPr="00B64064">
        <w:rPr>
          <w:lang w:val="fr-CA"/>
        </w:rPr>
        <w:t xml:space="preserve"> Securities</w:t>
      </w:r>
      <w:r w:rsidR="00D7423F" w:rsidRPr="00B64064">
        <w:rPr>
          <w:lang w:val="fr-CA"/>
        </w:rPr>
        <w:t> »</w:t>
      </w:r>
      <w:r w:rsidR="008F4975" w:rsidRPr="00B64064">
        <w:rPr>
          <w:lang w:val="fr-CA"/>
        </w:rPr>
        <w:t xml:space="preserve">, </w:t>
      </w:r>
      <w:proofErr w:type="spellStart"/>
      <w:r w:rsidR="008F4975" w:rsidRPr="00B64064">
        <w:rPr>
          <w:lang w:val="fr-CA"/>
        </w:rPr>
        <w:t>October</w:t>
      </w:r>
      <w:proofErr w:type="spellEnd"/>
      <w:r w:rsidR="008F4975" w:rsidRPr="00B64064">
        <w:rPr>
          <w:lang w:val="fr-CA"/>
        </w:rPr>
        <w:t> </w:t>
      </w:r>
      <w:r w:rsidRPr="00B64064">
        <w:rPr>
          <w:lang w:val="fr-CA"/>
        </w:rPr>
        <w:t>10, 1996 (</w:t>
      </w:r>
      <w:r w:rsidR="00D7423F" w:rsidRPr="00B64064">
        <w:rPr>
          <w:lang w:val="fr-CA"/>
        </w:rPr>
        <w:t>onli</w:t>
      </w:r>
      <w:r w:rsidRPr="00B64064">
        <w:rPr>
          <w:lang w:val="fr-CA"/>
        </w:rPr>
        <w:t>ne</w:t>
      </w:r>
      <w:r w:rsidR="003A2DDE" w:rsidRPr="00B64064">
        <w:rPr>
          <w:lang w:val="fr-CA"/>
        </w:rPr>
        <w:t> :</w:t>
      </w:r>
      <w:r w:rsidRPr="00B64064">
        <w:rPr>
          <w:lang w:val="fr-CA"/>
        </w:rPr>
        <w:t xml:space="preserve"> www.bcsc.bc.ca/print.asp?id=3727).</w:t>
      </w:r>
    </w:p>
    <w:p w:rsidR="007563AB" w:rsidRPr="003A6D24" w:rsidRDefault="007563AB" w:rsidP="008F4975">
      <w:pPr>
        <w:pStyle w:val="SCCNormalDoubleSpacing"/>
        <w:spacing w:after="240" w:line="240" w:lineRule="auto"/>
        <w:ind w:left="547" w:hanging="547"/>
        <w:rPr>
          <w:lang w:val="en-US"/>
        </w:rPr>
      </w:pPr>
      <w:proofErr w:type="spellStart"/>
      <w:proofErr w:type="gramStart"/>
      <w:r w:rsidRPr="003A6D24">
        <w:rPr>
          <w:lang w:val="en-US"/>
        </w:rPr>
        <w:t>États</w:t>
      </w:r>
      <w:r w:rsidR="003A2DDE">
        <w:rPr>
          <w:lang w:val="en-US"/>
        </w:rPr>
        <w:noBreakHyphen/>
      </w:r>
      <w:r w:rsidRPr="003A6D24">
        <w:rPr>
          <w:lang w:val="en-US"/>
        </w:rPr>
        <w:t>Unis</w:t>
      </w:r>
      <w:proofErr w:type="spellEnd"/>
      <w:r w:rsidRPr="003A6D24">
        <w:rPr>
          <w:lang w:val="en-US"/>
        </w:rPr>
        <w:t>.</w:t>
      </w:r>
      <w:proofErr w:type="gramEnd"/>
      <w:r w:rsidRPr="003A6D24">
        <w:rPr>
          <w:lang w:val="en-US"/>
        </w:rPr>
        <w:t xml:space="preserve">  </w:t>
      </w:r>
      <w:proofErr w:type="gramStart"/>
      <w:r w:rsidRPr="003A6D24">
        <w:rPr>
          <w:lang w:val="en-US"/>
        </w:rPr>
        <w:t>Securities and Exchange Commission.</w:t>
      </w:r>
      <w:proofErr w:type="gramEnd"/>
      <w:r w:rsidRPr="003A6D24">
        <w:rPr>
          <w:lang w:val="en-US"/>
        </w:rPr>
        <w:t xml:space="preserve">  SEC Staff Accounting </w:t>
      </w:r>
      <w:proofErr w:type="gramStart"/>
      <w:r w:rsidRPr="003A6D24">
        <w:rPr>
          <w:lang w:val="en-US"/>
        </w:rPr>
        <w:t>Bulletin</w:t>
      </w:r>
      <w:r w:rsidR="003A2DDE">
        <w:rPr>
          <w:lang w:val="en-US"/>
        </w:rPr>
        <w:t> :</w:t>
      </w:r>
      <w:proofErr w:type="gramEnd"/>
      <w:r w:rsidRPr="003A6D24">
        <w:rPr>
          <w:lang w:val="en-US"/>
        </w:rPr>
        <w:t xml:space="preserve"> </w:t>
      </w:r>
      <w:r w:rsidR="003A2DDE">
        <w:rPr>
          <w:lang w:val="en-US"/>
        </w:rPr>
        <w:t>No. </w:t>
      </w:r>
      <w:r w:rsidR="008F4975" w:rsidRPr="003A6D24">
        <w:rPr>
          <w:lang w:val="en-US"/>
        </w:rPr>
        <w:t xml:space="preserve">99 </w:t>
      </w:r>
      <w:r w:rsidR="00323E80">
        <w:rPr>
          <w:lang w:val="en-US"/>
        </w:rPr>
        <w:t>—</w:t>
      </w:r>
      <w:r w:rsidRPr="003A6D24">
        <w:rPr>
          <w:i/>
          <w:lang w:val="en-US"/>
        </w:rPr>
        <w:t xml:space="preserve"> </w:t>
      </w:r>
      <w:r w:rsidR="008F4975" w:rsidRPr="003A6D24">
        <w:rPr>
          <w:lang w:val="en-US"/>
        </w:rPr>
        <w:t xml:space="preserve">« Materiality », </w:t>
      </w:r>
      <w:r w:rsidR="00323E80">
        <w:rPr>
          <w:lang w:val="en-US"/>
        </w:rPr>
        <w:t>August </w:t>
      </w:r>
      <w:r w:rsidR="008F4975" w:rsidRPr="003A6D24">
        <w:rPr>
          <w:lang w:val="en-US"/>
        </w:rPr>
        <w:t>12</w:t>
      </w:r>
      <w:r w:rsidR="00323E80">
        <w:rPr>
          <w:lang w:val="en-US"/>
        </w:rPr>
        <w:t>,</w:t>
      </w:r>
      <w:r w:rsidRPr="003A6D24">
        <w:t xml:space="preserve"> 1999</w:t>
      </w:r>
      <w:r w:rsidRPr="003A6D24">
        <w:rPr>
          <w:i/>
        </w:rPr>
        <w:t xml:space="preserve"> </w:t>
      </w:r>
      <w:r w:rsidRPr="003A6D24">
        <w:rPr>
          <w:lang w:val="en-US"/>
        </w:rPr>
        <w:t>(</w:t>
      </w:r>
      <w:r w:rsidR="00D7423F" w:rsidRPr="003A6D24">
        <w:rPr>
          <w:lang w:val="en-US"/>
        </w:rPr>
        <w:t>onli</w:t>
      </w:r>
      <w:r w:rsidRPr="003A6D24">
        <w:rPr>
          <w:lang w:val="en-US"/>
        </w:rPr>
        <w:t>ne</w:t>
      </w:r>
      <w:r w:rsidR="003A2DDE">
        <w:rPr>
          <w:lang w:val="en-US"/>
        </w:rPr>
        <w:t> :</w:t>
      </w:r>
      <w:r w:rsidRPr="003A6D24">
        <w:rPr>
          <w:lang w:val="en-US"/>
        </w:rPr>
        <w:t xml:space="preserve"> </w:t>
      </w:r>
      <w:r w:rsidRPr="003A6D24">
        <w:t>www.sec.gov/interps/account/sab99.htm</w:t>
      </w:r>
      <w:r w:rsidRPr="003A6D24">
        <w:rPr>
          <w:lang w:val="en-US"/>
        </w:rPr>
        <w:t xml:space="preserve">). </w:t>
      </w:r>
    </w:p>
    <w:p w:rsidR="007563AB" w:rsidRPr="003A6D24" w:rsidRDefault="007563AB" w:rsidP="008F4975">
      <w:pPr>
        <w:pStyle w:val="SCCNormalDoubleSpacing"/>
        <w:spacing w:after="240" w:line="240" w:lineRule="auto"/>
        <w:ind w:left="547" w:hanging="547"/>
        <w:rPr>
          <w:lang w:val="en-US"/>
        </w:rPr>
      </w:pPr>
      <w:r w:rsidRPr="003A6D24">
        <w:rPr>
          <w:lang w:val="en-US"/>
        </w:rPr>
        <w:t xml:space="preserve">Ng, Michael.  </w:t>
      </w:r>
      <w:r w:rsidRPr="003A6D24">
        <w:rPr>
          <w:i/>
          <w:lang w:val="en-US"/>
        </w:rPr>
        <w:t xml:space="preserve">Fiduciary </w:t>
      </w:r>
      <w:proofErr w:type="gramStart"/>
      <w:r w:rsidRPr="003A6D24">
        <w:rPr>
          <w:i/>
          <w:lang w:val="en-US"/>
        </w:rPr>
        <w:t>Duties</w:t>
      </w:r>
      <w:r w:rsidR="003A2DDE">
        <w:rPr>
          <w:i/>
          <w:lang w:val="en-US"/>
        </w:rPr>
        <w:t> :</w:t>
      </w:r>
      <w:proofErr w:type="gramEnd"/>
      <w:r w:rsidRPr="003A6D24">
        <w:rPr>
          <w:i/>
          <w:lang w:val="en-US"/>
        </w:rPr>
        <w:t xml:space="preserve"> Obligations of Loyalty and Faithfulne</w:t>
      </w:r>
      <w:r w:rsidR="003A2DDE">
        <w:rPr>
          <w:i/>
          <w:lang w:val="en-US"/>
        </w:rPr>
        <w:t>ss. </w:t>
      </w:r>
      <w:r w:rsidRPr="003A6D24">
        <w:rPr>
          <w:lang w:val="en-US"/>
        </w:rPr>
        <w:t>Aurora</w:t>
      </w:r>
      <w:r w:rsidR="00D7423F" w:rsidRPr="003A6D24">
        <w:rPr>
          <w:lang w:val="en-US"/>
        </w:rPr>
        <w:t>, Ont</w:t>
      </w:r>
      <w:proofErr w:type="gramStart"/>
      <w:r w:rsidR="00D7423F" w:rsidRPr="003A6D24">
        <w:rPr>
          <w:lang w:val="en-US"/>
        </w:rPr>
        <w:t>.</w:t>
      </w:r>
      <w:r w:rsidR="003A2DDE">
        <w:rPr>
          <w:lang w:val="en-US"/>
        </w:rPr>
        <w:t> :</w:t>
      </w:r>
      <w:proofErr w:type="gramEnd"/>
      <w:r w:rsidRPr="003A6D24">
        <w:rPr>
          <w:lang w:val="en-US"/>
        </w:rPr>
        <w:t xml:space="preserve"> Canada Law Book, 2003 (</w:t>
      </w:r>
      <w:proofErr w:type="spellStart"/>
      <w:r w:rsidRPr="003A6D24">
        <w:rPr>
          <w:lang w:val="en-US"/>
        </w:rPr>
        <w:t>loose</w:t>
      </w:r>
      <w:r w:rsidR="003A2DDE">
        <w:rPr>
          <w:lang w:val="en-US"/>
        </w:rPr>
        <w:noBreakHyphen/>
      </w:r>
      <w:r w:rsidRPr="003A6D24">
        <w:rPr>
          <w:lang w:val="en-US"/>
        </w:rPr>
        <w:t>leaf</w:t>
      </w:r>
      <w:proofErr w:type="spellEnd"/>
      <w:r w:rsidRPr="003A6D24">
        <w:rPr>
          <w:lang w:val="en-US"/>
        </w:rPr>
        <w:t xml:space="preserve"> update</w:t>
      </w:r>
      <w:r w:rsidR="0037692C" w:rsidRPr="003A6D24">
        <w:rPr>
          <w:lang w:val="en-US"/>
        </w:rPr>
        <w:t>d</w:t>
      </w:r>
      <w:r w:rsidRPr="003A6D24">
        <w:rPr>
          <w:lang w:val="en-US"/>
        </w:rPr>
        <w:t xml:space="preserve"> May 2007).</w:t>
      </w:r>
    </w:p>
    <w:p w:rsidR="007563AB" w:rsidRPr="003A6D24" w:rsidRDefault="008F4975" w:rsidP="008F4975">
      <w:pPr>
        <w:pStyle w:val="SCCNormalDoubleSpacing"/>
        <w:spacing w:after="240" w:line="240" w:lineRule="auto"/>
        <w:ind w:left="547" w:hanging="547"/>
        <w:rPr>
          <w:lang w:val="en-US"/>
        </w:rPr>
      </w:pPr>
      <w:r w:rsidRPr="003A6D24">
        <w:rPr>
          <w:lang w:val="en-US"/>
        </w:rPr>
        <w:t>Reynolds, F. M. </w:t>
      </w:r>
      <w:r w:rsidR="007563AB" w:rsidRPr="003A6D24">
        <w:rPr>
          <w:lang w:val="en-US"/>
        </w:rPr>
        <w:t xml:space="preserve">B.  </w:t>
      </w:r>
      <w:proofErr w:type="spellStart"/>
      <w:r w:rsidR="007563AB" w:rsidRPr="003A6D24">
        <w:rPr>
          <w:i/>
          <w:lang w:val="en-US"/>
        </w:rPr>
        <w:t>Bowstead</w:t>
      </w:r>
      <w:proofErr w:type="spellEnd"/>
      <w:r w:rsidR="007563AB" w:rsidRPr="003A6D24">
        <w:rPr>
          <w:i/>
          <w:lang w:val="en-US"/>
        </w:rPr>
        <w:t xml:space="preserve"> and Reynolds on Agency</w:t>
      </w:r>
      <w:r w:rsidR="007563AB" w:rsidRPr="003A6D24">
        <w:rPr>
          <w:lang w:val="en-US"/>
        </w:rPr>
        <w:t xml:space="preserve">, 17th ed. </w:t>
      </w:r>
      <w:proofErr w:type="gramStart"/>
      <w:r w:rsidR="007563AB" w:rsidRPr="003A6D24">
        <w:rPr>
          <w:lang w:val="en-US"/>
        </w:rPr>
        <w:t>London</w:t>
      </w:r>
      <w:r w:rsidR="003A2DDE">
        <w:rPr>
          <w:lang w:val="en-US"/>
        </w:rPr>
        <w:t> :</w:t>
      </w:r>
      <w:proofErr w:type="gramEnd"/>
      <w:r w:rsidR="007563AB" w:rsidRPr="003A6D24">
        <w:rPr>
          <w:lang w:val="en-US"/>
        </w:rPr>
        <w:t xml:space="preserve"> Sweet &amp; Maxwell, 2001.</w:t>
      </w:r>
    </w:p>
    <w:p w:rsidR="007563AB" w:rsidRPr="0056339A" w:rsidRDefault="007563AB" w:rsidP="008F4975">
      <w:pPr>
        <w:pStyle w:val="SCCNormalDoubleSpacing"/>
        <w:spacing w:after="720" w:line="240" w:lineRule="auto"/>
        <w:ind w:left="547" w:hanging="547"/>
        <w:rPr>
          <w:lang w:val="en-US"/>
        </w:rPr>
      </w:pPr>
      <w:proofErr w:type="gramStart"/>
      <w:r w:rsidRPr="003A6D24">
        <w:rPr>
          <w:i/>
          <w:lang w:val="en-US"/>
        </w:rPr>
        <w:t>Waters</w:t>
      </w:r>
      <w:r w:rsidR="00C50E02">
        <w:rPr>
          <w:i/>
          <w:lang w:val="en-US"/>
        </w:rPr>
        <w:t>’</w:t>
      </w:r>
      <w:r w:rsidRPr="003A6D24">
        <w:rPr>
          <w:i/>
          <w:lang w:val="en-US"/>
        </w:rPr>
        <w:t xml:space="preserve"> Law of Trusts in Canada</w:t>
      </w:r>
      <w:r w:rsidRPr="003A6D24">
        <w:rPr>
          <w:lang w:val="en-US"/>
        </w:rPr>
        <w:t>,</w:t>
      </w:r>
      <w:r w:rsidRPr="003A6D24">
        <w:rPr>
          <w:i/>
          <w:lang w:val="en-US"/>
        </w:rPr>
        <w:t xml:space="preserve"> </w:t>
      </w:r>
      <w:r w:rsidR="003A2DDE">
        <w:rPr>
          <w:lang w:val="en-US"/>
        </w:rPr>
        <w:t>3rd ed. by Donovan W. M. Waters, Mark </w:t>
      </w:r>
      <w:r w:rsidRPr="003A6D24">
        <w:rPr>
          <w:lang w:val="en-US"/>
        </w:rPr>
        <w:t>R. Gillen and Lionel D. Smith.</w:t>
      </w:r>
      <w:proofErr w:type="gramEnd"/>
      <w:r w:rsidRPr="003A6D24">
        <w:rPr>
          <w:lang w:val="en-US"/>
        </w:rPr>
        <w:t xml:space="preserve">  </w:t>
      </w:r>
      <w:proofErr w:type="gramStart"/>
      <w:r w:rsidRPr="0056339A">
        <w:rPr>
          <w:lang w:val="en-US"/>
        </w:rPr>
        <w:t>Toronto</w:t>
      </w:r>
      <w:r w:rsidR="003A2DDE" w:rsidRPr="0056339A">
        <w:rPr>
          <w:lang w:val="en-US"/>
        </w:rPr>
        <w:t> :</w:t>
      </w:r>
      <w:proofErr w:type="gramEnd"/>
      <w:r w:rsidR="0037692C" w:rsidRPr="0056339A">
        <w:rPr>
          <w:lang w:val="en-US"/>
        </w:rPr>
        <w:t xml:space="preserve"> Thomson </w:t>
      </w:r>
      <w:proofErr w:type="spellStart"/>
      <w:r w:rsidR="0037692C" w:rsidRPr="0056339A">
        <w:rPr>
          <w:lang w:val="en-US"/>
        </w:rPr>
        <w:t>Carswell</w:t>
      </w:r>
      <w:proofErr w:type="spellEnd"/>
      <w:r w:rsidR="0037692C" w:rsidRPr="0056339A">
        <w:rPr>
          <w:lang w:val="en-US"/>
        </w:rPr>
        <w:t>, 2005.</w:t>
      </w:r>
    </w:p>
    <w:p w:rsidR="007563AB" w:rsidRPr="00B64064" w:rsidRDefault="007563AB" w:rsidP="008F4975">
      <w:pPr>
        <w:pStyle w:val="SCCNormalDoubleSpacing"/>
        <w:spacing w:after="480"/>
        <w:rPr>
          <w:lang w:val="fr-CA"/>
        </w:rPr>
      </w:pPr>
      <w:r w:rsidRPr="0056339A">
        <w:rPr>
          <w:lang w:val="en-US"/>
        </w:rPr>
        <w:lastRenderedPageBreak/>
        <w:tab/>
        <w:t xml:space="preserve">POURVOI </w:t>
      </w:r>
      <w:proofErr w:type="spellStart"/>
      <w:r w:rsidRPr="0056339A">
        <w:rPr>
          <w:lang w:val="en-US"/>
        </w:rPr>
        <w:t>contre</w:t>
      </w:r>
      <w:proofErr w:type="spellEnd"/>
      <w:r w:rsidRPr="0056339A">
        <w:rPr>
          <w:lang w:val="en-US"/>
        </w:rPr>
        <w:t xml:space="preserve"> un </w:t>
      </w:r>
      <w:proofErr w:type="spellStart"/>
      <w:r w:rsidRPr="0056339A">
        <w:rPr>
          <w:lang w:val="en-US"/>
        </w:rPr>
        <w:t>arrêt</w:t>
      </w:r>
      <w:proofErr w:type="spellEnd"/>
      <w:r w:rsidRPr="0056339A">
        <w:rPr>
          <w:lang w:val="en-US"/>
        </w:rPr>
        <w:t xml:space="preserve"> de la </w:t>
      </w:r>
      <w:proofErr w:type="spellStart"/>
      <w:r w:rsidRPr="0056339A">
        <w:rPr>
          <w:lang w:val="en-US"/>
        </w:rPr>
        <w:t>Cour</w:t>
      </w:r>
      <w:proofErr w:type="spellEnd"/>
      <w:r w:rsidRPr="0056339A">
        <w:rPr>
          <w:lang w:val="en-US"/>
        </w:rPr>
        <w:t xml:space="preserve"> </w:t>
      </w:r>
      <w:proofErr w:type="spellStart"/>
      <w:r w:rsidRPr="0056339A">
        <w:rPr>
          <w:lang w:val="en-US"/>
        </w:rPr>
        <w:t>d</w:t>
      </w:r>
      <w:r w:rsidR="00C50E02" w:rsidRPr="0056339A">
        <w:rPr>
          <w:lang w:val="en-US"/>
        </w:rPr>
        <w:t>’</w:t>
      </w:r>
      <w:r w:rsidRPr="0056339A">
        <w:rPr>
          <w:lang w:val="en-US"/>
        </w:rPr>
        <w:t>appel</w:t>
      </w:r>
      <w:proofErr w:type="spellEnd"/>
      <w:r w:rsidRPr="0056339A">
        <w:rPr>
          <w:lang w:val="en-US"/>
        </w:rPr>
        <w:t xml:space="preserve"> de la </w:t>
      </w:r>
      <w:proofErr w:type="spellStart"/>
      <w:r w:rsidRPr="0056339A">
        <w:rPr>
          <w:lang w:val="en-US"/>
        </w:rPr>
        <w:t>Colombie</w:t>
      </w:r>
      <w:r w:rsidR="003A2DDE" w:rsidRPr="0056339A">
        <w:rPr>
          <w:lang w:val="en-US"/>
        </w:rPr>
        <w:noBreakHyphen/>
      </w:r>
      <w:r w:rsidRPr="0056339A">
        <w:rPr>
          <w:lang w:val="en-US"/>
        </w:rPr>
        <w:t>Britannique</w:t>
      </w:r>
      <w:proofErr w:type="spellEnd"/>
      <w:r w:rsidRPr="0056339A">
        <w:rPr>
          <w:lang w:val="en-US"/>
        </w:rPr>
        <w:t xml:space="preserve"> (les </w:t>
      </w:r>
      <w:proofErr w:type="spellStart"/>
      <w:r w:rsidRPr="0056339A">
        <w:rPr>
          <w:lang w:val="en-US"/>
        </w:rPr>
        <w:t>juges</w:t>
      </w:r>
      <w:proofErr w:type="spellEnd"/>
      <w:r w:rsidRPr="0056339A">
        <w:rPr>
          <w:lang w:val="en-US"/>
        </w:rPr>
        <w:t xml:space="preserve"> Ryan, </w:t>
      </w:r>
      <w:proofErr w:type="spellStart"/>
      <w:r w:rsidRPr="0056339A">
        <w:rPr>
          <w:lang w:val="en-US"/>
        </w:rPr>
        <w:t>Chiasson</w:t>
      </w:r>
      <w:proofErr w:type="spellEnd"/>
      <w:r w:rsidRPr="0056339A">
        <w:rPr>
          <w:lang w:val="en-US"/>
        </w:rPr>
        <w:t xml:space="preserve"> et </w:t>
      </w:r>
      <w:r w:rsidR="00622267" w:rsidRPr="0056339A">
        <w:rPr>
          <w:lang w:val="en-US"/>
        </w:rPr>
        <w:t xml:space="preserve">D. </w:t>
      </w:r>
      <w:r w:rsidRPr="0056339A">
        <w:rPr>
          <w:lang w:val="en-US"/>
        </w:rPr>
        <w:t xml:space="preserve">Smith), 2009 BCCA 224, 57 B.L.R. (4th) 1, 93 B.C.L.R. (4th) 256, 271 B.C.A.C. 116, 458 W.A.C. 116, [2009] B.C.J. </w:t>
      </w:r>
      <w:r w:rsidR="003A2DDE" w:rsidRPr="0056339A">
        <w:rPr>
          <w:lang w:val="en-US"/>
        </w:rPr>
        <w:t>No. </w:t>
      </w:r>
      <w:r w:rsidRPr="0056339A">
        <w:rPr>
          <w:lang w:val="en-US"/>
        </w:rPr>
        <w:t xml:space="preserve">1007 (QL), 2009 </w:t>
      </w:r>
      <w:proofErr w:type="spellStart"/>
      <w:r w:rsidRPr="0056339A">
        <w:rPr>
          <w:lang w:val="en-US"/>
        </w:rPr>
        <w:t>CarswellBC</w:t>
      </w:r>
      <w:proofErr w:type="spellEnd"/>
      <w:r w:rsidRPr="0056339A">
        <w:rPr>
          <w:lang w:val="en-US"/>
        </w:rPr>
        <w:t xml:space="preserve"> 1337, qui a </w:t>
      </w:r>
      <w:proofErr w:type="spellStart"/>
      <w:r w:rsidR="00622267" w:rsidRPr="0056339A">
        <w:rPr>
          <w:lang w:val="en-US"/>
        </w:rPr>
        <w:t>infirmé</w:t>
      </w:r>
      <w:proofErr w:type="spellEnd"/>
      <w:r w:rsidRPr="0056339A">
        <w:rPr>
          <w:lang w:val="en-US"/>
        </w:rPr>
        <w:t xml:space="preserve"> </w:t>
      </w:r>
      <w:proofErr w:type="spellStart"/>
      <w:r w:rsidRPr="0056339A">
        <w:rPr>
          <w:lang w:val="en-US"/>
        </w:rPr>
        <w:t>une</w:t>
      </w:r>
      <w:proofErr w:type="spellEnd"/>
      <w:r w:rsidRPr="0056339A">
        <w:rPr>
          <w:lang w:val="en-US"/>
        </w:rPr>
        <w:t xml:space="preserve"> </w:t>
      </w:r>
      <w:proofErr w:type="spellStart"/>
      <w:r w:rsidRPr="0056339A">
        <w:rPr>
          <w:lang w:val="en-US"/>
        </w:rPr>
        <w:t>d</w:t>
      </w:r>
      <w:r w:rsidR="0032121B" w:rsidRPr="0056339A">
        <w:rPr>
          <w:lang w:val="en-US"/>
        </w:rPr>
        <w:t>é</w:t>
      </w:r>
      <w:r w:rsidRPr="0056339A">
        <w:rPr>
          <w:lang w:val="en-US"/>
        </w:rPr>
        <w:t>cision</w:t>
      </w:r>
      <w:proofErr w:type="spellEnd"/>
      <w:r w:rsidRPr="0056339A">
        <w:rPr>
          <w:lang w:val="en-US"/>
        </w:rPr>
        <w:t xml:space="preserve"> d</w:t>
      </w:r>
      <w:r w:rsidR="0032121B" w:rsidRPr="0056339A">
        <w:rPr>
          <w:lang w:val="en-US"/>
        </w:rPr>
        <w:t xml:space="preserve">e la </w:t>
      </w:r>
      <w:proofErr w:type="spellStart"/>
      <w:r w:rsidRPr="0056339A">
        <w:rPr>
          <w:lang w:val="en-US"/>
        </w:rPr>
        <w:t>juge</w:t>
      </w:r>
      <w:proofErr w:type="spellEnd"/>
      <w:r w:rsidRPr="0056339A">
        <w:rPr>
          <w:lang w:val="en-US"/>
        </w:rPr>
        <w:t xml:space="preserve"> Wedge, 2007 BCSC 1262, 38 B.L.R. (4th) 171, [2007] B.C.J. </w:t>
      </w:r>
      <w:r w:rsidR="003A2DDE" w:rsidRPr="0056339A">
        <w:rPr>
          <w:lang w:val="en-US"/>
        </w:rPr>
        <w:t>No. </w:t>
      </w:r>
      <w:r w:rsidRPr="0056339A">
        <w:rPr>
          <w:lang w:val="en-US"/>
        </w:rPr>
        <w:t xml:space="preserve">1845 (QL), 2007 </w:t>
      </w:r>
      <w:proofErr w:type="spellStart"/>
      <w:r w:rsidRPr="0056339A">
        <w:rPr>
          <w:lang w:val="en-US"/>
        </w:rPr>
        <w:t>CarswellBC</w:t>
      </w:r>
      <w:proofErr w:type="spellEnd"/>
      <w:r w:rsidRPr="0056339A">
        <w:rPr>
          <w:lang w:val="en-US"/>
        </w:rPr>
        <w:t xml:space="preserve"> 1948</w:t>
      </w:r>
      <w:r w:rsidR="00BB5BF8" w:rsidRPr="0056339A">
        <w:rPr>
          <w:lang w:val="en-US"/>
        </w:rPr>
        <w:t xml:space="preserve">, avec motifs </w:t>
      </w:r>
      <w:proofErr w:type="spellStart"/>
      <w:r w:rsidR="00BB5BF8" w:rsidRPr="0056339A">
        <w:rPr>
          <w:lang w:val="en-US"/>
        </w:rPr>
        <w:t>supplémentaires</w:t>
      </w:r>
      <w:proofErr w:type="spellEnd"/>
      <w:r w:rsidR="00BB5BF8" w:rsidRPr="0056339A">
        <w:rPr>
          <w:lang w:val="en-US"/>
        </w:rPr>
        <w:t>, 2008 BCSC 245 (</w:t>
      </w:r>
      <w:proofErr w:type="spellStart"/>
      <w:r w:rsidR="00BB5BF8" w:rsidRPr="0056339A">
        <w:rPr>
          <w:lang w:val="en-US"/>
        </w:rPr>
        <w:t>CanLII</w:t>
      </w:r>
      <w:proofErr w:type="spellEnd"/>
      <w:r w:rsidR="00BB5BF8" w:rsidRPr="0056339A">
        <w:rPr>
          <w:lang w:val="en-US"/>
        </w:rPr>
        <w:t>)</w:t>
      </w:r>
      <w:r w:rsidRPr="0056339A">
        <w:rPr>
          <w:lang w:val="en-US"/>
        </w:rPr>
        <w:t xml:space="preserve">.  </w:t>
      </w:r>
      <w:r w:rsidR="00937526" w:rsidRPr="00B64064">
        <w:rPr>
          <w:lang w:val="fr-CA"/>
        </w:rPr>
        <w:t>Pourvoi rejeté</w:t>
      </w:r>
      <w:r w:rsidRPr="00B64064">
        <w:rPr>
          <w:lang w:val="fr-CA"/>
        </w:rPr>
        <w:t>.</w:t>
      </w:r>
    </w:p>
    <w:p w:rsidR="007563AB" w:rsidRPr="00B64064" w:rsidRDefault="00BB5BF8" w:rsidP="001211F3">
      <w:pPr>
        <w:pStyle w:val="SCCNormalDoubleSpacing"/>
        <w:spacing w:after="480"/>
        <w:rPr>
          <w:lang w:val="fr-CA"/>
        </w:rPr>
      </w:pPr>
      <w:r w:rsidRPr="00B64064">
        <w:rPr>
          <w:rStyle w:val="SCCCounselNameChar"/>
          <w:lang w:val="fr-CA"/>
        </w:rPr>
        <w:tab/>
        <w:t>Stephen </w:t>
      </w:r>
      <w:r w:rsidR="007563AB" w:rsidRPr="00B64064">
        <w:rPr>
          <w:rStyle w:val="SCCCounselNameChar"/>
          <w:lang w:val="fr-CA"/>
        </w:rPr>
        <w:t xml:space="preserve">R. </w:t>
      </w:r>
      <w:proofErr w:type="spellStart"/>
      <w:r w:rsidR="007563AB" w:rsidRPr="00B64064">
        <w:rPr>
          <w:rStyle w:val="SCCCounselNameChar"/>
          <w:lang w:val="fr-CA"/>
        </w:rPr>
        <w:t>Schachter</w:t>
      </w:r>
      <w:proofErr w:type="spellEnd"/>
      <w:r w:rsidR="007563AB" w:rsidRPr="00B64064">
        <w:rPr>
          <w:rStyle w:val="SCCCounselNameChar"/>
          <w:i w:val="0"/>
          <w:lang w:val="fr-CA"/>
        </w:rPr>
        <w:t xml:space="preserve">, </w:t>
      </w:r>
      <w:proofErr w:type="gramStart"/>
      <w:r w:rsidR="007563AB" w:rsidRPr="00B64064">
        <w:rPr>
          <w:rStyle w:val="SCCCounselNameChar"/>
          <w:lang w:val="fr-CA"/>
        </w:rPr>
        <w:t>c.r.</w:t>
      </w:r>
      <w:r w:rsidR="007563AB" w:rsidRPr="00B64064">
        <w:rPr>
          <w:rStyle w:val="SCCCounselNameChar"/>
          <w:i w:val="0"/>
          <w:lang w:val="fr-CA"/>
        </w:rPr>
        <w:t>,</w:t>
      </w:r>
      <w:proofErr w:type="gramEnd"/>
      <w:r w:rsidR="007563AB" w:rsidRPr="00B64064">
        <w:rPr>
          <w:rStyle w:val="SCCCounselNameChar"/>
          <w:i w:val="0"/>
          <w:lang w:val="fr-CA"/>
        </w:rPr>
        <w:t xml:space="preserve"> </w:t>
      </w:r>
      <w:r w:rsidR="007563AB" w:rsidRPr="00B64064">
        <w:rPr>
          <w:rStyle w:val="SCCCounselSeparatorChar"/>
          <w:lang w:val="fr-CA"/>
        </w:rPr>
        <w:t xml:space="preserve">et </w:t>
      </w:r>
      <w:r w:rsidRPr="00B64064">
        <w:rPr>
          <w:rStyle w:val="SCCCounselNameChar"/>
          <w:lang w:val="fr-CA"/>
        </w:rPr>
        <w:t>Geoffrey </w:t>
      </w:r>
      <w:r w:rsidR="007563AB" w:rsidRPr="00B64064">
        <w:rPr>
          <w:rStyle w:val="SCCCounselNameChar"/>
          <w:lang w:val="fr-CA"/>
        </w:rPr>
        <w:t xml:space="preserve">B. </w:t>
      </w:r>
      <w:proofErr w:type="spellStart"/>
      <w:r w:rsidR="007563AB" w:rsidRPr="00B64064">
        <w:rPr>
          <w:rStyle w:val="SCCCounselNameChar"/>
          <w:lang w:val="fr-CA"/>
        </w:rPr>
        <w:t>Gomery</w:t>
      </w:r>
      <w:proofErr w:type="spellEnd"/>
      <w:r w:rsidR="007563AB" w:rsidRPr="00B64064">
        <w:rPr>
          <w:rStyle w:val="SCCCounselPartyRoleChar"/>
          <w:lang w:val="fr-CA"/>
        </w:rPr>
        <w:t>, pour l</w:t>
      </w:r>
      <w:r w:rsidR="00C50E02" w:rsidRPr="00B64064">
        <w:rPr>
          <w:rStyle w:val="SCCCounselPartyRoleChar"/>
          <w:lang w:val="fr-CA"/>
        </w:rPr>
        <w:t>’</w:t>
      </w:r>
      <w:r w:rsidR="007563AB" w:rsidRPr="00B64064">
        <w:rPr>
          <w:rStyle w:val="SCCCounselPartyRoleChar"/>
          <w:lang w:val="fr-CA"/>
        </w:rPr>
        <w:t>appelante.</w:t>
      </w:r>
    </w:p>
    <w:p w:rsidR="007563AB" w:rsidRPr="00B64064" w:rsidRDefault="00BB5BF8" w:rsidP="001211F3">
      <w:pPr>
        <w:pStyle w:val="SCCNormalDoubleSpacing"/>
        <w:spacing w:after="480"/>
        <w:rPr>
          <w:rStyle w:val="SCCCounselPartyRoleChar"/>
          <w:lang w:val="fr-CA"/>
        </w:rPr>
      </w:pPr>
      <w:r w:rsidRPr="00B64064">
        <w:rPr>
          <w:rStyle w:val="SCCCounselNameChar"/>
          <w:lang w:val="fr-CA"/>
        </w:rPr>
        <w:tab/>
        <w:t>Peter </w:t>
      </w:r>
      <w:r w:rsidR="007563AB" w:rsidRPr="00B64064">
        <w:rPr>
          <w:rStyle w:val="SCCCounselNameChar"/>
          <w:lang w:val="fr-CA"/>
        </w:rPr>
        <w:t>A. Gall</w:t>
      </w:r>
      <w:r w:rsidR="007563AB" w:rsidRPr="00B64064">
        <w:rPr>
          <w:rStyle w:val="SCCCounselNameChar"/>
          <w:i w:val="0"/>
          <w:lang w:val="fr-CA"/>
        </w:rPr>
        <w:t xml:space="preserve">, </w:t>
      </w:r>
      <w:proofErr w:type="gramStart"/>
      <w:r w:rsidR="007563AB" w:rsidRPr="00B64064">
        <w:rPr>
          <w:rStyle w:val="SCCCounselNameChar"/>
          <w:lang w:val="fr-CA"/>
        </w:rPr>
        <w:t>c.r.</w:t>
      </w:r>
      <w:r w:rsidR="007563AB" w:rsidRPr="00B64064">
        <w:rPr>
          <w:rStyle w:val="SCCCounselSeparatorChar"/>
          <w:lang w:val="fr-CA"/>
        </w:rPr>
        <w:t>,</w:t>
      </w:r>
      <w:proofErr w:type="gramEnd"/>
      <w:r w:rsidR="007563AB" w:rsidRPr="00B64064">
        <w:rPr>
          <w:rStyle w:val="SCCCounselSeparatorChar"/>
          <w:lang w:val="fr-CA"/>
        </w:rPr>
        <w:t xml:space="preserve"> </w:t>
      </w:r>
      <w:r w:rsidRPr="00B64064">
        <w:rPr>
          <w:rStyle w:val="SCCCounselNameChar"/>
          <w:lang w:val="fr-CA"/>
        </w:rPr>
        <w:t>Donald </w:t>
      </w:r>
      <w:r w:rsidR="007563AB" w:rsidRPr="00B64064">
        <w:rPr>
          <w:rStyle w:val="SCCCounselNameChar"/>
          <w:lang w:val="fr-CA"/>
        </w:rPr>
        <w:t xml:space="preserve">R. </w:t>
      </w:r>
      <w:proofErr w:type="spellStart"/>
      <w:r w:rsidR="007563AB" w:rsidRPr="00B64064">
        <w:rPr>
          <w:rStyle w:val="SCCCounselNameChar"/>
          <w:lang w:val="fr-CA"/>
        </w:rPr>
        <w:t>Munroe</w:t>
      </w:r>
      <w:proofErr w:type="spellEnd"/>
      <w:r w:rsidR="007563AB" w:rsidRPr="00B64064">
        <w:rPr>
          <w:rStyle w:val="SCCCounselNameChar"/>
          <w:i w:val="0"/>
          <w:lang w:val="fr-CA"/>
        </w:rPr>
        <w:t xml:space="preserve">, </w:t>
      </w:r>
      <w:r w:rsidR="007563AB" w:rsidRPr="00B64064">
        <w:rPr>
          <w:rStyle w:val="SCCCounselNameChar"/>
          <w:lang w:val="fr-CA"/>
        </w:rPr>
        <w:t>c.r.</w:t>
      </w:r>
      <w:r w:rsidR="007563AB" w:rsidRPr="00B64064">
        <w:rPr>
          <w:rStyle w:val="SCCCounselNameChar"/>
          <w:i w:val="0"/>
          <w:lang w:val="fr-CA"/>
        </w:rPr>
        <w:t xml:space="preserve">, </w:t>
      </w:r>
      <w:r w:rsidR="00937526" w:rsidRPr="00B64064">
        <w:rPr>
          <w:rStyle w:val="SCCCounselNameChar"/>
          <w:lang w:val="fr-CA"/>
        </w:rPr>
        <w:t>M.</w:t>
      </w:r>
      <w:r w:rsidRPr="00B64064">
        <w:rPr>
          <w:rStyle w:val="SCCCounselNameChar"/>
          <w:i w:val="0"/>
          <w:lang w:val="fr-CA"/>
        </w:rPr>
        <w:t> </w:t>
      </w:r>
      <w:r w:rsidR="007563AB" w:rsidRPr="00B64064">
        <w:rPr>
          <w:rStyle w:val="SCCCounselNameChar"/>
          <w:lang w:val="fr-CA"/>
        </w:rPr>
        <w:t>Ali Lakhani</w:t>
      </w:r>
      <w:r w:rsidR="00937526" w:rsidRPr="00B64064">
        <w:rPr>
          <w:rStyle w:val="SCCCounselNameChar"/>
          <w:lang w:val="fr-CA"/>
        </w:rPr>
        <w:t xml:space="preserve"> </w:t>
      </w:r>
      <w:r w:rsidR="00937526" w:rsidRPr="00B64064">
        <w:rPr>
          <w:rStyle w:val="SCCCounselSeparatorChar"/>
          <w:lang w:val="fr-CA"/>
        </w:rPr>
        <w:t xml:space="preserve">et </w:t>
      </w:r>
      <w:r w:rsidR="00937526" w:rsidRPr="00B64064">
        <w:rPr>
          <w:rStyle w:val="SCCCounselNameChar"/>
          <w:lang w:val="fr-CA"/>
        </w:rPr>
        <w:t xml:space="preserve">Edward </w:t>
      </w:r>
      <w:proofErr w:type="spellStart"/>
      <w:r w:rsidR="00937526" w:rsidRPr="00B64064">
        <w:rPr>
          <w:rStyle w:val="SCCCounselNameChar"/>
          <w:lang w:val="fr-CA"/>
        </w:rPr>
        <w:t>Iacobucci</w:t>
      </w:r>
      <w:proofErr w:type="spellEnd"/>
      <w:r w:rsidR="007563AB" w:rsidRPr="00B64064">
        <w:rPr>
          <w:rStyle w:val="SCCCounselPartyRoleChar"/>
          <w:lang w:val="fr-CA"/>
        </w:rPr>
        <w:t>, pour les intimés.</w:t>
      </w:r>
    </w:p>
    <w:p w:rsidR="00224705" w:rsidRPr="00FB13AC" w:rsidRDefault="00224705" w:rsidP="001211F3">
      <w:pPr>
        <w:pStyle w:val="SCCNormalDoubleSpacing"/>
        <w:spacing w:after="480"/>
        <w:rPr>
          <w:lang w:val="fr-CA"/>
        </w:rPr>
      </w:pPr>
      <w:r w:rsidRPr="00B64064">
        <w:rPr>
          <w:rStyle w:val="SCCCounselPartyRoleChar"/>
          <w:lang w:val="fr-CA"/>
        </w:rPr>
        <w:tab/>
      </w:r>
      <w:r w:rsidRPr="00FB13AC">
        <w:rPr>
          <w:rStyle w:val="SCCCounselPartyRoleChar"/>
          <w:lang w:val="fr-CA"/>
        </w:rPr>
        <w:t>Version française du jugement de la Cour rendu par</w:t>
      </w:r>
    </w:p>
    <w:p w:rsidR="00F41D3D" w:rsidRDefault="0062110E" w:rsidP="00CA104A">
      <w:pPr>
        <w:pStyle w:val="SCCNormalDoubleSpacing"/>
        <w:spacing w:after="480"/>
      </w:pPr>
      <w:r w:rsidRPr="00FB13AC">
        <w:rPr>
          <w:lang w:val="fr-CA"/>
        </w:rPr>
        <w:tab/>
      </w:r>
      <w:r w:rsidRPr="00751B87">
        <w:rPr>
          <w:smallCaps/>
        </w:rPr>
        <w:t xml:space="preserve">Le </w:t>
      </w:r>
      <w:proofErr w:type="spellStart"/>
      <w:r w:rsidRPr="00751B87">
        <w:rPr>
          <w:smallCaps/>
        </w:rPr>
        <w:t>juge</w:t>
      </w:r>
      <w:proofErr w:type="spellEnd"/>
      <w:r w:rsidRPr="00751B87">
        <w:rPr>
          <w:smallCaps/>
        </w:rPr>
        <w:t xml:space="preserve"> Rothstein </w:t>
      </w:r>
      <w:r w:rsidRPr="00751B87">
        <w:t xml:space="preserve">— </w:t>
      </w:r>
    </w:p>
    <w:p w:rsidR="002019A2" w:rsidRDefault="002019A2" w:rsidP="00CA104A">
      <w:pPr>
        <w:pStyle w:val="SCCNormalDoubleSpacing"/>
        <w:spacing w:after="480"/>
      </w:pPr>
    </w:p>
    <w:tbl>
      <w:tblPr>
        <w:tblStyle w:val="TableGrid2"/>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460"/>
      </w:tblGrid>
      <w:tr w:rsidR="002019A2" w:rsidRPr="00A4462B" w:rsidTr="002019A2">
        <w:tc>
          <w:tcPr>
            <w:tcW w:w="8460" w:type="dxa"/>
          </w:tcPr>
          <w:p w:rsidR="002019A2" w:rsidRPr="00A4462B" w:rsidRDefault="002019A2" w:rsidP="002019A2">
            <w:pPr>
              <w:tabs>
                <w:tab w:val="center" w:pos="4050"/>
              </w:tabs>
              <w:rPr>
                <w:b/>
              </w:rPr>
            </w:pPr>
            <w:r w:rsidRPr="00A4462B">
              <w:rPr>
                <w:b/>
                <w:lang w:val="fr-CA"/>
              </w:rPr>
              <w:tab/>
            </w:r>
            <w:r w:rsidRPr="00434EE5">
              <w:rPr>
                <w:b/>
                <w:color w:val="000000"/>
                <w:u w:val="single"/>
              </w:rPr>
              <w:t>TABLE DES MATIÈRES</w:t>
            </w:r>
          </w:p>
        </w:tc>
      </w:tr>
      <w:tr w:rsidR="002019A2" w:rsidRPr="00A4462B" w:rsidTr="002019A2">
        <w:tc>
          <w:tcPr>
            <w:tcW w:w="8460" w:type="dxa"/>
          </w:tcPr>
          <w:p w:rsidR="002019A2" w:rsidRPr="00A4462B" w:rsidRDefault="002019A2" w:rsidP="002019A2">
            <w:pPr>
              <w:tabs>
                <w:tab w:val="right" w:pos="8460"/>
              </w:tabs>
              <w:rPr>
                <w:u w:val="single"/>
              </w:rPr>
            </w:pPr>
            <w:r w:rsidRPr="00A4462B">
              <w:tab/>
            </w:r>
            <w:proofErr w:type="spellStart"/>
            <w:r w:rsidRPr="00A4462B">
              <w:rPr>
                <w:u w:val="single"/>
              </w:rPr>
              <w:t>Paragraph</w:t>
            </w:r>
            <w:r w:rsidRPr="00E10132">
              <w:rPr>
                <w:u w:val="single"/>
              </w:rPr>
              <w:t>e</w:t>
            </w:r>
            <w:proofErr w:type="spellEnd"/>
          </w:p>
        </w:tc>
      </w:tr>
      <w:tr w:rsidR="002019A2" w:rsidRPr="00A4462B" w:rsidTr="002019A2">
        <w:tc>
          <w:tcPr>
            <w:tcW w:w="8460" w:type="dxa"/>
          </w:tcPr>
          <w:p w:rsidR="002019A2" w:rsidRDefault="000738EB">
            <w:pPr>
              <w:pStyle w:val="TOC1"/>
              <w:rPr>
                <w:rFonts w:asciiTheme="minorHAnsi" w:eastAsiaTheme="minorEastAsia" w:hAnsiTheme="minorHAnsi" w:cstheme="minorBidi"/>
                <w:noProof/>
                <w:sz w:val="22"/>
                <w:szCs w:val="22"/>
                <w:lang w:val="en-US" w:eastAsia="en-US"/>
              </w:rPr>
            </w:pPr>
            <w:r w:rsidRPr="000738EB">
              <w:rPr>
                <w:color w:val="548DD4" w:themeColor="text2" w:themeTint="99"/>
                <w:u w:val="single"/>
              </w:rPr>
              <w:fldChar w:fldCharType="begin"/>
            </w:r>
            <w:r w:rsidR="002019A2" w:rsidRPr="00A4462B">
              <w:rPr>
                <w:lang w:val="fr-CA"/>
              </w:rPr>
              <w:instrText xml:space="preserve"> TOC </w:instrText>
            </w:r>
            <w:r w:rsidR="002019A2">
              <w:rPr>
                <w:lang w:val="fr-CA"/>
              </w:rPr>
              <w:instrText xml:space="preserve">\h </w:instrText>
            </w:r>
            <w:r w:rsidR="002019A2" w:rsidRPr="00A4462B">
              <w:rPr>
                <w:lang w:val="fr-CA"/>
              </w:rPr>
              <w:instrText xml:space="preserve">\t "Title / Titre - Alt T,1" </w:instrText>
            </w:r>
            <w:r w:rsidRPr="000738EB">
              <w:rPr>
                <w:color w:val="548DD4" w:themeColor="text2" w:themeTint="99"/>
                <w:u w:val="single"/>
              </w:rPr>
              <w:fldChar w:fldCharType="separate"/>
            </w:r>
            <w:hyperlink w:anchor="_Toc308445301" w:history="1">
              <w:r w:rsidR="002019A2" w:rsidRPr="00A226BF">
                <w:rPr>
                  <w:rStyle w:val="Hyperlink"/>
                  <w:noProof/>
                  <w:lang w:val="fr-CA"/>
                </w:rPr>
                <w:t>I.</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Introduction</w:t>
              </w:r>
              <w:r w:rsidR="002019A2">
                <w:rPr>
                  <w:noProof/>
                </w:rPr>
                <w:tab/>
              </w:r>
              <w:r>
                <w:rPr>
                  <w:noProof/>
                </w:rPr>
                <w:fldChar w:fldCharType="begin"/>
              </w:r>
              <w:r w:rsidR="002019A2">
                <w:rPr>
                  <w:noProof/>
                </w:rPr>
                <w:instrText xml:space="preserve"> PAGEREF _Toc308445301 \h </w:instrText>
              </w:r>
              <w:r>
                <w:rPr>
                  <w:noProof/>
                </w:rPr>
              </w:r>
              <w:r>
                <w:rPr>
                  <w:noProof/>
                </w:rPr>
                <w:fldChar w:fldCharType="separate"/>
              </w:r>
              <w:r w:rsidR="00B64064">
                <w:rPr>
                  <w:noProof/>
                </w:rPr>
                <w:t>17</w:t>
              </w:r>
              <w:r>
                <w:rPr>
                  <w:noProof/>
                </w:rPr>
                <w:fldChar w:fldCharType="end"/>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2" w:history="1">
              <w:r w:rsidR="002019A2" w:rsidRPr="00A226BF">
                <w:rPr>
                  <w:rStyle w:val="Hyperlink"/>
                  <w:noProof/>
                  <w:lang w:val="fr-CA"/>
                </w:rPr>
                <w:t>II.</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Faits</w:t>
              </w:r>
              <w:r w:rsidR="002019A2">
                <w:rPr>
                  <w:noProof/>
                </w:rPr>
                <w:tab/>
              </w:r>
              <w:r w:rsidR="00C66696">
                <w:rPr>
                  <w:noProof/>
                </w:rPr>
                <w:t>9</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3" w:history="1">
              <w:r w:rsidR="002019A2" w:rsidRPr="00A226BF">
                <w:rPr>
                  <w:rStyle w:val="Hyperlink"/>
                  <w:noProof/>
                  <w:lang w:val="fr-CA"/>
                </w:rPr>
                <w:t>A.</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Hilton et Marriott</w:t>
              </w:r>
              <w:r w:rsidR="002019A2">
                <w:rPr>
                  <w:noProof/>
                </w:rPr>
                <w:tab/>
              </w:r>
              <w:r w:rsidR="00C66696">
                <w:rPr>
                  <w:noProof/>
                </w:rPr>
                <w:t>9</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4" w:history="1">
              <w:r w:rsidR="002019A2" w:rsidRPr="00A226BF">
                <w:rPr>
                  <w:rStyle w:val="Hyperlink"/>
                  <w:noProof/>
                  <w:lang w:val="fr-CA"/>
                </w:rPr>
                <w:t>B.</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Contexte procédural</w:t>
              </w:r>
              <w:r w:rsidR="002019A2">
                <w:rPr>
                  <w:noProof/>
                </w:rPr>
                <w:tab/>
              </w:r>
              <w:r w:rsidR="00C66696">
                <w:rPr>
                  <w:noProof/>
                </w:rPr>
                <w:t>17</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5" w:history="1">
              <w:r w:rsidR="002019A2" w:rsidRPr="00A226BF">
                <w:rPr>
                  <w:rStyle w:val="Hyperlink"/>
                  <w:noProof/>
                  <w:lang w:val="fr-CA"/>
                </w:rPr>
                <w:t>III.</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Décisions des instances inférieures</w:t>
              </w:r>
              <w:r w:rsidR="002019A2">
                <w:rPr>
                  <w:noProof/>
                </w:rPr>
                <w:tab/>
              </w:r>
              <w:r w:rsidR="00C66696">
                <w:rPr>
                  <w:noProof/>
                </w:rPr>
                <w:t>19</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6" w:history="1">
              <w:r w:rsidR="002019A2" w:rsidRPr="00A226BF">
                <w:rPr>
                  <w:rStyle w:val="Hyperlink"/>
                  <w:noProof/>
                  <w:lang w:val="fr-CA"/>
                </w:rPr>
                <w:t>A.</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Cour suprême de la Colombie</w:t>
              </w:r>
              <w:r w:rsidR="002019A2" w:rsidRPr="00A226BF">
                <w:rPr>
                  <w:rStyle w:val="Hyperlink"/>
                  <w:i/>
                  <w:noProof/>
                  <w:lang w:val="fr-CA"/>
                </w:rPr>
                <w:noBreakHyphen/>
                <w:t xml:space="preserve">Britannique, 2007 BCSC 1262, 38 B.L.R. (4th) </w:t>
              </w:r>
              <w:r w:rsidR="002019A2" w:rsidRPr="00A226BF">
                <w:rPr>
                  <w:rStyle w:val="Hyperlink"/>
                  <w:i/>
                  <w:noProof/>
                  <w:lang w:val="fr-CA"/>
                </w:rPr>
                <w:lastRenderedPageBreak/>
                <w:t>171</w:t>
              </w:r>
              <w:r w:rsidR="002019A2">
                <w:rPr>
                  <w:noProof/>
                </w:rPr>
                <w:tab/>
              </w:r>
              <w:r w:rsidR="00C66696">
                <w:rPr>
                  <w:noProof/>
                </w:rPr>
                <w:t>19</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7" w:history="1">
              <w:r w:rsidR="002019A2" w:rsidRPr="00A226BF">
                <w:rPr>
                  <w:rStyle w:val="Hyperlink"/>
                  <w:noProof/>
                  <w:lang w:val="fr-CA"/>
                </w:rPr>
                <w:t>B.</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Cour d’appel de la Colombie</w:t>
              </w:r>
              <w:r w:rsidR="002019A2" w:rsidRPr="00A226BF">
                <w:rPr>
                  <w:rStyle w:val="Hyperlink"/>
                  <w:i/>
                  <w:noProof/>
                  <w:lang w:val="fr-CA"/>
                </w:rPr>
                <w:noBreakHyphen/>
                <w:t>Britannique, 2009 BCCA 224, 57 B.L.R. (4th) 1</w:t>
              </w:r>
              <w:r w:rsidR="002019A2">
                <w:rPr>
                  <w:noProof/>
                </w:rPr>
                <w:tab/>
              </w:r>
              <w:r w:rsidR="00C66696">
                <w:rPr>
                  <w:noProof/>
                </w:rPr>
                <w:t>23</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8" w:history="1">
              <w:r w:rsidR="002019A2" w:rsidRPr="00A226BF">
                <w:rPr>
                  <w:rStyle w:val="Hyperlink"/>
                  <w:noProof/>
                  <w:lang w:val="fr-CA"/>
                </w:rPr>
                <w:t>IV.</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Questions en litige</w:t>
              </w:r>
              <w:r w:rsidR="002019A2">
                <w:rPr>
                  <w:noProof/>
                </w:rPr>
                <w:tab/>
              </w:r>
              <w:r w:rsidR="00C66696">
                <w:rPr>
                  <w:noProof/>
                </w:rPr>
                <w:t>26</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09" w:history="1">
              <w:r w:rsidR="002019A2" w:rsidRPr="00A226BF">
                <w:rPr>
                  <w:rStyle w:val="Hyperlink"/>
                  <w:noProof/>
                  <w:lang w:val="fr-CA"/>
                </w:rPr>
                <w:t>V.</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Analyse</w:t>
              </w:r>
              <w:r w:rsidR="002019A2">
                <w:rPr>
                  <w:noProof/>
                </w:rPr>
                <w:tab/>
              </w:r>
              <w:r w:rsidR="00C66696">
                <w:rPr>
                  <w:noProof/>
                </w:rPr>
                <w:t>27</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0" w:history="1">
              <w:r w:rsidR="002019A2" w:rsidRPr="00A226BF">
                <w:rPr>
                  <w:rStyle w:val="Hyperlink"/>
                  <w:noProof/>
                  <w:lang w:val="fr-CA"/>
                </w:rPr>
                <w:t>A.</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Déclarations inexactes au sens de la Loi</w:t>
              </w:r>
              <w:r w:rsidR="002019A2">
                <w:rPr>
                  <w:noProof/>
                </w:rPr>
                <w:tab/>
              </w:r>
              <w:r>
                <w:rPr>
                  <w:noProof/>
                </w:rPr>
                <w:fldChar w:fldCharType="begin"/>
              </w:r>
              <w:r w:rsidR="002019A2">
                <w:rPr>
                  <w:noProof/>
                </w:rPr>
                <w:instrText xml:space="preserve"> PAGEREF _Toc308445310 \h </w:instrText>
              </w:r>
              <w:r>
                <w:rPr>
                  <w:noProof/>
                </w:rPr>
              </w:r>
              <w:r>
                <w:rPr>
                  <w:noProof/>
                </w:rPr>
                <w:fldChar w:fldCharType="separate"/>
              </w:r>
              <w:r w:rsidR="00B64064">
                <w:rPr>
                  <w:noProof/>
                </w:rPr>
                <w:t>30</w:t>
              </w:r>
              <w:r>
                <w:rPr>
                  <w:noProof/>
                </w:rPr>
                <w:fldChar w:fldCharType="end"/>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1" w:history="1">
              <w:r w:rsidR="002019A2" w:rsidRPr="00A226BF">
                <w:rPr>
                  <w:rStyle w:val="Hyperlink"/>
                  <w:noProof/>
                  <w:lang w:val="fr-CA"/>
                </w:rPr>
                <w:t>(1)</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Obligations en matière de communication</w:t>
              </w:r>
              <w:r w:rsidR="002019A2">
                <w:rPr>
                  <w:noProof/>
                </w:rPr>
                <w:tab/>
              </w:r>
              <w:r w:rsidR="00C66696">
                <w:rPr>
                  <w:noProof/>
                </w:rPr>
                <w:t>27</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2" w:history="1">
              <w:r w:rsidR="002019A2" w:rsidRPr="00A226BF">
                <w:rPr>
                  <w:rStyle w:val="Hyperlink"/>
                  <w:noProof/>
                  <w:lang w:val="fr-CA"/>
                </w:rPr>
                <w:t>(2)</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Responsabilité légale</w:t>
              </w:r>
              <w:r w:rsidR="002019A2">
                <w:rPr>
                  <w:noProof/>
                </w:rPr>
                <w:tab/>
              </w:r>
              <w:r w:rsidR="00C66696">
                <w:rPr>
                  <w:noProof/>
                </w:rPr>
                <w:t>37</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3" w:history="1">
              <w:r w:rsidR="002019A2" w:rsidRPr="00A226BF">
                <w:rPr>
                  <w:rStyle w:val="Hyperlink"/>
                  <w:noProof/>
                  <w:lang w:val="fr-CA"/>
                </w:rPr>
                <w:t>(3)</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Norme de l’importance</w:t>
              </w:r>
              <w:r w:rsidR="002019A2">
                <w:rPr>
                  <w:noProof/>
                </w:rPr>
                <w:tab/>
              </w:r>
              <w:r w:rsidR="00C66696">
                <w:rPr>
                  <w:noProof/>
                </w:rPr>
                <w:t>40</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4" w:history="1">
              <w:r w:rsidR="002019A2" w:rsidRPr="00A226BF">
                <w:rPr>
                  <w:rStyle w:val="Hyperlink"/>
                  <w:noProof/>
                  <w:lang w:val="fr-CA"/>
                </w:rPr>
                <w:t>(4)</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Critère pour évaluer l’importance</w:t>
              </w:r>
              <w:r w:rsidR="002019A2">
                <w:rPr>
                  <w:noProof/>
                </w:rPr>
                <w:tab/>
              </w:r>
              <w:r w:rsidR="00C66696">
                <w:rPr>
                  <w:noProof/>
                </w:rPr>
                <w:t>44</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5" w:history="1">
              <w:r w:rsidR="002019A2" w:rsidRPr="00A226BF">
                <w:rPr>
                  <w:rStyle w:val="Hyperlink"/>
                  <w:noProof/>
                  <w:lang w:val="fr-CA"/>
                </w:rPr>
                <w:t>(5)</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Analyse de l’évaluation de l’importance en première instance</w:t>
              </w:r>
              <w:r w:rsidR="002019A2">
                <w:rPr>
                  <w:noProof/>
                </w:rPr>
                <w:tab/>
              </w:r>
              <w:r w:rsidR="00C66696">
                <w:rPr>
                  <w:noProof/>
                </w:rPr>
                <w:t>62</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6" w:history="1">
              <w:r w:rsidR="002019A2" w:rsidRPr="00A226BF">
                <w:rPr>
                  <w:rStyle w:val="Hyperlink"/>
                  <w:noProof/>
                  <w:lang w:val="fr-CA"/>
                </w:rPr>
                <w:t>a)</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Environnement économique</w:t>
              </w:r>
              <w:r w:rsidR="002019A2">
                <w:rPr>
                  <w:noProof/>
                </w:rPr>
                <w:tab/>
              </w:r>
              <w:r w:rsidR="00C66696">
                <w:rPr>
                  <w:noProof/>
                </w:rPr>
                <w:t>74</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7" w:history="1">
              <w:r w:rsidR="002019A2" w:rsidRPr="00A226BF">
                <w:rPr>
                  <w:rStyle w:val="Hyperlink"/>
                  <w:noProof/>
                  <w:lang w:val="fr-CA"/>
                </w:rPr>
                <w:t>b)</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Avantages financiers profitant aux propriétaires du Hilton</w:t>
              </w:r>
              <w:r w:rsidR="002019A2">
                <w:rPr>
                  <w:noProof/>
                </w:rPr>
                <w:tab/>
              </w:r>
              <w:r w:rsidR="00C66696">
                <w:rPr>
                  <w:noProof/>
                </w:rPr>
                <w:t>75</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8" w:history="1">
              <w:r w:rsidR="002019A2" w:rsidRPr="00A226BF">
                <w:rPr>
                  <w:rStyle w:val="Hyperlink"/>
                  <w:noProof/>
                  <w:lang w:val="fr-CA"/>
                </w:rPr>
                <w:t>c)</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Communication de renseignements : propriétaire unique et/ou administration commune et facteurs de risque</w:t>
              </w:r>
              <w:r w:rsidR="002019A2">
                <w:rPr>
                  <w:noProof/>
                </w:rPr>
                <w:tab/>
              </w:r>
              <w:r w:rsidR="00C66696">
                <w:rPr>
                  <w:noProof/>
                </w:rPr>
                <w:t>76</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19" w:history="1">
              <w:r w:rsidR="002019A2" w:rsidRPr="00A226BF">
                <w:rPr>
                  <w:rStyle w:val="Hyperlink"/>
                  <w:noProof/>
                  <w:lang w:val="fr-CA"/>
                </w:rPr>
                <w:t>d)</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Impossibilité de favoriser le Marriott et absence d’intérêt à le faire</w:t>
              </w:r>
              <w:r w:rsidR="002019A2">
                <w:rPr>
                  <w:noProof/>
                </w:rPr>
                <w:tab/>
              </w:r>
              <w:r w:rsidR="00C66696">
                <w:rPr>
                  <w:noProof/>
                </w:rPr>
                <w:t>78</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0" w:history="1">
              <w:r w:rsidR="002019A2" w:rsidRPr="00A226BF">
                <w:rPr>
                  <w:rStyle w:val="Hyperlink"/>
                  <w:noProof/>
                  <w:lang w:val="fr-CA"/>
                </w:rPr>
                <w:t>e)</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Preuve relative au comportement de l’investisseur pleinement informé</w:t>
              </w:r>
              <w:r w:rsidR="002019A2">
                <w:rPr>
                  <w:noProof/>
                </w:rPr>
                <w:tab/>
              </w:r>
              <w:r w:rsidR="00C66696">
                <w:rPr>
                  <w:noProof/>
                </w:rPr>
                <w:t>81</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1" w:history="1">
              <w:r w:rsidR="002019A2" w:rsidRPr="00A226BF">
                <w:rPr>
                  <w:rStyle w:val="Hyperlink"/>
                  <w:noProof/>
                  <w:lang w:val="fr-CA"/>
                </w:rPr>
                <w:t>f)</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Preuve relative aux réunions du comité des investisseurs</w:t>
              </w:r>
              <w:r w:rsidR="002019A2">
                <w:rPr>
                  <w:noProof/>
                </w:rPr>
                <w:tab/>
              </w:r>
              <w:r w:rsidR="00C66696">
                <w:rPr>
                  <w:noProof/>
                </w:rPr>
                <w:t>82</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2" w:history="1">
              <w:r w:rsidR="002019A2" w:rsidRPr="00A226BF">
                <w:rPr>
                  <w:rStyle w:val="Hyperlink"/>
                  <w:noProof/>
                  <w:lang w:val="fr-CA"/>
                </w:rPr>
                <w:t>(6)</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Fardeau de preuve qui incombe à Sharbern</w:t>
              </w:r>
              <w:r w:rsidR="002019A2">
                <w:rPr>
                  <w:noProof/>
                </w:rPr>
                <w:tab/>
              </w:r>
              <w:r w:rsidR="00C66696">
                <w:rPr>
                  <w:noProof/>
                </w:rPr>
                <w:t>86</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3" w:history="1">
              <w:r w:rsidR="002019A2" w:rsidRPr="00A226BF">
                <w:rPr>
                  <w:rStyle w:val="Hyperlink"/>
                  <w:noProof/>
                  <w:lang w:val="fr-CA"/>
                </w:rPr>
                <w:t>(7)</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Conclusions sur l’importance</w:t>
              </w:r>
              <w:r w:rsidR="002019A2">
                <w:rPr>
                  <w:noProof/>
                </w:rPr>
                <w:tab/>
              </w:r>
              <w:r w:rsidR="001612DB">
                <w:rPr>
                  <w:noProof/>
                </w:rPr>
                <w:t>91</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4" w:history="1">
              <w:r w:rsidR="002019A2" w:rsidRPr="00A226BF">
                <w:rPr>
                  <w:rStyle w:val="Hyperlink"/>
                  <w:noProof/>
                  <w:lang w:val="fr-CA"/>
                </w:rPr>
                <w:t>B.</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Moyen de défense prévu par la Loi</w:t>
              </w:r>
              <w:r w:rsidR="002019A2">
                <w:rPr>
                  <w:noProof/>
                </w:rPr>
                <w:tab/>
              </w:r>
              <w:r w:rsidR="001612DB">
                <w:rPr>
                  <w:noProof/>
                </w:rPr>
                <w:t>92</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5" w:history="1">
              <w:r w:rsidR="002019A2" w:rsidRPr="00A226BF">
                <w:rPr>
                  <w:rStyle w:val="Hyperlink"/>
                  <w:noProof/>
                  <w:lang w:val="fr-CA"/>
                </w:rPr>
                <w:t>(1)</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Critère juridique</w:t>
              </w:r>
              <w:r w:rsidR="002019A2">
                <w:rPr>
                  <w:noProof/>
                </w:rPr>
                <w:tab/>
              </w:r>
              <w:r w:rsidR="001612DB">
                <w:rPr>
                  <w:noProof/>
                </w:rPr>
                <w:t>92</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6" w:history="1">
              <w:r w:rsidR="002019A2" w:rsidRPr="00A226BF">
                <w:rPr>
                  <w:rStyle w:val="Hyperlink"/>
                  <w:noProof/>
                  <w:lang w:val="fr-CA"/>
                </w:rPr>
                <w:t>(2)</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Pratique au sein de l’industrie</w:t>
              </w:r>
              <w:r w:rsidR="002019A2">
                <w:rPr>
                  <w:noProof/>
                </w:rPr>
                <w:tab/>
              </w:r>
              <w:r w:rsidR="001612DB">
                <w:rPr>
                  <w:noProof/>
                </w:rPr>
                <w:t>97</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7" w:history="1">
              <w:r w:rsidR="002019A2" w:rsidRPr="00A226BF">
                <w:rPr>
                  <w:rStyle w:val="Hyperlink"/>
                  <w:noProof/>
                  <w:lang w:val="fr-CA"/>
                </w:rPr>
                <w:t>(3)</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Paucité des moyens pour favoriser le Marriott et faible intérêt à le faire</w:t>
              </w:r>
              <w:r w:rsidR="002019A2">
                <w:rPr>
                  <w:noProof/>
                </w:rPr>
                <w:tab/>
              </w:r>
              <w:r w:rsidR="001612DB">
                <w:rPr>
                  <w:noProof/>
                </w:rPr>
                <w:t>102</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8" w:history="1">
              <w:r w:rsidR="002019A2" w:rsidRPr="00A226BF">
                <w:rPr>
                  <w:rStyle w:val="Hyperlink"/>
                  <w:noProof/>
                  <w:lang w:val="fr-CA"/>
                </w:rPr>
                <w:t>(4)</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Absence de preuve écartant le moyen de défense</w:t>
              </w:r>
              <w:r w:rsidR="002019A2">
                <w:rPr>
                  <w:noProof/>
                </w:rPr>
                <w:tab/>
              </w:r>
              <w:r w:rsidR="001612DB">
                <w:rPr>
                  <w:noProof/>
                </w:rPr>
                <w:t>109</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29" w:history="1">
              <w:r w:rsidR="002019A2" w:rsidRPr="00A226BF">
                <w:rPr>
                  <w:rStyle w:val="Hyperlink"/>
                  <w:noProof/>
                  <w:lang w:val="fr-CA"/>
                </w:rPr>
                <w:t>C.</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Présomption légale</w:t>
              </w:r>
              <w:r w:rsidR="002019A2">
                <w:rPr>
                  <w:noProof/>
                </w:rPr>
                <w:tab/>
              </w:r>
              <w:r w:rsidR="001612DB">
                <w:rPr>
                  <w:noProof/>
                </w:rPr>
                <w:t>112</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0" w:history="1">
              <w:r w:rsidR="002019A2" w:rsidRPr="00A226BF">
                <w:rPr>
                  <w:rStyle w:val="Hyperlink"/>
                  <w:noProof/>
                  <w:lang w:val="fr-CA"/>
                </w:rPr>
                <w:t>D.</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Déclaration inexacte faite par négligence en common law</w:t>
              </w:r>
              <w:r w:rsidR="002019A2">
                <w:rPr>
                  <w:noProof/>
                </w:rPr>
                <w:tab/>
              </w:r>
              <w:r w:rsidR="001612DB">
                <w:rPr>
                  <w:noProof/>
                </w:rPr>
                <w:t>120</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1" w:history="1">
              <w:r w:rsidR="002019A2" w:rsidRPr="00A226BF">
                <w:rPr>
                  <w:rStyle w:val="Hyperlink"/>
                  <w:noProof/>
                  <w:lang w:val="fr-CA"/>
                </w:rPr>
                <w:t>E.</w:t>
              </w:r>
              <w:r w:rsidR="002019A2">
                <w:rPr>
                  <w:rFonts w:asciiTheme="minorHAnsi" w:eastAsiaTheme="minorEastAsia" w:hAnsiTheme="minorHAnsi" w:cstheme="minorBidi"/>
                  <w:noProof/>
                  <w:sz w:val="22"/>
                  <w:szCs w:val="22"/>
                  <w:lang w:val="en-US" w:eastAsia="en-US"/>
                </w:rPr>
                <w:tab/>
              </w:r>
              <w:r w:rsidR="002019A2" w:rsidRPr="00A226BF">
                <w:rPr>
                  <w:rStyle w:val="Hyperlink"/>
                  <w:i/>
                  <w:noProof/>
                  <w:lang w:val="fr-CA"/>
                </w:rPr>
                <w:t>Manquement à l’obligation fiduciaire</w:t>
              </w:r>
              <w:r w:rsidR="002019A2">
                <w:rPr>
                  <w:noProof/>
                </w:rPr>
                <w:tab/>
              </w:r>
              <w:r w:rsidR="001612DB">
                <w:rPr>
                  <w:noProof/>
                </w:rPr>
                <w:t>131</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2" w:history="1">
              <w:r w:rsidR="002019A2" w:rsidRPr="00A226BF">
                <w:rPr>
                  <w:rStyle w:val="Hyperlink"/>
                  <w:noProof/>
                  <w:lang w:val="fr-CA"/>
                </w:rPr>
                <w:t>(1)</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Analyse des obligations fiduciaires par les juridictions inférieures</w:t>
              </w:r>
              <w:r w:rsidR="002019A2">
                <w:rPr>
                  <w:noProof/>
                </w:rPr>
                <w:tab/>
              </w:r>
              <w:r w:rsidR="001612DB">
                <w:rPr>
                  <w:noProof/>
                </w:rPr>
                <w:t>132</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3" w:history="1">
              <w:r w:rsidR="002019A2" w:rsidRPr="00A226BF">
                <w:rPr>
                  <w:rStyle w:val="Hyperlink"/>
                  <w:noProof/>
                  <w:lang w:val="fr-CA"/>
                </w:rPr>
                <w:t>(2)</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Existence d’une relation fiduciaire</w:t>
              </w:r>
              <w:r w:rsidR="002019A2">
                <w:rPr>
                  <w:noProof/>
                </w:rPr>
                <w:tab/>
              </w:r>
              <w:r w:rsidR="001612DB">
                <w:rPr>
                  <w:noProof/>
                </w:rPr>
                <w:t>13</w:t>
              </w:r>
              <w:r w:rsidR="00B74994">
                <w:rPr>
                  <w:noProof/>
                </w:rPr>
                <w:t>8</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4" w:history="1">
              <w:r w:rsidR="002019A2" w:rsidRPr="00A226BF">
                <w:rPr>
                  <w:rStyle w:val="Hyperlink"/>
                  <w:noProof/>
                  <w:lang w:val="fr-CA"/>
                </w:rPr>
                <w:t>(3)</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Allégations de déclarations inexactes et d’existence d’une obligation fiduciaire : distinctions</w:t>
              </w:r>
              <w:r w:rsidR="002019A2">
                <w:rPr>
                  <w:noProof/>
                </w:rPr>
                <w:tab/>
              </w:r>
              <w:r w:rsidR="001612DB">
                <w:rPr>
                  <w:noProof/>
                </w:rPr>
                <w:t>1</w:t>
              </w:r>
              <w:r w:rsidR="00B74994">
                <w:rPr>
                  <w:noProof/>
                </w:rPr>
                <w:t>44</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5" w:history="1">
              <w:r w:rsidR="002019A2" w:rsidRPr="00A226BF">
                <w:rPr>
                  <w:rStyle w:val="Hyperlink"/>
                  <w:noProof/>
                  <w:lang w:val="fr-CA"/>
                </w:rPr>
                <w:t>(4)</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Communication des différences de rémunération</w:t>
              </w:r>
              <w:r w:rsidR="002019A2">
                <w:rPr>
                  <w:noProof/>
                </w:rPr>
                <w:tab/>
              </w:r>
              <w:r w:rsidR="001612DB">
                <w:rPr>
                  <w:noProof/>
                </w:rPr>
                <w:t>14</w:t>
              </w:r>
              <w:r w:rsidR="00B74994">
                <w:rPr>
                  <w:noProof/>
                </w:rPr>
                <w:t>7</w:t>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6" w:history="1">
              <w:r w:rsidR="002019A2" w:rsidRPr="00A226BF">
                <w:rPr>
                  <w:rStyle w:val="Hyperlink"/>
                  <w:noProof/>
                  <w:lang w:val="fr-CA"/>
                </w:rPr>
                <w:t>(5)</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Entente de non</w:t>
              </w:r>
              <w:r w:rsidR="002019A2" w:rsidRPr="00A226BF">
                <w:rPr>
                  <w:rStyle w:val="Hyperlink"/>
                  <w:noProof/>
                  <w:lang w:val="fr-CA"/>
                </w:rPr>
                <w:noBreakHyphen/>
                <w:t>concurrence</w:t>
              </w:r>
              <w:r w:rsidR="002019A2">
                <w:rPr>
                  <w:noProof/>
                </w:rPr>
                <w:tab/>
              </w:r>
              <w:r>
                <w:rPr>
                  <w:noProof/>
                </w:rPr>
                <w:fldChar w:fldCharType="begin"/>
              </w:r>
              <w:r w:rsidR="002019A2">
                <w:rPr>
                  <w:noProof/>
                </w:rPr>
                <w:instrText xml:space="preserve"> PAGEREF _Toc308445336 \h </w:instrText>
              </w:r>
              <w:r>
                <w:rPr>
                  <w:noProof/>
                </w:rPr>
              </w:r>
              <w:r>
                <w:rPr>
                  <w:noProof/>
                </w:rPr>
                <w:fldChar w:fldCharType="separate"/>
              </w:r>
              <w:r w:rsidR="00B64064">
                <w:rPr>
                  <w:noProof/>
                </w:rPr>
                <w:t>107</w:t>
              </w:r>
              <w:r>
                <w:rPr>
                  <w:noProof/>
                </w:rPr>
                <w:fldChar w:fldCharType="end"/>
              </w:r>
            </w:hyperlink>
          </w:p>
          <w:p w:rsidR="002019A2" w:rsidRDefault="000738EB">
            <w:pPr>
              <w:pStyle w:val="TOC1"/>
              <w:rPr>
                <w:rFonts w:asciiTheme="minorHAnsi" w:eastAsiaTheme="minorEastAsia" w:hAnsiTheme="minorHAnsi" w:cstheme="minorBidi"/>
                <w:noProof/>
                <w:sz w:val="22"/>
                <w:szCs w:val="22"/>
                <w:lang w:val="en-US" w:eastAsia="en-US"/>
              </w:rPr>
            </w:pPr>
            <w:hyperlink w:anchor="_Toc308445337" w:history="1">
              <w:r w:rsidR="002019A2" w:rsidRPr="00A226BF">
                <w:rPr>
                  <w:rStyle w:val="Hyperlink"/>
                  <w:noProof/>
                  <w:lang w:val="fr-CA"/>
                </w:rPr>
                <w:t>VI.</w:t>
              </w:r>
              <w:r w:rsidR="002019A2">
                <w:rPr>
                  <w:rFonts w:asciiTheme="minorHAnsi" w:eastAsiaTheme="minorEastAsia" w:hAnsiTheme="minorHAnsi" w:cstheme="minorBidi"/>
                  <w:noProof/>
                  <w:sz w:val="22"/>
                  <w:szCs w:val="22"/>
                  <w:lang w:val="en-US" w:eastAsia="en-US"/>
                </w:rPr>
                <w:tab/>
              </w:r>
              <w:r w:rsidR="002019A2" w:rsidRPr="00A226BF">
                <w:rPr>
                  <w:rStyle w:val="Hyperlink"/>
                  <w:noProof/>
                  <w:lang w:val="fr-CA"/>
                </w:rPr>
                <w:t>Résumé et conclusions</w:t>
              </w:r>
              <w:r w:rsidR="002019A2">
                <w:rPr>
                  <w:noProof/>
                </w:rPr>
                <w:tab/>
              </w:r>
              <w:r>
                <w:rPr>
                  <w:noProof/>
                </w:rPr>
                <w:fldChar w:fldCharType="begin"/>
              </w:r>
              <w:r w:rsidR="002019A2">
                <w:rPr>
                  <w:noProof/>
                </w:rPr>
                <w:instrText xml:space="preserve"> PAGEREF _Toc308445337 \h </w:instrText>
              </w:r>
              <w:r>
                <w:rPr>
                  <w:noProof/>
                </w:rPr>
              </w:r>
              <w:r>
                <w:rPr>
                  <w:noProof/>
                </w:rPr>
                <w:fldChar w:fldCharType="separate"/>
              </w:r>
              <w:r w:rsidR="00B64064">
                <w:rPr>
                  <w:noProof/>
                </w:rPr>
                <w:t>111</w:t>
              </w:r>
              <w:r>
                <w:rPr>
                  <w:noProof/>
                </w:rPr>
                <w:fldChar w:fldCharType="end"/>
              </w:r>
            </w:hyperlink>
          </w:p>
          <w:p w:rsidR="002019A2" w:rsidRPr="00A4462B" w:rsidRDefault="000738EB" w:rsidP="002019A2">
            <w:pPr>
              <w:spacing w:before="120" w:after="120"/>
              <w:rPr>
                <w:lang w:val="en-US"/>
              </w:rPr>
            </w:pPr>
            <w:r w:rsidRPr="00A4462B">
              <w:fldChar w:fldCharType="end"/>
            </w:r>
          </w:p>
        </w:tc>
      </w:tr>
    </w:tbl>
    <w:p w:rsidR="00B74994" w:rsidRDefault="00B74994" w:rsidP="00040136">
      <w:pPr>
        <w:pStyle w:val="TitleTitre-AltT"/>
        <w:keepNext/>
        <w:tabs>
          <w:tab w:val="clear" w:pos="360"/>
          <w:tab w:val="left" w:pos="540"/>
        </w:tabs>
        <w:spacing w:before="0"/>
        <w:ind w:left="540" w:hanging="540"/>
        <w:rPr>
          <w:rFonts w:cs="Times New Roman"/>
          <w:szCs w:val="24"/>
          <w:lang w:val="fr-CA"/>
        </w:rPr>
      </w:pPr>
      <w:bookmarkStart w:id="0" w:name="_Toc308445301"/>
    </w:p>
    <w:p w:rsidR="0062110E" w:rsidRPr="00751B87" w:rsidRDefault="0062110E" w:rsidP="00040136">
      <w:pPr>
        <w:pStyle w:val="TitleTitre-AltT"/>
        <w:keepNext/>
        <w:tabs>
          <w:tab w:val="clear" w:pos="360"/>
          <w:tab w:val="left" w:pos="540"/>
        </w:tabs>
        <w:spacing w:before="0"/>
        <w:ind w:left="540" w:hanging="540"/>
        <w:rPr>
          <w:rFonts w:cs="Times New Roman"/>
          <w:szCs w:val="24"/>
          <w:lang w:val="fr-CA"/>
        </w:rPr>
      </w:pPr>
      <w:r w:rsidRPr="00477A1F">
        <w:rPr>
          <w:rFonts w:cs="Times New Roman"/>
          <w:szCs w:val="24"/>
          <w:lang w:val="fr-CA"/>
        </w:rPr>
        <w:t>I.</w:t>
      </w:r>
      <w:r w:rsidRPr="00477A1F">
        <w:rPr>
          <w:rFonts w:cs="Times New Roman"/>
          <w:szCs w:val="24"/>
          <w:lang w:val="fr-CA"/>
        </w:rPr>
        <w:tab/>
      </w:r>
      <w:r w:rsidRPr="00477A1F">
        <w:rPr>
          <w:rFonts w:cs="Times New Roman"/>
          <w:szCs w:val="24"/>
          <w:u w:val="single"/>
          <w:lang w:val="fr-CA"/>
        </w:rPr>
        <w:t>I</w:t>
      </w:r>
      <w:r w:rsidRPr="00751B87">
        <w:rPr>
          <w:rFonts w:cs="Times New Roman"/>
          <w:szCs w:val="24"/>
          <w:u w:val="single"/>
          <w:lang w:val="fr-CA"/>
        </w:rPr>
        <w:t>ntroduction</w:t>
      </w:r>
      <w:bookmarkEnd w:id="0"/>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règle </w:t>
      </w:r>
      <w:proofErr w:type="spellStart"/>
      <w:r w:rsidRPr="00751B87">
        <w:rPr>
          <w:rFonts w:cs="Times New Roman"/>
          <w:i/>
          <w:szCs w:val="24"/>
          <w:lang w:val="fr-CA"/>
        </w:rPr>
        <w:t>caveat</w:t>
      </w:r>
      <w:proofErr w:type="spellEnd"/>
      <w:r w:rsidRPr="00751B87">
        <w:rPr>
          <w:rFonts w:cs="Times New Roman"/>
          <w:i/>
          <w:szCs w:val="24"/>
          <w:lang w:val="fr-CA"/>
        </w:rPr>
        <w:t xml:space="preserve"> </w:t>
      </w:r>
      <w:proofErr w:type="spellStart"/>
      <w:r w:rsidRPr="00751B87">
        <w:rPr>
          <w:rFonts w:cs="Times New Roman"/>
          <w:i/>
          <w:szCs w:val="24"/>
          <w:lang w:val="fr-CA"/>
        </w:rPr>
        <w:t>emptor</w:t>
      </w:r>
      <w:proofErr w:type="spellEnd"/>
      <w:r w:rsidRPr="00751B87">
        <w:rPr>
          <w:rFonts w:cs="Times New Roman"/>
          <w:szCs w:val="24"/>
          <w:lang w:val="fr-CA"/>
        </w:rPr>
        <w:t xml:space="preserve"> ne s’applique pas aux valeurs mobilières offertes au public.  Les lois relatives aux valeurs mobilières imposent à l’émetteur une obligation de communication dont les modalités peuvent varier selon la loi ou le ressort en cause, mais elles ont toutes un point en commun : il incombe à l’émetteur de communiquer à l’éventuel investisseur tout renseignement susceptible d’influer sur sa décision.  Cela dit, l’émetteur n’est pas pour autant assujetti à une obligation indéterminée le rendant responsable des pertes de l’investisseur mécontent qui invoquerait un fait dénué d’importance qui ne lui aurait pas été communiqué.  Plutôt que d’être tenu à une obligation de communication illimitée, l’émetteur s’est vu imposer une obligation qui établit l’équilibre entre, d’une part, une communication surabondante et, d’autre part, une communication insuffisante de renseignements.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présent pourvoi découle d’un recours collectif intenté par l’appelante, </w:t>
      </w:r>
      <w:proofErr w:type="spellStart"/>
      <w:r w:rsidRPr="00751B87">
        <w:rPr>
          <w:rFonts w:cs="Times New Roman"/>
          <w:szCs w:val="24"/>
          <w:lang w:val="fr-CA"/>
        </w:rPr>
        <w:t>Sharbern</w:t>
      </w:r>
      <w:proofErr w:type="spellEnd"/>
      <w:r w:rsidRPr="00751B87">
        <w:rPr>
          <w:rFonts w:cs="Times New Roman"/>
          <w:szCs w:val="24"/>
          <w:lang w:val="fr-CA"/>
        </w:rPr>
        <w:t xml:space="preserve"> Holding Inc. (« </w:t>
      </w:r>
      <w:proofErr w:type="spellStart"/>
      <w:r w:rsidRPr="00751B87">
        <w:rPr>
          <w:rFonts w:cs="Times New Roman"/>
          <w:szCs w:val="24"/>
          <w:lang w:val="fr-CA"/>
        </w:rPr>
        <w:t>Sharbern</w:t>
      </w:r>
      <w:proofErr w:type="spellEnd"/>
      <w:r w:rsidRPr="00751B87">
        <w:rPr>
          <w:rFonts w:cs="Times New Roman"/>
          <w:szCs w:val="24"/>
          <w:lang w:val="fr-CA"/>
        </w:rPr>
        <w:t> »), pour le compte d’un groupe d’investisseurs (les « propriétaires du Hilton ») ayant acheté du promoteur intimé, Va</w:t>
      </w:r>
      <w:r w:rsidR="00224705">
        <w:rPr>
          <w:rFonts w:cs="Times New Roman"/>
          <w:szCs w:val="24"/>
          <w:lang w:val="fr-CA"/>
        </w:rPr>
        <w:t xml:space="preserve">ncouver </w:t>
      </w:r>
      <w:proofErr w:type="spellStart"/>
      <w:r w:rsidR="00224705">
        <w:rPr>
          <w:rFonts w:cs="Times New Roman"/>
          <w:szCs w:val="24"/>
          <w:lang w:val="fr-CA"/>
        </w:rPr>
        <w:t>Airport</w:t>
      </w:r>
      <w:proofErr w:type="spellEnd"/>
      <w:r w:rsidR="00224705">
        <w:rPr>
          <w:rFonts w:cs="Times New Roman"/>
          <w:szCs w:val="24"/>
          <w:lang w:val="fr-CA"/>
        </w:rPr>
        <w:t xml:space="preserve"> Centre Ltd. (</w:t>
      </w:r>
      <w:r w:rsidRPr="00751B87">
        <w:rPr>
          <w:rFonts w:cs="Times New Roman"/>
          <w:szCs w:val="24"/>
          <w:lang w:val="fr-CA"/>
        </w:rPr>
        <w:t xml:space="preserve">« VAC »), des unités dans un hôtel.  </w:t>
      </w:r>
      <w:proofErr w:type="spellStart"/>
      <w:r w:rsidRPr="00751B87">
        <w:rPr>
          <w:rFonts w:cs="Times New Roman"/>
          <w:szCs w:val="24"/>
          <w:lang w:val="fr-CA"/>
        </w:rPr>
        <w:t>Sharbern</w:t>
      </w:r>
      <w:proofErr w:type="spellEnd"/>
      <w:r w:rsidRPr="00751B87">
        <w:rPr>
          <w:rFonts w:cs="Times New Roman"/>
          <w:szCs w:val="24"/>
          <w:lang w:val="fr-CA"/>
        </w:rPr>
        <w:t xml:space="preserve"> soutient que le VAC a engagé sa responsabilité en omettant de fournir aux propriétaires du Hilton les détails </w:t>
      </w:r>
      <w:r w:rsidRPr="00751B87">
        <w:rPr>
          <w:rFonts w:cs="Times New Roman"/>
          <w:szCs w:val="24"/>
          <w:lang w:val="fr-CA"/>
        </w:rPr>
        <w:lastRenderedPageBreak/>
        <w:t xml:space="preserve">des différences entre les ententes financières qu’il avait conclues avec eux et celles qu’il avait offertes aux acquéreurs d’unités dans l’hôtel Marriott (les « propriétaires du Marriott »), établissement voisin situé sur le même terrain et dont le VAC était aussi le promoteur.  </w:t>
      </w:r>
      <w:proofErr w:type="spellStart"/>
      <w:r w:rsidRPr="00751B87">
        <w:rPr>
          <w:rFonts w:cs="Times New Roman"/>
          <w:szCs w:val="24"/>
          <w:lang w:val="fr-CA"/>
        </w:rPr>
        <w:t>Sharbern</w:t>
      </w:r>
      <w:proofErr w:type="spellEnd"/>
      <w:r w:rsidRPr="00751B87">
        <w:rPr>
          <w:rFonts w:cs="Times New Roman"/>
          <w:szCs w:val="24"/>
          <w:lang w:val="fr-CA"/>
        </w:rPr>
        <w:t xml:space="preserve"> allègue que ces différences ont engendré un conflit d’intérêts, dont l’existence n’a pas été révélée, du fait qu’elles incitaient le VAC à favoriser le Marriott au détriment du Hilton, s’agissant de l’exploitation et de l’administration des deux hôtels.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pourvoi soulève deux questions principales.  D’abord, la responsabilité du VAC </w:t>
      </w:r>
      <w:proofErr w:type="spellStart"/>
      <w:r w:rsidRPr="00751B87">
        <w:rPr>
          <w:rFonts w:cs="Times New Roman"/>
          <w:szCs w:val="24"/>
          <w:lang w:val="fr-CA"/>
        </w:rPr>
        <w:t>est</w:t>
      </w:r>
      <w:r w:rsidRPr="00751B87">
        <w:rPr>
          <w:rFonts w:cs="Times New Roman"/>
          <w:szCs w:val="24"/>
          <w:lang w:val="fr-CA"/>
        </w:rPr>
        <w:noBreakHyphen/>
        <w:t>elle</w:t>
      </w:r>
      <w:proofErr w:type="spellEnd"/>
      <w:r w:rsidRPr="00751B87">
        <w:rPr>
          <w:rFonts w:cs="Times New Roman"/>
          <w:szCs w:val="24"/>
          <w:lang w:val="fr-CA"/>
        </w:rPr>
        <w:t xml:space="preserve"> engagée au motif que la notice d’offre et le document d’information (le « document du Hilton ») utilisés par ce dernier pour vendre les unités du Hilton contenaient des déclarations inexactes?  Ensuite, le VAC </w:t>
      </w:r>
      <w:proofErr w:type="spellStart"/>
      <w:r w:rsidRPr="00751B87">
        <w:rPr>
          <w:rFonts w:cs="Times New Roman"/>
          <w:szCs w:val="24"/>
          <w:lang w:val="fr-CA"/>
        </w:rPr>
        <w:t>a</w:t>
      </w:r>
      <w:r w:rsidRPr="00751B87">
        <w:rPr>
          <w:rFonts w:cs="Times New Roman"/>
          <w:szCs w:val="24"/>
          <w:lang w:val="fr-CA"/>
        </w:rPr>
        <w:noBreakHyphen/>
        <w:t>t</w:t>
      </w:r>
      <w:r w:rsidRPr="00751B87">
        <w:rPr>
          <w:rFonts w:cs="Times New Roman"/>
          <w:szCs w:val="24"/>
          <w:lang w:val="fr-CA"/>
        </w:rPr>
        <w:noBreakHyphen/>
        <w:t>il</w:t>
      </w:r>
      <w:proofErr w:type="spellEnd"/>
      <w:r w:rsidRPr="00751B87">
        <w:rPr>
          <w:rFonts w:cs="Times New Roman"/>
          <w:szCs w:val="24"/>
          <w:lang w:val="fr-CA"/>
        </w:rPr>
        <w:t xml:space="preserve"> manqué à son obligation fiducia</w:t>
      </w:r>
      <w:r>
        <w:rPr>
          <w:rFonts w:cs="Times New Roman"/>
          <w:szCs w:val="24"/>
          <w:lang w:val="fr-CA"/>
        </w:rPr>
        <w:t>ire</w:t>
      </w:r>
      <w:r w:rsidRPr="00751B87">
        <w:rPr>
          <w:rFonts w:cs="Times New Roman"/>
          <w:szCs w:val="24"/>
          <w:lang w:val="fr-CA"/>
        </w:rPr>
        <w:t xml:space="preserve"> en administrant le Hilton aux termes d’une entente conclue avec les propriétaires du Hilton, dont </w:t>
      </w:r>
      <w:proofErr w:type="spellStart"/>
      <w:r w:rsidRPr="00751B87">
        <w:rPr>
          <w:rFonts w:cs="Times New Roman"/>
          <w:szCs w:val="24"/>
          <w:lang w:val="fr-CA"/>
        </w:rPr>
        <w:t>Sharbern</w:t>
      </w:r>
      <w:proofErr w:type="spellEnd"/>
      <w:r w:rsidRPr="00751B87">
        <w:rPr>
          <w:rFonts w:cs="Times New Roman"/>
          <w:szCs w:val="24"/>
          <w:lang w:val="fr-CA"/>
        </w:rPr>
        <w:t xml:space="preserve"> (l’</w:t>
      </w:r>
      <w:r w:rsidR="00224705">
        <w:rPr>
          <w:rFonts w:cs="Times New Roman"/>
          <w:szCs w:val="24"/>
          <w:lang w:val="fr-CA"/>
        </w:rPr>
        <w:t>«</w:t>
      </w:r>
      <w:r w:rsidRPr="00751B87">
        <w:rPr>
          <w:rFonts w:cs="Times New Roman"/>
          <w:szCs w:val="24"/>
          <w:lang w:val="fr-CA"/>
        </w:rPr>
        <w:t xml:space="preserve"> entente sur l’administration des biens du Hilton »)?  Pour les motifs </w:t>
      </w:r>
      <w:proofErr w:type="spellStart"/>
      <w:r w:rsidRPr="00751B87">
        <w:rPr>
          <w:rFonts w:cs="Times New Roman"/>
          <w:szCs w:val="24"/>
          <w:lang w:val="fr-CA"/>
        </w:rPr>
        <w:t>ci</w:t>
      </w:r>
      <w:r w:rsidRPr="00751B87">
        <w:rPr>
          <w:rFonts w:cs="Times New Roman"/>
          <w:szCs w:val="24"/>
          <w:lang w:val="fr-CA"/>
        </w:rPr>
        <w:noBreakHyphen/>
        <w:t>après</w:t>
      </w:r>
      <w:proofErr w:type="spellEnd"/>
      <w:r w:rsidRPr="00751B87">
        <w:rPr>
          <w:rFonts w:cs="Times New Roman"/>
          <w:szCs w:val="24"/>
          <w:lang w:val="fr-CA"/>
        </w:rPr>
        <w:t xml:space="preserve">, je conclus que les deux moyens d’appel avancés par </w:t>
      </w:r>
      <w:proofErr w:type="spellStart"/>
      <w:r w:rsidRPr="00751B87">
        <w:rPr>
          <w:rFonts w:cs="Times New Roman"/>
          <w:szCs w:val="24"/>
          <w:lang w:val="fr-CA"/>
        </w:rPr>
        <w:t>Sharbern</w:t>
      </w:r>
      <w:proofErr w:type="spellEnd"/>
      <w:r w:rsidRPr="00751B87">
        <w:rPr>
          <w:rFonts w:cs="Times New Roman"/>
          <w:szCs w:val="24"/>
          <w:lang w:val="fr-CA"/>
        </w:rPr>
        <w:t xml:space="preserve"> ne sont pas fondés, et je suis donc d’avis de rejeter le pourvoi.</w:t>
      </w:r>
    </w:p>
    <w:p w:rsidR="0062110E" w:rsidRPr="00751B87" w:rsidRDefault="0062110E" w:rsidP="0062110E">
      <w:pPr>
        <w:pStyle w:val="ParaNoNdepar-AltN"/>
        <w:rPr>
          <w:rFonts w:cs="Times New Roman"/>
          <w:szCs w:val="24"/>
          <w:lang w:val="fr-CA"/>
        </w:rPr>
      </w:pPr>
      <w:r w:rsidRPr="00751B87">
        <w:rPr>
          <w:rFonts w:cs="Times New Roman"/>
          <w:szCs w:val="24"/>
          <w:lang w:val="fr-CA"/>
        </w:rPr>
        <w:t>Pour ce qui est de la première question, j’estime que la juge de première instance</w:t>
      </w:r>
      <w:r w:rsidRPr="00751B87">
        <w:rPr>
          <w:rFonts w:cs="Times New Roman"/>
          <w:i/>
          <w:szCs w:val="24"/>
          <w:lang w:val="fr-CA"/>
        </w:rPr>
        <w:t xml:space="preserve"> </w:t>
      </w:r>
      <w:r w:rsidRPr="00751B87">
        <w:rPr>
          <w:rFonts w:cs="Times New Roman"/>
          <w:szCs w:val="24"/>
          <w:lang w:val="fr-CA"/>
        </w:rPr>
        <w:t xml:space="preserve">a commis une erreur de droit en concluant que la responsabilité du VAC était engagée selon la </w:t>
      </w:r>
      <w:r w:rsidRPr="00751B87">
        <w:rPr>
          <w:rFonts w:cs="Times New Roman"/>
          <w:i/>
          <w:szCs w:val="24"/>
          <w:lang w:val="fr-CA"/>
        </w:rPr>
        <w:t xml:space="preserve">Real </w:t>
      </w:r>
      <w:proofErr w:type="spellStart"/>
      <w:r w:rsidRPr="00751B87">
        <w:rPr>
          <w:rFonts w:cs="Times New Roman"/>
          <w:i/>
          <w:szCs w:val="24"/>
          <w:lang w:val="fr-CA"/>
        </w:rPr>
        <w:t>Estate</w:t>
      </w:r>
      <w:proofErr w:type="spellEnd"/>
      <w:r w:rsidRPr="00751B87">
        <w:rPr>
          <w:rFonts w:cs="Times New Roman"/>
          <w:i/>
          <w:szCs w:val="24"/>
          <w:lang w:val="fr-CA"/>
        </w:rPr>
        <w:t xml:space="preserve"> </w:t>
      </w:r>
      <w:proofErr w:type="spellStart"/>
      <w:r w:rsidRPr="00751B87">
        <w:rPr>
          <w:rFonts w:cs="Times New Roman"/>
          <w:i/>
          <w:szCs w:val="24"/>
          <w:lang w:val="fr-CA"/>
        </w:rPr>
        <w:t>Act</w:t>
      </w:r>
      <w:proofErr w:type="spellEnd"/>
      <w:r w:rsidRPr="00751B87">
        <w:rPr>
          <w:rFonts w:cs="Times New Roman"/>
          <w:szCs w:val="24"/>
          <w:lang w:val="fr-CA"/>
        </w:rPr>
        <w:t xml:space="preserve">, R.S.B.C. 1996, ch. 397 (la « Loi »), ou les règles de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en matière de déclarations inexactes faites par négligence.  </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Selon l’art. 75 de la Loi, la responsabilité du VAC n’est engagée que s’il est établi qu’il a fait à </w:t>
      </w:r>
      <w:proofErr w:type="spellStart"/>
      <w:r w:rsidRPr="00751B87">
        <w:rPr>
          <w:rFonts w:cs="Times New Roman"/>
          <w:szCs w:val="24"/>
          <w:lang w:val="fr-CA"/>
        </w:rPr>
        <w:t>Sharbern</w:t>
      </w:r>
      <w:proofErr w:type="spellEnd"/>
      <w:r w:rsidRPr="00751B87">
        <w:rPr>
          <w:rFonts w:cs="Times New Roman"/>
          <w:szCs w:val="24"/>
          <w:lang w:val="fr-CA"/>
        </w:rPr>
        <w:t xml:space="preserve"> une déclaration erronée sur un point important et que s’il ne peut invoquer le moyen de défense qui y est prévu.  Avec égards, je suis d’avis que la juge </w:t>
      </w:r>
      <w:r>
        <w:rPr>
          <w:rFonts w:cs="Times New Roman"/>
          <w:szCs w:val="24"/>
          <w:lang w:val="fr-CA"/>
        </w:rPr>
        <w:t xml:space="preserve">de première instance </w:t>
      </w:r>
      <w:r w:rsidRPr="00751B87">
        <w:rPr>
          <w:rFonts w:cs="Times New Roman"/>
          <w:szCs w:val="24"/>
          <w:lang w:val="fr-CA"/>
        </w:rPr>
        <w:t>a commis des erreurs de droit en ce qui concerne l’importance des déclarations erronées qu’aurait faites le VAC : elle a conclu à tort que tout conflit d’intérêts était en soi important, fait passer de la partie demanderesse à la défenderesse la charge d’établir l’importance des déclarations en cause, et omis de soupeser l’ensemble des éléments de la preuve se rapportant à cette question.  En outre, elle a commis une erreur en omettant de tenir compte du moyen de défense légal qui s’offrait au VAC.</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Notre Cour a déjà traité de la question de l’importance ainsi que des obligations de communication en droit des valeurs mobilières, mais c’est la première fois qu’elle est appelée à examiner le critère de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en matière d’importance.  Il ne s’agit pas d’un nouveau critère en droit canadien, mais le présent pourvoi nous fournit l’occasion d’en clarifier certains aspects importants.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juge </w:t>
      </w:r>
      <w:r>
        <w:rPr>
          <w:rFonts w:cs="Times New Roman"/>
          <w:szCs w:val="24"/>
          <w:lang w:val="fr-CA"/>
        </w:rPr>
        <w:t xml:space="preserve">de première instance </w:t>
      </w:r>
      <w:r w:rsidRPr="00751B87">
        <w:rPr>
          <w:rFonts w:cs="Times New Roman"/>
          <w:szCs w:val="24"/>
          <w:lang w:val="fr-CA"/>
        </w:rPr>
        <w:t xml:space="preserve">a commis une erreur en appliquant les règles de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en matière de déclarations inexactes faites par négligence, car elle ne s’est pas demandé si le VAC avait manqué à la norme de diligence.  Faute de preuve permettant de conclure que le VAC a effectivement manqué à la norme de diligence, son application des règles de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ne saurait être retenue.</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Pour ce qui est de la deuxième question, il est vrai qu’à titre d’administrateur du Hilton</w:t>
      </w:r>
      <w:r w:rsidR="00224705">
        <w:rPr>
          <w:rFonts w:cs="Times New Roman"/>
          <w:szCs w:val="24"/>
          <w:lang w:val="fr-CA"/>
        </w:rPr>
        <w:t>,</w:t>
      </w:r>
      <w:r w:rsidRPr="00751B87">
        <w:rPr>
          <w:rFonts w:cs="Times New Roman"/>
          <w:szCs w:val="24"/>
          <w:lang w:val="fr-CA"/>
        </w:rPr>
        <w:t xml:space="preserve"> le VAC avait une obligation fiducia</w:t>
      </w:r>
      <w:r>
        <w:rPr>
          <w:rFonts w:cs="Times New Roman"/>
          <w:szCs w:val="24"/>
          <w:lang w:val="fr-CA"/>
        </w:rPr>
        <w:t>ir</w:t>
      </w:r>
      <w:r w:rsidRPr="00751B87">
        <w:rPr>
          <w:rFonts w:cs="Times New Roman"/>
          <w:szCs w:val="24"/>
          <w:lang w:val="fr-CA"/>
        </w:rPr>
        <w:t xml:space="preserve">e envers </w:t>
      </w:r>
      <w:proofErr w:type="spellStart"/>
      <w:r w:rsidRPr="00751B87">
        <w:rPr>
          <w:rFonts w:cs="Times New Roman"/>
          <w:szCs w:val="24"/>
          <w:lang w:val="fr-CA"/>
        </w:rPr>
        <w:t>Sharbern</w:t>
      </w:r>
      <w:proofErr w:type="spellEnd"/>
      <w:r w:rsidRPr="00751B87">
        <w:rPr>
          <w:rFonts w:cs="Times New Roman"/>
          <w:szCs w:val="24"/>
          <w:lang w:val="fr-CA"/>
        </w:rPr>
        <w:t xml:space="preserve">, mais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ne s’est pas acquittée de la charge qui lui incombait d’établir qu’il avait manqué à cette obligation.  Le fiducia</w:t>
      </w:r>
      <w:r>
        <w:rPr>
          <w:rFonts w:cs="Times New Roman"/>
          <w:szCs w:val="24"/>
          <w:lang w:val="fr-CA"/>
        </w:rPr>
        <w:t>ire</w:t>
      </w:r>
      <w:r w:rsidRPr="00751B87">
        <w:rPr>
          <w:rFonts w:cs="Times New Roman"/>
          <w:szCs w:val="24"/>
          <w:lang w:val="fr-CA"/>
        </w:rPr>
        <w:t xml:space="preserve"> est tenu de communiquer tout fait ou renseignement et de signaler l’existence de tout conflit d’intérêts importants.  La situation de conflit d’intérêts dans laquelle se trouvait le VAC du fait qu’il administrait le Hilton ainsi que le Marriott avait déjà été signalée à </w:t>
      </w:r>
      <w:proofErr w:type="spellStart"/>
      <w:r w:rsidRPr="00751B87">
        <w:rPr>
          <w:rFonts w:cs="Times New Roman"/>
          <w:szCs w:val="24"/>
          <w:lang w:val="fr-CA"/>
        </w:rPr>
        <w:t>Sharbern</w:t>
      </w:r>
      <w:proofErr w:type="spellEnd"/>
      <w:r w:rsidRPr="00751B87">
        <w:rPr>
          <w:rFonts w:cs="Times New Roman"/>
          <w:szCs w:val="24"/>
          <w:lang w:val="fr-CA"/>
        </w:rPr>
        <w:t>.  Or, la juge</w:t>
      </w:r>
      <w:r>
        <w:rPr>
          <w:rFonts w:cs="Times New Roman"/>
          <w:szCs w:val="24"/>
          <w:lang w:val="fr-CA"/>
        </w:rPr>
        <w:t xml:space="preserve"> de première instance</w:t>
      </w:r>
      <w:r w:rsidRPr="00751B87">
        <w:rPr>
          <w:rFonts w:cs="Times New Roman"/>
          <w:szCs w:val="24"/>
          <w:lang w:val="fr-CA"/>
        </w:rPr>
        <w:t xml:space="preserve"> a encore là omis de soupeser l’ensemble de la preuve pertinente dont elle disposait relativement à l’importance, et </w:t>
      </w:r>
      <w:proofErr w:type="spellStart"/>
      <w:r w:rsidRPr="00751B87">
        <w:rPr>
          <w:rFonts w:cs="Times New Roman"/>
          <w:szCs w:val="24"/>
          <w:lang w:val="fr-CA"/>
        </w:rPr>
        <w:t>Sharbern</w:t>
      </w:r>
      <w:proofErr w:type="spellEnd"/>
      <w:r w:rsidRPr="00751B87">
        <w:rPr>
          <w:rFonts w:cs="Times New Roman"/>
          <w:szCs w:val="24"/>
          <w:lang w:val="fr-CA"/>
        </w:rPr>
        <w:t xml:space="preserve"> n’a présenté aucune preuve établissant que les ententes financières, qui différaient les unes des autres, constituaient des faits ou des renseignements importants autres que ceux qui avaient déjà été déclarés par le VAC. </w:t>
      </w:r>
    </w:p>
    <w:p w:rsidR="0062110E" w:rsidRPr="00751B87" w:rsidRDefault="0062110E" w:rsidP="00040136">
      <w:pPr>
        <w:pStyle w:val="TitleTitre-AltT"/>
        <w:keepNext/>
        <w:tabs>
          <w:tab w:val="clear" w:pos="360"/>
          <w:tab w:val="left" w:pos="540"/>
        </w:tabs>
        <w:spacing w:before="0"/>
        <w:ind w:left="540" w:hanging="540"/>
        <w:rPr>
          <w:rFonts w:cs="Times New Roman"/>
          <w:szCs w:val="24"/>
          <w:lang w:val="fr-CA"/>
        </w:rPr>
      </w:pPr>
      <w:bookmarkStart w:id="1" w:name="_Toc308445302"/>
      <w:r w:rsidRPr="00751B87">
        <w:rPr>
          <w:rFonts w:cs="Times New Roman"/>
          <w:szCs w:val="24"/>
          <w:lang w:val="fr-CA"/>
        </w:rPr>
        <w:t>II.</w:t>
      </w:r>
      <w:r w:rsidRPr="00751B87">
        <w:rPr>
          <w:rFonts w:cs="Times New Roman"/>
          <w:szCs w:val="24"/>
          <w:lang w:val="fr-CA"/>
        </w:rPr>
        <w:tab/>
      </w:r>
      <w:r w:rsidRPr="00751B87">
        <w:rPr>
          <w:rFonts w:cs="Times New Roman"/>
          <w:szCs w:val="24"/>
          <w:u w:val="single"/>
          <w:lang w:val="fr-CA"/>
        </w:rPr>
        <w:t>Faits</w:t>
      </w:r>
      <w:bookmarkEnd w:id="1"/>
    </w:p>
    <w:p w:rsidR="0062110E" w:rsidRPr="00751B87" w:rsidRDefault="0062110E" w:rsidP="00040136">
      <w:pPr>
        <w:pStyle w:val="TitleTitre-AltT"/>
        <w:keepNext/>
        <w:tabs>
          <w:tab w:val="clear" w:pos="360"/>
          <w:tab w:val="left" w:pos="540"/>
        </w:tabs>
        <w:spacing w:before="0"/>
        <w:ind w:left="540" w:hanging="540"/>
        <w:rPr>
          <w:rFonts w:cs="Times New Roman"/>
          <w:szCs w:val="24"/>
          <w:lang w:val="fr-CA"/>
        </w:rPr>
      </w:pPr>
      <w:bookmarkStart w:id="2" w:name="_Toc308445303"/>
      <w:r w:rsidRPr="00751B87">
        <w:rPr>
          <w:rFonts w:cs="Times New Roman"/>
          <w:szCs w:val="24"/>
          <w:lang w:val="fr-CA"/>
        </w:rPr>
        <w:t>A.</w:t>
      </w:r>
      <w:r w:rsidRPr="00751B87">
        <w:rPr>
          <w:rFonts w:cs="Times New Roman"/>
          <w:szCs w:val="24"/>
          <w:lang w:val="fr-CA"/>
        </w:rPr>
        <w:tab/>
      </w:r>
      <w:r w:rsidRPr="00751B87">
        <w:rPr>
          <w:rFonts w:cs="Times New Roman"/>
          <w:i/>
          <w:szCs w:val="24"/>
          <w:lang w:val="fr-CA"/>
        </w:rPr>
        <w:t>Hilton et Marriott</w:t>
      </w:r>
      <w:bookmarkEnd w:id="2"/>
      <w:r w:rsidRPr="00751B87">
        <w:rPr>
          <w:rFonts w:cs="Times New Roman"/>
          <w:szCs w:val="24"/>
          <w:lang w:val="fr-CA"/>
        </w:rPr>
        <w:t xml:space="preserve">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VAC appartient à la société </w:t>
      </w:r>
      <w:proofErr w:type="spellStart"/>
      <w:r w:rsidRPr="00751B87">
        <w:rPr>
          <w:rFonts w:cs="Times New Roman"/>
          <w:szCs w:val="24"/>
          <w:lang w:val="fr-CA"/>
        </w:rPr>
        <w:t>Larco</w:t>
      </w:r>
      <w:proofErr w:type="spellEnd"/>
      <w:r w:rsidRPr="00751B87">
        <w:rPr>
          <w:rFonts w:cs="Times New Roman"/>
          <w:szCs w:val="24"/>
          <w:lang w:val="fr-CA"/>
        </w:rPr>
        <w:t xml:space="preserve"> </w:t>
      </w:r>
      <w:proofErr w:type="spellStart"/>
      <w:r w:rsidRPr="00751B87">
        <w:rPr>
          <w:rFonts w:cs="Times New Roman"/>
          <w:szCs w:val="24"/>
          <w:lang w:val="fr-CA"/>
        </w:rPr>
        <w:t>Investments</w:t>
      </w:r>
      <w:proofErr w:type="spellEnd"/>
      <w:r w:rsidRPr="00751B87">
        <w:rPr>
          <w:rFonts w:cs="Times New Roman"/>
          <w:szCs w:val="24"/>
          <w:lang w:val="fr-CA"/>
        </w:rPr>
        <w:t xml:space="preserve"> Ltd. (« </w:t>
      </w:r>
      <w:proofErr w:type="spellStart"/>
      <w:r w:rsidRPr="00751B87">
        <w:rPr>
          <w:rFonts w:cs="Times New Roman"/>
          <w:szCs w:val="24"/>
          <w:lang w:val="fr-CA"/>
        </w:rPr>
        <w:t>Larco</w:t>
      </w:r>
      <w:proofErr w:type="spellEnd"/>
      <w:r w:rsidR="00224705">
        <w:rPr>
          <w:rFonts w:cs="Times New Roman"/>
          <w:szCs w:val="24"/>
          <w:lang w:val="fr-CA"/>
        </w:rPr>
        <w:t xml:space="preserve"> </w:t>
      </w:r>
      <w:proofErr w:type="spellStart"/>
      <w:r w:rsidR="00224705">
        <w:rPr>
          <w:rFonts w:cs="Times New Roman"/>
          <w:szCs w:val="24"/>
          <w:lang w:val="fr-CA"/>
        </w:rPr>
        <w:t>Investments</w:t>
      </w:r>
      <w:proofErr w:type="spellEnd"/>
      <w:r w:rsidRPr="00751B87">
        <w:rPr>
          <w:rFonts w:cs="Times New Roman"/>
          <w:szCs w:val="24"/>
          <w:lang w:val="fr-CA"/>
        </w:rPr>
        <w:t xml:space="preserve"> »), qui fait des affaires dans le secteur immobilier et s’intéresse au développement hôtelier.  Vers le milieu des années 1990, le marché hôtelier de Richmond a connu un essor fulgurant.  </w:t>
      </w:r>
      <w:proofErr w:type="spellStart"/>
      <w:r w:rsidRPr="00751B87">
        <w:rPr>
          <w:rFonts w:cs="Times New Roman"/>
          <w:szCs w:val="24"/>
          <w:lang w:val="fr-CA"/>
        </w:rPr>
        <w:t>Larco</w:t>
      </w:r>
      <w:proofErr w:type="spellEnd"/>
      <w:r w:rsidR="00224705">
        <w:rPr>
          <w:rFonts w:cs="Times New Roman"/>
          <w:szCs w:val="24"/>
          <w:lang w:val="fr-CA"/>
        </w:rPr>
        <w:t xml:space="preserve"> </w:t>
      </w:r>
      <w:proofErr w:type="spellStart"/>
      <w:r w:rsidR="00224705">
        <w:rPr>
          <w:rFonts w:cs="Times New Roman"/>
          <w:szCs w:val="24"/>
          <w:lang w:val="fr-CA"/>
        </w:rPr>
        <w:t>Investments</w:t>
      </w:r>
      <w:proofErr w:type="spellEnd"/>
      <w:r w:rsidRPr="00751B87">
        <w:rPr>
          <w:rFonts w:cs="Times New Roman"/>
          <w:szCs w:val="24"/>
          <w:lang w:val="fr-CA"/>
        </w:rPr>
        <w:t xml:space="preserve">, qui possédait déjà le Best Western Richmond Inn dans ce marché, a décidé de développer et d’exploiter deux autres hôtels sur le même terrain, et c’est à cette fin qu’elle a constitué le VAC.  </w:t>
      </w:r>
      <w:r w:rsidRPr="00751B87">
        <w:rPr>
          <w:rFonts w:cs="Times New Roman"/>
          <w:szCs w:val="24"/>
          <w:lang w:val="fr-CA"/>
        </w:rPr>
        <w:lastRenderedPageBreak/>
        <w:t xml:space="preserve">L’hôtel Marriott, une copropriété hôtelière lancée sur le marché par le biais d’une notice d’offre et d’un document d’information publié le 11 septembre 1996, a ouvert ses portes en juin 1998.  Une deuxième copropriété hôtelière, identique à la première, a été construite puis lancée sur le marché par le biais du document du Hilton, publié le 3 février 1998.  Elle a ouvert ses portes sous la bannière Hilton en juin 1999.  Il s’agissait de deux hôtels essentiellement identiques qui étaient reliés par un </w:t>
      </w:r>
      <w:proofErr w:type="spellStart"/>
      <w:r w:rsidRPr="00751B87">
        <w:rPr>
          <w:rFonts w:cs="Times New Roman"/>
          <w:szCs w:val="24"/>
          <w:lang w:val="fr-CA"/>
        </w:rPr>
        <w:t>hall</w:t>
      </w:r>
      <w:r w:rsidRPr="00751B87">
        <w:rPr>
          <w:rFonts w:cs="Times New Roman"/>
          <w:szCs w:val="24"/>
          <w:lang w:val="fr-CA"/>
        </w:rPr>
        <w:noBreakHyphen/>
        <w:t>promenade</w:t>
      </w:r>
      <w:proofErr w:type="spellEnd"/>
      <w:r w:rsidRPr="00751B87">
        <w:rPr>
          <w:rFonts w:cs="Times New Roman"/>
          <w:szCs w:val="24"/>
          <w:lang w:val="fr-CA"/>
        </w:rPr>
        <w:t xml:space="preserve"> abritant des boutiques et offrant certains services.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Les acquéreurs d’unités dans l’un et l’autre hôtel ont conclu avec le VAC des ententes distinctes en vue de l’administration de chaque hôtel qui lui confiaient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en exclusivité pour une période de 20 ans; ces ententes étaient assorties d’une option de renouvellement.  En contrepartie, le VAC s’engageait notamment à déployer des efforts raisonnables sur le plan commercial pour louer les unités, maximiser la part proportionnelle des fonds à remettre à chaque propriétaire, et fidèlement s’acquitter de ses obligations et contrôler et diriger les activités de l’hôtel.</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Les deux copropriétés hôtelières ont été lancées sur le marché et mises en valeur à des époques différentes, ce qui a été à l’origine des différences dans les ententes financières conclues avec les acheteurs d’unités de l’un et l’autre hôtel.  Comme on ignorait à l’époque si une copropriété hôtelière en milieu urbain intéresserait d’éventuels acquéreurs du seul point de vue des rentrées de fonds, le VAC a offert aux acheteurs d’unités du Marriott une garantie au titre des revenus bruts d’exploitation.  Ainsi, pour les cinq premières années d’exploitation de l’hôtel, </w:t>
      </w:r>
      <w:r w:rsidRPr="00751B87">
        <w:rPr>
          <w:rFonts w:cs="Times New Roman"/>
          <w:szCs w:val="24"/>
          <w:lang w:val="fr-CA"/>
        </w:rPr>
        <w:lastRenderedPageBreak/>
        <w:t>le VAC garantissait pour chaque unité un rendement brut équivalent à 12 </w:t>
      </w:r>
      <w:r w:rsidR="00224705">
        <w:rPr>
          <w:rFonts w:cs="Times New Roman"/>
          <w:szCs w:val="24"/>
          <w:lang w:val="fr-CA"/>
        </w:rPr>
        <w:t>p. 100</w:t>
      </w:r>
      <w:r w:rsidRPr="00751B87">
        <w:rPr>
          <w:rFonts w:cs="Times New Roman"/>
          <w:szCs w:val="24"/>
          <w:lang w:val="fr-CA"/>
        </w:rPr>
        <w:t xml:space="preserve"> de son prix d’achat, de sorte que la part proportionnelle des fonds à remettre annuellement à chaque propriétaire représentait un rendement net prévu de 8,29 </w:t>
      </w:r>
      <w:r w:rsidR="00224705">
        <w:rPr>
          <w:rFonts w:cs="Times New Roman"/>
          <w:szCs w:val="24"/>
          <w:lang w:val="fr-CA"/>
        </w:rPr>
        <w:t>p. 100,</w:t>
      </w:r>
      <w:r w:rsidRPr="00751B87">
        <w:rPr>
          <w:rFonts w:cs="Times New Roman"/>
          <w:szCs w:val="24"/>
          <w:lang w:val="fr-CA"/>
        </w:rPr>
        <w:t xml:space="preserve"> déduction faite des dépenses d’exploitation projetées et des autres frais.</w:t>
      </w:r>
    </w:p>
    <w:p w:rsidR="0062110E" w:rsidRPr="00751B87" w:rsidRDefault="0062110E" w:rsidP="0062110E">
      <w:pPr>
        <w:pStyle w:val="ParaNoNdepar-AltN"/>
        <w:rPr>
          <w:rFonts w:cs="Times New Roman"/>
          <w:szCs w:val="24"/>
          <w:lang w:val="fr-CA"/>
        </w:rPr>
      </w:pPr>
      <w:r w:rsidRPr="00751B87">
        <w:rPr>
          <w:rFonts w:cs="Times New Roman"/>
          <w:szCs w:val="24"/>
          <w:lang w:val="fr-CA"/>
        </w:rPr>
        <w:t>Selon l’entente conclue entre les propriétaires du Marriott et le VAC en vue de l’administration de cet hôtel, des frais d’administ</w:t>
      </w:r>
      <w:r w:rsidR="00224705">
        <w:rPr>
          <w:rFonts w:cs="Times New Roman"/>
          <w:szCs w:val="24"/>
          <w:lang w:val="fr-CA"/>
        </w:rPr>
        <w:t>ration mensuels équivalant à 5 p. 100</w:t>
      </w:r>
      <w:r w:rsidRPr="00751B87">
        <w:rPr>
          <w:rFonts w:cs="Times New Roman"/>
          <w:szCs w:val="24"/>
          <w:lang w:val="fr-CA"/>
        </w:rPr>
        <w:t xml:space="preserve"> des revenus de location bruts ainsi qu’une prime </w:t>
      </w:r>
      <w:r w:rsidR="00224705">
        <w:rPr>
          <w:rFonts w:cs="Times New Roman"/>
          <w:szCs w:val="24"/>
          <w:lang w:val="fr-CA"/>
        </w:rPr>
        <w:t>de performance équivalant à 25 p. 100</w:t>
      </w:r>
      <w:r w:rsidRPr="00751B87">
        <w:rPr>
          <w:rFonts w:cs="Times New Roman"/>
          <w:szCs w:val="24"/>
          <w:lang w:val="fr-CA"/>
        </w:rPr>
        <w:t xml:space="preserve"> du montant par lequel le rendement </w:t>
      </w:r>
      <w:r w:rsidR="00622267">
        <w:rPr>
          <w:rFonts w:cs="Times New Roman"/>
          <w:szCs w:val="24"/>
          <w:lang w:val="fr-CA"/>
        </w:rPr>
        <w:t xml:space="preserve">annuel </w:t>
      </w:r>
      <w:r w:rsidRPr="00751B87">
        <w:rPr>
          <w:rFonts w:cs="Times New Roman"/>
          <w:szCs w:val="24"/>
          <w:lang w:val="fr-CA"/>
        </w:rPr>
        <w:t>net du capital investi des propriétaires dépassait 8 </w:t>
      </w:r>
      <w:r w:rsidR="00224705">
        <w:rPr>
          <w:rFonts w:cs="Times New Roman"/>
          <w:szCs w:val="24"/>
          <w:lang w:val="fr-CA"/>
        </w:rPr>
        <w:t>p. 100</w:t>
      </w:r>
      <w:r w:rsidRPr="00751B87">
        <w:rPr>
          <w:rFonts w:cs="Times New Roman"/>
          <w:szCs w:val="24"/>
          <w:lang w:val="fr-CA"/>
        </w:rPr>
        <w:t xml:space="preserve"> étaient payés au VAC.</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VAC a témoigné qu’il avait d’abord eu l’intention de promettre un taux de rendement garanti aux investisseurs dans le Hilton, mais l’avocat de </w:t>
      </w:r>
      <w:proofErr w:type="spellStart"/>
      <w:r w:rsidRPr="00751B87">
        <w:rPr>
          <w:rFonts w:cs="Times New Roman"/>
          <w:szCs w:val="24"/>
          <w:lang w:val="fr-CA"/>
        </w:rPr>
        <w:t>Larco</w:t>
      </w:r>
      <w:proofErr w:type="spellEnd"/>
      <w:r w:rsidR="00224705">
        <w:rPr>
          <w:rFonts w:cs="Times New Roman"/>
          <w:szCs w:val="24"/>
          <w:lang w:val="fr-CA"/>
        </w:rPr>
        <w:t xml:space="preserve"> </w:t>
      </w:r>
      <w:proofErr w:type="spellStart"/>
      <w:r w:rsidR="00224705">
        <w:rPr>
          <w:rFonts w:cs="Times New Roman"/>
          <w:szCs w:val="24"/>
          <w:lang w:val="fr-CA"/>
        </w:rPr>
        <w:t>Investments</w:t>
      </w:r>
      <w:proofErr w:type="spellEnd"/>
      <w:r w:rsidRPr="00751B87">
        <w:rPr>
          <w:rFonts w:cs="Times New Roman"/>
          <w:szCs w:val="24"/>
          <w:lang w:val="fr-CA"/>
        </w:rPr>
        <w:t xml:space="preserve"> spécialiste des valeurs mobilières l’a informé que certaines modifications apportées à la réglementation en matière de valeurs mobilières l’empêchaient de faire mention d’une garantie dans le document du Hilton.  Le VAC a donc décidé de mettre le Hilton sur le marché en se fondant plutôt sur des projections.  Pour bonifier le rendement dont bénéficieraient les éventuels acquéreurs des unités du Hilton, le VAC a augmenté la part des revenus qu’ils recevraient en y ajoutant ceux provenant de la vente d’aliments et de boissons (que se réservait le VAC dans le cas du Marriott), en réduisant à 3 </w:t>
      </w:r>
      <w:r w:rsidR="006B6E7B">
        <w:rPr>
          <w:rFonts w:cs="Times New Roman"/>
          <w:szCs w:val="24"/>
          <w:lang w:val="fr-CA"/>
        </w:rPr>
        <w:t>p. 100</w:t>
      </w:r>
      <w:r w:rsidR="006B6E7B" w:rsidRPr="00751B87">
        <w:rPr>
          <w:rFonts w:cs="Times New Roman"/>
          <w:szCs w:val="24"/>
          <w:lang w:val="fr-CA"/>
        </w:rPr>
        <w:t xml:space="preserve"> </w:t>
      </w:r>
      <w:r w:rsidRPr="00751B87">
        <w:rPr>
          <w:rFonts w:cs="Times New Roman"/>
          <w:szCs w:val="24"/>
          <w:lang w:val="fr-CA"/>
        </w:rPr>
        <w:t>les frais d’administration à lui payer aux termes de l’entente sur l’administration des biens du Hilton et en omettant du calcul les dépenses liées à la location du hall de réception de l’hôtel.</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Le rendement brut garanti offert aux propriétaires du Marriott, et les revenus de location bruts de 5 </w:t>
      </w:r>
      <w:r w:rsidR="00224705">
        <w:rPr>
          <w:rFonts w:cs="Times New Roman"/>
          <w:szCs w:val="24"/>
          <w:lang w:val="fr-CA"/>
        </w:rPr>
        <w:t>p. 100</w:t>
      </w:r>
      <w:r w:rsidRPr="00751B87">
        <w:rPr>
          <w:rFonts w:cs="Times New Roman"/>
          <w:szCs w:val="24"/>
          <w:lang w:val="fr-CA"/>
        </w:rPr>
        <w:t xml:space="preserve"> ainsi que la prime de performance qui constituaient les honoraires du VAC pour l’administration de cet hôtel, par opposition a</w:t>
      </w:r>
      <w:r w:rsidR="00224705">
        <w:rPr>
          <w:rFonts w:cs="Times New Roman"/>
          <w:szCs w:val="24"/>
          <w:lang w:val="fr-CA"/>
        </w:rPr>
        <w:t>ux frais d’administration de 3 p. 100</w:t>
      </w:r>
      <w:r w:rsidRPr="00751B87">
        <w:rPr>
          <w:rFonts w:cs="Times New Roman"/>
          <w:szCs w:val="24"/>
          <w:lang w:val="fr-CA"/>
        </w:rPr>
        <w:t xml:space="preserve"> payés au VAC pour l’administration du Hilton (collectivement appelés les « différences de rémunération »), sont les éléments des ententes financières conclues avec les acquéreurs des unités de l’un et l’autre hôtel qui diffèrent et sont au cœur même de la thèse que </w:t>
      </w:r>
      <w:proofErr w:type="spellStart"/>
      <w:r w:rsidRPr="00751B87">
        <w:rPr>
          <w:rFonts w:cs="Times New Roman"/>
          <w:szCs w:val="24"/>
          <w:lang w:val="fr-CA"/>
        </w:rPr>
        <w:t>Sharbern</w:t>
      </w:r>
      <w:proofErr w:type="spellEnd"/>
      <w:r w:rsidRPr="00751B87">
        <w:rPr>
          <w:rFonts w:cs="Times New Roman"/>
          <w:szCs w:val="24"/>
          <w:lang w:val="fr-CA"/>
        </w:rPr>
        <w:t xml:space="preserve"> a fait valoir en appel.</w:t>
      </w:r>
    </w:p>
    <w:p w:rsidR="0062110E" w:rsidRPr="00751B87" w:rsidRDefault="0062110E" w:rsidP="0062110E">
      <w:pPr>
        <w:pStyle w:val="ParaNoNdepar-AltN"/>
        <w:rPr>
          <w:rFonts w:cs="Times New Roman"/>
          <w:szCs w:val="24"/>
          <w:lang w:val="fr-CA"/>
        </w:rPr>
      </w:pPr>
      <w:r w:rsidRPr="00751B87">
        <w:rPr>
          <w:rFonts w:cs="Times New Roman"/>
          <w:szCs w:val="24"/>
          <w:lang w:val="fr-CA"/>
        </w:rPr>
        <w:t>Le document du Hilton mentionnait certes que le VAC était propriétaire du Best Western Richmond Inn et promoteur de l’hôtel voisin, le Marriott, mais il ne faisait pas état des différences de rémunération.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mise sur le marché des unités du Hilton n’a pas connu le même succès que celle des unités du Marriott, qui se sont vendues en quelques heures seulement.  À un certain moment, le VAC a même décidé de conserver les 24 dernières unités du Hilton plutôt que de continuer à engager d’importants frais de marketing.  En bout de ligne, ni l’un ni l’autre hôtel n’a atteint le rendement prévu.  En 2001, le marché hôtelier de Richmond était devenu l’un des plus faibles au Canada.  Par surcroît, le marché hôtelier a été davantage affaibli par les événements du 11 septembre 2001.  Le Marriott n’a jamais atteint un taux de rendement brut équivalant à 12 </w:t>
      </w:r>
      <w:r w:rsidR="00224705">
        <w:rPr>
          <w:rFonts w:cs="Times New Roman"/>
          <w:szCs w:val="24"/>
          <w:lang w:val="fr-CA"/>
        </w:rPr>
        <w:t>p. 100</w:t>
      </w:r>
      <w:r w:rsidRPr="00751B87">
        <w:rPr>
          <w:rFonts w:cs="Times New Roman"/>
          <w:szCs w:val="24"/>
          <w:lang w:val="fr-CA"/>
        </w:rPr>
        <w:t xml:space="preserve"> du capital investi lors de l’une ou l’autre des cinq années visées par la garantie, ce qui, aux termes de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imposait au VAC une dette de plus de 13 millions de dollars, que </w:t>
      </w:r>
      <w:proofErr w:type="spellStart"/>
      <w:r w:rsidRPr="00751B87">
        <w:rPr>
          <w:rFonts w:cs="Times New Roman"/>
          <w:szCs w:val="24"/>
          <w:lang w:val="fr-CA"/>
        </w:rPr>
        <w:t>Larco</w:t>
      </w:r>
      <w:proofErr w:type="spellEnd"/>
      <w:r w:rsidR="00224705">
        <w:rPr>
          <w:rFonts w:cs="Times New Roman"/>
          <w:szCs w:val="24"/>
          <w:lang w:val="fr-CA"/>
        </w:rPr>
        <w:t xml:space="preserve"> </w:t>
      </w:r>
      <w:proofErr w:type="spellStart"/>
      <w:r w:rsidR="00224705">
        <w:rPr>
          <w:rFonts w:cs="Times New Roman"/>
          <w:szCs w:val="24"/>
          <w:lang w:val="fr-CA"/>
        </w:rPr>
        <w:t>Investments</w:t>
      </w:r>
      <w:proofErr w:type="spellEnd"/>
      <w:r w:rsidRPr="00751B87">
        <w:rPr>
          <w:rFonts w:cs="Times New Roman"/>
          <w:szCs w:val="24"/>
          <w:lang w:val="fr-CA"/>
        </w:rPr>
        <w:t xml:space="preserve"> a finalement épongée.  Loin de bénéfic</w:t>
      </w:r>
      <w:r w:rsidR="00224705">
        <w:rPr>
          <w:rFonts w:cs="Times New Roman"/>
          <w:szCs w:val="24"/>
          <w:lang w:val="fr-CA"/>
        </w:rPr>
        <w:t xml:space="preserve">ier du rendement prévu </w:t>
      </w:r>
      <w:r w:rsidR="00224705">
        <w:rPr>
          <w:rFonts w:cs="Times New Roman"/>
          <w:szCs w:val="24"/>
          <w:lang w:val="fr-CA"/>
        </w:rPr>
        <w:lastRenderedPageBreak/>
        <w:t>de 16,6 p. 100</w:t>
      </w:r>
      <w:r w:rsidRPr="00751B87">
        <w:rPr>
          <w:rFonts w:cs="Times New Roman"/>
          <w:szCs w:val="24"/>
          <w:lang w:val="fr-CA"/>
        </w:rPr>
        <w:t>, les propriétaires du Hilton ont, quant à eux, plutôt subi des pertes, le Hilton n’atteignant pas un aussi bon rendement que le Marriott.</w:t>
      </w:r>
    </w:p>
    <w:p w:rsidR="0062110E" w:rsidRPr="00751B87" w:rsidRDefault="0062110E" w:rsidP="00040136">
      <w:pPr>
        <w:pStyle w:val="TitleTitre-AltT"/>
        <w:keepNext/>
        <w:tabs>
          <w:tab w:val="clear" w:pos="360"/>
          <w:tab w:val="left" w:pos="540"/>
        </w:tabs>
        <w:spacing w:before="0"/>
        <w:ind w:left="540" w:hanging="540"/>
        <w:rPr>
          <w:rFonts w:cs="Times New Roman"/>
          <w:szCs w:val="24"/>
          <w:lang w:val="fr-CA"/>
        </w:rPr>
      </w:pPr>
      <w:bookmarkStart w:id="3" w:name="_Toc308445304"/>
      <w:r w:rsidRPr="00751B87">
        <w:rPr>
          <w:rFonts w:cs="Times New Roman"/>
          <w:szCs w:val="24"/>
          <w:lang w:val="fr-CA"/>
        </w:rPr>
        <w:t>B.</w:t>
      </w:r>
      <w:r w:rsidRPr="00751B87">
        <w:rPr>
          <w:rFonts w:cs="Times New Roman"/>
          <w:szCs w:val="24"/>
          <w:lang w:val="fr-CA"/>
        </w:rPr>
        <w:tab/>
      </w:r>
      <w:r w:rsidRPr="00751B87">
        <w:rPr>
          <w:rFonts w:cs="Times New Roman"/>
          <w:i/>
          <w:szCs w:val="24"/>
          <w:lang w:val="fr-CA"/>
        </w:rPr>
        <w:t>Contexte procédural</w:t>
      </w:r>
      <w:bookmarkEnd w:id="3"/>
    </w:p>
    <w:p w:rsidR="0062110E" w:rsidRPr="00751B87" w:rsidRDefault="0062110E" w:rsidP="0062110E">
      <w:pPr>
        <w:pStyle w:val="ParaNoNdepar-AltN"/>
        <w:rPr>
          <w:rFonts w:cs="Times New Roman"/>
          <w:szCs w:val="24"/>
          <w:lang w:val="fr-CA"/>
        </w:rPr>
      </w:pPr>
      <w:r>
        <w:rPr>
          <w:rFonts w:cs="Times New Roman"/>
          <w:szCs w:val="24"/>
          <w:lang w:val="fr-CA"/>
        </w:rPr>
        <w:t>Le 16 </w:t>
      </w:r>
      <w:r w:rsidRPr="00751B87">
        <w:rPr>
          <w:rFonts w:cs="Times New Roman"/>
          <w:szCs w:val="24"/>
          <w:lang w:val="fr-CA"/>
        </w:rPr>
        <w:t xml:space="preserve">juin 2003, </w:t>
      </w:r>
      <w:proofErr w:type="spellStart"/>
      <w:r w:rsidRPr="00751B87">
        <w:rPr>
          <w:rFonts w:cs="Times New Roman"/>
          <w:szCs w:val="24"/>
          <w:lang w:val="fr-CA"/>
        </w:rPr>
        <w:t>Sharbern</w:t>
      </w:r>
      <w:proofErr w:type="spellEnd"/>
      <w:r w:rsidRPr="00751B87">
        <w:rPr>
          <w:rFonts w:cs="Times New Roman"/>
          <w:szCs w:val="24"/>
          <w:lang w:val="fr-CA"/>
        </w:rPr>
        <w:t xml:space="preserve"> a intenté une action contre le VAC, HVS International </w:t>
      </w:r>
      <w:r>
        <w:rPr>
          <w:rFonts w:cs="Times New Roman"/>
          <w:szCs w:val="24"/>
          <w:lang w:val="fr-CA"/>
        </w:rPr>
        <w:t>—</w:t>
      </w:r>
      <w:r w:rsidRPr="00751B87">
        <w:rPr>
          <w:rFonts w:cs="Times New Roman"/>
          <w:szCs w:val="24"/>
          <w:lang w:val="fr-CA"/>
        </w:rPr>
        <w:t xml:space="preserve"> Canada (« HVS ») et </w:t>
      </w:r>
      <w:proofErr w:type="spellStart"/>
      <w:r w:rsidRPr="00751B87">
        <w:rPr>
          <w:rFonts w:cs="Times New Roman"/>
          <w:szCs w:val="24"/>
          <w:lang w:val="fr-CA"/>
        </w:rPr>
        <w:t>Larco</w:t>
      </w:r>
      <w:proofErr w:type="spellEnd"/>
      <w:r w:rsidRPr="00751B87">
        <w:rPr>
          <w:rFonts w:cs="Times New Roman"/>
          <w:szCs w:val="24"/>
          <w:lang w:val="fr-CA"/>
        </w:rPr>
        <w:t xml:space="preserve"> </w:t>
      </w:r>
      <w:proofErr w:type="spellStart"/>
      <w:r w:rsidRPr="00751B87">
        <w:rPr>
          <w:rFonts w:cs="Times New Roman"/>
          <w:szCs w:val="24"/>
          <w:lang w:val="fr-CA"/>
        </w:rPr>
        <w:t>Hospitality</w:t>
      </w:r>
      <w:proofErr w:type="spellEnd"/>
      <w:r w:rsidRPr="00751B87">
        <w:rPr>
          <w:rFonts w:cs="Times New Roman"/>
          <w:szCs w:val="24"/>
          <w:lang w:val="fr-CA"/>
        </w:rPr>
        <w:t xml:space="preserve"> Management Inc. (anciennement appelée HMS </w:t>
      </w:r>
      <w:proofErr w:type="spellStart"/>
      <w:r w:rsidRPr="00751B87">
        <w:rPr>
          <w:rFonts w:cs="Times New Roman"/>
          <w:szCs w:val="24"/>
          <w:lang w:val="fr-CA"/>
        </w:rPr>
        <w:t>Hospitality</w:t>
      </w:r>
      <w:proofErr w:type="spellEnd"/>
      <w:r w:rsidRPr="00751B87">
        <w:rPr>
          <w:rFonts w:cs="Times New Roman"/>
          <w:szCs w:val="24"/>
          <w:lang w:val="fr-CA"/>
        </w:rPr>
        <w:t xml:space="preserve"> Management Services Ltd. (« HMS »)).  HVS était la société qui avait fait les projections financières figurant dans le document du Hilton.  HMS, quant à elle, était une société affiliée au VAC qui s’occupait de la gestion quotidienne du Hilton, du Marriott et du Best Western Richmond Inn.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L’action de </w:t>
      </w:r>
      <w:proofErr w:type="spellStart"/>
      <w:r w:rsidRPr="00751B87">
        <w:rPr>
          <w:rFonts w:cs="Times New Roman"/>
          <w:szCs w:val="24"/>
          <w:lang w:val="fr-CA"/>
        </w:rPr>
        <w:t>Sharbern</w:t>
      </w:r>
      <w:proofErr w:type="spellEnd"/>
      <w:r w:rsidRPr="00751B87">
        <w:rPr>
          <w:rFonts w:cs="Times New Roman"/>
          <w:szCs w:val="24"/>
          <w:lang w:val="fr-CA"/>
        </w:rPr>
        <w:t xml:space="preserve"> a été autorisée, en application de la </w:t>
      </w:r>
      <w:r w:rsidRPr="00751B87">
        <w:rPr>
          <w:rFonts w:cs="Times New Roman"/>
          <w:i/>
          <w:szCs w:val="24"/>
          <w:lang w:val="fr-CA"/>
        </w:rPr>
        <w:t xml:space="preserve">Class </w:t>
      </w:r>
      <w:proofErr w:type="spellStart"/>
      <w:r w:rsidRPr="00751B87">
        <w:rPr>
          <w:rFonts w:cs="Times New Roman"/>
          <w:i/>
          <w:szCs w:val="24"/>
          <w:lang w:val="fr-CA"/>
        </w:rPr>
        <w:t>Proceedings</w:t>
      </w:r>
      <w:proofErr w:type="spellEnd"/>
      <w:r w:rsidRPr="00751B87">
        <w:rPr>
          <w:rFonts w:cs="Times New Roman"/>
          <w:i/>
          <w:szCs w:val="24"/>
          <w:lang w:val="fr-CA"/>
        </w:rPr>
        <w:t xml:space="preserve"> </w:t>
      </w:r>
      <w:proofErr w:type="spellStart"/>
      <w:r w:rsidRPr="00751B87">
        <w:rPr>
          <w:rFonts w:cs="Times New Roman"/>
          <w:i/>
          <w:szCs w:val="24"/>
          <w:lang w:val="fr-CA"/>
        </w:rPr>
        <w:t>Act</w:t>
      </w:r>
      <w:proofErr w:type="spellEnd"/>
      <w:r w:rsidRPr="00751B87">
        <w:rPr>
          <w:rFonts w:cs="Times New Roman"/>
          <w:szCs w:val="24"/>
          <w:lang w:val="fr-CA"/>
        </w:rPr>
        <w:t>, R.S.B.C. 1996, ch. 50, en tant que recours collectif intenté pour le compte d’environ 200 propriétaires d’unités (</w:t>
      </w:r>
      <w:proofErr w:type="spellStart"/>
      <w:r w:rsidRPr="00751B87">
        <w:rPr>
          <w:rFonts w:cs="Times New Roman"/>
          <w:i/>
          <w:szCs w:val="24"/>
          <w:lang w:val="fr-CA"/>
        </w:rPr>
        <w:t>Sharbern</w:t>
      </w:r>
      <w:proofErr w:type="spellEnd"/>
      <w:r w:rsidRPr="00751B87">
        <w:rPr>
          <w:rFonts w:cs="Times New Roman"/>
          <w:i/>
          <w:szCs w:val="24"/>
          <w:lang w:val="fr-CA"/>
        </w:rPr>
        <w:t xml:space="preserve"> Holding Inc. c. Vancouver </w:t>
      </w:r>
      <w:proofErr w:type="spellStart"/>
      <w:r w:rsidRPr="00751B87">
        <w:rPr>
          <w:rFonts w:cs="Times New Roman"/>
          <w:i/>
          <w:szCs w:val="24"/>
          <w:lang w:val="fr-CA"/>
        </w:rPr>
        <w:t>Airport</w:t>
      </w:r>
      <w:proofErr w:type="spellEnd"/>
      <w:r w:rsidRPr="00751B87">
        <w:rPr>
          <w:rFonts w:cs="Times New Roman"/>
          <w:i/>
          <w:szCs w:val="24"/>
          <w:lang w:val="fr-CA"/>
        </w:rPr>
        <w:t xml:space="preserve"> Centre Ltd.</w:t>
      </w:r>
      <w:r w:rsidRPr="00751B87">
        <w:rPr>
          <w:rFonts w:cs="Times New Roman"/>
          <w:szCs w:val="24"/>
          <w:lang w:val="fr-CA"/>
        </w:rPr>
        <w:t>, 2005 BCSC 232 (</w:t>
      </w:r>
      <w:proofErr w:type="spellStart"/>
      <w:r w:rsidRPr="00751B87">
        <w:rPr>
          <w:rFonts w:cs="Times New Roman"/>
          <w:szCs w:val="24"/>
          <w:lang w:val="fr-CA"/>
        </w:rPr>
        <w:t>CanLII</w:t>
      </w:r>
      <w:proofErr w:type="spellEnd"/>
      <w:r w:rsidRPr="00751B87">
        <w:rPr>
          <w:rFonts w:cs="Times New Roman"/>
          <w:szCs w:val="24"/>
          <w:lang w:val="fr-CA"/>
        </w:rPr>
        <w:t xml:space="preserve">), </w:t>
      </w:r>
      <w:proofErr w:type="spellStart"/>
      <w:r w:rsidRPr="00751B87">
        <w:rPr>
          <w:rFonts w:cs="Times New Roman"/>
          <w:szCs w:val="24"/>
          <w:lang w:val="fr-CA"/>
        </w:rPr>
        <w:t>conf</w:t>
      </w:r>
      <w:proofErr w:type="spellEnd"/>
      <w:r w:rsidRPr="00751B87">
        <w:rPr>
          <w:rFonts w:cs="Times New Roman"/>
          <w:szCs w:val="24"/>
          <w:lang w:val="fr-CA"/>
        </w:rPr>
        <w:t xml:space="preserve">. par 2006 BCCA 96, 223 B.C.A.C. 80).  En tout, 24 questions communes en matière de responsabilité ont été certifiées.  La juge </w:t>
      </w:r>
      <w:r>
        <w:rPr>
          <w:rFonts w:cs="Times New Roman"/>
          <w:szCs w:val="24"/>
          <w:lang w:val="fr-CA"/>
        </w:rPr>
        <w:t xml:space="preserve">de première instance </w:t>
      </w:r>
      <w:r w:rsidRPr="00751B87">
        <w:rPr>
          <w:rFonts w:cs="Times New Roman"/>
          <w:szCs w:val="24"/>
          <w:lang w:val="fr-CA"/>
        </w:rPr>
        <w:t>a résumé celles de ces questions qui, selon elle, étaient [</w:t>
      </w:r>
      <w:r w:rsidRPr="00751B87">
        <w:rPr>
          <w:rFonts w:cs="Times New Roman"/>
          <w:smallCaps/>
          <w:szCs w:val="24"/>
          <w:lang w:val="fr-CA"/>
        </w:rPr>
        <w:t>traduction</w:t>
      </w:r>
      <w:r w:rsidRPr="00751B87">
        <w:rPr>
          <w:rFonts w:cs="Times New Roman"/>
          <w:szCs w:val="24"/>
          <w:lang w:val="fr-CA"/>
        </w:rPr>
        <w:t>] «  au cœur du litige » (</w:t>
      </w:r>
      <w:r w:rsidR="00622267">
        <w:rPr>
          <w:rFonts w:cs="Times New Roman"/>
          <w:szCs w:val="24"/>
          <w:lang w:val="fr-CA"/>
        </w:rPr>
        <w:t xml:space="preserve">2007 BCSC 1262, 38 B.L.R. (4th) 171, </w:t>
      </w:r>
      <w:r w:rsidRPr="00751B87">
        <w:rPr>
          <w:rFonts w:cs="Times New Roman"/>
          <w:szCs w:val="24"/>
          <w:lang w:val="fr-CA"/>
        </w:rPr>
        <w:t>par. 10 et annexe</w:t>
      </w:r>
      <w:r w:rsidR="00622267">
        <w:rPr>
          <w:rFonts w:cs="Times New Roman"/>
          <w:szCs w:val="24"/>
          <w:lang w:val="fr-CA"/>
        </w:rPr>
        <w:t xml:space="preserve"> A</w:t>
      </w:r>
      <w:r w:rsidRPr="00751B87">
        <w:rPr>
          <w:rFonts w:cs="Times New Roman"/>
          <w:szCs w:val="24"/>
          <w:lang w:val="fr-CA"/>
        </w:rPr>
        <w:t xml:space="preserve">), et que je formulerais ainsi : </w:t>
      </w:r>
    </w:p>
    <w:p w:rsidR="0062110E" w:rsidRPr="00751B87" w:rsidRDefault="0062110E" w:rsidP="009D1C6C">
      <w:pPr>
        <w:pStyle w:val="Citation-AltC"/>
        <w:numPr>
          <w:ilvl w:val="0"/>
          <w:numId w:val="10"/>
        </w:numPr>
        <w:tabs>
          <w:tab w:val="left" w:pos="540"/>
        </w:tabs>
        <w:spacing w:after="240" w:line="480" w:lineRule="auto"/>
        <w:ind w:left="540" w:hanging="540"/>
        <w:contextualSpacing w:val="0"/>
        <w:rPr>
          <w:lang w:val="fr-CA"/>
        </w:rPr>
      </w:pPr>
      <w:r w:rsidRPr="00751B87">
        <w:rPr>
          <w:lang w:val="fr-CA"/>
        </w:rPr>
        <w:lastRenderedPageBreak/>
        <w:t xml:space="preserve">Les projections financières de HVS </w:t>
      </w:r>
      <w:proofErr w:type="spellStart"/>
      <w:r w:rsidRPr="00751B87">
        <w:rPr>
          <w:lang w:val="fr-CA"/>
        </w:rPr>
        <w:t>constituaient</w:t>
      </w:r>
      <w:r w:rsidRPr="00751B87">
        <w:rPr>
          <w:lang w:val="fr-CA"/>
        </w:rPr>
        <w:noBreakHyphen/>
        <w:t>elles</w:t>
      </w:r>
      <w:proofErr w:type="spellEnd"/>
      <w:r w:rsidRPr="00751B87">
        <w:rPr>
          <w:lang w:val="fr-CA"/>
        </w:rPr>
        <w:t xml:space="preserve"> des déclarations inexactes faites par négligence, et les prévisions du VAC quant au rendement du capital investi qui figuraient dans le document du Hilton </w:t>
      </w:r>
      <w:proofErr w:type="spellStart"/>
      <w:r w:rsidRPr="00751B87">
        <w:rPr>
          <w:lang w:val="fr-CA"/>
        </w:rPr>
        <w:t>constituaient</w:t>
      </w:r>
      <w:r w:rsidRPr="00751B87">
        <w:rPr>
          <w:lang w:val="fr-CA"/>
        </w:rPr>
        <w:noBreakHyphen/>
        <w:t>elles</w:t>
      </w:r>
      <w:proofErr w:type="spellEnd"/>
      <w:r w:rsidRPr="00751B87">
        <w:rPr>
          <w:lang w:val="fr-CA"/>
        </w:rPr>
        <w:t xml:space="preserve"> des déclarations inexactes frauduleuses ou faites par négligence?</w:t>
      </w:r>
    </w:p>
    <w:p w:rsidR="0062110E" w:rsidRPr="00751B87" w:rsidRDefault="0062110E" w:rsidP="009D1C6C">
      <w:pPr>
        <w:pStyle w:val="Citation-AltC"/>
        <w:numPr>
          <w:ilvl w:val="0"/>
          <w:numId w:val="10"/>
        </w:numPr>
        <w:tabs>
          <w:tab w:val="left" w:pos="540"/>
        </w:tabs>
        <w:spacing w:after="240" w:line="480" w:lineRule="auto"/>
        <w:ind w:left="540" w:hanging="540"/>
        <w:contextualSpacing w:val="0"/>
        <w:rPr>
          <w:lang w:val="fr-CA"/>
        </w:rPr>
      </w:pPr>
      <w:r w:rsidRPr="00751B87">
        <w:rPr>
          <w:lang w:val="fr-CA"/>
        </w:rPr>
        <w:t xml:space="preserve">Les déclarations du VAC sur la question des conflits d’intérêts et la nature des ententes financières conclues à l’égard des hôtels Hilton et Marriott </w:t>
      </w:r>
      <w:proofErr w:type="spellStart"/>
      <w:r w:rsidRPr="00751B87">
        <w:rPr>
          <w:lang w:val="fr-CA"/>
        </w:rPr>
        <w:t>constituaient</w:t>
      </w:r>
      <w:r w:rsidRPr="00751B87">
        <w:rPr>
          <w:lang w:val="fr-CA"/>
        </w:rPr>
        <w:noBreakHyphen/>
        <w:t>elles</w:t>
      </w:r>
      <w:proofErr w:type="spellEnd"/>
      <w:r w:rsidRPr="00751B87">
        <w:rPr>
          <w:lang w:val="fr-CA"/>
        </w:rPr>
        <w:t xml:space="preserve"> des déclarations inexactes frauduleuses ou faites par négligence?</w:t>
      </w:r>
    </w:p>
    <w:p w:rsidR="0062110E" w:rsidRPr="00751B87" w:rsidRDefault="0062110E" w:rsidP="009D1C6C">
      <w:pPr>
        <w:pStyle w:val="Citation-AltC"/>
        <w:numPr>
          <w:ilvl w:val="0"/>
          <w:numId w:val="10"/>
        </w:numPr>
        <w:tabs>
          <w:tab w:val="left" w:pos="540"/>
        </w:tabs>
        <w:spacing w:after="240" w:line="480" w:lineRule="auto"/>
        <w:ind w:left="540" w:hanging="540"/>
        <w:contextualSpacing w:val="0"/>
        <w:rPr>
          <w:lang w:val="fr-CA"/>
        </w:rPr>
      </w:pPr>
      <w:r w:rsidRPr="00751B87">
        <w:rPr>
          <w:lang w:val="fr-CA"/>
        </w:rPr>
        <w:t xml:space="preserve">Les membres du groupe de propriétaires d’unités du Hilton </w:t>
      </w:r>
      <w:proofErr w:type="spellStart"/>
      <w:r w:rsidRPr="00751B87">
        <w:rPr>
          <w:lang w:val="fr-CA"/>
        </w:rPr>
        <w:t>sont</w:t>
      </w:r>
      <w:r w:rsidRPr="00751B87">
        <w:rPr>
          <w:lang w:val="fr-CA"/>
        </w:rPr>
        <w:noBreakHyphen/>
        <w:t>ils</w:t>
      </w:r>
      <w:proofErr w:type="spellEnd"/>
      <w:r w:rsidRPr="00751B87">
        <w:rPr>
          <w:lang w:val="fr-CA"/>
        </w:rPr>
        <w:t>, en application du par. 75(2) de la Loi, réputés s’être fiés aux déclarations inexactes qui leur auraient été faites, et quel est l’effet de l’abrogation de cette loi?</w:t>
      </w:r>
    </w:p>
    <w:p w:rsidR="0062110E" w:rsidRPr="00751B87" w:rsidRDefault="0062110E" w:rsidP="009D1C6C">
      <w:pPr>
        <w:pStyle w:val="Citation-AltC"/>
        <w:numPr>
          <w:ilvl w:val="0"/>
          <w:numId w:val="10"/>
        </w:numPr>
        <w:tabs>
          <w:tab w:val="left" w:pos="540"/>
        </w:tabs>
        <w:spacing w:after="480" w:line="480" w:lineRule="auto"/>
        <w:ind w:left="547" w:hanging="547"/>
        <w:contextualSpacing w:val="0"/>
        <w:rPr>
          <w:lang w:val="fr-CA"/>
        </w:rPr>
      </w:pPr>
      <w:r w:rsidRPr="00751B87">
        <w:rPr>
          <w:lang w:val="fr-CA"/>
        </w:rPr>
        <w:t xml:space="preserve">Le VAC et HMS </w:t>
      </w:r>
      <w:proofErr w:type="spellStart"/>
      <w:r w:rsidRPr="00751B87">
        <w:rPr>
          <w:lang w:val="fr-CA"/>
        </w:rPr>
        <w:t>avaient</w:t>
      </w:r>
      <w:r w:rsidRPr="00751B87">
        <w:rPr>
          <w:lang w:val="fr-CA"/>
        </w:rPr>
        <w:noBreakHyphen/>
        <w:t>ils</w:t>
      </w:r>
      <w:proofErr w:type="spellEnd"/>
      <w:r w:rsidRPr="00751B87">
        <w:rPr>
          <w:lang w:val="fr-CA"/>
        </w:rPr>
        <w:t xml:space="preserve"> des obligations </w:t>
      </w:r>
      <w:proofErr w:type="spellStart"/>
      <w:r w:rsidRPr="00751B87">
        <w:rPr>
          <w:lang w:val="fr-CA"/>
        </w:rPr>
        <w:t>fiduciales</w:t>
      </w:r>
      <w:proofErr w:type="spellEnd"/>
      <w:r>
        <w:rPr>
          <w:lang w:val="fr-CA"/>
        </w:rPr>
        <w:t>,</w:t>
      </w:r>
      <w:r w:rsidRPr="00751B87">
        <w:rPr>
          <w:lang w:val="fr-CA"/>
        </w:rPr>
        <w:t xml:space="preserve"> des obligations fiduciaires</w:t>
      </w:r>
      <w:r>
        <w:rPr>
          <w:lang w:val="fr-CA"/>
        </w:rPr>
        <w:t>,</w:t>
      </w:r>
      <w:r w:rsidRPr="00751B87">
        <w:rPr>
          <w:lang w:val="fr-CA"/>
        </w:rPr>
        <w:t xml:space="preserve"> </w:t>
      </w:r>
      <w:r>
        <w:rPr>
          <w:lang w:val="fr-CA"/>
        </w:rPr>
        <w:t xml:space="preserve">ou les deux, </w:t>
      </w:r>
      <w:r w:rsidRPr="00751B87">
        <w:rPr>
          <w:lang w:val="fr-CA"/>
        </w:rPr>
        <w:t xml:space="preserve">envers les membres du groupe de propriétaires d’unités du Hilton et, dans l’affirmative, </w:t>
      </w:r>
      <w:proofErr w:type="spellStart"/>
      <w:r w:rsidRPr="00751B87">
        <w:rPr>
          <w:lang w:val="fr-CA"/>
        </w:rPr>
        <w:t>ont</w:t>
      </w:r>
      <w:r w:rsidRPr="00751B87">
        <w:rPr>
          <w:lang w:val="fr-CA"/>
        </w:rPr>
        <w:noBreakHyphen/>
        <w:t>ils</w:t>
      </w:r>
      <w:proofErr w:type="spellEnd"/>
      <w:r w:rsidRPr="00751B87">
        <w:rPr>
          <w:lang w:val="fr-CA"/>
        </w:rPr>
        <w:t xml:space="preserve"> manqué à ces obligations?</w:t>
      </w:r>
    </w:p>
    <w:p w:rsidR="0062110E" w:rsidRPr="00751B87" w:rsidRDefault="0062110E" w:rsidP="00FD2DA2">
      <w:pPr>
        <w:pStyle w:val="TitleTitre-AltT"/>
        <w:keepNext/>
        <w:tabs>
          <w:tab w:val="clear" w:pos="360"/>
          <w:tab w:val="left" w:pos="540"/>
        </w:tabs>
        <w:spacing w:before="0"/>
        <w:ind w:left="540" w:hanging="540"/>
        <w:rPr>
          <w:rFonts w:cs="Times New Roman"/>
          <w:szCs w:val="24"/>
          <w:lang w:val="fr-CA"/>
        </w:rPr>
      </w:pPr>
      <w:bookmarkStart w:id="4" w:name="_Toc308445305"/>
      <w:r w:rsidRPr="00751B87">
        <w:rPr>
          <w:rFonts w:cs="Times New Roman"/>
          <w:szCs w:val="24"/>
          <w:lang w:val="fr-CA"/>
        </w:rPr>
        <w:t>III.</w:t>
      </w:r>
      <w:r w:rsidRPr="00751B87">
        <w:rPr>
          <w:rFonts w:cs="Times New Roman"/>
          <w:szCs w:val="24"/>
          <w:lang w:val="fr-CA"/>
        </w:rPr>
        <w:tab/>
      </w:r>
      <w:r w:rsidRPr="00751B87">
        <w:rPr>
          <w:rFonts w:cs="Times New Roman"/>
          <w:szCs w:val="24"/>
          <w:u w:val="single"/>
          <w:lang w:val="fr-CA"/>
        </w:rPr>
        <w:t>Décisions des instances inférieures</w:t>
      </w:r>
      <w:bookmarkEnd w:id="4"/>
    </w:p>
    <w:p w:rsidR="0062110E" w:rsidRPr="00751B87" w:rsidRDefault="0062110E" w:rsidP="00FD2DA2">
      <w:pPr>
        <w:pStyle w:val="TitleTitre-AltT"/>
        <w:keepNext/>
        <w:tabs>
          <w:tab w:val="clear" w:pos="360"/>
          <w:tab w:val="left" w:pos="540"/>
        </w:tabs>
        <w:spacing w:before="0"/>
        <w:ind w:left="540" w:hanging="540"/>
        <w:rPr>
          <w:rFonts w:cs="Times New Roman"/>
          <w:szCs w:val="24"/>
          <w:lang w:val="fr-CA"/>
        </w:rPr>
      </w:pPr>
      <w:bookmarkStart w:id="5" w:name="_Toc308445306"/>
      <w:r w:rsidRPr="00751B87">
        <w:rPr>
          <w:rFonts w:cs="Times New Roman"/>
          <w:szCs w:val="24"/>
          <w:lang w:val="fr-CA"/>
        </w:rPr>
        <w:t>A.</w:t>
      </w:r>
      <w:r w:rsidRPr="00751B87">
        <w:rPr>
          <w:rFonts w:cs="Times New Roman"/>
          <w:szCs w:val="24"/>
          <w:lang w:val="fr-CA"/>
        </w:rPr>
        <w:tab/>
      </w:r>
      <w:r w:rsidRPr="00751B87">
        <w:rPr>
          <w:rFonts w:cs="Times New Roman"/>
          <w:i/>
          <w:szCs w:val="24"/>
          <w:lang w:val="fr-CA"/>
        </w:rPr>
        <w:t xml:space="preserve">Cour suprême de la </w:t>
      </w:r>
      <w:proofErr w:type="spellStart"/>
      <w:r w:rsidRPr="00751B87">
        <w:rPr>
          <w:rFonts w:cs="Times New Roman"/>
          <w:i/>
          <w:szCs w:val="24"/>
          <w:lang w:val="fr-CA"/>
        </w:rPr>
        <w:t>Colombie</w:t>
      </w:r>
      <w:r w:rsidRPr="00751B87">
        <w:rPr>
          <w:rFonts w:cs="Times New Roman"/>
          <w:i/>
          <w:szCs w:val="24"/>
          <w:lang w:val="fr-CA"/>
        </w:rPr>
        <w:noBreakHyphen/>
        <w:t>Britannique</w:t>
      </w:r>
      <w:proofErr w:type="spellEnd"/>
      <w:r w:rsidRPr="00751B87">
        <w:rPr>
          <w:rFonts w:cs="Times New Roman"/>
          <w:i/>
          <w:szCs w:val="24"/>
          <w:lang w:val="fr-CA"/>
        </w:rPr>
        <w:t>, 2007 BCSC 1262, 38 B.L.R. (4th) 171</w:t>
      </w:r>
      <w:bookmarkEnd w:id="5"/>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juge de première instance, madame la juge </w:t>
      </w:r>
      <w:proofErr w:type="spellStart"/>
      <w:r w:rsidRPr="00751B87">
        <w:rPr>
          <w:rFonts w:cs="Times New Roman"/>
          <w:szCs w:val="24"/>
          <w:lang w:val="fr-CA"/>
        </w:rPr>
        <w:t>Wedge</w:t>
      </w:r>
      <w:proofErr w:type="spellEnd"/>
      <w:r w:rsidRPr="00751B87">
        <w:rPr>
          <w:rFonts w:cs="Times New Roman"/>
          <w:szCs w:val="24"/>
          <w:lang w:val="fr-CA"/>
        </w:rPr>
        <w:t xml:space="preserve">, </w:t>
      </w:r>
      <w:r w:rsidR="009D1C6C">
        <w:rPr>
          <w:rFonts w:cs="Times New Roman"/>
          <w:szCs w:val="24"/>
          <w:lang w:val="fr-CA"/>
        </w:rPr>
        <w:t xml:space="preserve">a </w:t>
      </w:r>
      <w:r w:rsidRPr="00751B87">
        <w:rPr>
          <w:rFonts w:cs="Times New Roman"/>
          <w:szCs w:val="24"/>
          <w:lang w:val="fr-CA"/>
        </w:rPr>
        <w:t xml:space="preserve">tiré un certain nombre de conclusions qui ne sont pas contestées dans le présent pourvoi.  Elle a </w:t>
      </w:r>
      <w:r w:rsidRPr="00751B87">
        <w:rPr>
          <w:rFonts w:cs="Times New Roman"/>
          <w:szCs w:val="24"/>
          <w:lang w:val="fr-CA"/>
        </w:rPr>
        <w:lastRenderedPageBreak/>
        <w:t xml:space="preserve">statué que ni la responsabilité du VAC ni celle de HVS n’étaient engagées pour déclarations inexactes faites par négligence au sujet des prévisions financières.  Elle a aussi fait remarquer que </w:t>
      </w:r>
      <w:proofErr w:type="spellStart"/>
      <w:r w:rsidRPr="00751B87">
        <w:rPr>
          <w:rFonts w:cs="Times New Roman"/>
          <w:szCs w:val="24"/>
          <w:lang w:val="fr-CA"/>
        </w:rPr>
        <w:t>Sharbern</w:t>
      </w:r>
      <w:proofErr w:type="spellEnd"/>
      <w:r w:rsidRPr="00751B87">
        <w:rPr>
          <w:rFonts w:cs="Times New Roman"/>
          <w:szCs w:val="24"/>
          <w:lang w:val="fr-CA"/>
        </w:rPr>
        <w:t xml:space="preserve"> avait retiré son allégation que le VAC avait commis une fraude concernant les prévisions de rendement du capital investi.  Elle a conclu que HMS n’avait pas d’obligation fiducia</w:t>
      </w:r>
      <w:r>
        <w:rPr>
          <w:rFonts w:cs="Times New Roman"/>
          <w:szCs w:val="24"/>
          <w:lang w:val="fr-CA"/>
        </w:rPr>
        <w:t>ir</w:t>
      </w:r>
      <w:r w:rsidRPr="00751B87">
        <w:rPr>
          <w:rFonts w:cs="Times New Roman"/>
          <w:szCs w:val="24"/>
          <w:lang w:val="fr-CA"/>
        </w:rPr>
        <w:t xml:space="preserve">e envers </w:t>
      </w:r>
      <w:proofErr w:type="spellStart"/>
      <w:r w:rsidRPr="00751B87">
        <w:rPr>
          <w:rFonts w:cs="Times New Roman"/>
          <w:szCs w:val="24"/>
          <w:lang w:val="fr-CA"/>
        </w:rPr>
        <w:t>Sharbern</w:t>
      </w:r>
      <w:proofErr w:type="spellEnd"/>
      <w:r w:rsidRPr="00751B87">
        <w:rPr>
          <w:rFonts w:cs="Times New Roman"/>
          <w:szCs w:val="24"/>
          <w:lang w:val="fr-CA"/>
        </w:rPr>
        <w:t xml:space="preserve">.  Enfin, elle a souligné, dans des motifs supplémentaires, que la responsabilité du VAC n’était pas engagée pour déclarations inexactes frauduleuses quant à l’existence d’un conflit d’intérêts, </w:t>
      </w:r>
      <w:proofErr w:type="spellStart"/>
      <w:r w:rsidRPr="00751B87">
        <w:rPr>
          <w:rFonts w:cs="Times New Roman"/>
          <w:szCs w:val="24"/>
          <w:lang w:val="fr-CA"/>
        </w:rPr>
        <w:t>Sharbern</w:t>
      </w:r>
      <w:proofErr w:type="spellEnd"/>
      <w:r w:rsidRPr="00751B87">
        <w:rPr>
          <w:rFonts w:cs="Times New Roman"/>
          <w:szCs w:val="24"/>
          <w:lang w:val="fr-CA"/>
        </w:rPr>
        <w:t xml:space="preserve"> n’ayant pas [</w:t>
      </w:r>
      <w:r w:rsidRPr="00751B87">
        <w:rPr>
          <w:rFonts w:cs="Times New Roman"/>
          <w:smallCaps/>
          <w:szCs w:val="24"/>
          <w:lang w:val="fr-CA"/>
        </w:rPr>
        <w:t>traduction</w:t>
      </w:r>
      <w:r w:rsidRPr="00751B87">
        <w:rPr>
          <w:rFonts w:cs="Times New Roman"/>
          <w:szCs w:val="24"/>
          <w:lang w:val="fr-CA"/>
        </w:rPr>
        <w:t>] « établi que le VAC ne croyait pas véritablement à l’exactitude de ses déclarations et qu’il avait eu l’intention de tromper les investisseurs ou s’était montré insouciant à cet égard » (2008 BCSC 245 (</w:t>
      </w:r>
      <w:proofErr w:type="spellStart"/>
      <w:r w:rsidRPr="00751B87">
        <w:rPr>
          <w:rFonts w:cs="Times New Roman"/>
          <w:szCs w:val="24"/>
          <w:lang w:val="fr-CA"/>
        </w:rPr>
        <w:t>CanLII</w:t>
      </w:r>
      <w:proofErr w:type="spellEnd"/>
      <w:r w:rsidRPr="00751B87">
        <w:rPr>
          <w:rFonts w:cs="Times New Roman"/>
          <w:szCs w:val="24"/>
          <w:lang w:val="fr-CA"/>
        </w:rPr>
        <w:t xml:space="preserve">), par. 12). </w:t>
      </w:r>
    </w:p>
    <w:p w:rsidR="0062110E" w:rsidRPr="00751B87" w:rsidRDefault="0062110E" w:rsidP="0062110E">
      <w:pPr>
        <w:pStyle w:val="ParaNoNdepar-AltN"/>
        <w:rPr>
          <w:rFonts w:cs="Times New Roman"/>
          <w:szCs w:val="24"/>
          <w:lang w:val="fr-CA"/>
        </w:rPr>
      </w:pPr>
      <w:r w:rsidRPr="00751B87">
        <w:rPr>
          <w:rFonts w:cs="Times New Roman"/>
          <w:szCs w:val="24"/>
          <w:lang w:val="fr-CA"/>
        </w:rPr>
        <w:t>Voici les conclusions de 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qui sont en cause dans le présent pourvoi.  D’abord, elle a statué que l’omission du VAC de faire état des différences de rémunération était à tout le moins susceptible d’engendrer un conflit d’intérêts, notamment parce que les hôtels pouvaient faire l’objet d’une administration commune.  Ensuite, elle a conclu que le VAC avait fait preuve de négligence en faisant des déclarations inexactes quant à l’absence de tout conflit d’intérêts — ou de toute possibilité d’un tel conflit — et au contenu des ententes conclues avec les propriétaires du Marriott.  Selon elle, il s’agissait de déclarations inexactes sur des points importants.  Dans ses motifs, 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ne dit pas clairement si elle estime que la responsabilité du VAC est engagée selon les règles de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ou celles de la Loi, mais je tiens pour acquis qu’elle s’est fondée sur les unes et les autres. </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a conclu que sous le régime de la Loi les investisseurs étaient réputés s’être fiés aux déclarations inexactes du VAC portant sur des points importants, ajoutant que, indépendamment de ce que </w:t>
      </w:r>
      <w:proofErr w:type="spellStart"/>
      <w:r w:rsidRPr="00751B87">
        <w:rPr>
          <w:rFonts w:cs="Times New Roman"/>
          <w:szCs w:val="24"/>
          <w:lang w:val="fr-CA"/>
        </w:rPr>
        <w:t>ceux</w:t>
      </w:r>
      <w:r w:rsidRPr="00751B87">
        <w:rPr>
          <w:rFonts w:cs="Times New Roman"/>
          <w:szCs w:val="24"/>
          <w:lang w:val="fr-CA"/>
        </w:rPr>
        <w:noBreakHyphen/>
        <w:t>ci</w:t>
      </w:r>
      <w:proofErr w:type="spellEnd"/>
      <w:r w:rsidRPr="00751B87">
        <w:rPr>
          <w:rFonts w:cs="Times New Roman"/>
          <w:szCs w:val="24"/>
          <w:lang w:val="fr-CA"/>
        </w:rPr>
        <w:t xml:space="preserve"> savaient, cette présomption ne pouvait être réfutée. </w:t>
      </w:r>
    </w:p>
    <w:p w:rsidR="0062110E" w:rsidRPr="00751B87" w:rsidRDefault="0062110E" w:rsidP="0062110E">
      <w:pPr>
        <w:pStyle w:val="ParaNoNdepar-AltN"/>
        <w:rPr>
          <w:rFonts w:cs="Times New Roman"/>
          <w:szCs w:val="24"/>
          <w:lang w:val="fr-CA"/>
        </w:rPr>
      </w:pPr>
      <w:r w:rsidRPr="00751B87">
        <w:rPr>
          <w:rFonts w:cs="Times New Roman"/>
          <w:szCs w:val="24"/>
          <w:lang w:val="fr-CA"/>
        </w:rPr>
        <w:t>Elle a aussi conclu qu’à titre d’administrateur</w:t>
      </w:r>
      <w:r w:rsidR="00224705">
        <w:rPr>
          <w:rFonts w:cs="Times New Roman"/>
          <w:szCs w:val="24"/>
          <w:lang w:val="fr-CA"/>
        </w:rPr>
        <w:t>,</w:t>
      </w:r>
      <w:r w:rsidRPr="00751B87">
        <w:rPr>
          <w:rFonts w:cs="Times New Roman"/>
          <w:szCs w:val="24"/>
          <w:lang w:val="fr-CA"/>
        </w:rPr>
        <w:t xml:space="preserve"> le VAC avait une obligation fiducia</w:t>
      </w:r>
      <w:r>
        <w:rPr>
          <w:rFonts w:cs="Times New Roman"/>
          <w:szCs w:val="24"/>
          <w:lang w:val="fr-CA"/>
        </w:rPr>
        <w:t>ir</w:t>
      </w:r>
      <w:r w:rsidRPr="00751B87">
        <w:rPr>
          <w:rFonts w:cs="Times New Roman"/>
          <w:szCs w:val="24"/>
          <w:lang w:val="fr-CA"/>
        </w:rPr>
        <w:t>e envers les propriétaires du Hilton, que ses intérêts relativement à l’un et l’autre hôtel étaient en conflit, et qu’il avait manqué à son obligation fiducia</w:t>
      </w:r>
      <w:r>
        <w:rPr>
          <w:rFonts w:cs="Times New Roman"/>
          <w:szCs w:val="24"/>
          <w:lang w:val="fr-CA"/>
        </w:rPr>
        <w:t>ir</w:t>
      </w:r>
      <w:r w:rsidRPr="00751B87">
        <w:rPr>
          <w:rFonts w:cs="Times New Roman"/>
          <w:szCs w:val="24"/>
          <w:lang w:val="fr-CA"/>
        </w:rPr>
        <w:t>e en omettant de signaler l’existence de ce conflit.  Enfin, elle a conclu que le VAC avait également manqué à son obligation fiducia</w:t>
      </w:r>
      <w:r>
        <w:rPr>
          <w:rFonts w:cs="Times New Roman"/>
          <w:szCs w:val="24"/>
          <w:lang w:val="fr-CA"/>
        </w:rPr>
        <w:t>ir</w:t>
      </w:r>
      <w:r w:rsidRPr="00751B87">
        <w:rPr>
          <w:rFonts w:cs="Times New Roman"/>
          <w:szCs w:val="24"/>
          <w:lang w:val="fr-CA"/>
        </w:rPr>
        <w:t xml:space="preserve">e à titre d’administrateur en instaurant une pratique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entre le Marriott et le Hilton qui les empêchait de se disputer une certaine clientèle et de faire concurrence au Richmond Inn.</w:t>
      </w:r>
    </w:p>
    <w:p w:rsidR="0062110E" w:rsidRPr="00751B87" w:rsidRDefault="0062110E" w:rsidP="00FD2DA2">
      <w:pPr>
        <w:pStyle w:val="TitleTitre-AltT"/>
        <w:keepNext/>
        <w:tabs>
          <w:tab w:val="clear" w:pos="360"/>
          <w:tab w:val="left" w:pos="540"/>
        </w:tabs>
        <w:spacing w:before="0"/>
        <w:ind w:left="540" w:hanging="540"/>
        <w:rPr>
          <w:rFonts w:cs="Times New Roman"/>
          <w:szCs w:val="24"/>
          <w:lang w:val="fr-CA"/>
        </w:rPr>
      </w:pPr>
      <w:bookmarkStart w:id="6" w:name="_Toc308445307"/>
      <w:r w:rsidRPr="00751B87">
        <w:rPr>
          <w:rFonts w:cs="Times New Roman"/>
          <w:szCs w:val="24"/>
          <w:lang w:val="fr-CA"/>
        </w:rPr>
        <w:t>B.</w:t>
      </w:r>
      <w:r w:rsidRPr="00751B87">
        <w:rPr>
          <w:rFonts w:cs="Times New Roman"/>
          <w:szCs w:val="24"/>
          <w:lang w:val="fr-CA"/>
        </w:rPr>
        <w:tab/>
      </w:r>
      <w:r w:rsidRPr="00751B87">
        <w:rPr>
          <w:rFonts w:cs="Times New Roman"/>
          <w:i/>
          <w:szCs w:val="24"/>
          <w:lang w:val="fr-CA"/>
        </w:rPr>
        <w:t xml:space="preserve">Cour d’appel de la </w:t>
      </w:r>
      <w:proofErr w:type="spellStart"/>
      <w:r w:rsidRPr="00751B87">
        <w:rPr>
          <w:rFonts w:cs="Times New Roman"/>
          <w:i/>
          <w:szCs w:val="24"/>
          <w:lang w:val="fr-CA"/>
        </w:rPr>
        <w:t>Colombie</w:t>
      </w:r>
      <w:r w:rsidRPr="00751B87">
        <w:rPr>
          <w:rFonts w:cs="Times New Roman"/>
          <w:i/>
          <w:szCs w:val="24"/>
          <w:lang w:val="fr-CA"/>
        </w:rPr>
        <w:noBreakHyphen/>
        <w:t>Britannique</w:t>
      </w:r>
      <w:proofErr w:type="spellEnd"/>
      <w:r w:rsidRPr="00751B87">
        <w:rPr>
          <w:rFonts w:cs="Times New Roman"/>
          <w:i/>
          <w:szCs w:val="24"/>
          <w:lang w:val="fr-CA"/>
        </w:rPr>
        <w:t>, 2009 BCCA 224, 57 B.L.R. (4th) 1</w:t>
      </w:r>
      <w:bookmarkEnd w:id="6"/>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VAC a interjeté appel de la décision de première instance et </w:t>
      </w:r>
      <w:proofErr w:type="spellStart"/>
      <w:r w:rsidRPr="00751B87">
        <w:rPr>
          <w:rFonts w:cs="Times New Roman"/>
          <w:szCs w:val="24"/>
          <w:lang w:val="fr-CA"/>
        </w:rPr>
        <w:t>Sharbern</w:t>
      </w:r>
      <w:proofErr w:type="spellEnd"/>
      <w:r w:rsidRPr="00751B87">
        <w:rPr>
          <w:rFonts w:cs="Times New Roman"/>
          <w:szCs w:val="24"/>
          <w:lang w:val="fr-CA"/>
        </w:rPr>
        <w:t xml:space="preserve"> a formé un appel incident à l’égard de certains aspects de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La Cour d’appel de la </w:t>
      </w:r>
      <w:proofErr w:type="spellStart"/>
      <w:r w:rsidRPr="00751B87">
        <w:rPr>
          <w:rFonts w:cs="Times New Roman"/>
          <w:szCs w:val="24"/>
          <w:lang w:val="fr-CA"/>
        </w:rPr>
        <w:t>Colombie</w:t>
      </w:r>
      <w:r w:rsidRPr="00751B87">
        <w:rPr>
          <w:rFonts w:cs="Times New Roman"/>
          <w:szCs w:val="24"/>
          <w:lang w:val="fr-CA"/>
        </w:rPr>
        <w:noBreakHyphen/>
        <w:t>Britannique</w:t>
      </w:r>
      <w:proofErr w:type="spellEnd"/>
      <w:r w:rsidRPr="00751B87">
        <w:rPr>
          <w:rFonts w:cs="Times New Roman"/>
          <w:szCs w:val="24"/>
          <w:lang w:val="fr-CA"/>
        </w:rPr>
        <w:t xml:space="preserve"> a donné raison au VAC, annulant les conclusions de </w:t>
      </w:r>
      <w:r>
        <w:rPr>
          <w:rFonts w:cs="Times New Roman"/>
          <w:szCs w:val="24"/>
          <w:lang w:val="fr-CA"/>
        </w:rPr>
        <w:t xml:space="preserve">la juge </w:t>
      </w:r>
      <w:proofErr w:type="spellStart"/>
      <w:r>
        <w:rPr>
          <w:rFonts w:cs="Times New Roman"/>
          <w:szCs w:val="24"/>
          <w:lang w:val="fr-CA"/>
        </w:rPr>
        <w:t>Wedge</w:t>
      </w:r>
      <w:proofErr w:type="spellEnd"/>
      <w:r w:rsidRPr="00751B87">
        <w:rPr>
          <w:rFonts w:cs="Times New Roman"/>
          <w:szCs w:val="24"/>
          <w:lang w:val="fr-CA"/>
        </w:rPr>
        <w:t> sur l’inexactitude de ses déclarations, la présomption que les investisseurs s’étaient fiés à des déclarations inexactes, et le fait qu’il aurait manqué à son obligation fiducia</w:t>
      </w:r>
      <w:r>
        <w:rPr>
          <w:rFonts w:cs="Times New Roman"/>
          <w:szCs w:val="24"/>
          <w:lang w:val="fr-CA"/>
        </w:rPr>
        <w:t>ir</w:t>
      </w:r>
      <w:r w:rsidRPr="00751B87">
        <w:rPr>
          <w:rFonts w:cs="Times New Roman"/>
          <w:szCs w:val="24"/>
          <w:lang w:val="fr-CA"/>
        </w:rPr>
        <w:t xml:space="preserve">e.  L’appel incident de </w:t>
      </w:r>
      <w:proofErr w:type="spellStart"/>
      <w:r w:rsidRPr="00751B87">
        <w:rPr>
          <w:rFonts w:cs="Times New Roman"/>
          <w:szCs w:val="24"/>
          <w:lang w:val="fr-CA"/>
        </w:rPr>
        <w:t>Sharbern</w:t>
      </w:r>
      <w:proofErr w:type="spellEnd"/>
      <w:r w:rsidRPr="00751B87">
        <w:rPr>
          <w:rFonts w:cs="Times New Roman"/>
          <w:szCs w:val="24"/>
          <w:lang w:val="fr-CA"/>
        </w:rPr>
        <w:t xml:space="preserve"> a été rejeté.</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Sur la question des déclarations inexactes, le juge Chiasson a conclu que les modalités des ententes financières relatives à l’un et l’autre hôtel étaient sans importance.  Il a souligné qu’au procès [</w:t>
      </w:r>
      <w:r w:rsidRPr="00751B87">
        <w:rPr>
          <w:rFonts w:cs="Times New Roman"/>
          <w:smallCaps/>
          <w:szCs w:val="24"/>
          <w:lang w:val="fr-CA"/>
        </w:rPr>
        <w:t>traduction</w:t>
      </w:r>
      <w:r w:rsidRPr="00751B87">
        <w:rPr>
          <w:rFonts w:cs="Times New Roman"/>
          <w:szCs w:val="24"/>
          <w:lang w:val="fr-CA"/>
        </w:rPr>
        <w:t>] « [l]e VAC a produit une preuve factuelle et une preuve d’expert abondantes sur la pratique au sein de l’industrie dans les cas où une seule entité administre plusieurs hôtels » et qu</w:t>
      </w:r>
      <w:r w:rsidR="00224705">
        <w:rPr>
          <w:rFonts w:cs="Times New Roman"/>
          <w:szCs w:val="24"/>
          <w:lang w:val="fr-CA"/>
        </w:rPr>
        <w:t>’</w:t>
      </w:r>
      <w:r w:rsidRPr="00751B87">
        <w:rPr>
          <w:rFonts w:cs="Times New Roman"/>
          <w:szCs w:val="24"/>
          <w:lang w:val="fr-CA"/>
        </w:rPr>
        <w:t>« [a]</w:t>
      </w:r>
      <w:proofErr w:type="spellStart"/>
      <w:r w:rsidRPr="00751B87">
        <w:rPr>
          <w:rFonts w:cs="Times New Roman"/>
          <w:szCs w:val="24"/>
          <w:lang w:val="fr-CA"/>
        </w:rPr>
        <w:t>ucune</w:t>
      </w:r>
      <w:proofErr w:type="spellEnd"/>
      <w:r w:rsidRPr="00751B87">
        <w:rPr>
          <w:rFonts w:cs="Times New Roman"/>
          <w:szCs w:val="24"/>
          <w:lang w:val="fr-CA"/>
        </w:rPr>
        <w:t xml:space="preserve"> preuve contraire n’a été présentée et aucun élément de preuve objectif ne permettait de conclure que l’investisseur raisonnable se serait soucié des modalités des ententes financières » (par. 76).  Il a en outre conclu que</w:t>
      </w:r>
    </w:p>
    <w:p w:rsidR="0062110E" w:rsidRPr="00751B87" w:rsidRDefault="0062110E" w:rsidP="0062110E">
      <w:pPr>
        <w:pStyle w:val="Citation-AltC"/>
        <w:spacing w:after="240"/>
        <w:ind w:left="1170" w:hanging="1170"/>
        <w:contextualSpacing w:val="0"/>
        <w:rPr>
          <w:lang w:val="fr-CA"/>
        </w:rPr>
      </w:pPr>
      <w:r w:rsidRPr="00751B87">
        <w:rPr>
          <w:lang w:val="fr-CA"/>
        </w:rPr>
        <w:tab/>
        <w:t>[</w:t>
      </w:r>
      <w:r w:rsidRPr="00751B87">
        <w:rPr>
          <w:smallCaps/>
          <w:lang w:val="fr-CA"/>
        </w:rPr>
        <w:t>traduction</w:t>
      </w:r>
      <w:r w:rsidRPr="00751B87">
        <w:rPr>
          <w:lang w:val="fr-CA"/>
        </w:rPr>
        <w:t>]</w:t>
      </w:r>
      <w:r>
        <w:rPr>
          <w:lang w:val="fr-CA"/>
        </w:rPr>
        <w:t xml:space="preserve"> </w:t>
      </w:r>
      <w:r w:rsidRPr="00751B87">
        <w:rPr>
          <w:lang w:val="fr-CA"/>
        </w:rPr>
        <w:t xml:space="preserve"> </w:t>
      </w:r>
      <w:r w:rsidR="00622267">
        <w:rPr>
          <w:lang w:val="fr-CA"/>
        </w:rPr>
        <w:t>[</w:t>
      </w:r>
      <w:proofErr w:type="gramStart"/>
      <w:r w:rsidRPr="00751B87">
        <w:rPr>
          <w:lang w:val="fr-CA"/>
        </w:rPr>
        <w:t>c</w:t>
      </w:r>
      <w:r w:rsidR="00622267">
        <w:rPr>
          <w:lang w:val="fr-CA"/>
        </w:rPr>
        <w:t>]</w:t>
      </w:r>
      <w:proofErr w:type="spellStart"/>
      <w:proofErr w:type="gramEnd"/>
      <w:r w:rsidRPr="00751B87">
        <w:rPr>
          <w:lang w:val="fr-CA"/>
        </w:rPr>
        <w:t>ompte</w:t>
      </w:r>
      <w:proofErr w:type="spellEnd"/>
      <w:r w:rsidRPr="00751B87">
        <w:rPr>
          <w:lang w:val="fr-CA"/>
        </w:rPr>
        <w:t xml:space="preserve"> tenu des renseignements que [le VAC] avait communiqués, de la pratique au sein de l’industrie, et de la croyance subjective des [dirigeants et employés de ce dernier], la déclaration du VAC qu’il n’y avait pas, à sa connaissance, de situation de conflit d’intérêts dont on pourrait </w:t>
      </w:r>
      <w:r w:rsidR="00224705">
        <w:rPr>
          <w:lang w:val="fr-CA"/>
        </w:rPr>
        <w:t>raisonnablement s’attendre qu’elle</w:t>
      </w:r>
      <w:r w:rsidRPr="00751B87">
        <w:rPr>
          <w:lang w:val="fr-CA"/>
        </w:rPr>
        <w:t xml:space="preserve"> ait une incidence importante</w:t>
      </w:r>
      <w:r w:rsidR="00224705">
        <w:rPr>
          <w:lang w:val="fr-CA"/>
        </w:rPr>
        <w:t xml:space="preserve"> sur</w:t>
      </w:r>
      <w:r w:rsidRPr="00751B87">
        <w:rPr>
          <w:lang w:val="fr-CA"/>
        </w:rPr>
        <w:t xml:space="preserve"> les décisions des éventuels investisseurs de l’hôtel Hilton ne pouvait être qualifiée d’inexacte.  [</w:t>
      </w:r>
      <w:proofErr w:type="gramStart"/>
      <w:r w:rsidRPr="00751B87">
        <w:rPr>
          <w:lang w:val="fr-CA"/>
        </w:rPr>
        <w:t>par</w:t>
      </w:r>
      <w:proofErr w:type="gramEnd"/>
      <w:r w:rsidRPr="00751B87">
        <w:rPr>
          <w:lang w:val="fr-CA"/>
        </w:rPr>
        <w:t>. 84]</w:t>
      </w:r>
    </w:p>
    <w:p w:rsidR="0062110E" w:rsidRPr="00751B87" w:rsidRDefault="0062110E" w:rsidP="0062110E">
      <w:pPr>
        <w:pStyle w:val="ParaNoNdepar-AltN"/>
        <w:numPr>
          <w:ilvl w:val="0"/>
          <w:numId w:val="0"/>
        </w:numPr>
        <w:rPr>
          <w:rFonts w:cs="Times New Roman"/>
          <w:szCs w:val="24"/>
          <w:lang w:val="fr-CA"/>
        </w:rPr>
      </w:pPr>
      <w:r w:rsidRPr="00751B87">
        <w:rPr>
          <w:rFonts w:cs="Times New Roman"/>
          <w:szCs w:val="24"/>
          <w:lang w:val="fr-CA"/>
        </w:rPr>
        <w:t>Il a donc statué que la juge de première instance s’était trompée en concluant que le VAC avait fait des déclarations inexactes importantes sur son conflit d’intérêts et sur ses ententes avec le</w:t>
      </w:r>
      <w:r>
        <w:rPr>
          <w:rFonts w:cs="Times New Roman"/>
          <w:szCs w:val="24"/>
          <w:lang w:val="fr-CA"/>
        </w:rPr>
        <w:t>s propriétaires du</w:t>
      </w:r>
      <w:r w:rsidRPr="00751B87">
        <w:rPr>
          <w:rFonts w:cs="Times New Roman"/>
          <w:szCs w:val="24"/>
          <w:lang w:val="fr-CA"/>
        </w:rPr>
        <w:t xml:space="preserve"> Marriott.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juge Chiasson a par ailleurs conclu que le VAC n’avait pas manqué à son obligation </w:t>
      </w:r>
      <w:r>
        <w:rPr>
          <w:rFonts w:cs="Times New Roman"/>
          <w:szCs w:val="24"/>
          <w:lang w:val="fr-CA"/>
        </w:rPr>
        <w:t>fiduciaire</w:t>
      </w:r>
      <w:r w:rsidRPr="00751B87">
        <w:rPr>
          <w:rFonts w:cs="Times New Roman"/>
          <w:szCs w:val="24"/>
          <w:lang w:val="fr-CA"/>
        </w:rPr>
        <w:t>.  Il a fait remarquer que la question de savoir si le VAC était [</w:t>
      </w:r>
      <w:r w:rsidRPr="00751B87">
        <w:rPr>
          <w:rFonts w:cs="Times New Roman"/>
          <w:smallCaps/>
          <w:szCs w:val="24"/>
          <w:lang w:val="fr-CA"/>
        </w:rPr>
        <w:t>traduction</w:t>
      </w:r>
      <w:r w:rsidRPr="00751B87">
        <w:rPr>
          <w:rFonts w:cs="Times New Roman"/>
          <w:szCs w:val="24"/>
          <w:lang w:val="fr-CA"/>
        </w:rPr>
        <w:t>] « tenu de communiquer aux propriétaires d’unités du Hilton les modalités des ententes financières conclues avec ceux d’unités du Marr</w:t>
      </w:r>
      <w:r w:rsidR="00224705">
        <w:rPr>
          <w:rFonts w:cs="Times New Roman"/>
          <w:szCs w:val="24"/>
          <w:lang w:val="fr-CA"/>
        </w:rPr>
        <w:t xml:space="preserve">iott </w:t>
      </w:r>
      <w:r w:rsidR="00622267">
        <w:rPr>
          <w:rFonts w:cs="Times New Roman"/>
          <w:szCs w:val="24"/>
          <w:lang w:val="fr-CA"/>
        </w:rPr>
        <w:t xml:space="preserve">[. . .] </w:t>
      </w:r>
      <w:r w:rsidR="00224705">
        <w:rPr>
          <w:rFonts w:cs="Times New Roman"/>
          <w:szCs w:val="24"/>
          <w:lang w:val="fr-CA"/>
        </w:rPr>
        <w:t xml:space="preserve">dépend de </w:t>
      </w:r>
      <w:r w:rsidRPr="00751B87">
        <w:rPr>
          <w:rFonts w:cs="Times New Roman"/>
          <w:szCs w:val="24"/>
          <w:lang w:val="fr-CA"/>
        </w:rPr>
        <w:t xml:space="preserve">savoir si ces renseignements étaient importants ou non » (par. 98).  Il a ensuite conclu que « dans les circonstances de l’espèce, les renseignements n’étaient </w:t>
      </w:r>
      <w:r w:rsidRPr="00751B87">
        <w:rPr>
          <w:rFonts w:cs="Times New Roman"/>
          <w:szCs w:val="24"/>
          <w:lang w:val="fr-CA"/>
        </w:rPr>
        <w:lastRenderedPageBreak/>
        <w:t xml:space="preserve">pas objectivement importants » (par. 99).  Selon lui, « le fait que les investisseurs aient consenti à ce que le VAC administre des hôtels se faisant concurrence suffit à répondre à tout argument voulant que l’application d’une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 matière de fixation des prix était en soi un manquement à l’obligation </w:t>
      </w:r>
      <w:r>
        <w:rPr>
          <w:rFonts w:cs="Times New Roman"/>
          <w:szCs w:val="24"/>
          <w:lang w:val="fr-CA"/>
        </w:rPr>
        <w:t>fiduciaire</w:t>
      </w:r>
      <w:r w:rsidRPr="00751B87">
        <w:rPr>
          <w:rFonts w:cs="Times New Roman"/>
          <w:szCs w:val="24"/>
          <w:lang w:val="fr-CA"/>
        </w:rPr>
        <w:t xml:space="preserve"> » (par. 104).  Encore là, la question a été ramenée à savoir si le VAC était tenu de communiquer les modalités des ententes financières conclues avec le Marriott. </w:t>
      </w:r>
      <w:r>
        <w:rPr>
          <w:rFonts w:cs="Times New Roman"/>
          <w:szCs w:val="24"/>
          <w:lang w:val="fr-CA"/>
        </w:rPr>
        <w:t xml:space="preserve"> </w:t>
      </w:r>
      <w:r w:rsidRPr="00751B87">
        <w:rPr>
          <w:rFonts w:cs="Times New Roman"/>
          <w:szCs w:val="24"/>
          <w:lang w:val="fr-CA"/>
        </w:rPr>
        <w:t>Le juge Chiasson a conclu par la négative.</w:t>
      </w:r>
    </w:p>
    <w:p w:rsidR="0062110E" w:rsidRPr="00751B87" w:rsidRDefault="0062110E" w:rsidP="0062110E">
      <w:pPr>
        <w:pStyle w:val="TitleTitre-AltT"/>
        <w:keepNext/>
        <w:spacing w:before="0"/>
        <w:rPr>
          <w:rFonts w:cs="Times New Roman"/>
          <w:szCs w:val="24"/>
          <w:lang w:val="fr-CA"/>
        </w:rPr>
      </w:pPr>
      <w:bookmarkStart w:id="7" w:name="_Toc308445308"/>
      <w:r w:rsidRPr="00751B87">
        <w:rPr>
          <w:rFonts w:cs="Times New Roman"/>
          <w:szCs w:val="24"/>
          <w:lang w:val="fr-CA"/>
        </w:rPr>
        <w:t>IV.</w:t>
      </w:r>
      <w:r w:rsidRPr="00751B87">
        <w:rPr>
          <w:rFonts w:cs="Times New Roman"/>
          <w:szCs w:val="24"/>
          <w:lang w:val="fr-CA"/>
        </w:rPr>
        <w:tab/>
      </w:r>
      <w:r w:rsidRPr="00751B87">
        <w:rPr>
          <w:rFonts w:cs="Times New Roman"/>
          <w:szCs w:val="24"/>
          <w:u w:val="single"/>
          <w:lang w:val="fr-CA"/>
        </w:rPr>
        <w:t>Questions en litige</w:t>
      </w:r>
      <w:bookmarkEnd w:id="7"/>
    </w:p>
    <w:p w:rsidR="0062110E" w:rsidRPr="00751B87" w:rsidRDefault="0062110E" w:rsidP="0062110E">
      <w:pPr>
        <w:pStyle w:val="ParaNoNdepar-AltN"/>
        <w:rPr>
          <w:rFonts w:cs="Times New Roman"/>
          <w:szCs w:val="24"/>
          <w:lang w:val="fr-CA"/>
        </w:rPr>
      </w:pPr>
      <w:r w:rsidRPr="00751B87">
        <w:rPr>
          <w:rFonts w:cs="Times New Roman"/>
          <w:szCs w:val="24"/>
          <w:lang w:val="fr-CA"/>
        </w:rPr>
        <w:t>Le pourvoi soulève cinq questions, que j’examinerai à tour de rôle :</w:t>
      </w:r>
    </w:p>
    <w:p w:rsidR="0062110E" w:rsidRPr="00751B87" w:rsidRDefault="0062110E" w:rsidP="00D65A6C">
      <w:pPr>
        <w:pStyle w:val="Citation-AltC"/>
        <w:tabs>
          <w:tab w:val="left" w:pos="540"/>
        </w:tabs>
        <w:spacing w:after="240" w:line="480" w:lineRule="auto"/>
        <w:ind w:left="540" w:hanging="540"/>
        <w:contextualSpacing w:val="0"/>
        <w:rPr>
          <w:lang w:val="fr-CA"/>
        </w:rPr>
      </w:pPr>
      <w:r>
        <w:rPr>
          <w:lang w:val="fr-CA"/>
        </w:rPr>
        <w:t>1.</w:t>
      </w:r>
      <w:r>
        <w:rPr>
          <w:lang w:val="fr-CA"/>
        </w:rPr>
        <w:tab/>
      </w:r>
      <w:r w:rsidRPr="00751B87">
        <w:rPr>
          <w:lang w:val="fr-CA"/>
        </w:rPr>
        <w:t xml:space="preserve">La juge de première instance </w:t>
      </w:r>
      <w:proofErr w:type="spellStart"/>
      <w:r w:rsidRPr="00751B87">
        <w:rPr>
          <w:lang w:val="fr-CA"/>
        </w:rPr>
        <w:t>a</w:t>
      </w:r>
      <w:r w:rsidRPr="00751B87">
        <w:rPr>
          <w:lang w:val="fr-CA"/>
        </w:rPr>
        <w:noBreakHyphen/>
        <w:t>t</w:t>
      </w:r>
      <w:r w:rsidRPr="00751B87">
        <w:rPr>
          <w:lang w:val="fr-CA"/>
        </w:rPr>
        <w:noBreakHyphen/>
        <w:t>elle</w:t>
      </w:r>
      <w:proofErr w:type="spellEnd"/>
      <w:r w:rsidRPr="00751B87">
        <w:rPr>
          <w:lang w:val="fr-CA"/>
        </w:rPr>
        <w:t xml:space="preserve"> commis une erreur en concluant à la responsabilité du VAC en application de l’art. 75 de la Loi au motif qu’il avait fait des déclarations erronées sur des points importants?</w:t>
      </w:r>
    </w:p>
    <w:p w:rsidR="0062110E" w:rsidRPr="00751B87" w:rsidRDefault="0062110E" w:rsidP="00D65A6C">
      <w:pPr>
        <w:pStyle w:val="Citation-AltC"/>
        <w:tabs>
          <w:tab w:val="left" w:pos="540"/>
        </w:tabs>
        <w:spacing w:after="240" w:line="480" w:lineRule="auto"/>
        <w:ind w:left="540" w:hanging="540"/>
        <w:contextualSpacing w:val="0"/>
        <w:rPr>
          <w:lang w:val="fr-CA"/>
        </w:rPr>
      </w:pPr>
      <w:r>
        <w:rPr>
          <w:lang w:val="fr-CA"/>
        </w:rPr>
        <w:t>2.</w:t>
      </w:r>
      <w:r>
        <w:rPr>
          <w:lang w:val="fr-CA"/>
        </w:rPr>
        <w:tab/>
      </w:r>
      <w:proofErr w:type="spellStart"/>
      <w:r w:rsidRPr="00751B87">
        <w:rPr>
          <w:lang w:val="fr-CA"/>
        </w:rPr>
        <w:t>A</w:t>
      </w:r>
      <w:r w:rsidRPr="00751B87">
        <w:rPr>
          <w:lang w:val="fr-CA"/>
        </w:rPr>
        <w:noBreakHyphen/>
        <w:t>t</w:t>
      </w:r>
      <w:r w:rsidRPr="00751B87">
        <w:rPr>
          <w:lang w:val="fr-CA"/>
        </w:rPr>
        <w:noBreakHyphen/>
        <w:t>elle</w:t>
      </w:r>
      <w:proofErr w:type="spellEnd"/>
      <w:r w:rsidRPr="00751B87">
        <w:rPr>
          <w:lang w:val="fr-CA"/>
        </w:rPr>
        <w:t xml:space="preserve"> commis une erreur en omettant de prendre en compte le moyen de défense dont dispose le promoteur aux termes du </w:t>
      </w:r>
      <w:proofErr w:type="spellStart"/>
      <w:r w:rsidRPr="00751B87">
        <w:rPr>
          <w:lang w:val="fr-CA"/>
        </w:rPr>
        <w:t>sous</w:t>
      </w:r>
      <w:r w:rsidRPr="00751B87">
        <w:rPr>
          <w:lang w:val="fr-CA"/>
        </w:rPr>
        <w:noBreakHyphen/>
        <w:t>al</w:t>
      </w:r>
      <w:proofErr w:type="spellEnd"/>
      <w:r w:rsidRPr="00751B87">
        <w:rPr>
          <w:lang w:val="fr-CA"/>
        </w:rPr>
        <w:t>. 75(2)</w:t>
      </w:r>
      <w:r w:rsidRPr="001C0FAC">
        <w:rPr>
          <w:lang w:val="fr-CA"/>
        </w:rPr>
        <w:t>b</w:t>
      </w:r>
      <w:proofErr w:type="gramStart"/>
      <w:r w:rsidRPr="00751B87">
        <w:rPr>
          <w:lang w:val="fr-CA"/>
        </w:rPr>
        <w:t>)(</w:t>
      </w:r>
      <w:proofErr w:type="gramEnd"/>
      <w:r w:rsidRPr="00751B87">
        <w:rPr>
          <w:lang w:val="fr-CA"/>
        </w:rPr>
        <w:t>viii) de la Loi, et de se demander si le VAC pouvait s’en prévaloir?</w:t>
      </w:r>
    </w:p>
    <w:p w:rsidR="0062110E" w:rsidRPr="00751B87" w:rsidRDefault="0062110E" w:rsidP="00D65A6C">
      <w:pPr>
        <w:pStyle w:val="Citation-AltC"/>
        <w:tabs>
          <w:tab w:val="left" w:pos="540"/>
        </w:tabs>
        <w:spacing w:after="240" w:line="480" w:lineRule="auto"/>
        <w:ind w:left="540" w:hanging="540"/>
        <w:contextualSpacing w:val="0"/>
        <w:rPr>
          <w:lang w:val="fr-CA"/>
        </w:rPr>
      </w:pPr>
      <w:r>
        <w:rPr>
          <w:lang w:val="fr-CA"/>
        </w:rPr>
        <w:t>3.</w:t>
      </w:r>
      <w:r>
        <w:rPr>
          <w:lang w:val="fr-CA"/>
        </w:rPr>
        <w:tab/>
      </w:r>
      <w:proofErr w:type="spellStart"/>
      <w:r w:rsidRPr="00751B87">
        <w:rPr>
          <w:lang w:val="fr-CA"/>
        </w:rPr>
        <w:t>A</w:t>
      </w:r>
      <w:r w:rsidRPr="00751B87">
        <w:rPr>
          <w:lang w:val="fr-CA"/>
        </w:rPr>
        <w:noBreakHyphen/>
        <w:t>t</w:t>
      </w:r>
      <w:r w:rsidRPr="00751B87">
        <w:rPr>
          <w:lang w:val="fr-CA"/>
        </w:rPr>
        <w:noBreakHyphen/>
        <w:t>elle</w:t>
      </w:r>
      <w:proofErr w:type="spellEnd"/>
      <w:r w:rsidRPr="00751B87">
        <w:rPr>
          <w:lang w:val="fr-CA"/>
        </w:rPr>
        <w:t xml:space="preserve"> commis une erreur en concluant que la présomption prévue à l’al. 75(2)</w:t>
      </w:r>
      <w:r w:rsidRPr="001C0FAC">
        <w:rPr>
          <w:lang w:val="fr-CA"/>
        </w:rPr>
        <w:t>a</w:t>
      </w:r>
      <w:r w:rsidRPr="00751B87">
        <w:rPr>
          <w:lang w:val="fr-CA"/>
        </w:rPr>
        <w:t>) de la Loi selon laquelle les investisseurs sont réputés s’être fiés à ce qui leur a été présenté (la « présomption légale ») est irréfutable?</w:t>
      </w:r>
    </w:p>
    <w:p w:rsidR="0062110E" w:rsidRPr="00751B87" w:rsidRDefault="0062110E" w:rsidP="00D65A6C">
      <w:pPr>
        <w:pStyle w:val="Citation-AltC"/>
        <w:tabs>
          <w:tab w:val="left" w:pos="540"/>
        </w:tabs>
        <w:spacing w:after="240" w:line="480" w:lineRule="auto"/>
        <w:ind w:left="540" w:hanging="540"/>
        <w:contextualSpacing w:val="0"/>
        <w:rPr>
          <w:lang w:val="fr-CA"/>
        </w:rPr>
      </w:pPr>
      <w:r>
        <w:rPr>
          <w:lang w:val="fr-CA"/>
        </w:rPr>
        <w:lastRenderedPageBreak/>
        <w:t>4.</w:t>
      </w:r>
      <w:r>
        <w:rPr>
          <w:lang w:val="fr-CA"/>
        </w:rPr>
        <w:tab/>
      </w:r>
      <w:proofErr w:type="spellStart"/>
      <w:r w:rsidRPr="00751B87">
        <w:rPr>
          <w:lang w:val="fr-CA"/>
        </w:rPr>
        <w:t>A</w:t>
      </w:r>
      <w:r w:rsidRPr="00751B87">
        <w:rPr>
          <w:lang w:val="fr-CA"/>
        </w:rPr>
        <w:noBreakHyphen/>
        <w:t>t</w:t>
      </w:r>
      <w:r w:rsidRPr="00751B87">
        <w:rPr>
          <w:lang w:val="fr-CA"/>
        </w:rPr>
        <w:noBreakHyphen/>
        <w:t>elle</w:t>
      </w:r>
      <w:proofErr w:type="spellEnd"/>
      <w:r w:rsidRPr="00751B87">
        <w:rPr>
          <w:lang w:val="fr-CA"/>
        </w:rPr>
        <w:t xml:space="preserve"> commis une erreur en concluant que le VAC était responsable en </w:t>
      </w:r>
      <w:proofErr w:type="spellStart"/>
      <w:r w:rsidRPr="00751B87">
        <w:rPr>
          <w:lang w:val="fr-CA"/>
        </w:rPr>
        <w:t>common</w:t>
      </w:r>
      <w:proofErr w:type="spellEnd"/>
      <w:r w:rsidRPr="00751B87">
        <w:rPr>
          <w:lang w:val="fr-CA"/>
        </w:rPr>
        <w:t xml:space="preserve"> </w:t>
      </w:r>
      <w:proofErr w:type="spellStart"/>
      <w:r w:rsidRPr="00751B87">
        <w:rPr>
          <w:lang w:val="fr-CA"/>
        </w:rPr>
        <w:t>law</w:t>
      </w:r>
      <w:proofErr w:type="spellEnd"/>
      <w:r w:rsidRPr="00751B87">
        <w:rPr>
          <w:lang w:val="fr-CA"/>
        </w:rPr>
        <w:t xml:space="preserve"> pour avoir fait par négligence des déclarations inexactes?</w:t>
      </w:r>
    </w:p>
    <w:p w:rsidR="0062110E" w:rsidRPr="00751B87" w:rsidRDefault="0062110E" w:rsidP="00D65A6C">
      <w:pPr>
        <w:pStyle w:val="Citation-AltC"/>
        <w:tabs>
          <w:tab w:val="left" w:pos="540"/>
        </w:tabs>
        <w:spacing w:after="480" w:line="480" w:lineRule="auto"/>
        <w:ind w:left="547" w:hanging="547"/>
        <w:contextualSpacing w:val="0"/>
        <w:rPr>
          <w:lang w:val="fr-CA"/>
        </w:rPr>
      </w:pPr>
      <w:r>
        <w:rPr>
          <w:lang w:val="fr-CA"/>
        </w:rPr>
        <w:t>5.</w:t>
      </w:r>
      <w:r>
        <w:rPr>
          <w:lang w:val="fr-CA"/>
        </w:rPr>
        <w:tab/>
      </w:r>
      <w:proofErr w:type="spellStart"/>
      <w:r>
        <w:rPr>
          <w:lang w:val="fr-CA"/>
        </w:rPr>
        <w:t>A</w:t>
      </w:r>
      <w:r w:rsidRPr="00751B87">
        <w:rPr>
          <w:lang w:val="fr-CA"/>
        </w:rPr>
        <w:noBreakHyphen/>
        <w:t>t</w:t>
      </w:r>
      <w:r w:rsidRPr="00751B87">
        <w:rPr>
          <w:lang w:val="fr-CA"/>
        </w:rPr>
        <w:noBreakHyphen/>
        <w:t>elle</w:t>
      </w:r>
      <w:proofErr w:type="spellEnd"/>
      <w:r w:rsidRPr="00751B87">
        <w:rPr>
          <w:lang w:val="fr-CA"/>
        </w:rPr>
        <w:t xml:space="preserve"> commis une erreur en concluant que le VAC avait manqué à son obligation </w:t>
      </w:r>
      <w:r>
        <w:rPr>
          <w:lang w:val="fr-CA"/>
        </w:rPr>
        <w:t>fiduciaire</w:t>
      </w:r>
      <w:r w:rsidRPr="00751B87">
        <w:rPr>
          <w:lang w:val="fr-CA"/>
        </w:rPr>
        <w:t>?</w:t>
      </w:r>
    </w:p>
    <w:p w:rsidR="0062110E" w:rsidRPr="00751B87" w:rsidRDefault="0062110E" w:rsidP="0062110E">
      <w:pPr>
        <w:pStyle w:val="TitleTitre-AltT"/>
        <w:keepNext/>
        <w:tabs>
          <w:tab w:val="clear" w:pos="360"/>
        </w:tabs>
        <w:spacing w:before="0"/>
        <w:rPr>
          <w:rFonts w:cs="Times New Roman"/>
          <w:szCs w:val="24"/>
          <w:lang w:val="fr-CA"/>
        </w:rPr>
      </w:pPr>
      <w:bookmarkStart w:id="8" w:name="_Toc308445309"/>
      <w:r w:rsidRPr="00751B87">
        <w:rPr>
          <w:rFonts w:cs="Times New Roman"/>
          <w:szCs w:val="24"/>
          <w:lang w:val="fr-CA"/>
        </w:rPr>
        <w:t>V.</w:t>
      </w:r>
      <w:r w:rsidRPr="00751B87">
        <w:rPr>
          <w:rFonts w:cs="Times New Roman"/>
          <w:szCs w:val="24"/>
          <w:lang w:val="fr-CA"/>
        </w:rPr>
        <w:tab/>
      </w:r>
      <w:r w:rsidRPr="00751B87">
        <w:rPr>
          <w:rFonts w:cs="Times New Roman"/>
          <w:szCs w:val="24"/>
          <w:u w:val="single"/>
          <w:lang w:val="fr-CA"/>
        </w:rPr>
        <w:t>Analyse</w:t>
      </w:r>
      <w:bookmarkEnd w:id="8"/>
    </w:p>
    <w:p w:rsidR="0062110E" w:rsidRPr="00751B87" w:rsidRDefault="0062110E" w:rsidP="0062110E">
      <w:pPr>
        <w:pStyle w:val="TitleTitre-AltT"/>
        <w:keepNext/>
        <w:tabs>
          <w:tab w:val="clear" w:pos="360"/>
        </w:tabs>
        <w:spacing w:before="0"/>
        <w:rPr>
          <w:rFonts w:cs="Times New Roman"/>
          <w:szCs w:val="24"/>
          <w:lang w:val="fr-CA"/>
        </w:rPr>
      </w:pPr>
      <w:bookmarkStart w:id="9" w:name="_Toc308445310"/>
      <w:r w:rsidRPr="00751B87">
        <w:rPr>
          <w:rFonts w:cs="Times New Roman"/>
          <w:szCs w:val="24"/>
          <w:lang w:val="fr-CA"/>
        </w:rPr>
        <w:t>A.</w:t>
      </w:r>
      <w:r w:rsidRPr="00751B87">
        <w:rPr>
          <w:rFonts w:cs="Times New Roman"/>
          <w:szCs w:val="24"/>
          <w:lang w:val="fr-CA"/>
        </w:rPr>
        <w:tab/>
      </w:r>
      <w:r w:rsidRPr="00751B87">
        <w:rPr>
          <w:rFonts w:cs="Times New Roman"/>
          <w:i/>
          <w:szCs w:val="24"/>
          <w:lang w:val="fr-CA"/>
        </w:rPr>
        <w:t>Déclarations inexactes au sens de la Loi</w:t>
      </w:r>
      <w:bookmarkEnd w:id="9"/>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lang w:val="fr-CA"/>
        </w:rPr>
      </w:pPr>
      <w:r w:rsidRPr="00751B87">
        <w:rPr>
          <w:rFonts w:cs="Times New Roman"/>
          <w:szCs w:val="24"/>
          <w:lang w:val="fr-CA"/>
        </w:rPr>
        <w:tab/>
      </w:r>
      <w:bookmarkStart w:id="10" w:name="_Toc308445311"/>
      <w:r w:rsidRPr="00751B87">
        <w:rPr>
          <w:rFonts w:cs="Times New Roman"/>
          <w:szCs w:val="24"/>
          <w:lang w:val="fr-CA"/>
        </w:rPr>
        <w:t>(1)</w:t>
      </w:r>
      <w:r w:rsidRPr="00751B87">
        <w:rPr>
          <w:rFonts w:cs="Times New Roman"/>
          <w:szCs w:val="24"/>
          <w:lang w:val="fr-CA"/>
        </w:rPr>
        <w:tab/>
      </w:r>
      <w:r w:rsidRPr="00751B87">
        <w:rPr>
          <w:rFonts w:cs="Times New Roman"/>
          <w:szCs w:val="24"/>
          <w:u w:val="single"/>
          <w:lang w:val="fr-CA"/>
        </w:rPr>
        <w:t>Obligations en matière de communication</w:t>
      </w:r>
      <w:bookmarkEnd w:id="10"/>
    </w:p>
    <w:p w:rsidR="0062110E" w:rsidRPr="00751B87" w:rsidRDefault="0062110E" w:rsidP="0062110E">
      <w:pPr>
        <w:pStyle w:val="ParaNoNdepar-AltN"/>
        <w:rPr>
          <w:rFonts w:cs="Times New Roman"/>
          <w:szCs w:val="24"/>
          <w:lang w:val="fr-CA"/>
        </w:rPr>
      </w:pPr>
      <w:r w:rsidRPr="00751B87">
        <w:rPr>
          <w:rFonts w:cs="Times New Roman"/>
          <w:szCs w:val="24"/>
          <w:lang w:val="fr-CA"/>
        </w:rPr>
        <w:t>Je résumerai d’abord les exigences de la Loi en matière de communication qui s’appliqu</w:t>
      </w:r>
      <w:r w:rsidR="008A7242">
        <w:rPr>
          <w:rFonts w:cs="Times New Roman"/>
          <w:szCs w:val="24"/>
          <w:lang w:val="fr-CA"/>
        </w:rPr>
        <w:t>ai</w:t>
      </w:r>
      <w:r w:rsidRPr="00751B87">
        <w:rPr>
          <w:rFonts w:cs="Times New Roman"/>
          <w:szCs w:val="24"/>
          <w:lang w:val="fr-CA"/>
        </w:rPr>
        <w:t>ent en l’espèce.</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Les unités du Hilton constituaient à la fois un intérêt sur biens réels et un intérêt dans un pool locatif assujettis à la </w:t>
      </w:r>
      <w:r w:rsidRPr="00751B87">
        <w:rPr>
          <w:rFonts w:cs="Times New Roman"/>
          <w:i/>
          <w:szCs w:val="24"/>
          <w:lang w:val="fr-CA"/>
        </w:rPr>
        <w:t xml:space="preserve">Securities </w:t>
      </w:r>
      <w:proofErr w:type="spellStart"/>
      <w:r w:rsidRPr="00751B87">
        <w:rPr>
          <w:rFonts w:cs="Times New Roman"/>
          <w:i/>
          <w:szCs w:val="24"/>
          <w:lang w:val="fr-CA"/>
        </w:rPr>
        <w:t>Act</w:t>
      </w:r>
      <w:proofErr w:type="spellEnd"/>
      <w:r w:rsidRPr="00751B87">
        <w:rPr>
          <w:rFonts w:cs="Times New Roman"/>
          <w:szCs w:val="24"/>
          <w:lang w:val="fr-CA"/>
        </w:rPr>
        <w:t>, R.S.B.C. 1996, ch. 418, et à la Loi, deux lois qui prévoyaient les obligations du VAC en matière de communication.  Conformément à ces obligations, le VAC a fait la promotion des unités par le biais d’un document qui était à la fois une [</w:t>
      </w:r>
      <w:r w:rsidRPr="00751B87">
        <w:rPr>
          <w:rFonts w:cs="Times New Roman"/>
          <w:smallCaps/>
          <w:szCs w:val="24"/>
          <w:lang w:val="fr-CA"/>
        </w:rPr>
        <w:t>traduction</w:t>
      </w:r>
      <w:r w:rsidRPr="00751B87">
        <w:rPr>
          <w:rFonts w:cs="Times New Roman"/>
          <w:szCs w:val="24"/>
          <w:lang w:val="fr-CA"/>
        </w:rPr>
        <w:t xml:space="preserve">] « notice d’offre » au sens de la </w:t>
      </w:r>
      <w:r w:rsidRPr="00751B87">
        <w:rPr>
          <w:rFonts w:cs="Times New Roman"/>
          <w:i/>
          <w:szCs w:val="24"/>
          <w:lang w:val="fr-CA"/>
        </w:rPr>
        <w:t xml:space="preserve">Securities </w:t>
      </w:r>
      <w:proofErr w:type="spellStart"/>
      <w:r w:rsidRPr="00751B87">
        <w:rPr>
          <w:rFonts w:cs="Times New Roman"/>
          <w:i/>
          <w:szCs w:val="24"/>
          <w:lang w:val="fr-CA"/>
        </w:rPr>
        <w:t>Act</w:t>
      </w:r>
      <w:proofErr w:type="spellEnd"/>
      <w:r w:rsidRPr="00751B87">
        <w:rPr>
          <w:rFonts w:cs="Times New Roman"/>
          <w:szCs w:val="24"/>
          <w:lang w:val="fr-CA"/>
        </w:rPr>
        <w:t xml:space="preserve"> et un [</w:t>
      </w:r>
      <w:r w:rsidRPr="00751B87">
        <w:rPr>
          <w:rFonts w:cs="Times New Roman"/>
          <w:smallCaps/>
          <w:szCs w:val="24"/>
          <w:lang w:val="fr-CA"/>
        </w:rPr>
        <w:t>traduction</w:t>
      </w:r>
      <w:r w:rsidRPr="00751B87">
        <w:rPr>
          <w:rFonts w:cs="Times New Roman"/>
          <w:szCs w:val="24"/>
          <w:lang w:val="fr-CA"/>
        </w:rPr>
        <w:t xml:space="preserve">] « document d’information » au sens de la Loi. </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S’agissant des obligations de communication fixées par la </w:t>
      </w:r>
      <w:r w:rsidRPr="00751B87">
        <w:rPr>
          <w:rFonts w:cs="Times New Roman"/>
          <w:i/>
          <w:szCs w:val="24"/>
          <w:lang w:val="fr-CA"/>
        </w:rPr>
        <w:t xml:space="preserve">Securities </w:t>
      </w:r>
      <w:proofErr w:type="spellStart"/>
      <w:r w:rsidRPr="00751B87">
        <w:rPr>
          <w:rFonts w:cs="Times New Roman"/>
          <w:i/>
          <w:szCs w:val="24"/>
          <w:lang w:val="fr-CA"/>
        </w:rPr>
        <w:t>Act</w:t>
      </w:r>
      <w:proofErr w:type="spellEnd"/>
      <w:r w:rsidRPr="00751B87">
        <w:rPr>
          <w:rFonts w:cs="Times New Roman"/>
          <w:szCs w:val="24"/>
          <w:lang w:val="fr-CA"/>
        </w:rPr>
        <w:t>, les unités ont été mises sur le marché en conformité avec les dispenses prévues à ses al</w:t>
      </w:r>
      <w:r w:rsidR="00C96E03">
        <w:rPr>
          <w:rFonts w:cs="Times New Roman"/>
          <w:szCs w:val="24"/>
          <w:lang w:val="fr-CA"/>
        </w:rPr>
        <w:t>.</w:t>
      </w:r>
      <w:r w:rsidRPr="00751B87">
        <w:rPr>
          <w:rFonts w:cs="Times New Roman"/>
          <w:szCs w:val="24"/>
          <w:lang w:val="fr-CA"/>
        </w:rPr>
        <w:t> 45(2</w:t>
      </w:r>
      <w:proofErr w:type="gramStart"/>
      <w:r w:rsidRPr="00751B87">
        <w:rPr>
          <w:rFonts w:cs="Times New Roman"/>
          <w:szCs w:val="24"/>
          <w:lang w:val="fr-CA"/>
        </w:rPr>
        <w:t>)(</w:t>
      </w:r>
      <w:proofErr w:type="gramEnd"/>
      <w:r w:rsidRPr="008A7242">
        <w:rPr>
          <w:rFonts w:cs="Times New Roman"/>
          <w:i/>
          <w:szCs w:val="24"/>
          <w:lang w:val="fr-CA"/>
        </w:rPr>
        <w:t>5</w:t>
      </w:r>
      <w:r w:rsidRPr="00751B87">
        <w:rPr>
          <w:rFonts w:cs="Times New Roman"/>
          <w:szCs w:val="24"/>
          <w:lang w:val="fr-CA"/>
        </w:rPr>
        <w:t>) et 74(2)(</w:t>
      </w:r>
      <w:r w:rsidRPr="008A7242">
        <w:rPr>
          <w:rFonts w:cs="Times New Roman"/>
          <w:i/>
          <w:szCs w:val="24"/>
          <w:lang w:val="fr-CA"/>
        </w:rPr>
        <w:t>4</w:t>
      </w:r>
      <w:r w:rsidRPr="00751B87">
        <w:rPr>
          <w:rFonts w:cs="Times New Roman"/>
          <w:szCs w:val="24"/>
          <w:lang w:val="fr-CA"/>
        </w:rPr>
        <w:t>).  Or, suivant l’al. 45(2</w:t>
      </w:r>
      <w:proofErr w:type="gramStart"/>
      <w:r w:rsidRPr="00751B87">
        <w:rPr>
          <w:rFonts w:cs="Times New Roman"/>
          <w:szCs w:val="24"/>
          <w:lang w:val="fr-CA"/>
        </w:rPr>
        <w:t>)(</w:t>
      </w:r>
      <w:proofErr w:type="gramEnd"/>
      <w:r w:rsidRPr="008A7242">
        <w:rPr>
          <w:rFonts w:cs="Times New Roman"/>
          <w:i/>
          <w:szCs w:val="24"/>
          <w:lang w:val="fr-CA"/>
        </w:rPr>
        <w:t>5</w:t>
      </w:r>
      <w:r w:rsidRPr="00751B87">
        <w:rPr>
          <w:rFonts w:cs="Times New Roman"/>
          <w:szCs w:val="24"/>
          <w:lang w:val="fr-CA"/>
        </w:rPr>
        <w:t xml:space="preserve">), le VAC n’était pas tenu de s’inscrire auprès de la British Columbia Securities Commission </w:t>
      </w:r>
      <w:r>
        <w:rPr>
          <w:rFonts w:cs="Times New Roman"/>
          <w:szCs w:val="24"/>
          <w:lang w:val="fr-CA"/>
        </w:rPr>
        <w:t>(</w:t>
      </w:r>
      <w:r w:rsidR="008A7242">
        <w:rPr>
          <w:rFonts w:cs="Times New Roman"/>
          <w:szCs w:val="24"/>
          <w:lang w:val="fr-CA"/>
        </w:rPr>
        <w:t xml:space="preserve">la </w:t>
      </w:r>
      <w:r>
        <w:rPr>
          <w:rFonts w:cs="Times New Roman"/>
          <w:szCs w:val="24"/>
          <w:lang w:val="fr-CA"/>
        </w:rPr>
        <w:t xml:space="preserve">« commission des valeurs mobilières de la Colombie-Britannique ») </w:t>
      </w:r>
      <w:r w:rsidRPr="00751B87">
        <w:rPr>
          <w:rFonts w:cs="Times New Roman"/>
          <w:szCs w:val="24"/>
          <w:lang w:val="fr-CA"/>
        </w:rPr>
        <w:t>pour les vendre.  Par ailleurs, suivant l’al. 74(2</w:t>
      </w:r>
      <w:proofErr w:type="gramStart"/>
      <w:r w:rsidRPr="00751B87">
        <w:rPr>
          <w:rFonts w:cs="Times New Roman"/>
          <w:szCs w:val="24"/>
          <w:lang w:val="fr-CA"/>
        </w:rPr>
        <w:t>)(</w:t>
      </w:r>
      <w:proofErr w:type="gramEnd"/>
      <w:r w:rsidRPr="008A7242">
        <w:rPr>
          <w:rFonts w:cs="Times New Roman"/>
          <w:i/>
          <w:szCs w:val="24"/>
          <w:lang w:val="fr-CA"/>
        </w:rPr>
        <w:t>4</w:t>
      </w:r>
      <w:r w:rsidRPr="00751B87">
        <w:rPr>
          <w:rFonts w:cs="Times New Roman"/>
          <w:szCs w:val="24"/>
          <w:lang w:val="fr-CA"/>
        </w:rPr>
        <w:t xml:space="preserve">), le VAC n’avait pas à fournir de prospectus.  Les deux dispenses s’appliquaient à toute opération — notamment une opération de la nature de celles qui nous intéressent ici — par laquelle une personne faisait pour son propre compte l’acquisition d’un titre moyennant un coût d’acquisition global au moins égal à un certain montant prescrit, en l’occurrence 97 000 $. </w:t>
      </w:r>
    </w:p>
    <w:p w:rsidR="0062110E" w:rsidRPr="00751B87" w:rsidRDefault="0062110E" w:rsidP="0062110E">
      <w:pPr>
        <w:pStyle w:val="ParaNoNdepar-AltN"/>
        <w:rPr>
          <w:rFonts w:cs="Times New Roman"/>
          <w:szCs w:val="24"/>
          <w:lang w:val="fr-CA"/>
        </w:rPr>
      </w:pPr>
      <w:r w:rsidRPr="00751B87">
        <w:rPr>
          <w:rFonts w:cs="Times New Roman"/>
          <w:szCs w:val="24"/>
          <w:lang w:val="fr-CA"/>
        </w:rPr>
        <w:t>Le coût d’acquisition minimal et l’obligation faite à l’acheteur d’agir pour son propre compte tiennent lieu des connaissances suffisantes qu’il est censé posséder pour justifier une obligation de communication mieux définie que celle qui s’applique à l’égard des prospectus.  Les unités en cause étant visées par les dispenses prévues à cette loi, le VAC était seulement tenu de présenter une notice d’offre (voir l’avis et bulletin d’interprétation n</w:t>
      </w:r>
      <w:r w:rsidRPr="00751B87">
        <w:rPr>
          <w:rFonts w:cs="Times New Roman"/>
          <w:szCs w:val="24"/>
          <w:vertAlign w:val="superscript"/>
          <w:lang w:val="fr-CA"/>
        </w:rPr>
        <w:t>o</w:t>
      </w:r>
      <w:r w:rsidRPr="00751B87">
        <w:rPr>
          <w:rFonts w:cs="Times New Roman"/>
          <w:szCs w:val="24"/>
          <w:lang w:val="fr-CA"/>
        </w:rPr>
        <w:t xml:space="preserve"> 96/36 de la </w:t>
      </w:r>
      <w:r>
        <w:rPr>
          <w:rFonts w:cs="Times New Roman"/>
          <w:szCs w:val="24"/>
          <w:lang w:val="fr-CA"/>
        </w:rPr>
        <w:t>commission des valeurs mobilières de la Colombie-Britannique</w:t>
      </w:r>
      <w:r w:rsidRPr="00751B87">
        <w:rPr>
          <w:rFonts w:cs="Times New Roman"/>
          <w:szCs w:val="24"/>
          <w:lang w:val="fr-CA"/>
        </w:rPr>
        <w:t xml:space="preserve">, « Real </w:t>
      </w:r>
      <w:proofErr w:type="spellStart"/>
      <w:r w:rsidRPr="00751B87">
        <w:rPr>
          <w:rFonts w:cs="Times New Roman"/>
          <w:szCs w:val="24"/>
          <w:lang w:val="fr-CA"/>
        </w:rPr>
        <w:t>Estate</w:t>
      </w:r>
      <w:proofErr w:type="spellEnd"/>
      <w:r w:rsidRPr="00751B87">
        <w:rPr>
          <w:rFonts w:cs="Times New Roman"/>
          <w:szCs w:val="24"/>
          <w:lang w:val="fr-CA"/>
        </w:rPr>
        <w:t xml:space="preserve"> Securities »</w:t>
      </w:r>
      <w:r w:rsidR="008A7242">
        <w:rPr>
          <w:rFonts w:cs="Times New Roman"/>
          <w:szCs w:val="24"/>
          <w:lang w:val="fr-CA"/>
        </w:rPr>
        <w:t xml:space="preserve"> (en ligne)</w:t>
      </w:r>
      <w:r w:rsidRPr="00751B87">
        <w:rPr>
          <w:rFonts w:cs="Times New Roman"/>
          <w:szCs w:val="24"/>
          <w:lang w:val="fr-CA"/>
        </w:rPr>
        <w:t xml:space="preserve">) dans laquelle il ne devait fournir que les renseignements visés par la formule 43B de </w:t>
      </w:r>
      <w:r>
        <w:rPr>
          <w:rFonts w:cs="Times New Roman"/>
          <w:szCs w:val="24"/>
          <w:lang w:val="fr-CA"/>
        </w:rPr>
        <w:t>ce même organisme</w:t>
      </w:r>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S’agissant des obligations de communication prévues par la Loi, le par. 66(1) de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prévoyait que le </w:t>
      </w:r>
      <w:proofErr w:type="spellStart"/>
      <w:r w:rsidRPr="00751B87">
        <w:rPr>
          <w:rFonts w:cs="Times New Roman"/>
          <w:szCs w:val="24"/>
          <w:lang w:val="fr-CA"/>
        </w:rPr>
        <w:t>Superintend</w:t>
      </w:r>
      <w:r>
        <w:rPr>
          <w:rFonts w:cs="Times New Roman"/>
          <w:szCs w:val="24"/>
          <w:lang w:val="fr-CA"/>
        </w:rPr>
        <w:t>e</w:t>
      </w:r>
      <w:r w:rsidRPr="00751B87">
        <w:rPr>
          <w:rFonts w:cs="Times New Roman"/>
          <w:szCs w:val="24"/>
          <w:lang w:val="fr-CA"/>
        </w:rPr>
        <w:t>nt</w:t>
      </w:r>
      <w:proofErr w:type="spellEnd"/>
      <w:r w:rsidRPr="00751B87">
        <w:rPr>
          <w:rFonts w:cs="Times New Roman"/>
          <w:szCs w:val="24"/>
          <w:lang w:val="fr-CA"/>
        </w:rPr>
        <w:t xml:space="preserve"> of Real </w:t>
      </w:r>
      <w:proofErr w:type="spellStart"/>
      <w:r w:rsidRPr="00751B87">
        <w:rPr>
          <w:rFonts w:cs="Times New Roman"/>
          <w:szCs w:val="24"/>
          <w:lang w:val="fr-CA"/>
        </w:rPr>
        <w:t>Estate</w:t>
      </w:r>
      <w:proofErr w:type="spellEnd"/>
      <w:r w:rsidRPr="00751B87">
        <w:rPr>
          <w:rFonts w:cs="Times New Roman"/>
          <w:szCs w:val="24"/>
          <w:lang w:val="fr-CA"/>
        </w:rPr>
        <w:t xml:space="preserve"> </w:t>
      </w:r>
      <w:r>
        <w:rPr>
          <w:rFonts w:cs="Times New Roman"/>
          <w:szCs w:val="24"/>
          <w:lang w:val="fr-CA"/>
        </w:rPr>
        <w:t>(</w:t>
      </w:r>
      <w:r w:rsidR="008A7242">
        <w:rPr>
          <w:rFonts w:cs="Times New Roman"/>
          <w:szCs w:val="24"/>
          <w:lang w:val="fr-CA"/>
        </w:rPr>
        <w:t xml:space="preserve">le </w:t>
      </w:r>
      <w:r>
        <w:rPr>
          <w:rFonts w:cs="Times New Roman"/>
          <w:szCs w:val="24"/>
          <w:lang w:val="fr-CA"/>
        </w:rPr>
        <w:t xml:space="preserve">« surintendant </w:t>
      </w:r>
      <w:r>
        <w:rPr>
          <w:rFonts w:cs="Times New Roman"/>
          <w:szCs w:val="24"/>
          <w:lang w:val="fr-CA"/>
        </w:rPr>
        <w:lastRenderedPageBreak/>
        <w:t xml:space="preserve">du courtage immobilier ») </w:t>
      </w:r>
      <w:r w:rsidRPr="00751B87">
        <w:rPr>
          <w:rFonts w:cs="Times New Roman"/>
          <w:szCs w:val="24"/>
          <w:lang w:val="fr-CA"/>
        </w:rPr>
        <w:t xml:space="preserve">pouvait autoriser le VAC à soumettre un document d’information plutôt qu’un prospectus, et c’est ce qu’il semble avoir fait.  Les obligations de communication que le VAC devait remplir dans son document se limitaient à celles que le </w:t>
      </w:r>
      <w:r>
        <w:rPr>
          <w:rFonts w:cs="Times New Roman"/>
          <w:szCs w:val="24"/>
          <w:lang w:val="fr-CA"/>
        </w:rPr>
        <w:t>surintendant du courtage immobilier</w:t>
      </w:r>
      <w:r w:rsidRPr="00751B87">
        <w:rPr>
          <w:rFonts w:cs="Times New Roman"/>
          <w:szCs w:val="24"/>
          <w:lang w:val="fr-CA"/>
        </w:rPr>
        <w:t xml:space="preserve"> avait fixées (en vertu des al. 66(3</w:t>
      </w:r>
      <w:proofErr w:type="gramStart"/>
      <w:r w:rsidRPr="00751B87">
        <w:rPr>
          <w:rFonts w:cs="Times New Roman"/>
          <w:szCs w:val="24"/>
          <w:lang w:val="fr-CA"/>
        </w:rPr>
        <w:t>)</w:t>
      </w:r>
      <w:r w:rsidRPr="001C0FAC">
        <w:rPr>
          <w:rFonts w:cs="Times New Roman"/>
          <w:szCs w:val="24"/>
          <w:lang w:val="fr-CA"/>
        </w:rPr>
        <w:t>a</w:t>
      </w:r>
      <w:proofErr w:type="gramEnd"/>
      <w:r w:rsidRPr="00751B87">
        <w:rPr>
          <w:rFonts w:cs="Times New Roman"/>
          <w:szCs w:val="24"/>
          <w:lang w:val="fr-CA"/>
        </w:rPr>
        <w:t>) et </w:t>
      </w:r>
      <w:r w:rsidRPr="001C0FAC">
        <w:rPr>
          <w:rFonts w:cs="Times New Roman"/>
          <w:szCs w:val="24"/>
          <w:lang w:val="fr-CA"/>
        </w:rPr>
        <w:t>c</w:t>
      </w:r>
      <w:r w:rsidRPr="00751B87">
        <w:rPr>
          <w:rFonts w:cs="Times New Roman"/>
          <w:szCs w:val="24"/>
          <w:lang w:val="fr-CA"/>
        </w:rPr>
        <w:t>) de la Loi).</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Il semble que le </w:t>
      </w:r>
      <w:r>
        <w:rPr>
          <w:rFonts w:cs="Times New Roman"/>
          <w:szCs w:val="24"/>
          <w:lang w:val="fr-CA"/>
        </w:rPr>
        <w:t>surintendant du courtage immobilier</w:t>
      </w:r>
      <w:r w:rsidRPr="00751B87">
        <w:rPr>
          <w:rFonts w:cs="Times New Roman"/>
          <w:szCs w:val="24"/>
          <w:lang w:val="fr-CA"/>
        </w:rPr>
        <w:t xml:space="preserve"> et la </w:t>
      </w:r>
      <w:r>
        <w:rPr>
          <w:rFonts w:cs="Times New Roman"/>
          <w:szCs w:val="24"/>
          <w:lang w:val="fr-CA"/>
        </w:rPr>
        <w:t>commission des valeurs mobilières de la Colombie-Britannique</w:t>
      </w:r>
      <w:r w:rsidRPr="00751B87">
        <w:rPr>
          <w:rFonts w:cs="Times New Roman"/>
          <w:szCs w:val="24"/>
          <w:lang w:val="fr-CA"/>
        </w:rPr>
        <w:t xml:space="preserve"> aient permis aux promoteurs de réunir en un seul document la notice d’offre et le document d’information, plutôt que de soumettre </w:t>
      </w:r>
      <w:proofErr w:type="spellStart"/>
      <w:r w:rsidRPr="00751B87">
        <w:rPr>
          <w:rFonts w:cs="Times New Roman"/>
          <w:szCs w:val="24"/>
          <w:lang w:val="fr-CA"/>
        </w:rPr>
        <w:t>ceux</w:t>
      </w:r>
      <w:r w:rsidRPr="00751B87">
        <w:rPr>
          <w:rFonts w:cs="Times New Roman"/>
          <w:szCs w:val="24"/>
          <w:lang w:val="fr-CA"/>
        </w:rPr>
        <w:noBreakHyphen/>
        <w:t>ci</w:t>
      </w:r>
      <w:proofErr w:type="spellEnd"/>
      <w:r w:rsidRPr="00751B87">
        <w:rPr>
          <w:rFonts w:cs="Times New Roman"/>
          <w:szCs w:val="24"/>
          <w:lang w:val="fr-CA"/>
        </w:rPr>
        <w:t xml:space="preserve"> séparément.  Le document du Hilton constituait un tel document, et, comme je viens de l’expliquer, le VAC n’était tenu d’y communiquer que certains renseignements bien précis.  De ces renseignements, seuls ceux visés par les </w:t>
      </w:r>
      <w:r>
        <w:rPr>
          <w:rFonts w:cs="Times New Roman"/>
          <w:szCs w:val="24"/>
          <w:lang w:val="fr-CA"/>
        </w:rPr>
        <w:t>éléments</w:t>
      </w:r>
      <w:r w:rsidRPr="00751B87">
        <w:rPr>
          <w:rFonts w:cs="Times New Roman"/>
          <w:szCs w:val="24"/>
          <w:lang w:val="fr-CA"/>
        </w:rPr>
        <w:t> 9 et 13 de la formule 43B sont pertinents en l’espèce.</w:t>
      </w:r>
    </w:p>
    <w:p w:rsidR="0062110E" w:rsidRPr="00751B87" w:rsidRDefault="0062110E" w:rsidP="0062110E">
      <w:pPr>
        <w:pStyle w:val="ParaNoNdepar-AltN"/>
        <w:rPr>
          <w:rFonts w:cs="Times New Roman"/>
          <w:szCs w:val="24"/>
          <w:lang w:val="fr-CA"/>
        </w:rPr>
      </w:pPr>
      <w:r w:rsidRPr="00751B87">
        <w:rPr>
          <w:rFonts w:cs="Times New Roman"/>
          <w:szCs w:val="24"/>
          <w:lang w:val="fr-CA"/>
        </w:rPr>
        <w:t>L’</w:t>
      </w:r>
      <w:r>
        <w:rPr>
          <w:rFonts w:cs="Times New Roman"/>
          <w:szCs w:val="24"/>
          <w:lang w:val="fr-CA"/>
        </w:rPr>
        <w:t>élément</w:t>
      </w:r>
      <w:r w:rsidRPr="00751B87">
        <w:rPr>
          <w:rFonts w:cs="Times New Roman"/>
          <w:szCs w:val="24"/>
          <w:lang w:val="fr-CA"/>
        </w:rPr>
        <w:t> 9 de la formule 43B exigeait que le document contienne une déclaration soulignant le caractère spéculatif d’un placement immobilier et les risques inhérents à un tel placement, et qu’il fasse état des facteurs particuliers qui [</w:t>
      </w:r>
      <w:r w:rsidRPr="00751B87">
        <w:rPr>
          <w:rFonts w:cs="Times New Roman"/>
          <w:smallCaps/>
          <w:szCs w:val="24"/>
          <w:lang w:val="fr-CA"/>
        </w:rPr>
        <w:t>traduction</w:t>
      </w:r>
      <w:r w:rsidRPr="00751B87">
        <w:rPr>
          <w:rFonts w:cs="Times New Roman"/>
          <w:szCs w:val="24"/>
          <w:lang w:val="fr-CA"/>
        </w:rPr>
        <w:t>] « </w:t>
      </w:r>
      <w:proofErr w:type="gramStart"/>
      <w:r w:rsidRPr="00751B87">
        <w:rPr>
          <w:rFonts w:cs="Times New Roman"/>
          <w:szCs w:val="24"/>
          <w:lang w:val="fr-CA"/>
        </w:rPr>
        <w:t>rend[</w:t>
      </w:r>
      <w:proofErr w:type="gramEnd"/>
      <w:r w:rsidRPr="00751B87">
        <w:rPr>
          <w:rFonts w:cs="Times New Roman"/>
          <w:szCs w:val="24"/>
          <w:lang w:val="fr-CA"/>
        </w:rPr>
        <w:t xml:space="preserve">aient] le placement [en question] risqué ou spéculatif » : </w:t>
      </w:r>
    </w:p>
    <w:p w:rsidR="0062110E" w:rsidRPr="00751B87" w:rsidRDefault="00BE73BE" w:rsidP="00BE73BE">
      <w:pPr>
        <w:pStyle w:val="Citation-AltC"/>
        <w:tabs>
          <w:tab w:val="left" w:pos="1170"/>
        </w:tabs>
        <w:spacing w:after="240"/>
        <w:ind w:hanging="1166"/>
        <w:contextualSpacing w:val="0"/>
        <w:rPr>
          <w:lang w:val="fr-CA"/>
        </w:rPr>
      </w:pPr>
      <w:r>
        <w:rPr>
          <w:lang w:val="fr-CA"/>
        </w:rPr>
        <w:tab/>
      </w:r>
      <w:r w:rsidR="0062110E" w:rsidRPr="00751B87">
        <w:rPr>
          <w:lang w:val="fr-CA"/>
        </w:rPr>
        <w:t>[</w:t>
      </w:r>
      <w:r w:rsidR="0062110E" w:rsidRPr="00751B87">
        <w:rPr>
          <w:smallCaps/>
          <w:lang w:val="fr-CA"/>
        </w:rPr>
        <w:t>traduction</w:t>
      </w:r>
      <w:r w:rsidR="0062110E" w:rsidRPr="00751B87">
        <w:rPr>
          <w:lang w:val="fr-CA"/>
        </w:rPr>
        <w:t>]</w:t>
      </w:r>
    </w:p>
    <w:p w:rsidR="0062110E" w:rsidRPr="00F95B82" w:rsidRDefault="00BE73BE" w:rsidP="00BE73BE">
      <w:pPr>
        <w:pStyle w:val="Citation-AltC"/>
        <w:tabs>
          <w:tab w:val="left" w:pos="1170"/>
        </w:tabs>
        <w:spacing w:after="240"/>
        <w:ind w:hanging="1166"/>
        <w:contextualSpacing w:val="0"/>
        <w:rPr>
          <w:b/>
          <w:lang w:val="fr-CA"/>
        </w:rPr>
      </w:pPr>
      <w:r>
        <w:rPr>
          <w:b/>
          <w:lang w:val="fr-CA"/>
        </w:rPr>
        <w:tab/>
      </w:r>
      <w:r w:rsidR="0062110E" w:rsidRPr="00F95B82">
        <w:rPr>
          <w:b/>
          <w:lang w:val="fr-CA"/>
        </w:rPr>
        <w:t>ÉLÉMENT 9 Facteurs de risque</w:t>
      </w:r>
    </w:p>
    <w:p w:rsidR="0062110E" w:rsidRPr="00751B87" w:rsidRDefault="00BE73BE" w:rsidP="00BE73BE">
      <w:pPr>
        <w:pStyle w:val="Citation-AltC"/>
        <w:tabs>
          <w:tab w:val="left" w:pos="1170"/>
          <w:tab w:val="left" w:pos="1800"/>
        </w:tabs>
        <w:spacing w:after="240"/>
        <w:ind w:left="1170" w:hanging="1170"/>
        <w:contextualSpacing w:val="0"/>
        <w:rPr>
          <w:lang w:val="fr-CA"/>
        </w:rPr>
      </w:pPr>
      <w:r>
        <w:rPr>
          <w:lang w:val="fr-CA"/>
        </w:rPr>
        <w:tab/>
        <w:t>(1)</w:t>
      </w:r>
      <w:r>
        <w:rPr>
          <w:lang w:val="fr-CA"/>
        </w:rPr>
        <w:tab/>
      </w:r>
      <w:r w:rsidR="0062110E" w:rsidRPr="00751B87">
        <w:rPr>
          <w:lang w:val="fr-CA"/>
        </w:rPr>
        <w:t>Déclarer ce qui suit :</w:t>
      </w:r>
    </w:p>
    <w:p w:rsidR="0062110E" w:rsidRPr="00F95B82" w:rsidRDefault="00BE73BE" w:rsidP="00BE73BE">
      <w:pPr>
        <w:pStyle w:val="Citation-AltC"/>
        <w:tabs>
          <w:tab w:val="left" w:pos="1170"/>
        </w:tabs>
        <w:spacing w:after="240"/>
        <w:ind w:hanging="1166"/>
        <w:contextualSpacing w:val="0"/>
        <w:rPr>
          <w:b/>
          <w:lang w:val="fr-CA"/>
        </w:rPr>
      </w:pPr>
      <w:r>
        <w:rPr>
          <w:b/>
          <w:lang w:val="fr-CA"/>
        </w:rPr>
        <w:tab/>
      </w:r>
      <w:r w:rsidR="0062110E" w:rsidRPr="00F95B82">
        <w:rPr>
          <w:b/>
          <w:lang w:val="fr-CA"/>
        </w:rPr>
        <w:t xml:space="preserve">L’investissement immobilier est, de par sa nature, spéculatif. Si l’acheteur acquiert l’immeuble à titre d’investissement, il doit être </w:t>
      </w:r>
      <w:r w:rsidR="0062110E" w:rsidRPr="00F95B82">
        <w:rPr>
          <w:b/>
          <w:lang w:val="fr-CA"/>
        </w:rPr>
        <w:lastRenderedPageBreak/>
        <w:t>conscient que cet investissement, en plus des risques habituels liés à l’achat d’un immeuble, comporte des risques inhérents à la nature des titres de placement immobilier.</w:t>
      </w:r>
    </w:p>
    <w:p w:rsidR="0062110E" w:rsidRPr="00751B87" w:rsidRDefault="00BE73BE" w:rsidP="00BE73BE">
      <w:pPr>
        <w:pStyle w:val="Citation-AltC"/>
        <w:tabs>
          <w:tab w:val="left" w:pos="1170"/>
          <w:tab w:val="left" w:pos="1800"/>
        </w:tabs>
        <w:spacing w:after="240"/>
        <w:ind w:left="1170" w:hanging="1170"/>
        <w:contextualSpacing w:val="0"/>
        <w:rPr>
          <w:lang w:val="fr-CA"/>
        </w:rPr>
      </w:pPr>
      <w:r>
        <w:rPr>
          <w:lang w:val="fr-CA"/>
        </w:rPr>
        <w:tab/>
      </w:r>
      <w:r w:rsidR="0062110E" w:rsidRPr="00751B87">
        <w:rPr>
          <w:lang w:val="fr-CA"/>
        </w:rPr>
        <w:t>(2)</w:t>
      </w:r>
      <w:r>
        <w:rPr>
          <w:lang w:val="fr-CA"/>
        </w:rPr>
        <w:tab/>
      </w:r>
      <w:r w:rsidR="0062110E" w:rsidRPr="00751B87">
        <w:rPr>
          <w:lang w:val="fr-CA"/>
        </w:rPr>
        <w:t>Mentionner les facteurs de risque qui rendent le placement risqué ou spéculatif.</w:t>
      </w:r>
    </w:p>
    <w:p w:rsidR="0062110E" w:rsidRPr="00751B87" w:rsidRDefault="00BE73BE" w:rsidP="00BE73BE">
      <w:pPr>
        <w:pStyle w:val="Citation-AltC"/>
        <w:tabs>
          <w:tab w:val="left" w:pos="1170"/>
        </w:tabs>
        <w:spacing w:after="240"/>
        <w:ind w:hanging="1166"/>
        <w:contextualSpacing w:val="0"/>
        <w:rPr>
          <w:lang w:val="fr-CA"/>
        </w:rPr>
      </w:pPr>
      <w:r>
        <w:rPr>
          <w:b/>
          <w:i/>
          <w:lang w:val="fr-CA"/>
        </w:rPr>
        <w:tab/>
      </w:r>
      <w:r w:rsidR="0062110E" w:rsidRPr="00F95B82">
        <w:rPr>
          <w:b/>
          <w:i/>
          <w:lang w:val="fr-CA"/>
        </w:rPr>
        <w:t>Mise en garde</w:t>
      </w:r>
      <w:r w:rsidR="0062110E" w:rsidRPr="00F95B82">
        <w:rPr>
          <w:b/>
          <w:lang w:val="fr-CA"/>
        </w:rPr>
        <w:t> </w:t>
      </w:r>
      <w:r w:rsidR="0062110E" w:rsidRPr="008A7242">
        <w:rPr>
          <w:b/>
          <w:i/>
          <w:lang w:val="fr-CA"/>
        </w:rPr>
        <w:t>:</w:t>
      </w:r>
      <w:r w:rsidR="0062110E" w:rsidRPr="00F95B82">
        <w:rPr>
          <w:b/>
          <w:lang w:val="fr-CA"/>
        </w:rPr>
        <w:t xml:space="preserve"> </w:t>
      </w:r>
      <w:r w:rsidR="0062110E" w:rsidRPr="00751B87">
        <w:rPr>
          <w:lang w:val="fr-CA"/>
        </w:rPr>
        <w:t>Les facteurs de risque peuvent comprendre, sans toutefois s’y limiter, des éléments comme les risques généralement liés aux investissements immobiliers, le fait que l’on dépend des efforts, de la capacité et de l’expérience du promoteur ou de l’administrateur, l’inexpérience de l’administrateur, l’absence de compétence dans le domaine financier, le fait que l’on dépend de la santé financière de la personne qui offre la garantie ou l’engagement financier, les risques liés aux flux de trésorerie et aux liquidités, ceux liés au financement, la possibilité de devoir verser des contributions en sus de l’investissement initial, les droits limités d’un détenteur de parts quant à l’administration et au contrôle de la société ou de l’entreprise de condominium, l’incapacité de changer d’administrateur, les limites imposées en matière de revente des titres de placement immobilier, les conflits d’intérêts touchant le promoteur ou l’administrateur, et, si le placement prévoit que les détenteurs de part</w:t>
      </w:r>
      <w:r w:rsidR="0062110E">
        <w:rPr>
          <w:lang w:val="fr-CA"/>
        </w:rPr>
        <w:t>s</w:t>
      </w:r>
      <w:r w:rsidR="0062110E" w:rsidRPr="00751B87">
        <w:rPr>
          <w:lang w:val="fr-CA"/>
        </w:rPr>
        <w:t xml:space="preserve"> peuvent participer financièrement à l’entreprise — hôtel, motel, centre de villégiature, hôtel de résidence ou autre entreprise commerciale —, les risques généralement liés à l’entreprise, l’absence d’antécédents d’exploitation de </w:t>
      </w:r>
      <w:proofErr w:type="spellStart"/>
      <w:r w:rsidR="0062110E" w:rsidRPr="00751B87">
        <w:rPr>
          <w:lang w:val="fr-CA"/>
        </w:rPr>
        <w:t>celle</w:t>
      </w:r>
      <w:r w:rsidR="0062110E" w:rsidRPr="00751B87">
        <w:rPr>
          <w:lang w:val="fr-CA"/>
        </w:rPr>
        <w:noBreakHyphen/>
        <w:t>ci</w:t>
      </w:r>
      <w:proofErr w:type="spellEnd"/>
      <w:r w:rsidR="0062110E" w:rsidRPr="00751B87">
        <w:rPr>
          <w:lang w:val="fr-CA"/>
        </w:rPr>
        <w:t xml:space="preserve"> et la concurrence.</w:t>
      </w:r>
    </w:p>
    <w:p w:rsidR="0062110E" w:rsidRPr="00751B87" w:rsidRDefault="00BE73BE" w:rsidP="00BE73BE">
      <w:pPr>
        <w:pStyle w:val="Citation-AltC"/>
        <w:tabs>
          <w:tab w:val="left" w:pos="1170"/>
          <w:tab w:val="left" w:pos="1800"/>
        </w:tabs>
        <w:spacing w:after="240"/>
        <w:ind w:left="1170" w:hanging="1170"/>
        <w:contextualSpacing w:val="0"/>
        <w:rPr>
          <w:lang w:val="fr-CA"/>
        </w:rPr>
      </w:pPr>
      <w:r>
        <w:rPr>
          <w:lang w:val="fr-CA"/>
        </w:rPr>
        <w:tab/>
      </w:r>
      <w:r w:rsidR="0062110E" w:rsidRPr="00751B87">
        <w:rPr>
          <w:lang w:val="fr-CA"/>
        </w:rPr>
        <w:t>(3)</w:t>
      </w:r>
      <w:r>
        <w:rPr>
          <w:lang w:val="fr-CA"/>
        </w:rPr>
        <w:tab/>
      </w:r>
      <w:r w:rsidR="0062110E" w:rsidRPr="00751B87">
        <w:rPr>
          <w:lang w:val="fr-CA"/>
        </w:rPr>
        <w:t>Si les titres de placement immobilier visent un pool locatif, déclarer ce qui suit :</w:t>
      </w:r>
    </w:p>
    <w:p w:rsidR="0062110E" w:rsidRPr="00F95B82" w:rsidRDefault="00BE73BE" w:rsidP="00BE73BE">
      <w:pPr>
        <w:pStyle w:val="Citation-AltC"/>
        <w:tabs>
          <w:tab w:val="left" w:pos="1170"/>
        </w:tabs>
        <w:spacing w:after="240"/>
        <w:ind w:hanging="1166"/>
        <w:contextualSpacing w:val="0"/>
        <w:rPr>
          <w:b/>
          <w:lang w:val="fr-CA"/>
        </w:rPr>
      </w:pPr>
      <w:r>
        <w:rPr>
          <w:b/>
          <w:lang w:val="fr-CA"/>
        </w:rPr>
        <w:tab/>
      </w:r>
      <w:r w:rsidR="0062110E" w:rsidRPr="00F95B82">
        <w:rPr>
          <w:b/>
          <w:lang w:val="fr-CA"/>
        </w:rPr>
        <w:t>Le succès ou l’échec du pool locatif dépendra en partie de la compétence de son administrateur.</w:t>
      </w:r>
    </w:p>
    <w:p w:rsidR="0062110E" w:rsidRPr="00751B87" w:rsidRDefault="00BE73BE" w:rsidP="00BE73BE">
      <w:pPr>
        <w:pStyle w:val="Citation-AltC"/>
        <w:tabs>
          <w:tab w:val="left" w:pos="1170"/>
          <w:tab w:val="left" w:pos="1800"/>
        </w:tabs>
        <w:spacing w:after="240"/>
        <w:ind w:left="1170" w:hanging="1170"/>
        <w:contextualSpacing w:val="0"/>
        <w:rPr>
          <w:lang w:val="fr-CA"/>
        </w:rPr>
      </w:pPr>
      <w:r>
        <w:rPr>
          <w:lang w:val="fr-CA"/>
        </w:rPr>
        <w:tab/>
      </w:r>
      <w:r w:rsidR="0062110E" w:rsidRPr="00751B87">
        <w:rPr>
          <w:lang w:val="fr-CA"/>
        </w:rPr>
        <w:t>(4)</w:t>
      </w:r>
      <w:r>
        <w:rPr>
          <w:lang w:val="fr-CA"/>
        </w:rPr>
        <w:tab/>
      </w:r>
      <w:r w:rsidR="0062110E" w:rsidRPr="00751B87">
        <w:rPr>
          <w:lang w:val="fr-CA"/>
        </w:rPr>
        <w:t>Si le propriétaire doit acquitter une partie des coûts d’exploitation du pool locatif, déclarer ce qui suit :</w:t>
      </w:r>
    </w:p>
    <w:p w:rsidR="0062110E" w:rsidRPr="00F95B82" w:rsidRDefault="00BE73BE" w:rsidP="00BE73BE">
      <w:pPr>
        <w:pStyle w:val="Citation-AltC"/>
        <w:tabs>
          <w:tab w:val="left" w:pos="1170"/>
        </w:tabs>
        <w:spacing w:after="240"/>
        <w:ind w:hanging="1166"/>
        <w:contextualSpacing w:val="0"/>
        <w:rPr>
          <w:b/>
          <w:lang w:val="fr-CA"/>
        </w:rPr>
      </w:pPr>
      <w:r>
        <w:rPr>
          <w:b/>
          <w:lang w:val="fr-CA"/>
        </w:rPr>
        <w:tab/>
      </w:r>
      <w:r w:rsidR="0062110E" w:rsidRPr="00F95B82">
        <w:rPr>
          <w:b/>
          <w:lang w:val="fr-CA"/>
        </w:rPr>
        <w:t>Si le revenu généré par le pool locatif est inférieur aux coûts de son exploitation, l’acheteur doit verser des contributions en sus de son investissement initial et des coûts de financement.</w:t>
      </w:r>
    </w:p>
    <w:p w:rsidR="0062110E" w:rsidRPr="00751B87" w:rsidRDefault="00BE73BE" w:rsidP="00BE73BE">
      <w:pPr>
        <w:pStyle w:val="Citation-AltC"/>
        <w:tabs>
          <w:tab w:val="left" w:pos="1170"/>
          <w:tab w:val="left" w:pos="1800"/>
        </w:tabs>
        <w:spacing w:after="240"/>
        <w:ind w:left="1170" w:hanging="1170"/>
        <w:contextualSpacing w:val="0"/>
        <w:rPr>
          <w:lang w:val="fr-CA"/>
        </w:rPr>
      </w:pPr>
      <w:r>
        <w:rPr>
          <w:lang w:val="fr-CA"/>
        </w:rPr>
        <w:tab/>
      </w:r>
      <w:r w:rsidR="0062110E" w:rsidRPr="00751B87">
        <w:rPr>
          <w:lang w:val="fr-CA"/>
        </w:rPr>
        <w:t>(5)</w:t>
      </w:r>
      <w:r>
        <w:rPr>
          <w:lang w:val="fr-CA"/>
        </w:rPr>
        <w:tab/>
      </w:r>
      <w:r w:rsidR="0062110E" w:rsidRPr="00751B87">
        <w:rPr>
          <w:lang w:val="fr-CA"/>
        </w:rPr>
        <w:t>Si les titres de placement immobilier comprennent une garantie ou un autre engagement financier, déclarer ce qui suit :</w:t>
      </w:r>
    </w:p>
    <w:p w:rsidR="0062110E" w:rsidRPr="008A7242" w:rsidRDefault="00BE73BE" w:rsidP="00BE73BE">
      <w:pPr>
        <w:pStyle w:val="Citation-AltC"/>
        <w:tabs>
          <w:tab w:val="left" w:pos="1170"/>
        </w:tabs>
        <w:ind w:hanging="1166"/>
        <w:contextualSpacing w:val="0"/>
        <w:rPr>
          <w:lang w:val="fr-CA"/>
        </w:rPr>
      </w:pPr>
      <w:r>
        <w:rPr>
          <w:b/>
          <w:lang w:val="fr-CA"/>
        </w:rPr>
        <w:tab/>
      </w:r>
      <w:r w:rsidR="0062110E" w:rsidRPr="00F95B82">
        <w:rPr>
          <w:b/>
          <w:lang w:val="fr-CA"/>
        </w:rPr>
        <w:t>La capacité de [la personne qui fournit la garantie] d’exécuter [la garantie ou l’autre engagement financier] dépendra de la santé financière de [la personne].  Voir les états financiers [de la personne] à la page [</w:t>
      </w:r>
      <w:r w:rsidR="008A7242">
        <w:rPr>
          <w:b/>
          <w:lang w:val="fr-CA"/>
        </w:rPr>
        <w:t>*</w:t>
      </w:r>
      <w:r w:rsidR="0062110E" w:rsidRPr="00F95B82">
        <w:rPr>
          <w:b/>
          <w:lang w:val="fr-CA"/>
        </w:rPr>
        <w:t>]</w:t>
      </w:r>
      <w:r w:rsidR="008A7242">
        <w:rPr>
          <w:b/>
          <w:lang w:val="fr-CA"/>
        </w:rPr>
        <w:t>.</w:t>
      </w:r>
      <w:r w:rsidR="0062110E" w:rsidRPr="00F95B82">
        <w:rPr>
          <w:b/>
          <w:lang w:val="fr-CA"/>
        </w:rPr>
        <w:t xml:space="preserve">  Rien ne garantit que [la personne] aura la capacité </w:t>
      </w:r>
      <w:r w:rsidR="0062110E" w:rsidRPr="00F95B82">
        <w:rPr>
          <w:b/>
          <w:lang w:val="fr-CA"/>
        </w:rPr>
        <w:lastRenderedPageBreak/>
        <w:t>financière de s’acquitter de ses obligations prévues par [la garantie ou l’autre engagement financier] et, par conséquent, il se peut que votre investissement ne vous rapporte rien du tout.</w:t>
      </w:r>
      <w:r w:rsidR="008A7242">
        <w:rPr>
          <w:lang w:val="fr-CA"/>
        </w:rPr>
        <w:t xml:space="preserve"> [Texte entre crochets dans l’original</w:t>
      </w:r>
      <w:r w:rsidR="008420E2">
        <w:rPr>
          <w:lang w:val="fr-CA"/>
        </w:rPr>
        <w:t>.</w:t>
      </w:r>
      <w:r w:rsidR="008A7242">
        <w:rPr>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L’</w:t>
      </w:r>
      <w:r>
        <w:rPr>
          <w:rFonts w:cs="Times New Roman"/>
          <w:szCs w:val="24"/>
          <w:lang w:val="fr-CA"/>
        </w:rPr>
        <w:t>élément</w:t>
      </w:r>
      <w:r w:rsidRPr="00751B87">
        <w:rPr>
          <w:rFonts w:cs="Times New Roman"/>
          <w:szCs w:val="24"/>
          <w:lang w:val="fr-CA"/>
        </w:rPr>
        <w:t> 13 de la formule 43B exigeait que le document présenté par le VAC contienne une déclaration en matière de conflit d’intérêts :</w:t>
      </w:r>
    </w:p>
    <w:p w:rsidR="0062110E" w:rsidRPr="00F95B82" w:rsidRDefault="00BE73BE" w:rsidP="00BE73BE">
      <w:pPr>
        <w:pStyle w:val="Citation-AltC"/>
        <w:tabs>
          <w:tab w:val="left" w:pos="1170"/>
        </w:tabs>
        <w:spacing w:after="240"/>
        <w:ind w:hanging="1166"/>
        <w:contextualSpacing w:val="0"/>
        <w:rPr>
          <w:b/>
          <w:lang w:val="fr-CA"/>
        </w:rPr>
      </w:pPr>
      <w:r>
        <w:rPr>
          <w:b/>
          <w:smallCaps/>
          <w:lang w:val="fr-CA"/>
        </w:rPr>
        <w:tab/>
      </w:r>
      <w:r w:rsidR="0062110E" w:rsidRPr="00F95B82">
        <w:rPr>
          <w:b/>
          <w:smallCaps/>
          <w:lang w:val="fr-CA"/>
        </w:rPr>
        <w:t xml:space="preserve">ÉLÉMENT </w:t>
      </w:r>
      <w:r w:rsidR="0062110E" w:rsidRPr="00F95B82">
        <w:rPr>
          <w:b/>
          <w:lang w:val="fr-CA"/>
        </w:rPr>
        <w:t>13</w:t>
      </w:r>
      <w:r w:rsidR="0062110E" w:rsidRPr="00F95B82">
        <w:rPr>
          <w:b/>
          <w:lang w:val="fr-CA"/>
        </w:rPr>
        <w:tab/>
        <w:t>Conflits d’intérêts</w:t>
      </w:r>
    </w:p>
    <w:p w:rsidR="0062110E" w:rsidRPr="00751B87" w:rsidRDefault="00BE73BE" w:rsidP="00BE73BE">
      <w:pPr>
        <w:pStyle w:val="Citation-AltC"/>
        <w:tabs>
          <w:tab w:val="left" w:pos="1170"/>
        </w:tabs>
        <w:ind w:hanging="1166"/>
        <w:contextualSpacing w:val="0"/>
        <w:rPr>
          <w:lang w:val="fr-CA"/>
        </w:rPr>
      </w:pPr>
      <w:r>
        <w:rPr>
          <w:lang w:val="fr-CA"/>
        </w:rPr>
        <w:tab/>
      </w:r>
      <w:r w:rsidR="0062110E" w:rsidRPr="00751B87">
        <w:rPr>
          <w:lang w:val="fr-CA"/>
        </w:rPr>
        <w:t>Décrire tout conflit d’intérêts — actuel ou susceptible de survenir — qui touche le promoteur ou l’administrateur [. . .] relativement aux titres de placement immobilier, et dont on pourrait raisonnablement s’attendre qu’il ait une incidence sur la décision de l’éventuel acheteur d’investir ou non des capitaux.</w:t>
      </w:r>
    </w:p>
    <w:p w:rsidR="0062110E" w:rsidRPr="00751B87" w:rsidRDefault="0062110E" w:rsidP="0062110E">
      <w:pPr>
        <w:pStyle w:val="ParaNoNdepar-AltN"/>
        <w:rPr>
          <w:rFonts w:cs="Times New Roman"/>
          <w:szCs w:val="24"/>
          <w:lang w:val="fr-CA"/>
        </w:rPr>
      </w:pPr>
      <w:r w:rsidRPr="00751B87">
        <w:rPr>
          <w:rFonts w:cs="Times New Roman"/>
          <w:szCs w:val="24"/>
          <w:lang w:val="fr-CA"/>
        </w:rPr>
        <w:t>Le paragraphe 4.9i) du document du Hilton se rapportait à l’obligation, prévue à l’élément 9 de la formule 43B, d’exposer les facteurs de risque :</w:t>
      </w:r>
    </w:p>
    <w:p w:rsidR="0062110E" w:rsidRPr="00751B87" w:rsidRDefault="00BE73BE" w:rsidP="00BE73BE">
      <w:pPr>
        <w:pStyle w:val="Citation-AltC"/>
        <w:tabs>
          <w:tab w:val="left" w:pos="1170"/>
        </w:tabs>
        <w:spacing w:after="240"/>
        <w:ind w:hanging="1166"/>
        <w:contextualSpacing w:val="0"/>
        <w:rPr>
          <w:smallCaps/>
          <w:lang w:val="fr-CA"/>
        </w:rPr>
      </w:pPr>
      <w:r>
        <w:rPr>
          <w:smallCaps/>
          <w:lang w:val="fr-CA"/>
        </w:rPr>
        <w:tab/>
      </w:r>
      <w:r w:rsidR="0062110E" w:rsidRPr="00751B87">
        <w:rPr>
          <w:smallCaps/>
          <w:lang w:val="fr-CA"/>
        </w:rPr>
        <w:t>[traduction]</w:t>
      </w:r>
    </w:p>
    <w:p w:rsidR="0062110E" w:rsidRPr="00F95B82" w:rsidRDefault="00BE73BE" w:rsidP="00BE73BE">
      <w:pPr>
        <w:pStyle w:val="Citation-AltC"/>
        <w:tabs>
          <w:tab w:val="left" w:pos="1170"/>
          <w:tab w:val="left" w:pos="1800"/>
        </w:tabs>
        <w:spacing w:after="240"/>
        <w:ind w:hanging="1166"/>
        <w:contextualSpacing w:val="0"/>
        <w:rPr>
          <w:b/>
          <w:lang w:val="fr-CA"/>
        </w:rPr>
      </w:pPr>
      <w:r>
        <w:rPr>
          <w:b/>
          <w:lang w:val="fr-CA"/>
        </w:rPr>
        <w:tab/>
      </w:r>
      <w:r w:rsidR="0062110E" w:rsidRPr="008A7242">
        <w:rPr>
          <w:lang w:val="fr-CA"/>
        </w:rPr>
        <w:t>4.9</w:t>
      </w:r>
      <w:r w:rsidR="0062110E" w:rsidRPr="00F95B82">
        <w:rPr>
          <w:b/>
          <w:lang w:val="fr-CA"/>
        </w:rPr>
        <w:tab/>
        <w:t>Facteurs de risque</w:t>
      </w:r>
    </w:p>
    <w:p w:rsidR="0062110E" w:rsidRPr="00751B87" w:rsidRDefault="0062110E" w:rsidP="0062110E">
      <w:pPr>
        <w:pStyle w:val="Citation-AltC"/>
        <w:tabs>
          <w:tab w:val="left" w:pos="1800"/>
        </w:tabs>
        <w:spacing w:after="240"/>
        <w:contextualSpacing w:val="0"/>
        <w:jc w:val="center"/>
        <w:rPr>
          <w:lang w:val="fr-CA"/>
        </w:rPr>
      </w:pPr>
      <w:r w:rsidRPr="00751B87">
        <w:rPr>
          <w:lang w:val="fr-CA"/>
        </w:rPr>
        <w:t>. . .</w:t>
      </w:r>
    </w:p>
    <w:p w:rsidR="0062110E" w:rsidRPr="00751B87" w:rsidRDefault="0062110E" w:rsidP="008A7242">
      <w:pPr>
        <w:pStyle w:val="Citation-AltC"/>
        <w:tabs>
          <w:tab w:val="left" w:pos="1800"/>
        </w:tabs>
        <w:spacing w:after="240"/>
        <w:ind w:left="1800" w:hanging="630"/>
        <w:contextualSpacing w:val="0"/>
        <w:rPr>
          <w:lang w:val="fr-CA"/>
        </w:rPr>
      </w:pPr>
      <w:r w:rsidRPr="00751B87">
        <w:rPr>
          <w:lang w:val="fr-CA"/>
        </w:rPr>
        <w:t>i)</w:t>
      </w:r>
      <w:r w:rsidRPr="00751B87">
        <w:rPr>
          <w:lang w:val="fr-CA"/>
        </w:rPr>
        <w:tab/>
      </w:r>
      <w:r w:rsidRPr="00F95B82">
        <w:rPr>
          <w:b/>
          <w:lang w:val="fr-CA"/>
        </w:rPr>
        <w:t>Responsabilités et obligations du promoteur.</w:t>
      </w:r>
      <w:r w:rsidRPr="00751B87">
        <w:rPr>
          <w:lang w:val="fr-CA"/>
        </w:rPr>
        <w:t xml:space="preserve">  Le promoteur travaille présentement à la construction, sur le </w:t>
      </w:r>
      <w:proofErr w:type="spellStart"/>
      <w:r w:rsidRPr="00751B87">
        <w:rPr>
          <w:lang w:val="fr-CA"/>
        </w:rPr>
        <w:t>bien</w:t>
      </w:r>
      <w:r w:rsidRPr="00751B87">
        <w:rPr>
          <w:lang w:val="fr-CA"/>
        </w:rPr>
        <w:noBreakHyphen/>
        <w:t>fonds</w:t>
      </w:r>
      <w:proofErr w:type="spellEnd"/>
      <w:r w:rsidRPr="00751B87">
        <w:rPr>
          <w:lang w:val="fr-CA"/>
        </w:rPr>
        <w:t xml:space="preserve"> principal, du Marriott de l’aéroport de Vancouver, hôtel de 237 chambres qui offrira tous les services.  La construction devrait se terminer vers juin 1998.  À cet égard, le promoteur a conclu des conventions d’achat — documents accessoires similaires aux ententes sur la forme et sur le fond —, ainsi que certaines autres conventions, avec les acheteurs des unités que comprend cette copropriété hôtelière.  L’ensemble de ces conventions imposent au promoteur des responsabilités et des obligations susceptibles d’avoir une incidence sur sa capacité d’exécuter les obligations prévues dans les ententes.</w:t>
      </w:r>
    </w:p>
    <w:p w:rsidR="0062110E" w:rsidRPr="00751B87" w:rsidRDefault="00BE73BE" w:rsidP="00BE73BE">
      <w:pPr>
        <w:pStyle w:val="Citation-AltC"/>
        <w:tabs>
          <w:tab w:val="left" w:pos="1170"/>
        </w:tabs>
        <w:ind w:hanging="1166"/>
        <w:rPr>
          <w:lang w:val="fr-CA"/>
        </w:rPr>
      </w:pPr>
      <w:r>
        <w:rPr>
          <w:lang w:val="fr-CA"/>
        </w:rPr>
        <w:lastRenderedPageBreak/>
        <w:tab/>
      </w:r>
      <w:r w:rsidR="00031745">
        <w:rPr>
          <w:lang w:val="fr-CA"/>
        </w:rPr>
        <w:t>(</w:t>
      </w:r>
      <w:proofErr w:type="gramStart"/>
      <w:r w:rsidR="00031745">
        <w:rPr>
          <w:lang w:val="fr-CA"/>
        </w:rPr>
        <w:t>d.</w:t>
      </w:r>
      <w:r w:rsidR="0062110E" w:rsidRPr="00751B87">
        <w:rPr>
          <w:lang w:val="fr-CA"/>
        </w:rPr>
        <w:t>a.,</w:t>
      </w:r>
      <w:proofErr w:type="gramEnd"/>
      <w:r w:rsidR="0062110E" w:rsidRPr="00751B87">
        <w:rPr>
          <w:lang w:val="fr-CA"/>
        </w:rPr>
        <w:t xml:space="preserve"> vol. II, p. 164)</w:t>
      </w:r>
    </w:p>
    <w:p w:rsidR="0062110E" w:rsidRPr="00751B87" w:rsidRDefault="0062110E" w:rsidP="0062110E">
      <w:pPr>
        <w:pStyle w:val="ContinueParaSuitedupar-AltP"/>
        <w:rPr>
          <w:rFonts w:cs="Times New Roman"/>
          <w:szCs w:val="24"/>
          <w:lang w:val="fr-CA"/>
        </w:rPr>
      </w:pPr>
      <w:r w:rsidRPr="00751B87">
        <w:rPr>
          <w:rFonts w:cs="Times New Roman"/>
          <w:szCs w:val="24"/>
          <w:lang w:val="fr-CA"/>
        </w:rPr>
        <w:t>L’article 4.1 du document du Hilton prévoyait que le mot « ententes » désignait [</w:t>
      </w:r>
      <w:r w:rsidRPr="00751B87">
        <w:rPr>
          <w:rFonts w:cs="Times New Roman"/>
          <w:smallCaps/>
          <w:szCs w:val="24"/>
          <w:lang w:val="fr-CA"/>
        </w:rPr>
        <w:t>traduction</w:t>
      </w:r>
      <w:r w:rsidRPr="00751B87">
        <w:rPr>
          <w:rFonts w:cs="Times New Roman"/>
          <w:szCs w:val="24"/>
          <w:lang w:val="fr-CA"/>
        </w:rPr>
        <w:t xml:space="preserve">] « les règlements, l’entente sur l’administration des biens du Hilton, le covenant relatif l’utilisation de l’hôtel, l’entente relative au covenant conjoint et la convention d’achat ». </w:t>
      </w:r>
    </w:p>
    <w:p w:rsidR="0062110E" w:rsidRPr="00751B87" w:rsidRDefault="0062110E" w:rsidP="0062110E">
      <w:pPr>
        <w:pStyle w:val="ParaNoNdepar-AltN"/>
        <w:rPr>
          <w:rFonts w:cs="Times New Roman"/>
          <w:szCs w:val="24"/>
          <w:lang w:val="fr-CA"/>
        </w:rPr>
      </w:pPr>
      <w:r w:rsidRPr="00751B87">
        <w:rPr>
          <w:rFonts w:cs="Times New Roman"/>
          <w:szCs w:val="24"/>
          <w:lang w:val="fr-CA"/>
        </w:rPr>
        <w:t>L’article 4.11, quant à lui, se rapportait à l’obligation de signaler l’existence de tout conflit d’intérêts qu’imposait l’élément 13 de la formule 43B :</w:t>
      </w:r>
    </w:p>
    <w:p w:rsidR="0062110E" w:rsidRPr="00751B87" w:rsidRDefault="00A41F3B" w:rsidP="00A41F3B">
      <w:pPr>
        <w:pStyle w:val="Citation-AltC"/>
        <w:tabs>
          <w:tab w:val="left" w:pos="1170"/>
        </w:tabs>
        <w:spacing w:after="240"/>
        <w:ind w:hanging="1166"/>
        <w:contextualSpacing w:val="0"/>
        <w:rPr>
          <w:smallCaps/>
          <w:lang w:val="fr-CA"/>
        </w:rPr>
      </w:pPr>
      <w:r>
        <w:rPr>
          <w:smallCaps/>
          <w:lang w:val="fr-CA"/>
        </w:rPr>
        <w:tab/>
      </w:r>
      <w:r w:rsidR="0062110E" w:rsidRPr="00751B87">
        <w:rPr>
          <w:smallCaps/>
          <w:lang w:val="fr-CA"/>
        </w:rPr>
        <w:t>[traduction]</w:t>
      </w:r>
    </w:p>
    <w:p w:rsidR="0062110E" w:rsidRPr="00F95B82" w:rsidRDefault="00A41F3B" w:rsidP="00A41F3B">
      <w:pPr>
        <w:pStyle w:val="Citation-AltC"/>
        <w:tabs>
          <w:tab w:val="left" w:pos="1170"/>
          <w:tab w:val="left" w:pos="1800"/>
        </w:tabs>
        <w:spacing w:after="240"/>
        <w:ind w:hanging="1166"/>
        <w:contextualSpacing w:val="0"/>
        <w:rPr>
          <w:b/>
          <w:lang w:val="fr-CA"/>
        </w:rPr>
      </w:pPr>
      <w:r>
        <w:rPr>
          <w:b/>
          <w:lang w:val="fr-CA"/>
        </w:rPr>
        <w:tab/>
      </w:r>
      <w:r w:rsidR="0062110E" w:rsidRPr="009C376E">
        <w:rPr>
          <w:lang w:val="fr-CA"/>
        </w:rPr>
        <w:t>4.11</w:t>
      </w:r>
      <w:r w:rsidR="0062110E" w:rsidRPr="00F95B82">
        <w:rPr>
          <w:b/>
          <w:lang w:val="fr-CA"/>
        </w:rPr>
        <w:tab/>
        <w:t>Conflits d’intérêts</w:t>
      </w:r>
    </w:p>
    <w:p w:rsidR="0062110E" w:rsidRPr="00751B87" w:rsidRDefault="00A41F3B" w:rsidP="00040136">
      <w:pPr>
        <w:pStyle w:val="Citation-AltC"/>
        <w:tabs>
          <w:tab w:val="left" w:pos="1170"/>
        </w:tabs>
        <w:ind w:hanging="1166"/>
        <w:contextualSpacing w:val="0"/>
        <w:rPr>
          <w:lang w:val="fr-CA"/>
        </w:rPr>
      </w:pPr>
      <w:r>
        <w:rPr>
          <w:lang w:val="fr-CA"/>
        </w:rPr>
        <w:tab/>
      </w:r>
      <w:r w:rsidR="0062110E" w:rsidRPr="00751B87">
        <w:rPr>
          <w:lang w:val="fr-CA"/>
        </w:rPr>
        <w:t>Le promoteur déclare qu’à sa connaissance il n’existe actuellement aucun conflit d’intérêts — ni aucune possibilité d’un tel conflit — [. . .] dont on pourrait raisonnablement s’attendre qu’il ait une incidence importante sur la décision de l’éventuel acheteur d’investir ou non des capitaux</w:t>
      </w:r>
      <w:r w:rsidR="0062110E">
        <w:rPr>
          <w:lang w:val="fr-CA"/>
        </w:rPr>
        <w:t>.</w:t>
      </w:r>
      <w:r w:rsidR="009C376E">
        <w:rPr>
          <w:lang w:val="fr-CA"/>
        </w:rPr>
        <w:t xml:space="preserve"> . . </w:t>
      </w:r>
    </w:p>
    <w:p w:rsidR="0062110E" w:rsidRPr="00751B87" w:rsidRDefault="0062110E" w:rsidP="0062110E">
      <w:pPr>
        <w:pStyle w:val="TitleTitre-AltT"/>
        <w:keepNext/>
        <w:tabs>
          <w:tab w:val="clear" w:pos="360"/>
          <w:tab w:val="left" w:pos="1170"/>
          <w:tab w:val="left" w:pos="1620"/>
        </w:tabs>
        <w:spacing w:before="0"/>
        <w:ind w:left="0" w:firstLine="0"/>
        <w:rPr>
          <w:lang w:val="fr-CA"/>
        </w:rPr>
      </w:pPr>
      <w:r>
        <w:rPr>
          <w:lang w:val="fr-CA"/>
        </w:rPr>
        <w:tab/>
      </w:r>
      <w:bookmarkStart w:id="11" w:name="_Toc308445312"/>
      <w:r w:rsidRPr="00751B87">
        <w:rPr>
          <w:lang w:val="fr-CA"/>
        </w:rPr>
        <w:t>(2)</w:t>
      </w:r>
      <w:r>
        <w:rPr>
          <w:lang w:val="fr-CA"/>
        </w:rPr>
        <w:tab/>
      </w:r>
      <w:r w:rsidRPr="00E57AB3">
        <w:rPr>
          <w:rFonts w:cs="Times New Roman"/>
          <w:szCs w:val="24"/>
          <w:u w:val="single"/>
          <w:lang w:val="fr-CA"/>
        </w:rPr>
        <w:t>Responsabilité</w:t>
      </w:r>
      <w:r w:rsidRPr="00751B87">
        <w:rPr>
          <w:u w:val="single"/>
          <w:lang w:val="fr-CA"/>
        </w:rPr>
        <w:t xml:space="preserve"> légale</w:t>
      </w:r>
      <w:bookmarkEnd w:id="11"/>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prétend que la responsabilité du VAC est engagée au motif qu’il aurait fait des déclarations inexactes au par</w:t>
      </w:r>
      <w:r>
        <w:rPr>
          <w:rFonts w:cs="Times New Roman"/>
          <w:szCs w:val="24"/>
          <w:lang w:val="fr-CA"/>
        </w:rPr>
        <w:t>. </w:t>
      </w:r>
      <w:r w:rsidRPr="00751B87">
        <w:rPr>
          <w:rFonts w:cs="Times New Roman"/>
          <w:szCs w:val="24"/>
          <w:lang w:val="fr-CA"/>
        </w:rPr>
        <w:t>4.9i) et à l’art</w:t>
      </w:r>
      <w:r>
        <w:rPr>
          <w:rFonts w:cs="Times New Roman"/>
          <w:szCs w:val="24"/>
          <w:lang w:val="fr-CA"/>
        </w:rPr>
        <w:t>. </w:t>
      </w:r>
      <w:r w:rsidRPr="00751B87">
        <w:rPr>
          <w:rFonts w:cs="Times New Roman"/>
          <w:szCs w:val="24"/>
          <w:lang w:val="fr-CA"/>
        </w:rPr>
        <w:t>4.11 du document du Hilton ayant mené à [</w:t>
      </w:r>
      <w:r w:rsidRPr="00751B87">
        <w:rPr>
          <w:rFonts w:cs="Times New Roman"/>
          <w:smallCaps/>
          <w:szCs w:val="24"/>
          <w:lang w:val="fr-CA"/>
        </w:rPr>
        <w:t>traduction</w:t>
      </w:r>
      <w:r w:rsidRPr="00751B87">
        <w:rPr>
          <w:rFonts w:cs="Times New Roman"/>
          <w:szCs w:val="24"/>
          <w:lang w:val="fr-CA"/>
        </w:rPr>
        <w:t>] « l’omission de faire état d’un conflit d’intérêts important » (</w:t>
      </w:r>
      <w:proofErr w:type="gramStart"/>
      <w:r w:rsidRPr="00751B87">
        <w:rPr>
          <w:rFonts w:cs="Times New Roman"/>
          <w:szCs w:val="24"/>
          <w:lang w:val="fr-CA"/>
        </w:rPr>
        <w:t>m.a.,</w:t>
      </w:r>
      <w:proofErr w:type="gramEnd"/>
      <w:r w:rsidRPr="00751B87">
        <w:rPr>
          <w:rFonts w:cs="Times New Roman"/>
          <w:szCs w:val="24"/>
          <w:lang w:val="fr-CA"/>
        </w:rPr>
        <w:t xml:space="preserve"> par. 1).  Il y a deux causes d’action possibles en l’espèce : l’une repose sur l’art. 75 de la Loi, l’autre, sur le délit de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de déclaration </w:t>
      </w:r>
      <w:r w:rsidRPr="00751B87">
        <w:rPr>
          <w:rFonts w:cs="Times New Roman"/>
          <w:szCs w:val="24"/>
          <w:lang w:val="fr-CA"/>
        </w:rPr>
        <w:lastRenderedPageBreak/>
        <w:t>inexacte faite par négligence.  Je traiterai d’abord de la cause d’action fondée sur la Loi.</w:t>
      </w:r>
    </w:p>
    <w:p w:rsidR="0062110E" w:rsidRPr="00751B87" w:rsidRDefault="0062110E" w:rsidP="0062110E">
      <w:pPr>
        <w:pStyle w:val="ParaNoNdepar-AltN"/>
        <w:rPr>
          <w:rFonts w:cs="Times New Roman"/>
          <w:szCs w:val="24"/>
          <w:lang w:val="fr-CA"/>
        </w:rPr>
      </w:pPr>
      <w:r w:rsidRPr="00751B87">
        <w:rPr>
          <w:rFonts w:cs="Times New Roman"/>
          <w:szCs w:val="24"/>
          <w:lang w:val="fr-CA"/>
        </w:rPr>
        <w:t>L’article 75 de la Loi prévoit le mécanisme qui permet à l’investisseur de tenir le promoteur responsable des déclarations figurant dans le document d’information.  Ainsi, si le document contient une [</w:t>
      </w:r>
      <w:r w:rsidRPr="00751B87">
        <w:rPr>
          <w:rFonts w:cs="Times New Roman"/>
          <w:smallCaps/>
          <w:szCs w:val="24"/>
          <w:lang w:val="fr-CA"/>
        </w:rPr>
        <w:t>traduction</w:t>
      </w:r>
      <w:r w:rsidRPr="00751B87">
        <w:rPr>
          <w:rFonts w:cs="Times New Roman"/>
          <w:szCs w:val="24"/>
          <w:lang w:val="fr-CA"/>
        </w:rPr>
        <w:t>] « déclaration erronée sur un point important » à l’origine d’une perte subie par l’investisseur, le promoteur sera tenu de compenser cette perte, l’investisseur étant réputé s’être fié aux déclarations contenues dans le document.  En revanche, cet article fournit un moyen de défense au promoteur, qui ne sera pas tenu de compenser la perte s’il établit qu’il avait des motifs raisonnables de croire — et qu’il croyait effectivement — que la déclaration en cause était véridique.  (Bien que l’art. 75 fasse mention du terme « prospectus », le document d’information est réputé être un prospectus pour les fins de la disposition, selon le par. 66(2) de cette loi</w:t>
      </w:r>
      <w:r w:rsidR="009C376E">
        <w:rPr>
          <w:rFonts w:cs="Times New Roman"/>
          <w:szCs w:val="24"/>
          <w:lang w:val="fr-CA"/>
        </w:rPr>
        <w:t>.</w:t>
      </w:r>
      <w:r w:rsidRPr="00751B87">
        <w:rPr>
          <w:rFonts w:cs="Times New Roman"/>
          <w:szCs w:val="24"/>
          <w:lang w:val="fr-CA"/>
        </w:rPr>
        <w:t xml:space="preserve">)  Les passages pertinents de l’art. 75 de la Loi sont reproduits </w:t>
      </w:r>
      <w:proofErr w:type="spellStart"/>
      <w:r w:rsidRPr="00751B87">
        <w:rPr>
          <w:rFonts w:cs="Times New Roman"/>
          <w:szCs w:val="24"/>
          <w:lang w:val="fr-CA"/>
        </w:rPr>
        <w:t>ci</w:t>
      </w:r>
      <w:r w:rsidRPr="00751B87">
        <w:rPr>
          <w:rFonts w:cs="Times New Roman"/>
          <w:szCs w:val="24"/>
          <w:lang w:val="fr-CA"/>
        </w:rPr>
        <w:noBreakHyphen/>
        <w:t>dessous</w:t>
      </w:r>
      <w:proofErr w:type="spellEnd"/>
      <w:r w:rsidRPr="00751B87">
        <w:rPr>
          <w:rFonts w:cs="Times New Roman"/>
          <w:szCs w:val="24"/>
          <w:lang w:val="fr-CA"/>
        </w:rPr>
        <w:t> :</w:t>
      </w:r>
    </w:p>
    <w:p w:rsidR="0062110E" w:rsidRPr="00751B87" w:rsidRDefault="00040136" w:rsidP="00040136">
      <w:pPr>
        <w:pStyle w:val="Citation-AltC"/>
        <w:tabs>
          <w:tab w:val="left" w:pos="1170"/>
        </w:tabs>
        <w:spacing w:after="240"/>
        <w:ind w:hanging="1166"/>
        <w:contextualSpacing w:val="0"/>
        <w:rPr>
          <w:lang w:val="fr-CA"/>
        </w:rPr>
      </w:pPr>
      <w:r>
        <w:rPr>
          <w:lang w:val="fr-CA"/>
        </w:rPr>
        <w:tab/>
      </w:r>
      <w:r w:rsidR="0062110E" w:rsidRPr="00751B87">
        <w:rPr>
          <w:lang w:val="fr-CA"/>
        </w:rPr>
        <w:t>[</w:t>
      </w:r>
      <w:r w:rsidR="0062110E" w:rsidRPr="00751B87">
        <w:rPr>
          <w:smallCaps/>
          <w:lang w:val="fr-CA"/>
        </w:rPr>
        <w:t>traduction</w:t>
      </w:r>
      <w:r w:rsidR="0062110E" w:rsidRPr="00751B87">
        <w:rPr>
          <w:lang w:val="fr-CA"/>
        </w:rPr>
        <w:t>]</w:t>
      </w:r>
    </w:p>
    <w:p w:rsidR="0062110E" w:rsidRPr="00751B87" w:rsidRDefault="00040136" w:rsidP="00040136">
      <w:pPr>
        <w:pStyle w:val="Citation-AltC"/>
        <w:tabs>
          <w:tab w:val="left" w:pos="1170"/>
        </w:tabs>
        <w:spacing w:after="240"/>
        <w:ind w:left="2160" w:hanging="2160"/>
        <w:contextualSpacing w:val="0"/>
        <w:rPr>
          <w:lang w:val="fr-CA"/>
        </w:rPr>
      </w:pPr>
      <w:r>
        <w:rPr>
          <w:lang w:val="fr-CA"/>
        </w:rPr>
        <w:tab/>
      </w:r>
      <w:r w:rsidR="0062110E" w:rsidRPr="009C376E">
        <w:rPr>
          <w:b/>
          <w:lang w:val="fr-CA"/>
        </w:rPr>
        <w:t>75</w:t>
      </w:r>
      <w:r w:rsidR="0062110E" w:rsidRPr="00751B87">
        <w:rPr>
          <w:lang w:val="fr-CA"/>
        </w:rPr>
        <w:t> (1)</w:t>
      </w:r>
      <w:r w:rsidR="0062110E" w:rsidRPr="00751B87">
        <w:rPr>
          <w:lang w:val="fr-CA"/>
        </w:rPr>
        <w:tab/>
        <w:t xml:space="preserve">Au présent article, le terme </w:t>
      </w:r>
      <w:r w:rsidR="0062110E" w:rsidRPr="00BA1875">
        <w:rPr>
          <w:b/>
          <w:lang w:val="fr-CA"/>
        </w:rPr>
        <w:t>« prospectus »</w:t>
      </w:r>
      <w:r w:rsidR="0062110E" w:rsidRPr="00751B87">
        <w:rPr>
          <w:lang w:val="fr-CA"/>
        </w:rPr>
        <w:t xml:space="preserve"> vise l’ensemble des déclarations, rapports et rapports sommaires qui doivent l’accompagner aux termes de la présente partie. </w:t>
      </w:r>
    </w:p>
    <w:p w:rsidR="0062110E" w:rsidRPr="00751B87" w:rsidRDefault="00040136" w:rsidP="00040136">
      <w:pPr>
        <w:pStyle w:val="Citation-AltC"/>
        <w:tabs>
          <w:tab w:val="left" w:pos="1530"/>
        </w:tabs>
        <w:spacing w:after="240"/>
        <w:ind w:left="2160" w:hanging="2160"/>
        <w:contextualSpacing w:val="0"/>
        <w:rPr>
          <w:lang w:val="fr-CA"/>
        </w:rPr>
      </w:pPr>
      <w:r>
        <w:rPr>
          <w:lang w:val="fr-CA"/>
        </w:rPr>
        <w:tab/>
      </w:r>
      <w:r w:rsidR="0062110E" w:rsidRPr="00751B87">
        <w:rPr>
          <w:lang w:val="fr-CA"/>
        </w:rPr>
        <w:t>(2)</w:t>
      </w:r>
      <w:r w:rsidR="0062110E" w:rsidRPr="00751B87">
        <w:rPr>
          <w:lang w:val="fr-CA"/>
        </w:rPr>
        <w:tab/>
        <w:t>Si le prospectus est accepté par le surintendant en vue de son dépôt conformément à la présente partie,</w:t>
      </w:r>
    </w:p>
    <w:p w:rsidR="0062110E" w:rsidRPr="00751B87" w:rsidRDefault="00040136" w:rsidP="00FD2DA2">
      <w:pPr>
        <w:pStyle w:val="Citation-AltC"/>
        <w:tabs>
          <w:tab w:val="left" w:pos="2160"/>
        </w:tabs>
        <w:spacing w:after="240"/>
        <w:ind w:left="2700" w:hanging="2700"/>
        <w:contextualSpacing w:val="0"/>
        <w:rPr>
          <w:lang w:val="fr-CA"/>
        </w:rPr>
      </w:pPr>
      <w:r>
        <w:rPr>
          <w:lang w:val="fr-CA"/>
        </w:rPr>
        <w:tab/>
      </w:r>
      <w:r w:rsidR="0062110E" w:rsidRPr="001C0FAC">
        <w:rPr>
          <w:lang w:val="fr-CA"/>
        </w:rPr>
        <w:t>a</w:t>
      </w:r>
      <w:r w:rsidR="0062110E" w:rsidRPr="00751B87">
        <w:rPr>
          <w:lang w:val="fr-CA"/>
        </w:rPr>
        <w:t>)</w:t>
      </w:r>
      <w:r w:rsidR="0062110E" w:rsidRPr="00751B87">
        <w:rPr>
          <w:lang w:val="fr-CA"/>
        </w:rPr>
        <w:tab/>
      </w:r>
      <w:r w:rsidR="0062110E" w:rsidRPr="00751B87">
        <w:rPr>
          <w:u w:val="single"/>
          <w:lang w:val="fr-CA"/>
        </w:rPr>
        <w:t>l’acquéreur</w:t>
      </w:r>
      <w:r w:rsidR="0062110E" w:rsidRPr="00751B87">
        <w:rPr>
          <w:lang w:val="fr-CA"/>
        </w:rPr>
        <w:t xml:space="preserve"> d’une partie du terrain loti, des intérêts fonciers en commun ou du temps partagé visés par le prospectus </w:t>
      </w:r>
      <w:r w:rsidR="0062110E" w:rsidRPr="00751B87">
        <w:rPr>
          <w:u w:val="single"/>
          <w:lang w:val="fr-CA"/>
        </w:rPr>
        <w:t>est réputé s’être fié aux déclarations qui y sont faites</w:t>
      </w:r>
      <w:r w:rsidR="0062110E" w:rsidRPr="001C0FAC">
        <w:rPr>
          <w:lang w:val="fr-CA"/>
        </w:rPr>
        <w:t xml:space="preserve">, </w:t>
      </w:r>
      <w:r w:rsidR="0062110E" w:rsidRPr="00751B87">
        <w:rPr>
          <w:lang w:val="fr-CA"/>
        </w:rPr>
        <w:t xml:space="preserve"> qu’il ait reçu le prospectus ou non, et </w:t>
      </w:r>
    </w:p>
    <w:p w:rsidR="0062110E" w:rsidRPr="00751B87" w:rsidRDefault="00040136" w:rsidP="00FD2DA2">
      <w:pPr>
        <w:pStyle w:val="Citation-AltC"/>
        <w:tabs>
          <w:tab w:val="left" w:pos="2160"/>
        </w:tabs>
        <w:spacing w:after="240"/>
        <w:ind w:left="2700" w:hanging="2700"/>
        <w:contextualSpacing w:val="0"/>
        <w:rPr>
          <w:lang w:val="fr-CA"/>
        </w:rPr>
      </w:pPr>
      <w:r>
        <w:rPr>
          <w:lang w:val="fr-CA"/>
        </w:rPr>
        <w:lastRenderedPageBreak/>
        <w:tab/>
      </w:r>
      <w:r w:rsidR="0062110E" w:rsidRPr="001C0FAC">
        <w:rPr>
          <w:lang w:val="fr-CA"/>
        </w:rPr>
        <w:t>b</w:t>
      </w:r>
      <w:r w:rsidR="0062110E" w:rsidRPr="00751B87">
        <w:rPr>
          <w:lang w:val="fr-CA"/>
        </w:rPr>
        <w:t>)</w:t>
      </w:r>
      <w:r w:rsidR="0062110E" w:rsidRPr="00751B87">
        <w:rPr>
          <w:lang w:val="fr-CA"/>
        </w:rPr>
        <w:tab/>
      </w:r>
      <w:r w:rsidR="0062110E" w:rsidRPr="00751B87">
        <w:rPr>
          <w:u w:val="single"/>
          <w:lang w:val="fr-CA"/>
        </w:rPr>
        <w:t xml:space="preserve">si le </w:t>
      </w:r>
      <w:r w:rsidR="0062110E" w:rsidRPr="00040136">
        <w:rPr>
          <w:u w:val="single"/>
          <w:lang w:val="fr-CA"/>
        </w:rPr>
        <w:t>prospectus c</w:t>
      </w:r>
      <w:r w:rsidR="0062110E" w:rsidRPr="00751B87">
        <w:rPr>
          <w:u w:val="single"/>
          <w:lang w:val="fr-CA"/>
        </w:rPr>
        <w:t>ontient une déclaration erronée sur un point important</w:t>
      </w:r>
      <w:r w:rsidR="0062110E" w:rsidRPr="00751B87">
        <w:rPr>
          <w:lang w:val="fr-CA"/>
        </w:rPr>
        <w:t xml:space="preserve">, </w:t>
      </w:r>
    </w:p>
    <w:p w:rsidR="0062110E" w:rsidRPr="00751B87" w:rsidRDefault="00040136" w:rsidP="00040136">
      <w:pPr>
        <w:pStyle w:val="Citation-AltC"/>
        <w:tabs>
          <w:tab w:val="left" w:pos="2700"/>
        </w:tabs>
        <w:spacing w:after="240"/>
        <w:ind w:left="3240" w:hanging="3240"/>
        <w:contextualSpacing w:val="0"/>
        <w:rPr>
          <w:lang w:val="fr-CA"/>
        </w:rPr>
      </w:pPr>
      <w:r>
        <w:rPr>
          <w:lang w:val="fr-CA"/>
        </w:rPr>
        <w:tab/>
      </w:r>
      <w:r w:rsidR="0062110E" w:rsidRPr="00751B87">
        <w:rPr>
          <w:lang w:val="fr-CA"/>
        </w:rPr>
        <w:t>(i)</w:t>
      </w:r>
      <w:r w:rsidR="0062110E" w:rsidRPr="00751B87">
        <w:rPr>
          <w:lang w:val="fr-CA"/>
        </w:rPr>
        <w:tab/>
        <w:t>tout directeur du promoteur au moment de la publication du prospectus,</w:t>
      </w:r>
    </w:p>
    <w:p w:rsidR="0062110E" w:rsidRPr="00751B87" w:rsidRDefault="00040136" w:rsidP="00040136">
      <w:pPr>
        <w:pStyle w:val="Citation-AltC"/>
        <w:tabs>
          <w:tab w:val="left" w:pos="2700"/>
        </w:tabs>
        <w:spacing w:after="240"/>
        <w:ind w:left="3240" w:hanging="3240"/>
        <w:contextualSpacing w:val="0"/>
        <w:rPr>
          <w:lang w:val="fr-CA"/>
        </w:rPr>
      </w:pPr>
      <w:r>
        <w:rPr>
          <w:lang w:val="fr-CA"/>
        </w:rPr>
        <w:tab/>
      </w:r>
      <w:r w:rsidR="0062110E" w:rsidRPr="00751B87">
        <w:rPr>
          <w:lang w:val="fr-CA"/>
        </w:rPr>
        <w:t>(ii)</w:t>
      </w:r>
      <w:r w:rsidR="0062110E" w:rsidRPr="00751B87">
        <w:rPr>
          <w:lang w:val="fr-CA"/>
        </w:rPr>
        <w:tab/>
        <w:t>toute personne qui, après avoir autorisé la désignation, est désignée dans le prospectus comme direct</w:t>
      </w:r>
      <w:r w:rsidR="0062110E">
        <w:rPr>
          <w:lang w:val="fr-CA"/>
        </w:rPr>
        <w:t>rice</w:t>
      </w:r>
      <w:r w:rsidR="0062110E" w:rsidRPr="00751B87">
        <w:rPr>
          <w:lang w:val="fr-CA"/>
        </w:rPr>
        <w:t xml:space="preserve"> du promoteur,</w:t>
      </w:r>
    </w:p>
    <w:p w:rsidR="0062110E" w:rsidRPr="00751B87" w:rsidRDefault="00040136" w:rsidP="00040136">
      <w:pPr>
        <w:pStyle w:val="Citation-AltC"/>
        <w:tabs>
          <w:tab w:val="left" w:pos="2700"/>
        </w:tabs>
        <w:spacing w:after="240"/>
        <w:ind w:left="3240" w:hanging="3240"/>
        <w:contextualSpacing w:val="0"/>
        <w:rPr>
          <w:lang w:val="fr-CA"/>
        </w:rPr>
      </w:pPr>
      <w:r>
        <w:rPr>
          <w:lang w:val="fr-CA"/>
        </w:rPr>
        <w:tab/>
      </w:r>
      <w:r w:rsidR="0062110E" w:rsidRPr="00751B87">
        <w:rPr>
          <w:lang w:val="fr-CA"/>
        </w:rPr>
        <w:t>(iii)</w:t>
      </w:r>
      <w:r w:rsidR="0062110E" w:rsidRPr="00751B87">
        <w:rPr>
          <w:lang w:val="fr-CA"/>
        </w:rPr>
        <w:tab/>
      </w:r>
      <w:r w:rsidR="0062110E" w:rsidRPr="009C376E">
        <w:rPr>
          <w:u w:val="single"/>
          <w:lang w:val="fr-CA"/>
        </w:rPr>
        <w:t xml:space="preserve">tout </w:t>
      </w:r>
      <w:r w:rsidR="0062110E" w:rsidRPr="00751B87">
        <w:rPr>
          <w:u w:val="single"/>
          <w:lang w:val="fr-CA"/>
        </w:rPr>
        <w:t>promoteur</w:t>
      </w:r>
      <w:r w:rsidR="0062110E" w:rsidRPr="00751B87">
        <w:rPr>
          <w:lang w:val="fr-CA"/>
        </w:rPr>
        <w:t xml:space="preserve">, et </w:t>
      </w:r>
    </w:p>
    <w:p w:rsidR="0062110E" w:rsidRPr="00751B87" w:rsidRDefault="00040136" w:rsidP="00040136">
      <w:pPr>
        <w:pStyle w:val="Citation-AltC"/>
        <w:tabs>
          <w:tab w:val="left" w:pos="2700"/>
        </w:tabs>
        <w:spacing w:after="240"/>
        <w:ind w:left="3240" w:hanging="3240"/>
        <w:contextualSpacing w:val="0"/>
        <w:rPr>
          <w:lang w:val="fr-CA"/>
        </w:rPr>
      </w:pPr>
      <w:r>
        <w:rPr>
          <w:lang w:val="fr-CA"/>
        </w:rPr>
        <w:tab/>
      </w:r>
      <w:r w:rsidR="0062110E" w:rsidRPr="00751B87">
        <w:rPr>
          <w:lang w:val="fr-CA"/>
        </w:rPr>
        <w:t>(iv)</w:t>
      </w:r>
      <w:r w:rsidR="0062110E" w:rsidRPr="00751B87">
        <w:rPr>
          <w:lang w:val="fr-CA"/>
        </w:rPr>
        <w:tab/>
        <w:t>toute personne qui a autorisé la publication du prospectus</w:t>
      </w:r>
    </w:p>
    <w:p w:rsidR="0062110E" w:rsidRPr="00751B87" w:rsidRDefault="00040136" w:rsidP="00040136">
      <w:pPr>
        <w:pStyle w:val="Citation-AltC"/>
        <w:tabs>
          <w:tab w:val="left" w:pos="2700"/>
        </w:tabs>
        <w:spacing w:after="240"/>
        <w:ind w:left="2700" w:hanging="2610"/>
        <w:contextualSpacing w:val="0"/>
        <w:rPr>
          <w:lang w:val="fr-CA"/>
        </w:rPr>
      </w:pPr>
      <w:r w:rsidRPr="00040136">
        <w:rPr>
          <w:lang w:val="fr-CA"/>
        </w:rPr>
        <w:tab/>
      </w:r>
      <w:proofErr w:type="gramStart"/>
      <w:r w:rsidR="0062110E" w:rsidRPr="00751B87">
        <w:rPr>
          <w:u w:val="single"/>
          <w:lang w:val="fr-CA"/>
        </w:rPr>
        <w:t>est</w:t>
      </w:r>
      <w:proofErr w:type="gramEnd"/>
      <w:r w:rsidR="0062110E" w:rsidRPr="00751B87">
        <w:rPr>
          <w:u w:val="single"/>
          <w:lang w:val="fr-CA"/>
        </w:rPr>
        <w:t xml:space="preserve"> tenu d’indemniser l’acquéreur</w:t>
      </w:r>
      <w:r w:rsidR="0062110E" w:rsidRPr="00751B87">
        <w:rPr>
          <w:lang w:val="fr-CA"/>
        </w:rPr>
        <w:t xml:space="preserve"> de la partie du terrain loti, des intérêts fonciers en commun ou du temps partagé </w:t>
      </w:r>
      <w:r w:rsidR="0062110E" w:rsidRPr="00751B87">
        <w:rPr>
          <w:u w:val="single"/>
          <w:lang w:val="fr-CA"/>
        </w:rPr>
        <w:t>de toute perte ou dommage qu’il a subi, sauf s’il est établi</w:t>
      </w:r>
    </w:p>
    <w:p w:rsidR="0062110E" w:rsidRPr="00751B87" w:rsidRDefault="0062110E" w:rsidP="0062110E">
      <w:pPr>
        <w:pStyle w:val="Citation-AltC"/>
        <w:spacing w:after="240"/>
        <w:contextualSpacing w:val="0"/>
        <w:jc w:val="center"/>
        <w:rPr>
          <w:lang w:val="fr-CA"/>
        </w:rPr>
      </w:pPr>
      <w:r w:rsidRPr="00751B87">
        <w:rPr>
          <w:lang w:val="fr-CA"/>
        </w:rPr>
        <w:t>. . .</w:t>
      </w:r>
    </w:p>
    <w:p w:rsidR="0062110E" w:rsidRPr="00751B87" w:rsidRDefault="00040136" w:rsidP="00040136">
      <w:pPr>
        <w:pStyle w:val="Citation-AltC"/>
        <w:tabs>
          <w:tab w:val="left" w:pos="2700"/>
        </w:tabs>
        <w:ind w:left="3240" w:hanging="3240"/>
        <w:contextualSpacing w:val="0"/>
        <w:rPr>
          <w:lang w:val="fr-CA"/>
        </w:rPr>
      </w:pPr>
      <w:r>
        <w:rPr>
          <w:lang w:val="fr-CA"/>
        </w:rPr>
        <w:tab/>
      </w:r>
      <w:r w:rsidR="0062110E" w:rsidRPr="00751B87">
        <w:rPr>
          <w:lang w:val="fr-CA"/>
        </w:rPr>
        <w:t>(viii)</w:t>
      </w:r>
      <w:r w:rsidR="0062110E" w:rsidRPr="00751B87">
        <w:rPr>
          <w:lang w:val="fr-CA"/>
        </w:rPr>
        <w:tab/>
      </w:r>
      <w:r w:rsidR="0062110E" w:rsidRPr="00751B87">
        <w:rPr>
          <w:u w:val="single"/>
          <w:lang w:val="fr-CA"/>
        </w:rPr>
        <w:t>pour chaque déclaration fausse</w:t>
      </w:r>
      <w:r w:rsidR="0062110E" w:rsidRPr="00751B87">
        <w:rPr>
          <w:lang w:val="fr-CA"/>
        </w:rPr>
        <w:t xml:space="preserve"> qui n’est pas présentée comme étant fondée sur l’avis d’un expert ou tirée d’une déclaration  ou d’un document public officiel, </w:t>
      </w:r>
      <w:r w:rsidR="0062110E" w:rsidRPr="009D24A0">
        <w:rPr>
          <w:u w:val="single"/>
          <w:lang w:val="fr-CA"/>
        </w:rPr>
        <w:t>que la</w:t>
      </w:r>
      <w:r w:rsidR="0062110E" w:rsidRPr="00751B87">
        <w:rPr>
          <w:u w:val="single"/>
          <w:lang w:val="fr-CA"/>
        </w:rPr>
        <w:t xml:space="preserve"> personne avait des motifs raisonnables de croire — et qu’elle croyait effectivement — jusqu’au moment de la vente</w:t>
      </w:r>
      <w:r w:rsidR="0062110E" w:rsidRPr="00751B87">
        <w:rPr>
          <w:lang w:val="fr-CA"/>
        </w:rPr>
        <w:t xml:space="preserve"> du terrain loti, des intérêts fonciers en commun ou du temps partagé, </w:t>
      </w:r>
      <w:r w:rsidR="0062110E" w:rsidRPr="00751B87">
        <w:rPr>
          <w:u w:val="single"/>
          <w:lang w:val="fr-CA"/>
        </w:rPr>
        <w:t xml:space="preserve">que la déclaration était </w:t>
      </w:r>
      <w:proofErr w:type="gramStart"/>
      <w:r w:rsidR="0062110E" w:rsidRPr="00751B87">
        <w:rPr>
          <w:u w:val="single"/>
          <w:lang w:val="fr-CA"/>
        </w:rPr>
        <w:t>véridique</w:t>
      </w:r>
      <w:r w:rsidR="0062110E" w:rsidRPr="00751B87">
        <w:rPr>
          <w:lang w:val="fr-CA"/>
        </w:rPr>
        <w:t xml:space="preserve"> .</w:t>
      </w:r>
      <w:proofErr w:type="gramEnd"/>
      <w:r w:rsidR="0062110E" w:rsidRPr="00751B87">
        <w:rPr>
          <w:lang w:val="fr-CA"/>
        </w:rPr>
        <w:t> . .</w:t>
      </w:r>
    </w:p>
    <w:p w:rsidR="0062110E" w:rsidRPr="00751B87" w:rsidRDefault="0062110E" w:rsidP="0062110E">
      <w:pPr>
        <w:pStyle w:val="ParaNoNdepar-AltN"/>
        <w:rPr>
          <w:rFonts w:cs="Times New Roman"/>
          <w:szCs w:val="24"/>
          <w:lang w:val="fr-CA"/>
        </w:rPr>
      </w:pPr>
      <w:r w:rsidRPr="00751B87">
        <w:rPr>
          <w:rFonts w:cs="Times New Roman"/>
          <w:szCs w:val="24"/>
          <w:lang w:val="fr-CA"/>
        </w:rPr>
        <w:t>Selon l’al. 75(2)</w:t>
      </w:r>
      <w:r w:rsidRPr="001C0FAC">
        <w:rPr>
          <w:rFonts w:cs="Times New Roman"/>
          <w:szCs w:val="24"/>
          <w:lang w:val="fr-CA"/>
        </w:rPr>
        <w:t>b</w:t>
      </w:r>
      <w:r w:rsidRPr="00751B87">
        <w:rPr>
          <w:rFonts w:cs="Times New Roman"/>
          <w:szCs w:val="24"/>
          <w:lang w:val="fr-CA"/>
        </w:rPr>
        <w:t xml:space="preserve">) de la Loi, il incombe à </w:t>
      </w:r>
      <w:proofErr w:type="spellStart"/>
      <w:r w:rsidRPr="00751B87">
        <w:rPr>
          <w:rFonts w:cs="Times New Roman"/>
          <w:szCs w:val="24"/>
          <w:lang w:val="fr-CA"/>
        </w:rPr>
        <w:t>Sharbern</w:t>
      </w:r>
      <w:proofErr w:type="spellEnd"/>
      <w:r w:rsidRPr="00751B87">
        <w:rPr>
          <w:rFonts w:cs="Times New Roman"/>
          <w:szCs w:val="24"/>
          <w:lang w:val="fr-CA"/>
        </w:rPr>
        <w:t>, en sa qualité de partie demanderesse, d’établir que le par</w:t>
      </w:r>
      <w:r>
        <w:rPr>
          <w:rFonts w:cs="Times New Roman"/>
          <w:szCs w:val="24"/>
          <w:lang w:val="fr-CA"/>
        </w:rPr>
        <w:t>. </w:t>
      </w:r>
      <w:r w:rsidRPr="00751B87">
        <w:rPr>
          <w:rFonts w:cs="Times New Roman"/>
          <w:szCs w:val="24"/>
          <w:lang w:val="fr-CA"/>
        </w:rPr>
        <w:t>4.9i), l’art</w:t>
      </w:r>
      <w:r>
        <w:rPr>
          <w:rFonts w:cs="Times New Roman"/>
          <w:szCs w:val="24"/>
          <w:lang w:val="fr-CA"/>
        </w:rPr>
        <w:t>. </w:t>
      </w:r>
      <w:r w:rsidRPr="00751B87">
        <w:rPr>
          <w:rFonts w:cs="Times New Roman"/>
          <w:szCs w:val="24"/>
          <w:lang w:val="fr-CA"/>
        </w:rPr>
        <w:t>4.11, ou les deux, contiennent une [</w:t>
      </w:r>
      <w:r w:rsidRPr="00751B87">
        <w:rPr>
          <w:rFonts w:cs="Times New Roman"/>
          <w:smallCaps/>
          <w:szCs w:val="24"/>
          <w:lang w:val="fr-CA"/>
        </w:rPr>
        <w:t>traduction</w:t>
      </w:r>
      <w:r w:rsidRPr="00751B87">
        <w:rPr>
          <w:rFonts w:cs="Times New Roman"/>
          <w:szCs w:val="24"/>
          <w:lang w:val="fr-CA"/>
        </w:rPr>
        <w:t>] « déclaration erronée sur un point important », vu le principe selon lequel il revient à la partie qui allègue un fait d’en faire la preuve.  Rien dans le libellé de l’art</w:t>
      </w:r>
      <w:r>
        <w:rPr>
          <w:rFonts w:cs="Times New Roman"/>
          <w:szCs w:val="24"/>
          <w:lang w:val="fr-CA"/>
        </w:rPr>
        <w:t>. </w:t>
      </w:r>
      <w:r w:rsidRPr="00751B87">
        <w:rPr>
          <w:rFonts w:cs="Times New Roman"/>
          <w:szCs w:val="24"/>
          <w:lang w:val="fr-CA"/>
        </w:rPr>
        <w:t>75 ne donne à penser que le demandeur qui fait valoir une cause d’action en application de la Loi est libéré de ce fardeau.  Or, pour établir que le par</w:t>
      </w:r>
      <w:r>
        <w:rPr>
          <w:rFonts w:cs="Times New Roman"/>
          <w:szCs w:val="24"/>
          <w:lang w:val="fr-CA"/>
        </w:rPr>
        <w:t>. </w:t>
      </w:r>
      <w:r w:rsidRPr="00751B87">
        <w:rPr>
          <w:rFonts w:cs="Times New Roman"/>
          <w:szCs w:val="24"/>
          <w:lang w:val="fr-CA"/>
        </w:rPr>
        <w:t xml:space="preserve">4.9i) contient une telle déclaration, </w:t>
      </w:r>
      <w:proofErr w:type="spellStart"/>
      <w:r w:rsidRPr="00751B87">
        <w:rPr>
          <w:rFonts w:cs="Times New Roman"/>
          <w:szCs w:val="24"/>
          <w:lang w:val="fr-CA"/>
        </w:rPr>
        <w:t>Sharbern</w:t>
      </w:r>
      <w:proofErr w:type="spellEnd"/>
      <w:r w:rsidRPr="00751B87">
        <w:rPr>
          <w:rFonts w:cs="Times New Roman"/>
          <w:szCs w:val="24"/>
          <w:lang w:val="fr-CA"/>
        </w:rPr>
        <w:t xml:space="preserve"> doit démontrer que la déclaration du VAC </w:t>
      </w:r>
      <w:r w:rsidRPr="00751B87">
        <w:rPr>
          <w:rFonts w:cs="Times New Roman"/>
          <w:szCs w:val="24"/>
          <w:lang w:val="fr-CA"/>
        </w:rPr>
        <w:lastRenderedPageBreak/>
        <w:t>qu’il a conclu avec le Marriott des conventions [</w:t>
      </w:r>
      <w:r w:rsidRPr="00751B87">
        <w:rPr>
          <w:rFonts w:cs="Times New Roman"/>
          <w:smallCaps/>
          <w:szCs w:val="24"/>
          <w:lang w:val="fr-CA"/>
        </w:rPr>
        <w:t>traduction</w:t>
      </w:r>
      <w:r w:rsidRPr="00751B87">
        <w:rPr>
          <w:rFonts w:cs="Times New Roman"/>
          <w:szCs w:val="24"/>
          <w:lang w:val="fr-CA"/>
        </w:rPr>
        <w:t xml:space="preserve">] « similaires </w:t>
      </w:r>
      <w:r w:rsidR="009C376E">
        <w:rPr>
          <w:rFonts w:cs="Times New Roman"/>
          <w:szCs w:val="24"/>
          <w:lang w:val="fr-CA"/>
        </w:rPr>
        <w:t xml:space="preserve">[. . .] </w:t>
      </w:r>
      <w:r w:rsidRPr="00751B87">
        <w:rPr>
          <w:rFonts w:cs="Times New Roman"/>
          <w:szCs w:val="24"/>
          <w:lang w:val="fr-CA"/>
        </w:rPr>
        <w:t>sur la forme et sur le fond » à celles intervenues à l’égard du Hilton est de cette nature.  Par ailleurs,  pour établir que l’art</w:t>
      </w:r>
      <w:r>
        <w:rPr>
          <w:rFonts w:cs="Times New Roman"/>
          <w:szCs w:val="24"/>
          <w:lang w:val="fr-CA"/>
        </w:rPr>
        <w:t>. </w:t>
      </w:r>
      <w:r w:rsidRPr="00751B87">
        <w:rPr>
          <w:rFonts w:cs="Times New Roman"/>
          <w:szCs w:val="24"/>
          <w:lang w:val="fr-CA"/>
        </w:rPr>
        <w:t xml:space="preserve">4.11 contient lui aussi une telle déclaration, </w:t>
      </w:r>
      <w:proofErr w:type="spellStart"/>
      <w:r w:rsidRPr="00751B87">
        <w:rPr>
          <w:rFonts w:cs="Times New Roman"/>
          <w:szCs w:val="24"/>
          <w:lang w:val="fr-CA"/>
        </w:rPr>
        <w:t>Sharbern</w:t>
      </w:r>
      <w:proofErr w:type="spellEnd"/>
      <w:r w:rsidRPr="00751B87">
        <w:rPr>
          <w:rFonts w:cs="Times New Roman"/>
          <w:szCs w:val="24"/>
          <w:lang w:val="fr-CA"/>
        </w:rPr>
        <w:t xml:space="preserve"> doit démontrer que la déclaration du VAC qu’à sa connaissance il n’existait [</w:t>
      </w:r>
      <w:r w:rsidRPr="00751B87">
        <w:rPr>
          <w:rFonts w:cs="Times New Roman"/>
          <w:smallCaps/>
          <w:szCs w:val="24"/>
          <w:lang w:val="fr-CA"/>
        </w:rPr>
        <w:t>traduction</w:t>
      </w:r>
      <w:r w:rsidRPr="00751B87">
        <w:rPr>
          <w:rFonts w:cs="Times New Roman"/>
          <w:szCs w:val="24"/>
          <w:lang w:val="fr-CA"/>
        </w:rPr>
        <w:t xml:space="preserve">] « aucun conflit d’intérêts — ni aucune possibilité d’un tel conflit — [. . .] dont on pourrait raisonnablement s’attendre qu’il ait une incidence importante sur la décision de l’éventuel acheteur d’investir ou non des capitaux » était de cette nature.  Si </w:t>
      </w:r>
      <w:proofErr w:type="spellStart"/>
      <w:r w:rsidRPr="00751B87">
        <w:rPr>
          <w:rFonts w:cs="Times New Roman"/>
          <w:szCs w:val="24"/>
          <w:lang w:val="fr-CA"/>
        </w:rPr>
        <w:t>Sharbern</w:t>
      </w:r>
      <w:proofErr w:type="spellEnd"/>
      <w:r w:rsidRPr="00751B87">
        <w:rPr>
          <w:rFonts w:cs="Times New Roman"/>
          <w:szCs w:val="24"/>
          <w:lang w:val="fr-CA"/>
        </w:rPr>
        <w:t xml:space="preserve"> parvient à s’acquitter de ce fardeau, le VAC pourra se défendre en établissant qu’il avait des motifs raisonnables de croire — et qu’il croyait effectivement — que ses déclarations étaient exactes.</w:t>
      </w:r>
    </w:p>
    <w:p w:rsidR="0062110E" w:rsidRPr="00751B87" w:rsidRDefault="0062110E" w:rsidP="0062110E">
      <w:pPr>
        <w:pStyle w:val="TitleTitre-AltT"/>
        <w:keepNext/>
        <w:tabs>
          <w:tab w:val="clear" w:pos="360"/>
          <w:tab w:val="left" w:pos="1170"/>
          <w:tab w:val="left" w:pos="1620"/>
        </w:tabs>
        <w:spacing w:before="0"/>
        <w:ind w:left="0" w:firstLine="0"/>
        <w:rPr>
          <w:rFonts w:cs="Times New Roman"/>
          <w:i/>
          <w:szCs w:val="24"/>
          <w:lang w:val="fr-CA"/>
        </w:rPr>
      </w:pPr>
      <w:r w:rsidRPr="00751B87">
        <w:rPr>
          <w:rFonts w:cs="Times New Roman"/>
          <w:szCs w:val="24"/>
          <w:lang w:val="fr-CA"/>
        </w:rPr>
        <w:tab/>
      </w:r>
      <w:bookmarkStart w:id="12" w:name="_Toc308445313"/>
      <w:r w:rsidRPr="00751B87">
        <w:rPr>
          <w:rFonts w:cs="Times New Roman"/>
          <w:szCs w:val="24"/>
          <w:lang w:val="fr-CA"/>
        </w:rPr>
        <w:t>(3)</w:t>
      </w:r>
      <w:r w:rsidRPr="00751B87">
        <w:rPr>
          <w:rFonts w:cs="Times New Roman"/>
          <w:szCs w:val="24"/>
          <w:lang w:val="fr-CA"/>
        </w:rPr>
        <w:tab/>
      </w:r>
      <w:r w:rsidRPr="00751B87">
        <w:rPr>
          <w:rFonts w:cs="Times New Roman"/>
          <w:szCs w:val="24"/>
          <w:u w:val="single"/>
          <w:lang w:val="fr-CA"/>
        </w:rPr>
        <w:t>Norme de l’importance</w:t>
      </w:r>
      <w:bookmarkEnd w:id="12"/>
    </w:p>
    <w:p w:rsidR="0062110E" w:rsidRPr="00751B87" w:rsidRDefault="0062110E" w:rsidP="0062110E">
      <w:pPr>
        <w:pStyle w:val="ParaNoNdepar-AltN"/>
        <w:rPr>
          <w:rFonts w:cs="Times New Roman"/>
          <w:b/>
          <w:i/>
          <w:szCs w:val="24"/>
          <w:u w:val="single"/>
          <w:lang w:val="fr-CA"/>
        </w:rPr>
      </w:pPr>
      <w:r w:rsidRPr="00751B87">
        <w:rPr>
          <w:rFonts w:cs="Times New Roman"/>
          <w:szCs w:val="24"/>
          <w:lang w:val="fr-CA"/>
        </w:rPr>
        <w:t xml:space="preserve">Dans </w:t>
      </w:r>
      <w:r w:rsidRPr="00751B87">
        <w:rPr>
          <w:rFonts w:cs="Times New Roman"/>
          <w:i/>
          <w:szCs w:val="24"/>
          <w:lang w:val="fr-CA"/>
        </w:rPr>
        <w:t xml:space="preserve">Kerr c. </w:t>
      </w:r>
      <w:proofErr w:type="spellStart"/>
      <w:r w:rsidRPr="00751B87">
        <w:rPr>
          <w:rFonts w:cs="Times New Roman"/>
          <w:i/>
          <w:szCs w:val="24"/>
          <w:lang w:val="fr-CA"/>
        </w:rPr>
        <w:t>Danier</w:t>
      </w:r>
      <w:proofErr w:type="spellEnd"/>
      <w:r w:rsidRPr="00751B87">
        <w:rPr>
          <w:rFonts w:cs="Times New Roman"/>
          <w:i/>
          <w:szCs w:val="24"/>
          <w:lang w:val="fr-CA"/>
        </w:rPr>
        <w:t xml:space="preserve"> </w:t>
      </w:r>
      <w:proofErr w:type="spellStart"/>
      <w:r w:rsidRPr="00751B87">
        <w:rPr>
          <w:rFonts w:cs="Times New Roman"/>
          <w:i/>
          <w:szCs w:val="24"/>
          <w:lang w:val="fr-CA"/>
        </w:rPr>
        <w:t>Leather</w:t>
      </w:r>
      <w:proofErr w:type="spellEnd"/>
      <w:r w:rsidRPr="00751B87">
        <w:rPr>
          <w:rFonts w:cs="Times New Roman"/>
          <w:i/>
          <w:szCs w:val="24"/>
          <w:lang w:val="fr-CA"/>
        </w:rPr>
        <w:t xml:space="preserve"> Inc.</w:t>
      </w:r>
      <w:r w:rsidRPr="00751B87">
        <w:rPr>
          <w:rFonts w:cs="Times New Roman"/>
          <w:szCs w:val="24"/>
          <w:lang w:val="fr-CA"/>
        </w:rPr>
        <w:t>, 2007 CSC 44, [2007] 3 R.C.S. 331, le juge </w:t>
      </w:r>
      <w:proofErr w:type="spellStart"/>
      <w:r w:rsidRPr="00751B87">
        <w:rPr>
          <w:rFonts w:cs="Times New Roman"/>
          <w:szCs w:val="24"/>
          <w:lang w:val="fr-CA"/>
        </w:rPr>
        <w:t>Binnie</w:t>
      </w:r>
      <w:proofErr w:type="spellEnd"/>
      <w:r w:rsidRPr="00751B87">
        <w:rPr>
          <w:rFonts w:cs="Times New Roman"/>
          <w:szCs w:val="24"/>
          <w:lang w:val="fr-CA"/>
        </w:rPr>
        <w:t xml:space="preserve"> a indiqué que la « divulgation [est] la clé d’un régime efficace de réglementation des valeurs mobilières » et que son étendue est une question de politique législative nécessitant que soit « [mis] en équilibre les besoins du milieu des investisseurs et le fardeau incombant aux émetteurs » (par. 5).  La norme de l’importance en matière de communication « supplante la mentalité existan</w:t>
      </w:r>
      <w:r w:rsidR="001C0FAC">
        <w:rPr>
          <w:rFonts w:cs="Times New Roman"/>
          <w:szCs w:val="24"/>
          <w:lang w:val="fr-CA"/>
        </w:rPr>
        <w:t xml:space="preserve">t en </w:t>
      </w:r>
      <w:proofErr w:type="spellStart"/>
      <w:r w:rsidR="001C0FAC">
        <w:rPr>
          <w:rFonts w:cs="Times New Roman"/>
          <w:szCs w:val="24"/>
          <w:lang w:val="fr-CA"/>
        </w:rPr>
        <w:t>common</w:t>
      </w:r>
      <w:proofErr w:type="spellEnd"/>
      <w:r w:rsidR="001C0FAC">
        <w:rPr>
          <w:rFonts w:cs="Times New Roman"/>
          <w:szCs w:val="24"/>
          <w:lang w:val="fr-CA"/>
        </w:rPr>
        <w:t xml:space="preserve"> </w:t>
      </w:r>
      <w:proofErr w:type="spellStart"/>
      <w:r w:rsidR="001C0FAC">
        <w:rPr>
          <w:rFonts w:cs="Times New Roman"/>
          <w:szCs w:val="24"/>
          <w:lang w:val="fr-CA"/>
        </w:rPr>
        <w:t>law</w:t>
      </w:r>
      <w:proofErr w:type="spellEnd"/>
      <w:r w:rsidR="001C0FAC">
        <w:rPr>
          <w:rFonts w:cs="Times New Roman"/>
          <w:szCs w:val="24"/>
          <w:lang w:val="fr-CA"/>
        </w:rPr>
        <w:t xml:space="preserve"> selon laquelle </w:t>
      </w:r>
      <w:r w:rsidR="001C0FAC" w:rsidRPr="001C0FAC">
        <w:rPr>
          <w:szCs w:val="24"/>
          <w:lang w:val="fr-CA"/>
        </w:rPr>
        <w:t>“</w:t>
      </w:r>
      <w:r w:rsidRPr="00751B87">
        <w:rPr>
          <w:rFonts w:cs="Times New Roman"/>
          <w:szCs w:val="24"/>
          <w:lang w:val="fr-CA"/>
        </w:rPr>
        <w:t>l</w:t>
      </w:r>
      <w:r w:rsidR="001C0FAC">
        <w:rPr>
          <w:rFonts w:cs="Times New Roman"/>
          <w:szCs w:val="24"/>
          <w:lang w:val="fr-CA"/>
        </w:rPr>
        <w:t>’</w:t>
      </w:r>
      <w:r w:rsidRPr="00751B87">
        <w:rPr>
          <w:rFonts w:cs="Times New Roman"/>
          <w:szCs w:val="24"/>
          <w:lang w:val="fr-CA"/>
        </w:rPr>
        <w:t>acheteur doit prendre garde</w:t>
      </w:r>
      <w:r w:rsidR="001C0FAC" w:rsidRPr="001C0FAC">
        <w:rPr>
          <w:szCs w:val="24"/>
          <w:lang w:val="fr-CA"/>
        </w:rPr>
        <w:t>”</w:t>
      </w:r>
      <w:r w:rsidRPr="00751B87">
        <w:rPr>
          <w:rFonts w:cs="Times New Roman"/>
          <w:szCs w:val="24"/>
          <w:lang w:val="fr-CA"/>
        </w:rPr>
        <w:t>, en prescrivant la divulgation des renseignements pertinents », et ce, tout en « </w:t>
      </w:r>
      <w:proofErr w:type="spellStart"/>
      <w:proofErr w:type="gramStart"/>
      <w:r w:rsidRPr="00751B87">
        <w:rPr>
          <w:rFonts w:cs="Times New Roman"/>
          <w:szCs w:val="24"/>
          <w:lang w:val="fr-CA"/>
        </w:rPr>
        <w:t>reconna</w:t>
      </w:r>
      <w:proofErr w:type="spellEnd"/>
      <w:r w:rsidRPr="00751B87">
        <w:rPr>
          <w:rFonts w:cs="Times New Roman"/>
          <w:szCs w:val="24"/>
          <w:lang w:val="fr-CA"/>
        </w:rPr>
        <w:t>[</w:t>
      </w:r>
      <w:proofErr w:type="gramEnd"/>
      <w:r w:rsidRPr="00751B87">
        <w:rPr>
          <w:rFonts w:cs="Times New Roman"/>
          <w:szCs w:val="24"/>
          <w:lang w:val="fr-CA"/>
        </w:rPr>
        <w:t>issant] le fardeau » imposé aux émetteurs en cette matière (par. 32).</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La norme de l’importance est le fruit d’un équilibre législatif et réglementaire entre, d’une part, une communication surabondante et, d’autre part, une communication insuffisante de renseignements.  Comme l’a souligné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dans </w:t>
      </w:r>
      <w:r w:rsidRPr="00751B87">
        <w:rPr>
          <w:rFonts w:cs="Times New Roman"/>
          <w:i/>
          <w:szCs w:val="24"/>
          <w:lang w:val="fr-CA"/>
        </w:rPr>
        <w:t>TSC Industrie</w:t>
      </w:r>
      <w:r w:rsidR="001C0FAC">
        <w:rPr>
          <w:rFonts w:cs="Times New Roman"/>
          <w:i/>
          <w:szCs w:val="24"/>
          <w:lang w:val="fr-CA"/>
        </w:rPr>
        <w:t>s</w:t>
      </w:r>
      <w:r w:rsidRPr="00751B87">
        <w:rPr>
          <w:rFonts w:cs="Times New Roman"/>
          <w:i/>
          <w:szCs w:val="24"/>
          <w:lang w:val="fr-CA"/>
        </w:rPr>
        <w:t xml:space="preserve">, Inc. c. </w:t>
      </w:r>
      <w:proofErr w:type="spellStart"/>
      <w:r w:rsidRPr="00751B87">
        <w:rPr>
          <w:rFonts w:cs="Times New Roman"/>
          <w:i/>
          <w:szCs w:val="24"/>
          <w:lang w:val="fr-CA"/>
        </w:rPr>
        <w:t>Northway</w:t>
      </w:r>
      <w:proofErr w:type="spellEnd"/>
      <w:r w:rsidRPr="009C376E">
        <w:rPr>
          <w:rFonts w:cs="Times New Roman"/>
          <w:i/>
          <w:szCs w:val="24"/>
          <w:lang w:val="fr-CA"/>
        </w:rPr>
        <w:t>,</w:t>
      </w:r>
      <w:r w:rsidRPr="00751B87">
        <w:rPr>
          <w:rFonts w:cs="Times New Roman"/>
          <w:i/>
          <w:szCs w:val="24"/>
          <w:lang w:val="fr-CA"/>
        </w:rPr>
        <w:t xml:space="preserve"> Inc.</w:t>
      </w:r>
      <w:r w:rsidR="001C0FAC">
        <w:rPr>
          <w:rFonts w:cs="Times New Roman"/>
          <w:szCs w:val="24"/>
          <w:lang w:val="fr-CA"/>
        </w:rPr>
        <w:t xml:space="preserve">, </w:t>
      </w:r>
      <w:r w:rsidRPr="00751B87">
        <w:rPr>
          <w:rFonts w:cs="Times New Roman"/>
          <w:szCs w:val="24"/>
          <w:lang w:val="fr-CA"/>
        </w:rPr>
        <w:t>426 U.S. 438 (1976), p. 448</w:t>
      </w:r>
      <w:r w:rsidRPr="00751B87">
        <w:rPr>
          <w:rFonts w:cs="Times New Roman"/>
          <w:szCs w:val="24"/>
          <w:lang w:val="fr-CA"/>
        </w:rPr>
        <w:noBreakHyphen/>
        <w:t xml:space="preserve">449 : </w:t>
      </w:r>
    </w:p>
    <w:p w:rsidR="0062110E" w:rsidRPr="00751B87" w:rsidRDefault="0062110E" w:rsidP="0062110E">
      <w:pPr>
        <w:pStyle w:val="Citation-AltC"/>
        <w:ind w:hanging="1166"/>
        <w:rPr>
          <w:lang w:val="fr-CA"/>
        </w:rPr>
      </w:pPr>
      <w:r w:rsidRPr="00751B87">
        <w:rPr>
          <w:lang w:val="fr-CA"/>
        </w:rPr>
        <w:tab/>
        <w:t>[</w:t>
      </w:r>
      <w:r w:rsidRPr="00751B87">
        <w:rPr>
          <w:smallCaps/>
          <w:lang w:val="fr-CA"/>
        </w:rPr>
        <w:t>traduction</w:t>
      </w:r>
      <w:proofErr w:type="gramStart"/>
      <w:r w:rsidRPr="00751B87">
        <w:rPr>
          <w:lang w:val="fr-CA"/>
        </w:rPr>
        <w:t>]  .</w:t>
      </w:r>
      <w:proofErr w:type="gramEnd"/>
      <w:r w:rsidRPr="00751B87">
        <w:rPr>
          <w:lang w:val="fr-CA"/>
        </w:rPr>
        <w:t xml:space="preserve"> . . si la norme de l’importance était trop peu exigeante, non seulement la société et ses dirigeants </w:t>
      </w:r>
      <w:proofErr w:type="spellStart"/>
      <w:r w:rsidRPr="00751B87">
        <w:rPr>
          <w:lang w:val="fr-CA"/>
        </w:rPr>
        <w:t>pourraient</w:t>
      </w:r>
      <w:r w:rsidRPr="00751B87">
        <w:rPr>
          <w:lang w:val="fr-CA"/>
        </w:rPr>
        <w:noBreakHyphen/>
        <w:t>ils</w:t>
      </w:r>
      <w:proofErr w:type="spellEnd"/>
      <w:r w:rsidRPr="00751B87">
        <w:rPr>
          <w:lang w:val="fr-CA"/>
        </w:rPr>
        <w:t xml:space="preserve"> être tenus responsables d’omissions ou de déclarations erronées négligeables, mais  leur crainte de se voir imposer d’importantes obligations pourrait également les amener à carrément inonder les actionnaires de renseignements futiles, ce qui ne les aiderait en rien à prendre des décisions éclairées.</w:t>
      </w:r>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soutient que, s’agissant d’un prospectus assujetti à la Loi, un certain [</w:t>
      </w:r>
      <w:r w:rsidRPr="00751B87">
        <w:rPr>
          <w:rFonts w:cs="Times New Roman"/>
          <w:smallCaps/>
          <w:szCs w:val="24"/>
          <w:lang w:val="fr-CA"/>
        </w:rPr>
        <w:t>traduction</w:t>
      </w:r>
      <w:r w:rsidRPr="00751B87">
        <w:rPr>
          <w:rFonts w:cs="Times New Roman"/>
          <w:szCs w:val="24"/>
          <w:lang w:val="fr-CA"/>
        </w:rPr>
        <w:t>] « déséquilibre sur les plans des connaissances et de la vulnérabilité » donne à penser que la norme de l’importance en matière de communication doit être élevée (</w:t>
      </w:r>
      <w:proofErr w:type="gramStart"/>
      <w:r w:rsidRPr="00751B87">
        <w:rPr>
          <w:rFonts w:cs="Times New Roman"/>
          <w:szCs w:val="24"/>
          <w:lang w:val="fr-CA"/>
        </w:rPr>
        <w:t>m.a.,</w:t>
      </w:r>
      <w:proofErr w:type="gramEnd"/>
      <w:r w:rsidRPr="00751B87">
        <w:rPr>
          <w:rFonts w:cs="Times New Roman"/>
          <w:szCs w:val="24"/>
          <w:lang w:val="fr-CA"/>
        </w:rPr>
        <w:t xml:space="preserve"> par. 32).  J’en déduis que </w:t>
      </w:r>
      <w:proofErr w:type="spellStart"/>
      <w:r w:rsidRPr="00751B87">
        <w:rPr>
          <w:rFonts w:cs="Times New Roman"/>
          <w:szCs w:val="24"/>
          <w:lang w:val="fr-CA"/>
        </w:rPr>
        <w:t>Sharbern</w:t>
      </w:r>
      <w:proofErr w:type="spellEnd"/>
      <w:r w:rsidRPr="00751B87">
        <w:rPr>
          <w:rFonts w:cs="Times New Roman"/>
          <w:szCs w:val="24"/>
          <w:lang w:val="fr-CA"/>
        </w:rPr>
        <w:t xml:space="preserve"> considère qu’il faut, en se livrant à l’exercice de pondération qu’impose l’obligation de communication dans le contexte d’un prospectus, pencher du côté d’une communication accrue.  </w:t>
      </w:r>
      <w:proofErr w:type="spellStart"/>
      <w:r w:rsidRPr="00751B87">
        <w:rPr>
          <w:rFonts w:cs="Times New Roman"/>
          <w:szCs w:val="24"/>
          <w:lang w:val="fr-CA"/>
        </w:rPr>
        <w:t>Sharbern</w:t>
      </w:r>
      <w:proofErr w:type="spellEnd"/>
      <w:r w:rsidRPr="00751B87">
        <w:rPr>
          <w:rFonts w:cs="Times New Roman"/>
          <w:szCs w:val="24"/>
          <w:lang w:val="fr-CA"/>
        </w:rPr>
        <w:t xml:space="preserve"> ne prétend pas que le VAC agissait à titre de </w:t>
      </w:r>
      <w:proofErr w:type="spellStart"/>
      <w:r w:rsidRPr="00751B87">
        <w:rPr>
          <w:rFonts w:cs="Times New Roman"/>
          <w:szCs w:val="24"/>
          <w:lang w:val="fr-CA"/>
        </w:rPr>
        <w:t>fiducial</w:t>
      </w:r>
      <w:proofErr w:type="spellEnd"/>
      <w:r w:rsidRPr="00751B87">
        <w:rPr>
          <w:rFonts w:cs="Times New Roman"/>
          <w:szCs w:val="24"/>
          <w:lang w:val="fr-CA"/>
        </w:rPr>
        <w:t xml:space="preserve"> en sa qualité de promoteur, mais elle soutient néanmoins que ses obligations en matière de communication devraient être les mêmes que celles d’un </w:t>
      </w:r>
      <w:proofErr w:type="spellStart"/>
      <w:r w:rsidRPr="00751B87">
        <w:rPr>
          <w:rFonts w:cs="Times New Roman"/>
          <w:szCs w:val="24"/>
          <w:lang w:val="fr-CA"/>
        </w:rPr>
        <w:t>fiducial</w:t>
      </w:r>
      <w:proofErr w:type="spellEnd"/>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De fait, les éventuels investisseurs sont vulnérables face à la connaissance supérieure des émetteurs de valeurs de ce qu’il convient de communiquer ou non.  </w:t>
      </w:r>
      <w:r w:rsidRPr="00751B87">
        <w:rPr>
          <w:rFonts w:cs="Times New Roman"/>
          <w:szCs w:val="24"/>
          <w:lang w:val="fr-CA"/>
        </w:rPr>
        <w:lastRenderedPageBreak/>
        <w:t>Voilà pourquoi la loi impose des obligations de communication dans le domaine des valeurs mobilières.  Toutefois, la jurisprudence a reconnu qu’il n’était pas dans l’intérêt des investisseurs d’être inondés [</w:t>
      </w:r>
      <w:r w:rsidRPr="00751B87">
        <w:rPr>
          <w:rFonts w:cs="Times New Roman"/>
          <w:smallCaps/>
          <w:szCs w:val="24"/>
          <w:lang w:val="fr-CA"/>
        </w:rPr>
        <w:t>traduction</w:t>
      </w:r>
      <w:r w:rsidRPr="00751B87">
        <w:rPr>
          <w:rFonts w:cs="Times New Roman"/>
          <w:szCs w:val="24"/>
          <w:lang w:val="fr-CA"/>
        </w:rPr>
        <w:t>] « de renseignements futiles » nuisant à la prise de décision (</w:t>
      </w:r>
      <w:r w:rsidRPr="00751B87">
        <w:rPr>
          <w:rFonts w:cs="Times New Roman"/>
          <w:i/>
          <w:szCs w:val="24"/>
          <w:lang w:val="fr-CA"/>
        </w:rPr>
        <w:t>TSC Industries</w:t>
      </w:r>
      <w:r w:rsidRPr="00751B87">
        <w:rPr>
          <w:rFonts w:cs="Times New Roman"/>
          <w:szCs w:val="24"/>
          <w:lang w:val="fr-CA"/>
        </w:rPr>
        <w:t>, p. 448).  Comme je l’expliquerai, la norme de l’importance commande la communication des renseignements que l’investisseur raisonnable jugerait importants dans sa prise de décision.</w:t>
      </w:r>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lang w:val="fr-CA"/>
        </w:rPr>
      </w:pPr>
      <w:r w:rsidRPr="00751B87">
        <w:rPr>
          <w:rFonts w:cs="Times New Roman"/>
          <w:szCs w:val="24"/>
          <w:lang w:val="fr-CA"/>
        </w:rPr>
        <w:tab/>
      </w:r>
      <w:bookmarkStart w:id="13" w:name="_Toc308445314"/>
      <w:r w:rsidRPr="00751B87">
        <w:rPr>
          <w:rFonts w:cs="Times New Roman"/>
          <w:szCs w:val="24"/>
          <w:lang w:val="fr-CA"/>
        </w:rPr>
        <w:t>(4)</w:t>
      </w:r>
      <w:r w:rsidRPr="00751B87">
        <w:rPr>
          <w:rFonts w:cs="Times New Roman"/>
          <w:szCs w:val="24"/>
          <w:lang w:val="fr-CA"/>
        </w:rPr>
        <w:tab/>
      </w:r>
      <w:r w:rsidRPr="00751B87">
        <w:rPr>
          <w:rFonts w:cs="Times New Roman"/>
          <w:szCs w:val="24"/>
          <w:u w:val="single"/>
          <w:lang w:val="fr-CA"/>
        </w:rPr>
        <w:t>Critère pour évaluer l’importance</w:t>
      </w:r>
      <w:bookmarkEnd w:id="13"/>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régime de responsabilité prévu à l’art. 75 de la Loi ne précise pas ce que signifie « important » dans le mot « déclaration erronée sur un point important ».  Or, les parties ont invité la Cour à adopter l’approche retenue par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dans </w:t>
      </w:r>
      <w:r w:rsidRPr="00751B87">
        <w:rPr>
          <w:rFonts w:cs="Times New Roman"/>
          <w:i/>
          <w:iCs/>
          <w:szCs w:val="24"/>
          <w:lang w:val="fr-CA"/>
        </w:rPr>
        <w:t>TSC Industries</w:t>
      </w:r>
      <w:r w:rsidRPr="00751B87">
        <w:rPr>
          <w:rFonts w:cs="Times New Roman"/>
          <w:szCs w:val="24"/>
          <w:lang w:val="fr-CA"/>
        </w:rPr>
        <w:t xml:space="preserve"> pour interpréter la notion d’importance dans le contexte de cet article.  Appelée à déterminer l’importance d’un fait ayant été omis lors d’une sollicitation de procurations,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s’est demandé dans cet arrêt s’il existait une probabilité marquée que l’investisseur raisonnable aurait tenu compte de ce fait dans le cadre de son analyse s’il lui avait été communiqué.</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Voici comment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définit le critère de l’importance dans </w:t>
      </w:r>
      <w:r w:rsidRPr="00751B87">
        <w:rPr>
          <w:rFonts w:cs="Times New Roman"/>
          <w:i/>
          <w:iCs/>
          <w:szCs w:val="24"/>
          <w:lang w:val="fr-CA"/>
        </w:rPr>
        <w:t>TSC Industries</w:t>
      </w:r>
      <w:r w:rsidRPr="00751B87">
        <w:rPr>
          <w:rFonts w:cs="Times New Roman"/>
          <w:szCs w:val="24"/>
          <w:lang w:val="fr-CA"/>
        </w:rPr>
        <w:t xml:space="preserve"> : </w:t>
      </w:r>
    </w:p>
    <w:p w:rsidR="0062110E" w:rsidRPr="00751B87" w:rsidRDefault="0062110E" w:rsidP="009C376E">
      <w:pPr>
        <w:pStyle w:val="Citation-AltC"/>
        <w:tabs>
          <w:tab w:val="left" w:pos="1620"/>
        </w:tabs>
        <w:ind w:hanging="1166"/>
        <w:rPr>
          <w:lang w:val="fr-CA"/>
        </w:rPr>
      </w:pPr>
      <w:r w:rsidRPr="00751B87">
        <w:rPr>
          <w:lang w:val="fr-CA"/>
        </w:rPr>
        <w:tab/>
      </w:r>
      <w:r w:rsidR="009C376E">
        <w:rPr>
          <w:lang w:val="fr-CA"/>
        </w:rPr>
        <w:tab/>
      </w:r>
      <w:r w:rsidRPr="00751B87">
        <w:rPr>
          <w:lang w:val="fr-CA"/>
        </w:rPr>
        <w:t>[</w:t>
      </w:r>
      <w:r w:rsidRPr="00751B87">
        <w:rPr>
          <w:smallCaps/>
          <w:lang w:val="fr-CA"/>
        </w:rPr>
        <w:t>traduction</w:t>
      </w:r>
      <w:proofErr w:type="gramStart"/>
      <w:r w:rsidRPr="00751B87">
        <w:rPr>
          <w:lang w:val="fr-CA"/>
        </w:rPr>
        <w:t>]</w:t>
      </w:r>
      <w:r>
        <w:rPr>
          <w:lang w:val="fr-CA"/>
        </w:rPr>
        <w:t xml:space="preserve"> </w:t>
      </w:r>
      <w:r w:rsidRPr="00751B87">
        <w:rPr>
          <w:lang w:val="fr-CA"/>
        </w:rPr>
        <w:t xml:space="preserve"> .</w:t>
      </w:r>
      <w:proofErr w:type="gramEnd"/>
      <w:r w:rsidRPr="00751B87">
        <w:rPr>
          <w:lang w:val="fr-CA"/>
        </w:rPr>
        <w:t> . .</w:t>
      </w:r>
      <w:r>
        <w:rPr>
          <w:lang w:val="fr-CA"/>
        </w:rPr>
        <w:t xml:space="preserve"> </w:t>
      </w:r>
      <w:r w:rsidRPr="00751B87">
        <w:rPr>
          <w:lang w:val="fr-CA"/>
        </w:rPr>
        <w:t xml:space="preserve">Un fait omis est important s’il existe une probabilité marquée que l’actionnaire raisonnable l’estimerait important </w:t>
      </w:r>
      <w:r w:rsidRPr="00751B87">
        <w:rPr>
          <w:lang w:val="fr-CA"/>
        </w:rPr>
        <w:lastRenderedPageBreak/>
        <w:t xml:space="preserve">au moment de décider de son vote.  Ce critère est entièrement compatible avec la description générale de la notion d’importance dans </w:t>
      </w:r>
      <w:r w:rsidRPr="00751B87">
        <w:rPr>
          <w:i/>
          <w:iCs/>
          <w:lang w:val="fr-CA"/>
        </w:rPr>
        <w:t>Mills</w:t>
      </w:r>
      <w:r w:rsidRPr="00751B87">
        <w:rPr>
          <w:lang w:val="fr-CA"/>
        </w:rPr>
        <w:t xml:space="preserve">, soit une exigence requérant que « la lacune </w:t>
      </w:r>
      <w:r w:rsidRPr="00A24BBA">
        <w:rPr>
          <w:i/>
          <w:lang w:val="fr-CA"/>
        </w:rPr>
        <w:t>tend</w:t>
      </w:r>
      <w:r w:rsidRPr="00751B87">
        <w:rPr>
          <w:lang w:val="fr-CA"/>
        </w:rPr>
        <w:t xml:space="preserve"> fortement à influer sur le résultat du vote</w:t>
      </w:r>
      <w:r w:rsidR="009C376E">
        <w:rPr>
          <w:lang w:val="fr-CA"/>
        </w:rPr>
        <w:t>.</w:t>
      </w:r>
      <w:r w:rsidRPr="00751B87">
        <w:rPr>
          <w:lang w:val="fr-CA"/>
        </w:rPr>
        <w:t xml:space="preserve"> »  Il n’est pas nécessaire d’établir l’existence d’une probabilité marquée que la communication du fait omis aurait incité l’investisseur raisonnable à voter autrement.  Le critère suppose plutôt l’existence d’une probabilité marquée que, dans les circonstances en cause, l’investisseur raisonnable aurait </w:t>
      </w:r>
      <w:proofErr w:type="gramStart"/>
      <w:r w:rsidRPr="00751B87">
        <w:rPr>
          <w:lang w:val="fr-CA"/>
        </w:rPr>
        <w:t>tenu</w:t>
      </w:r>
      <w:proofErr w:type="gramEnd"/>
      <w:r w:rsidRPr="00751B87">
        <w:rPr>
          <w:lang w:val="fr-CA"/>
        </w:rPr>
        <w:t xml:space="preserve"> compte de ce fait dans le cadre de son analyse s’il lui avait été communiqué.  En d’autres termes, il doit exister une probabilité marquée que l’investisseur raisonnable aurait jugé que le fait en question aurait modifié de façon significative l’</w:t>
      </w:r>
      <w:r w:rsidR="009C376E">
        <w:rPr>
          <w:lang w:val="fr-CA"/>
        </w:rPr>
        <w:t>« </w:t>
      </w:r>
      <w:r w:rsidRPr="00751B87">
        <w:rPr>
          <w:lang w:val="fr-CA"/>
        </w:rPr>
        <w:t>ensemble</w:t>
      </w:r>
      <w:r w:rsidR="009C376E">
        <w:rPr>
          <w:lang w:val="fr-CA"/>
        </w:rPr>
        <w:t> »</w:t>
      </w:r>
      <w:r w:rsidRPr="00751B87">
        <w:rPr>
          <w:lang w:val="fr-CA"/>
        </w:rPr>
        <w:t xml:space="preserve"> des renseignements mis à sa disposition s’il lui ava</w:t>
      </w:r>
      <w:r w:rsidR="001C0FAC">
        <w:rPr>
          <w:lang w:val="fr-CA"/>
        </w:rPr>
        <w:t>it été communiqué.  [En italique dans l’original</w:t>
      </w:r>
      <w:r w:rsidRPr="00751B87">
        <w:rPr>
          <w:lang w:val="fr-CA"/>
        </w:rPr>
        <w:t>; p. 449.]</w:t>
      </w:r>
    </w:p>
    <w:p w:rsidR="0062110E" w:rsidRPr="00751B87" w:rsidRDefault="0062110E" w:rsidP="0062110E">
      <w:pPr>
        <w:pStyle w:val="ContinueReasonsNo-AltP"/>
        <w:rPr>
          <w:rFonts w:cs="Times New Roman"/>
          <w:szCs w:val="24"/>
          <w:lang w:val="fr-CA"/>
        </w:rPr>
      </w:pPr>
      <w:r w:rsidRPr="00751B87">
        <w:rPr>
          <w:rFonts w:cs="Times New Roman"/>
          <w:szCs w:val="24"/>
          <w:lang w:val="fr-CA"/>
        </w:rPr>
        <w:t xml:space="preserve">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a qualifié l’importance de [</w:t>
      </w:r>
      <w:r w:rsidRPr="00751B87">
        <w:rPr>
          <w:rFonts w:cs="Times New Roman"/>
          <w:smallCaps/>
          <w:szCs w:val="24"/>
          <w:lang w:val="fr-CA"/>
        </w:rPr>
        <w:t>traduction</w:t>
      </w:r>
      <w:r w:rsidRPr="00751B87">
        <w:rPr>
          <w:rFonts w:cs="Times New Roman"/>
          <w:szCs w:val="24"/>
          <w:lang w:val="fr-CA"/>
        </w:rPr>
        <w:t>] « question mixte de droit et de fait qui comporte l’application d’une norme juridique à une catégorie de faits précise » (p. 450).</w:t>
      </w:r>
    </w:p>
    <w:p w:rsidR="0062110E" w:rsidRPr="00751B87" w:rsidRDefault="0062110E" w:rsidP="0062110E">
      <w:pPr>
        <w:pStyle w:val="ParaNoNdepar-AltN"/>
        <w:rPr>
          <w:rFonts w:cs="Times New Roman"/>
          <w:szCs w:val="24"/>
          <w:lang w:val="en-US"/>
        </w:rPr>
      </w:pPr>
      <w:r w:rsidRPr="00751B87">
        <w:rPr>
          <w:rFonts w:cs="Times New Roman"/>
          <w:szCs w:val="24"/>
          <w:lang w:val="fr-CA"/>
        </w:rPr>
        <w:t xml:space="preserve">Le critère établi dans </w:t>
      </w:r>
      <w:r w:rsidRPr="00751B87">
        <w:rPr>
          <w:rFonts w:cs="Times New Roman"/>
          <w:i/>
          <w:iCs/>
          <w:szCs w:val="24"/>
          <w:lang w:val="fr-CA"/>
        </w:rPr>
        <w:t>TSC Industries</w:t>
      </w:r>
      <w:r w:rsidRPr="00751B87">
        <w:rPr>
          <w:rFonts w:cs="Times New Roman"/>
          <w:szCs w:val="24"/>
          <w:lang w:val="fr-CA"/>
        </w:rPr>
        <w:t xml:space="preserve"> n’est pas un concept nouveau en droit canadien des valeurs mobilières.  Il a été adopté</w:t>
      </w:r>
      <w:r w:rsidRPr="00751B87">
        <w:rPr>
          <w:rFonts w:cs="Times New Roman"/>
          <w:i/>
          <w:iCs/>
          <w:szCs w:val="24"/>
          <w:lang w:val="fr-CA"/>
        </w:rPr>
        <w:t xml:space="preserve"> </w:t>
      </w:r>
      <w:r w:rsidRPr="00751B87">
        <w:rPr>
          <w:rFonts w:cs="Times New Roman"/>
          <w:iCs/>
          <w:szCs w:val="24"/>
          <w:lang w:val="fr-CA"/>
        </w:rPr>
        <w:t xml:space="preserve">par un certain nombre de tribunaux d’appel canadiens dans des affaires telles </w:t>
      </w:r>
      <w:proofErr w:type="spellStart"/>
      <w:r w:rsidRPr="00751B87">
        <w:rPr>
          <w:rFonts w:cs="Times New Roman"/>
          <w:i/>
          <w:iCs/>
          <w:szCs w:val="24"/>
          <w:lang w:val="fr-CA"/>
        </w:rPr>
        <w:t>Sparling</w:t>
      </w:r>
      <w:proofErr w:type="spellEnd"/>
      <w:r w:rsidRPr="00751B87">
        <w:rPr>
          <w:rFonts w:cs="Times New Roman"/>
          <w:i/>
          <w:iCs/>
          <w:szCs w:val="24"/>
          <w:lang w:val="fr-CA"/>
        </w:rPr>
        <w:t xml:space="preserve"> c. Royal </w:t>
      </w:r>
      <w:proofErr w:type="spellStart"/>
      <w:r w:rsidRPr="00751B87">
        <w:rPr>
          <w:rFonts w:cs="Times New Roman"/>
          <w:i/>
          <w:iCs/>
          <w:szCs w:val="24"/>
          <w:lang w:val="fr-CA"/>
        </w:rPr>
        <w:t>Trustco</w:t>
      </w:r>
      <w:proofErr w:type="spellEnd"/>
      <w:r w:rsidRPr="00751B87">
        <w:rPr>
          <w:rFonts w:cs="Times New Roman"/>
          <w:i/>
          <w:iCs/>
          <w:szCs w:val="24"/>
          <w:lang w:val="fr-CA"/>
        </w:rPr>
        <w:t xml:space="preserve"> Ltd.</w:t>
      </w:r>
      <w:r w:rsidRPr="00751B87">
        <w:rPr>
          <w:rFonts w:cs="Times New Roman"/>
          <w:szCs w:val="24"/>
          <w:lang w:val="fr-CA"/>
        </w:rPr>
        <w:t xml:space="preserve"> </w:t>
      </w:r>
      <w:r w:rsidRPr="00751B87">
        <w:rPr>
          <w:rFonts w:cs="Times New Roman"/>
          <w:szCs w:val="24"/>
          <w:lang w:val="en-US"/>
        </w:rPr>
        <w:t xml:space="preserve">(1984), 6 D.L.R. (4th) 682 (C.A. Ont.), conf. </w:t>
      </w:r>
      <w:proofErr w:type="gramStart"/>
      <w:r w:rsidRPr="00751B87">
        <w:rPr>
          <w:rFonts w:cs="Times New Roman"/>
          <w:szCs w:val="24"/>
          <w:lang w:val="en-US"/>
        </w:rPr>
        <w:t>par</w:t>
      </w:r>
      <w:proofErr w:type="gramEnd"/>
      <w:r w:rsidRPr="00751B87">
        <w:rPr>
          <w:rFonts w:cs="Times New Roman"/>
          <w:szCs w:val="24"/>
          <w:lang w:val="en-US"/>
        </w:rPr>
        <w:t xml:space="preserve"> [1986] 2 R.C.S. 537, </w:t>
      </w:r>
      <w:r w:rsidRPr="00751B87">
        <w:rPr>
          <w:rFonts w:cs="Times New Roman"/>
          <w:i/>
          <w:iCs/>
          <w:szCs w:val="24"/>
          <w:lang w:val="en-US"/>
        </w:rPr>
        <w:t>Harris c. Universal Explorations Ltd.</w:t>
      </w:r>
      <w:r w:rsidRPr="00751B87">
        <w:rPr>
          <w:rFonts w:cs="Times New Roman"/>
          <w:szCs w:val="24"/>
          <w:lang w:val="en-US"/>
        </w:rPr>
        <w:t xml:space="preserve"> (1982), 17 B.L.R. 135 (C.A. Alb.), et </w:t>
      </w:r>
      <w:proofErr w:type="spellStart"/>
      <w:r w:rsidRPr="00751B87">
        <w:rPr>
          <w:rFonts w:cs="Times New Roman"/>
          <w:i/>
          <w:iCs/>
          <w:szCs w:val="24"/>
          <w:lang w:val="en-US"/>
        </w:rPr>
        <w:t>Inmet</w:t>
      </w:r>
      <w:proofErr w:type="spellEnd"/>
      <w:r w:rsidRPr="00751B87">
        <w:rPr>
          <w:rFonts w:cs="Times New Roman"/>
          <w:i/>
          <w:iCs/>
          <w:szCs w:val="24"/>
          <w:lang w:val="en-US"/>
        </w:rPr>
        <w:t xml:space="preserve"> Mining Corp. c. </w:t>
      </w:r>
      <w:proofErr w:type="spellStart"/>
      <w:r w:rsidRPr="00751B87">
        <w:rPr>
          <w:rFonts w:cs="Times New Roman"/>
          <w:i/>
          <w:iCs/>
          <w:szCs w:val="24"/>
          <w:lang w:val="en-US"/>
        </w:rPr>
        <w:t>Homestake</w:t>
      </w:r>
      <w:proofErr w:type="spellEnd"/>
      <w:r w:rsidRPr="00751B87">
        <w:rPr>
          <w:rFonts w:cs="Times New Roman"/>
          <w:i/>
          <w:iCs/>
          <w:szCs w:val="24"/>
          <w:lang w:val="en-US"/>
        </w:rPr>
        <w:t xml:space="preserve"> Canada Inc.</w:t>
      </w:r>
      <w:r w:rsidRPr="00751B87">
        <w:rPr>
          <w:rFonts w:cs="Times New Roman"/>
          <w:szCs w:val="24"/>
          <w:lang w:val="en-US"/>
        </w:rPr>
        <w:t>, 2003 BCCA 610, 189 B.C.A.C. 251.</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Or, le document d’information établi sous le régime de la Loi s’apparente à la sollicitation de procurations dont il est question dans </w:t>
      </w:r>
      <w:r w:rsidRPr="00751B87">
        <w:rPr>
          <w:rFonts w:cs="Times New Roman"/>
          <w:i/>
          <w:iCs/>
          <w:szCs w:val="24"/>
          <w:lang w:val="fr-CA"/>
        </w:rPr>
        <w:t>TSC Industries</w:t>
      </w:r>
      <w:r w:rsidRPr="00751B87">
        <w:rPr>
          <w:rFonts w:cs="Times New Roman"/>
          <w:szCs w:val="24"/>
          <w:lang w:val="fr-CA"/>
        </w:rPr>
        <w:t xml:space="preserve">.  L’analogie est permise car les deux documents présentent des caractéristiques similaires.  En effet, l’un et l’autre (i) sont préparés unilatéralement par les dirigeants d’une société </w:t>
      </w:r>
      <w:r w:rsidRPr="00751B87">
        <w:rPr>
          <w:rFonts w:cs="Times New Roman"/>
          <w:szCs w:val="24"/>
          <w:lang w:val="fr-CA"/>
        </w:rPr>
        <w:lastRenderedPageBreak/>
        <w:t>ou un promoteur, (ii) visent à répondre à des exigences légales ou réglementaires, (iii) servent à fournir des renseignements aux investisseurs (actuels ou éventuels) afin de leur permettre de faire des choix éclairés, et (iv) servent de fondement aux décisions des investisseurs (que ce soit en matière de vote ou d’investissement).  Dans un cas comme dans l’autre, les investisseurs s’en servent pour faire des choix éclairés en matière d’investissement en se fondant sur des renseignements qui leur sont fournis par une partie qui détermine unilatéralement ce qu’elle leur communiquera pour satisfaire à ses obligations légales.  Il sied donc d’appliquer le</w:t>
      </w:r>
      <w:r w:rsidRPr="00751B87">
        <w:rPr>
          <w:rFonts w:cs="Times New Roman"/>
          <w:i/>
          <w:iCs/>
          <w:szCs w:val="24"/>
          <w:lang w:val="fr-CA"/>
        </w:rPr>
        <w:t xml:space="preserve"> </w:t>
      </w:r>
      <w:r w:rsidRPr="00751B87">
        <w:rPr>
          <w:rFonts w:cs="Times New Roman"/>
          <w:szCs w:val="24"/>
          <w:lang w:val="fr-CA"/>
        </w:rPr>
        <w:t>critère de l’arrêt</w:t>
      </w:r>
      <w:r w:rsidRPr="00751B87">
        <w:rPr>
          <w:rFonts w:cs="Times New Roman"/>
          <w:i/>
          <w:iCs/>
          <w:szCs w:val="24"/>
          <w:lang w:val="fr-CA"/>
        </w:rPr>
        <w:t xml:space="preserve"> TSC Industries</w:t>
      </w:r>
      <w:r w:rsidRPr="00751B87">
        <w:rPr>
          <w:rFonts w:cs="Times New Roman"/>
          <w:szCs w:val="24"/>
          <w:lang w:val="fr-CA"/>
        </w:rPr>
        <w:t xml:space="preserve"> pour juger de l’importance des déclarations faites sous le régime de la Loi.</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Selon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il est [</w:t>
      </w:r>
      <w:r w:rsidRPr="00751B87">
        <w:rPr>
          <w:rFonts w:cs="Times New Roman"/>
          <w:smallCaps/>
          <w:szCs w:val="24"/>
          <w:lang w:val="fr-CA"/>
        </w:rPr>
        <w:t>traduction</w:t>
      </w:r>
      <w:r w:rsidRPr="00751B87">
        <w:rPr>
          <w:rFonts w:cs="Times New Roman"/>
          <w:szCs w:val="24"/>
          <w:lang w:val="fr-CA"/>
        </w:rPr>
        <w:t>] « universellement reconnu » que le critère de l’importance est de nature objective (</w:t>
      </w:r>
      <w:r w:rsidRPr="00751B87">
        <w:rPr>
          <w:rFonts w:cs="Times New Roman"/>
          <w:i/>
          <w:iCs/>
          <w:szCs w:val="24"/>
          <w:lang w:val="fr-CA"/>
        </w:rPr>
        <w:t>TSC Industries</w:t>
      </w:r>
      <w:r w:rsidRPr="00751B87">
        <w:rPr>
          <w:rFonts w:cs="Times New Roman"/>
          <w:szCs w:val="24"/>
          <w:lang w:val="fr-CA"/>
        </w:rPr>
        <w:t>, p. 445).  Or, l’application de ce critère suppose un examen de la façon dont l’</w:t>
      </w:r>
      <w:r w:rsidR="001C0FAC">
        <w:rPr>
          <w:rFonts w:cs="Times New Roman"/>
          <w:szCs w:val="24"/>
          <w:lang w:val="fr-CA"/>
        </w:rPr>
        <w:t>«</w:t>
      </w:r>
      <w:r w:rsidRPr="00751B87">
        <w:rPr>
          <w:rFonts w:cs="Times New Roman"/>
          <w:szCs w:val="24"/>
          <w:lang w:val="fr-CA"/>
        </w:rPr>
        <w:t xml:space="preserve"> investisseur raisonnable » aurait envisagé les renseignements.  En bout de ligne,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a conclu que le critère objectif formulé dans </w:t>
      </w:r>
      <w:r w:rsidRPr="00751B87">
        <w:rPr>
          <w:rFonts w:cs="Times New Roman"/>
          <w:i/>
          <w:iCs/>
          <w:szCs w:val="24"/>
          <w:lang w:val="fr-CA"/>
        </w:rPr>
        <w:t>TSC Industries</w:t>
      </w:r>
      <w:r w:rsidRPr="00751B87">
        <w:rPr>
          <w:rFonts w:cs="Times New Roman"/>
          <w:szCs w:val="24"/>
          <w:lang w:val="fr-CA"/>
        </w:rPr>
        <w:t xml:space="preserve"> est celui qui « s’accorde le mieux avec les orientations » (p. 449) qui </w:t>
      </w:r>
      <w:proofErr w:type="spellStart"/>
      <w:r w:rsidRPr="00751B87">
        <w:rPr>
          <w:rFonts w:cs="Times New Roman"/>
          <w:szCs w:val="24"/>
          <w:lang w:val="fr-CA"/>
        </w:rPr>
        <w:t>sous</w:t>
      </w:r>
      <w:r w:rsidRPr="00751B87">
        <w:rPr>
          <w:rFonts w:cs="Times New Roman"/>
          <w:szCs w:val="24"/>
          <w:lang w:val="fr-CA"/>
        </w:rPr>
        <w:noBreakHyphen/>
        <w:t>tendent</w:t>
      </w:r>
      <w:proofErr w:type="spellEnd"/>
      <w:r w:rsidRPr="00751B87">
        <w:rPr>
          <w:rFonts w:cs="Times New Roman"/>
          <w:szCs w:val="24"/>
          <w:lang w:val="fr-CA"/>
        </w:rPr>
        <w:t xml:space="preserve"> les règles applicables en matière de divulgation de procurations, lesquelles ne visent « pas simplement à veiller par des moyens judiciaires à ce que l’opération, compte tenu de sa teneur réelle, soit équitable et par ailleurs acceptable, mais à veiller à ce que les dirigeants de l’entreprise communiquent aux actionnaires des renseignements qui leur permettront de prendre une décision éclairée » (p. 448).</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Pour déterminer [</w:t>
      </w:r>
      <w:r w:rsidRPr="00751B87">
        <w:rPr>
          <w:rFonts w:cs="Times New Roman"/>
          <w:smallCaps/>
          <w:szCs w:val="24"/>
          <w:lang w:val="fr-CA"/>
        </w:rPr>
        <w:t>traduction</w:t>
      </w:r>
      <w:r w:rsidRPr="00751B87">
        <w:rPr>
          <w:rFonts w:cs="Times New Roman"/>
          <w:szCs w:val="24"/>
          <w:lang w:val="fr-CA"/>
        </w:rPr>
        <w:t>] « à quel point un fait doit être significatif » (</w:t>
      </w:r>
      <w:r w:rsidRPr="00751B87">
        <w:rPr>
          <w:rFonts w:cs="Times New Roman"/>
          <w:i/>
          <w:iCs/>
          <w:szCs w:val="24"/>
          <w:lang w:val="fr-CA"/>
        </w:rPr>
        <w:t>TSC Industries</w:t>
      </w:r>
      <w:r w:rsidRPr="00751B87">
        <w:rPr>
          <w:rFonts w:cs="Times New Roman"/>
          <w:szCs w:val="24"/>
          <w:lang w:val="fr-CA"/>
        </w:rPr>
        <w:t xml:space="preserve">, p. 445) aux yeux de l’investisseur raisonnable pour devenir important,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a retenu la norme de la « probabilité marquée » que le fait omis « aurait » été jugé important, plutôt que celle — moins exigeante — de la communication obligatoire du fait qui « aurait pu » l’être.  En adoptant cette norme,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a approuvé les propos du juge en chef </w:t>
      </w:r>
      <w:proofErr w:type="spellStart"/>
      <w:r w:rsidRPr="00751B87">
        <w:rPr>
          <w:rFonts w:cs="Times New Roman"/>
          <w:szCs w:val="24"/>
          <w:lang w:val="fr-CA"/>
        </w:rPr>
        <w:t>Friendly</w:t>
      </w:r>
      <w:proofErr w:type="spellEnd"/>
      <w:r w:rsidRPr="00751B87">
        <w:rPr>
          <w:rFonts w:cs="Times New Roman"/>
          <w:szCs w:val="24"/>
          <w:lang w:val="fr-CA"/>
        </w:rPr>
        <w:t xml:space="preserve"> de la U.S. Second Circuit Court of </w:t>
      </w:r>
      <w:proofErr w:type="spellStart"/>
      <w:r w:rsidRPr="00751B87">
        <w:rPr>
          <w:rFonts w:cs="Times New Roman"/>
          <w:szCs w:val="24"/>
          <w:lang w:val="fr-CA"/>
        </w:rPr>
        <w:t>Appeals</w:t>
      </w:r>
      <w:proofErr w:type="spellEnd"/>
      <w:r w:rsidRPr="00751B87">
        <w:rPr>
          <w:rFonts w:cs="Times New Roman"/>
          <w:szCs w:val="24"/>
          <w:lang w:val="fr-CA"/>
        </w:rPr>
        <w:t xml:space="preserve"> dans </w:t>
      </w:r>
      <w:proofErr w:type="spellStart"/>
      <w:r w:rsidRPr="00751B87">
        <w:rPr>
          <w:rFonts w:cs="Times New Roman"/>
          <w:i/>
          <w:iCs/>
          <w:szCs w:val="24"/>
          <w:lang w:val="fr-CA"/>
        </w:rPr>
        <w:t>Gerstle</w:t>
      </w:r>
      <w:proofErr w:type="spellEnd"/>
      <w:r w:rsidRPr="00751B87">
        <w:rPr>
          <w:rFonts w:cs="Times New Roman"/>
          <w:i/>
          <w:iCs/>
          <w:szCs w:val="24"/>
          <w:lang w:val="fr-CA"/>
        </w:rPr>
        <w:t xml:space="preserve"> c. </w:t>
      </w:r>
      <w:proofErr w:type="spellStart"/>
      <w:r w:rsidRPr="00751B87">
        <w:rPr>
          <w:rFonts w:cs="Times New Roman"/>
          <w:i/>
          <w:iCs/>
          <w:szCs w:val="24"/>
          <w:lang w:val="fr-CA"/>
        </w:rPr>
        <w:t>Gamble</w:t>
      </w:r>
      <w:r w:rsidRPr="00751B87">
        <w:rPr>
          <w:rFonts w:cs="Times New Roman"/>
          <w:i/>
          <w:iCs/>
          <w:szCs w:val="24"/>
          <w:lang w:val="fr-CA"/>
        </w:rPr>
        <w:noBreakHyphen/>
        <w:t>Skogmo</w:t>
      </w:r>
      <w:proofErr w:type="spellEnd"/>
      <w:r w:rsidRPr="00751B87">
        <w:rPr>
          <w:rFonts w:cs="Times New Roman"/>
          <w:i/>
          <w:iCs/>
          <w:szCs w:val="24"/>
          <w:lang w:val="fr-CA"/>
        </w:rPr>
        <w:t>, Inc.</w:t>
      </w:r>
      <w:r w:rsidRPr="00751B87">
        <w:rPr>
          <w:rFonts w:cs="Times New Roman"/>
          <w:szCs w:val="24"/>
          <w:lang w:val="fr-CA"/>
        </w:rPr>
        <w:t>, 478 F.2d 1281 (1973), où il a écrit :</w:t>
      </w:r>
    </w:p>
    <w:p w:rsidR="0062110E" w:rsidRPr="00751B87" w:rsidRDefault="0062110E" w:rsidP="0062110E">
      <w:pPr>
        <w:pStyle w:val="Citation-AltC"/>
        <w:ind w:hanging="1166"/>
      </w:pPr>
      <w:r w:rsidRPr="00751B87">
        <w:rPr>
          <w:lang w:val="fr-CA"/>
        </w:rPr>
        <w:tab/>
      </w:r>
      <w:r w:rsidRPr="00751B87">
        <w:rPr>
          <w:lang w:val="fr-CA"/>
        </w:rPr>
        <w:tab/>
        <w:t>[</w:t>
      </w:r>
      <w:r w:rsidRPr="00751B87">
        <w:rPr>
          <w:smallCaps/>
          <w:lang w:val="fr-CA"/>
        </w:rPr>
        <w:t>traduction</w:t>
      </w:r>
      <w:r w:rsidRPr="00751B87">
        <w:rPr>
          <w:lang w:val="fr-CA"/>
        </w:rPr>
        <w:t xml:space="preserve">]  Nous croyons que, dans un contexte comme </w:t>
      </w:r>
      <w:proofErr w:type="spellStart"/>
      <w:r w:rsidRPr="00751B87">
        <w:rPr>
          <w:lang w:val="fr-CA"/>
        </w:rPr>
        <w:t>celui</w:t>
      </w:r>
      <w:r w:rsidRPr="00751B87">
        <w:rPr>
          <w:lang w:val="fr-CA"/>
        </w:rPr>
        <w:noBreakHyphen/>
        <w:t>ci</w:t>
      </w:r>
      <w:proofErr w:type="spellEnd"/>
      <w:r w:rsidRPr="00751B87">
        <w:rPr>
          <w:lang w:val="fr-CA"/>
        </w:rPr>
        <w:t>, la norme du « aurait pu être » [. . .] établit un seuil trop peu élevé; le fait même que la responsabilité puisse être engagée pour négligence milite en faveur de l’adoption d’une norme réaliste quant à l’importance</w:t>
      </w:r>
      <w:r w:rsidR="00A70481">
        <w:rPr>
          <w:lang w:val="fr-CA"/>
        </w:rPr>
        <w:t>.</w:t>
      </w:r>
      <w:r w:rsidRPr="00751B87">
        <w:rPr>
          <w:lang w:val="fr-CA"/>
        </w:rPr>
        <w:t xml:space="preserve"> [. . .]  Bien que la différence entre « aurait pu être » et « aurait été » puisse paraître ténue, la première approche fait indûment appel à une simple possibilité, aussi improbable </w:t>
      </w:r>
      <w:proofErr w:type="spellStart"/>
      <w:r w:rsidRPr="00751B87">
        <w:rPr>
          <w:lang w:val="fr-CA"/>
        </w:rPr>
        <w:t>soit</w:t>
      </w:r>
      <w:r w:rsidRPr="00751B87">
        <w:rPr>
          <w:lang w:val="fr-CA"/>
        </w:rPr>
        <w:noBreakHyphen/>
        <w:t>elle</w:t>
      </w:r>
      <w:proofErr w:type="spellEnd"/>
      <w:r w:rsidRPr="00751B87">
        <w:rPr>
          <w:lang w:val="fr-CA"/>
        </w:rPr>
        <w:t xml:space="preserve">. Vu l’ampleur des </w:t>
      </w:r>
      <w:proofErr w:type="spellStart"/>
      <w:r w:rsidRPr="00751B87">
        <w:rPr>
          <w:lang w:val="fr-CA"/>
        </w:rPr>
        <w:t>dommages</w:t>
      </w:r>
      <w:r w:rsidRPr="00751B87">
        <w:rPr>
          <w:lang w:val="fr-CA"/>
        </w:rPr>
        <w:noBreakHyphen/>
        <w:t>intérêts</w:t>
      </w:r>
      <w:proofErr w:type="spellEnd"/>
      <w:r w:rsidRPr="00751B87">
        <w:rPr>
          <w:lang w:val="fr-CA"/>
        </w:rPr>
        <w:t xml:space="preserve"> qui pourraient être fixés, il convient davantage de retenir une norme reposant sur la probabilité plutôt que la simple possibilité</w:t>
      </w:r>
      <w:r>
        <w:rPr>
          <w:lang w:val="fr-CA"/>
        </w:rPr>
        <w:t>.</w:t>
      </w:r>
      <w:r w:rsidRPr="00751B87">
        <w:rPr>
          <w:lang w:val="fr-CA"/>
        </w:rPr>
        <w:t xml:space="preserve"> </w:t>
      </w:r>
      <w:r w:rsidRPr="00751B87">
        <w:t>[p. 1302]</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a ajouté que l’actionnaire n’est pas tenu de prouver que le fait omis aurait amené l’investisseur raisonnable à voter autrement.  Il doit plutôt établir l’existence d’une probabilité marquée que l’actionnaire raisonnable aurait </w:t>
      </w:r>
      <w:proofErr w:type="gramStart"/>
      <w:r w:rsidRPr="00751B87">
        <w:rPr>
          <w:rFonts w:cs="Times New Roman"/>
          <w:szCs w:val="24"/>
          <w:lang w:val="fr-CA"/>
        </w:rPr>
        <w:t>tenu</w:t>
      </w:r>
      <w:proofErr w:type="gramEnd"/>
      <w:r w:rsidRPr="00751B87">
        <w:rPr>
          <w:rFonts w:cs="Times New Roman"/>
          <w:szCs w:val="24"/>
          <w:lang w:val="fr-CA"/>
        </w:rPr>
        <w:t xml:space="preserve"> compte de ce fait dans son analyse. Cette norme a été jugée compatible avec la façon dont la cour avait défini la notion d’importance dans </w:t>
      </w:r>
      <w:r w:rsidRPr="00751B87">
        <w:rPr>
          <w:rFonts w:cs="Times New Roman"/>
          <w:i/>
          <w:iCs/>
          <w:szCs w:val="24"/>
          <w:lang w:val="fr-CA"/>
        </w:rPr>
        <w:t xml:space="preserve">Mills c. Electric </w:t>
      </w:r>
      <w:proofErr w:type="spellStart"/>
      <w:r w:rsidRPr="00751B87">
        <w:rPr>
          <w:rFonts w:cs="Times New Roman"/>
          <w:i/>
          <w:iCs/>
          <w:szCs w:val="24"/>
          <w:lang w:val="fr-CA"/>
        </w:rPr>
        <w:t>Auto</w:t>
      </w:r>
      <w:r w:rsidRPr="00751B87">
        <w:rPr>
          <w:rFonts w:cs="Times New Roman"/>
          <w:i/>
          <w:iCs/>
          <w:szCs w:val="24"/>
          <w:lang w:val="fr-CA"/>
        </w:rPr>
        <w:noBreakHyphen/>
        <w:t>Lite</w:t>
      </w:r>
      <w:proofErr w:type="spellEnd"/>
      <w:r w:rsidRPr="00751B87">
        <w:rPr>
          <w:rFonts w:cs="Times New Roman"/>
          <w:i/>
          <w:iCs/>
          <w:szCs w:val="24"/>
          <w:lang w:val="fr-CA"/>
        </w:rPr>
        <w:t xml:space="preserve"> Co.</w:t>
      </w:r>
      <w:r w:rsidRPr="00751B87">
        <w:rPr>
          <w:rFonts w:cs="Times New Roman"/>
          <w:szCs w:val="24"/>
          <w:lang w:val="fr-CA"/>
        </w:rPr>
        <w:t xml:space="preserve">, 396 U.S. 375 (1970) : la lacune ou l’omission doit </w:t>
      </w:r>
      <w:r w:rsidRPr="00751B87">
        <w:rPr>
          <w:rFonts w:cs="Times New Roman"/>
          <w:szCs w:val="24"/>
          <w:lang w:val="fr-CA"/>
        </w:rPr>
        <w:lastRenderedPageBreak/>
        <w:t>[</w:t>
      </w:r>
      <w:r w:rsidRPr="00751B87">
        <w:rPr>
          <w:rFonts w:cs="Times New Roman"/>
          <w:smallCaps/>
          <w:szCs w:val="24"/>
          <w:lang w:val="fr-CA"/>
        </w:rPr>
        <w:t>traduction</w:t>
      </w:r>
      <w:r w:rsidR="00A70481">
        <w:rPr>
          <w:rFonts w:cs="Times New Roman"/>
          <w:szCs w:val="24"/>
          <w:lang w:val="fr-CA"/>
        </w:rPr>
        <w:t>] « </w:t>
      </w:r>
      <w:proofErr w:type="gramStart"/>
      <w:r w:rsidRPr="00D76CB8">
        <w:rPr>
          <w:rFonts w:cs="Times New Roman"/>
          <w:i/>
          <w:szCs w:val="24"/>
          <w:lang w:val="fr-CA"/>
        </w:rPr>
        <w:t>tend</w:t>
      </w:r>
      <w:r w:rsidR="00A70481" w:rsidRPr="00A70481">
        <w:rPr>
          <w:rFonts w:cs="Times New Roman"/>
          <w:szCs w:val="24"/>
          <w:lang w:val="fr-CA"/>
        </w:rPr>
        <w:t>[</w:t>
      </w:r>
      <w:proofErr w:type="spellStart"/>
      <w:proofErr w:type="gramEnd"/>
      <w:r w:rsidRPr="00D76CB8">
        <w:rPr>
          <w:rFonts w:cs="Times New Roman"/>
          <w:i/>
          <w:szCs w:val="24"/>
          <w:lang w:val="fr-CA"/>
        </w:rPr>
        <w:t>re</w:t>
      </w:r>
      <w:proofErr w:type="spellEnd"/>
      <w:r w:rsidRPr="001C0FAC">
        <w:rPr>
          <w:rFonts w:cs="Times New Roman"/>
          <w:szCs w:val="24"/>
          <w:lang w:val="fr-CA"/>
        </w:rPr>
        <w:t>]</w:t>
      </w:r>
      <w:r w:rsidRPr="00751B87">
        <w:rPr>
          <w:rFonts w:cs="Times New Roman"/>
          <w:szCs w:val="24"/>
          <w:lang w:val="fr-CA"/>
        </w:rPr>
        <w:t xml:space="preserve"> fortement à influer sur le résultat du vote » (</w:t>
      </w:r>
      <w:r w:rsidR="001C0FAC" w:rsidRPr="00751B87">
        <w:rPr>
          <w:rFonts w:cs="Times New Roman"/>
          <w:szCs w:val="24"/>
          <w:lang w:val="fr-CA"/>
        </w:rPr>
        <w:t>p. 384</w:t>
      </w:r>
      <w:r w:rsidR="001C0FAC">
        <w:rPr>
          <w:rFonts w:cs="Times New Roman"/>
          <w:szCs w:val="24"/>
          <w:lang w:val="fr-CA"/>
        </w:rPr>
        <w:t xml:space="preserve"> (en italique</w:t>
      </w:r>
      <w:r>
        <w:rPr>
          <w:rFonts w:cs="Times New Roman"/>
          <w:szCs w:val="24"/>
          <w:lang w:val="fr-CA"/>
        </w:rPr>
        <w:t xml:space="preserve"> dans l’original</w:t>
      </w:r>
      <w:r w:rsidRPr="00751B87">
        <w:rPr>
          <w:rFonts w:cs="Times New Roman"/>
          <w:szCs w:val="24"/>
          <w:lang w:val="fr-CA"/>
        </w:rPr>
        <w:t>)</w:t>
      </w:r>
      <w:r w:rsidR="001C0FAC">
        <w:rPr>
          <w:rFonts w:cs="Times New Roman"/>
          <w:szCs w:val="24"/>
          <w:lang w:val="fr-CA"/>
        </w:rPr>
        <w:t>)</w:t>
      </w:r>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Étant donné que l’importance d’un fait se détermine objectivement, du point de vue de l’investisseur raisonnable, il me paraît utile de souligner que le point de vue subjectif de l’émetteur de valeurs n’entre pas en jeu.  Comme je l’expliquerai plus loin en traitant de la responsabilité du VAC sous le régime de la Loi, il ne faut tenir compte du point de vue subjectif de ce dernier qu’au stade de l’analyse du moyen de défense prévu au </w:t>
      </w:r>
      <w:proofErr w:type="spellStart"/>
      <w:r w:rsidRPr="00751B87">
        <w:rPr>
          <w:rFonts w:cs="Times New Roman"/>
          <w:szCs w:val="24"/>
          <w:lang w:val="fr-CA"/>
        </w:rPr>
        <w:t>sous</w:t>
      </w:r>
      <w:r w:rsidRPr="00751B87">
        <w:rPr>
          <w:rFonts w:cs="Times New Roman"/>
          <w:szCs w:val="24"/>
          <w:lang w:val="fr-CA"/>
        </w:rPr>
        <w:noBreakHyphen/>
        <w:t>al</w:t>
      </w:r>
      <w:proofErr w:type="spellEnd"/>
      <w:r w:rsidRPr="00751B87">
        <w:rPr>
          <w:rFonts w:cs="Times New Roman"/>
          <w:szCs w:val="24"/>
          <w:lang w:val="fr-CA"/>
        </w:rPr>
        <w:t>. 75(2)</w:t>
      </w:r>
      <w:r w:rsidRPr="001C0FAC">
        <w:rPr>
          <w:rFonts w:cs="Times New Roman"/>
          <w:iCs/>
          <w:szCs w:val="24"/>
          <w:lang w:val="fr-CA"/>
        </w:rPr>
        <w:t>b</w:t>
      </w:r>
      <w:proofErr w:type="gramStart"/>
      <w:r w:rsidRPr="00751B87">
        <w:rPr>
          <w:rFonts w:cs="Times New Roman"/>
          <w:szCs w:val="24"/>
          <w:lang w:val="fr-CA"/>
        </w:rPr>
        <w:t>)</w:t>
      </w:r>
      <w:r w:rsidR="00A70481">
        <w:rPr>
          <w:rFonts w:cs="Times New Roman"/>
          <w:szCs w:val="24"/>
          <w:lang w:val="fr-CA"/>
        </w:rPr>
        <w:t>(</w:t>
      </w:r>
      <w:proofErr w:type="gramEnd"/>
      <w:r w:rsidRPr="00751B87">
        <w:rPr>
          <w:rFonts w:cs="Times New Roman"/>
          <w:szCs w:val="24"/>
          <w:lang w:val="fr-CA"/>
        </w:rPr>
        <w:t>viii), et non à celui de l’examen de la question de savoir s’il a fait une déclaration erronée sur un point important.  Je tiens à faire cette remarque parce que le VAC a indiqué, à l’art</w:t>
      </w:r>
      <w:r>
        <w:rPr>
          <w:rFonts w:cs="Times New Roman"/>
          <w:szCs w:val="24"/>
          <w:lang w:val="fr-CA"/>
        </w:rPr>
        <w:t>. </w:t>
      </w:r>
      <w:r w:rsidRPr="00751B87">
        <w:rPr>
          <w:rFonts w:cs="Times New Roman"/>
          <w:szCs w:val="24"/>
          <w:lang w:val="fr-CA"/>
        </w:rPr>
        <w:t>4.11 du document du Hilton, qu’à sa connaissance [</w:t>
      </w:r>
      <w:r w:rsidRPr="00751B87">
        <w:rPr>
          <w:rFonts w:cs="Times New Roman"/>
          <w:smallCaps/>
          <w:szCs w:val="24"/>
          <w:lang w:val="fr-CA"/>
        </w:rPr>
        <w:t>traduction</w:t>
      </w:r>
      <w:r w:rsidRPr="00751B87">
        <w:rPr>
          <w:rFonts w:cs="Times New Roman"/>
          <w:szCs w:val="24"/>
          <w:lang w:val="fr-CA"/>
        </w:rPr>
        <w:t>] « il n’existe actuellement aucun conflit d’intérêts — ni aucune possibilité d’un tel conflit ».  La Cour d’appel semble estimer que ces propos introduisent un élément subjectif dans l’analyse de la déclaration du VAC en matière de conflits d’intérêts, au lieu de les considérer comme un élément du moyen de défense prévu par la Loi.</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Enfin,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a affirmé que pour déterminer l’importance d’un fait omis, il faut se demander si, du point de vue de l’investisseur raisonnable, le fait en question aurait </w:t>
      </w:r>
      <w:r w:rsidR="00A70481" w:rsidRPr="00751B87">
        <w:rPr>
          <w:rFonts w:cs="Times New Roman"/>
          <w:szCs w:val="24"/>
          <w:lang w:val="fr-CA"/>
        </w:rPr>
        <w:t>[</w:t>
      </w:r>
      <w:r w:rsidR="00A70481" w:rsidRPr="00751B87">
        <w:rPr>
          <w:rFonts w:cs="Times New Roman"/>
          <w:smallCaps/>
          <w:szCs w:val="24"/>
          <w:lang w:val="fr-CA"/>
        </w:rPr>
        <w:t>traduction</w:t>
      </w:r>
      <w:r w:rsidR="00A70481" w:rsidRPr="00751B87">
        <w:rPr>
          <w:rFonts w:cs="Times New Roman"/>
          <w:szCs w:val="24"/>
          <w:lang w:val="fr-CA"/>
        </w:rPr>
        <w:t>] « </w:t>
      </w:r>
      <w:r w:rsidRPr="00751B87">
        <w:rPr>
          <w:rFonts w:cs="Times New Roman"/>
          <w:szCs w:val="24"/>
          <w:lang w:val="fr-CA"/>
        </w:rPr>
        <w:t>modifié de façon significative l’</w:t>
      </w:r>
      <w:r w:rsidR="00A70481" w:rsidRPr="008420E2">
        <w:rPr>
          <w:lang w:val="fr-CA"/>
        </w:rPr>
        <w:t>“</w:t>
      </w:r>
      <w:r w:rsidRPr="00751B87">
        <w:rPr>
          <w:rFonts w:cs="Times New Roman"/>
          <w:szCs w:val="24"/>
          <w:lang w:val="fr-CA"/>
        </w:rPr>
        <w:t>ensemble</w:t>
      </w:r>
      <w:r w:rsidR="00A70481" w:rsidRPr="008420E2">
        <w:rPr>
          <w:lang w:val="fr-CA"/>
        </w:rPr>
        <w:t>”</w:t>
      </w:r>
      <w:r w:rsidRPr="00751B87">
        <w:rPr>
          <w:rFonts w:cs="Times New Roman"/>
          <w:szCs w:val="24"/>
          <w:lang w:val="fr-CA"/>
        </w:rPr>
        <w:t xml:space="preserve"> des renseignements mis à sa disposition ».  Dans certaines situations, la preuve des renseignements mis à la disposition de l’investisseur permet de faire des inférences fondées sur le bon sens qui sont suffisantes pour établir l’importance, alors </w:t>
      </w:r>
      <w:r w:rsidRPr="00751B87">
        <w:rPr>
          <w:rFonts w:cs="Times New Roman"/>
          <w:szCs w:val="24"/>
          <w:lang w:val="fr-CA"/>
        </w:rPr>
        <w:lastRenderedPageBreak/>
        <w:t>que dans d’autres, le tribunal, saisi d’éléments de preuve permettant de faire des inférences opposées, peut être appelé à faire une analyse plus complexe pour déterminer ce que l’investisseur raisonnable aurait jugé important.  Dans la majorité des cas, l’importance est tributaire du contexte, elle comporte l’application d’une norme juridique à des faits précis, et elle s’apprécie au regard de tous les renseignements dont disposait l’investisseur.  Il ressort de la jurisprudence et la doctrine canadiennes et américaines que l’évaluation de l’importance appelle un [</w:t>
      </w:r>
      <w:r w:rsidRPr="00751B87">
        <w:rPr>
          <w:rFonts w:cs="Times New Roman"/>
          <w:smallCaps/>
          <w:szCs w:val="24"/>
          <w:lang w:val="fr-CA"/>
        </w:rPr>
        <w:t>traduction</w:t>
      </w:r>
      <w:r w:rsidRPr="00751B87">
        <w:rPr>
          <w:rFonts w:cs="Times New Roman"/>
          <w:szCs w:val="24"/>
          <w:lang w:val="fr-CA"/>
        </w:rPr>
        <w:t>] « examen des faits propres à l’espèce » (</w:t>
      </w:r>
      <w:r w:rsidRPr="00751B87">
        <w:rPr>
          <w:rFonts w:cs="Times New Roman"/>
          <w:i/>
          <w:iCs/>
          <w:szCs w:val="24"/>
          <w:lang w:val="fr-CA"/>
        </w:rPr>
        <w:t xml:space="preserve">Basic Inc. c. </w:t>
      </w:r>
      <w:proofErr w:type="spellStart"/>
      <w:r w:rsidRPr="00751B87">
        <w:rPr>
          <w:rFonts w:cs="Times New Roman"/>
          <w:i/>
          <w:iCs/>
          <w:szCs w:val="24"/>
          <w:lang w:val="fr-CA"/>
        </w:rPr>
        <w:t>Levinson</w:t>
      </w:r>
      <w:proofErr w:type="spellEnd"/>
      <w:r w:rsidRPr="00751B87">
        <w:rPr>
          <w:rFonts w:cs="Times New Roman"/>
          <w:szCs w:val="24"/>
          <w:lang w:val="fr-CA"/>
        </w:rPr>
        <w:t>, 485 U.S. 224 (1988), p. 240) : elle doit « se faire au cas par cas » (p. 250) à la lumière de l’ensemble des circonstances pertinentes.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Dans </w:t>
      </w:r>
      <w:r w:rsidRPr="00751B87">
        <w:rPr>
          <w:rFonts w:cs="Times New Roman"/>
          <w:iCs/>
          <w:szCs w:val="24"/>
          <w:lang w:val="fr-CA"/>
        </w:rPr>
        <w:t xml:space="preserve">SEC Staff </w:t>
      </w:r>
      <w:proofErr w:type="spellStart"/>
      <w:r w:rsidRPr="00751B87">
        <w:rPr>
          <w:rFonts w:cs="Times New Roman"/>
          <w:iCs/>
          <w:szCs w:val="24"/>
          <w:lang w:val="fr-CA"/>
        </w:rPr>
        <w:t>Accounting</w:t>
      </w:r>
      <w:proofErr w:type="spellEnd"/>
      <w:r w:rsidRPr="00751B87">
        <w:rPr>
          <w:rFonts w:cs="Times New Roman"/>
          <w:iCs/>
          <w:szCs w:val="24"/>
          <w:lang w:val="fr-CA"/>
        </w:rPr>
        <w:t xml:space="preserve"> Bulletin</w:t>
      </w:r>
      <w:r w:rsidR="00333A08">
        <w:rPr>
          <w:rFonts w:cs="Times New Roman"/>
          <w:iCs/>
          <w:szCs w:val="24"/>
          <w:lang w:val="fr-CA"/>
        </w:rPr>
        <w:t> </w:t>
      </w:r>
      <w:r w:rsidRPr="00751B87">
        <w:rPr>
          <w:rFonts w:cs="Times New Roman"/>
          <w:iCs/>
          <w:szCs w:val="24"/>
          <w:lang w:val="fr-CA"/>
        </w:rPr>
        <w:t>: No. 99 </w:t>
      </w:r>
      <w:r w:rsidR="0053758C">
        <w:rPr>
          <w:rFonts w:cs="Times New Roman"/>
          <w:iCs/>
          <w:szCs w:val="24"/>
          <w:lang w:val="fr-CA"/>
        </w:rPr>
        <w:t>—</w:t>
      </w:r>
      <w:r w:rsidRPr="00751B87">
        <w:rPr>
          <w:rFonts w:cs="Times New Roman"/>
          <w:iCs/>
          <w:szCs w:val="24"/>
          <w:lang w:val="fr-CA"/>
        </w:rPr>
        <w:t xml:space="preserve"> « </w:t>
      </w:r>
      <w:proofErr w:type="spellStart"/>
      <w:r w:rsidRPr="00751B87">
        <w:rPr>
          <w:rFonts w:cs="Times New Roman"/>
          <w:iCs/>
          <w:szCs w:val="24"/>
          <w:lang w:val="fr-CA"/>
        </w:rPr>
        <w:t>Materiality</w:t>
      </w:r>
      <w:proofErr w:type="spellEnd"/>
      <w:r w:rsidRPr="00751B87">
        <w:rPr>
          <w:rFonts w:cs="Times New Roman"/>
          <w:iCs/>
          <w:szCs w:val="24"/>
          <w:lang w:val="fr-CA"/>
        </w:rPr>
        <w:t> »</w:t>
      </w:r>
      <w:r w:rsidRPr="00751B87">
        <w:rPr>
          <w:rFonts w:cs="Times New Roman"/>
          <w:szCs w:val="24"/>
          <w:lang w:val="fr-CA"/>
        </w:rPr>
        <w:t xml:space="preserve"> (12 août 1999</w:t>
      </w:r>
      <w:r w:rsidR="00333A08">
        <w:rPr>
          <w:rFonts w:cs="Times New Roman"/>
          <w:szCs w:val="24"/>
          <w:lang w:val="fr-CA"/>
        </w:rPr>
        <w:t xml:space="preserve"> (en ligne)</w:t>
      </w:r>
      <w:r w:rsidRPr="00751B87">
        <w:rPr>
          <w:rFonts w:cs="Times New Roman"/>
          <w:szCs w:val="24"/>
          <w:lang w:val="fr-CA"/>
        </w:rPr>
        <w:t>), la Securities and Exchange Commission des États</w:t>
      </w:r>
      <w:r w:rsidR="0053758C">
        <w:rPr>
          <w:rFonts w:cs="Times New Roman"/>
          <w:szCs w:val="24"/>
          <w:lang w:val="fr-CA"/>
        </w:rPr>
        <w:t>-</w:t>
      </w:r>
      <w:r w:rsidRPr="00751B87">
        <w:rPr>
          <w:rFonts w:cs="Times New Roman"/>
          <w:szCs w:val="24"/>
          <w:lang w:val="fr-CA"/>
        </w:rPr>
        <w:t>Unis (« SEC ») mentionne que l’évaluation de l’importance doit tenir compte des facteurs quantitatifs ainsi que des facteurs qualitatifs, ce qui nécessite [</w:t>
      </w:r>
      <w:r w:rsidRPr="00751B87">
        <w:rPr>
          <w:rFonts w:cs="Times New Roman"/>
          <w:smallCaps/>
          <w:szCs w:val="24"/>
          <w:lang w:val="fr-CA"/>
        </w:rPr>
        <w:t>traduction</w:t>
      </w:r>
      <w:r w:rsidRPr="00751B87">
        <w:rPr>
          <w:rFonts w:cs="Times New Roman"/>
          <w:szCs w:val="24"/>
          <w:lang w:val="fr-CA"/>
        </w:rPr>
        <w:t>] « une analyse exhaustive de l’ensem</w:t>
      </w:r>
      <w:r w:rsidR="001C658A">
        <w:rPr>
          <w:rFonts w:cs="Times New Roman"/>
          <w:szCs w:val="24"/>
          <w:lang w:val="fr-CA"/>
        </w:rPr>
        <w:t>ble des facteurs pertinents » (</w:t>
      </w:r>
      <w:r w:rsidRPr="00751B87">
        <w:rPr>
          <w:rFonts w:cs="Times New Roman"/>
          <w:szCs w:val="24"/>
          <w:lang w:val="fr-CA"/>
        </w:rPr>
        <w:t>p. 2</w:t>
      </w:r>
      <w:r w:rsidRPr="00751B87">
        <w:rPr>
          <w:rFonts w:cs="Times New Roman"/>
          <w:szCs w:val="24"/>
          <w:lang w:val="fr-CA"/>
        </w:rPr>
        <w:noBreakHyphen/>
        <w:t>3).  La SEC note également que « l’évaluation de l’importance nécessite un examen des faits qui tienne compte de “l’ensemble des circonstances</w:t>
      </w:r>
      <w:r w:rsidR="00333A08">
        <w:rPr>
          <w:rFonts w:cs="Times New Roman"/>
          <w:szCs w:val="24"/>
          <w:lang w:val="fr-CA"/>
        </w:rPr>
        <w:t>,</w:t>
      </w:r>
      <w:r w:rsidRPr="00751B87">
        <w:rPr>
          <w:rFonts w:cs="Times New Roman"/>
          <w:szCs w:val="24"/>
          <w:lang w:val="fr-CA"/>
        </w:rPr>
        <w:t xml:space="preserve">” comme on le dit en langage comptable, ou, pour reprendre les termes de la Cour suprême </w:t>
      </w:r>
      <w:r w:rsidR="00333A08">
        <w:rPr>
          <w:rFonts w:cs="Times New Roman"/>
          <w:szCs w:val="24"/>
          <w:lang w:val="fr-CA"/>
        </w:rPr>
        <w:t xml:space="preserve">[des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de </w:t>
      </w:r>
      <w:r w:rsidR="00333A08" w:rsidRPr="00751B87">
        <w:rPr>
          <w:rFonts w:cs="Times New Roman"/>
          <w:szCs w:val="24"/>
          <w:lang w:val="fr-CA"/>
        </w:rPr>
        <w:t>l’</w:t>
      </w:r>
      <w:r w:rsidRPr="00751B87">
        <w:rPr>
          <w:rFonts w:cs="Times New Roman"/>
          <w:szCs w:val="24"/>
          <w:lang w:val="fr-CA"/>
        </w:rPr>
        <w:t>“ensemble” des renseignements » (</w:t>
      </w:r>
      <w:r>
        <w:rPr>
          <w:rFonts w:cs="Times New Roman"/>
          <w:szCs w:val="24"/>
          <w:lang w:val="fr-CA"/>
        </w:rPr>
        <w:t>p</w:t>
      </w:r>
      <w:r w:rsidR="001C0FAC">
        <w:rPr>
          <w:rFonts w:cs="Times New Roman"/>
          <w:szCs w:val="24"/>
          <w:lang w:val="fr-CA"/>
        </w:rPr>
        <w:t xml:space="preserve">. </w:t>
      </w:r>
      <w:r w:rsidRPr="00751B87">
        <w:rPr>
          <w:rFonts w:cs="Times New Roman"/>
          <w:szCs w:val="24"/>
          <w:lang w:val="fr-CA"/>
        </w:rPr>
        <w:t xml:space="preserve">3).  Pour leur part, les Autorités canadiennes en valeurs mobilières recommandent elles aussi, dans le document intitulé </w:t>
      </w:r>
      <w:r w:rsidRPr="00751B87">
        <w:rPr>
          <w:rFonts w:cs="Times New Roman"/>
          <w:i/>
          <w:iCs/>
          <w:szCs w:val="24"/>
          <w:lang w:val="fr-CA"/>
        </w:rPr>
        <w:t>Instruction générale 51</w:t>
      </w:r>
      <w:r w:rsidRPr="00751B87">
        <w:rPr>
          <w:rFonts w:cs="Times New Roman"/>
          <w:i/>
          <w:iCs/>
          <w:szCs w:val="24"/>
          <w:lang w:val="fr-CA"/>
        </w:rPr>
        <w:noBreakHyphen/>
        <w:t>201 Lignes directrices en matière de communication</w:t>
      </w:r>
      <w:r w:rsidRPr="00751B87">
        <w:rPr>
          <w:rFonts w:cs="Times New Roman"/>
          <w:szCs w:val="24"/>
          <w:lang w:val="fr-CA"/>
        </w:rPr>
        <w:t xml:space="preserve"> </w:t>
      </w:r>
      <w:r w:rsidRPr="00751B87">
        <w:rPr>
          <w:rFonts w:cs="Times New Roman"/>
          <w:i/>
          <w:iCs/>
          <w:szCs w:val="24"/>
          <w:lang w:val="fr-CA"/>
        </w:rPr>
        <w:t>de l’information</w:t>
      </w:r>
      <w:r w:rsidRPr="00751B87">
        <w:rPr>
          <w:rFonts w:cs="Times New Roman"/>
          <w:szCs w:val="24"/>
          <w:lang w:val="fr-CA"/>
        </w:rPr>
        <w:t xml:space="preserve"> (12 juillet 2002), l’adoption d’une approche contextuelle axée sur les faits.</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Bien que l’importance soit une question mixte de droit et de fait, </w:t>
      </w:r>
      <w:proofErr w:type="spellStart"/>
      <w:r w:rsidRPr="00751B87">
        <w:rPr>
          <w:rFonts w:cs="Times New Roman"/>
          <w:szCs w:val="24"/>
          <w:lang w:val="fr-CA"/>
        </w:rPr>
        <w:t>Sharbern</w:t>
      </w:r>
      <w:proofErr w:type="spellEnd"/>
      <w:r w:rsidRPr="00751B87">
        <w:rPr>
          <w:rFonts w:cs="Times New Roman"/>
          <w:szCs w:val="24"/>
          <w:lang w:val="fr-CA"/>
        </w:rPr>
        <w:t xml:space="preserve"> affirme que [</w:t>
      </w:r>
      <w:r w:rsidRPr="00751B87">
        <w:rPr>
          <w:rFonts w:cs="Times New Roman"/>
          <w:smallCaps/>
          <w:szCs w:val="24"/>
          <w:lang w:val="fr-CA"/>
        </w:rPr>
        <w:t>traduction</w:t>
      </w:r>
      <w:r w:rsidRPr="00751B87">
        <w:rPr>
          <w:rFonts w:cs="Times New Roman"/>
          <w:szCs w:val="24"/>
          <w:lang w:val="fr-CA"/>
        </w:rPr>
        <w:t>] « la partie demanderesse n’est pas tenue de présenter une preuve d’expert ou une preuve établissant la pratique au sein de l’industrie sur ce qui peut influer sur la décision d’un investisseur raisonnable, car la question de l’importance des conflits d’intérêts dans un prospectus en est une d’interprétation qui relève exclusivement des tribunaux » (m.a., par. 40).  Elle cite à l’appui le juge </w:t>
      </w:r>
      <w:proofErr w:type="spellStart"/>
      <w:r w:rsidRPr="00751B87">
        <w:rPr>
          <w:rFonts w:cs="Times New Roman"/>
          <w:szCs w:val="24"/>
          <w:lang w:val="fr-CA"/>
        </w:rPr>
        <w:t>Binnie</w:t>
      </w:r>
      <w:proofErr w:type="spellEnd"/>
      <w:r w:rsidRPr="00751B87">
        <w:rPr>
          <w:rFonts w:cs="Times New Roman"/>
          <w:szCs w:val="24"/>
          <w:lang w:val="fr-CA"/>
        </w:rPr>
        <w:t xml:space="preserve">, qui affirmait dans </w:t>
      </w:r>
      <w:r w:rsidRPr="00751B87">
        <w:rPr>
          <w:rFonts w:cs="Times New Roman"/>
          <w:i/>
          <w:iCs/>
          <w:szCs w:val="24"/>
          <w:lang w:val="fr-CA"/>
        </w:rPr>
        <w:t xml:space="preserve">Kerr </w:t>
      </w:r>
      <w:r w:rsidRPr="00751B87">
        <w:rPr>
          <w:rFonts w:cs="Times New Roman"/>
          <w:szCs w:val="24"/>
          <w:lang w:val="fr-CA"/>
        </w:rPr>
        <w:t xml:space="preserve">que « la divulgation est une question d’obligation légale » (par. 54).  Cette affirmation, le juge </w:t>
      </w:r>
      <w:proofErr w:type="spellStart"/>
      <w:r w:rsidRPr="00751B87">
        <w:rPr>
          <w:rFonts w:cs="Times New Roman"/>
          <w:szCs w:val="24"/>
          <w:lang w:val="fr-CA"/>
        </w:rPr>
        <w:t>Binnie</w:t>
      </w:r>
      <w:proofErr w:type="spellEnd"/>
      <w:r w:rsidRPr="00751B87">
        <w:rPr>
          <w:rFonts w:cs="Times New Roman"/>
          <w:szCs w:val="24"/>
          <w:lang w:val="fr-CA"/>
        </w:rPr>
        <w:t xml:space="preserve"> l’a faite dans le contexte de son explication suivant laquelle la règle de l’appréciation commerciale « ne doit pas servir à atténuer ou à miner l’obligation de divulgation » (</w:t>
      </w:r>
      <w:r w:rsidR="00333A08" w:rsidRPr="00333A08">
        <w:rPr>
          <w:rFonts w:cs="Times New Roman"/>
          <w:i/>
          <w:szCs w:val="24"/>
          <w:lang w:val="fr-CA"/>
        </w:rPr>
        <w:t>ibid.</w:t>
      </w:r>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Les tribunaux appliquent la règle de l’appréciation commerciale lorsqu’ils sont appelés à régler des conflits portant sur des décisions d’affaires prises par des dirigeants d’entreprises (</w:t>
      </w:r>
      <w:r w:rsidRPr="00751B87">
        <w:rPr>
          <w:rFonts w:cs="Times New Roman"/>
          <w:i/>
          <w:szCs w:val="24"/>
          <w:lang w:val="fr-CA"/>
        </w:rPr>
        <w:t>Kerr</w:t>
      </w:r>
      <w:r w:rsidRPr="00751B87">
        <w:rPr>
          <w:rFonts w:cs="Times New Roman"/>
          <w:szCs w:val="24"/>
          <w:lang w:val="fr-CA"/>
        </w:rPr>
        <w:t xml:space="preserve">, par. 54).  Dans </w:t>
      </w:r>
      <w:r w:rsidRPr="00751B87">
        <w:rPr>
          <w:rFonts w:cs="Times New Roman"/>
          <w:i/>
          <w:szCs w:val="24"/>
          <w:lang w:val="fr-CA"/>
        </w:rPr>
        <w:t>Kerr</w:t>
      </w:r>
      <w:r w:rsidRPr="00751B87">
        <w:rPr>
          <w:rFonts w:cs="Times New Roman"/>
          <w:szCs w:val="24"/>
          <w:lang w:val="fr-CA"/>
        </w:rPr>
        <w:t xml:space="preserve">, le juge </w:t>
      </w:r>
      <w:proofErr w:type="spellStart"/>
      <w:r w:rsidRPr="00751B87">
        <w:rPr>
          <w:rFonts w:cs="Times New Roman"/>
          <w:szCs w:val="24"/>
          <w:lang w:val="fr-CA"/>
        </w:rPr>
        <w:t>Binnie</w:t>
      </w:r>
      <w:proofErr w:type="spellEnd"/>
      <w:r w:rsidRPr="00751B87">
        <w:rPr>
          <w:rFonts w:cs="Times New Roman"/>
          <w:szCs w:val="24"/>
          <w:lang w:val="fr-CA"/>
        </w:rPr>
        <w:t xml:space="preserve"> a adopté la description que la juge </w:t>
      </w:r>
      <w:proofErr w:type="spellStart"/>
      <w:r w:rsidRPr="00751B87">
        <w:rPr>
          <w:rFonts w:cs="Times New Roman"/>
          <w:szCs w:val="24"/>
          <w:lang w:val="fr-CA"/>
        </w:rPr>
        <w:t>Weiler</w:t>
      </w:r>
      <w:proofErr w:type="spellEnd"/>
      <w:r w:rsidRPr="00751B87">
        <w:rPr>
          <w:rFonts w:cs="Times New Roman"/>
          <w:szCs w:val="24"/>
          <w:lang w:val="fr-CA"/>
        </w:rPr>
        <w:t xml:space="preserve"> a faite de cette règle à la p. 192 de </w:t>
      </w:r>
      <w:r w:rsidRPr="00751B87">
        <w:rPr>
          <w:rFonts w:cs="Times New Roman"/>
          <w:i/>
          <w:szCs w:val="24"/>
          <w:lang w:val="fr-CA"/>
        </w:rPr>
        <w:t xml:space="preserve">Maple </w:t>
      </w:r>
      <w:proofErr w:type="spellStart"/>
      <w:r w:rsidRPr="00751B87">
        <w:rPr>
          <w:rFonts w:cs="Times New Roman"/>
          <w:i/>
          <w:szCs w:val="24"/>
          <w:lang w:val="fr-CA"/>
        </w:rPr>
        <w:t>Leaf</w:t>
      </w:r>
      <w:proofErr w:type="spellEnd"/>
      <w:r w:rsidRPr="00751B87">
        <w:rPr>
          <w:rFonts w:cs="Times New Roman"/>
          <w:i/>
          <w:szCs w:val="24"/>
          <w:lang w:val="fr-CA"/>
        </w:rPr>
        <w:t xml:space="preserve"> </w:t>
      </w:r>
      <w:proofErr w:type="spellStart"/>
      <w:r w:rsidRPr="00751B87">
        <w:rPr>
          <w:rFonts w:cs="Times New Roman"/>
          <w:i/>
          <w:szCs w:val="24"/>
          <w:lang w:val="fr-CA"/>
        </w:rPr>
        <w:t>Foods</w:t>
      </w:r>
      <w:proofErr w:type="spellEnd"/>
      <w:r w:rsidRPr="00751B87">
        <w:rPr>
          <w:rFonts w:cs="Times New Roman"/>
          <w:i/>
          <w:szCs w:val="24"/>
          <w:lang w:val="fr-CA"/>
        </w:rPr>
        <w:t xml:space="preserve"> Inc. c. Schneider Corp. </w:t>
      </w:r>
      <w:r w:rsidRPr="00751B87">
        <w:rPr>
          <w:rFonts w:cs="Times New Roman"/>
          <w:szCs w:val="24"/>
          <w:lang w:val="fr-CA"/>
        </w:rPr>
        <w:t>(1998), 42 O.R. (3d) 177 (C.A.) :</w:t>
      </w:r>
    </w:p>
    <w:p w:rsidR="0062110E" w:rsidRPr="001C0FAC" w:rsidRDefault="0062110E" w:rsidP="0062110E">
      <w:pPr>
        <w:pStyle w:val="Citation-AltC"/>
        <w:ind w:hanging="1166"/>
        <w:rPr>
          <w:lang w:val="fr-CA"/>
        </w:rPr>
      </w:pPr>
      <w:r w:rsidRPr="00751B87">
        <w:rPr>
          <w:rStyle w:val="c32"/>
          <w:rFonts w:eastAsiaTheme="majorEastAsia"/>
          <w:smallCaps/>
          <w:color w:val="auto"/>
          <w:lang w:val="fr-CA"/>
        </w:rPr>
        <w:tab/>
        <w:t xml:space="preserve">[traduction] </w:t>
      </w:r>
      <w:r w:rsidRPr="00751B87">
        <w:rPr>
          <w:rStyle w:val="c32"/>
          <w:rFonts w:eastAsiaTheme="majorEastAsia"/>
          <w:color w:val="auto"/>
          <w:lang w:val="fr-CA"/>
        </w:rPr>
        <w:t xml:space="preserve"> Le tribunal examine si les administrateurs ont pris une décision raisonnable et non pas la </w:t>
      </w:r>
      <w:r w:rsidR="00333A08">
        <w:rPr>
          <w:rStyle w:val="c32"/>
          <w:rFonts w:eastAsiaTheme="majorEastAsia"/>
          <w:color w:val="auto"/>
          <w:lang w:val="fr-CA"/>
        </w:rPr>
        <w:t xml:space="preserve">meilleure </w:t>
      </w:r>
      <w:r w:rsidRPr="00751B87">
        <w:rPr>
          <w:rStyle w:val="c32"/>
          <w:rFonts w:eastAsiaTheme="majorEastAsia"/>
          <w:color w:val="auto"/>
          <w:lang w:val="fr-CA"/>
        </w:rPr>
        <w:t>décision</w:t>
      </w:r>
      <w:r w:rsidRPr="003D6255">
        <w:rPr>
          <w:rStyle w:val="c32"/>
          <w:rFonts w:eastAsiaTheme="majorEastAsia"/>
          <w:color w:val="auto"/>
          <w:lang w:val="fr-CA"/>
        </w:rPr>
        <w:t xml:space="preserve">.  </w:t>
      </w:r>
      <w:r w:rsidRPr="003D6255">
        <w:rPr>
          <w:rStyle w:val="c42"/>
          <w:color w:val="auto"/>
          <w:lang w:val="fr-CA"/>
        </w:rPr>
        <w:t xml:space="preserve">Dès lors que la décision prise conserve un caractère raisonnable, le tribunal ne devrait pas substituer son avis à celui du conseil, même si les événements ultérieurs peuvent avoir jeté le doute sur la décision du conseil.  </w:t>
      </w:r>
      <w:r w:rsidRPr="003D6255">
        <w:rPr>
          <w:rStyle w:val="c52"/>
          <w:color w:val="auto"/>
          <w:lang w:val="fr-CA"/>
        </w:rPr>
        <w:t xml:space="preserve">Dans la mesure où les administrateurs ont choisi l’une des diverses solutions raisonnables qui s’offraient, la retenue est de mise à l’égard de la décision du </w:t>
      </w:r>
      <w:proofErr w:type="gramStart"/>
      <w:r w:rsidRPr="003D6255">
        <w:rPr>
          <w:rStyle w:val="c52"/>
          <w:color w:val="auto"/>
          <w:lang w:val="fr-CA"/>
        </w:rPr>
        <w:t>conseil</w:t>
      </w:r>
      <w:r w:rsidR="00333A08">
        <w:rPr>
          <w:rStyle w:val="c52"/>
          <w:color w:val="auto"/>
          <w:lang w:val="fr-CA"/>
        </w:rPr>
        <w:t> </w:t>
      </w:r>
      <w:r w:rsidRPr="003D6255">
        <w:rPr>
          <w:rStyle w:val="c52"/>
          <w:color w:val="auto"/>
          <w:lang w:val="fr-CA"/>
        </w:rPr>
        <w:t>.</w:t>
      </w:r>
      <w:proofErr w:type="gramEnd"/>
      <w:r w:rsidRPr="003D6255">
        <w:rPr>
          <w:rStyle w:val="c52"/>
          <w:color w:val="auto"/>
          <w:lang w:val="fr-CA"/>
        </w:rPr>
        <w:t> . .  [</w:t>
      </w:r>
      <w:r w:rsidR="00333A08">
        <w:rPr>
          <w:rStyle w:val="c52"/>
          <w:color w:val="auto"/>
          <w:lang w:val="fr-CA"/>
        </w:rPr>
        <w:t>Italiques</w:t>
      </w:r>
      <w:r w:rsidRPr="003D6255">
        <w:rPr>
          <w:rStyle w:val="c52"/>
          <w:color w:val="auto"/>
          <w:lang w:val="fr-CA"/>
        </w:rPr>
        <w:t xml:space="preserve"> omis</w:t>
      </w:r>
      <w:r w:rsidR="001C0FAC" w:rsidRPr="003D6255">
        <w:rPr>
          <w:rStyle w:val="c52"/>
          <w:color w:val="auto"/>
          <w:lang w:val="fr-CA"/>
        </w:rPr>
        <w:t xml:space="preserve"> . . .</w:t>
      </w:r>
      <w:r w:rsidRPr="003D6255">
        <w:rPr>
          <w:rStyle w:val="c52"/>
          <w:color w:val="auto"/>
          <w:lang w:val="fr-CA"/>
        </w:rPr>
        <w:t>] [</w:t>
      </w:r>
      <w:r w:rsidR="00333A08">
        <w:rPr>
          <w:rStyle w:val="c52"/>
          <w:color w:val="auto"/>
          <w:lang w:val="fr-CA"/>
        </w:rPr>
        <w:t xml:space="preserve">Texte entre crochets dans l’original; </w:t>
      </w:r>
      <w:r w:rsidRPr="003D6255">
        <w:rPr>
          <w:rStyle w:val="c52"/>
          <w:color w:val="auto"/>
          <w:lang w:val="fr-CA"/>
        </w:rPr>
        <w:t>par. 54</w:t>
      </w:r>
      <w:r w:rsidR="00333A08">
        <w:rPr>
          <w:rStyle w:val="c52"/>
          <w:color w:val="auto"/>
          <w:lang w:val="fr-CA"/>
        </w:rPr>
        <w:t>.</w:t>
      </w:r>
      <w:r w:rsidRPr="003D6255">
        <w:rPr>
          <w:rStyle w:val="c52"/>
          <w:color w:val="auto"/>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Le juge </w:t>
      </w:r>
      <w:proofErr w:type="spellStart"/>
      <w:r w:rsidRPr="00751B87">
        <w:rPr>
          <w:rFonts w:cs="Times New Roman"/>
          <w:szCs w:val="24"/>
          <w:lang w:val="fr-CA"/>
        </w:rPr>
        <w:t>Binnie</w:t>
      </w:r>
      <w:proofErr w:type="spellEnd"/>
      <w:r w:rsidRPr="00751B87">
        <w:rPr>
          <w:rFonts w:cs="Times New Roman"/>
          <w:szCs w:val="24"/>
          <w:lang w:val="fr-CA"/>
        </w:rPr>
        <w:t xml:space="preserve"> a expliqué que l’application de la règle de l’appréciation commerciale aux décisions d’affaires a traditionnellement été justifiée par les raisons suivantes, à savoir le fait que (i) « </w:t>
      </w:r>
      <w:r w:rsidRPr="002E6E2E">
        <w:rPr>
          <w:rStyle w:val="Emphasis"/>
          <w:rFonts w:cs="Times New Roman"/>
          <w:i w:val="0"/>
          <w:szCs w:val="24"/>
          <w:lang w:val="fr-CA"/>
        </w:rPr>
        <w:t>les juges s’y connaissent moins que les directeurs pour prendre des décisions d’affaires »</w:t>
      </w:r>
      <w:r w:rsidRPr="00751B87">
        <w:rPr>
          <w:rFonts w:cs="Times New Roman"/>
          <w:szCs w:val="24"/>
          <w:lang w:val="fr-CA"/>
        </w:rPr>
        <w:t>, et que (ii) « [p</w:t>
      </w:r>
      <w:r w:rsidRPr="003D6255">
        <w:rPr>
          <w:rFonts w:cs="Times New Roman"/>
          <w:szCs w:val="24"/>
          <w:lang w:val="fr-CA"/>
        </w:rPr>
        <w:t>]</w:t>
      </w:r>
      <w:proofErr w:type="spellStart"/>
      <w:r w:rsidRPr="003D6255">
        <w:rPr>
          <w:rStyle w:val="c13"/>
          <w:rFonts w:cs="Times New Roman"/>
          <w:color w:val="auto"/>
          <w:szCs w:val="24"/>
          <w:lang w:val="fr-CA"/>
        </w:rPr>
        <w:t>our</w:t>
      </w:r>
      <w:proofErr w:type="spellEnd"/>
      <w:r w:rsidRPr="003D6255">
        <w:rPr>
          <w:rStyle w:val="c13"/>
          <w:rFonts w:cs="Times New Roman"/>
          <w:color w:val="auto"/>
          <w:szCs w:val="24"/>
          <w:lang w:val="fr-CA"/>
        </w:rPr>
        <w:t xml:space="preserve"> maximiser le rendement des actions, les directeurs doivent être libres de prendre des risques raisonnables sans craindre que les tribunaux remettent par la suite en question les choix qu’ils ont faits sur le plan commercial »</w:t>
      </w:r>
      <w:r w:rsidRPr="003D6255">
        <w:rPr>
          <w:rFonts w:cs="Times New Roman"/>
          <w:szCs w:val="24"/>
          <w:lang w:val="fr-CA"/>
        </w:rPr>
        <w:t xml:space="preserve"> (</w:t>
      </w:r>
      <w:r w:rsidRPr="003D6255">
        <w:rPr>
          <w:rFonts w:cs="Times New Roman"/>
          <w:i/>
          <w:szCs w:val="24"/>
          <w:lang w:val="fr-CA"/>
        </w:rPr>
        <w:t>Kerr</w:t>
      </w:r>
      <w:r w:rsidRPr="003D6255">
        <w:rPr>
          <w:rFonts w:cs="Times New Roman"/>
          <w:szCs w:val="24"/>
          <w:lang w:val="fr-CA"/>
        </w:rPr>
        <w:t>, par. 58).  Ces justifications traditionnelles de la règle « </w:t>
      </w:r>
      <w:r w:rsidRPr="003D6255">
        <w:rPr>
          <w:rStyle w:val="c23"/>
          <w:rFonts w:cs="Times New Roman"/>
          <w:color w:val="auto"/>
          <w:szCs w:val="24"/>
          <w:lang w:val="fr-CA"/>
        </w:rPr>
        <w:t>ne s’appliquent pas aux décisions en matière de divulgation »</w:t>
      </w:r>
      <w:r w:rsidRPr="003D6255">
        <w:rPr>
          <w:rFonts w:cs="Times New Roman"/>
          <w:szCs w:val="24"/>
          <w:lang w:val="fr-CA"/>
        </w:rPr>
        <w:t xml:space="preserve"> (</w:t>
      </w:r>
      <w:r w:rsidRPr="00751B87">
        <w:rPr>
          <w:rFonts w:cs="Times New Roman"/>
          <w:i/>
          <w:szCs w:val="24"/>
          <w:lang w:val="fr-CA"/>
        </w:rPr>
        <w:t>ibid.</w:t>
      </w:r>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Comme je l’ai expliqué, la question de l’importance comporte l’application d’une norme juridique à un ensemble de faits donnés.  Les juges ne s’y connaissent pas moins que les dirigeants d’entreprises en matière d’application d’une norme juridique à un ensemble de faits donnés; par ailleurs, l’évaluation du risque par ces derniers n’a rien à voir avec l’obligation de communication qui leur incombe.  Comme le juge </w:t>
      </w:r>
      <w:proofErr w:type="spellStart"/>
      <w:r w:rsidRPr="00751B87">
        <w:rPr>
          <w:rFonts w:cs="Times New Roman"/>
          <w:szCs w:val="24"/>
          <w:lang w:val="fr-CA"/>
        </w:rPr>
        <w:t>Binnie</w:t>
      </w:r>
      <w:proofErr w:type="spellEnd"/>
      <w:r w:rsidRPr="00751B87">
        <w:rPr>
          <w:rFonts w:cs="Times New Roman"/>
          <w:szCs w:val="24"/>
          <w:lang w:val="fr-CA"/>
        </w:rPr>
        <w:t xml:space="preserve"> l’a souligné, « [</w:t>
      </w:r>
      <w:r w:rsidRPr="009E4309">
        <w:rPr>
          <w:rStyle w:val="Emphasis"/>
          <w:rFonts w:cs="Times New Roman"/>
          <w:i w:val="0"/>
          <w:szCs w:val="24"/>
          <w:lang w:val="fr-CA"/>
        </w:rPr>
        <w:t>i]l appartient au législateur et aux tribunaux, et non aux dirigeants d’entreprises, d’établir les exigences juridiques en matière de divulgation »</w:t>
      </w:r>
      <w:r w:rsidRPr="00751B87">
        <w:rPr>
          <w:rFonts w:cs="Times New Roman"/>
          <w:szCs w:val="24"/>
          <w:lang w:val="fr-CA"/>
        </w:rPr>
        <w:t xml:space="preserve"> (</w:t>
      </w:r>
      <w:r w:rsidRPr="00751B87">
        <w:rPr>
          <w:rFonts w:cs="Times New Roman"/>
          <w:i/>
          <w:szCs w:val="24"/>
          <w:lang w:val="fr-CA"/>
        </w:rPr>
        <w:t>Kerr</w:t>
      </w:r>
      <w:r w:rsidRPr="00751B87">
        <w:rPr>
          <w:rFonts w:cs="Times New Roman"/>
          <w:szCs w:val="24"/>
          <w:lang w:val="fr-CA"/>
        </w:rPr>
        <w:t>, par. 55).</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Rien dans les présents motifs ne s’écarte du droit exposé dans </w:t>
      </w:r>
      <w:r w:rsidRPr="00751B87">
        <w:rPr>
          <w:rFonts w:cs="Times New Roman"/>
          <w:i/>
          <w:szCs w:val="24"/>
          <w:lang w:val="fr-CA"/>
        </w:rPr>
        <w:t>Kerr</w:t>
      </w:r>
      <w:r w:rsidRPr="00751B87">
        <w:rPr>
          <w:rFonts w:cs="Times New Roman"/>
          <w:szCs w:val="24"/>
          <w:lang w:val="fr-CA"/>
        </w:rPr>
        <w:t xml:space="preserve">.  L’obligation légale qui incombait au VAC en l’espèce consistait à communiquer certains renseignements bien précis tout en évitant de faire des déclarations erronées sur des points importants.  Bien que le VAC ait choisi </w:t>
      </w:r>
      <w:proofErr w:type="spellStart"/>
      <w:r w:rsidRPr="00751B87">
        <w:rPr>
          <w:rFonts w:cs="Times New Roman"/>
          <w:szCs w:val="24"/>
          <w:lang w:val="fr-CA"/>
        </w:rPr>
        <w:t>lui</w:t>
      </w:r>
      <w:r w:rsidRPr="00751B87">
        <w:rPr>
          <w:rFonts w:cs="Times New Roman"/>
          <w:szCs w:val="24"/>
          <w:lang w:val="fr-CA"/>
        </w:rPr>
        <w:noBreakHyphen/>
        <w:t>même</w:t>
      </w:r>
      <w:proofErr w:type="spellEnd"/>
      <w:r w:rsidRPr="00751B87">
        <w:rPr>
          <w:rFonts w:cs="Times New Roman"/>
          <w:szCs w:val="24"/>
          <w:lang w:val="fr-CA"/>
        </w:rPr>
        <w:t xml:space="preserve"> les renseignements à inclure dans le document du Hilton, c’était au tribunal qu’il revenait de décider si ce </w:t>
      </w:r>
      <w:r w:rsidRPr="00751B87">
        <w:rPr>
          <w:rFonts w:cs="Times New Roman"/>
          <w:szCs w:val="24"/>
          <w:lang w:val="fr-CA"/>
        </w:rPr>
        <w:lastRenderedPageBreak/>
        <w:t>dernier avait rempli ses obligations légales à cet égard.  Le tribunal devait donc se demander ce qui, du point de vue de l’investisseur raisonnable, aurait modifié de façon significative l’ensemble des renseignements mis à sa disposition.  Il s’agit d’un examen propre aux faits de l’espèce et, sauf dans les cas où des inférences fondées sur le bon sens suffisent, la partie qui allègue l’importance doit présenter des éléments de preuve à l’appui de sa thèse.</w:t>
      </w:r>
    </w:p>
    <w:p w:rsidR="0062110E" w:rsidRPr="00751B87" w:rsidRDefault="0062110E" w:rsidP="0062110E">
      <w:pPr>
        <w:pStyle w:val="ParaNoNdepar-AltN"/>
        <w:rPr>
          <w:rFonts w:cs="Times New Roman"/>
          <w:szCs w:val="24"/>
          <w:lang w:val="fr-CA"/>
        </w:rPr>
      </w:pPr>
      <w:r w:rsidRPr="00751B87">
        <w:rPr>
          <w:rFonts w:cs="Times New Roman"/>
          <w:szCs w:val="24"/>
          <w:lang w:val="fr-CA"/>
        </w:rPr>
        <w:t>Pour évaluer l’importance, le tribunal doit d’abord examiner les renseignements qui avaient été communiqués aux investisseurs au moment où ils ont pris leur décision.  En l’espèce, ce que j’appellerai les « renseignements communiqués » étaient les renseignements que contenait le document du Hilton.  La prochaine étape à franchir pour décider si tout fait ou renseignement omis (les « renseignements omis ») aurait modifié de façon significative l’ensemble des renseignements mis à la disposition des investisseurs consiste à examiner les renseignements omis au regard de ceux qui avaient été communiqués.  Il faut donc comparer les renseignements omis (le taux de rendement garanti offert aux propriétaires du Marriott et les frais d’administration de 5 </w:t>
      </w:r>
      <w:r w:rsidR="001C0FAC">
        <w:rPr>
          <w:rFonts w:cs="Times New Roman"/>
          <w:szCs w:val="24"/>
          <w:lang w:val="fr-CA"/>
        </w:rPr>
        <w:t>p. 100</w:t>
      </w:r>
      <w:r w:rsidRPr="00751B87">
        <w:rPr>
          <w:rFonts w:cs="Times New Roman"/>
          <w:szCs w:val="24"/>
          <w:lang w:val="fr-CA"/>
        </w:rPr>
        <w:t xml:space="preserve"> ainsi que les mesures incitatives supplémentaires qu’ils devaient payer au VAC) à ceux qui avaient été communiqués pour déterminer l’importance des différences de rémunération.  Le tribunal peut, dans le cadre de cette deuxième étape, prendre en compte les éléments de contexte qui permettent d’expliquer, interpréter ou analyser les renseignements omis à la lumière d’un contexte factuel plus général, pourvu qu’il le fasse au regard des renseignements communiqués.  Par exemple, dans le cas qui nous est soumis, tout </w:t>
      </w:r>
      <w:r w:rsidRPr="00751B87">
        <w:rPr>
          <w:rFonts w:cs="Times New Roman"/>
          <w:szCs w:val="24"/>
          <w:lang w:val="fr-CA"/>
        </w:rPr>
        <w:lastRenderedPageBreak/>
        <w:t>élément de preuve au sujet de la conjoncture économique favorable à l’époque où les investisseurs ont pris leur décision aurait été utile pour décider si le taux de rendement garanti offert aux propriétaires du Marriott constituait un facteur important eu égard aux taux d’occupation élevés qui étaient annoncés dans le document du Hilton.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Un autre type de preuve pertinente en ce qui concerne l’évaluation de l’importance est celle </w:t>
      </w:r>
      <w:bookmarkStart w:id="14" w:name="OLE_LINK1"/>
      <w:bookmarkStart w:id="15" w:name="OLE_LINK2"/>
      <w:r w:rsidRPr="00751B87">
        <w:rPr>
          <w:rFonts w:cs="Times New Roman"/>
          <w:szCs w:val="24"/>
          <w:lang w:val="fr-CA"/>
        </w:rPr>
        <w:t>qui fait état de certains actes ou événements contemporains ou ultérieurs qui expliqueraient le comportement que des personnes dans des situations identiques ou similaires adoptent ou sont susceptibles d’adopter</w:t>
      </w:r>
      <w:bookmarkEnd w:id="14"/>
      <w:bookmarkEnd w:id="15"/>
      <w:r w:rsidRPr="00751B87">
        <w:rPr>
          <w:rFonts w:cs="Times New Roman"/>
          <w:szCs w:val="24"/>
          <w:lang w:val="fr-CA"/>
        </w:rPr>
        <w:t xml:space="preserve"> (la « preuve du comportement »).  Par exemple, rien n’empêcherait le demandeur de présenter une preuve établissant que le défendeur avait tiré avantage d’une situation de conflit d’intérêts, et ce, même si cette preuve se rapportait à des événements survenus après que les investisseurs ont pris leur décision.  De même, rien n’empêcherait le défendeur de présenter une preuve démontrant que certains investisseurs disposaient de renseignements qui ne figuraient pas dans les documents en cause au moment où ils ont pris leur décision, ou encore que certains de </w:t>
      </w:r>
      <w:proofErr w:type="spellStart"/>
      <w:r w:rsidRPr="00751B87">
        <w:rPr>
          <w:rFonts w:cs="Times New Roman"/>
          <w:szCs w:val="24"/>
          <w:lang w:val="fr-CA"/>
        </w:rPr>
        <w:t>ceux</w:t>
      </w:r>
      <w:r w:rsidRPr="00751B87">
        <w:rPr>
          <w:rFonts w:cs="Times New Roman"/>
          <w:szCs w:val="24"/>
          <w:lang w:val="fr-CA"/>
        </w:rPr>
        <w:noBreakHyphen/>
        <w:t>ci</w:t>
      </w:r>
      <w:proofErr w:type="spellEnd"/>
      <w:r w:rsidRPr="00751B87">
        <w:rPr>
          <w:rFonts w:cs="Times New Roman"/>
          <w:szCs w:val="24"/>
          <w:lang w:val="fr-CA"/>
        </w:rPr>
        <w:t xml:space="preserve"> ont agi d’une certaine façon.  Outre une telle preuve du comportement, toute preuve établissant tout fait de notoriété publique ou, selon les circonstances, les connaissances de certains investisseurs en particulier </w:t>
      </w:r>
      <w:proofErr w:type="gramStart"/>
      <w:r w:rsidRPr="00751B87">
        <w:rPr>
          <w:rFonts w:cs="Times New Roman"/>
          <w:szCs w:val="24"/>
          <w:lang w:val="fr-CA"/>
        </w:rPr>
        <w:t>serait</w:t>
      </w:r>
      <w:proofErr w:type="gramEnd"/>
      <w:r w:rsidRPr="00751B87">
        <w:rPr>
          <w:rFonts w:cs="Times New Roman"/>
          <w:szCs w:val="24"/>
          <w:lang w:val="fr-CA"/>
        </w:rPr>
        <w:t xml:space="preserve"> aussi admissible.  Cependant, l’examen de l’importance doit porter principalement sur les renseignements qui ont été communiqués et ceux qui ne l’ont pas été.</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En bref, voici les principaux éléments du critère de l’importance :</w:t>
      </w:r>
    </w:p>
    <w:p w:rsidR="0062110E" w:rsidRPr="00751B87" w:rsidRDefault="0062110E" w:rsidP="001C0FAC">
      <w:pPr>
        <w:pStyle w:val="Citation-AltC"/>
        <w:tabs>
          <w:tab w:val="left" w:pos="540"/>
        </w:tabs>
        <w:spacing w:after="240" w:line="480" w:lineRule="auto"/>
        <w:ind w:left="540" w:hanging="540"/>
        <w:contextualSpacing w:val="0"/>
        <w:rPr>
          <w:lang w:val="fr-CA"/>
        </w:rPr>
      </w:pPr>
      <w:r w:rsidRPr="00751B87">
        <w:rPr>
          <w:lang w:val="fr-CA"/>
        </w:rPr>
        <w:t>i.</w:t>
      </w:r>
      <w:r w:rsidRPr="00751B87">
        <w:rPr>
          <w:lang w:val="fr-CA"/>
        </w:rPr>
        <w:tab/>
        <w:t>L’importance est une question mixte de droit et de fait qui s’évalue objectivement, du point de vue d’un investisseur raisonnable;</w:t>
      </w:r>
    </w:p>
    <w:p w:rsidR="0062110E" w:rsidRPr="00751B87" w:rsidRDefault="0062110E" w:rsidP="001C0FAC">
      <w:pPr>
        <w:pStyle w:val="Citation-AltC"/>
        <w:tabs>
          <w:tab w:val="left" w:pos="540"/>
        </w:tabs>
        <w:spacing w:after="240" w:line="480" w:lineRule="auto"/>
        <w:ind w:left="540" w:hanging="540"/>
        <w:contextualSpacing w:val="0"/>
        <w:rPr>
          <w:lang w:val="fr-CA"/>
        </w:rPr>
      </w:pPr>
      <w:r w:rsidRPr="00751B87">
        <w:rPr>
          <w:lang w:val="fr-CA"/>
        </w:rPr>
        <w:t>ii.</w:t>
      </w:r>
      <w:r w:rsidRPr="00751B87">
        <w:rPr>
          <w:lang w:val="fr-CA"/>
        </w:rPr>
        <w:tab/>
        <w:t>Le fait omis est important s’il existe une probabilité marquée que l’investisseur raisonnable l’</w:t>
      </w:r>
      <w:r w:rsidRPr="00751B87">
        <w:rPr>
          <w:i/>
          <w:iCs/>
          <w:lang w:val="fr-CA"/>
        </w:rPr>
        <w:t>aurait</w:t>
      </w:r>
      <w:r w:rsidRPr="00751B87">
        <w:rPr>
          <w:lang w:val="fr-CA"/>
        </w:rPr>
        <w:t xml:space="preserve"> jugé important au moment de prendre sa décision, et non qu’il </w:t>
      </w:r>
      <w:proofErr w:type="gramStart"/>
      <w:r w:rsidRPr="00751B87">
        <w:rPr>
          <w:i/>
          <w:lang w:val="fr-CA"/>
        </w:rPr>
        <w:t>aurait</w:t>
      </w:r>
      <w:proofErr w:type="gramEnd"/>
      <w:r w:rsidRPr="00751B87">
        <w:rPr>
          <w:i/>
          <w:lang w:val="fr-CA"/>
        </w:rPr>
        <w:t xml:space="preserve"> pu</w:t>
      </w:r>
      <w:r w:rsidRPr="00751B87">
        <w:rPr>
          <w:lang w:val="fr-CA"/>
        </w:rPr>
        <w:t xml:space="preserve"> le juger important.  Autrement dit, il doit y avoir une probabilité marquée que l’investisseur raisonnable aurait jugé que le fait en question aurait modifié de façon significative l’ensemble des renseignements mis à sa disposition s’il lui avait été communiqué;</w:t>
      </w:r>
    </w:p>
    <w:p w:rsidR="0062110E" w:rsidRPr="00751B87" w:rsidRDefault="0062110E" w:rsidP="001C0FAC">
      <w:pPr>
        <w:pStyle w:val="Citation-AltC"/>
        <w:tabs>
          <w:tab w:val="left" w:pos="540"/>
        </w:tabs>
        <w:spacing w:after="240" w:line="480" w:lineRule="auto"/>
        <w:ind w:left="540" w:hanging="540"/>
        <w:contextualSpacing w:val="0"/>
        <w:rPr>
          <w:lang w:val="fr-CA"/>
        </w:rPr>
      </w:pPr>
      <w:r w:rsidRPr="00751B87">
        <w:rPr>
          <w:lang w:val="fr-CA"/>
        </w:rPr>
        <w:t>iii.</w:t>
      </w:r>
      <w:r w:rsidRPr="00751B87">
        <w:rPr>
          <w:lang w:val="fr-CA"/>
        </w:rPr>
        <w:tab/>
        <w:t>Il n’est pas nécessaire de prouver que le fait en cause aurait amené l’investisseur à prendre une autre décision, mais plutôt qu’il existait une probabilité marquée que l’investisseur raisonnable en aurait tenu compte dans le cadre de son analyse;</w:t>
      </w:r>
    </w:p>
    <w:p w:rsidR="0062110E" w:rsidRPr="00751B87" w:rsidRDefault="0062110E" w:rsidP="001C0FAC">
      <w:pPr>
        <w:pStyle w:val="Citation-AltC"/>
        <w:tabs>
          <w:tab w:val="left" w:pos="540"/>
        </w:tabs>
        <w:spacing w:after="240" w:line="480" w:lineRule="auto"/>
        <w:ind w:left="540" w:hanging="540"/>
        <w:contextualSpacing w:val="0"/>
        <w:rPr>
          <w:lang w:val="fr-CA"/>
        </w:rPr>
      </w:pPr>
      <w:r w:rsidRPr="00751B87">
        <w:rPr>
          <w:lang w:val="fr-CA"/>
        </w:rPr>
        <w:t>iv.</w:t>
      </w:r>
      <w:r w:rsidRPr="00751B87">
        <w:rPr>
          <w:lang w:val="fr-CA"/>
        </w:rPr>
        <w:tab/>
        <w:t xml:space="preserve">L’évaluation de l’importance comporte l’application d’une norme juridique à des faits précis.  Elle repose sur un examen des faits propres à l’espèce à la lumière de l’ensemble des facteurs pertinents et des circonstances, soit l’ensemble des renseignements mis à la disposition des investisseurs; </w:t>
      </w:r>
    </w:p>
    <w:p w:rsidR="0062110E" w:rsidRPr="00751B87" w:rsidRDefault="0062110E" w:rsidP="001C0FAC">
      <w:pPr>
        <w:pStyle w:val="Citation-AltC"/>
        <w:tabs>
          <w:tab w:val="left" w:pos="540"/>
        </w:tabs>
        <w:spacing w:after="480" w:line="480" w:lineRule="auto"/>
        <w:ind w:left="547" w:hanging="547"/>
        <w:contextualSpacing w:val="0"/>
        <w:rPr>
          <w:lang w:val="fr-CA"/>
        </w:rPr>
      </w:pPr>
      <w:r w:rsidRPr="00751B87">
        <w:rPr>
          <w:lang w:val="fr-CA"/>
        </w:rPr>
        <w:t>v.</w:t>
      </w:r>
      <w:r w:rsidRPr="00751B87">
        <w:rPr>
          <w:lang w:val="fr-CA"/>
        </w:rPr>
        <w:tab/>
        <w:t xml:space="preserve">La partie qui allègue l’importance d’une déclaration, d’une omission ou d’un fait doit présenter des éléments de preuve à l’appui de sa thèse, sauf dans les cas où des inférences fondées sur le bon sens sont suffisantes.  Le tribunal doit </w:t>
      </w:r>
      <w:r w:rsidRPr="00751B87">
        <w:rPr>
          <w:lang w:val="fr-CA"/>
        </w:rPr>
        <w:lastRenderedPageBreak/>
        <w:t>d’abord examiner les renseignements communiqués aux investisseurs et ceux qui ne l’ont pas été.  Il peut également prendre en compte les éléments de contexte qui permettent d’expliquer, interpréter ou analyser les renseignements omis à la lumière d’un contexte factuel plus général, pourvu qu’il le fasse au regard des renseignements communiqués.  De plus, la preuve qui fait état de certains actes ou événements contemporains ou ultérieurs qui expliqueraient le comportement que des personnes dans des situations identiques ou similaires adoptent ou sont susceptibles d’adopter est également pertinente.  Toutefois, l’examen de l’importance doit constituer d’abord et avant tout une considération contextuelle des renseignements communiqués par l’émetteur de valeurs ainsi que des faits ou des renseignements que ce dernier a omis d’inclure dans les documents qu’il a fournis.</w:t>
      </w:r>
    </w:p>
    <w:p w:rsidR="0062110E" w:rsidRPr="00751B87" w:rsidRDefault="0062110E" w:rsidP="0062110E">
      <w:pPr>
        <w:pStyle w:val="TitleTitre-AltT"/>
        <w:keepNext/>
        <w:tabs>
          <w:tab w:val="clear" w:pos="360"/>
          <w:tab w:val="left" w:pos="1620"/>
        </w:tabs>
        <w:spacing w:before="0"/>
        <w:ind w:left="1166" w:firstLine="0"/>
        <w:rPr>
          <w:rFonts w:cs="Times New Roman"/>
          <w:szCs w:val="24"/>
          <w:lang w:val="fr-CA"/>
        </w:rPr>
      </w:pPr>
      <w:bookmarkStart w:id="16" w:name="_Toc308445315"/>
      <w:r w:rsidRPr="00751B87">
        <w:rPr>
          <w:rFonts w:cs="Times New Roman"/>
          <w:szCs w:val="24"/>
          <w:lang w:val="fr-CA"/>
        </w:rPr>
        <w:t>(5)</w:t>
      </w:r>
      <w:r w:rsidRPr="00751B87">
        <w:rPr>
          <w:rFonts w:cs="Times New Roman"/>
          <w:szCs w:val="24"/>
          <w:lang w:val="fr-CA"/>
        </w:rPr>
        <w:tab/>
      </w:r>
      <w:r w:rsidRPr="00751B87">
        <w:rPr>
          <w:rFonts w:cs="Times New Roman"/>
          <w:szCs w:val="24"/>
          <w:u w:val="single"/>
          <w:lang w:val="fr-CA"/>
        </w:rPr>
        <w:t>Analyse de l’évaluation de l’importance en première instance</w:t>
      </w:r>
      <w:bookmarkEnd w:id="16"/>
      <w:r w:rsidRPr="00751B87">
        <w:rPr>
          <w:rFonts w:cs="Times New Roman"/>
          <w:szCs w:val="24"/>
          <w:u w:val="single"/>
          <w:lang w:val="fr-CA"/>
        </w:rPr>
        <w:t xml:space="preserve"> </w:t>
      </w:r>
    </w:p>
    <w:p w:rsidR="0062110E" w:rsidRPr="00751B87" w:rsidRDefault="0062110E" w:rsidP="0062110E">
      <w:pPr>
        <w:pStyle w:val="ParaNoNdepar-AltN"/>
        <w:rPr>
          <w:rFonts w:cs="Times New Roman"/>
          <w:szCs w:val="24"/>
          <w:lang w:val="fr-CA"/>
        </w:rPr>
      </w:pPr>
      <w:r w:rsidRPr="00751B87">
        <w:rPr>
          <w:rFonts w:cs="Times New Roman"/>
          <w:szCs w:val="24"/>
          <w:lang w:val="fr-CA"/>
        </w:rPr>
        <w:t>J’examinerai maintenant l’évaluation de l’importance faite par la juge de première instance.  J’estime en toute déférence qu’elle a commis trois erreurs de droit intimement liées en évaluant l’importance de la situation de conflit d’intérêts dans laquelle se serait trouvé le VAC en raison des différences de rémunération, et que cela a faussé son examen du document du Hilton pour savoir s’il contenait une déclaration erronée sur un point important.  D’abord, elle a jugé que l’existence ou la possibilité d’un conflit d’intérêts était forcément importante,</w:t>
      </w:r>
      <w:r>
        <w:rPr>
          <w:rFonts w:cs="Times New Roman"/>
          <w:szCs w:val="24"/>
          <w:lang w:val="fr-CA"/>
        </w:rPr>
        <w:t xml:space="preserve"> </w:t>
      </w:r>
      <w:r w:rsidRPr="00751B87">
        <w:rPr>
          <w:rFonts w:cs="Times New Roman"/>
          <w:szCs w:val="24"/>
          <w:lang w:val="fr-CA"/>
        </w:rPr>
        <w:t xml:space="preserve">postulant essentiellement que tout conflit d’intérêts était, en soi, important.  Ensuite, elle a </w:t>
      </w:r>
      <w:r w:rsidRPr="00751B87">
        <w:rPr>
          <w:rFonts w:cs="Times New Roman"/>
          <w:szCs w:val="24"/>
          <w:lang w:val="fr-CA"/>
        </w:rPr>
        <w:lastRenderedPageBreak/>
        <w:t xml:space="preserve">inversé le fardeau de la preuve, qui exigeait de </w:t>
      </w:r>
      <w:proofErr w:type="spellStart"/>
      <w:r w:rsidRPr="00751B87">
        <w:rPr>
          <w:rFonts w:cs="Times New Roman"/>
          <w:szCs w:val="24"/>
          <w:lang w:val="fr-CA"/>
        </w:rPr>
        <w:t>Sharbern</w:t>
      </w:r>
      <w:proofErr w:type="spellEnd"/>
      <w:r w:rsidRPr="00751B87">
        <w:rPr>
          <w:rFonts w:cs="Times New Roman"/>
          <w:szCs w:val="24"/>
          <w:lang w:val="fr-CA"/>
        </w:rPr>
        <w:t xml:space="preserve"> qu’elle établisse l’importance en sa qualité de partie demanderesse, et imposé au VAC le fardeau de prouver le contraire.  Enfin,  elle a omis de considérer l’ensemble de la preuve dont elle disposait sur l’importance.  J’examinerai successivement ces trois erreurs.</w:t>
      </w:r>
    </w:p>
    <w:p w:rsidR="0062110E" w:rsidRPr="00751B87" w:rsidRDefault="0062110E" w:rsidP="0062110E">
      <w:pPr>
        <w:pStyle w:val="ParaNoNdepar-AltN"/>
        <w:rPr>
          <w:rFonts w:cs="Times New Roman"/>
          <w:b/>
          <w:bCs/>
          <w:i/>
          <w:iCs/>
          <w:szCs w:val="24"/>
          <w:lang w:val="fr-CA"/>
        </w:rPr>
      </w:pPr>
      <w:r w:rsidRPr="00751B87">
        <w:rPr>
          <w:rFonts w:cs="Times New Roman"/>
          <w:szCs w:val="24"/>
          <w:lang w:val="fr-CA"/>
        </w:rPr>
        <w:t>Bien que la juge</w:t>
      </w:r>
      <w:r>
        <w:rPr>
          <w:rFonts w:cs="Times New Roman"/>
          <w:szCs w:val="24"/>
          <w:lang w:val="fr-CA"/>
        </w:rPr>
        <w:t xml:space="preserve"> de première instance</w:t>
      </w:r>
      <w:r w:rsidRPr="00751B87">
        <w:rPr>
          <w:rFonts w:cs="Times New Roman"/>
          <w:szCs w:val="24"/>
          <w:lang w:val="fr-CA"/>
        </w:rPr>
        <w:t xml:space="preserve"> ait consacré une bonne part de son analyse au conflit d’intérêts ou à la possibilité d’un tel conflit, il ne s’agissait pas de l’élément clé du litige.  D’ailleurs, le VAC a reconnu l’existence de conflits d’intérêts non importants </w:t>
      </w:r>
      <w:r>
        <w:rPr>
          <w:rFonts w:cs="Times New Roman"/>
          <w:szCs w:val="24"/>
          <w:lang w:val="fr-CA"/>
        </w:rPr>
        <w:t>au par. </w:t>
      </w:r>
      <w:r w:rsidRPr="00751B87">
        <w:rPr>
          <w:rFonts w:cs="Times New Roman"/>
          <w:szCs w:val="24"/>
          <w:lang w:val="fr-CA"/>
        </w:rPr>
        <w:t>4.9i) et à l’art</w:t>
      </w:r>
      <w:r>
        <w:rPr>
          <w:rFonts w:cs="Times New Roman"/>
          <w:szCs w:val="24"/>
          <w:lang w:val="fr-CA"/>
        </w:rPr>
        <w:t>. </w:t>
      </w:r>
      <w:r w:rsidRPr="00751B87">
        <w:rPr>
          <w:rFonts w:cs="Times New Roman"/>
          <w:szCs w:val="24"/>
          <w:lang w:val="fr-CA"/>
        </w:rPr>
        <w:t xml:space="preserve">4.11 du document du Hilton.  La question clé consistait plutôt à se demander si les différences de rémunération ainsi que le conflit d’intérêts — ou la possibilité d’un tel conflit — engendré par </w:t>
      </w:r>
      <w:proofErr w:type="spellStart"/>
      <w:r w:rsidRPr="00751B87">
        <w:rPr>
          <w:rFonts w:cs="Times New Roman"/>
          <w:szCs w:val="24"/>
          <w:lang w:val="fr-CA"/>
        </w:rPr>
        <w:t>celles</w:t>
      </w:r>
      <w:r w:rsidRPr="00751B87">
        <w:rPr>
          <w:rFonts w:cs="Times New Roman"/>
          <w:szCs w:val="24"/>
          <w:lang w:val="fr-CA"/>
        </w:rPr>
        <w:noBreakHyphen/>
        <w:t>ci</w:t>
      </w:r>
      <w:proofErr w:type="spellEnd"/>
      <w:r w:rsidRPr="00751B87">
        <w:rPr>
          <w:rFonts w:cs="Times New Roman"/>
          <w:szCs w:val="24"/>
          <w:lang w:val="fr-CA"/>
        </w:rPr>
        <w:t xml:space="preserve"> étaient </w:t>
      </w:r>
      <w:r w:rsidRPr="00751B87">
        <w:rPr>
          <w:rFonts w:cs="Times New Roman"/>
          <w:i/>
          <w:iCs/>
          <w:szCs w:val="24"/>
          <w:lang w:val="fr-CA"/>
        </w:rPr>
        <w:t>importants</w:t>
      </w:r>
      <w:r w:rsidRPr="00751B87">
        <w:rPr>
          <w:rFonts w:cs="Times New Roman"/>
          <w:szCs w:val="24"/>
          <w:lang w:val="fr-CA"/>
        </w:rPr>
        <w:t>, de sorte qu’en omettant d’en faire part aux investisseurs, le VAC faisait une « déclaration erronée sur un point important » engageant sa responsabilité sous le régime de la Loi.</w:t>
      </w:r>
      <w:r w:rsidRPr="00751B87">
        <w:rPr>
          <w:rFonts w:cs="Times New Roman"/>
          <w:b/>
          <w:i/>
          <w:iCs/>
          <w:szCs w:val="24"/>
          <w:lang w:val="fr-CA"/>
        </w:rPr>
        <w:t xml:space="preserve"> </w:t>
      </w:r>
    </w:p>
    <w:p w:rsidR="0062110E" w:rsidRPr="00751B87" w:rsidRDefault="0062110E" w:rsidP="0062110E">
      <w:pPr>
        <w:pStyle w:val="ParaNoNdepar-AltN"/>
        <w:rPr>
          <w:rFonts w:cs="Times New Roman"/>
          <w:szCs w:val="24"/>
          <w:lang w:val="fr-CA"/>
        </w:rPr>
      </w:pPr>
      <w:r w:rsidRPr="00751B87">
        <w:rPr>
          <w:rFonts w:cs="Times New Roman"/>
          <w:szCs w:val="24"/>
          <w:lang w:val="fr-CA"/>
        </w:rPr>
        <w:t>Il ressort d’un examen attentif des motifs de 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qu’après avoir conclu à l’existence d’un conflit d’intérêts ou, à tout le moins, de la possibilité d’un tel conflit, elle a estimé que le VAC devait en faire part aux investisseurs, comme si l’existence même du conflit était en soi importante.  Par exemple, 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a indiqué, avant même d’aborder la question de l’importance, que [</w:t>
      </w:r>
      <w:r w:rsidRPr="00751B87">
        <w:rPr>
          <w:rFonts w:cs="Times New Roman"/>
          <w:smallCaps/>
          <w:szCs w:val="24"/>
          <w:lang w:val="fr-CA"/>
        </w:rPr>
        <w:t>traduction</w:t>
      </w:r>
      <w:r w:rsidRPr="00751B87">
        <w:rPr>
          <w:rFonts w:cs="Times New Roman"/>
          <w:szCs w:val="24"/>
          <w:lang w:val="fr-CA"/>
        </w:rPr>
        <w:t>] « [c]</w:t>
      </w:r>
      <w:proofErr w:type="spellStart"/>
      <w:r w:rsidRPr="00751B87">
        <w:rPr>
          <w:rFonts w:cs="Times New Roman"/>
          <w:szCs w:val="24"/>
          <w:lang w:val="fr-CA"/>
        </w:rPr>
        <w:t>ompte</w:t>
      </w:r>
      <w:proofErr w:type="spellEnd"/>
      <w:r w:rsidRPr="00751B87">
        <w:rPr>
          <w:rFonts w:cs="Times New Roman"/>
          <w:szCs w:val="24"/>
          <w:lang w:val="fr-CA"/>
        </w:rPr>
        <w:t xml:space="preserve"> tenu de l’existence du conflit susmentionné, le VAC était tenu d’expliquer la teneur de ces ententes » (par. 310) de façon à révéler les différences de rémunération.  Dans le même ordre d’idée, elle a affirmé, dans son </w:t>
      </w:r>
      <w:r w:rsidRPr="00751B87">
        <w:rPr>
          <w:rFonts w:cs="Times New Roman"/>
          <w:szCs w:val="24"/>
          <w:lang w:val="fr-CA"/>
        </w:rPr>
        <w:lastRenderedPageBreak/>
        <w:t>analyse de la preuve du VAC sur les avantages que procurait aux hôtels le partage des ressources et des dépenses, que « [c]’est à l’investisseur qu’il revient de juger si les avantages que procure le partage des frais et des ressources l’emportent sur les conséquences négatives du conflit.  Or, l’investisseur ne peut soupeser ces considérations que si l’existence même du conflit d’intérêts lui est révélée » (par. 304).  Encore là, elle s’est exprimée ainsi avant même de se prononcer sur l’importance du conflit d’intérêts.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Son avis que tout conflit d’intérêts était, en soi, important, l’a amenée à commettre d’autres façons la même erreur de droit, notamment en interprétant de façon erronée les obligations légales du VAC en matière de communication.  En effet, elle a affirmé qu’il devait signaler le conflit d’intérêts aux investisseurs de manière à ce qu’ils puissent en mesurer les avantages et les inconvénients au regard de ceux d’autres facteurs.  Toutefois, la loi n’oblige pas les émetteurs de valeurs à communiquer tous les faits aux investisseurs afin de leur permettre de faire </w:t>
      </w:r>
      <w:proofErr w:type="spellStart"/>
      <w:r w:rsidRPr="00751B87">
        <w:rPr>
          <w:rFonts w:cs="Times New Roman"/>
          <w:szCs w:val="24"/>
          <w:lang w:val="fr-CA"/>
        </w:rPr>
        <w:t>eux</w:t>
      </w:r>
      <w:r w:rsidRPr="00751B87">
        <w:rPr>
          <w:rFonts w:cs="Times New Roman"/>
          <w:szCs w:val="24"/>
          <w:lang w:val="fr-CA"/>
        </w:rPr>
        <w:noBreakHyphen/>
        <w:t>mêmes</w:t>
      </w:r>
      <w:proofErr w:type="spellEnd"/>
      <w:r w:rsidRPr="00751B87">
        <w:rPr>
          <w:rFonts w:cs="Times New Roman"/>
          <w:szCs w:val="24"/>
          <w:lang w:val="fr-CA"/>
        </w:rPr>
        <w:t xml:space="preserve"> le tri entre ce qui est important et ce qui ne l’est pas.  Si c’était le cas, beaucoup trop de renseignements seraient communiqués aux investisseurs sans égard à leur importance et cela les paralyserait et nuirait à leur faculté de prendre des décisions éclairées, au lieu de les aider.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De plus, ayant statué que le défaut du VAC de signaler qu’il était en conflit d’intérêts suffisait pour engager sa responsabilité pour déclaration erronée sur un point important, elle a mal interprété le critère de l’importance.  Si le seul fait ou la </w:t>
      </w:r>
      <w:r w:rsidRPr="00751B87">
        <w:rPr>
          <w:rFonts w:cs="Times New Roman"/>
          <w:szCs w:val="24"/>
          <w:lang w:val="fr-CA"/>
        </w:rPr>
        <w:lastRenderedPageBreak/>
        <w:t xml:space="preserve">seule possibilité que l’intéressé soit en conflit d’intérêts imposait à </w:t>
      </w:r>
      <w:proofErr w:type="spellStart"/>
      <w:r w:rsidRPr="00751B87">
        <w:rPr>
          <w:rFonts w:cs="Times New Roman"/>
          <w:szCs w:val="24"/>
          <w:lang w:val="fr-CA"/>
        </w:rPr>
        <w:t>celui</w:t>
      </w:r>
      <w:r w:rsidRPr="00751B87">
        <w:rPr>
          <w:rFonts w:cs="Times New Roman"/>
          <w:szCs w:val="24"/>
          <w:lang w:val="fr-CA"/>
        </w:rPr>
        <w:noBreakHyphen/>
        <w:t>ci</w:t>
      </w:r>
      <w:proofErr w:type="spellEnd"/>
      <w:r w:rsidRPr="00751B87">
        <w:rPr>
          <w:rFonts w:cs="Times New Roman"/>
          <w:szCs w:val="24"/>
          <w:lang w:val="fr-CA"/>
        </w:rPr>
        <w:t xml:space="preserve"> une obligation de communication à cet égard sans qu’il soit nécessaire de véritablement s’interroger sur l’importance du conflit, on se rapprocherait de la norme du fait important adoptée par la cour d’appel dans </w:t>
      </w:r>
      <w:r w:rsidRPr="00751B87">
        <w:rPr>
          <w:rFonts w:cs="Times New Roman"/>
          <w:i/>
          <w:iCs/>
          <w:szCs w:val="24"/>
          <w:lang w:val="fr-CA"/>
        </w:rPr>
        <w:t>TSC Industries</w:t>
      </w:r>
      <w:r w:rsidRPr="00751B87">
        <w:rPr>
          <w:rFonts w:cs="Times New Roman"/>
          <w:szCs w:val="24"/>
          <w:lang w:val="fr-CA"/>
        </w:rPr>
        <w:t>, suivant laquelle [</w:t>
      </w:r>
      <w:r w:rsidRPr="00751B87">
        <w:rPr>
          <w:rFonts w:cs="Times New Roman"/>
          <w:smallCaps/>
          <w:szCs w:val="24"/>
          <w:lang w:val="fr-CA"/>
        </w:rPr>
        <w:t>traduction</w:t>
      </w:r>
      <w:r w:rsidRPr="00751B87">
        <w:rPr>
          <w:rFonts w:cs="Times New Roman"/>
          <w:szCs w:val="24"/>
          <w:lang w:val="fr-CA"/>
        </w:rPr>
        <w:t>] « tous les faits que l’actionnaire raisonnable pourrait juger importants » seraient visés (</w:t>
      </w:r>
      <w:proofErr w:type="spellStart"/>
      <w:r w:rsidRPr="00751B87">
        <w:rPr>
          <w:rFonts w:cs="Times New Roman"/>
          <w:i/>
          <w:szCs w:val="24"/>
          <w:lang w:val="fr-CA"/>
        </w:rPr>
        <w:t>sub</w:t>
      </w:r>
      <w:proofErr w:type="spellEnd"/>
      <w:r w:rsidRPr="00751B87">
        <w:rPr>
          <w:rFonts w:cs="Times New Roman"/>
          <w:i/>
          <w:szCs w:val="24"/>
          <w:lang w:val="fr-CA"/>
        </w:rPr>
        <w:t xml:space="preserve"> nom.</w:t>
      </w:r>
      <w:r w:rsidRPr="00751B87">
        <w:rPr>
          <w:rFonts w:cs="Times New Roman"/>
          <w:szCs w:val="24"/>
          <w:lang w:val="fr-CA"/>
        </w:rPr>
        <w:t xml:space="preserve"> </w:t>
      </w:r>
      <w:r w:rsidRPr="008420E2">
        <w:rPr>
          <w:rFonts w:cs="Times New Roman"/>
          <w:i/>
          <w:szCs w:val="24"/>
          <w:lang w:val="en-US"/>
        </w:rPr>
        <w:t>Northway, Inc. c. TSC Industries, Inc.</w:t>
      </w:r>
      <w:r w:rsidRPr="008420E2">
        <w:rPr>
          <w:rFonts w:cs="Times New Roman"/>
          <w:szCs w:val="24"/>
          <w:lang w:val="en-US"/>
        </w:rPr>
        <w:t>, 512 F.2d 324 (</w:t>
      </w:r>
      <w:r w:rsidR="002E6E2E" w:rsidRPr="008420E2">
        <w:rPr>
          <w:rFonts w:cs="Times New Roman"/>
          <w:szCs w:val="24"/>
          <w:lang w:val="en-US"/>
        </w:rPr>
        <w:t xml:space="preserve">7th Cir. </w:t>
      </w:r>
      <w:r w:rsidRPr="008420E2">
        <w:rPr>
          <w:rFonts w:cs="Times New Roman"/>
          <w:szCs w:val="24"/>
          <w:lang w:val="en-US"/>
        </w:rPr>
        <w:t xml:space="preserve">1975), par. 3).  </w:t>
      </w:r>
      <w:r w:rsidRPr="00751B87">
        <w:rPr>
          <w:rFonts w:cs="Times New Roman"/>
          <w:szCs w:val="24"/>
          <w:lang w:val="fr-CA"/>
        </w:rPr>
        <w:t xml:space="preserve">Cette norme a été rejetée par la Cour suprême des </w:t>
      </w:r>
      <w:proofErr w:type="spellStart"/>
      <w:r w:rsidRPr="00751B87">
        <w:rPr>
          <w:rFonts w:cs="Times New Roman"/>
          <w:szCs w:val="24"/>
          <w:lang w:val="fr-CA"/>
        </w:rPr>
        <w:t>États</w:t>
      </w:r>
      <w:r w:rsidRPr="00751B87">
        <w:rPr>
          <w:rFonts w:cs="Times New Roman"/>
          <w:szCs w:val="24"/>
          <w:lang w:val="fr-CA"/>
        </w:rPr>
        <w:noBreakHyphen/>
        <w:t>Unis</w:t>
      </w:r>
      <w:proofErr w:type="spellEnd"/>
      <w:r w:rsidRPr="00751B87">
        <w:rPr>
          <w:rFonts w:cs="Times New Roman"/>
          <w:szCs w:val="24"/>
          <w:lang w:val="fr-CA"/>
        </w:rPr>
        <w:t xml:space="preserve">, et elle l’est maintenant par notre Cour.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Dans son évaluation de l’importance, la juge </w:t>
      </w:r>
      <w:r>
        <w:rPr>
          <w:rFonts w:cs="Times New Roman"/>
          <w:szCs w:val="24"/>
          <w:lang w:val="fr-CA"/>
        </w:rPr>
        <w:t xml:space="preserve">de première instance </w:t>
      </w:r>
      <w:r w:rsidRPr="00751B87">
        <w:rPr>
          <w:rFonts w:cs="Times New Roman"/>
          <w:szCs w:val="24"/>
          <w:lang w:val="fr-CA"/>
        </w:rPr>
        <w:t xml:space="preserve">a renvoyé au critère énoncé dans </w:t>
      </w:r>
      <w:r w:rsidRPr="00751B87">
        <w:rPr>
          <w:rFonts w:cs="Times New Roman"/>
          <w:i/>
          <w:iCs/>
          <w:szCs w:val="24"/>
          <w:lang w:val="fr-CA"/>
        </w:rPr>
        <w:t xml:space="preserve">TSC Industries </w:t>
      </w:r>
      <w:r w:rsidRPr="00751B87">
        <w:rPr>
          <w:rFonts w:cs="Times New Roman"/>
          <w:szCs w:val="24"/>
          <w:lang w:val="fr-CA"/>
        </w:rPr>
        <w:t xml:space="preserve">et elle a conclu : </w:t>
      </w:r>
    </w:p>
    <w:p w:rsidR="0062110E" w:rsidRPr="00751B87" w:rsidRDefault="0062110E" w:rsidP="002E6E2E">
      <w:pPr>
        <w:pStyle w:val="Citation-AltC"/>
        <w:tabs>
          <w:tab w:val="left" w:pos="1620"/>
        </w:tabs>
        <w:ind w:left="1170" w:hanging="1170"/>
        <w:rPr>
          <w:lang w:val="fr-CA"/>
        </w:rPr>
      </w:pPr>
      <w:r w:rsidRPr="00751B87">
        <w:rPr>
          <w:lang w:val="fr-CA"/>
        </w:rPr>
        <w:tab/>
      </w:r>
      <w:r w:rsidR="002E6E2E">
        <w:rPr>
          <w:lang w:val="fr-CA"/>
        </w:rPr>
        <w:tab/>
      </w:r>
      <w:r w:rsidRPr="00751B87">
        <w:rPr>
          <w:lang w:val="fr-CA"/>
        </w:rPr>
        <w:t>[</w:t>
      </w:r>
      <w:r w:rsidRPr="00751B87">
        <w:rPr>
          <w:smallCaps/>
          <w:lang w:val="fr-CA"/>
        </w:rPr>
        <w:t>traduction</w:t>
      </w:r>
      <w:r w:rsidRPr="00751B87">
        <w:rPr>
          <w:lang w:val="fr-CA"/>
        </w:rPr>
        <w:t>]  À mon avis, le fait que la garantie relative au Marriott permettait au VAC de gagner plus d’argent lorsqu’un nouveau client choisissait cet hôtel plutôt que le Hilton aurait été un fait dont l’investisseur raisonnable aurait tenu compte dans son analyse, tout comme le fait que des frais d’administration plus élevés auraient été payés au VAC si les revenus générés par le Marriott étaient relativement plus élevés que ceux du Hilton.  [</w:t>
      </w:r>
      <w:proofErr w:type="gramStart"/>
      <w:r w:rsidRPr="00751B87">
        <w:rPr>
          <w:lang w:val="fr-CA"/>
        </w:rPr>
        <w:t>par</w:t>
      </w:r>
      <w:proofErr w:type="gramEnd"/>
      <w:r w:rsidRPr="00751B87">
        <w:rPr>
          <w:lang w:val="fr-CA"/>
        </w:rPr>
        <w:t>. 321]</w:t>
      </w:r>
    </w:p>
    <w:p w:rsidR="0062110E" w:rsidRPr="0042115A" w:rsidRDefault="0062110E" w:rsidP="0062110E">
      <w:pPr>
        <w:pStyle w:val="ContinueParaSuitedupar-AltP"/>
        <w:rPr>
          <w:lang w:val="fr-CA"/>
        </w:rPr>
      </w:pPr>
      <w:r w:rsidRPr="003544C8">
        <w:rPr>
          <w:lang w:val="fr-CA"/>
        </w:rPr>
        <w:t>Toutefois, elle ne s’est pas deman</w:t>
      </w:r>
      <w:r w:rsidR="002E6E2E">
        <w:rPr>
          <w:lang w:val="fr-CA"/>
        </w:rPr>
        <w:t>dé</w:t>
      </w:r>
      <w:r w:rsidRPr="003544C8">
        <w:rPr>
          <w:lang w:val="fr-CA"/>
        </w:rPr>
        <w:t xml:space="preserve"> comment ou pourquoi il existait une probabilité marquée que les différences de rémunération auraient amené l’investisseur raisonnable se proposant d’acquérir une unité du Hilton à considérer qu’elles modifiaient de façon significative l’ensemble des renseignements mis à sa disposition.  </w:t>
      </w:r>
      <w:r w:rsidRPr="0042115A">
        <w:rPr>
          <w:lang w:val="fr-CA"/>
        </w:rPr>
        <w:t xml:space="preserve">Elle semble avoir inféré, en se fondant sur le bon sens, que </w:t>
      </w:r>
      <w:r>
        <w:rPr>
          <w:lang w:val="fr-CA"/>
        </w:rPr>
        <w:t>les</w:t>
      </w:r>
      <w:r w:rsidRPr="0042115A">
        <w:rPr>
          <w:lang w:val="fr-CA"/>
        </w:rPr>
        <w:t xml:space="preserve"> différences </w:t>
      </w:r>
      <w:r>
        <w:rPr>
          <w:lang w:val="fr-CA"/>
        </w:rPr>
        <w:t xml:space="preserve">de rémunération </w:t>
      </w:r>
      <w:r w:rsidRPr="0042115A">
        <w:rPr>
          <w:lang w:val="fr-CA"/>
        </w:rPr>
        <w:t xml:space="preserve">auraient été importantes, sans toutefois analyser le lien </w:t>
      </w:r>
      <w:r w:rsidRPr="0042115A">
        <w:rPr>
          <w:lang w:val="fr-CA"/>
        </w:rPr>
        <w:lastRenderedPageBreak/>
        <w:t xml:space="preserve">qu’il y aurait eu entre l’existence d’un conflit engendré par </w:t>
      </w:r>
      <w:proofErr w:type="spellStart"/>
      <w:r w:rsidRPr="0042115A">
        <w:rPr>
          <w:lang w:val="fr-CA"/>
        </w:rPr>
        <w:t>celles</w:t>
      </w:r>
      <w:r w:rsidRPr="0042115A">
        <w:rPr>
          <w:lang w:val="fr-CA"/>
        </w:rPr>
        <w:noBreakHyphen/>
        <w:t>ci</w:t>
      </w:r>
      <w:proofErr w:type="spellEnd"/>
      <w:r w:rsidRPr="0042115A">
        <w:rPr>
          <w:lang w:val="fr-CA"/>
        </w:rPr>
        <w:t xml:space="preserve"> et l’ensemble des autres renseignements pertinents, ni préciser en quoi ces renseignements aurai</w:t>
      </w:r>
      <w:r w:rsidR="00BE3C0B">
        <w:rPr>
          <w:lang w:val="fr-CA"/>
        </w:rPr>
        <w:t>en</w:t>
      </w:r>
      <w:r w:rsidRPr="0042115A">
        <w:rPr>
          <w:lang w:val="fr-CA"/>
        </w:rPr>
        <w:t>t consisté.</w:t>
      </w:r>
    </w:p>
    <w:p w:rsidR="0062110E" w:rsidRPr="00751B87" w:rsidRDefault="0062110E" w:rsidP="0062110E">
      <w:pPr>
        <w:pStyle w:val="ParaNoNdepar-AltN"/>
        <w:rPr>
          <w:rFonts w:cs="Times New Roman"/>
          <w:szCs w:val="24"/>
          <w:lang w:val="fr-CA"/>
        </w:rPr>
      </w:pPr>
      <w:r w:rsidRPr="00751B87">
        <w:rPr>
          <w:rFonts w:cs="Times New Roman"/>
          <w:szCs w:val="24"/>
          <w:lang w:val="fr-CA"/>
        </w:rPr>
        <w:t>Certains éléments de preuve — dont je reparlerai plus abondamment — établissant que les différences de rémunération ou les renseignements omis n’étaient pas importants compte tenu de ce qui avait été déjà communiqué aux investisseurs auraient pu permettre d’inférer le contraire.  Par exemple, les renseignements communiqués fournissaient de l’information au sujet de la conjoncture économique à l’époque où les unités ont été vendues, des avantages financiers offerts aux propriétaires du Hilton — tels les frais d’administration moins élevés qu’ils devaient payer au VAC —, et de l’administration commune des hôtels par le VAC et des facteurs de risque y afférents; ils comprenaient aussi des renseignements pertinents  sur le peu de moyens dont disposait le VAC pour favoriser ses propres intérêts.  La juge</w:t>
      </w:r>
      <w:r>
        <w:rPr>
          <w:rFonts w:cs="Times New Roman"/>
          <w:szCs w:val="24"/>
          <w:lang w:val="fr-CA"/>
        </w:rPr>
        <w:t xml:space="preserve"> de première instance </w:t>
      </w:r>
      <w:r w:rsidRPr="00751B87">
        <w:rPr>
          <w:rFonts w:cs="Times New Roman"/>
          <w:szCs w:val="24"/>
          <w:lang w:val="fr-CA"/>
        </w:rPr>
        <w:t>disposait en outre de la preuve du VAC quant au comportement d’investisseurs bien informés.  À mon avis, cette preuve établissait qu’il était possible de faire des inférences opposées en l’espèce.  De fait, elle rendait l’analyse de l’importance si complexe qu</w:t>
      </w:r>
      <w:r>
        <w:rPr>
          <w:rFonts w:cs="Times New Roman"/>
          <w:szCs w:val="24"/>
          <w:lang w:val="fr-CA"/>
        </w:rPr>
        <w:t>e c</w:t>
      </w:r>
      <w:r w:rsidRPr="00751B87">
        <w:rPr>
          <w:rFonts w:cs="Times New Roman"/>
          <w:szCs w:val="24"/>
          <w:lang w:val="fr-CA"/>
        </w:rPr>
        <w:t>elle</w:t>
      </w:r>
      <w:r>
        <w:rPr>
          <w:rFonts w:cs="Times New Roman"/>
          <w:szCs w:val="24"/>
          <w:lang w:val="fr-CA"/>
        </w:rPr>
        <w:t>-ci</w:t>
      </w:r>
      <w:r w:rsidRPr="00751B87">
        <w:rPr>
          <w:rFonts w:cs="Times New Roman"/>
          <w:szCs w:val="24"/>
          <w:lang w:val="fr-CA"/>
        </w:rPr>
        <w:t xml:space="preserve"> ne pouvait se résumer à une simple inférence fondée sur le bon sens.  Il fallait donc faire une analyse plus détaillée des éléments de preuve constituant </w:t>
      </w:r>
      <w:r w:rsidR="002E6E2E" w:rsidRPr="00751B87">
        <w:rPr>
          <w:rFonts w:cs="Times New Roman"/>
          <w:szCs w:val="24"/>
          <w:lang w:val="fr-CA"/>
        </w:rPr>
        <w:t>l’</w:t>
      </w:r>
      <w:r w:rsidRPr="00751B87">
        <w:rPr>
          <w:rFonts w:cs="Times New Roman"/>
          <w:szCs w:val="24"/>
          <w:lang w:val="fr-CA"/>
        </w:rPr>
        <w:t xml:space="preserve">« ensemble » des renseignements mis à la disposition des investisseurs pour déterminer ce que l’investisseur raisonnable aurait jugé important.  </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L’erreur que 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a commise en concluant que tout conflit d’intérêts était, en soi, important, a un lien avec sa seconde erreur, soit sa décision d’inverser le fardeau de la preuve.  Ayant jugé que </w:t>
      </w:r>
      <w:proofErr w:type="spellStart"/>
      <w:r w:rsidRPr="00751B87">
        <w:rPr>
          <w:rFonts w:cs="Times New Roman"/>
          <w:szCs w:val="24"/>
          <w:lang w:val="fr-CA"/>
        </w:rPr>
        <w:t>Sharbern</w:t>
      </w:r>
      <w:proofErr w:type="spellEnd"/>
      <w:r w:rsidRPr="00751B87">
        <w:rPr>
          <w:rFonts w:cs="Times New Roman"/>
          <w:szCs w:val="24"/>
          <w:lang w:val="fr-CA"/>
        </w:rPr>
        <w:t xml:space="preserve"> avait établi que le VAC était en conflit d’intérêts, elle a invité ce dernier à expliquer pourquoi ce conflit n’était pas important.  Elle a donc jugé d’emblée que le conflit d’intérêts était important, sans même exiger que </w:t>
      </w:r>
      <w:proofErr w:type="spellStart"/>
      <w:r w:rsidRPr="00751B87">
        <w:rPr>
          <w:rFonts w:cs="Times New Roman"/>
          <w:szCs w:val="24"/>
          <w:lang w:val="fr-CA"/>
        </w:rPr>
        <w:t>Sharbern</w:t>
      </w:r>
      <w:proofErr w:type="spellEnd"/>
      <w:r w:rsidRPr="00751B87">
        <w:rPr>
          <w:rFonts w:cs="Times New Roman"/>
          <w:szCs w:val="24"/>
          <w:lang w:val="fr-CA"/>
        </w:rPr>
        <w:t xml:space="preserve"> s’acquitte du fardeau qui lui incombait, en sa qualité de partie demanderesse, d’établir l’importance.</w:t>
      </w:r>
    </w:p>
    <w:p w:rsidR="0062110E" w:rsidRPr="00751B87" w:rsidRDefault="0062110E" w:rsidP="0062110E">
      <w:pPr>
        <w:pStyle w:val="ParaNoNdepar-AltN"/>
        <w:rPr>
          <w:rFonts w:cs="Times New Roman"/>
          <w:szCs w:val="24"/>
          <w:lang w:val="fr-CA"/>
        </w:rPr>
      </w:pPr>
      <w:r w:rsidRPr="00751B87">
        <w:rPr>
          <w:rFonts w:cs="Times New Roman"/>
          <w:szCs w:val="24"/>
          <w:lang w:val="fr-CA"/>
        </w:rPr>
        <w:t>Ayant conclu que tout conflit d’intérêts était, en soi, important, la juge</w:t>
      </w:r>
      <w:r>
        <w:rPr>
          <w:rFonts w:cs="Times New Roman"/>
          <w:szCs w:val="24"/>
          <w:lang w:val="fr-CA"/>
        </w:rPr>
        <w:t xml:space="preserve"> de première instance</w:t>
      </w:r>
      <w:r w:rsidRPr="00751B87">
        <w:rPr>
          <w:rFonts w:cs="Times New Roman"/>
          <w:szCs w:val="24"/>
          <w:lang w:val="fr-CA"/>
        </w:rPr>
        <w:t xml:space="preserve"> attendait du VAC qu’il prouve le contraire.  Elle a tenu compte de son argument selon lequel les différences de rémunération n’étaient pas importantes au vu de l’ensemble des renseignements relatifs à l’administration commune des hôtels contenus dans le document du Hilton.  À cet égard, elle a affirmé </w:t>
      </w:r>
      <w:r w:rsidR="002E6E2E" w:rsidRPr="00751B87">
        <w:rPr>
          <w:rFonts w:cs="Times New Roman"/>
          <w:szCs w:val="24"/>
          <w:lang w:val="fr-CA"/>
        </w:rPr>
        <w:t>[</w:t>
      </w:r>
      <w:r w:rsidR="002E6E2E" w:rsidRPr="00751B87">
        <w:rPr>
          <w:rFonts w:cs="Times New Roman"/>
          <w:smallCaps/>
          <w:szCs w:val="24"/>
          <w:lang w:val="fr-CA"/>
        </w:rPr>
        <w:t>traduction</w:t>
      </w:r>
      <w:r w:rsidR="002E6E2E" w:rsidRPr="00751B87">
        <w:rPr>
          <w:rFonts w:cs="Times New Roman"/>
          <w:szCs w:val="24"/>
          <w:lang w:val="fr-CA"/>
        </w:rPr>
        <w:t>] « </w:t>
      </w:r>
      <w:r w:rsidRPr="00751B87">
        <w:rPr>
          <w:rFonts w:cs="Times New Roman"/>
          <w:szCs w:val="24"/>
          <w:lang w:val="fr-CA"/>
        </w:rPr>
        <w:t xml:space="preserve">ne </w:t>
      </w:r>
      <w:r w:rsidR="002E6E2E">
        <w:rPr>
          <w:rFonts w:cs="Times New Roman"/>
          <w:szCs w:val="24"/>
          <w:lang w:val="fr-CA"/>
        </w:rPr>
        <w:t>[</w:t>
      </w:r>
      <w:r w:rsidRPr="00751B87">
        <w:rPr>
          <w:rFonts w:cs="Times New Roman"/>
          <w:szCs w:val="24"/>
          <w:lang w:val="fr-CA"/>
        </w:rPr>
        <w:t>pouvoir</w:t>
      </w:r>
      <w:r w:rsidR="002E6E2E">
        <w:rPr>
          <w:rFonts w:cs="Times New Roman"/>
          <w:szCs w:val="24"/>
          <w:lang w:val="fr-CA"/>
        </w:rPr>
        <w:t>]</w:t>
      </w:r>
      <w:r w:rsidRPr="00751B87">
        <w:rPr>
          <w:rFonts w:cs="Times New Roman"/>
          <w:szCs w:val="24"/>
          <w:lang w:val="fr-CA"/>
        </w:rPr>
        <w:t xml:space="preserve"> souscrire à la thèse du VAC concernant l’importance » (par. 320) et conclu que « le fait que [le VAC était] en conflit d’intérêts ou que cela soit même possible intéresserait toute personne raisonnable envisageant d’investir plus de 100 000 $ pour faire l’acquisition d’une unité » (par. 321).  La juge a bien fait remarquer qu</w:t>
      </w:r>
      <w:r w:rsidR="00BE3C0B">
        <w:rPr>
          <w:rFonts w:cs="Times New Roman"/>
          <w:szCs w:val="24"/>
          <w:lang w:val="fr-CA"/>
        </w:rPr>
        <w:t>’</w:t>
      </w:r>
      <w:r w:rsidRPr="00751B87">
        <w:rPr>
          <w:rFonts w:cs="Times New Roman"/>
          <w:szCs w:val="24"/>
          <w:lang w:val="fr-CA"/>
        </w:rPr>
        <w:t xml:space="preserve">« aucune preuve d’expert n’a été présentée relativement aux connaissances que possède l’investisseur raisonnable » (par. 317), mais elle n’a fait aucune analyse des autres éléments de preuve produits par </w:t>
      </w:r>
      <w:proofErr w:type="spellStart"/>
      <w:r w:rsidRPr="00751B87">
        <w:rPr>
          <w:rFonts w:cs="Times New Roman"/>
          <w:szCs w:val="24"/>
          <w:lang w:val="fr-CA"/>
        </w:rPr>
        <w:t>Sharbern</w:t>
      </w:r>
      <w:proofErr w:type="spellEnd"/>
      <w:r w:rsidRPr="00751B87">
        <w:rPr>
          <w:rFonts w:cs="Times New Roman"/>
          <w:szCs w:val="24"/>
          <w:lang w:val="fr-CA"/>
        </w:rPr>
        <w:t xml:space="preserve"> en vue d’établir l’importance et n’a pas non plus fait de remarques sur l’absence de tels éléments.  Comme je l’ai déjà dit, c’est à la partie qui allègue l’importance d’une déclaration, d’une omission ou d’un fait qu’incombe le fardeau de la preuve.  Or, </w:t>
      </w:r>
      <w:proofErr w:type="spellStart"/>
      <w:r w:rsidRPr="00751B87">
        <w:rPr>
          <w:rFonts w:cs="Times New Roman"/>
          <w:szCs w:val="24"/>
          <w:lang w:val="fr-CA"/>
        </w:rPr>
        <w:t>Sharbern</w:t>
      </w:r>
      <w:proofErr w:type="spellEnd"/>
      <w:r w:rsidRPr="00751B87">
        <w:rPr>
          <w:rFonts w:cs="Times New Roman"/>
          <w:szCs w:val="24"/>
          <w:lang w:val="fr-CA"/>
        </w:rPr>
        <w:t xml:space="preserve"> n’a </w:t>
      </w:r>
      <w:r w:rsidRPr="00751B87">
        <w:rPr>
          <w:rFonts w:cs="Times New Roman"/>
          <w:szCs w:val="24"/>
          <w:lang w:val="fr-CA"/>
        </w:rPr>
        <w:lastRenderedPageBreak/>
        <w:t xml:space="preserve">présenté aucun élément de preuve établissant l’importance que revêtent les différences de rémunération (mis à part le document du Hilton et les renseignements omis).  Elle n’a pas non plus produit de preuve traitant des renseignements omis dans le contexte de l’ensemble des renseignements communiqués de façon à en établir l’importance.  Rien dans l’analyse de la juge n’indique que </w:t>
      </w:r>
      <w:proofErr w:type="spellStart"/>
      <w:r w:rsidRPr="00751B87">
        <w:rPr>
          <w:rFonts w:cs="Times New Roman"/>
          <w:szCs w:val="24"/>
          <w:lang w:val="fr-CA"/>
        </w:rPr>
        <w:t>Sharbern</w:t>
      </w:r>
      <w:proofErr w:type="spellEnd"/>
      <w:r w:rsidRPr="00751B87">
        <w:rPr>
          <w:rFonts w:cs="Times New Roman"/>
          <w:szCs w:val="24"/>
          <w:lang w:val="fr-CA"/>
        </w:rPr>
        <w:t xml:space="preserve"> s’est acquittée de son fardeau.   </w:t>
      </w:r>
    </w:p>
    <w:p w:rsidR="0062110E" w:rsidRPr="00751B87" w:rsidRDefault="0062110E" w:rsidP="0062110E">
      <w:pPr>
        <w:pStyle w:val="ParaNoNdepar-AltN"/>
        <w:rPr>
          <w:rFonts w:cs="Times New Roman"/>
          <w:szCs w:val="24"/>
          <w:lang w:val="fr-CA"/>
        </w:rPr>
      </w:pPr>
      <w:r w:rsidRPr="00751B87">
        <w:rPr>
          <w:rFonts w:cs="Times New Roman"/>
          <w:szCs w:val="24"/>
          <w:lang w:val="fr-CA"/>
        </w:rPr>
        <w:t>La troisième erreur réside dans l’omission de considérer l’ensemble de la preuve sur l’importance.  Je ne suis pas sans savoir que « [l]</w:t>
      </w:r>
      <w:proofErr w:type="spellStart"/>
      <w:r w:rsidRPr="00751B87">
        <w:rPr>
          <w:rFonts w:cs="Times New Roman"/>
          <w:szCs w:val="24"/>
          <w:lang w:val="fr-CA"/>
        </w:rPr>
        <w:t>orsqu’une</w:t>
      </w:r>
      <w:proofErr w:type="spellEnd"/>
      <w:r w:rsidRPr="00751B87">
        <w:rPr>
          <w:rFonts w:cs="Times New Roman"/>
          <w:szCs w:val="24"/>
          <w:lang w:val="fr-CA"/>
        </w:rPr>
        <w:t xml:space="preserve"> cour d’appel examine une décision de première instance, dans tous les domaines, [. . .] il importe qu’elle ne perde pas de vue la portée restreinte du mécanisme de révision » relativement aux questions de fait (</w:t>
      </w:r>
      <w:r w:rsidRPr="00751B87">
        <w:rPr>
          <w:rFonts w:cs="Times New Roman"/>
          <w:i/>
          <w:szCs w:val="24"/>
          <w:lang w:val="fr-CA"/>
        </w:rPr>
        <w:t xml:space="preserve">Van de </w:t>
      </w:r>
      <w:proofErr w:type="spellStart"/>
      <w:r w:rsidRPr="00751B87">
        <w:rPr>
          <w:rFonts w:cs="Times New Roman"/>
          <w:i/>
          <w:szCs w:val="24"/>
          <w:lang w:val="fr-CA"/>
        </w:rPr>
        <w:t>Perre</w:t>
      </w:r>
      <w:proofErr w:type="spellEnd"/>
      <w:r w:rsidRPr="00751B87">
        <w:rPr>
          <w:rFonts w:cs="Times New Roman"/>
          <w:i/>
          <w:szCs w:val="24"/>
          <w:lang w:val="fr-CA"/>
        </w:rPr>
        <w:t xml:space="preserve"> c. Edwards</w:t>
      </w:r>
      <w:r w:rsidRPr="00751B87">
        <w:rPr>
          <w:rFonts w:cs="Times New Roman"/>
          <w:szCs w:val="24"/>
          <w:lang w:val="fr-CA"/>
        </w:rPr>
        <w:t>, 200</w:t>
      </w:r>
      <w:r w:rsidR="00BE3C0B">
        <w:rPr>
          <w:rFonts w:cs="Times New Roman"/>
          <w:szCs w:val="24"/>
          <w:lang w:val="fr-CA"/>
        </w:rPr>
        <w:t>1 CSC 60, [2001] 2 R.C.S. 1014</w:t>
      </w:r>
      <w:r w:rsidRPr="00751B87">
        <w:rPr>
          <w:rFonts w:cs="Times New Roman"/>
          <w:szCs w:val="24"/>
          <w:lang w:val="fr-CA"/>
        </w:rPr>
        <w:t>, par. 11;</w:t>
      </w:r>
      <w:r w:rsidR="002E6E2E">
        <w:rPr>
          <w:rFonts w:cs="Times New Roman"/>
          <w:szCs w:val="24"/>
          <w:lang w:val="fr-CA"/>
        </w:rPr>
        <w:t xml:space="preserve"> voir aussi</w:t>
      </w:r>
      <w:r w:rsidRPr="00751B87">
        <w:rPr>
          <w:rFonts w:cs="Times New Roman"/>
          <w:szCs w:val="24"/>
          <w:lang w:val="fr-CA"/>
        </w:rPr>
        <w:t xml:space="preserve"> </w:t>
      </w:r>
      <w:proofErr w:type="spellStart"/>
      <w:r w:rsidRPr="00751B87">
        <w:rPr>
          <w:rFonts w:cs="Times New Roman"/>
          <w:i/>
          <w:szCs w:val="24"/>
          <w:lang w:val="fr-CA"/>
        </w:rPr>
        <w:t>Housen</w:t>
      </w:r>
      <w:proofErr w:type="spellEnd"/>
      <w:r w:rsidRPr="00751B87">
        <w:rPr>
          <w:rFonts w:cs="Times New Roman"/>
          <w:i/>
          <w:szCs w:val="24"/>
          <w:lang w:val="fr-CA"/>
        </w:rPr>
        <w:t xml:space="preserve"> c. </w:t>
      </w:r>
      <w:proofErr w:type="spellStart"/>
      <w:r w:rsidRPr="00751B87">
        <w:rPr>
          <w:rFonts w:cs="Times New Roman"/>
          <w:i/>
          <w:szCs w:val="24"/>
          <w:lang w:val="fr-CA"/>
        </w:rPr>
        <w:t>Nikolaisen</w:t>
      </w:r>
      <w:proofErr w:type="spellEnd"/>
      <w:r w:rsidRPr="00751B87">
        <w:rPr>
          <w:rFonts w:cs="Times New Roman"/>
          <w:szCs w:val="24"/>
          <w:lang w:val="fr-CA"/>
        </w:rPr>
        <w:t>, 2002 CSC 33, [2002] 2 R.C.S. 235, par. 46).  Lorsqu’une question mixte de fait et de droit est en litige, il faut faire preuve de retenue à l’égard des conclusions du juge de première instance à moins qu’il ne soit possible d’en dégager une erreur de droit (</w:t>
      </w:r>
      <w:proofErr w:type="spellStart"/>
      <w:r w:rsidRPr="00751B87">
        <w:rPr>
          <w:rFonts w:cs="Times New Roman"/>
          <w:i/>
          <w:szCs w:val="24"/>
          <w:lang w:val="fr-CA"/>
        </w:rPr>
        <w:t>Housen</w:t>
      </w:r>
      <w:proofErr w:type="spellEnd"/>
      <w:r w:rsidRPr="00751B87">
        <w:rPr>
          <w:rFonts w:cs="Times New Roman"/>
          <w:szCs w:val="24"/>
          <w:lang w:val="fr-CA"/>
        </w:rPr>
        <w:t xml:space="preserve">, par. 37).  Dans le cadre de la portée restreinte de cet examen, la cour d’appel peut « revoir la preuve » produite au procès si elle </w:t>
      </w:r>
      <w:r w:rsidR="002E6E2E">
        <w:rPr>
          <w:rFonts w:cs="Times New Roman"/>
          <w:szCs w:val="24"/>
          <w:lang w:val="fr-CA"/>
        </w:rPr>
        <w:t xml:space="preserve">a </w:t>
      </w:r>
      <w:r w:rsidR="002E6E2E" w:rsidRPr="00751B87">
        <w:rPr>
          <w:rFonts w:cs="Times New Roman"/>
          <w:szCs w:val="24"/>
          <w:lang w:val="fr-CA"/>
        </w:rPr>
        <w:t>la</w:t>
      </w:r>
      <w:r w:rsidRPr="00751B87">
        <w:rPr>
          <w:rFonts w:cs="Times New Roman"/>
          <w:szCs w:val="24"/>
          <w:lang w:val="fr-CA"/>
        </w:rPr>
        <w:t xml:space="preserve"> « conviction rationnelle que le juge de première instance doit avoir oublié, négligé d’examiner ou mal interprété la preuve de telle manière que sa conclusion en a été affectée », ce qui l’a amené à commettre une erreur de droit (</w:t>
      </w:r>
      <w:r w:rsidRPr="00751B87">
        <w:rPr>
          <w:rFonts w:cs="Times New Roman"/>
          <w:i/>
          <w:szCs w:val="24"/>
          <w:lang w:val="fr-CA"/>
        </w:rPr>
        <w:t xml:space="preserve">Van de </w:t>
      </w:r>
      <w:proofErr w:type="spellStart"/>
      <w:r w:rsidRPr="00751B87">
        <w:rPr>
          <w:rFonts w:cs="Times New Roman"/>
          <w:i/>
          <w:szCs w:val="24"/>
          <w:lang w:val="fr-CA"/>
        </w:rPr>
        <w:t>Perre</w:t>
      </w:r>
      <w:proofErr w:type="spellEnd"/>
      <w:r w:rsidRPr="00751B87">
        <w:rPr>
          <w:rFonts w:cs="Times New Roman"/>
          <w:szCs w:val="24"/>
          <w:lang w:val="fr-CA"/>
        </w:rPr>
        <w:t>, par. 15).  Comme je l’expliquerai maintenant, 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a tantôt négligé d’examiner, tantôt mal interprété des éléments de preuve </w:t>
      </w:r>
      <w:r w:rsidRPr="00751B87">
        <w:rPr>
          <w:rFonts w:cs="Times New Roman"/>
          <w:szCs w:val="24"/>
          <w:lang w:val="fr-CA"/>
        </w:rPr>
        <w:lastRenderedPageBreak/>
        <w:t>pertinents quant à la question de l’importance de telle manière que ses conclusions en ont été affectées.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 La Loi n’oblige l’émetteur de valeurs mobilières à ne communiquer que certains renseignements bien précis.  En cas de contestation, le tribunal doit décider si l’information que l’émetteur a omis de communiquer était importante au vu de </w:t>
      </w:r>
      <w:r w:rsidR="002E6E2E" w:rsidRPr="00751B87">
        <w:rPr>
          <w:rFonts w:cs="Times New Roman"/>
          <w:szCs w:val="24"/>
          <w:lang w:val="fr-CA"/>
        </w:rPr>
        <w:t>l’</w:t>
      </w:r>
      <w:r w:rsidRPr="00751B87">
        <w:rPr>
          <w:rFonts w:cs="Times New Roman"/>
          <w:szCs w:val="24"/>
          <w:lang w:val="fr-CA"/>
        </w:rPr>
        <w:t>« ensemble » des renseignements mis à la disposition de l’investisseur.  Bien que la juge</w:t>
      </w:r>
      <w:r>
        <w:rPr>
          <w:rFonts w:cs="Times New Roman"/>
          <w:szCs w:val="24"/>
          <w:lang w:val="fr-CA"/>
        </w:rPr>
        <w:t> </w:t>
      </w:r>
      <w:proofErr w:type="spellStart"/>
      <w:r>
        <w:rPr>
          <w:rFonts w:cs="Times New Roman"/>
          <w:szCs w:val="24"/>
          <w:lang w:val="fr-CA"/>
        </w:rPr>
        <w:t>Wedge</w:t>
      </w:r>
      <w:proofErr w:type="spellEnd"/>
      <w:r>
        <w:rPr>
          <w:rFonts w:cs="Times New Roman"/>
          <w:szCs w:val="24"/>
          <w:lang w:val="fr-CA"/>
        </w:rPr>
        <w:t xml:space="preserve"> </w:t>
      </w:r>
      <w:r w:rsidRPr="00751B87">
        <w:rPr>
          <w:rFonts w:cs="Times New Roman"/>
          <w:szCs w:val="24"/>
          <w:lang w:val="fr-CA"/>
        </w:rPr>
        <w:t>ait considéré certains des éléments de preuve se rapportant à cette question (</w:t>
      </w:r>
      <w:proofErr w:type="spellStart"/>
      <w:r w:rsidRPr="00751B87">
        <w:rPr>
          <w:rFonts w:cs="Times New Roman"/>
          <w:szCs w:val="24"/>
          <w:lang w:val="fr-CA"/>
        </w:rPr>
        <w:t>c.</w:t>
      </w:r>
      <w:r w:rsidRPr="00751B87">
        <w:rPr>
          <w:rFonts w:cs="Times New Roman"/>
          <w:szCs w:val="24"/>
          <w:lang w:val="fr-CA"/>
        </w:rPr>
        <w:noBreakHyphen/>
        <w:t>à</w:t>
      </w:r>
      <w:r w:rsidRPr="00751B87">
        <w:rPr>
          <w:rFonts w:cs="Times New Roman"/>
          <w:szCs w:val="24"/>
          <w:lang w:val="fr-CA"/>
        </w:rPr>
        <w:noBreakHyphen/>
        <w:t>d</w:t>
      </w:r>
      <w:proofErr w:type="spellEnd"/>
      <w:r w:rsidRPr="00751B87">
        <w:rPr>
          <w:rFonts w:cs="Times New Roman"/>
          <w:szCs w:val="24"/>
          <w:lang w:val="fr-CA"/>
        </w:rPr>
        <w:t>. le libellé du document du Hilton et les circonstances générales entourant sa publication), elle a omis de tenir compte d’autres éléments de preuve pertinents.  Par exemple, elle a rejeté plusieurs des éléments présentés par le VAC au motif qu’ils n’étaient pas pertinents quant à l’existence d’un conflit d’intérêts.  Rien ne permet de croire qu’elle a pris en compte ces éléments de preuve, comme elle devait le faire, pour évaluer l’importance des différences de rémunération.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Comme je l’expliquerai en détail plus loin, pour décider si les différences de rémunération engendraient un conflit d’intérêts ou la possibilité d’un tel conflit, il ne faut </w:t>
      </w:r>
      <w:proofErr w:type="spellStart"/>
      <w:r w:rsidRPr="00751B87">
        <w:rPr>
          <w:rFonts w:cs="Times New Roman"/>
          <w:szCs w:val="24"/>
          <w:lang w:val="fr-CA"/>
        </w:rPr>
        <w:t>peut</w:t>
      </w:r>
      <w:r w:rsidRPr="00751B87">
        <w:rPr>
          <w:rFonts w:cs="Times New Roman"/>
          <w:szCs w:val="24"/>
          <w:lang w:val="fr-CA"/>
        </w:rPr>
        <w:noBreakHyphen/>
        <w:t>être</w:t>
      </w:r>
      <w:proofErr w:type="spellEnd"/>
      <w:r w:rsidRPr="00751B87">
        <w:rPr>
          <w:rFonts w:cs="Times New Roman"/>
          <w:szCs w:val="24"/>
          <w:lang w:val="fr-CA"/>
        </w:rPr>
        <w:t xml:space="preserve"> pas accorder trop de poids à la preuve touchant à certains facteurs, tels la conjoncture économique générale au moment de la vente des unités, les ententes financières offertes aux propriétaires du Hilton, les renseignements que le VAC avait fournis concernant l’administration commune des hôtels et les facteurs de risque, et le peu de moyens dont il disposait pour bénéficier de ces différences.  Par contre, comme je l’ai déjà mentionné, ces facteurs faisaient partie des renseignements </w:t>
      </w:r>
      <w:r w:rsidRPr="00751B87">
        <w:rPr>
          <w:rFonts w:cs="Times New Roman"/>
          <w:szCs w:val="24"/>
          <w:lang w:val="fr-CA"/>
        </w:rPr>
        <w:lastRenderedPageBreak/>
        <w:t>communiqués pertinents quant à savoir si l’investisseur raisonnable aurait jugé que les renseignements omis étaient importants dans sa prise de décision.</w:t>
      </w:r>
    </w:p>
    <w:p w:rsidR="0062110E" w:rsidRPr="00751B87" w:rsidRDefault="0062110E" w:rsidP="0062110E">
      <w:pPr>
        <w:pStyle w:val="TitleTitre-AltT"/>
        <w:keepNext/>
        <w:tabs>
          <w:tab w:val="clear" w:pos="360"/>
          <w:tab w:val="left" w:pos="1170"/>
          <w:tab w:val="left" w:pos="1620"/>
        </w:tabs>
        <w:spacing w:before="0"/>
        <w:ind w:left="0" w:firstLine="0"/>
        <w:rPr>
          <w:rFonts w:cs="Times New Roman"/>
          <w:i/>
          <w:szCs w:val="24"/>
          <w:lang w:val="fr-CA"/>
        </w:rPr>
      </w:pPr>
      <w:r w:rsidRPr="00751B87">
        <w:rPr>
          <w:rFonts w:cs="Times New Roman"/>
          <w:szCs w:val="24"/>
          <w:lang w:val="fr-CA"/>
        </w:rPr>
        <w:tab/>
      </w:r>
      <w:bookmarkStart w:id="17" w:name="_Toc308445316"/>
      <w:r w:rsidRPr="00751B87">
        <w:rPr>
          <w:rFonts w:cs="Times New Roman"/>
          <w:szCs w:val="24"/>
          <w:lang w:val="fr-CA"/>
        </w:rPr>
        <w:t>a)</w:t>
      </w:r>
      <w:r w:rsidRPr="00751B87">
        <w:rPr>
          <w:rFonts w:cs="Times New Roman"/>
          <w:szCs w:val="24"/>
          <w:lang w:val="fr-CA"/>
        </w:rPr>
        <w:tab/>
      </w:r>
      <w:r w:rsidRPr="00751B87">
        <w:rPr>
          <w:rFonts w:cs="Times New Roman"/>
          <w:i/>
          <w:szCs w:val="24"/>
          <w:lang w:val="fr-CA"/>
        </w:rPr>
        <w:t>Environnement économique</w:t>
      </w:r>
      <w:bookmarkEnd w:id="17"/>
    </w:p>
    <w:p w:rsidR="0062110E" w:rsidRPr="00751B87" w:rsidRDefault="0062110E" w:rsidP="0062110E">
      <w:pPr>
        <w:pStyle w:val="ParaNoNdepar-AltN"/>
        <w:rPr>
          <w:rFonts w:cs="Times New Roman"/>
          <w:szCs w:val="24"/>
          <w:lang w:val="fr-CA"/>
        </w:rPr>
      </w:pPr>
      <w:r w:rsidRPr="00751B87">
        <w:rPr>
          <w:rFonts w:cs="Times New Roman"/>
          <w:szCs w:val="24"/>
          <w:lang w:val="fr-CA"/>
        </w:rPr>
        <w:t>Selon le document du Hilton, [</w:t>
      </w:r>
      <w:r w:rsidRPr="00751B87">
        <w:rPr>
          <w:rFonts w:cs="Times New Roman"/>
          <w:smallCaps/>
          <w:szCs w:val="24"/>
          <w:lang w:val="fr-CA"/>
        </w:rPr>
        <w:t>traduction</w:t>
      </w:r>
      <w:r w:rsidRPr="00751B87">
        <w:rPr>
          <w:rFonts w:cs="Times New Roman"/>
          <w:szCs w:val="24"/>
          <w:lang w:val="fr-CA"/>
        </w:rPr>
        <w:t>] « </w:t>
      </w:r>
      <w:r w:rsidR="00E67B0B">
        <w:rPr>
          <w:rFonts w:cs="Times New Roman"/>
          <w:szCs w:val="24"/>
          <w:lang w:val="fr-CA"/>
        </w:rPr>
        <w:t>[</w:t>
      </w:r>
      <w:r w:rsidRPr="00751B87">
        <w:rPr>
          <w:rFonts w:cs="Times New Roman"/>
          <w:szCs w:val="24"/>
          <w:lang w:val="fr-CA"/>
        </w:rPr>
        <w:t>d</w:t>
      </w:r>
      <w:r w:rsidR="00E67B0B">
        <w:rPr>
          <w:rFonts w:cs="Times New Roman"/>
          <w:szCs w:val="24"/>
          <w:lang w:val="fr-CA"/>
        </w:rPr>
        <w:t>]</w:t>
      </w:r>
      <w:r w:rsidRPr="00751B87">
        <w:rPr>
          <w:rFonts w:cs="Times New Roman"/>
          <w:szCs w:val="24"/>
          <w:lang w:val="fr-CA"/>
        </w:rPr>
        <w:t xml:space="preserve">ans la mesure où, dans un marché donné, le nombre de chambres d’hôtel excède la demande, le taux d’occupation ainsi que les tarifs de location peuvent en souffrir.  D’autres hôtels ouvriront leurs portes dans les marchés de Richmond et de Vancouver » (par. 4.9b)).  Cependant, ce document mentionnait également que « de tous les marchés canadiens et américains, Richmond a été celui où le taux d’occupation a été le plus élevé en 1996 » et que l’année 1997 s’annonçait tout aussi bonne (point 5 du sommaire).  Ce renseignement selon lequel le taux d’occupation des hôtels était élevé à Richmond ainsi que les prévisions optimistes contenues dans le document étaient des considérations pertinentes que la juge </w:t>
      </w:r>
      <w:r>
        <w:rPr>
          <w:rFonts w:cs="Times New Roman"/>
          <w:szCs w:val="24"/>
          <w:lang w:val="fr-CA"/>
        </w:rPr>
        <w:t xml:space="preserve">de première instance </w:t>
      </w:r>
      <w:r w:rsidRPr="00751B87">
        <w:rPr>
          <w:rFonts w:cs="Times New Roman"/>
          <w:szCs w:val="24"/>
          <w:lang w:val="fr-CA"/>
        </w:rPr>
        <w:t xml:space="preserve">aurait dû prendre en compte.  Ces considérations donnaient à penser que le taux d’occupation du Hilton ne poserait pas problème et qu’il n’y avait pas lieu de se préoccuper de la concurrence du Marriott.  Ces renseignements au sujet de la conjoncture économique d’alors constituaient des renseignements communiqués qui faisaient partie de l’ensemble des renseignements mis à la disposition des investisseurs au regard desquels </w:t>
      </w:r>
      <w:proofErr w:type="spellStart"/>
      <w:r w:rsidRPr="00751B87">
        <w:rPr>
          <w:rFonts w:cs="Times New Roman"/>
          <w:szCs w:val="24"/>
          <w:lang w:val="fr-CA"/>
        </w:rPr>
        <w:t>ceux</w:t>
      </w:r>
      <w:r w:rsidRPr="00751B87">
        <w:rPr>
          <w:rFonts w:cs="Times New Roman"/>
          <w:szCs w:val="24"/>
          <w:lang w:val="fr-CA"/>
        </w:rPr>
        <w:noBreakHyphen/>
        <w:t>ci</w:t>
      </w:r>
      <w:proofErr w:type="spellEnd"/>
      <w:r w:rsidRPr="00751B87">
        <w:rPr>
          <w:rFonts w:cs="Times New Roman"/>
          <w:szCs w:val="24"/>
          <w:lang w:val="fr-CA"/>
        </w:rPr>
        <w:t xml:space="preserve"> auraient apprécié l’importance des </w:t>
      </w:r>
      <w:r>
        <w:rPr>
          <w:rFonts w:cs="Times New Roman"/>
          <w:szCs w:val="24"/>
          <w:lang w:val="fr-CA"/>
        </w:rPr>
        <w:t>renseignements omis</w:t>
      </w:r>
      <w:r w:rsidRPr="00751B87">
        <w:rPr>
          <w:rFonts w:cs="Times New Roman"/>
          <w:szCs w:val="24"/>
          <w:lang w:val="fr-CA"/>
        </w:rPr>
        <w:t>.</w:t>
      </w:r>
    </w:p>
    <w:p w:rsidR="0062110E" w:rsidRPr="00751B87" w:rsidRDefault="0062110E" w:rsidP="0062110E">
      <w:pPr>
        <w:pStyle w:val="TitleTitre-AltT"/>
        <w:keepNext/>
        <w:tabs>
          <w:tab w:val="clear" w:pos="360"/>
          <w:tab w:val="left" w:pos="1170"/>
          <w:tab w:val="left" w:pos="1620"/>
        </w:tabs>
        <w:spacing w:before="0"/>
        <w:ind w:left="0" w:firstLine="0"/>
        <w:rPr>
          <w:rFonts w:cs="Times New Roman"/>
          <w:i/>
          <w:szCs w:val="24"/>
          <w:lang w:val="fr-CA"/>
        </w:rPr>
      </w:pPr>
      <w:r w:rsidRPr="00751B87">
        <w:rPr>
          <w:rFonts w:cs="Times New Roman"/>
          <w:szCs w:val="24"/>
          <w:lang w:val="fr-CA"/>
        </w:rPr>
        <w:lastRenderedPageBreak/>
        <w:tab/>
      </w:r>
      <w:bookmarkStart w:id="18" w:name="_Toc308445317"/>
      <w:r w:rsidRPr="00751B87">
        <w:rPr>
          <w:rFonts w:cs="Times New Roman"/>
          <w:szCs w:val="24"/>
          <w:lang w:val="fr-CA"/>
        </w:rPr>
        <w:t>b)</w:t>
      </w:r>
      <w:r w:rsidRPr="00751B87">
        <w:rPr>
          <w:rFonts w:cs="Times New Roman"/>
          <w:szCs w:val="24"/>
          <w:lang w:val="fr-CA"/>
        </w:rPr>
        <w:tab/>
      </w:r>
      <w:r w:rsidRPr="00751B87">
        <w:rPr>
          <w:rFonts w:cs="Times New Roman"/>
          <w:i/>
          <w:szCs w:val="24"/>
          <w:lang w:val="fr-CA"/>
        </w:rPr>
        <w:t>Avantages financiers profitant aux propriétaires du Hilton</w:t>
      </w:r>
      <w:bookmarkEnd w:id="18"/>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L’investisseur raisonnable aurait apprécié les renseignements omis en ce qui concerne les ententes avec les propriétaires du Marriott en </w:t>
      </w:r>
      <w:proofErr w:type="gramStart"/>
      <w:r w:rsidRPr="00751B87">
        <w:rPr>
          <w:rFonts w:cs="Times New Roman"/>
          <w:szCs w:val="24"/>
          <w:lang w:val="fr-CA"/>
        </w:rPr>
        <w:t>les comparant</w:t>
      </w:r>
      <w:proofErr w:type="gramEnd"/>
      <w:r w:rsidRPr="00751B87">
        <w:rPr>
          <w:rFonts w:cs="Times New Roman"/>
          <w:szCs w:val="24"/>
          <w:lang w:val="fr-CA"/>
        </w:rPr>
        <w:t xml:space="preserve"> aux renseignements communiqués au sujet des ententes financières conclues avec ceux du Hilton.  Les propriétaires du Hilton ne bénéficiaient pas d’une garantie, mais les frais d’administration moins élevés qu’ils</w:t>
      </w:r>
      <w:r w:rsidR="00BE3C0B">
        <w:rPr>
          <w:rFonts w:cs="Times New Roman"/>
          <w:szCs w:val="24"/>
          <w:lang w:val="fr-CA"/>
        </w:rPr>
        <w:t xml:space="preserve"> étaient tenus de payer, soit 3 p. 100</w:t>
      </w:r>
      <w:r w:rsidRPr="00751B87">
        <w:rPr>
          <w:rFonts w:cs="Times New Roman"/>
          <w:szCs w:val="24"/>
          <w:lang w:val="fr-CA"/>
        </w:rPr>
        <w:t xml:space="preserve"> au lieu de 5</w:t>
      </w:r>
      <w:r w:rsidR="00BE3C0B">
        <w:rPr>
          <w:rFonts w:cs="Times New Roman"/>
          <w:szCs w:val="24"/>
          <w:lang w:val="fr-CA"/>
        </w:rPr>
        <w:t xml:space="preserve"> p. 100</w:t>
      </w:r>
      <w:r w:rsidRPr="00751B87">
        <w:rPr>
          <w:rFonts w:cs="Times New Roman"/>
          <w:szCs w:val="24"/>
          <w:lang w:val="fr-CA"/>
        </w:rPr>
        <w:t xml:space="preserve">, et les mesures incitatives supplémentaires qui leur avaient été accordées devaient faire augmenter le taux de rendement de leur investissement.  Or, l’avantage que cela leur procurait aurait pu permettre d’inférer que certaines ententes financières visaient à contrebalancer les renseignements omis en ce qui concerne les ententes conclues avec les propriétaires du Marriott, et ce même si elles laissaient subsister l’avantage que le VAC aurait eu à favoriser le Marriott. </w:t>
      </w:r>
    </w:p>
    <w:p w:rsidR="0062110E" w:rsidRPr="00751B87" w:rsidRDefault="0062110E" w:rsidP="0062110E">
      <w:pPr>
        <w:pStyle w:val="TitleTitre-AltT"/>
        <w:keepNext/>
        <w:tabs>
          <w:tab w:val="clear" w:pos="360"/>
        </w:tabs>
        <w:spacing w:before="0"/>
        <w:ind w:left="1612" w:hanging="446"/>
        <w:rPr>
          <w:rFonts w:cs="Times New Roman"/>
          <w:szCs w:val="24"/>
          <w:lang w:val="fr-CA"/>
        </w:rPr>
      </w:pPr>
      <w:bookmarkStart w:id="19" w:name="_Toc308445318"/>
      <w:r w:rsidRPr="00751B87">
        <w:rPr>
          <w:rFonts w:cs="Times New Roman"/>
          <w:szCs w:val="24"/>
          <w:lang w:val="fr-CA"/>
        </w:rPr>
        <w:t>c)</w:t>
      </w:r>
      <w:r w:rsidRPr="00751B87">
        <w:rPr>
          <w:rFonts w:cs="Times New Roman"/>
          <w:szCs w:val="24"/>
          <w:lang w:val="fr-CA"/>
        </w:rPr>
        <w:tab/>
      </w:r>
      <w:r w:rsidRPr="00751B87">
        <w:rPr>
          <w:rFonts w:cs="Times New Roman"/>
          <w:i/>
          <w:szCs w:val="24"/>
          <w:lang w:val="fr-CA"/>
        </w:rPr>
        <w:t>Communication de renseignements : propriétaire unique et/ou administration commune et facteurs de risque</w:t>
      </w:r>
      <w:bookmarkEnd w:id="19"/>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Selon le document du Hilton, le promoteur de cet hôtel était également promoteur du Marriott et possédait en outre le Richmond Inn.  Au chapitre des facteurs de risque, il mentionnait que les ententes conclues avec le Marriott </w:t>
      </w:r>
      <w:r w:rsidRPr="00751B87">
        <w:rPr>
          <w:rFonts w:cs="Times New Roman"/>
          <w:smallCaps/>
          <w:szCs w:val="24"/>
          <w:lang w:val="fr-CA"/>
        </w:rPr>
        <w:t>[traduction]</w:t>
      </w:r>
      <w:r w:rsidRPr="00751B87">
        <w:rPr>
          <w:rFonts w:cs="Times New Roman"/>
          <w:szCs w:val="24"/>
          <w:lang w:val="fr-CA"/>
        </w:rPr>
        <w:t xml:space="preserve"> « imposent au promoteur des responsabilités et des obligations susceptibles d’avoir une incidence sur sa capacité d’exécuter les obligations prévues dans les ententes » conclues avec les propriétaires d’unités du Hilton (par. 4.9i)).  Il y était également prévu que l’administrateur des biens du Hilton et celui </w:t>
      </w:r>
      <w:r>
        <w:rPr>
          <w:rFonts w:cs="Times New Roman"/>
          <w:szCs w:val="24"/>
          <w:lang w:val="fr-CA"/>
        </w:rPr>
        <w:t xml:space="preserve">des biens </w:t>
      </w:r>
      <w:r w:rsidRPr="00751B87">
        <w:rPr>
          <w:rFonts w:cs="Times New Roman"/>
          <w:szCs w:val="24"/>
          <w:lang w:val="fr-CA"/>
        </w:rPr>
        <w:t xml:space="preserve">du </w:t>
      </w:r>
      <w:r w:rsidRPr="00751B87">
        <w:rPr>
          <w:rFonts w:cs="Times New Roman"/>
          <w:szCs w:val="24"/>
          <w:lang w:val="fr-CA"/>
        </w:rPr>
        <w:lastRenderedPageBreak/>
        <w:t>Marriott serait le même, et que la gestion quotidienne du Hilton serait confiée par contrat à l’administrateur du Richmond Inn.  Toujours selon ce même document, « [l]e succès de l’hôtel dépendra dans une large mesure de la capacité d’administration du promoteur » et « le succès ou l’échec du pool locatif dépendra en partie de la compétence de l’administrateur des biens » (par. 4.9e) (</w:t>
      </w:r>
      <w:r w:rsidR="00BE3C0B">
        <w:rPr>
          <w:rFonts w:cs="Times New Roman"/>
          <w:szCs w:val="24"/>
          <w:lang w:val="fr-CA"/>
        </w:rPr>
        <w:t>caractère</w:t>
      </w:r>
      <w:r w:rsidR="00165F57">
        <w:rPr>
          <w:rFonts w:cs="Times New Roman"/>
          <w:szCs w:val="24"/>
          <w:lang w:val="fr-CA"/>
        </w:rPr>
        <w:t>s</w:t>
      </w:r>
      <w:r w:rsidR="00BE3C0B">
        <w:rPr>
          <w:rFonts w:cs="Times New Roman"/>
          <w:szCs w:val="24"/>
          <w:lang w:val="fr-CA"/>
        </w:rPr>
        <w:t xml:space="preserve"> gras</w:t>
      </w:r>
      <w:r w:rsidRPr="00751B87">
        <w:rPr>
          <w:rFonts w:cs="Times New Roman"/>
          <w:szCs w:val="24"/>
          <w:lang w:val="fr-CA"/>
        </w:rPr>
        <w:t xml:space="preserve"> omis)).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Bien qu’ayant rejeté la prétention du VAC qu’il avait satisfait à son obligation d’informer les investisseurs de la possibilité qu’il soit en conflit d’intérêts, la juge </w:t>
      </w:r>
      <w:r>
        <w:rPr>
          <w:rFonts w:cs="Times New Roman"/>
          <w:szCs w:val="24"/>
          <w:lang w:val="fr-CA"/>
        </w:rPr>
        <w:t xml:space="preserve">de première instance </w:t>
      </w:r>
      <w:r w:rsidRPr="00751B87">
        <w:rPr>
          <w:rFonts w:cs="Times New Roman"/>
          <w:szCs w:val="24"/>
          <w:lang w:val="fr-CA"/>
        </w:rPr>
        <w:t xml:space="preserve">a souligné dans ses motifs que parce que les deux hôtels se faisaient directement concurrence, </w:t>
      </w:r>
      <w:r w:rsidRPr="00751B87">
        <w:rPr>
          <w:rFonts w:cs="Times New Roman"/>
          <w:smallCaps/>
          <w:szCs w:val="24"/>
          <w:lang w:val="fr-CA"/>
        </w:rPr>
        <w:t>[traduction]</w:t>
      </w:r>
      <w:r w:rsidRPr="00751B87">
        <w:rPr>
          <w:rFonts w:cs="Times New Roman"/>
          <w:szCs w:val="24"/>
          <w:lang w:val="fr-CA"/>
        </w:rPr>
        <w:t xml:space="preserve"> « les intérêts de leurs propriétaires respectifs n’étaient pas convergents » (par. 299).  </w:t>
      </w:r>
      <w:proofErr w:type="gramStart"/>
      <w:r w:rsidRPr="00751B87">
        <w:rPr>
          <w:rFonts w:cs="Times New Roman"/>
          <w:szCs w:val="24"/>
          <w:lang w:val="fr-CA"/>
        </w:rPr>
        <w:t>Elle a</w:t>
      </w:r>
      <w:proofErr w:type="gramEnd"/>
      <w:r w:rsidRPr="00751B87">
        <w:rPr>
          <w:rFonts w:cs="Times New Roman"/>
          <w:szCs w:val="24"/>
          <w:lang w:val="fr-CA"/>
        </w:rPr>
        <w:t xml:space="preserve"> néanmoins reconnu que les « propriétaires du Hilton avaient consenti à ce que le VAC agisse pour le compte d’autres mandants qui leur faisaient concurrence au sein du même marché » (par. 425).  Il est vrai que la juge</w:t>
      </w:r>
      <w:r>
        <w:rPr>
          <w:rFonts w:cs="Times New Roman"/>
          <w:szCs w:val="24"/>
          <w:lang w:val="fr-CA"/>
        </w:rPr>
        <w:t xml:space="preserve"> de première instance</w:t>
      </w:r>
      <w:r w:rsidRPr="00751B87">
        <w:rPr>
          <w:rFonts w:cs="Times New Roman"/>
          <w:szCs w:val="24"/>
          <w:lang w:val="fr-CA"/>
        </w:rPr>
        <w:t xml:space="preserve"> a examiné cette preuve dans d’autres contextes, mais</w:t>
      </w:r>
      <w:r>
        <w:rPr>
          <w:rFonts w:cs="Times New Roman"/>
          <w:szCs w:val="24"/>
          <w:lang w:val="fr-CA"/>
        </w:rPr>
        <w:t xml:space="preserve"> </w:t>
      </w:r>
      <w:r w:rsidRPr="00751B87">
        <w:rPr>
          <w:rFonts w:cs="Times New Roman"/>
          <w:szCs w:val="24"/>
          <w:lang w:val="fr-CA"/>
        </w:rPr>
        <w:t>j’estime, en toute déférence, qu’elle ne s’est pas demandé s’il existait une probabilité marquée que les différences de rémunération — et la possibilité qu’elles engendrent un conflit d’intérêts — auraient amené l’investisseur raisonnable se proposant d’acquérir une unité du Hilton à considérer qu’elles modifiaient de manière significative les renseignements qu’il possédait déjà sur les facteurs de risque.</w:t>
      </w:r>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lang w:val="fr-CA"/>
        </w:rPr>
      </w:pPr>
      <w:r w:rsidRPr="00751B87">
        <w:rPr>
          <w:rFonts w:cs="Times New Roman"/>
          <w:i/>
          <w:szCs w:val="24"/>
          <w:lang w:val="fr-CA"/>
        </w:rPr>
        <w:lastRenderedPageBreak/>
        <w:tab/>
      </w:r>
      <w:bookmarkStart w:id="20" w:name="_Toc308445319"/>
      <w:r w:rsidRPr="002E7FE1">
        <w:rPr>
          <w:rFonts w:cs="Times New Roman"/>
          <w:szCs w:val="24"/>
          <w:lang w:val="fr-CA"/>
        </w:rPr>
        <w:t>d)</w:t>
      </w:r>
      <w:r w:rsidRPr="00751B87">
        <w:rPr>
          <w:rFonts w:cs="Times New Roman"/>
          <w:i/>
          <w:szCs w:val="24"/>
          <w:lang w:val="fr-CA"/>
        </w:rPr>
        <w:tab/>
        <w:t>Impossibilité de favoriser le Marriott et absence d’intérêt à le faire</w:t>
      </w:r>
      <w:bookmarkEnd w:id="20"/>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Au procès, le VAC a tenté de démontrer qu’il n’avait aucun intérêt à favoriser le Marriott et que, partant, il ne l’avait pas fait.  À ses dires, sa preuve établissait que le conflit d’intérêts ne s’était pas matérialisé et qu’il n’avait ni les moyens, ni une raison quelconque de favoriser le Marriott au détriment du Hilton.  Il a ajouté que sa preuve </w:t>
      </w:r>
      <w:r w:rsidRPr="00751B87">
        <w:rPr>
          <w:rFonts w:cs="Times New Roman"/>
          <w:smallCaps/>
          <w:szCs w:val="24"/>
          <w:lang w:val="fr-CA"/>
        </w:rPr>
        <w:t>[traduction]</w:t>
      </w:r>
      <w:r w:rsidRPr="00751B87">
        <w:rPr>
          <w:rFonts w:cs="Times New Roman"/>
          <w:szCs w:val="24"/>
          <w:lang w:val="fr-CA"/>
        </w:rPr>
        <w:t xml:space="preserve"> « </w:t>
      </w:r>
      <w:proofErr w:type="spellStart"/>
      <w:proofErr w:type="gramStart"/>
      <w:r w:rsidRPr="00751B87">
        <w:rPr>
          <w:rFonts w:cs="Times New Roman"/>
          <w:szCs w:val="24"/>
          <w:lang w:val="fr-CA"/>
        </w:rPr>
        <w:t>étay</w:t>
      </w:r>
      <w:proofErr w:type="spellEnd"/>
      <w:r w:rsidRPr="00751B87">
        <w:rPr>
          <w:rFonts w:cs="Times New Roman"/>
          <w:szCs w:val="24"/>
          <w:lang w:val="fr-CA"/>
        </w:rPr>
        <w:t>[</w:t>
      </w:r>
      <w:proofErr w:type="gramEnd"/>
      <w:r w:rsidRPr="00751B87">
        <w:rPr>
          <w:rFonts w:cs="Times New Roman"/>
          <w:szCs w:val="24"/>
          <w:lang w:val="fr-CA"/>
        </w:rPr>
        <w:t xml:space="preserve">ait] [sa] conclusion que le conflit d’intérêts susceptible de survenir n’était pas important au moment de la communication des renseignements » (m.i., par. 91).  La juge </w:t>
      </w:r>
      <w:r>
        <w:rPr>
          <w:rFonts w:cs="Times New Roman"/>
          <w:szCs w:val="24"/>
          <w:lang w:val="fr-CA"/>
        </w:rPr>
        <w:t xml:space="preserve">de première instance </w:t>
      </w:r>
      <w:r w:rsidRPr="00751B87">
        <w:rPr>
          <w:rFonts w:cs="Times New Roman"/>
          <w:szCs w:val="24"/>
          <w:lang w:val="fr-CA"/>
        </w:rPr>
        <w:t xml:space="preserve">a tenu compte de cette preuve au stade de son analyse portant sur le conflit d’intérêts, au terme de laquelle elle a conclu que la preuve ne jetait </w:t>
      </w:r>
      <w:r w:rsidRPr="00751B87">
        <w:rPr>
          <w:rFonts w:cs="Times New Roman"/>
          <w:smallCaps/>
          <w:szCs w:val="24"/>
          <w:lang w:val="fr-CA"/>
        </w:rPr>
        <w:t>[traduction]</w:t>
      </w:r>
      <w:r w:rsidRPr="00751B87">
        <w:rPr>
          <w:rFonts w:cs="Times New Roman"/>
          <w:szCs w:val="24"/>
          <w:lang w:val="fr-CA"/>
        </w:rPr>
        <w:t xml:space="preserve"> « aucune lumière sur la question de savoir s’il </w:t>
      </w:r>
      <w:proofErr w:type="spellStart"/>
      <w:r w:rsidRPr="00751B87">
        <w:rPr>
          <w:rFonts w:cs="Times New Roman"/>
          <w:szCs w:val="24"/>
          <w:lang w:val="fr-CA"/>
        </w:rPr>
        <w:t>exist</w:t>
      </w:r>
      <w:proofErr w:type="spellEnd"/>
      <w:r w:rsidRPr="00751B87">
        <w:rPr>
          <w:rFonts w:cs="Times New Roman"/>
          <w:szCs w:val="24"/>
          <w:lang w:val="fr-CA"/>
        </w:rPr>
        <w:t>[ait] ou non un conflit », ajoutant qu’elle « se rapport[ait]  plutôt à la seule question de savoir si le VAC aurait tiré avantage des occasions qui se présentaient à lui en raison du conflit » (par. 306).  Elle ne semble pas s’être demandé si cette preuve était pertinente quant à la question de l’importance.</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Il ressort de la preuve produite par le VAC en vue d’établir qu’il disposait de peu de moyens pour favoriser le Marriott au détriment du Hilton et que, de toute façon, il avait peu intérêt à le faire, que sa capacité de </w:t>
      </w:r>
      <w:r w:rsidR="00E67B0B">
        <w:rPr>
          <w:rFonts w:cs="Times New Roman"/>
          <w:szCs w:val="24"/>
          <w:lang w:val="fr-CA"/>
        </w:rPr>
        <w:t>faire la promotion des hôtels d’une manière qui en favorise une</w:t>
      </w:r>
      <w:r w:rsidRPr="00751B87">
        <w:rPr>
          <w:rFonts w:cs="Times New Roman"/>
          <w:szCs w:val="24"/>
          <w:lang w:val="fr-CA"/>
        </w:rPr>
        <w:t xml:space="preserve"> au détriment de l’autre était limitée.  La preuve soumise au procès et dont la juge </w:t>
      </w:r>
      <w:r>
        <w:rPr>
          <w:rFonts w:cs="Times New Roman"/>
          <w:szCs w:val="24"/>
          <w:lang w:val="fr-CA"/>
        </w:rPr>
        <w:t xml:space="preserve">de première instance </w:t>
      </w:r>
      <w:r w:rsidRPr="00751B87">
        <w:rPr>
          <w:rFonts w:cs="Times New Roman"/>
          <w:szCs w:val="24"/>
          <w:lang w:val="fr-CA"/>
        </w:rPr>
        <w:t xml:space="preserve">a traité dans son analyse de l’obligation </w:t>
      </w:r>
      <w:r>
        <w:rPr>
          <w:rFonts w:cs="Times New Roman"/>
          <w:szCs w:val="24"/>
          <w:lang w:val="fr-CA"/>
        </w:rPr>
        <w:t>fiduciaire</w:t>
      </w:r>
      <w:r w:rsidRPr="00751B87">
        <w:rPr>
          <w:rFonts w:cs="Times New Roman"/>
          <w:szCs w:val="24"/>
          <w:lang w:val="fr-CA"/>
        </w:rPr>
        <w:t xml:space="preserve"> donnait à penser qu’environ la moitié de l’affluence dans les hôtels était le fruit des efforts de promotion déployés par les chaînes Hilton et </w:t>
      </w:r>
      <w:r w:rsidRPr="00751B87">
        <w:rPr>
          <w:rFonts w:cs="Times New Roman"/>
          <w:szCs w:val="24"/>
          <w:lang w:val="fr-CA"/>
        </w:rPr>
        <w:lastRenderedPageBreak/>
        <w:t>Marriott sur le</w:t>
      </w:r>
      <w:r w:rsidR="00A919D3">
        <w:rPr>
          <w:rFonts w:cs="Times New Roman"/>
          <w:szCs w:val="24"/>
          <w:lang w:val="fr-CA"/>
        </w:rPr>
        <w:t>s</w:t>
      </w:r>
      <w:r w:rsidRPr="00751B87">
        <w:rPr>
          <w:rFonts w:cs="Times New Roman"/>
          <w:szCs w:val="24"/>
          <w:lang w:val="fr-CA"/>
        </w:rPr>
        <w:t xml:space="preserve"> plan</w:t>
      </w:r>
      <w:r w:rsidR="00A919D3">
        <w:rPr>
          <w:rFonts w:cs="Times New Roman"/>
          <w:szCs w:val="24"/>
          <w:lang w:val="fr-CA"/>
        </w:rPr>
        <w:t>s</w:t>
      </w:r>
      <w:r w:rsidRPr="00751B87">
        <w:rPr>
          <w:rFonts w:cs="Times New Roman"/>
          <w:szCs w:val="24"/>
          <w:lang w:val="fr-CA"/>
        </w:rPr>
        <w:t xml:space="preserve"> national et international.  Il faudrait éviter de tenir compte de ce pourcentage, qui ne faisait pas partie des renseignements communiqués, mais le document du Hilton informait tout de même les investisseurs qu’ils pouvaient s’attendre à </w:t>
      </w:r>
      <w:r w:rsidRPr="00751B87">
        <w:rPr>
          <w:rFonts w:cs="Times New Roman"/>
          <w:smallCaps/>
          <w:szCs w:val="24"/>
          <w:lang w:val="fr-CA"/>
        </w:rPr>
        <w:t>[traduction]</w:t>
      </w:r>
      <w:r w:rsidRPr="00751B87">
        <w:rPr>
          <w:rFonts w:cs="Times New Roman"/>
          <w:szCs w:val="24"/>
          <w:lang w:val="fr-CA"/>
        </w:rPr>
        <w:t xml:space="preserve"> « tirer avantage de [la] force du système de réservation mondial de la chaîne Hilton et du fait qu’elle est connue partout dans le monde » (point 3 du sommaire).</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L’entente aux termes de laquelle le VAC administrait le Hilton faisait partie des renseignements communiqués.  Elle prévoyait que le VAC devait administrer cet hôtel de façon raisonnable sur le plan commercial et lui imposait un certain nombre d’obligations de déployer des efforts raisonnables.  Ainsi, même si les renseignements omis avaient été communiqués aux propriétaires du Hilton, cette entente aurait dissipé leurs inquiétudes quant à la possibilité que le VAC favorise le Marriott.  En effet, le VAC ne pouvait favoriser un hôtel au détriment de l’autre sans aller à l’encontre de l’exigence d’administrer l’hôtel de façon raisonnable sur le plan commercial, qui, en bout de ligne, constituait une obligation contractuelle l’empêchant d’agir ainsi.  </w:t>
      </w:r>
    </w:p>
    <w:p w:rsidR="0062110E" w:rsidRPr="00751B87" w:rsidRDefault="0062110E" w:rsidP="0062110E">
      <w:pPr>
        <w:pStyle w:val="TitleTitre-AltT"/>
        <w:keepNext/>
        <w:tabs>
          <w:tab w:val="clear" w:pos="360"/>
        </w:tabs>
        <w:spacing w:before="0"/>
        <w:ind w:left="1612" w:hanging="446"/>
        <w:rPr>
          <w:rFonts w:cs="Times New Roman"/>
          <w:i/>
          <w:szCs w:val="24"/>
          <w:lang w:val="fr-CA"/>
        </w:rPr>
      </w:pPr>
      <w:bookmarkStart w:id="21" w:name="_Toc308445320"/>
      <w:r w:rsidRPr="00751B87">
        <w:rPr>
          <w:rFonts w:cs="Times New Roman"/>
          <w:szCs w:val="24"/>
          <w:lang w:val="fr-CA"/>
        </w:rPr>
        <w:t>e)</w:t>
      </w:r>
      <w:r w:rsidRPr="00751B87">
        <w:rPr>
          <w:rFonts w:cs="Times New Roman"/>
          <w:i/>
          <w:szCs w:val="24"/>
          <w:lang w:val="fr-CA"/>
        </w:rPr>
        <w:tab/>
        <w:t>Preuve relative au comportement de l’investisseur pleinement informé</w:t>
      </w:r>
      <w:bookmarkEnd w:id="21"/>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Un autre élément de preuve que la juge </w:t>
      </w:r>
      <w:r>
        <w:rPr>
          <w:rFonts w:cs="Times New Roman"/>
          <w:szCs w:val="24"/>
          <w:lang w:val="fr-CA"/>
        </w:rPr>
        <w:t xml:space="preserve">de première instance </w:t>
      </w:r>
      <w:r w:rsidRPr="00751B87">
        <w:rPr>
          <w:rFonts w:cs="Times New Roman"/>
          <w:szCs w:val="24"/>
          <w:lang w:val="fr-CA"/>
        </w:rPr>
        <w:t xml:space="preserve">aurait dû prendre en compte dans son analyse de la question de l’importance est le fait que </w:t>
      </w:r>
      <w:proofErr w:type="spellStart"/>
      <w:r w:rsidRPr="00751B87">
        <w:rPr>
          <w:rFonts w:cs="Times New Roman"/>
          <w:szCs w:val="24"/>
          <w:lang w:val="fr-CA"/>
        </w:rPr>
        <w:t>Tevan</w:t>
      </w:r>
      <w:proofErr w:type="spellEnd"/>
      <w:r w:rsidRPr="00751B87">
        <w:rPr>
          <w:rFonts w:cs="Times New Roman"/>
          <w:szCs w:val="24"/>
          <w:lang w:val="fr-CA"/>
        </w:rPr>
        <w:t xml:space="preserve"> </w:t>
      </w:r>
      <w:proofErr w:type="spellStart"/>
      <w:r w:rsidRPr="00751B87">
        <w:rPr>
          <w:rFonts w:cs="Times New Roman"/>
          <w:szCs w:val="24"/>
          <w:lang w:val="fr-CA"/>
        </w:rPr>
        <w:t>Trading</w:t>
      </w:r>
      <w:proofErr w:type="spellEnd"/>
      <w:r w:rsidRPr="00751B87">
        <w:rPr>
          <w:rFonts w:cs="Times New Roman"/>
          <w:szCs w:val="24"/>
          <w:lang w:val="fr-CA"/>
        </w:rPr>
        <w:t xml:space="preserve"> Ltd. (« </w:t>
      </w:r>
      <w:proofErr w:type="spellStart"/>
      <w:r w:rsidRPr="00751B87">
        <w:rPr>
          <w:rFonts w:cs="Times New Roman"/>
          <w:szCs w:val="24"/>
          <w:lang w:val="fr-CA"/>
        </w:rPr>
        <w:t>Tevan</w:t>
      </w:r>
      <w:proofErr w:type="spellEnd"/>
      <w:r w:rsidRPr="00751B87">
        <w:rPr>
          <w:rFonts w:cs="Times New Roman"/>
          <w:szCs w:val="24"/>
          <w:lang w:val="fr-CA"/>
        </w:rPr>
        <w:t xml:space="preserve"> ») (l’investisseur le plus important dans les unités du </w:t>
      </w:r>
      <w:r w:rsidRPr="00751B87">
        <w:rPr>
          <w:rFonts w:cs="Times New Roman"/>
          <w:szCs w:val="24"/>
          <w:lang w:val="fr-CA"/>
        </w:rPr>
        <w:lastRenderedPageBreak/>
        <w:t xml:space="preserve">Hilton autre que la société mère du VAC) possédait des unités à la fois au Hilton et au Marriott.  </w:t>
      </w:r>
      <w:proofErr w:type="spellStart"/>
      <w:r w:rsidRPr="00751B87">
        <w:rPr>
          <w:rFonts w:cs="Times New Roman"/>
          <w:szCs w:val="24"/>
          <w:lang w:val="fr-CA"/>
        </w:rPr>
        <w:t>Tevan</w:t>
      </w:r>
      <w:proofErr w:type="spellEnd"/>
      <w:r w:rsidRPr="00751B87">
        <w:rPr>
          <w:rFonts w:cs="Times New Roman"/>
          <w:szCs w:val="24"/>
          <w:lang w:val="fr-CA"/>
        </w:rPr>
        <w:t xml:space="preserve"> a acheté six unités du Hilton le 17 mars 1998, puis, le 23 mars de la même année, d’autres unités dans ce même hôtel ainsi que quatre unités du Marriott.  Elle avait pu acheter ces quatre unités parce que certains acquéreurs d’unités de cet hôtel avaient annulé leur achat.  </w:t>
      </w:r>
      <w:proofErr w:type="spellStart"/>
      <w:r w:rsidRPr="00751B87">
        <w:rPr>
          <w:rFonts w:cs="Times New Roman"/>
          <w:szCs w:val="24"/>
          <w:lang w:val="fr-CA"/>
        </w:rPr>
        <w:t>Tevan</w:t>
      </w:r>
      <w:proofErr w:type="spellEnd"/>
      <w:r w:rsidRPr="00751B87">
        <w:rPr>
          <w:rFonts w:cs="Times New Roman"/>
          <w:szCs w:val="24"/>
          <w:lang w:val="fr-CA"/>
        </w:rPr>
        <w:t xml:space="preserve"> devait connaître les différences de rémunération lorsqu’elle a investi dans le Hilton le 23 mars 1998, mais cela ne l’a pas empêchée d’investir dans cet hôtel ainsi que dans le Marriott.  Il est vrai que </w:t>
      </w:r>
      <w:proofErr w:type="spellStart"/>
      <w:r w:rsidRPr="00751B87">
        <w:rPr>
          <w:rFonts w:cs="Times New Roman"/>
          <w:szCs w:val="24"/>
          <w:lang w:val="fr-CA"/>
        </w:rPr>
        <w:t>Tevan</w:t>
      </w:r>
      <w:proofErr w:type="spellEnd"/>
      <w:r w:rsidRPr="00751B87">
        <w:rPr>
          <w:rFonts w:cs="Times New Roman"/>
          <w:szCs w:val="24"/>
          <w:lang w:val="fr-CA"/>
        </w:rPr>
        <w:t xml:space="preserve"> n’est qu’un investisseur parmi d’autres, et aucune preuve n’explique pourquoi elle avait acheté des unités du Hilton et du Marriott.  Il ne faut donc pas sauter à la conclusion qu’elle seule représente l’</w:t>
      </w:r>
      <w:r w:rsidR="00BE3C0B">
        <w:rPr>
          <w:rFonts w:cs="Times New Roman"/>
          <w:szCs w:val="24"/>
          <w:lang w:val="fr-CA"/>
        </w:rPr>
        <w:t>«</w:t>
      </w:r>
      <w:r w:rsidRPr="00751B87">
        <w:rPr>
          <w:rFonts w:cs="Times New Roman"/>
          <w:szCs w:val="24"/>
          <w:lang w:val="fr-CA"/>
        </w:rPr>
        <w:t> investisseur raisonnable ».  Néanmoins, la juge</w:t>
      </w:r>
      <w:r>
        <w:rPr>
          <w:rFonts w:cs="Times New Roman"/>
          <w:szCs w:val="24"/>
          <w:lang w:val="fr-CA"/>
        </w:rPr>
        <w:t xml:space="preserve"> de première instance</w:t>
      </w:r>
      <w:r w:rsidRPr="00751B87">
        <w:rPr>
          <w:rFonts w:cs="Times New Roman"/>
          <w:szCs w:val="24"/>
          <w:lang w:val="fr-CA"/>
        </w:rPr>
        <w:t xml:space="preserve"> devait apprécier cette preuve du comportement de </w:t>
      </w:r>
      <w:proofErr w:type="spellStart"/>
      <w:r w:rsidRPr="00751B87">
        <w:rPr>
          <w:rFonts w:cs="Times New Roman"/>
          <w:szCs w:val="24"/>
          <w:lang w:val="fr-CA"/>
        </w:rPr>
        <w:t>Tevan</w:t>
      </w:r>
      <w:proofErr w:type="spellEnd"/>
      <w:r w:rsidRPr="00751B87">
        <w:rPr>
          <w:rFonts w:cs="Times New Roman"/>
          <w:szCs w:val="24"/>
          <w:lang w:val="fr-CA"/>
        </w:rPr>
        <w:t xml:space="preserve"> dans le cadre de son examen de la question de savoir s’il y avait une probabilité marquée que l’investisseur raisonnable aurait jugé que tout conflit engendré par les différences de rémunération modifiait de façon significative l’ensemble des renseignements mis à sa disposition.</w:t>
      </w:r>
    </w:p>
    <w:p w:rsidR="0062110E" w:rsidRPr="00751B87" w:rsidRDefault="0062110E" w:rsidP="0062110E">
      <w:pPr>
        <w:pStyle w:val="TitleTitre-AltT"/>
        <w:keepNext/>
        <w:tabs>
          <w:tab w:val="clear" w:pos="360"/>
          <w:tab w:val="left" w:pos="1170"/>
          <w:tab w:val="left" w:pos="1620"/>
        </w:tabs>
        <w:spacing w:before="0"/>
        <w:ind w:left="0" w:firstLine="0"/>
        <w:rPr>
          <w:rFonts w:cs="Times New Roman"/>
          <w:i/>
          <w:szCs w:val="24"/>
          <w:lang w:val="fr-CA"/>
        </w:rPr>
      </w:pPr>
      <w:r w:rsidRPr="00751B87">
        <w:rPr>
          <w:rFonts w:cs="Times New Roman"/>
          <w:szCs w:val="24"/>
          <w:lang w:val="fr-CA"/>
        </w:rPr>
        <w:tab/>
      </w:r>
      <w:bookmarkStart w:id="22" w:name="_Toc308445321"/>
      <w:r w:rsidRPr="00751B87">
        <w:rPr>
          <w:rFonts w:cs="Times New Roman"/>
          <w:szCs w:val="24"/>
          <w:lang w:val="fr-CA"/>
        </w:rPr>
        <w:t>f)</w:t>
      </w:r>
      <w:r w:rsidRPr="00751B87">
        <w:rPr>
          <w:rFonts w:cs="Times New Roman"/>
          <w:i/>
          <w:szCs w:val="24"/>
          <w:lang w:val="fr-CA"/>
        </w:rPr>
        <w:tab/>
        <w:t>Preuve relative aux réunions du comité des investisseurs</w:t>
      </w:r>
      <w:bookmarkEnd w:id="22"/>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Enfin, il y avait aussi des éléments de preuve pertinents quant aux réunions du comité des investisseurs propriétaires d’unités du Hilton, dont les </w:t>
      </w:r>
      <w:proofErr w:type="spellStart"/>
      <w:r w:rsidRPr="00751B87">
        <w:rPr>
          <w:rFonts w:cs="Times New Roman"/>
          <w:szCs w:val="24"/>
          <w:lang w:val="fr-CA"/>
        </w:rPr>
        <w:t>procès</w:t>
      </w:r>
      <w:r w:rsidRPr="00751B87">
        <w:rPr>
          <w:rFonts w:cs="Times New Roman"/>
          <w:szCs w:val="24"/>
          <w:lang w:val="fr-CA"/>
        </w:rPr>
        <w:noBreakHyphen/>
        <w:t>verbaux</w:t>
      </w:r>
      <w:proofErr w:type="spellEnd"/>
      <w:r w:rsidRPr="00751B87">
        <w:rPr>
          <w:rFonts w:cs="Times New Roman"/>
          <w:szCs w:val="24"/>
          <w:lang w:val="fr-CA"/>
        </w:rPr>
        <w:t xml:space="preserve"> font état des questions soulevées par ces derniers à propos de l’hôtel.  Or, il ne ressort aucunement de ces </w:t>
      </w:r>
      <w:proofErr w:type="spellStart"/>
      <w:r w:rsidRPr="00751B87">
        <w:rPr>
          <w:rFonts w:cs="Times New Roman"/>
          <w:szCs w:val="24"/>
          <w:lang w:val="fr-CA"/>
        </w:rPr>
        <w:t>procès</w:t>
      </w:r>
      <w:r w:rsidRPr="00751B87">
        <w:rPr>
          <w:rFonts w:cs="Times New Roman"/>
          <w:szCs w:val="24"/>
          <w:lang w:val="fr-CA"/>
        </w:rPr>
        <w:noBreakHyphen/>
        <w:t>verbaux</w:t>
      </w:r>
      <w:proofErr w:type="spellEnd"/>
      <w:r w:rsidRPr="00751B87">
        <w:rPr>
          <w:rFonts w:cs="Times New Roman"/>
          <w:szCs w:val="24"/>
          <w:lang w:val="fr-CA"/>
        </w:rPr>
        <w:t xml:space="preserve"> que les différences de </w:t>
      </w:r>
      <w:r w:rsidRPr="00751B87">
        <w:rPr>
          <w:rFonts w:cs="Times New Roman"/>
          <w:szCs w:val="24"/>
          <w:lang w:val="fr-CA"/>
        </w:rPr>
        <w:lastRenderedPageBreak/>
        <w:t>rémunération les préoccupaient avant qu’ils ne déposent leur déclaration en juin 2003, ce qui donne à penser que ces différences n’étaient pas importantes.</w:t>
      </w:r>
    </w:p>
    <w:p w:rsidR="0062110E" w:rsidRPr="00751B87" w:rsidRDefault="0062110E" w:rsidP="0062110E">
      <w:pPr>
        <w:pStyle w:val="ParaNoNdepar-AltN"/>
        <w:rPr>
          <w:rFonts w:cs="Times New Roman"/>
          <w:szCs w:val="24"/>
          <w:lang w:val="fr-CA"/>
        </w:rPr>
      </w:pPr>
      <w:r w:rsidRPr="00751B87">
        <w:rPr>
          <w:rFonts w:cs="Times New Roman"/>
          <w:szCs w:val="24"/>
          <w:lang w:val="fr-CA"/>
        </w:rPr>
        <w:t>Le VAC a notamment révélé, à l’occasion de la réunion du 14 juin 2000 de ce comité, qu’une garantie avait été accordée aux propriétaires du Marriott.  On ne sait trop à quel moment les différences entre les frais d’administration de l’un et l’autre hôtel ont été communiquées aux investisseurs.  Ces derniers ont certes exprimé, à l’occasion de ces réunions, de nombreuses préoccupations à divers sujets — des contrats relatifs aux pâtisseries aux frais de condominium</w:t>
      </w:r>
      <w:r w:rsidR="00BE3C0B">
        <w:rPr>
          <w:rFonts w:cs="Times New Roman"/>
          <w:szCs w:val="24"/>
          <w:lang w:val="fr-CA"/>
        </w:rPr>
        <w:t>,</w:t>
      </w:r>
      <w:r w:rsidRPr="00751B87">
        <w:rPr>
          <w:rFonts w:cs="Times New Roman"/>
          <w:szCs w:val="24"/>
          <w:lang w:val="fr-CA"/>
        </w:rPr>
        <w:t xml:space="preserve"> en passant par la publicité et le contrat de franchise —, mais il n’en demeure pas moins qu’aucun des </w:t>
      </w:r>
      <w:proofErr w:type="spellStart"/>
      <w:r w:rsidRPr="00751B87">
        <w:rPr>
          <w:rFonts w:cs="Times New Roman"/>
          <w:szCs w:val="24"/>
          <w:lang w:val="fr-CA"/>
        </w:rPr>
        <w:t>procès</w:t>
      </w:r>
      <w:r w:rsidRPr="00751B87">
        <w:rPr>
          <w:rFonts w:cs="Times New Roman"/>
          <w:szCs w:val="24"/>
          <w:lang w:val="fr-CA"/>
        </w:rPr>
        <w:noBreakHyphen/>
        <w:t>verbaux</w:t>
      </w:r>
      <w:proofErr w:type="spellEnd"/>
      <w:r w:rsidRPr="00751B87">
        <w:rPr>
          <w:rFonts w:cs="Times New Roman"/>
          <w:szCs w:val="24"/>
          <w:lang w:val="fr-CA"/>
        </w:rPr>
        <w:t xml:space="preserve"> des réunions postérieures à la communication du 14 juin 2000 ne fait état de préoccupations quelconques au sujet de la garantie.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garantie a fait subir au VAC des pertes s’élevant à plus de 13 millions de dollars.  L’incidence financière ou l’incitatif financier résultant des différences entre les frais d’administration de l’un et l’autre hôtel aurait été, du point de vue du VAC, beaucoup moins important.  Bien que l’on puisse croire que ces différences appuient la prétention de </w:t>
      </w:r>
      <w:proofErr w:type="spellStart"/>
      <w:r w:rsidRPr="00751B87">
        <w:rPr>
          <w:rFonts w:cs="Times New Roman"/>
          <w:szCs w:val="24"/>
          <w:lang w:val="fr-CA"/>
        </w:rPr>
        <w:t>Sharbern</w:t>
      </w:r>
      <w:proofErr w:type="spellEnd"/>
      <w:r w:rsidRPr="00751B87">
        <w:rPr>
          <w:rFonts w:cs="Times New Roman"/>
          <w:szCs w:val="24"/>
          <w:lang w:val="fr-CA"/>
        </w:rPr>
        <w:t xml:space="preserve"> qu’elles incitaient le VAC à favoriser le Marriott, des frais d’administration moins élevés devaient également sembler favorables aux propriétaires du Hilton.  De plus, Timothy </w:t>
      </w:r>
      <w:proofErr w:type="spellStart"/>
      <w:r w:rsidRPr="00751B87">
        <w:rPr>
          <w:rFonts w:cs="Times New Roman"/>
          <w:szCs w:val="24"/>
          <w:lang w:val="fr-CA"/>
        </w:rPr>
        <w:t>Mashford</w:t>
      </w:r>
      <w:proofErr w:type="spellEnd"/>
      <w:r w:rsidRPr="00751B87">
        <w:rPr>
          <w:rFonts w:cs="Times New Roman"/>
          <w:szCs w:val="24"/>
          <w:lang w:val="fr-CA"/>
        </w:rPr>
        <w:t>, administrateur du VAC qui a assisté à de nombreuses réunions du comité des investisseurs, a affirmé dans son témoignage que les investisseurs ne se sont jamais dit</w:t>
      </w:r>
      <w:r w:rsidR="00BE3C0B">
        <w:rPr>
          <w:rFonts w:cs="Times New Roman"/>
          <w:szCs w:val="24"/>
          <w:lang w:val="fr-CA"/>
        </w:rPr>
        <w:t>s</w:t>
      </w:r>
      <w:r w:rsidRPr="00751B87">
        <w:rPr>
          <w:rFonts w:cs="Times New Roman"/>
          <w:szCs w:val="24"/>
          <w:lang w:val="fr-CA"/>
        </w:rPr>
        <w:t xml:space="preserve"> préoccupés du fait que le Hilton, le Marriott et le Richmond Inn étaient tous administrés par le VAC.</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En somme, la juge </w:t>
      </w:r>
      <w:r>
        <w:rPr>
          <w:rFonts w:cs="Times New Roman"/>
          <w:szCs w:val="24"/>
          <w:lang w:val="fr-CA"/>
        </w:rPr>
        <w:t xml:space="preserve">de première instance </w:t>
      </w:r>
      <w:r w:rsidRPr="00751B87">
        <w:rPr>
          <w:rFonts w:cs="Times New Roman"/>
          <w:szCs w:val="24"/>
          <w:lang w:val="fr-CA"/>
        </w:rPr>
        <w:t xml:space="preserve">aurait dû tenir compte des éléments de preuve résumés dans les paragraphes précédents en appliquant la norme de l’importance aux faits de l’espèce.  Certains des éléments susmentionnés permettent d’analyser les renseignements omis dans le contexte factuel de l’ensemble des renseignements communiqués, dans l’optique de savoir si l’investisseur raisonnable les aurait jugés importants dans sa prise de décision.  Même si elle ne faisait pas partie de l’ensemble des renseignements mis à la disposition des investisseurs, la preuve du comportement d’investisseurs pleinement informés — soit avant qu’ils ne prennent leur décision d’investir ou non des capitaux (p. ex. la preuve relative à </w:t>
      </w:r>
      <w:proofErr w:type="spellStart"/>
      <w:r w:rsidRPr="00751B87">
        <w:rPr>
          <w:rFonts w:cs="Times New Roman"/>
          <w:szCs w:val="24"/>
          <w:lang w:val="fr-CA"/>
        </w:rPr>
        <w:t>Tevan</w:t>
      </w:r>
      <w:proofErr w:type="spellEnd"/>
      <w:r w:rsidRPr="00751B87">
        <w:rPr>
          <w:rFonts w:cs="Times New Roman"/>
          <w:szCs w:val="24"/>
          <w:lang w:val="fr-CA"/>
        </w:rPr>
        <w:t>), soit après en avoir investis (p. ex. la preuve se rapportant aux réunions du comité des investisseurs) — lorsqu’ils ont appris l’existence de la garantie, était également une preuve pertinente quant à l’examen, par la juge, de la question de savoir si l’investisseur raisonnable aurait estimé que les différences de rémunération étaient importantes.</w:t>
      </w:r>
    </w:p>
    <w:p w:rsidR="0062110E" w:rsidRPr="00751B87" w:rsidRDefault="0062110E" w:rsidP="0062110E">
      <w:pPr>
        <w:pStyle w:val="TitleTitre-AltT"/>
        <w:keepNext/>
        <w:tabs>
          <w:tab w:val="clear" w:pos="360"/>
          <w:tab w:val="left" w:pos="1170"/>
          <w:tab w:val="left" w:pos="1620"/>
        </w:tabs>
        <w:spacing w:before="0"/>
        <w:ind w:left="0" w:firstLine="0"/>
        <w:rPr>
          <w:rFonts w:cs="Times New Roman"/>
          <w:i/>
          <w:szCs w:val="24"/>
          <w:lang w:val="fr-CA"/>
        </w:rPr>
      </w:pPr>
      <w:r w:rsidRPr="00751B87">
        <w:rPr>
          <w:rFonts w:cs="Times New Roman"/>
          <w:szCs w:val="24"/>
          <w:lang w:val="fr-CA"/>
        </w:rPr>
        <w:tab/>
      </w:r>
      <w:bookmarkStart w:id="23" w:name="_Toc308445322"/>
      <w:r w:rsidRPr="00751B87">
        <w:rPr>
          <w:rFonts w:cs="Times New Roman"/>
          <w:szCs w:val="24"/>
          <w:lang w:val="fr-CA"/>
        </w:rPr>
        <w:t>(6)</w:t>
      </w:r>
      <w:r w:rsidRPr="00751B87">
        <w:rPr>
          <w:rFonts w:cs="Times New Roman"/>
          <w:i/>
          <w:szCs w:val="24"/>
          <w:lang w:val="fr-CA"/>
        </w:rPr>
        <w:tab/>
      </w:r>
      <w:r w:rsidRPr="00751B87">
        <w:rPr>
          <w:rFonts w:cs="Times New Roman"/>
          <w:szCs w:val="24"/>
          <w:u w:val="single"/>
          <w:lang w:val="fr-CA"/>
        </w:rPr>
        <w:t xml:space="preserve">Fardeau de preuve qui incombe à </w:t>
      </w:r>
      <w:proofErr w:type="spellStart"/>
      <w:r w:rsidRPr="00751B87">
        <w:rPr>
          <w:rFonts w:cs="Times New Roman"/>
          <w:szCs w:val="24"/>
          <w:u w:val="single"/>
          <w:lang w:val="fr-CA"/>
        </w:rPr>
        <w:t>Sharbern</w:t>
      </w:r>
      <w:bookmarkEnd w:id="23"/>
      <w:proofErr w:type="spellEnd"/>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Pour sa part, </w:t>
      </w:r>
      <w:proofErr w:type="spellStart"/>
      <w:r w:rsidRPr="00751B87">
        <w:rPr>
          <w:rFonts w:cs="Times New Roman"/>
          <w:szCs w:val="24"/>
          <w:lang w:val="fr-CA"/>
        </w:rPr>
        <w:t>Sharbern</w:t>
      </w:r>
      <w:proofErr w:type="spellEnd"/>
      <w:r w:rsidRPr="00751B87">
        <w:rPr>
          <w:rFonts w:cs="Times New Roman"/>
          <w:szCs w:val="24"/>
          <w:lang w:val="fr-CA"/>
        </w:rPr>
        <w:t xml:space="preserve"> n’était pas tenue de prouver que les investisseurs n’auraient pas acheté les unités du Hilton s’ils avaient connu les différences de rémunération.  Elle devait cependant établir, selon la prépondérance des probabilités, l’existence d’une probabilité marquée que la communication des renseignements omis à l’investisseur raisonnable qui envisageait d’acquérir des unités du Hilton </w:t>
      </w:r>
      <w:r w:rsidRPr="00751B87">
        <w:rPr>
          <w:rFonts w:cs="Times New Roman"/>
          <w:szCs w:val="24"/>
          <w:lang w:val="fr-CA"/>
        </w:rPr>
        <w:lastRenderedPageBreak/>
        <w:t>aurait, du point de vue de ce dernier, modifié de façon significative l’ensemble des renseignements mis à sa disposition.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Une partie demanderesse peut, s’ils existent, soumettre les types d’éléments de preuve </w:t>
      </w:r>
      <w:proofErr w:type="spellStart"/>
      <w:r w:rsidRPr="00751B87">
        <w:rPr>
          <w:rFonts w:cs="Times New Roman"/>
          <w:szCs w:val="24"/>
          <w:lang w:val="fr-CA"/>
        </w:rPr>
        <w:t>ci</w:t>
      </w:r>
      <w:r w:rsidRPr="00751B87">
        <w:rPr>
          <w:rFonts w:cs="Times New Roman"/>
          <w:szCs w:val="24"/>
          <w:lang w:val="fr-CA"/>
        </w:rPr>
        <w:noBreakHyphen/>
        <w:t>après</w:t>
      </w:r>
      <w:proofErr w:type="spellEnd"/>
      <w:r w:rsidRPr="00751B87">
        <w:rPr>
          <w:rFonts w:cs="Times New Roman"/>
          <w:szCs w:val="24"/>
          <w:lang w:val="fr-CA"/>
        </w:rPr>
        <w:t xml:space="preserve"> dans les cas où les inférences fondées sur le bon sens ne sont pas suffisantes :</w:t>
      </w:r>
    </w:p>
    <w:p w:rsidR="0062110E" w:rsidRPr="00751B87" w:rsidRDefault="0062110E" w:rsidP="00891109">
      <w:pPr>
        <w:pStyle w:val="Citation-AltC"/>
        <w:tabs>
          <w:tab w:val="left" w:pos="540"/>
        </w:tabs>
        <w:spacing w:after="240" w:line="480" w:lineRule="auto"/>
        <w:ind w:left="540" w:hanging="540"/>
        <w:contextualSpacing w:val="0"/>
        <w:rPr>
          <w:lang w:val="fr-CA"/>
        </w:rPr>
      </w:pPr>
      <w:r w:rsidRPr="00751B87">
        <w:rPr>
          <w:lang w:val="fr-CA"/>
        </w:rPr>
        <w:t>i</w:t>
      </w:r>
      <w:r w:rsidR="00C007F0">
        <w:rPr>
          <w:lang w:val="fr-CA"/>
        </w:rPr>
        <w:t>.</w:t>
      </w:r>
      <w:r w:rsidRPr="00751B87">
        <w:rPr>
          <w:lang w:val="fr-CA"/>
        </w:rPr>
        <w:tab/>
        <w:t xml:space="preserve">le fait que des investisseurs éventuels connaissant les différences de rémunération ont refusé d’acquérir des unités du Hilton ou ont, pour cette raison, exprimé des inquiétudes et des doutes quant au </w:t>
      </w:r>
      <w:proofErr w:type="spellStart"/>
      <w:r w:rsidRPr="00751B87">
        <w:rPr>
          <w:lang w:val="fr-CA"/>
        </w:rPr>
        <w:t>bien</w:t>
      </w:r>
      <w:r w:rsidRPr="00751B87">
        <w:rPr>
          <w:lang w:val="fr-CA"/>
        </w:rPr>
        <w:noBreakHyphen/>
        <w:t>fondé</w:t>
      </w:r>
      <w:proofErr w:type="spellEnd"/>
      <w:r w:rsidRPr="00751B87">
        <w:rPr>
          <w:lang w:val="fr-CA"/>
        </w:rPr>
        <w:t xml:space="preserve"> de l’investissement;</w:t>
      </w:r>
    </w:p>
    <w:p w:rsidR="0062110E" w:rsidRPr="00751B87" w:rsidRDefault="0062110E" w:rsidP="00891109">
      <w:pPr>
        <w:pStyle w:val="Citation-AltC"/>
        <w:tabs>
          <w:tab w:val="left" w:pos="540"/>
        </w:tabs>
        <w:spacing w:after="240" w:line="480" w:lineRule="auto"/>
        <w:ind w:left="540" w:hanging="540"/>
        <w:contextualSpacing w:val="0"/>
        <w:rPr>
          <w:lang w:val="fr-CA"/>
        </w:rPr>
      </w:pPr>
      <w:r w:rsidRPr="00751B87">
        <w:rPr>
          <w:lang w:val="fr-CA"/>
        </w:rPr>
        <w:t>ii</w:t>
      </w:r>
      <w:r w:rsidR="00C007F0">
        <w:rPr>
          <w:lang w:val="fr-CA"/>
        </w:rPr>
        <w:t>.</w:t>
      </w:r>
      <w:r w:rsidRPr="00751B87">
        <w:rPr>
          <w:lang w:val="fr-CA"/>
        </w:rPr>
        <w:tab/>
        <w:t>le fait que des investisseurs éventuels ont refusé d’acquérir des unités du Hilton parce que, selon eux, on ne leur avait pas communiqué suffisamment de renseignements quant à l’administration commune des hôtels Hilton et Marriott et au conflit d’intérêts;</w:t>
      </w:r>
    </w:p>
    <w:p w:rsidR="0062110E" w:rsidRPr="00751B87" w:rsidRDefault="0062110E" w:rsidP="00891109">
      <w:pPr>
        <w:pStyle w:val="Citation-AltC"/>
        <w:tabs>
          <w:tab w:val="left" w:pos="540"/>
        </w:tabs>
        <w:spacing w:after="240" w:line="480" w:lineRule="auto"/>
        <w:ind w:left="540" w:hanging="540"/>
        <w:contextualSpacing w:val="0"/>
        <w:rPr>
          <w:lang w:val="fr-CA"/>
        </w:rPr>
      </w:pPr>
      <w:r w:rsidRPr="00751B87">
        <w:rPr>
          <w:lang w:val="fr-CA"/>
        </w:rPr>
        <w:t>iii</w:t>
      </w:r>
      <w:r w:rsidR="00C007F0">
        <w:rPr>
          <w:lang w:val="fr-CA"/>
        </w:rPr>
        <w:t>.</w:t>
      </w:r>
      <w:r w:rsidRPr="00751B87">
        <w:rPr>
          <w:lang w:val="fr-CA"/>
        </w:rPr>
        <w:tab/>
        <w:t xml:space="preserve">le fait qu’après avoir été mis au courant des différences de rémunération, les propriétaires du Hilton ont affirmé que </w:t>
      </w:r>
      <w:proofErr w:type="spellStart"/>
      <w:r w:rsidRPr="00751B87">
        <w:rPr>
          <w:lang w:val="fr-CA"/>
        </w:rPr>
        <w:t>celles</w:t>
      </w:r>
      <w:r w:rsidRPr="00751B87">
        <w:rPr>
          <w:lang w:val="fr-CA"/>
        </w:rPr>
        <w:noBreakHyphen/>
        <w:t>ci</w:t>
      </w:r>
      <w:proofErr w:type="spellEnd"/>
      <w:r w:rsidRPr="00751B87">
        <w:rPr>
          <w:lang w:val="fr-CA"/>
        </w:rPr>
        <w:t xml:space="preserve"> les préoccupaient grandement et ont mis en doute la capacité du VAC d’administrer convenablement l’hôtel Hilton en conformité avec ses obligations contractuelles;</w:t>
      </w:r>
    </w:p>
    <w:p w:rsidR="0062110E" w:rsidRPr="00751B87" w:rsidRDefault="0062110E" w:rsidP="00891109">
      <w:pPr>
        <w:pStyle w:val="Citation-AltC"/>
        <w:tabs>
          <w:tab w:val="left" w:pos="540"/>
        </w:tabs>
        <w:spacing w:after="240" w:line="480" w:lineRule="auto"/>
        <w:ind w:left="540" w:hanging="540"/>
        <w:contextualSpacing w:val="0"/>
        <w:rPr>
          <w:lang w:val="fr-CA"/>
        </w:rPr>
      </w:pPr>
      <w:r w:rsidRPr="00751B87">
        <w:rPr>
          <w:lang w:val="fr-CA"/>
        </w:rPr>
        <w:t>iv</w:t>
      </w:r>
      <w:r w:rsidR="00C007F0">
        <w:rPr>
          <w:lang w:val="fr-CA"/>
        </w:rPr>
        <w:t>.</w:t>
      </w:r>
      <w:r w:rsidRPr="00751B87">
        <w:rPr>
          <w:lang w:val="fr-CA"/>
        </w:rPr>
        <w:tab/>
        <w:t>le fait que le VAC n’a pas déployé de bonne foi des efforts diligents sur les plans du marketing et de l’administration de l’hôtel;</w:t>
      </w:r>
    </w:p>
    <w:p w:rsidR="0062110E" w:rsidRPr="00751B87" w:rsidRDefault="0062110E" w:rsidP="00891109">
      <w:pPr>
        <w:pStyle w:val="Citation-AltC"/>
        <w:tabs>
          <w:tab w:val="left" w:pos="540"/>
        </w:tabs>
        <w:spacing w:after="240" w:line="480" w:lineRule="auto"/>
        <w:ind w:left="540" w:hanging="540"/>
        <w:contextualSpacing w:val="0"/>
        <w:rPr>
          <w:lang w:val="fr-CA"/>
        </w:rPr>
      </w:pPr>
      <w:r w:rsidRPr="00751B87">
        <w:rPr>
          <w:lang w:val="fr-CA"/>
        </w:rPr>
        <w:lastRenderedPageBreak/>
        <w:t>v</w:t>
      </w:r>
      <w:r w:rsidR="00C007F0">
        <w:rPr>
          <w:lang w:val="fr-CA"/>
        </w:rPr>
        <w:t>.</w:t>
      </w:r>
      <w:r w:rsidRPr="00751B87">
        <w:rPr>
          <w:lang w:val="fr-CA"/>
        </w:rPr>
        <w:tab/>
        <w:t xml:space="preserve">le fait que le VAC a tiré avantage du conflit d’intérêts au détriment des propriétaires du Hilton.  </w:t>
      </w:r>
    </w:p>
    <w:p w:rsidR="0062110E" w:rsidRPr="00751B87" w:rsidRDefault="0062110E" w:rsidP="0062110E">
      <w:pPr>
        <w:pStyle w:val="ContinueReasonsNo-AltP"/>
        <w:rPr>
          <w:rFonts w:cs="Times New Roman"/>
          <w:szCs w:val="24"/>
          <w:lang w:val="fr-CA"/>
        </w:rPr>
      </w:pPr>
      <w:r w:rsidRPr="00751B87">
        <w:rPr>
          <w:rFonts w:cs="Times New Roman"/>
          <w:szCs w:val="24"/>
          <w:lang w:val="fr-CA"/>
        </w:rPr>
        <w:t xml:space="preserve">Une preuve d’expert aurait </w:t>
      </w:r>
      <w:proofErr w:type="spellStart"/>
      <w:r w:rsidRPr="00751B87">
        <w:rPr>
          <w:rFonts w:cs="Times New Roman"/>
          <w:szCs w:val="24"/>
          <w:lang w:val="fr-CA"/>
        </w:rPr>
        <w:t>peut</w:t>
      </w:r>
      <w:r w:rsidRPr="00751B87">
        <w:rPr>
          <w:rFonts w:cs="Times New Roman"/>
          <w:szCs w:val="24"/>
          <w:lang w:val="fr-CA"/>
        </w:rPr>
        <w:noBreakHyphen/>
        <w:t>être</w:t>
      </w:r>
      <w:proofErr w:type="spellEnd"/>
      <w:r w:rsidRPr="00751B87">
        <w:rPr>
          <w:rFonts w:cs="Times New Roman"/>
          <w:szCs w:val="24"/>
          <w:lang w:val="fr-CA"/>
        </w:rPr>
        <w:t xml:space="preserve"> été nécessaire pour étayer certains de ces éléments de preuve.  Par ailleurs, des preuves auraient pu être obtenues, dans la mesure où elles existaient, dans le cadre du processus d’enquête préalable au procès, notamment par le biais de la productio</w:t>
      </w:r>
      <w:r w:rsidR="00BE3C0B">
        <w:rPr>
          <w:rFonts w:cs="Times New Roman"/>
          <w:szCs w:val="24"/>
          <w:lang w:val="fr-CA"/>
        </w:rPr>
        <w:t>n de documents</w:t>
      </w:r>
      <w:r w:rsidR="004B38E0">
        <w:rPr>
          <w:rFonts w:cs="Times New Roman"/>
          <w:szCs w:val="24"/>
          <w:lang w:val="fr-CA"/>
        </w:rPr>
        <w:t>,</w:t>
      </w:r>
      <w:r w:rsidRPr="00751B87">
        <w:rPr>
          <w:rFonts w:cs="Times New Roman"/>
          <w:szCs w:val="24"/>
          <w:lang w:val="fr-CA"/>
        </w:rPr>
        <w:t xml:space="preserve"> ou de </w:t>
      </w:r>
      <w:proofErr w:type="spellStart"/>
      <w:r w:rsidRPr="00751B87">
        <w:rPr>
          <w:rFonts w:cs="Times New Roman"/>
          <w:szCs w:val="24"/>
          <w:lang w:val="fr-CA"/>
        </w:rPr>
        <w:t>contre</w:t>
      </w:r>
      <w:r w:rsidRPr="00751B87">
        <w:rPr>
          <w:rFonts w:cs="Times New Roman"/>
          <w:szCs w:val="24"/>
          <w:lang w:val="fr-CA"/>
        </w:rPr>
        <w:noBreakHyphen/>
        <w:t>interrogatoires</w:t>
      </w:r>
      <w:proofErr w:type="spellEnd"/>
      <w:r w:rsidRPr="00751B87">
        <w:rPr>
          <w:rFonts w:cs="Times New Roman"/>
          <w:szCs w:val="24"/>
          <w:lang w:val="fr-CA"/>
        </w:rPr>
        <w:t xml:space="preserve"> d’employés du VAC lors du procès.  La liste qui précède n’est pas exhaustive, et le demandeur n’est pas tenu de produire tous les éléments de preuve qui y figurent afin d’établir l’importance.  En effet, l’évaluation de l’importance étant propre à chaque affaire, les éléments de preuve nécessaires pour établir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varieront selon les circonstances.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seule preuve de ce type produite par </w:t>
      </w:r>
      <w:proofErr w:type="spellStart"/>
      <w:r w:rsidRPr="00751B87">
        <w:rPr>
          <w:rFonts w:cs="Times New Roman"/>
          <w:szCs w:val="24"/>
          <w:lang w:val="fr-CA"/>
        </w:rPr>
        <w:t>Sharbern</w:t>
      </w:r>
      <w:proofErr w:type="spellEnd"/>
      <w:r w:rsidRPr="00751B87">
        <w:rPr>
          <w:rFonts w:cs="Times New Roman"/>
          <w:szCs w:val="24"/>
          <w:lang w:val="fr-CA"/>
        </w:rPr>
        <w:t xml:space="preserve"> a été celle de l’existence d’une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 matière de fixation des prix mise en œuvre par le VAC en 2002 qui prévoyait que le Hilton, le Marriott et le Richmond Inn ne s’arracheraient pas leurs dix clients les plus importants respectivement en offrant des chambres à rabais.  Sans se prononcer sur le </w:t>
      </w:r>
      <w:proofErr w:type="spellStart"/>
      <w:r w:rsidRPr="00751B87">
        <w:rPr>
          <w:rFonts w:cs="Times New Roman"/>
          <w:szCs w:val="24"/>
          <w:lang w:val="fr-CA"/>
        </w:rPr>
        <w:t>bien</w:t>
      </w:r>
      <w:r w:rsidRPr="00751B87">
        <w:rPr>
          <w:rFonts w:cs="Times New Roman"/>
          <w:szCs w:val="24"/>
          <w:lang w:val="fr-CA"/>
        </w:rPr>
        <w:noBreakHyphen/>
        <w:t>fondé</w:t>
      </w:r>
      <w:proofErr w:type="spellEnd"/>
      <w:r w:rsidRPr="00751B87">
        <w:rPr>
          <w:rFonts w:cs="Times New Roman"/>
          <w:szCs w:val="24"/>
          <w:lang w:val="fr-CA"/>
        </w:rPr>
        <w:t xml:space="preserve"> ou sur l’effet même de la politique, la juge </w:t>
      </w:r>
      <w:r>
        <w:rPr>
          <w:rFonts w:cs="Times New Roman"/>
          <w:szCs w:val="24"/>
          <w:lang w:val="fr-CA"/>
        </w:rPr>
        <w:t xml:space="preserve">de première instance </w:t>
      </w:r>
      <w:r w:rsidRPr="00751B87">
        <w:rPr>
          <w:rFonts w:cs="Times New Roman"/>
          <w:szCs w:val="24"/>
          <w:lang w:val="fr-CA"/>
        </w:rPr>
        <w:t xml:space="preserve">a affirmé que comme le Marriott avait ouvert ses portes un an avant le Hilton il possédait un avantage concurrentiel sur ce dernier, de sorte que toute entente favorisant le statu quo lui procurait forcément un avantage.  </w:t>
      </w:r>
      <w:proofErr w:type="spellStart"/>
      <w:r w:rsidRPr="00751B87">
        <w:rPr>
          <w:rFonts w:cs="Times New Roman"/>
          <w:szCs w:val="24"/>
          <w:lang w:val="fr-CA"/>
        </w:rPr>
        <w:t>Sharbern</w:t>
      </w:r>
      <w:proofErr w:type="spellEnd"/>
      <w:r w:rsidRPr="00751B87">
        <w:rPr>
          <w:rFonts w:cs="Times New Roman"/>
          <w:szCs w:val="24"/>
          <w:lang w:val="fr-CA"/>
        </w:rPr>
        <w:t xml:space="preserve"> a prétendu que la politique nuisait au Hilton, et que cela prouvait donc que </w:t>
      </w:r>
      <w:r w:rsidRPr="00751B87">
        <w:rPr>
          <w:rFonts w:cs="Times New Roman"/>
          <w:szCs w:val="24"/>
          <w:lang w:val="fr-CA"/>
        </w:rPr>
        <w:lastRenderedPageBreak/>
        <w:t xml:space="preserve">le VAC avait profité du fait qu’il administrait à la fois l’un et l’autre hôtel pour favoriser le Marriott et, par conséquent, ses propres intérêts.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ayant été élaborée longtemps après l’époque à laquelle le VAC était tenu par la loi de communiquer certains renseignements, je l’analyserai principalement en me penchant sur les manquements allégués </w:t>
      </w:r>
      <w:r>
        <w:rPr>
          <w:rFonts w:cs="Times New Roman"/>
          <w:szCs w:val="24"/>
          <w:lang w:val="fr-CA"/>
        </w:rPr>
        <w:t xml:space="preserve">à </w:t>
      </w:r>
      <w:r w:rsidRPr="00751B87">
        <w:rPr>
          <w:rFonts w:cs="Times New Roman"/>
          <w:szCs w:val="24"/>
          <w:lang w:val="fr-CA"/>
        </w:rPr>
        <w:t xml:space="preserve">l’obligation </w:t>
      </w:r>
      <w:r>
        <w:rPr>
          <w:rFonts w:cs="Times New Roman"/>
          <w:szCs w:val="24"/>
          <w:lang w:val="fr-CA"/>
        </w:rPr>
        <w:t>fiduciaire</w:t>
      </w:r>
      <w:r w:rsidRPr="00751B87">
        <w:rPr>
          <w:rFonts w:cs="Times New Roman"/>
          <w:szCs w:val="24"/>
          <w:lang w:val="fr-CA"/>
        </w:rPr>
        <w:t xml:space="preserve">.  Comme je l’expliquerai davantage plus loin, la preuve n’a pas établi l’importance de l’entente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Selon la preuve, le Marriott entendait calquer ses prix sur ceux du Hilton afin de conserver sa clientèle.  On peut en effet douter qu’un hôtel faisant affaire dans un marché difficile laisserait tout bonnement son concurrent s’emparer de ses clients en leur offrant des prix moins élevés sans prendre des mesures en vue de les conserver.  De toute évidence, le VAC estimait que la concurrence par les prix ne ferait qu’engendrer une diminution des revenus des trois hôtels, résultat qu’il voulait empêcher.  On peut difficilement concevoir que cela causait un préjudice au Hilton.  En outre, pour décider si l’entente pouvait être considérée comme une mesure importante ou ayant un effet sur les taux d’occupation du Hilton, il aurait fallu la comparer aux autres ententes qu’il y avait entre les hôtels, telles des ententes sur le partage de la clientèle parmi les trois hôtels ou le transfert de clients du Marriott au Hilton et au Richmond Inn.  Or, nous ne disposons pas d’une telle analyse.</w:t>
      </w:r>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n’a produit aucune autre preuve en vue d’établir l’existence d’une probabilité marquée que les différences de rémunération auraient amené </w:t>
      </w:r>
      <w:r w:rsidRPr="00751B87">
        <w:rPr>
          <w:rFonts w:cs="Times New Roman"/>
          <w:szCs w:val="24"/>
          <w:lang w:val="fr-CA"/>
        </w:rPr>
        <w:lastRenderedPageBreak/>
        <w:t xml:space="preserve">l’investisseur raisonnable se proposant d’acquérir une unité du Hilton à considérer qu’elles modifiaient de manière significative les renseignements mis à </w:t>
      </w:r>
      <w:r w:rsidR="00BE3C0B">
        <w:rPr>
          <w:rFonts w:cs="Times New Roman"/>
          <w:szCs w:val="24"/>
          <w:lang w:val="fr-CA"/>
        </w:rPr>
        <w:t xml:space="preserve">sa </w:t>
      </w:r>
      <w:r w:rsidRPr="00751B87">
        <w:rPr>
          <w:rFonts w:cs="Times New Roman"/>
          <w:szCs w:val="24"/>
          <w:lang w:val="fr-CA"/>
        </w:rPr>
        <w:t>disposition.</w:t>
      </w:r>
    </w:p>
    <w:p w:rsidR="0062110E" w:rsidRPr="00751B87" w:rsidRDefault="0062110E" w:rsidP="0062110E">
      <w:pPr>
        <w:pStyle w:val="TitleTitre-AltT"/>
        <w:keepNext/>
        <w:tabs>
          <w:tab w:val="clear" w:pos="360"/>
          <w:tab w:val="left" w:pos="1170"/>
          <w:tab w:val="left" w:pos="1620"/>
        </w:tabs>
        <w:spacing w:before="0"/>
        <w:ind w:left="0" w:firstLine="0"/>
        <w:rPr>
          <w:rFonts w:cs="Times New Roman"/>
          <w:i/>
          <w:szCs w:val="24"/>
          <w:lang w:val="fr-CA"/>
        </w:rPr>
      </w:pPr>
      <w:r w:rsidRPr="00751B87">
        <w:rPr>
          <w:rFonts w:cs="Times New Roman"/>
          <w:i/>
          <w:szCs w:val="24"/>
          <w:lang w:val="fr-CA"/>
        </w:rPr>
        <w:tab/>
      </w:r>
      <w:bookmarkStart w:id="24" w:name="_Toc308445323"/>
      <w:r w:rsidRPr="00751B87">
        <w:rPr>
          <w:rFonts w:cs="Times New Roman"/>
          <w:szCs w:val="24"/>
          <w:lang w:val="fr-CA"/>
        </w:rPr>
        <w:t>(7)</w:t>
      </w:r>
      <w:r w:rsidRPr="00751B87">
        <w:rPr>
          <w:rFonts w:cs="Times New Roman"/>
          <w:szCs w:val="24"/>
          <w:lang w:val="fr-CA"/>
        </w:rPr>
        <w:tab/>
      </w:r>
      <w:r w:rsidRPr="00751B87">
        <w:rPr>
          <w:rFonts w:cs="Times New Roman"/>
          <w:szCs w:val="24"/>
          <w:u w:val="single"/>
          <w:lang w:val="fr-CA"/>
        </w:rPr>
        <w:t>Conclusions sur l’importance</w:t>
      </w:r>
      <w:bookmarkEnd w:id="24"/>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 résumé, la juge </w:t>
      </w:r>
      <w:r>
        <w:rPr>
          <w:rFonts w:cs="Times New Roman"/>
          <w:szCs w:val="24"/>
          <w:lang w:val="fr-CA"/>
        </w:rPr>
        <w:t xml:space="preserve">de première instance </w:t>
      </w:r>
      <w:r w:rsidRPr="00751B87">
        <w:rPr>
          <w:rFonts w:cs="Times New Roman"/>
          <w:szCs w:val="24"/>
          <w:lang w:val="fr-CA"/>
        </w:rPr>
        <w:t xml:space="preserve">a commis trois erreurs de droit : elle a conclu que le conflit d’intérêts était, en soi, important, inversé le fardeau de la preuve sur la question de l’importance, et omis de considérer l’ensemble des éléments de preuve pertinents quant à cette question.  Il ressort également du dossier soumis au tribunal de première instance que </w:t>
      </w:r>
      <w:proofErr w:type="spellStart"/>
      <w:r w:rsidRPr="00751B87">
        <w:rPr>
          <w:rFonts w:cs="Times New Roman"/>
          <w:szCs w:val="24"/>
          <w:lang w:val="fr-CA"/>
        </w:rPr>
        <w:t>Sharbern</w:t>
      </w:r>
      <w:proofErr w:type="spellEnd"/>
      <w:r w:rsidRPr="00751B87">
        <w:rPr>
          <w:rFonts w:cs="Times New Roman"/>
          <w:szCs w:val="24"/>
          <w:lang w:val="fr-CA"/>
        </w:rPr>
        <w:t xml:space="preserve"> n’a produit aucune preuve qui aurait pu raisonnablement étayer la conclusion que les différences de rémunération ainsi que tout conflit d’intérêts engendré par </w:t>
      </w:r>
      <w:proofErr w:type="spellStart"/>
      <w:r w:rsidRPr="00751B87">
        <w:rPr>
          <w:rFonts w:cs="Times New Roman"/>
          <w:szCs w:val="24"/>
          <w:lang w:val="fr-CA"/>
        </w:rPr>
        <w:t>celles</w:t>
      </w:r>
      <w:r w:rsidRPr="00751B87">
        <w:rPr>
          <w:rFonts w:cs="Times New Roman"/>
          <w:szCs w:val="24"/>
          <w:lang w:val="fr-CA"/>
        </w:rPr>
        <w:noBreakHyphen/>
        <w:t>ci</w:t>
      </w:r>
      <w:proofErr w:type="spellEnd"/>
      <w:r w:rsidRPr="00751B87">
        <w:rPr>
          <w:rFonts w:cs="Times New Roman"/>
          <w:szCs w:val="24"/>
          <w:lang w:val="fr-CA"/>
        </w:rPr>
        <w:t xml:space="preserve"> étaient importants.  Distinguant la question de l’importance de mon analyse se rapportant au conflit d’intérêts, appliquant correctement le fardeau de la preuve et prenant en compte l’ensemble des éléments de preuve pertinents, je conclus que l’existence d’une probabilité marquée que la communication des différences de rémunération auraient constitué un élément dont l’investisseur raisonnable aurait tenu compte dans sa prise de décision n’a pas été établie.</w:t>
      </w:r>
    </w:p>
    <w:p w:rsidR="0062110E" w:rsidRPr="00751B87" w:rsidRDefault="0062110E" w:rsidP="00040136">
      <w:pPr>
        <w:pStyle w:val="TitleTitre-AltT"/>
        <w:keepNext/>
        <w:tabs>
          <w:tab w:val="clear" w:pos="360"/>
          <w:tab w:val="left" w:pos="540"/>
        </w:tabs>
        <w:spacing w:before="0"/>
        <w:ind w:left="540" w:hanging="540"/>
        <w:rPr>
          <w:rFonts w:cs="Times New Roman"/>
          <w:i/>
          <w:szCs w:val="24"/>
          <w:lang w:val="fr-CA"/>
        </w:rPr>
      </w:pPr>
      <w:bookmarkStart w:id="25" w:name="_Toc308445324"/>
      <w:r w:rsidRPr="00751B87">
        <w:rPr>
          <w:rFonts w:cs="Times New Roman"/>
          <w:szCs w:val="24"/>
          <w:lang w:val="fr-CA"/>
        </w:rPr>
        <w:lastRenderedPageBreak/>
        <w:t>B.</w:t>
      </w:r>
      <w:r w:rsidRPr="00751B87">
        <w:rPr>
          <w:rFonts w:cs="Times New Roman"/>
          <w:szCs w:val="24"/>
          <w:lang w:val="fr-CA"/>
        </w:rPr>
        <w:tab/>
      </w:r>
      <w:r w:rsidRPr="00751B87">
        <w:rPr>
          <w:rFonts w:cs="Times New Roman"/>
          <w:i/>
          <w:szCs w:val="24"/>
          <w:lang w:val="fr-CA"/>
        </w:rPr>
        <w:t>Moyen de défense prévu par la Loi</w:t>
      </w:r>
      <w:bookmarkEnd w:id="25"/>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u w:val="single"/>
          <w:lang w:val="fr-CA"/>
        </w:rPr>
      </w:pPr>
      <w:r w:rsidRPr="00751B87">
        <w:rPr>
          <w:rFonts w:cs="Times New Roman"/>
          <w:szCs w:val="24"/>
          <w:lang w:val="fr-CA"/>
        </w:rPr>
        <w:tab/>
      </w:r>
      <w:bookmarkStart w:id="26" w:name="_Toc308445325"/>
      <w:r w:rsidRPr="00751B87">
        <w:rPr>
          <w:rFonts w:cs="Times New Roman"/>
          <w:szCs w:val="24"/>
          <w:lang w:val="fr-CA"/>
        </w:rPr>
        <w:t>(1)</w:t>
      </w:r>
      <w:r w:rsidRPr="00751B87">
        <w:rPr>
          <w:rFonts w:cs="Times New Roman"/>
          <w:szCs w:val="24"/>
          <w:lang w:val="fr-CA"/>
        </w:rPr>
        <w:tab/>
      </w:r>
      <w:r w:rsidRPr="00751B87">
        <w:rPr>
          <w:rFonts w:cs="Times New Roman"/>
          <w:szCs w:val="24"/>
          <w:u w:val="single"/>
          <w:lang w:val="fr-CA"/>
        </w:rPr>
        <w:t>Critère juridique</w:t>
      </w:r>
      <w:bookmarkEnd w:id="26"/>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Même si on concluait à l’existence d’une « déclaration erronée sur un point important », le </w:t>
      </w:r>
      <w:proofErr w:type="spellStart"/>
      <w:r w:rsidRPr="00751B87">
        <w:rPr>
          <w:rFonts w:cs="Times New Roman"/>
          <w:szCs w:val="24"/>
          <w:lang w:val="fr-CA"/>
        </w:rPr>
        <w:t>sous</w:t>
      </w:r>
      <w:r w:rsidRPr="00751B87">
        <w:rPr>
          <w:rFonts w:cs="Times New Roman"/>
          <w:szCs w:val="24"/>
          <w:lang w:val="fr-CA"/>
        </w:rPr>
        <w:noBreakHyphen/>
        <w:t>al</w:t>
      </w:r>
      <w:proofErr w:type="spellEnd"/>
      <w:r>
        <w:rPr>
          <w:rFonts w:cs="Times New Roman"/>
          <w:szCs w:val="24"/>
          <w:lang w:val="fr-CA"/>
        </w:rPr>
        <w:t>. </w:t>
      </w:r>
      <w:r w:rsidRPr="00751B87">
        <w:rPr>
          <w:rFonts w:cs="Times New Roman"/>
          <w:szCs w:val="24"/>
          <w:lang w:val="fr-CA"/>
        </w:rPr>
        <w:t>75(2)</w:t>
      </w:r>
      <w:r w:rsidRPr="00BE3C0B">
        <w:rPr>
          <w:rFonts w:cs="Times New Roman"/>
          <w:szCs w:val="24"/>
          <w:lang w:val="fr-CA"/>
        </w:rPr>
        <w:t>b</w:t>
      </w:r>
      <w:proofErr w:type="gramStart"/>
      <w:r w:rsidRPr="00751B87">
        <w:rPr>
          <w:rFonts w:cs="Times New Roman"/>
          <w:szCs w:val="24"/>
          <w:lang w:val="fr-CA"/>
        </w:rPr>
        <w:t>)(</w:t>
      </w:r>
      <w:proofErr w:type="gramEnd"/>
      <w:r w:rsidRPr="00751B87">
        <w:rPr>
          <w:rFonts w:cs="Times New Roman"/>
          <w:szCs w:val="24"/>
          <w:lang w:val="fr-CA"/>
        </w:rPr>
        <w:t>viii) de la Loi permet au VAC d’invoquer un moyen de défense dans la mesure où il peut établir qu’il [</w:t>
      </w:r>
      <w:r w:rsidRPr="00751B87">
        <w:rPr>
          <w:rFonts w:cs="Times New Roman"/>
          <w:smallCaps/>
          <w:szCs w:val="24"/>
          <w:lang w:val="fr-CA"/>
        </w:rPr>
        <w:t>traduction</w:t>
      </w:r>
      <w:r w:rsidRPr="00751B87">
        <w:rPr>
          <w:rFonts w:cs="Times New Roman"/>
          <w:szCs w:val="24"/>
          <w:lang w:val="fr-CA"/>
        </w:rPr>
        <w:t xml:space="preserve">]  « avait des motifs raisonnables de croire — et qu’[il] croyait effectivement — jusqu’au moment de la vente [. . .] que la déclaration était véridique ».  Pour invoquer ce moyen de défense, le VAC devait donc démontrer (1) qu’il croyait subjectivement à la véracité des déclarations qu’il avait faites et (2) que cette croyance était objectivement fondée sur des « motifs raisonnables ».  Pour déterminer le </w:t>
      </w:r>
      <w:proofErr w:type="spellStart"/>
      <w:r w:rsidRPr="00751B87">
        <w:rPr>
          <w:rFonts w:cs="Times New Roman"/>
          <w:szCs w:val="24"/>
          <w:lang w:val="fr-CA"/>
        </w:rPr>
        <w:t>bien</w:t>
      </w:r>
      <w:r w:rsidRPr="00751B87">
        <w:rPr>
          <w:rFonts w:cs="Times New Roman"/>
          <w:szCs w:val="24"/>
          <w:lang w:val="fr-CA"/>
        </w:rPr>
        <w:noBreakHyphen/>
        <w:t>fondé</w:t>
      </w:r>
      <w:proofErr w:type="spellEnd"/>
      <w:r w:rsidRPr="00751B87">
        <w:rPr>
          <w:rFonts w:cs="Times New Roman"/>
          <w:szCs w:val="24"/>
          <w:lang w:val="fr-CA"/>
        </w:rPr>
        <w:t xml:space="preserve"> de ce moyen de défense, il ne faut pas se demander si la conclusion du VAC était raisonnable, mais plutôt s’il croyait subjectivement à la véracité de ses déclarations et si cette croyance reposait sur un fondement objectif en ce sens qu’elle était fondée sur des motifs raisonnables.</w:t>
      </w:r>
    </w:p>
    <w:p w:rsidR="0062110E" w:rsidRPr="00751B87" w:rsidRDefault="0062110E" w:rsidP="0062110E">
      <w:pPr>
        <w:pStyle w:val="ParaNoNdepar-AltN"/>
        <w:rPr>
          <w:rFonts w:cs="Times New Roman"/>
          <w:szCs w:val="24"/>
          <w:lang w:val="fr-CA"/>
        </w:rPr>
      </w:pPr>
      <w:r w:rsidRPr="00751B87">
        <w:rPr>
          <w:rFonts w:cs="Times New Roman"/>
          <w:szCs w:val="24"/>
          <w:lang w:val="fr-CA"/>
        </w:rPr>
        <w:t>La juge</w:t>
      </w:r>
      <w:r>
        <w:rPr>
          <w:rFonts w:cs="Times New Roman"/>
          <w:szCs w:val="24"/>
          <w:lang w:val="fr-CA"/>
        </w:rPr>
        <w:t> </w:t>
      </w:r>
      <w:proofErr w:type="spellStart"/>
      <w:r>
        <w:rPr>
          <w:rFonts w:cs="Times New Roman"/>
          <w:szCs w:val="24"/>
          <w:lang w:val="fr-CA"/>
        </w:rPr>
        <w:t>Wedge</w:t>
      </w:r>
      <w:proofErr w:type="spellEnd"/>
      <w:r>
        <w:rPr>
          <w:rFonts w:cs="Times New Roman"/>
          <w:szCs w:val="24"/>
          <w:lang w:val="fr-CA"/>
        </w:rPr>
        <w:t xml:space="preserve"> </w:t>
      </w:r>
      <w:r w:rsidRPr="00751B87">
        <w:rPr>
          <w:rFonts w:cs="Times New Roman"/>
          <w:szCs w:val="24"/>
          <w:lang w:val="fr-CA"/>
        </w:rPr>
        <w:t>ne semble pas avoir tenu compte de ce moyen de défense, car elle n’en a fait aucune mention.  Au paragraphe 323, elle a certes reproduit des extraits de l’art</w:t>
      </w:r>
      <w:r>
        <w:rPr>
          <w:rFonts w:cs="Times New Roman"/>
          <w:szCs w:val="24"/>
          <w:lang w:val="fr-CA"/>
        </w:rPr>
        <w:t>. </w:t>
      </w:r>
      <w:r w:rsidRPr="00751B87">
        <w:rPr>
          <w:rFonts w:cs="Times New Roman"/>
          <w:szCs w:val="24"/>
          <w:lang w:val="fr-CA"/>
        </w:rPr>
        <w:t>75 de la Loi, mais elle s’est gardée de reproduire le passage pertinent de l’article.  Son analyse des questions relatives à la responsabilité conjointe n’y renvoie pas non plus.</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Dans le cas où le juge de première instance omet de tenir compte d’un moyen de défense prévu par la loi, la cour d’appel peut soit le faire </w:t>
      </w:r>
      <w:proofErr w:type="spellStart"/>
      <w:r w:rsidRPr="00751B87">
        <w:rPr>
          <w:rFonts w:cs="Times New Roman"/>
          <w:szCs w:val="24"/>
          <w:lang w:val="fr-CA"/>
        </w:rPr>
        <w:t>elle</w:t>
      </w:r>
      <w:r w:rsidRPr="00751B87">
        <w:rPr>
          <w:rFonts w:cs="Times New Roman"/>
          <w:szCs w:val="24"/>
          <w:lang w:val="fr-CA"/>
        </w:rPr>
        <w:noBreakHyphen/>
        <w:t>même</w:t>
      </w:r>
      <w:proofErr w:type="spellEnd"/>
      <w:r w:rsidRPr="00751B87">
        <w:rPr>
          <w:rFonts w:cs="Times New Roman"/>
          <w:szCs w:val="24"/>
          <w:lang w:val="fr-CA"/>
        </w:rPr>
        <w:t>, soit renvoyer l’affaire au tribunal de première instance afin de lui permettre de le faire (</w:t>
      </w:r>
      <w:proofErr w:type="spellStart"/>
      <w:r w:rsidRPr="00751B87">
        <w:rPr>
          <w:rFonts w:cs="Times New Roman"/>
          <w:i/>
          <w:szCs w:val="24"/>
          <w:lang w:val="fr-CA"/>
        </w:rPr>
        <w:t>Hollis</w:t>
      </w:r>
      <w:proofErr w:type="spellEnd"/>
      <w:r w:rsidRPr="00751B87">
        <w:rPr>
          <w:rFonts w:cs="Times New Roman"/>
          <w:i/>
          <w:szCs w:val="24"/>
          <w:lang w:val="fr-CA"/>
        </w:rPr>
        <w:t xml:space="preserve"> c. Dow Corning Corp.</w:t>
      </w:r>
      <w:r w:rsidRPr="00751B87">
        <w:rPr>
          <w:rFonts w:cs="Times New Roman"/>
          <w:szCs w:val="24"/>
          <w:lang w:val="fr-CA"/>
        </w:rPr>
        <w:t>, [1995] 4 R.C.S. 634, par. 33).   En l’espèce, il serait à la fois possible sur le plan pratique et dans l’intérêt de la justice que la Cour examine à son tour la preuve au dossier se rapportant à ce moyen de défense.</w:t>
      </w:r>
    </w:p>
    <w:p w:rsidR="0062110E" w:rsidRPr="00751B87" w:rsidRDefault="0062110E" w:rsidP="0062110E">
      <w:pPr>
        <w:pStyle w:val="ParaNoNdepar-AltN"/>
        <w:rPr>
          <w:rFonts w:cs="Times New Roman"/>
          <w:szCs w:val="24"/>
          <w:lang w:val="fr-CA"/>
        </w:rPr>
      </w:pPr>
      <w:r w:rsidRPr="00751B87">
        <w:rPr>
          <w:rFonts w:cs="Times New Roman"/>
          <w:szCs w:val="24"/>
          <w:lang w:val="fr-CA"/>
        </w:rPr>
        <w:t>Selon moi, même s’il était établi que le VAC a fait une déclaration erronée sur un point important, ce moyen de défense empêcherait que sa responsabilité ne soit par ailleurs engagée en application du par. 75(2)</w:t>
      </w:r>
      <w:r w:rsidR="00C007F0">
        <w:rPr>
          <w:rFonts w:cs="Times New Roman"/>
          <w:szCs w:val="24"/>
          <w:lang w:val="fr-CA"/>
        </w:rPr>
        <w:t xml:space="preserve"> de la Loi</w:t>
      </w:r>
      <w:r w:rsidRPr="00751B87">
        <w:rPr>
          <w:rFonts w:cs="Times New Roman"/>
          <w:szCs w:val="24"/>
          <w:lang w:val="fr-CA"/>
        </w:rPr>
        <w:t xml:space="preserve">.  Comme je l’expliquerai </w:t>
      </w:r>
      <w:proofErr w:type="spellStart"/>
      <w:r w:rsidRPr="00751B87">
        <w:rPr>
          <w:rFonts w:cs="Times New Roman"/>
          <w:szCs w:val="24"/>
          <w:lang w:val="fr-CA"/>
        </w:rPr>
        <w:t>ci</w:t>
      </w:r>
      <w:r w:rsidRPr="00751B87">
        <w:rPr>
          <w:rFonts w:cs="Times New Roman"/>
          <w:szCs w:val="24"/>
          <w:lang w:val="fr-CA"/>
        </w:rPr>
        <w:noBreakHyphen/>
        <w:t>après</w:t>
      </w:r>
      <w:proofErr w:type="spellEnd"/>
      <w:r w:rsidRPr="00751B87">
        <w:rPr>
          <w:rFonts w:cs="Times New Roman"/>
          <w:szCs w:val="24"/>
          <w:lang w:val="fr-CA"/>
        </w:rPr>
        <w:t xml:space="preserve">, il ressort de la preuve que le VAC croyait subjectivement à la véracité de ses déclarations et que cette croyance était objectivement fondée sur des motifs raisonnables quand il a omis d’exposer en détail les différences de rémunération dans le document du Hilton et y avait déclaré </w:t>
      </w:r>
      <w:r w:rsidR="00C007F0">
        <w:rPr>
          <w:rFonts w:cs="Times New Roman"/>
          <w:szCs w:val="24"/>
          <w:lang w:val="fr-CA"/>
        </w:rPr>
        <w:t xml:space="preserve">(i) </w:t>
      </w:r>
      <w:r w:rsidRPr="00751B87">
        <w:rPr>
          <w:rFonts w:cs="Times New Roman"/>
          <w:szCs w:val="24"/>
          <w:lang w:val="fr-CA"/>
        </w:rPr>
        <w:t xml:space="preserve">que les ententes qu’il avait conclues avec le Marriott étaient </w:t>
      </w:r>
      <w:r w:rsidRPr="00751B87">
        <w:rPr>
          <w:rFonts w:cs="Times New Roman"/>
          <w:smallCaps/>
          <w:szCs w:val="24"/>
          <w:lang w:val="fr-CA"/>
        </w:rPr>
        <w:t>[traduction]</w:t>
      </w:r>
      <w:r w:rsidRPr="00751B87">
        <w:rPr>
          <w:rFonts w:cs="Times New Roman"/>
          <w:szCs w:val="24"/>
          <w:lang w:val="fr-CA"/>
        </w:rPr>
        <w:t xml:space="preserve"> « similaires </w:t>
      </w:r>
      <w:r w:rsidR="00C007F0">
        <w:rPr>
          <w:rFonts w:cs="Times New Roman"/>
          <w:szCs w:val="24"/>
          <w:lang w:val="fr-CA"/>
        </w:rPr>
        <w:t xml:space="preserve">[. . .] </w:t>
      </w:r>
      <w:r w:rsidRPr="00751B87">
        <w:rPr>
          <w:rFonts w:cs="Times New Roman"/>
          <w:szCs w:val="24"/>
          <w:lang w:val="fr-CA"/>
        </w:rPr>
        <w:t>sur la forme et sur le fond » à celles intervenues à l’égard du Hilton (par</w:t>
      </w:r>
      <w:r>
        <w:rPr>
          <w:rFonts w:cs="Times New Roman"/>
          <w:szCs w:val="24"/>
          <w:lang w:val="fr-CA"/>
        </w:rPr>
        <w:t>. </w:t>
      </w:r>
      <w:r w:rsidRPr="00751B87">
        <w:rPr>
          <w:rFonts w:cs="Times New Roman"/>
          <w:szCs w:val="24"/>
          <w:lang w:val="fr-CA"/>
        </w:rPr>
        <w:t xml:space="preserve">4.9i)) et </w:t>
      </w:r>
      <w:r w:rsidR="00C007F0">
        <w:rPr>
          <w:rFonts w:cs="Times New Roman"/>
          <w:szCs w:val="24"/>
          <w:lang w:val="fr-CA"/>
        </w:rPr>
        <w:t xml:space="preserve">(ii) </w:t>
      </w:r>
      <w:r w:rsidRPr="00751B87">
        <w:rPr>
          <w:rFonts w:cs="Times New Roman"/>
          <w:szCs w:val="24"/>
          <w:lang w:val="fr-CA"/>
        </w:rPr>
        <w:t>que, selon lui,  « il n’existe actuellement aucun conflit d’intérêts — ni aucune possibilité d’un tel conflit — [. . .] dont on pourrait raisonnablement s’attendre qu’il ait une incidence importante sur la décision de l’éventuel acheteur d’investir ou non des capitaux » (art</w:t>
      </w:r>
      <w:r>
        <w:rPr>
          <w:rFonts w:cs="Times New Roman"/>
          <w:szCs w:val="24"/>
          <w:lang w:val="fr-CA"/>
        </w:rPr>
        <w:t>. </w:t>
      </w:r>
      <w:r w:rsidRPr="00751B87">
        <w:rPr>
          <w:rFonts w:cs="Times New Roman"/>
          <w:szCs w:val="24"/>
          <w:lang w:val="fr-CA"/>
        </w:rPr>
        <w:t>4.11).</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Pour établir les éléments subjectif et objectif du moyen de défense, le VAC a fait la preuve </w:t>
      </w:r>
      <w:r w:rsidR="00C007F0">
        <w:rPr>
          <w:rFonts w:cs="Times New Roman"/>
          <w:szCs w:val="24"/>
          <w:lang w:val="fr-CA"/>
        </w:rPr>
        <w:t xml:space="preserve">(i) </w:t>
      </w:r>
      <w:r w:rsidRPr="00751B87">
        <w:rPr>
          <w:rFonts w:cs="Times New Roman"/>
          <w:szCs w:val="24"/>
          <w:lang w:val="fr-CA"/>
        </w:rPr>
        <w:t xml:space="preserve">de la pratique au sein de l’industrie, d’une part, et </w:t>
      </w:r>
      <w:r w:rsidR="00C007F0">
        <w:rPr>
          <w:rFonts w:cs="Times New Roman"/>
          <w:szCs w:val="24"/>
          <w:lang w:val="fr-CA"/>
        </w:rPr>
        <w:t xml:space="preserve">(ii) </w:t>
      </w:r>
      <w:r w:rsidRPr="00751B87">
        <w:rPr>
          <w:rFonts w:cs="Times New Roman"/>
          <w:szCs w:val="24"/>
          <w:lang w:val="fr-CA"/>
        </w:rPr>
        <w:t xml:space="preserve">du fait </w:t>
      </w:r>
      <w:r w:rsidRPr="00751B87">
        <w:rPr>
          <w:rFonts w:cs="Times New Roman"/>
          <w:szCs w:val="24"/>
          <w:lang w:val="fr-CA"/>
        </w:rPr>
        <w:lastRenderedPageBreak/>
        <w:t xml:space="preserve">qu’il disposait de peu de moyens pour favoriser le Marriott au détriment du Hilton et qu’il avait peu d’intérêt à le faire, d’autre part.  Fait important à signaler, </w:t>
      </w:r>
      <w:proofErr w:type="spellStart"/>
      <w:r w:rsidRPr="00751B87">
        <w:rPr>
          <w:rFonts w:cs="Times New Roman"/>
          <w:szCs w:val="24"/>
          <w:lang w:val="fr-CA"/>
        </w:rPr>
        <w:t>Sharbern</w:t>
      </w:r>
      <w:proofErr w:type="spellEnd"/>
      <w:r w:rsidRPr="00751B87">
        <w:rPr>
          <w:rFonts w:cs="Times New Roman"/>
          <w:szCs w:val="24"/>
          <w:lang w:val="fr-CA"/>
        </w:rPr>
        <w:t xml:space="preserve"> n’a pas attiré l’attention de la Cour sur une preuve quelconque tendant à réfuter le moyen de défense.</w:t>
      </w:r>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lang w:val="fr-CA"/>
        </w:rPr>
      </w:pPr>
      <w:r w:rsidRPr="00751B87">
        <w:rPr>
          <w:rFonts w:cs="Times New Roman"/>
          <w:szCs w:val="24"/>
          <w:lang w:val="fr-CA"/>
        </w:rPr>
        <w:tab/>
      </w:r>
      <w:bookmarkStart w:id="27" w:name="_Toc308445326"/>
      <w:r w:rsidRPr="00751B87">
        <w:rPr>
          <w:rFonts w:cs="Times New Roman"/>
          <w:szCs w:val="24"/>
          <w:lang w:val="fr-CA"/>
        </w:rPr>
        <w:t>(2)</w:t>
      </w:r>
      <w:r w:rsidRPr="00751B87">
        <w:rPr>
          <w:rFonts w:cs="Times New Roman"/>
          <w:szCs w:val="24"/>
          <w:lang w:val="fr-CA"/>
        </w:rPr>
        <w:tab/>
      </w:r>
      <w:r w:rsidRPr="00751B87">
        <w:rPr>
          <w:rFonts w:cs="Times New Roman"/>
          <w:szCs w:val="24"/>
          <w:u w:val="single"/>
          <w:lang w:val="fr-CA"/>
        </w:rPr>
        <w:t>Pratique au sein de l’industrie</w:t>
      </w:r>
      <w:bookmarkEnd w:id="27"/>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Selon le document du Hilton, </w:t>
      </w:r>
      <w:proofErr w:type="spellStart"/>
      <w:r w:rsidRPr="00751B87">
        <w:rPr>
          <w:rFonts w:cs="Times New Roman"/>
          <w:szCs w:val="24"/>
          <w:lang w:val="fr-CA"/>
        </w:rPr>
        <w:t>Larco</w:t>
      </w:r>
      <w:proofErr w:type="spellEnd"/>
      <w:r w:rsidR="00BE3C0B">
        <w:rPr>
          <w:rFonts w:cs="Times New Roman"/>
          <w:szCs w:val="24"/>
          <w:lang w:val="fr-CA"/>
        </w:rPr>
        <w:t xml:space="preserve"> </w:t>
      </w:r>
      <w:proofErr w:type="spellStart"/>
      <w:r w:rsidR="00BE3C0B">
        <w:rPr>
          <w:rFonts w:cs="Times New Roman"/>
          <w:szCs w:val="24"/>
          <w:lang w:val="fr-CA"/>
        </w:rPr>
        <w:t>Investments</w:t>
      </w:r>
      <w:proofErr w:type="spellEnd"/>
      <w:r w:rsidRPr="00751B87">
        <w:rPr>
          <w:rFonts w:cs="Times New Roman"/>
          <w:szCs w:val="24"/>
          <w:lang w:val="fr-CA"/>
        </w:rPr>
        <w:t xml:space="preserve">, société mère du VAC, possédait ou administrait </w:t>
      </w:r>
      <w:proofErr w:type="spellStart"/>
      <w:r w:rsidRPr="00751B87">
        <w:rPr>
          <w:rFonts w:cs="Times New Roman"/>
          <w:szCs w:val="24"/>
          <w:lang w:val="fr-CA"/>
        </w:rPr>
        <w:t>elle</w:t>
      </w:r>
      <w:r w:rsidRPr="00751B87">
        <w:rPr>
          <w:rFonts w:cs="Times New Roman"/>
          <w:szCs w:val="24"/>
          <w:lang w:val="fr-CA"/>
        </w:rPr>
        <w:noBreakHyphen/>
        <w:t>même</w:t>
      </w:r>
      <w:proofErr w:type="spellEnd"/>
      <w:r w:rsidRPr="00751B87">
        <w:rPr>
          <w:rFonts w:cs="Times New Roman"/>
          <w:szCs w:val="24"/>
          <w:lang w:val="fr-CA"/>
        </w:rPr>
        <w:t xml:space="preserve"> ou par l’entremise de ses filiales à la fois un hôtel Delta et un </w:t>
      </w:r>
      <w:proofErr w:type="spellStart"/>
      <w:r w:rsidRPr="00751B87">
        <w:rPr>
          <w:rFonts w:cs="Times New Roman"/>
          <w:szCs w:val="24"/>
          <w:lang w:val="fr-CA"/>
        </w:rPr>
        <w:t>Ramada</w:t>
      </w:r>
      <w:proofErr w:type="spellEnd"/>
      <w:r w:rsidRPr="00751B87">
        <w:rPr>
          <w:rFonts w:cs="Times New Roman"/>
          <w:szCs w:val="24"/>
          <w:lang w:val="fr-CA"/>
        </w:rPr>
        <w:t xml:space="preserve"> à Vancouver, un Holiday Inn à Whistler, un Delta et un Radisson à Toronto et d’autres hôtels ailleurs au Canada.  Comme l’a souligné la Cour d’appel, </w:t>
      </w:r>
      <w:r w:rsidRPr="00751B87">
        <w:rPr>
          <w:rFonts w:cs="Times New Roman"/>
          <w:smallCaps/>
          <w:szCs w:val="24"/>
          <w:lang w:val="fr-CA"/>
        </w:rPr>
        <w:t>[traduction]</w:t>
      </w:r>
      <w:r w:rsidRPr="00751B87">
        <w:rPr>
          <w:rFonts w:cs="Times New Roman"/>
          <w:szCs w:val="24"/>
          <w:lang w:val="fr-CA"/>
        </w:rPr>
        <w:t xml:space="preserve"> « [l]e VAC a produit une preuve factuelle et une preuve d’expert abondantes sur la pratique au sein de l’industrie dans les cas où une seule entité administre plusieurs hôtels.  Aucune preuve contraire n’a été présentée et aucun élément de preuve objectif ne permettait de conclure que l’investisseur raisonnable se serait soucié des modalités des ententes financières » (par. 76).</w:t>
      </w:r>
    </w:p>
    <w:p w:rsidR="0062110E" w:rsidRPr="00751B87" w:rsidRDefault="0062110E" w:rsidP="0062110E">
      <w:pPr>
        <w:pStyle w:val="ParaNoNdepar-AltN"/>
        <w:rPr>
          <w:rFonts w:cs="Times New Roman"/>
          <w:szCs w:val="24"/>
          <w:lang w:val="fr-CA"/>
        </w:rPr>
      </w:pPr>
      <w:r w:rsidRPr="00751B87">
        <w:rPr>
          <w:rFonts w:cs="Times New Roman"/>
          <w:szCs w:val="24"/>
          <w:lang w:val="fr-CA"/>
        </w:rPr>
        <w:t>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a rejeté la preuve soumise par le VAC quant à la pratique au sein de l’industrie, soulignant qu’elle avait </w:t>
      </w:r>
      <w:r w:rsidRPr="00751B87">
        <w:rPr>
          <w:rFonts w:cs="Times New Roman"/>
          <w:smallCaps/>
          <w:szCs w:val="24"/>
          <w:lang w:val="fr-CA"/>
        </w:rPr>
        <w:t>[traduction]</w:t>
      </w:r>
      <w:r w:rsidRPr="00751B87">
        <w:rPr>
          <w:rFonts w:cs="Times New Roman"/>
          <w:szCs w:val="24"/>
          <w:lang w:val="fr-CA"/>
        </w:rPr>
        <w:t xml:space="preserve"> « peu de valeur probante » pour décider si l’administration commune du Hilton et du Marriott engendrait un conflit d’intérêts (par. 296).  Elle en est venue à cette conclusion car, selon elle, </w:t>
      </w:r>
    </w:p>
    <w:p w:rsidR="0062110E" w:rsidRPr="00751B87" w:rsidRDefault="0062110E" w:rsidP="0062110E">
      <w:pPr>
        <w:pStyle w:val="Citation-AltC"/>
        <w:ind w:hanging="1166"/>
        <w:rPr>
          <w:lang w:val="fr-CA"/>
        </w:rPr>
      </w:pPr>
      <w:r w:rsidRPr="00751B87">
        <w:rPr>
          <w:smallCaps/>
          <w:lang w:val="fr-CA"/>
        </w:rPr>
        <w:lastRenderedPageBreak/>
        <w:tab/>
        <w:t>[traduction]</w:t>
      </w:r>
      <w:r w:rsidRPr="00751B87">
        <w:rPr>
          <w:lang w:val="fr-CA"/>
        </w:rPr>
        <w:t xml:space="preserve">  ni le VAC (ni ses experts) n’ont présenté de preuve sur les questions de savoir si les propriétés en cause faisaient partie du même ensemble concurrentiel, si les frais d’administration ou les autres ententes financières auxquelles elles étaient assujetties étaient les mêmes, si ces détails avaient été communiqués aux propriétaires, et, surtout, si les investisseurs avaient été informés du fait que l’administration commune des hôtels engendrait des conflits d’intérêts ou était susceptible de le faire.  [</w:t>
      </w:r>
      <w:proofErr w:type="gramStart"/>
      <w:r w:rsidR="00C007F0" w:rsidRPr="00C007F0">
        <w:rPr>
          <w:i/>
          <w:lang w:val="fr-CA"/>
        </w:rPr>
        <w:t>ibid</w:t>
      </w:r>
      <w:proofErr w:type="gramEnd"/>
      <w:r w:rsidR="00C007F0" w:rsidRPr="00C007F0">
        <w:rPr>
          <w:i/>
          <w:lang w:val="fr-CA"/>
        </w:rPr>
        <w:t>.</w:t>
      </w:r>
      <w:r w:rsidRPr="00751B87">
        <w:rPr>
          <w:lang w:val="fr-CA"/>
        </w:rPr>
        <w:t>]</w:t>
      </w:r>
    </w:p>
    <w:p w:rsidR="0062110E" w:rsidRPr="00751B87" w:rsidRDefault="0062110E" w:rsidP="0062110E">
      <w:pPr>
        <w:pStyle w:val="ContinueReasonsNo-AltP"/>
        <w:rPr>
          <w:rFonts w:cs="Times New Roman"/>
          <w:szCs w:val="24"/>
          <w:lang w:val="fr-CA"/>
        </w:rPr>
      </w:pPr>
      <w:r w:rsidRPr="00751B87">
        <w:rPr>
          <w:rFonts w:cs="Times New Roman"/>
          <w:szCs w:val="24"/>
          <w:lang w:val="fr-CA"/>
        </w:rPr>
        <w:t>Toutefois, je suis d’avis que l’affirmation de la juge</w:t>
      </w:r>
      <w:r>
        <w:rPr>
          <w:rFonts w:cs="Times New Roman"/>
          <w:szCs w:val="24"/>
          <w:lang w:val="fr-CA"/>
        </w:rPr>
        <w:t> </w:t>
      </w:r>
      <w:proofErr w:type="spellStart"/>
      <w:r>
        <w:rPr>
          <w:rFonts w:cs="Times New Roman"/>
          <w:szCs w:val="24"/>
          <w:lang w:val="fr-CA"/>
        </w:rPr>
        <w:t>Wedge</w:t>
      </w:r>
      <w:proofErr w:type="spellEnd"/>
      <w:r>
        <w:rPr>
          <w:rFonts w:cs="Times New Roman"/>
          <w:szCs w:val="24"/>
          <w:lang w:val="fr-CA"/>
        </w:rPr>
        <w:t xml:space="preserve"> </w:t>
      </w:r>
      <w:r w:rsidRPr="00751B87">
        <w:rPr>
          <w:rFonts w:cs="Times New Roman"/>
          <w:szCs w:val="24"/>
          <w:lang w:val="fr-CA"/>
        </w:rPr>
        <w:t>qu</w:t>
      </w:r>
      <w:r w:rsidR="00C007F0">
        <w:rPr>
          <w:rFonts w:cs="Times New Roman"/>
          <w:szCs w:val="24"/>
          <w:lang w:val="fr-CA"/>
        </w:rPr>
        <w:t>’</w:t>
      </w:r>
      <w:r w:rsidRPr="00751B87">
        <w:rPr>
          <w:rFonts w:cs="Times New Roman"/>
          <w:szCs w:val="24"/>
          <w:lang w:val="fr-CA"/>
        </w:rPr>
        <w:t>aucune preuve n’a été produite constituait une erreur de droit, car il y avait de la preuve</w:t>
      </w:r>
      <w:r w:rsidRPr="00751B87" w:rsidDel="00E75D93">
        <w:rPr>
          <w:rFonts w:cs="Times New Roman"/>
          <w:szCs w:val="24"/>
          <w:lang w:val="fr-CA"/>
        </w:rPr>
        <w:t>.</w:t>
      </w:r>
      <w:r w:rsidRPr="00751B87">
        <w:rPr>
          <w:rFonts w:cs="Times New Roman"/>
          <w:szCs w:val="24"/>
          <w:lang w:val="fr-CA"/>
        </w:rPr>
        <w:t xml:space="preserve">  En outre, la preuve que l’administration commune de certains établissements n’engendre aucun conflit d’intérêts important peut ne pas être en soi très utile pour établir ou réfuter l’existence d’un tel conflit dans un autre contexte, mais la preuve qu’on permet souvent à des administrateurs d’hôtel de travailler pour des concurrents est, quant à elle, pertinente pour décider si les conflits d’intérêts engendrés par de telles situations sont, de façon générale, considérés importants.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VAC a présenté une preuve établissant qu’il arrive souvent, au sein de l’industrie, que divers hôtels faisant partie du même marché et l’objet de contrats d’administration et d’ententes financières qui leur sont propres soient néanmoins administrés en commun pour le compte de propriétaires distincts qui ignorent les modalités des contrats conclus à l’égard des hôtels autres que les leurs.  Or, les témoins du VAC, notamment </w:t>
      </w:r>
      <w:proofErr w:type="spellStart"/>
      <w:r w:rsidRPr="00751B87">
        <w:rPr>
          <w:rFonts w:cs="Times New Roman"/>
          <w:szCs w:val="24"/>
          <w:lang w:val="fr-CA"/>
        </w:rPr>
        <w:t>Joann</w:t>
      </w:r>
      <w:proofErr w:type="spellEnd"/>
      <w:r w:rsidRPr="00751B87">
        <w:rPr>
          <w:rFonts w:cs="Times New Roman"/>
          <w:szCs w:val="24"/>
          <w:lang w:val="fr-CA"/>
        </w:rPr>
        <w:t xml:space="preserve"> </w:t>
      </w:r>
      <w:proofErr w:type="spellStart"/>
      <w:r w:rsidRPr="00751B87">
        <w:rPr>
          <w:rFonts w:cs="Times New Roman"/>
          <w:szCs w:val="24"/>
          <w:lang w:val="fr-CA"/>
        </w:rPr>
        <w:t>Pfeifer</w:t>
      </w:r>
      <w:proofErr w:type="spellEnd"/>
      <w:r w:rsidRPr="00751B87">
        <w:rPr>
          <w:rFonts w:cs="Times New Roman"/>
          <w:szCs w:val="24"/>
          <w:lang w:val="fr-CA"/>
        </w:rPr>
        <w:t xml:space="preserve">, ont affirmé qu’ils croyaient que l’administration commune des hôtels permettrait à ces derniers de maximiser leurs profits.  </w:t>
      </w:r>
      <w:proofErr w:type="spellStart"/>
      <w:r w:rsidRPr="00751B87">
        <w:rPr>
          <w:rFonts w:cs="Times New Roman"/>
          <w:szCs w:val="24"/>
          <w:lang w:val="fr-CA"/>
        </w:rPr>
        <w:t>Joel</w:t>
      </w:r>
      <w:proofErr w:type="spellEnd"/>
      <w:r w:rsidRPr="00751B87">
        <w:rPr>
          <w:rFonts w:cs="Times New Roman"/>
          <w:szCs w:val="24"/>
          <w:lang w:val="fr-CA"/>
        </w:rPr>
        <w:t xml:space="preserve"> </w:t>
      </w:r>
      <w:proofErr w:type="spellStart"/>
      <w:r w:rsidRPr="00751B87">
        <w:rPr>
          <w:rFonts w:cs="Times New Roman"/>
          <w:szCs w:val="24"/>
          <w:lang w:val="fr-CA"/>
        </w:rPr>
        <w:t>Rosen</w:t>
      </w:r>
      <w:proofErr w:type="spellEnd"/>
      <w:r w:rsidRPr="00751B87">
        <w:rPr>
          <w:rFonts w:cs="Times New Roman"/>
          <w:szCs w:val="24"/>
          <w:lang w:val="fr-CA"/>
        </w:rPr>
        <w:t>, reconnu en tant qu’</w:t>
      </w:r>
      <w:proofErr w:type="spellStart"/>
      <w:r w:rsidRPr="00751B87">
        <w:rPr>
          <w:rFonts w:cs="Times New Roman"/>
          <w:szCs w:val="24"/>
          <w:lang w:val="fr-CA"/>
        </w:rPr>
        <w:t>expert</w:t>
      </w:r>
      <w:r w:rsidRPr="00751B87">
        <w:rPr>
          <w:rFonts w:cs="Times New Roman"/>
          <w:szCs w:val="24"/>
          <w:lang w:val="fr-CA"/>
        </w:rPr>
        <w:noBreakHyphen/>
        <w:t>conseil</w:t>
      </w:r>
      <w:proofErr w:type="spellEnd"/>
      <w:r w:rsidRPr="00751B87">
        <w:rPr>
          <w:rFonts w:cs="Times New Roman"/>
          <w:szCs w:val="24"/>
          <w:lang w:val="fr-CA"/>
        </w:rPr>
        <w:t xml:space="preserve"> au sein de l’industrie hôtelière, </w:t>
      </w:r>
      <w:r w:rsidRPr="00751B87">
        <w:rPr>
          <w:rFonts w:cs="Times New Roman"/>
          <w:szCs w:val="24"/>
          <w:lang w:val="fr-CA"/>
        </w:rPr>
        <w:lastRenderedPageBreak/>
        <w:t xml:space="preserve">a témoigné qu’il arrivait souvent que le même administrateur s’occupe en même temps d’hôtels se faisant concurrence au sein du même marché, et que cette pratique </w:t>
      </w:r>
      <w:r w:rsidRPr="00751B87">
        <w:rPr>
          <w:rFonts w:cs="Times New Roman"/>
          <w:smallCaps/>
          <w:szCs w:val="24"/>
          <w:lang w:val="fr-CA"/>
        </w:rPr>
        <w:t>[traduction]</w:t>
      </w:r>
      <w:r w:rsidRPr="00751B87">
        <w:rPr>
          <w:rFonts w:cs="Times New Roman"/>
          <w:szCs w:val="24"/>
          <w:lang w:val="fr-CA"/>
        </w:rPr>
        <w:t xml:space="preserve"> « avait cours depuis de nombreuses années » (d.i., vol. 6, p. 1159).  Dans son rapport d’expert, il a opiné </w:t>
      </w:r>
      <w:proofErr w:type="gramStart"/>
      <w:r w:rsidRPr="00751B87">
        <w:rPr>
          <w:rFonts w:cs="Times New Roman"/>
          <w:szCs w:val="24"/>
          <w:lang w:val="fr-CA"/>
        </w:rPr>
        <w:t>qu</w:t>
      </w:r>
      <w:r w:rsidR="00BE3C0B">
        <w:rPr>
          <w:rFonts w:cs="Times New Roman"/>
          <w:szCs w:val="24"/>
          <w:lang w:val="fr-CA"/>
        </w:rPr>
        <w:t>’</w:t>
      </w:r>
      <w:r w:rsidRPr="00751B87">
        <w:rPr>
          <w:rFonts w:cs="Times New Roman"/>
          <w:smallCaps/>
          <w:szCs w:val="24"/>
          <w:lang w:val="fr-CA"/>
        </w:rPr>
        <w:t>[</w:t>
      </w:r>
      <w:proofErr w:type="gramEnd"/>
      <w:r w:rsidRPr="00751B87">
        <w:rPr>
          <w:rFonts w:cs="Times New Roman"/>
          <w:smallCaps/>
          <w:szCs w:val="24"/>
          <w:lang w:val="fr-CA"/>
        </w:rPr>
        <w:t>traduction]</w:t>
      </w:r>
      <w:r w:rsidRPr="00751B87">
        <w:rPr>
          <w:rFonts w:cs="Times New Roman"/>
          <w:szCs w:val="24"/>
          <w:lang w:val="fr-CA"/>
        </w:rPr>
        <w:t xml:space="preserve"> « il n’est pas rare qu’une société d’administration hôtelière exploite de nombreux établissements hôteliers se faisant concurrence au sein du même marché » (d.i., vol. 30, p. 6006).  À titre d’exemple, il a fait mention de certains hôtels de luxe dans diverses villes américaines, déclarant ce qui suit :</w:t>
      </w:r>
    </w:p>
    <w:p w:rsidR="0062110E" w:rsidRPr="00751B87" w:rsidRDefault="0062110E" w:rsidP="0062110E">
      <w:pPr>
        <w:pStyle w:val="Citation-AltC"/>
        <w:spacing w:after="240"/>
        <w:ind w:hanging="1166"/>
        <w:contextualSpacing w:val="0"/>
        <w:rPr>
          <w:lang w:val="fr-CA"/>
        </w:rPr>
      </w:pPr>
      <w:r w:rsidRPr="00751B87">
        <w:rPr>
          <w:smallCaps/>
          <w:lang w:val="fr-CA"/>
        </w:rPr>
        <w:tab/>
        <w:t>[traduction</w:t>
      </w:r>
      <w:proofErr w:type="gramStart"/>
      <w:r w:rsidRPr="00751B87">
        <w:rPr>
          <w:smallCaps/>
          <w:lang w:val="fr-CA"/>
        </w:rPr>
        <w:t>]</w:t>
      </w:r>
      <w:r>
        <w:rPr>
          <w:smallCaps/>
          <w:lang w:val="fr-CA"/>
        </w:rPr>
        <w:t xml:space="preserve"> </w:t>
      </w:r>
      <w:r w:rsidRPr="00751B87">
        <w:rPr>
          <w:lang w:val="fr-CA"/>
        </w:rPr>
        <w:t xml:space="preserve"> .</w:t>
      </w:r>
      <w:proofErr w:type="gramEnd"/>
      <w:r w:rsidRPr="00751B87">
        <w:rPr>
          <w:lang w:val="fr-CA"/>
        </w:rPr>
        <w:t xml:space="preserve"> . . les contrats d’administration peuvent être identiques dans chaque ville ou bien ils peuvent différer, selon les négociations qui ont mené à leur conclusion.  Il se peut que les frais diffèrent, de même que le calcul des primes de performance, les clauses de résiliation, etc.  </w:t>
      </w:r>
      <w:r w:rsidRPr="00751B87">
        <w:rPr>
          <w:u w:val="single"/>
          <w:lang w:val="fr-CA"/>
        </w:rPr>
        <w:t>Les contrats ne sont pas du tout identiques dans chaque ville; de fait, le propriétaire d’un hôtel donné ignore les modalités du contrat conclu quant à l’autre hôtel dans la même ville.</w:t>
      </w:r>
    </w:p>
    <w:p w:rsidR="0062110E" w:rsidRPr="00751B87" w:rsidRDefault="0062110E" w:rsidP="0062110E">
      <w:pPr>
        <w:pStyle w:val="Citation-AltC"/>
        <w:ind w:hanging="1166"/>
        <w:rPr>
          <w:lang w:val="fr-CA"/>
        </w:rPr>
      </w:pPr>
      <w:r w:rsidRPr="00751B87">
        <w:rPr>
          <w:lang w:val="fr-CA"/>
        </w:rPr>
        <w:tab/>
        <w:t>(</w:t>
      </w:r>
      <w:r w:rsidR="00C007F0" w:rsidRPr="00C007F0">
        <w:rPr>
          <w:i/>
          <w:lang w:val="fr-CA"/>
        </w:rPr>
        <w:t>Ibid.</w:t>
      </w:r>
      <w:r w:rsidRPr="00751B87">
        <w:rPr>
          <w:lang w:val="fr-CA"/>
        </w:rPr>
        <w:t xml:space="preserve"> (je souligne))</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VAC a également produit de la preuve faisant état des points de vue et de l’expérience de ses dirigeants et cadres supérieurs.  Interrogé au sujet des hôtels appartenant à des propriétaires distincts mais faisant l’objet d’une administration commune, le seul administrateur et dirigeant du VAC, Amin </w:t>
      </w:r>
      <w:proofErr w:type="spellStart"/>
      <w:r w:rsidRPr="00751B87">
        <w:rPr>
          <w:rFonts w:cs="Times New Roman"/>
          <w:szCs w:val="24"/>
          <w:lang w:val="fr-CA"/>
        </w:rPr>
        <w:t>Lalji</w:t>
      </w:r>
      <w:proofErr w:type="spellEnd"/>
      <w:r w:rsidRPr="00751B87">
        <w:rPr>
          <w:rFonts w:cs="Times New Roman"/>
          <w:szCs w:val="24"/>
          <w:lang w:val="fr-CA"/>
        </w:rPr>
        <w:t xml:space="preserve">, a témoigné que </w:t>
      </w:r>
      <w:r w:rsidRPr="00751B87">
        <w:rPr>
          <w:rFonts w:cs="Times New Roman"/>
          <w:smallCaps/>
          <w:szCs w:val="24"/>
          <w:lang w:val="fr-CA"/>
        </w:rPr>
        <w:t>[traduction]</w:t>
      </w:r>
      <w:r w:rsidRPr="00751B87">
        <w:rPr>
          <w:rFonts w:cs="Times New Roman"/>
          <w:szCs w:val="24"/>
          <w:lang w:val="fr-CA"/>
        </w:rPr>
        <w:t xml:space="preserve"> « de nombreux exemples au sein du marché montrent que la plupart des sociétés hôtelières s’adonnent à la pratique qui consiste à administrer plusieurs hôtels pour le compte de propriétaires distincts »  (</w:t>
      </w:r>
      <w:proofErr w:type="gramStart"/>
      <w:r w:rsidRPr="00751B87">
        <w:rPr>
          <w:rFonts w:cs="Times New Roman"/>
          <w:szCs w:val="24"/>
          <w:lang w:val="fr-CA"/>
        </w:rPr>
        <w:t>d.i.,</w:t>
      </w:r>
      <w:proofErr w:type="gramEnd"/>
      <w:r w:rsidRPr="00751B87">
        <w:rPr>
          <w:rFonts w:cs="Times New Roman"/>
          <w:szCs w:val="24"/>
          <w:lang w:val="fr-CA"/>
        </w:rPr>
        <w:t xml:space="preserve"> vol. 8, p. 1478).  Il a ensuite donné des exemples d’administration commune d’hôtels se faisant concurrence en </w:t>
      </w:r>
      <w:proofErr w:type="spellStart"/>
      <w:r w:rsidRPr="00751B87">
        <w:rPr>
          <w:rFonts w:cs="Times New Roman"/>
          <w:szCs w:val="24"/>
          <w:lang w:val="fr-CA"/>
        </w:rPr>
        <w:lastRenderedPageBreak/>
        <w:t>Colombie</w:t>
      </w:r>
      <w:r w:rsidRPr="00751B87">
        <w:rPr>
          <w:rFonts w:cs="Times New Roman"/>
          <w:szCs w:val="24"/>
          <w:lang w:val="fr-CA"/>
        </w:rPr>
        <w:noBreakHyphen/>
        <w:t>Britannique</w:t>
      </w:r>
      <w:proofErr w:type="spellEnd"/>
      <w:r w:rsidRPr="00751B87">
        <w:rPr>
          <w:rFonts w:cs="Times New Roman"/>
          <w:szCs w:val="24"/>
          <w:lang w:val="fr-CA"/>
        </w:rPr>
        <w:t xml:space="preserve">.  Dans le même ordre d’idée, </w:t>
      </w:r>
      <w:proofErr w:type="spellStart"/>
      <w:r w:rsidRPr="00751B87">
        <w:rPr>
          <w:rFonts w:cs="Times New Roman"/>
          <w:szCs w:val="24"/>
          <w:lang w:val="fr-CA"/>
        </w:rPr>
        <w:t>Joann</w:t>
      </w:r>
      <w:proofErr w:type="spellEnd"/>
      <w:r w:rsidRPr="00751B87">
        <w:rPr>
          <w:rFonts w:cs="Times New Roman"/>
          <w:szCs w:val="24"/>
          <w:lang w:val="fr-CA"/>
        </w:rPr>
        <w:t> </w:t>
      </w:r>
      <w:proofErr w:type="spellStart"/>
      <w:r w:rsidRPr="00751B87">
        <w:rPr>
          <w:rFonts w:cs="Times New Roman"/>
          <w:szCs w:val="24"/>
          <w:lang w:val="fr-CA"/>
        </w:rPr>
        <w:t>Pfeifer</w:t>
      </w:r>
      <w:proofErr w:type="spellEnd"/>
      <w:r w:rsidRPr="00751B87">
        <w:rPr>
          <w:rFonts w:cs="Times New Roman"/>
          <w:szCs w:val="24"/>
          <w:lang w:val="fr-CA"/>
        </w:rPr>
        <w:t>, cadre supérieur du VAC embauché par M. </w:t>
      </w:r>
      <w:proofErr w:type="spellStart"/>
      <w:r w:rsidRPr="00751B87">
        <w:rPr>
          <w:rFonts w:cs="Times New Roman"/>
          <w:szCs w:val="24"/>
          <w:lang w:val="fr-CA"/>
        </w:rPr>
        <w:t>Lalji</w:t>
      </w:r>
      <w:proofErr w:type="spellEnd"/>
      <w:r w:rsidRPr="00751B87">
        <w:rPr>
          <w:rFonts w:cs="Times New Roman"/>
          <w:szCs w:val="24"/>
          <w:lang w:val="fr-CA"/>
        </w:rPr>
        <w:t>, a affirmé dans son témoignage qu’un certain nombre d’hôtels de la chaîne Delta à Vancouver étaient administrés par une seule société même s’ils appartenaient à des propriétaires distincts et que leurs administrateurs respectifs bénéficiaient de structures de rémunération qui leur étaient propres.</w:t>
      </w:r>
    </w:p>
    <w:p w:rsidR="0062110E" w:rsidRPr="00751B87" w:rsidRDefault="0062110E" w:rsidP="0062110E">
      <w:pPr>
        <w:pStyle w:val="ParaNoNdepar-AltN"/>
        <w:rPr>
          <w:rFonts w:cs="Times New Roman"/>
          <w:szCs w:val="24"/>
          <w:lang w:val="fr-CA"/>
        </w:rPr>
      </w:pPr>
      <w:r w:rsidRPr="00751B87">
        <w:rPr>
          <w:rFonts w:cs="Times New Roman"/>
          <w:szCs w:val="24"/>
          <w:lang w:val="fr-CA"/>
        </w:rPr>
        <w:t>La preuve révèle qu’il arrive souvent, au sein de l’industrie, que divers hôtels se faisant concurrence soient néanmoins administrés en commun pour le compte de propriétaires distincts qui ignorent les modalités des contrats conclus à l’égard des hôtels autres que les leurs.  Cette preuve permet d’inférer que le VAC était fondé à conclure, à la fois sur les plans subjectif et objectif, qu’on ne s’attendait pas de lui à ce qu’il fasse mention des différences de rémunération dans le document du Hilton et qu’il n’était pas tenu de le faire.</w:t>
      </w:r>
    </w:p>
    <w:p w:rsidR="0062110E" w:rsidRPr="00751B87" w:rsidRDefault="0062110E" w:rsidP="0062110E">
      <w:pPr>
        <w:pStyle w:val="TitleTitre-AltT"/>
        <w:keepNext/>
        <w:tabs>
          <w:tab w:val="clear" w:pos="360"/>
        </w:tabs>
        <w:spacing w:before="0"/>
        <w:ind w:left="1612" w:hanging="446"/>
        <w:rPr>
          <w:rFonts w:cs="Times New Roman"/>
          <w:szCs w:val="24"/>
          <w:lang w:val="fr-CA"/>
        </w:rPr>
      </w:pPr>
      <w:bookmarkStart w:id="28" w:name="_Toc308445327"/>
      <w:r w:rsidRPr="00751B87">
        <w:rPr>
          <w:rFonts w:cs="Times New Roman"/>
          <w:szCs w:val="24"/>
          <w:lang w:val="fr-CA"/>
        </w:rPr>
        <w:t>(3)</w:t>
      </w:r>
      <w:r w:rsidRPr="00751B87">
        <w:rPr>
          <w:rFonts w:cs="Times New Roman"/>
          <w:szCs w:val="24"/>
          <w:lang w:val="fr-CA"/>
        </w:rPr>
        <w:tab/>
      </w:r>
      <w:proofErr w:type="spellStart"/>
      <w:r w:rsidRPr="00751B87">
        <w:rPr>
          <w:rFonts w:cs="Times New Roman"/>
          <w:szCs w:val="24"/>
          <w:u w:val="single"/>
          <w:lang w:val="fr-CA"/>
        </w:rPr>
        <w:t>Paucité</w:t>
      </w:r>
      <w:proofErr w:type="spellEnd"/>
      <w:r w:rsidRPr="00751B87">
        <w:rPr>
          <w:rFonts w:cs="Times New Roman"/>
          <w:szCs w:val="24"/>
          <w:u w:val="single"/>
          <w:lang w:val="fr-CA"/>
        </w:rPr>
        <w:t xml:space="preserve"> des moyens pour favoriser le Marriott et faible intérêt à le faire</w:t>
      </w:r>
      <w:bookmarkEnd w:id="28"/>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preuve du peu de moyens dont disposait le VAC pour favoriser le Marriott au détriment du Hilton et du peu d’intérêt qu’il avait à le faire (que j’ai déjà résumée) est également pertinente quant à savoir si les éléments subjectif et objectif du moyen de défense prévu par la Loi ont été établis.  Par exemple, la preuve qui décrivait les détails des pratiques au sein de l’industrie, notamment celles que les hôtels suivaient en matière de relations avec leurs clients, qui pouvaient, d’une part, avoir une incidence sur les taux d’occupation et, d’autre part, limiter la capacité du </w:t>
      </w:r>
      <w:r w:rsidRPr="00751B87">
        <w:rPr>
          <w:rFonts w:cs="Times New Roman"/>
          <w:szCs w:val="24"/>
          <w:lang w:val="fr-CA"/>
        </w:rPr>
        <w:lastRenderedPageBreak/>
        <w:t>VAC d’inciter les clients du Hilton à aller au Marriott, est pertinente s’agissant de savoir s’il existait un fondement objectif à la croyance du VAC que les différences de rémunération n’étaient pas importantes.  Il a été mis en preuve que les taux d’occupation des hôtels étaient dans une large mesure fonction de facteurs indépendants tels les efforts de promotion sur les plans national et international.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Pour ce qui est de la clientèle obtenue sur le plan local, la juge </w:t>
      </w:r>
      <w:r>
        <w:rPr>
          <w:rFonts w:cs="Times New Roman"/>
          <w:szCs w:val="24"/>
          <w:lang w:val="fr-CA"/>
        </w:rPr>
        <w:t xml:space="preserve">de première instance </w:t>
      </w:r>
      <w:r w:rsidRPr="00751B87">
        <w:rPr>
          <w:rFonts w:cs="Times New Roman"/>
          <w:szCs w:val="24"/>
          <w:lang w:val="fr-CA"/>
        </w:rPr>
        <w:t xml:space="preserve">a souligné qu’elle résultait en grande partie d’un processus formel de demandes de propositions provenant d’entreprises.  Or, le VAC ne pouvait prendre part à ce processus qu’en conformité avec ses obligations contractuelles aux termes de l’entente sur l’administration des biens du Hilton, qui prévoyait qu’il administrerait le Hilton de façon raisonnable sur le plan commercial.  Pour éviter que sa responsabilité ne soit engagée pour rupture de contrat, le VAC ne pouvait d’aucune façon, dans le cadre de ce processus, faire la promotion des hôtels de manière à favoriser le Marriott au détriment du Hilton.  </w:t>
      </w:r>
      <w:r>
        <w:rPr>
          <w:rFonts w:cs="Times New Roman"/>
          <w:szCs w:val="24"/>
          <w:lang w:val="fr-CA"/>
        </w:rPr>
        <w:t xml:space="preserve">Par conséquent, le VAC avait des raisons objectives de croire que, même si les différences de rémunération </w:t>
      </w:r>
      <w:r w:rsidRPr="00751B87">
        <w:rPr>
          <w:rFonts w:cs="Times New Roman"/>
          <w:szCs w:val="24"/>
          <w:lang w:val="fr-CA"/>
        </w:rPr>
        <w:t>incitaient à favoriser le Marriott, il n’aurait pas pu</w:t>
      </w:r>
      <w:r>
        <w:rPr>
          <w:rFonts w:cs="Times New Roman"/>
          <w:szCs w:val="24"/>
          <w:lang w:val="fr-CA"/>
        </w:rPr>
        <w:t>, et ce même s’il avait tenté de le faire, influencer de façon appréciable les</w:t>
      </w:r>
      <w:r w:rsidRPr="00751B87">
        <w:rPr>
          <w:rFonts w:cs="Times New Roman"/>
          <w:szCs w:val="24"/>
          <w:lang w:val="fr-CA"/>
        </w:rPr>
        <w:t xml:space="preserve"> taux d’occupation </w:t>
      </w:r>
      <w:r>
        <w:rPr>
          <w:rFonts w:cs="Times New Roman"/>
          <w:szCs w:val="24"/>
          <w:lang w:val="fr-CA"/>
        </w:rPr>
        <w:t xml:space="preserve">relatifs </w:t>
      </w:r>
      <w:r w:rsidRPr="00751B87">
        <w:rPr>
          <w:rFonts w:cs="Times New Roman"/>
          <w:szCs w:val="24"/>
          <w:lang w:val="fr-CA"/>
        </w:rPr>
        <w:t xml:space="preserve">du </w:t>
      </w:r>
      <w:r>
        <w:rPr>
          <w:rFonts w:cs="Times New Roman"/>
          <w:szCs w:val="24"/>
          <w:lang w:val="fr-CA"/>
        </w:rPr>
        <w:t xml:space="preserve">Hilton et du </w:t>
      </w:r>
      <w:r w:rsidRPr="00751B87">
        <w:rPr>
          <w:rFonts w:cs="Times New Roman"/>
          <w:szCs w:val="24"/>
          <w:lang w:val="fr-CA"/>
        </w:rPr>
        <w:t>Marriott.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Par ailleurs, les éléments de preuve établissant ce que le VAC savait et ce qui motivait ses décisions étaient aussi utiles à l’enquête.  Ils comprenaient le témoignage d’un cadre supérieur du VAC, qui a affirmé qu’elle n’aurait pas pu retenir </w:t>
      </w:r>
      <w:r w:rsidRPr="00751B87">
        <w:rPr>
          <w:rFonts w:cs="Times New Roman"/>
          <w:szCs w:val="24"/>
          <w:lang w:val="fr-CA"/>
        </w:rPr>
        <w:lastRenderedPageBreak/>
        <w:t xml:space="preserve">les services d’administrateurs tenus de favoriser un hôtel au détriment de l’autre.  En outre, l’un des dirigeants du VAC a dit dans son témoignage que ni </w:t>
      </w:r>
      <w:proofErr w:type="spellStart"/>
      <w:r w:rsidRPr="00751B87">
        <w:rPr>
          <w:rFonts w:cs="Times New Roman"/>
          <w:szCs w:val="24"/>
          <w:lang w:val="fr-CA"/>
        </w:rPr>
        <w:t>Larco</w:t>
      </w:r>
      <w:proofErr w:type="spellEnd"/>
      <w:r w:rsidR="0073544F">
        <w:rPr>
          <w:rFonts w:cs="Times New Roman"/>
          <w:szCs w:val="24"/>
          <w:lang w:val="fr-CA"/>
        </w:rPr>
        <w:t xml:space="preserve"> </w:t>
      </w:r>
      <w:proofErr w:type="spellStart"/>
      <w:r w:rsidR="0073544F">
        <w:rPr>
          <w:rFonts w:cs="Times New Roman"/>
          <w:szCs w:val="24"/>
          <w:lang w:val="fr-CA"/>
        </w:rPr>
        <w:t>Investments</w:t>
      </w:r>
      <w:proofErr w:type="spellEnd"/>
      <w:r w:rsidRPr="00751B87">
        <w:rPr>
          <w:rFonts w:cs="Times New Roman"/>
          <w:szCs w:val="24"/>
          <w:lang w:val="fr-CA"/>
        </w:rPr>
        <w:t>, ni le VAC n’aurait mis sa réputation en péril en favorisant un hôtel au détriment de l’autre.</w:t>
      </w:r>
    </w:p>
    <w:p w:rsidR="0062110E" w:rsidRPr="00751B87" w:rsidRDefault="0062110E" w:rsidP="0062110E">
      <w:pPr>
        <w:pStyle w:val="ParaNoNdepar-AltN"/>
        <w:rPr>
          <w:rFonts w:cs="Times New Roman"/>
          <w:szCs w:val="24"/>
          <w:lang w:val="fr-CA"/>
        </w:rPr>
      </w:pPr>
      <w:r w:rsidRPr="00751B87">
        <w:rPr>
          <w:rFonts w:cs="Times New Roman"/>
          <w:szCs w:val="24"/>
          <w:lang w:val="fr-CA"/>
        </w:rPr>
        <w:t>De plus, la preuve relative au fait que le Marriott, le Richmond Inn et le Hilton se partageaient ressources et dépenses, par exemple en concluant des contrats en commun afin d’offrir un service navette entre les hôtels et l’aéroport, un service de transport des membres d’équipage, des services de nettoyage à sec et de buanderie, et un service de transport par véhicules blindés, et en se dotant d’un personnel conjoint auquel certaines fonctions comme celles d’ingénieur en chef, de chef des services ménagers et de commis de paye étaient confiées, étaye la croyance du VAC que le Hilton tirait avantage de l’administration commune des hôtels.  Selon moi, il est raisonnable de penser que les économies que permettaient de réaliser la mise en commun de ces services et la possibilité de transférer une part de clientèle d’un hôtel à l’autre ont pu avoir une incidence sur l’appréciation du VAC de l’importance des différences de rémunération.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Selon le </w:t>
      </w:r>
      <w:proofErr w:type="spellStart"/>
      <w:r w:rsidRPr="00751B87">
        <w:rPr>
          <w:rFonts w:cs="Times New Roman"/>
          <w:szCs w:val="24"/>
          <w:lang w:val="fr-CA"/>
        </w:rPr>
        <w:t>sous</w:t>
      </w:r>
      <w:r w:rsidRPr="00751B87">
        <w:rPr>
          <w:rFonts w:cs="Times New Roman"/>
          <w:szCs w:val="24"/>
          <w:lang w:val="fr-CA"/>
        </w:rPr>
        <w:noBreakHyphen/>
        <w:t>al</w:t>
      </w:r>
      <w:proofErr w:type="spellEnd"/>
      <w:r>
        <w:rPr>
          <w:rFonts w:cs="Times New Roman"/>
          <w:szCs w:val="24"/>
          <w:lang w:val="fr-CA"/>
        </w:rPr>
        <w:t>. </w:t>
      </w:r>
      <w:r w:rsidRPr="00751B87">
        <w:rPr>
          <w:rFonts w:cs="Times New Roman"/>
          <w:szCs w:val="24"/>
          <w:lang w:val="fr-CA"/>
        </w:rPr>
        <w:t>75(2)</w:t>
      </w:r>
      <w:r w:rsidRPr="0073544F">
        <w:rPr>
          <w:rFonts w:cs="Times New Roman"/>
          <w:szCs w:val="24"/>
          <w:lang w:val="fr-CA"/>
        </w:rPr>
        <w:t>b</w:t>
      </w:r>
      <w:proofErr w:type="gramStart"/>
      <w:r w:rsidRPr="00751B87">
        <w:rPr>
          <w:rFonts w:cs="Times New Roman"/>
          <w:szCs w:val="24"/>
          <w:lang w:val="fr-CA"/>
        </w:rPr>
        <w:t>)(</w:t>
      </w:r>
      <w:proofErr w:type="gramEnd"/>
      <w:r w:rsidRPr="00751B87">
        <w:rPr>
          <w:rFonts w:cs="Times New Roman"/>
          <w:szCs w:val="24"/>
          <w:lang w:val="fr-CA"/>
        </w:rPr>
        <w:t>viii) de la Loi, il faut apprécier les croyances qu’avait le VAC [</w:t>
      </w:r>
      <w:r w:rsidRPr="00751B87">
        <w:rPr>
          <w:rFonts w:cs="Times New Roman"/>
          <w:smallCaps/>
          <w:szCs w:val="24"/>
          <w:lang w:val="fr-CA"/>
        </w:rPr>
        <w:t>traduction</w:t>
      </w:r>
      <w:r w:rsidRPr="00751B87">
        <w:rPr>
          <w:rFonts w:cs="Times New Roman"/>
          <w:szCs w:val="24"/>
          <w:lang w:val="fr-CA"/>
        </w:rPr>
        <w:t xml:space="preserve">] « jusqu’au moment de la vente ».  À l’époque où les unités ont été mises en vente, on s’attendait à ce que les taux d’occupation demeurent élevés.  Il ressort de la preuve que le VAC ne se serait alors pas préoccupé du fait que sa responsabilité pouvait être engagée en raison de la garantie de rendement brut </w:t>
      </w:r>
      <w:r w:rsidRPr="00751B87">
        <w:rPr>
          <w:rFonts w:cs="Times New Roman"/>
          <w:szCs w:val="24"/>
          <w:lang w:val="fr-CA"/>
        </w:rPr>
        <w:lastRenderedPageBreak/>
        <w:t xml:space="preserve">accordée aux propriétaires du Marriott, surtout compte tenu du fait que, toujours selon la preuve, il comptait faire la même offre aux propriétaires du Hilton jusqu’à ce que ses conseillers juridiques l’en dissuadent.  Dans le même ordre d’idée, il avait diminué les frais d’administration imposés aux propriétaires du Hilton, non pas dans le but de se procurer un avantage ou de favoriser les propriétaires du Marriott, mais plutôt afin de faire augmenter les revenus des propriétaires du Hilton.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Selon moi, la preuve étaye la prétention du VAC qu’il croyait subjectivement, sur la base de motifs raisonnables, que les ententes financières relatives à l’un et l’autre projet étaient similaires malgré les différences mineures qu’elles présentaient.  Ce n’est pas par hasard que l’action de </w:t>
      </w:r>
      <w:proofErr w:type="spellStart"/>
      <w:r w:rsidRPr="00751B87">
        <w:rPr>
          <w:rFonts w:cs="Times New Roman"/>
          <w:szCs w:val="24"/>
          <w:lang w:val="fr-CA"/>
        </w:rPr>
        <w:t>Sharbern</w:t>
      </w:r>
      <w:proofErr w:type="spellEnd"/>
      <w:r w:rsidRPr="00751B87">
        <w:rPr>
          <w:rFonts w:cs="Times New Roman"/>
          <w:szCs w:val="24"/>
          <w:lang w:val="fr-CA"/>
        </w:rPr>
        <w:t xml:space="preserve"> contre le VAC était principalement fondée sur des allégations de déclarations inexactes faites par négligence et de fraude concernant les projections financières.  Les taux d’occupation et l’incidence que les différences de rémunération ont pu avoir sur </w:t>
      </w:r>
      <w:proofErr w:type="spellStart"/>
      <w:r w:rsidRPr="00751B87">
        <w:rPr>
          <w:rFonts w:cs="Times New Roman"/>
          <w:szCs w:val="24"/>
          <w:lang w:val="fr-CA"/>
        </w:rPr>
        <w:t>ceux</w:t>
      </w:r>
      <w:r w:rsidRPr="00751B87">
        <w:rPr>
          <w:rFonts w:cs="Times New Roman"/>
          <w:szCs w:val="24"/>
          <w:lang w:val="fr-CA"/>
        </w:rPr>
        <w:noBreakHyphen/>
        <w:t>ci</w:t>
      </w:r>
      <w:proofErr w:type="spellEnd"/>
      <w:r w:rsidRPr="00751B87">
        <w:rPr>
          <w:rFonts w:cs="Times New Roman"/>
          <w:szCs w:val="24"/>
          <w:lang w:val="fr-CA"/>
        </w:rPr>
        <w:t xml:space="preserve"> ne semblent importants qu’avec le recul, au vu du changement de conjoncture économique, des attentats du 11 septembre 2001, de la crise du SRAS et de l’augmentation du nombre de chambres d’hôtel à Richmond.</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preuve produite par le VAC démontre, selon la prépondérance des probabilités, qu’il croyait subjectivement, sur la base de motifs raisonnables, que les différences de rémunération n’auraient eu aucune incidence importante sur la décision de tout acheteur éventuel d’investir ou non des capitaux, que ses ententes avec les propriétaires du Marriott étaient semblables à celles qu’il avait conclues avec les </w:t>
      </w:r>
      <w:r w:rsidRPr="00751B87">
        <w:rPr>
          <w:rFonts w:cs="Times New Roman"/>
          <w:szCs w:val="24"/>
          <w:lang w:val="fr-CA"/>
        </w:rPr>
        <w:lastRenderedPageBreak/>
        <w:t>propriétaires du Hilton, et que ses déclarations dans le document du Hilton étaient véridiques.</w:t>
      </w:r>
    </w:p>
    <w:p w:rsidR="0062110E" w:rsidRPr="00751B87" w:rsidRDefault="0062110E" w:rsidP="0062110E">
      <w:pPr>
        <w:pStyle w:val="TitleTitre-AltT"/>
        <w:keepNext/>
        <w:tabs>
          <w:tab w:val="clear" w:pos="360"/>
        </w:tabs>
        <w:spacing w:before="0"/>
        <w:ind w:left="1612" w:hanging="446"/>
        <w:rPr>
          <w:rFonts w:cs="Times New Roman"/>
          <w:szCs w:val="24"/>
          <w:lang w:val="fr-CA"/>
        </w:rPr>
      </w:pPr>
      <w:bookmarkStart w:id="29" w:name="_Toc308445328"/>
      <w:r w:rsidRPr="00751B87">
        <w:rPr>
          <w:rFonts w:cs="Times New Roman"/>
          <w:szCs w:val="24"/>
          <w:lang w:val="fr-CA"/>
        </w:rPr>
        <w:t>(4)</w:t>
      </w:r>
      <w:r w:rsidRPr="00751B87">
        <w:rPr>
          <w:rFonts w:cs="Times New Roman"/>
          <w:szCs w:val="24"/>
          <w:lang w:val="fr-CA"/>
        </w:rPr>
        <w:tab/>
      </w:r>
      <w:r w:rsidRPr="00751B87">
        <w:rPr>
          <w:rFonts w:cs="Times New Roman"/>
          <w:szCs w:val="24"/>
          <w:u w:val="single"/>
          <w:lang w:val="fr-CA"/>
        </w:rPr>
        <w:t>Absence de preuve écartant le moyen de défense</w:t>
      </w:r>
      <w:bookmarkEnd w:id="29"/>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n’a attiré l’attention de la Cour sur aucune preuve ni aucun passage précis des motifs de la juge </w:t>
      </w:r>
      <w:r>
        <w:rPr>
          <w:rFonts w:cs="Times New Roman"/>
          <w:szCs w:val="24"/>
          <w:lang w:val="fr-CA"/>
        </w:rPr>
        <w:t xml:space="preserve">de première instance </w:t>
      </w:r>
      <w:r w:rsidRPr="00751B87">
        <w:rPr>
          <w:rFonts w:cs="Times New Roman"/>
          <w:szCs w:val="24"/>
          <w:lang w:val="fr-CA"/>
        </w:rPr>
        <w:t xml:space="preserve">pour écarter le moyen de défense établi par la preuve du VAC.  Au stade des plaidoiries, l’avocat de </w:t>
      </w:r>
      <w:proofErr w:type="spellStart"/>
      <w:r w:rsidRPr="00751B87">
        <w:rPr>
          <w:rFonts w:cs="Times New Roman"/>
          <w:szCs w:val="24"/>
          <w:lang w:val="fr-CA"/>
        </w:rPr>
        <w:t>Sharbern</w:t>
      </w:r>
      <w:proofErr w:type="spellEnd"/>
      <w:r w:rsidRPr="00751B87">
        <w:rPr>
          <w:rFonts w:cs="Times New Roman"/>
          <w:szCs w:val="24"/>
          <w:lang w:val="fr-CA"/>
        </w:rPr>
        <w:t xml:space="preserve"> a dit, en réponse à la question de savoir si un passage précis du raisonnement de la juge permettrait d’écarter le moyen de défense, qu’il </w:t>
      </w:r>
      <w:r w:rsidRPr="00751B87">
        <w:rPr>
          <w:rFonts w:cs="Times New Roman"/>
          <w:smallCaps/>
          <w:szCs w:val="24"/>
          <w:lang w:val="fr-CA"/>
        </w:rPr>
        <w:t>[traduction]</w:t>
      </w:r>
      <w:r w:rsidRPr="00751B87">
        <w:rPr>
          <w:rFonts w:cs="Times New Roman"/>
          <w:szCs w:val="24"/>
          <w:lang w:val="fr-CA"/>
        </w:rPr>
        <w:t xml:space="preserve"> « n’y avait aucun passage précis », mais que </w:t>
      </w:r>
      <w:r w:rsidRPr="00751B87">
        <w:rPr>
          <w:rFonts w:cs="Times New Roman"/>
          <w:smallCaps/>
          <w:szCs w:val="24"/>
          <w:lang w:val="fr-CA"/>
        </w:rPr>
        <w:t>« </w:t>
      </w:r>
      <w:r w:rsidRPr="00751B87">
        <w:rPr>
          <w:rFonts w:cs="Times New Roman"/>
          <w:szCs w:val="24"/>
          <w:lang w:val="fr-CA"/>
        </w:rPr>
        <w:t xml:space="preserve">l’essentiel du raisonnement [de la juge de première instance], dans son ensemble » suffisait à répondre à </w:t>
      </w:r>
      <w:r w:rsidR="00C007F0">
        <w:rPr>
          <w:rFonts w:cs="Times New Roman"/>
          <w:szCs w:val="24"/>
          <w:lang w:val="fr-CA"/>
        </w:rPr>
        <w:t>la question (transcription, p. </w:t>
      </w:r>
      <w:r w:rsidRPr="00751B87">
        <w:rPr>
          <w:rFonts w:cs="Times New Roman"/>
          <w:szCs w:val="24"/>
          <w:lang w:val="fr-CA"/>
        </w:rPr>
        <w:t xml:space="preserve">9).  Il a également affirmé que </w:t>
      </w:r>
      <w:r w:rsidRPr="00751B87">
        <w:rPr>
          <w:rFonts w:cs="Times New Roman"/>
          <w:smallCaps/>
          <w:szCs w:val="24"/>
          <w:lang w:val="fr-CA"/>
        </w:rPr>
        <w:t>« </w:t>
      </w:r>
      <w:r w:rsidRPr="00751B87">
        <w:rPr>
          <w:rFonts w:cs="Times New Roman"/>
          <w:szCs w:val="24"/>
          <w:lang w:val="fr-CA"/>
        </w:rPr>
        <w:t>cela ressortait manifestement des circonstances » (</w:t>
      </w:r>
      <w:r w:rsidR="00C007F0" w:rsidRPr="00C007F0">
        <w:rPr>
          <w:rFonts w:cs="Times New Roman"/>
          <w:i/>
          <w:szCs w:val="24"/>
          <w:lang w:val="fr-CA"/>
        </w:rPr>
        <w:t>ibid.</w:t>
      </w:r>
      <w:r w:rsidR="00C007F0">
        <w:rPr>
          <w:rFonts w:cs="Times New Roman"/>
          <w:szCs w:val="24"/>
          <w:lang w:val="fr-CA"/>
        </w:rPr>
        <w:t xml:space="preserve">, </w:t>
      </w:r>
      <w:r w:rsidRPr="00751B87">
        <w:rPr>
          <w:rFonts w:cs="Times New Roman"/>
          <w:szCs w:val="24"/>
          <w:lang w:val="fr-CA"/>
        </w:rPr>
        <w:t>p. 8</w:t>
      </w:r>
      <w:r w:rsidR="00C007F0">
        <w:rPr>
          <w:rFonts w:cs="Times New Roman"/>
          <w:szCs w:val="24"/>
          <w:lang w:val="fr-CA"/>
        </w:rPr>
        <w:t>-9</w:t>
      </w:r>
      <w:r w:rsidRPr="00751B87">
        <w:rPr>
          <w:rFonts w:cs="Times New Roman"/>
          <w:szCs w:val="24"/>
          <w:lang w:val="fr-CA"/>
        </w:rPr>
        <w:t>).  En toute déférence, je suis en désaccord avec cette affirmation, surtout au vu de la preuve produite par le VAC établissant que les éléments subjectif et objectif du moyen de défense avaient été établis.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 concluant à la fraude, la juge aurait contredit la conclusion qu’il ressortait de la preuve que le VAC croyait subjectivement à la véracité de ses déclarations.  Or, elle n’a pas tiré une telle conclusion.  Dans le même ordre d’idée, conclure que le VAC a fait preuve de négligence dans le document du Hilton en faisant des déclarations inexactes quant à l’absence de tout conflit d’intérêts — ou de toute possibilité d’un tel conflit — aurait pu l’empêcher de prouver que sa croyance à </w:t>
      </w:r>
      <w:r w:rsidRPr="00751B87">
        <w:rPr>
          <w:rFonts w:cs="Times New Roman"/>
          <w:szCs w:val="24"/>
          <w:lang w:val="fr-CA"/>
        </w:rPr>
        <w:lastRenderedPageBreak/>
        <w:t xml:space="preserve">la véracité de ses déclarations était fondée sur des motifs raisonnables, et d’établir l’élément objectif du moyen de défense que la Loi lui permettait d’invoquer.  Toutefois, comme je vais l’expliquer plus en détail </w:t>
      </w:r>
      <w:proofErr w:type="spellStart"/>
      <w:r w:rsidRPr="00751B87">
        <w:rPr>
          <w:rFonts w:cs="Times New Roman"/>
          <w:szCs w:val="24"/>
          <w:lang w:val="fr-CA"/>
        </w:rPr>
        <w:t>ci</w:t>
      </w:r>
      <w:r w:rsidRPr="00751B87">
        <w:rPr>
          <w:rFonts w:cs="Times New Roman"/>
          <w:szCs w:val="24"/>
          <w:lang w:val="fr-CA"/>
        </w:rPr>
        <w:noBreakHyphen/>
        <w:t>après</w:t>
      </w:r>
      <w:proofErr w:type="spellEnd"/>
      <w:r w:rsidRPr="00751B87">
        <w:rPr>
          <w:rFonts w:cs="Times New Roman"/>
          <w:szCs w:val="24"/>
          <w:lang w:val="fr-CA"/>
        </w:rPr>
        <w:t>, j’estime que la juge n’a pas tenu compte de tous les éléments nécessaires afin d’établir que le VAC a fait des déclarations inexactes par négligence.</w:t>
      </w:r>
    </w:p>
    <w:p w:rsidR="0062110E" w:rsidRPr="00751B87" w:rsidRDefault="0062110E" w:rsidP="0062110E">
      <w:pPr>
        <w:pStyle w:val="ParaNoNdepar-AltN"/>
        <w:rPr>
          <w:rFonts w:cs="Times New Roman"/>
          <w:szCs w:val="24"/>
          <w:lang w:val="fr-CA"/>
        </w:rPr>
      </w:pPr>
      <w:r w:rsidRPr="00751B87">
        <w:rPr>
          <w:rFonts w:cs="Times New Roman"/>
          <w:szCs w:val="24"/>
          <w:lang w:val="fr-CA"/>
        </w:rPr>
        <w:t>Par conséquent, même si on concluait que le VAC a fait des déclarations erronées sur des points importants, sa responsabilité ne saurait être engagée en application de l’art</w:t>
      </w:r>
      <w:r>
        <w:rPr>
          <w:rFonts w:cs="Times New Roman"/>
          <w:szCs w:val="24"/>
          <w:lang w:val="fr-CA"/>
        </w:rPr>
        <w:t>. </w:t>
      </w:r>
      <w:r w:rsidRPr="00751B87">
        <w:rPr>
          <w:rFonts w:cs="Times New Roman"/>
          <w:szCs w:val="24"/>
          <w:lang w:val="fr-CA"/>
        </w:rPr>
        <w:t>75 de la Loi, car il ressort de la preuve qu’il pouvait invoquer le moyen de défense qui est prévu</w:t>
      </w:r>
      <w:r w:rsidR="00DB1CF5">
        <w:rPr>
          <w:rFonts w:cs="Times New Roman"/>
          <w:szCs w:val="24"/>
          <w:lang w:val="fr-CA"/>
        </w:rPr>
        <w:t xml:space="preserve"> au sous-al. 75(2)b</w:t>
      </w:r>
      <w:proofErr w:type="gramStart"/>
      <w:r w:rsidR="00DB1CF5">
        <w:rPr>
          <w:rFonts w:cs="Times New Roman"/>
          <w:szCs w:val="24"/>
          <w:lang w:val="fr-CA"/>
        </w:rPr>
        <w:t>)(</w:t>
      </w:r>
      <w:proofErr w:type="gramEnd"/>
      <w:r w:rsidR="00DB1CF5">
        <w:rPr>
          <w:rFonts w:cs="Times New Roman"/>
          <w:szCs w:val="24"/>
          <w:lang w:val="fr-CA"/>
        </w:rPr>
        <w:t>viii)</w:t>
      </w:r>
      <w:r w:rsidRPr="00751B87">
        <w:rPr>
          <w:rFonts w:cs="Times New Roman"/>
          <w:szCs w:val="24"/>
          <w:lang w:val="fr-CA"/>
        </w:rPr>
        <w:t>.</w:t>
      </w:r>
    </w:p>
    <w:p w:rsidR="0062110E" w:rsidRPr="00751B87" w:rsidRDefault="0062110E" w:rsidP="0062110E">
      <w:pPr>
        <w:pStyle w:val="TitleTitre-AltT"/>
        <w:keepNext/>
        <w:spacing w:before="0"/>
        <w:rPr>
          <w:rFonts w:cs="Times New Roman"/>
          <w:szCs w:val="24"/>
          <w:lang w:val="fr-CA"/>
        </w:rPr>
      </w:pPr>
      <w:bookmarkStart w:id="30" w:name="_Toc308445329"/>
      <w:r w:rsidRPr="00751B87">
        <w:rPr>
          <w:rFonts w:cs="Times New Roman"/>
          <w:szCs w:val="24"/>
          <w:lang w:val="fr-CA"/>
        </w:rPr>
        <w:t>C.</w:t>
      </w:r>
      <w:r w:rsidRPr="00751B87">
        <w:rPr>
          <w:rFonts w:cs="Times New Roman"/>
          <w:szCs w:val="24"/>
          <w:lang w:val="fr-CA"/>
        </w:rPr>
        <w:tab/>
      </w:r>
      <w:r w:rsidRPr="00751B87">
        <w:rPr>
          <w:rFonts w:cs="Times New Roman"/>
          <w:i/>
          <w:szCs w:val="24"/>
          <w:lang w:val="fr-CA"/>
        </w:rPr>
        <w:t>Présomption légale</w:t>
      </w:r>
      <w:bookmarkEnd w:id="30"/>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dernière question que soulève l’analyse de la responsabilité légale du VAC est de savoir si la présomption légale est réfutable par une preuve établissant le contraire selon la prépondérance des probabilités.  Selon </w:t>
      </w:r>
      <w:r>
        <w:rPr>
          <w:rFonts w:cs="Times New Roman"/>
          <w:szCs w:val="24"/>
          <w:lang w:val="fr-CA"/>
        </w:rPr>
        <w:t>l’</w:t>
      </w:r>
      <w:r w:rsidRPr="00751B87">
        <w:rPr>
          <w:rFonts w:cs="Times New Roman"/>
          <w:szCs w:val="24"/>
          <w:lang w:val="fr-CA"/>
        </w:rPr>
        <w:t>al</w:t>
      </w:r>
      <w:r>
        <w:rPr>
          <w:rFonts w:cs="Times New Roman"/>
          <w:szCs w:val="24"/>
          <w:lang w:val="fr-CA"/>
        </w:rPr>
        <w:t>. 75(2)</w:t>
      </w:r>
      <w:r w:rsidRPr="0073544F">
        <w:rPr>
          <w:rFonts w:cs="Times New Roman"/>
          <w:szCs w:val="24"/>
          <w:lang w:val="fr-CA"/>
        </w:rPr>
        <w:t>a</w:t>
      </w:r>
      <w:r>
        <w:rPr>
          <w:rFonts w:cs="Times New Roman"/>
          <w:szCs w:val="24"/>
          <w:lang w:val="fr-CA"/>
        </w:rPr>
        <w:t>) de la Loi,</w:t>
      </w:r>
      <w:r w:rsidRPr="00751B87">
        <w:rPr>
          <w:rFonts w:cs="Times New Roman"/>
          <w:szCs w:val="24"/>
          <w:lang w:val="fr-CA"/>
        </w:rPr>
        <w:t xml:space="preserve"> l’acquéreur d’une partie du terrain visé par le prospectus  </w:t>
      </w:r>
      <w:r w:rsidRPr="00751B87">
        <w:rPr>
          <w:rFonts w:cs="Times New Roman"/>
          <w:smallCaps/>
          <w:szCs w:val="24"/>
          <w:lang w:val="fr-CA"/>
        </w:rPr>
        <w:t xml:space="preserve">[traduction] </w:t>
      </w:r>
      <w:r w:rsidRPr="00751B87">
        <w:rPr>
          <w:rFonts w:cs="Times New Roman"/>
          <w:szCs w:val="24"/>
          <w:lang w:val="fr-CA"/>
        </w:rPr>
        <w:t xml:space="preserve"> « est réputé s’être fié aux déclarations qui y sont faites, qu’il ait reçu le prospectus ou non ».  Or, compte tenu de ma conclusion que la responsabilité du VAC pour déclaration erronée sur un point important ne peut être engagée sous le régime de la Loi, il n’est pas absolument nécessaire de trancher cette question, qui, de toute façon, n’est plus vraiment pertinente vu l’abrogation subséquente de la Loi.  Néanmoins, comme les parties en ont débattu en appel, je formulerai de brefs commentaires à ce sujet.</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La juge de première instance a conclu que cette présomption était irréfutable.  Selon elle, la Loi visait à </w:t>
      </w:r>
      <w:r w:rsidRPr="00751B87">
        <w:rPr>
          <w:rFonts w:cs="Times New Roman"/>
          <w:smallCaps/>
          <w:szCs w:val="24"/>
          <w:lang w:val="fr-CA"/>
        </w:rPr>
        <w:t>[traduction]</w:t>
      </w:r>
      <w:r w:rsidRPr="00751B87">
        <w:rPr>
          <w:rFonts w:cs="Times New Roman"/>
          <w:szCs w:val="24"/>
          <w:lang w:val="fr-CA"/>
        </w:rPr>
        <w:t xml:space="preserve"> « protéger les membres du public qui font des investissements » (par. 333).  Elle a écrit que permettre au promoteur de tenter de réfuter la présomption et de « faire porter l’enquête sur ce que l’investisseur savait plutôt que ce que le promoteur avait omis de communiquer » aurait pour effet de « miner l’objet de la Loi » (</w:t>
      </w:r>
      <w:r w:rsidR="00DB1CF5" w:rsidRPr="00DB1CF5">
        <w:rPr>
          <w:rFonts w:cs="Times New Roman"/>
          <w:i/>
          <w:szCs w:val="24"/>
          <w:lang w:val="fr-CA"/>
        </w:rPr>
        <w:t>ibid.</w:t>
      </w:r>
      <w:r w:rsidRPr="00751B87">
        <w:rPr>
          <w:rFonts w:cs="Times New Roman"/>
          <w:szCs w:val="24"/>
          <w:lang w:val="fr-CA"/>
        </w:rPr>
        <w:t>).  La Cour d’appel a conclu le contraire en se fondant sur le libellé de l’art</w:t>
      </w:r>
      <w:r>
        <w:rPr>
          <w:rFonts w:cs="Times New Roman"/>
          <w:szCs w:val="24"/>
          <w:lang w:val="fr-CA"/>
        </w:rPr>
        <w:t>. 7</w:t>
      </w:r>
      <w:r w:rsidRPr="00751B87">
        <w:rPr>
          <w:rFonts w:cs="Times New Roman"/>
          <w:szCs w:val="24"/>
          <w:lang w:val="fr-CA"/>
        </w:rPr>
        <w:t xml:space="preserve">5, qui </w:t>
      </w:r>
      <w:proofErr w:type="gramStart"/>
      <w:r w:rsidRPr="00751B87">
        <w:rPr>
          <w:rFonts w:cs="Times New Roman"/>
          <w:szCs w:val="24"/>
          <w:lang w:val="fr-CA"/>
        </w:rPr>
        <w:t>n’établissait</w:t>
      </w:r>
      <w:proofErr w:type="gramEnd"/>
      <w:r w:rsidRPr="00751B87">
        <w:rPr>
          <w:rFonts w:cs="Times New Roman"/>
          <w:szCs w:val="24"/>
          <w:lang w:val="fr-CA"/>
        </w:rPr>
        <w:t xml:space="preserve"> pas expressément une présomption irréfutable.</w:t>
      </w:r>
    </w:p>
    <w:p w:rsidR="0062110E" w:rsidRPr="00751B87" w:rsidRDefault="0062110E" w:rsidP="0062110E">
      <w:pPr>
        <w:pStyle w:val="ParaNoNdepar-AltN"/>
        <w:rPr>
          <w:rFonts w:cs="Times New Roman"/>
          <w:szCs w:val="24"/>
          <w:lang w:val="fr-CA"/>
        </w:rPr>
      </w:pPr>
      <w:r w:rsidRPr="00751B87">
        <w:rPr>
          <w:rFonts w:cs="Times New Roman"/>
          <w:szCs w:val="24"/>
          <w:lang w:val="fr-CA"/>
        </w:rPr>
        <w:t>La Loi utilise les termes « </w:t>
      </w:r>
      <w:r w:rsidRPr="00C61DC7">
        <w:rPr>
          <w:rFonts w:cs="Times New Roman"/>
          <w:i/>
          <w:szCs w:val="24"/>
          <w:lang w:val="fr-CA"/>
        </w:rPr>
        <w:t>est réputé</w:t>
      </w:r>
      <w:r w:rsidRPr="00751B87">
        <w:rPr>
          <w:rFonts w:cs="Times New Roman"/>
          <w:szCs w:val="24"/>
          <w:lang w:val="fr-CA"/>
        </w:rPr>
        <w:t xml:space="preserve"> s’être fié ».  Dans l’arrêt </w:t>
      </w:r>
      <w:r w:rsidRPr="00751B87">
        <w:rPr>
          <w:rFonts w:cs="Times New Roman"/>
          <w:i/>
          <w:szCs w:val="24"/>
          <w:lang w:val="fr-CA"/>
        </w:rPr>
        <w:t>Église luthérienne évangélique St. Peter c. Ottawa</w:t>
      </w:r>
      <w:r w:rsidRPr="00751B87">
        <w:rPr>
          <w:rFonts w:cs="Times New Roman"/>
          <w:szCs w:val="24"/>
          <w:lang w:val="fr-CA"/>
        </w:rPr>
        <w:t>, [1982] 2 R.C.S. 616, les juges majoritaires de la Cour ont écrit, à la p</w:t>
      </w:r>
      <w:r w:rsidR="00A967C9">
        <w:rPr>
          <w:rFonts w:cs="Times New Roman"/>
          <w:szCs w:val="24"/>
          <w:lang w:val="fr-CA"/>
        </w:rPr>
        <w:t>.</w:t>
      </w:r>
      <w:r w:rsidRPr="00751B87">
        <w:rPr>
          <w:rFonts w:cs="Times New Roman"/>
          <w:szCs w:val="24"/>
          <w:lang w:val="fr-CA"/>
        </w:rPr>
        <w:t> 629, que « les termes “réputé” ou “présomption” n’indiquent pas toujours une présomption décisive dans un texte législatif » et que « [l]e terme doit être interprété en fonction de tout le contexte de la loi envisagée</w:t>
      </w:r>
      <w:r w:rsidR="00DB1CF5">
        <w:rPr>
          <w:rFonts w:cs="Times New Roman"/>
          <w:szCs w:val="24"/>
          <w:lang w:val="fr-CA"/>
        </w:rPr>
        <w:t>.</w:t>
      </w:r>
      <w:r w:rsidRPr="00751B87">
        <w:rPr>
          <w:rFonts w:cs="Times New Roman"/>
          <w:szCs w:val="24"/>
          <w:lang w:val="fr-CA"/>
        </w:rPr>
        <w:t> »</w:t>
      </w:r>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fait valoir que l’objet général de la Loi est de protéger l’investisseur; elle avance aussi que la meilleure façon de le protéger est de ne pas le forcer à établir qu’il s’est fié aux déclarations qui lui ont été faites.  Selon elle, une présomption décisive renforce le droit de l’investisseur d’intenter une action civile, notamment un recours collectif, et rend plus probable l’introduction d’une action par l’investisseur lésé sans qu’il n’ait à exposer ce qu’il a lu ou compris, ou ce qui le poussait à faire un investissement.  </w:t>
      </w:r>
      <w:proofErr w:type="spellStart"/>
      <w:r w:rsidRPr="00751B87">
        <w:rPr>
          <w:rFonts w:cs="Times New Roman"/>
          <w:szCs w:val="24"/>
          <w:lang w:val="fr-CA"/>
        </w:rPr>
        <w:t>Sharbern</w:t>
      </w:r>
      <w:proofErr w:type="spellEnd"/>
      <w:r w:rsidRPr="00751B87">
        <w:rPr>
          <w:rFonts w:cs="Times New Roman"/>
          <w:szCs w:val="24"/>
          <w:lang w:val="fr-CA"/>
        </w:rPr>
        <w:t xml:space="preserve"> prétend également que certaines </w:t>
      </w:r>
      <w:r w:rsidRPr="00751B87">
        <w:rPr>
          <w:rFonts w:cs="Times New Roman"/>
          <w:szCs w:val="24"/>
          <w:lang w:val="fr-CA"/>
        </w:rPr>
        <w:lastRenderedPageBreak/>
        <w:t>considérations relatives au texte, notamment la structure de l’art</w:t>
      </w:r>
      <w:r>
        <w:rPr>
          <w:rFonts w:cs="Times New Roman"/>
          <w:szCs w:val="24"/>
          <w:lang w:val="fr-CA"/>
        </w:rPr>
        <w:t>. </w:t>
      </w:r>
      <w:r w:rsidRPr="00751B87">
        <w:rPr>
          <w:rFonts w:cs="Times New Roman"/>
          <w:szCs w:val="24"/>
          <w:lang w:val="fr-CA"/>
        </w:rPr>
        <w:t>75, donnent à penser que la présomption qui y est prévue n’est pas réfutable.</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Je n’accepte pas l’argument de </w:t>
      </w:r>
      <w:proofErr w:type="spellStart"/>
      <w:r w:rsidRPr="00751B87">
        <w:rPr>
          <w:rFonts w:cs="Times New Roman"/>
          <w:szCs w:val="24"/>
          <w:lang w:val="fr-CA"/>
        </w:rPr>
        <w:t>Sharbern</w:t>
      </w:r>
      <w:proofErr w:type="spellEnd"/>
      <w:r w:rsidRPr="00751B87">
        <w:rPr>
          <w:rFonts w:cs="Times New Roman"/>
          <w:szCs w:val="24"/>
          <w:lang w:val="fr-CA"/>
        </w:rPr>
        <w:t xml:space="preserve"> que le fait de permettre de réfuter cette présomption minerait l’objet de la Loi.  La </w:t>
      </w:r>
      <w:r w:rsidRPr="00751B87">
        <w:rPr>
          <w:rFonts w:cs="Times New Roman"/>
          <w:i/>
          <w:szCs w:val="24"/>
          <w:lang w:val="fr-CA"/>
        </w:rPr>
        <w:t xml:space="preserve">Real </w:t>
      </w:r>
      <w:proofErr w:type="spellStart"/>
      <w:r w:rsidRPr="00751B87">
        <w:rPr>
          <w:rFonts w:cs="Times New Roman"/>
          <w:i/>
          <w:szCs w:val="24"/>
          <w:lang w:val="fr-CA"/>
        </w:rPr>
        <w:t>Estate</w:t>
      </w:r>
      <w:proofErr w:type="spellEnd"/>
      <w:r w:rsidRPr="00751B87">
        <w:rPr>
          <w:rFonts w:cs="Times New Roman"/>
          <w:i/>
          <w:szCs w:val="24"/>
          <w:lang w:val="fr-CA"/>
        </w:rPr>
        <w:t xml:space="preserve"> </w:t>
      </w:r>
      <w:proofErr w:type="spellStart"/>
      <w:r w:rsidRPr="00751B87">
        <w:rPr>
          <w:rFonts w:cs="Times New Roman"/>
          <w:i/>
          <w:szCs w:val="24"/>
          <w:lang w:val="fr-CA"/>
        </w:rPr>
        <w:t>Development</w:t>
      </w:r>
      <w:proofErr w:type="spellEnd"/>
      <w:r w:rsidRPr="00751B87">
        <w:rPr>
          <w:rFonts w:cs="Times New Roman"/>
          <w:i/>
          <w:szCs w:val="24"/>
          <w:lang w:val="fr-CA"/>
        </w:rPr>
        <w:t xml:space="preserve"> Marketing </w:t>
      </w:r>
      <w:proofErr w:type="spellStart"/>
      <w:r w:rsidRPr="00751B87">
        <w:rPr>
          <w:rFonts w:cs="Times New Roman"/>
          <w:i/>
          <w:szCs w:val="24"/>
          <w:lang w:val="fr-CA"/>
        </w:rPr>
        <w:t>Act</w:t>
      </w:r>
      <w:proofErr w:type="spellEnd"/>
      <w:r w:rsidRPr="00751B87">
        <w:rPr>
          <w:rFonts w:cs="Times New Roman"/>
          <w:szCs w:val="24"/>
          <w:lang w:val="fr-CA"/>
        </w:rPr>
        <w:t>, S.B.C. 2004, ch. 41 (la « nouvelle loi »), qui a remplacé la Loi, prévoit à son par</w:t>
      </w:r>
      <w:r w:rsidR="001F1774">
        <w:rPr>
          <w:rFonts w:cs="Times New Roman"/>
          <w:szCs w:val="24"/>
          <w:lang w:val="fr-CA"/>
        </w:rPr>
        <w:t>.</w:t>
      </w:r>
      <w:r w:rsidRPr="00751B87">
        <w:rPr>
          <w:rFonts w:cs="Times New Roman"/>
          <w:szCs w:val="24"/>
          <w:lang w:val="fr-CA"/>
        </w:rPr>
        <w:t xml:space="preserve"> 22(5) qu’on peut réfuter la présomption qui figure à son par</w:t>
      </w:r>
      <w:r w:rsidR="001F1774">
        <w:rPr>
          <w:rFonts w:cs="Times New Roman"/>
          <w:szCs w:val="24"/>
          <w:lang w:val="fr-CA"/>
        </w:rPr>
        <w:t>.</w:t>
      </w:r>
      <w:r w:rsidRPr="00751B87">
        <w:rPr>
          <w:rFonts w:cs="Times New Roman"/>
          <w:szCs w:val="24"/>
          <w:lang w:val="fr-CA"/>
        </w:rPr>
        <w:t xml:space="preserve"> 22(3) en établissant que </w:t>
      </w:r>
      <w:r w:rsidRPr="00751B87">
        <w:rPr>
          <w:rFonts w:cs="Times New Roman"/>
          <w:smallCaps/>
          <w:szCs w:val="24"/>
          <w:lang w:val="fr-CA"/>
        </w:rPr>
        <w:t>[traduction]</w:t>
      </w:r>
      <w:r w:rsidRPr="00751B87">
        <w:rPr>
          <w:rFonts w:cs="Times New Roman"/>
          <w:szCs w:val="24"/>
          <w:lang w:val="fr-CA"/>
        </w:rPr>
        <w:t xml:space="preserve"> « l’acheteur savait, au moment où il a reçu le document d’information, que des déclarations inexactes lui avaient été faites ».  De la même façon, l’art</w:t>
      </w:r>
      <w:r w:rsidR="0073544F">
        <w:rPr>
          <w:rFonts w:cs="Times New Roman"/>
          <w:szCs w:val="24"/>
          <w:lang w:val="fr-CA"/>
        </w:rPr>
        <w:t>.</w:t>
      </w:r>
      <w:r w:rsidRPr="00751B87">
        <w:rPr>
          <w:rFonts w:cs="Times New Roman"/>
          <w:szCs w:val="24"/>
          <w:lang w:val="fr-CA"/>
        </w:rPr>
        <w:t xml:space="preserve"> 131 de la </w:t>
      </w:r>
      <w:r w:rsidRPr="00751B87">
        <w:rPr>
          <w:rFonts w:cs="Times New Roman"/>
          <w:i/>
          <w:szCs w:val="24"/>
          <w:lang w:val="fr-CA"/>
        </w:rPr>
        <w:t xml:space="preserve">Securities </w:t>
      </w:r>
      <w:proofErr w:type="spellStart"/>
      <w:r w:rsidRPr="00751B87">
        <w:rPr>
          <w:rFonts w:cs="Times New Roman"/>
          <w:i/>
          <w:szCs w:val="24"/>
          <w:lang w:val="fr-CA"/>
        </w:rPr>
        <w:t>Act</w:t>
      </w:r>
      <w:proofErr w:type="spellEnd"/>
      <w:r w:rsidRPr="00751B87">
        <w:rPr>
          <w:rFonts w:cs="Times New Roman"/>
          <w:szCs w:val="24"/>
          <w:lang w:val="fr-CA"/>
        </w:rPr>
        <w:t xml:space="preserve"> prévoit que la présomption selon laquelle l’acheteur est réputé s’être fié aux déclarations inexactes faites dans le prospectus est réfutable.  L’existence de présomptions réfutables dans la nouvelle loi et les lois connexes donne à penser que ces présomptions s’accordent avec l’objectif de protection des investisseurs visé par ces lois.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Je reconnais que la Loi, à la différence de la nouvelle loi et des lois connexes, ne prévoyait pas expressément une présomption réfutable.  Néanmoins, comme l’indique l’arrêt </w:t>
      </w:r>
      <w:r w:rsidRPr="00751B87">
        <w:rPr>
          <w:rFonts w:cs="Times New Roman"/>
          <w:i/>
          <w:szCs w:val="24"/>
          <w:lang w:val="fr-CA"/>
        </w:rPr>
        <w:t>St. Peter</w:t>
      </w:r>
      <w:r w:rsidRPr="00751B87">
        <w:rPr>
          <w:rFonts w:cs="Times New Roman"/>
          <w:szCs w:val="24"/>
          <w:lang w:val="fr-CA"/>
        </w:rPr>
        <w:t xml:space="preserve">, l’utilisation du mot « réputé » ne crée pas toujours une présomption décisive et irréfutable.  C’est l’objet de la loi qu’il faut examiner pour savoir si la présomption est réfutable.  En l’espèce, la nouvelle loi et les lois connexes peuvent être utiles pour interpréter l’objet de la présomption légale.  Le lord Mansfield a expliqué ce principe dans </w:t>
      </w:r>
      <w:r w:rsidRPr="00751B87">
        <w:rPr>
          <w:rFonts w:cs="Times New Roman"/>
          <w:i/>
          <w:szCs w:val="24"/>
          <w:lang w:val="fr-CA"/>
        </w:rPr>
        <w:t xml:space="preserve">R. c. </w:t>
      </w:r>
      <w:proofErr w:type="spellStart"/>
      <w:r w:rsidRPr="00751B87">
        <w:rPr>
          <w:rFonts w:cs="Times New Roman"/>
          <w:i/>
          <w:szCs w:val="24"/>
          <w:lang w:val="fr-CA"/>
        </w:rPr>
        <w:t>Loxdale</w:t>
      </w:r>
      <w:proofErr w:type="spellEnd"/>
      <w:r w:rsidRPr="00751B87">
        <w:rPr>
          <w:rFonts w:cs="Times New Roman"/>
          <w:szCs w:val="24"/>
          <w:lang w:val="fr-CA"/>
        </w:rPr>
        <w:t xml:space="preserve"> (1758), 1 </w:t>
      </w:r>
      <w:proofErr w:type="spellStart"/>
      <w:r w:rsidRPr="00751B87">
        <w:rPr>
          <w:rFonts w:cs="Times New Roman"/>
          <w:szCs w:val="24"/>
          <w:lang w:val="fr-CA"/>
        </w:rPr>
        <w:t>Burr</w:t>
      </w:r>
      <w:proofErr w:type="spellEnd"/>
      <w:r w:rsidRPr="00751B87">
        <w:rPr>
          <w:rFonts w:cs="Times New Roman"/>
          <w:szCs w:val="24"/>
          <w:lang w:val="fr-CA"/>
        </w:rPr>
        <w:t xml:space="preserve">. 445, 97 E.R. 394, où il a souligné que </w:t>
      </w:r>
      <w:r w:rsidRPr="00751B87">
        <w:rPr>
          <w:rFonts w:cs="Times New Roman"/>
          <w:smallCaps/>
          <w:szCs w:val="24"/>
          <w:lang w:val="fr-CA"/>
        </w:rPr>
        <w:t>[traduction]</w:t>
      </w:r>
      <w:r w:rsidRPr="00751B87">
        <w:rPr>
          <w:rFonts w:cs="Times New Roman"/>
          <w:szCs w:val="24"/>
          <w:lang w:val="fr-CA"/>
        </w:rPr>
        <w:t xml:space="preserve"> « [l]es lois différentes qui portent sur la même </w:t>
      </w:r>
      <w:r w:rsidRPr="00751B87">
        <w:rPr>
          <w:rFonts w:cs="Times New Roman"/>
          <w:szCs w:val="24"/>
          <w:lang w:val="fr-CA"/>
        </w:rPr>
        <w:lastRenderedPageBreak/>
        <w:t>matière mais qui ont été adoptées à des époques différentes, voire qui n’existent plus, [. . .] s’interprètent ensemble [. . .] les unes expliquant les autres » (p. 395).  Le juge </w:t>
      </w:r>
      <w:proofErr w:type="spellStart"/>
      <w:r w:rsidRPr="00751B87">
        <w:rPr>
          <w:rFonts w:cs="Times New Roman"/>
          <w:szCs w:val="24"/>
          <w:lang w:val="fr-CA"/>
        </w:rPr>
        <w:t>Estey</w:t>
      </w:r>
      <w:proofErr w:type="spellEnd"/>
      <w:r w:rsidRPr="00751B87">
        <w:rPr>
          <w:rFonts w:cs="Times New Roman"/>
          <w:szCs w:val="24"/>
          <w:lang w:val="fr-CA"/>
        </w:rPr>
        <w:t xml:space="preserve"> a formulé une explication plus moderne de ce principe : </w:t>
      </w:r>
      <w:proofErr w:type="gramStart"/>
      <w:r w:rsidRPr="00751B87">
        <w:rPr>
          <w:rFonts w:cs="Times New Roman"/>
          <w:szCs w:val="24"/>
          <w:lang w:val="fr-CA"/>
        </w:rPr>
        <w:t>« </w:t>
      </w:r>
      <w:r w:rsidR="00DB1CF5">
        <w:rPr>
          <w:rFonts w:cs="Times New Roman"/>
          <w:szCs w:val="24"/>
          <w:lang w:val="fr-CA"/>
        </w:rPr>
        <w:t>.</w:t>
      </w:r>
      <w:proofErr w:type="gramEnd"/>
      <w:r w:rsidR="00DB1CF5">
        <w:rPr>
          <w:rFonts w:cs="Times New Roman"/>
          <w:szCs w:val="24"/>
          <w:lang w:val="fr-CA"/>
        </w:rPr>
        <w:t> . . </w:t>
      </w:r>
      <w:r w:rsidRPr="00751B87">
        <w:rPr>
          <w:rFonts w:cs="Times New Roman"/>
          <w:szCs w:val="24"/>
          <w:lang w:val="fr-CA"/>
        </w:rPr>
        <w:t>il est parfois utile pour déterminer le sens d’une loi d’avoir recours à une loi semblable ou comparable du même gouvernement ou d’un autre gouvernement » (</w:t>
      </w:r>
      <w:r w:rsidRPr="00751B87">
        <w:rPr>
          <w:rFonts w:cs="Times New Roman"/>
          <w:i/>
          <w:szCs w:val="24"/>
          <w:lang w:val="fr-CA"/>
        </w:rPr>
        <w:t xml:space="preserve">Nova, an Alberta Corp. c. Amoco Canada </w:t>
      </w:r>
      <w:proofErr w:type="spellStart"/>
      <w:r w:rsidRPr="00751B87">
        <w:rPr>
          <w:rFonts w:cs="Times New Roman"/>
          <w:i/>
          <w:szCs w:val="24"/>
          <w:lang w:val="fr-CA"/>
        </w:rPr>
        <w:t>Petroleum</w:t>
      </w:r>
      <w:proofErr w:type="spellEnd"/>
      <w:r w:rsidRPr="00751B87">
        <w:rPr>
          <w:rFonts w:cs="Times New Roman"/>
          <w:i/>
          <w:szCs w:val="24"/>
          <w:lang w:val="fr-CA"/>
        </w:rPr>
        <w:t xml:space="preserve"> Co.</w:t>
      </w:r>
      <w:r w:rsidRPr="00751B87">
        <w:rPr>
          <w:rFonts w:cs="Times New Roman"/>
          <w:szCs w:val="24"/>
          <w:lang w:val="fr-CA"/>
        </w:rPr>
        <w:t>,</w:t>
      </w:r>
      <w:r w:rsidRPr="00751B87">
        <w:rPr>
          <w:rFonts w:cs="Times New Roman"/>
          <w:i/>
          <w:szCs w:val="24"/>
          <w:lang w:val="fr-CA"/>
        </w:rPr>
        <w:t xml:space="preserve"> </w:t>
      </w:r>
      <w:r w:rsidRPr="00751B87">
        <w:rPr>
          <w:rFonts w:cs="Times New Roman"/>
          <w:szCs w:val="24"/>
          <w:lang w:val="fr-CA"/>
        </w:rPr>
        <w:t>[1981] 2 R.C.S. 437, p. 448).</w:t>
      </w:r>
    </w:p>
    <w:p w:rsidR="0062110E" w:rsidRPr="00751B87" w:rsidRDefault="0062110E" w:rsidP="0062110E">
      <w:pPr>
        <w:pStyle w:val="ParaNoNdepar-AltN"/>
        <w:rPr>
          <w:rFonts w:cs="Times New Roman"/>
          <w:szCs w:val="24"/>
          <w:lang w:val="fr-CA"/>
        </w:rPr>
      </w:pPr>
      <w:r w:rsidRPr="00751B87">
        <w:rPr>
          <w:rFonts w:cs="Times New Roman"/>
          <w:szCs w:val="24"/>
          <w:lang w:val="fr-CA"/>
        </w:rPr>
        <w:t>Comme je l’ai déjà expliqué, la communication obligatoire de renseignements est une question de politique législative nécessitant que soi</w:t>
      </w:r>
      <w:r w:rsidR="0073544F">
        <w:rPr>
          <w:rFonts w:cs="Times New Roman"/>
          <w:szCs w:val="24"/>
          <w:lang w:val="fr-CA"/>
        </w:rPr>
        <w:t>en</w:t>
      </w:r>
      <w:r w:rsidRPr="00751B87">
        <w:rPr>
          <w:rFonts w:cs="Times New Roman"/>
          <w:szCs w:val="24"/>
          <w:lang w:val="fr-CA"/>
        </w:rPr>
        <w:t>t « [mis] en équilibre les besoins du milieu des investisseurs et le fardeau incombant aux émetteurs » (</w:t>
      </w:r>
      <w:r w:rsidRPr="00751B87">
        <w:rPr>
          <w:rFonts w:cs="Times New Roman"/>
          <w:i/>
          <w:szCs w:val="24"/>
          <w:lang w:val="fr-CA"/>
        </w:rPr>
        <w:t>Kerr</w:t>
      </w:r>
      <w:r w:rsidRPr="00751B87">
        <w:rPr>
          <w:rFonts w:cs="Times New Roman"/>
          <w:szCs w:val="24"/>
          <w:lang w:val="fr-CA"/>
        </w:rPr>
        <w:t xml:space="preserve">, par. 5).  Or, l’imposition d’une présomption irréfutable pourrait nuire à cet équilibre, et elle ne contribuerait pas à l’atteinte de l’objectif qui </w:t>
      </w:r>
      <w:proofErr w:type="spellStart"/>
      <w:r w:rsidRPr="00751B87">
        <w:rPr>
          <w:rFonts w:cs="Times New Roman"/>
          <w:szCs w:val="24"/>
          <w:lang w:val="fr-CA"/>
        </w:rPr>
        <w:t>sous</w:t>
      </w:r>
      <w:r w:rsidRPr="00751B87">
        <w:rPr>
          <w:rFonts w:cs="Times New Roman"/>
          <w:szCs w:val="24"/>
          <w:lang w:val="fr-CA"/>
        </w:rPr>
        <w:noBreakHyphen/>
        <w:t>tend</w:t>
      </w:r>
      <w:proofErr w:type="spellEnd"/>
      <w:r w:rsidRPr="00751B87">
        <w:rPr>
          <w:rFonts w:cs="Times New Roman"/>
          <w:szCs w:val="24"/>
          <w:lang w:val="fr-CA"/>
        </w:rPr>
        <w:t xml:space="preserve"> les obligations légales en matière de communication.  Une telle présomption permettrait par exemple à l’investisseur de prétendre s’être fié à une déclaration inexacte, et ce même s’il était pleinement informé et connaissait à fond l’ensemble des faits.  L’émetteur verrait alors sa responsabilité engagée au motif qu’il avait fait une déclaration inexacte même si l’investisseur savait très bien qu’il ne devait pas s’y fier.  Ce résultat absurde et injuste rendrait l’émetteur responsable des pertes de l’investisseur pleinement informé.  L’objectif de l’obligation de communication visait à établir un équilibre et non à imposer au VAC le rôle d’assureur de </w:t>
      </w:r>
      <w:proofErr w:type="spellStart"/>
      <w:r w:rsidRPr="00751B87">
        <w:rPr>
          <w:rFonts w:cs="Times New Roman"/>
          <w:szCs w:val="24"/>
          <w:lang w:val="fr-CA"/>
        </w:rPr>
        <w:t>Sharbern</w:t>
      </w:r>
      <w:proofErr w:type="spellEnd"/>
      <w:r w:rsidRPr="00751B87">
        <w:rPr>
          <w:rFonts w:cs="Times New Roman"/>
          <w:szCs w:val="24"/>
          <w:lang w:val="fr-CA"/>
        </w:rPr>
        <w:t xml:space="preserve"> et des autres propriétaires du Hilton.</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Le fait que des lois similaires prévoient expressément qu’une telle présomption est réfutable donne à penser que la législature ne considère pas que les présomptions réfutables </w:t>
      </w:r>
      <w:proofErr w:type="gramStart"/>
      <w:r w:rsidRPr="00751B87">
        <w:rPr>
          <w:rFonts w:cs="Times New Roman"/>
          <w:szCs w:val="24"/>
          <w:lang w:val="fr-CA"/>
        </w:rPr>
        <w:t>vont</w:t>
      </w:r>
      <w:proofErr w:type="gramEnd"/>
      <w:r w:rsidRPr="00751B87">
        <w:rPr>
          <w:rFonts w:cs="Times New Roman"/>
          <w:szCs w:val="24"/>
          <w:lang w:val="fr-CA"/>
        </w:rPr>
        <w:t xml:space="preserve"> à l’encontre de la protection des investisseurs.  De plus, l’imposition d’une présomption irréfutable pourrait nuire à l’équilibre que la Loi établit en matière de communication de renseignements, et elle engendrerait des résultats absurdes et injustes.  Je conclus donc que la présomption légale était réfutable par le biais d’une preuve établissant, selon la prépondérance des probabilités, que l’investisseur était au courant des déclarations inexactes ou des omissions au moment où il a fait son acquisition.</w:t>
      </w:r>
    </w:p>
    <w:p w:rsidR="0062110E" w:rsidRPr="00751B87" w:rsidRDefault="0062110E" w:rsidP="0062110E">
      <w:pPr>
        <w:pStyle w:val="TitleTitre-AltT"/>
        <w:keepNext/>
        <w:spacing w:before="0"/>
        <w:rPr>
          <w:rFonts w:cs="Times New Roman"/>
          <w:szCs w:val="24"/>
          <w:lang w:val="fr-CA"/>
        </w:rPr>
      </w:pPr>
      <w:bookmarkStart w:id="31" w:name="_Toc308445330"/>
      <w:r w:rsidRPr="00751B87">
        <w:rPr>
          <w:rFonts w:cs="Times New Roman"/>
          <w:szCs w:val="24"/>
          <w:lang w:val="fr-CA"/>
        </w:rPr>
        <w:t>D.</w:t>
      </w:r>
      <w:r w:rsidRPr="00751B87">
        <w:rPr>
          <w:rFonts w:cs="Times New Roman"/>
          <w:szCs w:val="24"/>
          <w:lang w:val="fr-CA"/>
        </w:rPr>
        <w:tab/>
      </w:r>
      <w:r w:rsidRPr="00751B87">
        <w:rPr>
          <w:rFonts w:cs="Times New Roman"/>
          <w:i/>
          <w:szCs w:val="24"/>
          <w:lang w:val="fr-CA"/>
        </w:rPr>
        <w:t xml:space="preserve">Déclaration inexacte faite par négligence en </w:t>
      </w:r>
      <w:proofErr w:type="spellStart"/>
      <w:r w:rsidRPr="00751B87">
        <w:rPr>
          <w:rFonts w:cs="Times New Roman"/>
          <w:i/>
          <w:szCs w:val="24"/>
          <w:lang w:val="fr-CA"/>
        </w:rPr>
        <w:t>common</w:t>
      </w:r>
      <w:proofErr w:type="spellEnd"/>
      <w:r w:rsidRPr="00751B87">
        <w:rPr>
          <w:rFonts w:cs="Times New Roman"/>
          <w:i/>
          <w:szCs w:val="24"/>
          <w:lang w:val="fr-CA"/>
        </w:rPr>
        <w:t xml:space="preserve"> </w:t>
      </w:r>
      <w:proofErr w:type="spellStart"/>
      <w:r w:rsidRPr="00751B87">
        <w:rPr>
          <w:rFonts w:cs="Times New Roman"/>
          <w:i/>
          <w:szCs w:val="24"/>
          <w:lang w:val="fr-CA"/>
        </w:rPr>
        <w:t>law</w:t>
      </w:r>
      <w:bookmarkEnd w:id="31"/>
      <w:proofErr w:type="spellEnd"/>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 plus d’invoquer l’art. 75 de la Loi, </w:t>
      </w:r>
      <w:proofErr w:type="spellStart"/>
      <w:r w:rsidRPr="00751B87">
        <w:rPr>
          <w:rFonts w:cs="Times New Roman"/>
          <w:szCs w:val="24"/>
          <w:lang w:val="fr-CA"/>
        </w:rPr>
        <w:t>Sharbern</w:t>
      </w:r>
      <w:proofErr w:type="spellEnd"/>
      <w:r w:rsidRPr="00751B87">
        <w:rPr>
          <w:rFonts w:cs="Times New Roman"/>
          <w:szCs w:val="24"/>
          <w:lang w:val="fr-CA"/>
        </w:rPr>
        <w:t xml:space="preserve"> prétend que la responsabilité du VAC est engagée selon les règles de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en matière de déclaration inexacte faite par négligence.  La juge</w:t>
      </w:r>
      <w:r>
        <w:rPr>
          <w:rFonts w:cs="Times New Roman"/>
          <w:szCs w:val="24"/>
          <w:lang w:val="fr-CA"/>
        </w:rPr>
        <w:t xml:space="preserve"> de première instance</w:t>
      </w:r>
      <w:r w:rsidRPr="00751B87">
        <w:rPr>
          <w:rFonts w:cs="Times New Roman"/>
          <w:szCs w:val="24"/>
          <w:lang w:val="fr-CA"/>
        </w:rPr>
        <w:t xml:space="preserve"> n’a pas fait de distinction dans ses motifs entre la cause d’action en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et celle prévue par la Loi.  La liste des questions communes en matière de responsabilité ne fait pas non plus une telle distinction.  Quoi qu’il en soit, je poursuis mon analyse en tenant pour acquis que la conclusion de la juge </w:t>
      </w:r>
      <w:r>
        <w:rPr>
          <w:rFonts w:cs="Times New Roman"/>
          <w:szCs w:val="24"/>
          <w:lang w:val="fr-CA"/>
        </w:rPr>
        <w:t xml:space="preserve">de première instance </w:t>
      </w:r>
      <w:r w:rsidRPr="00751B87">
        <w:rPr>
          <w:rFonts w:cs="Times New Roman"/>
          <w:szCs w:val="24"/>
          <w:lang w:val="fr-CA"/>
        </w:rPr>
        <w:t xml:space="preserve">que </w:t>
      </w:r>
      <w:r w:rsidRPr="00751B87">
        <w:rPr>
          <w:rFonts w:cs="Times New Roman"/>
          <w:smallCaps/>
          <w:szCs w:val="24"/>
          <w:lang w:val="fr-CA"/>
        </w:rPr>
        <w:t>[traduction]</w:t>
      </w:r>
      <w:r w:rsidRPr="00751B87">
        <w:rPr>
          <w:rFonts w:cs="Times New Roman"/>
          <w:szCs w:val="24"/>
          <w:lang w:val="fr-CA"/>
        </w:rPr>
        <w:t xml:space="preserve"> « le VAC a fait preuve de négligence en faisant des déclarations inexactes » (par. 322 et 473) au sujet des différences de rémunération s’applique aux deux causes d’action.  </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Selon moi, les conclusions que la juge </w:t>
      </w:r>
      <w:r>
        <w:rPr>
          <w:rFonts w:cs="Times New Roman"/>
          <w:szCs w:val="24"/>
          <w:lang w:val="fr-CA"/>
        </w:rPr>
        <w:t xml:space="preserve">de première instance </w:t>
      </w:r>
      <w:r w:rsidRPr="00751B87">
        <w:rPr>
          <w:rFonts w:cs="Times New Roman"/>
          <w:szCs w:val="24"/>
          <w:lang w:val="fr-CA"/>
        </w:rPr>
        <w:t xml:space="preserve">a tirées au sujet des règles de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en matière de déclaration inexacte faite par négligence ne sauraient être maintenues car elle n’a pas examiné l’ensemble des éléments constitutifs du délit.  L’arrêt </w:t>
      </w:r>
      <w:proofErr w:type="spellStart"/>
      <w:r w:rsidRPr="00751B87">
        <w:rPr>
          <w:rFonts w:cs="Times New Roman"/>
          <w:i/>
          <w:szCs w:val="24"/>
          <w:lang w:val="fr-CA"/>
        </w:rPr>
        <w:t>Queen</w:t>
      </w:r>
      <w:proofErr w:type="spellEnd"/>
      <w:r w:rsidRPr="00751B87">
        <w:rPr>
          <w:rFonts w:cs="Times New Roman"/>
          <w:i/>
          <w:szCs w:val="24"/>
          <w:lang w:val="fr-CA"/>
        </w:rPr>
        <w:t xml:space="preserve"> c. </w:t>
      </w:r>
      <w:proofErr w:type="spellStart"/>
      <w:r w:rsidRPr="00751B87">
        <w:rPr>
          <w:rFonts w:cs="Times New Roman"/>
          <w:i/>
          <w:szCs w:val="24"/>
          <w:lang w:val="fr-CA"/>
        </w:rPr>
        <w:t>Cognos</w:t>
      </w:r>
      <w:proofErr w:type="spellEnd"/>
      <w:r w:rsidRPr="00751B87">
        <w:rPr>
          <w:rFonts w:cs="Times New Roman"/>
          <w:i/>
          <w:szCs w:val="24"/>
          <w:lang w:val="fr-CA"/>
        </w:rPr>
        <w:t xml:space="preserve"> Inc.</w:t>
      </w:r>
      <w:r w:rsidRPr="00751B87">
        <w:rPr>
          <w:rFonts w:cs="Times New Roman"/>
          <w:szCs w:val="24"/>
          <w:lang w:val="fr-CA"/>
        </w:rPr>
        <w:t>, [1993] 1 R.C.S. 87, mentionne ce qui suit :</w:t>
      </w:r>
    </w:p>
    <w:p w:rsidR="0062110E" w:rsidRPr="00751B87" w:rsidRDefault="0062110E" w:rsidP="0062110E">
      <w:pPr>
        <w:pStyle w:val="Citation-AltC"/>
        <w:ind w:hanging="1166"/>
        <w:rPr>
          <w:lang w:val="fr-CA"/>
        </w:rPr>
      </w:pPr>
      <w:r w:rsidRPr="00751B87">
        <w:rPr>
          <w:lang w:val="fr-CA"/>
        </w:rPr>
        <w:tab/>
        <w:t>Les arrêts précités de notre Cour donnent à penser qu’il existe cinq conditions générales : (1) il doit y avoir une obligation de diligence fondée sur un « lien spécial » entre l’auteur et le destinataire de la déclaration; (2) la déclaration en question doit être fausse, inexacte ou trompeuse; (3) l’auteur doit avoir agi d’une manière négligente; (4) le destinataire doit s’être fié d’une manière raisonnable à la déclaration inexacte faite par négligence; et (5) le fait que le destinataire s’est fié à la déclaration doit lui être préjudiciable en ce sens qu’il doit avoir subi un préjudice.  [p. 110]</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juge </w:t>
      </w:r>
      <w:r>
        <w:rPr>
          <w:rFonts w:cs="Times New Roman"/>
          <w:szCs w:val="24"/>
          <w:lang w:val="fr-CA"/>
        </w:rPr>
        <w:t xml:space="preserve">de première instance </w:t>
      </w:r>
      <w:r w:rsidRPr="00751B87">
        <w:rPr>
          <w:rFonts w:cs="Times New Roman"/>
          <w:szCs w:val="24"/>
          <w:lang w:val="fr-CA"/>
        </w:rPr>
        <w:t xml:space="preserve">n’a pas ajouté les conditions fixées dans </w:t>
      </w:r>
      <w:proofErr w:type="spellStart"/>
      <w:r w:rsidRPr="00751B87">
        <w:rPr>
          <w:rFonts w:cs="Times New Roman"/>
          <w:i/>
          <w:szCs w:val="24"/>
          <w:lang w:val="fr-CA"/>
        </w:rPr>
        <w:t>Cognos</w:t>
      </w:r>
      <w:proofErr w:type="spellEnd"/>
      <w:r w:rsidRPr="00751B87">
        <w:rPr>
          <w:rFonts w:cs="Times New Roman"/>
          <w:szCs w:val="24"/>
          <w:lang w:val="fr-CA"/>
        </w:rPr>
        <w:t xml:space="preserve"> à la liste des questions communes en matière de responsabilité, pas plus qu’elle n’a analysé ou utilisé ce cadre dans ses motifs.  Elle a certes clairement traité de l’obligation de diligence, et il est possible d’inférer qu’elle a, dans son analyse de la déclaration inexacte, vidé la question de savoir si les différences de rémunération avaient été exposées de manière fausse, inexacte ou trompeuse (bien qu’elle ne l’ait pas fait explicitement); il n’en demeure pas moins qu’elle a omis de tenir compte de la troisième condition établie dans </w:t>
      </w:r>
      <w:proofErr w:type="spellStart"/>
      <w:r w:rsidRPr="00751B87">
        <w:rPr>
          <w:rFonts w:cs="Times New Roman"/>
          <w:i/>
          <w:szCs w:val="24"/>
          <w:lang w:val="fr-CA"/>
        </w:rPr>
        <w:t>Cognos</w:t>
      </w:r>
      <w:proofErr w:type="spellEnd"/>
      <w:r w:rsidRPr="00751B87">
        <w:rPr>
          <w:rFonts w:cs="Times New Roman"/>
          <w:szCs w:val="24"/>
          <w:lang w:val="fr-CA"/>
        </w:rPr>
        <w:t xml:space="preserve">.  Elle n’a pas non plus tenu compte de la quatrième condition, soit le fait de s’être fié d’une manière raisonnable à la déclaration en cause, ni de la cinquième condition, soit celle du préjudice subi.  </w:t>
      </w:r>
      <w:r w:rsidRPr="00751B87">
        <w:rPr>
          <w:rFonts w:cs="Times New Roman"/>
          <w:szCs w:val="24"/>
          <w:lang w:val="fr-CA"/>
        </w:rPr>
        <w:lastRenderedPageBreak/>
        <w:t xml:space="preserve">Cependant, ces questions seraient probablement traitées dans le cadre d’éventuels procès individuels ou conjoints.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Selon la troisième condition fixée dans </w:t>
      </w:r>
      <w:proofErr w:type="spellStart"/>
      <w:r w:rsidRPr="00751B87">
        <w:rPr>
          <w:rFonts w:cs="Times New Roman"/>
          <w:i/>
          <w:szCs w:val="24"/>
          <w:lang w:val="fr-CA"/>
        </w:rPr>
        <w:t>Cognos</w:t>
      </w:r>
      <w:proofErr w:type="spellEnd"/>
      <w:r w:rsidRPr="00751B87">
        <w:rPr>
          <w:rFonts w:cs="Times New Roman"/>
          <w:szCs w:val="24"/>
          <w:lang w:val="fr-CA"/>
        </w:rPr>
        <w:t xml:space="preserve">, </w:t>
      </w:r>
      <w:proofErr w:type="spellStart"/>
      <w:r w:rsidRPr="00751B87">
        <w:rPr>
          <w:rFonts w:cs="Times New Roman"/>
          <w:szCs w:val="24"/>
          <w:lang w:val="fr-CA"/>
        </w:rPr>
        <w:t>Sharbern</w:t>
      </w:r>
      <w:proofErr w:type="spellEnd"/>
      <w:r w:rsidRPr="00751B87">
        <w:rPr>
          <w:rFonts w:cs="Times New Roman"/>
          <w:szCs w:val="24"/>
          <w:lang w:val="fr-CA"/>
        </w:rPr>
        <w:t xml:space="preserve"> devait établir que le VAC avait « agi d’une manière négligente ».  Or, la norme de diligence applicable à cet égard a été ainsi décrite par le juge </w:t>
      </w:r>
      <w:proofErr w:type="spellStart"/>
      <w:r w:rsidRPr="00751B87">
        <w:rPr>
          <w:rFonts w:cs="Times New Roman"/>
          <w:szCs w:val="24"/>
          <w:lang w:val="fr-CA"/>
        </w:rPr>
        <w:t>Iacobucci</w:t>
      </w:r>
      <w:proofErr w:type="spellEnd"/>
      <w:r w:rsidRPr="00751B87">
        <w:rPr>
          <w:rFonts w:cs="Times New Roman"/>
          <w:szCs w:val="24"/>
          <w:lang w:val="fr-CA"/>
        </w:rPr>
        <w:t xml:space="preserve"> dans </w:t>
      </w:r>
      <w:proofErr w:type="spellStart"/>
      <w:r w:rsidRPr="00751B87">
        <w:rPr>
          <w:rFonts w:cs="Times New Roman"/>
          <w:i/>
          <w:szCs w:val="24"/>
          <w:lang w:val="fr-CA"/>
        </w:rPr>
        <w:t>Cognos</w:t>
      </w:r>
      <w:proofErr w:type="spellEnd"/>
      <w:r w:rsidRPr="00751B87">
        <w:rPr>
          <w:rFonts w:cs="Times New Roman"/>
          <w:szCs w:val="24"/>
          <w:lang w:val="fr-CA"/>
        </w:rPr>
        <w:t> :</w:t>
      </w:r>
    </w:p>
    <w:p w:rsidR="0062110E" w:rsidRPr="00751B87" w:rsidRDefault="0062110E" w:rsidP="0062110E">
      <w:pPr>
        <w:pStyle w:val="Citation-AltC"/>
        <w:ind w:hanging="1166"/>
        <w:contextualSpacing w:val="0"/>
        <w:rPr>
          <w:lang w:val="fr-CA"/>
        </w:rPr>
      </w:pPr>
      <w:r w:rsidRPr="00751B87">
        <w:rPr>
          <w:lang w:val="fr-CA"/>
        </w:rPr>
        <w:tab/>
      </w:r>
      <w:r w:rsidRPr="00751B87">
        <w:rPr>
          <w:lang w:val="fr-CA"/>
        </w:rPr>
        <w:tab/>
        <w:t xml:space="preserve">La norme de diligence applicable devrait être celle qui est utilisée dans toute affaire de négligence, à savoir celle universellement reconnue, </w:t>
      </w:r>
      <w:proofErr w:type="gramStart"/>
      <w:r w:rsidRPr="00751B87">
        <w:rPr>
          <w:lang w:val="fr-CA"/>
        </w:rPr>
        <w:t>quoique hypothétique</w:t>
      </w:r>
      <w:proofErr w:type="gramEnd"/>
      <w:r w:rsidRPr="00751B87">
        <w:rPr>
          <w:lang w:val="fr-CA"/>
        </w:rPr>
        <w:t xml:space="preserve">, de la « personne raisonnable ».  La norme de diligence requise d’une personne qui fait des déclarations est objective.  Il s’agit de l’obligation de </w:t>
      </w:r>
      <w:r w:rsidRPr="00751B87">
        <w:rPr>
          <w:u w:val="single"/>
          <w:lang w:val="fr-CA"/>
        </w:rPr>
        <w:t xml:space="preserve">faire preuve de la diligence raisonnable requise par les circonstances pour que les déclarations faites soient exactes et non </w:t>
      </w:r>
      <w:proofErr w:type="gramStart"/>
      <w:r w:rsidRPr="00751B87">
        <w:rPr>
          <w:u w:val="single"/>
          <w:lang w:val="fr-CA"/>
        </w:rPr>
        <w:t>trompeuses</w:t>
      </w:r>
      <w:r w:rsidR="0073544F">
        <w:rPr>
          <w:lang w:val="fr-CA"/>
        </w:rPr>
        <w:t xml:space="preserve"> </w:t>
      </w:r>
      <w:r w:rsidRPr="00751B87">
        <w:rPr>
          <w:lang w:val="fr-CA"/>
        </w:rPr>
        <w:t>.</w:t>
      </w:r>
      <w:proofErr w:type="gramEnd"/>
      <w:r w:rsidRPr="00751B87">
        <w:rPr>
          <w:lang w:val="fr-CA"/>
        </w:rPr>
        <w:t> . . [Je souligne; p. 121</w:t>
      </w:r>
      <w:r w:rsidR="0073544F">
        <w:rPr>
          <w:lang w:val="fr-CA"/>
        </w:rPr>
        <w:t>.</w:t>
      </w:r>
      <w:r w:rsidRPr="00751B87">
        <w:rPr>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Dans son analyse de la norme de diligence, la juge </w:t>
      </w:r>
      <w:r>
        <w:rPr>
          <w:rFonts w:cs="Times New Roman"/>
          <w:szCs w:val="24"/>
          <w:lang w:val="fr-CA"/>
        </w:rPr>
        <w:t xml:space="preserve">de première instance </w:t>
      </w:r>
      <w:r w:rsidRPr="00751B87">
        <w:rPr>
          <w:rFonts w:cs="Times New Roman"/>
          <w:szCs w:val="24"/>
          <w:lang w:val="fr-CA"/>
        </w:rPr>
        <w:t>devait donc se demander, d’un point de vue objectif, si le VAC avait fait preuve de la diligence raisonnable requise par les circonstances pour que ses déclarations dans le document du Hilton soient exactes et non trompeuses.  Or, elle ne l’a pas fait, se contentant plutôt de conclure sommairement que le VAC avait [</w:t>
      </w:r>
      <w:r w:rsidRPr="00751B87">
        <w:rPr>
          <w:rFonts w:cs="Times New Roman"/>
          <w:smallCaps/>
          <w:szCs w:val="24"/>
          <w:lang w:val="fr-CA"/>
        </w:rPr>
        <w:t>traduction</w:t>
      </w:r>
      <w:r w:rsidRPr="00751B87">
        <w:rPr>
          <w:rFonts w:cs="Times New Roman"/>
          <w:szCs w:val="24"/>
          <w:lang w:val="fr-CA"/>
        </w:rPr>
        <w:t xml:space="preserve">] « fait preuve de négligence en faisant des déclarations inexactes » au sujet des différences de rémunération, et ce sans même traiter de la norme de diligence. </w:t>
      </w:r>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estime </w:t>
      </w:r>
      <w:r w:rsidR="00DB1CF5" w:rsidRPr="00751B87">
        <w:rPr>
          <w:rFonts w:cs="Times New Roman"/>
          <w:szCs w:val="24"/>
          <w:lang w:val="fr-CA"/>
        </w:rPr>
        <w:t>[</w:t>
      </w:r>
      <w:r w:rsidR="00DB1CF5" w:rsidRPr="00751B87">
        <w:rPr>
          <w:rFonts w:cs="Times New Roman"/>
          <w:smallCaps/>
          <w:szCs w:val="24"/>
          <w:lang w:val="fr-CA"/>
        </w:rPr>
        <w:t>traduction</w:t>
      </w:r>
      <w:r w:rsidR="00DB1CF5" w:rsidRPr="00751B87">
        <w:rPr>
          <w:rFonts w:cs="Times New Roman"/>
          <w:szCs w:val="24"/>
          <w:lang w:val="fr-CA"/>
        </w:rPr>
        <w:t xml:space="preserve">] </w:t>
      </w:r>
      <w:r w:rsidRPr="00751B87">
        <w:rPr>
          <w:rFonts w:cs="Times New Roman"/>
          <w:szCs w:val="24"/>
          <w:lang w:val="fr-CA"/>
        </w:rPr>
        <w:t xml:space="preserve">« valable » la conclusion de la juge </w:t>
      </w:r>
      <w:r>
        <w:rPr>
          <w:rFonts w:cs="Times New Roman"/>
          <w:szCs w:val="24"/>
          <w:lang w:val="fr-CA"/>
        </w:rPr>
        <w:t xml:space="preserve">de première instance </w:t>
      </w:r>
      <w:r w:rsidRPr="00751B87">
        <w:rPr>
          <w:rFonts w:cs="Times New Roman"/>
          <w:szCs w:val="24"/>
          <w:lang w:val="fr-CA"/>
        </w:rPr>
        <w:t>que les déclarations du VAC étaient négligentes (</w:t>
      </w:r>
      <w:proofErr w:type="gramStart"/>
      <w:r w:rsidRPr="00751B87">
        <w:rPr>
          <w:rFonts w:cs="Times New Roman"/>
          <w:szCs w:val="24"/>
          <w:lang w:val="fr-CA"/>
        </w:rPr>
        <w:t>m.a.,</w:t>
      </w:r>
      <w:proofErr w:type="gramEnd"/>
      <w:r w:rsidRPr="00751B87">
        <w:rPr>
          <w:rFonts w:cs="Times New Roman"/>
          <w:szCs w:val="24"/>
          <w:lang w:val="fr-CA"/>
        </w:rPr>
        <w:t xml:space="preserve"> par. 47).  Dans sa plaidoirie, l’avocat de </w:t>
      </w:r>
      <w:proofErr w:type="spellStart"/>
      <w:r w:rsidRPr="00751B87">
        <w:rPr>
          <w:rFonts w:cs="Times New Roman"/>
          <w:szCs w:val="24"/>
          <w:lang w:val="fr-CA"/>
        </w:rPr>
        <w:t>Sharbern</w:t>
      </w:r>
      <w:proofErr w:type="spellEnd"/>
      <w:r w:rsidRPr="00751B87">
        <w:rPr>
          <w:rFonts w:cs="Times New Roman"/>
          <w:szCs w:val="24"/>
          <w:lang w:val="fr-CA"/>
        </w:rPr>
        <w:t xml:space="preserve"> a concédé que le [</w:t>
      </w:r>
      <w:r w:rsidRPr="00751B87">
        <w:rPr>
          <w:rFonts w:cs="Times New Roman"/>
          <w:smallCaps/>
          <w:szCs w:val="24"/>
          <w:lang w:val="fr-CA"/>
        </w:rPr>
        <w:t>traduction</w:t>
      </w:r>
      <w:r w:rsidRPr="00751B87">
        <w:rPr>
          <w:rFonts w:cs="Times New Roman"/>
          <w:szCs w:val="24"/>
          <w:lang w:val="fr-CA"/>
        </w:rPr>
        <w:t xml:space="preserve">] </w:t>
      </w:r>
      <w:r w:rsidRPr="00751B87">
        <w:rPr>
          <w:rFonts w:cs="Times New Roman"/>
          <w:szCs w:val="24"/>
          <w:lang w:val="fr-CA"/>
        </w:rPr>
        <w:lastRenderedPageBreak/>
        <w:t xml:space="preserve">« raisonnement </w:t>
      </w:r>
      <w:proofErr w:type="spellStart"/>
      <w:r w:rsidRPr="00751B87">
        <w:rPr>
          <w:rFonts w:cs="Times New Roman"/>
          <w:szCs w:val="24"/>
          <w:lang w:val="fr-CA"/>
        </w:rPr>
        <w:t>sous</w:t>
      </w:r>
      <w:r w:rsidRPr="00751B87">
        <w:rPr>
          <w:rFonts w:cs="Times New Roman"/>
          <w:szCs w:val="24"/>
          <w:lang w:val="fr-CA"/>
        </w:rPr>
        <w:noBreakHyphen/>
        <w:t>tendant</w:t>
      </w:r>
      <w:proofErr w:type="spellEnd"/>
      <w:r w:rsidRPr="00751B87">
        <w:rPr>
          <w:rFonts w:cs="Times New Roman"/>
          <w:szCs w:val="24"/>
          <w:lang w:val="fr-CA"/>
        </w:rPr>
        <w:t xml:space="preserve"> la conclusion [de la juge de première instance] sur la négligence [était] bien mince », affirmant cependant avec insistance qu’elle avait tiré la conclusion qui s’imposait « manifestement dans les circonstances » (transcription, p. 8</w:t>
      </w:r>
      <w:r w:rsidR="00DB1CF5">
        <w:rPr>
          <w:rFonts w:cs="Times New Roman"/>
          <w:szCs w:val="24"/>
          <w:lang w:val="fr-CA"/>
        </w:rPr>
        <w:t>-</w:t>
      </w:r>
      <w:r w:rsidRPr="00751B87">
        <w:rPr>
          <w:rFonts w:cs="Times New Roman"/>
          <w:szCs w:val="24"/>
          <w:lang w:val="fr-CA"/>
        </w:rPr>
        <w:t>9).</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Je ne puis souscrire à cet argument.  À mon avis, il ne sied pas de ramener la condition fixée dans </w:t>
      </w:r>
      <w:proofErr w:type="spellStart"/>
      <w:r w:rsidRPr="00751B87">
        <w:rPr>
          <w:rFonts w:cs="Times New Roman"/>
          <w:i/>
          <w:szCs w:val="24"/>
          <w:lang w:val="fr-CA"/>
        </w:rPr>
        <w:t>Cognos</w:t>
      </w:r>
      <w:proofErr w:type="spellEnd"/>
      <w:r w:rsidRPr="00751B87">
        <w:rPr>
          <w:rFonts w:cs="Times New Roman"/>
          <w:szCs w:val="24"/>
          <w:lang w:val="fr-CA"/>
        </w:rPr>
        <w:t xml:space="preserve"> à une simple affirmation du caractère manifeste.   L’omission de </w:t>
      </w:r>
      <w:proofErr w:type="spellStart"/>
      <w:r w:rsidRPr="00751B87">
        <w:rPr>
          <w:rFonts w:cs="Times New Roman"/>
          <w:szCs w:val="24"/>
          <w:lang w:val="fr-CA"/>
        </w:rPr>
        <w:t>Sharbern</w:t>
      </w:r>
      <w:proofErr w:type="spellEnd"/>
      <w:r w:rsidRPr="00751B87">
        <w:rPr>
          <w:rFonts w:cs="Times New Roman"/>
          <w:szCs w:val="24"/>
          <w:lang w:val="fr-CA"/>
        </w:rPr>
        <w:t xml:space="preserve"> de prouver en quoi le VAC avait manqué à la norme de diligence est fatale à son recours fondé sur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Il incombe à </w:t>
      </w:r>
      <w:proofErr w:type="spellStart"/>
      <w:r w:rsidRPr="00751B87">
        <w:rPr>
          <w:rFonts w:cs="Times New Roman"/>
          <w:szCs w:val="24"/>
          <w:lang w:val="fr-CA"/>
        </w:rPr>
        <w:t>Sharbern</w:t>
      </w:r>
      <w:proofErr w:type="spellEnd"/>
      <w:r w:rsidRPr="00751B87">
        <w:rPr>
          <w:rFonts w:cs="Times New Roman"/>
          <w:szCs w:val="24"/>
          <w:lang w:val="fr-CA"/>
        </w:rPr>
        <w:t xml:space="preserve">, en sa qualité de demanderesse, d’établir le </w:t>
      </w:r>
      <w:proofErr w:type="spellStart"/>
      <w:r w:rsidRPr="00751B87">
        <w:rPr>
          <w:rFonts w:cs="Times New Roman"/>
          <w:szCs w:val="24"/>
          <w:lang w:val="fr-CA"/>
        </w:rPr>
        <w:t>bien</w:t>
      </w:r>
      <w:r w:rsidRPr="00751B87">
        <w:rPr>
          <w:rFonts w:cs="Times New Roman"/>
          <w:szCs w:val="24"/>
          <w:lang w:val="fr-CA"/>
        </w:rPr>
        <w:noBreakHyphen/>
        <w:t>fondé</w:t>
      </w:r>
      <w:proofErr w:type="spellEnd"/>
      <w:r w:rsidRPr="00751B87">
        <w:rPr>
          <w:rFonts w:cs="Times New Roman"/>
          <w:szCs w:val="24"/>
          <w:lang w:val="fr-CA"/>
        </w:rPr>
        <w:t xml:space="preserve"> de ses allégations.  Or, elle ne fait état d’aucune preuve permettant de conclure qu’il y a eu manquement à la norme de diligence.  Elle n’explique pas non plus en quoi la juge </w:t>
      </w:r>
      <w:r>
        <w:rPr>
          <w:rFonts w:cs="Times New Roman"/>
          <w:szCs w:val="24"/>
          <w:lang w:val="fr-CA"/>
        </w:rPr>
        <w:t xml:space="preserve">de première instance </w:t>
      </w:r>
      <w:r w:rsidRPr="00751B87">
        <w:rPr>
          <w:rFonts w:cs="Times New Roman"/>
          <w:szCs w:val="24"/>
          <w:lang w:val="fr-CA"/>
        </w:rPr>
        <w:t xml:space="preserve">aurait pu parvenir à cette conclusion sur la base de son « bien mince » raisonnement.  </w:t>
      </w:r>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fait plutôt valoir qu’elle n’était pas tenue de présenter une preuve d’expert sur ce que le promoteur doit communiquer.  Selon elle, la présente affaire est essentiellement l’histoire d’un homme d’affaires expérimenté (M. </w:t>
      </w:r>
      <w:proofErr w:type="spellStart"/>
      <w:r w:rsidRPr="00751B87">
        <w:rPr>
          <w:rFonts w:cs="Times New Roman"/>
          <w:szCs w:val="24"/>
          <w:lang w:val="fr-CA"/>
        </w:rPr>
        <w:t>Lalji</w:t>
      </w:r>
      <w:proofErr w:type="spellEnd"/>
      <w:r w:rsidRPr="00751B87">
        <w:rPr>
          <w:rFonts w:cs="Times New Roman"/>
          <w:szCs w:val="24"/>
          <w:lang w:val="fr-CA"/>
        </w:rPr>
        <w:t xml:space="preserve">) qui, bien que connaissant les renseignements non communiqués qui incitaient le VAC à favoriser le Marriott au détriment du Hilton, tente de justifier son omission de communiquer </w:t>
      </w:r>
      <w:proofErr w:type="spellStart"/>
      <w:r w:rsidRPr="00751B87">
        <w:rPr>
          <w:rFonts w:cs="Times New Roman"/>
          <w:szCs w:val="24"/>
          <w:lang w:val="fr-CA"/>
        </w:rPr>
        <w:t>ceux</w:t>
      </w:r>
      <w:r w:rsidRPr="00751B87">
        <w:rPr>
          <w:rFonts w:cs="Times New Roman"/>
          <w:szCs w:val="24"/>
          <w:lang w:val="fr-CA"/>
        </w:rPr>
        <w:noBreakHyphen/>
        <w:t>ci</w:t>
      </w:r>
      <w:proofErr w:type="spellEnd"/>
      <w:r w:rsidRPr="00751B87">
        <w:rPr>
          <w:rFonts w:cs="Times New Roman"/>
          <w:szCs w:val="24"/>
          <w:lang w:val="fr-CA"/>
        </w:rPr>
        <w:t xml:space="preserve"> en nous assurant qu’il ne donnerait pas préséance à ses propres intérêts.  Elle ajoute que la preuve produite par le VAC pour démontrer qu’il s’était fondé sur des éléments de preuve concernant la pratique au sein de l’industrie, sur une </w:t>
      </w:r>
      <w:r w:rsidRPr="00751B87">
        <w:rPr>
          <w:rFonts w:cs="Times New Roman"/>
          <w:szCs w:val="24"/>
          <w:lang w:val="fr-CA"/>
        </w:rPr>
        <w:lastRenderedPageBreak/>
        <w:t xml:space="preserve">preuve d’expert, ainsi que sur les conseils de ses avocats quant à ses obligations en matière de communication de renseignements, n’établissait pas qu’il n’avait pas manqué à la norme de diligence.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Néanmoins, dans les circonstances de l’espèce, la simple affirmation qu’une chose est évidente ne suffit pas à elle seule à établir la norme de diligence qu’il convient d’appliquer.  Devant une preuve considérable en première instance expliquant pourquoi les différences de rémunération ou le conflit d’intérêts qu’elles étaient susceptibles d’engendrer n’auraient pas été importants dans la décision des investisseurs, </w:t>
      </w:r>
      <w:proofErr w:type="spellStart"/>
      <w:r w:rsidRPr="00751B87">
        <w:rPr>
          <w:rFonts w:cs="Times New Roman"/>
          <w:szCs w:val="24"/>
          <w:lang w:val="fr-CA"/>
        </w:rPr>
        <w:t>Sharbern</w:t>
      </w:r>
      <w:proofErr w:type="spellEnd"/>
      <w:r w:rsidRPr="00751B87">
        <w:rPr>
          <w:rFonts w:cs="Times New Roman"/>
          <w:szCs w:val="24"/>
          <w:lang w:val="fr-CA"/>
        </w:rPr>
        <w:t xml:space="preserve"> n’a soumis aucune preuve pour réfuter le point de vue du VAC.  Par conséquent, son recours fondé sur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pour déclaration inexacte faite par négligence est voué à l’échec.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J’ajouterais un commentaire à propos de la quatrième condition établie dans </w:t>
      </w:r>
      <w:proofErr w:type="spellStart"/>
      <w:r w:rsidRPr="00751B87">
        <w:rPr>
          <w:rFonts w:cs="Times New Roman"/>
          <w:i/>
          <w:szCs w:val="24"/>
          <w:lang w:val="fr-CA"/>
        </w:rPr>
        <w:t>Cognos</w:t>
      </w:r>
      <w:proofErr w:type="spellEnd"/>
      <w:r w:rsidRPr="00751B87">
        <w:rPr>
          <w:rFonts w:cs="Times New Roman"/>
          <w:szCs w:val="24"/>
          <w:lang w:val="fr-CA"/>
        </w:rPr>
        <w:t xml:space="preserve">, à savoir le fait de s’être fié d’une manière raisonnable à la déclaration en cause.  </w:t>
      </w:r>
      <w:proofErr w:type="spellStart"/>
      <w:r w:rsidRPr="00751B87">
        <w:rPr>
          <w:rFonts w:cs="Times New Roman"/>
          <w:szCs w:val="24"/>
          <w:lang w:val="fr-CA"/>
        </w:rPr>
        <w:t>Sharbern</w:t>
      </w:r>
      <w:proofErr w:type="spellEnd"/>
      <w:r w:rsidRPr="00751B87">
        <w:rPr>
          <w:rFonts w:cs="Times New Roman"/>
          <w:szCs w:val="24"/>
          <w:lang w:val="fr-CA"/>
        </w:rPr>
        <w:t xml:space="preserve"> n’a pas produit de preuve établissant qu’elle s’était fiée aux renseignements qui lui avaient été communiqués.  Elle a plutôt invoqué la présomption légale.  Bien que la juge de première instance semble avoir envisagé, au tout début du litige, la nécessité de tenir des procès individuels pour décider si les investisseurs s’étaient fiés aux renseignements qui leur avaient été communiqués, son omission de faire la distinction entre le recours fondé sur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et celui fondé sur la Loi donne l’impression que la présomption légale pouvait servir à établir qu’en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les investisseurs s’étaient fiés à ce qui leur avait été présenté, ce </w:t>
      </w:r>
      <w:r w:rsidRPr="00751B87">
        <w:rPr>
          <w:rFonts w:cs="Times New Roman"/>
          <w:szCs w:val="24"/>
          <w:lang w:val="fr-CA"/>
        </w:rPr>
        <w:lastRenderedPageBreak/>
        <w:t xml:space="preserve">qui éliminait la nécessité de tenir d’autres procès.  Or, cette démarche était problématique.  En effet, je ne pense pas qu’un demandeur puisse invoquer à son avantage un certain élément d’une cause d’action légale afin d’établir qu’il « s’est effectivement fié » aux déclarations en cause, et, partant, d’avoir gain de cause dans le cadre d’un recours fondé sur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pour déclaration inexacte faite par négligence. </w:t>
      </w:r>
    </w:p>
    <w:p w:rsidR="0062110E" w:rsidRPr="00751B87" w:rsidRDefault="0062110E" w:rsidP="0062110E">
      <w:pPr>
        <w:pStyle w:val="ParaNoNdepar-AltN"/>
        <w:rPr>
          <w:rFonts w:cs="Times New Roman"/>
          <w:szCs w:val="24"/>
          <w:lang w:val="fr-CA"/>
        </w:rPr>
      </w:pPr>
      <w:r w:rsidRPr="00751B87">
        <w:rPr>
          <w:rFonts w:cs="Times New Roman"/>
          <w:szCs w:val="24"/>
          <w:lang w:val="fr-CA"/>
        </w:rPr>
        <w:t>Je conclus pour ces raisons que</w:t>
      </w:r>
      <w:r w:rsidRPr="00751B87">
        <w:rPr>
          <w:rFonts w:cs="Times New Roman"/>
          <w:b/>
          <w:szCs w:val="24"/>
          <w:lang w:val="fr-CA"/>
        </w:rPr>
        <w:t xml:space="preserve"> </w:t>
      </w:r>
      <w:r w:rsidRPr="00751B87">
        <w:rPr>
          <w:rFonts w:cs="Times New Roman"/>
          <w:szCs w:val="24"/>
          <w:lang w:val="fr-CA"/>
        </w:rPr>
        <w:t xml:space="preserve">le VAC n’est pas responsable en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pour avoir fait par négligence des déclarations inexactes.</w:t>
      </w:r>
    </w:p>
    <w:p w:rsidR="0062110E" w:rsidRPr="00751B87" w:rsidRDefault="0062110E" w:rsidP="00040136">
      <w:pPr>
        <w:pStyle w:val="TitleTitre-AltT"/>
        <w:keepNext/>
        <w:tabs>
          <w:tab w:val="clear" w:pos="360"/>
          <w:tab w:val="left" w:pos="540"/>
        </w:tabs>
        <w:spacing w:before="0"/>
        <w:ind w:left="540" w:hanging="540"/>
        <w:rPr>
          <w:rFonts w:cs="Times New Roman"/>
          <w:i/>
          <w:szCs w:val="24"/>
          <w:lang w:val="fr-CA"/>
        </w:rPr>
      </w:pPr>
      <w:bookmarkStart w:id="32" w:name="_Toc308445331"/>
      <w:r w:rsidRPr="00751B87">
        <w:rPr>
          <w:rFonts w:cs="Times New Roman"/>
          <w:szCs w:val="24"/>
          <w:lang w:val="fr-CA"/>
        </w:rPr>
        <w:t>E.</w:t>
      </w:r>
      <w:r w:rsidRPr="00751B87">
        <w:rPr>
          <w:rFonts w:cs="Times New Roman"/>
          <w:szCs w:val="24"/>
          <w:lang w:val="fr-CA"/>
        </w:rPr>
        <w:tab/>
      </w:r>
      <w:r w:rsidRPr="00751B87">
        <w:rPr>
          <w:rFonts w:cs="Times New Roman"/>
          <w:i/>
          <w:szCs w:val="24"/>
          <w:lang w:val="fr-CA"/>
        </w:rPr>
        <w:t xml:space="preserve">Manquement à l’obligation </w:t>
      </w:r>
      <w:r>
        <w:rPr>
          <w:rFonts w:cs="Times New Roman"/>
          <w:i/>
          <w:szCs w:val="24"/>
          <w:lang w:val="fr-CA"/>
        </w:rPr>
        <w:t>fiduciaire</w:t>
      </w:r>
      <w:bookmarkEnd w:id="32"/>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Les dernières questions qui restent à trancher sont celles de savoir si le VAC avait une obligation </w:t>
      </w:r>
      <w:r>
        <w:rPr>
          <w:rFonts w:cs="Times New Roman"/>
          <w:szCs w:val="24"/>
          <w:lang w:val="fr-CA"/>
        </w:rPr>
        <w:t>fiduciaire</w:t>
      </w:r>
      <w:r w:rsidRPr="00751B87">
        <w:rPr>
          <w:rFonts w:cs="Times New Roman"/>
          <w:szCs w:val="24"/>
          <w:lang w:val="fr-CA"/>
        </w:rPr>
        <w:t xml:space="preserve"> envers </w:t>
      </w:r>
      <w:proofErr w:type="spellStart"/>
      <w:r w:rsidRPr="00751B87">
        <w:rPr>
          <w:rFonts w:cs="Times New Roman"/>
          <w:szCs w:val="24"/>
          <w:lang w:val="fr-CA"/>
        </w:rPr>
        <w:t>Sharbern</w:t>
      </w:r>
      <w:proofErr w:type="spellEnd"/>
      <w:r w:rsidRPr="00751B87">
        <w:rPr>
          <w:rFonts w:cs="Times New Roman"/>
          <w:szCs w:val="24"/>
          <w:lang w:val="fr-CA"/>
        </w:rPr>
        <w:t xml:space="preserve"> et, dans l’affirmative, s’il y avait manqué.  La question du manquement peut se subdiviser en deux parties : (i) le VAC </w:t>
      </w:r>
      <w:proofErr w:type="spellStart"/>
      <w:r w:rsidRPr="00751B87">
        <w:rPr>
          <w:rFonts w:cs="Times New Roman"/>
          <w:szCs w:val="24"/>
          <w:lang w:val="fr-CA"/>
        </w:rPr>
        <w:t>a</w:t>
      </w:r>
      <w:r w:rsidRPr="00751B87">
        <w:rPr>
          <w:rFonts w:cs="Times New Roman"/>
          <w:szCs w:val="24"/>
          <w:lang w:val="fr-CA"/>
        </w:rPr>
        <w:noBreakHyphen/>
        <w:t>t</w:t>
      </w:r>
      <w:r w:rsidRPr="00751B87">
        <w:rPr>
          <w:rFonts w:cs="Times New Roman"/>
          <w:szCs w:val="24"/>
          <w:lang w:val="fr-CA"/>
        </w:rPr>
        <w:noBreakHyphen/>
        <w:t>il</w:t>
      </w:r>
      <w:proofErr w:type="spellEnd"/>
      <w:r w:rsidRPr="00751B87">
        <w:rPr>
          <w:rFonts w:cs="Times New Roman"/>
          <w:szCs w:val="24"/>
          <w:lang w:val="fr-CA"/>
        </w:rPr>
        <w:t xml:space="preserve"> manqué à son obligation </w:t>
      </w:r>
      <w:r>
        <w:rPr>
          <w:rFonts w:cs="Times New Roman"/>
          <w:szCs w:val="24"/>
          <w:lang w:val="fr-CA"/>
        </w:rPr>
        <w:t>fiduciaire</w:t>
      </w:r>
      <w:r w:rsidRPr="00751B87">
        <w:rPr>
          <w:rFonts w:cs="Times New Roman"/>
          <w:szCs w:val="24"/>
          <w:lang w:val="fr-CA"/>
        </w:rPr>
        <w:t xml:space="preserve"> envers </w:t>
      </w:r>
      <w:proofErr w:type="spellStart"/>
      <w:r w:rsidRPr="00751B87">
        <w:rPr>
          <w:rFonts w:cs="Times New Roman"/>
          <w:szCs w:val="24"/>
          <w:lang w:val="fr-CA"/>
        </w:rPr>
        <w:t>Sharbern</w:t>
      </w:r>
      <w:proofErr w:type="spellEnd"/>
      <w:r w:rsidRPr="00751B87">
        <w:rPr>
          <w:rFonts w:cs="Times New Roman"/>
          <w:szCs w:val="24"/>
          <w:lang w:val="fr-CA"/>
        </w:rPr>
        <w:t xml:space="preserve"> du fait qu’il a omis de lui faire part du conflit d’intérêts qu’auraient engendré les différences de rémunération?; </w:t>
      </w:r>
      <w:r w:rsidR="003346CA">
        <w:rPr>
          <w:rFonts w:cs="Times New Roman"/>
          <w:szCs w:val="24"/>
          <w:lang w:val="fr-CA"/>
        </w:rPr>
        <w:t xml:space="preserve">et </w:t>
      </w:r>
      <w:r w:rsidRPr="00751B87">
        <w:rPr>
          <w:rFonts w:cs="Times New Roman"/>
          <w:szCs w:val="24"/>
          <w:lang w:val="fr-CA"/>
        </w:rPr>
        <w:t xml:space="preserve">(ii) le VAC </w:t>
      </w:r>
      <w:proofErr w:type="spellStart"/>
      <w:r w:rsidRPr="00751B87">
        <w:rPr>
          <w:rFonts w:cs="Times New Roman"/>
          <w:szCs w:val="24"/>
          <w:lang w:val="fr-CA"/>
        </w:rPr>
        <w:t>a</w:t>
      </w:r>
      <w:r w:rsidRPr="00751B87">
        <w:rPr>
          <w:rFonts w:cs="Times New Roman"/>
          <w:szCs w:val="24"/>
          <w:lang w:val="fr-CA"/>
        </w:rPr>
        <w:noBreakHyphen/>
        <w:t>t</w:t>
      </w:r>
      <w:r w:rsidRPr="00751B87">
        <w:rPr>
          <w:rFonts w:cs="Times New Roman"/>
          <w:szCs w:val="24"/>
          <w:lang w:val="fr-CA"/>
        </w:rPr>
        <w:noBreakHyphen/>
        <w:t>il</w:t>
      </w:r>
      <w:proofErr w:type="spellEnd"/>
      <w:r w:rsidRPr="00751B87">
        <w:rPr>
          <w:rFonts w:cs="Times New Roman"/>
          <w:szCs w:val="24"/>
          <w:lang w:val="fr-CA"/>
        </w:rPr>
        <w:t xml:space="preserve"> manqué à son obligation </w:t>
      </w:r>
      <w:r>
        <w:rPr>
          <w:rFonts w:cs="Times New Roman"/>
          <w:szCs w:val="24"/>
          <w:lang w:val="fr-CA"/>
        </w:rPr>
        <w:t>fiduciaire</w:t>
      </w:r>
      <w:r w:rsidRPr="00751B87">
        <w:rPr>
          <w:rFonts w:cs="Times New Roman"/>
          <w:szCs w:val="24"/>
          <w:lang w:val="fr-CA"/>
        </w:rPr>
        <w:t xml:space="preserve"> envers </w:t>
      </w:r>
      <w:proofErr w:type="spellStart"/>
      <w:r w:rsidRPr="00751B87">
        <w:rPr>
          <w:rFonts w:cs="Times New Roman"/>
          <w:szCs w:val="24"/>
          <w:lang w:val="fr-CA"/>
        </w:rPr>
        <w:t>Sharbern</w:t>
      </w:r>
      <w:proofErr w:type="spellEnd"/>
      <w:r w:rsidRPr="00751B87">
        <w:rPr>
          <w:rFonts w:cs="Times New Roman"/>
          <w:szCs w:val="24"/>
          <w:lang w:val="fr-CA"/>
        </w:rPr>
        <w:t xml:space="preserve"> en mettant en œuvre la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entre le Hilton, le Richmond Inn et le Marriott?  Je vais examiner à tour de rôle ces questions et </w:t>
      </w:r>
      <w:proofErr w:type="spellStart"/>
      <w:r w:rsidRPr="00751B87">
        <w:rPr>
          <w:rFonts w:cs="Times New Roman"/>
          <w:szCs w:val="24"/>
          <w:lang w:val="fr-CA"/>
        </w:rPr>
        <w:t>sous</w:t>
      </w:r>
      <w:r w:rsidRPr="00751B87">
        <w:rPr>
          <w:rFonts w:cs="Times New Roman"/>
          <w:szCs w:val="24"/>
          <w:lang w:val="fr-CA"/>
        </w:rPr>
        <w:noBreakHyphen/>
        <w:t>questions</w:t>
      </w:r>
      <w:proofErr w:type="spellEnd"/>
      <w:r w:rsidRPr="00751B87">
        <w:rPr>
          <w:rFonts w:cs="Times New Roman"/>
          <w:szCs w:val="24"/>
          <w:lang w:val="fr-CA"/>
        </w:rPr>
        <w:t xml:space="preserve">. </w:t>
      </w:r>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lang w:val="fr-CA"/>
        </w:rPr>
      </w:pPr>
      <w:r w:rsidRPr="00751B87">
        <w:rPr>
          <w:rFonts w:cs="Times New Roman"/>
          <w:szCs w:val="24"/>
          <w:lang w:val="fr-CA"/>
        </w:rPr>
        <w:lastRenderedPageBreak/>
        <w:tab/>
      </w:r>
      <w:bookmarkStart w:id="33" w:name="_Toc308445332"/>
      <w:r w:rsidRPr="00751B87">
        <w:rPr>
          <w:rFonts w:cs="Times New Roman"/>
          <w:szCs w:val="24"/>
          <w:lang w:val="fr-CA"/>
        </w:rPr>
        <w:t>(1)</w:t>
      </w:r>
      <w:r w:rsidRPr="00751B87">
        <w:rPr>
          <w:rFonts w:cs="Times New Roman"/>
          <w:szCs w:val="24"/>
          <w:lang w:val="fr-CA"/>
        </w:rPr>
        <w:tab/>
      </w:r>
      <w:r w:rsidRPr="00751B87">
        <w:rPr>
          <w:rFonts w:cs="Times New Roman"/>
          <w:szCs w:val="24"/>
          <w:u w:val="single"/>
          <w:lang w:val="fr-CA"/>
        </w:rPr>
        <w:t xml:space="preserve">Analyse des obligations </w:t>
      </w:r>
      <w:r>
        <w:rPr>
          <w:rFonts w:cs="Times New Roman"/>
          <w:szCs w:val="24"/>
          <w:u w:val="single"/>
          <w:lang w:val="fr-CA"/>
        </w:rPr>
        <w:t>fiduciaire</w:t>
      </w:r>
      <w:r w:rsidRPr="00751B87">
        <w:rPr>
          <w:rFonts w:cs="Times New Roman"/>
          <w:szCs w:val="24"/>
          <w:u w:val="single"/>
          <w:lang w:val="fr-CA"/>
        </w:rPr>
        <w:t>s par les juridictions inférieures</w:t>
      </w:r>
      <w:bookmarkEnd w:id="33"/>
    </w:p>
    <w:p w:rsidR="0062110E" w:rsidRPr="00751B87" w:rsidRDefault="0062110E" w:rsidP="0062110E">
      <w:pPr>
        <w:pStyle w:val="ParaNoNdepar-AltN"/>
        <w:rPr>
          <w:rFonts w:cs="Times New Roman"/>
          <w:szCs w:val="24"/>
          <w:lang w:val="fr-CA"/>
        </w:rPr>
      </w:pPr>
      <w:r w:rsidRPr="00751B87">
        <w:rPr>
          <w:rFonts w:cs="Times New Roman"/>
          <w:szCs w:val="24"/>
          <w:lang w:val="fr-CA"/>
        </w:rPr>
        <w:t>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a décrit en ces termes les obligations </w:t>
      </w:r>
      <w:r>
        <w:rPr>
          <w:rFonts w:cs="Times New Roman"/>
          <w:szCs w:val="24"/>
          <w:lang w:val="fr-CA"/>
        </w:rPr>
        <w:t>fiduciaire</w:t>
      </w:r>
      <w:r w:rsidRPr="00751B87">
        <w:rPr>
          <w:rFonts w:cs="Times New Roman"/>
          <w:szCs w:val="24"/>
          <w:lang w:val="fr-CA"/>
        </w:rPr>
        <w:t xml:space="preserve">s du VAC envers </w:t>
      </w:r>
      <w:proofErr w:type="spellStart"/>
      <w:r w:rsidRPr="00751B87">
        <w:rPr>
          <w:rFonts w:cs="Times New Roman"/>
          <w:szCs w:val="24"/>
          <w:lang w:val="fr-CA"/>
        </w:rPr>
        <w:t>Sharbern</w:t>
      </w:r>
      <w:proofErr w:type="spellEnd"/>
      <w:r w:rsidRPr="00751B87">
        <w:rPr>
          <w:rFonts w:cs="Times New Roman"/>
          <w:szCs w:val="24"/>
          <w:lang w:val="fr-CA"/>
        </w:rPr>
        <w:t xml:space="preserve"> et les autres propriétaires du Hilton :</w:t>
      </w:r>
    </w:p>
    <w:p w:rsidR="0062110E" w:rsidRPr="00751B87" w:rsidRDefault="003346CA" w:rsidP="0062110E">
      <w:pPr>
        <w:pStyle w:val="Citation-AltC"/>
        <w:spacing w:after="240"/>
        <w:ind w:hanging="1166"/>
        <w:contextualSpacing w:val="0"/>
        <w:rPr>
          <w:lang w:val="fr-CA"/>
        </w:rPr>
      </w:pPr>
      <w:r>
        <w:rPr>
          <w:lang w:val="fr-CA"/>
        </w:rPr>
        <w:tab/>
      </w:r>
      <w:r w:rsidRPr="00751B87">
        <w:rPr>
          <w:lang w:val="fr-CA"/>
        </w:rPr>
        <w:t>[</w:t>
      </w:r>
      <w:r w:rsidRPr="00751B87">
        <w:rPr>
          <w:smallCaps/>
          <w:lang w:val="fr-CA"/>
        </w:rPr>
        <w:t>traduction</w:t>
      </w:r>
      <w:proofErr w:type="gramStart"/>
      <w:r w:rsidRPr="00751B87">
        <w:rPr>
          <w:lang w:val="fr-CA"/>
        </w:rPr>
        <w:t>]</w:t>
      </w:r>
      <w:r>
        <w:rPr>
          <w:lang w:val="fr-CA"/>
        </w:rPr>
        <w:t xml:space="preserve"> .</w:t>
      </w:r>
      <w:proofErr w:type="gramEnd"/>
      <w:r>
        <w:rPr>
          <w:lang w:val="fr-CA"/>
        </w:rPr>
        <w:t xml:space="preserve"> . . </w:t>
      </w:r>
      <w:r w:rsidR="00DB1CF5">
        <w:rPr>
          <w:lang w:val="fr-CA"/>
        </w:rPr>
        <w:t>à</w:t>
      </w:r>
      <w:r w:rsidR="0062110E" w:rsidRPr="00751B87">
        <w:rPr>
          <w:lang w:val="fr-CA"/>
        </w:rPr>
        <w:t xml:space="preserve"> mon avis, le VAC n’avait pas l’obligation </w:t>
      </w:r>
      <w:r w:rsidR="0062110E">
        <w:rPr>
          <w:lang w:val="fr-CA"/>
        </w:rPr>
        <w:t>fiduciaire</w:t>
      </w:r>
      <w:r w:rsidR="0062110E" w:rsidRPr="00751B87">
        <w:rPr>
          <w:lang w:val="fr-CA"/>
        </w:rPr>
        <w:t xml:space="preserve"> de s’abstenir de travailler pour des concurrents du Hilton au sein du même marché hôtelier.  J’estime aussi qu’il n’était pas tenu de communiquer aux propriétaires du Hilton les renseignements qu’il tenait de ses autres mandants.  Les propriétaires du Hilton avaient plutôt consenti à ce qu’il agisse pour le compte d’autres mandants qui leur faisaient concurrence au sein du même marché, et ils pouvaient s’attendre à ce qu’il respecte la confidentialité des renseignements qu’il tenait d’eux.  </w:t>
      </w:r>
    </w:p>
    <w:p w:rsidR="0062110E" w:rsidRPr="00751B87" w:rsidRDefault="0062110E" w:rsidP="0062110E">
      <w:pPr>
        <w:pStyle w:val="Citation-AltC"/>
        <w:spacing w:after="240"/>
        <w:contextualSpacing w:val="0"/>
        <w:jc w:val="center"/>
        <w:rPr>
          <w:lang w:val="fr-CA"/>
        </w:rPr>
      </w:pPr>
      <w:r w:rsidRPr="00751B87">
        <w:rPr>
          <w:lang w:val="fr-CA"/>
        </w:rPr>
        <w:t>. . .</w:t>
      </w:r>
    </w:p>
    <w:p w:rsidR="0062110E" w:rsidRPr="00751B87" w:rsidRDefault="0062110E" w:rsidP="0062110E">
      <w:pPr>
        <w:pStyle w:val="Citation-AltC"/>
        <w:spacing w:after="240"/>
        <w:ind w:hanging="1166"/>
        <w:contextualSpacing w:val="0"/>
        <w:rPr>
          <w:lang w:val="fr-CA"/>
        </w:rPr>
      </w:pPr>
      <w:r w:rsidRPr="00751B87">
        <w:rPr>
          <w:lang w:val="fr-CA"/>
        </w:rPr>
        <w:tab/>
      </w:r>
      <w:r w:rsidRPr="00751B87">
        <w:rPr>
          <w:lang w:val="fr-CA"/>
        </w:rPr>
        <w:tab/>
        <w:t xml:space="preserve">J’estime que le VAC a les obligations </w:t>
      </w:r>
      <w:r>
        <w:rPr>
          <w:lang w:val="fr-CA"/>
        </w:rPr>
        <w:t>fiduciaire</w:t>
      </w:r>
      <w:r w:rsidRPr="00751B87">
        <w:rPr>
          <w:lang w:val="fr-CA"/>
        </w:rPr>
        <w:t xml:space="preserve">s suivantes envers les propriétaires du Hilton : </w:t>
      </w:r>
    </w:p>
    <w:p w:rsidR="0062110E" w:rsidRPr="00751B87" w:rsidRDefault="0062110E" w:rsidP="0062110E">
      <w:pPr>
        <w:pStyle w:val="Citation-AltC"/>
        <w:spacing w:after="240"/>
        <w:ind w:hanging="1166"/>
        <w:contextualSpacing w:val="0"/>
        <w:rPr>
          <w:lang w:val="fr-CA"/>
        </w:rPr>
      </w:pPr>
      <w:r w:rsidRPr="00751B87">
        <w:rPr>
          <w:lang w:val="fr-CA"/>
        </w:rPr>
        <w:tab/>
        <w:t>1.</w:t>
      </w:r>
      <w:r w:rsidRPr="00751B87">
        <w:rPr>
          <w:lang w:val="fr-CA"/>
        </w:rPr>
        <w:tab/>
        <w:t xml:space="preserve">Ne pas agir pour le compte d’autres mandants qui leur font concurrence au sein du même marché et qu’il aurait intérêt à favoriser. </w:t>
      </w:r>
    </w:p>
    <w:p w:rsidR="0062110E" w:rsidRPr="00751B87" w:rsidRDefault="0062110E" w:rsidP="0062110E">
      <w:pPr>
        <w:pStyle w:val="Citation-AltC"/>
        <w:ind w:hanging="1166"/>
        <w:rPr>
          <w:lang w:val="fr-CA"/>
        </w:rPr>
      </w:pPr>
      <w:r w:rsidRPr="00751B87">
        <w:rPr>
          <w:lang w:val="fr-CA"/>
        </w:rPr>
        <w:tab/>
        <w:t>2.</w:t>
      </w:r>
      <w:r w:rsidRPr="00751B87">
        <w:rPr>
          <w:lang w:val="fr-CA"/>
        </w:rPr>
        <w:tab/>
        <w:t>Ne pas agir en tant que mandataire des propriétaires du Hilton et de tiers ayant conclu un contrat avec eux sans d’abord avoir fait une communication complète des renseignements et avoir obtenu leur consentement.  [</w:t>
      </w:r>
      <w:proofErr w:type="gramStart"/>
      <w:r w:rsidRPr="00751B87">
        <w:rPr>
          <w:lang w:val="fr-CA"/>
        </w:rPr>
        <w:t>par</w:t>
      </w:r>
      <w:proofErr w:type="gramEnd"/>
      <w:r w:rsidRPr="00751B87">
        <w:rPr>
          <w:lang w:val="fr-CA"/>
        </w:rPr>
        <w:t>. 425 et 429]</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juge </w:t>
      </w:r>
      <w:r>
        <w:rPr>
          <w:rFonts w:cs="Times New Roman"/>
          <w:szCs w:val="24"/>
          <w:lang w:val="fr-CA"/>
        </w:rPr>
        <w:t xml:space="preserve">de première instance </w:t>
      </w:r>
      <w:r w:rsidRPr="00751B87">
        <w:rPr>
          <w:rFonts w:cs="Times New Roman"/>
          <w:szCs w:val="24"/>
          <w:lang w:val="fr-CA"/>
        </w:rPr>
        <w:t>a ensuite conclu que le VAC avait intérêt à favoriser le Marriott au détriment du Hilton en raison des différences de rémunération.  Elle a affirmé qu</w:t>
      </w:r>
      <w:r w:rsidR="00DB1CF5">
        <w:rPr>
          <w:rFonts w:cs="Times New Roman"/>
          <w:szCs w:val="24"/>
          <w:lang w:val="fr-CA"/>
        </w:rPr>
        <w:t>e</w:t>
      </w:r>
    </w:p>
    <w:p w:rsidR="0062110E" w:rsidRPr="00751B87" w:rsidRDefault="0062110E" w:rsidP="0062110E">
      <w:pPr>
        <w:pStyle w:val="Citation-AltC"/>
        <w:ind w:hanging="1166"/>
        <w:rPr>
          <w:lang w:val="fr-CA"/>
        </w:rPr>
      </w:pPr>
      <w:r w:rsidRPr="00751B87">
        <w:rPr>
          <w:lang w:val="fr-CA"/>
        </w:rPr>
        <w:tab/>
        <w:t>[</w:t>
      </w:r>
      <w:r w:rsidRPr="00751B87">
        <w:rPr>
          <w:smallCaps/>
          <w:lang w:val="fr-CA"/>
        </w:rPr>
        <w:t>traduction</w:t>
      </w:r>
      <w:r w:rsidR="003346CA">
        <w:rPr>
          <w:lang w:val="fr-CA"/>
        </w:rPr>
        <w:t xml:space="preserve">]  </w:t>
      </w:r>
      <w:r w:rsidRPr="00751B87">
        <w:rPr>
          <w:lang w:val="fr-CA"/>
        </w:rPr>
        <w:t xml:space="preserve">l’intérêt du VAC à favoriser le Marriott au détriment du Hilton est incompatible avec son obligation </w:t>
      </w:r>
      <w:r>
        <w:rPr>
          <w:lang w:val="fr-CA"/>
        </w:rPr>
        <w:t>fiduciaire</w:t>
      </w:r>
      <w:r w:rsidRPr="00751B87">
        <w:rPr>
          <w:lang w:val="fr-CA"/>
        </w:rPr>
        <w:t xml:space="preserve"> envers les propriétaires du Hilton et, à moins de porter ce conflit d’intérêts à l’attention de ces derniers et d’obtenir leur consentement éclairé à ce qu’il </w:t>
      </w:r>
      <w:r w:rsidRPr="00751B87">
        <w:rPr>
          <w:lang w:val="fr-CA"/>
        </w:rPr>
        <w:lastRenderedPageBreak/>
        <w:t>agisse pour eux dans ces circonstances, il manque à cette obligation s’il continue d’agir ainsi sans ne rien dire.  [</w:t>
      </w:r>
      <w:proofErr w:type="gramStart"/>
      <w:r w:rsidRPr="00751B87">
        <w:rPr>
          <w:lang w:val="fr-CA"/>
        </w:rPr>
        <w:t>par</w:t>
      </w:r>
      <w:proofErr w:type="gramEnd"/>
      <w:r w:rsidRPr="00751B87">
        <w:rPr>
          <w:lang w:val="fr-CA"/>
        </w:rPr>
        <w:t>. 439]</w:t>
      </w:r>
    </w:p>
    <w:p w:rsidR="0062110E" w:rsidRPr="00751B87" w:rsidRDefault="0062110E" w:rsidP="0062110E">
      <w:pPr>
        <w:pStyle w:val="ParaNoNdepar-AltN"/>
        <w:rPr>
          <w:rFonts w:cs="Times New Roman"/>
          <w:szCs w:val="24"/>
          <w:lang w:val="fr-CA"/>
        </w:rPr>
      </w:pPr>
      <w:r w:rsidRPr="00751B87">
        <w:rPr>
          <w:rFonts w:cs="Times New Roman"/>
          <w:szCs w:val="24"/>
          <w:lang w:val="fr-CA"/>
        </w:rPr>
        <w:t>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a par la suite confirmé que la preuve n’avait pas établi que l’administration commune du Marriott et du Hilton nuisait à l’exploitation de ce dernier et que, de toute façon, il n’était pas nécessaire de trancher cette question à ce stade de l’instance.  Elle a toutefois conclu que certains éléments de preuve montraient [</w:t>
      </w:r>
      <w:r w:rsidRPr="00751B87">
        <w:rPr>
          <w:rFonts w:cs="Times New Roman"/>
          <w:smallCaps/>
          <w:szCs w:val="24"/>
          <w:lang w:val="fr-CA"/>
        </w:rPr>
        <w:t>traduction</w:t>
      </w:r>
      <w:r w:rsidRPr="00751B87">
        <w:rPr>
          <w:rFonts w:cs="Times New Roman"/>
          <w:szCs w:val="24"/>
          <w:lang w:val="fr-CA"/>
        </w:rPr>
        <w:t xml:space="preserve">] « que l’administration commune désavantageait le Hilton » (par. 447).  La juge faisait référence à une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entre le Hilton, le Richmond Inn et le Marriott mise en œuvre par le VAC.  Le Hilton se  révélant moins populaire que le Marriott, ses dirigeants avaient tenté de s’attirer la clientèle provenant des sociétés avec qui le Marriott faisait affaire en leur offrant des tarifs inférieurs à ceux de ce dernier.  Lorsque le Marriott s’est plaint que cette mesure lui faisait perdre des clients et occasionnait des pertes financières aux deux hôtels, le personnel des ventes a proposé que le Hilton, le Marriott et le Richmond Inn s’engagent chacun à ne pas chercher à s’attirer la clientèle provenant des dix sociétés avec lesquelles les deux autres faisaient le plus souvent affaire en leur offrant des tarifs moins élevés.  Ils pouvaient toutefois tenter de s’attirer cette clientèle par d’autres moyens.  La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a été mise en œuvre en 2002.</w:t>
      </w:r>
    </w:p>
    <w:p w:rsidR="0062110E" w:rsidRPr="00751B87" w:rsidRDefault="0062110E" w:rsidP="0062110E">
      <w:pPr>
        <w:pStyle w:val="ParaNoNdepar-AltN"/>
        <w:rPr>
          <w:rFonts w:cs="Times New Roman"/>
          <w:szCs w:val="24"/>
          <w:lang w:val="fr-CA"/>
        </w:rPr>
      </w:pPr>
      <w:r w:rsidRPr="00751B87">
        <w:rPr>
          <w:rFonts w:cs="Times New Roman"/>
          <w:szCs w:val="24"/>
          <w:lang w:val="fr-CA"/>
        </w:rPr>
        <w:t>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a estimé qu’il s’agissait là d’une entente entre le Hilton et le Marriott, et que le VAC jouait le rôle de mandataire de l’un et l’autre hôtel.  Elle a conclu qu’indépendamment du </w:t>
      </w:r>
      <w:proofErr w:type="spellStart"/>
      <w:r w:rsidRPr="00751B87">
        <w:rPr>
          <w:rFonts w:cs="Times New Roman"/>
          <w:szCs w:val="24"/>
          <w:lang w:val="fr-CA"/>
        </w:rPr>
        <w:t>bien</w:t>
      </w:r>
      <w:r w:rsidRPr="00751B87">
        <w:rPr>
          <w:rFonts w:cs="Times New Roman"/>
          <w:szCs w:val="24"/>
          <w:lang w:val="fr-CA"/>
        </w:rPr>
        <w:noBreakHyphen/>
        <w:t>fondé</w:t>
      </w:r>
      <w:proofErr w:type="spellEnd"/>
      <w:r w:rsidRPr="00751B87">
        <w:rPr>
          <w:rFonts w:cs="Times New Roman"/>
          <w:szCs w:val="24"/>
          <w:lang w:val="fr-CA"/>
        </w:rPr>
        <w:t xml:space="preserve"> du contrat le VAC avait manqué à </w:t>
      </w:r>
      <w:r w:rsidRPr="00751B87">
        <w:rPr>
          <w:rFonts w:cs="Times New Roman"/>
          <w:szCs w:val="24"/>
          <w:lang w:val="fr-CA"/>
        </w:rPr>
        <w:lastRenderedPageBreak/>
        <w:t>l’obligation que l’</w:t>
      </w:r>
      <w:proofErr w:type="spellStart"/>
      <w:r w:rsidRPr="00751B87">
        <w:rPr>
          <w:rFonts w:cs="Times New Roman"/>
          <w:szCs w:val="24"/>
          <w:lang w:val="fr-CA"/>
        </w:rPr>
        <w:t>equity</w:t>
      </w:r>
      <w:proofErr w:type="spellEnd"/>
      <w:r w:rsidRPr="00751B87">
        <w:rPr>
          <w:rFonts w:cs="Times New Roman"/>
          <w:szCs w:val="24"/>
          <w:lang w:val="fr-CA"/>
        </w:rPr>
        <w:t xml:space="preserve"> lui imposait à l’égard des propriétaires du Hilton en les engageant dans un contrat avec un tiers dont il était aussi mandataire, et ce, sans avoir préalablement obtenu leur consentement éclairé.</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Cour d’appel a jugé que le VAC n’a pas manqué à son obligation </w:t>
      </w:r>
      <w:r>
        <w:rPr>
          <w:rFonts w:cs="Times New Roman"/>
          <w:szCs w:val="24"/>
          <w:lang w:val="fr-CA"/>
        </w:rPr>
        <w:t>fiduciaire</w:t>
      </w:r>
      <w:r w:rsidRPr="00751B87">
        <w:rPr>
          <w:rFonts w:cs="Times New Roman"/>
          <w:szCs w:val="24"/>
          <w:lang w:val="fr-CA"/>
        </w:rPr>
        <w:t xml:space="preserve">.  Selon le juge Chiasson, le raisonnement de la juge </w:t>
      </w:r>
      <w:r>
        <w:rPr>
          <w:rFonts w:cs="Times New Roman"/>
          <w:szCs w:val="24"/>
          <w:lang w:val="fr-CA"/>
        </w:rPr>
        <w:t xml:space="preserve">de première instance </w:t>
      </w:r>
      <w:r w:rsidRPr="00751B87">
        <w:rPr>
          <w:rFonts w:cs="Times New Roman"/>
          <w:szCs w:val="24"/>
          <w:lang w:val="fr-CA"/>
        </w:rPr>
        <w:t xml:space="preserve">menait à la conclusion qu’en raison de l’entente avec les propriétaires du Marriott, le VAC manquait à son obligation </w:t>
      </w:r>
      <w:r>
        <w:rPr>
          <w:rFonts w:cs="Times New Roman"/>
          <w:szCs w:val="24"/>
          <w:lang w:val="fr-CA"/>
        </w:rPr>
        <w:t>fiduciaire</w:t>
      </w:r>
      <w:r w:rsidRPr="00751B87">
        <w:rPr>
          <w:rFonts w:cs="Times New Roman"/>
          <w:szCs w:val="24"/>
          <w:lang w:val="fr-CA"/>
        </w:rPr>
        <w:t xml:space="preserve"> en en concluant une avec ceux du Hilton.  Toutefois, ayant déjà conclu que le VAC n’avait fait aucune déclaration inexacte au sujet de son entente avec les propriétaires du Marriott, il a jugé qu’il n’en était pas ainsi. À son avis, les questions étaient intimement liées.  Il a confirmé de nouveau que [</w:t>
      </w:r>
      <w:r w:rsidRPr="00751B87">
        <w:rPr>
          <w:rFonts w:cs="Times New Roman"/>
          <w:smallCaps/>
          <w:szCs w:val="24"/>
          <w:lang w:val="fr-CA"/>
        </w:rPr>
        <w:t>traduction</w:t>
      </w:r>
      <w:r w:rsidRPr="00751B87">
        <w:rPr>
          <w:rFonts w:cs="Times New Roman"/>
          <w:szCs w:val="24"/>
          <w:lang w:val="fr-CA"/>
        </w:rPr>
        <w:t xml:space="preserve">] « l’existence du lien entre le VAC et les propriétaires d’unités de l’hôtel Marriott avait été révélée », et que la question de savoir si le VAC avait manqué à son obligation </w:t>
      </w:r>
      <w:r>
        <w:rPr>
          <w:rFonts w:cs="Times New Roman"/>
          <w:szCs w:val="24"/>
          <w:lang w:val="fr-CA"/>
        </w:rPr>
        <w:t>fiduciaire</w:t>
      </w:r>
      <w:r w:rsidRPr="00751B87">
        <w:rPr>
          <w:rFonts w:cs="Times New Roman"/>
          <w:szCs w:val="24"/>
          <w:lang w:val="fr-CA"/>
        </w:rPr>
        <w:t xml:space="preserve"> en omettant de faire état des différences de rémunération dans le document du Hilton « </w:t>
      </w:r>
      <w:proofErr w:type="gramStart"/>
      <w:r w:rsidRPr="00751B87">
        <w:rPr>
          <w:rFonts w:cs="Times New Roman"/>
          <w:szCs w:val="24"/>
          <w:lang w:val="fr-CA"/>
        </w:rPr>
        <w:t>dépend[</w:t>
      </w:r>
      <w:proofErr w:type="gramEnd"/>
      <w:r w:rsidRPr="00751B87">
        <w:rPr>
          <w:rFonts w:cs="Times New Roman"/>
          <w:szCs w:val="24"/>
          <w:lang w:val="fr-CA"/>
        </w:rPr>
        <w:t>ait] de celle de savoir si ces renseignements étaient importants ou non » (par. 98).  Le juge Chiasson a conclu que « dans les circonstances de l’espèce, les renseignements n’étaient pas objectivement importants »  (par. 99).</w:t>
      </w:r>
    </w:p>
    <w:p w:rsidR="0062110E" w:rsidRPr="00751B87" w:rsidRDefault="0062110E" w:rsidP="0062110E">
      <w:pPr>
        <w:pStyle w:val="ParaNoNdepar-AltN"/>
        <w:rPr>
          <w:rFonts w:cs="Times New Roman"/>
          <w:szCs w:val="24"/>
          <w:lang w:val="fr-CA"/>
        </w:rPr>
      </w:pPr>
      <w:r w:rsidRPr="00751B87">
        <w:rPr>
          <w:rFonts w:cs="Times New Roman"/>
          <w:szCs w:val="24"/>
          <w:lang w:val="fr-CA"/>
        </w:rPr>
        <w:t>Le juge Chiasson a aussi conclu que [</w:t>
      </w:r>
      <w:r w:rsidRPr="00751B87">
        <w:rPr>
          <w:rFonts w:cs="Times New Roman"/>
          <w:smallCaps/>
          <w:szCs w:val="24"/>
          <w:lang w:val="fr-CA"/>
        </w:rPr>
        <w:t>traduction</w:t>
      </w:r>
      <w:r w:rsidRPr="00751B87">
        <w:rPr>
          <w:rFonts w:cs="Times New Roman"/>
          <w:szCs w:val="24"/>
          <w:lang w:val="fr-CA"/>
        </w:rPr>
        <w:t xml:space="preserve">]  « le fait que les investisseurs aient consenti à ce que le VAC administre des hôtels se faisant concurrence suffit à répondre à tout argument voulant que l’application d’une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 matière de fixation des prix était en soi un </w:t>
      </w:r>
      <w:r w:rsidRPr="00751B87">
        <w:rPr>
          <w:rFonts w:cs="Times New Roman"/>
          <w:szCs w:val="24"/>
          <w:lang w:val="fr-CA"/>
        </w:rPr>
        <w:lastRenderedPageBreak/>
        <w:t xml:space="preserve">manquement à l’obligation </w:t>
      </w:r>
      <w:r>
        <w:rPr>
          <w:rFonts w:cs="Times New Roman"/>
          <w:szCs w:val="24"/>
          <w:lang w:val="fr-CA"/>
        </w:rPr>
        <w:t>fiduciaire</w:t>
      </w:r>
      <w:r w:rsidRPr="00751B87">
        <w:rPr>
          <w:rFonts w:cs="Times New Roman"/>
          <w:szCs w:val="24"/>
          <w:lang w:val="fr-CA"/>
        </w:rPr>
        <w:t> » (par. 104).  Il s’agissait encore là de savoir si le VAC était tenu de faire état des différences de rémunération dans le document du Hilton; à son avis, il ne l’était pas.</w:t>
      </w:r>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u w:val="single"/>
          <w:lang w:val="fr-CA"/>
        </w:rPr>
      </w:pPr>
      <w:r w:rsidRPr="00751B87">
        <w:rPr>
          <w:rFonts w:cs="Times New Roman"/>
          <w:szCs w:val="24"/>
          <w:lang w:val="fr-CA"/>
        </w:rPr>
        <w:tab/>
      </w:r>
      <w:bookmarkStart w:id="34" w:name="_Toc308445333"/>
      <w:r w:rsidRPr="00751B87">
        <w:rPr>
          <w:rFonts w:cs="Times New Roman"/>
          <w:szCs w:val="24"/>
          <w:lang w:val="fr-CA"/>
        </w:rPr>
        <w:t>(2)</w:t>
      </w:r>
      <w:r w:rsidRPr="00751B87">
        <w:rPr>
          <w:rFonts w:cs="Times New Roman"/>
          <w:szCs w:val="24"/>
          <w:lang w:val="fr-CA"/>
        </w:rPr>
        <w:tab/>
      </w:r>
      <w:r w:rsidRPr="00751B87">
        <w:rPr>
          <w:rFonts w:cs="Times New Roman"/>
          <w:szCs w:val="24"/>
          <w:u w:val="single"/>
          <w:lang w:val="fr-CA"/>
        </w:rPr>
        <w:t xml:space="preserve">Existence d’une relation </w:t>
      </w:r>
      <w:r>
        <w:rPr>
          <w:rFonts w:cs="Times New Roman"/>
          <w:szCs w:val="24"/>
          <w:u w:val="single"/>
          <w:lang w:val="fr-CA"/>
        </w:rPr>
        <w:t>fiduciaire</w:t>
      </w:r>
      <w:bookmarkEnd w:id="34"/>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VAC soutient que la juge de première instance a eu tort de conclure que sa relation avec </w:t>
      </w:r>
      <w:proofErr w:type="spellStart"/>
      <w:r w:rsidRPr="00751B87">
        <w:rPr>
          <w:rFonts w:cs="Times New Roman"/>
          <w:szCs w:val="24"/>
          <w:lang w:val="fr-CA"/>
        </w:rPr>
        <w:t>Sharbern</w:t>
      </w:r>
      <w:proofErr w:type="spellEnd"/>
      <w:r w:rsidRPr="00751B87">
        <w:rPr>
          <w:rFonts w:cs="Times New Roman"/>
          <w:szCs w:val="24"/>
          <w:lang w:val="fr-CA"/>
        </w:rPr>
        <w:t xml:space="preserve"> était de nature </w:t>
      </w:r>
      <w:r>
        <w:rPr>
          <w:rFonts w:cs="Times New Roman"/>
          <w:szCs w:val="24"/>
          <w:lang w:val="fr-CA"/>
        </w:rPr>
        <w:t>fiduciaire</w:t>
      </w:r>
      <w:r w:rsidRPr="00751B87">
        <w:rPr>
          <w:rFonts w:cs="Times New Roman"/>
          <w:szCs w:val="24"/>
          <w:lang w:val="fr-CA"/>
        </w:rPr>
        <w:t>.  Selon lui, sa [</w:t>
      </w:r>
      <w:r w:rsidRPr="00751B87">
        <w:rPr>
          <w:rFonts w:cs="Times New Roman"/>
          <w:smallCaps/>
          <w:szCs w:val="24"/>
          <w:lang w:val="fr-CA"/>
        </w:rPr>
        <w:t>traduction</w:t>
      </w:r>
      <w:r w:rsidRPr="00751B87">
        <w:rPr>
          <w:rFonts w:cs="Times New Roman"/>
          <w:szCs w:val="24"/>
          <w:lang w:val="fr-CA"/>
        </w:rPr>
        <w:t>] « décision de le qualifier de fiducia</w:t>
      </w:r>
      <w:r>
        <w:rPr>
          <w:rFonts w:cs="Times New Roman"/>
          <w:szCs w:val="24"/>
          <w:lang w:val="fr-CA"/>
        </w:rPr>
        <w:t>ire</w:t>
      </w:r>
      <w:r w:rsidRPr="00751B87">
        <w:rPr>
          <w:rFonts w:cs="Times New Roman"/>
          <w:szCs w:val="24"/>
          <w:lang w:val="fr-CA"/>
        </w:rPr>
        <w:t xml:space="preserve"> reposait non pas sur un examen attentif du rapport entre les parties », mais plutôt sur une « analyse catégorielle simpliste » qui l’a menée à la conclusion que « le VAC était à certains égards le mandataire [de </w:t>
      </w:r>
      <w:proofErr w:type="spellStart"/>
      <w:r w:rsidRPr="00751B87">
        <w:rPr>
          <w:rFonts w:cs="Times New Roman"/>
          <w:szCs w:val="24"/>
          <w:lang w:val="fr-CA"/>
        </w:rPr>
        <w:t>Sharbern</w:t>
      </w:r>
      <w:proofErr w:type="spellEnd"/>
      <w:r w:rsidRPr="00751B87">
        <w:rPr>
          <w:rFonts w:cs="Times New Roman"/>
          <w:szCs w:val="24"/>
          <w:lang w:val="fr-CA"/>
        </w:rPr>
        <w:t xml:space="preserve">], et que leur relation de mandant à mandataire était un exemple classique de relation </w:t>
      </w:r>
      <w:r>
        <w:rPr>
          <w:rFonts w:cs="Times New Roman"/>
          <w:szCs w:val="24"/>
          <w:lang w:val="fr-CA"/>
        </w:rPr>
        <w:t>fiduciaire</w:t>
      </w:r>
      <w:r w:rsidRPr="00751B87">
        <w:rPr>
          <w:rFonts w:cs="Times New Roman"/>
          <w:szCs w:val="24"/>
          <w:lang w:val="fr-CA"/>
        </w:rPr>
        <w:t> » (</w:t>
      </w:r>
      <w:proofErr w:type="gramStart"/>
      <w:r w:rsidRPr="00751B87">
        <w:rPr>
          <w:rFonts w:cs="Times New Roman"/>
          <w:szCs w:val="24"/>
          <w:lang w:val="fr-CA"/>
        </w:rPr>
        <w:t>m.i.,</w:t>
      </w:r>
      <w:proofErr w:type="gramEnd"/>
      <w:r w:rsidRPr="00751B87">
        <w:rPr>
          <w:rFonts w:cs="Times New Roman"/>
          <w:szCs w:val="24"/>
          <w:lang w:val="fr-CA"/>
        </w:rPr>
        <w:t xml:space="preserve"> par. 112).  Selon le VAC, les parties entretenaient de simples rapports commerciaux sans lien de dépendance, chacune agissant dans son propre intérêt.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Je ne puis souscrire à la thèse du VAC.  Selon moi, la juge </w:t>
      </w:r>
      <w:r>
        <w:rPr>
          <w:rFonts w:cs="Times New Roman"/>
          <w:szCs w:val="24"/>
          <w:lang w:val="fr-CA"/>
        </w:rPr>
        <w:t>de première instance ne</w:t>
      </w:r>
      <w:r w:rsidRPr="00751B87">
        <w:rPr>
          <w:rFonts w:cs="Times New Roman"/>
          <w:szCs w:val="24"/>
          <w:lang w:val="fr-CA"/>
        </w:rPr>
        <w:t xml:space="preserve"> s’est pas contentée d’une « analyse catégorielle simpliste ».  Elle a plutôt fait un examen exhaustif de la jurisprudence, faisant remarquer que [</w:t>
      </w:r>
      <w:r w:rsidRPr="00751B87">
        <w:rPr>
          <w:rFonts w:cs="Times New Roman"/>
          <w:smallCaps/>
          <w:szCs w:val="24"/>
          <w:lang w:val="fr-CA"/>
        </w:rPr>
        <w:t>traduction</w:t>
      </w:r>
      <w:r w:rsidRPr="00751B87">
        <w:rPr>
          <w:rFonts w:cs="Times New Roman"/>
          <w:szCs w:val="24"/>
          <w:lang w:val="fr-CA"/>
        </w:rPr>
        <w:t xml:space="preserve">] « [l]es obligations </w:t>
      </w:r>
      <w:r>
        <w:rPr>
          <w:rFonts w:cs="Times New Roman"/>
          <w:szCs w:val="24"/>
          <w:lang w:val="fr-CA"/>
        </w:rPr>
        <w:t>fiduciaire</w:t>
      </w:r>
      <w:r w:rsidRPr="00751B87">
        <w:rPr>
          <w:rFonts w:cs="Times New Roman"/>
          <w:szCs w:val="24"/>
          <w:lang w:val="fr-CA"/>
        </w:rPr>
        <w:t xml:space="preserve">s ne caractérisent pas toujours les relations entre mandant et mandataire » (par. 398).  Elle a ensuite examiné attentivement la relation créée par l’entente sur l’administration des biens du Hilton avant de conclure qu’il s’agissait d’une relation </w:t>
      </w:r>
      <w:r>
        <w:rPr>
          <w:rFonts w:cs="Times New Roman"/>
          <w:szCs w:val="24"/>
          <w:lang w:val="fr-CA"/>
        </w:rPr>
        <w:t>fiduciaire</w:t>
      </w:r>
      <w:r w:rsidRPr="00751B87">
        <w:rPr>
          <w:rFonts w:cs="Times New Roman"/>
          <w:szCs w:val="24"/>
          <w:lang w:val="fr-CA"/>
        </w:rPr>
        <w:t xml:space="preserve">.  Elle a signalé que le VAC avait été investi d’un pouvoir </w:t>
      </w:r>
      <w:r w:rsidRPr="00751B87">
        <w:rPr>
          <w:rFonts w:cs="Times New Roman"/>
          <w:szCs w:val="24"/>
          <w:lang w:val="fr-CA"/>
        </w:rPr>
        <w:lastRenderedPageBreak/>
        <w:t>discrétionnaire à titre d’administrateur, qu’il était en mesure d’influer unilatéralement sur les intérêts juridiques ou pratiques des propriétaires de l’hôtel, et que ces derniers étaient particulièrement vulnérables à cet égard.  De toute évidence, elle a examiné cette relation à la lumière des éléments propres aux r</w:t>
      </w:r>
      <w:r>
        <w:rPr>
          <w:rFonts w:cs="Times New Roman"/>
          <w:szCs w:val="24"/>
          <w:lang w:val="fr-CA"/>
        </w:rPr>
        <w:t>apports</w:t>
      </w:r>
      <w:r w:rsidRPr="00751B87">
        <w:rPr>
          <w:rFonts w:cs="Times New Roman"/>
          <w:szCs w:val="24"/>
          <w:lang w:val="fr-CA"/>
        </w:rPr>
        <w:t xml:space="preserve"> fiducia</w:t>
      </w:r>
      <w:r>
        <w:rPr>
          <w:rFonts w:cs="Times New Roman"/>
          <w:szCs w:val="24"/>
          <w:lang w:val="fr-CA"/>
        </w:rPr>
        <w:t>ire</w:t>
      </w:r>
      <w:r w:rsidRPr="00751B87">
        <w:rPr>
          <w:rFonts w:cs="Times New Roman"/>
          <w:szCs w:val="24"/>
          <w:lang w:val="fr-CA"/>
        </w:rPr>
        <w:t xml:space="preserve">s décrits par la juge Wilson dans les motifs dissidents bien connus qu’elle a exposés dans </w:t>
      </w:r>
      <w:r w:rsidRPr="00751B87">
        <w:rPr>
          <w:rFonts w:cs="Times New Roman"/>
          <w:i/>
          <w:szCs w:val="24"/>
          <w:lang w:val="fr-CA"/>
        </w:rPr>
        <w:t>Frame c. Smith</w:t>
      </w:r>
      <w:r w:rsidRPr="00751B87">
        <w:rPr>
          <w:rFonts w:cs="Times New Roman"/>
          <w:szCs w:val="24"/>
          <w:lang w:val="fr-CA"/>
        </w:rPr>
        <w:t>, [1987] 2 R.C.S. 99, p. 136.</w:t>
      </w:r>
    </w:p>
    <w:p w:rsidR="0062110E" w:rsidRPr="00751B87" w:rsidRDefault="0062110E" w:rsidP="0062110E">
      <w:pPr>
        <w:pStyle w:val="ParaNoNdepar-AltN"/>
        <w:rPr>
          <w:rFonts w:cs="Times New Roman"/>
          <w:szCs w:val="24"/>
          <w:lang w:val="fr-CA"/>
        </w:rPr>
      </w:pPr>
      <w:r w:rsidRPr="00751B87">
        <w:rPr>
          <w:rFonts w:cs="Times New Roman"/>
          <w:szCs w:val="24"/>
          <w:lang w:val="fr-CA"/>
        </w:rPr>
        <w:t>À mon avis, il n’y a aucune raison de s’écarter de la conclusion de la juge</w:t>
      </w:r>
      <w:r>
        <w:rPr>
          <w:rFonts w:cs="Times New Roman"/>
          <w:szCs w:val="24"/>
          <w:lang w:val="fr-CA"/>
        </w:rPr>
        <w:t xml:space="preserve"> de première instance</w:t>
      </w:r>
      <w:r w:rsidRPr="00751B87">
        <w:rPr>
          <w:rFonts w:cs="Times New Roman"/>
          <w:szCs w:val="24"/>
          <w:lang w:val="fr-CA"/>
        </w:rPr>
        <w:t xml:space="preserve"> que le VAC avait des obligations </w:t>
      </w:r>
      <w:r>
        <w:rPr>
          <w:rFonts w:cs="Times New Roman"/>
          <w:szCs w:val="24"/>
          <w:lang w:val="fr-CA"/>
        </w:rPr>
        <w:t>fiduciaire</w:t>
      </w:r>
      <w:r w:rsidRPr="00751B87">
        <w:rPr>
          <w:rFonts w:cs="Times New Roman"/>
          <w:szCs w:val="24"/>
          <w:lang w:val="fr-CA"/>
        </w:rPr>
        <w:t xml:space="preserve">s envers les propriétaires du Hilton, notamment </w:t>
      </w:r>
      <w:proofErr w:type="spellStart"/>
      <w:r w:rsidRPr="00751B87">
        <w:rPr>
          <w:rFonts w:cs="Times New Roman"/>
          <w:szCs w:val="24"/>
          <w:lang w:val="fr-CA"/>
        </w:rPr>
        <w:t>Sharbern</w:t>
      </w:r>
      <w:proofErr w:type="spellEnd"/>
      <w:r w:rsidRPr="00751B87">
        <w:rPr>
          <w:rFonts w:cs="Times New Roman"/>
          <w:szCs w:val="24"/>
          <w:lang w:val="fr-CA"/>
        </w:rPr>
        <w:t xml:space="preserve">, alors qu’il administrait cet hôtel.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Cela dit, la nature et la portée des obligations </w:t>
      </w:r>
      <w:r>
        <w:rPr>
          <w:rFonts w:cs="Times New Roman"/>
          <w:szCs w:val="24"/>
          <w:lang w:val="fr-CA"/>
        </w:rPr>
        <w:t>fiduciaire</w:t>
      </w:r>
      <w:r w:rsidRPr="00751B87">
        <w:rPr>
          <w:rFonts w:cs="Times New Roman"/>
          <w:szCs w:val="24"/>
          <w:lang w:val="fr-CA"/>
        </w:rPr>
        <w:t xml:space="preserve">s du VAC s’apprécient dans le contexte du contrat d’où elles résultent.  Comme l’a souligné le juge Cromwell dans l’arrêt unanime de la Cour intitulé </w:t>
      </w:r>
      <w:proofErr w:type="spellStart"/>
      <w:r w:rsidRPr="00751B87">
        <w:rPr>
          <w:rFonts w:cs="Times New Roman"/>
          <w:i/>
          <w:szCs w:val="24"/>
          <w:lang w:val="fr-CA"/>
        </w:rPr>
        <w:t>Galambos</w:t>
      </w:r>
      <w:proofErr w:type="spellEnd"/>
      <w:r w:rsidRPr="00751B87">
        <w:rPr>
          <w:rFonts w:cs="Times New Roman"/>
          <w:i/>
          <w:szCs w:val="24"/>
          <w:lang w:val="fr-CA"/>
        </w:rPr>
        <w:t xml:space="preserve"> c. Perez</w:t>
      </w:r>
      <w:r w:rsidRPr="00751B87">
        <w:rPr>
          <w:rFonts w:cs="Times New Roman"/>
          <w:szCs w:val="24"/>
          <w:lang w:val="fr-CA"/>
        </w:rPr>
        <w:t>, 2009 CSC 48, [2009] 3 R.C.S. 247, par. 75</w:t>
      </w:r>
      <w:r w:rsidR="00DB1CF5">
        <w:rPr>
          <w:rFonts w:cs="Times New Roman"/>
          <w:szCs w:val="24"/>
          <w:lang w:val="fr-CA"/>
        </w:rPr>
        <w:t> :</w:t>
      </w:r>
      <w:r w:rsidRPr="00751B87">
        <w:rPr>
          <w:rFonts w:cs="Times New Roman"/>
          <w:szCs w:val="24"/>
          <w:lang w:val="fr-CA"/>
        </w:rPr>
        <w:t xml:space="preserve"> </w:t>
      </w:r>
      <w:proofErr w:type="gramStart"/>
      <w:r w:rsidRPr="00751B87">
        <w:rPr>
          <w:rFonts w:cs="Times New Roman"/>
          <w:szCs w:val="24"/>
          <w:lang w:val="fr-CA"/>
        </w:rPr>
        <w:t>« .</w:t>
      </w:r>
      <w:proofErr w:type="gramEnd"/>
      <w:r w:rsidRPr="00751B87">
        <w:rPr>
          <w:rFonts w:cs="Times New Roman"/>
          <w:szCs w:val="24"/>
          <w:lang w:val="fr-CA"/>
        </w:rPr>
        <w:t xml:space="preserve"> . . il faut, dans tous les cas, un engagement du </w:t>
      </w:r>
      <w:proofErr w:type="spellStart"/>
      <w:r w:rsidRPr="00751B87">
        <w:rPr>
          <w:rFonts w:cs="Times New Roman"/>
          <w:szCs w:val="24"/>
          <w:lang w:val="fr-CA"/>
        </w:rPr>
        <w:t>fiducial</w:t>
      </w:r>
      <w:proofErr w:type="spellEnd"/>
      <w:r w:rsidRPr="00751B87">
        <w:rPr>
          <w:rFonts w:cs="Times New Roman"/>
          <w:szCs w:val="24"/>
          <w:lang w:val="fr-CA"/>
        </w:rPr>
        <w:t>, exprès ou implicite, d’agir dans le respect du devoir de loyauté qui lui incombe ».  Il a également déclaré que « [l]</w:t>
      </w:r>
      <w:proofErr w:type="spellStart"/>
      <w:r w:rsidRPr="00751B87">
        <w:rPr>
          <w:rFonts w:cs="Times New Roman"/>
          <w:szCs w:val="24"/>
          <w:lang w:val="fr-CA"/>
        </w:rPr>
        <w:t>orsque</w:t>
      </w:r>
      <w:proofErr w:type="spellEnd"/>
      <w:r w:rsidRPr="00751B87">
        <w:rPr>
          <w:rFonts w:cs="Times New Roman"/>
          <w:szCs w:val="24"/>
          <w:lang w:val="fr-CA"/>
        </w:rPr>
        <w:t xml:space="preserve"> la relation est en soi </w:t>
      </w:r>
      <w:proofErr w:type="spellStart"/>
      <w:r w:rsidRPr="00751B87">
        <w:rPr>
          <w:rFonts w:cs="Times New Roman"/>
          <w:szCs w:val="24"/>
          <w:lang w:val="fr-CA"/>
        </w:rPr>
        <w:t>fiduciale</w:t>
      </w:r>
      <w:proofErr w:type="spellEnd"/>
      <w:r w:rsidRPr="00751B87">
        <w:rPr>
          <w:rFonts w:cs="Times New Roman"/>
          <w:szCs w:val="24"/>
          <w:lang w:val="fr-CA"/>
        </w:rPr>
        <w:t xml:space="preserve">, cet engagement sera fonction de la nature de la catégorie à laquelle la relation en question appartient » et que « [l]’engagement du </w:t>
      </w:r>
      <w:proofErr w:type="spellStart"/>
      <w:r w:rsidRPr="00751B87">
        <w:rPr>
          <w:rFonts w:cs="Times New Roman"/>
          <w:szCs w:val="24"/>
          <w:lang w:val="fr-CA"/>
        </w:rPr>
        <w:t>fiducial</w:t>
      </w:r>
      <w:proofErr w:type="spellEnd"/>
      <w:r w:rsidRPr="00751B87">
        <w:rPr>
          <w:rFonts w:cs="Times New Roman"/>
          <w:szCs w:val="24"/>
          <w:lang w:val="fr-CA"/>
        </w:rPr>
        <w:t xml:space="preserve"> peut résulter [. . .] des conditions — expresses ou implicites — d’une entente » (par. 77).  Bien qu’un engagement explicite puisse figurer parmi les modalités d’un contrat de mandat, </w:t>
      </w:r>
      <w:r w:rsidR="003346CA">
        <w:rPr>
          <w:rFonts w:cs="Times New Roman"/>
          <w:szCs w:val="24"/>
          <w:lang w:val="fr-CA"/>
        </w:rPr>
        <w:t>« [</w:t>
      </w:r>
      <w:r w:rsidRPr="00751B87">
        <w:rPr>
          <w:rFonts w:cs="Times New Roman"/>
          <w:szCs w:val="24"/>
          <w:lang w:val="fr-CA"/>
        </w:rPr>
        <w:t>d</w:t>
      </w:r>
      <w:r w:rsidR="003346CA">
        <w:rPr>
          <w:rFonts w:cs="Times New Roman"/>
          <w:szCs w:val="24"/>
          <w:lang w:val="fr-CA"/>
        </w:rPr>
        <w:t>]</w:t>
      </w:r>
      <w:r w:rsidRPr="00751B87">
        <w:rPr>
          <w:rFonts w:cs="Times New Roman"/>
          <w:szCs w:val="24"/>
          <w:lang w:val="fr-CA"/>
        </w:rPr>
        <w:t xml:space="preserve">ans certains types de relations, l’engagement du </w:t>
      </w:r>
      <w:proofErr w:type="spellStart"/>
      <w:r w:rsidRPr="00751B87">
        <w:rPr>
          <w:rFonts w:cs="Times New Roman"/>
          <w:szCs w:val="24"/>
          <w:lang w:val="fr-CA"/>
        </w:rPr>
        <w:t>fiducial</w:t>
      </w:r>
      <w:proofErr w:type="spellEnd"/>
      <w:r w:rsidRPr="00751B87">
        <w:rPr>
          <w:rFonts w:cs="Times New Roman"/>
          <w:szCs w:val="24"/>
          <w:lang w:val="fr-CA"/>
        </w:rPr>
        <w:t xml:space="preserve"> peut en effet être implicite.  Les normes professionnelles, les pratiques de l’industrie ou d’autres pratiques courantes et la </w:t>
      </w:r>
      <w:r w:rsidRPr="00751B87">
        <w:rPr>
          <w:rFonts w:cs="Times New Roman"/>
          <w:szCs w:val="24"/>
          <w:lang w:val="fr-CA"/>
        </w:rPr>
        <w:lastRenderedPageBreak/>
        <w:t xml:space="preserve">question de savoir si la partie qu’on dit être un </w:t>
      </w:r>
      <w:proofErr w:type="spellStart"/>
      <w:r w:rsidRPr="00751B87">
        <w:rPr>
          <w:rFonts w:cs="Times New Roman"/>
          <w:szCs w:val="24"/>
          <w:lang w:val="fr-CA"/>
        </w:rPr>
        <w:t>fiducial</w:t>
      </w:r>
      <w:proofErr w:type="spellEnd"/>
      <w:r w:rsidRPr="00751B87">
        <w:rPr>
          <w:rFonts w:cs="Times New Roman"/>
          <w:szCs w:val="24"/>
          <w:lang w:val="fr-CA"/>
        </w:rPr>
        <w:t xml:space="preserve"> a incité l’autre partie à compter sur le fait qu’elle agirait loyalement envers </w:t>
      </w:r>
      <w:proofErr w:type="gramStart"/>
      <w:r w:rsidRPr="00751B87">
        <w:rPr>
          <w:rFonts w:cs="Times New Roman"/>
          <w:szCs w:val="24"/>
          <w:lang w:val="fr-CA"/>
        </w:rPr>
        <w:t>elle comptent</w:t>
      </w:r>
      <w:proofErr w:type="gramEnd"/>
      <w:r w:rsidRPr="00751B87">
        <w:rPr>
          <w:rFonts w:cs="Times New Roman"/>
          <w:szCs w:val="24"/>
          <w:lang w:val="fr-CA"/>
        </w:rPr>
        <w:t xml:space="preserve"> parmi les considérations utiles pour juger de l’existence ou non d’un tel engagement implicite » (par. 79).</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 l’espèce, les acquéreurs d’unités du Hilton savaient qu’ils concluraient avec le VAC une entente qui lui confierait en exclusivité l’administration de l’hôtel  pour une période d’au moins 20 ans.  En contrepartie, le VAC s’engagerait notamment à déployer des efforts raisonnables sur le plan commercial pour louer les unités, maximiser la part proportionnelle des fonds à remettre à chaque propriétaire, et fidèlement s’acquitter de ses obligations et contrôler et diriger les activités de l’hôtel.  Le document du Hilton expliquait aux investisseurs que le succès ou l’échec du pool locatif dépendrait en partie de la compétence de son administrateur.  Ce document confirmait par ailleurs que les sociétés affiliées au VAC avaient déjà possédé des hôtels se faisant concurrence ou qu’elles avaient déjà administré en commun de tels hôtels.  Les investisseurs comptaient sans aucun doute sur l’expérience et l’expertise du VAC en matière d’administration.  Toutefois, il était entendu que des frais d’administration seraient payés au VAC et que </w:t>
      </w:r>
      <w:proofErr w:type="spellStart"/>
      <w:r w:rsidRPr="00751B87">
        <w:rPr>
          <w:rFonts w:cs="Times New Roman"/>
          <w:szCs w:val="24"/>
          <w:lang w:val="fr-CA"/>
        </w:rPr>
        <w:t>celui</w:t>
      </w:r>
      <w:r w:rsidRPr="00751B87">
        <w:rPr>
          <w:rFonts w:cs="Times New Roman"/>
          <w:szCs w:val="24"/>
          <w:lang w:val="fr-CA"/>
        </w:rPr>
        <w:noBreakHyphen/>
        <w:t>ci</w:t>
      </w:r>
      <w:proofErr w:type="spellEnd"/>
      <w:r w:rsidRPr="00751B87">
        <w:rPr>
          <w:rFonts w:cs="Times New Roman"/>
          <w:szCs w:val="24"/>
          <w:lang w:val="fr-CA"/>
        </w:rPr>
        <w:t xml:space="preserve"> administrerait un hôtel concurrent, soit le Marriott.  La description de cette situation de conflit d’intérêts était accompagnée d’une mise en garde que cela était [</w:t>
      </w:r>
      <w:r w:rsidRPr="00751B87">
        <w:rPr>
          <w:rFonts w:cs="Times New Roman"/>
          <w:smallCaps/>
          <w:szCs w:val="24"/>
          <w:lang w:val="fr-CA"/>
        </w:rPr>
        <w:t>traduction</w:t>
      </w:r>
      <w:r w:rsidR="00DB1CF5">
        <w:rPr>
          <w:rFonts w:cs="Times New Roman"/>
          <w:szCs w:val="24"/>
          <w:lang w:val="fr-CA"/>
        </w:rPr>
        <w:t>] « </w:t>
      </w:r>
      <w:proofErr w:type="spellStart"/>
      <w:r w:rsidRPr="00751B87">
        <w:rPr>
          <w:rFonts w:cs="Times New Roman"/>
          <w:szCs w:val="24"/>
          <w:lang w:val="fr-CA"/>
        </w:rPr>
        <w:t>susceptibl</w:t>
      </w:r>
      <w:proofErr w:type="spellEnd"/>
      <w:r w:rsidR="00DB1CF5">
        <w:rPr>
          <w:rFonts w:cs="Times New Roman"/>
          <w:szCs w:val="24"/>
          <w:lang w:val="fr-CA"/>
        </w:rPr>
        <w:t>[</w:t>
      </w:r>
      <w:r w:rsidRPr="00751B87">
        <w:rPr>
          <w:rFonts w:cs="Times New Roman"/>
          <w:szCs w:val="24"/>
          <w:lang w:val="fr-CA"/>
        </w:rPr>
        <w:t>e] d’avoir une incidence sur [l</w:t>
      </w:r>
      <w:r w:rsidR="00DB1CF5">
        <w:rPr>
          <w:rFonts w:cs="Times New Roman"/>
          <w:szCs w:val="24"/>
          <w:lang w:val="fr-CA"/>
        </w:rPr>
        <w:t>]</w:t>
      </w:r>
      <w:r w:rsidRPr="00751B87">
        <w:rPr>
          <w:rFonts w:cs="Times New Roman"/>
          <w:szCs w:val="24"/>
          <w:lang w:val="fr-CA"/>
        </w:rPr>
        <w:t xml:space="preserve">a capacité </w:t>
      </w:r>
      <w:r w:rsidR="00DB1CF5">
        <w:rPr>
          <w:rFonts w:cs="Times New Roman"/>
          <w:szCs w:val="24"/>
          <w:lang w:val="fr-CA"/>
        </w:rPr>
        <w:t>[</w:t>
      </w:r>
      <w:r w:rsidRPr="00751B87">
        <w:rPr>
          <w:rFonts w:cs="Times New Roman"/>
          <w:szCs w:val="24"/>
          <w:lang w:val="fr-CA"/>
        </w:rPr>
        <w:t>du VAC] d’exécuter les obligations prévues dans [l’entente sur l’administration des biens du Hilton] » (</w:t>
      </w:r>
      <w:r w:rsidR="00DB1CF5">
        <w:rPr>
          <w:rFonts w:cs="Times New Roman"/>
          <w:szCs w:val="24"/>
          <w:lang w:val="fr-CA"/>
        </w:rPr>
        <w:t>par</w:t>
      </w:r>
      <w:r w:rsidRPr="00751B87">
        <w:rPr>
          <w:rFonts w:cs="Times New Roman"/>
          <w:szCs w:val="24"/>
          <w:lang w:val="fr-CA"/>
        </w:rPr>
        <w:t>. 4.9</w:t>
      </w:r>
      <w:r w:rsidR="00DB1CF5">
        <w:rPr>
          <w:rFonts w:cs="Times New Roman"/>
          <w:szCs w:val="24"/>
          <w:lang w:val="fr-CA"/>
        </w:rPr>
        <w:t>i)</w:t>
      </w:r>
      <w:r w:rsidRPr="00751B87">
        <w:rPr>
          <w:rFonts w:cs="Times New Roman"/>
          <w:szCs w:val="24"/>
          <w:lang w:val="fr-CA"/>
        </w:rPr>
        <w:t xml:space="preserve">). </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Il est vrai qu’il existait une relation </w:t>
      </w:r>
      <w:r>
        <w:rPr>
          <w:rFonts w:cs="Times New Roman"/>
          <w:szCs w:val="24"/>
          <w:lang w:val="fr-CA"/>
        </w:rPr>
        <w:t>fiduciaire</w:t>
      </w:r>
      <w:r w:rsidRPr="00751B87">
        <w:rPr>
          <w:rFonts w:cs="Times New Roman"/>
          <w:szCs w:val="24"/>
          <w:lang w:val="fr-CA"/>
        </w:rPr>
        <w:t xml:space="preserve"> entre </w:t>
      </w:r>
      <w:proofErr w:type="spellStart"/>
      <w:r w:rsidRPr="00751B87">
        <w:rPr>
          <w:rFonts w:cs="Times New Roman"/>
          <w:szCs w:val="24"/>
          <w:lang w:val="fr-CA"/>
        </w:rPr>
        <w:t>Sharbern</w:t>
      </w:r>
      <w:proofErr w:type="spellEnd"/>
      <w:r w:rsidRPr="00751B87">
        <w:rPr>
          <w:rFonts w:cs="Times New Roman"/>
          <w:szCs w:val="24"/>
          <w:lang w:val="fr-CA"/>
        </w:rPr>
        <w:t xml:space="preserve"> et le VAC et que </w:t>
      </w:r>
      <w:proofErr w:type="spellStart"/>
      <w:r w:rsidRPr="00751B87">
        <w:rPr>
          <w:rFonts w:cs="Times New Roman"/>
          <w:szCs w:val="24"/>
          <w:lang w:val="fr-CA"/>
        </w:rPr>
        <w:t>celui</w:t>
      </w:r>
      <w:r w:rsidRPr="00751B87">
        <w:rPr>
          <w:rFonts w:cs="Times New Roman"/>
          <w:szCs w:val="24"/>
          <w:lang w:val="fr-CA"/>
        </w:rPr>
        <w:noBreakHyphen/>
        <w:t>ci</w:t>
      </w:r>
      <w:proofErr w:type="spellEnd"/>
      <w:r w:rsidRPr="00751B87">
        <w:rPr>
          <w:rFonts w:cs="Times New Roman"/>
          <w:szCs w:val="24"/>
          <w:lang w:val="fr-CA"/>
        </w:rPr>
        <w:t xml:space="preserve"> était tenu, en sa qualité d’administrateur, d’exercer ses pouvoirs discrétionnaires au mieux des intérêts de </w:t>
      </w:r>
      <w:proofErr w:type="spellStart"/>
      <w:r w:rsidRPr="00751B87">
        <w:rPr>
          <w:rFonts w:cs="Times New Roman"/>
          <w:szCs w:val="24"/>
          <w:lang w:val="fr-CA"/>
        </w:rPr>
        <w:t>Sharbern</w:t>
      </w:r>
      <w:proofErr w:type="spellEnd"/>
      <w:r w:rsidRPr="00751B87">
        <w:rPr>
          <w:rFonts w:cs="Times New Roman"/>
          <w:szCs w:val="24"/>
          <w:lang w:val="fr-CA"/>
        </w:rPr>
        <w:t xml:space="preserve">, mais il n’en demeure pas moins que chaque partie savait que le Hilton et le Marriott seraient administrés en commun et que les sociétés affiliées au VAC avaient déjà possédé des hôtels se faisant concurrence ou administré en commun de tels hôtels.  La relation </w:t>
      </w:r>
      <w:r>
        <w:rPr>
          <w:rFonts w:cs="Times New Roman"/>
          <w:szCs w:val="24"/>
          <w:lang w:val="fr-CA"/>
        </w:rPr>
        <w:t>fiduciaire</w:t>
      </w:r>
      <w:r w:rsidRPr="00751B87">
        <w:rPr>
          <w:rFonts w:cs="Times New Roman"/>
          <w:szCs w:val="24"/>
          <w:lang w:val="fr-CA"/>
        </w:rPr>
        <w:t xml:space="preserve"> en l’espèce doit donc être circonscrite par l’entente contractuelle et par le fait que chaque partie savait que le VAC devait s’acquitter d’obligations </w:t>
      </w:r>
      <w:r>
        <w:rPr>
          <w:rFonts w:cs="Times New Roman"/>
          <w:szCs w:val="24"/>
          <w:lang w:val="fr-CA"/>
        </w:rPr>
        <w:t>fiduciaire</w:t>
      </w:r>
      <w:r w:rsidRPr="00751B87">
        <w:rPr>
          <w:rFonts w:cs="Times New Roman"/>
          <w:szCs w:val="24"/>
          <w:lang w:val="fr-CA"/>
        </w:rPr>
        <w:t>s à la fois envers les propriétaires du Hilton et envers les propriétaires d’une entreprise concurrente : </w:t>
      </w:r>
      <w:proofErr w:type="spellStart"/>
      <w:r w:rsidRPr="00751B87">
        <w:rPr>
          <w:rFonts w:cs="Times New Roman"/>
          <w:i/>
          <w:szCs w:val="24"/>
          <w:lang w:val="fr-CA"/>
        </w:rPr>
        <w:t>Galambos</w:t>
      </w:r>
      <w:proofErr w:type="spellEnd"/>
      <w:r w:rsidRPr="00751B87">
        <w:rPr>
          <w:rFonts w:cs="Times New Roman"/>
          <w:szCs w:val="24"/>
          <w:lang w:val="fr-CA"/>
        </w:rPr>
        <w:t>, par. 79.</w:t>
      </w:r>
    </w:p>
    <w:p w:rsidR="0062110E" w:rsidRPr="00751B87" w:rsidRDefault="0062110E" w:rsidP="0062110E">
      <w:pPr>
        <w:pStyle w:val="TitleTitre-AltT"/>
        <w:keepNext/>
        <w:tabs>
          <w:tab w:val="clear" w:pos="360"/>
        </w:tabs>
        <w:spacing w:before="0"/>
        <w:ind w:left="1713" w:hanging="547"/>
        <w:rPr>
          <w:rFonts w:cs="Times New Roman"/>
          <w:szCs w:val="24"/>
          <w:lang w:val="fr-CA"/>
        </w:rPr>
      </w:pPr>
      <w:bookmarkStart w:id="35" w:name="_Toc308445334"/>
      <w:r w:rsidRPr="00751B87">
        <w:rPr>
          <w:rFonts w:cs="Times New Roman"/>
          <w:szCs w:val="24"/>
          <w:lang w:val="fr-CA"/>
        </w:rPr>
        <w:t>(3)</w:t>
      </w:r>
      <w:r w:rsidRPr="00751B87">
        <w:rPr>
          <w:rFonts w:cs="Times New Roman"/>
          <w:szCs w:val="24"/>
          <w:lang w:val="fr-CA"/>
        </w:rPr>
        <w:tab/>
      </w:r>
      <w:r w:rsidRPr="00751B87">
        <w:rPr>
          <w:rFonts w:cs="Times New Roman"/>
          <w:szCs w:val="24"/>
          <w:u w:val="single"/>
          <w:lang w:val="fr-CA"/>
        </w:rPr>
        <w:t xml:space="preserve">Allégations de déclarations inexactes et d’existence d’une obligation </w:t>
      </w:r>
      <w:r>
        <w:rPr>
          <w:rFonts w:cs="Times New Roman"/>
          <w:szCs w:val="24"/>
          <w:u w:val="single"/>
          <w:lang w:val="fr-CA"/>
        </w:rPr>
        <w:t>fiduciaire</w:t>
      </w:r>
      <w:r w:rsidRPr="00751B87">
        <w:rPr>
          <w:rFonts w:cs="Times New Roman"/>
          <w:szCs w:val="24"/>
          <w:u w:val="single"/>
          <w:lang w:val="fr-CA"/>
        </w:rPr>
        <w:t> : distinctions</w:t>
      </w:r>
      <w:bookmarkEnd w:id="35"/>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 publiant le document du Hilton, le VAC agissait à titre de promoteur </w:t>
      </w:r>
      <w:r w:rsidR="00DB1CF5">
        <w:rPr>
          <w:rFonts w:cs="Times New Roman"/>
          <w:szCs w:val="24"/>
          <w:lang w:val="fr-CA"/>
        </w:rPr>
        <w:t>et d’</w:t>
      </w:r>
      <w:r w:rsidRPr="00751B87">
        <w:rPr>
          <w:rFonts w:cs="Times New Roman"/>
          <w:szCs w:val="24"/>
          <w:lang w:val="fr-CA"/>
        </w:rPr>
        <w:t xml:space="preserve">émetteur de valeurs et non pas de mandataire de </w:t>
      </w:r>
      <w:proofErr w:type="spellStart"/>
      <w:r w:rsidRPr="00751B87">
        <w:rPr>
          <w:rFonts w:cs="Times New Roman"/>
          <w:szCs w:val="24"/>
          <w:lang w:val="fr-CA"/>
        </w:rPr>
        <w:t>Sharbern</w:t>
      </w:r>
      <w:proofErr w:type="spellEnd"/>
      <w:r w:rsidRPr="00751B87">
        <w:rPr>
          <w:rFonts w:cs="Times New Roman"/>
          <w:szCs w:val="24"/>
          <w:lang w:val="fr-CA"/>
        </w:rPr>
        <w:t xml:space="preserve">.  La relation qu’il entretenait avec </w:t>
      </w:r>
      <w:proofErr w:type="spellStart"/>
      <w:r w:rsidRPr="00751B87">
        <w:rPr>
          <w:rFonts w:cs="Times New Roman"/>
          <w:szCs w:val="24"/>
          <w:lang w:val="fr-CA"/>
        </w:rPr>
        <w:t>Sharbern</w:t>
      </w:r>
      <w:proofErr w:type="spellEnd"/>
      <w:r w:rsidRPr="00751B87">
        <w:rPr>
          <w:rFonts w:cs="Times New Roman"/>
          <w:szCs w:val="24"/>
          <w:lang w:val="fr-CA"/>
        </w:rPr>
        <w:t xml:space="preserve"> en sa qualité d’émetteur de valeurs n’était pas de nature </w:t>
      </w:r>
      <w:r>
        <w:rPr>
          <w:rFonts w:cs="Times New Roman"/>
          <w:szCs w:val="24"/>
          <w:lang w:val="fr-CA"/>
        </w:rPr>
        <w:t>fiduciaire</w:t>
      </w:r>
      <w:r w:rsidRPr="00751B87">
        <w:rPr>
          <w:rFonts w:cs="Times New Roman"/>
          <w:szCs w:val="24"/>
          <w:lang w:val="fr-CA"/>
        </w:rPr>
        <w:t xml:space="preserve">.  L’émetteur de valeurs et l’investisseur entretiennent, dans de telles circonstances, des rapports commerciaux sans lien de dépendance, chacun agissant dans son propre intérêt.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Toutefois, à partir du moment où le VAC agissait à titre de mandataire pour </w:t>
      </w:r>
      <w:proofErr w:type="spellStart"/>
      <w:r w:rsidRPr="00751B87">
        <w:rPr>
          <w:rFonts w:cs="Times New Roman"/>
          <w:szCs w:val="24"/>
          <w:lang w:val="fr-CA"/>
        </w:rPr>
        <w:t>Sharbern</w:t>
      </w:r>
      <w:proofErr w:type="spellEnd"/>
      <w:r w:rsidRPr="00751B87">
        <w:rPr>
          <w:rFonts w:cs="Times New Roman"/>
          <w:szCs w:val="24"/>
          <w:lang w:val="fr-CA"/>
        </w:rPr>
        <w:t xml:space="preserve"> conformément à l’entente sur l’administration des biens du Hilton, il existait une relation </w:t>
      </w:r>
      <w:r>
        <w:rPr>
          <w:rFonts w:cs="Times New Roman"/>
          <w:szCs w:val="24"/>
          <w:lang w:val="fr-CA"/>
        </w:rPr>
        <w:t>fiduciaire</w:t>
      </w:r>
      <w:r w:rsidRPr="00751B87">
        <w:rPr>
          <w:rFonts w:cs="Times New Roman"/>
          <w:szCs w:val="24"/>
          <w:lang w:val="fr-CA"/>
        </w:rPr>
        <w:t xml:space="preserve"> entre eux.</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Il est important de reconnaître qu’il s’agit là de deux relations distinctes entre les mêmes parties : une relation non </w:t>
      </w:r>
      <w:r>
        <w:rPr>
          <w:rFonts w:cs="Times New Roman"/>
          <w:szCs w:val="24"/>
          <w:lang w:val="fr-CA"/>
        </w:rPr>
        <w:t>fiduciaire</w:t>
      </w:r>
      <w:r w:rsidRPr="00751B87">
        <w:rPr>
          <w:rFonts w:cs="Times New Roman"/>
          <w:szCs w:val="24"/>
          <w:lang w:val="fr-CA"/>
        </w:rPr>
        <w:t xml:space="preserve"> entre émetteur de valeurs et investisseur, et une relation </w:t>
      </w:r>
      <w:r>
        <w:rPr>
          <w:rFonts w:cs="Times New Roman"/>
          <w:szCs w:val="24"/>
          <w:lang w:val="fr-CA"/>
        </w:rPr>
        <w:t>fiduciaire</w:t>
      </w:r>
      <w:r w:rsidRPr="00751B87">
        <w:rPr>
          <w:rFonts w:cs="Times New Roman"/>
          <w:szCs w:val="24"/>
          <w:lang w:val="fr-CA"/>
        </w:rPr>
        <w:t xml:space="preserve"> entre mandant et mandataire.  Par conséquent, même si la question de savoir si l’émetteur de valeurs a fait une déclaration inexacte à l’investisseur et celle de savoir s’il y a eu manquement à l’obligation </w:t>
      </w:r>
      <w:r>
        <w:rPr>
          <w:rFonts w:cs="Times New Roman"/>
          <w:szCs w:val="24"/>
          <w:lang w:val="fr-CA"/>
        </w:rPr>
        <w:t>fiduciaire</w:t>
      </w:r>
      <w:r w:rsidRPr="00751B87">
        <w:rPr>
          <w:rFonts w:cs="Times New Roman"/>
          <w:szCs w:val="24"/>
          <w:lang w:val="fr-CA"/>
        </w:rPr>
        <w:t xml:space="preserve"> qui découlait de leur relation de mandant à mandataire </w:t>
      </w:r>
      <w:proofErr w:type="gramStart"/>
      <w:r w:rsidRPr="00751B87">
        <w:rPr>
          <w:rFonts w:cs="Times New Roman"/>
          <w:szCs w:val="24"/>
          <w:lang w:val="fr-CA"/>
        </w:rPr>
        <w:t>s’inscrivent</w:t>
      </w:r>
      <w:proofErr w:type="gramEnd"/>
      <w:r w:rsidRPr="00751B87">
        <w:rPr>
          <w:rFonts w:cs="Times New Roman"/>
          <w:szCs w:val="24"/>
          <w:lang w:val="fr-CA"/>
        </w:rPr>
        <w:t xml:space="preserve"> en grande partie dans le même contexte factuel, ces deux questions constituent le fondement de causes d’action distinctes qui ont pris naissance à des </w:t>
      </w:r>
      <w:r w:rsidRPr="00751B87">
        <w:rPr>
          <w:rFonts w:cs="Times New Roman"/>
          <w:i/>
          <w:szCs w:val="24"/>
          <w:lang w:val="fr-CA"/>
        </w:rPr>
        <w:t>moments</w:t>
      </w:r>
      <w:r w:rsidRPr="00751B87">
        <w:rPr>
          <w:rFonts w:cs="Times New Roman"/>
          <w:szCs w:val="24"/>
          <w:lang w:val="fr-CA"/>
        </w:rPr>
        <w:t xml:space="preserve"> différents.  D’un côté, l’allégation que le VAC aurait fait des déclarations inexactes est liée aux renseignements communiqués par </w:t>
      </w:r>
      <w:proofErr w:type="spellStart"/>
      <w:r w:rsidRPr="00751B87">
        <w:rPr>
          <w:rFonts w:cs="Times New Roman"/>
          <w:szCs w:val="24"/>
          <w:lang w:val="fr-CA"/>
        </w:rPr>
        <w:t>celui</w:t>
      </w:r>
      <w:r w:rsidRPr="00751B87">
        <w:rPr>
          <w:rFonts w:cs="Times New Roman"/>
          <w:szCs w:val="24"/>
          <w:lang w:val="fr-CA"/>
        </w:rPr>
        <w:noBreakHyphen/>
        <w:t>ci</w:t>
      </w:r>
      <w:proofErr w:type="spellEnd"/>
      <w:r w:rsidRPr="00751B87">
        <w:rPr>
          <w:rFonts w:cs="Times New Roman"/>
          <w:szCs w:val="24"/>
          <w:lang w:val="fr-CA"/>
        </w:rPr>
        <w:t xml:space="preserve"> par le biais du document du Hilton alors qu’il agissait en tant que promoteur de l’hôtel.  De l’autre, l’allégation qu’il aurait manqué à son obligation </w:t>
      </w:r>
      <w:r>
        <w:rPr>
          <w:rFonts w:cs="Times New Roman"/>
          <w:szCs w:val="24"/>
          <w:lang w:val="fr-CA"/>
        </w:rPr>
        <w:t>fiduciaire</w:t>
      </w:r>
      <w:r w:rsidRPr="00751B87">
        <w:rPr>
          <w:rFonts w:cs="Times New Roman"/>
          <w:szCs w:val="24"/>
          <w:lang w:val="fr-CA"/>
        </w:rPr>
        <w:t xml:space="preserve"> est liée à ses activités à l’époque où il a commencé à agir en tant que mandataire et à administrer le Hilton.</w:t>
      </w:r>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lang w:val="fr-CA"/>
        </w:rPr>
      </w:pPr>
      <w:r w:rsidRPr="00751B87">
        <w:rPr>
          <w:rFonts w:cs="Times New Roman"/>
          <w:szCs w:val="24"/>
          <w:lang w:val="fr-CA"/>
        </w:rPr>
        <w:tab/>
      </w:r>
      <w:bookmarkStart w:id="36" w:name="_Toc308445335"/>
      <w:r w:rsidRPr="00751B87">
        <w:rPr>
          <w:rFonts w:cs="Times New Roman"/>
          <w:szCs w:val="24"/>
          <w:lang w:val="fr-CA"/>
        </w:rPr>
        <w:t>(4)</w:t>
      </w:r>
      <w:r w:rsidRPr="00751B87">
        <w:rPr>
          <w:rFonts w:cs="Times New Roman"/>
          <w:szCs w:val="24"/>
          <w:lang w:val="fr-CA"/>
        </w:rPr>
        <w:tab/>
      </w:r>
      <w:r w:rsidRPr="00751B87">
        <w:rPr>
          <w:rFonts w:cs="Times New Roman"/>
          <w:szCs w:val="24"/>
          <w:u w:val="single"/>
          <w:lang w:val="fr-CA"/>
        </w:rPr>
        <w:t>Communication des différences de rémunération</w:t>
      </w:r>
      <w:bookmarkEnd w:id="36"/>
      <w:r w:rsidRPr="00751B87">
        <w:rPr>
          <w:rFonts w:cs="Times New Roman"/>
          <w:szCs w:val="24"/>
          <w:lang w:val="fr-CA"/>
        </w:rPr>
        <w:t xml:space="preserve">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Il s’agit en l’espèce de décider si le VAC a manqué à son obligation </w:t>
      </w:r>
      <w:r>
        <w:rPr>
          <w:rFonts w:cs="Times New Roman"/>
          <w:szCs w:val="24"/>
          <w:lang w:val="fr-CA"/>
        </w:rPr>
        <w:t>fiduciaire</w:t>
      </w:r>
      <w:r w:rsidRPr="00751B87">
        <w:rPr>
          <w:rFonts w:cs="Times New Roman"/>
          <w:szCs w:val="24"/>
          <w:lang w:val="fr-CA"/>
        </w:rPr>
        <w:t xml:space="preserve"> envers </w:t>
      </w:r>
      <w:proofErr w:type="spellStart"/>
      <w:r w:rsidRPr="00751B87">
        <w:rPr>
          <w:rFonts w:cs="Times New Roman"/>
          <w:szCs w:val="24"/>
          <w:lang w:val="fr-CA"/>
        </w:rPr>
        <w:t>Sharbern</w:t>
      </w:r>
      <w:proofErr w:type="spellEnd"/>
      <w:r w:rsidRPr="00751B87">
        <w:rPr>
          <w:rFonts w:cs="Times New Roman"/>
          <w:szCs w:val="24"/>
          <w:lang w:val="fr-CA"/>
        </w:rPr>
        <w:t xml:space="preserve"> et les autres propriétaires du Hilton en omettant de leur expliquer les différences de rémunération et d’obtenir leur consentement éclairé alors qu’il administrait l’hôtel.</w:t>
      </w:r>
    </w:p>
    <w:p w:rsidR="0062110E" w:rsidRPr="00751B87" w:rsidRDefault="0062110E" w:rsidP="0062110E">
      <w:pPr>
        <w:pStyle w:val="ParaNoNdepar-AltN"/>
        <w:tabs>
          <w:tab w:val="clear" w:pos="1166"/>
        </w:tabs>
        <w:rPr>
          <w:rFonts w:cs="Times New Roman"/>
          <w:szCs w:val="24"/>
          <w:lang w:val="fr-CA"/>
        </w:rPr>
      </w:pPr>
      <w:r w:rsidRPr="00751B87">
        <w:rPr>
          <w:rFonts w:cs="Times New Roman"/>
          <w:szCs w:val="24"/>
          <w:lang w:val="fr-CA"/>
        </w:rPr>
        <w:t xml:space="preserve">Le VAC aurait manqué à son obligation </w:t>
      </w:r>
      <w:r>
        <w:rPr>
          <w:rFonts w:cs="Times New Roman"/>
          <w:szCs w:val="24"/>
          <w:lang w:val="fr-CA"/>
        </w:rPr>
        <w:t>fiduciaire</w:t>
      </w:r>
      <w:r w:rsidRPr="00751B87">
        <w:rPr>
          <w:rFonts w:cs="Times New Roman"/>
          <w:szCs w:val="24"/>
          <w:lang w:val="fr-CA"/>
        </w:rPr>
        <w:t xml:space="preserve"> si les différences de rémunération avaient été importantes ou l’avaient mis dans une situation de conflit </w:t>
      </w:r>
      <w:r w:rsidRPr="00751B87">
        <w:rPr>
          <w:rFonts w:cs="Times New Roman"/>
          <w:szCs w:val="24"/>
          <w:lang w:val="fr-CA"/>
        </w:rPr>
        <w:lastRenderedPageBreak/>
        <w:t xml:space="preserve">d’intérêts à laquelle </w:t>
      </w:r>
      <w:proofErr w:type="spellStart"/>
      <w:r w:rsidRPr="00751B87">
        <w:rPr>
          <w:rFonts w:cs="Times New Roman"/>
          <w:szCs w:val="24"/>
          <w:lang w:val="fr-CA"/>
        </w:rPr>
        <w:t>Sharbern</w:t>
      </w:r>
      <w:proofErr w:type="spellEnd"/>
      <w:r w:rsidRPr="00751B87">
        <w:rPr>
          <w:rFonts w:cs="Times New Roman"/>
          <w:szCs w:val="24"/>
          <w:lang w:val="fr-CA"/>
        </w:rPr>
        <w:t xml:space="preserve"> n’avait pas consenti.  Il en est ainsi parce que l’</w:t>
      </w:r>
      <w:proofErr w:type="spellStart"/>
      <w:r w:rsidRPr="00751B87">
        <w:rPr>
          <w:rFonts w:cs="Times New Roman"/>
          <w:szCs w:val="24"/>
          <w:lang w:val="fr-CA"/>
        </w:rPr>
        <w:t>equity</w:t>
      </w:r>
      <w:proofErr w:type="spellEnd"/>
      <w:r w:rsidRPr="00751B87">
        <w:rPr>
          <w:rFonts w:cs="Times New Roman"/>
          <w:szCs w:val="24"/>
          <w:lang w:val="fr-CA"/>
        </w:rPr>
        <w:t xml:space="preserve"> </w:t>
      </w:r>
      <w:r w:rsidRPr="00751B87">
        <w:rPr>
          <w:rFonts w:cs="Times New Roman"/>
          <w:smallCaps/>
          <w:szCs w:val="24"/>
          <w:lang w:val="fr-CA"/>
        </w:rPr>
        <w:t>[traduction]</w:t>
      </w:r>
      <w:r w:rsidRPr="00751B87">
        <w:rPr>
          <w:rFonts w:cs="Times New Roman"/>
          <w:szCs w:val="24"/>
          <w:lang w:val="fr-CA"/>
        </w:rPr>
        <w:t xml:space="preserve"> « interdit au fiduciaire et à tout autre </w:t>
      </w:r>
      <w:proofErr w:type="spellStart"/>
      <w:r w:rsidRPr="00751B87">
        <w:rPr>
          <w:rFonts w:cs="Times New Roman"/>
          <w:szCs w:val="24"/>
          <w:lang w:val="fr-CA"/>
        </w:rPr>
        <w:t>fiducial</w:t>
      </w:r>
      <w:proofErr w:type="spellEnd"/>
      <w:r w:rsidRPr="00751B87">
        <w:rPr>
          <w:rFonts w:cs="Times New Roman"/>
          <w:szCs w:val="24"/>
          <w:lang w:val="fr-CA"/>
        </w:rPr>
        <w:t xml:space="preserve"> de se placer dans des situations ambiguës</w:t>
      </w:r>
      <w:r w:rsidR="00DB1CF5">
        <w:rPr>
          <w:rFonts w:cs="Times New Roman"/>
          <w:szCs w:val="24"/>
          <w:lang w:val="fr-CA"/>
        </w:rPr>
        <w:t>.</w:t>
      </w:r>
      <w:r w:rsidRPr="00751B87">
        <w:rPr>
          <w:rFonts w:cs="Times New Roman"/>
          <w:szCs w:val="24"/>
          <w:lang w:val="fr-CA"/>
        </w:rPr>
        <w:t xml:space="preserve"> [. . .] </w:t>
      </w:r>
      <w:r w:rsidR="00DB1CF5">
        <w:rPr>
          <w:rFonts w:cs="Times New Roman"/>
          <w:szCs w:val="24"/>
          <w:lang w:val="fr-CA"/>
        </w:rPr>
        <w:t>[C]</w:t>
      </w:r>
      <w:r w:rsidRPr="00751B87">
        <w:rPr>
          <w:rFonts w:cs="Times New Roman"/>
          <w:szCs w:val="24"/>
          <w:lang w:val="fr-CA"/>
        </w:rPr>
        <w:t>’</w:t>
      </w:r>
      <w:proofErr w:type="spellStart"/>
      <w:r w:rsidRPr="00751B87">
        <w:rPr>
          <w:rFonts w:cs="Times New Roman"/>
          <w:szCs w:val="24"/>
          <w:lang w:val="fr-CA"/>
        </w:rPr>
        <w:t>est</w:t>
      </w:r>
      <w:r w:rsidRPr="00751B87">
        <w:rPr>
          <w:rFonts w:cs="Times New Roman"/>
          <w:szCs w:val="24"/>
          <w:lang w:val="fr-CA"/>
        </w:rPr>
        <w:noBreakHyphen/>
        <w:t>à</w:t>
      </w:r>
      <w:r w:rsidRPr="00751B87">
        <w:rPr>
          <w:rFonts w:cs="Times New Roman"/>
          <w:szCs w:val="24"/>
          <w:lang w:val="fr-CA"/>
        </w:rPr>
        <w:noBreakHyphen/>
        <w:t>dire</w:t>
      </w:r>
      <w:proofErr w:type="spellEnd"/>
      <w:r w:rsidRPr="00751B87">
        <w:rPr>
          <w:rFonts w:cs="Times New Roman"/>
          <w:szCs w:val="24"/>
          <w:lang w:val="fr-CA"/>
        </w:rPr>
        <w:t xml:space="preserve"> dans des situations où un conflit d’intérêts et d’obligation pourrait survenir » (D. W. M. Waters, M.</w:t>
      </w:r>
      <w:r w:rsidR="00DB1CF5">
        <w:rPr>
          <w:rFonts w:cs="Times New Roman"/>
          <w:szCs w:val="24"/>
          <w:lang w:val="fr-CA"/>
        </w:rPr>
        <w:t xml:space="preserve"> R.</w:t>
      </w:r>
      <w:r w:rsidRPr="00751B87">
        <w:rPr>
          <w:rFonts w:cs="Times New Roman"/>
          <w:szCs w:val="24"/>
          <w:lang w:val="fr-CA"/>
        </w:rPr>
        <w:t xml:space="preserve"> Gillen et L.</w:t>
      </w:r>
      <w:r w:rsidR="00DB1CF5">
        <w:rPr>
          <w:rFonts w:cs="Times New Roman"/>
          <w:szCs w:val="24"/>
          <w:lang w:val="fr-CA"/>
        </w:rPr>
        <w:t xml:space="preserve"> D.</w:t>
      </w:r>
      <w:r w:rsidRPr="00751B87">
        <w:rPr>
          <w:rFonts w:cs="Times New Roman"/>
          <w:szCs w:val="24"/>
          <w:lang w:val="fr-CA"/>
        </w:rPr>
        <w:t xml:space="preserve"> Smith,</w:t>
      </w:r>
      <w:r>
        <w:rPr>
          <w:rFonts w:cs="Times New Roman"/>
          <w:szCs w:val="24"/>
          <w:lang w:val="fr-CA"/>
        </w:rPr>
        <w:t xml:space="preserve"> </w:t>
      </w:r>
      <w:proofErr w:type="spellStart"/>
      <w:proofErr w:type="gramStart"/>
      <w:r>
        <w:rPr>
          <w:rFonts w:cs="Times New Roman"/>
          <w:szCs w:val="24"/>
          <w:lang w:val="fr-CA"/>
        </w:rPr>
        <w:t>dir</w:t>
      </w:r>
      <w:proofErr w:type="spellEnd"/>
      <w:r>
        <w:rPr>
          <w:rFonts w:cs="Times New Roman"/>
          <w:szCs w:val="24"/>
          <w:lang w:val="fr-CA"/>
        </w:rPr>
        <w:t>.,</w:t>
      </w:r>
      <w:proofErr w:type="gramEnd"/>
      <w:r w:rsidRPr="00751B87">
        <w:rPr>
          <w:rFonts w:cs="Times New Roman"/>
          <w:szCs w:val="24"/>
          <w:lang w:val="fr-CA"/>
        </w:rPr>
        <w:t xml:space="preserve"> </w:t>
      </w:r>
      <w:r w:rsidRPr="00751B87">
        <w:rPr>
          <w:rFonts w:cs="Times New Roman"/>
          <w:i/>
          <w:szCs w:val="24"/>
          <w:lang w:val="fr-CA"/>
        </w:rPr>
        <w:t xml:space="preserve">Waters’ Law of Trusts in Canada </w:t>
      </w:r>
      <w:r w:rsidRPr="00751B87">
        <w:rPr>
          <w:rFonts w:cs="Times New Roman"/>
          <w:szCs w:val="24"/>
          <w:lang w:val="fr-CA"/>
        </w:rPr>
        <w:t>(3</w:t>
      </w:r>
      <w:r w:rsidRPr="00751B87">
        <w:rPr>
          <w:rFonts w:cs="Times New Roman"/>
          <w:szCs w:val="24"/>
          <w:vertAlign w:val="superscript"/>
          <w:lang w:val="fr-CA"/>
        </w:rPr>
        <w:t>e</w:t>
      </w:r>
      <w:r w:rsidRPr="00751B87">
        <w:rPr>
          <w:rFonts w:cs="Times New Roman"/>
          <w:szCs w:val="24"/>
          <w:lang w:val="fr-CA"/>
        </w:rPr>
        <w:t xml:space="preserve"> éd. 2005), p. 914).  M</w:t>
      </w:r>
      <w:r w:rsidR="00DB1CF5">
        <w:rPr>
          <w:rFonts w:cs="Times New Roman"/>
          <w:szCs w:val="24"/>
          <w:lang w:val="fr-CA"/>
        </w:rPr>
        <w:t>.</w:t>
      </w:r>
      <w:r w:rsidRPr="00751B87">
        <w:rPr>
          <w:rFonts w:cs="Times New Roman"/>
          <w:szCs w:val="24"/>
          <w:lang w:val="fr-CA"/>
        </w:rPr>
        <w:t xml:space="preserve"> </w:t>
      </w:r>
      <w:proofErr w:type="spellStart"/>
      <w:r w:rsidRPr="00751B87">
        <w:rPr>
          <w:rFonts w:cs="Times New Roman"/>
          <w:szCs w:val="24"/>
          <w:lang w:val="fr-CA"/>
        </w:rPr>
        <w:t>Ng</w:t>
      </w:r>
      <w:proofErr w:type="spellEnd"/>
      <w:r w:rsidRPr="00751B87">
        <w:rPr>
          <w:rFonts w:cs="Times New Roman"/>
          <w:szCs w:val="24"/>
          <w:lang w:val="fr-CA"/>
        </w:rPr>
        <w:t xml:space="preserve"> a écrit ce qui suit dans </w:t>
      </w:r>
      <w:proofErr w:type="spellStart"/>
      <w:r w:rsidRPr="00751B87">
        <w:rPr>
          <w:rFonts w:cs="Times New Roman"/>
          <w:i/>
          <w:szCs w:val="24"/>
          <w:lang w:val="fr-CA"/>
        </w:rPr>
        <w:t>Fiduciary</w:t>
      </w:r>
      <w:proofErr w:type="spellEnd"/>
      <w:r w:rsidRPr="00751B87">
        <w:rPr>
          <w:rFonts w:cs="Times New Roman"/>
          <w:i/>
          <w:szCs w:val="24"/>
          <w:lang w:val="fr-CA"/>
        </w:rPr>
        <w:t xml:space="preserve"> </w:t>
      </w:r>
      <w:proofErr w:type="spellStart"/>
      <w:r w:rsidRPr="00751B87">
        <w:rPr>
          <w:rFonts w:cs="Times New Roman"/>
          <w:i/>
          <w:szCs w:val="24"/>
          <w:lang w:val="fr-CA"/>
        </w:rPr>
        <w:t>Duties</w:t>
      </w:r>
      <w:proofErr w:type="spellEnd"/>
      <w:r w:rsidR="003346CA">
        <w:rPr>
          <w:rFonts w:cs="Times New Roman"/>
          <w:i/>
          <w:szCs w:val="24"/>
          <w:lang w:val="fr-CA"/>
        </w:rPr>
        <w:t> </w:t>
      </w:r>
      <w:r w:rsidRPr="00751B87">
        <w:rPr>
          <w:rFonts w:cs="Times New Roman"/>
          <w:i/>
          <w:szCs w:val="24"/>
          <w:lang w:val="fr-CA"/>
        </w:rPr>
        <w:t xml:space="preserve">: Obligations of </w:t>
      </w:r>
      <w:proofErr w:type="spellStart"/>
      <w:r w:rsidRPr="00751B87">
        <w:rPr>
          <w:rFonts w:cs="Times New Roman"/>
          <w:i/>
          <w:szCs w:val="24"/>
          <w:lang w:val="fr-CA"/>
        </w:rPr>
        <w:t>Loyalty</w:t>
      </w:r>
      <w:proofErr w:type="spellEnd"/>
      <w:r w:rsidRPr="00751B87">
        <w:rPr>
          <w:rFonts w:cs="Times New Roman"/>
          <w:i/>
          <w:szCs w:val="24"/>
          <w:lang w:val="fr-CA"/>
        </w:rPr>
        <w:t xml:space="preserve"> and </w:t>
      </w:r>
      <w:proofErr w:type="spellStart"/>
      <w:r w:rsidRPr="00751B87">
        <w:rPr>
          <w:rFonts w:cs="Times New Roman"/>
          <w:i/>
          <w:szCs w:val="24"/>
          <w:lang w:val="fr-CA"/>
        </w:rPr>
        <w:t>Faithfulness</w:t>
      </w:r>
      <w:proofErr w:type="spellEnd"/>
      <w:r w:rsidRPr="00751B87">
        <w:rPr>
          <w:rFonts w:cs="Times New Roman"/>
          <w:szCs w:val="24"/>
          <w:lang w:val="fr-CA"/>
        </w:rPr>
        <w:t xml:space="preserve"> (feuilles mobiles), p. 2</w:t>
      </w:r>
      <w:r w:rsidRPr="00751B87">
        <w:rPr>
          <w:rFonts w:cs="Times New Roman"/>
          <w:szCs w:val="24"/>
          <w:lang w:val="fr-CA"/>
        </w:rPr>
        <w:noBreakHyphen/>
        <w:t>10 :</w:t>
      </w:r>
    </w:p>
    <w:p w:rsidR="0062110E" w:rsidRPr="00751B87" w:rsidRDefault="0062110E" w:rsidP="0062110E">
      <w:pPr>
        <w:pStyle w:val="Citation-AltC"/>
        <w:ind w:hanging="1166"/>
        <w:rPr>
          <w:lang w:val="fr-CA"/>
        </w:rPr>
      </w:pPr>
      <w:r w:rsidRPr="00751B87">
        <w:rPr>
          <w:lang w:val="fr-CA"/>
        </w:rPr>
        <w:tab/>
      </w:r>
      <w:r w:rsidR="003346CA" w:rsidRPr="00751B87">
        <w:rPr>
          <w:lang w:val="fr-CA"/>
        </w:rPr>
        <w:t>[</w:t>
      </w:r>
      <w:r w:rsidR="003346CA" w:rsidRPr="00751B87">
        <w:rPr>
          <w:smallCaps/>
          <w:lang w:val="fr-CA"/>
        </w:rPr>
        <w:t>traduction</w:t>
      </w:r>
      <w:r w:rsidR="003346CA" w:rsidRPr="00751B87">
        <w:rPr>
          <w:lang w:val="fr-CA"/>
        </w:rPr>
        <w:t>]</w:t>
      </w:r>
      <w:r w:rsidR="003346CA">
        <w:rPr>
          <w:lang w:val="fr-CA"/>
        </w:rPr>
        <w:t xml:space="preserve"> </w:t>
      </w:r>
      <w:r w:rsidRPr="00751B87">
        <w:rPr>
          <w:lang w:val="fr-CA"/>
        </w:rPr>
        <w:t>Lorsque le fiducia</w:t>
      </w:r>
      <w:r>
        <w:rPr>
          <w:lang w:val="fr-CA"/>
        </w:rPr>
        <w:t>ire</w:t>
      </w:r>
      <w:r w:rsidRPr="00751B87">
        <w:rPr>
          <w:lang w:val="fr-CA"/>
        </w:rPr>
        <w:t xml:space="preserve"> se place dans une situation où ses propres intérêts ou ceux d’autres parties peuvent entrer en conflit avec l’obligation qu’il a envers son mandant, il doit lui communiquer tous les renseignements importants dont il dispose au sujet de l’opération afin d’obtenir qu’il consente à ses actions en toute connaissance de cause malgré l’existence du conflit.</w:t>
      </w:r>
    </w:p>
    <w:p w:rsidR="0062110E" w:rsidRPr="00751B87" w:rsidRDefault="0062110E" w:rsidP="0062110E">
      <w:pPr>
        <w:pStyle w:val="ParaNoNdepar-AltN"/>
        <w:rPr>
          <w:rFonts w:cs="Times New Roman"/>
          <w:szCs w:val="24"/>
          <w:lang w:val="fr-CA"/>
        </w:rPr>
      </w:pPr>
      <w:proofErr w:type="spellStart"/>
      <w:r w:rsidRPr="00751B87">
        <w:rPr>
          <w:rFonts w:cs="Times New Roman"/>
          <w:szCs w:val="24"/>
          <w:lang w:val="fr-CA"/>
        </w:rPr>
        <w:t>Sharbern</w:t>
      </w:r>
      <w:proofErr w:type="spellEnd"/>
      <w:r w:rsidRPr="00751B87">
        <w:rPr>
          <w:rFonts w:cs="Times New Roman"/>
          <w:szCs w:val="24"/>
          <w:lang w:val="fr-CA"/>
        </w:rPr>
        <w:t xml:space="preserve"> soutient que la question de savoir si le VAC avait manqué à son obligation</w:t>
      </w:r>
      <w:r>
        <w:rPr>
          <w:rFonts w:cs="Times New Roman"/>
          <w:szCs w:val="24"/>
          <w:lang w:val="fr-CA"/>
        </w:rPr>
        <w:t xml:space="preserve"> fiduciaire </w:t>
      </w:r>
      <w:r w:rsidRPr="00751B87">
        <w:rPr>
          <w:rFonts w:cs="Times New Roman"/>
          <w:szCs w:val="24"/>
          <w:lang w:val="fr-CA"/>
        </w:rPr>
        <w:t xml:space="preserve">d’éviter tout conflit d’intérêts non dévoilé en était </w:t>
      </w:r>
      <w:r w:rsidRPr="00751B87">
        <w:rPr>
          <w:rFonts w:cs="Times New Roman"/>
          <w:smallCaps/>
          <w:szCs w:val="24"/>
          <w:lang w:val="fr-CA"/>
        </w:rPr>
        <w:t>[traduction]</w:t>
      </w:r>
      <w:r w:rsidRPr="00751B87">
        <w:rPr>
          <w:rFonts w:cs="Times New Roman"/>
          <w:szCs w:val="24"/>
          <w:lang w:val="fr-CA"/>
        </w:rPr>
        <w:t xml:space="preserve"> « une de consentement » (</w:t>
      </w:r>
      <w:proofErr w:type="gramStart"/>
      <w:r w:rsidRPr="00751B87">
        <w:rPr>
          <w:rFonts w:cs="Times New Roman"/>
          <w:szCs w:val="24"/>
          <w:lang w:val="fr-CA"/>
        </w:rPr>
        <w:t>m.a.,</w:t>
      </w:r>
      <w:proofErr w:type="gramEnd"/>
      <w:r w:rsidRPr="00751B87">
        <w:rPr>
          <w:rFonts w:cs="Times New Roman"/>
          <w:szCs w:val="24"/>
          <w:lang w:val="fr-CA"/>
        </w:rPr>
        <w:t xml:space="preserve"> par. 54).  En d’autres termes, elle prétend que la Cour doit se demander si le VAC « a, dans le [document du Hilton], exposé suffisamment de faits relatifs à son conflit d’intérêts, de sorte que les investisseurs qui ont acheté des unités en se fiant à [ce document] sont réputés avoir consenti au conflit » (</w:t>
      </w:r>
      <w:r w:rsidRPr="00751B87">
        <w:rPr>
          <w:rFonts w:cs="Times New Roman"/>
          <w:i/>
          <w:szCs w:val="24"/>
          <w:lang w:val="fr-CA"/>
        </w:rPr>
        <w:t>ibid</w:t>
      </w:r>
      <w:r w:rsidRPr="00751B87">
        <w:rPr>
          <w:rFonts w:cs="Times New Roman"/>
          <w:szCs w:val="24"/>
          <w:lang w:val="fr-CA"/>
        </w:rPr>
        <w:t xml:space="preserve">.).  Le point de vue de </w:t>
      </w:r>
      <w:proofErr w:type="spellStart"/>
      <w:r w:rsidRPr="00751B87">
        <w:rPr>
          <w:rFonts w:cs="Times New Roman"/>
          <w:szCs w:val="24"/>
          <w:lang w:val="fr-CA"/>
        </w:rPr>
        <w:t>Sharbern</w:t>
      </w:r>
      <w:proofErr w:type="spellEnd"/>
      <w:r w:rsidRPr="00751B87">
        <w:rPr>
          <w:rFonts w:cs="Times New Roman"/>
          <w:szCs w:val="24"/>
          <w:lang w:val="fr-CA"/>
        </w:rPr>
        <w:t xml:space="preserve"> repose sur l’hypothèse que les différences de rémunération constituaient des faits ou des renseignements importants autres que ceux qui avaient déjà été déclarés.  Or, si cette hypothèse s’avérait fondée, il incomberait alors au VAC, en sa qualité de fiducia</w:t>
      </w:r>
      <w:r>
        <w:rPr>
          <w:rFonts w:cs="Times New Roman"/>
          <w:szCs w:val="24"/>
          <w:lang w:val="fr-CA"/>
        </w:rPr>
        <w:t>ire</w:t>
      </w:r>
      <w:r w:rsidRPr="00751B87">
        <w:rPr>
          <w:rFonts w:cs="Times New Roman"/>
          <w:szCs w:val="24"/>
          <w:lang w:val="fr-CA"/>
        </w:rPr>
        <w:t xml:space="preserve">, de prouver qu’il avait obtenu le </w:t>
      </w:r>
      <w:r w:rsidRPr="00751B87">
        <w:rPr>
          <w:rFonts w:cs="Times New Roman"/>
          <w:szCs w:val="24"/>
          <w:lang w:val="fr-CA"/>
        </w:rPr>
        <w:lastRenderedPageBreak/>
        <w:t xml:space="preserve">consentement éclairé des propriétaires du Hilton relativement aux différences de rémunération : </w:t>
      </w:r>
      <w:r w:rsidRPr="00751B87">
        <w:rPr>
          <w:rFonts w:cs="Times New Roman"/>
          <w:i/>
          <w:szCs w:val="24"/>
          <w:lang w:val="fr-CA"/>
        </w:rPr>
        <w:t xml:space="preserve">McGuire c. Graham </w:t>
      </w:r>
      <w:r w:rsidRPr="00751B87">
        <w:rPr>
          <w:rFonts w:cs="Times New Roman"/>
          <w:szCs w:val="24"/>
          <w:lang w:val="fr-CA"/>
        </w:rPr>
        <w:t>(1908), 11 O.W.R. 999 (C.A.), p. 999</w:t>
      </w:r>
      <w:r w:rsidR="00DB1CF5">
        <w:rPr>
          <w:rFonts w:cs="Times New Roman"/>
          <w:szCs w:val="24"/>
          <w:lang w:val="fr-CA"/>
        </w:rPr>
        <w:t>-</w:t>
      </w:r>
      <w:r w:rsidRPr="00751B87">
        <w:rPr>
          <w:rFonts w:cs="Times New Roman"/>
          <w:szCs w:val="24"/>
          <w:lang w:val="fr-CA"/>
        </w:rPr>
        <w:t>1000.</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Cependant, l’importance des différences de rémunération doit d’abord être établie.  Il en est ainsi parce que </w:t>
      </w:r>
      <w:r w:rsidRPr="00751B87">
        <w:rPr>
          <w:rFonts w:cs="Times New Roman"/>
          <w:smallCaps/>
          <w:szCs w:val="24"/>
          <w:lang w:val="fr-CA"/>
        </w:rPr>
        <w:t>[traduction]</w:t>
      </w:r>
      <w:r w:rsidRPr="00751B87">
        <w:rPr>
          <w:rFonts w:cs="Times New Roman"/>
          <w:szCs w:val="24"/>
          <w:lang w:val="fr-CA"/>
        </w:rPr>
        <w:t xml:space="preserve"> « [l]es actions intéressées d’</w:t>
      </w:r>
      <w:r>
        <w:rPr>
          <w:rFonts w:cs="Times New Roman"/>
          <w:szCs w:val="24"/>
          <w:lang w:val="fr-CA"/>
        </w:rPr>
        <w:t>un fiduciaire n’entrent</w:t>
      </w:r>
      <w:r w:rsidRPr="00751B87">
        <w:rPr>
          <w:rFonts w:cs="Times New Roman"/>
          <w:szCs w:val="24"/>
          <w:lang w:val="fr-CA"/>
        </w:rPr>
        <w:t xml:space="preserve"> pas toutes en conflit avec ses obligations </w:t>
      </w:r>
      <w:r>
        <w:rPr>
          <w:rFonts w:cs="Times New Roman"/>
          <w:szCs w:val="24"/>
          <w:lang w:val="fr-CA"/>
        </w:rPr>
        <w:t>fiduciaire</w:t>
      </w:r>
      <w:r w:rsidRPr="00751B87">
        <w:rPr>
          <w:rFonts w:cs="Times New Roman"/>
          <w:szCs w:val="24"/>
          <w:lang w:val="fr-CA"/>
        </w:rPr>
        <w:t>s : autrement, il ne pourrait jamais rien faire pour son propre bénéfice » (</w:t>
      </w:r>
      <w:r w:rsidRPr="00751B87">
        <w:rPr>
          <w:rFonts w:cs="Times New Roman"/>
          <w:i/>
          <w:szCs w:val="24"/>
          <w:lang w:val="fr-CA"/>
        </w:rPr>
        <w:t>Waters’</w:t>
      </w:r>
      <w:r w:rsidRPr="00751B87">
        <w:rPr>
          <w:rFonts w:cs="Times New Roman"/>
          <w:szCs w:val="24"/>
          <w:lang w:val="fr-CA"/>
        </w:rPr>
        <w:t xml:space="preserve">, p. 914).  Comme l’a affirmé F. M. B. Reynolds dans </w:t>
      </w:r>
      <w:proofErr w:type="spellStart"/>
      <w:r w:rsidRPr="00751B87">
        <w:rPr>
          <w:rFonts w:cs="Times New Roman"/>
          <w:i/>
          <w:szCs w:val="24"/>
          <w:lang w:val="fr-CA"/>
        </w:rPr>
        <w:t>Bowstead</w:t>
      </w:r>
      <w:proofErr w:type="spellEnd"/>
      <w:r w:rsidRPr="00751B87">
        <w:rPr>
          <w:rFonts w:cs="Times New Roman"/>
          <w:i/>
          <w:szCs w:val="24"/>
          <w:lang w:val="fr-CA"/>
        </w:rPr>
        <w:t xml:space="preserve"> and Reynolds on </w:t>
      </w:r>
      <w:proofErr w:type="spellStart"/>
      <w:r w:rsidRPr="00751B87">
        <w:rPr>
          <w:rFonts w:cs="Times New Roman"/>
          <w:i/>
          <w:szCs w:val="24"/>
          <w:lang w:val="fr-CA"/>
        </w:rPr>
        <w:t>Agency</w:t>
      </w:r>
      <w:proofErr w:type="spellEnd"/>
      <w:r w:rsidRPr="00751B87">
        <w:rPr>
          <w:rFonts w:cs="Times New Roman"/>
          <w:szCs w:val="24"/>
          <w:lang w:val="fr-CA"/>
        </w:rPr>
        <w:t xml:space="preserve"> (17</w:t>
      </w:r>
      <w:r w:rsidRPr="00751B87">
        <w:rPr>
          <w:rFonts w:cs="Times New Roman"/>
          <w:szCs w:val="24"/>
          <w:vertAlign w:val="superscript"/>
          <w:lang w:val="fr-CA"/>
        </w:rPr>
        <w:t>e</w:t>
      </w:r>
      <w:r w:rsidRPr="00751B87">
        <w:rPr>
          <w:rFonts w:cs="Times New Roman"/>
          <w:szCs w:val="24"/>
          <w:lang w:val="fr-CA"/>
        </w:rPr>
        <w:t xml:space="preserve"> éd. 2001), par. 6</w:t>
      </w:r>
      <w:r w:rsidRPr="00751B87">
        <w:rPr>
          <w:rFonts w:cs="Times New Roman"/>
          <w:szCs w:val="24"/>
          <w:lang w:val="fr-CA"/>
        </w:rPr>
        <w:noBreakHyphen/>
        <w:t xml:space="preserve">057, </w:t>
      </w:r>
      <w:r w:rsidRPr="00751B87">
        <w:rPr>
          <w:rFonts w:cs="Times New Roman"/>
          <w:smallCaps/>
          <w:szCs w:val="24"/>
          <w:lang w:val="fr-CA"/>
        </w:rPr>
        <w:t>[traduction]</w:t>
      </w:r>
      <w:r w:rsidRPr="00751B87">
        <w:rPr>
          <w:rFonts w:cs="Times New Roman"/>
          <w:szCs w:val="24"/>
          <w:lang w:val="fr-CA"/>
        </w:rPr>
        <w:t xml:space="preserve"> « [l]’obligation n’interdit pas complètement d’adopter une position ou d’effectuer des opérations pouvant susciter un tel conflit; elle interdit plutôt d’agir ainsi sans communiquer au mandant tous les faits </w:t>
      </w:r>
      <w:r w:rsidRPr="00751B87">
        <w:rPr>
          <w:rFonts w:cs="Times New Roman"/>
          <w:szCs w:val="24"/>
          <w:u w:val="single"/>
          <w:lang w:val="fr-CA"/>
        </w:rPr>
        <w:t>importants</w:t>
      </w:r>
      <w:r w:rsidRPr="00751B87">
        <w:rPr>
          <w:rFonts w:cs="Times New Roman"/>
          <w:szCs w:val="24"/>
          <w:lang w:val="fr-CA"/>
        </w:rPr>
        <w:t xml:space="preserve"> dans le but d’obtenir son consentement » (je souligne).  En l’espèce, le mandant avait accepté la situation de conflit d’intérêts dans laquelle se trouvait le mandataire du fait qu’il agissait pour le compte d’autres mandants qui lui faisaient concurrence au sein du même marché, et il savait que ce dernier agirait en même temps pour son compte et pour celui de ses concurrents.  La juge</w:t>
      </w:r>
      <w:r>
        <w:rPr>
          <w:rFonts w:cs="Times New Roman"/>
          <w:szCs w:val="24"/>
          <w:lang w:val="fr-CA"/>
        </w:rPr>
        <w:t> </w:t>
      </w:r>
      <w:proofErr w:type="spellStart"/>
      <w:r>
        <w:rPr>
          <w:rFonts w:cs="Times New Roman"/>
          <w:szCs w:val="24"/>
          <w:lang w:val="fr-CA"/>
        </w:rPr>
        <w:t>Wedge</w:t>
      </w:r>
      <w:proofErr w:type="spellEnd"/>
      <w:r>
        <w:rPr>
          <w:rFonts w:cs="Times New Roman"/>
          <w:szCs w:val="24"/>
          <w:lang w:val="fr-CA"/>
        </w:rPr>
        <w:t xml:space="preserve"> </w:t>
      </w:r>
      <w:r w:rsidRPr="00751B87">
        <w:rPr>
          <w:rFonts w:cs="Times New Roman"/>
          <w:szCs w:val="24"/>
          <w:lang w:val="fr-CA"/>
        </w:rPr>
        <w:t xml:space="preserve">aurait donc dû d’abord se demander si les différences de rémunération constituaient des faits ou des renseignements importants autres que ceux qui avaient déjà été déclarés de sorte qu’il incombait au VAC une obligation </w:t>
      </w:r>
      <w:r>
        <w:rPr>
          <w:rFonts w:cs="Times New Roman"/>
          <w:szCs w:val="24"/>
          <w:lang w:val="fr-CA"/>
        </w:rPr>
        <w:t>fiduciaire</w:t>
      </w:r>
      <w:r w:rsidRPr="00751B87">
        <w:rPr>
          <w:rFonts w:cs="Times New Roman"/>
          <w:szCs w:val="24"/>
          <w:lang w:val="fr-CA"/>
        </w:rPr>
        <w:t xml:space="preserve"> d’en communiquer les détails. </w:t>
      </w:r>
    </w:p>
    <w:p w:rsidR="0062110E" w:rsidRPr="00751B87" w:rsidRDefault="0062110E" w:rsidP="0062110E">
      <w:pPr>
        <w:pStyle w:val="ParaNoNdepar-AltN"/>
        <w:rPr>
          <w:rFonts w:cs="Times New Roman"/>
          <w:szCs w:val="24"/>
          <w:lang w:val="fr-CA"/>
        </w:rPr>
      </w:pPr>
      <w:r w:rsidRPr="00751B87">
        <w:rPr>
          <w:rFonts w:cs="Times New Roman"/>
          <w:szCs w:val="24"/>
          <w:lang w:val="fr-CA"/>
        </w:rPr>
        <w:t>Le critère permettant de déterminer l’existence d’un conflit d’in</w:t>
      </w:r>
      <w:r>
        <w:rPr>
          <w:rFonts w:cs="Times New Roman"/>
          <w:szCs w:val="24"/>
          <w:lang w:val="fr-CA"/>
        </w:rPr>
        <w:t>térêts dans un contexte fiduciaire</w:t>
      </w:r>
      <w:r w:rsidRPr="00751B87">
        <w:rPr>
          <w:rFonts w:cs="Times New Roman"/>
          <w:szCs w:val="24"/>
          <w:lang w:val="fr-CA"/>
        </w:rPr>
        <w:t xml:space="preserve"> a été discuté par la Cour dans </w:t>
      </w:r>
      <w:r w:rsidRPr="00751B87">
        <w:rPr>
          <w:rFonts w:cs="Times New Roman"/>
          <w:i/>
          <w:szCs w:val="24"/>
          <w:lang w:val="fr-CA"/>
        </w:rPr>
        <w:t>R. c. Neil</w:t>
      </w:r>
      <w:r w:rsidRPr="00751B87">
        <w:rPr>
          <w:rFonts w:cs="Times New Roman"/>
          <w:szCs w:val="24"/>
          <w:lang w:val="fr-CA"/>
        </w:rPr>
        <w:t xml:space="preserve">, 2002 CSC 70, [2002] 3 R.C.S. 631.  Dans cet arrêt, le juge </w:t>
      </w:r>
      <w:proofErr w:type="spellStart"/>
      <w:r w:rsidRPr="00751B87">
        <w:rPr>
          <w:rFonts w:cs="Times New Roman"/>
          <w:szCs w:val="24"/>
          <w:lang w:val="fr-CA"/>
        </w:rPr>
        <w:t>Binnie</w:t>
      </w:r>
      <w:proofErr w:type="spellEnd"/>
      <w:r w:rsidRPr="00751B87">
        <w:rPr>
          <w:rFonts w:cs="Times New Roman"/>
          <w:szCs w:val="24"/>
          <w:lang w:val="fr-CA"/>
        </w:rPr>
        <w:t xml:space="preserve"> a traité des conflits d’intérêts </w:t>
      </w:r>
      <w:r w:rsidRPr="00751B87">
        <w:rPr>
          <w:rFonts w:cs="Times New Roman"/>
          <w:szCs w:val="24"/>
          <w:lang w:val="fr-CA"/>
        </w:rPr>
        <w:lastRenderedPageBreak/>
        <w:t xml:space="preserve">découlant de la relation </w:t>
      </w:r>
      <w:r>
        <w:rPr>
          <w:rFonts w:cs="Times New Roman"/>
          <w:szCs w:val="24"/>
          <w:lang w:val="fr-CA"/>
        </w:rPr>
        <w:t>fiduciaire</w:t>
      </w:r>
      <w:r w:rsidRPr="00751B87">
        <w:rPr>
          <w:rFonts w:cs="Times New Roman"/>
          <w:szCs w:val="24"/>
          <w:lang w:val="fr-CA"/>
        </w:rPr>
        <w:t xml:space="preserve"> entre l’avocat et son client.  Il a énoncé le critère qu’il convient d’appliquer pour trancher la question de savoir si un avocat est en conflit d’intérêts :</w:t>
      </w:r>
    </w:p>
    <w:p w:rsidR="0062110E" w:rsidRPr="00751B87" w:rsidRDefault="0062110E" w:rsidP="0062110E">
      <w:pPr>
        <w:pStyle w:val="Citation-AltC"/>
        <w:ind w:hanging="1166"/>
        <w:rPr>
          <w:lang w:val="fr-CA"/>
        </w:rPr>
      </w:pPr>
      <w:r w:rsidRPr="00751B87">
        <w:rPr>
          <w:lang w:val="fr-CA"/>
        </w:rPr>
        <w:tab/>
        <w:t xml:space="preserve">Je fais mienne à cet égard la notion de « conflit » décrite dans le </w:t>
      </w:r>
      <w:proofErr w:type="spellStart"/>
      <w:r w:rsidRPr="00751B87">
        <w:rPr>
          <w:i/>
          <w:lang w:val="fr-CA"/>
        </w:rPr>
        <w:t>Restatement</w:t>
      </w:r>
      <w:proofErr w:type="spellEnd"/>
      <w:r w:rsidRPr="00751B87">
        <w:rPr>
          <w:i/>
          <w:lang w:val="fr-CA"/>
        </w:rPr>
        <w:t xml:space="preserve"> </w:t>
      </w:r>
      <w:proofErr w:type="spellStart"/>
      <w:r w:rsidRPr="00751B87">
        <w:rPr>
          <w:i/>
          <w:lang w:val="fr-CA"/>
        </w:rPr>
        <w:t>Third</w:t>
      </w:r>
      <w:proofErr w:type="spellEnd"/>
      <w:r w:rsidRPr="00751B87">
        <w:rPr>
          <w:i/>
          <w:lang w:val="fr-CA"/>
        </w:rPr>
        <w:t xml:space="preserve">, The Law </w:t>
      </w:r>
      <w:proofErr w:type="spellStart"/>
      <w:r w:rsidRPr="00751B87">
        <w:rPr>
          <w:i/>
          <w:lang w:val="fr-CA"/>
        </w:rPr>
        <w:t>Governing</w:t>
      </w:r>
      <w:proofErr w:type="spellEnd"/>
      <w:r w:rsidRPr="00751B87">
        <w:rPr>
          <w:i/>
          <w:lang w:val="fr-CA"/>
        </w:rPr>
        <w:t xml:space="preserve"> </w:t>
      </w:r>
      <w:proofErr w:type="spellStart"/>
      <w:r w:rsidRPr="00751B87">
        <w:rPr>
          <w:i/>
          <w:lang w:val="fr-CA"/>
        </w:rPr>
        <w:t>Lawyers</w:t>
      </w:r>
      <w:proofErr w:type="spellEnd"/>
      <w:r w:rsidRPr="00751B87">
        <w:rPr>
          <w:lang w:val="fr-CA"/>
        </w:rPr>
        <w:t xml:space="preserve"> (2000), vol. 2, p. 244</w:t>
      </w:r>
      <w:r w:rsidRPr="00751B87">
        <w:rPr>
          <w:lang w:val="fr-CA"/>
        </w:rPr>
        <w:noBreakHyphen/>
        <w:t xml:space="preserve">245, § 121, comme </w:t>
      </w:r>
      <w:r w:rsidRPr="00751B87">
        <w:rPr>
          <w:smallCaps/>
          <w:lang w:val="fr-CA"/>
        </w:rPr>
        <w:t>[traduction]</w:t>
      </w:r>
      <w:r w:rsidRPr="00751B87">
        <w:rPr>
          <w:lang w:val="fr-CA"/>
        </w:rPr>
        <w:t xml:space="preserve"> « un </w:t>
      </w:r>
      <w:r w:rsidRPr="00751B87">
        <w:rPr>
          <w:u w:val="single"/>
          <w:lang w:val="fr-CA"/>
        </w:rPr>
        <w:t>risque sérieux</w:t>
      </w:r>
      <w:r w:rsidRPr="00751B87">
        <w:rPr>
          <w:lang w:val="fr-CA"/>
        </w:rPr>
        <w:t xml:space="preserve"> que les intérêts personnels de l’avocat ou ses devoirs envers un autre client actuel, un ancien client ou une tierce personne </w:t>
      </w:r>
      <w:r w:rsidRPr="00751B87">
        <w:rPr>
          <w:u w:val="single"/>
          <w:lang w:val="fr-CA"/>
        </w:rPr>
        <w:t>nuisent de façon appréciable</w:t>
      </w:r>
      <w:r w:rsidRPr="00751B87">
        <w:rPr>
          <w:lang w:val="fr-CA"/>
        </w:rPr>
        <w:t xml:space="preserve"> à la représentation du client par l’avocat ». [Je souligne; par. 31.]</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première étape essentielle que le tribunal devait franchir était de se demander si les différences de rémunération constituaient des faits ou des renseignements importants autres que ceux qui avaient déjà été déclarés, de sorte qu’il incombait au VAC une obligation </w:t>
      </w:r>
      <w:r>
        <w:rPr>
          <w:rFonts w:cs="Times New Roman"/>
          <w:szCs w:val="24"/>
          <w:lang w:val="fr-CA"/>
        </w:rPr>
        <w:t>fiduciaire</w:t>
      </w:r>
      <w:r w:rsidRPr="00751B87">
        <w:rPr>
          <w:rFonts w:cs="Times New Roman"/>
          <w:szCs w:val="24"/>
          <w:lang w:val="fr-CA"/>
        </w:rPr>
        <w:t xml:space="preserve"> de les communiquer et d’obtenir le consentement des intéressés.  À cet égard, le VAC prétend que </w:t>
      </w:r>
      <w:r w:rsidRPr="00751B87">
        <w:rPr>
          <w:rFonts w:cs="Times New Roman"/>
          <w:smallCaps/>
          <w:szCs w:val="24"/>
          <w:lang w:val="fr-CA"/>
        </w:rPr>
        <w:t>[traduction]</w:t>
      </w:r>
      <w:r w:rsidRPr="00751B87">
        <w:rPr>
          <w:rFonts w:cs="Times New Roman"/>
          <w:szCs w:val="24"/>
          <w:lang w:val="fr-CA"/>
        </w:rPr>
        <w:t xml:space="preserve"> « [t]</w:t>
      </w:r>
      <w:proofErr w:type="spellStart"/>
      <w:r w:rsidRPr="00751B87">
        <w:rPr>
          <w:rFonts w:cs="Times New Roman"/>
          <w:szCs w:val="24"/>
          <w:lang w:val="fr-CA"/>
        </w:rPr>
        <w:t>ous</w:t>
      </w:r>
      <w:proofErr w:type="spellEnd"/>
      <w:r w:rsidRPr="00751B87">
        <w:rPr>
          <w:rFonts w:cs="Times New Roman"/>
          <w:szCs w:val="24"/>
          <w:lang w:val="fr-CA"/>
        </w:rPr>
        <w:t xml:space="preserve"> les éléments de preuve sur la question de l’importance qu’[il] a produits, et dont la juge de première instance n’a pas tenu compte, étaient donc tout aussi pertinents pour trancher la question de savoir s’il y avait conflit d’intérêts que celle de savoir s’[il] avait fait une déclaration inexacte dans le [document du Hilton] » (m.i., par. 106).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J’estime que cette affirmation est essentiellement juste, sous réserve de ce qui suit : il ne faut pas oublier que l’obligation </w:t>
      </w:r>
      <w:r>
        <w:rPr>
          <w:rFonts w:cs="Times New Roman"/>
          <w:szCs w:val="24"/>
          <w:lang w:val="fr-CA"/>
        </w:rPr>
        <w:t>fiduciaire</w:t>
      </w:r>
      <w:r w:rsidRPr="00751B87">
        <w:rPr>
          <w:rFonts w:cs="Times New Roman"/>
          <w:szCs w:val="24"/>
          <w:lang w:val="fr-CA"/>
        </w:rPr>
        <w:t xml:space="preserve"> et la déclaration inexacte sont deux questions distinctes.  La preuve produite relativement à la question de l’importance et l’analyse de la prétention de </w:t>
      </w:r>
      <w:proofErr w:type="spellStart"/>
      <w:r w:rsidRPr="00751B87">
        <w:rPr>
          <w:rFonts w:cs="Times New Roman"/>
          <w:szCs w:val="24"/>
          <w:lang w:val="fr-CA"/>
        </w:rPr>
        <w:t>Sharbern</w:t>
      </w:r>
      <w:proofErr w:type="spellEnd"/>
      <w:r w:rsidRPr="00751B87">
        <w:rPr>
          <w:rFonts w:cs="Times New Roman"/>
          <w:szCs w:val="24"/>
          <w:lang w:val="fr-CA"/>
        </w:rPr>
        <w:t xml:space="preserve"> que le VAC avait fait une </w:t>
      </w:r>
      <w:r w:rsidRPr="00751B87">
        <w:rPr>
          <w:rFonts w:cs="Times New Roman"/>
          <w:szCs w:val="24"/>
          <w:lang w:val="fr-CA"/>
        </w:rPr>
        <w:lastRenderedPageBreak/>
        <w:t xml:space="preserve">déclaration erronée sur un point important de sorte que sa responsabilité était engagée sous le régime de la Loi se rapportaient à l’époque où les unités du Hilton avaient été mises sur le marché et vendues.  Les obligations </w:t>
      </w:r>
      <w:r>
        <w:rPr>
          <w:rFonts w:cs="Times New Roman"/>
          <w:szCs w:val="24"/>
          <w:lang w:val="fr-CA"/>
        </w:rPr>
        <w:t>fiduciaire</w:t>
      </w:r>
      <w:r w:rsidRPr="00751B87">
        <w:rPr>
          <w:rFonts w:cs="Times New Roman"/>
          <w:szCs w:val="24"/>
          <w:lang w:val="fr-CA"/>
        </w:rPr>
        <w:t xml:space="preserve">s du VAC en matière de communication visaient des renseignements se rapportant à l’époque où il était administrateur du Hilton.  Il faut donc se replacer à la période postérieure à la publication du document du Hilton et à celle des stades ultérieurs de la relation </w:t>
      </w:r>
      <w:r>
        <w:rPr>
          <w:rFonts w:cs="Times New Roman"/>
          <w:szCs w:val="24"/>
          <w:lang w:val="fr-CA"/>
        </w:rPr>
        <w:t>fiduciaire</w:t>
      </w:r>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document du Hilton a été publié en février 1998 et l’hôtel a ouvert ses portes en juin 1999.  Dans ce document, le VAC se disait administrateur du Marriott et il faisait état des conventions qu’il avait conclues avec cet hôtel — certaines similaires à celles du Hilton, d’autres propres au Marriott — et qui </w:t>
      </w:r>
      <w:r w:rsidRPr="00751B87">
        <w:rPr>
          <w:rFonts w:cs="Times New Roman"/>
          <w:smallCaps/>
          <w:szCs w:val="24"/>
          <w:lang w:val="fr-CA"/>
        </w:rPr>
        <w:t>[traduction]</w:t>
      </w:r>
      <w:r w:rsidRPr="00751B87">
        <w:rPr>
          <w:rFonts w:cs="Times New Roman"/>
          <w:szCs w:val="24"/>
          <w:lang w:val="fr-CA"/>
        </w:rPr>
        <w:t xml:space="preserve">  « </w:t>
      </w:r>
      <w:proofErr w:type="spellStart"/>
      <w:proofErr w:type="gramStart"/>
      <w:r w:rsidRPr="00751B87">
        <w:rPr>
          <w:rFonts w:cs="Times New Roman"/>
          <w:szCs w:val="24"/>
          <w:lang w:val="fr-CA"/>
        </w:rPr>
        <w:t>impos</w:t>
      </w:r>
      <w:proofErr w:type="spellEnd"/>
      <w:r w:rsidR="000B67B1">
        <w:rPr>
          <w:rFonts w:cs="Times New Roman"/>
          <w:szCs w:val="24"/>
          <w:lang w:val="fr-CA"/>
        </w:rPr>
        <w:t>[</w:t>
      </w:r>
      <w:proofErr w:type="gramEnd"/>
      <w:r w:rsidRPr="00751B87">
        <w:rPr>
          <w:rFonts w:cs="Times New Roman"/>
          <w:szCs w:val="24"/>
          <w:lang w:val="fr-CA"/>
        </w:rPr>
        <w:t>aient] au promoteur des responsabilités et des obligations susceptibles d’avoir une incidence sur sa capacité d’exécuter les obligations prévues dans les ententes » (par. 4.9i)).  Je n’accorde aucune importance au fait que le VAC se disait « promoteur » plutôt qu’</w:t>
      </w:r>
      <w:r w:rsidR="006511D1">
        <w:rPr>
          <w:rFonts w:cs="Times New Roman"/>
          <w:szCs w:val="24"/>
          <w:lang w:val="fr-CA"/>
        </w:rPr>
        <w:t>« </w:t>
      </w:r>
      <w:r w:rsidRPr="00751B87">
        <w:rPr>
          <w:rFonts w:cs="Times New Roman"/>
          <w:szCs w:val="24"/>
          <w:lang w:val="fr-CA"/>
        </w:rPr>
        <w:t>administrateur » dans ce contexte, car le document le désignait comme promoteur du projet.  Comme la juge</w:t>
      </w:r>
      <w:r>
        <w:rPr>
          <w:rFonts w:cs="Times New Roman"/>
          <w:szCs w:val="24"/>
          <w:lang w:val="fr-CA"/>
        </w:rPr>
        <w:t xml:space="preserve"> de première instance</w:t>
      </w:r>
      <w:r w:rsidRPr="00751B87">
        <w:rPr>
          <w:rFonts w:cs="Times New Roman"/>
          <w:szCs w:val="24"/>
          <w:lang w:val="fr-CA"/>
        </w:rPr>
        <w:t xml:space="preserve"> l’a conclu, </w:t>
      </w:r>
      <w:r w:rsidRPr="00751B87">
        <w:rPr>
          <w:rFonts w:cs="Times New Roman"/>
          <w:smallCaps/>
          <w:szCs w:val="24"/>
          <w:lang w:val="fr-CA"/>
        </w:rPr>
        <w:t xml:space="preserve">[traduction] </w:t>
      </w:r>
      <w:r w:rsidRPr="00751B87">
        <w:rPr>
          <w:rFonts w:cs="Times New Roman"/>
          <w:szCs w:val="24"/>
          <w:lang w:val="fr-CA"/>
        </w:rPr>
        <w:t xml:space="preserve">« les propriétaires du Hilton avaient consenti à ce que le VAC agisse pour le compte d’autres mandants qui leur faisaient concurrence au sein du même marché » (par. 425).  Je suis d’accord avec le juge Chiasson lorsqu’il dit que la question se résume invariablement à savoir si les différences de rémunération étaient importantes, ce qui, dans l’affirmative, obligeait le VAC à en faire état et à obtenir le consentement des propriétaires du Hilton à cet égard.  Il faut également se demander </w:t>
      </w:r>
      <w:r w:rsidRPr="00751B87">
        <w:rPr>
          <w:rFonts w:cs="Times New Roman"/>
          <w:szCs w:val="24"/>
          <w:lang w:val="fr-CA"/>
        </w:rPr>
        <w:lastRenderedPageBreak/>
        <w:t xml:space="preserve">si, au cours de la relation </w:t>
      </w:r>
      <w:r>
        <w:rPr>
          <w:rFonts w:cs="Times New Roman"/>
          <w:szCs w:val="24"/>
          <w:lang w:val="fr-CA"/>
        </w:rPr>
        <w:t>fiduciaire</w:t>
      </w:r>
      <w:r w:rsidRPr="00751B87">
        <w:rPr>
          <w:rFonts w:cs="Times New Roman"/>
          <w:szCs w:val="24"/>
          <w:lang w:val="fr-CA"/>
        </w:rPr>
        <w:t>, la situation a changé à un point tel que le VAC devait leur communiquer des renseignements supplémentaires et obtenir de nouveau leur consentement.</w:t>
      </w:r>
    </w:p>
    <w:p w:rsidR="0062110E" w:rsidRPr="00751B87" w:rsidRDefault="0062110E" w:rsidP="0062110E">
      <w:pPr>
        <w:pStyle w:val="ParaNoNdepar-AltN"/>
        <w:rPr>
          <w:rFonts w:cs="Times New Roman"/>
          <w:szCs w:val="24"/>
          <w:lang w:val="fr-CA"/>
        </w:rPr>
      </w:pPr>
      <w:r w:rsidRPr="00751B87">
        <w:rPr>
          <w:rFonts w:cs="Times New Roman"/>
          <w:szCs w:val="24"/>
          <w:lang w:val="fr-CA"/>
        </w:rPr>
        <w:t>L’importance des différences de rémunération à l’époque où les investisseurs ont pris leur décision a été examinée en détail dans le cadre de l’analyse de la responsabilité du VAC sous le régime de la Loi.  J’ajouterais cependant que les obligations de communication auxquelles le VAC était tenu en sa qualité de fiducia</w:t>
      </w:r>
      <w:r>
        <w:rPr>
          <w:rFonts w:cs="Times New Roman"/>
          <w:szCs w:val="24"/>
          <w:lang w:val="fr-CA"/>
        </w:rPr>
        <w:t>ire</w:t>
      </w:r>
      <w:r w:rsidRPr="00751B87">
        <w:rPr>
          <w:rFonts w:cs="Times New Roman"/>
          <w:szCs w:val="24"/>
          <w:lang w:val="fr-CA"/>
        </w:rPr>
        <w:t xml:space="preserve"> n’étaient pas les mêmes que celles qui lui incombaient aux termes de la Loi.  En effet, le VAC avait l’obligation </w:t>
      </w:r>
      <w:r>
        <w:rPr>
          <w:rFonts w:cs="Times New Roman"/>
          <w:szCs w:val="24"/>
          <w:lang w:val="fr-CA"/>
        </w:rPr>
        <w:t>fiduciaire</w:t>
      </w:r>
      <w:r w:rsidRPr="00751B87">
        <w:rPr>
          <w:rFonts w:cs="Times New Roman"/>
          <w:szCs w:val="24"/>
          <w:lang w:val="fr-CA"/>
        </w:rPr>
        <w:t xml:space="preserve"> de communiquer tout fait ou renseignement important comme, par exemple, l’existence d’un risque sérieux que ses propres intérêts ou ses devoirs envers un tiers nuisent de façon importante à sa relation </w:t>
      </w:r>
      <w:r>
        <w:rPr>
          <w:rFonts w:cs="Times New Roman"/>
          <w:szCs w:val="24"/>
          <w:lang w:val="fr-CA"/>
        </w:rPr>
        <w:t>fiduciaire</w:t>
      </w:r>
      <w:r w:rsidRPr="00751B87">
        <w:rPr>
          <w:rFonts w:cs="Times New Roman"/>
          <w:szCs w:val="24"/>
          <w:lang w:val="fr-CA"/>
        </w:rPr>
        <w:t xml:space="preserve"> avec les propriétaires du Hilton (</w:t>
      </w:r>
      <w:r w:rsidRPr="00751B87">
        <w:rPr>
          <w:rFonts w:cs="Times New Roman"/>
          <w:i/>
          <w:szCs w:val="24"/>
          <w:lang w:val="fr-CA"/>
        </w:rPr>
        <w:t>Neil</w:t>
      </w:r>
      <w:r w:rsidRPr="00751B87">
        <w:rPr>
          <w:rFonts w:cs="Times New Roman"/>
          <w:szCs w:val="24"/>
          <w:lang w:val="fr-CA"/>
        </w:rPr>
        <w:t xml:space="preserve">, par. 31).  L’obligation légale à laquelle le VAC était tenu consistait simplement à communiquer aux investisseurs certains </w:t>
      </w:r>
      <w:r w:rsidR="006511D1">
        <w:rPr>
          <w:rFonts w:cs="Times New Roman"/>
          <w:szCs w:val="24"/>
          <w:lang w:val="fr-CA"/>
        </w:rPr>
        <w:t>renseignements bien précis tout</w:t>
      </w:r>
      <w:r w:rsidRPr="00751B87">
        <w:rPr>
          <w:rFonts w:cs="Times New Roman"/>
          <w:szCs w:val="24"/>
          <w:lang w:val="fr-CA"/>
        </w:rPr>
        <w:t xml:space="preserve"> en évitant de faire une déclaration erronée sur un point important.  Néanmoins, à cet égard, une grande partie de la preuve concernant l’importance des différences de rémunération aurait aussi été pertinente, dans la mesure où elle portait sur la responsabilité du VAC sous le régime de la Loi, quant à la question de l’importance dans le cadre de l’analyse de l’obligation </w:t>
      </w:r>
      <w:r>
        <w:rPr>
          <w:rFonts w:cs="Times New Roman"/>
          <w:szCs w:val="24"/>
          <w:lang w:val="fr-CA"/>
        </w:rPr>
        <w:t>fiduciaire</w:t>
      </w:r>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Le VAC a produit une preuve abondante pour étayer son point de vue selon lequel son omission d’expliquer les différences de rémunération dans le </w:t>
      </w:r>
      <w:r w:rsidRPr="00751B87">
        <w:rPr>
          <w:rFonts w:cs="Times New Roman"/>
          <w:szCs w:val="24"/>
          <w:lang w:val="fr-CA"/>
        </w:rPr>
        <w:lastRenderedPageBreak/>
        <w:t xml:space="preserve">document du Hilton ne constituait pas une déclaration erronée sur un point important au sens de la Loi.  Il est inutile de répéter ces éléments de preuve à ce </w:t>
      </w:r>
      <w:proofErr w:type="spellStart"/>
      <w:r w:rsidRPr="00751B87">
        <w:rPr>
          <w:rFonts w:cs="Times New Roman"/>
          <w:szCs w:val="24"/>
          <w:lang w:val="fr-CA"/>
        </w:rPr>
        <w:t>stade</w:t>
      </w:r>
      <w:r w:rsidRPr="00751B87">
        <w:rPr>
          <w:rFonts w:cs="Times New Roman"/>
          <w:szCs w:val="24"/>
          <w:lang w:val="fr-CA"/>
        </w:rPr>
        <w:noBreakHyphen/>
        <w:t>ci</w:t>
      </w:r>
      <w:proofErr w:type="spellEnd"/>
      <w:r w:rsidRPr="00751B87">
        <w:rPr>
          <w:rFonts w:cs="Times New Roman"/>
          <w:szCs w:val="24"/>
          <w:lang w:val="fr-CA"/>
        </w:rPr>
        <w:t xml:space="preserve"> car ils ont déjà été examinés en détail.  J’ajouterais cependant que pour établir ou réfuter le manquement allégué à l’obligation </w:t>
      </w:r>
      <w:r>
        <w:rPr>
          <w:rFonts w:cs="Times New Roman"/>
          <w:szCs w:val="24"/>
          <w:lang w:val="fr-CA"/>
        </w:rPr>
        <w:t>fiduciaire</w:t>
      </w:r>
      <w:r w:rsidRPr="00751B87">
        <w:rPr>
          <w:rFonts w:cs="Times New Roman"/>
          <w:szCs w:val="24"/>
          <w:lang w:val="fr-CA"/>
        </w:rPr>
        <w:t>, rien n’empêchait les parties de produire des éléments de preuve qui ne faisaient pas partie de l’ensemble des renseignements mis à la disposition des investisseurs à l’époque où ils ont pris leur décision, ou qui n’étaient pas mentionnés dans le document du Hilton.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Par exemple, les éléments de preuve concernant la pratique au sein de l’industrie en matière d’administration commune d’hôtels se faisant concurrence qui ont été examinés dans le cadre de l’examen du moyen de défense légal qui s’offrait au VAC sont, selon moi, tout aussi pertinents quant à la question de savoir si les différences de rémunération étaient importantes dans le contexte du manquement allégué à l’obligation </w:t>
      </w:r>
      <w:r>
        <w:rPr>
          <w:rFonts w:cs="Times New Roman"/>
          <w:szCs w:val="24"/>
          <w:lang w:val="fr-CA"/>
        </w:rPr>
        <w:t>fiduciaire</w:t>
      </w:r>
      <w:r w:rsidRPr="00751B87">
        <w:rPr>
          <w:rFonts w:cs="Times New Roman"/>
          <w:szCs w:val="24"/>
          <w:lang w:val="fr-CA"/>
        </w:rPr>
        <w:t xml:space="preserve">.  Après tout, la relation </w:t>
      </w:r>
      <w:r>
        <w:rPr>
          <w:rFonts w:cs="Times New Roman"/>
          <w:szCs w:val="24"/>
          <w:lang w:val="fr-CA"/>
        </w:rPr>
        <w:t>fiduciaire</w:t>
      </w:r>
      <w:r w:rsidRPr="00751B87">
        <w:rPr>
          <w:rFonts w:cs="Times New Roman"/>
          <w:szCs w:val="24"/>
          <w:lang w:val="fr-CA"/>
        </w:rPr>
        <w:t xml:space="preserve"> s’inscrivait dans le contexte de la communication de l’existence du conflit d’intérêts que suscitait l’administration commune des hôtels et du fait que les sociétés affiliées au VAC avaient l’habitude d’administrer en commun des hôtels se faisant concurrence.  </w:t>
      </w:r>
      <w:proofErr w:type="spellStart"/>
      <w:r w:rsidRPr="00751B87">
        <w:rPr>
          <w:rFonts w:cs="Times New Roman"/>
          <w:szCs w:val="24"/>
          <w:lang w:val="fr-CA"/>
        </w:rPr>
        <w:t>Au</w:t>
      </w:r>
      <w:r w:rsidRPr="00751B87">
        <w:rPr>
          <w:rFonts w:cs="Times New Roman"/>
          <w:szCs w:val="24"/>
          <w:lang w:val="fr-CA"/>
        </w:rPr>
        <w:noBreakHyphen/>
        <w:t>delà</w:t>
      </w:r>
      <w:proofErr w:type="spellEnd"/>
      <w:r w:rsidRPr="00751B87">
        <w:rPr>
          <w:rFonts w:cs="Times New Roman"/>
          <w:szCs w:val="24"/>
          <w:lang w:val="fr-CA"/>
        </w:rPr>
        <w:t xml:space="preserve"> de ce que les témoins du VAC ont déclaré au sujet de l’administration commune d’hôtels se faisant concurrence pour le compte de propriétaires distincts qui ignoraient les modalités des contrats conclus à l’égard des hôtels autres que les leurs, il semble très peu probable que des ententes en vue de l’administration d’hôtels distincts conclues par différentes parties à des moments différents auraient comporté les mêmes modalités.  La présente affaire en constitue un exemple.  En effet, il </w:t>
      </w:r>
      <w:r w:rsidRPr="00751B87">
        <w:rPr>
          <w:rFonts w:cs="Times New Roman"/>
          <w:szCs w:val="24"/>
          <w:lang w:val="fr-CA"/>
        </w:rPr>
        <w:lastRenderedPageBreak/>
        <w:t>semble bien que le VAC ne pouvait, en raison de certaines modifications apportées à la réglementation en matière de valeurs mobilières, promettre dans le document du Hilton le taux de rendement garanti qu’il avait offert aux propriétaires du Marriott l’année précédente.  Le fait que l’administration commune de divers établissements pour le compte de chaînes hôtelières distinctes dans le même marché était une pratique reconnue au sein de l’industrie donne à penser que les différences dans les mesures incitatives au rendement en matière d’administration n’étaient pas considérées comme un facteur important s’agissant de la bonne marche ou de la rentabilité des hôtels.  Une telle preuve constituait un élément pertinent dont la juge</w:t>
      </w:r>
      <w:r>
        <w:rPr>
          <w:rFonts w:cs="Times New Roman"/>
          <w:szCs w:val="24"/>
          <w:lang w:val="fr-CA"/>
        </w:rPr>
        <w:t xml:space="preserve"> de première instance</w:t>
      </w:r>
      <w:r w:rsidRPr="00751B87">
        <w:rPr>
          <w:rFonts w:cs="Times New Roman"/>
          <w:szCs w:val="24"/>
          <w:lang w:val="fr-CA"/>
        </w:rPr>
        <w:t xml:space="preserve"> aurait dû tenir compte en évaluant l’importance des différences de rémunération.</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À la différence du VAC, </w:t>
      </w:r>
      <w:proofErr w:type="spellStart"/>
      <w:r w:rsidRPr="00751B87">
        <w:rPr>
          <w:rFonts w:cs="Times New Roman"/>
          <w:szCs w:val="24"/>
          <w:lang w:val="fr-CA"/>
        </w:rPr>
        <w:t>Sharbern</w:t>
      </w:r>
      <w:proofErr w:type="spellEnd"/>
      <w:r w:rsidRPr="00751B87">
        <w:rPr>
          <w:rFonts w:cs="Times New Roman"/>
          <w:szCs w:val="24"/>
          <w:lang w:val="fr-CA"/>
        </w:rPr>
        <w:t xml:space="preserve"> n’a soumis aucune preuve quant à l’importance des différences de rémunération dans ce contexte.  La juge</w:t>
      </w:r>
      <w:r>
        <w:rPr>
          <w:rFonts w:cs="Times New Roman"/>
          <w:szCs w:val="24"/>
          <w:lang w:val="fr-CA"/>
        </w:rPr>
        <w:t xml:space="preserve"> de première instance</w:t>
      </w:r>
      <w:r w:rsidRPr="00751B87">
        <w:rPr>
          <w:rFonts w:cs="Times New Roman"/>
          <w:szCs w:val="24"/>
          <w:lang w:val="fr-CA"/>
        </w:rPr>
        <w:t xml:space="preserve">, quant à elle, n’a pas non plus examiné l’ensemble des éléments de preuve soumis par le VAC lorsqu’elle a évalué l’importance des incitatifs financiers.  Bien que la question des déclarations inexactes soit distincte, l’erreur que la juge a commise dans le cadre de cette analyse a de la même façon entaché son analyse de la question de savoir si le VAC avait manqué à son obligation </w:t>
      </w:r>
      <w:r>
        <w:rPr>
          <w:rFonts w:cs="Times New Roman"/>
          <w:szCs w:val="24"/>
          <w:lang w:val="fr-CA"/>
        </w:rPr>
        <w:t>fiduciaire</w:t>
      </w:r>
      <w:r w:rsidRPr="00751B87">
        <w:rPr>
          <w:rFonts w:cs="Times New Roman"/>
          <w:szCs w:val="24"/>
          <w:lang w:val="fr-CA"/>
        </w:rPr>
        <w:t>.  La partie qui cherchait à établir l’importance des faits ou des renseignements non communiqués n’a fourni aucune preuve permettant d’arriver rationnellement à cette conclusion.</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La relation </w:t>
      </w:r>
      <w:r>
        <w:rPr>
          <w:rFonts w:cs="Times New Roman"/>
          <w:szCs w:val="24"/>
          <w:lang w:val="fr-CA"/>
        </w:rPr>
        <w:t>fiduciaire</w:t>
      </w:r>
      <w:r w:rsidRPr="00751B87">
        <w:rPr>
          <w:rFonts w:cs="Times New Roman"/>
          <w:szCs w:val="24"/>
          <w:lang w:val="fr-CA"/>
        </w:rPr>
        <w:t xml:space="preserve"> existait également au cours de la période ultérieure pendant laquelle le VAC administrait le Hilton, qui a ouvert ses portes en juin 1999. Le VAC a révélé l’existence de la garantie accordée aux propriétaires du Marriott lors </w:t>
      </w:r>
      <w:r w:rsidR="000B67B1">
        <w:rPr>
          <w:rFonts w:cs="Times New Roman"/>
          <w:szCs w:val="24"/>
          <w:lang w:val="fr-CA"/>
        </w:rPr>
        <w:t xml:space="preserve">de </w:t>
      </w:r>
      <w:r w:rsidRPr="00751B87">
        <w:rPr>
          <w:rFonts w:cs="Times New Roman"/>
          <w:szCs w:val="24"/>
          <w:lang w:val="fr-CA"/>
        </w:rPr>
        <w:t xml:space="preserve">la réunion du 14 juin 2000 avec les propriétaires du Hilton.  Par contre, on ne sait trop à quel moment les différences entre les frais d’administration de l’un et l’autre hôtel ont été portées à leur attention.  À un moment donné, la situation économique s’étant détériorée et les taux d’occupation ayant chuté, les différences de rémunération ont acquis davantage de pertinence, tout comme la décision du VAC de conserver les 24 unités du Hilton, du moins aux yeux des propriétaires du Marriott.  Ainsi, il se pourrait bien que le VAC était dès lors tenu à une nouvelle obligation de communication car, </w:t>
      </w:r>
      <w:proofErr w:type="spellStart"/>
      <w:r w:rsidRPr="00751B87">
        <w:rPr>
          <w:rFonts w:cs="Times New Roman"/>
          <w:szCs w:val="24"/>
          <w:lang w:val="fr-CA"/>
        </w:rPr>
        <w:t>peut</w:t>
      </w:r>
      <w:r w:rsidRPr="00751B87">
        <w:rPr>
          <w:rFonts w:cs="Times New Roman"/>
          <w:szCs w:val="24"/>
          <w:lang w:val="fr-CA"/>
        </w:rPr>
        <w:noBreakHyphen/>
        <w:t>on</w:t>
      </w:r>
      <w:proofErr w:type="spellEnd"/>
      <w:r w:rsidRPr="00751B87">
        <w:rPr>
          <w:rFonts w:cs="Times New Roman"/>
          <w:szCs w:val="24"/>
          <w:lang w:val="fr-CA"/>
        </w:rPr>
        <w:t xml:space="preserve"> soutenir, le conflit d’intérêts était devenu important si l’on suppose bien entendu que les arguments du VAC selon lesquels il n’avait ni les moyens, ni une raison quelconque de tirer avantage des différences de rémunération sont dénués de fondement.  Quel est le lien entre la séquence de ces événements et le fait que c’est en juin 2000 que les propriétaires du Hilton ont été mis au courant du taux de rendement garanti offert aux propriétaires du Marriott?  Les actions des propriétaires du Hilton à la suite de la communication </w:t>
      </w:r>
      <w:proofErr w:type="spellStart"/>
      <w:r w:rsidRPr="00751B87">
        <w:rPr>
          <w:rFonts w:cs="Times New Roman"/>
          <w:szCs w:val="24"/>
          <w:lang w:val="fr-CA"/>
        </w:rPr>
        <w:t>constituent</w:t>
      </w:r>
      <w:r w:rsidRPr="00751B87">
        <w:rPr>
          <w:rFonts w:cs="Times New Roman"/>
          <w:szCs w:val="24"/>
          <w:lang w:val="fr-CA"/>
        </w:rPr>
        <w:noBreakHyphen/>
        <w:t>elles</w:t>
      </w:r>
      <w:proofErr w:type="spellEnd"/>
      <w:r w:rsidRPr="00751B87">
        <w:rPr>
          <w:rFonts w:cs="Times New Roman"/>
          <w:szCs w:val="24"/>
          <w:lang w:val="fr-CA"/>
        </w:rPr>
        <w:t xml:space="preserve"> une manifestation de leur consentement qui aurait été valide à tout le moins jusqu’au dépôt de la déclaration des parties </w:t>
      </w:r>
      <w:proofErr w:type="spellStart"/>
      <w:r w:rsidRPr="00751B87">
        <w:rPr>
          <w:rFonts w:cs="Times New Roman"/>
          <w:szCs w:val="24"/>
          <w:lang w:val="fr-CA"/>
        </w:rPr>
        <w:t>demanderesses</w:t>
      </w:r>
      <w:proofErr w:type="spellEnd"/>
      <w:r w:rsidRPr="00751B87">
        <w:rPr>
          <w:rFonts w:cs="Times New Roman"/>
          <w:szCs w:val="24"/>
          <w:lang w:val="fr-CA"/>
        </w:rPr>
        <w:t>, en juin 2003, ou à partir du moment où ils ont demandé un avis juridique, à l’automne 2002?  À l’instar de la juge</w:t>
      </w:r>
      <w:r>
        <w:rPr>
          <w:rFonts w:cs="Times New Roman"/>
          <w:szCs w:val="24"/>
          <w:lang w:val="fr-CA"/>
        </w:rPr>
        <w:t xml:space="preserve"> de première instance</w:t>
      </w:r>
      <w:r w:rsidRPr="00751B87">
        <w:rPr>
          <w:rFonts w:cs="Times New Roman"/>
          <w:szCs w:val="24"/>
          <w:lang w:val="fr-CA"/>
        </w:rPr>
        <w:t>, nous ne disposons d’aucune preuve se rapportant à ces considérations.</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En résumé, non seulement la juge </w:t>
      </w:r>
      <w:r>
        <w:rPr>
          <w:rFonts w:cs="Times New Roman"/>
          <w:szCs w:val="24"/>
          <w:lang w:val="fr-CA"/>
        </w:rPr>
        <w:t xml:space="preserve">de première instance </w:t>
      </w:r>
      <w:proofErr w:type="spellStart"/>
      <w:r w:rsidRPr="00751B87">
        <w:rPr>
          <w:rFonts w:cs="Times New Roman"/>
          <w:szCs w:val="24"/>
          <w:lang w:val="fr-CA"/>
        </w:rPr>
        <w:t>a</w:t>
      </w:r>
      <w:r w:rsidRPr="00751B87">
        <w:rPr>
          <w:rFonts w:cs="Times New Roman"/>
          <w:szCs w:val="24"/>
          <w:lang w:val="fr-CA"/>
        </w:rPr>
        <w:noBreakHyphen/>
        <w:t>t</w:t>
      </w:r>
      <w:r w:rsidRPr="00751B87">
        <w:rPr>
          <w:rFonts w:cs="Times New Roman"/>
          <w:szCs w:val="24"/>
          <w:lang w:val="fr-CA"/>
        </w:rPr>
        <w:noBreakHyphen/>
        <w:t>elle</w:t>
      </w:r>
      <w:proofErr w:type="spellEnd"/>
      <w:r w:rsidRPr="00751B87">
        <w:rPr>
          <w:rFonts w:cs="Times New Roman"/>
          <w:szCs w:val="24"/>
          <w:lang w:val="fr-CA"/>
        </w:rPr>
        <w:t xml:space="preserve"> omis de tenir compte de l’ensemble des éléments de preuve se rapportant à la question de l’importance, mais la partie demanderesse n’a produit aucune preuve tendant à établir l’importance des différences de rémunération, que ce soit à l’époque où ce document a été publié ou aux stades ultérieurs de la relation </w:t>
      </w:r>
      <w:r>
        <w:rPr>
          <w:rFonts w:cs="Times New Roman"/>
          <w:szCs w:val="24"/>
          <w:lang w:val="fr-CA"/>
        </w:rPr>
        <w:t>fiduciaire</w:t>
      </w:r>
      <w:r w:rsidRPr="00751B87">
        <w:rPr>
          <w:rFonts w:cs="Times New Roman"/>
          <w:szCs w:val="24"/>
          <w:lang w:val="fr-CA"/>
        </w:rPr>
        <w:t xml:space="preserve">.  Selon moi, </w:t>
      </w:r>
      <w:proofErr w:type="spellStart"/>
      <w:r w:rsidRPr="00751B87">
        <w:rPr>
          <w:rFonts w:cs="Times New Roman"/>
          <w:szCs w:val="24"/>
          <w:lang w:val="fr-CA"/>
        </w:rPr>
        <w:t>Sharbern</w:t>
      </w:r>
      <w:proofErr w:type="spellEnd"/>
      <w:r w:rsidRPr="00751B87">
        <w:rPr>
          <w:rFonts w:cs="Times New Roman"/>
          <w:szCs w:val="24"/>
          <w:lang w:val="fr-CA"/>
        </w:rPr>
        <w:t xml:space="preserve"> n’a pas démontré que </w:t>
      </w:r>
      <w:r>
        <w:rPr>
          <w:rFonts w:cs="Times New Roman"/>
          <w:szCs w:val="24"/>
          <w:lang w:val="fr-CA"/>
        </w:rPr>
        <w:t>l</w:t>
      </w:r>
      <w:r w:rsidRPr="00751B87">
        <w:rPr>
          <w:rFonts w:cs="Times New Roman"/>
          <w:szCs w:val="24"/>
          <w:lang w:val="fr-CA"/>
        </w:rPr>
        <w:t xml:space="preserve">es différences </w:t>
      </w:r>
      <w:r>
        <w:rPr>
          <w:rFonts w:cs="Times New Roman"/>
          <w:szCs w:val="24"/>
          <w:lang w:val="fr-CA"/>
        </w:rPr>
        <w:t xml:space="preserve">de rémunération </w:t>
      </w:r>
      <w:r w:rsidRPr="00751B87">
        <w:rPr>
          <w:rFonts w:cs="Times New Roman"/>
          <w:szCs w:val="24"/>
          <w:lang w:val="fr-CA"/>
        </w:rPr>
        <w:t xml:space="preserve">constituaient des faits ou des renseignements importants autres que ceux que le VAC avait déjà déclarés.  De plus, comme il ressort de l’analyse de la question de la déclaration inexacte, les conclusions de la juge sur la question de savoir s’il y a eu manquement à l’obligation </w:t>
      </w:r>
      <w:r>
        <w:rPr>
          <w:rFonts w:cs="Times New Roman"/>
          <w:szCs w:val="24"/>
          <w:lang w:val="fr-CA"/>
        </w:rPr>
        <w:t>fiduciaire</w:t>
      </w:r>
      <w:r w:rsidRPr="00751B87">
        <w:rPr>
          <w:rFonts w:cs="Times New Roman"/>
          <w:szCs w:val="24"/>
          <w:lang w:val="fr-CA"/>
        </w:rPr>
        <w:t xml:space="preserve"> ont été entachées par le fait qu’elle s’attendait à ce que le VAC réfute l’importance de ces différences et non à ce que </w:t>
      </w:r>
      <w:proofErr w:type="spellStart"/>
      <w:r w:rsidRPr="00751B87">
        <w:rPr>
          <w:rFonts w:cs="Times New Roman"/>
          <w:szCs w:val="24"/>
          <w:lang w:val="fr-CA"/>
        </w:rPr>
        <w:t>Sharbern</w:t>
      </w:r>
      <w:proofErr w:type="spellEnd"/>
      <w:r w:rsidRPr="00751B87">
        <w:rPr>
          <w:rFonts w:cs="Times New Roman"/>
          <w:szCs w:val="24"/>
          <w:lang w:val="fr-CA"/>
        </w:rPr>
        <w:t xml:space="preserve"> s’acquitte de la charge qui lui incombait d’établir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Ces problèmes ont une incidence considérable sur l’analyse de la question de savoir s’il convient de renvoyer l’affaire à la juge pour qu’elle se prononce sur la question de l’importance des différences de rémunération afin de décider si la responsabilité du VAC est engagée du fait qu’il a manqué à son obligation </w:t>
      </w:r>
      <w:r>
        <w:rPr>
          <w:rFonts w:cs="Times New Roman"/>
          <w:szCs w:val="24"/>
          <w:lang w:val="fr-CA"/>
        </w:rPr>
        <w:t>fiduciaire</w:t>
      </w:r>
      <w:r w:rsidRPr="00751B87">
        <w:rPr>
          <w:rFonts w:cs="Times New Roman"/>
          <w:szCs w:val="24"/>
          <w:lang w:val="fr-CA"/>
        </w:rPr>
        <w:t>.</w:t>
      </w:r>
    </w:p>
    <w:p w:rsidR="0062110E" w:rsidRPr="00751B87" w:rsidRDefault="0062110E" w:rsidP="0062110E">
      <w:pPr>
        <w:pStyle w:val="TitleTitre-AltT"/>
        <w:keepNext/>
        <w:tabs>
          <w:tab w:val="clear" w:pos="360"/>
          <w:tab w:val="left" w:pos="1170"/>
          <w:tab w:val="left" w:pos="1620"/>
        </w:tabs>
        <w:spacing w:before="0"/>
        <w:ind w:left="0" w:firstLine="0"/>
        <w:rPr>
          <w:rFonts w:cs="Times New Roman"/>
          <w:szCs w:val="24"/>
          <w:lang w:val="fr-CA"/>
        </w:rPr>
      </w:pPr>
      <w:r w:rsidRPr="00751B87">
        <w:rPr>
          <w:rFonts w:cs="Times New Roman"/>
          <w:szCs w:val="24"/>
          <w:lang w:val="fr-CA"/>
        </w:rPr>
        <w:tab/>
      </w:r>
      <w:bookmarkStart w:id="37" w:name="_Toc308445336"/>
      <w:r w:rsidRPr="00751B87">
        <w:rPr>
          <w:rFonts w:cs="Times New Roman"/>
          <w:szCs w:val="24"/>
          <w:lang w:val="fr-CA"/>
        </w:rPr>
        <w:t>(5)</w:t>
      </w:r>
      <w:r w:rsidRPr="00751B87">
        <w:rPr>
          <w:rFonts w:cs="Times New Roman"/>
          <w:szCs w:val="24"/>
          <w:lang w:val="fr-CA"/>
        </w:rPr>
        <w:tab/>
      </w:r>
      <w:r w:rsidRPr="00751B87">
        <w:rPr>
          <w:rFonts w:cs="Times New Roman"/>
          <w:szCs w:val="24"/>
          <w:u w:val="single"/>
          <w:lang w:val="fr-CA"/>
        </w:rPr>
        <w:t xml:space="preserve">Entente de </w:t>
      </w:r>
      <w:proofErr w:type="spellStart"/>
      <w:r w:rsidRPr="00751B87">
        <w:rPr>
          <w:rFonts w:cs="Times New Roman"/>
          <w:szCs w:val="24"/>
          <w:u w:val="single"/>
          <w:lang w:val="fr-CA"/>
        </w:rPr>
        <w:t>non</w:t>
      </w:r>
      <w:r w:rsidRPr="00751B87">
        <w:rPr>
          <w:rFonts w:cs="Times New Roman"/>
          <w:szCs w:val="24"/>
          <w:u w:val="single"/>
          <w:lang w:val="fr-CA"/>
        </w:rPr>
        <w:noBreakHyphen/>
        <w:t>concurrence</w:t>
      </w:r>
      <w:bookmarkEnd w:id="37"/>
      <w:proofErr w:type="spellEnd"/>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Outre l’omission du VAC de faire état des différences de rémunération, </w:t>
      </w:r>
      <w:proofErr w:type="spellStart"/>
      <w:r w:rsidRPr="00751B87">
        <w:rPr>
          <w:rFonts w:cs="Times New Roman"/>
          <w:szCs w:val="24"/>
          <w:lang w:val="fr-CA"/>
        </w:rPr>
        <w:t>Sharbern</w:t>
      </w:r>
      <w:proofErr w:type="spellEnd"/>
      <w:r w:rsidRPr="00751B87">
        <w:rPr>
          <w:rFonts w:cs="Times New Roman"/>
          <w:szCs w:val="24"/>
          <w:lang w:val="fr-CA"/>
        </w:rPr>
        <w:t xml:space="preserve"> fait valoir que ce dernier a manqué à son obligation </w:t>
      </w:r>
      <w:r>
        <w:rPr>
          <w:rFonts w:cs="Times New Roman"/>
          <w:szCs w:val="24"/>
          <w:lang w:val="fr-CA"/>
        </w:rPr>
        <w:t>fiduciaire</w:t>
      </w:r>
      <w:r w:rsidRPr="00751B87">
        <w:rPr>
          <w:rFonts w:cs="Times New Roman"/>
          <w:szCs w:val="24"/>
          <w:lang w:val="fr-CA"/>
        </w:rPr>
        <w:t xml:space="preserve"> en ordonnant à son personnel du Hilton de ne pas faire concurrence au Marriott en diminuant ses prix.</w:t>
      </w:r>
    </w:p>
    <w:p w:rsidR="0062110E" w:rsidRPr="00751B87" w:rsidRDefault="0062110E" w:rsidP="0062110E">
      <w:pPr>
        <w:pStyle w:val="ParaNoNdepar-AltN"/>
        <w:rPr>
          <w:rFonts w:cs="Times New Roman"/>
          <w:szCs w:val="24"/>
          <w:lang w:val="fr-CA"/>
        </w:rPr>
      </w:pPr>
      <w:r w:rsidRPr="00751B87">
        <w:rPr>
          <w:rFonts w:cs="Times New Roman"/>
          <w:szCs w:val="24"/>
          <w:lang w:val="fr-CA"/>
        </w:rPr>
        <w:lastRenderedPageBreak/>
        <w:t xml:space="preserve">La juge </w:t>
      </w:r>
      <w:r>
        <w:rPr>
          <w:rFonts w:cs="Times New Roman"/>
          <w:szCs w:val="24"/>
          <w:lang w:val="fr-CA"/>
        </w:rPr>
        <w:t xml:space="preserve">de première instance </w:t>
      </w:r>
      <w:r w:rsidRPr="00751B87">
        <w:rPr>
          <w:rFonts w:cs="Times New Roman"/>
          <w:szCs w:val="24"/>
          <w:lang w:val="fr-CA"/>
        </w:rPr>
        <w:t xml:space="preserve">a souligné que le VAC avait instauré une </w:t>
      </w:r>
      <w:r w:rsidRPr="00751B87">
        <w:rPr>
          <w:rFonts w:cs="Times New Roman"/>
          <w:smallCaps/>
          <w:szCs w:val="24"/>
          <w:lang w:val="fr-CA"/>
        </w:rPr>
        <w:t>[traduction]</w:t>
      </w:r>
      <w:r w:rsidRPr="00751B87">
        <w:rPr>
          <w:rFonts w:cs="Times New Roman"/>
          <w:szCs w:val="24"/>
          <w:lang w:val="fr-CA"/>
        </w:rPr>
        <w:t xml:space="preserve"> «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 matière de fixation des prix qui empêchait [le Hilton, le Marriott et le Richmond Inn] de se faire concurrence en offrant des chambres à rabais » aux clients provenant des dix sociétés avec lesquelles les deux autres hôtels faisaient le plus souvent affaire (par. 161).  Cette politique a été instaurée peu de temps après l’établissement du budget du Hilton pour l’année 2002.  Elle a conclu que « [s]</w:t>
      </w:r>
      <w:proofErr w:type="spellStart"/>
      <w:r w:rsidRPr="00751B87">
        <w:rPr>
          <w:rFonts w:cs="Times New Roman"/>
          <w:szCs w:val="24"/>
          <w:lang w:val="fr-CA"/>
        </w:rPr>
        <w:t>elon</w:t>
      </w:r>
      <w:proofErr w:type="spellEnd"/>
      <w:r w:rsidRPr="00751B87">
        <w:rPr>
          <w:rFonts w:cs="Times New Roman"/>
          <w:szCs w:val="24"/>
          <w:lang w:val="fr-CA"/>
        </w:rPr>
        <w:t xml:space="preserve"> la politique, le Hilton et le Marriott avaient chacun une marge de manœuvre plutôt restreinte, mais le statu quo favorisait le Marriott », le Hilton « s’efforçant de le rattraper » (par. 454) car le Marriott jouissait « d’une longueur d’avance du fait qu’il avait ouvert ses portes un an avant [lui] » (par. 448).</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juge </w:t>
      </w:r>
      <w:r>
        <w:rPr>
          <w:rFonts w:cs="Times New Roman"/>
          <w:szCs w:val="24"/>
          <w:lang w:val="fr-CA"/>
        </w:rPr>
        <w:t xml:space="preserve">de première instance </w:t>
      </w:r>
      <w:r w:rsidRPr="00751B87">
        <w:rPr>
          <w:rFonts w:cs="Times New Roman"/>
          <w:szCs w:val="24"/>
          <w:lang w:val="fr-CA"/>
        </w:rPr>
        <w:t xml:space="preserve">a estimé qu’indépendamment du </w:t>
      </w:r>
      <w:proofErr w:type="spellStart"/>
      <w:r w:rsidRPr="00751B87">
        <w:rPr>
          <w:rFonts w:cs="Times New Roman"/>
          <w:szCs w:val="24"/>
          <w:lang w:val="fr-CA"/>
        </w:rPr>
        <w:t>bien</w:t>
      </w:r>
      <w:r w:rsidRPr="00751B87">
        <w:rPr>
          <w:rFonts w:cs="Times New Roman"/>
          <w:szCs w:val="24"/>
          <w:lang w:val="fr-CA"/>
        </w:rPr>
        <w:noBreakHyphen/>
        <w:t>fondé</w:t>
      </w:r>
      <w:proofErr w:type="spellEnd"/>
      <w:r w:rsidRPr="00751B87">
        <w:rPr>
          <w:rFonts w:cs="Times New Roman"/>
          <w:szCs w:val="24"/>
          <w:lang w:val="fr-CA"/>
        </w:rPr>
        <w:t xml:space="preserve"> du contrat le VAC avait manqué à son obligation </w:t>
      </w:r>
      <w:r>
        <w:rPr>
          <w:rFonts w:cs="Times New Roman"/>
          <w:szCs w:val="24"/>
          <w:lang w:val="fr-CA"/>
        </w:rPr>
        <w:t>fiduciaire</w:t>
      </w:r>
      <w:r w:rsidRPr="00751B87">
        <w:rPr>
          <w:rFonts w:cs="Times New Roman"/>
          <w:szCs w:val="24"/>
          <w:lang w:val="fr-CA"/>
        </w:rPr>
        <w:t xml:space="preserve"> envers les propriétaires du Hilton en concluant, pour leur compte, une entente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 matière de fixation des prix avec les propriétaires du Marriott, et ce, sans avoir préalablement obtenu leur consentement.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Pour sa part, le VAC soutient qu’il ressort de la preuve produite en première instance que la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en matière de fixation des prix ne permettait pas, du point de vue du droit des fiducies, de conclure à l’existence d’un conflit d’intérêts.  Selon lui, cette politique servait tant les intérêts des propriétaires du Hilton que ceux des propriétaires du Marriott.  Par exemple, le directeur général du Marriott, James Nesbitt, a affirmé dans son témoignage que son hôtel aurait, au </w:t>
      </w:r>
      <w:r w:rsidRPr="00751B87">
        <w:rPr>
          <w:rFonts w:cs="Times New Roman"/>
          <w:szCs w:val="24"/>
          <w:lang w:val="fr-CA"/>
        </w:rPr>
        <w:lastRenderedPageBreak/>
        <w:t xml:space="preserve">besoin, calqué ses prix sur ceux du Hilton afin de conserver la clientèle que ce dernier aurait pu tenter de lui dérober en offrant des chambres à rabais.  Il a ajouté qu’offrir des chambres à rabais était </w:t>
      </w:r>
      <w:r w:rsidRPr="00751B87">
        <w:rPr>
          <w:rFonts w:cs="Times New Roman"/>
          <w:smallCaps/>
          <w:szCs w:val="24"/>
          <w:lang w:val="fr-CA"/>
        </w:rPr>
        <w:t>[traduction]</w:t>
      </w:r>
      <w:r w:rsidRPr="00751B87">
        <w:rPr>
          <w:rFonts w:cs="Times New Roman"/>
          <w:szCs w:val="24"/>
          <w:lang w:val="fr-CA"/>
        </w:rPr>
        <w:t xml:space="preserve"> « une stratégie vouée à l’échec » (</w:t>
      </w:r>
      <w:proofErr w:type="gramStart"/>
      <w:r>
        <w:rPr>
          <w:rFonts w:cs="Times New Roman"/>
          <w:szCs w:val="24"/>
          <w:lang w:val="fr-CA"/>
        </w:rPr>
        <w:t>d</w:t>
      </w:r>
      <w:r w:rsidRPr="00751B87">
        <w:rPr>
          <w:rFonts w:cs="Times New Roman"/>
          <w:szCs w:val="24"/>
          <w:lang w:val="fr-CA"/>
        </w:rPr>
        <w:t>.i.,</w:t>
      </w:r>
      <w:proofErr w:type="gramEnd"/>
      <w:r w:rsidRPr="00751B87">
        <w:rPr>
          <w:rFonts w:cs="Times New Roman"/>
          <w:szCs w:val="24"/>
          <w:lang w:val="fr-CA"/>
        </w:rPr>
        <w:t> vol. 11, p. 2102).  Interrogé sur ce qu’il faisait lorsque des clients menaçaient d’aller dans un autre hôtel dont les prix étaient moins élevés, il a affirmé que « comme il est beaucoup plus facile dans tous les cas de conserver ses clients que de consacrer d’importantes ressources pour en trouver de nouveau</w:t>
      </w:r>
      <w:r w:rsidR="00BD35CB">
        <w:rPr>
          <w:rFonts w:cs="Times New Roman"/>
          <w:szCs w:val="24"/>
          <w:lang w:val="fr-CA"/>
        </w:rPr>
        <w:t>x</w:t>
      </w:r>
      <w:r w:rsidRPr="00751B87">
        <w:rPr>
          <w:rFonts w:cs="Times New Roman"/>
          <w:szCs w:val="24"/>
          <w:lang w:val="fr-CA"/>
        </w:rPr>
        <w:t>, il faut toujours ajuster ses prix en fonction de ceux de l’autre hôtel afin de ne pas les perdre » (</w:t>
      </w:r>
      <w:r w:rsidR="000B67B1" w:rsidRPr="000B67B1">
        <w:rPr>
          <w:rFonts w:cs="Times New Roman"/>
          <w:i/>
          <w:szCs w:val="24"/>
          <w:lang w:val="fr-CA"/>
        </w:rPr>
        <w:t>ibid.</w:t>
      </w:r>
      <w:r w:rsidR="000B67B1">
        <w:rPr>
          <w:rFonts w:cs="Times New Roman"/>
          <w:szCs w:val="24"/>
          <w:lang w:val="fr-CA"/>
        </w:rPr>
        <w:t xml:space="preserve">, </w:t>
      </w:r>
      <w:r w:rsidRPr="00751B87">
        <w:rPr>
          <w:rFonts w:cs="Times New Roman"/>
          <w:szCs w:val="24"/>
          <w:lang w:val="fr-CA"/>
        </w:rPr>
        <w:t>p. 2104).</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Premièrement, je ne peux souscrire à la conclusion de la juge </w:t>
      </w:r>
      <w:r>
        <w:rPr>
          <w:rFonts w:cs="Times New Roman"/>
          <w:szCs w:val="24"/>
          <w:lang w:val="fr-CA"/>
        </w:rPr>
        <w:t xml:space="preserve">de première instance </w:t>
      </w:r>
      <w:r w:rsidRPr="00751B87">
        <w:rPr>
          <w:rFonts w:cs="Times New Roman"/>
          <w:szCs w:val="24"/>
          <w:lang w:val="fr-CA"/>
        </w:rPr>
        <w:t xml:space="preserve">que le VAC a manqué à son obligation </w:t>
      </w:r>
      <w:r>
        <w:rPr>
          <w:rFonts w:cs="Times New Roman"/>
          <w:szCs w:val="24"/>
          <w:lang w:val="fr-CA"/>
        </w:rPr>
        <w:t>fiduciaire</w:t>
      </w:r>
      <w:r w:rsidRPr="00751B87">
        <w:rPr>
          <w:rFonts w:cs="Times New Roman"/>
          <w:szCs w:val="24"/>
          <w:lang w:val="fr-CA"/>
        </w:rPr>
        <w:t xml:space="preserve"> en concluant des ententes avec les propriétaires du Marriott pour le compte des propriétaires du Hilton sans avoir préalablement obtenu le consentement de ces derniers.  En effet, les trois hôtels étant situés sur le même terrain, liés entre eux par un </w:t>
      </w:r>
      <w:proofErr w:type="spellStart"/>
      <w:r w:rsidRPr="00751B87">
        <w:rPr>
          <w:rFonts w:cs="Times New Roman"/>
          <w:szCs w:val="24"/>
          <w:lang w:val="fr-CA"/>
        </w:rPr>
        <w:t>hall</w:t>
      </w:r>
      <w:r w:rsidRPr="00751B87">
        <w:rPr>
          <w:rFonts w:cs="Times New Roman"/>
          <w:szCs w:val="24"/>
          <w:lang w:val="fr-CA"/>
        </w:rPr>
        <w:noBreakHyphen/>
        <w:t>promenade</w:t>
      </w:r>
      <w:proofErr w:type="spellEnd"/>
      <w:r w:rsidRPr="00751B87">
        <w:rPr>
          <w:rFonts w:cs="Times New Roman"/>
          <w:szCs w:val="24"/>
          <w:lang w:val="fr-CA"/>
        </w:rPr>
        <w:t xml:space="preserve"> abritant des commerces, et administrés en commun, la conclusion d’ententes par le VAC pour le compte des propriétaires du Hilton et de ceux du Marriott, et entre ces deux groupes, s’inscrivait dans le cours normal de telles activités commerciales, et il n’était pas réaliste de penser qu’il devait chaque fois obtenir le consentement préalable de l’ensemble des propriétaires du Hilton à de telles activités quotidiennes.  Les ententes de partage des ressources et des dépenses dont il a déjà été question en sont un exemple.  Il importe de signaler que l</w:t>
      </w:r>
      <w:r w:rsidR="000B67B1">
        <w:rPr>
          <w:rFonts w:cs="Times New Roman"/>
          <w:szCs w:val="24"/>
          <w:lang w:val="fr-CA"/>
        </w:rPr>
        <w:t>e par.</w:t>
      </w:r>
      <w:r w:rsidRPr="00751B87">
        <w:rPr>
          <w:rFonts w:cs="Times New Roman"/>
          <w:szCs w:val="24"/>
          <w:lang w:val="fr-CA"/>
        </w:rPr>
        <w:t> 4.4b) du document du Hilton donnait au VAC le droit de conclure de telles ententes :</w:t>
      </w:r>
    </w:p>
    <w:p w:rsidR="0062110E" w:rsidRPr="00751B87" w:rsidRDefault="00040136" w:rsidP="00040136">
      <w:pPr>
        <w:pStyle w:val="Citation-AltC"/>
        <w:tabs>
          <w:tab w:val="left" w:pos="1170"/>
        </w:tabs>
        <w:ind w:hanging="1166"/>
        <w:rPr>
          <w:lang w:val="fr-CA"/>
        </w:rPr>
      </w:pPr>
      <w:r>
        <w:rPr>
          <w:lang w:val="fr-CA"/>
        </w:rPr>
        <w:lastRenderedPageBreak/>
        <w:tab/>
      </w:r>
      <w:r w:rsidR="00BD35CB" w:rsidRPr="00751B87">
        <w:rPr>
          <w:lang w:val="fr-CA"/>
        </w:rPr>
        <w:t>[</w:t>
      </w:r>
      <w:r w:rsidR="00BD35CB" w:rsidRPr="00751B87">
        <w:rPr>
          <w:smallCaps/>
          <w:lang w:val="fr-CA"/>
        </w:rPr>
        <w:t>traduction</w:t>
      </w:r>
      <w:r w:rsidR="00BD35CB" w:rsidRPr="00751B87">
        <w:rPr>
          <w:lang w:val="fr-CA"/>
        </w:rPr>
        <w:t>]</w:t>
      </w:r>
      <w:r w:rsidR="00BD35CB">
        <w:rPr>
          <w:lang w:val="fr-CA"/>
        </w:rPr>
        <w:t xml:space="preserve"> </w:t>
      </w:r>
      <w:r w:rsidR="0062110E" w:rsidRPr="00751B87">
        <w:rPr>
          <w:lang w:val="fr-CA"/>
        </w:rPr>
        <w:t>. . . l’administrateur des biens a le droit de conclure les ententes et les contrats, et d’accomplir les actes et choses qu’il considère nécessaires ou souhaitables dans l’exercice de sa discrétion, notamment conclure, sans limitation, des ententes d’affiliation, d’administration, de réservation ou de mise en marché, ou des contrats de licence ou de franchisage, avec une chaîne hôtelière.</w:t>
      </w:r>
    </w:p>
    <w:p w:rsidR="0062110E" w:rsidRPr="00751B87" w:rsidRDefault="0062110E" w:rsidP="0062110E">
      <w:pPr>
        <w:pStyle w:val="ParaNoNdepar-AltN"/>
        <w:rPr>
          <w:rFonts w:cs="Times New Roman"/>
          <w:szCs w:val="24"/>
          <w:lang w:val="fr-CA"/>
        </w:rPr>
      </w:pPr>
      <w:r w:rsidRPr="00751B87">
        <w:rPr>
          <w:rFonts w:cs="Times New Roman"/>
          <w:szCs w:val="24"/>
          <w:lang w:val="fr-CA"/>
        </w:rPr>
        <w:t>Deuxièmement, la juge</w:t>
      </w:r>
      <w:r>
        <w:rPr>
          <w:rFonts w:cs="Times New Roman"/>
          <w:szCs w:val="24"/>
          <w:lang w:val="fr-CA"/>
        </w:rPr>
        <w:t> </w:t>
      </w:r>
      <w:proofErr w:type="spellStart"/>
      <w:r>
        <w:rPr>
          <w:rFonts w:cs="Times New Roman"/>
          <w:szCs w:val="24"/>
          <w:lang w:val="fr-CA"/>
        </w:rPr>
        <w:t>Wedge</w:t>
      </w:r>
      <w:proofErr w:type="spellEnd"/>
      <w:r>
        <w:rPr>
          <w:rFonts w:cs="Times New Roman"/>
          <w:szCs w:val="24"/>
          <w:lang w:val="fr-CA"/>
        </w:rPr>
        <w:t xml:space="preserve"> </w:t>
      </w:r>
      <w:r w:rsidRPr="00751B87">
        <w:rPr>
          <w:rFonts w:cs="Times New Roman"/>
          <w:szCs w:val="24"/>
          <w:lang w:val="fr-CA"/>
        </w:rPr>
        <w:t xml:space="preserve">a commis une erreur en omettant de prendre en compte certains éléments de preuve pertinents quant à l’importance de l’entente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tels des éléments de preuve se rapportant à d’autres effets de l’administration commune et à l’incidence de </w:t>
      </w:r>
      <w:proofErr w:type="spellStart"/>
      <w:r w:rsidRPr="00751B87">
        <w:rPr>
          <w:rFonts w:cs="Times New Roman"/>
          <w:szCs w:val="24"/>
          <w:lang w:val="fr-CA"/>
        </w:rPr>
        <w:t>ceux</w:t>
      </w:r>
      <w:r w:rsidRPr="00751B87">
        <w:rPr>
          <w:rFonts w:cs="Times New Roman"/>
          <w:szCs w:val="24"/>
          <w:lang w:val="fr-CA"/>
        </w:rPr>
        <w:noBreakHyphen/>
        <w:t>ci</w:t>
      </w:r>
      <w:proofErr w:type="spellEnd"/>
      <w:r w:rsidRPr="00751B87">
        <w:rPr>
          <w:rFonts w:cs="Times New Roman"/>
          <w:szCs w:val="24"/>
          <w:lang w:val="fr-CA"/>
        </w:rPr>
        <w:t xml:space="preserve"> sur les propriétaires du Hilton.  Pour elle, l’entente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n’était rien de plus que la preuve que l’administration commune était susceptible d’engendrer un conflit d’intérêts.  Elle a d’ailleurs souligné que </w:t>
      </w:r>
      <w:r w:rsidRPr="00751B87">
        <w:rPr>
          <w:rFonts w:cs="Times New Roman"/>
          <w:smallCaps/>
          <w:szCs w:val="24"/>
          <w:lang w:val="fr-CA"/>
        </w:rPr>
        <w:t>[traduction]</w:t>
      </w:r>
      <w:r w:rsidRPr="00751B87">
        <w:rPr>
          <w:rFonts w:cs="Times New Roman"/>
          <w:szCs w:val="24"/>
          <w:lang w:val="fr-CA"/>
        </w:rPr>
        <w:t xml:space="preserve"> « [l]’industrie hôtelière, où la concurrence est féroce, ne fait aucune place à la mise en équilibre équitable des intérêts » (par. 303).  Elle n’a pas non plus tenu compte d’autres éléments de preuve démontrant que les trois hôtels se partageaient aussi de la clientèle.  Selon la preuve du VAC, le Marriott envoyait au Hilton ou au Richmond Inn les clients qu’il ne pouvait accueillir de même que ceux à qui il ne voulait pas accorder un tarif moins élevé.  Quand le Marriott s’est rendu compte qu’il ne pouvait accueillir tous les membres d’équipage de la Cathay Pacific, il a conclu un contrat en vertu duquel il cédait au Hilton une partie de cette clientèle.  Selon moi, la juge a commis une erreur en appréciant l’importance de l’entente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pour les propriétaires du Hilton sans même avoir décidé, à la lumière de l’ensemble de la preuve, si </w:t>
      </w:r>
      <w:proofErr w:type="spellStart"/>
      <w:r w:rsidRPr="00751B87">
        <w:rPr>
          <w:rFonts w:cs="Times New Roman"/>
          <w:szCs w:val="24"/>
          <w:lang w:val="fr-CA"/>
        </w:rPr>
        <w:t>celle</w:t>
      </w:r>
      <w:r w:rsidRPr="00751B87">
        <w:rPr>
          <w:rFonts w:cs="Times New Roman"/>
          <w:szCs w:val="24"/>
          <w:lang w:val="fr-CA"/>
        </w:rPr>
        <w:noBreakHyphen/>
        <w:t>ci</w:t>
      </w:r>
      <w:proofErr w:type="spellEnd"/>
      <w:r w:rsidRPr="00751B87">
        <w:rPr>
          <w:rFonts w:cs="Times New Roman"/>
          <w:szCs w:val="24"/>
          <w:lang w:val="fr-CA"/>
        </w:rPr>
        <w:t xml:space="preserve"> s’inscrivait </w:t>
      </w:r>
      <w:r w:rsidRPr="00751B87">
        <w:rPr>
          <w:rFonts w:cs="Times New Roman"/>
          <w:szCs w:val="24"/>
          <w:lang w:val="fr-CA"/>
        </w:rPr>
        <w:lastRenderedPageBreak/>
        <w:t>dans le cadre d’une pratique générale de collaboration qui, en bout de ligne, avantageait les trois hôtels.</w:t>
      </w:r>
    </w:p>
    <w:p w:rsidR="0062110E" w:rsidRPr="00751B87" w:rsidRDefault="0062110E" w:rsidP="0062110E">
      <w:pPr>
        <w:pStyle w:val="ParaNoNdepar-AltN"/>
        <w:rPr>
          <w:rFonts w:cs="Times New Roman"/>
          <w:szCs w:val="24"/>
          <w:u w:val="single"/>
          <w:lang w:val="fr-CA"/>
        </w:rPr>
      </w:pPr>
      <w:r w:rsidRPr="00751B87">
        <w:rPr>
          <w:rFonts w:cs="Times New Roman"/>
          <w:szCs w:val="24"/>
          <w:lang w:val="fr-CA"/>
        </w:rPr>
        <w:t xml:space="preserve">En résumé, compte tenu de l’absence de preuve établissant que l’entente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 xml:space="preserve"> constituait un fait ou un renseignement important autre que ceux qui avaient déjà été déclarés par le VAC, je ne peux accepter qu’elle </w:t>
      </w:r>
      <w:proofErr w:type="gramStart"/>
      <w:r w:rsidRPr="00751B87">
        <w:rPr>
          <w:rFonts w:cs="Times New Roman"/>
          <w:szCs w:val="24"/>
          <w:lang w:val="fr-CA"/>
        </w:rPr>
        <w:t>constituait</w:t>
      </w:r>
      <w:proofErr w:type="gramEnd"/>
      <w:r w:rsidRPr="00751B87">
        <w:rPr>
          <w:rFonts w:cs="Times New Roman"/>
          <w:szCs w:val="24"/>
          <w:lang w:val="fr-CA"/>
        </w:rPr>
        <w:t xml:space="preserve"> un manquement à l’obligation </w:t>
      </w:r>
      <w:r>
        <w:rPr>
          <w:rFonts w:cs="Times New Roman"/>
          <w:szCs w:val="24"/>
          <w:lang w:val="fr-CA"/>
        </w:rPr>
        <w:t>fiduciaire</w:t>
      </w:r>
      <w:r w:rsidRPr="00751B87">
        <w:rPr>
          <w:rFonts w:cs="Times New Roman"/>
          <w:szCs w:val="24"/>
          <w:lang w:val="fr-CA"/>
        </w:rPr>
        <w:t xml:space="preserve">. </w:t>
      </w:r>
    </w:p>
    <w:p w:rsidR="0062110E" w:rsidRPr="00751B87" w:rsidRDefault="0062110E" w:rsidP="00BD35CB">
      <w:pPr>
        <w:pStyle w:val="TitleTitre-AltT"/>
        <w:keepNext/>
        <w:tabs>
          <w:tab w:val="clear" w:pos="360"/>
        </w:tabs>
        <w:spacing w:before="0"/>
        <w:ind w:left="540" w:hanging="540"/>
        <w:rPr>
          <w:rFonts w:cs="Times New Roman"/>
          <w:szCs w:val="24"/>
          <w:u w:val="single"/>
          <w:lang w:val="fr-CA"/>
        </w:rPr>
      </w:pPr>
      <w:bookmarkStart w:id="38" w:name="_Toc308445337"/>
      <w:r w:rsidRPr="00751B87">
        <w:rPr>
          <w:rFonts w:cs="Times New Roman"/>
          <w:szCs w:val="24"/>
          <w:lang w:val="fr-CA"/>
        </w:rPr>
        <w:t>VI.</w:t>
      </w:r>
      <w:r w:rsidRPr="00751B87">
        <w:rPr>
          <w:rFonts w:cs="Times New Roman"/>
          <w:szCs w:val="24"/>
          <w:lang w:val="fr-CA"/>
        </w:rPr>
        <w:tab/>
      </w:r>
      <w:r w:rsidRPr="00751B87">
        <w:rPr>
          <w:rFonts w:cs="Times New Roman"/>
          <w:szCs w:val="24"/>
          <w:u w:val="single"/>
          <w:lang w:val="fr-CA"/>
        </w:rPr>
        <w:t>Résumé et conclusions</w:t>
      </w:r>
      <w:bookmarkEnd w:id="38"/>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Étant donné la longueur des présents motifs, il est utile, à ce </w:t>
      </w:r>
      <w:proofErr w:type="spellStart"/>
      <w:r w:rsidRPr="00751B87">
        <w:rPr>
          <w:rFonts w:cs="Times New Roman"/>
          <w:szCs w:val="24"/>
          <w:lang w:val="fr-CA"/>
        </w:rPr>
        <w:t>stade</w:t>
      </w:r>
      <w:r w:rsidRPr="00751B87">
        <w:rPr>
          <w:rFonts w:cs="Times New Roman"/>
          <w:szCs w:val="24"/>
          <w:lang w:val="fr-CA"/>
        </w:rPr>
        <w:noBreakHyphen/>
        <w:t>ci</w:t>
      </w:r>
      <w:proofErr w:type="spellEnd"/>
      <w:r w:rsidRPr="00751B87">
        <w:rPr>
          <w:rFonts w:cs="Times New Roman"/>
          <w:szCs w:val="24"/>
          <w:lang w:val="fr-CA"/>
        </w:rPr>
        <w:t>, de résumer mes conclusions.</w:t>
      </w:r>
    </w:p>
    <w:p w:rsidR="0062110E" w:rsidRPr="00751B87" w:rsidRDefault="0062110E" w:rsidP="0062110E">
      <w:pPr>
        <w:pStyle w:val="ParaNoNdepar-AltN"/>
        <w:rPr>
          <w:rFonts w:cs="Times New Roman"/>
          <w:szCs w:val="24"/>
          <w:lang w:val="fr-CA"/>
        </w:rPr>
      </w:pPr>
      <w:r w:rsidRPr="00751B87">
        <w:rPr>
          <w:rFonts w:cs="Times New Roman"/>
          <w:szCs w:val="24"/>
          <w:lang w:val="fr-CA"/>
        </w:rPr>
        <w:t>S’agissant de la responsabilité légale du VAC pour déclaration erronée sur un point important :</w:t>
      </w:r>
      <w:r w:rsidRPr="00751B87">
        <w:rPr>
          <w:rFonts w:cs="Times New Roman"/>
          <w:i/>
          <w:szCs w:val="24"/>
          <w:lang w:val="fr-CA"/>
        </w:rPr>
        <w:t xml:space="preserve"> </w:t>
      </w:r>
    </w:p>
    <w:p w:rsidR="0062110E" w:rsidRPr="00751B87" w:rsidRDefault="0062110E" w:rsidP="004F5305">
      <w:pPr>
        <w:pStyle w:val="Citation-AltC"/>
        <w:spacing w:after="240" w:line="480" w:lineRule="auto"/>
        <w:ind w:left="450" w:hanging="450"/>
        <w:contextualSpacing w:val="0"/>
        <w:rPr>
          <w:lang w:val="fr-CA"/>
        </w:rPr>
      </w:pPr>
      <w:r w:rsidRPr="00751B87">
        <w:rPr>
          <w:lang w:val="fr-CA"/>
        </w:rPr>
        <w:t>1.</w:t>
      </w:r>
      <w:r w:rsidRPr="00751B87">
        <w:rPr>
          <w:lang w:val="fr-CA"/>
        </w:rPr>
        <w:tab/>
        <w:t>La question clé pour décider de la responsabilité du VAC en application du par</w:t>
      </w:r>
      <w:r w:rsidR="00C96E03">
        <w:rPr>
          <w:lang w:val="fr-CA"/>
        </w:rPr>
        <w:t xml:space="preserve">. </w:t>
      </w:r>
      <w:r w:rsidRPr="00751B87">
        <w:rPr>
          <w:lang w:val="fr-CA"/>
        </w:rPr>
        <w:t xml:space="preserve">75(2) de la Loi consiste à savoir si les différences de rémunération étaient importantes.  Sauf dans les cas où on peut raisonnablement faire cette preuve par le biais d’inférences fondées sur le bon sens, l’importance s’établit au moyen d’éléments de preuve dans le cadre d’un examen propre aux faits de l’espèce.  Les investisseurs n’ont pas à prouver que les renseignements qui ne leur ont pas été communiqués auraient changé leur décision.  Ils doivent toutefois établir </w:t>
      </w:r>
      <w:r w:rsidRPr="00751B87">
        <w:rPr>
          <w:lang w:val="fr-CA"/>
        </w:rPr>
        <w:lastRenderedPageBreak/>
        <w:t>l’existence d’une probabilité marquée que l’investisseur raisonnable aurait tenu compte de ces renseignements dans le cadre de son analyse s’ils lui avaient été communiqués, c’est</w:t>
      </w:r>
      <w:r w:rsidRPr="00751B87">
        <w:rPr>
          <w:lang w:val="fr-CA"/>
        </w:rPr>
        <w:noBreakHyphen/>
      </w:r>
      <w:proofErr w:type="spellStart"/>
      <w:r w:rsidRPr="00751B87">
        <w:rPr>
          <w:lang w:val="fr-CA"/>
        </w:rPr>
        <w:t>à</w:t>
      </w:r>
      <w:r w:rsidRPr="00751B87">
        <w:rPr>
          <w:lang w:val="fr-CA"/>
        </w:rPr>
        <w:noBreakHyphen/>
        <w:t>dire</w:t>
      </w:r>
      <w:proofErr w:type="spellEnd"/>
      <w:r w:rsidRPr="00751B87">
        <w:rPr>
          <w:lang w:val="fr-CA"/>
        </w:rPr>
        <w:t xml:space="preserve"> l’existence d’une probabilité marquée qu’un tel investisseur aurait jugé que les renseignements auraient modifié de façon significative l’ensemble des renseignements mis à sa disposition.</w:t>
      </w:r>
    </w:p>
    <w:p w:rsidR="0062110E" w:rsidRPr="00751B87" w:rsidRDefault="0062110E" w:rsidP="004F5305">
      <w:pPr>
        <w:pStyle w:val="Citation-AltC"/>
        <w:spacing w:after="240" w:line="480" w:lineRule="auto"/>
        <w:ind w:left="450" w:hanging="450"/>
        <w:contextualSpacing w:val="0"/>
        <w:rPr>
          <w:lang w:val="fr-CA"/>
        </w:rPr>
      </w:pPr>
      <w:r w:rsidRPr="00751B87">
        <w:rPr>
          <w:lang w:val="fr-CA"/>
        </w:rPr>
        <w:t>2.</w:t>
      </w:r>
      <w:r w:rsidRPr="00751B87">
        <w:rPr>
          <w:lang w:val="fr-CA"/>
        </w:rPr>
        <w:tab/>
        <w:t>La juge de première instance a commis trois erreurs dans son évaluation de l’importance.  D’abord, elle a conclu que le conflit d’intérêts était en soi important; ensuite, elle a inversé le fardeau de la preuve quant à l’importance; enfin, elle a omis de considérer l’ensemble des éléments de preuve dont elle disposait en ce qui concerne la question de l’importance.</w:t>
      </w:r>
    </w:p>
    <w:p w:rsidR="0062110E" w:rsidRPr="00751B87" w:rsidRDefault="0062110E" w:rsidP="004F5305">
      <w:pPr>
        <w:pStyle w:val="Citation-AltC"/>
        <w:spacing w:after="240" w:line="480" w:lineRule="auto"/>
        <w:ind w:left="450" w:hanging="450"/>
        <w:contextualSpacing w:val="0"/>
        <w:rPr>
          <w:lang w:val="fr-CA"/>
        </w:rPr>
      </w:pPr>
      <w:r w:rsidRPr="00751B87">
        <w:rPr>
          <w:lang w:val="fr-CA"/>
        </w:rPr>
        <w:t>3.</w:t>
      </w:r>
      <w:r w:rsidRPr="00751B87">
        <w:rPr>
          <w:lang w:val="fr-CA"/>
        </w:rPr>
        <w:tab/>
        <w:t xml:space="preserve">Il incombait à </w:t>
      </w:r>
      <w:proofErr w:type="spellStart"/>
      <w:r w:rsidRPr="00751B87">
        <w:rPr>
          <w:lang w:val="fr-CA"/>
        </w:rPr>
        <w:t>Sharbern</w:t>
      </w:r>
      <w:proofErr w:type="spellEnd"/>
      <w:r w:rsidRPr="00751B87">
        <w:rPr>
          <w:lang w:val="fr-CA"/>
        </w:rPr>
        <w:t xml:space="preserve"> de démontrer que les différences de rémunération étaient importantes. Or, </w:t>
      </w:r>
      <w:proofErr w:type="spellStart"/>
      <w:r w:rsidRPr="00751B87">
        <w:rPr>
          <w:lang w:val="fr-CA"/>
        </w:rPr>
        <w:t>Sharbern</w:t>
      </w:r>
      <w:proofErr w:type="spellEnd"/>
      <w:r w:rsidRPr="00751B87">
        <w:rPr>
          <w:lang w:val="fr-CA"/>
        </w:rPr>
        <w:t xml:space="preserve"> n’a produit aucun élément de preuve dont on pourrait raisonnablement penser qu’il fait cette démonstration.</w:t>
      </w:r>
    </w:p>
    <w:p w:rsidR="0062110E" w:rsidRPr="00751B87" w:rsidRDefault="0062110E" w:rsidP="004F5305">
      <w:pPr>
        <w:pStyle w:val="Citation-AltC"/>
        <w:spacing w:after="240" w:line="480" w:lineRule="auto"/>
        <w:ind w:left="450" w:hanging="450"/>
        <w:contextualSpacing w:val="0"/>
        <w:rPr>
          <w:lang w:val="fr-CA"/>
        </w:rPr>
      </w:pPr>
      <w:r w:rsidRPr="00751B87">
        <w:rPr>
          <w:lang w:val="fr-CA"/>
        </w:rPr>
        <w:t>4.</w:t>
      </w:r>
      <w:r w:rsidRPr="00751B87">
        <w:rPr>
          <w:lang w:val="fr-CA"/>
        </w:rPr>
        <w:tab/>
        <w:t xml:space="preserve">Même si on concluait qu’il a fait une « déclaration erronée sur un point important », le VAC pouvait se prévaloir du moyen de défense prévu au </w:t>
      </w:r>
      <w:proofErr w:type="spellStart"/>
      <w:r w:rsidRPr="00751B87">
        <w:rPr>
          <w:lang w:val="fr-CA"/>
        </w:rPr>
        <w:t>sous</w:t>
      </w:r>
      <w:r w:rsidRPr="00751B87">
        <w:rPr>
          <w:lang w:val="fr-CA"/>
        </w:rPr>
        <w:noBreakHyphen/>
        <w:t>al</w:t>
      </w:r>
      <w:proofErr w:type="spellEnd"/>
      <w:r>
        <w:rPr>
          <w:lang w:val="fr-CA"/>
        </w:rPr>
        <w:t>. </w:t>
      </w:r>
      <w:r w:rsidRPr="00751B87">
        <w:rPr>
          <w:lang w:val="fr-CA"/>
        </w:rPr>
        <w:t>75(2)</w:t>
      </w:r>
      <w:r w:rsidRPr="00BD35CB">
        <w:rPr>
          <w:lang w:val="fr-CA"/>
        </w:rPr>
        <w:t>b</w:t>
      </w:r>
      <w:proofErr w:type="gramStart"/>
      <w:r w:rsidRPr="00751B87">
        <w:rPr>
          <w:lang w:val="fr-CA"/>
        </w:rPr>
        <w:t>)(</w:t>
      </w:r>
      <w:proofErr w:type="gramEnd"/>
      <w:r w:rsidRPr="00751B87">
        <w:rPr>
          <w:lang w:val="fr-CA"/>
        </w:rPr>
        <w:t xml:space="preserve">viii) de la Loi.  La juge de première instance a commis une erreur en n’en tenant pas compte, même si le VAC </w:t>
      </w:r>
      <w:r>
        <w:rPr>
          <w:lang w:val="fr-CA"/>
        </w:rPr>
        <w:t>s’en est prévalu</w:t>
      </w:r>
      <w:r w:rsidRPr="00751B87">
        <w:rPr>
          <w:lang w:val="fr-CA"/>
        </w:rPr>
        <w:t xml:space="preserve">.  En effet, le VAC a produit une preuve démontrant qu’il croyait subjectivement, et qu’il avait des motifs raisonnables de croire, que les différences de rémunération n’étaient pas importantes.  </w:t>
      </w:r>
      <w:proofErr w:type="spellStart"/>
      <w:r w:rsidRPr="00751B87">
        <w:rPr>
          <w:lang w:val="fr-CA"/>
        </w:rPr>
        <w:t>Sharbern</w:t>
      </w:r>
      <w:proofErr w:type="spellEnd"/>
      <w:r w:rsidRPr="00751B87">
        <w:rPr>
          <w:lang w:val="fr-CA"/>
        </w:rPr>
        <w:t xml:space="preserve"> n’a attiré l’attention de la Cour sur aucun élément de preuve contraire.</w:t>
      </w:r>
    </w:p>
    <w:p w:rsidR="0062110E" w:rsidRPr="00751B87" w:rsidRDefault="0062110E" w:rsidP="004F5305">
      <w:pPr>
        <w:pStyle w:val="Citation-AltC"/>
        <w:spacing w:after="240" w:line="480" w:lineRule="auto"/>
        <w:ind w:left="450" w:hanging="450"/>
        <w:contextualSpacing w:val="0"/>
        <w:rPr>
          <w:lang w:val="fr-CA"/>
        </w:rPr>
      </w:pPr>
      <w:r w:rsidRPr="00751B87">
        <w:rPr>
          <w:lang w:val="fr-CA"/>
        </w:rPr>
        <w:t>5.</w:t>
      </w:r>
      <w:r w:rsidRPr="00751B87">
        <w:rPr>
          <w:lang w:val="fr-CA"/>
        </w:rPr>
        <w:tab/>
        <w:t xml:space="preserve">La présomption prévue par la Loi selon laquelle les investisseurs sont réputés s’être fiés à ce qui leur a été présenté était réfutable par le biais d’une preuve établissant, selon la prépondérance des probabilités, que l’investisseur était au courant des déclarations inexactes ou des omissions au moment où il a fait son acquisition.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S’agissant de la responsabilité du VAC selon les règles de la </w:t>
      </w:r>
      <w:proofErr w:type="spellStart"/>
      <w:r w:rsidRPr="00751B87">
        <w:rPr>
          <w:rFonts w:cs="Times New Roman"/>
          <w:szCs w:val="24"/>
          <w:lang w:val="fr-CA"/>
        </w:rPr>
        <w:t>common</w:t>
      </w:r>
      <w:proofErr w:type="spellEnd"/>
      <w:r w:rsidRPr="00751B87">
        <w:rPr>
          <w:rFonts w:cs="Times New Roman"/>
          <w:szCs w:val="24"/>
          <w:lang w:val="fr-CA"/>
        </w:rPr>
        <w:t xml:space="preserve"> </w:t>
      </w:r>
      <w:proofErr w:type="spellStart"/>
      <w:r w:rsidRPr="00751B87">
        <w:rPr>
          <w:rFonts w:cs="Times New Roman"/>
          <w:szCs w:val="24"/>
          <w:lang w:val="fr-CA"/>
        </w:rPr>
        <w:t>law</w:t>
      </w:r>
      <w:proofErr w:type="spellEnd"/>
      <w:r w:rsidRPr="00751B87">
        <w:rPr>
          <w:rFonts w:cs="Times New Roman"/>
          <w:szCs w:val="24"/>
          <w:lang w:val="fr-CA"/>
        </w:rPr>
        <w:t xml:space="preserve"> en matière de déclaration inexacte faite par négligence, la juge </w:t>
      </w:r>
      <w:r>
        <w:rPr>
          <w:rFonts w:cs="Times New Roman"/>
          <w:szCs w:val="24"/>
          <w:lang w:val="fr-CA"/>
        </w:rPr>
        <w:t xml:space="preserve">de première instance </w:t>
      </w:r>
      <w:r w:rsidRPr="00751B87">
        <w:rPr>
          <w:rFonts w:cs="Times New Roman"/>
          <w:szCs w:val="24"/>
          <w:lang w:val="fr-CA"/>
        </w:rPr>
        <w:t>s’est trompée car elle a omis de se demander si le VAC avait contrevenu à la norme de diligence.  Faute de preuve permettant de conclure qu’il avait effectivement manqué à cette norme, la responsabilité du VAC pour avoir fait par négligence des déclarations inexactes ne saurait être engagée.</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S’agissant de la responsabilité du VAC pour manquement à ses obligations </w:t>
      </w:r>
      <w:r>
        <w:rPr>
          <w:rFonts w:cs="Times New Roman"/>
          <w:szCs w:val="24"/>
          <w:lang w:val="fr-CA"/>
        </w:rPr>
        <w:t>fiduciaire</w:t>
      </w:r>
      <w:r w:rsidRPr="00751B87">
        <w:rPr>
          <w:rFonts w:cs="Times New Roman"/>
          <w:szCs w:val="24"/>
          <w:lang w:val="fr-CA"/>
        </w:rPr>
        <w:t>s :</w:t>
      </w:r>
    </w:p>
    <w:p w:rsidR="0062110E" w:rsidRPr="00751B87" w:rsidRDefault="0062110E" w:rsidP="004F5305">
      <w:pPr>
        <w:pStyle w:val="Citation-AltC"/>
        <w:spacing w:after="240" w:line="480" w:lineRule="auto"/>
        <w:ind w:left="450" w:hanging="450"/>
        <w:contextualSpacing w:val="0"/>
        <w:rPr>
          <w:lang w:val="fr-CA"/>
        </w:rPr>
      </w:pPr>
      <w:r w:rsidRPr="00751B87">
        <w:rPr>
          <w:lang w:val="fr-CA"/>
        </w:rPr>
        <w:t>1.</w:t>
      </w:r>
      <w:r w:rsidRPr="00751B87">
        <w:rPr>
          <w:lang w:val="fr-CA"/>
        </w:rPr>
        <w:tab/>
        <w:t xml:space="preserve">Dès que le VAC a commencé à administrer le Hilton conformément à l’entente conclue à cette fin, il existait une relation </w:t>
      </w:r>
      <w:r>
        <w:rPr>
          <w:lang w:val="fr-CA"/>
        </w:rPr>
        <w:t>fiduciaire</w:t>
      </w:r>
      <w:r w:rsidRPr="00751B87">
        <w:rPr>
          <w:lang w:val="fr-CA"/>
        </w:rPr>
        <w:t xml:space="preserve"> entre lui et </w:t>
      </w:r>
      <w:proofErr w:type="spellStart"/>
      <w:r w:rsidRPr="00751B87">
        <w:rPr>
          <w:lang w:val="fr-CA"/>
        </w:rPr>
        <w:t>Sharbern</w:t>
      </w:r>
      <w:proofErr w:type="spellEnd"/>
      <w:r w:rsidRPr="00751B87">
        <w:rPr>
          <w:lang w:val="fr-CA"/>
        </w:rPr>
        <w:t xml:space="preserve"> (et les autres propriétaires du Hilton).</w:t>
      </w:r>
    </w:p>
    <w:p w:rsidR="0062110E" w:rsidRPr="00751B87" w:rsidRDefault="0062110E" w:rsidP="004F5305">
      <w:pPr>
        <w:pStyle w:val="Citation-AltC"/>
        <w:spacing w:after="240" w:line="480" w:lineRule="auto"/>
        <w:ind w:left="450" w:hanging="450"/>
        <w:contextualSpacing w:val="0"/>
        <w:rPr>
          <w:lang w:val="fr-CA"/>
        </w:rPr>
      </w:pPr>
      <w:r w:rsidRPr="00751B87">
        <w:rPr>
          <w:lang w:val="fr-CA"/>
        </w:rPr>
        <w:t>2.</w:t>
      </w:r>
      <w:r w:rsidRPr="00751B87">
        <w:rPr>
          <w:lang w:val="fr-CA"/>
        </w:rPr>
        <w:tab/>
        <w:t xml:space="preserve">Le VAC avait déjà déclaré qu’il administrait à la fois le Hilton et le Marriott, ce à quoi les propriétaires du Hilton avaient consenti.  Ce conflit d’intérêts ne constituait donc pas un manquement à son obligation </w:t>
      </w:r>
      <w:r>
        <w:rPr>
          <w:lang w:val="fr-CA"/>
        </w:rPr>
        <w:t>fiduciaire</w:t>
      </w:r>
      <w:r w:rsidRPr="00751B87">
        <w:rPr>
          <w:lang w:val="fr-CA"/>
        </w:rPr>
        <w:t xml:space="preserve">.  Le VAC ne devait faire état des différences de rémunération que si elles constituaient des faits ou des renseignements importants autres que ceux qui avaient déjà été déclarés.  Or, </w:t>
      </w:r>
      <w:proofErr w:type="spellStart"/>
      <w:r w:rsidRPr="00751B87">
        <w:rPr>
          <w:lang w:val="fr-CA"/>
        </w:rPr>
        <w:t>Sharbern</w:t>
      </w:r>
      <w:proofErr w:type="spellEnd"/>
      <w:r w:rsidRPr="00751B87">
        <w:rPr>
          <w:lang w:val="fr-CA"/>
        </w:rPr>
        <w:t xml:space="preserve"> n’a produit aucun élément de preuve établissant que </w:t>
      </w:r>
      <w:r>
        <w:rPr>
          <w:lang w:val="fr-CA"/>
        </w:rPr>
        <w:t>l</w:t>
      </w:r>
      <w:r w:rsidRPr="00751B87">
        <w:rPr>
          <w:lang w:val="fr-CA"/>
        </w:rPr>
        <w:t xml:space="preserve">es différences </w:t>
      </w:r>
      <w:r>
        <w:rPr>
          <w:lang w:val="fr-CA"/>
        </w:rPr>
        <w:t xml:space="preserve">de rémunération </w:t>
      </w:r>
      <w:r w:rsidRPr="00751B87">
        <w:rPr>
          <w:lang w:val="fr-CA"/>
        </w:rPr>
        <w:t>étaient importantes.  De plus, la juge de première instance a commis une erreur en inversant le fardeau de la preuve relatif à l’importance et en omettant de tenir compte de l’ensemble de la preuve se rapportant à cette question.</w:t>
      </w:r>
    </w:p>
    <w:p w:rsidR="0062110E" w:rsidRPr="00751B87" w:rsidRDefault="0062110E" w:rsidP="004F5305">
      <w:pPr>
        <w:pStyle w:val="Citation-AltC"/>
        <w:spacing w:line="480" w:lineRule="auto"/>
        <w:ind w:left="450" w:hanging="446"/>
        <w:contextualSpacing w:val="0"/>
        <w:rPr>
          <w:lang w:val="fr-CA"/>
        </w:rPr>
      </w:pPr>
      <w:r w:rsidRPr="00751B87">
        <w:rPr>
          <w:lang w:val="fr-CA"/>
        </w:rPr>
        <w:t>3.</w:t>
      </w:r>
      <w:r w:rsidRPr="00751B87">
        <w:rPr>
          <w:lang w:val="fr-CA"/>
        </w:rPr>
        <w:tab/>
        <w:t xml:space="preserve">La juge de première instance a commis une erreur lorsqu’elle a omis d’évaluer l’importance de l’entente de </w:t>
      </w:r>
      <w:proofErr w:type="spellStart"/>
      <w:r w:rsidRPr="00751B87">
        <w:rPr>
          <w:lang w:val="fr-CA"/>
        </w:rPr>
        <w:t>non</w:t>
      </w:r>
      <w:r w:rsidRPr="00751B87">
        <w:rPr>
          <w:lang w:val="fr-CA"/>
        </w:rPr>
        <w:noBreakHyphen/>
        <w:t>concurrence</w:t>
      </w:r>
      <w:proofErr w:type="spellEnd"/>
      <w:r w:rsidRPr="00751B87">
        <w:rPr>
          <w:lang w:val="fr-CA"/>
        </w:rPr>
        <w:t xml:space="preserve">; pour sa part, </w:t>
      </w:r>
      <w:proofErr w:type="spellStart"/>
      <w:r w:rsidRPr="00751B87">
        <w:rPr>
          <w:lang w:val="fr-CA"/>
        </w:rPr>
        <w:t>Sharbern</w:t>
      </w:r>
      <w:proofErr w:type="spellEnd"/>
      <w:r w:rsidRPr="00751B87">
        <w:rPr>
          <w:lang w:val="fr-CA"/>
        </w:rPr>
        <w:t xml:space="preserve"> n’a produit aucune preuve démontrant que cette entente était importante. </w:t>
      </w:r>
      <w:r w:rsidRPr="00751B87">
        <w:rPr>
          <w:u w:val="single"/>
          <w:lang w:val="fr-CA"/>
        </w:rPr>
        <w:t xml:space="preserve">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Je suis conscient du fait que les parties ont consacré beaucoup de temps et de ressources à ce litige depuis qu’il a pris naissance il y a huit ans, et il ne saurait être dans l’intérêt de la justice ou des parties de le faire inutilement perdurer. </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Si je n’avais pas conclu que </w:t>
      </w:r>
      <w:proofErr w:type="spellStart"/>
      <w:r w:rsidRPr="00751B87">
        <w:rPr>
          <w:rFonts w:cs="Times New Roman"/>
          <w:szCs w:val="24"/>
          <w:lang w:val="fr-CA"/>
        </w:rPr>
        <w:t>Sharbern</w:t>
      </w:r>
      <w:proofErr w:type="spellEnd"/>
      <w:r w:rsidRPr="00751B87">
        <w:rPr>
          <w:rFonts w:cs="Times New Roman"/>
          <w:szCs w:val="24"/>
          <w:lang w:val="fr-CA"/>
        </w:rPr>
        <w:t xml:space="preserve"> avait omis de produire des éléments de preuve établissant l’importance des différences de rémunération ou que le VAC pouvait se prévaloir du moyen de défense prévu au </w:t>
      </w:r>
      <w:proofErr w:type="spellStart"/>
      <w:r w:rsidRPr="00751B87">
        <w:rPr>
          <w:rFonts w:cs="Times New Roman"/>
          <w:szCs w:val="24"/>
          <w:lang w:val="fr-CA"/>
        </w:rPr>
        <w:t>sous</w:t>
      </w:r>
      <w:r w:rsidRPr="00751B87">
        <w:rPr>
          <w:rFonts w:cs="Times New Roman"/>
          <w:szCs w:val="24"/>
          <w:lang w:val="fr-CA"/>
        </w:rPr>
        <w:noBreakHyphen/>
        <w:t>al</w:t>
      </w:r>
      <w:proofErr w:type="spellEnd"/>
      <w:r>
        <w:rPr>
          <w:rFonts w:cs="Times New Roman"/>
          <w:szCs w:val="24"/>
          <w:lang w:val="fr-CA"/>
        </w:rPr>
        <w:t>. </w:t>
      </w:r>
      <w:r w:rsidRPr="00751B87">
        <w:rPr>
          <w:rFonts w:cs="Times New Roman"/>
          <w:szCs w:val="24"/>
          <w:lang w:val="fr-CA"/>
        </w:rPr>
        <w:t>75(2)</w:t>
      </w:r>
      <w:r w:rsidRPr="00BD35CB">
        <w:rPr>
          <w:rFonts w:cs="Times New Roman"/>
          <w:szCs w:val="24"/>
          <w:lang w:val="fr-CA"/>
        </w:rPr>
        <w:t>b</w:t>
      </w:r>
      <w:proofErr w:type="gramStart"/>
      <w:r w:rsidRPr="00751B87">
        <w:rPr>
          <w:rFonts w:cs="Times New Roman"/>
          <w:szCs w:val="24"/>
          <w:lang w:val="fr-CA"/>
        </w:rPr>
        <w:t>)(</w:t>
      </w:r>
      <w:proofErr w:type="gramEnd"/>
      <w:r w:rsidRPr="00751B87">
        <w:rPr>
          <w:rFonts w:cs="Times New Roman"/>
          <w:szCs w:val="24"/>
          <w:lang w:val="fr-CA"/>
        </w:rPr>
        <w:t>viii) de la Loi, j’aurais songé à renvoyer l’affaire à la juge</w:t>
      </w:r>
      <w:r>
        <w:rPr>
          <w:rFonts w:cs="Times New Roman"/>
          <w:szCs w:val="24"/>
          <w:lang w:val="fr-CA"/>
        </w:rPr>
        <w:t> </w:t>
      </w:r>
      <w:proofErr w:type="spellStart"/>
      <w:r>
        <w:rPr>
          <w:rFonts w:cs="Times New Roman"/>
          <w:szCs w:val="24"/>
          <w:lang w:val="fr-CA"/>
        </w:rPr>
        <w:t>Wedge</w:t>
      </w:r>
      <w:proofErr w:type="spellEnd"/>
      <w:r w:rsidRPr="00751B87">
        <w:rPr>
          <w:rFonts w:cs="Times New Roman"/>
          <w:szCs w:val="24"/>
          <w:lang w:val="fr-CA"/>
        </w:rPr>
        <w:t xml:space="preserve"> pour qu’elle se prononce sur les questions en litige en tenant compte de l’ensemble des éléments de preuve pertinents et en conformité avec les présents motifs.  Dans cette éventualité, il lui aurait fallu trancher les questions litigieuses en tenant compte d’un plus grand nombre d’éléments de preuve, tous favorables au VAC, mais sans aucun élément de preuve étayant le point de vue de </w:t>
      </w:r>
      <w:proofErr w:type="spellStart"/>
      <w:r w:rsidRPr="00751B87">
        <w:rPr>
          <w:rFonts w:cs="Times New Roman"/>
          <w:szCs w:val="24"/>
          <w:lang w:val="fr-CA"/>
        </w:rPr>
        <w:t>Sharbern</w:t>
      </w:r>
      <w:proofErr w:type="spellEnd"/>
      <w:r w:rsidRPr="00751B87">
        <w:rPr>
          <w:rFonts w:cs="Times New Roman"/>
          <w:szCs w:val="24"/>
          <w:lang w:val="fr-CA"/>
        </w:rPr>
        <w:t>.  Par ailleurs, le même dilemme s</w:t>
      </w:r>
      <w:r w:rsidR="00BD35CB">
        <w:rPr>
          <w:rFonts w:cs="Times New Roman"/>
          <w:szCs w:val="24"/>
          <w:lang w:val="fr-CA"/>
        </w:rPr>
        <w:t>e</w:t>
      </w:r>
      <w:r w:rsidRPr="00751B87">
        <w:rPr>
          <w:rFonts w:cs="Times New Roman"/>
          <w:szCs w:val="24"/>
          <w:lang w:val="fr-CA"/>
        </w:rPr>
        <w:t xml:space="preserve"> pose si on l’invite à réexaminer la question de savoir si le VAC a manqué à son obligation </w:t>
      </w:r>
      <w:r>
        <w:rPr>
          <w:rFonts w:cs="Times New Roman"/>
          <w:szCs w:val="24"/>
          <w:lang w:val="fr-CA"/>
        </w:rPr>
        <w:t>fiduciaire</w:t>
      </w:r>
      <w:r w:rsidRPr="00751B87">
        <w:rPr>
          <w:rFonts w:cs="Times New Roman"/>
          <w:szCs w:val="24"/>
          <w:lang w:val="fr-CA"/>
        </w:rPr>
        <w:t xml:space="preserve"> envers les propriétaires du Hilton du fait qu’il ne leur a pas communiqué les différences de rémunération alors qu’il administrait cet hôtel.</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Dans des arrêts comme </w:t>
      </w:r>
      <w:proofErr w:type="spellStart"/>
      <w:r w:rsidRPr="00751B87">
        <w:rPr>
          <w:rFonts w:cs="Times New Roman"/>
          <w:i/>
          <w:szCs w:val="24"/>
          <w:lang w:val="fr-CA"/>
        </w:rPr>
        <w:t>Hollis</w:t>
      </w:r>
      <w:proofErr w:type="spellEnd"/>
      <w:r w:rsidRPr="00751B87">
        <w:rPr>
          <w:rFonts w:cs="Times New Roman"/>
          <w:i/>
          <w:szCs w:val="24"/>
          <w:lang w:val="fr-CA"/>
        </w:rPr>
        <w:t xml:space="preserve"> c. Dow Corning Corp</w:t>
      </w:r>
      <w:r w:rsidRPr="00751B87">
        <w:rPr>
          <w:rFonts w:cs="Times New Roman"/>
          <w:szCs w:val="24"/>
          <w:lang w:val="fr-CA"/>
        </w:rPr>
        <w:t xml:space="preserve">., la Cour a discuté des circonstances dans lesquelles il sied à une cour d’appel de procéder à une nouvelle appréciation de la preuve au dossier.  La cour d’appel ne doit le faire que si cela est dans l’intérêt de la justice et si, sur le plan pratique, il lui est possible de le faire.  Il arrive souvent que cette dernière question dépend de l’importance que revêt la crédibilité des témoins plutôt que d’un examen de la preuve documentaire.  Je suis conscient que la présente affaire a donné lieu à un procès qui a duré deux mois et au cours duquel il y a eu de nombreux témoignages de vive voix.  Toutefois, aucune des conclusions de fait tirées par la juge </w:t>
      </w:r>
      <w:r>
        <w:rPr>
          <w:rFonts w:cs="Times New Roman"/>
          <w:szCs w:val="24"/>
          <w:lang w:val="fr-CA"/>
        </w:rPr>
        <w:t xml:space="preserve">de première instance </w:t>
      </w:r>
      <w:r w:rsidRPr="00751B87">
        <w:rPr>
          <w:rFonts w:cs="Times New Roman"/>
          <w:szCs w:val="24"/>
          <w:lang w:val="fr-CA"/>
        </w:rPr>
        <w:t>ne semble fondée sur une appréciation de la crédibilité des témoins.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J’ai conclu à plusieurs reprises, tout au long de mon examen des questions litigieuses en l’espèce, que </w:t>
      </w:r>
      <w:proofErr w:type="spellStart"/>
      <w:r w:rsidRPr="00751B87">
        <w:rPr>
          <w:rFonts w:cs="Times New Roman"/>
          <w:szCs w:val="24"/>
          <w:lang w:val="fr-CA"/>
        </w:rPr>
        <w:t>Sharbern</w:t>
      </w:r>
      <w:proofErr w:type="spellEnd"/>
      <w:r w:rsidRPr="00751B87">
        <w:rPr>
          <w:rFonts w:cs="Times New Roman"/>
          <w:szCs w:val="24"/>
          <w:lang w:val="fr-CA"/>
        </w:rPr>
        <w:t xml:space="preserve"> n’avait produit aucune preuve étayant les aspects clés de ses allégations.  Or, il lui incombait, en sa qualité de partie demanderesse, d’établir selon la prépondérance des probabilités le </w:t>
      </w:r>
      <w:proofErr w:type="spellStart"/>
      <w:r w:rsidRPr="00751B87">
        <w:rPr>
          <w:rFonts w:cs="Times New Roman"/>
          <w:szCs w:val="24"/>
          <w:lang w:val="fr-CA"/>
        </w:rPr>
        <w:t>bien</w:t>
      </w:r>
      <w:r w:rsidRPr="00751B87">
        <w:rPr>
          <w:rFonts w:cs="Times New Roman"/>
          <w:szCs w:val="24"/>
          <w:lang w:val="fr-CA"/>
        </w:rPr>
        <w:noBreakHyphen/>
        <w:t>fondé</w:t>
      </w:r>
      <w:proofErr w:type="spellEnd"/>
      <w:r w:rsidRPr="00751B87">
        <w:rPr>
          <w:rFonts w:cs="Times New Roman"/>
          <w:szCs w:val="24"/>
          <w:lang w:val="fr-CA"/>
        </w:rPr>
        <w:t xml:space="preserve"> des éléments essentiels de </w:t>
      </w:r>
      <w:proofErr w:type="spellStart"/>
      <w:r w:rsidRPr="00751B87">
        <w:rPr>
          <w:rFonts w:cs="Times New Roman"/>
          <w:szCs w:val="24"/>
          <w:lang w:val="fr-CA"/>
        </w:rPr>
        <w:t>celles</w:t>
      </w:r>
      <w:r w:rsidRPr="00751B87">
        <w:rPr>
          <w:rFonts w:cs="Times New Roman"/>
          <w:szCs w:val="24"/>
          <w:lang w:val="fr-CA"/>
        </w:rPr>
        <w:noBreakHyphen/>
        <w:t>ci</w:t>
      </w:r>
      <w:proofErr w:type="spellEnd"/>
      <w:r w:rsidRPr="00751B87">
        <w:rPr>
          <w:rFonts w:cs="Times New Roman"/>
          <w:szCs w:val="24"/>
          <w:lang w:val="fr-CA"/>
        </w:rPr>
        <w:t xml:space="preserve">, et elle a bénéficié d’un procès de deux mois pour le faire.  Malgré cela, elle n’est pas parvenue à soumettre suffisamment d’éléments de preuve pour démontrer que le VAC avait contrevenu à la norme de diligence, et ainsi établir le </w:t>
      </w:r>
      <w:proofErr w:type="spellStart"/>
      <w:r w:rsidRPr="00751B87">
        <w:rPr>
          <w:rFonts w:cs="Times New Roman"/>
          <w:szCs w:val="24"/>
          <w:lang w:val="fr-CA"/>
        </w:rPr>
        <w:t>bien</w:t>
      </w:r>
      <w:r w:rsidRPr="00751B87">
        <w:rPr>
          <w:rFonts w:cs="Times New Roman"/>
          <w:szCs w:val="24"/>
          <w:lang w:val="fr-CA"/>
        </w:rPr>
        <w:noBreakHyphen/>
        <w:t>fondé</w:t>
      </w:r>
      <w:proofErr w:type="spellEnd"/>
      <w:r w:rsidRPr="00751B87">
        <w:rPr>
          <w:rFonts w:cs="Times New Roman"/>
          <w:szCs w:val="24"/>
          <w:lang w:val="fr-CA"/>
        </w:rPr>
        <w:t xml:space="preserve"> du recours qu’elle a intenté pour déclaration inexacte faite par négligence.</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En outre, elle n’a produit aucune preuve tendant à démontrer que les différences de rémunération étaient importantes tant en ce qui concerne (i) la question de savoir si, en omettant de les communiquer, le VAC se trouvait à faire une déclaration erronée sur un point important, engageant ainsi sa responsabilité sous le régime de la Loi, que (ii) celle de savoir si, du fait de cette omission, il avait manqué à son obligation </w:t>
      </w:r>
      <w:r>
        <w:rPr>
          <w:rFonts w:cs="Times New Roman"/>
          <w:szCs w:val="24"/>
          <w:lang w:val="fr-CA"/>
        </w:rPr>
        <w:t>fiduciaire</w:t>
      </w:r>
      <w:r w:rsidRPr="00751B87">
        <w:rPr>
          <w:rFonts w:cs="Times New Roman"/>
          <w:szCs w:val="24"/>
          <w:lang w:val="fr-CA"/>
        </w:rPr>
        <w:t xml:space="preserve"> envers les propriétaires du Hilton en sa qualité d’administrateur de l’hôtel.  En ce qui concerne la première question, l’omission de </w:t>
      </w:r>
      <w:proofErr w:type="spellStart"/>
      <w:r w:rsidRPr="00751B87">
        <w:rPr>
          <w:rFonts w:cs="Times New Roman"/>
          <w:szCs w:val="24"/>
          <w:lang w:val="fr-CA"/>
        </w:rPr>
        <w:t>Sharbern</w:t>
      </w:r>
      <w:proofErr w:type="spellEnd"/>
      <w:r w:rsidRPr="00751B87">
        <w:rPr>
          <w:rFonts w:cs="Times New Roman"/>
          <w:szCs w:val="24"/>
          <w:lang w:val="fr-CA"/>
        </w:rPr>
        <w:t xml:space="preserve"> est </w:t>
      </w:r>
      <w:proofErr w:type="spellStart"/>
      <w:r w:rsidRPr="00751B87">
        <w:rPr>
          <w:rFonts w:cs="Times New Roman"/>
          <w:szCs w:val="24"/>
          <w:lang w:val="fr-CA"/>
        </w:rPr>
        <w:t>peut</w:t>
      </w:r>
      <w:r w:rsidRPr="00751B87">
        <w:rPr>
          <w:rFonts w:cs="Times New Roman"/>
          <w:szCs w:val="24"/>
          <w:lang w:val="fr-CA"/>
        </w:rPr>
        <w:noBreakHyphen/>
        <w:t>être</w:t>
      </w:r>
      <w:proofErr w:type="spellEnd"/>
      <w:r w:rsidRPr="00751B87">
        <w:rPr>
          <w:rFonts w:cs="Times New Roman"/>
          <w:szCs w:val="24"/>
          <w:lang w:val="fr-CA"/>
        </w:rPr>
        <w:t xml:space="preserve"> attribuable au point de vue qu’elle a exprimé devant notre Cour selon lequel [</w:t>
      </w:r>
      <w:r w:rsidRPr="00751B87">
        <w:rPr>
          <w:rFonts w:cs="Times New Roman"/>
          <w:smallCaps/>
          <w:szCs w:val="24"/>
          <w:lang w:val="fr-CA"/>
        </w:rPr>
        <w:t>traduction</w:t>
      </w:r>
      <w:r w:rsidRPr="00751B87">
        <w:rPr>
          <w:rFonts w:cs="Times New Roman"/>
          <w:szCs w:val="24"/>
          <w:lang w:val="fr-CA"/>
        </w:rPr>
        <w:t xml:space="preserve">] « la partie demanderesse n’est pas tenue de présenter une preuve d’expert ou </w:t>
      </w:r>
      <w:r w:rsidR="00BD35CB" w:rsidRPr="00751B87">
        <w:rPr>
          <w:rFonts w:cs="Times New Roman"/>
          <w:szCs w:val="24"/>
          <w:lang w:val="fr-CA"/>
        </w:rPr>
        <w:t xml:space="preserve">une </w:t>
      </w:r>
      <w:r w:rsidRPr="00751B87">
        <w:rPr>
          <w:rFonts w:cs="Times New Roman"/>
          <w:szCs w:val="24"/>
          <w:lang w:val="fr-CA"/>
        </w:rPr>
        <w:t>preuve établissant la pratique au sein de l’industrie sur ce qui peut influer sur la décision d’un investisseur raisonnable, car la question de l’importance des conflits d’intérêts</w:t>
      </w:r>
      <w:r w:rsidR="00BD35CB">
        <w:rPr>
          <w:rFonts w:cs="Times New Roman"/>
          <w:szCs w:val="24"/>
          <w:lang w:val="fr-CA"/>
        </w:rPr>
        <w:t xml:space="preserve"> dans un prospectus en est une </w:t>
      </w:r>
      <w:r w:rsidRPr="00751B87">
        <w:rPr>
          <w:rFonts w:cs="Times New Roman"/>
          <w:szCs w:val="24"/>
          <w:lang w:val="fr-CA"/>
        </w:rPr>
        <w:t xml:space="preserve">qui relève exclusivement des tribunaux » (m.a., par. 40).  Comme je l’ai déjà dit, ce point de vue reflétait une mauvaise compréhension de l’analyse factuelle nécessaire pour établir l’importance ainsi que de l’obligation du demandeur de produire des éléments de preuve à cet égard.  En ce qui concerne la deuxième question, le défaut de </w:t>
      </w:r>
      <w:proofErr w:type="spellStart"/>
      <w:r w:rsidRPr="00751B87">
        <w:rPr>
          <w:rFonts w:cs="Times New Roman"/>
          <w:szCs w:val="24"/>
          <w:lang w:val="fr-CA"/>
        </w:rPr>
        <w:t>Sharbern</w:t>
      </w:r>
      <w:proofErr w:type="spellEnd"/>
      <w:r w:rsidRPr="00751B87">
        <w:rPr>
          <w:rFonts w:cs="Times New Roman"/>
          <w:szCs w:val="24"/>
          <w:lang w:val="fr-CA"/>
        </w:rPr>
        <w:t xml:space="preserve"> de présenter de tels éléments de preuve est </w:t>
      </w:r>
      <w:proofErr w:type="spellStart"/>
      <w:r w:rsidRPr="00751B87">
        <w:rPr>
          <w:rFonts w:cs="Times New Roman"/>
          <w:szCs w:val="24"/>
          <w:lang w:val="fr-CA"/>
        </w:rPr>
        <w:t>peut</w:t>
      </w:r>
      <w:r w:rsidRPr="00751B87">
        <w:rPr>
          <w:rFonts w:cs="Times New Roman"/>
          <w:szCs w:val="24"/>
          <w:lang w:val="fr-CA"/>
        </w:rPr>
        <w:noBreakHyphen/>
        <w:t>être</w:t>
      </w:r>
      <w:proofErr w:type="spellEnd"/>
      <w:r w:rsidRPr="00751B87">
        <w:rPr>
          <w:rFonts w:cs="Times New Roman"/>
          <w:szCs w:val="24"/>
          <w:lang w:val="fr-CA"/>
        </w:rPr>
        <w:t xml:space="preserve"> également attribuable à la mauvaise compréhension du principe selon lequel l’obligation de communication ne vise que les faits ou renseignements importants.</w:t>
      </w:r>
    </w:p>
    <w:p w:rsidR="0062110E" w:rsidRPr="00751B87" w:rsidRDefault="0062110E" w:rsidP="0062110E">
      <w:pPr>
        <w:pStyle w:val="ParaNoNdepar-AltN"/>
        <w:rPr>
          <w:rFonts w:cs="Times New Roman"/>
          <w:szCs w:val="24"/>
          <w:lang w:val="fr-CA"/>
        </w:rPr>
      </w:pPr>
      <w:r w:rsidRPr="00751B87">
        <w:rPr>
          <w:rFonts w:cs="Times New Roman"/>
          <w:szCs w:val="24"/>
          <w:lang w:val="fr-CA"/>
        </w:rPr>
        <w:t xml:space="preserve">La Cour se trouve dans la même position que la Cour d’appel, qui a souligné tout au long de ses motifs de jugement que la partie demanderesse n’avait produit aucun élément de preuve objectif à l’appui de ses allégations.  Selon moi, la preuve dont le tribunal de première instance a été saisi ne permettait pas de conclure à la responsabilité du VAC sous le régime de la Loi, pour avoir fait par négligence des déclarations inexactes, ou pour avoir manqué à son obligation </w:t>
      </w:r>
      <w:r>
        <w:rPr>
          <w:rFonts w:cs="Times New Roman"/>
          <w:szCs w:val="24"/>
          <w:lang w:val="fr-CA"/>
        </w:rPr>
        <w:t>fiduciaire</w:t>
      </w:r>
      <w:r w:rsidRPr="00751B87">
        <w:rPr>
          <w:rFonts w:cs="Times New Roman"/>
          <w:szCs w:val="24"/>
          <w:lang w:val="fr-CA"/>
        </w:rPr>
        <w:t xml:space="preserve">, soit parce qu’il avait omis de communiquer les différences de rémunération, soit en raison du fait qu’il avait mis en œuvre la politique de </w:t>
      </w:r>
      <w:proofErr w:type="spellStart"/>
      <w:r w:rsidRPr="00751B87">
        <w:rPr>
          <w:rFonts w:cs="Times New Roman"/>
          <w:szCs w:val="24"/>
          <w:lang w:val="fr-CA"/>
        </w:rPr>
        <w:t>non</w:t>
      </w:r>
      <w:r w:rsidRPr="00751B87">
        <w:rPr>
          <w:rFonts w:cs="Times New Roman"/>
          <w:szCs w:val="24"/>
          <w:lang w:val="fr-CA"/>
        </w:rPr>
        <w:noBreakHyphen/>
        <w:t>concurrence</w:t>
      </w:r>
      <w:proofErr w:type="spellEnd"/>
      <w:r w:rsidRPr="00751B87">
        <w:rPr>
          <w:rFonts w:cs="Times New Roman"/>
          <w:szCs w:val="24"/>
          <w:lang w:val="fr-CA"/>
        </w:rPr>
        <w:t>.</w:t>
      </w:r>
    </w:p>
    <w:p w:rsidR="0062110E" w:rsidRPr="00751B87" w:rsidRDefault="0062110E" w:rsidP="0062110E">
      <w:pPr>
        <w:pStyle w:val="ParaNoNdepar-AltN"/>
        <w:rPr>
          <w:rFonts w:cs="Times New Roman"/>
          <w:szCs w:val="24"/>
          <w:lang w:val="fr-CA"/>
        </w:rPr>
      </w:pPr>
      <w:r w:rsidRPr="00751B87">
        <w:rPr>
          <w:rFonts w:cs="Times New Roman"/>
          <w:szCs w:val="24"/>
          <w:lang w:val="fr-CA"/>
        </w:rPr>
        <w:t>Je suis donc d’avis de rejeter l’appel.  La demande d’autorisation d’appel dans le présent dossier a été accueillie avec dépens suivant l’issue de la cause.  Il est vrai que selon l’art</w:t>
      </w:r>
      <w:r w:rsidR="00BD35CB">
        <w:rPr>
          <w:rFonts w:cs="Times New Roman"/>
          <w:szCs w:val="24"/>
          <w:lang w:val="fr-CA"/>
        </w:rPr>
        <w:t>.</w:t>
      </w:r>
      <w:r w:rsidRPr="00751B87">
        <w:rPr>
          <w:rFonts w:cs="Times New Roman"/>
          <w:szCs w:val="24"/>
          <w:lang w:val="fr-CA"/>
        </w:rPr>
        <w:t xml:space="preserve"> 37 de la </w:t>
      </w:r>
      <w:r w:rsidRPr="00751B87">
        <w:rPr>
          <w:rFonts w:cs="Times New Roman"/>
          <w:i/>
          <w:szCs w:val="24"/>
          <w:lang w:val="fr-CA"/>
        </w:rPr>
        <w:t xml:space="preserve">Class </w:t>
      </w:r>
      <w:proofErr w:type="spellStart"/>
      <w:r w:rsidRPr="00751B87">
        <w:rPr>
          <w:rFonts w:cs="Times New Roman"/>
          <w:i/>
          <w:szCs w:val="24"/>
          <w:lang w:val="fr-CA"/>
        </w:rPr>
        <w:t>Proceedings</w:t>
      </w:r>
      <w:proofErr w:type="spellEnd"/>
      <w:r w:rsidRPr="00751B87">
        <w:rPr>
          <w:rFonts w:cs="Times New Roman"/>
          <w:i/>
          <w:szCs w:val="24"/>
          <w:lang w:val="fr-CA"/>
        </w:rPr>
        <w:t xml:space="preserve"> </w:t>
      </w:r>
      <w:proofErr w:type="spellStart"/>
      <w:r w:rsidRPr="00751B87">
        <w:rPr>
          <w:rFonts w:cs="Times New Roman"/>
          <w:i/>
          <w:szCs w:val="24"/>
          <w:lang w:val="fr-CA"/>
        </w:rPr>
        <w:t>Act</w:t>
      </w:r>
      <w:proofErr w:type="spellEnd"/>
      <w:r w:rsidRPr="00751B87">
        <w:rPr>
          <w:rFonts w:cs="Times New Roman"/>
          <w:szCs w:val="24"/>
          <w:lang w:val="fr-CA"/>
        </w:rPr>
        <w:t xml:space="preserve"> de la </w:t>
      </w:r>
      <w:proofErr w:type="spellStart"/>
      <w:r w:rsidRPr="00751B87">
        <w:rPr>
          <w:rFonts w:cs="Times New Roman"/>
          <w:szCs w:val="24"/>
          <w:lang w:val="fr-CA"/>
        </w:rPr>
        <w:t>Colombie</w:t>
      </w:r>
      <w:r w:rsidRPr="00751B87">
        <w:rPr>
          <w:rFonts w:cs="Times New Roman"/>
          <w:szCs w:val="24"/>
          <w:lang w:val="fr-CA"/>
        </w:rPr>
        <w:noBreakHyphen/>
        <w:t>Britannique</w:t>
      </w:r>
      <w:proofErr w:type="spellEnd"/>
      <w:r w:rsidRPr="00751B87">
        <w:rPr>
          <w:rFonts w:cs="Times New Roman"/>
          <w:szCs w:val="24"/>
          <w:lang w:val="fr-CA"/>
        </w:rPr>
        <w:t xml:space="preserve"> ni le tribunal de première instance ni la Cour d’appel ne peut accorder de dépens lorsqu’il s’agit d’un recours collectif, mais cette loi ne s’applique pas à notre Cour.  Les intimés ont droit à leurs dépens devant notre Cour.</w:t>
      </w:r>
    </w:p>
    <w:p w:rsidR="007563AB" w:rsidRPr="00FB13AC" w:rsidRDefault="007563AB" w:rsidP="001211F3">
      <w:pPr>
        <w:pStyle w:val="SCCNormalDoubleSpacing"/>
        <w:spacing w:after="480"/>
        <w:rPr>
          <w:i/>
          <w:lang w:val="fr-CA"/>
        </w:rPr>
      </w:pPr>
      <w:r w:rsidRPr="00FB13AC">
        <w:rPr>
          <w:lang w:val="fr-CA"/>
        </w:rPr>
        <w:tab/>
      </w:r>
      <w:r w:rsidRPr="00FB13AC">
        <w:rPr>
          <w:i/>
          <w:lang w:val="fr-CA"/>
        </w:rPr>
        <w:t>Pourvoi re</w:t>
      </w:r>
      <w:r w:rsidR="00937526" w:rsidRPr="00FB13AC">
        <w:rPr>
          <w:i/>
          <w:lang w:val="fr-CA"/>
        </w:rPr>
        <w:t>jet</w:t>
      </w:r>
      <w:r w:rsidRPr="00FB13AC">
        <w:rPr>
          <w:i/>
          <w:lang w:val="fr-CA"/>
        </w:rPr>
        <w:t>é</w:t>
      </w:r>
      <w:r w:rsidR="00BB5BF8" w:rsidRPr="00FB13AC">
        <w:rPr>
          <w:i/>
          <w:lang w:val="fr-CA"/>
        </w:rPr>
        <w:t xml:space="preserve"> avec dépens</w:t>
      </w:r>
      <w:r w:rsidRPr="00FB13AC">
        <w:rPr>
          <w:i/>
          <w:lang w:val="fr-CA"/>
        </w:rPr>
        <w:t>.</w:t>
      </w:r>
    </w:p>
    <w:p w:rsidR="007563AB" w:rsidRPr="00FB13AC" w:rsidRDefault="007563AB" w:rsidP="001211F3">
      <w:pPr>
        <w:pStyle w:val="SCCLawFirm"/>
        <w:spacing w:after="480"/>
        <w:rPr>
          <w:lang w:val="fr-CA"/>
        </w:rPr>
      </w:pPr>
      <w:r w:rsidRPr="00FB13AC">
        <w:rPr>
          <w:lang w:val="fr-CA"/>
        </w:rPr>
        <w:tab/>
        <w:t>Procureurs de l</w:t>
      </w:r>
      <w:r w:rsidR="00C50E02" w:rsidRPr="00FB13AC">
        <w:rPr>
          <w:lang w:val="fr-CA"/>
        </w:rPr>
        <w:t>’</w:t>
      </w:r>
      <w:r w:rsidRPr="00FB13AC">
        <w:rPr>
          <w:lang w:val="fr-CA"/>
        </w:rPr>
        <w:t>appelante</w:t>
      </w:r>
      <w:r w:rsidR="003A2DDE" w:rsidRPr="00FB13AC">
        <w:rPr>
          <w:lang w:val="fr-CA"/>
        </w:rPr>
        <w:t> :</w:t>
      </w:r>
      <w:r w:rsidR="008F4975" w:rsidRPr="00FB13AC">
        <w:rPr>
          <w:lang w:val="fr-CA"/>
        </w:rPr>
        <w:t> </w:t>
      </w:r>
      <w:proofErr w:type="spellStart"/>
      <w:r w:rsidRPr="00FB13AC">
        <w:rPr>
          <w:lang w:val="fr-CA"/>
        </w:rPr>
        <w:t>Nathanson</w:t>
      </w:r>
      <w:proofErr w:type="spellEnd"/>
      <w:r w:rsidRPr="00FB13AC">
        <w:rPr>
          <w:lang w:val="fr-CA"/>
        </w:rPr>
        <w:t xml:space="preserve">, </w:t>
      </w:r>
      <w:proofErr w:type="spellStart"/>
      <w:r w:rsidRPr="00FB13AC">
        <w:rPr>
          <w:lang w:val="fr-CA"/>
        </w:rPr>
        <w:t>Schachter</w:t>
      </w:r>
      <w:proofErr w:type="spellEnd"/>
      <w:r w:rsidRPr="00FB13AC">
        <w:rPr>
          <w:lang w:val="fr-CA"/>
        </w:rPr>
        <w:t xml:space="preserve"> &amp; Thompson, Vancouver.</w:t>
      </w:r>
    </w:p>
    <w:p w:rsidR="007563AB" w:rsidRPr="00FB13AC" w:rsidRDefault="007563AB" w:rsidP="00F140A4">
      <w:pPr>
        <w:pStyle w:val="SCCLawFirm"/>
        <w:rPr>
          <w:lang w:val="fr-CA"/>
        </w:rPr>
      </w:pPr>
      <w:r w:rsidRPr="00FB13AC">
        <w:rPr>
          <w:lang w:val="fr-CA"/>
        </w:rPr>
        <w:tab/>
        <w:t>Procureurs de</w:t>
      </w:r>
      <w:r w:rsidR="00937526" w:rsidRPr="00FB13AC">
        <w:rPr>
          <w:lang w:val="fr-CA"/>
        </w:rPr>
        <w:t xml:space="preserve">s </w:t>
      </w:r>
      <w:r w:rsidRPr="00FB13AC">
        <w:rPr>
          <w:lang w:val="fr-CA"/>
        </w:rPr>
        <w:t>intimé</w:t>
      </w:r>
      <w:r w:rsidR="00937526" w:rsidRPr="00FB13AC">
        <w:rPr>
          <w:lang w:val="fr-CA"/>
        </w:rPr>
        <w:t>s</w:t>
      </w:r>
      <w:r w:rsidR="003A2DDE" w:rsidRPr="00FB13AC">
        <w:rPr>
          <w:lang w:val="fr-CA"/>
        </w:rPr>
        <w:t> :</w:t>
      </w:r>
      <w:r w:rsidR="008F4975" w:rsidRPr="00FB13AC">
        <w:rPr>
          <w:lang w:val="fr-CA"/>
        </w:rPr>
        <w:t> </w:t>
      </w:r>
      <w:proofErr w:type="spellStart"/>
      <w:r w:rsidRPr="00FB13AC">
        <w:rPr>
          <w:lang w:val="fr-CA"/>
        </w:rPr>
        <w:t>Heenan</w:t>
      </w:r>
      <w:proofErr w:type="spellEnd"/>
      <w:r w:rsidRPr="00FB13AC">
        <w:rPr>
          <w:lang w:val="fr-CA"/>
        </w:rPr>
        <w:t xml:space="preserve"> </w:t>
      </w:r>
      <w:proofErr w:type="spellStart"/>
      <w:r w:rsidRPr="00FB13AC">
        <w:rPr>
          <w:lang w:val="fr-CA"/>
        </w:rPr>
        <w:t>Blaikie</w:t>
      </w:r>
      <w:proofErr w:type="spellEnd"/>
      <w:r w:rsidRPr="00FB13AC">
        <w:rPr>
          <w:lang w:val="fr-CA"/>
        </w:rPr>
        <w:t>, Vancouver</w:t>
      </w:r>
      <w:r w:rsidR="000B67B1" w:rsidRPr="00FB13AC">
        <w:rPr>
          <w:lang w:val="fr-CA"/>
        </w:rPr>
        <w:t xml:space="preserve">; Lakhani &amp; </w:t>
      </w:r>
      <w:proofErr w:type="spellStart"/>
      <w:r w:rsidR="000B67B1" w:rsidRPr="00FB13AC">
        <w:rPr>
          <w:lang w:val="fr-CA"/>
        </w:rPr>
        <w:t>Company</w:t>
      </w:r>
      <w:proofErr w:type="spellEnd"/>
      <w:r w:rsidR="000B67B1" w:rsidRPr="00FB13AC">
        <w:rPr>
          <w:lang w:val="fr-CA"/>
        </w:rPr>
        <w:t>, Vancouver</w:t>
      </w:r>
      <w:r w:rsidRPr="00FB13AC">
        <w:rPr>
          <w:lang w:val="fr-CA"/>
        </w:rPr>
        <w:t>.</w:t>
      </w:r>
      <w:r w:rsidR="00F140A4" w:rsidRPr="00FB13AC">
        <w:rPr>
          <w:lang w:val="fr-CA"/>
        </w:rPr>
        <w:t xml:space="preserve"> </w:t>
      </w:r>
    </w:p>
    <w:sectPr w:rsidR="007563AB" w:rsidRPr="00FB13AC" w:rsidSect="00FD2DA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DB" w:rsidRDefault="001612DB" w:rsidP="009D7B84">
      <w:r>
        <w:separator/>
      </w:r>
    </w:p>
  </w:endnote>
  <w:endnote w:type="continuationSeparator" w:id="0">
    <w:p w:rsidR="001612DB" w:rsidRDefault="001612DB" w:rsidP="009D7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DB" w:rsidRDefault="001612D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DB" w:rsidRDefault="001612D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DB" w:rsidRDefault="001612DB" w:rsidP="009D7B84">
      <w:r>
        <w:separator/>
      </w:r>
    </w:p>
  </w:footnote>
  <w:footnote w:type="continuationSeparator" w:id="0">
    <w:p w:rsidR="001612DB" w:rsidRDefault="001612DB" w:rsidP="009D7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DB" w:rsidRDefault="001612D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204"/>
      <w:docPartObj>
        <w:docPartGallery w:val="Page Numbers (Top of Page)"/>
        <w:docPartUnique/>
      </w:docPartObj>
    </w:sdtPr>
    <w:sdtContent>
      <w:p w:rsidR="001612DB" w:rsidRDefault="001612DB">
        <w:pPr>
          <w:pStyle w:val="Header"/>
          <w:jc w:val="center"/>
        </w:pPr>
        <w:r>
          <w:t xml:space="preserve">- </w:t>
        </w:r>
        <w:fldSimple w:instr=" PAGE   \* MERGEFORMAT ">
          <w:r w:rsidR="00B64064">
            <w:rPr>
              <w:noProof/>
            </w:rPr>
            <w:t>2</w:t>
          </w:r>
        </w:fldSimple>
        <w:r>
          <w:t xml:space="preserve"> -</w:t>
        </w:r>
      </w:p>
    </w:sdtContent>
  </w:sdt>
  <w:p w:rsidR="001612DB" w:rsidRDefault="001612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76CCD4"/>
    <w:lvl w:ilvl="0">
      <w:start w:val="1"/>
      <w:numFmt w:val="decimal"/>
      <w:lvlText w:val="%1."/>
      <w:lvlJc w:val="left"/>
      <w:pPr>
        <w:tabs>
          <w:tab w:val="num" w:pos="1800"/>
        </w:tabs>
        <w:ind w:left="1800" w:hanging="360"/>
      </w:pPr>
    </w:lvl>
  </w:abstractNum>
  <w:abstractNum w:abstractNumId="1">
    <w:nsid w:val="FFFFFF7D"/>
    <w:multiLevelType w:val="singleLevel"/>
    <w:tmpl w:val="D2E06254"/>
    <w:lvl w:ilvl="0">
      <w:start w:val="1"/>
      <w:numFmt w:val="decimal"/>
      <w:lvlText w:val="%1."/>
      <w:lvlJc w:val="left"/>
      <w:pPr>
        <w:tabs>
          <w:tab w:val="num" w:pos="1440"/>
        </w:tabs>
        <w:ind w:left="1440" w:hanging="360"/>
      </w:pPr>
    </w:lvl>
  </w:abstractNum>
  <w:abstractNum w:abstractNumId="2">
    <w:nsid w:val="FFFFFF7E"/>
    <w:multiLevelType w:val="singleLevel"/>
    <w:tmpl w:val="7F5EA0EC"/>
    <w:lvl w:ilvl="0">
      <w:start w:val="1"/>
      <w:numFmt w:val="decimal"/>
      <w:lvlText w:val="%1."/>
      <w:lvlJc w:val="left"/>
      <w:pPr>
        <w:tabs>
          <w:tab w:val="num" w:pos="1080"/>
        </w:tabs>
        <w:ind w:left="1080" w:hanging="360"/>
      </w:pPr>
    </w:lvl>
  </w:abstractNum>
  <w:abstractNum w:abstractNumId="3">
    <w:nsid w:val="FFFFFF7F"/>
    <w:multiLevelType w:val="singleLevel"/>
    <w:tmpl w:val="88B63CC8"/>
    <w:lvl w:ilvl="0">
      <w:start w:val="1"/>
      <w:numFmt w:val="decimal"/>
      <w:lvlText w:val="%1."/>
      <w:lvlJc w:val="left"/>
      <w:pPr>
        <w:tabs>
          <w:tab w:val="num" w:pos="720"/>
        </w:tabs>
        <w:ind w:left="720" w:hanging="360"/>
      </w:pPr>
    </w:lvl>
  </w:abstractNum>
  <w:abstractNum w:abstractNumId="4">
    <w:nsid w:val="FFFFFF80"/>
    <w:multiLevelType w:val="singleLevel"/>
    <w:tmpl w:val="ABB028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629F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0644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E4D0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B26ED8"/>
    <w:lvl w:ilvl="0">
      <w:start w:val="1"/>
      <w:numFmt w:val="decimal"/>
      <w:lvlText w:val="%1."/>
      <w:lvlJc w:val="left"/>
      <w:pPr>
        <w:tabs>
          <w:tab w:val="num" w:pos="360"/>
        </w:tabs>
        <w:ind w:left="360" w:hanging="360"/>
      </w:pPr>
    </w:lvl>
  </w:abstractNum>
  <w:abstractNum w:abstractNumId="9">
    <w:nsid w:val="FFFFFF89"/>
    <w:multiLevelType w:val="singleLevel"/>
    <w:tmpl w:val="03C4CD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86E28"/>
    <w:multiLevelType w:val="hybridMultilevel"/>
    <w:tmpl w:val="F4C0205A"/>
    <w:lvl w:ilvl="0" w:tplc="7D82526E">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8926E90"/>
    <w:multiLevelType w:val="hybridMultilevel"/>
    <w:tmpl w:val="9D10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4B0B0A"/>
    <w:multiLevelType w:val="hybridMultilevel"/>
    <w:tmpl w:val="0E7ACECE"/>
    <w:lvl w:ilvl="0" w:tplc="A4D8868C">
      <w:start w:val="1"/>
      <w:numFmt w:val="lowerRoman"/>
      <w:lvlText w:val="(%1)"/>
      <w:lvlJc w:val="left"/>
      <w:pPr>
        <w:ind w:left="1890" w:hanging="72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4">
    <w:nsid w:val="1313686E"/>
    <w:multiLevelType w:val="hybridMultilevel"/>
    <w:tmpl w:val="D32605D6"/>
    <w:lvl w:ilvl="0" w:tplc="0C0C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5">
    <w:nsid w:val="158833F0"/>
    <w:multiLevelType w:val="hybridMultilevel"/>
    <w:tmpl w:val="BCFE115C"/>
    <w:lvl w:ilvl="0" w:tplc="FBC2E438">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6">
    <w:nsid w:val="16740383"/>
    <w:multiLevelType w:val="hybridMultilevel"/>
    <w:tmpl w:val="BAD86286"/>
    <w:lvl w:ilvl="0" w:tplc="111A4E82">
      <w:start w:val="1"/>
      <w:numFmt w:val="decimal"/>
      <w:lvlText w:val="%1."/>
      <w:lvlJc w:val="left"/>
      <w:pPr>
        <w:ind w:left="81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FA4624"/>
    <w:multiLevelType w:val="hybridMultilevel"/>
    <w:tmpl w:val="0EF4E9CE"/>
    <w:lvl w:ilvl="0" w:tplc="AEF8EEB6">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EC78A7"/>
    <w:multiLevelType w:val="hybridMultilevel"/>
    <w:tmpl w:val="04C8DB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C05E54"/>
    <w:multiLevelType w:val="hybridMultilevel"/>
    <w:tmpl w:val="506A6CFA"/>
    <w:lvl w:ilvl="0" w:tplc="4DDED5B6">
      <w:start w:val="1"/>
      <w:numFmt w:val="lowerLetter"/>
      <w:lvlText w:val="%1."/>
      <w:lvlJc w:val="left"/>
      <w:pPr>
        <w:ind w:left="720" w:hanging="360"/>
      </w:pPr>
      <w:rPr>
        <w:rFonts w:eastAsiaTheme="maj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E1A35"/>
    <w:multiLevelType w:val="hybridMultilevel"/>
    <w:tmpl w:val="6DFA7984"/>
    <w:lvl w:ilvl="0" w:tplc="1E5AB154">
      <w:start w:val="112"/>
      <w:numFmt w:val="decimal"/>
      <w:lvlText w:val="[%1]"/>
      <w:lvlJc w:val="left"/>
      <w:pPr>
        <w:ind w:left="450" w:hanging="360"/>
      </w:pPr>
      <w:rPr>
        <w:rFonts w:cs="Times New Roman" w:hint="default"/>
        <w:b w:val="0"/>
        <w:i w:val="0"/>
        <w:strike w:val="0"/>
      </w:rPr>
    </w:lvl>
    <w:lvl w:ilvl="1" w:tplc="0C0C000F">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76FC0"/>
    <w:multiLevelType w:val="hybridMultilevel"/>
    <w:tmpl w:val="F01C01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F07E08"/>
    <w:multiLevelType w:val="hybridMultilevel"/>
    <w:tmpl w:val="8F74CEB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nsid w:val="366C1758"/>
    <w:multiLevelType w:val="hybridMultilevel"/>
    <w:tmpl w:val="6714D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98C7E44"/>
    <w:multiLevelType w:val="hybridMultilevel"/>
    <w:tmpl w:val="18CA6EBC"/>
    <w:lvl w:ilvl="0" w:tplc="B0E02FC6">
      <w:start w:val="1"/>
      <w:numFmt w:val="lowerRoman"/>
      <w:lvlText w:val="(%1)"/>
      <w:lvlJc w:val="left"/>
      <w:pPr>
        <w:ind w:left="1620" w:hanging="720"/>
      </w:pPr>
      <w:rPr>
        <w:rFonts w:hint="default"/>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26">
    <w:nsid w:val="49865923"/>
    <w:multiLevelType w:val="hybridMultilevel"/>
    <w:tmpl w:val="C428E76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nsid w:val="4AC64FE2"/>
    <w:multiLevelType w:val="hybridMultilevel"/>
    <w:tmpl w:val="9CE6C4B0"/>
    <w:lvl w:ilvl="0" w:tplc="062072E0">
      <w:start w:val="1"/>
      <w:numFmt w:val="decimal"/>
      <w:pStyle w:val="ReasonsNumbering-AltN"/>
      <w:lvlText w:val="[%1]"/>
      <w:lvlJc w:val="left"/>
      <w:pPr>
        <w:ind w:left="360" w:hanging="360"/>
      </w:pPr>
      <w:rPr>
        <w:rFonts w:ascii="Times New Roman" w:hAnsi="Times New Roman" w:hint="default"/>
        <w:i w:val="0"/>
        <w:sz w:val="24"/>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2C45E58"/>
    <w:multiLevelType w:val="hybridMultilevel"/>
    <w:tmpl w:val="AEB626C4"/>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3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61651D"/>
    <w:multiLevelType w:val="hybridMultilevel"/>
    <w:tmpl w:val="876A5206"/>
    <w:lvl w:ilvl="0" w:tplc="5150FFB0">
      <w:start w:val="1"/>
      <w:numFmt w:val="decimal"/>
      <w:lvlText w:val="%1)"/>
      <w:lvlJc w:val="left"/>
      <w:pPr>
        <w:ind w:left="816" w:hanging="45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F980D72"/>
    <w:multiLevelType w:val="hybridMultilevel"/>
    <w:tmpl w:val="9CEC72B6"/>
    <w:lvl w:ilvl="0" w:tplc="E9AE56BA">
      <w:start w:val="1"/>
      <w:numFmt w:val="lowerLetter"/>
      <w:lvlText w:val="(%1)"/>
      <w:lvlJc w:val="left"/>
      <w:pPr>
        <w:ind w:left="1980" w:hanging="360"/>
      </w:pPr>
      <w:rPr>
        <w:rFonts w:hint="default"/>
      </w:r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34">
    <w:nsid w:val="613E5DB9"/>
    <w:multiLevelType w:val="hybridMultilevel"/>
    <w:tmpl w:val="9B34AF42"/>
    <w:lvl w:ilvl="0" w:tplc="0C0C0001">
      <w:start w:val="1"/>
      <w:numFmt w:val="bullet"/>
      <w:lvlText w:val=""/>
      <w:lvlJc w:val="left"/>
      <w:pPr>
        <w:ind w:left="1886" w:hanging="360"/>
      </w:pPr>
      <w:rPr>
        <w:rFonts w:ascii="Symbol" w:hAnsi="Symbol" w:hint="default"/>
      </w:rPr>
    </w:lvl>
    <w:lvl w:ilvl="1" w:tplc="0C0C0003">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3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8AF5BB6"/>
    <w:multiLevelType w:val="hybridMultilevel"/>
    <w:tmpl w:val="813094DE"/>
    <w:lvl w:ilvl="0" w:tplc="8E327B80">
      <w:start w:val="1"/>
      <w:numFmt w:val="decimal"/>
      <w:lvlText w:val="(%1)"/>
      <w:lvlJc w:val="left"/>
      <w:pPr>
        <w:ind w:left="1620" w:hanging="450"/>
      </w:pPr>
      <w:rPr>
        <w:rFonts w:hint="default"/>
        <w:i w:val="0"/>
        <w:u w:val="none"/>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37">
    <w:nsid w:val="6ED40D80"/>
    <w:multiLevelType w:val="hybridMultilevel"/>
    <w:tmpl w:val="F2AEB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D57AD"/>
    <w:multiLevelType w:val="hybridMultilevel"/>
    <w:tmpl w:val="7CA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E1193"/>
    <w:multiLevelType w:val="hybridMultilevel"/>
    <w:tmpl w:val="D8A4B14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A6A1248"/>
    <w:multiLevelType w:val="hybridMultilevel"/>
    <w:tmpl w:val="C9EE3896"/>
    <w:lvl w:ilvl="0" w:tplc="3E5252C2">
      <w:start w:val="1"/>
      <w:numFmt w:val="bullet"/>
      <w:lvlText w:val=""/>
      <w:lvlJc w:val="left"/>
      <w:pPr>
        <w:ind w:left="1440" w:hanging="360"/>
      </w:pPr>
      <w:rPr>
        <w:rFonts w:ascii="Symbol" w:hAnsi="Symbol" w:hint="default"/>
        <w:u w:val="no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7"/>
  </w:num>
  <w:num w:numId="2">
    <w:abstractNumId w:val="29"/>
  </w:num>
  <w:num w:numId="3">
    <w:abstractNumId w:val="16"/>
  </w:num>
  <w:num w:numId="4">
    <w:abstractNumId w:val="39"/>
  </w:num>
  <w:num w:numId="5">
    <w:abstractNumId w:val="10"/>
  </w:num>
  <w:num w:numId="6">
    <w:abstractNumId w:val="25"/>
  </w:num>
  <w:num w:numId="7">
    <w:abstractNumId w:val="9"/>
  </w:num>
  <w:num w:numId="8">
    <w:abstractNumId w:val="21"/>
  </w:num>
  <w:num w:numId="9">
    <w:abstractNumId w:val="31"/>
  </w:num>
  <w:num w:numId="10">
    <w:abstractNumId w:val="14"/>
  </w:num>
  <w:num w:numId="11">
    <w:abstractNumId w:val="35"/>
  </w:num>
  <w:num w:numId="12">
    <w:abstractNumId w:val="24"/>
  </w:num>
  <w:num w:numId="13">
    <w:abstractNumId w:val="36"/>
  </w:num>
  <w:num w:numId="14">
    <w:abstractNumId w:val="33"/>
  </w:num>
  <w:num w:numId="15">
    <w:abstractNumId w:val="13"/>
  </w:num>
  <w:num w:numId="16">
    <w:abstractNumId w:val="19"/>
  </w:num>
  <w:num w:numId="17">
    <w:abstractNumId w:val="40"/>
  </w:num>
  <w:num w:numId="18">
    <w:abstractNumId w:val="30"/>
  </w:num>
  <w:num w:numId="19">
    <w:abstractNumId w:val="15"/>
  </w:num>
  <w:num w:numId="20">
    <w:abstractNumId w:val="20"/>
  </w:num>
  <w:num w:numId="21">
    <w:abstractNumId w:val="11"/>
  </w:num>
  <w:num w:numId="22">
    <w:abstractNumId w:val="22"/>
  </w:num>
  <w:num w:numId="23">
    <w:abstractNumId w:val="37"/>
  </w:num>
  <w:num w:numId="24">
    <w:abstractNumId w:val="32"/>
  </w:num>
  <w:num w:numId="25">
    <w:abstractNumId w:val="38"/>
  </w:num>
  <w:num w:numId="26">
    <w:abstractNumId w:val="34"/>
  </w:num>
  <w:num w:numId="27">
    <w:abstractNumId w:val="18"/>
  </w:num>
  <w:num w:numId="28">
    <w:abstractNumId w:val="17"/>
  </w:num>
  <w:num w:numId="29">
    <w:abstractNumId w:val="12"/>
  </w:num>
  <w:num w:numId="30">
    <w:abstractNumId w:val="28"/>
  </w:num>
  <w:num w:numId="31">
    <w:abstractNumId w:val="23"/>
  </w:num>
  <w:num w:numId="32">
    <w:abstractNumId w:val="26"/>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4"/>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B0D85"/>
    <w:rsid w:val="00017023"/>
    <w:rsid w:val="0001748D"/>
    <w:rsid w:val="00025053"/>
    <w:rsid w:val="00031745"/>
    <w:rsid w:val="00040136"/>
    <w:rsid w:val="00047767"/>
    <w:rsid w:val="00065966"/>
    <w:rsid w:val="00066C2D"/>
    <w:rsid w:val="00066D44"/>
    <w:rsid w:val="00072243"/>
    <w:rsid w:val="00072449"/>
    <w:rsid w:val="000738EB"/>
    <w:rsid w:val="00080D49"/>
    <w:rsid w:val="000B0D85"/>
    <w:rsid w:val="000B67B1"/>
    <w:rsid w:val="000D3C4A"/>
    <w:rsid w:val="000E0C83"/>
    <w:rsid w:val="00101392"/>
    <w:rsid w:val="001017E5"/>
    <w:rsid w:val="00110235"/>
    <w:rsid w:val="001211F3"/>
    <w:rsid w:val="001231A0"/>
    <w:rsid w:val="00131AF7"/>
    <w:rsid w:val="00146AE9"/>
    <w:rsid w:val="00160C72"/>
    <w:rsid w:val="001612DB"/>
    <w:rsid w:val="00165F57"/>
    <w:rsid w:val="00167770"/>
    <w:rsid w:val="00175593"/>
    <w:rsid w:val="00190359"/>
    <w:rsid w:val="00191944"/>
    <w:rsid w:val="00192B00"/>
    <w:rsid w:val="001964B0"/>
    <w:rsid w:val="001C0FAC"/>
    <w:rsid w:val="001C5FD4"/>
    <w:rsid w:val="001C658A"/>
    <w:rsid w:val="001D5067"/>
    <w:rsid w:val="001D5C32"/>
    <w:rsid w:val="001F1774"/>
    <w:rsid w:val="002019A2"/>
    <w:rsid w:val="002063DD"/>
    <w:rsid w:val="00206F8D"/>
    <w:rsid w:val="00224705"/>
    <w:rsid w:val="00230BD3"/>
    <w:rsid w:val="0023244B"/>
    <w:rsid w:val="00235335"/>
    <w:rsid w:val="00255807"/>
    <w:rsid w:val="002653BF"/>
    <w:rsid w:val="00265DB3"/>
    <w:rsid w:val="002700EF"/>
    <w:rsid w:val="00270A62"/>
    <w:rsid w:val="00271B11"/>
    <w:rsid w:val="0028406C"/>
    <w:rsid w:val="00284152"/>
    <w:rsid w:val="00291746"/>
    <w:rsid w:val="002917E3"/>
    <w:rsid w:val="00294863"/>
    <w:rsid w:val="00296A8A"/>
    <w:rsid w:val="002A61C9"/>
    <w:rsid w:val="002B0361"/>
    <w:rsid w:val="002B0E86"/>
    <w:rsid w:val="002B6121"/>
    <w:rsid w:val="002C00A5"/>
    <w:rsid w:val="002C06EC"/>
    <w:rsid w:val="002C0980"/>
    <w:rsid w:val="002C3C8F"/>
    <w:rsid w:val="002E5835"/>
    <w:rsid w:val="002E6E2E"/>
    <w:rsid w:val="00302651"/>
    <w:rsid w:val="00305188"/>
    <w:rsid w:val="00305E8F"/>
    <w:rsid w:val="0031195D"/>
    <w:rsid w:val="00313D72"/>
    <w:rsid w:val="0032121B"/>
    <w:rsid w:val="00323E80"/>
    <w:rsid w:val="00324645"/>
    <w:rsid w:val="003262BF"/>
    <w:rsid w:val="00327C25"/>
    <w:rsid w:val="00331788"/>
    <w:rsid w:val="00333A08"/>
    <w:rsid w:val="003346CA"/>
    <w:rsid w:val="00344FBC"/>
    <w:rsid w:val="00363A9F"/>
    <w:rsid w:val="00372774"/>
    <w:rsid w:val="0037692C"/>
    <w:rsid w:val="00376A30"/>
    <w:rsid w:val="00384F03"/>
    <w:rsid w:val="00390B63"/>
    <w:rsid w:val="003955A0"/>
    <w:rsid w:val="003A2075"/>
    <w:rsid w:val="003A2DDE"/>
    <w:rsid w:val="003A6D24"/>
    <w:rsid w:val="003D30A6"/>
    <w:rsid w:val="003D6255"/>
    <w:rsid w:val="003E0481"/>
    <w:rsid w:val="0040252B"/>
    <w:rsid w:val="00403B86"/>
    <w:rsid w:val="00405E5E"/>
    <w:rsid w:val="00414C53"/>
    <w:rsid w:val="004201BB"/>
    <w:rsid w:val="004206AA"/>
    <w:rsid w:val="00426A1E"/>
    <w:rsid w:val="00440447"/>
    <w:rsid w:val="0044686D"/>
    <w:rsid w:val="00446FF3"/>
    <w:rsid w:val="0045586B"/>
    <w:rsid w:val="00456AE8"/>
    <w:rsid w:val="004733E2"/>
    <w:rsid w:val="00477A1F"/>
    <w:rsid w:val="004840B5"/>
    <w:rsid w:val="00486251"/>
    <w:rsid w:val="004A481B"/>
    <w:rsid w:val="004B38E0"/>
    <w:rsid w:val="004B431E"/>
    <w:rsid w:val="004C1908"/>
    <w:rsid w:val="004E6AC6"/>
    <w:rsid w:val="004F30BD"/>
    <w:rsid w:val="004F5305"/>
    <w:rsid w:val="005169A5"/>
    <w:rsid w:val="00532ED9"/>
    <w:rsid w:val="0053758C"/>
    <w:rsid w:val="00542406"/>
    <w:rsid w:val="00552F20"/>
    <w:rsid w:val="00555259"/>
    <w:rsid w:val="0056339A"/>
    <w:rsid w:val="0057168B"/>
    <w:rsid w:val="005C4CA4"/>
    <w:rsid w:val="005C57F9"/>
    <w:rsid w:val="005C7A32"/>
    <w:rsid w:val="005E1878"/>
    <w:rsid w:val="005E30A9"/>
    <w:rsid w:val="00602E62"/>
    <w:rsid w:val="00616389"/>
    <w:rsid w:val="0062110E"/>
    <w:rsid w:val="00622267"/>
    <w:rsid w:val="00623663"/>
    <w:rsid w:val="00633ECB"/>
    <w:rsid w:val="006452DB"/>
    <w:rsid w:val="006511D1"/>
    <w:rsid w:val="00657796"/>
    <w:rsid w:val="00666E46"/>
    <w:rsid w:val="0067042F"/>
    <w:rsid w:val="006801E4"/>
    <w:rsid w:val="00680660"/>
    <w:rsid w:val="00683F84"/>
    <w:rsid w:val="006B6E7B"/>
    <w:rsid w:val="006C4188"/>
    <w:rsid w:val="006C43BD"/>
    <w:rsid w:val="006C6AE1"/>
    <w:rsid w:val="006D4305"/>
    <w:rsid w:val="006D6CBF"/>
    <w:rsid w:val="006E0208"/>
    <w:rsid w:val="006E5F19"/>
    <w:rsid w:val="006F728D"/>
    <w:rsid w:val="0070204C"/>
    <w:rsid w:val="00706E68"/>
    <w:rsid w:val="007133B0"/>
    <w:rsid w:val="00713CFC"/>
    <w:rsid w:val="00731213"/>
    <w:rsid w:val="007343AF"/>
    <w:rsid w:val="007344DF"/>
    <w:rsid w:val="0073544F"/>
    <w:rsid w:val="00742D61"/>
    <w:rsid w:val="007448F6"/>
    <w:rsid w:val="00745B58"/>
    <w:rsid w:val="00750D43"/>
    <w:rsid w:val="007528D1"/>
    <w:rsid w:val="007530F5"/>
    <w:rsid w:val="007563AB"/>
    <w:rsid w:val="00760D38"/>
    <w:rsid w:val="007643EA"/>
    <w:rsid w:val="00772E70"/>
    <w:rsid w:val="00772FDB"/>
    <w:rsid w:val="0077514B"/>
    <w:rsid w:val="00781DC2"/>
    <w:rsid w:val="00784FE8"/>
    <w:rsid w:val="00787A9C"/>
    <w:rsid w:val="007911BE"/>
    <w:rsid w:val="00791C98"/>
    <w:rsid w:val="007B5312"/>
    <w:rsid w:val="007B57C5"/>
    <w:rsid w:val="007B5EC0"/>
    <w:rsid w:val="007C77EF"/>
    <w:rsid w:val="007D23C3"/>
    <w:rsid w:val="007D7A7B"/>
    <w:rsid w:val="007E0E8B"/>
    <w:rsid w:val="007E3736"/>
    <w:rsid w:val="00805846"/>
    <w:rsid w:val="00812CAA"/>
    <w:rsid w:val="00821359"/>
    <w:rsid w:val="00821B1B"/>
    <w:rsid w:val="008236B4"/>
    <w:rsid w:val="0082778E"/>
    <w:rsid w:val="00831EAC"/>
    <w:rsid w:val="00836E05"/>
    <w:rsid w:val="00837E92"/>
    <w:rsid w:val="008420E2"/>
    <w:rsid w:val="00845B7C"/>
    <w:rsid w:val="008650B9"/>
    <w:rsid w:val="00873EFF"/>
    <w:rsid w:val="00881632"/>
    <w:rsid w:val="00881B7F"/>
    <w:rsid w:val="00891109"/>
    <w:rsid w:val="00894A95"/>
    <w:rsid w:val="008A4970"/>
    <w:rsid w:val="008A71C9"/>
    <w:rsid w:val="008A7242"/>
    <w:rsid w:val="008B0CB6"/>
    <w:rsid w:val="008B6426"/>
    <w:rsid w:val="008C394E"/>
    <w:rsid w:val="008D3178"/>
    <w:rsid w:val="008D6C01"/>
    <w:rsid w:val="008E6A99"/>
    <w:rsid w:val="008F0D56"/>
    <w:rsid w:val="008F4975"/>
    <w:rsid w:val="009026FF"/>
    <w:rsid w:val="00921632"/>
    <w:rsid w:val="009227F2"/>
    <w:rsid w:val="00937526"/>
    <w:rsid w:val="00943207"/>
    <w:rsid w:val="00943C96"/>
    <w:rsid w:val="00945356"/>
    <w:rsid w:val="0095143F"/>
    <w:rsid w:val="00955088"/>
    <w:rsid w:val="009715F7"/>
    <w:rsid w:val="00971F35"/>
    <w:rsid w:val="0099042E"/>
    <w:rsid w:val="009A49EC"/>
    <w:rsid w:val="009A631A"/>
    <w:rsid w:val="009C0F73"/>
    <w:rsid w:val="009C376E"/>
    <w:rsid w:val="009C42BC"/>
    <w:rsid w:val="009D112F"/>
    <w:rsid w:val="009D1C6C"/>
    <w:rsid w:val="009D7B84"/>
    <w:rsid w:val="009E1894"/>
    <w:rsid w:val="009E4309"/>
    <w:rsid w:val="009E641F"/>
    <w:rsid w:val="009F1BA6"/>
    <w:rsid w:val="009F7F33"/>
    <w:rsid w:val="00A058C0"/>
    <w:rsid w:val="00A24BBA"/>
    <w:rsid w:val="00A35190"/>
    <w:rsid w:val="00A41F3B"/>
    <w:rsid w:val="00A47D2E"/>
    <w:rsid w:val="00A47D8F"/>
    <w:rsid w:val="00A61AE6"/>
    <w:rsid w:val="00A63F1E"/>
    <w:rsid w:val="00A646C4"/>
    <w:rsid w:val="00A70481"/>
    <w:rsid w:val="00A73250"/>
    <w:rsid w:val="00A81B22"/>
    <w:rsid w:val="00A919D3"/>
    <w:rsid w:val="00A959CE"/>
    <w:rsid w:val="00A96418"/>
    <w:rsid w:val="00A9653A"/>
    <w:rsid w:val="00A967C9"/>
    <w:rsid w:val="00AB588B"/>
    <w:rsid w:val="00AC4000"/>
    <w:rsid w:val="00AD0739"/>
    <w:rsid w:val="00AF1F15"/>
    <w:rsid w:val="00AF47F7"/>
    <w:rsid w:val="00B1353D"/>
    <w:rsid w:val="00B171E0"/>
    <w:rsid w:val="00B2040D"/>
    <w:rsid w:val="00B22EFC"/>
    <w:rsid w:val="00B22FC9"/>
    <w:rsid w:val="00B24A23"/>
    <w:rsid w:val="00B32675"/>
    <w:rsid w:val="00B32F13"/>
    <w:rsid w:val="00B406D7"/>
    <w:rsid w:val="00B41CD3"/>
    <w:rsid w:val="00B438C1"/>
    <w:rsid w:val="00B47401"/>
    <w:rsid w:val="00B6032D"/>
    <w:rsid w:val="00B64064"/>
    <w:rsid w:val="00B74994"/>
    <w:rsid w:val="00B7580D"/>
    <w:rsid w:val="00B85DB3"/>
    <w:rsid w:val="00B872C6"/>
    <w:rsid w:val="00BA2446"/>
    <w:rsid w:val="00BB5BF8"/>
    <w:rsid w:val="00BB64B3"/>
    <w:rsid w:val="00BD0C29"/>
    <w:rsid w:val="00BD35CB"/>
    <w:rsid w:val="00BE06FB"/>
    <w:rsid w:val="00BE3C0B"/>
    <w:rsid w:val="00BE73BE"/>
    <w:rsid w:val="00BF1709"/>
    <w:rsid w:val="00BF666B"/>
    <w:rsid w:val="00C007F0"/>
    <w:rsid w:val="00C200E2"/>
    <w:rsid w:val="00C43415"/>
    <w:rsid w:val="00C439A3"/>
    <w:rsid w:val="00C46A3E"/>
    <w:rsid w:val="00C50E02"/>
    <w:rsid w:val="00C57607"/>
    <w:rsid w:val="00C65773"/>
    <w:rsid w:val="00C663CD"/>
    <w:rsid w:val="00C66696"/>
    <w:rsid w:val="00C712EA"/>
    <w:rsid w:val="00C73F96"/>
    <w:rsid w:val="00C9529F"/>
    <w:rsid w:val="00C96E03"/>
    <w:rsid w:val="00CA104A"/>
    <w:rsid w:val="00CA5A15"/>
    <w:rsid w:val="00CB3D9A"/>
    <w:rsid w:val="00CD4983"/>
    <w:rsid w:val="00CE1A63"/>
    <w:rsid w:val="00CE1E33"/>
    <w:rsid w:val="00D00748"/>
    <w:rsid w:val="00D03028"/>
    <w:rsid w:val="00D221B9"/>
    <w:rsid w:val="00D2618B"/>
    <w:rsid w:val="00D35F28"/>
    <w:rsid w:val="00D45E09"/>
    <w:rsid w:val="00D45FDD"/>
    <w:rsid w:val="00D55E57"/>
    <w:rsid w:val="00D5761E"/>
    <w:rsid w:val="00D64E15"/>
    <w:rsid w:val="00D65A6C"/>
    <w:rsid w:val="00D7423F"/>
    <w:rsid w:val="00D76CB8"/>
    <w:rsid w:val="00D8730F"/>
    <w:rsid w:val="00D922FF"/>
    <w:rsid w:val="00D9298D"/>
    <w:rsid w:val="00DB1CF5"/>
    <w:rsid w:val="00DC1BE5"/>
    <w:rsid w:val="00DC1C43"/>
    <w:rsid w:val="00DC29BD"/>
    <w:rsid w:val="00DD260C"/>
    <w:rsid w:val="00DD7359"/>
    <w:rsid w:val="00DF4EC2"/>
    <w:rsid w:val="00DF5FDA"/>
    <w:rsid w:val="00E03C5F"/>
    <w:rsid w:val="00E12A6A"/>
    <w:rsid w:val="00E171E4"/>
    <w:rsid w:val="00E20225"/>
    <w:rsid w:val="00E20570"/>
    <w:rsid w:val="00E23356"/>
    <w:rsid w:val="00E326EC"/>
    <w:rsid w:val="00E46BDE"/>
    <w:rsid w:val="00E558AC"/>
    <w:rsid w:val="00E67B0B"/>
    <w:rsid w:val="00E7281B"/>
    <w:rsid w:val="00E73414"/>
    <w:rsid w:val="00E764B8"/>
    <w:rsid w:val="00E9168C"/>
    <w:rsid w:val="00EA00CE"/>
    <w:rsid w:val="00EA4A18"/>
    <w:rsid w:val="00EA56A7"/>
    <w:rsid w:val="00EB01B8"/>
    <w:rsid w:val="00EB734C"/>
    <w:rsid w:val="00EE1083"/>
    <w:rsid w:val="00EE1571"/>
    <w:rsid w:val="00EF440B"/>
    <w:rsid w:val="00F013C2"/>
    <w:rsid w:val="00F042AA"/>
    <w:rsid w:val="00F04667"/>
    <w:rsid w:val="00F140A4"/>
    <w:rsid w:val="00F27FE5"/>
    <w:rsid w:val="00F36431"/>
    <w:rsid w:val="00F41D3D"/>
    <w:rsid w:val="00F470CA"/>
    <w:rsid w:val="00F51D76"/>
    <w:rsid w:val="00F73BA6"/>
    <w:rsid w:val="00F828FD"/>
    <w:rsid w:val="00F86210"/>
    <w:rsid w:val="00F92C9F"/>
    <w:rsid w:val="00F9308B"/>
    <w:rsid w:val="00FB13AC"/>
    <w:rsid w:val="00FD2BC1"/>
    <w:rsid w:val="00FD2DA2"/>
    <w:rsid w:val="00FE006E"/>
    <w:rsid w:val="00FE5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542406"/>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rsid w:val="00FB1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B1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3AC"/>
    <w:pPr>
      <w:keepNext/>
      <w:keepLines/>
      <w:spacing w:before="200" w:after="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sonsNumbering-AltN">
    <w:name w:val="Reasons Numbering - Alt N"/>
    <w:qFormat/>
    <w:rsid w:val="00B32F13"/>
    <w:pPr>
      <w:numPr>
        <w:numId w:val="1"/>
      </w:numPr>
      <w:tabs>
        <w:tab w:val="left" w:pos="1152"/>
      </w:tabs>
      <w:spacing w:after="480" w:line="480" w:lineRule="auto"/>
      <w:ind w:left="0" w:firstLine="0"/>
      <w:jc w:val="both"/>
    </w:pPr>
    <w:rPr>
      <w:rFonts w:ascii="Times New Roman" w:hAnsi="Times New Roman"/>
      <w:sz w:val="24"/>
      <w:lang w:val="en-CA"/>
    </w:rPr>
  </w:style>
  <w:style w:type="paragraph" w:customStyle="1" w:styleId="SCCLsocParty">
    <w:name w:val="SCC.Lsoc.Party"/>
    <w:basedOn w:val="Normal"/>
    <w:next w:val="Normal"/>
    <w:link w:val="SCCLsocPartyChar"/>
    <w:rsid w:val="00FB13AC"/>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FB13AC"/>
    <w:rPr>
      <w:rFonts w:ascii="Times New Roman" w:hAnsi="Times New Roman"/>
      <w:sz w:val="24"/>
      <w:lang w:val="en-CA"/>
    </w:rPr>
  </w:style>
  <w:style w:type="paragraph" w:customStyle="1" w:styleId="SCCLsocVersus">
    <w:name w:val="SCC.Lsoc.Versus"/>
    <w:basedOn w:val="Normal"/>
    <w:next w:val="Normal"/>
    <w:link w:val="SCCLsocVersusChar"/>
    <w:rsid w:val="00FB13AC"/>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FB13AC"/>
    <w:rPr>
      <w:rFonts w:ascii="Times New Roman" w:hAnsi="Times New Roman"/>
      <w:sz w:val="24"/>
      <w:lang w:val="en-CA"/>
    </w:rPr>
  </w:style>
  <w:style w:type="paragraph" w:customStyle="1" w:styleId="SCCBanSummary">
    <w:name w:val="SCC.BanSummary"/>
    <w:basedOn w:val="Normal"/>
    <w:next w:val="Normal"/>
    <w:link w:val="SCCBanSummaryChar"/>
    <w:rsid w:val="00FB13AC"/>
    <w:pPr>
      <w:jc w:val="right"/>
    </w:pPr>
    <w:rPr>
      <w:rFonts w:eastAsiaTheme="minorEastAsia"/>
      <w:b/>
    </w:rPr>
  </w:style>
  <w:style w:type="paragraph" w:customStyle="1" w:styleId="SCCAppellantForRunningHead">
    <w:name w:val="SCC.AppellantForRunningHead"/>
    <w:basedOn w:val="Normal"/>
    <w:next w:val="Normal"/>
    <w:link w:val="SCCAppellantForRunningHeadChar"/>
    <w:rsid w:val="00FB13AC"/>
    <w:rPr>
      <w:smallCaps/>
    </w:rPr>
  </w:style>
  <w:style w:type="character" w:customStyle="1" w:styleId="SCCAppellantForRunningHeadChar">
    <w:name w:val="SCC.AppellantForRunningHead Char"/>
    <w:basedOn w:val="DefaultParagraphFont"/>
    <w:link w:val="SCCAppellantForRunningHead"/>
    <w:rsid w:val="00FB13AC"/>
    <w:rPr>
      <w:rFonts w:ascii="Times New Roman" w:eastAsia="Times New Roman" w:hAnsi="Times New Roman" w:cs="Times New Roman"/>
      <w:smallCaps/>
      <w:sz w:val="24"/>
      <w:szCs w:val="24"/>
      <w:lang w:val="en-CA" w:eastAsia="en-CA"/>
    </w:rPr>
  </w:style>
  <w:style w:type="paragraph" w:customStyle="1" w:styleId="SCCRespondentForRunningHead">
    <w:name w:val="SCC.RespondentForRunningHead"/>
    <w:basedOn w:val="Normal"/>
    <w:next w:val="Normal"/>
    <w:link w:val="SCCRespondentForRunningHeadChar"/>
    <w:rsid w:val="00FB13AC"/>
    <w:rPr>
      <w:smallCaps/>
    </w:rPr>
  </w:style>
  <w:style w:type="character" w:customStyle="1" w:styleId="SCCRespondentForRunningHeadChar">
    <w:name w:val="SCC.RespondentForRunningHead Char"/>
    <w:basedOn w:val="DefaultParagraphFont"/>
    <w:link w:val="SCCRespondentForRunningHead"/>
    <w:rsid w:val="00FB13AC"/>
    <w:rPr>
      <w:rFonts w:ascii="Times New Roman" w:eastAsia="Times New Roman" w:hAnsi="Times New Roman" w:cs="Times New Roman"/>
      <w:smallCaps/>
      <w:sz w:val="24"/>
      <w:szCs w:val="24"/>
      <w:lang w:val="en-CA" w:eastAsia="en-CA"/>
    </w:rPr>
  </w:style>
  <w:style w:type="paragraph" w:customStyle="1" w:styleId="SCCAppellantForIndex">
    <w:name w:val="SCC.AppellantForIndex"/>
    <w:basedOn w:val="Normal"/>
    <w:next w:val="Normal"/>
    <w:link w:val="SCCAppellantForIndexChar"/>
    <w:rsid w:val="00FB13AC"/>
    <w:rPr>
      <w:b/>
    </w:rPr>
  </w:style>
  <w:style w:type="character" w:customStyle="1" w:styleId="SCCAppellantForIndexChar">
    <w:name w:val="SCC.AppellantForIndex Char"/>
    <w:basedOn w:val="DefaultParagraphFont"/>
    <w:link w:val="SCCAppellantForIndex"/>
    <w:rsid w:val="00FB13AC"/>
    <w:rPr>
      <w:rFonts w:ascii="Times New Roman" w:eastAsia="Times New Roman" w:hAnsi="Times New Roman" w:cs="Times New Roman"/>
      <w:b/>
      <w:sz w:val="24"/>
      <w:szCs w:val="24"/>
      <w:lang w:val="en-CA" w:eastAsia="en-CA"/>
    </w:rPr>
  </w:style>
  <w:style w:type="paragraph" w:customStyle="1" w:styleId="SCCRespondentForIndex">
    <w:name w:val="SCC.RespondentForIndex"/>
    <w:basedOn w:val="Normal"/>
    <w:next w:val="Normal"/>
    <w:link w:val="SCCRespondentForIndexChar"/>
    <w:rsid w:val="00FB13AC"/>
    <w:rPr>
      <w:b/>
    </w:rPr>
  </w:style>
  <w:style w:type="character" w:customStyle="1" w:styleId="SCCRespondentForIndexChar">
    <w:name w:val="SCC.RespondentForIndex Char"/>
    <w:basedOn w:val="DefaultParagraphFont"/>
    <w:link w:val="SCCRespondentForIndex"/>
    <w:rsid w:val="00FB13AC"/>
    <w:rPr>
      <w:rFonts w:ascii="Times New Roman" w:eastAsia="Times New Roman" w:hAnsi="Times New Roman" w:cs="Times New Roman"/>
      <w:b/>
      <w:sz w:val="24"/>
      <w:szCs w:val="24"/>
      <w:lang w:val="en-CA" w:eastAsia="en-CA"/>
    </w:rPr>
  </w:style>
  <w:style w:type="paragraph" w:customStyle="1" w:styleId="SCCSystemYear">
    <w:name w:val="SCC.SystemYear"/>
    <w:basedOn w:val="Normal"/>
    <w:next w:val="Normal"/>
    <w:link w:val="SCCSystemYearChar"/>
    <w:rsid w:val="00FB13AC"/>
    <w:rPr>
      <w:b/>
    </w:rPr>
  </w:style>
  <w:style w:type="character" w:customStyle="1" w:styleId="SCCSystemYearChar">
    <w:name w:val="SCC.SystemYear Char"/>
    <w:basedOn w:val="DefaultParagraphFont"/>
    <w:link w:val="SCCSystemYear"/>
    <w:rsid w:val="00FB13AC"/>
    <w:rPr>
      <w:rFonts w:ascii="Times New Roman" w:eastAsia="Times New Roman" w:hAnsi="Times New Roman" w:cs="Times New Roman"/>
      <w:b/>
      <w:sz w:val="24"/>
      <w:szCs w:val="24"/>
      <w:lang w:val="en-CA" w:eastAsia="en-CA"/>
    </w:rPr>
  </w:style>
  <w:style w:type="paragraph" w:customStyle="1" w:styleId="SCCLowerCourtNameLowercase">
    <w:name w:val="SCC.LowerCourtNameLowercase"/>
    <w:basedOn w:val="SCCNormalDoubleSpacing"/>
    <w:next w:val="SCCNormalDoubleSpacing"/>
    <w:rsid w:val="00FB13AC"/>
    <w:rPr>
      <w:smallCaps/>
    </w:rPr>
  </w:style>
  <w:style w:type="paragraph" w:customStyle="1" w:styleId="SCCNormalDoubleSpacing">
    <w:name w:val="SCC.Normal.DoubleSpacing"/>
    <w:basedOn w:val="Normal"/>
    <w:link w:val="SCCNormalDoubleSpacingChar"/>
    <w:qFormat/>
    <w:rsid w:val="00FB13A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B13AC"/>
    <w:rPr>
      <w:rFonts w:ascii="Times New Roman" w:eastAsia="Times New Roman" w:hAnsi="Times New Roman" w:cs="Times New Roman"/>
      <w:sz w:val="24"/>
      <w:szCs w:val="24"/>
      <w:lang w:val="en-CA" w:eastAsia="en-CA"/>
    </w:rPr>
  </w:style>
  <w:style w:type="paragraph" w:styleId="Quote">
    <w:name w:val="Quote"/>
    <w:basedOn w:val="Normal"/>
    <w:next w:val="Normal"/>
    <w:link w:val="QuoteChar"/>
    <w:uiPriority w:val="29"/>
    <w:qFormat/>
    <w:rsid w:val="00FB13AC"/>
    <w:rPr>
      <w:i/>
      <w:iCs/>
      <w:color w:val="000000" w:themeColor="text1"/>
    </w:rPr>
  </w:style>
  <w:style w:type="character" w:customStyle="1" w:styleId="QuoteChar">
    <w:name w:val="Quote Char"/>
    <w:basedOn w:val="DefaultParagraphFont"/>
    <w:link w:val="Quote"/>
    <w:uiPriority w:val="29"/>
    <w:rsid w:val="00FB13AC"/>
    <w:rPr>
      <w:rFonts w:ascii="Times New Roman" w:eastAsia="Times New Roman" w:hAnsi="Times New Roman" w:cs="Times New Roman"/>
      <w:i/>
      <w:iCs/>
      <w:color w:val="000000" w:themeColor="text1"/>
      <w:sz w:val="24"/>
      <w:szCs w:val="24"/>
      <w:lang w:val="en-CA" w:eastAsia="en-CA"/>
    </w:rPr>
  </w:style>
  <w:style w:type="paragraph" w:styleId="Header">
    <w:name w:val="header"/>
    <w:basedOn w:val="Normal"/>
    <w:link w:val="HeaderChar"/>
    <w:uiPriority w:val="99"/>
    <w:unhideWhenUsed/>
    <w:rsid w:val="00FB13AC"/>
    <w:pPr>
      <w:tabs>
        <w:tab w:val="center" w:pos="4680"/>
        <w:tab w:val="right" w:pos="9360"/>
      </w:tabs>
    </w:pPr>
  </w:style>
  <w:style w:type="character" w:customStyle="1" w:styleId="HeaderChar">
    <w:name w:val="Header Char"/>
    <w:basedOn w:val="DefaultParagraphFont"/>
    <w:link w:val="Header"/>
    <w:uiPriority w:val="99"/>
    <w:rsid w:val="00FB13AC"/>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FB13AC"/>
    <w:pPr>
      <w:tabs>
        <w:tab w:val="center" w:pos="4680"/>
        <w:tab w:val="right" w:pos="9360"/>
      </w:tabs>
    </w:pPr>
  </w:style>
  <w:style w:type="character" w:customStyle="1" w:styleId="FooterChar">
    <w:name w:val="Footer Char"/>
    <w:basedOn w:val="DefaultParagraphFont"/>
    <w:link w:val="Footer"/>
    <w:uiPriority w:val="99"/>
    <w:rsid w:val="00FB13AC"/>
    <w:rPr>
      <w:rFonts w:ascii="Times New Roman" w:eastAsia="Times New Roman" w:hAnsi="Times New Roman" w:cs="Times New Roman"/>
      <w:sz w:val="24"/>
      <w:szCs w:val="24"/>
      <w:lang w:val="en-CA" w:eastAsia="en-CA"/>
    </w:rPr>
  </w:style>
  <w:style w:type="paragraph" w:customStyle="1" w:styleId="SCCCounselName">
    <w:name w:val="SCC.CounselName"/>
    <w:basedOn w:val="SCCNormalDoubleSpacing"/>
    <w:next w:val="SCCNormalDoubleSpacing"/>
    <w:link w:val="SCCCounselNameChar"/>
    <w:rsid w:val="00FB13AC"/>
    <w:rPr>
      <w:i/>
    </w:rPr>
  </w:style>
  <w:style w:type="character" w:customStyle="1" w:styleId="SCCCounselNameChar">
    <w:name w:val="SCC.CounselName Char"/>
    <w:basedOn w:val="SCCNormalDoubleSpacingChar"/>
    <w:link w:val="SCCCounselName"/>
    <w:rsid w:val="00FB13AC"/>
    <w:rPr>
      <w:i/>
    </w:rPr>
  </w:style>
  <w:style w:type="paragraph" w:customStyle="1" w:styleId="SCCItalic">
    <w:name w:val="SCC.Italic"/>
    <w:basedOn w:val="SCCNormalDoubleSpacing"/>
    <w:next w:val="SCCNormalDoubleSpacing"/>
    <w:rsid w:val="00FB13AC"/>
    <w:rPr>
      <w:i/>
    </w:rPr>
  </w:style>
  <w:style w:type="paragraph" w:customStyle="1" w:styleId="SCCAppellantForCitation">
    <w:name w:val="SCC.AppellantForCitation"/>
    <w:basedOn w:val="Normal"/>
    <w:next w:val="Normal"/>
    <w:link w:val="SCCAppellantForCitationChar"/>
    <w:rsid w:val="00FB13AC"/>
    <w:rPr>
      <w:i/>
    </w:rPr>
  </w:style>
  <w:style w:type="character" w:customStyle="1" w:styleId="SCCAppellantForCitationChar">
    <w:name w:val="SCC.AppellantForCitation Char"/>
    <w:basedOn w:val="DefaultParagraphFont"/>
    <w:link w:val="SCCAppellantForCitation"/>
    <w:rsid w:val="00FB13AC"/>
    <w:rPr>
      <w:rFonts w:ascii="Times New Roman" w:eastAsia="Times New Roman" w:hAnsi="Times New Roman" w:cs="Times New Roman"/>
      <w:i/>
      <w:sz w:val="24"/>
      <w:szCs w:val="24"/>
      <w:lang w:val="en-CA" w:eastAsia="en-CA"/>
    </w:rPr>
  </w:style>
  <w:style w:type="paragraph" w:customStyle="1" w:styleId="SCCRespondentForCitation">
    <w:name w:val="SCC.RespondentForCitation"/>
    <w:basedOn w:val="Normal"/>
    <w:next w:val="Normal"/>
    <w:link w:val="SCCRespondentForCitationChar"/>
    <w:rsid w:val="00FB13AC"/>
    <w:rPr>
      <w:i/>
    </w:rPr>
  </w:style>
  <w:style w:type="character" w:customStyle="1" w:styleId="SCCRespondentForCitationChar">
    <w:name w:val="SCC.RespondentForCitation Char"/>
    <w:basedOn w:val="DefaultParagraphFont"/>
    <w:link w:val="SCCRespondentForCitation"/>
    <w:rsid w:val="00FB13AC"/>
    <w:rPr>
      <w:rFonts w:ascii="Times New Roman" w:eastAsia="Times New Roman" w:hAnsi="Times New Roman" w:cs="Times New Roman"/>
      <w:i/>
      <w:sz w:val="24"/>
      <w:szCs w:val="24"/>
      <w:lang w:val="en-CA" w:eastAsia="en-CA"/>
    </w:rPr>
  </w:style>
  <w:style w:type="paragraph" w:customStyle="1" w:styleId="SCCCounselSeparator">
    <w:name w:val="SCC.CounselSeparator"/>
    <w:basedOn w:val="SCCNormalDoubleSpacing"/>
    <w:next w:val="SCCNormalDoubleSpacing"/>
    <w:link w:val="SCCCounselSeparatorChar"/>
    <w:rsid w:val="00FB13AC"/>
  </w:style>
  <w:style w:type="character" w:customStyle="1" w:styleId="SCCCounselSeparatorChar">
    <w:name w:val="SCC.CounselSeparator Char"/>
    <w:basedOn w:val="SCCNormalDoubleSpacingChar"/>
    <w:link w:val="SCCCounselSeparator"/>
    <w:rsid w:val="00FB13AC"/>
  </w:style>
  <w:style w:type="paragraph" w:customStyle="1" w:styleId="SCCLawFirm">
    <w:name w:val="SCC.LawFirm"/>
    <w:basedOn w:val="SCCNormalDoubleSpacing"/>
    <w:next w:val="SCCNormalDoubleSpacing"/>
    <w:link w:val="SCCLawFirmChar"/>
    <w:rsid w:val="00FB13AC"/>
    <w:rPr>
      <w:i/>
    </w:rPr>
  </w:style>
  <w:style w:type="character" w:customStyle="1" w:styleId="SCCLawFirmChar">
    <w:name w:val="SCC.LawFirm Char"/>
    <w:basedOn w:val="SCCNormalDoubleSpacingChar"/>
    <w:link w:val="SCCLawFirm"/>
    <w:rsid w:val="00FB13AC"/>
    <w:rPr>
      <w:i/>
    </w:rPr>
  </w:style>
  <w:style w:type="paragraph" w:customStyle="1" w:styleId="SCCCounselPartyRole">
    <w:name w:val="SCC.CounselPartyRole"/>
    <w:basedOn w:val="SCCNormalDoubleSpacing"/>
    <w:next w:val="SCCNormalDoubleSpacing"/>
    <w:link w:val="SCCCounselPartyRoleChar"/>
    <w:rsid w:val="00FB13AC"/>
  </w:style>
  <w:style w:type="character" w:customStyle="1" w:styleId="SCCCounselPartyRoleChar">
    <w:name w:val="SCC.CounselPartyRole Char"/>
    <w:basedOn w:val="SCCNormalDoubleSpacingChar"/>
    <w:link w:val="SCCCounselPartyRole"/>
    <w:rsid w:val="00FB13AC"/>
  </w:style>
  <w:style w:type="character" w:styleId="Hyperlink">
    <w:name w:val="Hyperlink"/>
    <w:basedOn w:val="DefaultParagraphFont"/>
    <w:uiPriority w:val="99"/>
    <w:rsid w:val="00FB13AC"/>
    <w:rPr>
      <w:color w:val="0000FF"/>
      <w:u w:val="single"/>
      <w:effect w:val="none"/>
    </w:rPr>
  </w:style>
  <w:style w:type="character" w:customStyle="1" w:styleId="Heading1Char">
    <w:name w:val="Heading 1 Char"/>
    <w:basedOn w:val="DefaultParagraphFont"/>
    <w:link w:val="Heading1"/>
    <w:uiPriority w:val="9"/>
    <w:rsid w:val="00FB13AC"/>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rsid w:val="00FB13AC"/>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FB13A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140A4"/>
    <w:pPr>
      <w:spacing w:after="200" w:line="276" w:lineRule="auto"/>
      <w:ind w:left="720"/>
    </w:pPr>
    <w:rPr>
      <w:rFonts w:asciiTheme="minorHAnsi" w:eastAsiaTheme="minorHAnsi" w:hAnsiTheme="minorHAnsi" w:cstheme="minorBidi"/>
      <w:sz w:val="22"/>
      <w:szCs w:val="22"/>
      <w:lang w:val="en-US" w:eastAsia="en-US"/>
    </w:rPr>
  </w:style>
  <w:style w:type="paragraph" w:customStyle="1" w:styleId="1">
    <w:name w:val="1"/>
    <w:aliases w:val="2,3,A, 2, 3, A"/>
    <w:basedOn w:val="Normal"/>
    <w:rsid w:val="00F140A4"/>
    <w:pPr>
      <w:widowControl w:val="0"/>
      <w:spacing w:after="200" w:line="276" w:lineRule="auto"/>
    </w:pPr>
    <w:rPr>
      <w:rFonts w:asciiTheme="minorHAnsi" w:eastAsiaTheme="minorHAnsi" w:hAnsiTheme="minorHAnsi" w:cstheme="minorBidi"/>
      <w:sz w:val="22"/>
      <w:szCs w:val="22"/>
      <w:lang w:val="en-US" w:eastAsia="en-US"/>
    </w:rPr>
  </w:style>
  <w:style w:type="paragraph" w:styleId="NoSpacing">
    <w:name w:val="No Spacing"/>
    <w:link w:val="NoSpacingChar"/>
    <w:uiPriority w:val="1"/>
    <w:qFormat/>
    <w:rsid w:val="00FB13AC"/>
    <w:pPr>
      <w:spacing w:after="0" w:line="240" w:lineRule="auto"/>
    </w:pPr>
    <w:rPr>
      <w:rFonts w:ascii="Times New Roman" w:eastAsia="Times New Roman" w:hAnsi="Times New Roman" w:cs="Times New Roman"/>
      <w:sz w:val="24"/>
      <w:szCs w:val="20"/>
      <w:lang w:val="en-CA" w:eastAsia="en-CA"/>
    </w:rPr>
  </w:style>
  <w:style w:type="paragraph" w:customStyle="1" w:styleId="SCCLsocOtherPartyRoleSeparator">
    <w:name w:val="SCC.Lsoc.OtherPartyRoleSeparator"/>
    <w:basedOn w:val="Normal"/>
    <w:next w:val="Normal"/>
    <w:link w:val="SCCLsocOtherPartyRoleSeparatorChar"/>
    <w:rsid w:val="00FB13AC"/>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FB13AC"/>
    <w:pPr>
      <w:spacing w:after="480"/>
    </w:pPr>
    <w:rPr>
      <w:rFonts w:eastAsiaTheme="minorHAnsi" w:cstheme="minorBidi"/>
      <w:szCs w:val="22"/>
      <w:lang w:eastAsia="en-US"/>
    </w:rPr>
  </w:style>
  <w:style w:type="paragraph" w:customStyle="1" w:styleId="SCCCoram">
    <w:name w:val="SCC.Coram"/>
    <w:basedOn w:val="Normal"/>
    <w:next w:val="Normal"/>
    <w:link w:val="SCCCoramChar"/>
    <w:rsid w:val="00FB13AC"/>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FB13AC"/>
    <w:pPr>
      <w:spacing w:after="480"/>
    </w:pPr>
    <w:rPr>
      <w:rFonts w:eastAsiaTheme="minorHAnsi" w:cstheme="minorBidi"/>
      <w:szCs w:val="22"/>
      <w:lang w:eastAsia="en-US"/>
    </w:rPr>
  </w:style>
  <w:style w:type="character" w:customStyle="1" w:styleId="SCCCoramChar">
    <w:name w:val="SCC.Coram Char"/>
    <w:basedOn w:val="DefaultParagraphFont"/>
    <w:link w:val="SCCCoram"/>
    <w:locked/>
    <w:rsid w:val="00FB13AC"/>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locked/>
    <w:rsid w:val="00FB13AC"/>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locked/>
    <w:rsid w:val="00FB13AC"/>
    <w:rPr>
      <w:rFonts w:ascii="Times New Roman" w:hAnsi="Times New Roman"/>
      <w:sz w:val="24"/>
      <w:lang w:val="en-CA"/>
    </w:rPr>
  </w:style>
  <w:style w:type="character" w:customStyle="1" w:styleId="SCCLsocSubfileSeparatorChar">
    <w:name w:val="SCC.Lsoc.SubfileSeparator Char"/>
    <w:basedOn w:val="DefaultParagraphFont"/>
    <w:link w:val="SCCLsocSubfileSeparator"/>
    <w:locked/>
    <w:rsid w:val="00FB13AC"/>
    <w:rPr>
      <w:rFonts w:ascii="Times New Roman" w:hAnsi="Times New Roman"/>
      <w:sz w:val="24"/>
      <w:lang w:val="en-CA"/>
    </w:rPr>
  </w:style>
  <w:style w:type="character" w:customStyle="1" w:styleId="SCCBanSummaryChar">
    <w:name w:val="SCC.BanSummary Char"/>
    <w:basedOn w:val="DefaultParagraphFont"/>
    <w:link w:val="SCCBanSummary"/>
    <w:locked/>
    <w:rsid w:val="00FB13AC"/>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FB13AC"/>
    <w:rPr>
      <w:color w:val="808080"/>
    </w:rPr>
  </w:style>
  <w:style w:type="paragraph" w:styleId="BalloonText">
    <w:name w:val="Balloon Text"/>
    <w:basedOn w:val="Normal"/>
    <w:link w:val="BalloonTextChar"/>
    <w:uiPriority w:val="99"/>
    <w:semiHidden/>
    <w:unhideWhenUsed/>
    <w:rsid w:val="00FB13AC"/>
    <w:rPr>
      <w:rFonts w:ascii="Tahoma" w:hAnsi="Tahoma" w:cs="Tahoma"/>
      <w:sz w:val="16"/>
      <w:szCs w:val="16"/>
    </w:rPr>
  </w:style>
  <w:style w:type="character" w:customStyle="1" w:styleId="BalloonTextChar">
    <w:name w:val="Balloon Text Char"/>
    <w:basedOn w:val="DefaultParagraphFont"/>
    <w:link w:val="BalloonText"/>
    <w:uiPriority w:val="99"/>
    <w:semiHidden/>
    <w:rsid w:val="00FB13AC"/>
    <w:rPr>
      <w:rFonts w:ascii="Tahoma" w:eastAsia="Times New Roman" w:hAnsi="Tahoma" w:cs="Tahoma"/>
      <w:sz w:val="16"/>
      <w:szCs w:val="16"/>
      <w:lang w:val="en-CA" w:eastAsia="en-CA"/>
    </w:rPr>
  </w:style>
  <w:style w:type="table" w:styleId="TableGrid">
    <w:name w:val="Table Grid"/>
    <w:basedOn w:val="TableNormal"/>
    <w:uiPriority w:val="59"/>
    <w:rsid w:val="00FB13AC"/>
    <w:pPr>
      <w:spacing w:after="0" w:line="240" w:lineRule="auto"/>
    </w:pPr>
    <w:rPr>
      <w:rFonts w:ascii="Times New Roman" w:eastAsia="Times New Roman" w:hAnsi="Times New Roman" w:cs="Times New Roman"/>
      <w:sz w:val="24"/>
      <w:szCs w:val="24"/>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F140A4"/>
    <w:pPr>
      <w:spacing w:after="720" w:line="276" w:lineRule="auto"/>
      <w:ind w:left="1166"/>
      <w:contextualSpacing/>
      <w:jc w:val="both"/>
    </w:pPr>
    <w:rPr>
      <w:rFonts w:asciiTheme="minorHAnsi" w:eastAsiaTheme="minorHAnsi" w:hAnsiTheme="minorHAnsi" w:cstheme="minorBidi"/>
      <w:sz w:val="22"/>
      <w:szCs w:val="22"/>
      <w:lang w:val="en-US" w:eastAsia="en-US"/>
    </w:rPr>
  </w:style>
  <w:style w:type="paragraph" w:styleId="DocumentMap">
    <w:name w:val="Document Map"/>
    <w:basedOn w:val="Normal"/>
    <w:link w:val="DocumentMapChar"/>
    <w:uiPriority w:val="99"/>
    <w:semiHidden/>
    <w:rsid w:val="00F140A4"/>
    <w:pPr>
      <w:spacing w:after="200" w:line="276" w:lineRule="auto"/>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F140A4"/>
    <w:rPr>
      <w:rFonts w:ascii="Tahoma" w:hAnsi="Tahoma" w:cs="Tahoma"/>
      <w:sz w:val="16"/>
      <w:szCs w:val="16"/>
    </w:rPr>
  </w:style>
  <w:style w:type="character" w:styleId="CommentReference">
    <w:name w:val="annotation reference"/>
    <w:basedOn w:val="DefaultParagraphFont"/>
    <w:uiPriority w:val="99"/>
    <w:semiHidden/>
    <w:unhideWhenUsed/>
    <w:rsid w:val="00FB13AC"/>
    <w:rPr>
      <w:sz w:val="16"/>
      <w:szCs w:val="16"/>
    </w:rPr>
  </w:style>
  <w:style w:type="paragraph" w:styleId="CommentText">
    <w:name w:val="annotation text"/>
    <w:basedOn w:val="Normal"/>
    <w:link w:val="CommentTextChar"/>
    <w:uiPriority w:val="99"/>
    <w:semiHidden/>
    <w:unhideWhenUsed/>
    <w:rsid w:val="00FB13AC"/>
    <w:pPr>
      <w:spacing w:after="200" w:line="276" w:lineRule="auto"/>
    </w:pPr>
    <w:rPr>
      <w:rFonts w:ascii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FB13AC"/>
    <w:rPr>
      <w:rFonts w:eastAsia="Times New Roman"/>
      <w:sz w:val="20"/>
    </w:rPr>
  </w:style>
  <w:style w:type="paragraph" w:styleId="CommentSubject">
    <w:name w:val="annotation subject"/>
    <w:basedOn w:val="CommentText"/>
    <w:next w:val="CommentText"/>
    <w:link w:val="CommentSubjectChar"/>
    <w:uiPriority w:val="99"/>
    <w:semiHidden/>
    <w:unhideWhenUsed/>
    <w:rsid w:val="00FB13AC"/>
    <w:rPr>
      <w:b/>
      <w:bCs/>
    </w:rPr>
  </w:style>
  <w:style w:type="character" w:customStyle="1" w:styleId="CommentSubjectChar">
    <w:name w:val="Comment Subject Char"/>
    <w:basedOn w:val="CommentTextChar"/>
    <w:link w:val="CommentSubject"/>
    <w:uiPriority w:val="99"/>
    <w:semiHidden/>
    <w:rsid w:val="00FB13AC"/>
    <w:rPr>
      <w:b/>
      <w:bCs/>
    </w:rPr>
  </w:style>
  <w:style w:type="paragraph" w:styleId="Revision">
    <w:name w:val="Revision"/>
    <w:hidden/>
    <w:uiPriority w:val="99"/>
    <w:semiHidden/>
    <w:rsid w:val="00FB13AC"/>
    <w:pPr>
      <w:spacing w:after="0" w:line="240" w:lineRule="auto"/>
    </w:pPr>
    <w:rPr>
      <w:rFonts w:ascii="Times New Roman" w:eastAsia="Times New Roman" w:hAnsi="Times New Roman" w:cs="Times New Roman"/>
      <w:sz w:val="24"/>
      <w:szCs w:val="20"/>
      <w:lang w:val="en-CA" w:eastAsia="en-CA"/>
    </w:rPr>
  </w:style>
  <w:style w:type="table" w:customStyle="1" w:styleId="Grilledutableau1">
    <w:name w:val="Grille du tableau1"/>
    <w:uiPriority w:val="99"/>
    <w:rsid w:val="00F140A4"/>
    <w:pPr>
      <w:spacing w:after="0" w:line="240" w:lineRule="auto"/>
    </w:pPr>
    <w:rPr>
      <w:rFonts w:ascii="Times New Roman" w:eastAsia="Times New Roman" w:hAnsi="Times New Roman" w:cs="Times New Roman"/>
      <w:sz w:val="24"/>
      <w:szCs w:val="24"/>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2">
    <w:name w:val="Citation2"/>
    <w:basedOn w:val="Normal"/>
    <w:uiPriority w:val="99"/>
    <w:rsid w:val="00F140A4"/>
    <w:pPr>
      <w:spacing w:after="720" w:line="276" w:lineRule="auto"/>
      <w:ind w:left="1166"/>
      <w:jc w:val="both"/>
    </w:pPr>
    <w:rPr>
      <w:rFonts w:asciiTheme="minorHAnsi" w:eastAsiaTheme="minorHAnsi" w:hAnsiTheme="minorHAnsi" w:cstheme="minorBidi"/>
      <w:sz w:val="22"/>
      <w:szCs w:val="22"/>
      <w:lang w:val="en-US" w:eastAsia="en-US"/>
    </w:rPr>
  </w:style>
  <w:style w:type="paragraph" w:customStyle="1" w:styleId="ContinueReasonsNo-AltP">
    <w:name w:val="Continue Reasons No # - Alt P"/>
    <w:next w:val="Normal"/>
    <w:uiPriority w:val="1"/>
    <w:qFormat/>
    <w:rsid w:val="00F140A4"/>
    <w:pPr>
      <w:spacing w:before="480" w:after="480" w:line="480" w:lineRule="auto"/>
      <w:jc w:val="both"/>
    </w:pPr>
    <w:rPr>
      <w:rFonts w:ascii="Times New Roman" w:hAnsi="Times New Roman"/>
      <w:sz w:val="24"/>
      <w:lang w:val="en-CA"/>
    </w:rPr>
  </w:style>
  <w:style w:type="character" w:customStyle="1" w:styleId="c32">
    <w:name w:val="c32"/>
    <w:basedOn w:val="DefaultParagraphFont"/>
    <w:rsid w:val="00F140A4"/>
    <w:rPr>
      <w:color w:val="008888"/>
    </w:rPr>
  </w:style>
  <w:style w:type="character" w:customStyle="1" w:styleId="c42">
    <w:name w:val="c42"/>
    <w:basedOn w:val="DefaultParagraphFont"/>
    <w:rsid w:val="00F140A4"/>
    <w:rPr>
      <w:color w:val="000088"/>
    </w:rPr>
  </w:style>
  <w:style w:type="character" w:customStyle="1" w:styleId="c52">
    <w:name w:val="c52"/>
    <w:basedOn w:val="DefaultParagraphFont"/>
    <w:rsid w:val="00F140A4"/>
    <w:rPr>
      <w:color w:val="880088"/>
    </w:rPr>
  </w:style>
  <w:style w:type="character" w:styleId="Emphasis">
    <w:name w:val="Emphasis"/>
    <w:basedOn w:val="DefaultParagraphFont"/>
    <w:uiPriority w:val="20"/>
    <w:qFormat/>
    <w:rsid w:val="00F140A4"/>
    <w:rPr>
      <w:i/>
      <w:iCs/>
    </w:rPr>
  </w:style>
  <w:style w:type="character" w:customStyle="1" w:styleId="c13">
    <w:name w:val="c13"/>
    <w:basedOn w:val="DefaultParagraphFont"/>
    <w:rsid w:val="00F140A4"/>
    <w:rPr>
      <w:color w:val="888800"/>
    </w:rPr>
  </w:style>
  <w:style w:type="character" w:customStyle="1" w:styleId="c23">
    <w:name w:val="c23"/>
    <w:basedOn w:val="DefaultParagraphFont"/>
    <w:rsid w:val="00F140A4"/>
    <w:rPr>
      <w:color w:val="008800"/>
    </w:rPr>
  </w:style>
  <w:style w:type="paragraph" w:styleId="ListBullet">
    <w:name w:val="List Bullet"/>
    <w:basedOn w:val="Normal"/>
    <w:uiPriority w:val="99"/>
    <w:unhideWhenUsed/>
    <w:rsid w:val="00F140A4"/>
    <w:pPr>
      <w:numPr>
        <w:numId w:val="7"/>
      </w:numPr>
      <w:spacing w:after="200" w:line="276" w:lineRule="auto"/>
      <w:contextualSpacing/>
    </w:pPr>
    <w:rPr>
      <w:rFonts w:asciiTheme="minorHAnsi" w:eastAsiaTheme="minorHAnsi" w:hAnsiTheme="minorHAnsi" w:cstheme="minorBidi"/>
      <w:sz w:val="22"/>
      <w:szCs w:val="22"/>
      <w:lang w:val="en-US" w:eastAsia="en-US"/>
    </w:rPr>
  </w:style>
  <w:style w:type="paragraph" w:customStyle="1" w:styleId="Citation-AltC">
    <w:name w:val="Citation - Alt C"/>
    <w:uiPriority w:val="2"/>
    <w:qFormat/>
    <w:rsid w:val="00FB13AC"/>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FB13AC"/>
    <w:pPr>
      <w:spacing w:before="480" w:after="480" w:line="480" w:lineRule="auto"/>
      <w:jc w:val="both"/>
    </w:pPr>
    <w:rPr>
      <w:rFonts w:ascii="Times New Roman" w:hAnsi="Times New Roman"/>
      <w:sz w:val="24"/>
      <w:lang w:val="en-CA"/>
    </w:rPr>
  </w:style>
  <w:style w:type="paragraph" w:customStyle="1" w:styleId="TitleTitre-AltT">
    <w:name w:val="Title / Titre - Alt T"/>
    <w:next w:val="ParaNoNdepar-AltN"/>
    <w:uiPriority w:val="3"/>
    <w:qFormat/>
    <w:rsid w:val="00FB13AC"/>
    <w:pPr>
      <w:tabs>
        <w:tab w:val="left" w:pos="360"/>
      </w:tabs>
      <w:spacing w:before="480" w:after="720" w:line="240" w:lineRule="auto"/>
      <w:ind w:left="360" w:hanging="360"/>
      <w:jc w:val="both"/>
    </w:pPr>
    <w:rPr>
      <w:rFonts w:ascii="Times New Roman" w:hAnsi="Times New Roman"/>
      <w:sz w:val="24"/>
      <w:lang w:val="en-CA"/>
    </w:rPr>
  </w:style>
  <w:style w:type="paragraph" w:customStyle="1" w:styleId="JudgeJuge">
    <w:name w:val="Judge / Juge"/>
    <w:uiPriority w:val="3"/>
    <w:rsid w:val="00FB13AC"/>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FB13AC"/>
    <w:pPr>
      <w:numPr>
        <w:numId w:val="9"/>
      </w:numPr>
      <w:tabs>
        <w:tab w:val="clear" w:pos="1152"/>
        <w:tab w:val="left" w:pos="1166"/>
      </w:tabs>
      <w:spacing w:before="480" w:after="480" w:line="480" w:lineRule="auto"/>
      <w:jc w:val="both"/>
    </w:pPr>
    <w:rPr>
      <w:rFonts w:ascii="Times New Roman" w:eastAsiaTheme="minorEastAsia" w:hAnsi="Times New Roman"/>
      <w:sz w:val="24"/>
      <w:lang w:val="en-CA"/>
    </w:rPr>
  </w:style>
  <w:style w:type="table" w:customStyle="1" w:styleId="TableGrid1">
    <w:name w:val="Table Grid1"/>
    <w:basedOn w:val="TableNormal"/>
    <w:next w:val="TableGrid"/>
    <w:uiPriority w:val="59"/>
    <w:rsid w:val="00FB13AC"/>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FB13AC"/>
    <w:rPr>
      <w:b/>
      <w:bCs/>
    </w:rPr>
  </w:style>
  <w:style w:type="paragraph" w:customStyle="1" w:styleId="SCCLsocPartyRole">
    <w:name w:val="SCC.Lsoc.PartyRole"/>
    <w:basedOn w:val="Normal"/>
    <w:next w:val="Normal"/>
    <w:link w:val="SCCLsocPartyRoleChar"/>
    <w:rsid w:val="00FB13AC"/>
    <w:pPr>
      <w:jc w:val="right"/>
    </w:pPr>
    <w:rPr>
      <w:i/>
    </w:rPr>
  </w:style>
  <w:style w:type="character" w:customStyle="1" w:styleId="SCCLsocPartyRoleChar">
    <w:name w:val="SCC.Lsoc.PartyRole Char"/>
    <w:basedOn w:val="DefaultParagraphFont"/>
    <w:link w:val="SCCLsocPartyRole"/>
    <w:rsid w:val="00FB13AC"/>
    <w:rPr>
      <w:rFonts w:ascii="Times New Roman" w:eastAsia="Times New Roman" w:hAnsi="Times New Roman" w:cs="Times New Roman"/>
      <w:i/>
      <w:sz w:val="24"/>
      <w:szCs w:val="24"/>
      <w:lang w:val="en-CA" w:eastAsia="en-CA"/>
    </w:rPr>
  </w:style>
  <w:style w:type="paragraph" w:customStyle="1" w:styleId="SCCPartyRole">
    <w:name w:val="SCC.PartyRole"/>
    <w:basedOn w:val="SCCNormalDoubleSpacing"/>
    <w:next w:val="SCCNormalDoubleSpacing"/>
    <w:link w:val="SCCPartyRoleChar"/>
    <w:rsid w:val="00FB13AC"/>
  </w:style>
  <w:style w:type="character" w:customStyle="1" w:styleId="SCCPartyRoleChar">
    <w:name w:val="SCC.PartyRole Char"/>
    <w:basedOn w:val="SCCNormalDoubleSpacingChar"/>
    <w:link w:val="SCCPartyRole"/>
    <w:rsid w:val="00FB13AC"/>
  </w:style>
  <w:style w:type="character" w:customStyle="1" w:styleId="NoSpacingChar">
    <w:name w:val="No Spacing Char"/>
    <w:basedOn w:val="DefaultParagraphFont"/>
    <w:link w:val="NoSpacing"/>
    <w:uiPriority w:val="1"/>
    <w:rsid w:val="00FB13AC"/>
    <w:rPr>
      <w:rFonts w:ascii="Times New Roman" w:eastAsia="Times New Roman" w:hAnsi="Times New Roman" w:cs="Times New Roman"/>
      <w:sz w:val="24"/>
      <w:szCs w:val="20"/>
      <w:lang w:val="en-CA" w:eastAsia="en-CA"/>
    </w:rPr>
  </w:style>
  <w:style w:type="paragraph" w:styleId="FootnoteText">
    <w:name w:val="footnote text"/>
    <w:basedOn w:val="Normal"/>
    <w:link w:val="FootnoteTextChar"/>
    <w:uiPriority w:val="99"/>
    <w:semiHidden/>
    <w:unhideWhenUsed/>
    <w:rsid w:val="00FB13AC"/>
    <w:pPr>
      <w:spacing w:after="200" w:line="276" w:lineRule="auto"/>
    </w:pPr>
    <w:rPr>
      <w:rFonts w:asciiTheme="minorHAnsi"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FB13AC"/>
    <w:rPr>
      <w:rFonts w:eastAsia="Times New Roman"/>
      <w:sz w:val="20"/>
    </w:rPr>
  </w:style>
  <w:style w:type="table" w:customStyle="1" w:styleId="TableGrid2">
    <w:name w:val="Table Grid2"/>
    <w:basedOn w:val="TableNormal"/>
    <w:next w:val="TableGrid"/>
    <w:uiPriority w:val="59"/>
    <w:rsid w:val="00FB13AC"/>
    <w:pPr>
      <w:spacing w:after="0" w:line="240" w:lineRule="auto"/>
    </w:pPr>
    <w:rPr>
      <w:rFonts w:ascii="Times New Roman" w:eastAsia="Times New Roman" w:hAnsi="Times New Roman" w:cs="Times New Roman"/>
      <w:sz w:val="24"/>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B13AC"/>
    <w:pPr>
      <w:tabs>
        <w:tab w:val="left" w:pos="630"/>
        <w:tab w:val="right" w:leader="dot" w:pos="8270"/>
      </w:tabs>
      <w:spacing w:before="120" w:after="120"/>
      <w:ind w:left="630" w:hanging="63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nstonv\My%20Documents\Fraser-fr%20Oct%2020%20with%20Automatic%20To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57C9-7C35-45B1-8928-2E688B52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Fraser-fr Oct 20 with Automatic ToC.docx</Template>
  <TotalTime>1</TotalTime>
  <Pages>117</Pages>
  <Words>28554</Words>
  <Characters>157052</Characters>
  <Application>Microsoft Office Word</Application>
  <DocSecurity>0</DocSecurity>
  <Lines>1308</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SCC-CSC</Company>
  <LinksUpToDate>false</LinksUpToDate>
  <CharactersWithSpaces>185236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cp:revision>
  <cp:lastPrinted>2011-11-10T15:17:00Z</cp:lastPrinted>
  <dcterms:created xsi:type="dcterms:W3CDTF">2011-11-10T15:16:00Z</dcterms:created>
  <dcterms:modified xsi:type="dcterms:W3CDTF">2011-11-10T15:17:00Z</dcterms:modified>
</cp:coreProperties>
</file>