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8B" w:rsidRPr="000B2D24" w:rsidRDefault="005F098B" w:rsidP="005F098B">
      <w:pPr>
        <w:tabs>
          <w:tab w:val="center" w:pos="4680"/>
          <w:tab w:val="right" w:pos="9360"/>
        </w:tabs>
        <w:rPr>
          <w:rFonts w:eastAsiaTheme="minorHAnsi" w:cstheme="minorBidi"/>
          <w:szCs w:val="24"/>
          <w:lang w:eastAsia="en-US"/>
        </w:rPr>
      </w:pPr>
      <w:r w:rsidRPr="000B2D24">
        <w:rPr>
          <w:rFonts w:eastAsiaTheme="minorHAnsi" w:cstheme="minorBidi"/>
          <w:szCs w:val="24"/>
          <w:lang w:eastAsia="en-US"/>
        </w:rPr>
        <w:ptab w:relativeTo="margin" w:alignment="center" w:leader="none"/>
      </w:r>
      <w:r w:rsidRPr="000B2D24">
        <w:rPr>
          <w:rFonts w:eastAsiaTheme="minorHAnsi" w:cstheme="minorBidi"/>
          <w:szCs w:val="24"/>
          <w:lang w:eastAsia="en-US"/>
        </w:rPr>
        <w:t xml:space="preserve"> </w:t>
      </w:r>
      <w:r w:rsidRPr="000B2D2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5207566" r:id="rId9"/>
        </w:object>
      </w:r>
      <w:r w:rsidRPr="000B2D24">
        <w:rPr>
          <w:rFonts w:eastAsiaTheme="minorHAnsi" w:cstheme="minorBidi"/>
          <w:szCs w:val="24"/>
          <w:lang w:eastAsia="en-US"/>
        </w:rPr>
        <w:t xml:space="preserve"> </w:t>
      </w:r>
      <w:r w:rsidRPr="000B2D24">
        <w:rPr>
          <w:rFonts w:eastAsiaTheme="minorHAnsi" w:cstheme="minorBidi"/>
          <w:szCs w:val="24"/>
          <w:lang w:eastAsia="en-US"/>
        </w:rPr>
        <w:ptab w:relativeTo="margin" w:alignment="right" w:leader="none"/>
      </w:r>
    </w:p>
    <w:p w:rsidR="005F098B" w:rsidRPr="000B2D24" w:rsidRDefault="005F098B" w:rsidP="005F098B">
      <w:pPr>
        <w:tabs>
          <w:tab w:val="center" w:pos="4680"/>
          <w:tab w:val="right" w:pos="9360"/>
        </w:tabs>
        <w:rPr>
          <w:rFonts w:eastAsiaTheme="minorHAnsi" w:cstheme="minorBidi"/>
          <w:szCs w:val="24"/>
          <w:lang w:eastAsia="en-US"/>
        </w:rPr>
      </w:pPr>
    </w:p>
    <w:p w:rsidR="005F098B" w:rsidRPr="000B2D24" w:rsidRDefault="005F098B" w:rsidP="005F098B">
      <w:pPr>
        <w:jc w:val="center"/>
        <w:rPr>
          <w:rFonts w:eastAsiaTheme="minorHAnsi" w:cstheme="minorBidi"/>
          <w:b/>
          <w:szCs w:val="24"/>
          <w:lang w:eastAsia="en-US"/>
        </w:rPr>
      </w:pPr>
      <w:r w:rsidRPr="000B2D24">
        <w:rPr>
          <w:rFonts w:eastAsiaTheme="minorHAnsi" w:cstheme="minorBidi"/>
          <w:b/>
          <w:szCs w:val="24"/>
          <w:lang w:eastAsia="en-US"/>
        </w:rPr>
        <w:t>COUR SUPRÊME DU CANADA</w:t>
      </w:r>
    </w:p>
    <w:p w:rsidR="005F098B" w:rsidRPr="000B2D24" w:rsidRDefault="005F098B" w:rsidP="005F098B">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F098B" w:rsidRPr="000B2D24" w:rsidTr="00540EA9">
        <w:trPr>
          <w:cantSplit/>
        </w:trPr>
        <w:tc>
          <w:tcPr>
            <w:tcW w:w="6768" w:type="dxa"/>
          </w:tcPr>
          <w:p w:rsidR="005F098B" w:rsidRPr="000B2D24" w:rsidRDefault="005F098B" w:rsidP="00540EA9">
            <w:r w:rsidRPr="000B2D24">
              <w:rPr>
                <w:b/>
                <w:smallCaps/>
              </w:rPr>
              <w:t>Référence :</w:t>
            </w:r>
            <w:r w:rsidRPr="000B2D24">
              <w:t xml:space="preserve"> Hypothèques </w:t>
            </w:r>
            <w:proofErr w:type="spellStart"/>
            <w:r w:rsidRPr="000B2D24">
              <w:t>Trustco</w:t>
            </w:r>
            <w:proofErr w:type="spellEnd"/>
            <w:r w:rsidRPr="000B2D24">
              <w:t xml:space="preserve"> Canada </w:t>
            </w:r>
            <w:r w:rsidRPr="000B2D24">
              <w:rPr>
                <w:i/>
              </w:rPr>
              <w:t>c.</w:t>
            </w:r>
            <w:r w:rsidRPr="000B2D24">
              <w:t xml:space="preserve"> Canada, </w:t>
            </w:r>
          </w:p>
          <w:p w:rsidR="005F098B" w:rsidRPr="000B2D24" w:rsidRDefault="005F098B" w:rsidP="00540EA9">
            <w:r w:rsidRPr="000B2D24">
              <w:t>2011 CSC 36</w:t>
            </w:r>
            <w:r w:rsidRPr="005F098B">
              <w:rPr>
                <w:rStyle w:val="SCCRespondentForRunningHeadChar"/>
              </w:rPr>
              <w:t>, [2011] 2 R.C.S. 635</w:t>
            </w:r>
          </w:p>
        </w:tc>
        <w:tc>
          <w:tcPr>
            <w:tcW w:w="2808" w:type="dxa"/>
          </w:tcPr>
          <w:p w:rsidR="005F098B" w:rsidRPr="000B2D24" w:rsidRDefault="005F098B" w:rsidP="00540EA9">
            <w:r w:rsidRPr="000B2D24">
              <w:rPr>
                <w:b/>
                <w:smallCaps/>
              </w:rPr>
              <w:t>Date :</w:t>
            </w:r>
            <w:r w:rsidRPr="000B2D24">
              <w:t xml:space="preserve"> 20110715</w:t>
            </w:r>
          </w:p>
          <w:p w:rsidR="005F098B" w:rsidRPr="000B2D24" w:rsidRDefault="005F098B" w:rsidP="00540EA9">
            <w:r w:rsidRPr="000B2D24">
              <w:rPr>
                <w:b/>
                <w:smallCaps/>
              </w:rPr>
              <w:t>Dossier :</w:t>
            </w:r>
            <w:r w:rsidRPr="000B2D24">
              <w:t xml:space="preserve"> 33422</w:t>
            </w:r>
          </w:p>
        </w:tc>
      </w:tr>
    </w:tbl>
    <w:p w:rsidR="005F098B" w:rsidRPr="000B2D24" w:rsidRDefault="005F098B" w:rsidP="005F098B">
      <w:pPr>
        <w:rPr>
          <w:rFonts w:eastAsiaTheme="minorHAnsi" w:cstheme="minorBidi"/>
          <w:szCs w:val="24"/>
          <w:lang w:eastAsia="en-US"/>
        </w:rPr>
      </w:pPr>
    </w:p>
    <w:p w:rsidR="005F098B" w:rsidRPr="000B2D24" w:rsidRDefault="005F098B" w:rsidP="005F098B">
      <w:pPr>
        <w:rPr>
          <w:rFonts w:eastAsiaTheme="minorHAnsi" w:cstheme="minorBidi"/>
          <w:b/>
          <w:smallCaps/>
          <w:szCs w:val="24"/>
          <w:lang w:eastAsia="en-US"/>
        </w:rPr>
      </w:pPr>
      <w:r w:rsidRPr="000B2D24">
        <w:rPr>
          <w:rFonts w:eastAsiaTheme="minorHAnsi" w:cstheme="minorBidi"/>
          <w:b/>
          <w:smallCaps/>
          <w:szCs w:val="24"/>
          <w:lang w:eastAsia="en-US"/>
        </w:rPr>
        <w:t>Entre :</w:t>
      </w:r>
    </w:p>
    <w:p w:rsidR="005F098B" w:rsidRPr="000B2D24" w:rsidRDefault="005F098B" w:rsidP="005F098B">
      <w:pPr>
        <w:jc w:val="center"/>
        <w:rPr>
          <w:rFonts w:eastAsiaTheme="minorHAnsi" w:cstheme="minorBidi"/>
          <w:b/>
          <w:szCs w:val="24"/>
          <w:lang w:eastAsia="en-US"/>
        </w:rPr>
      </w:pPr>
      <w:r w:rsidRPr="000B2D24">
        <w:rPr>
          <w:rFonts w:eastAsiaTheme="minorHAnsi" w:cstheme="minorBidi"/>
          <w:b/>
          <w:szCs w:val="24"/>
          <w:lang w:eastAsia="en-US"/>
        </w:rPr>
        <w:t xml:space="preserve">Hypothèques </w:t>
      </w:r>
      <w:proofErr w:type="spellStart"/>
      <w:r w:rsidRPr="000B2D24">
        <w:rPr>
          <w:rFonts w:eastAsiaTheme="minorHAnsi" w:cstheme="minorBidi"/>
          <w:b/>
          <w:szCs w:val="24"/>
          <w:lang w:eastAsia="en-US"/>
        </w:rPr>
        <w:t>Trustco</w:t>
      </w:r>
      <w:proofErr w:type="spellEnd"/>
      <w:r w:rsidRPr="000B2D24">
        <w:rPr>
          <w:rFonts w:eastAsiaTheme="minorHAnsi" w:cstheme="minorBidi"/>
          <w:b/>
          <w:szCs w:val="24"/>
          <w:lang w:eastAsia="en-US"/>
        </w:rPr>
        <w:t xml:space="preserve"> Canada</w:t>
      </w:r>
    </w:p>
    <w:p w:rsidR="005F098B" w:rsidRPr="000B2D24" w:rsidRDefault="005F098B" w:rsidP="005F098B">
      <w:pPr>
        <w:jc w:val="center"/>
        <w:rPr>
          <w:rFonts w:eastAsiaTheme="minorHAnsi" w:cstheme="minorBidi"/>
          <w:szCs w:val="24"/>
          <w:lang w:eastAsia="en-US"/>
        </w:rPr>
      </w:pPr>
      <w:r w:rsidRPr="000B2D24">
        <w:rPr>
          <w:rFonts w:eastAsiaTheme="minorHAnsi" w:cstheme="minorBidi"/>
          <w:szCs w:val="24"/>
          <w:lang w:eastAsia="en-US"/>
        </w:rPr>
        <w:t>Appelante</w:t>
      </w:r>
    </w:p>
    <w:p w:rsidR="005F098B" w:rsidRPr="000B2D24" w:rsidRDefault="005F098B" w:rsidP="005F098B">
      <w:pPr>
        <w:jc w:val="center"/>
        <w:rPr>
          <w:rFonts w:eastAsiaTheme="minorHAnsi" w:cstheme="minorBidi"/>
          <w:szCs w:val="24"/>
          <w:lang w:eastAsia="en-US"/>
        </w:rPr>
      </w:pPr>
      <w:proofErr w:type="gramStart"/>
      <w:r w:rsidRPr="000B2D24">
        <w:rPr>
          <w:rFonts w:eastAsiaTheme="minorHAnsi" w:cstheme="minorBidi"/>
          <w:szCs w:val="24"/>
          <w:lang w:eastAsia="en-US"/>
        </w:rPr>
        <w:t>et</w:t>
      </w:r>
      <w:proofErr w:type="gramEnd"/>
    </w:p>
    <w:p w:rsidR="005F098B" w:rsidRPr="000B2D24" w:rsidRDefault="005F098B" w:rsidP="005F098B">
      <w:pPr>
        <w:jc w:val="center"/>
        <w:rPr>
          <w:rFonts w:eastAsiaTheme="minorHAnsi" w:cstheme="minorBidi"/>
          <w:b/>
          <w:szCs w:val="24"/>
          <w:lang w:eastAsia="en-US"/>
        </w:rPr>
      </w:pPr>
      <w:r w:rsidRPr="000B2D24">
        <w:rPr>
          <w:rFonts w:eastAsiaTheme="minorHAnsi" w:cstheme="minorBidi"/>
          <w:b/>
          <w:szCs w:val="24"/>
          <w:lang w:eastAsia="en-US"/>
        </w:rPr>
        <w:t>Sa Majesté la Reine</w:t>
      </w:r>
    </w:p>
    <w:p w:rsidR="005F098B" w:rsidRPr="000B2D24" w:rsidRDefault="005F098B" w:rsidP="005F098B">
      <w:pPr>
        <w:jc w:val="center"/>
        <w:rPr>
          <w:rFonts w:eastAsiaTheme="minorHAnsi" w:cstheme="minorBidi"/>
          <w:szCs w:val="24"/>
          <w:lang w:eastAsia="en-US"/>
        </w:rPr>
      </w:pPr>
      <w:r w:rsidRPr="000B2D24">
        <w:rPr>
          <w:rFonts w:eastAsiaTheme="minorHAnsi" w:cstheme="minorBidi"/>
          <w:szCs w:val="24"/>
          <w:lang w:eastAsia="en-US"/>
        </w:rPr>
        <w:t>Intimée</w:t>
      </w:r>
    </w:p>
    <w:p w:rsidR="005F098B" w:rsidRPr="000B2D24" w:rsidRDefault="005F098B" w:rsidP="005F098B">
      <w:pPr>
        <w:rPr>
          <w:rFonts w:eastAsiaTheme="minorHAnsi" w:cstheme="minorBidi"/>
          <w:szCs w:val="24"/>
          <w:lang w:eastAsia="en-US"/>
        </w:rPr>
      </w:pPr>
    </w:p>
    <w:p w:rsidR="005F098B" w:rsidRPr="000B2D24" w:rsidRDefault="005F098B" w:rsidP="005F098B">
      <w:pPr>
        <w:rPr>
          <w:rFonts w:eastAsiaTheme="minorHAnsi" w:cstheme="minorBidi"/>
          <w:szCs w:val="24"/>
          <w:lang w:eastAsia="en-US"/>
        </w:rPr>
      </w:pPr>
    </w:p>
    <w:p w:rsidR="005F098B" w:rsidRPr="000B2D24" w:rsidRDefault="005F098B" w:rsidP="005F098B">
      <w:pPr>
        <w:jc w:val="center"/>
        <w:rPr>
          <w:rFonts w:eastAsiaTheme="minorHAnsi" w:cstheme="minorBidi"/>
          <w:b/>
          <w:smallCaps/>
          <w:szCs w:val="24"/>
          <w:lang w:eastAsia="en-US"/>
        </w:rPr>
      </w:pPr>
      <w:r w:rsidRPr="000B2D24">
        <w:rPr>
          <w:rFonts w:eastAsiaTheme="minorHAnsi" w:cstheme="minorBidi"/>
          <w:b/>
          <w:smallCaps/>
          <w:szCs w:val="24"/>
          <w:lang w:eastAsia="en-US"/>
        </w:rPr>
        <w:t>Traduction française officielle</w:t>
      </w:r>
    </w:p>
    <w:p w:rsidR="005F098B" w:rsidRPr="000B2D24" w:rsidRDefault="005F098B" w:rsidP="005F098B">
      <w:pPr>
        <w:rPr>
          <w:rFonts w:eastAsiaTheme="minorHAnsi" w:cstheme="minorBidi"/>
          <w:szCs w:val="24"/>
          <w:lang w:eastAsia="en-US"/>
        </w:rPr>
      </w:pPr>
    </w:p>
    <w:p w:rsidR="005F098B" w:rsidRPr="000B2D24" w:rsidRDefault="005F098B" w:rsidP="005F098B">
      <w:pPr>
        <w:rPr>
          <w:rFonts w:eastAsiaTheme="minorHAnsi" w:cstheme="minorBidi"/>
          <w:szCs w:val="24"/>
          <w:lang w:eastAsia="en-US"/>
        </w:rPr>
      </w:pPr>
      <w:r w:rsidRPr="000B2D24">
        <w:rPr>
          <w:rFonts w:eastAsiaTheme="minorHAnsi" w:cstheme="minorBidi"/>
          <w:b/>
          <w:smallCaps/>
          <w:szCs w:val="24"/>
          <w:lang w:eastAsia="en-US"/>
        </w:rPr>
        <w:t>Coram :</w:t>
      </w:r>
      <w:r w:rsidRPr="000B2D24">
        <w:rPr>
          <w:rFonts w:eastAsiaTheme="minorHAnsi" w:cstheme="minorBidi"/>
          <w:szCs w:val="24"/>
          <w:lang w:eastAsia="en-US"/>
        </w:rPr>
        <w:t xml:space="preserve"> La juge en chef </w:t>
      </w:r>
      <w:proofErr w:type="spellStart"/>
      <w:r w:rsidRPr="000B2D24">
        <w:rPr>
          <w:rFonts w:eastAsiaTheme="minorHAnsi" w:cstheme="minorBidi"/>
          <w:szCs w:val="24"/>
          <w:lang w:eastAsia="en-US"/>
        </w:rPr>
        <w:t>McLachlin</w:t>
      </w:r>
      <w:proofErr w:type="spellEnd"/>
      <w:r w:rsidRPr="000B2D24">
        <w:rPr>
          <w:rFonts w:eastAsiaTheme="minorHAnsi" w:cstheme="minorBidi"/>
          <w:szCs w:val="24"/>
          <w:lang w:eastAsia="en-US"/>
        </w:rPr>
        <w:t xml:space="preserve"> et les juges </w:t>
      </w:r>
      <w:proofErr w:type="spellStart"/>
      <w:r w:rsidRPr="000B2D24">
        <w:rPr>
          <w:rFonts w:eastAsiaTheme="minorHAnsi" w:cstheme="minorBidi"/>
          <w:szCs w:val="24"/>
          <w:lang w:eastAsia="en-US"/>
        </w:rPr>
        <w:t>Binnie</w:t>
      </w:r>
      <w:proofErr w:type="spellEnd"/>
      <w:r w:rsidRPr="000B2D24">
        <w:rPr>
          <w:rFonts w:eastAsiaTheme="minorHAnsi" w:cstheme="minorBidi"/>
          <w:szCs w:val="24"/>
          <w:lang w:eastAsia="en-US"/>
        </w:rPr>
        <w:t xml:space="preserve">, Deschamps, Fish, Abella, </w:t>
      </w:r>
      <w:proofErr w:type="spellStart"/>
      <w:r w:rsidRPr="000B2D24">
        <w:rPr>
          <w:rFonts w:eastAsiaTheme="minorHAnsi" w:cstheme="minorBidi"/>
          <w:szCs w:val="24"/>
          <w:lang w:eastAsia="en-US"/>
        </w:rPr>
        <w:t>Rothstein</w:t>
      </w:r>
      <w:proofErr w:type="spellEnd"/>
      <w:r w:rsidRPr="000B2D24">
        <w:rPr>
          <w:rFonts w:eastAsiaTheme="minorHAnsi" w:cstheme="minorBidi"/>
          <w:szCs w:val="24"/>
          <w:lang w:eastAsia="en-US"/>
        </w:rPr>
        <w:t xml:space="preserve"> et Cromwell</w:t>
      </w:r>
    </w:p>
    <w:p w:rsidR="005F098B" w:rsidRPr="000B2D24" w:rsidRDefault="005F098B" w:rsidP="005F098B">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F098B" w:rsidRPr="000B2D24" w:rsidTr="00540EA9">
        <w:trPr>
          <w:cantSplit/>
        </w:trPr>
        <w:tc>
          <w:tcPr>
            <w:tcW w:w="3618" w:type="dxa"/>
          </w:tcPr>
          <w:p w:rsidR="005F098B" w:rsidRPr="000B2D24" w:rsidRDefault="005F098B" w:rsidP="00540EA9">
            <w:pPr>
              <w:rPr>
                <w:b/>
                <w:smallCaps/>
              </w:rPr>
            </w:pPr>
            <w:r w:rsidRPr="000B2D24">
              <w:rPr>
                <w:b/>
                <w:smallCaps/>
              </w:rPr>
              <w:t>Motifs de jugement :</w:t>
            </w:r>
          </w:p>
          <w:p w:rsidR="005F098B" w:rsidRPr="000B2D24" w:rsidRDefault="005F098B" w:rsidP="00540EA9">
            <w:r w:rsidRPr="000B2D24">
              <w:t>(par. 1 à 55)</w:t>
            </w:r>
          </w:p>
          <w:p w:rsidR="005F098B" w:rsidRPr="000B2D24" w:rsidRDefault="005F098B" w:rsidP="00540EA9"/>
          <w:p w:rsidR="005F098B" w:rsidRPr="000B2D24" w:rsidRDefault="005F098B" w:rsidP="00540EA9">
            <w:pPr>
              <w:rPr>
                <w:b/>
                <w:smallCaps/>
              </w:rPr>
            </w:pPr>
            <w:r w:rsidRPr="000B2D24">
              <w:rPr>
                <w:b/>
                <w:smallCaps/>
              </w:rPr>
              <w:t>Motifs dissidents :</w:t>
            </w:r>
          </w:p>
          <w:p w:rsidR="005F098B" w:rsidRPr="000B2D24" w:rsidRDefault="005F098B" w:rsidP="00540EA9">
            <w:pPr>
              <w:rPr>
                <w:b/>
                <w:smallCaps/>
              </w:rPr>
            </w:pPr>
            <w:r w:rsidRPr="000B2D24">
              <w:t>(par. 56 à 85)</w:t>
            </w:r>
          </w:p>
        </w:tc>
        <w:tc>
          <w:tcPr>
            <w:tcW w:w="5958" w:type="dxa"/>
          </w:tcPr>
          <w:p w:rsidR="005F098B" w:rsidRPr="000B2D24" w:rsidRDefault="005F098B" w:rsidP="00540EA9">
            <w:r w:rsidRPr="000B2D24">
              <w:t xml:space="preserve">La juge Deschamps (avec l’accord des juges </w:t>
            </w:r>
            <w:proofErr w:type="spellStart"/>
            <w:r w:rsidRPr="000B2D24">
              <w:t>Binnie</w:t>
            </w:r>
            <w:proofErr w:type="spellEnd"/>
            <w:r w:rsidRPr="000B2D24">
              <w:t xml:space="preserve">, </w:t>
            </w:r>
            <w:proofErr w:type="spellStart"/>
            <w:r w:rsidRPr="000B2D24">
              <w:t>Rothstein</w:t>
            </w:r>
            <w:proofErr w:type="spellEnd"/>
            <w:r w:rsidRPr="000B2D24">
              <w:t xml:space="preserve"> et Cromwell)</w:t>
            </w:r>
          </w:p>
          <w:p w:rsidR="005F098B" w:rsidRPr="000B2D24" w:rsidRDefault="005F098B" w:rsidP="00540EA9"/>
          <w:p w:rsidR="005F098B" w:rsidRPr="000B2D24" w:rsidRDefault="005F098B" w:rsidP="00540EA9">
            <w:r w:rsidRPr="000B2D24">
              <w:t xml:space="preserve">La juge en chef </w:t>
            </w:r>
            <w:proofErr w:type="spellStart"/>
            <w:r w:rsidRPr="000B2D24">
              <w:t>McLachlin</w:t>
            </w:r>
            <w:proofErr w:type="spellEnd"/>
            <w:r w:rsidRPr="000B2D24">
              <w:t xml:space="preserve"> (avec l’accord des juges Fish et Abella)</w:t>
            </w:r>
          </w:p>
        </w:tc>
      </w:tr>
    </w:tbl>
    <w:p w:rsidR="005F098B" w:rsidRPr="000B2D24" w:rsidRDefault="005F098B" w:rsidP="005F098B">
      <w:pPr>
        <w:rPr>
          <w:rFonts w:eastAsiaTheme="minorHAnsi" w:cstheme="minorBidi"/>
          <w:szCs w:val="24"/>
          <w:lang w:eastAsia="en-US"/>
        </w:rPr>
      </w:pPr>
    </w:p>
    <w:p w:rsidR="005F098B" w:rsidRPr="000B2D24" w:rsidRDefault="005F098B" w:rsidP="005F098B">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5F098B" w:rsidRPr="000B2D24" w:rsidRDefault="005F098B" w:rsidP="005F098B">
      <w:pPr>
        <w:rPr>
          <w:rStyle w:val="SCCAppellantForRunningHeadChar"/>
          <w:szCs w:val="24"/>
        </w:rPr>
      </w:pPr>
      <w:r w:rsidRPr="000B2D24">
        <w:rPr>
          <w:rStyle w:val="SCCAppellantForRunningHeadChar"/>
          <w:szCs w:val="24"/>
        </w:rPr>
        <w:br w:type="page"/>
      </w:r>
    </w:p>
    <w:p w:rsidR="008322BD" w:rsidRPr="007039B9" w:rsidRDefault="00462786" w:rsidP="00F047F7">
      <w:pPr>
        <w:spacing w:after="720"/>
        <w:jc w:val="both"/>
        <w:rPr>
          <w:szCs w:val="24"/>
        </w:rPr>
      </w:pPr>
      <w:r w:rsidRPr="00462786">
        <w:rPr>
          <w:rStyle w:val="SCCAppellantForIndexChar"/>
          <w:b w:val="0"/>
          <w:szCs w:val="24"/>
        </w:rPr>
        <w:lastRenderedPageBreak/>
        <w:t xml:space="preserve">Hypothèques </w:t>
      </w:r>
      <w:proofErr w:type="spellStart"/>
      <w:r w:rsidRPr="00462786">
        <w:rPr>
          <w:rStyle w:val="SCCAppellantForIndexChar"/>
          <w:b w:val="0"/>
          <w:szCs w:val="24"/>
        </w:rPr>
        <w:t>Trustco</w:t>
      </w:r>
      <w:proofErr w:type="spellEnd"/>
      <w:r w:rsidRPr="00462786">
        <w:rPr>
          <w:rStyle w:val="SCCAppellantForIndexChar"/>
          <w:b w:val="0"/>
          <w:szCs w:val="24"/>
        </w:rPr>
        <w:t xml:space="preserve"> Canada</w:t>
      </w:r>
      <w:r w:rsidRPr="00462786">
        <w:rPr>
          <w:szCs w:val="24"/>
        </w:rPr>
        <w:t xml:space="preserve"> </w:t>
      </w:r>
      <w:r w:rsidRPr="00462786">
        <w:rPr>
          <w:i/>
          <w:szCs w:val="24"/>
        </w:rPr>
        <w:t>c.</w:t>
      </w:r>
      <w:r w:rsidRPr="00462786">
        <w:rPr>
          <w:szCs w:val="24"/>
        </w:rPr>
        <w:t xml:space="preserve"> Canada</w:t>
      </w:r>
      <w:r>
        <w:rPr>
          <w:smallCaps/>
          <w:szCs w:val="24"/>
        </w:rPr>
        <w:t xml:space="preserve">, </w:t>
      </w:r>
      <w:r w:rsidRPr="005F098B">
        <w:rPr>
          <w:rStyle w:val="SCCRespondentForRunningHeadChar"/>
        </w:rPr>
        <w:t>2011 CSC 36, [2011] 2 R.C.S. 635</w:t>
      </w:r>
    </w:p>
    <w:p w:rsidR="00A1328B" w:rsidRPr="007039B9" w:rsidRDefault="00933468" w:rsidP="00F047F7">
      <w:pPr>
        <w:pStyle w:val="SCCLsocParty"/>
        <w:tabs>
          <w:tab w:val="right" w:pos="8222"/>
        </w:tabs>
        <w:spacing w:after="720"/>
        <w:rPr>
          <w:szCs w:val="24"/>
        </w:rPr>
      </w:pPr>
      <w:r w:rsidRPr="007039B9">
        <w:rPr>
          <w:szCs w:val="24"/>
        </w:rPr>
        <w:t xml:space="preserve">Hypothèques </w:t>
      </w:r>
      <w:proofErr w:type="spellStart"/>
      <w:r w:rsidRPr="007039B9">
        <w:rPr>
          <w:szCs w:val="24"/>
        </w:rPr>
        <w:t>Trustco</w:t>
      </w:r>
      <w:proofErr w:type="spellEnd"/>
      <w:r w:rsidRPr="007039B9">
        <w:rPr>
          <w:szCs w:val="24"/>
        </w:rPr>
        <w:t xml:space="preserve"> Canada</w:t>
      </w:r>
      <w:r w:rsidR="00F047F7" w:rsidRPr="007039B9">
        <w:rPr>
          <w:szCs w:val="24"/>
        </w:rPr>
        <w:t xml:space="preserve"> </w:t>
      </w:r>
      <w:r w:rsidR="00F047F7" w:rsidRPr="007039B9">
        <w:rPr>
          <w:szCs w:val="24"/>
        </w:rPr>
        <w:tab/>
      </w:r>
      <w:r w:rsidR="00F047F7" w:rsidRPr="007039B9">
        <w:rPr>
          <w:b w:val="0"/>
          <w:i/>
          <w:szCs w:val="24"/>
        </w:rPr>
        <w:t>Appelante</w:t>
      </w:r>
    </w:p>
    <w:p w:rsidR="00F047F7" w:rsidRPr="007039B9" w:rsidRDefault="00933468" w:rsidP="00F047F7">
      <w:pPr>
        <w:pStyle w:val="SCCLsocVersus"/>
        <w:spacing w:after="720"/>
        <w:rPr>
          <w:szCs w:val="24"/>
        </w:rPr>
      </w:pPr>
      <w:proofErr w:type="gramStart"/>
      <w:r w:rsidRPr="007039B9">
        <w:rPr>
          <w:szCs w:val="24"/>
        </w:rPr>
        <w:t>c</w:t>
      </w:r>
      <w:proofErr w:type="gramEnd"/>
      <w:r w:rsidRPr="007039B9">
        <w:rPr>
          <w:szCs w:val="24"/>
        </w:rPr>
        <w:t>.</w:t>
      </w:r>
    </w:p>
    <w:p w:rsidR="00A1328B" w:rsidRPr="007039B9" w:rsidRDefault="00933468" w:rsidP="00F047F7">
      <w:pPr>
        <w:pStyle w:val="SCCLsocParty"/>
        <w:tabs>
          <w:tab w:val="right" w:pos="8222"/>
        </w:tabs>
        <w:spacing w:after="720"/>
        <w:rPr>
          <w:szCs w:val="24"/>
        </w:rPr>
      </w:pPr>
      <w:r w:rsidRPr="007039B9">
        <w:rPr>
          <w:szCs w:val="24"/>
        </w:rPr>
        <w:t>Sa Majesté la Reine</w:t>
      </w:r>
      <w:r w:rsidR="00F047F7" w:rsidRPr="007039B9">
        <w:rPr>
          <w:szCs w:val="24"/>
        </w:rPr>
        <w:t xml:space="preserve"> </w:t>
      </w:r>
      <w:r w:rsidR="00F047F7" w:rsidRPr="007039B9">
        <w:rPr>
          <w:szCs w:val="24"/>
        </w:rPr>
        <w:tab/>
      </w:r>
      <w:r w:rsidR="00F047F7" w:rsidRPr="007039B9">
        <w:rPr>
          <w:b w:val="0"/>
          <w:i/>
          <w:szCs w:val="24"/>
        </w:rPr>
        <w:t>Intimée</w:t>
      </w:r>
    </w:p>
    <w:p w:rsidR="00426659" w:rsidRPr="007039B9" w:rsidRDefault="0043088E" w:rsidP="00F047F7">
      <w:pPr>
        <w:spacing w:after="720"/>
        <w:jc w:val="both"/>
        <w:rPr>
          <w:b/>
          <w:szCs w:val="24"/>
        </w:rPr>
      </w:pPr>
      <w:r w:rsidRPr="007039B9">
        <w:rPr>
          <w:b/>
          <w:szCs w:val="24"/>
        </w:rPr>
        <w:t>Répertorié</w:t>
      </w:r>
      <w:r w:rsidR="00CF4900" w:rsidRPr="007039B9">
        <w:rPr>
          <w:b/>
          <w:szCs w:val="24"/>
        </w:rPr>
        <w:t> :</w:t>
      </w:r>
      <w:r w:rsidR="00C67CA5" w:rsidRPr="007039B9">
        <w:rPr>
          <w:b/>
          <w:szCs w:val="24"/>
        </w:rPr>
        <w:t> </w:t>
      </w:r>
      <w:r w:rsidRPr="007039B9">
        <w:rPr>
          <w:rStyle w:val="SCCAppellantForIndexChar"/>
          <w:szCs w:val="24"/>
        </w:rPr>
        <w:t xml:space="preserve">Hypothèques </w:t>
      </w:r>
      <w:proofErr w:type="spellStart"/>
      <w:r w:rsidRPr="007039B9">
        <w:rPr>
          <w:rStyle w:val="SCCAppellantForIndexChar"/>
          <w:szCs w:val="24"/>
        </w:rPr>
        <w:t>Trustco</w:t>
      </w:r>
      <w:proofErr w:type="spellEnd"/>
      <w:r w:rsidRPr="007039B9">
        <w:rPr>
          <w:rStyle w:val="SCCAppellantForIndexChar"/>
          <w:szCs w:val="24"/>
        </w:rPr>
        <w:t xml:space="preserve"> Canada</w:t>
      </w:r>
      <w:r w:rsidR="00426659" w:rsidRPr="007039B9">
        <w:rPr>
          <w:b/>
          <w:szCs w:val="24"/>
        </w:rPr>
        <w:t xml:space="preserve"> </w:t>
      </w:r>
      <w:r w:rsidR="00645057" w:rsidRPr="007039B9">
        <w:rPr>
          <w:b/>
          <w:i/>
          <w:szCs w:val="24"/>
        </w:rPr>
        <w:t>c</w:t>
      </w:r>
      <w:r w:rsidR="00426659" w:rsidRPr="007039B9">
        <w:rPr>
          <w:b/>
          <w:i/>
          <w:szCs w:val="24"/>
        </w:rPr>
        <w:t>.</w:t>
      </w:r>
      <w:r w:rsidR="00426659" w:rsidRPr="007039B9">
        <w:rPr>
          <w:b/>
          <w:szCs w:val="24"/>
        </w:rPr>
        <w:t xml:space="preserve"> </w:t>
      </w:r>
      <w:r w:rsidR="00933468" w:rsidRPr="007039B9">
        <w:rPr>
          <w:b/>
          <w:szCs w:val="24"/>
        </w:rPr>
        <w:t>Canada</w:t>
      </w:r>
    </w:p>
    <w:p w:rsidR="00426659" w:rsidRPr="007039B9" w:rsidRDefault="00C0663B" w:rsidP="00F047F7">
      <w:pPr>
        <w:pStyle w:val="SCCSystemYear"/>
        <w:spacing w:after="720"/>
        <w:jc w:val="both"/>
        <w:rPr>
          <w:szCs w:val="24"/>
        </w:rPr>
      </w:pPr>
      <w:r w:rsidRPr="007039B9">
        <w:rPr>
          <w:szCs w:val="24"/>
        </w:rPr>
        <w:t>2011</w:t>
      </w:r>
      <w:r w:rsidR="00EE0FAF" w:rsidRPr="007039B9">
        <w:rPr>
          <w:szCs w:val="24"/>
        </w:rPr>
        <w:t xml:space="preserve"> </w:t>
      </w:r>
      <w:r w:rsidR="00C71F58" w:rsidRPr="007039B9">
        <w:rPr>
          <w:szCs w:val="24"/>
        </w:rPr>
        <w:t>C</w:t>
      </w:r>
      <w:r w:rsidR="00426659" w:rsidRPr="007039B9">
        <w:rPr>
          <w:szCs w:val="24"/>
        </w:rPr>
        <w:t>SC </w:t>
      </w:r>
      <w:r w:rsidR="003452D3" w:rsidRPr="007039B9">
        <w:rPr>
          <w:szCs w:val="24"/>
        </w:rPr>
        <w:t>36</w:t>
      </w:r>
    </w:p>
    <w:p w:rsidR="008322BD" w:rsidRPr="007039B9" w:rsidRDefault="009B57B3" w:rsidP="00F047F7">
      <w:pPr>
        <w:spacing w:after="720"/>
        <w:jc w:val="both"/>
        <w:rPr>
          <w:szCs w:val="24"/>
        </w:rPr>
      </w:pPr>
      <w:r w:rsidRPr="007039B9">
        <w:rPr>
          <w:szCs w:val="24"/>
        </w:rPr>
        <w:t>N</w:t>
      </w:r>
      <w:r w:rsidRPr="007039B9">
        <w:rPr>
          <w:szCs w:val="24"/>
          <w:vertAlign w:val="superscript"/>
        </w:rPr>
        <w:t>o</w:t>
      </w:r>
      <w:r w:rsidR="0043088E" w:rsidRPr="007039B9">
        <w:rPr>
          <w:szCs w:val="24"/>
        </w:rPr>
        <w:t xml:space="preserve"> du greffe</w:t>
      </w:r>
      <w:r w:rsidR="00CF4900" w:rsidRPr="007039B9">
        <w:rPr>
          <w:szCs w:val="24"/>
        </w:rPr>
        <w:t> :</w:t>
      </w:r>
      <w:r w:rsidR="00C67CA5" w:rsidRPr="007039B9">
        <w:rPr>
          <w:szCs w:val="24"/>
        </w:rPr>
        <w:t> </w:t>
      </w:r>
      <w:r w:rsidRPr="007039B9">
        <w:rPr>
          <w:szCs w:val="24"/>
        </w:rPr>
        <w:t>33422.</w:t>
      </w:r>
    </w:p>
    <w:p w:rsidR="008322BD" w:rsidRPr="007039B9" w:rsidRDefault="00C0663B" w:rsidP="00F047F7">
      <w:pPr>
        <w:spacing w:after="720"/>
        <w:jc w:val="both"/>
        <w:rPr>
          <w:szCs w:val="24"/>
        </w:rPr>
      </w:pPr>
      <w:r w:rsidRPr="007039B9">
        <w:rPr>
          <w:szCs w:val="24"/>
        </w:rPr>
        <w:t>2010</w:t>
      </w:r>
      <w:r w:rsidR="00CF4900" w:rsidRPr="007039B9">
        <w:rPr>
          <w:szCs w:val="24"/>
        </w:rPr>
        <w:t> : 10 </w:t>
      </w:r>
      <w:r w:rsidRPr="007039B9">
        <w:rPr>
          <w:szCs w:val="24"/>
        </w:rPr>
        <w:t>décembre</w:t>
      </w:r>
      <w:r w:rsidR="009B57B3" w:rsidRPr="007039B9">
        <w:rPr>
          <w:szCs w:val="24"/>
        </w:rPr>
        <w:t xml:space="preserve">; </w:t>
      </w:r>
      <w:r w:rsidR="004F2E4E" w:rsidRPr="007039B9">
        <w:rPr>
          <w:szCs w:val="24"/>
        </w:rPr>
        <w:t>2011</w:t>
      </w:r>
      <w:r w:rsidR="00CF4900" w:rsidRPr="007039B9">
        <w:rPr>
          <w:szCs w:val="24"/>
        </w:rPr>
        <w:t> :</w:t>
      </w:r>
      <w:r w:rsidR="004F2E4E" w:rsidRPr="007039B9">
        <w:rPr>
          <w:szCs w:val="24"/>
        </w:rPr>
        <w:t xml:space="preserve"> 15</w:t>
      </w:r>
      <w:r w:rsidR="00E91EF1">
        <w:rPr>
          <w:szCs w:val="24"/>
        </w:rPr>
        <w:t> </w:t>
      </w:r>
      <w:r w:rsidR="004F2E4E" w:rsidRPr="007039B9">
        <w:rPr>
          <w:szCs w:val="24"/>
        </w:rPr>
        <w:t>juillet</w:t>
      </w:r>
      <w:r w:rsidR="009B57B3" w:rsidRPr="007039B9">
        <w:rPr>
          <w:szCs w:val="24"/>
        </w:rPr>
        <w:t>.</w:t>
      </w:r>
    </w:p>
    <w:p w:rsidR="008322BD" w:rsidRPr="007039B9" w:rsidRDefault="009B57B3" w:rsidP="00F047F7">
      <w:pPr>
        <w:spacing w:after="720"/>
        <w:jc w:val="both"/>
        <w:rPr>
          <w:szCs w:val="24"/>
        </w:rPr>
      </w:pPr>
      <w:r w:rsidRPr="007039B9">
        <w:rPr>
          <w:szCs w:val="24"/>
        </w:rPr>
        <w:t>Pr</w:t>
      </w:r>
      <w:r w:rsidR="0043088E" w:rsidRPr="007039B9">
        <w:rPr>
          <w:szCs w:val="24"/>
        </w:rPr>
        <w:t>é</w:t>
      </w:r>
      <w:r w:rsidRPr="007039B9">
        <w:rPr>
          <w:szCs w:val="24"/>
        </w:rPr>
        <w:t>sent</w:t>
      </w:r>
      <w:r w:rsidR="008A6558" w:rsidRPr="007039B9">
        <w:rPr>
          <w:szCs w:val="24"/>
        </w:rPr>
        <w:t>s</w:t>
      </w:r>
      <w:r w:rsidR="00CF4900" w:rsidRPr="007039B9">
        <w:rPr>
          <w:szCs w:val="24"/>
        </w:rPr>
        <w:t> :</w:t>
      </w:r>
      <w:r w:rsidR="00C67CA5" w:rsidRPr="007039B9">
        <w:rPr>
          <w:szCs w:val="24"/>
        </w:rPr>
        <w:t> </w:t>
      </w:r>
      <w:r w:rsidRPr="007039B9">
        <w:rPr>
          <w:szCs w:val="24"/>
        </w:rPr>
        <w:t xml:space="preserve">La juge en chef </w:t>
      </w:r>
      <w:proofErr w:type="spellStart"/>
      <w:r w:rsidRPr="007039B9">
        <w:rPr>
          <w:szCs w:val="24"/>
        </w:rPr>
        <w:t>McLachlin</w:t>
      </w:r>
      <w:proofErr w:type="spellEnd"/>
      <w:r w:rsidRPr="007039B9">
        <w:rPr>
          <w:szCs w:val="24"/>
        </w:rPr>
        <w:t xml:space="preserve"> et les juges </w:t>
      </w:r>
      <w:proofErr w:type="spellStart"/>
      <w:r w:rsidRPr="007039B9">
        <w:rPr>
          <w:szCs w:val="24"/>
        </w:rPr>
        <w:t>Binnie</w:t>
      </w:r>
      <w:proofErr w:type="spellEnd"/>
      <w:r w:rsidRPr="007039B9">
        <w:rPr>
          <w:szCs w:val="24"/>
        </w:rPr>
        <w:t xml:space="preserve">, Deschamps, Fish, Abella, </w:t>
      </w:r>
      <w:proofErr w:type="spellStart"/>
      <w:r w:rsidRPr="007039B9">
        <w:rPr>
          <w:szCs w:val="24"/>
        </w:rPr>
        <w:t>Rothstein</w:t>
      </w:r>
      <w:proofErr w:type="spellEnd"/>
      <w:r w:rsidRPr="007039B9">
        <w:rPr>
          <w:szCs w:val="24"/>
        </w:rPr>
        <w:t xml:space="preserve"> et Cromwell.</w:t>
      </w:r>
    </w:p>
    <w:p w:rsidR="008322BD" w:rsidRPr="007039B9" w:rsidRDefault="00AC7437" w:rsidP="00F047F7">
      <w:pPr>
        <w:pStyle w:val="SCCLowerCourtNameLowercase"/>
        <w:spacing w:after="480"/>
        <w:rPr>
          <w:szCs w:val="24"/>
        </w:rPr>
      </w:pPr>
      <w:r w:rsidRPr="007039B9">
        <w:rPr>
          <w:szCs w:val="24"/>
        </w:rPr>
        <w:t>e</w:t>
      </w:r>
      <w:r w:rsidR="00855307" w:rsidRPr="007039B9">
        <w:rPr>
          <w:szCs w:val="24"/>
        </w:rPr>
        <w:t>n</w:t>
      </w:r>
      <w:r w:rsidR="00224FC0" w:rsidRPr="007039B9">
        <w:rPr>
          <w:szCs w:val="24"/>
        </w:rPr>
        <w:t xml:space="preserve"> </w:t>
      </w:r>
      <w:r w:rsidR="00855307" w:rsidRPr="007039B9">
        <w:rPr>
          <w:szCs w:val="24"/>
        </w:rPr>
        <w:t>appel</w:t>
      </w:r>
      <w:r w:rsidR="00224FC0" w:rsidRPr="007039B9">
        <w:rPr>
          <w:szCs w:val="24"/>
        </w:rPr>
        <w:t xml:space="preserve"> </w:t>
      </w:r>
      <w:r w:rsidR="00855307" w:rsidRPr="007039B9">
        <w:rPr>
          <w:szCs w:val="24"/>
        </w:rPr>
        <w:t>de</w:t>
      </w:r>
      <w:r w:rsidR="0043088E" w:rsidRPr="007039B9">
        <w:rPr>
          <w:szCs w:val="24"/>
        </w:rPr>
        <w:t xml:space="preserve"> </w:t>
      </w:r>
      <w:r w:rsidR="00855307" w:rsidRPr="007039B9">
        <w:rPr>
          <w:szCs w:val="24"/>
        </w:rPr>
        <w:t>la</w:t>
      </w:r>
      <w:r w:rsidR="00224FC0" w:rsidRPr="007039B9">
        <w:rPr>
          <w:szCs w:val="24"/>
        </w:rPr>
        <w:t xml:space="preserve"> </w:t>
      </w:r>
      <w:r w:rsidR="009B57B3" w:rsidRPr="007039B9">
        <w:rPr>
          <w:szCs w:val="24"/>
        </w:rPr>
        <w:t>cour d’appel fédérale</w:t>
      </w:r>
    </w:p>
    <w:p w:rsidR="008322BD" w:rsidRPr="007039B9" w:rsidRDefault="009B57B3" w:rsidP="00F047F7">
      <w:pPr>
        <w:pStyle w:val="SCCNormalDoubleSpacing"/>
        <w:spacing w:after="480"/>
        <w:rPr>
          <w:szCs w:val="24"/>
        </w:rPr>
      </w:pPr>
      <w:r w:rsidRPr="007039B9">
        <w:rPr>
          <w:szCs w:val="24"/>
        </w:rPr>
        <w:tab/>
      </w:r>
      <w:r w:rsidR="00681A92" w:rsidRPr="007039B9">
        <w:rPr>
          <w:i/>
          <w:szCs w:val="24"/>
        </w:rPr>
        <w:t>Droit fiscal</w:t>
      </w:r>
      <w:r w:rsidR="00FE46D4" w:rsidRPr="007039B9">
        <w:rPr>
          <w:i/>
          <w:szCs w:val="24"/>
        </w:rPr>
        <w:t xml:space="preserve"> ― I</w:t>
      </w:r>
      <w:r w:rsidR="00681A92" w:rsidRPr="007039B9">
        <w:rPr>
          <w:i/>
          <w:szCs w:val="24"/>
        </w:rPr>
        <w:t>mpôt sur le revenu</w:t>
      </w:r>
      <w:r w:rsidR="00FE46D4" w:rsidRPr="007039B9">
        <w:rPr>
          <w:i/>
          <w:szCs w:val="24"/>
        </w:rPr>
        <w:t xml:space="preserve"> ― </w:t>
      </w:r>
      <w:r w:rsidR="00681A92" w:rsidRPr="007039B9">
        <w:rPr>
          <w:i/>
          <w:szCs w:val="24"/>
        </w:rPr>
        <w:t>Recouvrement</w:t>
      </w:r>
      <w:r w:rsidR="00FE46D4" w:rsidRPr="007039B9">
        <w:rPr>
          <w:i/>
          <w:szCs w:val="24"/>
        </w:rPr>
        <w:t xml:space="preserve"> ― </w:t>
      </w:r>
      <w:r w:rsidR="00681A92" w:rsidRPr="007039B9">
        <w:rPr>
          <w:i/>
          <w:szCs w:val="24"/>
        </w:rPr>
        <w:t>Lettres de change</w:t>
      </w:r>
      <w:r w:rsidR="00FE46D4" w:rsidRPr="007039B9">
        <w:rPr>
          <w:i/>
          <w:szCs w:val="24"/>
        </w:rPr>
        <w:t xml:space="preserve"> ― </w:t>
      </w:r>
      <w:r w:rsidR="009345DA" w:rsidRPr="007039B9">
        <w:rPr>
          <w:i/>
          <w:szCs w:val="24"/>
        </w:rPr>
        <w:t>Le débiteur fiscal</w:t>
      </w:r>
      <w:r w:rsidR="00FE46D4" w:rsidRPr="007039B9">
        <w:rPr>
          <w:i/>
          <w:szCs w:val="24"/>
        </w:rPr>
        <w:t xml:space="preserve"> </w:t>
      </w:r>
      <w:r w:rsidR="009345DA" w:rsidRPr="007039B9">
        <w:rPr>
          <w:i/>
          <w:szCs w:val="24"/>
        </w:rPr>
        <w:t xml:space="preserve">tirait des chèques sur son compte en fiducie et les déposait à un compte conjoint dont </w:t>
      </w:r>
      <w:proofErr w:type="spellStart"/>
      <w:r w:rsidR="009345DA" w:rsidRPr="007039B9">
        <w:rPr>
          <w:i/>
          <w:szCs w:val="24"/>
        </w:rPr>
        <w:t>lui</w:t>
      </w:r>
      <w:r w:rsidR="00CF4900" w:rsidRPr="007039B9">
        <w:rPr>
          <w:i/>
          <w:szCs w:val="24"/>
        </w:rPr>
        <w:noBreakHyphen/>
      </w:r>
      <w:r w:rsidR="009345DA" w:rsidRPr="007039B9">
        <w:rPr>
          <w:i/>
          <w:szCs w:val="24"/>
        </w:rPr>
        <w:t>même</w:t>
      </w:r>
      <w:proofErr w:type="spellEnd"/>
      <w:r w:rsidR="009345DA" w:rsidRPr="007039B9">
        <w:rPr>
          <w:i/>
          <w:szCs w:val="24"/>
        </w:rPr>
        <w:t xml:space="preserve"> et un tiers étaient titulaires</w:t>
      </w:r>
      <w:r w:rsidR="00FE46D4" w:rsidRPr="007039B9">
        <w:rPr>
          <w:i/>
          <w:szCs w:val="24"/>
        </w:rPr>
        <w:t xml:space="preserve"> ― </w:t>
      </w:r>
      <w:r w:rsidR="009345DA" w:rsidRPr="007039B9">
        <w:rPr>
          <w:i/>
          <w:szCs w:val="24"/>
        </w:rPr>
        <w:t>Le m</w:t>
      </w:r>
      <w:r w:rsidR="00FE46D4" w:rsidRPr="007039B9">
        <w:rPr>
          <w:i/>
          <w:szCs w:val="24"/>
        </w:rPr>
        <w:t>inistr</w:t>
      </w:r>
      <w:r w:rsidR="009345DA" w:rsidRPr="007039B9">
        <w:rPr>
          <w:i/>
          <w:szCs w:val="24"/>
        </w:rPr>
        <w:t>e</w:t>
      </w:r>
      <w:r w:rsidR="00FE46D4" w:rsidRPr="007039B9">
        <w:rPr>
          <w:i/>
          <w:szCs w:val="24"/>
        </w:rPr>
        <w:t xml:space="preserve"> </w:t>
      </w:r>
      <w:r w:rsidR="009345DA" w:rsidRPr="007039B9">
        <w:rPr>
          <w:i/>
          <w:szCs w:val="24"/>
        </w:rPr>
        <w:t>du Revenu n</w:t>
      </w:r>
      <w:r w:rsidR="00FE46D4" w:rsidRPr="007039B9">
        <w:rPr>
          <w:i/>
          <w:szCs w:val="24"/>
        </w:rPr>
        <w:t>ationa</w:t>
      </w:r>
      <w:r w:rsidR="009345DA" w:rsidRPr="007039B9">
        <w:rPr>
          <w:i/>
          <w:szCs w:val="24"/>
        </w:rPr>
        <w:t>l</w:t>
      </w:r>
      <w:r w:rsidR="00FE46D4" w:rsidRPr="007039B9">
        <w:rPr>
          <w:i/>
          <w:szCs w:val="24"/>
        </w:rPr>
        <w:t xml:space="preserve"> </w:t>
      </w:r>
      <w:r w:rsidR="009345DA" w:rsidRPr="007039B9">
        <w:rPr>
          <w:i/>
          <w:szCs w:val="24"/>
        </w:rPr>
        <w:t xml:space="preserve">a fait parvenir trois demandes péremptoires de paiement </w:t>
      </w:r>
      <w:r w:rsidR="009345DA" w:rsidRPr="007039B9">
        <w:rPr>
          <w:i/>
          <w:szCs w:val="24"/>
        </w:rPr>
        <w:lastRenderedPageBreak/>
        <w:t xml:space="preserve">à la </w:t>
      </w:r>
      <w:r w:rsidR="009A361E" w:rsidRPr="007039B9">
        <w:rPr>
          <w:i/>
          <w:szCs w:val="24"/>
        </w:rPr>
        <w:t>B</w:t>
      </w:r>
      <w:r w:rsidR="009345DA" w:rsidRPr="007039B9">
        <w:rPr>
          <w:i/>
          <w:szCs w:val="24"/>
        </w:rPr>
        <w:t xml:space="preserve">anque </w:t>
      </w:r>
      <w:r w:rsidR="00D41D8E" w:rsidRPr="007039B9">
        <w:rPr>
          <w:i/>
          <w:szCs w:val="24"/>
        </w:rPr>
        <w:t>relativement à la dette fiscale du débiteur fiscal</w:t>
      </w:r>
      <w:r w:rsidR="00FE46D4" w:rsidRPr="007039B9">
        <w:rPr>
          <w:i/>
          <w:szCs w:val="24"/>
        </w:rPr>
        <w:t xml:space="preserve"> ― </w:t>
      </w:r>
      <w:r w:rsidR="00D41D8E" w:rsidRPr="007039B9">
        <w:rPr>
          <w:i/>
          <w:szCs w:val="24"/>
        </w:rPr>
        <w:t xml:space="preserve">La </w:t>
      </w:r>
      <w:r w:rsidR="009A361E" w:rsidRPr="007039B9">
        <w:rPr>
          <w:i/>
          <w:szCs w:val="24"/>
        </w:rPr>
        <w:t>B</w:t>
      </w:r>
      <w:r w:rsidR="00FE46D4" w:rsidRPr="007039B9">
        <w:rPr>
          <w:i/>
          <w:szCs w:val="24"/>
        </w:rPr>
        <w:t>an</w:t>
      </w:r>
      <w:r w:rsidR="00D41D8E" w:rsidRPr="007039B9">
        <w:rPr>
          <w:i/>
          <w:szCs w:val="24"/>
        </w:rPr>
        <w:t>que</w:t>
      </w:r>
      <w:r w:rsidR="00FE46D4" w:rsidRPr="007039B9">
        <w:rPr>
          <w:i/>
          <w:szCs w:val="24"/>
        </w:rPr>
        <w:t xml:space="preserve"> </w:t>
      </w:r>
      <w:r w:rsidR="00D41D8E" w:rsidRPr="007039B9">
        <w:rPr>
          <w:i/>
          <w:szCs w:val="24"/>
        </w:rPr>
        <w:t>s’y est opposée</w:t>
      </w:r>
      <w:r w:rsidR="00FE46D4" w:rsidRPr="007039B9">
        <w:rPr>
          <w:i/>
          <w:szCs w:val="24"/>
        </w:rPr>
        <w:t xml:space="preserve"> ― </w:t>
      </w:r>
      <w:r w:rsidR="00D41D8E" w:rsidRPr="007039B9">
        <w:rPr>
          <w:i/>
          <w:szCs w:val="24"/>
        </w:rPr>
        <w:t xml:space="preserve">La </w:t>
      </w:r>
      <w:r w:rsidR="009A361E" w:rsidRPr="007039B9">
        <w:rPr>
          <w:i/>
          <w:szCs w:val="24"/>
        </w:rPr>
        <w:t>B</w:t>
      </w:r>
      <w:r w:rsidR="00D41D8E" w:rsidRPr="007039B9">
        <w:rPr>
          <w:i/>
          <w:szCs w:val="24"/>
        </w:rPr>
        <w:t xml:space="preserve">anque </w:t>
      </w:r>
      <w:proofErr w:type="spellStart"/>
      <w:r w:rsidR="00D41D8E" w:rsidRPr="007039B9">
        <w:rPr>
          <w:i/>
          <w:szCs w:val="24"/>
        </w:rPr>
        <w:t>était</w:t>
      </w:r>
      <w:r w:rsidR="00CF4900" w:rsidRPr="007039B9">
        <w:rPr>
          <w:i/>
          <w:szCs w:val="24"/>
        </w:rPr>
        <w:noBreakHyphen/>
      </w:r>
      <w:r w:rsidR="00D41D8E" w:rsidRPr="007039B9">
        <w:rPr>
          <w:i/>
          <w:szCs w:val="24"/>
        </w:rPr>
        <w:t>elle</w:t>
      </w:r>
      <w:proofErr w:type="spellEnd"/>
      <w:r w:rsidR="00D41D8E" w:rsidRPr="007039B9">
        <w:rPr>
          <w:i/>
          <w:szCs w:val="24"/>
        </w:rPr>
        <w:t xml:space="preserve"> tenue de faire des paiements au débiteur fiscal</w:t>
      </w:r>
      <w:r w:rsidR="0047384A" w:rsidRPr="007039B9">
        <w:rPr>
          <w:i/>
          <w:szCs w:val="24"/>
        </w:rPr>
        <w:t>,</w:t>
      </w:r>
      <w:r w:rsidR="00D41D8E" w:rsidRPr="007039B9">
        <w:rPr>
          <w:i/>
          <w:szCs w:val="24"/>
        </w:rPr>
        <w:t xml:space="preserve"> désigné comme preneur des chèques?</w:t>
      </w:r>
      <w:r w:rsidR="00FE46D4" w:rsidRPr="007039B9">
        <w:rPr>
          <w:i/>
          <w:szCs w:val="24"/>
        </w:rPr>
        <w:t xml:space="preserve"> ― </w:t>
      </w:r>
      <w:r w:rsidR="00D41D8E" w:rsidRPr="007039B9">
        <w:rPr>
          <w:i/>
          <w:szCs w:val="24"/>
        </w:rPr>
        <w:t xml:space="preserve">La  </w:t>
      </w:r>
      <w:r w:rsidR="009A361E" w:rsidRPr="007039B9">
        <w:rPr>
          <w:i/>
          <w:szCs w:val="24"/>
        </w:rPr>
        <w:t>B</w:t>
      </w:r>
      <w:r w:rsidR="00D41D8E" w:rsidRPr="007039B9">
        <w:rPr>
          <w:i/>
          <w:szCs w:val="24"/>
        </w:rPr>
        <w:t xml:space="preserve">anque, s’étant vue remettre </w:t>
      </w:r>
      <w:r w:rsidR="006B5922" w:rsidRPr="007039B9">
        <w:rPr>
          <w:i/>
          <w:szCs w:val="24"/>
        </w:rPr>
        <w:t>des</w:t>
      </w:r>
      <w:r w:rsidR="00D41D8E" w:rsidRPr="007039B9">
        <w:rPr>
          <w:i/>
          <w:szCs w:val="24"/>
        </w:rPr>
        <w:t xml:space="preserve"> chèque</w:t>
      </w:r>
      <w:r w:rsidR="006B5922" w:rsidRPr="007039B9">
        <w:rPr>
          <w:i/>
          <w:szCs w:val="24"/>
        </w:rPr>
        <w:t>s</w:t>
      </w:r>
      <w:r w:rsidR="00D41D8E" w:rsidRPr="007039B9">
        <w:rPr>
          <w:i/>
          <w:szCs w:val="24"/>
        </w:rPr>
        <w:t xml:space="preserve"> payable</w:t>
      </w:r>
      <w:r w:rsidR="006B5922" w:rsidRPr="007039B9">
        <w:rPr>
          <w:i/>
          <w:szCs w:val="24"/>
        </w:rPr>
        <w:t>s</w:t>
      </w:r>
      <w:r w:rsidR="00D41D8E" w:rsidRPr="007039B9">
        <w:rPr>
          <w:i/>
          <w:szCs w:val="24"/>
        </w:rPr>
        <w:t xml:space="preserve"> au débiteur fiscal pour dépôt </w:t>
      </w:r>
      <w:r w:rsidR="00873C9A" w:rsidRPr="007039B9">
        <w:rPr>
          <w:i/>
          <w:szCs w:val="24"/>
        </w:rPr>
        <w:t>dans u</w:t>
      </w:r>
      <w:r w:rsidR="00D41D8E" w:rsidRPr="007039B9">
        <w:rPr>
          <w:i/>
          <w:szCs w:val="24"/>
        </w:rPr>
        <w:t>n compte détenu conjointement par un tiers et ce débiteur fiscal, était</w:t>
      </w:r>
      <w:r w:rsidR="000C54A5">
        <w:rPr>
          <w:i/>
          <w:szCs w:val="24"/>
        </w:rPr>
        <w:t>-</w:t>
      </w:r>
      <w:r w:rsidR="00D41D8E" w:rsidRPr="007039B9">
        <w:rPr>
          <w:i/>
          <w:szCs w:val="24"/>
        </w:rPr>
        <w:t xml:space="preserve">elle tenue de faire </w:t>
      </w:r>
      <w:r w:rsidR="006B5922" w:rsidRPr="007039B9">
        <w:rPr>
          <w:i/>
          <w:szCs w:val="24"/>
        </w:rPr>
        <w:t>des</w:t>
      </w:r>
      <w:r w:rsidR="00D41D8E" w:rsidRPr="007039B9">
        <w:rPr>
          <w:i/>
          <w:szCs w:val="24"/>
        </w:rPr>
        <w:t xml:space="preserve"> paiement</w:t>
      </w:r>
      <w:r w:rsidR="006B5922" w:rsidRPr="007039B9">
        <w:rPr>
          <w:i/>
          <w:szCs w:val="24"/>
        </w:rPr>
        <w:t>s</w:t>
      </w:r>
      <w:r w:rsidR="00D41D8E" w:rsidRPr="007039B9">
        <w:rPr>
          <w:i/>
          <w:szCs w:val="24"/>
        </w:rPr>
        <w:t xml:space="preserve"> à ce dernier? </w:t>
      </w:r>
      <w:r w:rsidR="00FE46D4" w:rsidRPr="007039B9">
        <w:rPr>
          <w:i/>
          <w:szCs w:val="24"/>
        </w:rPr>
        <w:t xml:space="preserve">― </w:t>
      </w:r>
      <w:r w:rsidR="00D41D8E" w:rsidRPr="007039B9">
        <w:rPr>
          <w:i/>
          <w:szCs w:val="24"/>
        </w:rPr>
        <w:t xml:space="preserve">La </w:t>
      </w:r>
      <w:r w:rsidR="009A361E" w:rsidRPr="007039B9">
        <w:rPr>
          <w:i/>
          <w:szCs w:val="24"/>
        </w:rPr>
        <w:t>B</w:t>
      </w:r>
      <w:r w:rsidR="00D41D8E" w:rsidRPr="007039B9">
        <w:rPr>
          <w:i/>
          <w:szCs w:val="24"/>
        </w:rPr>
        <w:t>anque était</w:t>
      </w:r>
      <w:r w:rsidR="000C54A5">
        <w:rPr>
          <w:i/>
          <w:szCs w:val="24"/>
        </w:rPr>
        <w:t>-</w:t>
      </w:r>
      <w:r w:rsidR="00D41D8E" w:rsidRPr="007039B9">
        <w:rPr>
          <w:i/>
          <w:szCs w:val="24"/>
        </w:rPr>
        <w:t>elle tenue d’obtempérer aux demandes péremptoires de paiement?</w:t>
      </w:r>
      <w:r w:rsidR="00FE46D4" w:rsidRPr="007039B9">
        <w:rPr>
          <w:i/>
          <w:szCs w:val="24"/>
        </w:rPr>
        <w:t xml:space="preserve"> ― </w:t>
      </w:r>
      <w:r w:rsidR="00D41D8E" w:rsidRPr="007039B9">
        <w:rPr>
          <w:i/>
          <w:szCs w:val="24"/>
        </w:rPr>
        <w:t xml:space="preserve">Loi de l’impôt sur le revenu, L.R.C. 1985, </w:t>
      </w:r>
      <w:r w:rsidR="00CF4900" w:rsidRPr="007039B9">
        <w:rPr>
          <w:i/>
          <w:szCs w:val="24"/>
        </w:rPr>
        <w:t>ch. </w:t>
      </w:r>
      <w:r w:rsidR="00D41D8E" w:rsidRPr="007039B9">
        <w:rPr>
          <w:i/>
          <w:szCs w:val="24"/>
        </w:rPr>
        <w:t>1 (5</w:t>
      </w:r>
      <w:r w:rsidR="00D41D8E" w:rsidRPr="007039B9">
        <w:rPr>
          <w:i/>
          <w:szCs w:val="24"/>
          <w:vertAlign w:val="superscript"/>
        </w:rPr>
        <w:t>e</w:t>
      </w:r>
      <w:r w:rsidR="00D41D8E" w:rsidRPr="007039B9">
        <w:rPr>
          <w:i/>
          <w:szCs w:val="24"/>
        </w:rPr>
        <w:t> suppl.)</w:t>
      </w:r>
      <w:r w:rsidR="00FE46D4" w:rsidRPr="007039B9">
        <w:rPr>
          <w:i/>
          <w:szCs w:val="24"/>
        </w:rPr>
        <w:t xml:space="preserve">, </w:t>
      </w:r>
      <w:r w:rsidR="00CF4900" w:rsidRPr="007039B9">
        <w:rPr>
          <w:i/>
          <w:szCs w:val="24"/>
        </w:rPr>
        <w:t>art. </w:t>
      </w:r>
      <w:r w:rsidR="00FE46D4" w:rsidRPr="007039B9">
        <w:rPr>
          <w:i/>
          <w:szCs w:val="24"/>
        </w:rPr>
        <w:t xml:space="preserve">224 ― </w:t>
      </w:r>
      <w:r w:rsidR="00D41D8E" w:rsidRPr="007039B9">
        <w:rPr>
          <w:i/>
          <w:szCs w:val="24"/>
        </w:rPr>
        <w:t xml:space="preserve">Loi sur les lettres de change, L.R.C. 1985, </w:t>
      </w:r>
      <w:r w:rsidR="00CF4900" w:rsidRPr="007039B9">
        <w:rPr>
          <w:i/>
          <w:szCs w:val="24"/>
        </w:rPr>
        <w:t>ch. </w:t>
      </w:r>
      <w:r w:rsidR="00D41D8E" w:rsidRPr="007039B9">
        <w:rPr>
          <w:i/>
          <w:szCs w:val="24"/>
        </w:rPr>
        <w:t>B</w:t>
      </w:r>
      <w:r w:rsidR="000C54A5">
        <w:rPr>
          <w:i/>
          <w:szCs w:val="24"/>
        </w:rPr>
        <w:t>-</w:t>
      </w:r>
      <w:r w:rsidR="00D41D8E" w:rsidRPr="007039B9">
        <w:rPr>
          <w:i/>
          <w:szCs w:val="24"/>
        </w:rPr>
        <w:t>4</w:t>
      </w:r>
      <w:r w:rsidR="00FE46D4" w:rsidRPr="007039B9">
        <w:rPr>
          <w:i/>
          <w:szCs w:val="24"/>
        </w:rPr>
        <w:t>.</w:t>
      </w:r>
    </w:p>
    <w:p w:rsidR="00FE46D4" w:rsidRPr="007039B9" w:rsidRDefault="009B57B3" w:rsidP="009A4ACE">
      <w:pPr>
        <w:pStyle w:val="SCCNormalDoubleSpacing"/>
        <w:spacing w:after="480"/>
        <w:rPr>
          <w:szCs w:val="24"/>
        </w:rPr>
      </w:pPr>
      <w:r w:rsidRPr="007039B9">
        <w:rPr>
          <w:szCs w:val="24"/>
        </w:rPr>
        <w:tab/>
      </w:r>
      <w:r w:rsidR="00681A92" w:rsidRPr="007039B9">
        <w:rPr>
          <w:szCs w:val="24"/>
        </w:rPr>
        <w:t>Le débiteur fiscal, M, devait des impôts au gouvernement fédér</w:t>
      </w:r>
      <w:r w:rsidR="00CF4900" w:rsidRPr="007039B9">
        <w:rPr>
          <w:szCs w:val="24"/>
        </w:rPr>
        <w:t xml:space="preserve">al. </w:t>
      </w:r>
      <w:r w:rsidR="00681A92" w:rsidRPr="007039B9">
        <w:rPr>
          <w:szCs w:val="24"/>
        </w:rPr>
        <w:t xml:space="preserve"> Le</w:t>
      </w:r>
      <w:r w:rsidR="00FE46D4" w:rsidRPr="007039B9">
        <w:rPr>
          <w:szCs w:val="24"/>
        </w:rPr>
        <w:t xml:space="preserve"> </w:t>
      </w:r>
      <w:r w:rsidR="00681A92" w:rsidRPr="007039B9">
        <w:rPr>
          <w:szCs w:val="24"/>
        </w:rPr>
        <w:t>ministre du Revenu</w:t>
      </w:r>
      <w:r w:rsidR="00FE46D4" w:rsidRPr="007039B9">
        <w:rPr>
          <w:szCs w:val="24"/>
        </w:rPr>
        <w:t xml:space="preserve"> </w:t>
      </w:r>
      <w:r w:rsidR="00681A92" w:rsidRPr="007039B9">
        <w:rPr>
          <w:szCs w:val="24"/>
        </w:rPr>
        <w:t xml:space="preserve">national a appris que des chèques payables à M étaient tirés sur son compte en fiducie </w:t>
      </w:r>
      <w:r w:rsidR="006B5922" w:rsidRPr="007039B9">
        <w:rPr>
          <w:szCs w:val="24"/>
        </w:rPr>
        <w:t>et</w:t>
      </w:r>
      <w:r w:rsidR="00681A92" w:rsidRPr="007039B9">
        <w:rPr>
          <w:szCs w:val="24"/>
        </w:rPr>
        <w:t xml:space="preserve"> déposés au compte conjoint dont M et un tiers étaient titulaires</w:t>
      </w:r>
      <w:r w:rsidR="00FE46D4" w:rsidRPr="007039B9">
        <w:rPr>
          <w:szCs w:val="24"/>
        </w:rPr>
        <w:t>.</w:t>
      </w:r>
      <w:r w:rsidR="00681A92" w:rsidRPr="007039B9">
        <w:rPr>
          <w:szCs w:val="24"/>
        </w:rPr>
        <w:t xml:space="preserve">  </w:t>
      </w:r>
      <w:r w:rsidR="0057741C" w:rsidRPr="007039B9">
        <w:rPr>
          <w:szCs w:val="24"/>
        </w:rPr>
        <w:t xml:space="preserve">Chacun des chèques tirés sur le compte en fiducie était </w:t>
      </w:r>
      <w:r w:rsidR="006B5922" w:rsidRPr="007039B9">
        <w:rPr>
          <w:szCs w:val="24"/>
        </w:rPr>
        <w:t>payable à</w:t>
      </w:r>
      <w:r w:rsidR="0057741C" w:rsidRPr="007039B9">
        <w:rPr>
          <w:szCs w:val="24"/>
        </w:rPr>
        <w:t xml:space="preserve"> M et remis à l’appelante, Hypothèques </w:t>
      </w:r>
      <w:proofErr w:type="spellStart"/>
      <w:r w:rsidR="0057741C" w:rsidRPr="007039B9">
        <w:rPr>
          <w:szCs w:val="24"/>
        </w:rPr>
        <w:t>Trustco</w:t>
      </w:r>
      <w:proofErr w:type="spellEnd"/>
      <w:r w:rsidR="0057741C" w:rsidRPr="007039B9">
        <w:rPr>
          <w:szCs w:val="24"/>
        </w:rPr>
        <w:t xml:space="preserve"> Canada (la « Banque »), avec instructions de déposer les fonds au compte conjoint.  Ces instructions étaient inscrites au verso du chèque, où l’on trouvait la mention « </w:t>
      </w:r>
      <w:proofErr w:type="spellStart"/>
      <w:r w:rsidR="0057741C" w:rsidRPr="007039B9">
        <w:rPr>
          <w:szCs w:val="24"/>
        </w:rPr>
        <w:t>Dep</w:t>
      </w:r>
      <w:proofErr w:type="spellEnd"/>
      <w:r w:rsidR="0057741C" w:rsidRPr="007039B9">
        <w:rPr>
          <w:szCs w:val="24"/>
        </w:rPr>
        <w:t xml:space="preserve"> to » (« déposer à ») suivie du numéro du compte</w:t>
      </w:r>
      <w:r w:rsidR="00FE46D4" w:rsidRPr="007039B9">
        <w:rPr>
          <w:szCs w:val="24"/>
        </w:rPr>
        <w:t xml:space="preserve">. </w:t>
      </w:r>
    </w:p>
    <w:p w:rsidR="008322BD" w:rsidRPr="007039B9" w:rsidRDefault="0057741C" w:rsidP="00FE46D4">
      <w:pPr>
        <w:pStyle w:val="SCCNormalDoubleSpacing"/>
        <w:spacing w:after="480"/>
        <w:rPr>
          <w:szCs w:val="24"/>
        </w:rPr>
      </w:pPr>
      <w:r w:rsidRPr="007039B9">
        <w:rPr>
          <w:szCs w:val="24"/>
        </w:rPr>
        <w:tab/>
        <w:t>Le ministre a fait parvenir trois demandes péremptoires de paiement à la Banque en vertu de l’</w:t>
      </w:r>
      <w:r w:rsidR="00CF4900" w:rsidRPr="007039B9">
        <w:rPr>
          <w:szCs w:val="24"/>
        </w:rPr>
        <w:t>art. </w:t>
      </w:r>
      <w:r w:rsidR="00FE46D4" w:rsidRPr="007039B9">
        <w:rPr>
          <w:szCs w:val="24"/>
        </w:rPr>
        <w:t xml:space="preserve">224 </w:t>
      </w:r>
      <w:r w:rsidRPr="007039B9">
        <w:rPr>
          <w:szCs w:val="24"/>
        </w:rPr>
        <w:t>de la</w:t>
      </w:r>
      <w:r w:rsidR="00FE46D4" w:rsidRPr="007039B9">
        <w:rPr>
          <w:szCs w:val="24"/>
        </w:rPr>
        <w:t xml:space="preserve"> </w:t>
      </w:r>
      <w:r w:rsidRPr="007039B9">
        <w:rPr>
          <w:i/>
          <w:szCs w:val="24"/>
        </w:rPr>
        <w:t>Loi de l’impôt sur le revenu</w:t>
      </w:r>
      <w:r w:rsidR="00FE46D4" w:rsidRPr="007039B9">
        <w:rPr>
          <w:i/>
          <w:szCs w:val="24"/>
        </w:rPr>
        <w:t xml:space="preserve"> </w:t>
      </w:r>
      <w:r w:rsidR="00FE46D4" w:rsidRPr="007039B9">
        <w:rPr>
          <w:szCs w:val="24"/>
        </w:rPr>
        <w:t>(</w:t>
      </w:r>
      <w:r w:rsidRPr="007039B9">
        <w:rPr>
          <w:szCs w:val="24"/>
        </w:rPr>
        <w:t>« </w:t>
      </w:r>
      <w:r w:rsidRPr="007039B9">
        <w:rPr>
          <w:i/>
          <w:szCs w:val="24"/>
        </w:rPr>
        <w:t>LIR</w:t>
      </w:r>
      <w:r w:rsidRPr="007039B9">
        <w:rPr>
          <w:szCs w:val="24"/>
        </w:rPr>
        <w:t> »</w:t>
      </w:r>
      <w:r w:rsidR="00FE46D4" w:rsidRPr="007039B9">
        <w:rPr>
          <w:szCs w:val="24"/>
        </w:rPr>
        <w:t xml:space="preserve">).  </w:t>
      </w:r>
      <w:r w:rsidRPr="007039B9">
        <w:rPr>
          <w:szCs w:val="24"/>
        </w:rPr>
        <w:t>La</w:t>
      </w:r>
      <w:r w:rsidR="00FE46D4" w:rsidRPr="007039B9">
        <w:rPr>
          <w:szCs w:val="24"/>
        </w:rPr>
        <w:t xml:space="preserve"> Ban</w:t>
      </w:r>
      <w:r w:rsidRPr="007039B9">
        <w:rPr>
          <w:szCs w:val="24"/>
        </w:rPr>
        <w:t>que a fait valoir qu’elle n’était pas tenue de verser les fonds</w:t>
      </w:r>
      <w:r w:rsidR="009345DA" w:rsidRPr="007039B9">
        <w:rPr>
          <w:szCs w:val="24"/>
        </w:rPr>
        <w:t>.  Le</w:t>
      </w:r>
      <w:r w:rsidRPr="007039B9">
        <w:rPr>
          <w:szCs w:val="24"/>
        </w:rPr>
        <w:t xml:space="preserve"> ministre a établi une cotisation à l’égard de </w:t>
      </w:r>
      <w:r w:rsidR="009345DA" w:rsidRPr="007039B9">
        <w:rPr>
          <w:szCs w:val="24"/>
        </w:rPr>
        <w:t>la Banque</w:t>
      </w:r>
      <w:r w:rsidRPr="007039B9">
        <w:rPr>
          <w:szCs w:val="24"/>
        </w:rPr>
        <w:t> enjoignant à celle</w:t>
      </w:r>
      <w:r w:rsidR="000C54A5">
        <w:rPr>
          <w:szCs w:val="24"/>
        </w:rPr>
        <w:t>-</w:t>
      </w:r>
      <w:r w:rsidRPr="007039B9">
        <w:rPr>
          <w:szCs w:val="24"/>
        </w:rPr>
        <w:t xml:space="preserve">ci de lui remettre un montant égal au produit des chèques au motif qu’elle avait omis d’obtempérer aux trois demandes </w:t>
      </w:r>
      <w:r w:rsidRPr="007039B9">
        <w:rPr>
          <w:szCs w:val="24"/>
        </w:rPr>
        <w:lastRenderedPageBreak/>
        <w:t>péremptoires de paiement</w:t>
      </w:r>
      <w:r w:rsidR="009345DA" w:rsidRPr="007039B9">
        <w:rPr>
          <w:szCs w:val="24"/>
        </w:rPr>
        <w:t>.  La Cour canadienne de l’impôt a rejeté l’appel interjeté par la Banque, et la Cour d</w:t>
      </w:r>
      <w:r w:rsidR="00FE46D4" w:rsidRPr="007039B9">
        <w:rPr>
          <w:szCs w:val="24"/>
        </w:rPr>
        <w:t>’</w:t>
      </w:r>
      <w:r w:rsidR="009345DA" w:rsidRPr="007039B9">
        <w:rPr>
          <w:szCs w:val="24"/>
        </w:rPr>
        <w:t>a</w:t>
      </w:r>
      <w:r w:rsidR="00FE46D4" w:rsidRPr="007039B9">
        <w:rPr>
          <w:szCs w:val="24"/>
        </w:rPr>
        <w:t xml:space="preserve">ppel </w:t>
      </w:r>
      <w:r w:rsidR="009345DA" w:rsidRPr="007039B9">
        <w:rPr>
          <w:szCs w:val="24"/>
        </w:rPr>
        <w:t>fédérale a confirmé la décision de la Cour canadienne de l’impôt.</w:t>
      </w:r>
    </w:p>
    <w:p w:rsidR="008322BD" w:rsidRPr="007039B9" w:rsidRDefault="009B57B3" w:rsidP="00F047F7">
      <w:pPr>
        <w:pStyle w:val="SCCNormalDoubleSpacing"/>
        <w:spacing w:after="480"/>
        <w:rPr>
          <w:szCs w:val="24"/>
        </w:rPr>
      </w:pPr>
      <w:r w:rsidRPr="007039B9">
        <w:rPr>
          <w:szCs w:val="24"/>
        </w:rPr>
        <w:tab/>
      </w:r>
      <w:r w:rsidR="00FE46D4" w:rsidRPr="007039B9">
        <w:rPr>
          <w:i/>
          <w:szCs w:val="24"/>
        </w:rPr>
        <w:t>Arrêt</w:t>
      </w:r>
      <w:r w:rsidR="00FE46D4" w:rsidRPr="007039B9">
        <w:rPr>
          <w:szCs w:val="24"/>
        </w:rPr>
        <w:t> </w:t>
      </w:r>
      <w:r w:rsidR="006B5922" w:rsidRPr="007039B9">
        <w:rPr>
          <w:szCs w:val="24"/>
        </w:rPr>
        <w:t xml:space="preserve">(la juge en chef </w:t>
      </w:r>
      <w:proofErr w:type="spellStart"/>
      <w:r w:rsidR="006B5922" w:rsidRPr="007039B9">
        <w:rPr>
          <w:szCs w:val="24"/>
        </w:rPr>
        <w:t>McLachlin</w:t>
      </w:r>
      <w:proofErr w:type="spellEnd"/>
      <w:r w:rsidR="006B5922" w:rsidRPr="007039B9">
        <w:rPr>
          <w:szCs w:val="24"/>
        </w:rPr>
        <w:t xml:space="preserve"> et les juges Fish et Abella sont dissidents)</w:t>
      </w:r>
      <w:r w:rsidR="00CF4900" w:rsidRPr="007039B9">
        <w:rPr>
          <w:szCs w:val="24"/>
        </w:rPr>
        <w:t> :</w:t>
      </w:r>
      <w:r w:rsidR="00FE46D4" w:rsidRPr="007039B9">
        <w:rPr>
          <w:szCs w:val="24"/>
        </w:rPr>
        <w:t xml:space="preserve"> </w:t>
      </w:r>
      <w:r w:rsidR="001F36B2" w:rsidRPr="007039B9">
        <w:rPr>
          <w:szCs w:val="24"/>
        </w:rPr>
        <w:t>Le pourvoi est accueilli</w:t>
      </w:r>
      <w:r w:rsidR="00FE46D4" w:rsidRPr="007039B9">
        <w:rPr>
          <w:szCs w:val="24"/>
        </w:rPr>
        <w:t xml:space="preserve">, </w:t>
      </w:r>
      <w:r w:rsidR="001F36B2" w:rsidRPr="007039B9">
        <w:rPr>
          <w:szCs w:val="24"/>
        </w:rPr>
        <w:t xml:space="preserve">les </w:t>
      </w:r>
      <w:r w:rsidR="006B5922" w:rsidRPr="007039B9">
        <w:rPr>
          <w:szCs w:val="24"/>
        </w:rPr>
        <w:t>décisions</w:t>
      </w:r>
      <w:r w:rsidR="001F36B2" w:rsidRPr="007039B9">
        <w:rPr>
          <w:szCs w:val="24"/>
        </w:rPr>
        <w:t xml:space="preserve"> des juridictions inférieures sont infirmé</w:t>
      </w:r>
      <w:r w:rsidR="006B5922" w:rsidRPr="007039B9">
        <w:rPr>
          <w:szCs w:val="24"/>
        </w:rPr>
        <w:t>e</w:t>
      </w:r>
      <w:r w:rsidR="001F36B2" w:rsidRPr="007039B9">
        <w:rPr>
          <w:szCs w:val="24"/>
        </w:rPr>
        <w:t>s et les cotisations sont annulées.</w:t>
      </w:r>
    </w:p>
    <w:p w:rsidR="00FE46D4" w:rsidRPr="007039B9" w:rsidRDefault="009B57B3" w:rsidP="009A4ACE">
      <w:pPr>
        <w:pStyle w:val="SCCNormalDoubleSpacing"/>
        <w:spacing w:after="480"/>
        <w:rPr>
          <w:szCs w:val="24"/>
        </w:rPr>
      </w:pPr>
      <w:r w:rsidRPr="007039B9">
        <w:rPr>
          <w:szCs w:val="24"/>
        </w:rPr>
        <w:tab/>
      </w:r>
      <w:r w:rsidR="00FE46D4" w:rsidRPr="007039B9">
        <w:rPr>
          <w:i/>
          <w:szCs w:val="24"/>
        </w:rPr>
        <w:t>Les</w:t>
      </w:r>
      <w:r w:rsidR="00FE46D4" w:rsidRPr="007039B9">
        <w:rPr>
          <w:szCs w:val="24"/>
        </w:rPr>
        <w:t xml:space="preserve"> juges </w:t>
      </w:r>
      <w:proofErr w:type="spellStart"/>
      <w:r w:rsidR="00FE46D4" w:rsidRPr="007039B9">
        <w:rPr>
          <w:szCs w:val="24"/>
        </w:rPr>
        <w:t>Binnie</w:t>
      </w:r>
      <w:proofErr w:type="spellEnd"/>
      <w:r w:rsidR="00FE46D4" w:rsidRPr="007039B9">
        <w:rPr>
          <w:szCs w:val="24"/>
        </w:rPr>
        <w:t xml:space="preserve">, </w:t>
      </w:r>
      <w:r w:rsidR="00FE46D4" w:rsidRPr="0021144E">
        <w:rPr>
          <w:szCs w:val="24"/>
        </w:rPr>
        <w:t>Deschamps</w:t>
      </w:r>
      <w:r w:rsidR="00FE46D4" w:rsidRPr="007039B9">
        <w:rPr>
          <w:szCs w:val="24"/>
        </w:rPr>
        <w:t xml:space="preserve">, </w:t>
      </w:r>
      <w:proofErr w:type="spellStart"/>
      <w:r w:rsidR="00FE46D4" w:rsidRPr="007039B9">
        <w:rPr>
          <w:szCs w:val="24"/>
        </w:rPr>
        <w:t>Rothstein</w:t>
      </w:r>
      <w:proofErr w:type="spellEnd"/>
      <w:r w:rsidR="00FE46D4" w:rsidRPr="007039B9">
        <w:rPr>
          <w:szCs w:val="24"/>
        </w:rPr>
        <w:t xml:space="preserve"> et Cromwell</w:t>
      </w:r>
      <w:r w:rsidR="00CF4900" w:rsidRPr="007039B9">
        <w:rPr>
          <w:szCs w:val="24"/>
        </w:rPr>
        <w:t> :</w:t>
      </w:r>
      <w:r w:rsidR="00873C9A" w:rsidRPr="007039B9">
        <w:rPr>
          <w:szCs w:val="24"/>
        </w:rPr>
        <w:t xml:space="preserve"> La </w:t>
      </w:r>
      <w:r w:rsidR="006B5922" w:rsidRPr="007039B9">
        <w:rPr>
          <w:szCs w:val="24"/>
        </w:rPr>
        <w:t>B</w:t>
      </w:r>
      <w:r w:rsidR="00873C9A" w:rsidRPr="007039B9">
        <w:rPr>
          <w:szCs w:val="24"/>
        </w:rPr>
        <w:t>anque n’a jamais été tenue de verser le produit des chèques à M.</w:t>
      </w:r>
      <w:r w:rsidR="00DD438E" w:rsidRPr="007039B9">
        <w:rPr>
          <w:szCs w:val="24"/>
        </w:rPr>
        <w:t xml:space="preserve">  Le seul fait qu’une personne soit nommément désignée comme preneur à la face même d’un chèque ne signifie pas qu’une banque </w:t>
      </w:r>
      <w:r w:rsidR="006B5922" w:rsidRPr="007039B9">
        <w:rPr>
          <w:szCs w:val="24"/>
        </w:rPr>
        <w:t>est</w:t>
      </w:r>
      <w:r w:rsidR="00873C9A" w:rsidRPr="007039B9">
        <w:rPr>
          <w:szCs w:val="24"/>
        </w:rPr>
        <w:t xml:space="preserve"> </w:t>
      </w:r>
      <w:r w:rsidR="006B5922" w:rsidRPr="007039B9">
        <w:rPr>
          <w:szCs w:val="24"/>
        </w:rPr>
        <w:t xml:space="preserve">tenue de </w:t>
      </w:r>
      <w:r w:rsidR="00DD438E" w:rsidRPr="007039B9">
        <w:rPr>
          <w:szCs w:val="24"/>
        </w:rPr>
        <w:t xml:space="preserve">lui </w:t>
      </w:r>
      <w:r w:rsidR="006B5922" w:rsidRPr="007039B9">
        <w:rPr>
          <w:szCs w:val="24"/>
        </w:rPr>
        <w:t>faire un paiement</w:t>
      </w:r>
      <w:r w:rsidR="00FE46D4" w:rsidRPr="007039B9">
        <w:rPr>
          <w:szCs w:val="24"/>
        </w:rPr>
        <w:t>.</w:t>
      </w:r>
      <w:r w:rsidR="00873C9A" w:rsidRPr="007039B9">
        <w:rPr>
          <w:szCs w:val="24"/>
        </w:rPr>
        <w:t xml:space="preserve">  Le tiré est redevable au tireur.  </w:t>
      </w:r>
      <w:r w:rsidR="006B5922" w:rsidRPr="007039B9">
        <w:rPr>
          <w:szCs w:val="24"/>
        </w:rPr>
        <w:t xml:space="preserve">La question est de savoir à </w:t>
      </w:r>
      <w:r w:rsidR="00873C9A" w:rsidRPr="007039B9">
        <w:rPr>
          <w:szCs w:val="24"/>
        </w:rPr>
        <w:t xml:space="preserve">qui le tiré peut faire le paiement.  Pour </w:t>
      </w:r>
      <w:r w:rsidR="006B5922" w:rsidRPr="007039B9">
        <w:rPr>
          <w:szCs w:val="24"/>
        </w:rPr>
        <w:t>y répondre</w:t>
      </w:r>
      <w:r w:rsidR="00873C9A" w:rsidRPr="007039B9">
        <w:rPr>
          <w:szCs w:val="24"/>
        </w:rPr>
        <w:t>, il est essentiel de prendre connaissance de ce qui est écrit au verso du chèque, où se trouvent les instructions à exécuter ou l’endossement</w:t>
      </w:r>
      <w:r w:rsidR="00FE46D4" w:rsidRPr="007039B9">
        <w:rPr>
          <w:szCs w:val="24"/>
        </w:rPr>
        <w:t>.</w:t>
      </w:r>
      <w:r w:rsidR="00873C9A" w:rsidRPr="007039B9">
        <w:rPr>
          <w:szCs w:val="24"/>
        </w:rPr>
        <w:t xml:space="preserve">  En l’espèce, les instructions étaient de déposer les chèques au compte conjoint.  Il ne faut pas confondre l’obligation de la Banque de remettre des fonds à M à titre personnel et son obligation d’en verser aux titulaires du compte conjoint</w:t>
      </w:r>
      <w:r w:rsidR="00FE46D4" w:rsidRPr="007039B9">
        <w:rPr>
          <w:szCs w:val="24"/>
        </w:rPr>
        <w:t>.</w:t>
      </w:r>
      <w:r w:rsidR="00873C9A" w:rsidRPr="007039B9">
        <w:rPr>
          <w:szCs w:val="24"/>
        </w:rPr>
        <w:t xml:space="preserve">  La Banque n’avait pas pour instr</w:t>
      </w:r>
      <w:r w:rsidR="000C54A5">
        <w:rPr>
          <w:szCs w:val="24"/>
        </w:rPr>
        <w:t>uctions de remettre les fonds à </w:t>
      </w:r>
      <w:r w:rsidR="00873C9A" w:rsidRPr="007039B9">
        <w:rPr>
          <w:szCs w:val="24"/>
        </w:rPr>
        <w:t>M</w:t>
      </w:r>
      <w:r w:rsidR="00FE46D4" w:rsidRPr="007039B9">
        <w:rPr>
          <w:szCs w:val="24"/>
        </w:rPr>
        <w:t>.</w:t>
      </w:r>
    </w:p>
    <w:p w:rsidR="00FE46D4" w:rsidRPr="007039B9" w:rsidRDefault="009A4ACE" w:rsidP="009A4ACE">
      <w:pPr>
        <w:pStyle w:val="SCCNormalDoubleSpacing"/>
        <w:spacing w:after="480"/>
        <w:rPr>
          <w:szCs w:val="24"/>
        </w:rPr>
      </w:pPr>
      <w:r w:rsidRPr="007039B9">
        <w:rPr>
          <w:szCs w:val="24"/>
        </w:rPr>
        <w:tab/>
      </w:r>
      <w:r w:rsidR="00873C9A" w:rsidRPr="007039B9">
        <w:rPr>
          <w:szCs w:val="24"/>
        </w:rPr>
        <w:t xml:space="preserve">En l’espèce, les chèques ne stipulaient pas qu’ils étaient payables au porteur et ils n’étaient pas endossés en blanc.  Une fois les chèques remis à la Banque en vue de leur dépôt au compte conjoint, M n’était plus en possession de </w:t>
      </w:r>
      <w:proofErr w:type="spellStart"/>
      <w:r w:rsidR="00873C9A" w:rsidRPr="007039B9">
        <w:rPr>
          <w:szCs w:val="24"/>
        </w:rPr>
        <w:t>ceux</w:t>
      </w:r>
      <w:r w:rsidR="00CF4900" w:rsidRPr="007039B9">
        <w:rPr>
          <w:szCs w:val="24"/>
        </w:rPr>
        <w:noBreakHyphen/>
      </w:r>
      <w:r w:rsidR="00873C9A" w:rsidRPr="007039B9">
        <w:rPr>
          <w:szCs w:val="24"/>
        </w:rPr>
        <w:t>ci</w:t>
      </w:r>
      <w:proofErr w:type="spellEnd"/>
      <w:r w:rsidR="00873C9A" w:rsidRPr="007039B9">
        <w:rPr>
          <w:szCs w:val="24"/>
        </w:rPr>
        <w:t xml:space="preserve">, il </w:t>
      </w:r>
      <w:r w:rsidR="00873C9A" w:rsidRPr="007039B9">
        <w:rPr>
          <w:szCs w:val="24"/>
        </w:rPr>
        <w:lastRenderedPageBreak/>
        <w:t>n’y avait pas droit et il n’en était donc pas le détenteur</w:t>
      </w:r>
      <w:r w:rsidR="00FE46D4" w:rsidRPr="007039B9">
        <w:rPr>
          <w:szCs w:val="24"/>
        </w:rPr>
        <w:t>.</w:t>
      </w:r>
      <w:r w:rsidR="00DC3251" w:rsidRPr="007039B9">
        <w:rPr>
          <w:szCs w:val="24"/>
        </w:rPr>
        <w:t xml:space="preserve">  Après avoir reçu les chèques pour dépôt et les avoir portés au crédit du compte conjoint, la Banque avait acquis les droits d’un détenteur régulier au sens du </w:t>
      </w:r>
      <w:r w:rsidR="00CF4900" w:rsidRPr="007039B9">
        <w:rPr>
          <w:szCs w:val="24"/>
        </w:rPr>
        <w:t>par. </w:t>
      </w:r>
      <w:r w:rsidR="00DC3251" w:rsidRPr="007039B9">
        <w:rPr>
          <w:szCs w:val="24"/>
        </w:rPr>
        <w:t xml:space="preserve">165(3) de la </w:t>
      </w:r>
      <w:r w:rsidR="00DC3251" w:rsidRPr="007039B9">
        <w:rPr>
          <w:i/>
          <w:szCs w:val="24"/>
        </w:rPr>
        <w:t xml:space="preserve">Loi sur les lettres de change </w:t>
      </w:r>
      <w:r w:rsidR="00DC3251" w:rsidRPr="007039B9">
        <w:rPr>
          <w:szCs w:val="24"/>
        </w:rPr>
        <w:t>(« </w:t>
      </w:r>
      <w:r w:rsidR="00DC3251" w:rsidRPr="007039B9">
        <w:rPr>
          <w:i/>
          <w:szCs w:val="24"/>
        </w:rPr>
        <w:t>LLC</w:t>
      </w:r>
      <w:r w:rsidR="00DC3251" w:rsidRPr="007039B9">
        <w:rPr>
          <w:szCs w:val="24"/>
        </w:rPr>
        <w:t> ») et avait, à l’égard des titulaires de ce compte, une obligation contractuelle de présenter les chèques au paiement.</w:t>
      </w:r>
      <w:r w:rsidR="006D59F7" w:rsidRPr="007039B9">
        <w:rPr>
          <w:szCs w:val="24"/>
        </w:rPr>
        <w:t xml:space="preserve">  </w:t>
      </w:r>
      <w:r w:rsidR="00DC3251" w:rsidRPr="007039B9">
        <w:rPr>
          <w:szCs w:val="24"/>
        </w:rPr>
        <w:t>En portant les chèques au crédit du compte conjoint, les envoyant à une tierce partie pour fins de compensation et en recevant le produit, la Banque agissait toujours sur le fondement de sa relation contractuelle avec les titulaires du compte conjoint et non pour le compte de M à titre personnel.  En débitant le compte en fiducie le lendemain, la Banque ne faisait pas de paiement à M ou à un mandataire de ce dernier agissant exclusivement pour lui</w:t>
      </w:r>
      <w:r w:rsidR="00FE46D4" w:rsidRPr="007039B9">
        <w:rPr>
          <w:szCs w:val="24"/>
        </w:rPr>
        <w:t>.</w:t>
      </w:r>
      <w:r w:rsidR="00DC3251" w:rsidRPr="007039B9">
        <w:rPr>
          <w:szCs w:val="24"/>
        </w:rPr>
        <w:t xml:space="preserve">  La Banque ne devait aucun montant à M parce qu’elle avait agi à titre de banque d’encaissement pour ses clients, à savoir les titulaires du compte conjoint.  Elle n’a pas encaissé le produit des chèques à titre de mandataire du preneur, M</w:t>
      </w:r>
      <w:r w:rsidR="00FE46D4" w:rsidRPr="007039B9">
        <w:rPr>
          <w:szCs w:val="24"/>
        </w:rPr>
        <w:t xml:space="preserve">.  </w:t>
      </w:r>
    </w:p>
    <w:p w:rsidR="00FE46D4" w:rsidRPr="007039B9" w:rsidRDefault="009A4ACE" w:rsidP="009A4ACE">
      <w:pPr>
        <w:pStyle w:val="SCCNormalDoubleSpacing"/>
        <w:spacing w:after="480"/>
        <w:rPr>
          <w:szCs w:val="24"/>
        </w:rPr>
      </w:pPr>
      <w:r w:rsidRPr="007039B9">
        <w:rPr>
          <w:szCs w:val="24"/>
        </w:rPr>
        <w:tab/>
      </w:r>
      <w:r w:rsidR="00DC3251" w:rsidRPr="007039B9">
        <w:rPr>
          <w:szCs w:val="24"/>
        </w:rPr>
        <w:t xml:space="preserve">L’obligation qui incombe au banquier découle de la relation </w:t>
      </w:r>
      <w:proofErr w:type="spellStart"/>
      <w:r w:rsidR="00DC3251" w:rsidRPr="007039B9">
        <w:rPr>
          <w:szCs w:val="24"/>
        </w:rPr>
        <w:t>débiteur</w:t>
      </w:r>
      <w:r w:rsidR="00CF4900" w:rsidRPr="007039B9">
        <w:rPr>
          <w:szCs w:val="24"/>
        </w:rPr>
        <w:noBreakHyphen/>
      </w:r>
      <w:r w:rsidR="00DC3251" w:rsidRPr="007039B9">
        <w:rPr>
          <w:szCs w:val="24"/>
        </w:rPr>
        <w:t>créancier</w:t>
      </w:r>
      <w:proofErr w:type="spellEnd"/>
      <w:r w:rsidR="00DC3251" w:rsidRPr="007039B9">
        <w:rPr>
          <w:szCs w:val="24"/>
        </w:rPr>
        <w:t xml:space="preserve"> créée au moment de l’ouverture du compte bancaire.  Le preneur d’un chèque n’est pas partie à cette relation contractuelle et sa simple qualité de preneur ne fait pas naître une telle relation entre lui et le tiré</w:t>
      </w:r>
      <w:r w:rsidR="00FE46D4" w:rsidRPr="007039B9">
        <w:rPr>
          <w:szCs w:val="24"/>
        </w:rPr>
        <w:t>.</w:t>
      </w:r>
      <w:r w:rsidR="00DC3251" w:rsidRPr="007039B9">
        <w:rPr>
          <w:szCs w:val="24"/>
        </w:rPr>
        <w:t xml:space="preserve">  Le chèque n’a pas pour effet de transférer des fonds au preneur ou d’en transférer au tiré.  En soi, le chèque n’impose à la banque tirée aucune obligation envers le preneur.  Il y a une distinction à faire entre la remise d’un chèque pour dépôt et la présentation au paiement</w:t>
      </w:r>
      <w:r w:rsidR="00FE46D4" w:rsidRPr="007039B9">
        <w:rPr>
          <w:szCs w:val="24"/>
        </w:rPr>
        <w:t>.</w:t>
      </w:r>
      <w:r w:rsidR="00DC3251" w:rsidRPr="007039B9">
        <w:rPr>
          <w:szCs w:val="24"/>
        </w:rPr>
        <w:t xml:space="preserve">  Il ressort clairement des règles en matière de présentation que l’obligation de la banque tirée, à savoir celle de faire un paiement au détenteur du chèque, ne lui incombe qu’à </w:t>
      </w:r>
      <w:r w:rsidR="00DC3251" w:rsidRPr="007039B9">
        <w:rPr>
          <w:szCs w:val="24"/>
        </w:rPr>
        <w:lastRenderedPageBreak/>
        <w:t>l’égard du tireur et que cette obligation n’est déclenchée qu’au moment où le chèque lui est présenté</w:t>
      </w:r>
      <w:r w:rsidR="00FE46D4" w:rsidRPr="007039B9">
        <w:rPr>
          <w:szCs w:val="24"/>
        </w:rPr>
        <w:t>.</w:t>
      </w:r>
      <w:r w:rsidR="00DC3251" w:rsidRPr="007039B9">
        <w:rPr>
          <w:szCs w:val="24"/>
        </w:rPr>
        <w:t xml:space="preserve">  Il est également clair que, sous réserve des dispositions de la </w:t>
      </w:r>
      <w:r w:rsidR="00DC3251" w:rsidRPr="007039B9">
        <w:rPr>
          <w:i/>
          <w:szCs w:val="24"/>
        </w:rPr>
        <w:t>LLC</w:t>
      </w:r>
      <w:r w:rsidR="00DC3251" w:rsidRPr="007039B9">
        <w:rPr>
          <w:szCs w:val="24"/>
        </w:rPr>
        <w:t xml:space="preserve">, l’obligation du tiré envers le tireur consiste à débourser les fonds seulement sur présentation de la lettre par son détenteur, à savoir la personne ayant le droit de recevoir les fonds, ou par le mandataire de cette personne.  </w:t>
      </w:r>
      <w:r w:rsidR="00FB03C1" w:rsidRPr="007039B9">
        <w:rPr>
          <w:szCs w:val="24"/>
        </w:rPr>
        <w:t>T</w:t>
      </w:r>
      <w:r w:rsidR="00DC3251" w:rsidRPr="007039B9">
        <w:rPr>
          <w:szCs w:val="24"/>
        </w:rPr>
        <w:t xml:space="preserve">ant du point de vue de M, en sa qualité de preneur, que de celui de </w:t>
      </w:r>
      <w:r w:rsidR="00FB03C1" w:rsidRPr="007039B9">
        <w:rPr>
          <w:szCs w:val="24"/>
        </w:rPr>
        <w:t>la Banque</w:t>
      </w:r>
      <w:r w:rsidR="00DC3251" w:rsidRPr="007039B9">
        <w:rPr>
          <w:szCs w:val="24"/>
        </w:rPr>
        <w:t>, en tant que banque tirée, le simple fait que des chèques payables à M</w:t>
      </w:r>
      <w:r w:rsidR="00FB03C1" w:rsidRPr="007039B9">
        <w:rPr>
          <w:szCs w:val="24"/>
        </w:rPr>
        <w:t xml:space="preserve"> </w:t>
      </w:r>
      <w:r w:rsidR="00DC3251" w:rsidRPr="007039B9">
        <w:rPr>
          <w:szCs w:val="24"/>
        </w:rPr>
        <w:t xml:space="preserve">ont été remis à </w:t>
      </w:r>
      <w:r w:rsidR="00FB03C1" w:rsidRPr="007039B9">
        <w:rPr>
          <w:szCs w:val="24"/>
        </w:rPr>
        <w:t>la Banque</w:t>
      </w:r>
      <w:r w:rsidR="00DC3251" w:rsidRPr="007039B9">
        <w:rPr>
          <w:szCs w:val="24"/>
        </w:rPr>
        <w:t xml:space="preserve"> en vue de leur dépôt n’imposait pas à celle</w:t>
      </w:r>
      <w:r w:rsidR="000C54A5">
        <w:rPr>
          <w:szCs w:val="24"/>
        </w:rPr>
        <w:t>-</w:t>
      </w:r>
      <w:r w:rsidR="00DC3251" w:rsidRPr="007039B9">
        <w:rPr>
          <w:szCs w:val="24"/>
        </w:rPr>
        <w:t xml:space="preserve">ci l’obligation de faire </w:t>
      </w:r>
      <w:r w:rsidR="006D59F7" w:rsidRPr="007039B9">
        <w:rPr>
          <w:szCs w:val="24"/>
        </w:rPr>
        <w:t>un</w:t>
      </w:r>
      <w:r w:rsidR="00DC3251" w:rsidRPr="007039B9">
        <w:rPr>
          <w:szCs w:val="24"/>
        </w:rPr>
        <w:t xml:space="preserve"> paiement à </w:t>
      </w:r>
      <w:proofErr w:type="spellStart"/>
      <w:r w:rsidR="00DC3251" w:rsidRPr="007039B9">
        <w:rPr>
          <w:szCs w:val="24"/>
        </w:rPr>
        <w:t>celui</w:t>
      </w:r>
      <w:r w:rsidR="00CF4900" w:rsidRPr="007039B9">
        <w:rPr>
          <w:szCs w:val="24"/>
        </w:rPr>
        <w:noBreakHyphen/>
      </w:r>
      <w:r w:rsidR="00DC3251" w:rsidRPr="007039B9">
        <w:rPr>
          <w:szCs w:val="24"/>
        </w:rPr>
        <w:t>là</w:t>
      </w:r>
      <w:proofErr w:type="spellEnd"/>
      <w:r w:rsidR="00DC3251" w:rsidRPr="007039B9">
        <w:rPr>
          <w:szCs w:val="24"/>
        </w:rPr>
        <w:t xml:space="preserve"> en application du </w:t>
      </w:r>
      <w:r w:rsidR="00CF4900" w:rsidRPr="007039B9">
        <w:rPr>
          <w:szCs w:val="24"/>
        </w:rPr>
        <w:t>par. </w:t>
      </w:r>
      <w:r w:rsidR="00DC3251" w:rsidRPr="007039B9">
        <w:rPr>
          <w:szCs w:val="24"/>
        </w:rPr>
        <w:t xml:space="preserve">224(1) de la </w:t>
      </w:r>
      <w:r w:rsidR="00DC3251" w:rsidRPr="007039B9">
        <w:rPr>
          <w:i/>
          <w:szCs w:val="24"/>
        </w:rPr>
        <w:t>LIR</w:t>
      </w:r>
      <w:r w:rsidR="00FB03C1" w:rsidRPr="007039B9">
        <w:rPr>
          <w:szCs w:val="24"/>
        </w:rPr>
        <w:t>.</w:t>
      </w:r>
      <w:r w:rsidR="00DC3251" w:rsidRPr="007039B9">
        <w:rPr>
          <w:szCs w:val="24"/>
        </w:rPr>
        <w:t xml:space="preserve"> </w:t>
      </w:r>
    </w:p>
    <w:p w:rsidR="00FE46D4" w:rsidRPr="007039B9" w:rsidRDefault="009A4ACE" w:rsidP="009A4ACE">
      <w:pPr>
        <w:pStyle w:val="SCCNormalDoubleSpacing"/>
        <w:spacing w:after="480"/>
        <w:rPr>
          <w:szCs w:val="24"/>
        </w:rPr>
      </w:pPr>
      <w:r w:rsidRPr="007039B9">
        <w:rPr>
          <w:i/>
          <w:szCs w:val="24"/>
        </w:rPr>
        <w:tab/>
      </w:r>
      <w:r w:rsidR="00FE46D4" w:rsidRPr="007039B9">
        <w:rPr>
          <w:i/>
          <w:szCs w:val="24"/>
        </w:rPr>
        <w:t xml:space="preserve">La </w:t>
      </w:r>
      <w:r w:rsidR="00FE46D4" w:rsidRPr="00FA0DEC">
        <w:rPr>
          <w:szCs w:val="24"/>
        </w:rPr>
        <w:t xml:space="preserve">juge en chef </w:t>
      </w:r>
      <w:proofErr w:type="spellStart"/>
      <w:r w:rsidR="00FE46D4" w:rsidRPr="00FA0DEC">
        <w:rPr>
          <w:szCs w:val="24"/>
        </w:rPr>
        <w:t>McLachlin</w:t>
      </w:r>
      <w:proofErr w:type="spellEnd"/>
      <w:r w:rsidR="00FE46D4" w:rsidRPr="007039B9">
        <w:rPr>
          <w:szCs w:val="24"/>
        </w:rPr>
        <w:t xml:space="preserve"> et les juges Fish et Abella (dissidents)</w:t>
      </w:r>
      <w:r w:rsidR="00CF4900" w:rsidRPr="007039B9">
        <w:rPr>
          <w:szCs w:val="24"/>
        </w:rPr>
        <w:t> :</w:t>
      </w:r>
      <w:r w:rsidR="00FE46D4" w:rsidRPr="007039B9">
        <w:rPr>
          <w:szCs w:val="24"/>
        </w:rPr>
        <w:t xml:space="preserve"> </w:t>
      </w:r>
      <w:r w:rsidR="000D4289" w:rsidRPr="007039B9">
        <w:rPr>
          <w:szCs w:val="24"/>
        </w:rPr>
        <w:t xml:space="preserve">La Banque était tenue de faire un paiement à M par suite des chèques qu’il s’était faits à </w:t>
      </w:r>
      <w:proofErr w:type="spellStart"/>
      <w:r w:rsidR="000D4289" w:rsidRPr="007039B9">
        <w:rPr>
          <w:szCs w:val="24"/>
        </w:rPr>
        <w:t>lui</w:t>
      </w:r>
      <w:r w:rsidR="00CF4900" w:rsidRPr="007039B9">
        <w:rPr>
          <w:szCs w:val="24"/>
        </w:rPr>
        <w:noBreakHyphen/>
      </w:r>
      <w:r w:rsidR="000D4289" w:rsidRPr="007039B9">
        <w:rPr>
          <w:szCs w:val="24"/>
        </w:rPr>
        <w:t>même</w:t>
      </w:r>
      <w:proofErr w:type="spellEnd"/>
      <w:r w:rsidR="00FE46D4" w:rsidRPr="007039B9">
        <w:rPr>
          <w:szCs w:val="24"/>
        </w:rPr>
        <w:t>.</w:t>
      </w:r>
      <w:r w:rsidR="000D4289" w:rsidRPr="007039B9">
        <w:rPr>
          <w:szCs w:val="24"/>
        </w:rPr>
        <w:t xml:space="preserve">  </w:t>
      </w:r>
      <w:r w:rsidR="006D59F7" w:rsidRPr="007039B9">
        <w:rPr>
          <w:szCs w:val="24"/>
        </w:rPr>
        <w:t>Une</w:t>
      </w:r>
      <w:r w:rsidR="000D4289" w:rsidRPr="007039B9">
        <w:rPr>
          <w:szCs w:val="24"/>
        </w:rPr>
        <w:t xml:space="preserve"> banque qui encaisse un chèque déposé reçoit les fonds à titre de mandataire de son client (le preneur).  Cela suppose deux opérations</w:t>
      </w:r>
      <w:r w:rsidR="00FE46D4" w:rsidRPr="007039B9">
        <w:rPr>
          <w:szCs w:val="24"/>
        </w:rPr>
        <w:t xml:space="preserve">.  </w:t>
      </w:r>
      <w:r w:rsidR="000D4289" w:rsidRPr="007039B9">
        <w:rPr>
          <w:szCs w:val="24"/>
        </w:rPr>
        <w:t xml:space="preserve">Les fonds sont d’abord portés au crédit du mandant, le preneur/client, pour être de nouveau remis à la banque en vertu du contrat bancaire.  Le fait que ces opérations soient consécutives ne change rien à la conclusion que, sur le plan juridique, elles constituent deux étapes distinctes.  Le chèque déposé est donc payable au client au moment où il est déposé; il n’est jamais payable à la banque.  Le paragraphe 165(3) de la </w:t>
      </w:r>
      <w:r w:rsidR="000D4289" w:rsidRPr="007039B9">
        <w:rPr>
          <w:i/>
          <w:szCs w:val="24"/>
        </w:rPr>
        <w:t xml:space="preserve">LLC </w:t>
      </w:r>
      <w:r w:rsidR="000D4289" w:rsidRPr="007039B9">
        <w:rPr>
          <w:szCs w:val="24"/>
        </w:rPr>
        <w:t xml:space="preserve">ne prévoit pas que la banque devient le détenteur du chèque — il atteint son objectif bien précis en accordant à la banque d’encaissement </w:t>
      </w:r>
      <w:r w:rsidR="000D4289" w:rsidRPr="007039B9">
        <w:rPr>
          <w:rStyle w:val="InQuoteChar"/>
          <w:szCs w:val="24"/>
          <w:lang w:val="fr-CA"/>
        </w:rPr>
        <w:t xml:space="preserve">tous les droits et pouvoirs du détenteur régulier du chèque et n’exige pas que </w:t>
      </w:r>
      <w:r w:rsidR="000D4289" w:rsidRPr="007039B9">
        <w:rPr>
          <w:szCs w:val="24"/>
        </w:rPr>
        <w:t>la banque soit effectivement désignée comme la détentrice régulière de celui</w:t>
      </w:r>
      <w:r w:rsidR="000C54A5">
        <w:rPr>
          <w:szCs w:val="24"/>
        </w:rPr>
        <w:t>-</w:t>
      </w:r>
      <w:r w:rsidR="000D4289" w:rsidRPr="007039B9">
        <w:rPr>
          <w:szCs w:val="24"/>
        </w:rPr>
        <w:t>ci</w:t>
      </w:r>
      <w:r w:rsidR="00FE46D4" w:rsidRPr="007039B9">
        <w:rPr>
          <w:spacing w:val="-3"/>
          <w:szCs w:val="24"/>
        </w:rPr>
        <w:t>.</w:t>
      </w:r>
      <w:r w:rsidR="000D4289" w:rsidRPr="007039B9">
        <w:rPr>
          <w:spacing w:val="-3"/>
          <w:szCs w:val="24"/>
        </w:rPr>
        <w:t xml:space="preserve">  La</w:t>
      </w:r>
      <w:r w:rsidR="000D4289" w:rsidRPr="007039B9">
        <w:rPr>
          <w:szCs w:val="24"/>
        </w:rPr>
        <w:t xml:space="preserve"> Banque était tenue de verser les fonds à son client </w:t>
      </w:r>
      <w:r w:rsidR="000D4289" w:rsidRPr="007039B9">
        <w:rPr>
          <w:szCs w:val="24"/>
        </w:rPr>
        <w:lastRenderedPageBreak/>
        <w:t>dès lors qu’elle avait reçu les chèques que M s’était faits à lui</w:t>
      </w:r>
      <w:r w:rsidR="000C54A5">
        <w:rPr>
          <w:szCs w:val="24"/>
        </w:rPr>
        <w:t>-</w:t>
      </w:r>
      <w:r w:rsidR="000D4289" w:rsidRPr="007039B9">
        <w:rPr>
          <w:szCs w:val="24"/>
        </w:rPr>
        <w:t>même</w:t>
      </w:r>
      <w:r w:rsidR="00FE46D4" w:rsidRPr="007039B9">
        <w:rPr>
          <w:szCs w:val="24"/>
        </w:rPr>
        <w:t>.</w:t>
      </w:r>
      <w:r w:rsidR="000D4289" w:rsidRPr="007039B9">
        <w:rPr>
          <w:szCs w:val="24"/>
        </w:rPr>
        <w:t xml:space="preserve">  La Banque était donc contractuellement tenue de satisfaire à la demande de paiement de son client</w:t>
      </w:r>
      <w:r w:rsidR="00FE46D4" w:rsidRPr="007039B9">
        <w:rPr>
          <w:szCs w:val="24"/>
        </w:rPr>
        <w:t xml:space="preserve">.  </w:t>
      </w:r>
      <w:r w:rsidR="000D4289" w:rsidRPr="007039B9">
        <w:rPr>
          <w:szCs w:val="24"/>
        </w:rPr>
        <w:t xml:space="preserve">Par conséquent, toutes les conditions prévues au </w:t>
      </w:r>
      <w:r w:rsidR="00CF4900" w:rsidRPr="007039B9">
        <w:rPr>
          <w:szCs w:val="24"/>
        </w:rPr>
        <w:t>par. </w:t>
      </w:r>
      <w:r w:rsidR="000D4289" w:rsidRPr="007039B9">
        <w:rPr>
          <w:szCs w:val="24"/>
        </w:rPr>
        <w:t xml:space="preserve">224(1) de la </w:t>
      </w:r>
      <w:r w:rsidR="000D4289" w:rsidRPr="007039B9">
        <w:rPr>
          <w:i/>
          <w:szCs w:val="24"/>
        </w:rPr>
        <w:t>LIR</w:t>
      </w:r>
      <w:r w:rsidR="000D4289" w:rsidRPr="007039B9">
        <w:rPr>
          <w:szCs w:val="24"/>
        </w:rPr>
        <w:t xml:space="preserve"> se trouvaient réunies et la demande péremptoire de paiement visait les fonds en transit entre les comptes de M</w:t>
      </w:r>
      <w:r w:rsidR="000F6474" w:rsidRPr="007039B9">
        <w:rPr>
          <w:szCs w:val="24"/>
        </w:rPr>
        <w:t>.</w:t>
      </w:r>
      <w:r w:rsidR="00FE46D4" w:rsidRPr="007039B9">
        <w:rPr>
          <w:szCs w:val="24"/>
        </w:rPr>
        <w:t xml:space="preserve"> </w:t>
      </w:r>
    </w:p>
    <w:p w:rsidR="006C5661" w:rsidRPr="007039B9" w:rsidRDefault="000F6474" w:rsidP="00FE46D4">
      <w:pPr>
        <w:pStyle w:val="SCCNormalDoubleSpacing"/>
        <w:spacing w:after="480"/>
        <w:rPr>
          <w:szCs w:val="24"/>
        </w:rPr>
      </w:pPr>
      <w:r w:rsidRPr="007039B9">
        <w:rPr>
          <w:szCs w:val="24"/>
        </w:rPr>
        <w:tab/>
      </w:r>
      <w:r w:rsidR="00BA519E" w:rsidRPr="007039B9">
        <w:rPr>
          <w:szCs w:val="24"/>
        </w:rPr>
        <w:t xml:space="preserve">Peu importe que les chèques aient été déposés à un compte conjoint, la Banque était tenue de faire </w:t>
      </w:r>
      <w:r w:rsidR="00C107A0" w:rsidRPr="007039B9">
        <w:rPr>
          <w:szCs w:val="24"/>
        </w:rPr>
        <w:t>un</w:t>
      </w:r>
      <w:r w:rsidR="00BA519E" w:rsidRPr="007039B9">
        <w:rPr>
          <w:szCs w:val="24"/>
        </w:rPr>
        <w:t xml:space="preserve"> paiement seulement à M lorsqu’elle a décidé d’honorer les chèques.  U</w:t>
      </w:r>
      <w:r w:rsidRPr="007039B9">
        <w:rPr>
          <w:szCs w:val="24"/>
        </w:rPr>
        <w:t>ne fois qu’ils ont été déposés de façon irrévocable dans un compte conjoint, les fonds deviennent la propriété conjointe des détenteurs du compte en vertu de leur contrat bancaire, et ils ne peuvent être saisis</w:t>
      </w:r>
      <w:r w:rsidR="000C54A5">
        <w:rPr>
          <w:szCs w:val="24"/>
        </w:rPr>
        <w:t>-</w:t>
      </w:r>
      <w:r w:rsidRPr="007039B9">
        <w:rPr>
          <w:szCs w:val="24"/>
        </w:rPr>
        <w:t>arrêtés par le ministre parce qu’ils n’appartiennent plus exclusivement au débiteur fisc</w:t>
      </w:r>
      <w:r w:rsidR="00DE6605">
        <w:rPr>
          <w:szCs w:val="24"/>
        </w:rPr>
        <w:t xml:space="preserve">al. </w:t>
      </w:r>
      <w:r w:rsidRPr="007039B9">
        <w:rPr>
          <w:szCs w:val="24"/>
        </w:rPr>
        <w:t xml:space="preserve"> Il ne s’ensuit pas pour autant que le ministre ne </w:t>
      </w:r>
      <w:proofErr w:type="gramStart"/>
      <w:r w:rsidRPr="007039B9">
        <w:rPr>
          <w:szCs w:val="24"/>
        </w:rPr>
        <w:t>pouvait</w:t>
      </w:r>
      <w:proofErr w:type="gramEnd"/>
      <w:r w:rsidRPr="007039B9">
        <w:rPr>
          <w:szCs w:val="24"/>
        </w:rPr>
        <w:t xml:space="preserve"> pas intercepter les fonds en transit avant qu’ils ne parviennent au compte</w:t>
      </w:r>
      <w:r w:rsidR="00B63673" w:rsidRPr="007039B9">
        <w:rPr>
          <w:szCs w:val="24"/>
        </w:rPr>
        <w:t xml:space="preserve"> conjoint</w:t>
      </w:r>
      <w:r w:rsidR="00FE46D4" w:rsidRPr="007039B9">
        <w:rPr>
          <w:szCs w:val="24"/>
        </w:rPr>
        <w:t>.</w:t>
      </w:r>
      <w:r w:rsidRPr="007039B9">
        <w:rPr>
          <w:szCs w:val="24"/>
        </w:rPr>
        <w:t xml:space="preserve">  La demande péremptoire de paiement prévue au </w:t>
      </w:r>
      <w:r w:rsidR="00CF4900" w:rsidRPr="007039B9">
        <w:rPr>
          <w:szCs w:val="24"/>
        </w:rPr>
        <w:t>par. </w:t>
      </w:r>
      <w:r w:rsidRPr="007039B9">
        <w:rPr>
          <w:szCs w:val="24"/>
        </w:rPr>
        <w:t>224(1) permet d’intercepter des fonds alors qu’ils sont en transit</w:t>
      </w:r>
      <w:r w:rsidR="00FE46D4" w:rsidRPr="007039B9">
        <w:rPr>
          <w:szCs w:val="24"/>
        </w:rPr>
        <w:t>.</w:t>
      </w:r>
      <w:r w:rsidRPr="007039B9">
        <w:rPr>
          <w:szCs w:val="24"/>
        </w:rPr>
        <w:t xml:space="preserve">  Avant que les fonds ne parviennent au compte conjoint et pendant qu’ils sont encore en transit, la banque tirée n’est tenue de faire un paiement qu’au preneur du chèque</w:t>
      </w:r>
      <w:r w:rsidR="00FE46D4" w:rsidRPr="007039B9">
        <w:rPr>
          <w:szCs w:val="24"/>
        </w:rPr>
        <w:t>.</w:t>
      </w:r>
      <w:r w:rsidRPr="007039B9">
        <w:rPr>
          <w:szCs w:val="24"/>
        </w:rPr>
        <w:t xml:space="preserve">  L’autre titulaire du compte conjoint n’avait aucun droit sur les fonds tant que </w:t>
      </w:r>
      <w:proofErr w:type="spellStart"/>
      <w:r w:rsidRPr="007039B9">
        <w:rPr>
          <w:szCs w:val="24"/>
        </w:rPr>
        <w:t>ceux</w:t>
      </w:r>
      <w:r w:rsidR="00CF4900" w:rsidRPr="007039B9">
        <w:rPr>
          <w:szCs w:val="24"/>
        </w:rPr>
        <w:noBreakHyphen/>
      </w:r>
      <w:r w:rsidRPr="007039B9">
        <w:rPr>
          <w:szCs w:val="24"/>
        </w:rPr>
        <w:t>ci</w:t>
      </w:r>
      <w:proofErr w:type="spellEnd"/>
      <w:r w:rsidRPr="007039B9">
        <w:rPr>
          <w:szCs w:val="24"/>
        </w:rPr>
        <w:t xml:space="preserve"> n’y avaient pas été déposés</w:t>
      </w:r>
      <w:r w:rsidR="00FE46D4" w:rsidRPr="007039B9">
        <w:rPr>
          <w:szCs w:val="24"/>
        </w:rPr>
        <w:t>.</w:t>
      </w:r>
      <w:r w:rsidRPr="007039B9">
        <w:rPr>
          <w:szCs w:val="24"/>
        </w:rPr>
        <w:t xml:space="preserve">  Ce n’est donc que la qualité de preneur</w:t>
      </w:r>
      <w:r w:rsidRPr="007039B9">
        <w:rPr>
          <w:i/>
          <w:szCs w:val="24"/>
        </w:rPr>
        <w:t xml:space="preserve"> </w:t>
      </w:r>
      <w:r w:rsidRPr="007039B9">
        <w:rPr>
          <w:szCs w:val="24"/>
        </w:rPr>
        <w:t xml:space="preserve">de M qui comptait pour déclencher l’application du </w:t>
      </w:r>
      <w:r w:rsidR="00CF4900" w:rsidRPr="007039B9">
        <w:rPr>
          <w:szCs w:val="24"/>
        </w:rPr>
        <w:t>par. </w:t>
      </w:r>
      <w:r w:rsidRPr="007039B9">
        <w:rPr>
          <w:szCs w:val="24"/>
        </w:rPr>
        <w:t>224(1) car il s’agissait d’un compte conjoint</w:t>
      </w:r>
      <w:r w:rsidR="00FE46D4" w:rsidRPr="007039B9">
        <w:rPr>
          <w:szCs w:val="24"/>
        </w:rPr>
        <w:t>.</w:t>
      </w:r>
    </w:p>
    <w:p w:rsidR="008A26C1" w:rsidRPr="007039B9" w:rsidRDefault="0043088E" w:rsidP="00F772FA">
      <w:pPr>
        <w:pStyle w:val="SCCNormalDoubleSpacing"/>
        <w:keepNext/>
        <w:spacing w:after="480"/>
        <w:rPr>
          <w:b/>
          <w:szCs w:val="24"/>
        </w:rPr>
      </w:pPr>
      <w:r w:rsidRPr="007039B9">
        <w:rPr>
          <w:b/>
          <w:szCs w:val="24"/>
        </w:rPr>
        <w:lastRenderedPageBreak/>
        <w:t>Jurisprudence</w:t>
      </w:r>
    </w:p>
    <w:p w:rsidR="007834A8" w:rsidRPr="007039B9" w:rsidRDefault="008A26C1" w:rsidP="00F772FA">
      <w:pPr>
        <w:pStyle w:val="SCCNormalDoubleSpacing"/>
        <w:keepNext/>
        <w:spacing w:after="480"/>
        <w:rPr>
          <w:szCs w:val="24"/>
        </w:rPr>
      </w:pPr>
      <w:r w:rsidRPr="007039B9">
        <w:rPr>
          <w:szCs w:val="24"/>
        </w:rPr>
        <w:t>Citée par la juge Deschamps</w:t>
      </w:r>
    </w:p>
    <w:p w:rsidR="00DC2E49" w:rsidRPr="00462786" w:rsidRDefault="002E6705" w:rsidP="00DC2E49">
      <w:pPr>
        <w:pStyle w:val="SCCNormalDoubleSpacing"/>
        <w:spacing w:after="480"/>
        <w:rPr>
          <w:szCs w:val="24"/>
        </w:rPr>
      </w:pPr>
      <w:r w:rsidRPr="007039B9">
        <w:rPr>
          <w:szCs w:val="24"/>
        </w:rPr>
        <w:tab/>
      </w:r>
      <w:proofErr w:type="spellStart"/>
      <w:r w:rsidR="0043088E" w:rsidRPr="007039B9">
        <w:rPr>
          <w:b/>
          <w:szCs w:val="24"/>
          <w:lang w:val="en-CA"/>
        </w:rPr>
        <w:t>Arrêts</w:t>
      </w:r>
      <w:proofErr w:type="spellEnd"/>
      <w:r w:rsidR="0043088E" w:rsidRPr="007039B9">
        <w:rPr>
          <w:b/>
          <w:szCs w:val="24"/>
          <w:lang w:val="en-CA"/>
        </w:rPr>
        <w:t xml:space="preserve"> </w:t>
      </w:r>
      <w:proofErr w:type="spellStart"/>
      <w:r w:rsidR="0043088E" w:rsidRPr="007039B9">
        <w:rPr>
          <w:b/>
          <w:szCs w:val="24"/>
          <w:lang w:val="en-CA"/>
        </w:rPr>
        <w:t>mentionnés</w:t>
      </w:r>
      <w:proofErr w:type="spellEnd"/>
      <w:r w:rsidR="00CF4900" w:rsidRPr="007039B9">
        <w:rPr>
          <w:b/>
          <w:szCs w:val="24"/>
          <w:lang w:val="en-CA"/>
        </w:rPr>
        <w:t> :</w:t>
      </w:r>
      <w:r w:rsidR="00172A04" w:rsidRPr="007039B9">
        <w:rPr>
          <w:szCs w:val="24"/>
          <w:lang w:val="en-CA"/>
        </w:rPr>
        <w:t xml:space="preserve"> </w:t>
      </w:r>
      <w:r w:rsidR="00C851F3" w:rsidRPr="007039B9">
        <w:rPr>
          <w:i/>
          <w:szCs w:val="24"/>
          <w:lang w:val="en-CA"/>
        </w:rPr>
        <w:t>Canada c. National Trust Co.</w:t>
      </w:r>
      <w:r w:rsidR="00C851F3" w:rsidRPr="007039B9">
        <w:rPr>
          <w:szCs w:val="24"/>
          <w:lang w:val="en-CA"/>
        </w:rPr>
        <w:t xml:space="preserve">, 1998 </w:t>
      </w:r>
      <w:proofErr w:type="spellStart"/>
      <w:r w:rsidR="00C851F3" w:rsidRPr="007039B9">
        <w:rPr>
          <w:szCs w:val="24"/>
          <w:lang w:val="en-CA"/>
        </w:rPr>
        <w:t>CanLII</w:t>
      </w:r>
      <w:proofErr w:type="spellEnd"/>
      <w:r w:rsidR="00C851F3" w:rsidRPr="007039B9">
        <w:rPr>
          <w:szCs w:val="24"/>
          <w:lang w:val="en-CA"/>
        </w:rPr>
        <w:t xml:space="preserve"> 8214</w:t>
      </w:r>
      <w:r w:rsidR="00E7446A" w:rsidRPr="007039B9">
        <w:rPr>
          <w:szCs w:val="24"/>
          <w:lang w:val="en-CA"/>
        </w:rPr>
        <w:t xml:space="preserve">; </w:t>
      </w:r>
      <w:r w:rsidR="00E7446A" w:rsidRPr="007039B9">
        <w:rPr>
          <w:i/>
          <w:szCs w:val="24"/>
          <w:lang w:val="en-CA"/>
        </w:rPr>
        <w:t xml:space="preserve">Foley </w:t>
      </w:r>
      <w:r w:rsidR="00C851F3" w:rsidRPr="007039B9">
        <w:rPr>
          <w:i/>
          <w:szCs w:val="24"/>
          <w:lang w:val="en-CA"/>
        </w:rPr>
        <w:t>c</w:t>
      </w:r>
      <w:r w:rsidR="00E7446A" w:rsidRPr="007039B9">
        <w:rPr>
          <w:i/>
          <w:szCs w:val="24"/>
          <w:lang w:val="en-CA"/>
        </w:rPr>
        <w:t>. Hill</w:t>
      </w:r>
      <w:r w:rsidR="00E7446A" w:rsidRPr="007039B9">
        <w:rPr>
          <w:szCs w:val="24"/>
          <w:lang w:val="en-CA"/>
        </w:rPr>
        <w:t xml:space="preserve"> (1848), 2 H.L.C. 28, 9 E.R. 1002; </w:t>
      </w:r>
      <w:proofErr w:type="spellStart"/>
      <w:r w:rsidR="004A0397" w:rsidRPr="007039B9">
        <w:rPr>
          <w:i/>
          <w:szCs w:val="24"/>
          <w:lang w:val="en-CA"/>
        </w:rPr>
        <w:t>Joachimson</w:t>
      </w:r>
      <w:proofErr w:type="spellEnd"/>
      <w:r w:rsidR="004A0397" w:rsidRPr="007039B9">
        <w:rPr>
          <w:i/>
          <w:szCs w:val="24"/>
          <w:lang w:val="en-CA"/>
        </w:rPr>
        <w:t xml:space="preserve"> c. Swiss Bank Corp.</w:t>
      </w:r>
      <w:r w:rsidR="004A0397" w:rsidRPr="007039B9">
        <w:rPr>
          <w:szCs w:val="24"/>
          <w:lang w:val="en-CA"/>
        </w:rPr>
        <w:t xml:space="preserve">, [1921] 3 K.B. 110; </w:t>
      </w:r>
      <w:proofErr w:type="spellStart"/>
      <w:r w:rsidR="00C14660">
        <w:rPr>
          <w:i/>
          <w:szCs w:val="24"/>
          <w:lang w:val="en-CA"/>
        </w:rPr>
        <w:t>Banque</w:t>
      </w:r>
      <w:proofErr w:type="spellEnd"/>
      <w:r w:rsidR="00C14660">
        <w:rPr>
          <w:i/>
          <w:szCs w:val="24"/>
          <w:lang w:val="en-CA"/>
        </w:rPr>
        <w:t xml:space="preserve"> de Montréal c. Canada (</w:t>
      </w:r>
      <w:proofErr w:type="spellStart"/>
      <w:r w:rsidR="00C14660">
        <w:rPr>
          <w:i/>
          <w:szCs w:val="24"/>
          <w:lang w:val="en-CA"/>
        </w:rPr>
        <w:t>m</w:t>
      </w:r>
      <w:r w:rsidR="0030299A" w:rsidRPr="007039B9">
        <w:rPr>
          <w:i/>
          <w:szCs w:val="24"/>
          <w:lang w:val="en-CA"/>
        </w:rPr>
        <w:t>inistre</w:t>
      </w:r>
      <w:proofErr w:type="spellEnd"/>
      <w:r w:rsidR="0030299A" w:rsidRPr="007039B9">
        <w:rPr>
          <w:i/>
          <w:szCs w:val="24"/>
          <w:lang w:val="en-CA"/>
        </w:rPr>
        <w:t xml:space="preserve"> du </w:t>
      </w:r>
      <w:proofErr w:type="spellStart"/>
      <w:r w:rsidR="0030299A" w:rsidRPr="007039B9">
        <w:rPr>
          <w:i/>
          <w:szCs w:val="24"/>
          <w:lang w:val="en-CA"/>
        </w:rPr>
        <w:t>Revenu</w:t>
      </w:r>
      <w:proofErr w:type="spellEnd"/>
      <w:r w:rsidR="0030299A" w:rsidRPr="007039B9">
        <w:rPr>
          <w:i/>
          <w:szCs w:val="24"/>
          <w:lang w:val="en-CA"/>
        </w:rPr>
        <w:t xml:space="preserve"> national)</w:t>
      </w:r>
      <w:r w:rsidR="00E7446A" w:rsidRPr="007039B9">
        <w:rPr>
          <w:szCs w:val="24"/>
          <w:lang w:val="en-CA"/>
        </w:rPr>
        <w:t xml:space="preserve">, </w:t>
      </w:r>
      <w:r w:rsidR="0030299A" w:rsidRPr="007039B9">
        <w:rPr>
          <w:szCs w:val="24"/>
          <w:lang w:val="en-CA"/>
        </w:rPr>
        <w:t>[1991] A.C.I. n</w:t>
      </w:r>
      <w:r w:rsidR="0030299A" w:rsidRPr="007039B9">
        <w:rPr>
          <w:szCs w:val="24"/>
          <w:vertAlign w:val="superscript"/>
          <w:lang w:val="en-CA"/>
        </w:rPr>
        <w:t>o</w:t>
      </w:r>
      <w:r w:rsidR="0030299A" w:rsidRPr="007039B9">
        <w:rPr>
          <w:szCs w:val="24"/>
          <w:lang w:val="en-CA"/>
        </w:rPr>
        <w:t xml:space="preserve"> 930 (QL)</w:t>
      </w:r>
      <w:r w:rsidR="00E7446A" w:rsidRPr="007039B9">
        <w:rPr>
          <w:szCs w:val="24"/>
          <w:lang w:val="en-CA"/>
        </w:rPr>
        <w:t>;</w:t>
      </w:r>
      <w:r w:rsidR="004A0397" w:rsidRPr="007039B9">
        <w:rPr>
          <w:szCs w:val="24"/>
          <w:lang w:val="en-CA"/>
        </w:rPr>
        <w:t xml:space="preserve"> </w:t>
      </w:r>
      <w:proofErr w:type="spellStart"/>
      <w:r w:rsidR="004A0397" w:rsidRPr="007039B9">
        <w:rPr>
          <w:i/>
          <w:szCs w:val="24"/>
          <w:lang w:val="en-CA"/>
        </w:rPr>
        <w:t>Boma</w:t>
      </w:r>
      <w:proofErr w:type="spellEnd"/>
      <w:r w:rsidR="004A0397" w:rsidRPr="007039B9">
        <w:rPr>
          <w:i/>
          <w:szCs w:val="24"/>
          <w:lang w:val="en-CA"/>
        </w:rPr>
        <w:t xml:space="preserve"> Manufacturing Ltd. c. </w:t>
      </w:r>
      <w:proofErr w:type="spellStart"/>
      <w:r w:rsidR="004A0397" w:rsidRPr="007039B9">
        <w:rPr>
          <w:i/>
          <w:szCs w:val="24"/>
          <w:lang w:val="en-CA"/>
        </w:rPr>
        <w:t>Banque</w:t>
      </w:r>
      <w:proofErr w:type="spellEnd"/>
      <w:r w:rsidR="004A0397" w:rsidRPr="007039B9">
        <w:rPr>
          <w:i/>
          <w:szCs w:val="24"/>
          <w:lang w:val="en-CA"/>
        </w:rPr>
        <w:t xml:space="preserve"> </w:t>
      </w:r>
      <w:proofErr w:type="spellStart"/>
      <w:r w:rsidR="004A0397" w:rsidRPr="007039B9">
        <w:rPr>
          <w:i/>
          <w:szCs w:val="24"/>
          <w:lang w:val="en-CA"/>
        </w:rPr>
        <w:t>Canadienne</w:t>
      </w:r>
      <w:proofErr w:type="spellEnd"/>
      <w:r w:rsidR="004A0397" w:rsidRPr="007039B9">
        <w:rPr>
          <w:i/>
          <w:szCs w:val="24"/>
          <w:lang w:val="en-CA"/>
        </w:rPr>
        <w:t xml:space="preserve"> </w:t>
      </w:r>
      <w:proofErr w:type="spellStart"/>
      <w:r w:rsidR="004A0397" w:rsidRPr="007039B9">
        <w:rPr>
          <w:i/>
          <w:szCs w:val="24"/>
          <w:lang w:val="en-CA"/>
        </w:rPr>
        <w:t>Impériale</w:t>
      </w:r>
      <w:proofErr w:type="spellEnd"/>
      <w:r w:rsidR="004A0397" w:rsidRPr="007039B9">
        <w:rPr>
          <w:i/>
          <w:szCs w:val="24"/>
          <w:lang w:val="en-CA"/>
        </w:rPr>
        <w:t xml:space="preserve"> de Commerce</w:t>
      </w:r>
      <w:r w:rsidR="004A0397" w:rsidRPr="007039B9">
        <w:rPr>
          <w:szCs w:val="24"/>
          <w:lang w:val="en-CA"/>
        </w:rPr>
        <w:t xml:space="preserve">, [1996] 3 R.C.S. 727; </w:t>
      </w:r>
      <w:r w:rsidR="004A0397" w:rsidRPr="007039B9">
        <w:rPr>
          <w:i/>
          <w:szCs w:val="24"/>
          <w:lang w:val="en-CA"/>
        </w:rPr>
        <w:t>J.C. Creations Ltd. c. Vancouver City Savings Credit Union</w:t>
      </w:r>
      <w:r w:rsidR="004A0397" w:rsidRPr="007039B9">
        <w:rPr>
          <w:szCs w:val="24"/>
          <w:lang w:val="en-CA"/>
        </w:rPr>
        <w:t xml:space="preserve">, 2004 BCCA 107, 236 D.L.R. (4th) 602; </w:t>
      </w:r>
      <w:proofErr w:type="spellStart"/>
      <w:r w:rsidR="004A0397" w:rsidRPr="007039B9">
        <w:rPr>
          <w:i/>
          <w:szCs w:val="24"/>
          <w:lang w:val="en-CA"/>
        </w:rPr>
        <w:t>Westboro</w:t>
      </w:r>
      <w:proofErr w:type="spellEnd"/>
      <w:r w:rsidR="004A0397" w:rsidRPr="007039B9">
        <w:rPr>
          <w:i/>
          <w:szCs w:val="24"/>
          <w:lang w:val="en-CA"/>
        </w:rPr>
        <w:t xml:space="preserve"> Flooring &amp; Décor </w:t>
      </w:r>
      <w:r w:rsidR="00D30BD3" w:rsidRPr="007039B9">
        <w:rPr>
          <w:i/>
          <w:szCs w:val="24"/>
          <w:lang w:val="en-CA"/>
        </w:rPr>
        <w:t xml:space="preserve">Inc. </w:t>
      </w:r>
      <w:r w:rsidR="004A0397" w:rsidRPr="007039B9">
        <w:rPr>
          <w:i/>
          <w:szCs w:val="24"/>
          <w:lang w:val="en-CA"/>
        </w:rPr>
        <w:t>c. Bank of Nova Scotia</w:t>
      </w:r>
      <w:r w:rsidR="004A0397" w:rsidRPr="007039B9">
        <w:rPr>
          <w:szCs w:val="24"/>
          <w:lang w:val="en-CA"/>
        </w:rPr>
        <w:t xml:space="preserve"> (2004), 241 D.L.R. (4th) 257;</w:t>
      </w:r>
      <w:r w:rsidR="00E7446A" w:rsidRPr="007039B9">
        <w:rPr>
          <w:szCs w:val="24"/>
          <w:lang w:val="en-CA"/>
        </w:rPr>
        <w:t xml:space="preserve"> </w:t>
      </w:r>
      <w:r w:rsidR="00E7446A" w:rsidRPr="007039B9">
        <w:rPr>
          <w:i/>
          <w:szCs w:val="24"/>
          <w:lang w:val="en-CA"/>
        </w:rPr>
        <w:t>B.M.</w:t>
      </w:r>
      <w:r w:rsidR="00CF4900" w:rsidRPr="007039B9">
        <w:rPr>
          <w:i/>
          <w:szCs w:val="24"/>
          <w:lang w:val="en-CA"/>
        </w:rPr>
        <w:t>P. </w:t>
      </w:r>
      <w:r w:rsidR="00E7446A" w:rsidRPr="007039B9">
        <w:rPr>
          <w:i/>
          <w:szCs w:val="24"/>
          <w:lang w:val="en-CA"/>
        </w:rPr>
        <w:t xml:space="preserve">Global Distribution Inc. c. </w:t>
      </w:r>
      <w:proofErr w:type="spellStart"/>
      <w:r w:rsidR="00E7446A" w:rsidRPr="007039B9">
        <w:rPr>
          <w:i/>
          <w:szCs w:val="24"/>
          <w:lang w:val="en-CA"/>
        </w:rPr>
        <w:t>Banque</w:t>
      </w:r>
      <w:proofErr w:type="spellEnd"/>
      <w:r w:rsidR="00E7446A" w:rsidRPr="007039B9">
        <w:rPr>
          <w:i/>
          <w:szCs w:val="24"/>
          <w:lang w:val="en-CA"/>
        </w:rPr>
        <w:t xml:space="preserve"> de </w:t>
      </w:r>
      <w:proofErr w:type="spellStart"/>
      <w:r w:rsidR="00E7446A" w:rsidRPr="007039B9">
        <w:rPr>
          <w:i/>
          <w:szCs w:val="24"/>
          <w:lang w:val="en-CA"/>
        </w:rPr>
        <w:t>Nouvelle</w:t>
      </w:r>
      <w:r w:rsidR="00CF4900" w:rsidRPr="007039B9">
        <w:rPr>
          <w:i/>
          <w:szCs w:val="24"/>
          <w:lang w:val="en-CA"/>
        </w:rPr>
        <w:noBreakHyphen/>
      </w:r>
      <w:r w:rsidR="00C851F3" w:rsidRPr="007039B9">
        <w:rPr>
          <w:i/>
          <w:szCs w:val="24"/>
          <w:lang w:val="en-CA"/>
        </w:rPr>
        <w:t>Écosse</w:t>
      </w:r>
      <w:proofErr w:type="spellEnd"/>
      <w:r w:rsidR="00E7446A" w:rsidRPr="007039B9">
        <w:rPr>
          <w:szCs w:val="24"/>
          <w:lang w:val="en-CA"/>
        </w:rPr>
        <w:t xml:space="preserve">, 2009 </w:t>
      </w:r>
      <w:r w:rsidR="00C851F3" w:rsidRPr="007039B9">
        <w:rPr>
          <w:szCs w:val="24"/>
          <w:lang w:val="en-CA"/>
        </w:rPr>
        <w:t>C</w:t>
      </w:r>
      <w:r w:rsidR="00E7446A" w:rsidRPr="007039B9">
        <w:rPr>
          <w:szCs w:val="24"/>
          <w:lang w:val="en-CA"/>
        </w:rPr>
        <w:t xml:space="preserve">SC 15, [2009] 1 </w:t>
      </w:r>
      <w:r w:rsidR="00C851F3" w:rsidRPr="007039B9">
        <w:rPr>
          <w:szCs w:val="24"/>
          <w:lang w:val="en-CA"/>
        </w:rPr>
        <w:t>R.C.</w:t>
      </w:r>
      <w:r w:rsidR="00E7446A" w:rsidRPr="007039B9">
        <w:rPr>
          <w:szCs w:val="24"/>
          <w:lang w:val="en-CA"/>
        </w:rPr>
        <w:t xml:space="preserve">S. 504; </w:t>
      </w:r>
      <w:r w:rsidR="004A0397" w:rsidRPr="007039B9">
        <w:rPr>
          <w:i/>
          <w:szCs w:val="24"/>
          <w:lang w:val="en-CA"/>
        </w:rPr>
        <w:t>Schroeder c. Central Bank of London</w:t>
      </w:r>
      <w:r w:rsidR="004A0397" w:rsidRPr="007039B9">
        <w:rPr>
          <w:szCs w:val="24"/>
          <w:lang w:val="en-CA"/>
        </w:rPr>
        <w:t xml:space="preserve"> (1876), 34 L.T. 735; </w:t>
      </w:r>
      <w:r w:rsidR="004A0397" w:rsidRPr="007039B9">
        <w:rPr>
          <w:i/>
          <w:szCs w:val="24"/>
          <w:lang w:val="en-CA"/>
        </w:rPr>
        <w:t>Thomson c. Merchants Bank of Canada</w:t>
      </w:r>
      <w:r w:rsidR="004A0397" w:rsidRPr="007039B9">
        <w:rPr>
          <w:szCs w:val="24"/>
          <w:lang w:val="en-CA"/>
        </w:rPr>
        <w:t xml:space="preserve"> (1919), 58 R.C.S. 287; </w:t>
      </w:r>
      <w:proofErr w:type="spellStart"/>
      <w:r w:rsidR="004A0397" w:rsidRPr="007039B9">
        <w:rPr>
          <w:i/>
          <w:szCs w:val="24"/>
          <w:lang w:val="en-CA"/>
        </w:rPr>
        <w:t>Schimnowski</w:t>
      </w:r>
      <w:proofErr w:type="spellEnd"/>
      <w:r w:rsidR="004A0397" w:rsidRPr="007039B9">
        <w:rPr>
          <w:i/>
          <w:szCs w:val="24"/>
          <w:lang w:val="en-CA"/>
        </w:rPr>
        <w:t xml:space="preserve"> Estate, Re</w:t>
      </w:r>
      <w:r w:rsidR="004A0397" w:rsidRPr="007039B9">
        <w:rPr>
          <w:szCs w:val="24"/>
          <w:lang w:val="en-CA"/>
        </w:rPr>
        <w:t xml:space="preserve">, [1996] 6 W.W.R. 194; </w:t>
      </w:r>
      <w:r w:rsidR="004A0397" w:rsidRPr="007039B9">
        <w:rPr>
          <w:i/>
          <w:szCs w:val="24"/>
          <w:lang w:val="en-CA"/>
        </w:rPr>
        <w:t>Capital Associates Ltd. c. Royal Bank of Canada</w:t>
      </w:r>
      <w:r w:rsidR="004A0397" w:rsidRPr="007039B9">
        <w:rPr>
          <w:szCs w:val="24"/>
          <w:lang w:val="en-CA"/>
        </w:rPr>
        <w:t xml:space="preserve"> (1976),</w:t>
      </w:r>
      <w:r w:rsidR="007A3DF3">
        <w:rPr>
          <w:szCs w:val="24"/>
          <w:lang w:val="en-CA"/>
        </w:rPr>
        <w:t xml:space="preserve"> 17 N.R. 204, conf. </w:t>
      </w:r>
      <w:r w:rsidR="007A3DF3" w:rsidRPr="00462786">
        <w:rPr>
          <w:szCs w:val="24"/>
        </w:rPr>
        <w:t>(1973), 17 N.R. 205</w:t>
      </w:r>
      <w:r w:rsidR="004A0397" w:rsidRPr="00462786">
        <w:rPr>
          <w:szCs w:val="24"/>
        </w:rPr>
        <w:t xml:space="preserve">; </w:t>
      </w:r>
      <w:r w:rsidR="00E7446A" w:rsidRPr="00462786">
        <w:rPr>
          <w:i/>
          <w:szCs w:val="24"/>
        </w:rPr>
        <w:t xml:space="preserve">Boyd </w:t>
      </w:r>
      <w:r w:rsidR="00C851F3" w:rsidRPr="00462786">
        <w:rPr>
          <w:i/>
          <w:szCs w:val="24"/>
        </w:rPr>
        <w:t>c</w:t>
      </w:r>
      <w:r w:rsidR="00E7446A" w:rsidRPr="00462786">
        <w:rPr>
          <w:i/>
          <w:szCs w:val="24"/>
        </w:rPr>
        <w:t xml:space="preserve">. </w:t>
      </w:r>
      <w:proofErr w:type="spellStart"/>
      <w:r w:rsidR="00E7446A" w:rsidRPr="00462786">
        <w:rPr>
          <w:i/>
          <w:szCs w:val="24"/>
        </w:rPr>
        <w:t>Emmerson</w:t>
      </w:r>
      <w:proofErr w:type="spellEnd"/>
      <w:r w:rsidR="00E7446A" w:rsidRPr="00462786">
        <w:rPr>
          <w:szCs w:val="24"/>
        </w:rPr>
        <w:t xml:space="preserve"> (1834), 2 Ad. &amp; E. 184, </w:t>
      </w:r>
      <w:r w:rsidR="00251E22" w:rsidRPr="00462786">
        <w:rPr>
          <w:szCs w:val="24"/>
        </w:rPr>
        <w:t>111 E.R. 71</w:t>
      </w:r>
      <w:r w:rsidR="00E7446A" w:rsidRPr="00462786">
        <w:rPr>
          <w:szCs w:val="24"/>
        </w:rPr>
        <w:t>.</w:t>
      </w:r>
    </w:p>
    <w:p w:rsidR="00DC2E49" w:rsidRDefault="004D2367" w:rsidP="00DC2E49">
      <w:pPr>
        <w:pStyle w:val="SCCNormalDoubleSpacing"/>
        <w:spacing w:after="480"/>
        <w:rPr>
          <w:szCs w:val="24"/>
        </w:rPr>
      </w:pPr>
      <w:r w:rsidRPr="007039B9">
        <w:rPr>
          <w:szCs w:val="24"/>
        </w:rPr>
        <w:t xml:space="preserve">Citée par la juge en chef </w:t>
      </w:r>
      <w:proofErr w:type="spellStart"/>
      <w:r w:rsidRPr="007039B9">
        <w:rPr>
          <w:szCs w:val="24"/>
        </w:rPr>
        <w:t>McLachlin</w:t>
      </w:r>
      <w:proofErr w:type="spellEnd"/>
      <w:r w:rsidRPr="007039B9">
        <w:rPr>
          <w:szCs w:val="24"/>
        </w:rPr>
        <w:t xml:space="preserve"> (dissidente)</w:t>
      </w:r>
    </w:p>
    <w:p w:rsidR="004D2367" w:rsidRPr="000C54A5" w:rsidRDefault="004D2367" w:rsidP="00DC2E49">
      <w:pPr>
        <w:pStyle w:val="SCCNormalDoubleSpacing"/>
        <w:spacing w:after="480"/>
        <w:rPr>
          <w:szCs w:val="24"/>
          <w:lang w:val="en-US"/>
        </w:rPr>
      </w:pPr>
      <w:r w:rsidRPr="007039B9">
        <w:rPr>
          <w:szCs w:val="24"/>
        </w:rPr>
        <w:tab/>
      </w:r>
      <w:r w:rsidRPr="007039B9">
        <w:rPr>
          <w:i/>
          <w:szCs w:val="24"/>
          <w:lang w:val="en-CA"/>
        </w:rPr>
        <w:t>B.M.</w:t>
      </w:r>
      <w:r w:rsidR="00CF4900" w:rsidRPr="007039B9">
        <w:rPr>
          <w:i/>
          <w:szCs w:val="24"/>
          <w:lang w:val="en-CA"/>
        </w:rPr>
        <w:t>P. </w:t>
      </w:r>
      <w:r w:rsidRPr="007039B9">
        <w:rPr>
          <w:i/>
          <w:szCs w:val="24"/>
          <w:lang w:val="en-CA"/>
        </w:rPr>
        <w:t xml:space="preserve">Global Distribution Inc. c. </w:t>
      </w:r>
      <w:proofErr w:type="spellStart"/>
      <w:r w:rsidRPr="007039B9">
        <w:rPr>
          <w:i/>
          <w:szCs w:val="24"/>
          <w:lang w:val="en-CA"/>
        </w:rPr>
        <w:t>Banque</w:t>
      </w:r>
      <w:proofErr w:type="spellEnd"/>
      <w:r w:rsidRPr="007039B9">
        <w:rPr>
          <w:i/>
          <w:szCs w:val="24"/>
          <w:lang w:val="en-CA"/>
        </w:rPr>
        <w:t xml:space="preserve"> de </w:t>
      </w:r>
      <w:proofErr w:type="spellStart"/>
      <w:r w:rsidRPr="007039B9">
        <w:rPr>
          <w:i/>
          <w:szCs w:val="24"/>
          <w:lang w:val="en-CA"/>
        </w:rPr>
        <w:t>Nouvelle</w:t>
      </w:r>
      <w:r w:rsidR="00CF4900" w:rsidRPr="007039B9">
        <w:rPr>
          <w:i/>
          <w:szCs w:val="24"/>
          <w:lang w:val="en-CA"/>
        </w:rPr>
        <w:noBreakHyphen/>
      </w:r>
      <w:r w:rsidRPr="007039B9">
        <w:rPr>
          <w:i/>
          <w:szCs w:val="24"/>
          <w:lang w:val="en-CA"/>
        </w:rPr>
        <w:t>Écosse</w:t>
      </w:r>
      <w:proofErr w:type="spellEnd"/>
      <w:r w:rsidRPr="007039B9">
        <w:rPr>
          <w:szCs w:val="24"/>
          <w:lang w:val="en-CA"/>
        </w:rPr>
        <w:t xml:space="preserve">, 2009 CSC 15, [2009] 1 R.C.S. 504; </w:t>
      </w:r>
      <w:r w:rsidRPr="007039B9">
        <w:rPr>
          <w:i/>
          <w:szCs w:val="24"/>
          <w:lang w:val="en-CA"/>
        </w:rPr>
        <w:t>Canada c. National Trust Co.</w:t>
      </w:r>
      <w:r w:rsidRPr="007039B9">
        <w:rPr>
          <w:szCs w:val="24"/>
          <w:lang w:val="en-CA"/>
        </w:rPr>
        <w:t xml:space="preserve">, 1998 </w:t>
      </w:r>
      <w:proofErr w:type="spellStart"/>
      <w:r w:rsidRPr="007039B9">
        <w:rPr>
          <w:szCs w:val="24"/>
          <w:lang w:val="en-CA"/>
        </w:rPr>
        <w:t>CanLII</w:t>
      </w:r>
      <w:proofErr w:type="spellEnd"/>
      <w:r w:rsidRPr="007039B9">
        <w:rPr>
          <w:szCs w:val="24"/>
          <w:lang w:val="en-CA"/>
        </w:rPr>
        <w:t xml:space="preserve"> 8214; </w:t>
      </w:r>
      <w:r w:rsidRPr="007039B9">
        <w:rPr>
          <w:i/>
          <w:szCs w:val="24"/>
          <w:lang w:val="en-CA"/>
        </w:rPr>
        <w:t>Foley c. Hill</w:t>
      </w:r>
      <w:r w:rsidRPr="007039B9">
        <w:rPr>
          <w:szCs w:val="24"/>
          <w:lang w:val="en-CA"/>
        </w:rPr>
        <w:t xml:space="preserve"> (1848), 2 H.L.C. 28, 9 E.R. 1002; </w:t>
      </w:r>
      <w:r w:rsidRPr="007039B9">
        <w:rPr>
          <w:i/>
          <w:szCs w:val="24"/>
          <w:lang w:val="en-CA"/>
        </w:rPr>
        <w:t>Schroeder c. Central Bank of London</w:t>
      </w:r>
      <w:r w:rsidRPr="007039B9">
        <w:rPr>
          <w:szCs w:val="24"/>
          <w:lang w:val="en-CA"/>
        </w:rPr>
        <w:t xml:space="preserve"> (1876), 34 L.T. 735; </w:t>
      </w:r>
      <w:r w:rsidRPr="007039B9">
        <w:rPr>
          <w:i/>
          <w:szCs w:val="24"/>
          <w:lang w:val="en-CA"/>
        </w:rPr>
        <w:t>Thomson c. Merchants Bank of Canada</w:t>
      </w:r>
      <w:r w:rsidRPr="007039B9">
        <w:rPr>
          <w:szCs w:val="24"/>
          <w:lang w:val="en-CA"/>
        </w:rPr>
        <w:t xml:space="preserve"> (1919), 58 R.C.S. 287; </w:t>
      </w:r>
      <w:proofErr w:type="spellStart"/>
      <w:r w:rsidRPr="007039B9">
        <w:rPr>
          <w:i/>
          <w:szCs w:val="24"/>
          <w:lang w:val="en-CA"/>
        </w:rPr>
        <w:lastRenderedPageBreak/>
        <w:t>Schimnowski</w:t>
      </w:r>
      <w:proofErr w:type="spellEnd"/>
      <w:r w:rsidRPr="007039B9">
        <w:rPr>
          <w:i/>
          <w:szCs w:val="24"/>
          <w:lang w:val="en-CA"/>
        </w:rPr>
        <w:t xml:space="preserve"> Estate, Re</w:t>
      </w:r>
      <w:r w:rsidRPr="007039B9">
        <w:rPr>
          <w:szCs w:val="24"/>
          <w:lang w:val="en-CA"/>
        </w:rPr>
        <w:t xml:space="preserve">, [1996] 6 W.W.R. 194; </w:t>
      </w:r>
      <w:r w:rsidRPr="007039B9">
        <w:rPr>
          <w:i/>
          <w:szCs w:val="24"/>
          <w:lang w:val="en-CA"/>
        </w:rPr>
        <w:t>Westminster Bank Ltd. c. Hilton</w:t>
      </w:r>
      <w:r w:rsidRPr="007039B9">
        <w:rPr>
          <w:szCs w:val="24"/>
          <w:lang w:val="en-CA"/>
        </w:rPr>
        <w:t xml:space="preserve"> (1926), 43 T.L.R. 124; </w:t>
      </w:r>
      <w:proofErr w:type="spellStart"/>
      <w:r w:rsidRPr="007039B9">
        <w:rPr>
          <w:i/>
          <w:szCs w:val="24"/>
          <w:lang w:val="en-CA"/>
        </w:rPr>
        <w:t>Boma</w:t>
      </w:r>
      <w:proofErr w:type="spellEnd"/>
      <w:r w:rsidRPr="007039B9">
        <w:rPr>
          <w:i/>
          <w:szCs w:val="24"/>
          <w:lang w:val="en-CA"/>
        </w:rPr>
        <w:t xml:space="preserve"> Manufacturing Ltd. c. </w:t>
      </w:r>
      <w:proofErr w:type="spellStart"/>
      <w:r w:rsidRPr="007039B9">
        <w:rPr>
          <w:i/>
          <w:szCs w:val="24"/>
          <w:lang w:val="en-CA"/>
        </w:rPr>
        <w:t>Banque</w:t>
      </w:r>
      <w:proofErr w:type="spellEnd"/>
      <w:r w:rsidRPr="007039B9">
        <w:rPr>
          <w:i/>
          <w:szCs w:val="24"/>
          <w:lang w:val="en-CA"/>
        </w:rPr>
        <w:t xml:space="preserve"> </w:t>
      </w:r>
      <w:proofErr w:type="spellStart"/>
      <w:r w:rsidRPr="007039B9">
        <w:rPr>
          <w:i/>
          <w:szCs w:val="24"/>
          <w:lang w:val="en-CA"/>
        </w:rPr>
        <w:t>Canadienne</w:t>
      </w:r>
      <w:proofErr w:type="spellEnd"/>
      <w:r w:rsidRPr="007039B9">
        <w:rPr>
          <w:i/>
          <w:szCs w:val="24"/>
          <w:lang w:val="en-CA"/>
        </w:rPr>
        <w:t xml:space="preserve"> </w:t>
      </w:r>
      <w:proofErr w:type="spellStart"/>
      <w:r w:rsidRPr="007039B9">
        <w:rPr>
          <w:i/>
          <w:szCs w:val="24"/>
          <w:lang w:val="en-CA"/>
        </w:rPr>
        <w:t>Impériale</w:t>
      </w:r>
      <w:proofErr w:type="spellEnd"/>
      <w:r w:rsidRPr="007039B9">
        <w:rPr>
          <w:i/>
          <w:szCs w:val="24"/>
          <w:lang w:val="en-CA"/>
        </w:rPr>
        <w:t xml:space="preserve"> de Commerce</w:t>
      </w:r>
      <w:r w:rsidRPr="007039B9">
        <w:rPr>
          <w:szCs w:val="24"/>
          <w:lang w:val="en-CA"/>
        </w:rPr>
        <w:t xml:space="preserve">, [1996] 3 R.C.S. 727; </w:t>
      </w:r>
      <w:r w:rsidRPr="007039B9">
        <w:rPr>
          <w:i/>
          <w:szCs w:val="24"/>
          <w:lang w:val="en-CA"/>
        </w:rPr>
        <w:t xml:space="preserve">Macdonald c. </w:t>
      </w:r>
      <w:proofErr w:type="spellStart"/>
      <w:r w:rsidRPr="007039B9">
        <w:rPr>
          <w:i/>
          <w:szCs w:val="24"/>
          <w:lang w:val="en-CA"/>
        </w:rPr>
        <w:t>Tacquah</w:t>
      </w:r>
      <w:proofErr w:type="spellEnd"/>
      <w:r w:rsidRPr="007039B9">
        <w:rPr>
          <w:i/>
          <w:szCs w:val="24"/>
          <w:lang w:val="en-CA"/>
        </w:rPr>
        <w:t xml:space="preserve"> Gold Mines Co.</w:t>
      </w:r>
      <w:r w:rsidRPr="007039B9">
        <w:rPr>
          <w:szCs w:val="24"/>
          <w:lang w:val="en-CA"/>
        </w:rPr>
        <w:t xml:space="preserve"> (1884), 13 Q.B.D. 535; </w:t>
      </w:r>
      <w:proofErr w:type="spellStart"/>
      <w:r w:rsidRPr="007039B9">
        <w:rPr>
          <w:i/>
          <w:szCs w:val="24"/>
          <w:lang w:val="en-CA"/>
        </w:rPr>
        <w:t>Hirschorn</w:t>
      </w:r>
      <w:proofErr w:type="spellEnd"/>
      <w:r w:rsidRPr="007039B9">
        <w:rPr>
          <w:i/>
          <w:szCs w:val="24"/>
          <w:lang w:val="en-CA"/>
        </w:rPr>
        <w:t xml:space="preserve"> c. Evans</w:t>
      </w:r>
      <w:r w:rsidRPr="007039B9">
        <w:rPr>
          <w:szCs w:val="24"/>
          <w:lang w:val="en-CA"/>
        </w:rPr>
        <w:t xml:space="preserve">, [1938] 2 K.B. 801; </w:t>
      </w:r>
      <w:proofErr w:type="spellStart"/>
      <w:r w:rsidRPr="007039B9">
        <w:rPr>
          <w:i/>
          <w:szCs w:val="24"/>
          <w:lang w:val="en-CA"/>
        </w:rPr>
        <w:t>Westcoast</w:t>
      </w:r>
      <w:proofErr w:type="spellEnd"/>
      <w:r w:rsidRPr="007039B9">
        <w:rPr>
          <w:i/>
          <w:szCs w:val="24"/>
          <w:lang w:val="en-CA"/>
        </w:rPr>
        <w:t xml:space="preserve"> Commodities Inc. c. Chen</w:t>
      </w:r>
      <w:r w:rsidRPr="007039B9">
        <w:rPr>
          <w:szCs w:val="24"/>
          <w:lang w:val="en-CA"/>
        </w:rPr>
        <w:t xml:space="preserve"> (1986), 55 O.R. (2d) 264.</w:t>
      </w:r>
    </w:p>
    <w:p w:rsidR="00231F3A" w:rsidRPr="007039B9" w:rsidRDefault="0043088E" w:rsidP="005A228D">
      <w:pPr>
        <w:pStyle w:val="SCCNormalDoubleSpacing"/>
        <w:keepNext/>
        <w:spacing w:after="480"/>
        <w:rPr>
          <w:b/>
          <w:szCs w:val="24"/>
        </w:rPr>
      </w:pPr>
      <w:r w:rsidRPr="007039B9">
        <w:rPr>
          <w:b/>
          <w:szCs w:val="24"/>
        </w:rPr>
        <w:t>Lois</w:t>
      </w:r>
      <w:r w:rsidR="002E6705" w:rsidRPr="007039B9">
        <w:rPr>
          <w:b/>
          <w:szCs w:val="24"/>
        </w:rPr>
        <w:t xml:space="preserve"> </w:t>
      </w:r>
      <w:r w:rsidR="008A6558" w:rsidRPr="007039B9">
        <w:rPr>
          <w:b/>
          <w:szCs w:val="24"/>
        </w:rPr>
        <w:t>et</w:t>
      </w:r>
      <w:r w:rsidR="002E6705" w:rsidRPr="007039B9">
        <w:rPr>
          <w:b/>
          <w:szCs w:val="24"/>
        </w:rPr>
        <w:t xml:space="preserve"> </w:t>
      </w:r>
      <w:r w:rsidRPr="007039B9">
        <w:rPr>
          <w:b/>
          <w:szCs w:val="24"/>
        </w:rPr>
        <w:t>rè</w:t>
      </w:r>
      <w:r w:rsidR="002E6705" w:rsidRPr="007039B9">
        <w:rPr>
          <w:b/>
          <w:szCs w:val="24"/>
        </w:rPr>
        <w:t>gl</w:t>
      </w:r>
      <w:r w:rsidRPr="007039B9">
        <w:rPr>
          <w:b/>
          <w:szCs w:val="24"/>
        </w:rPr>
        <w:t>ements</w:t>
      </w:r>
      <w:r w:rsidR="002E6705" w:rsidRPr="007039B9">
        <w:rPr>
          <w:b/>
          <w:szCs w:val="24"/>
        </w:rPr>
        <w:t xml:space="preserve"> </w:t>
      </w:r>
      <w:r w:rsidRPr="007039B9">
        <w:rPr>
          <w:b/>
          <w:szCs w:val="24"/>
        </w:rPr>
        <w:t>c</w:t>
      </w:r>
      <w:r w:rsidR="002E6705" w:rsidRPr="007039B9">
        <w:rPr>
          <w:b/>
          <w:szCs w:val="24"/>
        </w:rPr>
        <w:t>it</w:t>
      </w:r>
      <w:r w:rsidRPr="007039B9">
        <w:rPr>
          <w:b/>
          <w:szCs w:val="24"/>
        </w:rPr>
        <w:t>és</w:t>
      </w:r>
    </w:p>
    <w:p w:rsidR="00606DA5" w:rsidRPr="007039B9" w:rsidRDefault="00606DA5" w:rsidP="005A228D">
      <w:pPr>
        <w:pStyle w:val="SCCNormalDoubleSpacing"/>
        <w:spacing w:after="240" w:line="240" w:lineRule="auto"/>
        <w:ind w:left="539" w:hanging="539"/>
        <w:rPr>
          <w:szCs w:val="24"/>
        </w:rPr>
      </w:pPr>
      <w:r w:rsidRPr="007039B9">
        <w:rPr>
          <w:i/>
          <w:szCs w:val="24"/>
        </w:rPr>
        <w:t>Loi de l’impôt sur le revenu</w:t>
      </w:r>
      <w:r w:rsidRPr="007039B9">
        <w:rPr>
          <w:szCs w:val="24"/>
        </w:rPr>
        <w:t xml:space="preserve">, L.R.C. 1985, </w:t>
      </w:r>
      <w:r w:rsidR="00CF4900" w:rsidRPr="007039B9">
        <w:rPr>
          <w:szCs w:val="24"/>
        </w:rPr>
        <w:t>ch. </w:t>
      </w:r>
      <w:r w:rsidRPr="007039B9">
        <w:rPr>
          <w:szCs w:val="24"/>
        </w:rPr>
        <w:t>1 (5</w:t>
      </w:r>
      <w:r w:rsidRPr="007039B9">
        <w:rPr>
          <w:szCs w:val="24"/>
          <w:vertAlign w:val="superscript"/>
        </w:rPr>
        <w:t>e</w:t>
      </w:r>
      <w:r w:rsidRPr="007039B9">
        <w:rPr>
          <w:szCs w:val="24"/>
        </w:rPr>
        <w:t xml:space="preserve"> suppl.), </w:t>
      </w:r>
      <w:r w:rsidR="00CF4900" w:rsidRPr="007039B9">
        <w:rPr>
          <w:szCs w:val="24"/>
        </w:rPr>
        <w:t>art. </w:t>
      </w:r>
      <w:r w:rsidRPr="007039B9">
        <w:rPr>
          <w:szCs w:val="24"/>
        </w:rPr>
        <w:t>224.</w:t>
      </w:r>
    </w:p>
    <w:p w:rsidR="00606DA5" w:rsidRPr="007039B9" w:rsidRDefault="00606DA5" w:rsidP="005A228D">
      <w:pPr>
        <w:pStyle w:val="SCCNormalDoubleSpacing"/>
        <w:spacing w:after="720" w:line="240" w:lineRule="auto"/>
        <w:ind w:left="539" w:hanging="539"/>
        <w:rPr>
          <w:szCs w:val="24"/>
          <w:lang w:val="en-US"/>
        </w:rPr>
      </w:pPr>
      <w:r w:rsidRPr="007039B9">
        <w:rPr>
          <w:i/>
          <w:szCs w:val="24"/>
        </w:rPr>
        <w:t>Loi sur les lettres de change</w:t>
      </w:r>
      <w:r w:rsidRPr="007039B9">
        <w:rPr>
          <w:szCs w:val="24"/>
        </w:rPr>
        <w:t xml:space="preserve">, L.R.C. 1985, </w:t>
      </w:r>
      <w:r w:rsidR="00CF4900" w:rsidRPr="007039B9">
        <w:rPr>
          <w:szCs w:val="24"/>
        </w:rPr>
        <w:t>ch. </w:t>
      </w:r>
      <w:r w:rsidRPr="007039B9">
        <w:rPr>
          <w:szCs w:val="24"/>
          <w:lang w:val="en-US"/>
        </w:rPr>
        <w:t>B</w:t>
      </w:r>
      <w:r w:rsidR="00CF4900" w:rsidRPr="007039B9">
        <w:rPr>
          <w:szCs w:val="24"/>
          <w:lang w:val="en-US"/>
        </w:rPr>
        <w:noBreakHyphen/>
      </w:r>
      <w:r w:rsidRPr="007039B9">
        <w:rPr>
          <w:szCs w:val="24"/>
          <w:lang w:val="en-US"/>
        </w:rPr>
        <w:t xml:space="preserve">4, </w:t>
      </w:r>
      <w:r w:rsidR="00CF4900" w:rsidRPr="007039B9">
        <w:rPr>
          <w:szCs w:val="24"/>
          <w:lang w:val="en-US"/>
        </w:rPr>
        <w:t>art. </w:t>
      </w:r>
      <w:r w:rsidR="00D30BD3" w:rsidRPr="007039B9">
        <w:rPr>
          <w:szCs w:val="24"/>
          <w:lang w:val="en-US"/>
        </w:rPr>
        <w:t>2</w:t>
      </w:r>
      <w:r w:rsidRPr="007039B9">
        <w:rPr>
          <w:szCs w:val="24"/>
          <w:lang w:val="en-US"/>
        </w:rPr>
        <w:t xml:space="preserve"> « </w:t>
      </w:r>
      <w:proofErr w:type="spellStart"/>
      <w:r w:rsidRPr="007039B9">
        <w:rPr>
          <w:szCs w:val="24"/>
          <w:lang w:val="en-US"/>
        </w:rPr>
        <w:t>porteur</w:t>
      </w:r>
      <w:proofErr w:type="spellEnd"/>
      <w:r w:rsidRPr="007039B9">
        <w:rPr>
          <w:szCs w:val="24"/>
          <w:lang w:val="en-US"/>
        </w:rPr>
        <w:t xml:space="preserve"> », 16(1), </w:t>
      </w:r>
      <w:r w:rsidR="00CC2876" w:rsidRPr="007039B9">
        <w:rPr>
          <w:szCs w:val="24"/>
          <w:lang w:val="en-US"/>
        </w:rPr>
        <w:t xml:space="preserve">20(3), </w:t>
      </w:r>
      <w:r w:rsidR="004D2367" w:rsidRPr="007039B9">
        <w:rPr>
          <w:szCs w:val="24"/>
          <w:lang w:val="en-US"/>
        </w:rPr>
        <w:t xml:space="preserve">34, </w:t>
      </w:r>
      <w:r w:rsidR="00CC2876" w:rsidRPr="007039B9">
        <w:rPr>
          <w:szCs w:val="24"/>
          <w:lang w:val="en-US"/>
        </w:rPr>
        <w:t xml:space="preserve">67(2), </w:t>
      </w:r>
      <w:r w:rsidRPr="007039B9">
        <w:rPr>
          <w:szCs w:val="24"/>
          <w:lang w:val="en-US"/>
        </w:rPr>
        <w:t xml:space="preserve">84(1), </w:t>
      </w:r>
      <w:r w:rsidR="00D30BD3" w:rsidRPr="007039B9">
        <w:rPr>
          <w:szCs w:val="24"/>
          <w:lang w:val="en-US"/>
        </w:rPr>
        <w:t xml:space="preserve">(3), </w:t>
      </w:r>
      <w:r w:rsidRPr="007039B9">
        <w:rPr>
          <w:szCs w:val="24"/>
          <w:lang w:val="en-US"/>
        </w:rPr>
        <w:t>86(1), 126, 129, 138(2), 165(1), (3).</w:t>
      </w:r>
    </w:p>
    <w:p w:rsidR="002E6705" w:rsidRPr="007039B9" w:rsidRDefault="0043088E" w:rsidP="005A228D">
      <w:pPr>
        <w:pStyle w:val="SCCNormalDoubleSpacing"/>
        <w:keepNext/>
        <w:spacing w:after="480"/>
        <w:rPr>
          <w:b/>
          <w:szCs w:val="24"/>
          <w:lang w:val="en-US"/>
        </w:rPr>
      </w:pPr>
      <w:r w:rsidRPr="007039B9">
        <w:rPr>
          <w:b/>
          <w:szCs w:val="24"/>
          <w:lang w:val="en-US"/>
        </w:rPr>
        <w:t>Doctrine</w:t>
      </w:r>
      <w:r w:rsidR="002E6705" w:rsidRPr="007039B9">
        <w:rPr>
          <w:b/>
          <w:szCs w:val="24"/>
          <w:lang w:val="en-US"/>
        </w:rPr>
        <w:t xml:space="preserve"> </w:t>
      </w:r>
      <w:proofErr w:type="spellStart"/>
      <w:r w:rsidRPr="007039B9">
        <w:rPr>
          <w:b/>
          <w:szCs w:val="24"/>
          <w:lang w:val="en-US"/>
        </w:rPr>
        <w:t>c</w:t>
      </w:r>
      <w:r w:rsidR="002E6705" w:rsidRPr="007039B9">
        <w:rPr>
          <w:b/>
          <w:szCs w:val="24"/>
          <w:lang w:val="en-US"/>
        </w:rPr>
        <w:t>it</w:t>
      </w:r>
      <w:r w:rsidRPr="007039B9">
        <w:rPr>
          <w:b/>
          <w:szCs w:val="24"/>
          <w:lang w:val="en-US"/>
        </w:rPr>
        <w:t>é</w:t>
      </w:r>
      <w:r w:rsidR="002E6705" w:rsidRPr="007039B9">
        <w:rPr>
          <w:b/>
          <w:szCs w:val="24"/>
          <w:lang w:val="en-US"/>
        </w:rPr>
        <w:t>e</w:t>
      </w:r>
      <w:proofErr w:type="spellEnd"/>
    </w:p>
    <w:p w:rsidR="006E5A5C" w:rsidRPr="007039B9" w:rsidRDefault="006E5A5C" w:rsidP="005A228D">
      <w:pPr>
        <w:pStyle w:val="SCCNormalDoubleSpacing"/>
        <w:spacing w:after="240" w:line="240" w:lineRule="auto"/>
        <w:ind w:left="539" w:hanging="539"/>
        <w:rPr>
          <w:szCs w:val="24"/>
          <w:lang w:val="en-CA"/>
        </w:rPr>
      </w:pPr>
      <w:r w:rsidRPr="007039B9">
        <w:rPr>
          <w:szCs w:val="24"/>
          <w:lang w:val="en-CA"/>
        </w:rPr>
        <w:t xml:space="preserve">Crawford, Bradley.  </w:t>
      </w:r>
      <w:proofErr w:type="gramStart"/>
      <w:r w:rsidRPr="007039B9">
        <w:rPr>
          <w:i/>
          <w:szCs w:val="24"/>
          <w:lang w:val="en-CA"/>
        </w:rPr>
        <w:t>The Law of Banking and Payment in Canada</w:t>
      </w:r>
      <w:r w:rsidR="00B148DC" w:rsidRPr="00B148DC">
        <w:rPr>
          <w:szCs w:val="24"/>
          <w:lang w:val="en-CA"/>
        </w:rPr>
        <w:t>, vol. 2</w:t>
      </w:r>
      <w:r w:rsidRPr="007039B9">
        <w:rPr>
          <w:szCs w:val="24"/>
          <w:lang w:val="en-CA"/>
        </w:rPr>
        <w:t>.</w:t>
      </w:r>
      <w:proofErr w:type="gramEnd"/>
      <w:r w:rsidRPr="007039B9">
        <w:rPr>
          <w:szCs w:val="24"/>
          <w:lang w:val="en-CA"/>
        </w:rPr>
        <w:t xml:space="preserve">  Aurora, Ont</w:t>
      </w:r>
      <w:proofErr w:type="gramStart"/>
      <w:r w:rsidRPr="007039B9">
        <w:rPr>
          <w:szCs w:val="24"/>
          <w:lang w:val="en-CA"/>
        </w:rPr>
        <w:t>.</w:t>
      </w:r>
      <w:r w:rsidR="00CF4900" w:rsidRPr="007039B9">
        <w:rPr>
          <w:szCs w:val="24"/>
          <w:lang w:val="en-CA"/>
        </w:rPr>
        <w:t> :</w:t>
      </w:r>
      <w:proofErr w:type="gramEnd"/>
      <w:r w:rsidRPr="007039B9">
        <w:rPr>
          <w:szCs w:val="24"/>
          <w:lang w:val="en-CA"/>
        </w:rPr>
        <w:t xml:space="preserve"> Canada Law Book, 2008 (</w:t>
      </w:r>
      <w:proofErr w:type="spellStart"/>
      <w:r w:rsidRPr="007039B9">
        <w:rPr>
          <w:szCs w:val="24"/>
          <w:lang w:val="en-CA"/>
        </w:rPr>
        <w:t>loose</w:t>
      </w:r>
      <w:r w:rsidR="00CF4900" w:rsidRPr="007039B9">
        <w:rPr>
          <w:szCs w:val="24"/>
          <w:lang w:val="en-CA"/>
        </w:rPr>
        <w:noBreakHyphen/>
      </w:r>
      <w:r w:rsidRPr="007039B9">
        <w:rPr>
          <w:szCs w:val="24"/>
          <w:lang w:val="en-CA"/>
        </w:rPr>
        <w:t>lea</w:t>
      </w:r>
      <w:r w:rsidR="00F86840" w:rsidRPr="007039B9">
        <w:rPr>
          <w:szCs w:val="24"/>
          <w:lang w:val="en-CA"/>
        </w:rPr>
        <w:t>f</w:t>
      </w:r>
      <w:proofErr w:type="spellEnd"/>
      <w:r w:rsidR="00F86840" w:rsidRPr="007039B9">
        <w:rPr>
          <w:szCs w:val="24"/>
          <w:lang w:val="en-CA"/>
        </w:rPr>
        <w:t xml:space="preserve"> updated October 2010, release </w:t>
      </w:r>
      <w:r w:rsidRPr="007039B9">
        <w:rPr>
          <w:szCs w:val="24"/>
          <w:lang w:val="en-CA"/>
        </w:rPr>
        <w:t>2</w:t>
      </w:r>
      <w:r w:rsidR="00CC2876" w:rsidRPr="007039B9">
        <w:rPr>
          <w:szCs w:val="24"/>
          <w:lang w:val="en-CA"/>
        </w:rPr>
        <w:t>)</w:t>
      </w:r>
      <w:r w:rsidRPr="007039B9">
        <w:rPr>
          <w:szCs w:val="24"/>
          <w:lang w:val="en-CA"/>
        </w:rPr>
        <w:t>.</w:t>
      </w:r>
    </w:p>
    <w:p w:rsidR="006E5A5C" w:rsidRPr="007039B9" w:rsidRDefault="006E5A5C" w:rsidP="005A228D">
      <w:pPr>
        <w:pStyle w:val="SCCNormalDoubleSpacing"/>
        <w:spacing w:after="240" w:line="240" w:lineRule="auto"/>
        <w:ind w:left="539" w:hanging="539"/>
        <w:rPr>
          <w:szCs w:val="24"/>
          <w:lang w:val="en-CA"/>
        </w:rPr>
      </w:pPr>
      <w:proofErr w:type="spellStart"/>
      <w:proofErr w:type="gramStart"/>
      <w:r w:rsidRPr="007039B9">
        <w:rPr>
          <w:szCs w:val="24"/>
          <w:lang w:val="en-CA"/>
        </w:rPr>
        <w:t>Ellinger</w:t>
      </w:r>
      <w:proofErr w:type="spellEnd"/>
      <w:r w:rsidRPr="007039B9">
        <w:rPr>
          <w:szCs w:val="24"/>
          <w:lang w:val="en-CA"/>
        </w:rPr>
        <w:t xml:space="preserve">, E. P., Eva </w:t>
      </w:r>
      <w:proofErr w:type="spellStart"/>
      <w:r w:rsidRPr="007039B9">
        <w:rPr>
          <w:szCs w:val="24"/>
          <w:lang w:val="en-CA"/>
        </w:rPr>
        <w:t>Lomnicka</w:t>
      </w:r>
      <w:proofErr w:type="spellEnd"/>
      <w:r w:rsidRPr="007039B9">
        <w:rPr>
          <w:szCs w:val="24"/>
          <w:lang w:val="en-CA"/>
        </w:rPr>
        <w:t xml:space="preserve"> and Richard Hooley.</w:t>
      </w:r>
      <w:proofErr w:type="gramEnd"/>
      <w:r w:rsidRPr="007039B9">
        <w:rPr>
          <w:szCs w:val="24"/>
          <w:lang w:val="en-CA"/>
        </w:rPr>
        <w:t xml:space="preserve">  </w:t>
      </w:r>
      <w:r w:rsidRPr="007039B9">
        <w:rPr>
          <w:i/>
          <w:szCs w:val="24"/>
          <w:lang w:val="en-CA"/>
        </w:rPr>
        <w:t>Modern Banking Law</w:t>
      </w:r>
      <w:r w:rsidRPr="007039B9">
        <w:rPr>
          <w:szCs w:val="24"/>
          <w:lang w:val="en-CA"/>
        </w:rPr>
        <w:t xml:space="preserve">, 3rd </w:t>
      </w:r>
      <w:proofErr w:type="gramStart"/>
      <w:r w:rsidRPr="007039B9">
        <w:rPr>
          <w:szCs w:val="24"/>
          <w:lang w:val="en-CA"/>
        </w:rPr>
        <w:t>ed</w:t>
      </w:r>
      <w:proofErr w:type="gramEnd"/>
      <w:r w:rsidRPr="007039B9">
        <w:rPr>
          <w:szCs w:val="24"/>
          <w:lang w:val="en-CA"/>
        </w:rPr>
        <w:t xml:space="preserve">.  </w:t>
      </w:r>
      <w:proofErr w:type="gramStart"/>
      <w:r w:rsidRPr="007039B9">
        <w:rPr>
          <w:szCs w:val="24"/>
          <w:lang w:val="en-CA"/>
        </w:rPr>
        <w:t>Oxford</w:t>
      </w:r>
      <w:r w:rsidR="00CF4900" w:rsidRPr="007039B9">
        <w:rPr>
          <w:szCs w:val="24"/>
          <w:lang w:val="en-CA"/>
        </w:rPr>
        <w:t> :</w:t>
      </w:r>
      <w:proofErr w:type="gramEnd"/>
      <w:r w:rsidRPr="007039B9">
        <w:rPr>
          <w:szCs w:val="24"/>
          <w:lang w:val="en-CA"/>
        </w:rPr>
        <w:t xml:space="preserve"> Oxford University Press, 2002.</w:t>
      </w:r>
    </w:p>
    <w:p w:rsidR="006E5A5C" w:rsidRPr="007039B9" w:rsidRDefault="006E5A5C" w:rsidP="005A228D">
      <w:pPr>
        <w:pStyle w:val="SCCNormalDoubleSpacing"/>
        <w:spacing w:after="240" w:line="240" w:lineRule="auto"/>
        <w:ind w:left="539" w:hanging="539"/>
        <w:rPr>
          <w:szCs w:val="24"/>
          <w:lang w:val="en-CA"/>
        </w:rPr>
      </w:pPr>
      <w:r w:rsidRPr="007039B9">
        <w:rPr>
          <w:szCs w:val="24"/>
          <w:lang w:val="en-CA"/>
        </w:rPr>
        <w:t xml:space="preserve">Goode, R. M.  </w:t>
      </w:r>
      <w:proofErr w:type="gramStart"/>
      <w:r w:rsidRPr="007039B9">
        <w:rPr>
          <w:szCs w:val="24"/>
          <w:lang w:val="en-CA"/>
        </w:rPr>
        <w:t xml:space="preserve">« When is a cheque paid? », [1983] </w:t>
      </w:r>
      <w:r w:rsidRPr="007039B9">
        <w:rPr>
          <w:i/>
          <w:szCs w:val="24"/>
          <w:lang w:val="en-CA"/>
        </w:rPr>
        <w:t>J. Bus.</w:t>
      </w:r>
      <w:proofErr w:type="gramEnd"/>
      <w:r w:rsidRPr="007039B9">
        <w:rPr>
          <w:i/>
          <w:szCs w:val="24"/>
          <w:lang w:val="en-CA"/>
        </w:rPr>
        <w:t xml:space="preserve"> L.</w:t>
      </w:r>
      <w:r w:rsidRPr="007039B9">
        <w:rPr>
          <w:szCs w:val="24"/>
          <w:lang w:val="en-CA"/>
        </w:rPr>
        <w:t xml:space="preserve"> 164.</w:t>
      </w:r>
    </w:p>
    <w:p w:rsidR="000A5321" w:rsidRPr="007039B9" w:rsidRDefault="006E5A5C" w:rsidP="005A228D">
      <w:pPr>
        <w:pStyle w:val="SCCNormalDoubleSpacing"/>
        <w:spacing w:after="240" w:line="240" w:lineRule="auto"/>
        <w:ind w:left="539" w:hanging="539"/>
        <w:rPr>
          <w:szCs w:val="24"/>
          <w:lang w:val="en-CA"/>
        </w:rPr>
      </w:pPr>
      <w:proofErr w:type="gramStart"/>
      <w:r w:rsidRPr="007039B9">
        <w:rPr>
          <w:szCs w:val="24"/>
          <w:lang w:val="en-CA"/>
        </w:rPr>
        <w:t xml:space="preserve">Ogilvie, M. H. </w:t>
      </w:r>
      <w:r w:rsidRPr="007039B9">
        <w:rPr>
          <w:i/>
          <w:szCs w:val="24"/>
          <w:lang w:val="en-CA"/>
        </w:rPr>
        <w:t>Bank and Customer Law in Canada</w:t>
      </w:r>
      <w:r w:rsidRPr="007039B9">
        <w:rPr>
          <w:szCs w:val="24"/>
          <w:lang w:val="en-CA"/>
        </w:rPr>
        <w:t>.</w:t>
      </w:r>
      <w:proofErr w:type="gramEnd"/>
      <w:r w:rsidRPr="007039B9">
        <w:rPr>
          <w:szCs w:val="24"/>
          <w:lang w:val="en-CA"/>
        </w:rPr>
        <w:t xml:space="preserve">  </w:t>
      </w:r>
      <w:proofErr w:type="gramStart"/>
      <w:r w:rsidRPr="007039B9">
        <w:rPr>
          <w:szCs w:val="24"/>
          <w:lang w:val="en-CA"/>
        </w:rPr>
        <w:t>Toronto</w:t>
      </w:r>
      <w:r w:rsidR="00CF4900" w:rsidRPr="007039B9">
        <w:rPr>
          <w:szCs w:val="24"/>
          <w:lang w:val="en-CA"/>
        </w:rPr>
        <w:t> :</w:t>
      </w:r>
      <w:proofErr w:type="gramEnd"/>
      <w:r w:rsidRPr="007039B9">
        <w:rPr>
          <w:szCs w:val="24"/>
          <w:lang w:val="en-CA"/>
        </w:rPr>
        <w:t xml:space="preserve"> Irwin Law, 2007.</w:t>
      </w:r>
    </w:p>
    <w:p w:rsidR="008A26C1" w:rsidRPr="007039B9" w:rsidRDefault="008A26C1" w:rsidP="005A228D">
      <w:pPr>
        <w:pStyle w:val="SCCNormalDoubleSpacing"/>
        <w:spacing w:after="240" w:line="240" w:lineRule="auto"/>
        <w:ind w:left="539" w:hanging="539"/>
        <w:rPr>
          <w:szCs w:val="24"/>
          <w:lang w:val="en-CA"/>
        </w:rPr>
      </w:pPr>
      <w:r w:rsidRPr="007039B9">
        <w:rPr>
          <w:szCs w:val="24"/>
          <w:lang w:val="en-CA"/>
        </w:rPr>
        <w:t xml:space="preserve">Ogilvie, M. H.  </w:t>
      </w:r>
      <w:proofErr w:type="gramStart"/>
      <w:r w:rsidRPr="007039B9">
        <w:rPr>
          <w:szCs w:val="24"/>
          <w:lang w:val="en-CA"/>
        </w:rPr>
        <w:t xml:space="preserve">« Why Joint Accounts Should Not Be Garnished — </w:t>
      </w:r>
      <w:proofErr w:type="spellStart"/>
      <w:r w:rsidRPr="007039B9">
        <w:rPr>
          <w:i/>
          <w:szCs w:val="24"/>
          <w:lang w:val="en-CA"/>
        </w:rPr>
        <w:t>Westcoast</w:t>
      </w:r>
      <w:proofErr w:type="spellEnd"/>
      <w:r w:rsidRPr="007039B9">
        <w:rPr>
          <w:i/>
          <w:szCs w:val="24"/>
          <w:lang w:val="en-CA"/>
        </w:rPr>
        <w:t xml:space="preserve"> Commodities Inc. v. Jose Chow Chen</w:t>
      </w:r>
      <w:r w:rsidRPr="007039B9">
        <w:rPr>
          <w:szCs w:val="24"/>
          <w:lang w:val="en-CA"/>
        </w:rPr>
        <w:t> » (1986</w:t>
      </w:r>
      <w:r w:rsidR="00CF4900" w:rsidRPr="007039B9">
        <w:rPr>
          <w:szCs w:val="24"/>
          <w:lang w:val="en-CA"/>
        </w:rPr>
        <w:noBreakHyphen/>
      </w:r>
      <w:r w:rsidRPr="007039B9">
        <w:rPr>
          <w:szCs w:val="24"/>
          <w:lang w:val="en-CA"/>
        </w:rPr>
        <w:t xml:space="preserve">1987), 1 </w:t>
      </w:r>
      <w:r w:rsidRPr="007039B9">
        <w:rPr>
          <w:i/>
          <w:szCs w:val="24"/>
          <w:lang w:val="en-CA"/>
        </w:rPr>
        <w:t>B.F.L.R.</w:t>
      </w:r>
      <w:r w:rsidRPr="007039B9">
        <w:rPr>
          <w:szCs w:val="24"/>
          <w:lang w:val="en-CA"/>
        </w:rPr>
        <w:t xml:space="preserve"> 267.</w:t>
      </w:r>
      <w:proofErr w:type="gramEnd"/>
    </w:p>
    <w:p w:rsidR="007F5B3F" w:rsidRPr="007A3DF3" w:rsidRDefault="007F5B3F" w:rsidP="00831F5A">
      <w:pPr>
        <w:pStyle w:val="SCCNormalDoubleSpacing"/>
        <w:spacing w:after="720" w:line="240" w:lineRule="auto"/>
        <w:ind w:left="539" w:hanging="539"/>
        <w:rPr>
          <w:szCs w:val="24"/>
          <w:lang w:val="en-US"/>
        </w:rPr>
      </w:pPr>
      <w:proofErr w:type="spellStart"/>
      <w:proofErr w:type="gramStart"/>
      <w:r w:rsidRPr="007039B9">
        <w:rPr>
          <w:szCs w:val="24"/>
          <w:lang w:val="en-CA"/>
        </w:rPr>
        <w:t>Ziegel</w:t>
      </w:r>
      <w:proofErr w:type="spellEnd"/>
      <w:r w:rsidRPr="007039B9">
        <w:rPr>
          <w:szCs w:val="24"/>
          <w:lang w:val="en-CA"/>
        </w:rPr>
        <w:t xml:space="preserve">, Jacob S., Benjamin </w:t>
      </w:r>
      <w:proofErr w:type="spellStart"/>
      <w:r w:rsidRPr="007039B9">
        <w:rPr>
          <w:szCs w:val="24"/>
          <w:lang w:val="en-CA"/>
        </w:rPr>
        <w:t>Geva</w:t>
      </w:r>
      <w:proofErr w:type="spellEnd"/>
      <w:r w:rsidRPr="007039B9">
        <w:rPr>
          <w:szCs w:val="24"/>
          <w:lang w:val="en-CA"/>
        </w:rPr>
        <w:t xml:space="preserve"> and R. C. C. </w:t>
      </w:r>
      <w:proofErr w:type="spellStart"/>
      <w:r w:rsidRPr="007039B9">
        <w:rPr>
          <w:szCs w:val="24"/>
          <w:lang w:val="en-CA"/>
        </w:rPr>
        <w:t>Cuming</w:t>
      </w:r>
      <w:proofErr w:type="spellEnd"/>
      <w:r w:rsidR="00B148DC">
        <w:rPr>
          <w:szCs w:val="24"/>
          <w:lang w:val="en-CA"/>
        </w:rPr>
        <w:t>.</w:t>
      </w:r>
      <w:proofErr w:type="gramEnd"/>
      <w:r w:rsidRPr="007039B9">
        <w:rPr>
          <w:szCs w:val="24"/>
          <w:lang w:val="en-CA"/>
        </w:rPr>
        <w:t xml:space="preserve"> </w:t>
      </w:r>
      <w:r w:rsidRPr="007039B9">
        <w:rPr>
          <w:i/>
          <w:szCs w:val="24"/>
          <w:lang w:val="en-CA"/>
        </w:rPr>
        <w:t xml:space="preserve">Commercial and Consumer </w:t>
      </w:r>
      <w:proofErr w:type="gramStart"/>
      <w:r w:rsidRPr="007039B9">
        <w:rPr>
          <w:i/>
          <w:szCs w:val="24"/>
          <w:lang w:val="en-CA"/>
        </w:rPr>
        <w:t>Transactions</w:t>
      </w:r>
      <w:r w:rsidR="00CF4900" w:rsidRPr="007039B9">
        <w:rPr>
          <w:i/>
          <w:szCs w:val="24"/>
          <w:lang w:val="en-CA"/>
        </w:rPr>
        <w:t> :</w:t>
      </w:r>
      <w:proofErr w:type="gramEnd"/>
      <w:r w:rsidRPr="007039B9">
        <w:rPr>
          <w:i/>
          <w:szCs w:val="24"/>
          <w:lang w:val="en-CA"/>
        </w:rPr>
        <w:t xml:space="preserve"> Cases, Text and Materials</w:t>
      </w:r>
      <w:r w:rsidRPr="007039B9">
        <w:rPr>
          <w:szCs w:val="24"/>
          <w:lang w:val="en-CA"/>
        </w:rPr>
        <w:t xml:space="preserve">, 3rd ed., </w:t>
      </w:r>
      <w:r w:rsidR="00CF4900" w:rsidRPr="007039B9">
        <w:rPr>
          <w:szCs w:val="24"/>
          <w:lang w:val="en-CA"/>
        </w:rPr>
        <w:t>vol. </w:t>
      </w:r>
      <w:r w:rsidRPr="007039B9">
        <w:rPr>
          <w:szCs w:val="24"/>
          <w:lang w:val="en-CA"/>
        </w:rPr>
        <w:t xml:space="preserve">II, </w:t>
      </w:r>
      <w:r w:rsidRPr="007039B9">
        <w:rPr>
          <w:i/>
          <w:szCs w:val="24"/>
          <w:lang w:val="en-CA"/>
        </w:rPr>
        <w:t>Negotiable Instruments and Banking</w:t>
      </w:r>
      <w:r w:rsidRPr="007039B9">
        <w:rPr>
          <w:szCs w:val="24"/>
          <w:lang w:val="en-CA"/>
        </w:rPr>
        <w:t xml:space="preserve">, by Benjamin </w:t>
      </w:r>
      <w:proofErr w:type="spellStart"/>
      <w:r w:rsidRPr="007039B9">
        <w:rPr>
          <w:szCs w:val="24"/>
          <w:lang w:val="en-CA"/>
        </w:rPr>
        <w:t>Geva</w:t>
      </w:r>
      <w:proofErr w:type="spellEnd"/>
      <w:r w:rsidRPr="007039B9">
        <w:rPr>
          <w:szCs w:val="24"/>
          <w:lang w:val="en-CA"/>
        </w:rPr>
        <w:t xml:space="preserve">.  </w:t>
      </w:r>
      <w:proofErr w:type="gramStart"/>
      <w:r w:rsidRPr="007A3DF3">
        <w:rPr>
          <w:szCs w:val="24"/>
          <w:lang w:val="en-US"/>
        </w:rPr>
        <w:t>Toronto</w:t>
      </w:r>
      <w:r w:rsidR="00CF4900" w:rsidRPr="007A3DF3">
        <w:rPr>
          <w:szCs w:val="24"/>
          <w:lang w:val="en-US"/>
        </w:rPr>
        <w:t> :</w:t>
      </w:r>
      <w:proofErr w:type="gramEnd"/>
      <w:r w:rsidRPr="007A3DF3">
        <w:rPr>
          <w:szCs w:val="24"/>
          <w:lang w:val="en-US"/>
        </w:rPr>
        <w:t xml:space="preserve"> </w:t>
      </w:r>
      <w:proofErr w:type="spellStart"/>
      <w:r w:rsidRPr="007A3DF3">
        <w:rPr>
          <w:szCs w:val="24"/>
          <w:lang w:val="en-US"/>
        </w:rPr>
        <w:t>Emond</w:t>
      </w:r>
      <w:proofErr w:type="spellEnd"/>
      <w:r w:rsidRPr="007A3DF3">
        <w:rPr>
          <w:szCs w:val="24"/>
          <w:lang w:val="en-US"/>
        </w:rPr>
        <w:t xml:space="preserve"> Montgomery, 1995.</w:t>
      </w:r>
    </w:p>
    <w:p w:rsidR="00D5435D" w:rsidRPr="007039B9" w:rsidRDefault="00933468" w:rsidP="00861499">
      <w:pPr>
        <w:pStyle w:val="SCCNormalDoubleSpacing"/>
        <w:spacing w:after="480"/>
        <w:rPr>
          <w:szCs w:val="24"/>
        </w:rPr>
      </w:pPr>
      <w:r w:rsidRPr="007A3DF3">
        <w:rPr>
          <w:szCs w:val="24"/>
          <w:lang w:val="en-US"/>
        </w:rPr>
        <w:lastRenderedPageBreak/>
        <w:tab/>
      </w:r>
      <w:r w:rsidR="009B57B3" w:rsidRPr="007039B9">
        <w:rPr>
          <w:szCs w:val="24"/>
        </w:rPr>
        <w:t>P</w:t>
      </w:r>
      <w:r w:rsidR="0043088E" w:rsidRPr="007039B9">
        <w:rPr>
          <w:szCs w:val="24"/>
        </w:rPr>
        <w:t>OURVOI contre un arrêt de la</w:t>
      </w:r>
      <w:r w:rsidR="009B57B3" w:rsidRPr="007039B9">
        <w:rPr>
          <w:szCs w:val="24"/>
        </w:rPr>
        <w:t xml:space="preserve"> Cour d’appel fédérale</w:t>
      </w:r>
      <w:r w:rsidR="00EE19A3" w:rsidRPr="007039B9">
        <w:rPr>
          <w:szCs w:val="24"/>
        </w:rPr>
        <w:t xml:space="preserve"> (les juges </w:t>
      </w:r>
      <w:proofErr w:type="spellStart"/>
      <w:r w:rsidR="00EE19A3" w:rsidRPr="007039B9">
        <w:rPr>
          <w:szCs w:val="24"/>
        </w:rPr>
        <w:t>Sexton</w:t>
      </w:r>
      <w:proofErr w:type="spellEnd"/>
      <w:r w:rsidR="00EE19A3" w:rsidRPr="007039B9">
        <w:rPr>
          <w:szCs w:val="24"/>
        </w:rPr>
        <w:t xml:space="preserve">, Blais et </w:t>
      </w:r>
      <w:proofErr w:type="spellStart"/>
      <w:r w:rsidR="00EE19A3" w:rsidRPr="007039B9">
        <w:rPr>
          <w:szCs w:val="24"/>
        </w:rPr>
        <w:t>Layden</w:t>
      </w:r>
      <w:r w:rsidR="00CF4900" w:rsidRPr="007039B9">
        <w:rPr>
          <w:szCs w:val="24"/>
        </w:rPr>
        <w:noBreakHyphen/>
      </w:r>
      <w:r w:rsidR="00EE19A3" w:rsidRPr="007039B9">
        <w:rPr>
          <w:szCs w:val="24"/>
        </w:rPr>
        <w:t>Stevenson</w:t>
      </w:r>
      <w:proofErr w:type="spellEnd"/>
      <w:r w:rsidR="00EE19A3" w:rsidRPr="007039B9">
        <w:rPr>
          <w:szCs w:val="24"/>
        </w:rPr>
        <w:t>), 2009 CAF 267, 2009 DTC 5171</w:t>
      </w:r>
      <w:r w:rsidR="00B148DC">
        <w:rPr>
          <w:szCs w:val="24"/>
        </w:rPr>
        <w:t xml:space="preserve"> (p. 6205)</w:t>
      </w:r>
      <w:r w:rsidR="00EE19A3" w:rsidRPr="007039B9">
        <w:rPr>
          <w:szCs w:val="24"/>
        </w:rPr>
        <w:t xml:space="preserve">, [2009] </w:t>
      </w:r>
      <w:r w:rsidR="00BC15F5" w:rsidRPr="007039B9">
        <w:rPr>
          <w:szCs w:val="24"/>
        </w:rPr>
        <w:t>A.C.</w:t>
      </w:r>
      <w:r w:rsidR="00EE19A3" w:rsidRPr="007039B9">
        <w:rPr>
          <w:szCs w:val="24"/>
        </w:rPr>
        <w:t xml:space="preserve">F. </w:t>
      </w:r>
      <w:r w:rsidR="00BC15F5" w:rsidRPr="007039B9">
        <w:rPr>
          <w:szCs w:val="24"/>
        </w:rPr>
        <w:t>n</w:t>
      </w:r>
      <w:r w:rsidR="00BC15F5" w:rsidRPr="007039B9">
        <w:rPr>
          <w:szCs w:val="24"/>
          <w:vertAlign w:val="superscript"/>
        </w:rPr>
        <w:t>o</w:t>
      </w:r>
      <w:r w:rsidR="00CF4900" w:rsidRPr="007039B9">
        <w:rPr>
          <w:szCs w:val="24"/>
          <w:vertAlign w:val="superscript"/>
        </w:rPr>
        <w:t> </w:t>
      </w:r>
      <w:r w:rsidR="00EE19A3" w:rsidRPr="007039B9">
        <w:rPr>
          <w:szCs w:val="24"/>
        </w:rPr>
        <w:t xml:space="preserve">1151 (QL), 2009 </w:t>
      </w:r>
      <w:proofErr w:type="spellStart"/>
      <w:r w:rsidR="00EE19A3" w:rsidRPr="007039B9">
        <w:rPr>
          <w:szCs w:val="24"/>
        </w:rPr>
        <w:t>CarswellNat</w:t>
      </w:r>
      <w:proofErr w:type="spellEnd"/>
      <w:r w:rsidR="00EE19A3" w:rsidRPr="007039B9">
        <w:rPr>
          <w:szCs w:val="24"/>
        </w:rPr>
        <w:t xml:space="preserve"> </w:t>
      </w:r>
      <w:r w:rsidR="00BC15F5" w:rsidRPr="007039B9">
        <w:rPr>
          <w:szCs w:val="24"/>
        </w:rPr>
        <w:t>5095</w:t>
      </w:r>
      <w:r w:rsidR="00EE19A3" w:rsidRPr="007039B9">
        <w:rPr>
          <w:szCs w:val="24"/>
        </w:rPr>
        <w:t xml:space="preserve">, </w:t>
      </w:r>
      <w:r w:rsidR="00BC15F5" w:rsidRPr="007039B9">
        <w:rPr>
          <w:szCs w:val="24"/>
        </w:rPr>
        <w:t>qui a confirmé une dé</w:t>
      </w:r>
      <w:r w:rsidR="00EE19A3" w:rsidRPr="007039B9">
        <w:rPr>
          <w:szCs w:val="24"/>
        </w:rPr>
        <w:t xml:space="preserve">cision </w:t>
      </w:r>
      <w:r w:rsidR="00BC15F5" w:rsidRPr="007039B9">
        <w:rPr>
          <w:szCs w:val="24"/>
        </w:rPr>
        <w:t>d</w:t>
      </w:r>
      <w:r w:rsidR="004B404E" w:rsidRPr="007039B9">
        <w:rPr>
          <w:szCs w:val="24"/>
        </w:rPr>
        <w:t>u</w:t>
      </w:r>
      <w:r w:rsidR="00BC15F5" w:rsidRPr="007039B9">
        <w:rPr>
          <w:szCs w:val="24"/>
        </w:rPr>
        <w:t xml:space="preserve"> juge </w:t>
      </w:r>
      <w:proofErr w:type="spellStart"/>
      <w:r w:rsidR="00EE19A3" w:rsidRPr="007039B9">
        <w:rPr>
          <w:szCs w:val="24"/>
        </w:rPr>
        <w:t>Little</w:t>
      </w:r>
      <w:proofErr w:type="spellEnd"/>
      <w:r w:rsidR="00EE19A3" w:rsidRPr="007039B9">
        <w:rPr>
          <w:szCs w:val="24"/>
        </w:rPr>
        <w:t>, 2008 CC</w:t>
      </w:r>
      <w:r w:rsidR="00BC15F5" w:rsidRPr="007039B9">
        <w:rPr>
          <w:szCs w:val="24"/>
        </w:rPr>
        <w:t>I</w:t>
      </w:r>
      <w:r w:rsidR="00EE19A3" w:rsidRPr="007039B9">
        <w:rPr>
          <w:szCs w:val="24"/>
        </w:rPr>
        <w:t xml:space="preserve"> 482, [2009] 1 C.T.C. 2264, 2008 D.T.C. 4762, [2008] </w:t>
      </w:r>
      <w:r w:rsidR="00BC15F5" w:rsidRPr="007039B9">
        <w:rPr>
          <w:szCs w:val="24"/>
        </w:rPr>
        <w:t>A</w:t>
      </w:r>
      <w:r w:rsidR="00EE19A3" w:rsidRPr="007039B9">
        <w:rPr>
          <w:szCs w:val="24"/>
        </w:rPr>
        <w:t>.C.</w:t>
      </w:r>
      <w:r w:rsidR="00BC15F5" w:rsidRPr="007039B9">
        <w:rPr>
          <w:szCs w:val="24"/>
        </w:rPr>
        <w:t>I</w:t>
      </w:r>
      <w:r w:rsidR="00EE19A3" w:rsidRPr="007039B9">
        <w:rPr>
          <w:szCs w:val="24"/>
        </w:rPr>
        <w:t xml:space="preserve">. </w:t>
      </w:r>
      <w:r w:rsidR="00BC15F5" w:rsidRPr="007039B9">
        <w:rPr>
          <w:szCs w:val="24"/>
        </w:rPr>
        <w:t>n</w:t>
      </w:r>
      <w:r w:rsidR="00BC15F5" w:rsidRPr="007039B9">
        <w:rPr>
          <w:szCs w:val="24"/>
          <w:vertAlign w:val="superscript"/>
        </w:rPr>
        <w:t>o</w:t>
      </w:r>
      <w:r w:rsidR="00F86840" w:rsidRPr="007039B9">
        <w:rPr>
          <w:szCs w:val="24"/>
        </w:rPr>
        <w:t> </w:t>
      </w:r>
      <w:r w:rsidR="00EE19A3" w:rsidRPr="007039B9">
        <w:rPr>
          <w:szCs w:val="24"/>
        </w:rPr>
        <w:t xml:space="preserve">372 (QL), 2008 </w:t>
      </w:r>
      <w:proofErr w:type="spellStart"/>
      <w:r w:rsidR="00EE19A3" w:rsidRPr="007039B9">
        <w:rPr>
          <w:szCs w:val="24"/>
        </w:rPr>
        <w:t>CarswellNat</w:t>
      </w:r>
      <w:proofErr w:type="spellEnd"/>
      <w:r w:rsidR="00EE19A3" w:rsidRPr="007039B9">
        <w:rPr>
          <w:szCs w:val="24"/>
        </w:rPr>
        <w:t xml:space="preserve"> </w:t>
      </w:r>
      <w:r w:rsidR="00BC15F5" w:rsidRPr="007039B9">
        <w:rPr>
          <w:szCs w:val="24"/>
        </w:rPr>
        <w:t>5692</w:t>
      </w:r>
      <w:r w:rsidR="00EE19A3" w:rsidRPr="007039B9">
        <w:rPr>
          <w:szCs w:val="24"/>
        </w:rPr>
        <w:t xml:space="preserve">.  </w:t>
      </w:r>
      <w:r w:rsidR="00C107A0" w:rsidRPr="007039B9">
        <w:rPr>
          <w:szCs w:val="24"/>
        </w:rPr>
        <w:t>P</w:t>
      </w:r>
      <w:r w:rsidR="00BC15F5" w:rsidRPr="007039B9">
        <w:rPr>
          <w:szCs w:val="24"/>
        </w:rPr>
        <w:t>ourvoi</w:t>
      </w:r>
      <w:r w:rsidR="00C107A0" w:rsidRPr="007039B9">
        <w:rPr>
          <w:szCs w:val="24"/>
        </w:rPr>
        <w:t xml:space="preserve"> </w:t>
      </w:r>
      <w:r w:rsidR="004F2E4E" w:rsidRPr="007039B9">
        <w:rPr>
          <w:szCs w:val="24"/>
        </w:rPr>
        <w:t xml:space="preserve">accueilli, </w:t>
      </w:r>
      <w:r w:rsidR="00C107A0" w:rsidRPr="007039B9">
        <w:rPr>
          <w:szCs w:val="24"/>
        </w:rPr>
        <w:t xml:space="preserve">arrêt de la Cour d’appel fédérale et jugement de la Cour canadienne de l’impôt infirmés et cotisations annulées, </w:t>
      </w:r>
      <w:r w:rsidR="004F2E4E" w:rsidRPr="007039B9">
        <w:rPr>
          <w:szCs w:val="24"/>
        </w:rPr>
        <w:t xml:space="preserve">la juge en chef </w:t>
      </w:r>
      <w:proofErr w:type="spellStart"/>
      <w:r w:rsidR="004F2E4E" w:rsidRPr="007039B9">
        <w:rPr>
          <w:szCs w:val="24"/>
        </w:rPr>
        <w:t>McLachlin</w:t>
      </w:r>
      <w:proofErr w:type="spellEnd"/>
      <w:r w:rsidR="004F2E4E" w:rsidRPr="007039B9">
        <w:rPr>
          <w:szCs w:val="24"/>
        </w:rPr>
        <w:t xml:space="preserve"> et les juges Fish et Abella sont dissidents</w:t>
      </w:r>
      <w:r w:rsidR="00EE19A3" w:rsidRPr="007039B9">
        <w:rPr>
          <w:szCs w:val="24"/>
        </w:rPr>
        <w:t>.</w:t>
      </w:r>
    </w:p>
    <w:p w:rsidR="00A1328B" w:rsidRPr="007039B9" w:rsidRDefault="00D1005C" w:rsidP="00861499">
      <w:pPr>
        <w:pStyle w:val="SCCNormalDoubleSpacing"/>
        <w:spacing w:after="480"/>
        <w:rPr>
          <w:szCs w:val="24"/>
        </w:rPr>
      </w:pPr>
      <w:r w:rsidRPr="007039B9">
        <w:rPr>
          <w:rStyle w:val="SCCCounselNameChar"/>
          <w:szCs w:val="24"/>
        </w:rPr>
        <w:tab/>
        <w:t>R. </w:t>
      </w:r>
      <w:r w:rsidR="00933468" w:rsidRPr="007039B9">
        <w:rPr>
          <w:rStyle w:val="SCCCounselNameChar"/>
          <w:szCs w:val="24"/>
        </w:rPr>
        <w:t xml:space="preserve">Paul </w:t>
      </w:r>
      <w:proofErr w:type="spellStart"/>
      <w:r w:rsidR="00933468" w:rsidRPr="007039B9">
        <w:rPr>
          <w:rStyle w:val="SCCCounselNameChar"/>
          <w:szCs w:val="24"/>
        </w:rPr>
        <w:t>Steep</w:t>
      </w:r>
      <w:proofErr w:type="spellEnd"/>
      <w:r w:rsidR="00933468" w:rsidRPr="007039B9">
        <w:rPr>
          <w:rStyle w:val="SCCCounselSeparatorChar"/>
          <w:szCs w:val="24"/>
        </w:rPr>
        <w:t xml:space="preserve"> et </w:t>
      </w:r>
      <w:r w:rsidR="00933468" w:rsidRPr="007039B9">
        <w:rPr>
          <w:rStyle w:val="SCCCounselNameChar"/>
          <w:szCs w:val="24"/>
        </w:rPr>
        <w:t xml:space="preserve">Thomas N. T. </w:t>
      </w:r>
      <w:proofErr w:type="spellStart"/>
      <w:r w:rsidR="00933468" w:rsidRPr="007039B9">
        <w:rPr>
          <w:rStyle w:val="SCCCounselNameChar"/>
          <w:szCs w:val="24"/>
        </w:rPr>
        <w:t>Sutton</w:t>
      </w:r>
      <w:proofErr w:type="spellEnd"/>
      <w:r w:rsidR="00933468" w:rsidRPr="007039B9">
        <w:rPr>
          <w:rStyle w:val="SCCCounselPartyRoleChar"/>
          <w:szCs w:val="24"/>
        </w:rPr>
        <w:t>, pour l’appelante.</w:t>
      </w:r>
    </w:p>
    <w:p w:rsidR="00A1328B" w:rsidRPr="007039B9" w:rsidRDefault="00933468" w:rsidP="00861499">
      <w:pPr>
        <w:pStyle w:val="SCCNormalDoubleSpacing"/>
        <w:spacing w:after="480"/>
        <w:rPr>
          <w:szCs w:val="24"/>
        </w:rPr>
      </w:pPr>
      <w:r w:rsidRPr="007039B9">
        <w:rPr>
          <w:rStyle w:val="SCCCounselNameChar"/>
          <w:szCs w:val="24"/>
        </w:rPr>
        <w:tab/>
        <w:t>Wendy Burnham</w:t>
      </w:r>
      <w:r w:rsidR="00D1005C" w:rsidRPr="007039B9">
        <w:rPr>
          <w:rStyle w:val="SCCCounselSeparatorChar"/>
          <w:szCs w:val="24"/>
        </w:rPr>
        <w:t xml:space="preserve"> et</w:t>
      </w:r>
      <w:r w:rsidRPr="007039B9">
        <w:rPr>
          <w:rStyle w:val="SCCCounselSeparatorChar"/>
          <w:szCs w:val="24"/>
        </w:rPr>
        <w:t xml:space="preserve"> </w:t>
      </w:r>
      <w:r w:rsidRPr="007039B9">
        <w:rPr>
          <w:rStyle w:val="SCCCounselNameChar"/>
          <w:szCs w:val="24"/>
        </w:rPr>
        <w:t xml:space="preserve">Michael </w:t>
      </w:r>
      <w:proofErr w:type="spellStart"/>
      <w:r w:rsidRPr="007039B9">
        <w:rPr>
          <w:rStyle w:val="SCCCounselNameChar"/>
          <w:szCs w:val="24"/>
        </w:rPr>
        <w:t>Lema</w:t>
      </w:r>
      <w:proofErr w:type="spellEnd"/>
      <w:r w:rsidRPr="007039B9">
        <w:rPr>
          <w:rStyle w:val="SCCCounselPartyRoleChar"/>
          <w:szCs w:val="24"/>
        </w:rPr>
        <w:t>, pour l’intimée.</w:t>
      </w:r>
    </w:p>
    <w:p w:rsidR="00857221" w:rsidRPr="00D01B97" w:rsidRDefault="00933468" w:rsidP="004C4D9C">
      <w:pPr>
        <w:pStyle w:val="SCCNormalDoubleSpacing"/>
        <w:spacing w:after="480"/>
        <w:rPr>
          <w:smallCaps/>
          <w:szCs w:val="24"/>
        </w:rPr>
      </w:pPr>
      <w:r w:rsidRPr="007039B9">
        <w:rPr>
          <w:szCs w:val="24"/>
        </w:rPr>
        <w:tab/>
      </w:r>
      <w:r w:rsidR="004C4D9C">
        <w:rPr>
          <w:szCs w:val="24"/>
        </w:rPr>
        <w:t xml:space="preserve">Version française du jugement des juges </w:t>
      </w:r>
      <w:proofErr w:type="spellStart"/>
      <w:r w:rsidR="004C4D9C">
        <w:rPr>
          <w:szCs w:val="24"/>
        </w:rPr>
        <w:t>Binnie</w:t>
      </w:r>
      <w:proofErr w:type="spellEnd"/>
      <w:r w:rsidR="004C4D9C">
        <w:rPr>
          <w:szCs w:val="24"/>
        </w:rPr>
        <w:t xml:space="preserve">, Deschamps, </w:t>
      </w:r>
      <w:proofErr w:type="spellStart"/>
      <w:r w:rsidR="004C4D9C">
        <w:rPr>
          <w:szCs w:val="24"/>
        </w:rPr>
        <w:t>Rothstein</w:t>
      </w:r>
      <w:proofErr w:type="spellEnd"/>
      <w:r w:rsidR="004C4D9C">
        <w:rPr>
          <w:szCs w:val="24"/>
        </w:rPr>
        <w:t xml:space="preserve"> et Cromwell rendu par</w:t>
      </w:r>
      <w:r w:rsidR="00857221" w:rsidRPr="00D01B97">
        <w:rPr>
          <w:szCs w:val="24"/>
        </w:rPr>
        <w:t xml:space="preserve"> </w:t>
      </w:r>
    </w:p>
    <w:p w:rsidR="00857221" w:rsidRPr="00D01B97" w:rsidRDefault="004C4D9C" w:rsidP="00857221">
      <w:pPr>
        <w:pStyle w:val="ParaNoNdepar-AltN"/>
        <w:rPr>
          <w:rFonts w:cs="Times New Roman"/>
          <w:szCs w:val="24"/>
          <w:lang w:val="fr-CA"/>
        </w:rPr>
      </w:pPr>
      <w:r w:rsidRPr="00243D84">
        <w:rPr>
          <w:smallCaps/>
          <w:szCs w:val="24"/>
          <w:lang w:val="fr-CA"/>
        </w:rPr>
        <w:t>La</w:t>
      </w:r>
      <w:r w:rsidRPr="004C4D9C">
        <w:rPr>
          <w:smallCaps/>
          <w:szCs w:val="24"/>
          <w:lang w:val="fr-CA"/>
        </w:rPr>
        <w:t xml:space="preserve"> juge Deschamps</w:t>
      </w:r>
      <w:r w:rsidRPr="004C4D9C">
        <w:rPr>
          <w:szCs w:val="24"/>
          <w:lang w:val="fr-CA"/>
        </w:rPr>
        <w:t xml:space="preserve"> — </w:t>
      </w:r>
      <w:r w:rsidR="00857221" w:rsidRPr="00D01B97">
        <w:rPr>
          <w:rFonts w:cs="Times New Roman"/>
          <w:szCs w:val="24"/>
          <w:lang w:val="fr-CA"/>
        </w:rPr>
        <w:t xml:space="preserve">Peu de juristes sont enthousiasmés à l’idée d’étudier les mécanismes de la </w:t>
      </w:r>
      <w:r w:rsidR="00857221" w:rsidRPr="00D01B97">
        <w:rPr>
          <w:rFonts w:cs="Times New Roman"/>
          <w:i/>
          <w:szCs w:val="24"/>
          <w:lang w:val="fr-CA"/>
        </w:rPr>
        <w:t>Loi sur les lettres de change</w:t>
      </w:r>
      <w:r w:rsidR="00D4189E">
        <w:rPr>
          <w:rFonts w:cs="Times New Roman"/>
          <w:szCs w:val="24"/>
          <w:lang w:val="fr-CA"/>
        </w:rPr>
        <w:t>, L.R.C. 1985, ch. B</w:t>
      </w:r>
      <w:r w:rsidR="000C54A5">
        <w:rPr>
          <w:rFonts w:cs="Times New Roman"/>
          <w:szCs w:val="24"/>
          <w:lang w:val="fr-CA"/>
        </w:rPr>
        <w:t>-</w:t>
      </w:r>
      <w:r w:rsidR="00D4189E">
        <w:rPr>
          <w:rFonts w:cs="Times New Roman"/>
          <w:szCs w:val="24"/>
          <w:lang w:val="fr-CA"/>
        </w:rPr>
        <w:t>4 (</w:t>
      </w:r>
      <w:r w:rsidR="00857221" w:rsidRPr="00D01B97">
        <w:rPr>
          <w:rFonts w:cs="Times New Roman"/>
          <w:szCs w:val="24"/>
          <w:lang w:val="fr-CA"/>
        </w:rPr>
        <w:t>« </w:t>
      </w:r>
      <w:r w:rsidR="00857221" w:rsidRPr="00D01B97">
        <w:rPr>
          <w:rFonts w:cs="Times New Roman"/>
          <w:i/>
          <w:szCs w:val="24"/>
          <w:lang w:val="fr-CA"/>
        </w:rPr>
        <w:t>LLC</w:t>
      </w:r>
      <w:r w:rsidR="00857221" w:rsidRPr="00D01B97">
        <w:rPr>
          <w:rFonts w:cs="Times New Roman"/>
          <w:szCs w:val="24"/>
          <w:lang w:val="fr-CA"/>
        </w:rPr>
        <w:t xml:space="preserve"> »); la plupart les trouvent techniques et fastidieux.  Pourtant, en dépit du fait que les transactions électroniques sont devenues répandues dans un monde où l’on emploie de moins en moins de papier, les chèques sont toujours des lettres de change utilisées chaque jour au Canada dans une multitude de transactions suivant les prescriptions de mécanismes reconnus.  Les arguments acceptés par les juridictions inférieures ne tiennent pas compte de ces mécanismes.  Leur interprétation, si elle </w:t>
      </w:r>
      <w:r w:rsidR="00857221" w:rsidRPr="00D01B97">
        <w:rPr>
          <w:rFonts w:cs="Times New Roman"/>
          <w:szCs w:val="24"/>
          <w:lang w:val="fr-CA"/>
        </w:rPr>
        <w:lastRenderedPageBreak/>
        <w:t>était acceptée, forcerait la banque qui se voit signifier une réclamation par un tiers non seulement à déterminer si son client a l’obligati</w:t>
      </w:r>
      <w:r w:rsidR="000C54A5">
        <w:rPr>
          <w:rFonts w:cs="Times New Roman"/>
          <w:szCs w:val="24"/>
          <w:lang w:val="fr-CA"/>
        </w:rPr>
        <w:t>on de faire un paiement à celui-</w:t>
      </w:r>
      <w:r w:rsidR="00857221" w:rsidRPr="00D01B97">
        <w:rPr>
          <w:rFonts w:cs="Times New Roman"/>
          <w:szCs w:val="24"/>
          <w:lang w:val="fr-CA"/>
        </w:rPr>
        <w:t xml:space="preserve">ci, mais également s’il incombe une telle obligation au preneur.  Or, on ne nous a fait état d’aucune raison d’imposer une telle obligation.  Pour les motifs qui suivent, j’estime que la banque en cause dans la présente affaire n’a jamais été tenue de verser le produit des chèques au débiteur fiscal.  Je suis d’avis d’accueillir le pourvoi avec dépens dans toutes les cours. </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L’article 224 de la </w:t>
      </w:r>
      <w:r w:rsidRPr="00D01B97">
        <w:rPr>
          <w:rFonts w:cs="Times New Roman"/>
          <w:i/>
          <w:szCs w:val="24"/>
          <w:lang w:val="fr-CA"/>
        </w:rPr>
        <w:t>Loi de l’impôt sur le revenu</w:t>
      </w:r>
      <w:r w:rsidRPr="00D01B97">
        <w:rPr>
          <w:rFonts w:cs="Times New Roman"/>
          <w:szCs w:val="24"/>
          <w:lang w:val="fr-CA"/>
        </w:rPr>
        <w:t>, L.R.C. 1985, ch. 1 (5</w:t>
      </w:r>
      <w:r w:rsidRPr="00D01B97">
        <w:rPr>
          <w:rFonts w:cs="Times New Roman"/>
          <w:szCs w:val="24"/>
          <w:vertAlign w:val="superscript"/>
          <w:lang w:val="fr-CA"/>
        </w:rPr>
        <w:t>e</w:t>
      </w:r>
      <w:r w:rsidR="00D4189E">
        <w:rPr>
          <w:rFonts w:cs="Times New Roman"/>
          <w:szCs w:val="24"/>
          <w:lang w:val="fr-CA"/>
        </w:rPr>
        <w:t> suppl.) (</w:t>
      </w:r>
      <w:r w:rsidRPr="00D01B97">
        <w:rPr>
          <w:rFonts w:cs="Times New Roman"/>
          <w:szCs w:val="24"/>
          <w:lang w:val="fr-CA"/>
        </w:rPr>
        <w:t>« </w:t>
      </w:r>
      <w:r w:rsidRPr="00D01B97">
        <w:rPr>
          <w:rFonts w:cs="Times New Roman"/>
          <w:i/>
          <w:szCs w:val="24"/>
          <w:lang w:val="fr-CA"/>
        </w:rPr>
        <w:t>LIR</w:t>
      </w:r>
      <w:r w:rsidRPr="00D01B97">
        <w:rPr>
          <w:rFonts w:cs="Times New Roman"/>
          <w:szCs w:val="24"/>
          <w:lang w:val="fr-CA"/>
        </w:rPr>
        <w:t> »)</w:t>
      </w:r>
      <w:r w:rsidR="00EA16A4">
        <w:rPr>
          <w:rFonts w:cs="Times New Roman"/>
          <w:szCs w:val="24"/>
          <w:lang w:val="fr-CA"/>
        </w:rPr>
        <w:t>,</w:t>
      </w:r>
      <w:r w:rsidRPr="00D01B97">
        <w:rPr>
          <w:rFonts w:cs="Times New Roman"/>
          <w:szCs w:val="24"/>
          <w:lang w:val="fr-CA"/>
        </w:rPr>
        <w:t xml:space="preserve"> prévoit que le ministre du Revenu national peut exiger d’une personne qui est ou sera, dans les douze mois, tenue de faire un paiement à un débiteur fiscal de verser plutôt au receveur général les fonds qu’elle doit au débiteur fiscal (la « demande péremptoire de paiement »).  Le pouvoir du ministre de faire une demande péremptoire de paiement lorsque les circonstances le justifient n’est pas contesté.  La question qui se pose dans le présent pourvoi est de savoir si la banque qui se voit remettre un chèque payable au débiteur fiscal pour dépôt dans un compte détenu conjointement par un tiers et ce débiteur fiscal est dès lors tenue de faire un paiement à ce dernier. </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Les faits ne sont pas contestés. </w:t>
      </w:r>
      <w:r>
        <w:rPr>
          <w:rFonts w:cs="Times New Roman"/>
          <w:szCs w:val="24"/>
          <w:lang w:val="fr-CA"/>
        </w:rPr>
        <w:t xml:space="preserve"> </w:t>
      </w:r>
      <w:r w:rsidRPr="00D01B97">
        <w:rPr>
          <w:rFonts w:cs="Times New Roman"/>
          <w:szCs w:val="24"/>
          <w:lang w:val="fr-CA"/>
        </w:rPr>
        <w:t xml:space="preserve">À l’époque en cause, l’appelante, Hypothèques </w:t>
      </w:r>
      <w:proofErr w:type="spellStart"/>
      <w:r w:rsidRPr="00D01B97">
        <w:rPr>
          <w:rFonts w:cs="Times New Roman"/>
          <w:szCs w:val="24"/>
          <w:lang w:val="fr-CA"/>
        </w:rPr>
        <w:t>Trustco</w:t>
      </w:r>
      <w:proofErr w:type="spellEnd"/>
      <w:r w:rsidRPr="00D01B97">
        <w:rPr>
          <w:rFonts w:cs="Times New Roman"/>
          <w:szCs w:val="24"/>
          <w:lang w:val="fr-CA"/>
        </w:rPr>
        <w:t xml:space="preserve"> Canada (« </w:t>
      </w:r>
      <w:proofErr w:type="spellStart"/>
      <w:r w:rsidRPr="00D01B97">
        <w:rPr>
          <w:rFonts w:cs="Times New Roman"/>
          <w:szCs w:val="24"/>
          <w:lang w:val="fr-CA"/>
        </w:rPr>
        <w:t>Trustco</w:t>
      </w:r>
      <w:proofErr w:type="spellEnd"/>
      <w:r w:rsidRPr="00D01B97">
        <w:rPr>
          <w:rFonts w:cs="Times New Roman"/>
          <w:szCs w:val="24"/>
          <w:lang w:val="fr-CA"/>
        </w:rPr>
        <w:t xml:space="preserve"> »), était autorisée à offrir des services financiers au Canada.  Les parties ont considéré </w:t>
      </w:r>
      <w:proofErr w:type="spellStart"/>
      <w:r w:rsidRPr="00D01B97">
        <w:rPr>
          <w:rFonts w:cs="Times New Roman"/>
          <w:szCs w:val="24"/>
          <w:lang w:val="fr-CA"/>
        </w:rPr>
        <w:t>Trustco</w:t>
      </w:r>
      <w:proofErr w:type="spellEnd"/>
      <w:r w:rsidRPr="00D01B97">
        <w:rPr>
          <w:rFonts w:cs="Times New Roman"/>
          <w:szCs w:val="24"/>
          <w:lang w:val="fr-CA"/>
        </w:rPr>
        <w:t xml:space="preserve"> comme une banque, tout </w:t>
      </w:r>
      <w:r w:rsidRPr="00D01B97">
        <w:rPr>
          <w:rFonts w:cs="Times New Roman"/>
          <w:szCs w:val="24"/>
          <w:lang w:val="fr-CA"/>
        </w:rPr>
        <w:lastRenderedPageBreak/>
        <w:t xml:space="preserve">comme l’a fait la Cour canadienne de l’impôt.  Par souci de commodité, je l’assimilerai moi aussi à une banque. </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Cameron Clyde </w:t>
      </w:r>
      <w:proofErr w:type="spellStart"/>
      <w:r w:rsidRPr="00D01B97">
        <w:rPr>
          <w:rFonts w:cs="Times New Roman"/>
          <w:szCs w:val="24"/>
          <w:lang w:val="fr-CA"/>
        </w:rPr>
        <w:t>McLeod</w:t>
      </w:r>
      <w:proofErr w:type="spellEnd"/>
      <w:r w:rsidRPr="00D01B97">
        <w:rPr>
          <w:rFonts w:cs="Times New Roman"/>
          <w:szCs w:val="24"/>
          <w:lang w:val="fr-CA"/>
        </w:rPr>
        <w:t xml:space="preserve"> exerçait</w:t>
      </w:r>
      <w:r w:rsidR="00541E4E">
        <w:rPr>
          <w:rFonts w:cs="Times New Roman"/>
          <w:szCs w:val="24"/>
          <w:lang w:val="fr-CA"/>
        </w:rPr>
        <w:t xml:space="preserve"> le droit à titre de membre du B</w:t>
      </w:r>
      <w:r w:rsidR="00EE7529">
        <w:rPr>
          <w:rFonts w:cs="Times New Roman"/>
          <w:szCs w:val="24"/>
          <w:lang w:val="fr-CA"/>
        </w:rPr>
        <w:t>arreau de la Colombie-</w:t>
      </w:r>
      <w:r w:rsidRPr="00D01B97">
        <w:rPr>
          <w:rFonts w:cs="Times New Roman"/>
          <w:szCs w:val="24"/>
          <w:lang w:val="fr-CA"/>
        </w:rPr>
        <w:t xml:space="preserve">Britannique.  Pour les besoins de son cabinet d’avocats, il détenait un compte en fiducie chez </w:t>
      </w:r>
      <w:proofErr w:type="spellStart"/>
      <w:r w:rsidRPr="00D01B97">
        <w:rPr>
          <w:rFonts w:cs="Times New Roman"/>
          <w:szCs w:val="24"/>
          <w:lang w:val="fr-CA"/>
        </w:rPr>
        <w:t>Trustco</w:t>
      </w:r>
      <w:proofErr w:type="spellEnd"/>
      <w:r w:rsidRPr="00D01B97">
        <w:rPr>
          <w:rFonts w:cs="Times New Roman"/>
          <w:szCs w:val="24"/>
          <w:lang w:val="fr-CA"/>
        </w:rPr>
        <w:t>, à la succursale de cette dernière sise sur le boulevard King George à Surrey, en Colombie</w:t>
      </w:r>
      <w:r w:rsidR="00EE7529">
        <w:rPr>
          <w:rFonts w:cs="Times New Roman"/>
          <w:szCs w:val="24"/>
          <w:lang w:val="fr-CA"/>
        </w:rPr>
        <w:t>-</w:t>
      </w:r>
      <w:r w:rsidRPr="00D01B97">
        <w:rPr>
          <w:rFonts w:cs="Times New Roman"/>
          <w:szCs w:val="24"/>
          <w:lang w:val="fr-CA"/>
        </w:rPr>
        <w:t>Britannique.  De plus, M</w:t>
      </w:r>
      <w:r w:rsidRPr="00D01B97">
        <w:rPr>
          <w:rFonts w:cs="Times New Roman"/>
          <w:szCs w:val="24"/>
          <w:vertAlign w:val="superscript"/>
          <w:lang w:val="fr-CA"/>
        </w:rPr>
        <w:t>e </w:t>
      </w:r>
      <w:proofErr w:type="spellStart"/>
      <w:r w:rsidRPr="00D01B97">
        <w:rPr>
          <w:rFonts w:cs="Times New Roman"/>
          <w:szCs w:val="24"/>
          <w:lang w:val="fr-CA"/>
        </w:rPr>
        <w:t>McLeod</w:t>
      </w:r>
      <w:proofErr w:type="spellEnd"/>
      <w:r w:rsidRPr="00D01B97">
        <w:rPr>
          <w:rFonts w:cs="Times New Roman"/>
          <w:szCs w:val="24"/>
          <w:lang w:val="fr-CA"/>
        </w:rPr>
        <w:t xml:space="preserve"> et un autre avocat, M</w:t>
      </w:r>
      <w:r w:rsidRPr="00D01B97">
        <w:rPr>
          <w:rFonts w:cs="Times New Roman"/>
          <w:szCs w:val="24"/>
          <w:vertAlign w:val="superscript"/>
          <w:lang w:val="fr-CA"/>
        </w:rPr>
        <w:t>e </w:t>
      </w:r>
      <w:r w:rsidRPr="00D01B97">
        <w:rPr>
          <w:rFonts w:cs="Times New Roman"/>
          <w:szCs w:val="24"/>
          <w:lang w:val="fr-CA"/>
        </w:rPr>
        <w:t xml:space="preserve">Herbert </w:t>
      </w:r>
      <w:proofErr w:type="spellStart"/>
      <w:r w:rsidRPr="00D01B97">
        <w:rPr>
          <w:rFonts w:cs="Times New Roman"/>
          <w:szCs w:val="24"/>
          <w:lang w:val="fr-CA"/>
        </w:rPr>
        <w:t>Maier</w:t>
      </w:r>
      <w:proofErr w:type="spellEnd"/>
      <w:r w:rsidRPr="00D01B97">
        <w:rPr>
          <w:rFonts w:cs="Times New Roman"/>
          <w:szCs w:val="24"/>
          <w:lang w:val="fr-CA"/>
        </w:rPr>
        <w:t xml:space="preserve">, étaient titulaires d’un compte conjoint à la même succursale.  Chacun de ces comptes était régi par une convention. </w:t>
      </w:r>
    </w:p>
    <w:p w:rsidR="00857221" w:rsidRPr="00D01B97" w:rsidRDefault="00857221" w:rsidP="00857221">
      <w:pPr>
        <w:pStyle w:val="ParaNoNdepar-AltN"/>
        <w:rPr>
          <w:rFonts w:cs="Times New Roman"/>
          <w:szCs w:val="24"/>
          <w:lang w:val="fr-CA"/>
        </w:rPr>
      </w:pPr>
      <w:r w:rsidRPr="00D01B97">
        <w:rPr>
          <w:rFonts w:cs="Times New Roman"/>
          <w:szCs w:val="24"/>
          <w:lang w:val="fr-CA"/>
        </w:rPr>
        <w:t>M</w:t>
      </w:r>
      <w:r w:rsidRPr="00D01B97">
        <w:rPr>
          <w:rFonts w:cs="Times New Roman"/>
          <w:szCs w:val="24"/>
          <w:vertAlign w:val="superscript"/>
          <w:lang w:val="fr-CA"/>
        </w:rPr>
        <w:t>e</w:t>
      </w:r>
      <w:r w:rsidRPr="00D01B97">
        <w:rPr>
          <w:rFonts w:cs="Times New Roman"/>
          <w:szCs w:val="24"/>
          <w:lang w:val="fr-CA"/>
        </w:rPr>
        <w:t xml:space="preserve"> </w:t>
      </w:r>
      <w:proofErr w:type="spellStart"/>
      <w:r w:rsidRPr="00D01B97">
        <w:rPr>
          <w:rFonts w:cs="Times New Roman"/>
          <w:szCs w:val="24"/>
          <w:lang w:val="fr-CA"/>
        </w:rPr>
        <w:t>McLeod</w:t>
      </w:r>
      <w:proofErr w:type="spellEnd"/>
      <w:r w:rsidRPr="00D01B97">
        <w:rPr>
          <w:rFonts w:cs="Times New Roman"/>
          <w:szCs w:val="24"/>
          <w:lang w:val="fr-CA"/>
        </w:rPr>
        <w:t xml:space="preserve"> devait des impôts au gouvernement fédéral.  Le ministre a appris que des chèques payables à M</w:t>
      </w:r>
      <w:r w:rsidRPr="00D01B97">
        <w:rPr>
          <w:rFonts w:cs="Times New Roman"/>
          <w:szCs w:val="24"/>
          <w:vertAlign w:val="superscript"/>
          <w:lang w:val="fr-CA"/>
        </w:rPr>
        <w:t>e</w:t>
      </w:r>
      <w:r w:rsidRPr="00D01B97">
        <w:rPr>
          <w:rFonts w:cs="Times New Roman"/>
          <w:szCs w:val="24"/>
          <w:lang w:val="fr-CA"/>
        </w:rPr>
        <w:t xml:space="preserve"> </w:t>
      </w:r>
      <w:proofErr w:type="spellStart"/>
      <w:r w:rsidRPr="00D01B97">
        <w:rPr>
          <w:rFonts w:cs="Times New Roman"/>
          <w:szCs w:val="24"/>
          <w:lang w:val="fr-CA"/>
        </w:rPr>
        <w:t>McLeod</w:t>
      </w:r>
      <w:proofErr w:type="spellEnd"/>
      <w:r w:rsidRPr="00D01B97">
        <w:rPr>
          <w:rFonts w:cs="Times New Roman"/>
          <w:szCs w:val="24"/>
          <w:lang w:val="fr-CA"/>
        </w:rPr>
        <w:t xml:space="preserve"> étaient tirés sur le compte en fiducie pour être ensuite déposés au compte conjoint.  Le ministre a fait parvenir trois demandes péremptoires de paiement à </w:t>
      </w:r>
      <w:proofErr w:type="spellStart"/>
      <w:r w:rsidRPr="00D01B97">
        <w:rPr>
          <w:rFonts w:cs="Times New Roman"/>
          <w:szCs w:val="24"/>
          <w:lang w:val="fr-CA"/>
        </w:rPr>
        <w:t>Trustco</w:t>
      </w:r>
      <w:proofErr w:type="spellEnd"/>
      <w:r w:rsidRPr="00D01B97">
        <w:rPr>
          <w:rFonts w:cs="Times New Roman"/>
          <w:szCs w:val="24"/>
          <w:lang w:val="fr-CA"/>
        </w:rPr>
        <w:t xml:space="preserve">.  Selon ces demandes, </w:t>
      </w:r>
      <w:proofErr w:type="spellStart"/>
      <w:r w:rsidRPr="00D01B97">
        <w:rPr>
          <w:rFonts w:cs="Times New Roman"/>
          <w:szCs w:val="24"/>
          <w:lang w:val="fr-CA"/>
        </w:rPr>
        <w:t>Trustco</w:t>
      </w:r>
      <w:proofErr w:type="spellEnd"/>
      <w:r w:rsidRPr="00D01B97">
        <w:rPr>
          <w:rFonts w:cs="Times New Roman"/>
          <w:szCs w:val="24"/>
          <w:lang w:val="fr-CA"/>
        </w:rPr>
        <w:t xml:space="preserve"> devait remettre au receveur général les fonds payables à M</w:t>
      </w:r>
      <w:r w:rsidRPr="00D01B97">
        <w:rPr>
          <w:rFonts w:cs="Times New Roman"/>
          <w:szCs w:val="24"/>
          <w:vertAlign w:val="superscript"/>
          <w:lang w:val="fr-CA"/>
        </w:rPr>
        <w:t>e </w:t>
      </w:r>
      <w:proofErr w:type="spellStart"/>
      <w:r w:rsidRPr="00D01B97">
        <w:rPr>
          <w:rFonts w:cs="Times New Roman"/>
          <w:szCs w:val="24"/>
          <w:lang w:val="fr-CA"/>
        </w:rPr>
        <w:t>McLeod</w:t>
      </w:r>
      <w:proofErr w:type="spellEnd"/>
      <w:r w:rsidRPr="00D01B97">
        <w:rPr>
          <w:rFonts w:cs="Times New Roman"/>
          <w:szCs w:val="24"/>
          <w:lang w:val="fr-CA"/>
        </w:rPr>
        <w:t xml:space="preserve">.  En réponse à ces demandes, </w:t>
      </w:r>
      <w:proofErr w:type="spellStart"/>
      <w:r w:rsidRPr="00D01B97">
        <w:rPr>
          <w:rFonts w:cs="Times New Roman"/>
          <w:szCs w:val="24"/>
          <w:lang w:val="fr-CA"/>
        </w:rPr>
        <w:t>Trustco</w:t>
      </w:r>
      <w:proofErr w:type="spellEnd"/>
      <w:r w:rsidRPr="00D01B97">
        <w:rPr>
          <w:rFonts w:cs="Times New Roman"/>
          <w:szCs w:val="24"/>
          <w:lang w:val="fr-CA"/>
        </w:rPr>
        <w:t xml:space="preserve"> a fait valoir qu’elle n’était pas tenue de verser les fonds au receveur général au motif qu’elle </w:t>
      </w:r>
      <w:r w:rsidRPr="00D01B97">
        <w:rPr>
          <w:rFonts w:cs="Times New Roman"/>
          <w:smallCaps/>
          <w:szCs w:val="24"/>
          <w:lang w:val="fr-CA"/>
        </w:rPr>
        <w:t>[traduction] « </w:t>
      </w:r>
      <w:r w:rsidRPr="00D01B97">
        <w:rPr>
          <w:rFonts w:cs="Times New Roman"/>
          <w:szCs w:val="24"/>
          <w:lang w:val="fr-CA"/>
        </w:rPr>
        <w:t>n’était pas débitrice de ce seul [contribuable] ».</w:t>
      </w:r>
    </w:p>
    <w:p w:rsidR="00857221" w:rsidRPr="00D01B97" w:rsidRDefault="00857221" w:rsidP="00857221">
      <w:pPr>
        <w:pStyle w:val="ParaNoNdepar-AltN"/>
        <w:rPr>
          <w:rFonts w:cs="Times New Roman"/>
          <w:szCs w:val="24"/>
          <w:lang w:val="fr-CA"/>
        </w:rPr>
      </w:pPr>
      <w:r w:rsidRPr="00D01B97">
        <w:rPr>
          <w:rFonts w:cs="Times New Roman"/>
          <w:szCs w:val="24"/>
          <w:lang w:val="fr-CA"/>
        </w:rPr>
        <w:t>Chacun des chèques sur lesquels la réclamation est fondée a été émis au cours de la période de validité des demandes péremptoires de paiement, tiré sur le compte en fiducie, libellé à l’ordre de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et remis à </w:t>
      </w:r>
      <w:proofErr w:type="spellStart"/>
      <w:r w:rsidRPr="00D01B97">
        <w:rPr>
          <w:rFonts w:cs="Times New Roman"/>
          <w:szCs w:val="24"/>
          <w:lang w:val="fr-CA"/>
        </w:rPr>
        <w:t>Trustco</w:t>
      </w:r>
      <w:proofErr w:type="spellEnd"/>
      <w:r w:rsidRPr="00D01B97">
        <w:rPr>
          <w:rFonts w:cs="Times New Roman"/>
          <w:szCs w:val="24"/>
          <w:lang w:val="fr-CA"/>
        </w:rPr>
        <w:t xml:space="preserve"> avec instructions de déposer les fonds au compte conjoint.  Ces instructions étaient </w:t>
      </w:r>
      <w:r w:rsidRPr="00D01B97">
        <w:rPr>
          <w:rFonts w:cs="Times New Roman"/>
          <w:szCs w:val="24"/>
          <w:lang w:val="fr-CA"/>
        </w:rPr>
        <w:lastRenderedPageBreak/>
        <w:t>inscrites au verso du chèque, où l’on trouvait la mention « </w:t>
      </w:r>
      <w:proofErr w:type="spellStart"/>
      <w:r w:rsidRPr="00D01B97">
        <w:rPr>
          <w:rFonts w:cs="Times New Roman"/>
          <w:szCs w:val="24"/>
          <w:lang w:val="fr-CA"/>
        </w:rPr>
        <w:t>Dep</w:t>
      </w:r>
      <w:proofErr w:type="spellEnd"/>
      <w:r w:rsidRPr="00D01B97">
        <w:rPr>
          <w:rFonts w:cs="Times New Roman"/>
          <w:szCs w:val="24"/>
          <w:lang w:val="fr-CA"/>
        </w:rPr>
        <w:t xml:space="preserve"> to » (« déposer à ») suivie du numéro du compte.  Bien que la preuve ne révèle pas l’identité de la ou des personnes ayant remis les chèques à </w:t>
      </w:r>
      <w:proofErr w:type="spellStart"/>
      <w:r w:rsidRPr="00D01B97">
        <w:rPr>
          <w:rFonts w:cs="Times New Roman"/>
          <w:szCs w:val="24"/>
          <w:lang w:val="fr-CA"/>
        </w:rPr>
        <w:t>Trustco</w:t>
      </w:r>
      <w:proofErr w:type="spellEnd"/>
      <w:r w:rsidRPr="00D01B97">
        <w:rPr>
          <w:rFonts w:cs="Times New Roman"/>
          <w:szCs w:val="24"/>
          <w:lang w:val="fr-CA"/>
        </w:rPr>
        <w:t xml:space="preserve"> avec instructions de les déposer, les questions de savoir si la ou les personnes en question étaient habilitées à le faire et si </w:t>
      </w:r>
      <w:proofErr w:type="spellStart"/>
      <w:r w:rsidRPr="00D01B97">
        <w:rPr>
          <w:rFonts w:cs="Times New Roman"/>
          <w:szCs w:val="24"/>
          <w:lang w:val="fr-CA"/>
        </w:rPr>
        <w:t>Trustco</w:t>
      </w:r>
      <w:proofErr w:type="spellEnd"/>
      <w:r w:rsidRPr="00D01B97">
        <w:rPr>
          <w:rFonts w:cs="Times New Roman"/>
          <w:szCs w:val="24"/>
          <w:lang w:val="fr-CA"/>
        </w:rPr>
        <w:t xml:space="preserve"> pouvait légitimement recevoir les chèques en vue de leur dépôt ne sont pas contestées.  </w:t>
      </w:r>
      <w:proofErr w:type="spellStart"/>
      <w:r w:rsidRPr="00D01B97">
        <w:rPr>
          <w:rFonts w:cs="Times New Roman"/>
          <w:szCs w:val="24"/>
          <w:lang w:val="fr-CA"/>
        </w:rPr>
        <w:t>Trustco</w:t>
      </w:r>
      <w:proofErr w:type="spellEnd"/>
      <w:r w:rsidRPr="00D01B97">
        <w:rPr>
          <w:rFonts w:cs="Times New Roman"/>
          <w:szCs w:val="24"/>
          <w:lang w:val="fr-CA"/>
        </w:rPr>
        <w:t xml:space="preserve"> a porté les chèques au crédit du compte conjoint, les a transmis à un tiers pour fins d’encaissement, de traitement et de règlement — le timbre de ce tiers figure d’ailleurs au verso du chèque produit à titre d’exemple — et, le lendemain, a débité le compte en fiducie du montant de ces derniers.</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Le ministre a établi une cotisation à l’égard de </w:t>
      </w:r>
      <w:proofErr w:type="spellStart"/>
      <w:r w:rsidRPr="00D01B97">
        <w:rPr>
          <w:rFonts w:cs="Times New Roman"/>
          <w:szCs w:val="24"/>
          <w:lang w:val="fr-CA"/>
        </w:rPr>
        <w:t>Trustco</w:t>
      </w:r>
      <w:proofErr w:type="spellEnd"/>
      <w:r>
        <w:rPr>
          <w:rFonts w:cs="Times New Roman"/>
          <w:szCs w:val="24"/>
          <w:lang w:val="fr-CA"/>
        </w:rPr>
        <w:t xml:space="preserve"> </w:t>
      </w:r>
      <w:r w:rsidRPr="00D01B97">
        <w:rPr>
          <w:rFonts w:cs="Times New Roman"/>
          <w:szCs w:val="24"/>
          <w:lang w:val="fr-CA"/>
        </w:rPr>
        <w:t xml:space="preserve">enjoignant à </w:t>
      </w:r>
      <w:proofErr w:type="spellStart"/>
      <w:r w:rsidRPr="00D01B97">
        <w:rPr>
          <w:rFonts w:cs="Times New Roman"/>
          <w:szCs w:val="24"/>
          <w:lang w:val="fr-CA"/>
        </w:rPr>
        <w:t>celle</w:t>
      </w:r>
      <w:r w:rsidRPr="00D01B97">
        <w:rPr>
          <w:rFonts w:cs="Times New Roman"/>
          <w:szCs w:val="24"/>
          <w:lang w:val="fr-CA"/>
        </w:rPr>
        <w:noBreakHyphen/>
        <w:t>ci</w:t>
      </w:r>
      <w:proofErr w:type="spellEnd"/>
      <w:r w:rsidRPr="00D01B97">
        <w:rPr>
          <w:rFonts w:cs="Times New Roman"/>
          <w:szCs w:val="24"/>
          <w:lang w:val="fr-CA"/>
        </w:rPr>
        <w:t xml:space="preserve"> de lui remettre un montant égal au produit des chèques au motif qu’elle avait omis d’obtempérer aux trois demandes péremptoires de paiement.  </w:t>
      </w:r>
      <w:proofErr w:type="spellStart"/>
      <w:r w:rsidRPr="00D01B97">
        <w:rPr>
          <w:rFonts w:cs="Times New Roman"/>
          <w:szCs w:val="24"/>
          <w:lang w:val="fr-CA"/>
        </w:rPr>
        <w:t>Trustco</w:t>
      </w:r>
      <w:proofErr w:type="spellEnd"/>
      <w:r w:rsidRPr="00D01B97">
        <w:rPr>
          <w:rFonts w:cs="Times New Roman"/>
          <w:szCs w:val="24"/>
          <w:lang w:val="fr-CA"/>
        </w:rPr>
        <w:t xml:space="preserve"> a déposé des avis d’opposi</w:t>
      </w:r>
      <w:r w:rsidR="00EE7529">
        <w:rPr>
          <w:rFonts w:cs="Times New Roman"/>
          <w:szCs w:val="24"/>
          <w:lang w:val="fr-CA"/>
        </w:rPr>
        <w:t>tion et, après le rejet de ceux-</w:t>
      </w:r>
      <w:r w:rsidRPr="00D01B97">
        <w:rPr>
          <w:rFonts w:cs="Times New Roman"/>
          <w:szCs w:val="24"/>
          <w:lang w:val="fr-CA"/>
        </w:rPr>
        <w:t xml:space="preserve">ci, interjeté appel à la Cour canadienne de l’impôt. </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J’ouvre ici une parenthèse pour souligner les divers rôles joués par les parties au présent pourvoi, rôles qu’il ne faut pas confondre.  D’abord, le rapport qui existe entre une banque et son client est fondé sur un contrat dont certaines modalités sont implicites et d’autres, expresses.  Je reviendrai sur cette question plus loin.  Dans le cas où un chèque est utilisé, les droits et obligations des parties sont également régis par la </w:t>
      </w:r>
      <w:r w:rsidRPr="00D01B97">
        <w:rPr>
          <w:rFonts w:cs="Times New Roman"/>
          <w:i/>
          <w:szCs w:val="24"/>
          <w:lang w:val="fr-CA"/>
        </w:rPr>
        <w:t>LLC</w:t>
      </w:r>
      <w:r w:rsidRPr="00D01B97">
        <w:rPr>
          <w:rFonts w:cs="Times New Roman"/>
          <w:szCs w:val="24"/>
          <w:lang w:val="fr-CA"/>
        </w:rPr>
        <w:t xml:space="preserve">.  Dans la plupart des opérations où des chèques sont utilisés, la banque n’agit qu’à un seul titre : elle est la banque tirée, la banque négociatrice ou </w:t>
      </w:r>
      <w:r w:rsidRPr="00D01B97">
        <w:rPr>
          <w:rFonts w:cs="Times New Roman"/>
          <w:szCs w:val="24"/>
          <w:lang w:val="fr-CA"/>
        </w:rPr>
        <w:lastRenderedPageBreak/>
        <w:t xml:space="preserve">encore la banque d’encaissement; le client de la banque, lui, est soit le tireur, soit le détenteur du chèque.  Dans le cas qui nous occupe, </w:t>
      </w:r>
      <w:proofErr w:type="spellStart"/>
      <w:r w:rsidRPr="00D01B97">
        <w:rPr>
          <w:rFonts w:cs="Times New Roman"/>
          <w:szCs w:val="24"/>
          <w:lang w:val="fr-CA"/>
        </w:rPr>
        <w:t>Trustco</w:t>
      </w:r>
      <w:proofErr w:type="spellEnd"/>
      <w:r w:rsidRPr="00D01B97">
        <w:rPr>
          <w:rFonts w:cs="Times New Roman"/>
          <w:szCs w:val="24"/>
          <w:lang w:val="fr-CA"/>
        </w:rPr>
        <w:t xml:space="preserve"> agissait parfois à titre de banque d’encaissement, et parfois à titre de banque tirée.  M</w:t>
      </w:r>
      <w:r w:rsidRPr="00D01B97">
        <w:rPr>
          <w:rFonts w:cs="Times New Roman"/>
          <w:szCs w:val="24"/>
          <w:vertAlign w:val="superscript"/>
          <w:lang w:val="fr-CA"/>
        </w:rPr>
        <w:t>e </w:t>
      </w:r>
      <w:proofErr w:type="spellStart"/>
      <w:r w:rsidRPr="00D01B97">
        <w:rPr>
          <w:rFonts w:cs="Times New Roman"/>
          <w:szCs w:val="24"/>
          <w:lang w:val="fr-CA"/>
        </w:rPr>
        <w:t>McLeod</w:t>
      </w:r>
      <w:proofErr w:type="spellEnd"/>
      <w:r w:rsidRPr="00D01B97">
        <w:rPr>
          <w:rFonts w:cs="Times New Roman"/>
          <w:szCs w:val="24"/>
          <w:lang w:val="fr-CA"/>
        </w:rPr>
        <w:t>, pour sa part, agissait tantôt comme tireur (en sa qualité de titulaire du compte en fiducie), tantôt comme preneur des chèques (qui étaient faits à son nom), et tantôt comme l’un des deux titulaires du compte conjoint.</w:t>
      </w:r>
    </w:p>
    <w:p w:rsidR="00857221" w:rsidRPr="00D01B97" w:rsidRDefault="00857221" w:rsidP="00857221">
      <w:pPr>
        <w:pStyle w:val="ParaNoNdepar-AltN"/>
        <w:rPr>
          <w:rFonts w:cs="Times New Roman"/>
          <w:szCs w:val="24"/>
          <w:lang w:val="fr-CA"/>
        </w:rPr>
      </w:pPr>
      <w:r w:rsidRPr="00D01B97">
        <w:rPr>
          <w:rFonts w:cs="Times New Roman"/>
          <w:szCs w:val="24"/>
          <w:lang w:val="fr-CA"/>
        </w:rPr>
        <w:t>Il importe par ailleurs de signaler qu’au procès l’intimée, Sa Majesté la Reine (ci</w:t>
      </w:r>
      <w:r w:rsidR="00EE7529">
        <w:rPr>
          <w:rFonts w:cs="Times New Roman"/>
          <w:szCs w:val="24"/>
          <w:lang w:val="fr-CA"/>
        </w:rPr>
        <w:t>-</w:t>
      </w:r>
      <w:r w:rsidRPr="00D01B97">
        <w:rPr>
          <w:rFonts w:cs="Times New Roman"/>
          <w:szCs w:val="24"/>
          <w:lang w:val="fr-CA"/>
        </w:rPr>
        <w:t>après « Canada »), a fait deux concessions importantes (2008 CC</w:t>
      </w:r>
      <w:r w:rsidR="004B6055">
        <w:rPr>
          <w:rFonts w:cs="Times New Roman"/>
          <w:szCs w:val="24"/>
          <w:lang w:val="fr-CA"/>
        </w:rPr>
        <w:t xml:space="preserve">I 482 </w:t>
      </w:r>
      <w:r w:rsidR="00EA16A4">
        <w:rPr>
          <w:rFonts w:cs="Times New Roman"/>
          <w:szCs w:val="24"/>
          <w:lang w:val="fr-CA"/>
        </w:rPr>
        <w:t>(</w:t>
      </w:r>
      <w:proofErr w:type="spellStart"/>
      <w:r w:rsidR="00EA16A4">
        <w:rPr>
          <w:rFonts w:cs="Times New Roman"/>
          <w:szCs w:val="24"/>
          <w:lang w:val="fr-CA"/>
        </w:rPr>
        <w:t>CanLII</w:t>
      </w:r>
      <w:proofErr w:type="spellEnd"/>
      <w:r w:rsidR="00EA16A4">
        <w:rPr>
          <w:rFonts w:cs="Times New Roman"/>
          <w:szCs w:val="24"/>
          <w:lang w:val="fr-CA"/>
        </w:rPr>
        <w:t>)</w:t>
      </w:r>
      <w:r w:rsidR="004B6055">
        <w:rPr>
          <w:rFonts w:cs="Times New Roman"/>
          <w:szCs w:val="24"/>
          <w:lang w:val="fr-CA"/>
        </w:rPr>
        <w:t xml:space="preserve">, </w:t>
      </w:r>
      <w:r w:rsidRPr="00D01B97">
        <w:rPr>
          <w:rFonts w:cs="Times New Roman"/>
          <w:szCs w:val="24"/>
          <w:lang w:val="fr-CA"/>
        </w:rPr>
        <w:t xml:space="preserve">par. 11) : </w:t>
      </w:r>
    </w:p>
    <w:p w:rsidR="00857221" w:rsidRPr="00D01B97" w:rsidRDefault="00857221" w:rsidP="00EE7529">
      <w:pPr>
        <w:pStyle w:val="Citation-AltC"/>
        <w:tabs>
          <w:tab w:val="left" w:pos="1170"/>
        </w:tabs>
        <w:spacing w:after="480" w:line="480" w:lineRule="auto"/>
        <w:ind w:hanging="1166"/>
        <w:contextualSpacing w:val="0"/>
        <w:rPr>
          <w:szCs w:val="24"/>
          <w:lang w:val="fr-CA"/>
        </w:rPr>
      </w:pPr>
      <w:r w:rsidRPr="00D01B97">
        <w:rPr>
          <w:szCs w:val="24"/>
          <w:lang w:val="fr-CA"/>
        </w:rPr>
        <w:t>a)</w:t>
      </w:r>
      <w:r w:rsidRPr="00D01B97">
        <w:rPr>
          <w:szCs w:val="24"/>
          <w:lang w:val="fr-CA"/>
        </w:rPr>
        <w:tab/>
        <w:t xml:space="preserve">les demandes </w:t>
      </w:r>
      <w:r w:rsidRPr="00C97271">
        <w:rPr>
          <w:lang w:val="fr-CA"/>
        </w:rPr>
        <w:t>péremptoires</w:t>
      </w:r>
      <w:r w:rsidRPr="00D01B97">
        <w:rPr>
          <w:szCs w:val="24"/>
          <w:lang w:val="fr-CA"/>
        </w:rPr>
        <w:t xml:space="preserve"> de paiement ne visaient pas les fonds déposés dans le compte en fiducie et </w:t>
      </w:r>
      <w:proofErr w:type="spellStart"/>
      <w:r w:rsidRPr="00D01B97">
        <w:rPr>
          <w:szCs w:val="24"/>
          <w:lang w:val="fr-CA"/>
        </w:rPr>
        <w:t>Trustco</w:t>
      </w:r>
      <w:proofErr w:type="spellEnd"/>
      <w:r w:rsidRPr="00D01B97">
        <w:rPr>
          <w:szCs w:val="24"/>
          <w:lang w:val="fr-CA"/>
        </w:rPr>
        <w:t xml:space="preserve"> n’avait donc aucune obligation de remettre ces fonds;</w:t>
      </w:r>
    </w:p>
    <w:p w:rsidR="00857221" w:rsidRPr="00D01B97" w:rsidRDefault="00857221" w:rsidP="00EE7529">
      <w:pPr>
        <w:pStyle w:val="Citation-AltC"/>
        <w:tabs>
          <w:tab w:val="left" w:pos="1170"/>
        </w:tabs>
        <w:spacing w:after="480" w:line="480" w:lineRule="auto"/>
        <w:ind w:hanging="1166"/>
        <w:contextualSpacing w:val="0"/>
        <w:rPr>
          <w:szCs w:val="24"/>
          <w:lang w:val="fr-CA"/>
        </w:rPr>
      </w:pPr>
      <w:r w:rsidRPr="00D01B97">
        <w:rPr>
          <w:szCs w:val="24"/>
          <w:lang w:val="fr-CA"/>
        </w:rPr>
        <w:t>b)</w:t>
      </w:r>
      <w:r w:rsidRPr="00D01B97">
        <w:rPr>
          <w:szCs w:val="24"/>
          <w:lang w:val="fr-CA"/>
        </w:rPr>
        <w:tab/>
        <w:t xml:space="preserve">les demandes </w:t>
      </w:r>
      <w:r w:rsidRPr="00C97271">
        <w:rPr>
          <w:lang w:val="fr-CA"/>
        </w:rPr>
        <w:t>péremptoires</w:t>
      </w:r>
      <w:r w:rsidRPr="00D01B97">
        <w:rPr>
          <w:szCs w:val="24"/>
          <w:lang w:val="fr-CA"/>
        </w:rPr>
        <w:t xml:space="preserve"> de paiement ne visaient pas les fonds déposés dans le compte conjoint et </w:t>
      </w:r>
      <w:proofErr w:type="spellStart"/>
      <w:r w:rsidRPr="00D01B97">
        <w:rPr>
          <w:szCs w:val="24"/>
          <w:lang w:val="fr-CA"/>
        </w:rPr>
        <w:t>Trustco</w:t>
      </w:r>
      <w:proofErr w:type="spellEnd"/>
      <w:r w:rsidRPr="00D01B97">
        <w:rPr>
          <w:szCs w:val="24"/>
          <w:lang w:val="fr-CA"/>
        </w:rPr>
        <w:t xml:space="preserve"> n’avait donc aucune obligation de remettre ces fonds.</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La thèse de Canada ne reposant pas sur le fait que des fonds étaient détenus dans le compte en fiducie ou dans le compte conjoint, la question qui se pose est donc de savoir si </w:t>
      </w:r>
      <w:proofErr w:type="spellStart"/>
      <w:r w:rsidRPr="00D01B97">
        <w:rPr>
          <w:rFonts w:cs="Times New Roman"/>
          <w:szCs w:val="24"/>
          <w:lang w:val="fr-CA"/>
        </w:rPr>
        <w:t>Trustco</w:t>
      </w:r>
      <w:proofErr w:type="spellEnd"/>
      <w:r w:rsidRPr="00D01B97">
        <w:rPr>
          <w:rFonts w:cs="Times New Roman"/>
          <w:szCs w:val="24"/>
          <w:lang w:val="fr-CA"/>
        </w:rPr>
        <w:t xml:space="preserve"> était tenue de faire des paiements au débiteur fiscal, M</w:t>
      </w:r>
      <w:r w:rsidRPr="00D01B97">
        <w:rPr>
          <w:rFonts w:cs="Times New Roman"/>
          <w:szCs w:val="24"/>
          <w:vertAlign w:val="superscript"/>
          <w:lang w:val="fr-CA"/>
        </w:rPr>
        <w:t>e</w:t>
      </w:r>
      <w:r w:rsidR="00EE7529">
        <w:rPr>
          <w:rFonts w:cs="Times New Roman"/>
          <w:szCs w:val="24"/>
          <w:lang w:val="fr-CA"/>
        </w:rPr>
        <w:t> </w:t>
      </w:r>
      <w:proofErr w:type="spellStart"/>
      <w:r w:rsidR="00EE7529">
        <w:rPr>
          <w:rFonts w:cs="Times New Roman"/>
          <w:szCs w:val="24"/>
          <w:lang w:val="fr-CA"/>
        </w:rPr>
        <w:t>McLeod</w:t>
      </w:r>
      <w:proofErr w:type="spellEnd"/>
      <w:r w:rsidR="00EE7529">
        <w:rPr>
          <w:rFonts w:cs="Times New Roman"/>
          <w:szCs w:val="24"/>
          <w:lang w:val="fr-CA"/>
        </w:rPr>
        <w:t>, parce que celui-</w:t>
      </w:r>
      <w:r w:rsidRPr="00D01B97">
        <w:rPr>
          <w:rFonts w:cs="Times New Roman"/>
          <w:szCs w:val="24"/>
          <w:lang w:val="fr-CA"/>
        </w:rPr>
        <w:t xml:space="preserve">ci était désigné comme preneur des chèques.  Pour </w:t>
      </w:r>
      <w:r w:rsidRPr="00D01B97">
        <w:rPr>
          <w:rFonts w:cs="Times New Roman"/>
          <w:szCs w:val="24"/>
          <w:lang w:val="fr-CA"/>
        </w:rPr>
        <w:lastRenderedPageBreak/>
        <w:t xml:space="preserve">trancher cette question, il faut examiner les obligations qui incombaient à </w:t>
      </w:r>
      <w:proofErr w:type="spellStart"/>
      <w:r w:rsidRPr="00D01B97">
        <w:rPr>
          <w:rFonts w:cs="Times New Roman"/>
          <w:szCs w:val="24"/>
          <w:lang w:val="fr-CA"/>
        </w:rPr>
        <w:t>Trustco</w:t>
      </w:r>
      <w:proofErr w:type="spellEnd"/>
      <w:r w:rsidRPr="00D01B97">
        <w:rPr>
          <w:rFonts w:cs="Times New Roman"/>
          <w:szCs w:val="24"/>
          <w:lang w:val="fr-CA"/>
        </w:rPr>
        <w:t xml:space="preserve"> dans le cadre des deux rôles qu’elle joua</w:t>
      </w:r>
      <w:r w:rsidR="00EE7529">
        <w:rPr>
          <w:rFonts w:cs="Times New Roman"/>
          <w:szCs w:val="24"/>
          <w:lang w:val="fr-CA"/>
        </w:rPr>
        <w:t>it, comme il a été mentionné ci-</w:t>
      </w:r>
      <w:r w:rsidRPr="00D01B97">
        <w:rPr>
          <w:rFonts w:cs="Times New Roman"/>
          <w:szCs w:val="24"/>
          <w:lang w:val="fr-CA"/>
        </w:rPr>
        <w:t xml:space="preserve">dessus, à savoir </w:t>
      </w:r>
      <w:r>
        <w:rPr>
          <w:rFonts w:cs="Times New Roman"/>
          <w:szCs w:val="24"/>
          <w:lang w:val="fr-CA"/>
        </w:rPr>
        <w:t xml:space="preserve"> (1) </w:t>
      </w:r>
      <w:r w:rsidRPr="00D01B97">
        <w:rPr>
          <w:rFonts w:cs="Times New Roman"/>
          <w:szCs w:val="24"/>
          <w:lang w:val="fr-CA"/>
        </w:rPr>
        <w:t>celui de banque d’encaissement et (2)</w:t>
      </w:r>
      <w:r>
        <w:rPr>
          <w:rFonts w:cs="Times New Roman"/>
          <w:szCs w:val="24"/>
          <w:lang w:val="fr-CA"/>
        </w:rPr>
        <w:t> </w:t>
      </w:r>
      <w:r w:rsidRPr="00D01B97">
        <w:rPr>
          <w:rFonts w:cs="Times New Roman"/>
          <w:szCs w:val="24"/>
          <w:lang w:val="fr-CA"/>
        </w:rPr>
        <w:t xml:space="preserve">celui de banque tirée. </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Le juge </w:t>
      </w:r>
      <w:proofErr w:type="spellStart"/>
      <w:r w:rsidRPr="00D01B97">
        <w:rPr>
          <w:rFonts w:cs="Times New Roman"/>
          <w:szCs w:val="24"/>
          <w:lang w:val="fr-CA"/>
        </w:rPr>
        <w:t>Little</w:t>
      </w:r>
      <w:proofErr w:type="spellEnd"/>
      <w:r w:rsidRPr="00D01B97">
        <w:rPr>
          <w:rFonts w:cs="Times New Roman"/>
          <w:szCs w:val="24"/>
          <w:lang w:val="fr-CA"/>
        </w:rPr>
        <w:t xml:space="preserve"> a rejeté l’appel interjeté par </w:t>
      </w:r>
      <w:proofErr w:type="spellStart"/>
      <w:r w:rsidRPr="00D01B97">
        <w:rPr>
          <w:rFonts w:cs="Times New Roman"/>
          <w:szCs w:val="24"/>
          <w:lang w:val="fr-CA"/>
        </w:rPr>
        <w:t>Trustco</w:t>
      </w:r>
      <w:proofErr w:type="spellEnd"/>
      <w:r w:rsidRPr="00D01B97">
        <w:rPr>
          <w:rFonts w:cs="Times New Roman"/>
          <w:szCs w:val="24"/>
          <w:lang w:val="fr-CA"/>
        </w:rPr>
        <w:t xml:space="preserve">.  Il a appliqué le critère énoncé dans l’arrêt </w:t>
      </w:r>
      <w:r w:rsidR="00E46B77">
        <w:rPr>
          <w:rFonts w:cs="Times New Roman"/>
          <w:i/>
          <w:szCs w:val="24"/>
          <w:lang w:val="fr-CA"/>
        </w:rPr>
        <w:t>Canada c. National Trust Co.</w:t>
      </w:r>
      <w:r w:rsidR="00E46B77">
        <w:rPr>
          <w:rFonts w:cs="Times New Roman"/>
          <w:szCs w:val="24"/>
          <w:lang w:val="fr-CA"/>
        </w:rPr>
        <w:t xml:space="preserve">, 1998 </w:t>
      </w:r>
      <w:proofErr w:type="spellStart"/>
      <w:r w:rsidR="00E46B77">
        <w:rPr>
          <w:rFonts w:cs="Times New Roman"/>
          <w:szCs w:val="24"/>
          <w:lang w:val="fr-CA"/>
        </w:rPr>
        <w:t>CanLII</w:t>
      </w:r>
      <w:proofErr w:type="spellEnd"/>
      <w:r w:rsidR="00E46B77">
        <w:rPr>
          <w:rFonts w:cs="Times New Roman"/>
          <w:szCs w:val="24"/>
          <w:lang w:val="fr-CA"/>
        </w:rPr>
        <w:t xml:space="preserve"> 8214</w:t>
      </w:r>
      <w:r w:rsidRPr="00D01B97">
        <w:rPr>
          <w:rFonts w:cs="Times New Roman"/>
          <w:szCs w:val="24"/>
          <w:lang w:val="fr-CA"/>
        </w:rPr>
        <w:t xml:space="preserve"> (C.A.F.) pour décider si le par. 224(1) de la</w:t>
      </w:r>
      <w:r w:rsidRPr="00D01B97">
        <w:rPr>
          <w:rFonts w:cs="Times New Roman"/>
          <w:i/>
          <w:szCs w:val="24"/>
          <w:lang w:val="fr-CA"/>
        </w:rPr>
        <w:t xml:space="preserve"> LIR</w:t>
      </w:r>
      <w:r w:rsidRPr="00D01B97">
        <w:rPr>
          <w:rFonts w:cs="Times New Roman"/>
          <w:szCs w:val="24"/>
          <w:lang w:val="fr-CA"/>
        </w:rPr>
        <w:t xml:space="preserve"> était entré en jeu.  Il s’est demandé si </w:t>
      </w:r>
      <w:proofErr w:type="spellStart"/>
      <w:r w:rsidRPr="00D01B97">
        <w:rPr>
          <w:rFonts w:cs="Times New Roman"/>
          <w:szCs w:val="24"/>
          <w:lang w:val="fr-CA"/>
        </w:rPr>
        <w:t>Trustco</w:t>
      </w:r>
      <w:proofErr w:type="spellEnd"/>
      <w:r w:rsidRPr="00D01B97">
        <w:rPr>
          <w:rFonts w:cs="Times New Roman"/>
          <w:szCs w:val="24"/>
          <w:lang w:val="fr-CA"/>
        </w:rPr>
        <w:t xml:space="preserve"> était « tenue » de faire un paiement et si les fonds étaient « payables » à un débiteur fiscal dans l’année.  Le fait que « l’analyse devrait s’arrêter avant même qu’il ne soit question du fait que ce sont des chèques qui ont été présentés à la banque » constitue un élément crucial de ses motifs (par. 20).  Il a expliqué qu’il y avait lieu de se concentrer sur le « </w:t>
      </w:r>
      <w:r w:rsidRPr="00D01B97">
        <w:rPr>
          <w:rFonts w:cs="Times New Roman"/>
          <w:szCs w:val="24"/>
          <w:u w:val="single"/>
          <w:lang w:val="fr-CA"/>
        </w:rPr>
        <w:t>remboursement</w:t>
      </w:r>
      <w:r w:rsidRPr="00F87C67">
        <w:rPr>
          <w:rFonts w:cs="Times New Roman"/>
          <w:szCs w:val="24"/>
          <w:lang w:val="fr-CA"/>
        </w:rPr>
        <w:t> </w:t>
      </w:r>
      <w:r w:rsidRPr="00D01B97">
        <w:rPr>
          <w:rFonts w:cs="Times New Roman"/>
          <w:szCs w:val="24"/>
          <w:lang w:val="fr-CA"/>
        </w:rPr>
        <w:t xml:space="preserve">» des fonds déposés au compte en fiducie (par. 12 </w:t>
      </w:r>
      <w:r w:rsidR="00CC4700">
        <w:rPr>
          <w:rFonts w:cs="Times New Roman"/>
          <w:szCs w:val="24"/>
          <w:lang w:val="fr-CA"/>
        </w:rPr>
        <w:t>(</w:t>
      </w:r>
      <w:r w:rsidRPr="00D01B97">
        <w:rPr>
          <w:rFonts w:cs="Times New Roman"/>
          <w:szCs w:val="24"/>
          <w:lang w:val="fr-CA"/>
        </w:rPr>
        <w:t>souligné dans l’original</w:t>
      </w:r>
      <w:r w:rsidR="00CC4700">
        <w:rPr>
          <w:rFonts w:cs="Times New Roman"/>
          <w:szCs w:val="24"/>
          <w:lang w:val="fr-CA"/>
        </w:rPr>
        <w:t>)</w:t>
      </w:r>
      <w:r w:rsidRPr="00D01B97">
        <w:rPr>
          <w:rFonts w:cs="Times New Roman"/>
          <w:szCs w:val="24"/>
          <w:lang w:val="fr-CA"/>
        </w:rPr>
        <w:t xml:space="preserve">). </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Le juge </w:t>
      </w:r>
      <w:proofErr w:type="spellStart"/>
      <w:r w:rsidRPr="00D01B97">
        <w:rPr>
          <w:rFonts w:cs="Times New Roman"/>
          <w:szCs w:val="24"/>
          <w:lang w:val="fr-CA"/>
        </w:rPr>
        <w:t>Little</w:t>
      </w:r>
      <w:proofErr w:type="spellEnd"/>
      <w:r w:rsidRPr="00D01B97">
        <w:rPr>
          <w:rFonts w:cs="Times New Roman"/>
          <w:szCs w:val="24"/>
          <w:lang w:val="fr-CA"/>
        </w:rPr>
        <w:t xml:space="preserve"> a estimé que le produit des chèques était « payable » à M</w:t>
      </w:r>
      <w:r w:rsidRPr="00D01B97">
        <w:rPr>
          <w:rFonts w:cs="Times New Roman"/>
          <w:szCs w:val="24"/>
          <w:vertAlign w:val="superscript"/>
          <w:lang w:val="fr-CA"/>
        </w:rPr>
        <w:t>e </w:t>
      </w:r>
      <w:proofErr w:type="spellStart"/>
      <w:r w:rsidRPr="00D01B97">
        <w:rPr>
          <w:rFonts w:cs="Times New Roman"/>
          <w:szCs w:val="24"/>
          <w:lang w:val="fr-CA"/>
        </w:rPr>
        <w:t>McLeod</w:t>
      </w:r>
      <w:proofErr w:type="spellEnd"/>
      <w:r w:rsidRPr="00D01B97">
        <w:rPr>
          <w:rFonts w:cs="Times New Roman"/>
          <w:szCs w:val="24"/>
          <w:lang w:val="fr-CA"/>
        </w:rPr>
        <w:t xml:space="preserve"> parce que la relation créancier</w:t>
      </w:r>
      <w:r w:rsidR="00EE7529">
        <w:rPr>
          <w:rFonts w:cs="Times New Roman"/>
          <w:szCs w:val="24"/>
          <w:lang w:val="fr-CA"/>
        </w:rPr>
        <w:t>-</w:t>
      </w:r>
      <w:r w:rsidRPr="00D01B97">
        <w:rPr>
          <w:rFonts w:cs="Times New Roman"/>
          <w:szCs w:val="24"/>
          <w:lang w:val="fr-CA"/>
        </w:rPr>
        <w:t>débiteur qui existait entre</w:t>
      </w:r>
      <w:r w:rsidR="00EE7529">
        <w:rPr>
          <w:rFonts w:cs="Times New Roman"/>
          <w:szCs w:val="24"/>
          <w:lang w:val="fr-CA"/>
        </w:rPr>
        <w:t xml:space="preserve"> lui et </w:t>
      </w:r>
      <w:proofErr w:type="spellStart"/>
      <w:r w:rsidR="00EE7529">
        <w:rPr>
          <w:rFonts w:cs="Times New Roman"/>
          <w:szCs w:val="24"/>
          <w:lang w:val="fr-CA"/>
        </w:rPr>
        <w:t>Trustco</w:t>
      </w:r>
      <w:proofErr w:type="spellEnd"/>
      <w:r w:rsidR="00EE7529">
        <w:rPr>
          <w:rFonts w:cs="Times New Roman"/>
          <w:szCs w:val="24"/>
          <w:lang w:val="fr-CA"/>
        </w:rPr>
        <w:t xml:space="preserve"> obligeait celle-</w:t>
      </w:r>
      <w:r w:rsidRPr="00D01B97">
        <w:rPr>
          <w:rFonts w:cs="Times New Roman"/>
          <w:szCs w:val="24"/>
          <w:lang w:val="fr-CA"/>
        </w:rPr>
        <w:t xml:space="preserve">ci à remettre au titulaire du compte en fiducie, sur demande, les fonds qui y étaient déposés (par. 22).  À son avis, l’obligation de </w:t>
      </w:r>
      <w:proofErr w:type="spellStart"/>
      <w:r w:rsidRPr="00D01B97">
        <w:rPr>
          <w:rFonts w:cs="Times New Roman"/>
          <w:szCs w:val="24"/>
          <w:lang w:val="fr-CA"/>
        </w:rPr>
        <w:t>Trustco</w:t>
      </w:r>
      <w:proofErr w:type="spellEnd"/>
      <w:r w:rsidRPr="00D01B97">
        <w:rPr>
          <w:rFonts w:cs="Times New Roman"/>
          <w:szCs w:val="24"/>
          <w:lang w:val="fr-CA"/>
        </w:rPr>
        <w:t xml:space="preserve"> a pris naissance lorsque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a « présenté les chèques à la banque » (par. 28).  Le juge </w:t>
      </w:r>
      <w:proofErr w:type="spellStart"/>
      <w:r w:rsidRPr="00D01B97">
        <w:rPr>
          <w:rFonts w:cs="Times New Roman"/>
          <w:szCs w:val="24"/>
          <w:lang w:val="fr-CA"/>
        </w:rPr>
        <w:t>Little</w:t>
      </w:r>
      <w:proofErr w:type="spellEnd"/>
      <w:r w:rsidRPr="00D01B97">
        <w:rPr>
          <w:rFonts w:cs="Times New Roman"/>
          <w:szCs w:val="24"/>
          <w:lang w:val="fr-CA"/>
        </w:rPr>
        <w:t xml:space="preserve"> en a conclu qu’il n’était pas nécessaire de s’intéresser au fait que les fonds avaient effectivement été transférés du compte en fiducie au compte conjoint (par. 30).</w:t>
      </w:r>
    </w:p>
    <w:p w:rsidR="00857221" w:rsidRPr="00D01B97" w:rsidRDefault="00857221" w:rsidP="00857221">
      <w:pPr>
        <w:pStyle w:val="ParaNoNdepar-AltN"/>
        <w:rPr>
          <w:rFonts w:cs="Times New Roman"/>
          <w:szCs w:val="24"/>
          <w:lang w:val="fr-CA"/>
        </w:rPr>
      </w:pPr>
      <w:r w:rsidRPr="00D01B97">
        <w:rPr>
          <w:rFonts w:cs="Times New Roman"/>
          <w:szCs w:val="24"/>
          <w:lang w:val="fr-CA"/>
        </w:rPr>
        <w:lastRenderedPageBreak/>
        <w:t>En outre, tout en reconnaissant que « [l’émission] d’un chèque ne constitue pas en soi un retrait », le juge </w:t>
      </w:r>
      <w:proofErr w:type="spellStart"/>
      <w:r w:rsidRPr="00D01B97">
        <w:rPr>
          <w:rFonts w:cs="Times New Roman"/>
          <w:szCs w:val="24"/>
          <w:lang w:val="fr-CA"/>
        </w:rPr>
        <w:t>Little</w:t>
      </w:r>
      <w:proofErr w:type="spellEnd"/>
      <w:r w:rsidRPr="00D01B97">
        <w:rPr>
          <w:rFonts w:cs="Times New Roman"/>
          <w:szCs w:val="24"/>
          <w:lang w:val="fr-CA"/>
        </w:rPr>
        <w:t xml:space="preserve"> a estimé que « [d]ès que le chèque est présenté à la banque, la situation change »</w:t>
      </w:r>
      <w:r w:rsidR="00CC4700">
        <w:rPr>
          <w:rFonts w:cs="Times New Roman"/>
          <w:szCs w:val="24"/>
          <w:lang w:val="fr-CA"/>
        </w:rPr>
        <w:t xml:space="preserve"> (par. 31)</w:t>
      </w:r>
      <w:r w:rsidRPr="00D01B97">
        <w:rPr>
          <w:rFonts w:cs="Times New Roman"/>
          <w:szCs w:val="24"/>
          <w:lang w:val="fr-CA"/>
        </w:rPr>
        <w:t>.  Il a tenu compte du fait que M</w:t>
      </w:r>
      <w:r w:rsidRPr="00D01B97">
        <w:rPr>
          <w:rFonts w:cs="Times New Roman"/>
          <w:szCs w:val="24"/>
          <w:vertAlign w:val="superscript"/>
          <w:lang w:val="fr-CA"/>
        </w:rPr>
        <w:t>e </w:t>
      </w:r>
      <w:proofErr w:type="spellStart"/>
      <w:r w:rsidRPr="00D01B97">
        <w:rPr>
          <w:rFonts w:cs="Times New Roman"/>
          <w:szCs w:val="24"/>
          <w:lang w:val="fr-CA"/>
        </w:rPr>
        <w:t>McLeod</w:t>
      </w:r>
      <w:proofErr w:type="spellEnd"/>
      <w:r w:rsidRPr="00D01B97">
        <w:rPr>
          <w:rFonts w:cs="Times New Roman"/>
          <w:szCs w:val="24"/>
          <w:lang w:val="fr-CA"/>
        </w:rPr>
        <w:t xml:space="preserve"> était non seulement le preneur du chèque, mais qu’il en était aussi le tireur, et qu’à ce titre il était en mesure d’en exiger le paiement en raison de la relation </w:t>
      </w:r>
      <w:proofErr w:type="spellStart"/>
      <w:r w:rsidRPr="00D01B97">
        <w:rPr>
          <w:rFonts w:cs="Times New Roman"/>
          <w:szCs w:val="24"/>
          <w:lang w:val="fr-CA"/>
        </w:rPr>
        <w:t>débiteur</w:t>
      </w:r>
      <w:r w:rsidRPr="00D01B97">
        <w:rPr>
          <w:rFonts w:cs="Times New Roman"/>
          <w:szCs w:val="24"/>
          <w:lang w:val="fr-CA"/>
        </w:rPr>
        <w:noBreakHyphen/>
        <w:t>créancier</w:t>
      </w:r>
      <w:proofErr w:type="spellEnd"/>
      <w:r w:rsidRPr="00D01B97">
        <w:rPr>
          <w:rFonts w:cs="Times New Roman"/>
          <w:szCs w:val="24"/>
          <w:lang w:val="fr-CA"/>
        </w:rPr>
        <w:t xml:space="preserve"> qui existait entre lui et </w:t>
      </w:r>
      <w:proofErr w:type="spellStart"/>
      <w:r w:rsidRPr="00D01B97">
        <w:rPr>
          <w:rFonts w:cs="Times New Roman"/>
          <w:szCs w:val="24"/>
          <w:lang w:val="fr-CA"/>
        </w:rPr>
        <w:t>Trustco</w:t>
      </w:r>
      <w:proofErr w:type="spellEnd"/>
      <w:r w:rsidRPr="00D01B97">
        <w:rPr>
          <w:rFonts w:cs="Times New Roman"/>
          <w:szCs w:val="24"/>
          <w:lang w:val="fr-CA"/>
        </w:rPr>
        <w:t xml:space="preserve"> (</w:t>
      </w:r>
      <w:r w:rsidR="00CC4700" w:rsidRPr="00CC4700">
        <w:rPr>
          <w:rFonts w:cs="Times New Roman"/>
          <w:i/>
          <w:szCs w:val="24"/>
          <w:lang w:val="fr-CA"/>
        </w:rPr>
        <w:t>ibid.</w:t>
      </w:r>
      <w:r w:rsidRPr="00D01B97">
        <w:rPr>
          <w:rFonts w:cs="Times New Roman"/>
          <w:szCs w:val="24"/>
          <w:lang w:val="fr-CA"/>
        </w:rPr>
        <w:t>).  Le juge </w:t>
      </w:r>
      <w:proofErr w:type="spellStart"/>
      <w:r w:rsidRPr="00D01B97">
        <w:rPr>
          <w:rFonts w:cs="Times New Roman"/>
          <w:szCs w:val="24"/>
          <w:lang w:val="fr-CA"/>
        </w:rPr>
        <w:t>Little</w:t>
      </w:r>
      <w:proofErr w:type="spellEnd"/>
      <w:r w:rsidRPr="00D01B97">
        <w:rPr>
          <w:rFonts w:cs="Times New Roman"/>
          <w:szCs w:val="24"/>
          <w:lang w:val="fr-CA"/>
        </w:rPr>
        <w:t xml:space="preserve"> a reconnu — faisant remarquer au passage que Canada avait concédé ce point — que les banques n’avaient aucune obligation envers les preneurs de chèques (par. 39).  Selon lui, </w:t>
      </w:r>
      <w:proofErr w:type="spellStart"/>
      <w:r w:rsidRPr="00D01B97">
        <w:rPr>
          <w:rFonts w:cs="Times New Roman"/>
          <w:szCs w:val="24"/>
          <w:lang w:val="fr-CA"/>
        </w:rPr>
        <w:t>Trustco</w:t>
      </w:r>
      <w:proofErr w:type="spellEnd"/>
      <w:r w:rsidRPr="00D01B97">
        <w:rPr>
          <w:rFonts w:cs="Times New Roman"/>
          <w:szCs w:val="24"/>
          <w:lang w:val="fr-CA"/>
        </w:rPr>
        <w:t xml:space="preserve"> demeurait malgré tout tenue de payer les chèques à M</w:t>
      </w:r>
      <w:r w:rsidRPr="00D01B97">
        <w:rPr>
          <w:rFonts w:cs="Times New Roman"/>
          <w:szCs w:val="24"/>
          <w:vertAlign w:val="superscript"/>
          <w:lang w:val="fr-CA"/>
        </w:rPr>
        <w:t>e </w:t>
      </w:r>
      <w:proofErr w:type="spellStart"/>
      <w:r w:rsidRPr="00D01B97">
        <w:rPr>
          <w:rFonts w:cs="Times New Roman"/>
          <w:szCs w:val="24"/>
          <w:lang w:val="fr-CA"/>
        </w:rPr>
        <w:t>McLeod</w:t>
      </w:r>
      <w:proofErr w:type="spellEnd"/>
      <w:r w:rsidRPr="00D01B97">
        <w:rPr>
          <w:rFonts w:cs="Times New Roman"/>
          <w:szCs w:val="24"/>
          <w:lang w:val="fr-CA"/>
        </w:rPr>
        <w:t xml:space="preserve"> en sa qualité de titulaire du compte en fiducie.  Il a par ailleurs accepté l’argument de Canada suivant lequel M</w:t>
      </w:r>
      <w:r w:rsidRPr="00D01B97">
        <w:rPr>
          <w:rFonts w:cs="Times New Roman"/>
          <w:szCs w:val="24"/>
          <w:vertAlign w:val="superscript"/>
          <w:lang w:val="fr-CA"/>
        </w:rPr>
        <w:t>e </w:t>
      </w:r>
      <w:proofErr w:type="spellStart"/>
      <w:r w:rsidRPr="00D01B97">
        <w:rPr>
          <w:rFonts w:cs="Times New Roman"/>
          <w:szCs w:val="24"/>
          <w:lang w:val="fr-CA"/>
        </w:rPr>
        <w:t>McLeod</w:t>
      </w:r>
      <w:proofErr w:type="spellEnd"/>
      <w:r w:rsidRPr="00D01B97">
        <w:rPr>
          <w:rFonts w:cs="Times New Roman"/>
          <w:szCs w:val="24"/>
          <w:lang w:val="fr-CA"/>
        </w:rPr>
        <w:t xml:space="preserve"> était le porteur du chèque (par. 41).</w:t>
      </w:r>
    </w:p>
    <w:p w:rsidR="00857221" w:rsidRPr="00D01B97" w:rsidRDefault="00857221" w:rsidP="00857221">
      <w:pPr>
        <w:pStyle w:val="ParaNoNdepar-AltN"/>
        <w:rPr>
          <w:rFonts w:cs="Times New Roman"/>
          <w:szCs w:val="24"/>
          <w:lang w:val="fr-CA"/>
        </w:rPr>
      </w:pPr>
      <w:r w:rsidRPr="00D01B97">
        <w:rPr>
          <w:rFonts w:cs="Times New Roman"/>
          <w:szCs w:val="24"/>
          <w:lang w:val="fr-CA"/>
        </w:rPr>
        <w:t>Estimant qu’aucune « </w:t>
      </w:r>
      <w:r w:rsidRPr="00D01B97">
        <w:rPr>
          <w:rFonts w:cs="Times New Roman"/>
          <w:spacing w:val="-3"/>
          <w:szCs w:val="24"/>
          <w:lang w:val="fr-CA"/>
        </w:rPr>
        <w:t xml:space="preserve">erreur manifeste ou dominante » n’avait été commise, la Cour d’appel fédérale a confirmé à l’unanimité la décision du </w:t>
      </w:r>
      <w:r w:rsidRPr="00D01B97">
        <w:rPr>
          <w:rFonts w:cs="Times New Roman"/>
          <w:szCs w:val="24"/>
          <w:lang w:val="fr-CA"/>
        </w:rPr>
        <w:t>juge </w:t>
      </w:r>
      <w:proofErr w:type="spellStart"/>
      <w:r w:rsidRPr="00D01B97">
        <w:rPr>
          <w:rFonts w:cs="Times New Roman"/>
          <w:szCs w:val="24"/>
          <w:lang w:val="fr-CA"/>
        </w:rPr>
        <w:t>Little</w:t>
      </w:r>
      <w:proofErr w:type="spellEnd"/>
      <w:r w:rsidRPr="00D01B97">
        <w:rPr>
          <w:rFonts w:cs="Times New Roman"/>
          <w:szCs w:val="24"/>
          <w:lang w:val="fr-CA"/>
        </w:rPr>
        <w:t xml:space="preserve"> (200</w:t>
      </w:r>
      <w:r w:rsidR="00E531C7">
        <w:rPr>
          <w:rFonts w:cs="Times New Roman"/>
          <w:szCs w:val="24"/>
          <w:lang w:val="fr-CA"/>
        </w:rPr>
        <w:t>9 CAF 267</w:t>
      </w:r>
      <w:r w:rsidR="00CC4700">
        <w:rPr>
          <w:rFonts w:cs="Times New Roman"/>
          <w:szCs w:val="24"/>
          <w:lang w:val="fr-CA"/>
        </w:rPr>
        <w:t xml:space="preserve"> (</w:t>
      </w:r>
      <w:proofErr w:type="spellStart"/>
      <w:r w:rsidR="00CC4700">
        <w:rPr>
          <w:rFonts w:cs="Times New Roman"/>
          <w:szCs w:val="24"/>
          <w:lang w:val="fr-CA"/>
        </w:rPr>
        <w:t>CanLII</w:t>
      </w:r>
      <w:proofErr w:type="spellEnd"/>
      <w:r w:rsidR="00CC4700">
        <w:rPr>
          <w:rFonts w:cs="Times New Roman"/>
          <w:szCs w:val="24"/>
          <w:lang w:val="fr-CA"/>
        </w:rPr>
        <w:t>)</w:t>
      </w:r>
      <w:r w:rsidR="00E531C7">
        <w:rPr>
          <w:rFonts w:cs="Times New Roman"/>
          <w:szCs w:val="24"/>
          <w:lang w:val="fr-CA"/>
        </w:rPr>
        <w:t xml:space="preserve">, </w:t>
      </w:r>
      <w:r w:rsidRPr="00D01B97">
        <w:rPr>
          <w:rFonts w:cs="Times New Roman"/>
          <w:szCs w:val="24"/>
          <w:lang w:val="fr-CA"/>
        </w:rPr>
        <w:t>par. 1).</w:t>
      </w:r>
    </w:p>
    <w:p w:rsidR="00857221" w:rsidRPr="00D01B97" w:rsidRDefault="00857221" w:rsidP="00857221">
      <w:pPr>
        <w:pStyle w:val="ParaNoNdepar-AltN"/>
        <w:rPr>
          <w:rFonts w:cs="Times New Roman"/>
          <w:szCs w:val="24"/>
          <w:lang w:val="fr-CA"/>
        </w:rPr>
      </w:pPr>
      <w:proofErr w:type="spellStart"/>
      <w:r w:rsidRPr="00D01B97">
        <w:rPr>
          <w:rFonts w:cs="Times New Roman"/>
          <w:szCs w:val="24"/>
          <w:lang w:val="fr-CA"/>
        </w:rPr>
        <w:t>Trustco</w:t>
      </w:r>
      <w:proofErr w:type="spellEnd"/>
      <w:r w:rsidRPr="00D01B97">
        <w:rPr>
          <w:rFonts w:cs="Times New Roman"/>
          <w:szCs w:val="24"/>
          <w:lang w:val="fr-CA"/>
        </w:rPr>
        <w:t xml:space="preserve"> prétend que le juge de première instance a omis de faire la différence entre une demande de remboursement de fonds déposés dans un compte et la remise d’un chèque pour dépôt.  Elle affirme qu’en sa qualité de banque tirée</w:t>
      </w:r>
      <w:r w:rsidR="00FC09CF">
        <w:rPr>
          <w:rFonts w:cs="Times New Roman"/>
          <w:szCs w:val="24"/>
          <w:lang w:val="fr-CA"/>
        </w:rPr>
        <w:t>,</w:t>
      </w:r>
      <w:r w:rsidRPr="00D01B97">
        <w:rPr>
          <w:rFonts w:cs="Times New Roman"/>
          <w:szCs w:val="24"/>
          <w:lang w:val="fr-CA"/>
        </w:rPr>
        <w:t xml:space="preserve"> sa seule obligation consistait à payer le chèque à son détenteur à même les fonds déposés au compte en fiducie, sur présentation en bonne et due forme du chèque en vue de son paiement.  Elle soutient n’avoir jamais été tenue de faire un paiement à M</w:t>
      </w:r>
      <w:r w:rsidRPr="00D01B97">
        <w:rPr>
          <w:rFonts w:cs="Times New Roman"/>
          <w:szCs w:val="24"/>
          <w:vertAlign w:val="superscript"/>
          <w:lang w:val="fr-CA"/>
        </w:rPr>
        <w:t>e </w:t>
      </w:r>
      <w:proofErr w:type="spellStart"/>
      <w:r w:rsidRPr="00D01B97">
        <w:rPr>
          <w:rFonts w:cs="Times New Roman"/>
          <w:szCs w:val="24"/>
          <w:lang w:val="fr-CA"/>
        </w:rPr>
        <w:t>McLeod</w:t>
      </w:r>
      <w:proofErr w:type="spellEnd"/>
      <w:r w:rsidRPr="00D01B97">
        <w:rPr>
          <w:rFonts w:cs="Times New Roman"/>
          <w:szCs w:val="24"/>
          <w:lang w:val="fr-CA"/>
        </w:rPr>
        <w:t>, le débiteur fiscal.</w:t>
      </w:r>
    </w:p>
    <w:p w:rsidR="00857221" w:rsidRPr="00D01B97" w:rsidRDefault="00857221" w:rsidP="00857221">
      <w:pPr>
        <w:pStyle w:val="ParaNoNdepar-AltN"/>
        <w:rPr>
          <w:rFonts w:cs="Times New Roman"/>
          <w:szCs w:val="24"/>
          <w:lang w:val="fr-CA"/>
        </w:rPr>
      </w:pPr>
      <w:r w:rsidRPr="00D01B97">
        <w:rPr>
          <w:rFonts w:cs="Times New Roman"/>
          <w:szCs w:val="24"/>
          <w:lang w:val="fr-CA"/>
        </w:rPr>
        <w:lastRenderedPageBreak/>
        <w:t>Canada affirme qu’il n’y a pas de distinction à faire entre la présentation d’un chèque à la banque tirée en vue d’un paiement en espèces à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et la présentation d’un chèque pour dépôt au compte conjoint.  Selon la thèse de Canada, lorsque M</w:t>
      </w:r>
      <w:r w:rsidRPr="00D01B97">
        <w:rPr>
          <w:rFonts w:cs="Times New Roman"/>
          <w:szCs w:val="24"/>
          <w:vertAlign w:val="superscript"/>
          <w:lang w:val="fr-CA"/>
        </w:rPr>
        <w:t>e</w:t>
      </w:r>
      <w:r w:rsidRPr="00D01B97">
        <w:rPr>
          <w:rFonts w:cs="Times New Roman"/>
          <w:szCs w:val="24"/>
          <w:lang w:val="fr-CA"/>
        </w:rPr>
        <w:t xml:space="preserve"> </w:t>
      </w:r>
      <w:proofErr w:type="spellStart"/>
      <w:r w:rsidRPr="00D01B97">
        <w:rPr>
          <w:rFonts w:cs="Times New Roman"/>
          <w:szCs w:val="24"/>
          <w:lang w:val="fr-CA"/>
        </w:rPr>
        <w:t>McLeod</w:t>
      </w:r>
      <w:proofErr w:type="spellEnd"/>
      <w:r w:rsidRPr="00D01B97">
        <w:rPr>
          <w:rFonts w:cs="Times New Roman"/>
          <w:szCs w:val="24"/>
          <w:lang w:val="fr-CA"/>
        </w:rPr>
        <w:t xml:space="preserve"> a remis les chèques à </w:t>
      </w:r>
      <w:proofErr w:type="spellStart"/>
      <w:r w:rsidRPr="00D01B97">
        <w:rPr>
          <w:rFonts w:cs="Times New Roman"/>
          <w:szCs w:val="24"/>
          <w:lang w:val="fr-CA"/>
        </w:rPr>
        <w:t>Trustco</w:t>
      </w:r>
      <w:proofErr w:type="spellEnd"/>
      <w:r w:rsidRPr="00D01B97">
        <w:rPr>
          <w:rFonts w:cs="Times New Roman"/>
          <w:szCs w:val="24"/>
          <w:lang w:val="fr-CA"/>
        </w:rPr>
        <w:t xml:space="preserve"> avec instructions de verser les fonds au compte conjoint, il agissait à la fois comme preneur, créancier, tireur et déposant, mais que son rôle de déposant n’était pas pertinent. </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L’argument de Canada implique que </w:t>
      </w:r>
      <w:proofErr w:type="spellStart"/>
      <w:r w:rsidRPr="00D01B97">
        <w:rPr>
          <w:rFonts w:cs="Times New Roman"/>
          <w:szCs w:val="24"/>
          <w:lang w:val="fr-CA"/>
        </w:rPr>
        <w:t>Trustco</w:t>
      </w:r>
      <w:proofErr w:type="spellEnd"/>
      <w:r w:rsidRPr="00D01B97">
        <w:rPr>
          <w:rFonts w:cs="Times New Roman"/>
          <w:szCs w:val="24"/>
          <w:lang w:val="fr-CA"/>
        </w:rPr>
        <w:t xml:space="preserve"> était tenue de faire un paiement à M</w:t>
      </w:r>
      <w:r w:rsidRPr="00D01B97">
        <w:rPr>
          <w:rFonts w:cs="Times New Roman"/>
          <w:szCs w:val="24"/>
          <w:vertAlign w:val="superscript"/>
          <w:lang w:val="fr-CA"/>
        </w:rPr>
        <w:t>e</w:t>
      </w:r>
      <w:r w:rsidRPr="00D01B97">
        <w:rPr>
          <w:rFonts w:cs="Times New Roman"/>
          <w:szCs w:val="24"/>
          <w:lang w:val="fr-CA"/>
        </w:rPr>
        <w:t xml:space="preserve"> </w:t>
      </w:r>
      <w:proofErr w:type="spellStart"/>
      <w:r w:rsidRPr="00D01B97">
        <w:rPr>
          <w:rFonts w:cs="Times New Roman"/>
          <w:szCs w:val="24"/>
          <w:lang w:val="fr-CA"/>
        </w:rPr>
        <w:t>McLeod</w:t>
      </w:r>
      <w:proofErr w:type="spellEnd"/>
      <w:r w:rsidRPr="00D01B97">
        <w:rPr>
          <w:rFonts w:cs="Times New Roman"/>
          <w:szCs w:val="24"/>
          <w:lang w:val="fr-CA"/>
        </w:rPr>
        <w:t xml:space="preserve"> à partir du moment où elle avait accepté le chèque en vue de son dépôt.  Pour décider si </w:t>
      </w:r>
      <w:proofErr w:type="spellStart"/>
      <w:r w:rsidRPr="00D01B97">
        <w:rPr>
          <w:rFonts w:cs="Times New Roman"/>
          <w:szCs w:val="24"/>
          <w:lang w:val="fr-CA"/>
        </w:rPr>
        <w:t>Trustco</w:t>
      </w:r>
      <w:proofErr w:type="spellEnd"/>
      <w:r w:rsidRPr="00D01B97">
        <w:rPr>
          <w:rFonts w:cs="Times New Roman"/>
          <w:szCs w:val="24"/>
          <w:lang w:val="fr-CA"/>
        </w:rPr>
        <w:t xml:space="preserve"> est tenue de faire un paiement au receveur général, il faut analyser les rapports juridiques pertinents en jeu.</w:t>
      </w:r>
    </w:p>
    <w:p w:rsidR="00857221" w:rsidRPr="00D01B97" w:rsidRDefault="00857221" w:rsidP="00EE7529">
      <w:pPr>
        <w:pStyle w:val="TitleTitre-AltT"/>
        <w:keepNext/>
        <w:tabs>
          <w:tab w:val="clear" w:pos="360"/>
          <w:tab w:val="left" w:pos="540"/>
        </w:tabs>
        <w:spacing w:after="720"/>
        <w:ind w:left="540" w:hanging="540"/>
        <w:rPr>
          <w:rFonts w:cs="Times New Roman"/>
          <w:szCs w:val="24"/>
          <w:lang w:val="fr-CA"/>
        </w:rPr>
      </w:pPr>
      <w:r w:rsidRPr="00D01B97">
        <w:rPr>
          <w:rFonts w:cs="Times New Roman"/>
          <w:szCs w:val="24"/>
          <w:lang w:val="fr-CA"/>
        </w:rPr>
        <w:t>I.</w:t>
      </w:r>
      <w:r w:rsidRPr="00D01B97">
        <w:rPr>
          <w:rFonts w:cs="Times New Roman"/>
          <w:szCs w:val="24"/>
          <w:lang w:val="fr-CA"/>
        </w:rPr>
        <w:tab/>
      </w:r>
      <w:r w:rsidRPr="00D01B97">
        <w:rPr>
          <w:rFonts w:cs="Times New Roman"/>
          <w:szCs w:val="24"/>
          <w:u w:val="single"/>
          <w:lang w:val="fr-CA"/>
        </w:rPr>
        <w:t>Analyse</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L’arrêt </w:t>
      </w:r>
      <w:r w:rsidRPr="00D01B97">
        <w:rPr>
          <w:rFonts w:cs="Times New Roman"/>
          <w:i/>
          <w:szCs w:val="24"/>
          <w:lang w:val="fr-CA"/>
        </w:rPr>
        <w:t>Foley c. Hill</w:t>
      </w:r>
      <w:r w:rsidRPr="00D01B97">
        <w:rPr>
          <w:rFonts w:cs="Times New Roman"/>
          <w:szCs w:val="24"/>
          <w:lang w:val="fr-CA"/>
        </w:rPr>
        <w:t xml:space="preserve"> (1848), 2 H.L.C. 28, 9 E.R. 1002, constitue le point de départ de l’analyse des rapports qui existent entre une banque et ses clients : </w:t>
      </w:r>
    </w:p>
    <w:p w:rsidR="00857221" w:rsidRPr="00D01B97" w:rsidRDefault="00857221" w:rsidP="00EE7529">
      <w:pPr>
        <w:pStyle w:val="Citation-AltC"/>
        <w:tabs>
          <w:tab w:val="left" w:pos="1170"/>
        </w:tabs>
        <w:spacing w:after="240"/>
        <w:ind w:hanging="1166"/>
        <w:contextualSpacing w:val="0"/>
        <w:rPr>
          <w:szCs w:val="24"/>
          <w:lang w:val="fr-CA"/>
        </w:rPr>
      </w:pPr>
      <w:r w:rsidRPr="00D01B97">
        <w:rPr>
          <w:szCs w:val="24"/>
          <w:lang w:val="fr-CA"/>
        </w:rPr>
        <w:tab/>
      </w:r>
      <w:r w:rsidR="00F0278A" w:rsidRPr="00D01B97">
        <w:rPr>
          <w:smallCaps/>
          <w:szCs w:val="24"/>
          <w:lang w:val="fr-CA"/>
        </w:rPr>
        <w:t>[traduction]</w:t>
      </w:r>
      <w:r w:rsidR="00F0278A">
        <w:rPr>
          <w:smallCaps/>
          <w:szCs w:val="24"/>
          <w:lang w:val="fr-CA"/>
        </w:rPr>
        <w:t xml:space="preserve"> </w:t>
      </w:r>
      <w:r w:rsidRPr="00D01B97">
        <w:rPr>
          <w:szCs w:val="24"/>
          <w:lang w:val="fr-CA"/>
        </w:rPr>
        <w:t xml:space="preserve">La relation </w:t>
      </w:r>
      <w:r w:rsidRPr="00C97271">
        <w:rPr>
          <w:lang w:val="fr-CA"/>
        </w:rPr>
        <w:t>qui</w:t>
      </w:r>
      <w:r w:rsidRPr="00D01B97">
        <w:rPr>
          <w:szCs w:val="24"/>
          <w:lang w:val="fr-CA"/>
        </w:rPr>
        <w:t xml:space="preserve"> existe entre un banquier et son client, qui lui confie son argent, est la relation ordinaire qui existe entr</w:t>
      </w:r>
      <w:r w:rsidR="00F0278A">
        <w:rPr>
          <w:szCs w:val="24"/>
          <w:lang w:val="fr-CA"/>
        </w:rPr>
        <w:t xml:space="preserve">e débiteur et </w:t>
      </w:r>
      <w:proofErr w:type="gramStart"/>
      <w:r w:rsidR="00F0278A">
        <w:rPr>
          <w:szCs w:val="24"/>
          <w:lang w:val="fr-CA"/>
        </w:rPr>
        <w:t>créancier .</w:t>
      </w:r>
      <w:proofErr w:type="gramEnd"/>
      <w:r w:rsidR="00F0278A">
        <w:rPr>
          <w:szCs w:val="24"/>
          <w:lang w:val="fr-CA"/>
        </w:rPr>
        <w:t> . . </w:t>
      </w:r>
    </w:p>
    <w:p w:rsidR="00857221" w:rsidRPr="00D01B97" w:rsidRDefault="00857221" w:rsidP="00857221">
      <w:pPr>
        <w:pStyle w:val="Citation-AltC"/>
        <w:spacing w:after="240"/>
        <w:contextualSpacing w:val="0"/>
        <w:jc w:val="center"/>
        <w:rPr>
          <w:szCs w:val="24"/>
          <w:lang w:val="fr-CA"/>
        </w:rPr>
      </w:pPr>
      <w:r w:rsidRPr="00D01B97">
        <w:rPr>
          <w:szCs w:val="24"/>
          <w:lang w:val="fr-CA"/>
        </w:rPr>
        <w:t>. . .</w:t>
      </w:r>
    </w:p>
    <w:p w:rsidR="00857221" w:rsidRPr="00D01B97" w:rsidRDefault="00857221" w:rsidP="00EE7529">
      <w:pPr>
        <w:pStyle w:val="Citation-AltC"/>
        <w:tabs>
          <w:tab w:val="left" w:pos="1620"/>
        </w:tabs>
        <w:ind w:hanging="1166"/>
        <w:rPr>
          <w:szCs w:val="24"/>
          <w:lang w:val="fr-CA"/>
        </w:rPr>
      </w:pPr>
      <w:r w:rsidRPr="00D01B97">
        <w:rPr>
          <w:szCs w:val="24"/>
          <w:lang w:val="fr-CA"/>
        </w:rPr>
        <w:tab/>
      </w:r>
      <w:r w:rsidR="0082436E">
        <w:rPr>
          <w:szCs w:val="24"/>
          <w:lang w:val="fr-CA"/>
        </w:rPr>
        <w:tab/>
      </w:r>
      <w:r w:rsidRPr="00D01B97">
        <w:rPr>
          <w:szCs w:val="24"/>
          <w:lang w:val="fr-CA"/>
        </w:rPr>
        <w:t xml:space="preserve">. . . Je songe ici à la situation </w:t>
      </w:r>
      <w:r w:rsidRPr="00C97271">
        <w:rPr>
          <w:lang w:val="fr-CA"/>
        </w:rPr>
        <w:t>courante</w:t>
      </w:r>
      <w:r w:rsidRPr="00D01B97">
        <w:rPr>
          <w:szCs w:val="24"/>
          <w:lang w:val="fr-CA"/>
        </w:rPr>
        <w:t xml:space="preserve"> du banquier, qui consiste le plus souvent à recevoir l’argent que lui confie son client à la condition de le lui remettre sur demande ou sur retrait, ou encore à recevoir l’argent qu’un tiers dépose au crédit du client à la même condition, à savoir que ce dernier puisse le retirer ou, comme on dit en langage courant, à la condition de remettre l’argent sur demande, parce que celui qui reçoit </w:t>
      </w:r>
      <w:r w:rsidRPr="00D01B97">
        <w:rPr>
          <w:szCs w:val="24"/>
          <w:lang w:val="fr-CA"/>
        </w:rPr>
        <w:lastRenderedPageBreak/>
        <w:t>l’argent peut en disposer à sa guise, et l’affecter aux fins de son commerce, sans quoi tout banquier perd sa raison d’être, surtout</w:t>
      </w:r>
      <w:r w:rsidR="00EA62ED">
        <w:rPr>
          <w:szCs w:val="24"/>
          <w:lang w:val="fr-CA"/>
        </w:rPr>
        <w:t xml:space="preserve"> lorsqu’il paie des intérêts. [</w:t>
      </w:r>
      <w:r w:rsidR="006E6302">
        <w:rPr>
          <w:szCs w:val="24"/>
          <w:lang w:val="fr-CA"/>
        </w:rPr>
        <w:t>p. 1002 et 1008</w:t>
      </w:r>
      <w:r w:rsidRPr="00D01B97">
        <w:rPr>
          <w:szCs w:val="24"/>
          <w:lang w:val="fr-CA"/>
        </w:rPr>
        <w:t>]</w:t>
      </w:r>
    </w:p>
    <w:p w:rsidR="00857221" w:rsidRPr="00D01B97" w:rsidRDefault="00EE7529" w:rsidP="00857221">
      <w:pPr>
        <w:pStyle w:val="ParaNoNdepar-AltN"/>
        <w:rPr>
          <w:rFonts w:cs="Times New Roman"/>
          <w:szCs w:val="24"/>
          <w:lang w:val="fr-CA"/>
        </w:rPr>
      </w:pPr>
      <w:r>
        <w:rPr>
          <w:rFonts w:cs="Times New Roman"/>
          <w:szCs w:val="24"/>
          <w:lang w:val="fr-CA"/>
        </w:rPr>
        <w:t>La relation débiteur-</w:t>
      </w:r>
      <w:r w:rsidR="00857221" w:rsidRPr="00D01B97">
        <w:rPr>
          <w:rFonts w:cs="Times New Roman"/>
          <w:szCs w:val="24"/>
          <w:lang w:val="fr-CA"/>
        </w:rPr>
        <w:t xml:space="preserve">créancier suppose que la banque est tenue de remettre les fonds déposés au compte lorsque son client en exige le paiement.  En l’espèce, </w:t>
      </w:r>
      <w:proofErr w:type="spellStart"/>
      <w:r w:rsidR="00857221" w:rsidRPr="00D01B97">
        <w:rPr>
          <w:rFonts w:cs="Times New Roman"/>
          <w:szCs w:val="24"/>
          <w:lang w:val="fr-CA"/>
        </w:rPr>
        <w:t>Trustco</w:t>
      </w:r>
      <w:proofErr w:type="spellEnd"/>
      <w:r w:rsidR="00857221" w:rsidRPr="00D01B97">
        <w:rPr>
          <w:rFonts w:cs="Times New Roman"/>
          <w:szCs w:val="24"/>
          <w:lang w:val="fr-CA"/>
        </w:rPr>
        <w:t xml:space="preserve"> est partie à deux relations contractuelles distinctes : la première se rapporte au compte en fiducie et la seconde, au compte conjoint.  Ayant concédé qu’il ne peut saisir les fonds qui se trouvent dans l’un ou l’autre compte, Canada ne peut se contenter </w:t>
      </w:r>
      <w:r>
        <w:rPr>
          <w:rFonts w:cs="Times New Roman"/>
          <w:szCs w:val="24"/>
          <w:lang w:val="fr-CA"/>
        </w:rPr>
        <w:t>d’invoquer la relation débiteur-</w:t>
      </w:r>
      <w:r w:rsidR="00857221" w:rsidRPr="00D01B97">
        <w:rPr>
          <w:rFonts w:cs="Times New Roman"/>
          <w:szCs w:val="24"/>
          <w:lang w:val="fr-CA"/>
        </w:rPr>
        <w:t>créancier qui existait du fait qu’à un moment donné les fonds s’y étaient trouvés.  Canada met donc l’accent sur le fait que les chèques avaient été faits à l’ordre de M</w:t>
      </w:r>
      <w:r w:rsidR="00857221" w:rsidRPr="00D01B97">
        <w:rPr>
          <w:rFonts w:cs="Times New Roman"/>
          <w:szCs w:val="24"/>
          <w:vertAlign w:val="superscript"/>
          <w:lang w:val="fr-CA"/>
        </w:rPr>
        <w:t>e</w:t>
      </w:r>
      <w:r w:rsidR="00857221" w:rsidRPr="00D01B97">
        <w:rPr>
          <w:rFonts w:cs="Times New Roman"/>
          <w:szCs w:val="24"/>
          <w:lang w:val="fr-CA"/>
        </w:rPr>
        <w:t> </w:t>
      </w:r>
      <w:proofErr w:type="spellStart"/>
      <w:r w:rsidR="00857221" w:rsidRPr="00D01B97">
        <w:rPr>
          <w:rFonts w:cs="Times New Roman"/>
          <w:szCs w:val="24"/>
          <w:lang w:val="fr-CA"/>
        </w:rPr>
        <w:t>McLeod</w:t>
      </w:r>
      <w:proofErr w:type="spellEnd"/>
      <w:r w:rsidR="00857221" w:rsidRPr="00D01B97">
        <w:rPr>
          <w:rFonts w:cs="Times New Roman"/>
          <w:szCs w:val="24"/>
          <w:lang w:val="fr-CA"/>
        </w:rPr>
        <w:t xml:space="preserve">, le débiteur fiscal, ce qui circonscrit le débat et nous force à examiner les obligations qui incombent à une banque qui reçoit un chèque pour dépôt et se voit présenter un chèque tiré sur elle. </w:t>
      </w:r>
    </w:p>
    <w:p w:rsidR="00857221" w:rsidRPr="00D01B97" w:rsidRDefault="00857221" w:rsidP="00EE7529">
      <w:pPr>
        <w:pStyle w:val="TitleTitre-AltT"/>
        <w:tabs>
          <w:tab w:val="clear" w:pos="360"/>
          <w:tab w:val="left" w:pos="540"/>
        </w:tabs>
        <w:spacing w:after="720"/>
        <w:ind w:left="540" w:hanging="540"/>
        <w:rPr>
          <w:rFonts w:cs="Times New Roman"/>
          <w:szCs w:val="24"/>
          <w:lang w:val="fr-CA"/>
        </w:rPr>
      </w:pPr>
      <w:r w:rsidRPr="00D01B97">
        <w:rPr>
          <w:rFonts w:cs="Times New Roman"/>
          <w:szCs w:val="24"/>
          <w:lang w:val="fr-CA"/>
        </w:rPr>
        <w:t>A.</w:t>
      </w:r>
      <w:r w:rsidRPr="00D01B97">
        <w:rPr>
          <w:rFonts w:cs="Times New Roman"/>
          <w:szCs w:val="24"/>
          <w:lang w:val="fr-CA"/>
        </w:rPr>
        <w:tab/>
      </w:r>
      <w:r w:rsidRPr="00D01B97">
        <w:rPr>
          <w:rFonts w:cs="Times New Roman"/>
          <w:i/>
          <w:szCs w:val="24"/>
          <w:lang w:val="fr-CA"/>
        </w:rPr>
        <w:t>Obligation de la banque d’encaissement</w:t>
      </w:r>
    </w:p>
    <w:p w:rsidR="00857221" w:rsidRPr="00D01B97" w:rsidRDefault="00857221" w:rsidP="00857221">
      <w:pPr>
        <w:pStyle w:val="ParaNoNdepar-AltN"/>
        <w:rPr>
          <w:rFonts w:cs="Times New Roman"/>
          <w:szCs w:val="24"/>
          <w:lang w:val="fr-CA"/>
        </w:rPr>
      </w:pPr>
      <w:r w:rsidRPr="00D01B97">
        <w:rPr>
          <w:rFonts w:cs="Times New Roman"/>
          <w:szCs w:val="24"/>
          <w:lang w:val="fr-CA"/>
        </w:rPr>
        <w:t>Selon les avocats de Canada, la meilleure façon de concevoir la réception des chèques pour dépôt consiste à décomposer les opérations en deux étapes, à savoir les demandes faites par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en sa qualité de preneur, en vue de se faire payer les chèques et celles qu’il a faites en tant que tireur afin que le montant de </w:t>
      </w:r>
      <w:proofErr w:type="spellStart"/>
      <w:r w:rsidRPr="00D01B97">
        <w:rPr>
          <w:rFonts w:cs="Times New Roman"/>
          <w:szCs w:val="24"/>
          <w:lang w:val="fr-CA"/>
        </w:rPr>
        <w:t>ceux</w:t>
      </w:r>
      <w:r w:rsidRPr="00D01B97">
        <w:rPr>
          <w:rFonts w:cs="Times New Roman"/>
          <w:szCs w:val="24"/>
          <w:lang w:val="fr-CA"/>
        </w:rPr>
        <w:noBreakHyphen/>
        <w:t>ci</w:t>
      </w:r>
      <w:proofErr w:type="spellEnd"/>
      <w:r w:rsidRPr="00D01B97">
        <w:rPr>
          <w:rFonts w:cs="Times New Roman"/>
          <w:szCs w:val="24"/>
          <w:lang w:val="fr-CA"/>
        </w:rPr>
        <w:t xml:space="preserve"> lui soit versé à même les fonds qui lui étaient dus relativement au compte en fiducie, d’une part, et ses instructions à </w:t>
      </w:r>
      <w:proofErr w:type="spellStart"/>
      <w:r w:rsidRPr="00D01B97">
        <w:rPr>
          <w:rFonts w:cs="Times New Roman"/>
          <w:szCs w:val="24"/>
          <w:lang w:val="fr-CA"/>
        </w:rPr>
        <w:t>Trustco</w:t>
      </w:r>
      <w:proofErr w:type="spellEnd"/>
      <w:r w:rsidRPr="00D01B97">
        <w:rPr>
          <w:rFonts w:cs="Times New Roman"/>
          <w:szCs w:val="24"/>
          <w:lang w:val="fr-CA"/>
        </w:rPr>
        <w:t xml:space="preserve"> que les fonds soient déposés au compte </w:t>
      </w:r>
      <w:r w:rsidRPr="00D01B97">
        <w:rPr>
          <w:rFonts w:cs="Times New Roman"/>
          <w:szCs w:val="24"/>
          <w:lang w:val="fr-CA"/>
        </w:rPr>
        <w:lastRenderedPageBreak/>
        <w:t>conjoint, d’autre p</w:t>
      </w:r>
      <w:r>
        <w:rPr>
          <w:rFonts w:cs="Times New Roman"/>
          <w:szCs w:val="24"/>
          <w:lang w:val="fr-CA"/>
        </w:rPr>
        <w:t xml:space="preserve">art. </w:t>
      </w:r>
      <w:r w:rsidRPr="00D01B97">
        <w:rPr>
          <w:rFonts w:cs="Times New Roman"/>
          <w:szCs w:val="24"/>
          <w:lang w:val="fr-CA"/>
        </w:rPr>
        <w:t xml:space="preserve"> En d’autres termes, des paiements ont, en théorie, été faits à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avant que les fonds n’aient été déposés au compte conjoint.</w:t>
      </w:r>
    </w:p>
    <w:p w:rsidR="00857221" w:rsidRPr="00D01B97" w:rsidRDefault="00857221" w:rsidP="00857221">
      <w:pPr>
        <w:pStyle w:val="ParaNoNdepar-AltN"/>
        <w:rPr>
          <w:rFonts w:cs="Times New Roman"/>
          <w:szCs w:val="24"/>
          <w:lang w:val="fr-CA"/>
        </w:rPr>
      </w:pPr>
      <w:r w:rsidRPr="00D01B97">
        <w:rPr>
          <w:rFonts w:cs="Times New Roman"/>
          <w:szCs w:val="24"/>
          <w:lang w:val="fr-CA"/>
        </w:rPr>
        <w:t>Cette démarche fait abstraction des instructions que les fonds soient déposés au compte conjoint.  La preuve révèle que, à l’origine, la succursale s’était vue remettre les chèques avec instructions de déposer les fonds au compte conjoint, et non que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w:t>
      </w:r>
      <w:proofErr w:type="gramStart"/>
      <w:r w:rsidRPr="00D01B97">
        <w:rPr>
          <w:rFonts w:cs="Times New Roman"/>
          <w:szCs w:val="24"/>
          <w:lang w:val="fr-CA"/>
        </w:rPr>
        <w:t>avait</w:t>
      </w:r>
      <w:proofErr w:type="gramEnd"/>
      <w:r w:rsidRPr="00D01B97">
        <w:rPr>
          <w:rFonts w:cs="Times New Roman"/>
          <w:szCs w:val="24"/>
          <w:lang w:val="fr-CA"/>
        </w:rPr>
        <w:t xml:space="preserve"> demandé, en tant que tireur, que des paiements lui soient faits en sa qualité de preneur des chèques.  La preuve indique aussi de façon claire que les chèques ont été portés au crédit du compte conjoint avant d’être envoyés pour fins de compensation et avant que le compte en fiducie n’ait été débité du montant de ces derniers.  À aucun moment </w:t>
      </w:r>
      <w:proofErr w:type="spellStart"/>
      <w:r w:rsidRPr="00D01B97">
        <w:rPr>
          <w:rFonts w:cs="Times New Roman"/>
          <w:szCs w:val="24"/>
          <w:lang w:val="fr-CA"/>
        </w:rPr>
        <w:t>Trustco</w:t>
      </w:r>
      <w:proofErr w:type="spellEnd"/>
      <w:r w:rsidRPr="00D01B97">
        <w:rPr>
          <w:rFonts w:cs="Times New Roman"/>
          <w:szCs w:val="24"/>
          <w:lang w:val="fr-CA"/>
        </w:rPr>
        <w:t xml:space="preserve"> n’a fait de paiement à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Par ailleurs, l’argument des avocats de Canada fait aussi abstraction de la nature de l’effet de commerce utilisé par les parties, à savoir le chèque.  Le chèque étant la manifestation de concepts de </w:t>
      </w:r>
      <w:proofErr w:type="spellStart"/>
      <w:r w:rsidRPr="00D01B97">
        <w:rPr>
          <w:rFonts w:cs="Times New Roman"/>
          <w:szCs w:val="24"/>
          <w:lang w:val="fr-CA"/>
        </w:rPr>
        <w:t>common</w:t>
      </w:r>
      <w:proofErr w:type="spellEnd"/>
      <w:r w:rsidRPr="00D01B97">
        <w:rPr>
          <w:rFonts w:cs="Times New Roman"/>
          <w:szCs w:val="24"/>
          <w:lang w:val="fr-CA"/>
        </w:rPr>
        <w:t xml:space="preserve"> </w:t>
      </w:r>
      <w:proofErr w:type="spellStart"/>
      <w:r w:rsidRPr="00D01B97">
        <w:rPr>
          <w:rFonts w:cs="Times New Roman"/>
          <w:szCs w:val="24"/>
          <w:lang w:val="fr-CA"/>
        </w:rPr>
        <w:t>law</w:t>
      </w:r>
      <w:proofErr w:type="spellEnd"/>
      <w:r w:rsidRPr="00D01B97">
        <w:rPr>
          <w:rFonts w:cs="Times New Roman"/>
          <w:szCs w:val="24"/>
          <w:lang w:val="fr-CA"/>
        </w:rPr>
        <w:t xml:space="preserve"> et de concepts d’origine législative, il faut tenir compte de la loi applicable à cet effet de commerce, à savoir la </w:t>
      </w:r>
      <w:r w:rsidRPr="00D01B97">
        <w:rPr>
          <w:rFonts w:cs="Times New Roman"/>
          <w:i/>
          <w:szCs w:val="24"/>
          <w:lang w:val="fr-CA"/>
        </w:rPr>
        <w:t>LLC</w:t>
      </w:r>
      <w:r w:rsidRPr="00D01B97">
        <w:rPr>
          <w:rFonts w:cs="Times New Roman"/>
          <w:szCs w:val="24"/>
          <w:lang w:val="fr-CA"/>
        </w:rPr>
        <w:t xml:space="preserve">, ainsi que de la </w:t>
      </w:r>
      <w:proofErr w:type="spellStart"/>
      <w:r w:rsidRPr="00D01B97">
        <w:rPr>
          <w:rFonts w:cs="Times New Roman"/>
          <w:szCs w:val="24"/>
          <w:lang w:val="fr-CA"/>
        </w:rPr>
        <w:t>common</w:t>
      </w:r>
      <w:proofErr w:type="spellEnd"/>
      <w:r w:rsidRPr="00D01B97">
        <w:rPr>
          <w:rFonts w:cs="Times New Roman"/>
          <w:szCs w:val="24"/>
          <w:lang w:val="fr-CA"/>
        </w:rPr>
        <w:t xml:space="preserve"> </w:t>
      </w:r>
      <w:proofErr w:type="spellStart"/>
      <w:r w:rsidRPr="00D01B97">
        <w:rPr>
          <w:rFonts w:cs="Times New Roman"/>
          <w:szCs w:val="24"/>
          <w:lang w:val="fr-CA"/>
        </w:rPr>
        <w:t>law</w:t>
      </w:r>
      <w:proofErr w:type="spellEnd"/>
      <w:r w:rsidRPr="00D01B97">
        <w:rPr>
          <w:rFonts w:cs="Times New Roman"/>
          <w:szCs w:val="24"/>
          <w:lang w:val="fr-CA"/>
        </w:rPr>
        <w:t>.</w:t>
      </w:r>
    </w:p>
    <w:p w:rsidR="00857221" w:rsidRPr="00D01B97" w:rsidRDefault="00857221" w:rsidP="00857221">
      <w:pPr>
        <w:pStyle w:val="ParaNoNdepar-AltN"/>
        <w:rPr>
          <w:rFonts w:cs="Times New Roman"/>
          <w:szCs w:val="24"/>
          <w:lang w:val="fr-CA"/>
        </w:rPr>
      </w:pPr>
      <w:r w:rsidRPr="00D01B97">
        <w:rPr>
          <w:rFonts w:cs="Times New Roman"/>
          <w:szCs w:val="24"/>
          <w:lang w:val="fr-CA"/>
        </w:rPr>
        <w:t>L’argument retenu par le juge de la Cour de l’impôt selon lequel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était le porteur du chèque (par. 41) est incompatible avec la définition de « porteur » dans la </w:t>
      </w:r>
      <w:r w:rsidRPr="00D01B97">
        <w:rPr>
          <w:rFonts w:cs="Times New Roman"/>
          <w:i/>
          <w:szCs w:val="24"/>
          <w:lang w:val="fr-CA"/>
        </w:rPr>
        <w:t>LLC</w:t>
      </w:r>
      <w:r w:rsidRPr="00D01B97">
        <w:rPr>
          <w:rFonts w:cs="Times New Roman"/>
          <w:szCs w:val="24"/>
          <w:lang w:val="fr-CA"/>
        </w:rPr>
        <w:t>, qui prévoit que le porteur est un type particulier de détenteur, à savoir « [l]</w:t>
      </w:r>
      <w:proofErr w:type="gramStart"/>
      <w:r w:rsidRPr="00D01B97">
        <w:rPr>
          <w:rFonts w:cs="Times New Roman"/>
          <w:szCs w:val="24"/>
          <w:lang w:val="fr-CA"/>
        </w:rPr>
        <w:t>a</w:t>
      </w:r>
      <w:proofErr w:type="gramEnd"/>
      <w:r w:rsidRPr="00D01B97">
        <w:rPr>
          <w:rFonts w:cs="Times New Roman"/>
          <w:szCs w:val="24"/>
          <w:lang w:val="fr-CA"/>
        </w:rPr>
        <w:t xml:space="preserve"> personne en possession d’une lettre ou d’un billet payable au porteur</w:t>
      </w:r>
      <w:r w:rsidRPr="00D01B97">
        <w:rPr>
          <w:rStyle w:val="Emphasis"/>
          <w:rFonts w:cs="Times New Roman"/>
          <w:szCs w:val="24"/>
          <w:lang w:val="fr-CA"/>
        </w:rPr>
        <w:t> </w:t>
      </w:r>
      <w:r w:rsidRPr="00507F09">
        <w:rPr>
          <w:rStyle w:val="Emphasis"/>
          <w:rFonts w:cs="Times New Roman"/>
          <w:i w:val="0"/>
          <w:szCs w:val="24"/>
          <w:lang w:val="fr-CA"/>
        </w:rPr>
        <w:t>»</w:t>
      </w:r>
      <w:r w:rsidRPr="00D01B97">
        <w:rPr>
          <w:rFonts w:cs="Times New Roman"/>
          <w:szCs w:val="24"/>
          <w:lang w:val="fr-CA"/>
        </w:rPr>
        <w:t xml:space="preserve"> (</w:t>
      </w:r>
      <w:r w:rsidRPr="00D01B97">
        <w:rPr>
          <w:rFonts w:cs="Times New Roman"/>
          <w:i/>
          <w:szCs w:val="24"/>
          <w:lang w:val="fr-CA"/>
        </w:rPr>
        <w:t>LLC</w:t>
      </w:r>
      <w:r w:rsidRPr="00D01B97">
        <w:rPr>
          <w:rFonts w:cs="Times New Roman"/>
          <w:szCs w:val="24"/>
          <w:lang w:val="fr-CA"/>
        </w:rPr>
        <w:t xml:space="preserve">, art. 2).  Tout chèque est payable au porteur </w:t>
      </w:r>
      <w:r w:rsidRPr="00507F09">
        <w:rPr>
          <w:rStyle w:val="Emphasis"/>
          <w:rFonts w:cs="Times New Roman"/>
          <w:i w:val="0"/>
          <w:szCs w:val="24"/>
          <w:lang w:val="fr-CA"/>
        </w:rPr>
        <w:t xml:space="preserve">lorsqu’il est libellé au porteur ou </w:t>
      </w:r>
      <w:r w:rsidRPr="00507F09">
        <w:rPr>
          <w:rStyle w:val="Emphasis"/>
          <w:rFonts w:cs="Times New Roman"/>
          <w:i w:val="0"/>
          <w:szCs w:val="24"/>
          <w:lang w:val="fr-CA"/>
        </w:rPr>
        <w:lastRenderedPageBreak/>
        <w:t>lorsque l’unique ou le dernier endossement est un endossement en blanc</w:t>
      </w:r>
      <w:r w:rsidRPr="00D01B97">
        <w:rPr>
          <w:rFonts w:cs="Times New Roman"/>
          <w:szCs w:val="24"/>
          <w:lang w:val="fr-CA"/>
        </w:rPr>
        <w:t xml:space="preserve"> (</w:t>
      </w:r>
      <w:r w:rsidRPr="00D01B97">
        <w:rPr>
          <w:rFonts w:cs="Times New Roman"/>
          <w:i/>
          <w:szCs w:val="24"/>
          <w:lang w:val="fr-CA"/>
        </w:rPr>
        <w:t>LLC</w:t>
      </w:r>
      <w:r w:rsidRPr="00D01B97">
        <w:rPr>
          <w:rFonts w:cs="Times New Roman"/>
          <w:szCs w:val="24"/>
          <w:lang w:val="fr-CA"/>
        </w:rPr>
        <w:t>, par. 20(3)).  En l’espèce, les chèques ne stipulaient pas qu’ils étaient payables au porteur, et ils n’étaient pas endossés en blanc.  Une fois les chèques remis à la banque en vue de leur dépôt au compte conjoint,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n’é</w:t>
      </w:r>
      <w:r w:rsidR="00EE7529">
        <w:rPr>
          <w:rFonts w:cs="Times New Roman"/>
          <w:szCs w:val="24"/>
          <w:lang w:val="fr-CA"/>
        </w:rPr>
        <w:t>tait plus en possession de ceux-</w:t>
      </w:r>
      <w:r w:rsidRPr="00D01B97">
        <w:rPr>
          <w:rFonts w:cs="Times New Roman"/>
          <w:szCs w:val="24"/>
          <w:lang w:val="fr-CA"/>
        </w:rPr>
        <w:t>ci, il n’y avait pas droit et il n’en était donc pas le détenteur.</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Plus important encore, la démarche de Canada et l’interprétation du juge de la Cour de l’impôt font </w:t>
      </w:r>
      <w:proofErr w:type="gramStart"/>
      <w:r w:rsidRPr="00D01B97">
        <w:rPr>
          <w:rFonts w:cs="Times New Roman"/>
          <w:szCs w:val="24"/>
          <w:lang w:val="fr-CA"/>
        </w:rPr>
        <w:t>toutes les deux abstraction</w:t>
      </w:r>
      <w:proofErr w:type="gramEnd"/>
      <w:r w:rsidRPr="00D01B97">
        <w:rPr>
          <w:rFonts w:cs="Times New Roman"/>
          <w:szCs w:val="24"/>
          <w:lang w:val="fr-CA"/>
        </w:rPr>
        <w:t xml:space="preserve"> de la question de savoir à quel titre </w:t>
      </w:r>
      <w:proofErr w:type="spellStart"/>
      <w:r w:rsidRPr="00D01B97">
        <w:rPr>
          <w:rFonts w:cs="Times New Roman"/>
          <w:szCs w:val="24"/>
          <w:lang w:val="fr-CA"/>
        </w:rPr>
        <w:t>Trustco</w:t>
      </w:r>
      <w:proofErr w:type="spellEnd"/>
      <w:r w:rsidRPr="00D01B97">
        <w:rPr>
          <w:rFonts w:cs="Times New Roman"/>
          <w:szCs w:val="24"/>
          <w:lang w:val="fr-CA"/>
        </w:rPr>
        <w:t xml:space="preserve"> avait agi.  La réception par la banque d’un chèque en vue de son dépôt emporte des obligations qui découlent tant de la </w:t>
      </w:r>
      <w:proofErr w:type="spellStart"/>
      <w:r w:rsidRPr="00D01B97">
        <w:rPr>
          <w:rFonts w:cs="Times New Roman"/>
          <w:szCs w:val="24"/>
          <w:lang w:val="fr-CA"/>
        </w:rPr>
        <w:t>common</w:t>
      </w:r>
      <w:proofErr w:type="spellEnd"/>
      <w:r w:rsidRPr="00D01B97">
        <w:rPr>
          <w:rFonts w:cs="Times New Roman"/>
          <w:szCs w:val="24"/>
          <w:lang w:val="fr-CA"/>
        </w:rPr>
        <w:t xml:space="preserve"> </w:t>
      </w:r>
      <w:proofErr w:type="spellStart"/>
      <w:r w:rsidRPr="00D01B97">
        <w:rPr>
          <w:rFonts w:cs="Times New Roman"/>
          <w:szCs w:val="24"/>
          <w:lang w:val="fr-CA"/>
        </w:rPr>
        <w:t>law</w:t>
      </w:r>
      <w:proofErr w:type="spellEnd"/>
      <w:r w:rsidRPr="00D01B97">
        <w:rPr>
          <w:rFonts w:cs="Times New Roman"/>
          <w:szCs w:val="24"/>
          <w:lang w:val="fr-CA"/>
        </w:rPr>
        <w:t xml:space="preserve"> que du contrat bancaire.  Voici comment la professeure </w:t>
      </w:r>
      <w:proofErr w:type="spellStart"/>
      <w:r w:rsidRPr="00D01B97">
        <w:rPr>
          <w:rFonts w:cs="Times New Roman"/>
          <w:szCs w:val="24"/>
          <w:lang w:val="fr-CA"/>
        </w:rPr>
        <w:t>Ogilvie</w:t>
      </w:r>
      <w:proofErr w:type="spellEnd"/>
      <w:r w:rsidRPr="00D01B97">
        <w:rPr>
          <w:rFonts w:cs="Times New Roman"/>
          <w:szCs w:val="24"/>
          <w:lang w:val="fr-CA"/>
        </w:rPr>
        <w:t xml:space="preserve"> décrit la situation juridique de la banque en pareil cas :</w:t>
      </w:r>
    </w:p>
    <w:p w:rsidR="00857221" w:rsidRPr="00D01B97" w:rsidRDefault="00857221" w:rsidP="00EE7529">
      <w:pPr>
        <w:pStyle w:val="Citation-AltC"/>
        <w:tabs>
          <w:tab w:val="left" w:pos="1170"/>
        </w:tabs>
        <w:spacing w:after="240"/>
        <w:ind w:hanging="1166"/>
        <w:contextualSpacing w:val="0"/>
        <w:rPr>
          <w:szCs w:val="24"/>
          <w:lang w:val="fr-CA"/>
        </w:rPr>
      </w:pPr>
      <w:r w:rsidRPr="00D01B97">
        <w:rPr>
          <w:szCs w:val="24"/>
          <w:lang w:val="fr-CA"/>
        </w:rPr>
        <w:tab/>
      </w:r>
      <w:r w:rsidR="005549DE" w:rsidRPr="00D01B97">
        <w:rPr>
          <w:smallCaps/>
          <w:szCs w:val="24"/>
          <w:lang w:val="fr-CA"/>
        </w:rPr>
        <w:t>[traduction]</w:t>
      </w:r>
      <w:r w:rsidR="005549DE">
        <w:rPr>
          <w:smallCaps/>
          <w:szCs w:val="24"/>
          <w:lang w:val="fr-CA"/>
        </w:rPr>
        <w:t xml:space="preserve"> </w:t>
      </w:r>
      <w:r w:rsidRPr="00D01B97">
        <w:rPr>
          <w:szCs w:val="24"/>
          <w:lang w:val="fr-CA"/>
        </w:rPr>
        <w:t xml:space="preserve">Lorsqu’un </w:t>
      </w:r>
      <w:r w:rsidRPr="00EE7529">
        <w:rPr>
          <w:lang w:val="fr-CA"/>
        </w:rPr>
        <w:t>client</w:t>
      </w:r>
      <w:r w:rsidRPr="00D01B97">
        <w:rPr>
          <w:szCs w:val="24"/>
          <w:lang w:val="fr-CA"/>
        </w:rPr>
        <w:t>, le preneur d’un chèque, dépose un chèque ou un autre effet dans un compte qu’il détient à la banque, celle</w:t>
      </w:r>
      <w:r w:rsidR="00EE7529">
        <w:rPr>
          <w:szCs w:val="24"/>
          <w:lang w:val="fr-CA"/>
        </w:rPr>
        <w:t>-</w:t>
      </w:r>
      <w:r w:rsidRPr="00D01B97">
        <w:rPr>
          <w:szCs w:val="24"/>
          <w:lang w:val="fr-CA"/>
        </w:rPr>
        <w:t>ci devient alors la banque d’encaissement et elle doit, à ce titre, présenter le chèque par l’entremise du système de compensation</w:t>
      </w:r>
      <w:r w:rsidR="00EE7529">
        <w:rPr>
          <w:szCs w:val="24"/>
          <w:lang w:val="fr-CA"/>
        </w:rPr>
        <w:t xml:space="preserve"> à la banque de paiement, c’est-</w:t>
      </w:r>
      <w:r w:rsidRPr="00D01B97">
        <w:rPr>
          <w:szCs w:val="24"/>
          <w:lang w:val="fr-CA"/>
        </w:rPr>
        <w:t>à</w:t>
      </w:r>
      <w:r w:rsidR="00EE7529">
        <w:rPr>
          <w:szCs w:val="24"/>
          <w:lang w:val="fr-CA"/>
        </w:rPr>
        <w:t>-</w:t>
      </w:r>
      <w:r w:rsidRPr="00D01B97">
        <w:rPr>
          <w:szCs w:val="24"/>
          <w:lang w:val="fr-CA"/>
        </w:rPr>
        <w:t>dire la banque du tireur du chèque dont le compte à la banque de paiement est censé servir au paiement du chèque.</w:t>
      </w:r>
    </w:p>
    <w:p w:rsidR="00857221" w:rsidRPr="00D01B97" w:rsidRDefault="00857221" w:rsidP="00EE7529">
      <w:pPr>
        <w:pStyle w:val="Citation-AltC"/>
        <w:tabs>
          <w:tab w:val="left" w:pos="1170"/>
        </w:tabs>
        <w:ind w:hanging="1166"/>
        <w:contextualSpacing w:val="0"/>
        <w:rPr>
          <w:szCs w:val="24"/>
          <w:lang w:val="en-US"/>
        </w:rPr>
      </w:pPr>
      <w:r w:rsidRPr="00D01B97">
        <w:rPr>
          <w:szCs w:val="24"/>
          <w:lang w:val="fr-CA"/>
        </w:rPr>
        <w:tab/>
      </w:r>
      <w:r w:rsidRPr="00D01B97">
        <w:rPr>
          <w:szCs w:val="24"/>
          <w:lang w:val="en-US"/>
        </w:rPr>
        <w:t xml:space="preserve">(M. H. Ogilvie, </w:t>
      </w:r>
      <w:r w:rsidRPr="00D01B97">
        <w:rPr>
          <w:i/>
          <w:szCs w:val="24"/>
          <w:lang w:val="en-US"/>
        </w:rPr>
        <w:t>Bank and Customer Law in Canada</w:t>
      </w:r>
      <w:r w:rsidRPr="00D01B97">
        <w:rPr>
          <w:szCs w:val="24"/>
          <w:lang w:val="en-US"/>
        </w:rPr>
        <w:t xml:space="preserve"> </w:t>
      </w:r>
      <w:r w:rsidRPr="00EE7529">
        <w:rPr>
          <w:szCs w:val="24"/>
          <w:lang w:val="en-US"/>
        </w:rPr>
        <w:t>(</w:t>
      </w:r>
      <w:r w:rsidRPr="00D01B97">
        <w:rPr>
          <w:szCs w:val="24"/>
          <w:lang w:val="en-US"/>
        </w:rPr>
        <w:t>2007), p. 288)</w:t>
      </w:r>
    </w:p>
    <w:p w:rsidR="00857221" w:rsidRPr="00D01B97" w:rsidRDefault="00857221" w:rsidP="00857221">
      <w:pPr>
        <w:pStyle w:val="ContinueParaSuitedupar-AltP"/>
        <w:rPr>
          <w:rFonts w:cs="Times New Roman"/>
          <w:szCs w:val="24"/>
          <w:lang w:val="fr-CA"/>
        </w:rPr>
      </w:pPr>
      <w:r w:rsidRPr="00D01B97">
        <w:rPr>
          <w:rFonts w:cs="Times New Roman"/>
          <w:szCs w:val="24"/>
          <w:lang w:val="fr-CA"/>
        </w:rPr>
        <w:t xml:space="preserve">Si c’est dans </w:t>
      </w:r>
      <w:r w:rsidRPr="00D01B97">
        <w:rPr>
          <w:rFonts w:cs="Times New Roman"/>
          <w:i/>
          <w:szCs w:val="24"/>
          <w:lang w:val="fr-CA"/>
        </w:rPr>
        <w:t>Foley c. Hill</w:t>
      </w:r>
      <w:r w:rsidRPr="00D01B97">
        <w:rPr>
          <w:rFonts w:cs="Times New Roman"/>
          <w:szCs w:val="24"/>
          <w:lang w:val="fr-CA"/>
        </w:rPr>
        <w:t xml:space="preserve"> que la Chambre des Lords a établi qu’une banque avait l’obligation contractuelle implicite d’honorer les chèques tirés par son client, c’est dans l’arrêt </w:t>
      </w:r>
      <w:proofErr w:type="spellStart"/>
      <w:r w:rsidRPr="00D01B97">
        <w:rPr>
          <w:rFonts w:cs="Times New Roman"/>
          <w:i/>
          <w:szCs w:val="24"/>
          <w:lang w:val="fr-CA"/>
        </w:rPr>
        <w:t>Joachimson</w:t>
      </w:r>
      <w:proofErr w:type="spellEnd"/>
      <w:r w:rsidRPr="00D01B97">
        <w:rPr>
          <w:rFonts w:cs="Times New Roman"/>
          <w:i/>
          <w:szCs w:val="24"/>
          <w:lang w:val="fr-CA"/>
        </w:rPr>
        <w:t xml:space="preserve"> c. </w:t>
      </w:r>
      <w:proofErr w:type="spellStart"/>
      <w:r w:rsidRPr="00D01B97">
        <w:rPr>
          <w:rFonts w:cs="Times New Roman"/>
          <w:i/>
          <w:szCs w:val="24"/>
          <w:lang w:val="fr-CA"/>
        </w:rPr>
        <w:t>Swiss</w:t>
      </w:r>
      <w:proofErr w:type="spellEnd"/>
      <w:r w:rsidRPr="00D01B97">
        <w:rPr>
          <w:rFonts w:cs="Times New Roman"/>
          <w:i/>
          <w:szCs w:val="24"/>
          <w:lang w:val="fr-CA"/>
        </w:rPr>
        <w:t xml:space="preserve"> Bank Corp.</w:t>
      </w:r>
      <w:r w:rsidRPr="00D01B97">
        <w:rPr>
          <w:rFonts w:cs="Times New Roman"/>
          <w:szCs w:val="24"/>
          <w:lang w:val="fr-CA"/>
        </w:rPr>
        <w:t xml:space="preserve">, [1921] 3 K.B. 110, que l’obligation d’encaisser le produit d’un chèque a été qualifiée comme étant l’une des règles de </w:t>
      </w:r>
      <w:proofErr w:type="spellStart"/>
      <w:r w:rsidRPr="00D01B97">
        <w:rPr>
          <w:rFonts w:cs="Times New Roman"/>
          <w:szCs w:val="24"/>
          <w:lang w:val="fr-CA"/>
        </w:rPr>
        <w:t>common</w:t>
      </w:r>
      <w:proofErr w:type="spellEnd"/>
      <w:r w:rsidRPr="00D01B97">
        <w:rPr>
          <w:rFonts w:cs="Times New Roman"/>
          <w:szCs w:val="24"/>
          <w:lang w:val="fr-CA"/>
        </w:rPr>
        <w:t xml:space="preserve"> </w:t>
      </w:r>
      <w:proofErr w:type="spellStart"/>
      <w:r w:rsidRPr="00D01B97">
        <w:rPr>
          <w:rFonts w:cs="Times New Roman"/>
          <w:szCs w:val="24"/>
          <w:lang w:val="fr-CA"/>
        </w:rPr>
        <w:t>law</w:t>
      </w:r>
      <w:proofErr w:type="spellEnd"/>
      <w:r w:rsidRPr="00D01B97">
        <w:rPr>
          <w:rFonts w:cs="Times New Roman"/>
          <w:szCs w:val="24"/>
          <w:lang w:val="fr-CA"/>
        </w:rPr>
        <w:t xml:space="preserve"> inhérentes au contrat bancaire : </w:t>
      </w:r>
      <w:r w:rsidRPr="00D01B97">
        <w:rPr>
          <w:rFonts w:cs="Times New Roman"/>
          <w:smallCaps/>
          <w:szCs w:val="24"/>
          <w:lang w:val="fr-CA"/>
        </w:rPr>
        <w:t>[traduction]</w:t>
      </w:r>
      <w:r w:rsidR="00507F09">
        <w:rPr>
          <w:rFonts w:cs="Times New Roman"/>
          <w:szCs w:val="24"/>
          <w:lang w:val="fr-CA"/>
        </w:rPr>
        <w:t xml:space="preserve"> « L</w:t>
      </w:r>
      <w:r w:rsidRPr="00D01B97">
        <w:rPr>
          <w:rFonts w:cs="Times New Roman"/>
          <w:szCs w:val="24"/>
          <w:lang w:val="fr-CA"/>
        </w:rPr>
        <w:t xml:space="preserve">a banque s’engage à </w:t>
      </w:r>
      <w:r w:rsidRPr="00D01B97">
        <w:rPr>
          <w:rFonts w:cs="Times New Roman"/>
          <w:szCs w:val="24"/>
          <w:lang w:val="fr-CA"/>
        </w:rPr>
        <w:lastRenderedPageBreak/>
        <w:t>recevoir des fonds et à encaisser des lettres pour le co</w:t>
      </w:r>
      <w:r w:rsidR="000074EA">
        <w:rPr>
          <w:rFonts w:cs="Times New Roman"/>
          <w:szCs w:val="24"/>
          <w:lang w:val="fr-CA"/>
        </w:rPr>
        <w:t>mpte de son client » (p. 127)</w:t>
      </w:r>
      <w:r w:rsidR="00B26263">
        <w:rPr>
          <w:rFonts w:cs="Times New Roman"/>
          <w:szCs w:val="24"/>
          <w:lang w:val="fr-CA"/>
        </w:rPr>
        <w:t>.</w:t>
      </w:r>
      <w:r w:rsidR="000074EA">
        <w:rPr>
          <w:rFonts w:cs="Times New Roman"/>
          <w:szCs w:val="24"/>
          <w:lang w:val="fr-CA"/>
        </w:rPr>
        <w:t xml:space="preserve"> (Voir également </w:t>
      </w:r>
      <w:proofErr w:type="spellStart"/>
      <w:r w:rsidR="000074EA">
        <w:rPr>
          <w:rFonts w:cs="Times New Roman"/>
          <w:szCs w:val="24"/>
          <w:lang w:val="fr-CA"/>
        </w:rPr>
        <w:t>Ogilvie</w:t>
      </w:r>
      <w:proofErr w:type="spellEnd"/>
      <w:r w:rsidR="000074EA">
        <w:rPr>
          <w:rFonts w:cs="Times New Roman"/>
          <w:szCs w:val="24"/>
          <w:lang w:val="fr-CA"/>
        </w:rPr>
        <w:t xml:space="preserve">, </w:t>
      </w:r>
      <w:r w:rsidRPr="00D01B97">
        <w:rPr>
          <w:rFonts w:cs="Times New Roman"/>
          <w:szCs w:val="24"/>
          <w:lang w:val="fr-CA"/>
        </w:rPr>
        <w:t>p. 288</w:t>
      </w:r>
      <w:r w:rsidR="000074EA">
        <w:rPr>
          <w:rFonts w:cs="Times New Roman"/>
          <w:szCs w:val="24"/>
          <w:lang w:val="fr-CA"/>
        </w:rPr>
        <w:t>.)</w:t>
      </w:r>
      <w:r w:rsidRPr="00D01B97">
        <w:rPr>
          <w:rFonts w:cs="Times New Roman"/>
          <w:szCs w:val="24"/>
          <w:lang w:val="fr-CA"/>
        </w:rPr>
        <w:t xml:space="preserve">  Le professeur </w:t>
      </w:r>
      <w:proofErr w:type="spellStart"/>
      <w:r w:rsidRPr="00D01B97">
        <w:rPr>
          <w:rFonts w:cs="Times New Roman"/>
          <w:szCs w:val="24"/>
          <w:lang w:val="fr-CA"/>
        </w:rPr>
        <w:t>Goode</w:t>
      </w:r>
      <w:proofErr w:type="spellEnd"/>
      <w:r w:rsidRPr="00D01B97">
        <w:rPr>
          <w:rFonts w:cs="Times New Roman"/>
          <w:szCs w:val="24"/>
          <w:lang w:val="fr-CA"/>
        </w:rPr>
        <w:t xml:space="preserve"> ajoute que, dans le cas où le client ne dit pas à sa banque ce qu’il attend d’elle, on peut présumer que la banque agit à titre de banque d’encaissement</w:t>
      </w:r>
      <w:r w:rsidR="00507F09">
        <w:rPr>
          <w:rFonts w:cs="Times New Roman"/>
          <w:szCs w:val="24"/>
          <w:lang w:val="fr-CA"/>
        </w:rPr>
        <w:t xml:space="preserve"> : </w:t>
      </w:r>
      <w:r w:rsidRPr="00D01B97">
        <w:rPr>
          <w:rFonts w:cs="Times New Roman"/>
          <w:szCs w:val="24"/>
          <w:lang w:val="fr-CA"/>
        </w:rPr>
        <w:t xml:space="preserve">R. M. </w:t>
      </w:r>
      <w:proofErr w:type="spellStart"/>
      <w:r w:rsidRPr="00D01B97">
        <w:rPr>
          <w:rFonts w:cs="Times New Roman"/>
          <w:szCs w:val="24"/>
          <w:lang w:val="fr-CA"/>
        </w:rPr>
        <w:t>Goode</w:t>
      </w:r>
      <w:proofErr w:type="spellEnd"/>
      <w:r w:rsidRPr="00D01B97">
        <w:rPr>
          <w:rFonts w:cs="Times New Roman"/>
          <w:szCs w:val="24"/>
          <w:lang w:val="fr-CA"/>
        </w:rPr>
        <w:t>, « </w:t>
      </w:r>
      <w:proofErr w:type="spellStart"/>
      <w:r w:rsidRPr="00D01B97">
        <w:rPr>
          <w:rFonts w:cs="Times New Roman"/>
          <w:szCs w:val="24"/>
          <w:lang w:val="fr-CA"/>
        </w:rPr>
        <w:t>When</w:t>
      </w:r>
      <w:proofErr w:type="spellEnd"/>
      <w:r w:rsidRPr="00D01B97">
        <w:rPr>
          <w:rFonts w:cs="Times New Roman"/>
          <w:szCs w:val="24"/>
          <w:lang w:val="fr-CA"/>
        </w:rPr>
        <w:t xml:space="preserve"> </w:t>
      </w:r>
      <w:proofErr w:type="spellStart"/>
      <w:r w:rsidRPr="00D01B97">
        <w:rPr>
          <w:rFonts w:cs="Times New Roman"/>
          <w:szCs w:val="24"/>
          <w:lang w:val="fr-CA"/>
        </w:rPr>
        <w:t>is</w:t>
      </w:r>
      <w:proofErr w:type="spellEnd"/>
      <w:r w:rsidRPr="00D01B97">
        <w:rPr>
          <w:rFonts w:cs="Times New Roman"/>
          <w:szCs w:val="24"/>
          <w:lang w:val="fr-CA"/>
        </w:rPr>
        <w:t xml:space="preserve"> a cheque </w:t>
      </w:r>
      <w:proofErr w:type="spellStart"/>
      <w:r w:rsidRPr="00D01B97">
        <w:rPr>
          <w:rFonts w:cs="Times New Roman"/>
          <w:szCs w:val="24"/>
          <w:lang w:val="fr-CA"/>
        </w:rPr>
        <w:t>paid</w:t>
      </w:r>
      <w:proofErr w:type="spellEnd"/>
      <w:r w:rsidRPr="00D01B97">
        <w:rPr>
          <w:rFonts w:cs="Times New Roman"/>
          <w:szCs w:val="24"/>
          <w:lang w:val="fr-CA"/>
        </w:rPr>
        <w:t xml:space="preserve">? », [1983] </w:t>
      </w:r>
      <w:r w:rsidRPr="00D01B97">
        <w:rPr>
          <w:rFonts w:cs="Times New Roman"/>
          <w:i/>
          <w:szCs w:val="24"/>
          <w:lang w:val="fr-CA"/>
        </w:rPr>
        <w:t>J. Bus. L.</w:t>
      </w:r>
      <w:r w:rsidRPr="00D01B97">
        <w:rPr>
          <w:rFonts w:cs="Times New Roman"/>
          <w:szCs w:val="24"/>
          <w:lang w:val="fr-CA"/>
        </w:rPr>
        <w:t xml:space="preserve"> 164, p. 164.</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Pour que l’obligation de la banque d’encaissement envers son client entre en jeu, il doit y avoir un chèque à bon droit payable et il ne doit pas exister de circonstances suspectes.  Pour encaisser un chèque qui a été déposé, la banque d’encaissement doit faire preuve de diligence raisonnable lorsqu’elle choisit la méthode d’encaissement, elle doit présenter promptement le chèque en vue de son encaissement, en recevoir le paiement, et le porter au crédit du compte du client ou, le cas échéant, donner avis du refus de la banque tirée (B. Crawford, </w:t>
      </w:r>
      <w:r w:rsidRPr="00D01B97">
        <w:rPr>
          <w:rFonts w:cs="Times New Roman"/>
          <w:i/>
          <w:szCs w:val="24"/>
          <w:lang w:val="fr-CA"/>
        </w:rPr>
        <w:t xml:space="preserve">The Law of </w:t>
      </w:r>
      <w:proofErr w:type="spellStart"/>
      <w:r w:rsidRPr="00D01B97">
        <w:rPr>
          <w:rFonts w:cs="Times New Roman"/>
          <w:i/>
          <w:szCs w:val="24"/>
          <w:lang w:val="fr-CA"/>
        </w:rPr>
        <w:t>Banking</w:t>
      </w:r>
      <w:proofErr w:type="spellEnd"/>
      <w:r w:rsidRPr="00D01B97">
        <w:rPr>
          <w:rFonts w:cs="Times New Roman"/>
          <w:i/>
          <w:szCs w:val="24"/>
          <w:lang w:val="fr-CA"/>
        </w:rPr>
        <w:t xml:space="preserve"> and </w:t>
      </w:r>
      <w:proofErr w:type="spellStart"/>
      <w:r w:rsidRPr="00D01B97">
        <w:rPr>
          <w:rFonts w:cs="Times New Roman"/>
          <w:i/>
          <w:szCs w:val="24"/>
          <w:lang w:val="fr-CA"/>
        </w:rPr>
        <w:t>Payment</w:t>
      </w:r>
      <w:proofErr w:type="spellEnd"/>
      <w:r w:rsidRPr="00D01B97">
        <w:rPr>
          <w:rFonts w:cs="Times New Roman"/>
          <w:i/>
          <w:szCs w:val="24"/>
          <w:lang w:val="fr-CA"/>
        </w:rPr>
        <w:t xml:space="preserve"> in Canada</w:t>
      </w:r>
      <w:r w:rsidR="00335E87">
        <w:rPr>
          <w:rFonts w:cs="Times New Roman"/>
          <w:szCs w:val="24"/>
          <w:lang w:val="fr-CA"/>
        </w:rPr>
        <w:t xml:space="preserve"> (feuilles mobiles), </w:t>
      </w:r>
      <w:r w:rsidR="00507F09">
        <w:rPr>
          <w:rFonts w:cs="Times New Roman"/>
          <w:szCs w:val="24"/>
          <w:lang w:val="fr-CA"/>
        </w:rPr>
        <w:t>vol. 2, p. 10-43, 10-46 et 10-</w:t>
      </w:r>
      <w:r w:rsidRPr="00D01B97">
        <w:rPr>
          <w:rFonts w:cs="Times New Roman"/>
          <w:szCs w:val="24"/>
          <w:lang w:val="fr-CA"/>
        </w:rPr>
        <w:t>51; E. P. </w:t>
      </w:r>
      <w:proofErr w:type="spellStart"/>
      <w:r w:rsidRPr="00D01B97">
        <w:rPr>
          <w:rFonts w:cs="Times New Roman"/>
          <w:szCs w:val="24"/>
          <w:lang w:val="fr-CA"/>
        </w:rPr>
        <w:t>Ellinger</w:t>
      </w:r>
      <w:proofErr w:type="spellEnd"/>
      <w:r w:rsidRPr="00D01B97">
        <w:rPr>
          <w:rFonts w:cs="Times New Roman"/>
          <w:szCs w:val="24"/>
          <w:lang w:val="fr-CA"/>
        </w:rPr>
        <w:t>, E. </w:t>
      </w:r>
      <w:proofErr w:type="spellStart"/>
      <w:r w:rsidRPr="00D01B97">
        <w:rPr>
          <w:rFonts w:cs="Times New Roman"/>
          <w:szCs w:val="24"/>
          <w:lang w:val="fr-CA"/>
        </w:rPr>
        <w:t>Lomnicka</w:t>
      </w:r>
      <w:proofErr w:type="spellEnd"/>
      <w:r w:rsidRPr="00D01B97">
        <w:rPr>
          <w:rFonts w:cs="Times New Roman"/>
          <w:szCs w:val="24"/>
          <w:lang w:val="fr-CA"/>
        </w:rPr>
        <w:t xml:space="preserve"> et R. </w:t>
      </w:r>
      <w:proofErr w:type="spellStart"/>
      <w:r w:rsidRPr="00D01B97">
        <w:rPr>
          <w:rFonts w:cs="Times New Roman"/>
          <w:szCs w:val="24"/>
          <w:lang w:val="fr-CA"/>
        </w:rPr>
        <w:t>Hooley</w:t>
      </w:r>
      <w:proofErr w:type="spellEnd"/>
      <w:r w:rsidRPr="00D01B97">
        <w:rPr>
          <w:rFonts w:cs="Times New Roman"/>
          <w:szCs w:val="24"/>
          <w:lang w:val="fr-CA"/>
        </w:rPr>
        <w:t>,</w:t>
      </w:r>
      <w:r w:rsidRPr="00D01B97">
        <w:rPr>
          <w:rFonts w:cs="Times New Roman"/>
          <w:i/>
          <w:szCs w:val="24"/>
          <w:lang w:val="fr-CA"/>
        </w:rPr>
        <w:t xml:space="preserve"> Modern </w:t>
      </w:r>
      <w:proofErr w:type="spellStart"/>
      <w:r w:rsidRPr="00D01B97">
        <w:rPr>
          <w:rFonts w:cs="Times New Roman"/>
          <w:i/>
          <w:szCs w:val="24"/>
          <w:lang w:val="fr-CA"/>
        </w:rPr>
        <w:t>Banking</w:t>
      </w:r>
      <w:proofErr w:type="spellEnd"/>
      <w:r w:rsidRPr="00D01B97">
        <w:rPr>
          <w:rFonts w:cs="Times New Roman"/>
          <w:i/>
          <w:szCs w:val="24"/>
          <w:lang w:val="fr-CA"/>
        </w:rPr>
        <w:t xml:space="preserve"> Law</w:t>
      </w:r>
      <w:r w:rsidRPr="00D01B97">
        <w:rPr>
          <w:rFonts w:cs="Times New Roman"/>
          <w:szCs w:val="24"/>
          <w:lang w:val="fr-CA"/>
        </w:rPr>
        <w:t xml:space="preserve"> (3</w:t>
      </w:r>
      <w:r w:rsidRPr="00D01B97">
        <w:rPr>
          <w:rFonts w:cs="Times New Roman"/>
          <w:szCs w:val="24"/>
          <w:vertAlign w:val="superscript"/>
          <w:lang w:val="fr-CA"/>
        </w:rPr>
        <w:t>e</w:t>
      </w:r>
      <w:r w:rsidRPr="00D01B97">
        <w:rPr>
          <w:rFonts w:cs="Times New Roman"/>
          <w:szCs w:val="24"/>
          <w:lang w:val="fr-CA"/>
        </w:rPr>
        <w:t xml:space="preserve"> éd. 2002), p. 598).</w:t>
      </w:r>
    </w:p>
    <w:p w:rsidR="00857221" w:rsidRPr="00D01B97" w:rsidRDefault="00857221" w:rsidP="00857221">
      <w:pPr>
        <w:pStyle w:val="ParaNoNdepar-AltN"/>
        <w:rPr>
          <w:rFonts w:cs="Times New Roman"/>
          <w:szCs w:val="24"/>
          <w:lang w:val="fr-CA"/>
        </w:rPr>
      </w:pPr>
      <w:r w:rsidRPr="00D01B97">
        <w:rPr>
          <w:rFonts w:cs="Times New Roman"/>
          <w:szCs w:val="24"/>
          <w:lang w:val="fr-CA"/>
        </w:rPr>
        <w:t>La situation dans laquelle se trouve la banque qui porte le produit du chèque au crédit du compte de son client avant même de l’avoir reçu soulève, pour reprendre les mots de Crawford (p. 24</w:t>
      </w:r>
      <w:r w:rsidRPr="00D01B97">
        <w:rPr>
          <w:rFonts w:cs="Times New Roman"/>
          <w:szCs w:val="24"/>
          <w:lang w:val="fr-CA"/>
        </w:rPr>
        <w:noBreakHyphen/>
        <w:t xml:space="preserve">6), un </w:t>
      </w:r>
      <w:r w:rsidRPr="00D01B97">
        <w:rPr>
          <w:rFonts w:cs="Times New Roman"/>
          <w:smallCaps/>
          <w:szCs w:val="24"/>
          <w:lang w:val="fr-CA"/>
        </w:rPr>
        <w:t>[traduction]</w:t>
      </w:r>
      <w:r w:rsidRPr="00D01B97">
        <w:rPr>
          <w:rFonts w:cs="Times New Roman"/>
          <w:szCs w:val="24"/>
          <w:lang w:val="fr-CA"/>
        </w:rPr>
        <w:t xml:space="preserve"> « problème conceptuel intéressant ».</w:t>
      </w:r>
      <w:r>
        <w:rPr>
          <w:rFonts w:cs="Times New Roman"/>
          <w:szCs w:val="24"/>
          <w:lang w:val="fr-CA"/>
        </w:rPr>
        <w:t xml:space="preserve"> </w:t>
      </w:r>
      <w:r w:rsidRPr="00D01B97">
        <w:rPr>
          <w:rFonts w:cs="Times New Roman"/>
          <w:szCs w:val="24"/>
          <w:lang w:val="fr-CA"/>
        </w:rPr>
        <w:t xml:space="preserve"> Toutefois, comme il le souligne à juste titre, cette question intéressante n’a aucune importance pratique au Canada.  Le paragraphe 165(3) de la </w:t>
      </w:r>
      <w:r w:rsidRPr="00D01B97">
        <w:rPr>
          <w:rFonts w:cs="Times New Roman"/>
          <w:i/>
          <w:szCs w:val="24"/>
          <w:lang w:val="fr-CA"/>
        </w:rPr>
        <w:t>LLC</w:t>
      </w:r>
      <w:r w:rsidRPr="00D01B97">
        <w:rPr>
          <w:rFonts w:cs="Times New Roman"/>
          <w:szCs w:val="24"/>
          <w:lang w:val="fr-CA"/>
        </w:rPr>
        <w:t xml:space="preserve"> prévoit que la banque qui reçoit un chèque pour dépôt acquiert tous les droits et pouvoirs du </w:t>
      </w:r>
      <w:r w:rsidRPr="00D01B97">
        <w:rPr>
          <w:rFonts w:cs="Times New Roman"/>
          <w:szCs w:val="24"/>
          <w:lang w:val="fr-CA"/>
        </w:rPr>
        <w:lastRenderedPageBreak/>
        <w:t>détenteur régulier du chèque (voir Crawford, p. 10</w:t>
      </w:r>
      <w:r w:rsidRPr="00D01B97">
        <w:rPr>
          <w:rFonts w:cs="Times New Roman"/>
          <w:szCs w:val="24"/>
          <w:lang w:val="fr-CA"/>
        </w:rPr>
        <w:noBreakHyphen/>
        <w:t>78; J. S. </w:t>
      </w:r>
      <w:proofErr w:type="spellStart"/>
      <w:r w:rsidRPr="00D01B97">
        <w:rPr>
          <w:rFonts w:cs="Times New Roman"/>
          <w:szCs w:val="24"/>
          <w:lang w:val="fr-CA"/>
        </w:rPr>
        <w:t>Ziegel</w:t>
      </w:r>
      <w:proofErr w:type="spellEnd"/>
      <w:r w:rsidRPr="00D01B97">
        <w:rPr>
          <w:rFonts w:cs="Times New Roman"/>
          <w:szCs w:val="24"/>
          <w:lang w:val="fr-CA"/>
        </w:rPr>
        <w:t xml:space="preserve">, B. </w:t>
      </w:r>
      <w:proofErr w:type="spellStart"/>
      <w:r w:rsidRPr="00D01B97">
        <w:rPr>
          <w:rFonts w:cs="Times New Roman"/>
          <w:szCs w:val="24"/>
          <w:lang w:val="fr-CA"/>
        </w:rPr>
        <w:t>Geva</w:t>
      </w:r>
      <w:proofErr w:type="spellEnd"/>
      <w:r w:rsidRPr="00D01B97">
        <w:rPr>
          <w:rFonts w:cs="Times New Roman"/>
          <w:szCs w:val="24"/>
          <w:lang w:val="fr-CA"/>
        </w:rPr>
        <w:t xml:space="preserve"> et R.</w:t>
      </w:r>
      <w:r w:rsidR="009B2D38">
        <w:rPr>
          <w:rFonts w:cs="Times New Roman"/>
          <w:szCs w:val="24"/>
          <w:lang w:val="fr-CA"/>
        </w:rPr>
        <w:t> </w:t>
      </w:r>
      <w:r w:rsidRPr="00D01B97">
        <w:rPr>
          <w:rFonts w:cs="Times New Roman"/>
          <w:szCs w:val="24"/>
          <w:lang w:val="fr-CA"/>
        </w:rPr>
        <w:t>C.</w:t>
      </w:r>
      <w:r w:rsidR="009B2D38">
        <w:rPr>
          <w:rFonts w:cs="Times New Roman"/>
          <w:szCs w:val="24"/>
          <w:lang w:val="fr-CA"/>
        </w:rPr>
        <w:t> </w:t>
      </w:r>
      <w:r w:rsidRPr="00D01B97">
        <w:rPr>
          <w:rFonts w:cs="Times New Roman"/>
          <w:szCs w:val="24"/>
          <w:lang w:val="fr-CA"/>
        </w:rPr>
        <w:t xml:space="preserve">C. </w:t>
      </w:r>
      <w:proofErr w:type="spellStart"/>
      <w:r w:rsidRPr="00D01B97">
        <w:rPr>
          <w:rFonts w:cs="Times New Roman"/>
          <w:szCs w:val="24"/>
          <w:lang w:val="fr-CA"/>
        </w:rPr>
        <w:t>Cuming</w:t>
      </w:r>
      <w:proofErr w:type="spellEnd"/>
      <w:r w:rsidRPr="00D01B97">
        <w:rPr>
          <w:rFonts w:cs="Times New Roman"/>
          <w:szCs w:val="24"/>
          <w:lang w:val="fr-CA"/>
        </w:rPr>
        <w:t xml:space="preserve">, </w:t>
      </w:r>
      <w:r w:rsidRPr="00D01B97">
        <w:rPr>
          <w:rFonts w:cs="Times New Roman"/>
          <w:i/>
          <w:iCs/>
          <w:szCs w:val="24"/>
          <w:lang w:val="fr-CA"/>
        </w:rPr>
        <w:t>Commercial and Consumer Transactions</w:t>
      </w:r>
      <w:r w:rsidR="008B7ACE">
        <w:rPr>
          <w:rFonts w:cs="Times New Roman"/>
          <w:i/>
          <w:iCs/>
          <w:szCs w:val="24"/>
          <w:lang w:val="fr-CA"/>
        </w:rPr>
        <w:t xml:space="preserve"> </w:t>
      </w:r>
      <w:r w:rsidRPr="00D01B97">
        <w:rPr>
          <w:rFonts w:cs="Times New Roman"/>
          <w:i/>
          <w:iCs/>
          <w:szCs w:val="24"/>
          <w:lang w:val="fr-CA"/>
        </w:rPr>
        <w:t xml:space="preserve">: Cases, </w:t>
      </w:r>
      <w:proofErr w:type="spellStart"/>
      <w:r w:rsidRPr="00D01B97">
        <w:rPr>
          <w:rFonts w:cs="Times New Roman"/>
          <w:i/>
          <w:iCs/>
          <w:szCs w:val="24"/>
          <w:lang w:val="fr-CA"/>
        </w:rPr>
        <w:t>Text</w:t>
      </w:r>
      <w:proofErr w:type="spellEnd"/>
      <w:r w:rsidRPr="00D01B97">
        <w:rPr>
          <w:rFonts w:cs="Times New Roman"/>
          <w:i/>
          <w:iCs/>
          <w:szCs w:val="24"/>
          <w:lang w:val="fr-CA"/>
        </w:rPr>
        <w:t xml:space="preserve"> and </w:t>
      </w:r>
      <w:proofErr w:type="spellStart"/>
      <w:r w:rsidRPr="00D01B97">
        <w:rPr>
          <w:rFonts w:cs="Times New Roman"/>
          <w:i/>
          <w:iCs/>
          <w:szCs w:val="24"/>
          <w:lang w:val="fr-CA"/>
        </w:rPr>
        <w:t>Materials</w:t>
      </w:r>
      <w:proofErr w:type="spellEnd"/>
      <w:r w:rsidRPr="00D01B97">
        <w:rPr>
          <w:rFonts w:cs="Times New Roman"/>
          <w:i/>
          <w:iCs/>
          <w:szCs w:val="24"/>
          <w:lang w:val="fr-CA"/>
        </w:rPr>
        <w:t xml:space="preserve"> </w:t>
      </w:r>
      <w:r w:rsidRPr="00D01B97">
        <w:rPr>
          <w:rFonts w:cs="Times New Roman"/>
          <w:szCs w:val="24"/>
          <w:lang w:val="fr-CA"/>
        </w:rPr>
        <w:t>(3</w:t>
      </w:r>
      <w:r w:rsidRPr="00D01B97">
        <w:rPr>
          <w:rFonts w:cs="Times New Roman"/>
          <w:szCs w:val="24"/>
          <w:vertAlign w:val="superscript"/>
          <w:lang w:val="fr-CA"/>
        </w:rPr>
        <w:t>e</w:t>
      </w:r>
      <w:r w:rsidR="009B2D38">
        <w:rPr>
          <w:rFonts w:cs="Times New Roman"/>
          <w:szCs w:val="24"/>
          <w:lang w:val="fr-CA"/>
        </w:rPr>
        <w:t xml:space="preserve"> éd. 1995), vol. II, </w:t>
      </w:r>
      <w:r w:rsidRPr="00D01B97">
        <w:rPr>
          <w:rFonts w:cs="Times New Roman"/>
          <w:szCs w:val="24"/>
          <w:lang w:val="fr-CA"/>
        </w:rPr>
        <w:t>p. 362</w:t>
      </w:r>
      <w:r w:rsidRPr="00D01B97">
        <w:rPr>
          <w:rFonts w:cs="Times New Roman"/>
          <w:szCs w:val="24"/>
          <w:lang w:val="fr-CA"/>
        </w:rPr>
        <w:noBreakHyphen/>
        <w:t>363).</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En l’espèce, </w:t>
      </w:r>
      <w:proofErr w:type="spellStart"/>
      <w:r w:rsidRPr="00D01B97">
        <w:rPr>
          <w:rFonts w:cs="Times New Roman"/>
          <w:szCs w:val="24"/>
          <w:lang w:val="fr-CA"/>
        </w:rPr>
        <w:t>Trustco</w:t>
      </w:r>
      <w:proofErr w:type="spellEnd"/>
      <w:r w:rsidRPr="00D01B97">
        <w:rPr>
          <w:rFonts w:cs="Times New Roman"/>
          <w:szCs w:val="24"/>
          <w:lang w:val="fr-CA"/>
        </w:rPr>
        <w:t xml:space="preserve"> s’est vue remettre les chèques par le preneur,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ou par une autre personne agissant au nom de ce dernier, avec instructions de les déposer.  Non seulement M</w:t>
      </w:r>
      <w:r w:rsidRPr="00D01B97">
        <w:rPr>
          <w:rFonts w:cs="Times New Roman"/>
          <w:szCs w:val="24"/>
          <w:vertAlign w:val="superscript"/>
          <w:lang w:val="fr-CA"/>
        </w:rPr>
        <w:t>e</w:t>
      </w:r>
      <w:r w:rsidR="00EE7529">
        <w:rPr>
          <w:rFonts w:cs="Times New Roman"/>
          <w:szCs w:val="24"/>
          <w:lang w:val="fr-CA"/>
        </w:rPr>
        <w:t> </w:t>
      </w:r>
      <w:proofErr w:type="spellStart"/>
      <w:r w:rsidR="00EE7529">
        <w:rPr>
          <w:rFonts w:cs="Times New Roman"/>
          <w:szCs w:val="24"/>
          <w:lang w:val="fr-CA"/>
        </w:rPr>
        <w:t>McLeod</w:t>
      </w:r>
      <w:proofErr w:type="spellEnd"/>
      <w:r w:rsidR="00EE7529">
        <w:rPr>
          <w:rFonts w:cs="Times New Roman"/>
          <w:szCs w:val="24"/>
          <w:lang w:val="fr-CA"/>
        </w:rPr>
        <w:t xml:space="preserve"> était-</w:t>
      </w:r>
      <w:r w:rsidRPr="00D01B97">
        <w:rPr>
          <w:rFonts w:cs="Times New Roman"/>
          <w:szCs w:val="24"/>
          <w:lang w:val="fr-CA"/>
        </w:rPr>
        <w:t xml:space="preserve">il l’un des titulaires du compte conjoint, mais le contrat entre </w:t>
      </w:r>
      <w:proofErr w:type="spellStart"/>
      <w:r w:rsidRPr="00D01B97">
        <w:rPr>
          <w:rFonts w:cs="Times New Roman"/>
          <w:szCs w:val="24"/>
          <w:lang w:val="fr-CA"/>
        </w:rPr>
        <w:t>Trustco</w:t>
      </w:r>
      <w:proofErr w:type="spellEnd"/>
      <w:r w:rsidRPr="00D01B97">
        <w:rPr>
          <w:rFonts w:cs="Times New Roman"/>
          <w:szCs w:val="24"/>
          <w:lang w:val="fr-CA"/>
        </w:rPr>
        <w:t xml:space="preserve"> et les titulaires de ce compte autorisait celle</w:t>
      </w:r>
      <w:r w:rsidR="00EE7529">
        <w:rPr>
          <w:rFonts w:cs="Times New Roman"/>
          <w:szCs w:val="24"/>
          <w:lang w:val="fr-CA"/>
        </w:rPr>
        <w:t>-</w:t>
      </w:r>
      <w:r w:rsidRPr="00D01B97">
        <w:rPr>
          <w:rFonts w:cs="Times New Roman"/>
          <w:szCs w:val="24"/>
          <w:lang w:val="fr-CA"/>
        </w:rPr>
        <w:t xml:space="preserve">ci à accepter des chèques de la part de toute personne lui fournissant le numéro du compte.  Personne n’a laissé entendre que les instructions de déposer les chèques n’ont pas vraiment été données ou qu’elles ont suscité des doutes quant au pouvoir du preneur ou de son mandataire à cet égard.  Comme </w:t>
      </w:r>
      <w:proofErr w:type="spellStart"/>
      <w:r w:rsidRPr="00D01B97">
        <w:rPr>
          <w:rFonts w:cs="Times New Roman"/>
          <w:szCs w:val="24"/>
          <w:lang w:val="fr-CA"/>
        </w:rPr>
        <w:t>Trustco</w:t>
      </w:r>
      <w:proofErr w:type="spellEnd"/>
      <w:r w:rsidRPr="00D01B97">
        <w:rPr>
          <w:rFonts w:cs="Times New Roman"/>
          <w:szCs w:val="24"/>
          <w:lang w:val="fr-CA"/>
        </w:rPr>
        <w:t xml:space="preserve"> était en possession légitime des chèques, on peut conclure sans risquer de se tromper qu’après les avoir reçus pour dépôt et les avoir portés au crédit du compte conjoint elle avait acquis les droits d’un détenteur régulier au sens du par. 165(3) de la </w:t>
      </w:r>
      <w:r w:rsidRPr="00D01B97">
        <w:rPr>
          <w:rFonts w:cs="Times New Roman"/>
          <w:i/>
          <w:szCs w:val="24"/>
          <w:lang w:val="fr-CA"/>
        </w:rPr>
        <w:t>LLC</w:t>
      </w:r>
      <w:r w:rsidRPr="00D01B97">
        <w:rPr>
          <w:rFonts w:cs="Times New Roman"/>
          <w:szCs w:val="24"/>
          <w:lang w:val="fr-CA"/>
        </w:rPr>
        <w:t xml:space="preserve"> et avait, à l’égard des titulaires de ce compte, une obligation contractuelle de présenter les chèques au paiement.</w:t>
      </w:r>
    </w:p>
    <w:p w:rsidR="00857221" w:rsidRPr="00D01B97" w:rsidRDefault="00857221" w:rsidP="00857221">
      <w:pPr>
        <w:pStyle w:val="ParaNoNdepar-AltN"/>
        <w:rPr>
          <w:rFonts w:cs="Times New Roman"/>
          <w:szCs w:val="24"/>
          <w:lang w:val="fr-CA"/>
        </w:rPr>
      </w:pPr>
      <w:r w:rsidRPr="00D01B97">
        <w:rPr>
          <w:rFonts w:cs="Times New Roman"/>
          <w:szCs w:val="24"/>
          <w:lang w:val="fr-CA"/>
        </w:rPr>
        <w:t>Sauf quelques exceptions qui ne s’appliquent pas en l’espèce, la présentation est une condition préalable au paiement (</w:t>
      </w:r>
      <w:r w:rsidRPr="00D01B97">
        <w:rPr>
          <w:rFonts w:cs="Times New Roman"/>
          <w:i/>
          <w:szCs w:val="24"/>
          <w:lang w:val="fr-CA"/>
        </w:rPr>
        <w:t>LLC</w:t>
      </w:r>
      <w:r w:rsidRPr="00D01B97">
        <w:rPr>
          <w:rFonts w:cs="Times New Roman"/>
          <w:szCs w:val="24"/>
          <w:lang w:val="fr-CA"/>
        </w:rPr>
        <w:t>, par. 84(1)).  La présentation doit être faite par un détenteur (</w:t>
      </w:r>
      <w:r w:rsidRPr="00D01B97">
        <w:rPr>
          <w:rFonts w:cs="Times New Roman"/>
          <w:i/>
          <w:szCs w:val="24"/>
          <w:lang w:val="fr-CA"/>
        </w:rPr>
        <w:t>LLC</w:t>
      </w:r>
      <w:r w:rsidRPr="00D01B97">
        <w:rPr>
          <w:rFonts w:cs="Times New Roman"/>
          <w:szCs w:val="24"/>
          <w:lang w:val="fr-CA"/>
        </w:rPr>
        <w:t>, par. 84(3)), et le paiement doit être fait à un détenteur (</w:t>
      </w:r>
      <w:r w:rsidRPr="00D01B97">
        <w:rPr>
          <w:rFonts w:cs="Times New Roman"/>
          <w:i/>
          <w:szCs w:val="24"/>
          <w:lang w:val="fr-CA"/>
        </w:rPr>
        <w:t>LLC</w:t>
      </w:r>
      <w:r w:rsidRPr="00D01B97">
        <w:rPr>
          <w:rFonts w:cs="Times New Roman"/>
          <w:szCs w:val="24"/>
          <w:lang w:val="fr-CA"/>
        </w:rPr>
        <w:t xml:space="preserve">, par. 138(2)).  Ce mécanisme repose non pas sur une approche formaliste, mais sur la logique interne de la </w:t>
      </w:r>
      <w:r w:rsidRPr="00D01B97">
        <w:rPr>
          <w:rFonts w:cs="Times New Roman"/>
          <w:i/>
          <w:szCs w:val="24"/>
          <w:lang w:val="fr-CA"/>
        </w:rPr>
        <w:t>LLC</w:t>
      </w:r>
      <w:r w:rsidRPr="00D01B97">
        <w:rPr>
          <w:rFonts w:cs="Times New Roman"/>
          <w:szCs w:val="24"/>
          <w:lang w:val="fr-CA"/>
        </w:rPr>
        <w:t xml:space="preserve"> et la relation contractuelle </w:t>
      </w:r>
      <w:r w:rsidRPr="00D01B97">
        <w:rPr>
          <w:rFonts w:cs="Times New Roman"/>
          <w:szCs w:val="24"/>
          <w:lang w:val="fr-CA"/>
        </w:rPr>
        <w:lastRenderedPageBreak/>
        <w:t xml:space="preserve">qui existe entre la banque et les titulaires de comptes chez elle.  Le traitement de chèques déposés à des comptes bancaires repose, d’une part, sur la prémisse que les banques font principalement affaire avec des personnes titulaires de comptes chez elle et, d’autre part, sur l’engagement contractuel implicite des banques d’encaisser le produit des chèques déposés aux comptes de leurs clients.  En l’espèce, </w:t>
      </w:r>
      <w:proofErr w:type="spellStart"/>
      <w:r w:rsidRPr="00D01B97">
        <w:rPr>
          <w:rFonts w:cs="Times New Roman"/>
          <w:szCs w:val="24"/>
          <w:lang w:val="fr-CA"/>
        </w:rPr>
        <w:t>Trustco</w:t>
      </w:r>
      <w:proofErr w:type="spellEnd"/>
      <w:r w:rsidRPr="00D01B97">
        <w:rPr>
          <w:rFonts w:cs="Times New Roman"/>
          <w:szCs w:val="24"/>
          <w:lang w:val="fr-CA"/>
        </w:rPr>
        <w:t xml:space="preserve"> a encaissé les chèques pour le compte de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et de M</w:t>
      </w:r>
      <w:r w:rsidRPr="00D01B97">
        <w:rPr>
          <w:rFonts w:cs="Times New Roman"/>
          <w:szCs w:val="24"/>
          <w:vertAlign w:val="superscript"/>
          <w:lang w:val="fr-CA"/>
        </w:rPr>
        <w:t>e</w:t>
      </w:r>
      <w:r w:rsidRPr="00D01B97">
        <w:rPr>
          <w:rFonts w:cs="Times New Roman"/>
          <w:szCs w:val="24"/>
          <w:lang w:val="fr-CA"/>
        </w:rPr>
        <w:t xml:space="preserve">  </w:t>
      </w:r>
      <w:proofErr w:type="spellStart"/>
      <w:r w:rsidRPr="00D01B97">
        <w:rPr>
          <w:rFonts w:cs="Times New Roman"/>
          <w:szCs w:val="24"/>
          <w:lang w:val="fr-CA"/>
        </w:rPr>
        <w:t>Maier</w:t>
      </w:r>
      <w:proofErr w:type="spellEnd"/>
      <w:r w:rsidRPr="00D01B97">
        <w:rPr>
          <w:rFonts w:cs="Times New Roman"/>
          <w:szCs w:val="24"/>
          <w:lang w:val="fr-CA"/>
        </w:rPr>
        <w:t xml:space="preserve"> conjointement, et non pas uniquement de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Comme le reconnaît la Juge en chef, il existe de bonnes raisons de ne pas traiter les titulaires d’un compte conjoint comme s’il s’agissait d’un seul d’entre eux : M. H. </w:t>
      </w:r>
      <w:proofErr w:type="spellStart"/>
      <w:r w:rsidRPr="00D01B97">
        <w:rPr>
          <w:rFonts w:cs="Times New Roman"/>
          <w:szCs w:val="24"/>
          <w:lang w:val="fr-CA"/>
        </w:rPr>
        <w:t>Ogilvie</w:t>
      </w:r>
      <w:proofErr w:type="spellEnd"/>
      <w:r w:rsidRPr="00D01B97">
        <w:rPr>
          <w:rFonts w:cs="Times New Roman"/>
          <w:szCs w:val="24"/>
          <w:lang w:val="fr-CA"/>
        </w:rPr>
        <w:t>, « </w:t>
      </w:r>
      <w:proofErr w:type="spellStart"/>
      <w:r w:rsidRPr="00D01B97">
        <w:rPr>
          <w:rFonts w:cs="Times New Roman"/>
          <w:szCs w:val="24"/>
          <w:lang w:val="fr-CA"/>
        </w:rPr>
        <w:t>Why</w:t>
      </w:r>
      <w:proofErr w:type="spellEnd"/>
      <w:r w:rsidRPr="00D01B97">
        <w:rPr>
          <w:rFonts w:cs="Times New Roman"/>
          <w:szCs w:val="24"/>
          <w:lang w:val="fr-CA"/>
        </w:rPr>
        <w:t xml:space="preserve"> Joint </w:t>
      </w:r>
      <w:proofErr w:type="spellStart"/>
      <w:r w:rsidRPr="00D01B97">
        <w:rPr>
          <w:rFonts w:cs="Times New Roman"/>
          <w:szCs w:val="24"/>
          <w:lang w:val="fr-CA"/>
        </w:rPr>
        <w:t>Accounts</w:t>
      </w:r>
      <w:proofErr w:type="spellEnd"/>
      <w:r w:rsidRPr="00D01B97">
        <w:rPr>
          <w:rFonts w:cs="Times New Roman"/>
          <w:szCs w:val="24"/>
          <w:lang w:val="fr-CA"/>
        </w:rPr>
        <w:t xml:space="preserve"> </w:t>
      </w:r>
      <w:proofErr w:type="spellStart"/>
      <w:r w:rsidRPr="00D01B97">
        <w:rPr>
          <w:rFonts w:cs="Times New Roman"/>
          <w:szCs w:val="24"/>
          <w:lang w:val="fr-CA"/>
        </w:rPr>
        <w:t>Should</w:t>
      </w:r>
      <w:proofErr w:type="spellEnd"/>
      <w:r w:rsidRPr="00D01B97">
        <w:rPr>
          <w:rFonts w:cs="Times New Roman"/>
          <w:szCs w:val="24"/>
          <w:lang w:val="fr-CA"/>
        </w:rPr>
        <w:t xml:space="preserve"> Not Be </w:t>
      </w:r>
      <w:proofErr w:type="spellStart"/>
      <w:r w:rsidRPr="00D01B97">
        <w:rPr>
          <w:rFonts w:cs="Times New Roman"/>
          <w:szCs w:val="24"/>
          <w:lang w:val="fr-CA"/>
        </w:rPr>
        <w:t>Garnished</w:t>
      </w:r>
      <w:proofErr w:type="spellEnd"/>
      <w:r w:rsidRPr="00D01B97">
        <w:rPr>
          <w:rFonts w:cs="Times New Roman"/>
          <w:szCs w:val="24"/>
          <w:lang w:val="fr-CA"/>
        </w:rPr>
        <w:t xml:space="preserve"> — </w:t>
      </w:r>
      <w:proofErr w:type="spellStart"/>
      <w:r w:rsidRPr="00D01B97">
        <w:rPr>
          <w:rFonts w:cs="Times New Roman"/>
          <w:i/>
          <w:szCs w:val="24"/>
          <w:lang w:val="fr-CA"/>
        </w:rPr>
        <w:t>Westcoast</w:t>
      </w:r>
      <w:proofErr w:type="spellEnd"/>
      <w:r w:rsidRPr="00D01B97">
        <w:rPr>
          <w:rFonts w:cs="Times New Roman"/>
          <w:i/>
          <w:szCs w:val="24"/>
          <w:lang w:val="fr-CA"/>
        </w:rPr>
        <w:t xml:space="preserve"> </w:t>
      </w:r>
      <w:proofErr w:type="spellStart"/>
      <w:r w:rsidRPr="00D01B97">
        <w:rPr>
          <w:rFonts w:cs="Times New Roman"/>
          <w:i/>
          <w:szCs w:val="24"/>
          <w:lang w:val="fr-CA"/>
        </w:rPr>
        <w:t>Commodities</w:t>
      </w:r>
      <w:proofErr w:type="spellEnd"/>
      <w:r w:rsidRPr="00D01B97">
        <w:rPr>
          <w:rFonts w:cs="Times New Roman"/>
          <w:i/>
          <w:szCs w:val="24"/>
          <w:lang w:val="fr-CA"/>
        </w:rPr>
        <w:t xml:space="preserve"> Inc. v. Jose Chow Chen</w:t>
      </w:r>
      <w:r w:rsidRPr="00D01B97">
        <w:rPr>
          <w:rFonts w:cs="Times New Roman"/>
          <w:szCs w:val="24"/>
          <w:lang w:val="fr-CA"/>
        </w:rPr>
        <w:t xml:space="preserve"> » (1986</w:t>
      </w:r>
      <w:r w:rsidRPr="00D01B97">
        <w:rPr>
          <w:rFonts w:cs="Times New Roman"/>
          <w:szCs w:val="24"/>
          <w:lang w:val="fr-CA"/>
        </w:rPr>
        <w:noBreakHyphen/>
        <w:t>1987)</w:t>
      </w:r>
      <w:r w:rsidR="0013651E">
        <w:rPr>
          <w:rFonts w:cs="Times New Roman"/>
          <w:szCs w:val="24"/>
          <w:lang w:val="fr-CA"/>
        </w:rPr>
        <w:t>,</w:t>
      </w:r>
      <w:r w:rsidRPr="00D01B97">
        <w:rPr>
          <w:rFonts w:cs="Times New Roman"/>
          <w:szCs w:val="24"/>
          <w:lang w:val="fr-CA"/>
        </w:rPr>
        <w:t xml:space="preserve"> 1 </w:t>
      </w:r>
      <w:r w:rsidRPr="00D01B97">
        <w:rPr>
          <w:rFonts w:cs="Times New Roman"/>
          <w:i/>
          <w:szCs w:val="24"/>
          <w:lang w:val="fr-CA"/>
        </w:rPr>
        <w:t xml:space="preserve">B.F.L.R. </w:t>
      </w:r>
      <w:r w:rsidRPr="00D01B97">
        <w:rPr>
          <w:rFonts w:cs="Times New Roman"/>
          <w:szCs w:val="24"/>
          <w:lang w:val="fr-CA"/>
        </w:rPr>
        <w:t>267.  Cela signifie qu’en l’espèce le preneur des chèques,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ne saurait être assimilé aux titulaires du compte conjoint, même s’il est l’un d’eux. </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Outre la disposition contractuelle autorisant </w:t>
      </w:r>
      <w:proofErr w:type="spellStart"/>
      <w:r w:rsidRPr="00D01B97">
        <w:rPr>
          <w:rFonts w:cs="Times New Roman"/>
          <w:szCs w:val="24"/>
          <w:lang w:val="fr-CA"/>
        </w:rPr>
        <w:t>Trustco</w:t>
      </w:r>
      <w:proofErr w:type="spellEnd"/>
      <w:r w:rsidRPr="00D01B97">
        <w:rPr>
          <w:rFonts w:cs="Times New Roman"/>
          <w:szCs w:val="24"/>
          <w:lang w:val="fr-CA"/>
        </w:rPr>
        <w:t xml:space="preserve"> à accepter le dépôt de fonds au compte conjoint par toute personne en mesure de fournir le numéro du compte, une disposition prévoyait que le compte pouvait être débité du montant de tout effet antérieurement encaissé, négocié ou crédité par </w:t>
      </w:r>
      <w:proofErr w:type="spellStart"/>
      <w:r w:rsidRPr="00D01B97">
        <w:rPr>
          <w:rFonts w:cs="Times New Roman"/>
          <w:szCs w:val="24"/>
          <w:lang w:val="fr-CA"/>
        </w:rPr>
        <w:t>Trustco</w:t>
      </w:r>
      <w:proofErr w:type="spellEnd"/>
      <w:r w:rsidRPr="00D01B97">
        <w:rPr>
          <w:rFonts w:cs="Times New Roman"/>
          <w:szCs w:val="24"/>
          <w:lang w:val="fr-CA"/>
        </w:rPr>
        <w:t xml:space="preserve"> et retourné non payé ou non réglé.  Ces dispositions sont pertinentes dans les cas où la banque reçoit un chèque, le porte au crédit d’un compte et le présente ensuite au paiement.  Si le chèque est retourné non payé, la banque d’encaissement peut débiter le compte de son client.  Les dispositions en question n’étayent pas l’inférence que la réception d’un chèque par </w:t>
      </w:r>
      <w:proofErr w:type="spellStart"/>
      <w:r w:rsidRPr="00D01B97">
        <w:rPr>
          <w:rFonts w:cs="Times New Roman"/>
          <w:szCs w:val="24"/>
          <w:lang w:val="fr-CA"/>
        </w:rPr>
        <w:t>Trustco</w:t>
      </w:r>
      <w:proofErr w:type="spellEnd"/>
      <w:r w:rsidRPr="00D01B97">
        <w:rPr>
          <w:rFonts w:cs="Times New Roman"/>
          <w:szCs w:val="24"/>
          <w:lang w:val="fr-CA"/>
        </w:rPr>
        <w:t xml:space="preserve"> en vue de son dépôt au compte conjoint suffisait à elle seule à lui imposer l’obligation de faire un paiement à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w:t>
      </w:r>
    </w:p>
    <w:p w:rsidR="00857221" w:rsidRPr="00D01B97" w:rsidRDefault="00857221" w:rsidP="00857221">
      <w:pPr>
        <w:pStyle w:val="ParaNoNdepar-AltN"/>
        <w:rPr>
          <w:rFonts w:cs="Times New Roman"/>
          <w:szCs w:val="24"/>
          <w:lang w:val="fr-CA"/>
        </w:rPr>
      </w:pPr>
      <w:r w:rsidRPr="00D01B97">
        <w:rPr>
          <w:rFonts w:cs="Times New Roman"/>
          <w:szCs w:val="24"/>
          <w:lang w:val="fr-CA"/>
        </w:rPr>
        <w:lastRenderedPageBreak/>
        <w:t xml:space="preserve">En s’acquittant de ses obligations à titre de banque d’encaissement, </w:t>
      </w:r>
      <w:proofErr w:type="spellStart"/>
      <w:r w:rsidRPr="00D01B97">
        <w:rPr>
          <w:rFonts w:cs="Times New Roman"/>
          <w:szCs w:val="24"/>
          <w:lang w:val="fr-CA"/>
        </w:rPr>
        <w:t>Trustco</w:t>
      </w:r>
      <w:proofErr w:type="spellEnd"/>
      <w:r w:rsidRPr="00D01B97">
        <w:rPr>
          <w:rFonts w:cs="Times New Roman"/>
          <w:szCs w:val="24"/>
          <w:lang w:val="fr-CA"/>
        </w:rPr>
        <w:t xml:space="preserve"> devait s’assurer qu’il n’existait pas de circonstances suspectes.  Toutefois, le fait que des chèques soient tirés sur un compte en fiducie n’a pas d’incidence sur les obligations de la banque d’encaissement.  Comme l’a souligné le juge </w:t>
      </w:r>
      <w:proofErr w:type="spellStart"/>
      <w:r w:rsidRPr="00D01B97">
        <w:rPr>
          <w:rFonts w:cs="Times New Roman"/>
          <w:szCs w:val="24"/>
          <w:lang w:val="fr-CA"/>
        </w:rPr>
        <w:t>Garon</w:t>
      </w:r>
      <w:proofErr w:type="spellEnd"/>
      <w:r w:rsidRPr="00D01B97">
        <w:rPr>
          <w:rFonts w:cs="Times New Roman"/>
          <w:szCs w:val="24"/>
          <w:lang w:val="fr-CA"/>
        </w:rPr>
        <w:t xml:space="preserve">, de la Cour canadienne de l’impôt, dans </w:t>
      </w:r>
      <w:r w:rsidRPr="00D01B97">
        <w:rPr>
          <w:rFonts w:cs="Times New Roman"/>
          <w:i/>
          <w:szCs w:val="24"/>
          <w:lang w:val="fr-CA"/>
        </w:rPr>
        <w:t xml:space="preserve">Banque de Montréal c. </w:t>
      </w:r>
      <w:r w:rsidR="009E1405">
        <w:rPr>
          <w:rFonts w:cs="Times New Roman"/>
          <w:i/>
          <w:szCs w:val="24"/>
          <w:lang w:val="fr-CA"/>
        </w:rPr>
        <w:t>Canada (ministre du Revenu national)</w:t>
      </w:r>
      <w:r w:rsidR="009E1405">
        <w:rPr>
          <w:rFonts w:cs="Times New Roman"/>
          <w:szCs w:val="24"/>
          <w:lang w:val="fr-CA"/>
        </w:rPr>
        <w:t>, [1991</w:t>
      </w:r>
      <w:r w:rsidRPr="00D01B97">
        <w:rPr>
          <w:rFonts w:cs="Times New Roman"/>
          <w:szCs w:val="24"/>
          <w:lang w:val="fr-CA"/>
        </w:rPr>
        <w:t xml:space="preserve">] </w:t>
      </w:r>
      <w:r w:rsidR="009E1405">
        <w:rPr>
          <w:rFonts w:cs="Times New Roman"/>
          <w:szCs w:val="24"/>
          <w:lang w:val="fr-CA"/>
        </w:rPr>
        <w:t>A.C.I. n</w:t>
      </w:r>
      <w:r w:rsidR="009E1405" w:rsidRPr="009E1405">
        <w:rPr>
          <w:rFonts w:cs="Times New Roman"/>
          <w:szCs w:val="24"/>
          <w:vertAlign w:val="superscript"/>
          <w:lang w:val="fr-CA"/>
        </w:rPr>
        <w:t>o</w:t>
      </w:r>
      <w:r w:rsidR="009E1405">
        <w:rPr>
          <w:rFonts w:cs="Times New Roman"/>
          <w:szCs w:val="24"/>
          <w:vertAlign w:val="superscript"/>
          <w:lang w:val="fr-CA"/>
        </w:rPr>
        <w:t xml:space="preserve"> </w:t>
      </w:r>
      <w:r w:rsidR="009E1405">
        <w:rPr>
          <w:rFonts w:cs="Times New Roman"/>
          <w:szCs w:val="24"/>
          <w:lang w:val="fr-CA"/>
        </w:rPr>
        <w:t>930 (QL)</w:t>
      </w:r>
      <w:r w:rsidRPr="00D01B97">
        <w:rPr>
          <w:rFonts w:cs="Times New Roman"/>
          <w:szCs w:val="24"/>
          <w:lang w:val="fr-CA"/>
        </w:rPr>
        <w:t xml:space="preserve">, de façon générale, les banques ne sont pas tenues de surveiller l’utilisation qui est faite des comptes en fiducie.  En portant les chèques au crédit du compte conjoint, les envoyant à une tierce partie pour fins de compensation et en recevant le produit, </w:t>
      </w:r>
      <w:proofErr w:type="spellStart"/>
      <w:r w:rsidRPr="00D01B97">
        <w:rPr>
          <w:rFonts w:cs="Times New Roman"/>
          <w:szCs w:val="24"/>
          <w:lang w:val="fr-CA"/>
        </w:rPr>
        <w:t>Trustco</w:t>
      </w:r>
      <w:proofErr w:type="spellEnd"/>
      <w:r w:rsidRPr="00D01B97">
        <w:rPr>
          <w:rFonts w:cs="Times New Roman"/>
          <w:szCs w:val="24"/>
          <w:lang w:val="fr-CA"/>
        </w:rPr>
        <w:t xml:space="preserve"> agissait toujours sur le fondement de sa relation contractuelle avec les titulaires du compte conjoint et non pour le compte de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à titre personnel.  En débitant le compte en fiducie le lendemain, </w:t>
      </w:r>
      <w:proofErr w:type="spellStart"/>
      <w:r w:rsidRPr="00D01B97">
        <w:rPr>
          <w:rFonts w:cs="Times New Roman"/>
          <w:szCs w:val="24"/>
          <w:lang w:val="fr-CA"/>
        </w:rPr>
        <w:t>Trustco</w:t>
      </w:r>
      <w:proofErr w:type="spellEnd"/>
      <w:r w:rsidRPr="00D01B97">
        <w:rPr>
          <w:rFonts w:cs="Times New Roman"/>
          <w:szCs w:val="24"/>
          <w:lang w:val="fr-CA"/>
        </w:rPr>
        <w:t xml:space="preserve"> ne faisait pas de paiement à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ou à un mandataire de ce dernier agissant exclusivement pour lui. </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La Juge en chef est d’avis que </w:t>
      </w:r>
      <w:proofErr w:type="spellStart"/>
      <w:r w:rsidRPr="00D01B97">
        <w:rPr>
          <w:rFonts w:cs="Times New Roman"/>
          <w:szCs w:val="24"/>
          <w:lang w:val="fr-CA"/>
        </w:rPr>
        <w:t>Trustco</w:t>
      </w:r>
      <w:proofErr w:type="spellEnd"/>
      <w:r w:rsidRPr="00D01B97">
        <w:rPr>
          <w:rFonts w:cs="Times New Roman"/>
          <w:szCs w:val="24"/>
          <w:lang w:val="fr-CA"/>
        </w:rPr>
        <w:t xml:space="preserve"> n’est jamais devenue la détentrice des chèques.  En toute déférence, j’estime que le fait que les chèques n’ont pas été endossés ne signifie pas pour autant que </w:t>
      </w:r>
      <w:proofErr w:type="spellStart"/>
      <w:r w:rsidRPr="00D01B97">
        <w:rPr>
          <w:rFonts w:cs="Times New Roman"/>
          <w:szCs w:val="24"/>
          <w:lang w:val="fr-CA"/>
        </w:rPr>
        <w:t>Trustco</w:t>
      </w:r>
      <w:proofErr w:type="spellEnd"/>
      <w:r w:rsidRPr="00D01B97">
        <w:rPr>
          <w:rFonts w:cs="Times New Roman"/>
          <w:szCs w:val="24"/>
          <w:lang w:val="fr-CA"/>
        </w:rPr>
        <w:t xml:space="preserve"> n’a pas acquis les droits d’un détenteur régulier que confère à une banque la réception de bonne foi de chèques valablement faits.  De fait, le par</w:t>
      </w:r>
      <w:r w:rsidR="001F7B31">
        <w:rPr>
          <w:rFonts w:cs="Times New Roman"/>
          <w:szCs w:val="24"/>
          <w:lang w:val="fr-CA"/>
        </w:rPr>
        <w:t xml:space="preserve">. </w:t>
      </w:r>
      <w:r w:rsidRPr="00D01B97">
        <w:rPr>
          <w:rFonts w:cs="Times New Roman"/>
          <w:szCs w:val="24"/>
          <w:lang w:val="fr-CA"/>
        </w:rPr>
        <w:t xml:space="preserve">165(3) de la </w:t>
      </w:r>
      <w:r w:rsidRPr="00D01B97">
        <w:rPr>
          <w:rFonts w:cs="Times New Roman"/>
          <w:i/>
          <w:szCs w:val="24"/>
          <w:lang w:val="fr-CA"/>
        </w:rPr>
        <w:t>LLC</w:t>
      </w:r>
      <w:r w:rsidRPr="00D01B97">
        <w:rPr>
          <w:rFonts w:cs="Times New Roman"/>
          <w:szCs w:val="24"/>
          <w:lang w:val="fr-CA"/>
        </w:rPr>
        <w:t xml:space="preserve"> a été adopté afin d’éviter l’argument que la banque qui reçoit pour dépôt un chèque comportant un endossement restrictif ou un chèque sans aucun endossement n’a pas la qualité de détentrice — il ne vise pas à offrir une protection contre les faux endossements (voir </w:t>
      </w:r>
      <w:r w:rsidRPr="00D01B97">
        <w:rPr>
          <w:rFonts w:cs="Times New Roman"/>
          <w:i/>
          <w:szCs w:val="24"/>
          <w:lang w:val="fr-CA"/>
        </w:rPr>
        <w:t>LLC</w:t>
      </w:r>
      <w:r w:rsidRPr="00D01B97">
        <w:rPr>
          <w:rFonts w:cs="Times New Roman"/>
          <w:szCs w:val="24"/>
          <w:lang w:val="fr-CA"/>
        </w:rPr>
        <w:t xml:space="preserve">, par. 67(2); </w:t>
      </w:r>
      <w:r w:rsidRPr="00D01B97">
        <w:rPr>
          <w:rFonts w:cs="Times New Roman"/>
          <w:i/>
          <w:szCs w:val="24"/>
          <w:lang w:val="fr-CA"/>
        </w:rPr>
        <w:t xml:space="preserve">Boma </w:t>
      </w:r>
      <w:proofErr w:type="spellStart"/>
      <w:r w:rsidRPr="00D01B97">
        <w:rPr>
          <w:rFonts w:cs="Times New Roman"/>
          <w:i/>
          <w:szCs w:val="24"/>
          <w:lang w:val="fr-CA"/>
        </w:rPr>
        <w:t>Manufacturing</w:t>
      </w:r>
      <w:proofErr w:type="spellEnd"/>
      <w:r w:rsidRPr="00D01B97">
        <w:rPr>
          <w:rFonts w:cs="Times New Roman"/>
          <w:i/>
          <w:szCs w:val="24"/>
          <w:lang w:val="fr-CA"/>
        </w:rPr>
        <w:t xml:space="preserve"> Ltd. c. Banque Canadienne Impériale de </w:t>
      </w:r>
      <w:r w:rsidRPr="00D01B97">
        <w:rPr>
          <w:rFonts w:cs="Times New Roman"/>
          <w:i/>
          <w:szCs w:val="24"/>
          <w:lang w:val="fr-CA"/>
        </w:rPr>
        <w:lastRenderedPageBreak/>
        <w:t>Commerce</w:t>
      </w:r>
      <w:r w:rsidRPr="00D01B97">
        <w:rPr>
          <w:rFonts w:cs="Times New Roman"/>
          <w:szCs w:val="24"/>
          <w:lang w:val="fr-CA"/>
        </w:rPr>
        <w:t xml:space="preserve">, </w:t>
      </w:r>
      <w:r w:rsidR="00576406">
        <w:rPr>
          <w:rFonts w:cs="Times New Roman"/>
          <w:spacing w:val="-3"/>
          <w:szCs w:val="24"/>
          <w:lang w:val="fr-CA"/>
        </w:rPr>
        <w:t>[1996] 3 R.C.S. 727,</w:t>
      </w:r>
      <w:r w:rsidR="00EE7529">
        <w:rPr>
          <w:rFonts w:cs="Times New Roman"/>
          <w:spacing w:val="-3"/>
          <w:szCs w:val="24"/>
          <w:lang w:val="fr-CA"/>
        </w:rPr>
        <w:t xml:space="preserve"> par. 76-</w:t>
      </w:r>
      <w:r w:rsidRPr="00D01B97">
        <w:rPr>
          <w:rFonts w:cs="Times New Roman"/>
          <w:spacing w:val="-3"/>
          <w:szCs w:val="24"/>
          <w:lang w:val="fr-CA"/>
        </w:rPr>
        <w:t xml:space="preserve">81; </w:t>
      </w:r>
      <w:r w:rsidRPr="00D01B97">
        <w:rPr>
          <w:rFonts w:cs="Times New Roman"/>
          <w:i/>
          <w:spacing w:val="-3"/>
          <w:szCs w:val="24"/>
          <w:lang w:val="fr-CA"/>
        </w:rPr>
        <w:t xml:space="preserve">J.C. </w:t>
      </w:r>
      <w:proofErr w:type="spellStart"/>
      <w:r w:rsidRPr="00D01B97">
        <w:rPr>
          <w:rFonts w:cs="Times New Roman"/>
          <w:i/>
          <w:spacing w:val="-3"/>
          <w:szCs w:val="24"/>
          <w:lang w:val="fr-CA"/>
        </w:rPr>
        <w:t>Creations</w:t>
      </w:r>
      <w:proofErr w:type="spellEnd"/>
      <w:r w:rsidRPr="00D01B97">
        <w:rPr>
          <w:rFonts w:cs="Times New Roman"/>
          <w:i/>
          <w:spacing w:val="-3"/>
          <w:szCs w:val="24"/>
          <w:lang w:val="fr-CA"/>
        </w:rPr>
        <w:t xml:space="preserve"> Ltd. c.</w:t>
      </w:r>
      <w:r w:rsidRPr="00D01B97">
        <w:rPr>
          <w:rFonts w:cs="Times New Roman"/>
          <w:spacing w:val="-3"/>
          <w:szCs w:val="24"/>
          <w:lang w:val="fr-CA"/>
        </w:rPr>
        <w:t xml:space="preserve"> </w:t>
      </w:r>
      <w:r w:rsidRPr="00D01B97">
        <w:rPr>
          <w:rFonts w:cs="Times New Roman"/>
          <w:i/>
          <w:spacing w:val="-3"/>
          <w:szCs w:val="24"/>
          <w:lang w:val="fr-CA"/>
        </w:rPr>
        <w:t xml:space="preserve">Vancouver City </w:t>
      </w:r>
      <w:proofErr w:type="spellStart"/>
      <w:r w:rsidRPr="00D01B97">
        <w:rPr>
          <w:rFonts w:cs="Times New Roman"/>
          <w:i/>
          <w:spacing w:val="-3"/>
          <w:szCs w:val="24"/>
          <w:lang w:val="fr-CA"/>
        </w:rPr>
        <w:t>Savings</w:t>
      </w:r>
      <w:proofErr w:type="spellEnd"/>
      <w:r w:rsidRPr="00D01B97">
        <w:rPr>
          <w:rFonts w:cs="Times New Roman"/>
          <w:i/>
          <w:spacing w:val="-3"/>
          <w:szCs w:val="24"/>
          <w:lang w:val="fr-CA"/>
        </w:rPr>
        <w:t xml:space="preserve"> </w:t>
      </w:r>
      <w:proofErr w:type="spellStart"/>
      <w:r w:rsidRPr="00D01B97">
        <w:rPr>
          <w:rFonts w:cs="Times New Roman"/>
          <w:i/>
          <w:spacing w:val="-3"/>
          <w:szCs w:val="24"/>
          <w:lang w:val="fr-CA"/>
        </w:rPr>
        <w:t>Credit</w:t>
      </w:r>
      <w:proofErr w:type="spellEnd"/>
      <w:r w:rsidRPr="00D01B97">
        <w:rPr>
          <w:rFonts w:cs="Times New Roman"/>
          <w:i/>
          <w:spacing w:val="-3"/>
          <w:szCs w:val="24"/>
          <w:lang w:val="fr-CA"/>
        </w:rPr>
        <w:t xml:space="preserve"> Union</w:t>
      </w:r>
      <w:r w:rsidRPr="00D01B97">
        <w:rPr>
          <w:rFonts w:cs="Times New Roman"/>
          <w:spacing w:val="-3"/>
          <w:szCs w:val="24"/>
          <w:lang w:val="fr-CA"/>
        </w:rPr>
        <w:t>, 2004 BCCA 107, 236 D.L.R. (4</w:t>
      </w:r>
      <w:r w:rsidRPr="00334E9E">
        <w:rPr>
          <w:rFonts w:cs="Times New Roman"/>
          <w:spacing w:val="-3"/>
          <w:szCs w:val="24"/>
          <w:lang w:val="fr-CA"/>
        </w:rPr>
        <w:t>th</w:t>
      </w:r>
      <w:r w:rsidRPr="00D01B97">
        <w:rPr>
          <w:rFonts w:cs="Times New Roman"/>
          <w:spacing w:val="-3"/>
          <w:szCs w:val="24"/>
          <w:lang w:val="fr-CA"/>
        </w:rPr>
        <w:t xml:space="preserve">) 602; </w:t>
      </w:r>
      <w:proofErr w:type="spellStart"/>
      <w:r w:rsidRPr="00D01B97">
        <w:rPr>
          <w:rFonts w:cs="Times New Roman"/>
          <w:i/>
          <w:spacing w:val="-3"/>
          <w:szCs w:val="24"/>
          <w:lang w:val="fr-CA"/>
        </w:rPr>
        <w:t>Westboro</w:t>
      </w:r>
      <w:proofErr w:type="spellEnd"/>
      <w:r w:rsidRPr="00D01B97">
        <w:rPr>
          <w:rFonts w:cs="Times New Roman"/>
          <w:i/>
          <w:spacing w:val="-3"/>
          <w:szCs w:val="24"/>
          <w:lang w:val="fr-CA"/>
        </w:rPr>
        <w:t xml:space="preserve"> </w:t>
      </w:r>
      <w:proofErr w:type="spellStart"/>
      <w:r w:rsidRPr="00D01B97">
        <w:rPr>
          <w:rFonts w:cs="Times New Roman"/>
          <w:i/>
          <w:spacing w:val="-3"/>
          <w:szCs w:val="24"/>
          <w:lang w:val="fr-CA"/>
        </w:rPr>
        <w:t>Flooring</w:t>
      </w:r>
      <w:proofErr w:type="spellEnd"/>
      <w:r w:rsidRPr="00D01B97">
        <w:rPr>
          <w:rFonts w:cs="Times New Roman"/>
          <w:i/>
          <w:spacing w:val="-3"/>
          <w:szCs w:val="24"/>
          <w:lang w:val="fr-CA"/>
        </w:rPr>
        <w:t xml:space="preserve"> &amp; Décor</w:t>
      </w:r>
      <w:r w:rsidRPr="00D01B97">
        <w:rPr>
          <w:rFonts w:cs="Times New Roman"/>
          <w:spacing w:val="-3"/>
          <w:szCs w:val="24"/>
          <w:lang w:val="fr-CA"/>
        </w:rPr>
        <w:t xml:space="preserve"> </w:t>
      </w:r>
      <w:r w:rsidRPr="00D01B97">
        <w:rPr>
          <w:rFonts w:cs="Times New Roman"/>
          <w:i/>
          <w:spacing w:val="-3"/>
          <w:szCs w:val="24"/>
          <w:lang w:val="fr-CA"/>
        </w:rPr>
        <w:t>c.</w:t>
      </w:r>
      <w:r w:rsidRPr="00D01B97">
        <w:rPr>
          <w:rFonts w:cs="Times New Roman"/>
          <w:spacing w:val="-3"/>
          <w:szCs w:val="24"/>
          <w:lang w:val="fr-CA"/>
        </w:rPr>
        <w:t xml:space="preserve"> </w:t>
      </w:r>
      <w:r w:rsidRPr="00D01B97">
        <w:rPr>
          <w:rFonts w:cs="Times New Roman"/>
          <w:i/>
          <w:spacing w:val="-3"/>
          <w:szCs w:val="24"/>
          <w:lang w:val="fr-CA"/>
        </w:rPr>
        <w:t xml:space="preserve">Bank of Nova </w:t>
      </w:r>
      <w:proofErr w:type="spellStart"/>
      <w:r w:rsidRPr="00D01B97">
        <w:rPr>
          <w:rFonts w:cs="Times New Roman"/>
          <w:i/>
          <w:spacing w:val="-3"/>
          <w:szCs w:val="24"/>
          <w:lang w:val="fr-CA"/>
        </w:rPr>
        <w:t>Scotia</w:t>
      </w:r>
      <w:proofErr w:type="spellEnd"/>
      <w:r w:rsidRPr="00D01B97">
        <w:rPr>
          <w:rFonts w:cs="Times New Roman"/>
          <w:spacing w:val="-3"/>
          <w:szCs w:val="24"/>
          <w:lang w:val="fr-CA"/>
        </w:rPr>
        <w:t xml:space="preserve"> (2004), 241 D.L.R. (4</w:t>
      </w:r>
      <w:r w:rsidRPr="00334E9E">
        <w:rPr>
          <w:rFonts w:cs="Times New Roman"/>
          <w:spacing w:val="-3"/>
          <w:szCs w:val="24"/>
          <w:lang w:val="fr-CA"/>
        </w:rPr>
        <w:t>th</w:t>
      </w:r>
      <w:r w:rsidRPr="00D01B97">
        <w:rPr>
          <w:rFonts w:cs="Times New Roman"/>
          <w:spacing w:val="-3"/>
          <w:szCs w:val="24"/>
          <w:lang w:val="fr-CA"/>
        </w:rPr>
        <w:t xml:space="preserve">) 257 (C.A. Ont.)).  Cependant, le fait que </w:t>
      </w:r>
      <w:proofErr w:type="spellStart"/>
      <w:r w:rsidRPr="00D01B97">
        <w:rPr>
          <w:rFonts w:cs="Times New Roman"/>
          <w:spacing w:val="-3"/>
          <w:szCs w:val="24"/>
          <w:lang w:val="fr-CA"/>
        </w:rPr>
        <w:t>Trustco</w:t>
      </w:r>
      <w:proofErr w:type="spellEnd"/>
      <w:r w:rsidRPr="00D01B97">
        <w:rPr>
          <w:rFonts w:cs="Times New Roman"/>
          <w:szCs w:val="24"/>
          <w:lang w:val="fr-CA"/>
        </w:rPr>
        <w:t xml:space="preserve"> avait acquis les droits et pouvoirs d’un détenteur régulier des ch</w:t>
      </w:r>
      <w:r w:rsidR="00EE7529">
        <w:rPr>
          <w:rFonts w:cs="Times New Roman"/>
          <w:szCs w:val="24"/>
          <w:lang w:val="fr-CA"/>
        </w:rPr>
        <w:t>èques — si peu controversé soit-</w:t>
      </w:r>
      <w:r w:rsidRPr="00D01B97">
        <w:rPr>
          <w:rFonts w:cs="Times New Roman"/>
          <w:szCs w:val="24"/>
          <w:lang w:val="fr-CA"/>
        </w:rPr>
        <w:t>il — n’est pas la raison pour laquelle elle n’était pas tenue de remettre les fonds au débiteur fiscal,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w:t>
      </w:r>
      <w:proofErr w:type="spellStart"/>
      <w:r w:rsidRPr="00D01B97">
        <w:rPr>
          <w:rFonts w:cs="Times New Roman"/>
          <w:szCs w:val="24"/>
          <w:lang w:val="fr-CA"/>
        </w:rPr>
        <w:t>Trustco</w:t>
      </w:r>
      <w:proofErr w:type="spellEnd"/>
      <w:r w:rsidRPr="00D01B97">
        <w:rPr>
          <w:rFonts w:cs="Times New Roman"/>
          <w:szCs w:val="24"/>
          <w:lang w:val="fr-CA"/>
        </w:rPr>
        <w:t xml:space="preserve"> ne devait aucun montant à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parce qu’elle avait agi à titre de banque d’encaissement pour ses clients, à savoir les titulaires du compte conjoint.  Elle n’a pas encaissé le produit des chèques à titre de mandataire du preneur,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La Juge en chef invoque </w:t>
      </w:r>
      <w:r w:rsidRPr="00D01B97">
        <w:rPr>
          <w:rFonts w:cs="Times New Roman"/>
          <w:i/>
          <w:szCs w:val="24"/>
          <w:lang w:val="fr-CA"/>
        </w:rPr>
        <w:t xml:space="preserve">B.M.P. Global Distribution Inc. c. Banque de </w:t>
      </w:r>
      <w:proofErr w:type="spellStart"/>
      <w:r w:rsidRPr="00D01B97">
        <w:rPr>
          <w:rFonts w:cs="Times New Roman"/>
          <w:i/>
          <w:szCs w:val="24"/>
          <w:lang w:val="fr-CA"/>
        </w:rPr>
        <w:t>Nouvelle</w:t>
      </w:r>
      <w:r w:rsidRPr="00D01B97">
        <w:rPr>
          <w:rFonts w:cs="Times New Roman"/>
          <w:i/>
          <w:szCs w:val="24"/>
          <w:lang w:val="fr-CA"/>
        </w:rPr>
        <w:noBreakHyphen/>
        <w:t>Écosse</w:t>
      </w:r>
      <w:proofErr w:type="spellEnd"/>
      <w:r w:rsidRPr="00D01B97">
        <w:rPr>
          <w:rFonts w:cs="Times New Roman"/>
          <w:szCs w:val="24"/>
          <w:lang w:val="fr-CA"/>
        </w:rPr>
        <w:t xml:space="preserve">, 2009 CSC 15, [2009] 1 R.C.S. 504, à l’appui de la thèse qu’en l’espèce </w:t>
      </w:r>
      <w:proofErr w:type="spellStart"/>
      <w:r w:rsidRPr="00D01B97">
        <w:rPr>
          <w:rFonts w:cs="Times New Roman"/>
          <w:szCs w:val="24"/>
          <w:lang w:val="fr-CA"/>
        </w:rPr>
        <w:t>Trustco</w:t>
      </w:r>
      <w:proofErr w:type="spellEnd"/>
      <w:r w:rsidRPr="00D01B97">
        <w:rPr>
          <w:rFonts w:cs="Times New Roman"/>
          <w:szCs w:val="24"/>
          <w:lang w:val="fr-CA"/>
        </w:rPr>
        <w:t xml:space="preserve"> a agi comme mandataire du preneur des chèques, en sa qualité de banque d’encaissement.  Dans </w:t>
      </w:r>
      <w:r w:rsidRPr="00D01B97">
        <w:rPr>
          <w:rFonts w:cs="Times New Roman"/>
          <w:i/>
          <w:szCs w:val="24"/>
          <w:lang w:val="fr-CA"/>
        </w:rPr>
        <w:t>B.M.P.</w:t>
      </w:r>
      <w:r w:rsidRPr="00D01B97">
        <w:rPr>
          <w:rFonts w:cs="Times New Roman"/>
          <w:szCs w:val="24"/>
          <w:lang w:val="fr-CA"/>
        </w:rPr>
        <w:t xml:space="preserve">, il était question d’un paiement fait par erreur de fait.  En analysant le changement de situation comme moyen de défense en </w:t>
      </w:r>
      <w:proofErr w:type="spellStart"/>
      <w:r w:rsidRPr="00D01B97">
        <w:rPr>
          <w:rFonts w:cs="Times New Roman"/>
          <w:szCs w:val="24"/>
          <w:lang w:val="fr-CA"/>
        </w:rPr>
        <w:t>equity</w:t>
      </w:r>
      <w:proofErr w:type="spellEnd"/>
      <w:r w:rsidRPr="00D01B97">
        <w:rPr>
          <w:rFonts w:cs="Times New Roman"/>
          <w:szCs w:val="24"/>
          <w:lang w:val="fr-CA"/>
        </w:rPr>
        <w:t xml:space="preserve"> (par. 63) et les conséquences du passage d’un chèque par le système de compensation sur la possibilité de suivre les fonds (par. 76 et 83), j’y ai écrit que la Banque de </w:t>
      </w:r>
      <w:proofErr w:type="spellStart"/>
      <w:r w:rsidRPr="00D01B97">
        <w:rPr>
          <w:rFonts w:cs="Times New Roman"/>
          <w:szCs w:val="24"/>
          <w:lang w:val="fr-CA"/>
        </w:rPr>
        <w:t>Nouvelle</w:t>
      </w:r>
      <w:r w:rsidRPr="00D01B97">
        <w:rPr>
          <w:rFonts w:cs="Times New Roman"/>
          <w:szCs w:val="24"/>
          <w:lang w:val="fr-CA"/>
        </w:rPr>
        <w:noBreakHyphen/>
        <w:t>Écosse</w:t>
      </w:r>
      <w:proofErr w:type="spellEnd"/>
      <w:r w:rsidRPr="00D01B97">
        <w:rPr>
          <w:rFonts w:cs="Times New Roman"/>
          <w:szCs w:val="24"/>
          <w:lang w:val="fr-CA"/>
        </w:rPr>
        <w:t xml:space="preserve"> avait, en sa qualité de banque d’encaissement, reçu les fonds à titre de mandataire du preneur, B.M.P.</w:t>
      </w:r>
      <w:r>
        <w:rPr>
          <w:rFonts w:cs="Times New Roman"/>
          <w:szCs w:val="24"/>
          <w:lang w:val="fr-CA"/>
        </w:rPr>
        <w:t xml:space="preserve"> </w:t>
      </w:r>
      <w:r w:rsidRPr="00D01B97">
        <w:rPr>
          <w:rFonts w:cs="Times New Roman"/>
          <w:szCs w:val="24"/>
          <w:lang w:val="fr-CA"/>
        </w:rPr>
        <w:t xml:space="preserve"> Dans cette affaire, le preneur ayant demandé à sa banque de déposer le chèque à son propre compte, la distinction à faire en l’espèce entre le preneur et le titulaire du compte pour qui le chèque est encaissé n’existait pas.  En effet, le preneur et le titulaire du compte étaient la seule et même personne, à savoir B.M.P.</w:t>
      </w:r>
      <w:r>
        <w:rPr>
          <w:rFonts w:cs="Times New Roman"/>
          <w:szCs w:val="24"/>
          <w:lang w:val="fr-CA"/>
        </w:rPr>
        <w:t xml:space="preserve"> </w:t>
      </w:r>
      <w:r w:rsidRPr="00D01B97">
        <w:rPr>
          <w:rFonts w:cs="Times New Roman"/>
          <w:szCs w:val="24"/>
          <w:lang w:val="fr-CA"/>
        </w:rPr>
        <w:t xml:space="preserve"> Comme l’obligation contractuelle d’encaisser le produit d’un chèque </w:t>
      </w:r>
      <w:r w:rsidRPr="00D01B97">
        <w:rPr>
          <w:rFonts w:cs="Times New Roman"/>
          <w:szCs w:val="24"/>
          <w:lang w:val="fr-CA"/>
        </w:rPr>
        <w:lastRenderedPageBreak/>
        <w:t xml:space="preserve">existe envers le client au compte duquel le chèque est déposé, il aurait été plus juste de dire que la banque d’encaissement agissait comme mandataire de la personne au compte de laquelle le chèque était déposé.  Ce choix de mots dans une affaire d’erreur de fait et de suivi de fonds ne peut servir de fondement à la conclusion qu’il incombe à une banque d’encaissement une obligation contractuelle à l’égard d’une personne autre que le titulaire du compte où le chèque est déposé. </w:t>
      </w:r>
    </w:p>
    <w:p w:rsidR="00857221" w:rsidRPr="00D01B97" w:rsidRDefault="00857221" w:rsidP="00857221">
      <w:pPr>
        <w:pStyle w:val="ParaNoNdepar-AltN"/>
        <w:rPr>
          <w:rFonts w:cs="Times New Roman"/>
          <w:szCs w:val="24"/>
          <w:lang w:val="fr-CA"/>
        </w:rPr>
      </w:pPr>
      <w:r w:rsidRPr="00D01B97">
        <w:rPr>
          <w:rFonts w:cs="Times New Roman"/>
          <w:szCs w:val="24"/>
          <w:lang w:val="fr-CA"/>
        </w:rPr>
        <w:t>En l’espèce, les seules instructions reçues par la banque étaient de déposer les chèques au compte conjoint, et ce sont ces instructions qui ont déclenché l’obligation d’encaisser ceux</w:t>
      </w:r>
      <w:r w:rsidR="00EE7529">
        <w:rPr>
          <w:rFonts w:cs="Times New Roman"/>
          <w:szCs w:val="24"/>
          <w:lang w:val="fr-CA"/>
        </w:rPr>
        <w:t>-</w:t>
      </w:r>
      <w:r w:rsidRPr="00D01B97">
        <w:rPr>
          <w:rFonts w:cs="Times New Roman"/>
          <w:szCs w:val="24"/>
          <w:lang w:val="fr-CA"/>
        </w:rPr>
        <w:t xml:space="preserve">ci.  Le contrat qui comporte la modalité implicite selon laquelle la banque est tenue d’encaisser les chèques est celui qui lie </w:t>
      </w:r>
      <w:proofErr w:type="spellStart"/>
      <w:r w:rsidRPr="00D01B97">
        <w:rPr>
          <w:rFonts w:cs="Times New Roman"/>
          <w:szCs w:val="24"/>
          <w:lang w:val="fr-CA"/>
        </w:rPr>
        <w:t>Trustco</w:t>
      </w:r>
      <w:proofErr w:type="spellEnd"/>
      <w:r w:rsidRPr="00D01B97">
        <w:rPr>
          <w:rFonts w:cs="Times New Roman"/>
          <w:szCs w:val="24"/>
          <w:lang w:val="fr-CA"/>
        </w:rPr>
        <w:t xml:space="preserve"> aux titulaires du compte conjoint.  Il n’existe pas de contrat entre une banque et un preneur en sa qualité de preneur.</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Il ne s’agit pas d’une approche formaliste.  Aucune importance n’est accordée au fait que les chèques ont été traités par l’entremise du système de compensation.  </w:t>
      </w:r>
      <w:proofErr w:type="spellStart"/>
      <w:r w:rsidRPr="00D01B97">
        <w:rPr>
          <w:rFonts w:cs="Times New Roman"/>
          <w:szCs w:val="24"/>
          <w:lang w:val="fr-CA"/>
        </w:rPr>
        <w:t>Trustco</w:t>
      </w:r>
      <w:proofErr w:type="spellEnd"/>
      <w:r w:rsidRPr="00D01B97">
        <w:rPr>
          <w:rFonts w:cs="Times New Roman"/>
          <w:szCs w:val="24"/>
          <w:lang w:val="fr-CA"/>
        </w:rPr>
        <w:t xml:space="preserve"> ne pouvait avoir d’obligation envers le receveur général du fait qu’elle avait accepté des chèques pour dépôt au compte conjoint :</w:t>
      </w:r>
      <w:r>
        <w:rPr>
          <w:rFonts w:cs="Times New Roman"/>
          <w:szCs w:val="24"/>
          <w:lang w:val="fr-CA"/>
        </w:rPr>
        <w:t xml:space="preserve"> </w:t>
      </w:r>
      <w:r w:rsidRPr="00D01B97">
        <w:rPr>
          <w:rFonts w:cs="Times New Roman"/>
          <w:szCs w:val="24"/>
          <w:lang w:val="fr-CA"/>
        </w:rPr>
        <w:t xml:space="preserve">cela lui imposait plutôt une obligation à l’égard des titulaires de ce compte; d’ailleurs, Canada concède que les fonds détenus dans le compte conjoint ne pouvaient être saisis. </w:t>
      </w:r>
    </w:p>
    <w:p w:rsidR="00857221" w:rsidRPr="00D01B97" w:rsidRDefault="00857221" w:rsidP="00857221">
      <w:pPr>
        <w:pStyle w:val="ParaNoNdepar-AltN"/>
        <w:rPr>
          <w:rFonts w:cs="Times New Roman"/>
          <w:szCs w:val="24"/>
          <w:lang w:val="fr-CA"/>
        </w:rPr>
      </w:pPr>
      <w:r w:rsidRPr="00D01B97">
        <w:rPr>
          <w:rFonts w:cs="Times New Roman"/>
          <w:szCs w:val="24"/>
          <w:lang w:val="fr-CA"/>
        </w:rPr>
        <w:t>Canada soutient néanmoins qu’il faut mettre l’accent sur le fait que M</w:t>
      </w:r>
      <w:r w:rsidRPr="00D01B97">
        <w:rPr>
          <w:rFonts w:cs="Times New Roman"/>
          <w:szCs w:val="24"/>
          <w:vertAlign w:val="superscript"/>
          <w:lang w:val="fr-CA"/>
        </w:rPr>
        <w:t>e </w:t>
      </w:r>
      <w:proofErr w:type="spellStart"/>
      <w:r w:rsidRPr="00D01B97">
        <w:rPr>
          <w:rFonts w:cs="Times New Roman"/>
          <w:szCs w:val="24"/>
          <w:lang w:val="fr-CA"/>
        </w:rPr>
        <w:t>McLeod</w:t>
      </w:r>
      <w:proofErr w:type="spellEnd"/>
      <w:r w:rsidRPr="00D01B97">
        <w:rPr>
          <w:rFonts w:cs="Times New Roman"/>
          <w:szCs w:val="24"/>
          <w:lang w:val="fr-CA"/>
        </w:rPr>
        <w:t xml:space="preserve"> agissait à titre de preneur et de créancier d</w:t>
      </w:r>
      <w:r>
        <w:rPr>
          <w:rFonts w:cs="Times New Roman"/>
          <w:szCs w:val="24"/>
          <w:lang w:val="fr-CA"/>
        </w:rPr>
        <w:t xml:space="preserve">e </w:t>
      </w:r>
      <w:proofErr w:type="spellStart"/>
      <w:r>
        <w:rPr>
          <w:rFonts w:cs="Times New Roman"/>
          <w:szCs w:val="24"/>
          <w:lang w:val="fr-CA"/>
        </w:rPr>
        <w:t>Trustco</w:t>
      </w:r>
      <w:proofErr w:type="spellEnd"/>
      <w:r>
        <w:rPr>
          <w:rFonts w:cs="Times New Roman"/>
          <w:szCs w:val="24"/>
          <w:lang w:val="fr-CA"/>
        </w:rPr>
        <w:t xml:space="preserve"> </w:t>
      </w:r>
      <w:r w:rsidRPr="00D01B97">
        <w:rPr>
          <w:rFonts w:cs="Times New Roman"/>
          <w:szCs w:val="24"/>
          <w:lang w:val="fr-CA"/>
        </w:rPr>
        <w:t xml:space="preserve">en sa qualité de </w:t>
      </w:r>
      <w:r w:rsidRPr="00D01B97">
        <w:rPr>
          <w:rFonts w:cs="Times New Roman"/>
          <w:szCs w:val="24"/>
          <w:lang w:val="fr-CA"/>
        </w:rPr>
        <w:lastRenderedPageBreak/>
        <w:t>titulaire du compte en fiducie, et qu’il demandait à cette dernière de lui remettre les fonds en sa qualité de banque tirée.  Contrairement à la Juge en chef, je n’accepte pas cet argument et je vais maintenant expliquer pourquoi.</w:t>
      </w:r>
    </w:p>
    <w:p w:rsidR="00857221" w:rsidRPr="00D01B97" w:rsidRDefault="00857221" w:rsidP="00EE7529">
      <w:pPr>
        <w:pStyle w:val="TitleTitre-AltT"/>
        <w:tabs>
          <w:tab w:val="clear" w:pos="360"/>
          <w:tab w:val="left" w:pos="540"/>
        </w:tabs>
        <w:spacing w:after="720"/>
        <w:ind w:left="540" w:hanging="540"/>
        <w:rPr>
          <w:rFonts w:cs="Times New Roman"/>
          <w:szCs w:val="24"/>
          <w:lang w:val="fr-CA"/>
        </w:rPr>
      </w:pPr>
      <w:r w:rsidRPr="00D01B97">
        <w:rPr>
          <w:rFonts w:cs="Times New Roman"/>
          <w:szCs w:val="24"/>
          <w:lang w:val="fr-CA"/>
        </w:rPr>
        <w:t>B.</w:t>
      </w:r>
      <w:r w:rsidRPr="00D01B97">
        <w:rPr>
          <w:rFonts w:cs="Times New Roman"/>
          <w:szCs w:val="24"/>
          <w:lang w:val="fr-CA"/>
        </w:rPr>
        <w:tab/>
      </w:r>
      <w:r w:rsidRPr="00D01B97">
        <w:rPr>
          <w:rFonts w:cs="Times New Roman"/>
          <w:i/>
          <w:szCs w:val="24"/>
          <w:lang w:val="fr-CA"/>
        </w:rPr>
        <w:t>Obligations du tiré</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Pour bien comprendre la nature des obligations de la banque tirée envers le preneur, il faut se reporter à l’arrêt </w:t>
      </w:r>
      <w:r w:rsidRPr="00D01B97">
        <w:rPr>
          <w:rFonts w:cs="Times New Roman"/>
          <w:i/>
          <w:szCs w:val="24"/>
          <w:lang w:val="fr-CA"/>
        </w:rPr>
        <w:t>Schroeder c. Central Bank of London</w:t>
      </w:r>
      <w:r w:rsidRPr="00D01B97">
        <w:rPr>
          <w:rFonts w:cs="Times New Roman"/>
          <w:szCs w:val="24"/>
          <w:lang w:val="fr-CA"/>
        </w:rPr>
        <w:t xml:space="preserve"> (1876), 34 L.T. 735 (C.P. Div.).  Dans cette affaire, le preneur affirmait que le chèque opérait en sa faveur une cession absolue des fonds et qu’il avait donc le droit de se les faire remet</w:t>
      </w:r>
      <w:r w:rsidR="00EE7529">
        <w:rPr>
          <w:rFonts w:cs="Times New Roman"/>
          <w:szCs w:val="24"/>
          <w:lang w:val="fr-CA"/>
        </w:rPr>
        <w:t>tre par la banque tirée.  Celle-</w:t>
      </w:r>
      <w:r w:rsidRPr="00D01B97">
        <w:rPr>
          <w:rFonts w:cs="Times New Roman"/>
          <w:szCs w:val="24"/>
          <w:lang w:val="fr-CA"/>
        </w:rPr>
        <w:t xml:space="preserve">ci s’opposait à cet argument en faisant valoir qu’il n’incombait à la banque sur laquelle un chèque était tiré aucune obligation de payer le détenteur de ce dernier.  Le tribunal a retenu la thèse de la banque (p. 737) : </w:t>
      </w:r>
    </w:p>
    <w:p w:rsidR="00857221" w:rsidRPr="00D01B97" w:rsidRDefault="00EE7529" w:rsidP="00EE7529">
      <w:pPr>
        <w:pStyle w:val="Citation-AltC"/>
        <w:tabs>
          <w:tab w:val="left" w:pos="1170"/>
        </w:tabs>
        <w:ind w:hanging="1166"/>
        <w:rPr>
          <w:szCs w:val="24"/>
          <w:lang w:val="fr-CA"/>
        </w:rPr>
      </w:pPr>
      <w:r>
        <w:rPr>
          <w:smallCaps/>
          <w:szCs w:val="24"/>
          <w:lang w:val="fr-CA"/>
        </w:rPr>
        <w:tab/>
      </w:r>
      <w:r w:rsidR="00587178" w:rsidRPr="00D01B97">
        <w:rPr>
          <w:smallCaps/>
          <w:szCs w:val="24"/>
          <w:lang w:val="fr-CA"/>
        </w:rPr>
        <w:t>[traduction]</w:t>
      </w:r>
      <w:r w:rsidR="00587178">
        <w:rPr>
          <w:smallCaps/>
          <w:szCs w:val="24"/>
          <w:lang w:val="fr-CA"/>
        </w:rPr>
        <w:t xml:space="preserve"> </w:t>
      </w:r>
      <w:r w:rsidR="00857221" w:rsidRPr="00D01B97">
        <w:rPr>
          <w:szCs w:val="24"/>
          <w:lang w:val="fr-CA"/>
        </w:rPr>
        <w:t xml:space="preserve">Un chèque </w:t>
      </w:r>
      <w:r w:rsidR="00857221" w:rsidRPr="00C97271">
        <w:rPr>
          <w:lang w:val="fr-CA"/>
        </w:rPr>
        <w:t>n’est</w:t>
      </w:r>
      <w:r w:rsidR="00857221" w:rsidRPr="00D01B97">
        <w:rPr>
          <w:szCs w:val="24"/>
          <w:lang w:val="fr-CA"/>
        </w:rPr>
        <w:t xml:space="preserve"> rien d’autre qu’un ordre de payer; il n’est pas censé constituer une cession, et il est donc impossible de le considérer comme une cession de fonds aussi importants.  Les banquiers détiennent l’argent de leur client en vertu d’un engagement tacite de payer ses chèques jusqu’à concurrence du montant du solde de son compte, à défaut de quoi ils peuvent être condamnés à verser des dommag</w:t>
      </w:r>
      <w:r>
        <w:rPr>
          <w:szCs w:val="24"/>
          <w:lang w:val="fr-CA"/>
        </w:rPr>
        <w:t>es-</w:t>
      </w:r>
      <w:r w:rsidR="00857221" w:rsidRPr="00D01B97">
        <w:rPr>
          <w:szCs w:val="24"/>
          <w:lang w:val="fr-CA"/>
        </w:rPr>
        <w:t>intérêts au tireur.  Mais il n’existe pas de contrat entre les banquiers et les preneurs du chèque, et il n’y a de recours contre la banque que si la loi le prévoit.</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Cette manière d’aborder la question s’accorde avec le raisonnement suivi dans </w:t>
      </w:r>
      <w:r w:rsidRPr="00D01B97">
        <w:rPr>
          <w:rFonts w:cs="Times New Roman"/>
          <w:i/>
          <w:szCs w:val="24"/>
          <w:lang w:val="fr-CA"/>
        </w:rPr>
        <w:t xml:space="preserve">Foley c. Hill.  </w:t>
      </w:r>
      <w:r w:rsidRPr="00D01B97">
        <w:rPr>
          <w:rFonts w:cs="Times New Roman"/>
          <w:szCs w:val="24"/>
          <w:lang w:val="fr-CA"/>
        </w:rPr>
        <w:t xml:space="preserve">L’obligation qui incombe au banquier </w:t>
      </w:r>
      <w:r w:rsidR="00EE7529">
        <w:rPr>
          <w:rFonts w:cs="Times New Roman"/>
          <w:szCs w:val="24"/>
          <w:lang w:val="fr-CA"/>
        </w:rPr>
        <w:t>découle de la relation débiteur-</w:t>
      </w:r>
      <w:r w:rsidRPr="00D01B97">
        <w:rPr>
          <w:rFonts w:cs="Times New Roman"/>
          <w:szCs w:val="24"/>
          <w:lang w:val="fr-CA"/>
        </w:rPr>
        <w:t xml:space="preserve">créancier créée au moment de l’ouverture du compte bancaire.  Le preneur </w:t>
      </w:r>
      <w:r w:rsidRPr="00D01B97">
        <w:rPr>
          <w:rFonts w:cs="Times New Roman"/>
          <w:szCs w:val="24"/>
          <w:lang w:val="fr-CA"/>
        </w:rPr>
        <w:lastRenderedPageBreak/>
        <w:t>n’est pas partie à cette relation contractuelle, et sa simple qualité de preneur ne fait pas naître une telle relation entre lui et le tiré.</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Pour savoir si, à défaut de relation contractuelle entre eux, il incombe à la banque tirée une quelconque obligation à l’égard du preneur d’un chèque, il faut tenir compte de la définition du chèque figurant dans la </w:t>
      </w:r>
      <w:r w:rsidRPr="00D01B97">
        <w:rPr>
          <w:rFonts w:cs="Times New Roman"/>
          <w:i/>
          <w:szCs w:val="24"/>
          <w:lang w:val="fr-CA"/>
        </w:rPr>
        <w:t>LLC </w:t>
      </w:r>
      <w:r w:rsidRPr="00222818">
        <w:rPr>
          <w:rFonts w:cs="Times New Roman"/>
          <w:szCs w:val="24"/>
          <w:lang w:val="fr-CA"/>
        </w:rPr>
        <w:t>:</w:t>
      </w:r>
      <w:r w:rsidR="001F7B31">
        <w:rPr>
          <w:rFonts w:cs="Times New Roman"/>
          <w:szCs w:val="24"/>
          <w:lang w:val="fr-CA"/>
        </w:rPr>
        <w:t xml:space="preserve"> « L</w:t>
      </w:r>
      <w:r w:rsidRPr="00D01B97">
        <w:rPr>
          <w:rFonts w:cs="Times New Roman"/>
          <w:szCs w:val="24"/>
          <w:lang w:val="fr-CA"/>
        </w:rPr>
        <w:t>e chèque est une lettre tirée sur une banque et payable sur demande » (par. 165(1)).  Cette loi définit la lettre de change de la façon suivante (</w:t>
      </w:r>
      <w:r w:rsidRPr="00D01B97">
        <w:rPr>
          <w:rFonts w:cs="Times New Roman"/>
          <w:i/>
          <w:szCs w:val="24"/>
          <w:lang w:val="fr-CA"/>
        </w:rPr>
        <w:t>LLC</w:t>
      </w:r>
      <w:r w:rsidRPr="00D01B97">
        <w:rPr>
          <w:rFonts w:cs="Times New Roman"/>
          <w:szCs w:val="24"/>
          <w:lang w:val="fr-CA"/>
        </w:rPr>
        <w:t xml:space="preserve">, par. 16(1)) : </w:t>
      </w:r>
    </w:p>
    <w:p w:rsidR="00857221" w:rsidRPr="00D01B97" w:rsidRDefault="00857221" w:rsidP="00EE7529">
      <w:pPr>
        <w:pStyle w:val="Citation-AltC"/>
        <w:tabs>
          <w:tab w:val="left" w:pos="1170"/>
          <w:tab w:val="left" w:pos="1620"/>
        </w:tabs>
        <w:ind w:hanging="1166"/>
        <w:rPr>
          <w:szCs w:val="24"/>
          <w:lang w:val="fr-CA"/>
        </w:rPr>
      </w:pPr>
      <w:r w:rsidRPr="00D01B97">
        <w:rPr>
          <w:b/>
          <w:szCs w:val="24"/>
          <w:lang w:val="fr-CA"/>
        </w:rPr>
        <w:tab/>
      </w:r>
      <w:r w:rsidR="00EE7529">
        <w:rPr>
          <w:b/>
          <w:szCs w:val="24"/>
          <w:lang w:val="fr-CA"/>
        </w:rPr>
        <w:tab/>
      </w:r>
      <w:r w:rsidRPr="00D01B97">
        <w:rPr>
          <w:b/>
          <w:szCs w:val="24"/>
          <w:lang w:val="fr-CA"/>
        </w:rPr>
        <w:tab/>
        <w:t>16.</w:t>
      </w:r>
      <w:r w:rsidRPr="00D01B97">
        <w:rPr>
          <w:szCs w:val="24"/>
          <w:lang w:val="fr-CA"/>
        </w:rPr>
        <w:t xml:space="preserve"> (1) La lettre de </w:t>
      </w:r>
      <w:r w:rsidRPr="00C97271">
        <w:rPr>
          <w:lang w:val="fr-CA"/>
        </w:rPr>
        <w:t>change</w:t>
      </w:r>
      <w:r w:rsidRPr="00D01B97">
        <w:rPr>
          <w:szCs w:val="24"/>
          <w:lang w:val="fr-CA"/>
        </w:rPr>
        <w:t xml:space="preserve"> est un écrit signé de sa main par lequel une personne ordonne à une autre de payer, sans condition, une somme d’argent précise, sur demande ou à une échéance déterminée ou susceptible de l’être, soit à une troisième personne désignée — ou à son ordre —, soit au porteur.</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En outre, la </w:t>
      </w:r>
      <w:r w:rsidRPr="00D01B97">
        <w:rPr>
          <w:rFonts w:cs="Times New Roman"/>
          <w:i/>
          <w:szCs w:val="24"/>
          <w:lang w:val="fr-CA"/>
        </w:rPr>
        <w:t>LLC</w:t>
      </w:r>
      <w:r w:rsidRPr="00D01B97">
        <w:rPr>
          <w:rFonts w:cs="Times New Roman"/>
          <w:szCs w:val="24"/>
          <w:lang w:val="fr-CA"/>
        </w:rPr>
        <w:t xml:space="preserve"> énonce expressément que la simple émission d’un chèque n’a pas pour effet de transférer des fonds au tiré (</w:t>
      </w:r>
      <w:r w:rsidRPr="00D01B97">
        <w:rPr>
          <w:rFonts w:cs="Times New Roman"/>
          <w:i/>
          <w:szCs w:val="24"/>
          <w:lang w:val="fr-CA"/>
        </w:rPr>
        <w:t>LLC</w:t>
      </w:r>
      <w:r w:rsidRPr="00D01B97">
        <w:rPr>
          <w:rFonts w:cs="Times New Roman"/>
          <w:szCs w:val="24"/>
          <w:lang w:val="fr-CA"/>
        </w:rPr>
        <w:t xml:space="preserve">, art. 126) : </w:t>
      </w:r>
    </w:p>
    <w:p w:rsidR="00857221" w:rsidRPr="00D01B97" w:rsidRDefault="00EE7529" w:rsidP="00EE7529">
      <w:pPr>
        <w:pStyle w:val="Citation-AltC"/>
        <w:tabs>
          <w:tab w:val="left" w:pos="1170"/>
          <w:tab w:val="left" w:pos="1620"/>
        </w:tabs>
        <w:ind w:hanging="1166"/>
        <w:rPr>
          <w:szCs w:val="24"/>
          <w:lang w:val="fr-CA"/>
        </w:rPr>
      </w:pPr>
      <w:r>
        <w:rPr>
          <w:b/>
          <w:szCs w:val="24"/>
          <w:lang w:val="fr-CA"/>
        </w:rPr>
        <w:tab/>
      </w:r>
      <w:r w:rsidR="00857221" w:rsidRPr="00D01B97">
        <w:rPr>
          <w:b/>
          <w:szCs w:val="24"/>
          <w:lang w:val="fr-CA"/>
        </w:rPr>
        <w:tab/>
      </w:r>
      <w:r w:rsidR="00857221" w:rsidRPr="00D01B97">
        <w:rPr>
          <w:b/>
          <w:szCs w:val="24"/>
          <w:lang w:val="fr-CA"/>
        </w:rPr>
        <w:tab/>
        <w:t>126.</w:t>
      </w:r>
      <w:r w:rsidR="00857221" w:rsidRPr="00D01B97">
        <w:rPr>
          <w:szCs w:val="24"/>
          <w:lang w:val="fr-CA"/>
        </w:rPr>
        <w:t> La lettre n’a pas pour effet de transférer des fonds au tiré pour son paiement, et le tiré qui ne consent pas à l’acceptation prévue par la présente loi n’est pas obligé par l’effet.</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Interprétées conjointement, ces dispositions reflètent les principes énoncés dans </w:t>
      </w:r>
      <w:r w:rsidRPr="00D01B97">
        <w:rPr>
          <w:rFonts w:cs="Times New Roman"/>
          <w:i/>
          <w:szCs w:val="24"/>
          <w:lang w:val="fr-CA"/>
        </w:rPr>
        <w:t>Schroeder</w:t>
      </w:r>
      <w:r w:rsidRPr="00D01B97">
        <w:rPr>
          <w:rFonts w:cs="Times New Roman"/>
          <w:szCs w:val="24"/>
          <w:lang w:val="fr-CA"/>
        </w:rPr>
        <w:t xml:space="preserve"> et les incorporent au texte de loi.  Le chèque n’a pas pour effet de transférer des fonds au preneur ou d’en transférer au tiré.  Il s’agit d’un document par lequel le client donne à son banquier l’ordre de payer à une personne </w:t>
      </w:r>
      <w:r w:rsidRPr="00D01B97">
        <w:rPr>
          <w:rFonts w:cs="Times New Roman"/>
          <w:szCs w:val="24"/>
          <w:lang w:val="fr-CA"/>
        </w:rPr>
        <w:lastRenderedPageBreak/>
        <w:t>ou à l’ordre de cette personne l’argent qu’il lui doit en le prélevant sur le compte indiqué sur le chèque.  En soi, le chèque n’impose à la banque tirée aucune obligation envers le preneur.  Cette interprétation est bien établie en droit canadien et Canada l’a acceptée au procès</w:t>
      </w:r>
      <w:r w:rsidR="001F7B31">
        <w:rPr>
          <w:rFonts w:cs="Times New Roman"/>
          <w:szCs w:val="24"/>
          <w:lang w:val="fr-CA"/>
        </w:rPr>
        <w:t xml:space="preserve"> : </w:t>
      </w:r>
      <w:r w:rsidRPr="00D01B97">
        <w:rPr>
          <w:rFonts w:cs="Times New Roman"/>
          <w:i/>
          <w:szCs w:val="24"/>
          <w:lang w:val="fr-CA"/>
        </w:rPr>
        <w:t>Schroeder</w:t>
      </w:r>
      <w:r w:rsidRPr="00D01B97">
        <w:rPr>
          <w:rFonts w:cs="Times New Roman"/>
          <w:szCs w:val="24"/>
          <w:lang w:val="fr-CA"/>
        </w:rPr>
        <w:t xml:space="preserve">; </w:t>
      </w:r>
      <w:r w:rsidRPr="00D01B97">
        <w:rPr>
          <w:rFonts w:cs="Times New Roman"/>
          <w:i/>
          <w:szCs w:val="24"/>
          <w:lang w:val="fr-CA"/>
        </w:rPr>
        <w:t xml:space="preserve">Thomson c. </w:t>
      </w:r>
      <w:proofErr w:type="spellStart"/>
      <w:r w:rsidRPr="00D01B97">
        <w:rPr>
          <w:rFonts w:cs="Times New Roman"/>
          <w:i/>
          <w:szCs w:val="24"/>
          <w:lang w:val="fr-CA"/>
        </w:rPr>
        <w:t>Merchants</w:t>
      </w:r>
      <w:proofErr w:type="spellEnd"/>
      <w:r w:rsidRPr="00D01B97">
        <w:rPr>
          <w:rFonts w:cs="Times New Roman"/>
          <w:i/>
          <w:szCs w:val="24"/>
          <w:lang w:val="fr-CA"/>
        </w:rPr>
        <w:t xml:space="preserve"> Bank of Canada</w:t>
      </w:r>
      <w:r w:rsidRPr="00D01B97">
        <w:rPr>
          <w:rFonts w:cs="Times New Roman"/>
          <w:szCs w:val="24"/>
          <w:lang w:val="fr-CA"/>
        </w:rPr>
        <w:t xml:space="preserve"> (1919), 58 R.C.S. 287, p. 298; </w:t>
      </w:r>
      <w:proofErr w:type="spellStart"/>
      <w:r w:rsidRPr="00D01B97">
        <w:rPr>
          <w:rFonts w:cs="Times New Roman"/>
          <w:i/>
          <w:szCs w:val="24"/>
          <w:lang w:val="fr-CA"/>
        </w:rPr>
        <w:t>Schimnowski</w:t>
      </w:r>
      <w:proofErr w:type="spellEnd"/>
      <w:r w:rsidRPr="00D01B97">
        <w:rPr>
          <w:rFonts w:cs="Times New Roman"/>
          <w:i/>
          <w:szCs w:val="24"/>
          <w:lang w:val="fr-CA"/>
        </w:rPr>
        <w:t xml:space="preserve"> </w:t>
      </w:r>
      <w:proofErr w:type="spellStart"/>
      <w:r w:rsidRPr="00D01B97">
        <w:rPr>
          <w:rFonts w:cs="Times New Roman"/>
          <w:i/>
          <w:szCs w:val="24"/>
          <w:lang w:val="fr-CA"/>
        </w:rPr>
        <w:t>Estate</w:t>
      </w:r>
      <w:proofErr w:type="spellEnd"/>
      <w:r w:rsidRPr="00D01B97">
        <w:rPr>
          <w:rFonts w:cs="Times New Roman"/>
          <w:i/>
          <w:szCs w:val="24"/>
          <w:lang w:val="fr-CA"/>
        </w:rPr>
        <w:t xml:space="preserve">, </w:t>
      </w:r>
      <w:proofErr w:type="spellStart"/>
      <w:r w:rsidRPr="00D01B97">
        <w:rPr>
          <w:rFonts w:cs="Times New Roman"/>
          <w:i/>
          <w:szCs w:val="24"/>
          <w:lang w:val="fr-CA"/>
        </w:rPr>
        <w:t>Re</w:t>
      </w:r>
      <w:proofErr w:type="spellEnd"/>
      <w:r w:rsidRPr="00D01B97">
        <w:rPr>
          <w:rFonts w:cs="Times New Roman"/>
          <w:szCs w:val="24"/>
          <w:lang w:val="fr-CA"/>
        </w:rPr>
        <w:t>, [199</w:t>
      </w:r>
      <w:r w:rsidR="002D1A45">
        <w:rPr>
          <w:rFonts w:cs="Times New Roman"/>
          <w:szCs w:val="24"/>
          <w:lang w:val="fr-CA"/>
        </w:rPr>
        <w:t xml:space="preserve">6] 6 W.W.R. 194 (C.A. Man.), </w:t>
      </w:r>
      <w:r w:rsidRPr="00D01B97">
        <w:rPr>
          <w:rFonts w:cs="Times New Roman"/>
          <w:szCs w:val="24"/>
          <w:lang w:val="fr-CA"/>
        </w:rPr>
        <w:t>par. 19.</w:t>
      </w:r>
    </w:p>
    <w:p w:rsidR="00857221" w:rsidRPr="00D01B97" w:rsidRDefault="00857221" w:rsidP="00857221">
      <w:pPr>
        <w:pStyle w:val="ParaNoNdepar-AltN"/>
        <w:rPr>
          <w:rFonts w:cs="Times New Roman"/>
          <w:szCs w:val="24"/>
          <w:lang w:val="fr-CA"/>
        </w:rPr>
      </w:pPr>
      <w:r w:rsidRPr="00D01B97">
        <w:rPr>
          <w:rFonts w:cs="Times New Roman"/>
          <w:szCs w:val="24"/>
          <w:lang w:val="fr-CA"/>
        </w:rPr>
        <w:t>L’obligation légale d’une banque de payer un chèque est régie par les règles en matière de présentation au paiement.  Comme je l’ai déjà mentionné, la présentation est obligatoire, sous réserve de certaines exceptions (</w:t>
      </w:r>
      <w:r w:rsidRPr="00D01B97">
        <w:rPr>
          <w:rFonts w:cs="Times New Roman"/>
          <w:i/>
          <w:szCs w:val="24"/>
          <w:lang w:val="fr-CA"/>
        </w:rPr>
        <w:t>LLC</w:t>
      </w:r>
      <w:r w:rsidRPr="00D01B97">
        <w:rPr>
          <w:rFonts w:cs="Times New Roman"/>
          <w:szCs w:val="24"/>
          <w:lang w:val="fr-CA"/>
        </w:rPr>
        <w:t>, par. 84(1)).  La règle générale en matière de présentation d’un chèque est ainsi formulée (</w:t>
      </w:r>
      <w:r w:rsidRPr="00D01B97">
        <w:rPr>
          <w:rFonts w:cs="Times New Roman"/>
          <w:i/>
          <w:szCs w:val="24"/>
          <w:lang w:val="fr-CA"/>
        </w:rPr>
        <w:t>LLC</w:t>
      </w:r>
      <w:r w:rsidRPr="00D01B97">
        <w:rPr>
          <w:rFonts w:cs="Times New Roman"/>
          <w:szCs w:val="24"/>
          <w:lang w:val="fr-CA"/>
        </w:rPr>
        <w:t>, par. 86(1))</w:t>
      </w:r>
      <w:r w:rsidR="00F952AA">
        <w:rPr>
          <w:rFonts w:cs="Times New Roman"/>
          <w:szCs w:val="24"/>
          <w:lang w:val="fr-CA"/>
        </w:rPr>
        <w:t xml:space="preserve"> </w:t>
      </w:r>
      <w:r w:rsidRPr="00D01B97">
        <w:rPr>
          <w:rFonts w:cs="Times New Roman"/>
          <w:szCs w:val="24"/>
          <w:lang w:val="fr-CA"/>
        </w:rPr>
        <w:t xml:space="preserve">: </w:t>
      </w:r>
    </w:p>
    <w:p w:rsidR="00857221" w:rsidRPr="00D01B97" w:rsidRDefault="00857221" w:rsidP="00EE7529">
      <w:pPr>
        <w:pStyle w:val="Citation-AltC"/>
        <w:tabs>
          <w:tab w:val="left" w:pos="1170"/>
          <w:tab w:val="left" w:pos="1620"/>
          <w:tab w:val="left" w:pos="2250"/>
        </w:tabs>
        <w:ind w:hanging="1166"/>
        <w:rPr>
          <w:szCs w:val="24"/>
          <w:lang w:val="fr-CA"/>
        </w:rPr>
      </w:pPr>
      <w:r w:rsidRPr="00D01B97">
        <w:rPr>
          <w:b/>
          <w:szCs w:val="24"/>
          <w:lang w:val="fr-CA"/>
        </w:rPr>
        <w:tab/>
      </w:r>
      <w:r w:rsidR="00EE7529">
        <w:rPr>
          <w:b/>
          <w:szCs w:val="24"/>
          <w:lang w:val="fr-CA"/>
        </w:rPr>
        <w:tab/>
      </w:r>
      <w:r w:rsidRPr="00D01B97">
        <w:rPr>
          <w:b/>
          <w:szCs w:val="24"/>
          <w:lang w:val="fr-CA"/>
        </w:rPr>
        <w:tab/>
        <w:t>86.</w:t>
      </w:r>
      <w:r w:rsidRPr="00D01B97">
        <w:rPr>
          <w:szCs w:val="24"/>
          <w:lang w:val="fr-CA"/>
        </w:rPr>
        <w:t xml:space="preserve"> (1) La présentation </w:t>
      </w:r>
      <w:r w:rsidRPr="00C97271">
        <w:rPr>
          <w:lang w:val="fr-CA"/>
        </w:rPr>
        <w:t>doit</w:t>
      </w:r>
      <w:r w:rsidRPr="00D01B97">
        <w:rPr>
          <w:szCs w:val="24"/>
          <w:lang w:val="fr-CA"/>
        </w:rPr>
        <w:t xml:space="preserve"> être faite par le détenteur, ou par une personne autorisée à recevoir le paiement en son nom, au lieu voulu — tel que défini à l’article 87 — et soit à la personne désignée par la lettre comme payeur, soit à son représentant ou à une personne autorisée à payer ou à refuser paiement en son nom, si, en faisant les diligences nécessaires, on peut y trouver cette dernière.</w:t>
      </w:r>
    </w:p>
    <w:p w:rsidR="00857221" w:rsidRPr="00D01B97" w:rsidRDefault="00857221" w:rsidP="00857221">
      <w:pPr>
        <w:pStyle w:val="ContinueParaSuitedupar-AltP"/>
        <w:rPr>
          <w:rFonts w:cs="Times New Roman"/>
          <w:szCs w:val="24"/>
          <w:lang w:val="fr-CA"/>
        </w:rPr>
      </w:pPr>
      <w:r w:rsidRPr="00D01B97">
        <w:rPr>
          <w:rFonts w:cs="Times New Roman"/>
          <w:szCs w:val="24"/>
          <w:lang w:val="fr-CA"/>
        </w:rPr>
        <w:t xml:space="preserve">La banque peut assumer d’autres obligations dans des situations qui ne nous intéressent pas ici, comme par exemple par l’acceptation d’un chèque au sens de l’art. 34 de la </w:t>
      </w:r>
      <w:r w:rsidRPr="00D01B97">
        <w:rPr>
          <w:rFonts w:cs="Times New Roman"/>
          <w:i/>
          <w:szCs w:val="24"/>
          <w:lang w:val="fr-CA"/>
        </w:rPr>
        <w:t>LLC</w:t>
      </w:r>
      <w:r w:rsidRPr="00D01B97">
        <w:rPr>
          <w:rFonts w:cs="Times New Roman"/>
          <w:szCs w:val="24"/>
          <w:lang w:val="fr-CA"/>
        </w:rPr>
        <w:t>.  Ce n’est pas le cas en espèce.  Au moment de la présentation,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n’avait plus la qualité de détenteur.  Seule </w:t>
      </w:r>
      <w:proofErr w:type="spellStart"/>
      <w:r w:rsidRPr="00D01B97">
        <w:rPr>
          <w:rFonts w:cs="Times New Roman"/>
          <w:szCs w:val="24"/>
          <w:lang w:val="fr-CA"/>
        </w:rPr>
        <w:t>Trustco</w:t>
      </w:r>
      <w:proofErr w:type="spellEnd"/>
      <w:r w:rsidRPr="00D01B97">
        <w:rPr>
          <w:rFonts w:cs="Times New Roman"/>
          <w:szCs w:val="24"/>
          <w:lang w:val="fr-CA"/>
        </w:rPr>
        <w:t xml:space="preserve"> avait les droits et pouvoirs du détenteur régulier. </w:t>
      </w:r>
    </w:p>
    <w:p w:rsidR="00857221" w:rsidRPr="00D01B97" w:rsidRDefault="00857221" w:rsidP="00857221">
      <w:pPr>
        <w:pStyle w:val="ParaNoNdepar-AltN"/>
        <w:rPr>
          <w:rFonts w:cs="Times New Roman"/>
          <w:szCs w:val="24"/>
          <w:lang w:val="fr-CA"/>
        </w:rPr>
      </w:pPr>
      <w:r w:rsidRPr="00D01B97">
        <w:rPr>
          <w:rFonts w:cs="Times New Roman"/>
          <w:szCs w:val="24"/>
          <w:lang w:val="fr-CA"/>
        </w:rPr>
        <w:lastRenderedPageBreak/>
        <w:t xml:space="preserve">L’affaire </w:t>
      </w:r>
      <w:r w:rsidRPr="00D01B97">
        <w:rPr>
          <w:rFonts w:cs="Times New Roman"/>
          <w:i/>
          <w:szCs w:val="24"/>
          <w:lang w:val="fr-CA"/>
        </w:rPr>
        <w:t>Banque de Montréal</w:t>
      </w:r>
      <w:r w:rsidRPr="00D01B97">
        <w:rPr>
          <w:rFonts w:cs="Times New Roman"/>
          <w:szCs w:val="24"/>
          <w:lang w:val="fr-CA"/>
        </w:rPr>
        <w:t xml:space="preserve"> illustre clairement que l’obligation d’honorer le chèque d’un client ne naît qu’au moment où le détenteur présente le chèque au tiré en vue d’en obtenir le paiement.  Dans cette affaire, des demandes péremptoires de paiement avaient été adressées à la Banque de Montréal relativement à des impôts que devait un client de celle</w:t>
      </w:r>
      <w:r w:rsidR="00EE7529">
        <w:rPr>
          <w:rFonts w:cs="Times New Roman"/>
          <w:szCs w:val="24"/>
          <w:lang w:val="fr-CA"/>
        </w:rPr>
        <w:t>-</w:t>
      </w:r>
      <w:r w:rsidRPr="00D01B97">
        <w:rPr>
          <w:rFonts w:cs="Times New Roman"/>
          <w:szCs w:val="24"/>
          <w:lang w:val="fr-CA"/>
        </w:rPr>
        <w:t>ci qui y détenait un compte en fiducie.  Le débiteur fiscal avait tiré sur le compte en fid</w:t>
      </w:r>
      <w:r w:rsidR="00EE7529">
        <w:rPr>
          <w:rFonts w:cs="Times New Roman"/>
          <w:szCs w:val="24"/>
          <w:lang w:val="fr-CA"/>
        </w:rPr>
        <w:t>ucie des chèques payables à lui-</w:t>
      </w:r>
      <w:r w:rsidRPr="00D01B97">
        <w:rPr>
          <w:rFonts w:cs="Times New Roman"/>
          <w:szCs w:val="24"/>
          <w:lang w:val="fr-CA"/>
        </w:rPr>
        <w:t xml:space="preserve">même et qu’il avait endossés en blanc.  Les chèques avaient par la suite été endossés par son épouse et présentés au paiement à la Banque de Montréal.  À mon avis, c’est à bon droit que le juge </w:t>
      </w:r>
      <w:proofErr w:type="spellStart"/>
      <w:r w:rsidRPr="00D01B97">
        <w:rPr>
          <w:rFonts w:cs="Times New Roman"/>
          <w:szCs w:val="24"/>
          <w:lang w:val="fr-CA"/>
        </w:rPr>
        <w:t>Garon</w:t>
      </w:r>
      <w:proofErr w:type="spellEnd"/>
      <w:r w:rsidRPr="00D01B97">
        <w:rPr>
          <w:rFonts w:cs="Times New Roman"/>
          <w:szCs w:val="24"/>
          <w:lang w:val="fr-CA"/>
        </w:rPr>
        <w:t xml:space="preserve">, de la Cour canadienne de l’impôt, a conclu ce qui suit : </w:t>
      </w:r>
    </w:p>
    <w:p w:rsidR="00857221" w:rsidRPr="00D01B97" w:rsidRDefault="00857221" w:rsidP="00EE7529">
      <w:pPr>
        <w:pStyle w:val="Citation-AltC"/>
        <w:tabs>
          <w:tab w:val="left" w:pos="1620"/>
        </w:tabs>
        <w:ind w:hanging="1166"/>
        <w:rPr>
          <w:szCs w:val="24"/>
          <w:lang w:val="fr-CA"/>
        </w:rPr>
      </w:pPr>
      <w:r w:rsidRPr="00D01B97">
        <w:rPr>
          <w:szCs w:val="24"/>
          <w:lang w:val="fr-CA"/>
        </w:rPr>
        <w:tab/>
      </w:r>
      <w:r w:rsidRPr="00D01B97">
        <w:rPr>
          <w:szCs w:val="24"/>
          <w:lang w:val="fr-CA"/>
        </w:rPr>
        <w:tab/>
        <w:t>En l’espèce, les deniers payables en vertu des deux chèques en question n’étaient pas payables au débiteur fiscal, puisque, au moment de la présentation des chèques à la banque, après que M</w:t>
      </w:r>
      <w:r w:rsidRPr="00D01B97">
        <w:rPr>
          <w:szCs w:val="24"/>
          <w:vertAlign w:val="superscript"/>
          <w:lang w:val="fr-CA"/>
        </w:rPr>
        <w:t>me</w:t>
      </w:r>
      <w:r w:rsidRPr="00D01B97">
        <w:rPr>
          <w:szCs w:val="24"/>
          <w:lang w:val="fr-CA"/>
        </w:rPr>
        <w:t> Lynn Morgan les eut endossés, M</w:t>
      </w:r>
      <w:r w:rsidRPr="00D01B97">
        <w:rPr>
          <w:szCs w:val="24"/>
          <w:vertAlign w:val="superscript"/>
          <w:lang w:val="fr-CA"/>
        </w:rPr>
        <w:t>e </w:t>
      </w:r>
      <w:r w:rsidRPr="00D01B97">
        <w:rPr>
          <w:szCs w:val="24"/>
          <w:lang w:val="fr-CA"/>
        </w:rPr>
        <w:t xml:space="preserve">Morgan n’en était plus le porteur.  À ce moment, il n’était pas en droit de recevoir le produit des chèques.  </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Notre Cour a appliqué la même règle dans l’affaire </w:t>
      </w:r>
      <w:r w:rsidRPr="00D01B97">
        <w:rPr>
          <w:rFonts w:cs="Times New Roman"/>
          <w:i/>
          <w:szCs w:val="24"/>
          <w:lang w:val="fr-CA"/>
        </w:rPr>
        <w:t xml:space="preserve">Capital Associates Ltd. c. </w:t>
      </w:r>
      <w:r w:rsidR="0019621B">
        <w:rPr>
          <w:rFonts w:cs="Times New Roman"/>
          <w:i/>
          <w:szCs w:val="24"/>
          <w:lang w:val="fr-CA"/>
        </w:rPr>
        <w:t>Royal Bank of Canada</w:t>
      </w:r>
      <w:r w:rsidRPr="00D01B97">
        <w:rPr>
          <w:rFonts w:cs="Times New Roman"/>
          <w:szCs w:val="24"/>
          <w:lang w:val="fr-CA"/>
        </w:rPr>
        <w:t xml:space="preserve"> (1976), </w:t>
      </w:r>
      <w:r w:rsidR="001F7B31">
        <w:rPr>
          <w:rFonts w:cs="Times New Roman"/>
          <w:szCs w:val="24"/>
          <w:lang w:val="fr-CA"/>
        </w:rPr>
        <w:t>17 N.R. 204</w:t>
      </w:r>
      <w:r w:rsidRPr="00D01B97">
        <w:rPr>
          <w:rFonts w:cs="Times New Roman"/>
          <w:szCs w:val="24"/>
          <w:lang w:val="fr-CA"/>
        </w:rPr>
        <w:t xml:space="preserve">, </w:t>
      </w:r>
      <w:proofErr w:type="spellStart"/>
      <w:r w:rsidRPr="00D01B97">
        <w:rPr>
          <w:rFonts w:cs="Times New Roman"/>
          <w:szCs w:val="24"/>
          <w:lang w:val="fr-CA"/>
        </w:rPr>
        <w:t>conf</w:t>
      </w:r>
      <w:proofErr w:type="spellEnd"/>
      <w:r w:rsidRPr="00D01B97">
        <w:rPr>
          <w:rFonts w:cs="Times New Roman"/>
          <w:szCs w:val="24"/>
          <w:lang w:val="fr-CA"/>
        </w:rPr>
        <w:t xml:space="preserve">. (1973), </w:t>
      </w:r>
      <w:r w:rsidR="001F7B31">
        <w:rPr>
          <w:rFonts w:cs="Times New Roman"/>
          <w:szCs w:val="24"/>
          <w:lang w:val="fr-CA"/>
        </w:rPr>
        <w:t>17 N.R. 205</w:t>
      </w:r>
      <w:r w:rsidR="00EF5A2B">
        <w:rPr>
          <w:rFonts w:cs="Times New Roman"/>
          <w:szCs w:val="24"/>
          <w:lang w:val="fr-CA"/>
        </w:rPr>
        <w:t xml:space="preserve"> </w:t>
      </w:r>
      <w:r w:rsidRPr="00D01B97">
        <w:rPr>
          <w:rFonts w:cs="Times New Roman"/>
          <w:szCs w:val="24"/>
          <w:lang w:val="fr-CA"/>
        </w:rPr>
        <w:t xml:space="preserve">(C.A. </w:t>
      </w:r>
      <w:proofErr w:type="spellStart"/>
      <w:r w:rsidRPr="00D01B97">
        <w:rPr>
          <w:rFonts w:cs="Times New Roman"/>
          <w:szCs w:val="24"/>
          <w:lang w:val="fr-CA"/>
        </w:rPr>
        <w:t>Qué</w:t>
      </w:r>
      <w:proofErr w:type="spellEnd"/>
      <w:r w:rsidRPr="00D01B97">
        <w:rPr>
          <w:rFonts w:cs="Times New Roman"/>
          <w:szCs w:val="24"/>
          <w:lang w:val="fr-CA"/>
        </w:rPr>
        <w:t>.)).  Dans cette affaire, Capital Associates Ltd. avait déposé un chèque au compte qu’elle détenait à la Banque Royale</w:t>
      </w:r>
      <w:r w:rsidR="001F7B31">
        <w:rPr>
          <w:rFonts w:cs="Times New Roman"/>
          <w:szCs w:val="24"/>
          <w:lang w:val="fr-CA"/>
        </w:rPr>
        <w:t>.  Le chèque était tiré par All-</w:t>
      </w:r>
      <w:r w:rsidRPr="00D01B97">
        <w:rPr>
          <w:rFonts w:cs="Times New Roman"/>
          <w:szCs w:val="24"/>
          <w:lang w:val="fr-CA"/>
        </w:rPr>
        <w:t xml:space="preserve">Canadian Group </w:t>
      </w:r>
      <w:proofErr w:type="spellStart"/>
      <w:r w:rsidRPr="00D01B97">
        <w:rPr>
          <w:rFonts w:cs="Times New Roman"/>
          <w:szCs w:val="24"/>
          <w:lang w:val="fr-CA"/>
        </w:rPr>
        <w:t>Distributors</w:t>
      </w:r>
      <w:proofErr w:type="spellEnd"/>
      <w:r w:rsidRPr="00D01B97">
        <w:rPr>
          <w:rFonts w:cs="Times New Roman"/>
          <w:szCs w:val="24"/>
          <w:lang w:val="fr-CA"/>
        </w:rPr>
        <w:t xml:space="preserve"> Ltd. sur un compte détenu à la même succursale de la Banque Royale.  Après qu</w:t>
      </w:r>
      <w:r w:rsidR="001F7B31">
        <w:rPr>
          <w:rFonts w:cs="Times New Roman"/>
          <w:szCs w:val="24"/>
          <w:lang w:val="fr-CA"/>
        </w:rPr>
        <w:t>e le chèque eut été déposé, All-</w:t>
      </w:r>
      <w:r w:rsidRPr="00D01B97">
        <w:rPr>
          <w:rFonts w:cs="Times New Roman"/>
          <w:szCs w:val="24"/>
          <w:lang w:val="fr-CA"/>
        </w:rPr>
        <w:t xml:space="preserve">Canadian a fait opposition au paiement de ce dernier.  </w:t>
      </w:r>
      <w:r w:rsidR="001F7B31">
        <w:rPr>
          <w:rFonts w:cs="Times New Roman"/>
          <w:szCs w:val="24"/>
          <w:lang w:val="fr-CA"/>
        </w:rPr>
        <w:t>À ce moment-là, le compte d’All-</w:t>
      </w:r>
      <w:r w:rsidRPr="00D01B97">
        <w:rPr>
          <w:rFonts w:cs="Times New Roman"/>
          <w:szCs w:val="24"/>
          <w:lang w:val="fr-CA"/>
        </w:rPr>
        <w:t>Canadian n’avait pas encore été débité du montant du chèque.  La Banque Royale a refusé de faire le paiement.  En cour d’appel, le juge </w:t>
      </w:r>
      <w:proofErr w:type="spellStart"/>
      <w:r w:rsidRPr="00D01B97">
        <w:rPr>
          <w:rFonts w:cs="Times New Roman"/>
          <w:szCs w:val="24"/>
          <w:lang w:val="fr-CA"/>
        </w:rPr>
        <w:t>Rivard</w:t>
      </w:r>
      <w:proofErr w:type="spellEnd"/>
      <w:r w:rsidRPr="00D01B97">
        <w:rPr>
          <w:rFonts w:cs="Times New Roman"/>
          <w:szCs w:val="24"/>
          <w:lang w:val="fr-CA"/>
        </w:rPr>
        <w:t xml:space="preserve"> a exposé des motifs — au</w:t>
      </w:r>
      <w:r w:rsidR="00663BEA">
        <w:rPr>
          <w:rFonts w:cs="Times New Roman"/>
          <w:szCs w:val="24"/>
          <w:lang w:val="fr-CA"/>
        </w:rPr>
        <w:t xml:space="preserve">xquels notre Cour a souscrit — </w:t>
      </w:r>
      <w:r w:rsidRPr="00D01B97">
        <w:rPr>
          <w:rFonts w:cs="Times New Roman"/>
          <w:szCs w:val="24"/>
          <w:lang w:val="fr-CA"/>
        </w:rPr>
        <w:t xml:space="preserve">où il </w:t>
      </w:r>
      <w:r w:rsidRPr="00D01B97">
        <w:rPr>
          <w:rFonts w:cs="Times New Roman"/>
          <w:szCs w:val="24"/>
          <w:lang w:val="fr-CA"/>
        </w:rPr>
        <w:lastRenderedPageBreak/>
        <w:t>a adopté le point de vue que l’affaire devait être distinguée des cas de paiement en espèces ou de certification de chèques.  Voici comment il a expliqu</w:t>
      </w:r>
      <w:r w:rsidR="003B6AC9">
        <w:rPr>
          <w:rFonts w:cs="Times New Roman"/>
          <w:szCs w:val="24"/>
          <w:lang w:val="fr-CA"/>
        </w:rPr>
        <w:t>é le processus</w:t>
      </w:r>
      <w:r w:rsidR="00D41A1A">
        <w:rPr>
          <w:rFonts w:cs="Times New Roman"/>
          <w:szCs w:val="24"/>
          <w:lang w:val="fr-CA"/>
        </w:rPr>
        <w:t xml:space="preserve"> (par. 28-29) </w:t>
      </w:r>
      <w:r w:rsidRPr="00D01B97">
        <w:rPr>
          <w:rFonts w:cs="Times New Roman"/>
          <w:szCs w:val="24"/>
          <w:lang w:val="fr-CA"/>
        </w:rPr>
        <w:t xml:space="preserve">: </w:t>
      </w:r>
    </w:p>
    <w:p w:rsidR="00857221" w:rsidRPr="00D01B97" w:rsidRDefault="00857221" w:rsidP="00EE7529">
      <w:pPr>
        <w:pStyle w:val="Citation-AltC"/>
        <w:tabs>
          <w:tab w:val="left" w:pos="1170"/>
        </w:tabs>
        <w:spacing w:after="240"/>
        <w:ind w:hanging="1166"/>
        <w:contextualSpacing w:val="0"/>
        <w:rPr>
          <w:szCs w:val="24"/>
          <w:lang w:val="fr-CA"/>
        </w:rPr>
      </w:pPr>
      <w:r w:rsidRPr="00D01B97">
        <w:rPr>
          <w:szCs w:val="24"/>
          <w:lang w:val="fr-CA"/>
        </w:rPr>
        <w:tab/>
        <w:t xml:space="preserve">Je </w:t>
      </w:r>
      <w:r w:rsidRPr="00C97271">
        <w:rPr>
          <w:lang w:val="fr-CA"/>
        </w:rPr>
        <w:t>n’accepte</w:t>
      </w:r>
      <w:r w:rsidRPr="00D01B97">
        <w:rPr>
          <w:szCs w:val="24"/>
          <w:lang w:val="fr-CA"/>
        </w:rPr>
        <w:t xml:space="preserve"> pas la proposition </w:t>
      </w:r>
      <w:r w:rsidR="00D41A1A">
        <w:rPr>
          <w:szCs w:val="24"/>
          <w:lang w:val="fr-CA"/>
        </w:rPr>
        <w:t>de l’appelante soumettant qu’</w:t>
      </w:r>
      <w:r w:rsidRPr="00D01B97">
        <w:rPr>
          <w:szCs w:val="24"/>
          <w:lang w:val="fr-CA"/>
        </w:rPr>
        <w:t xml:space="preserve">en déposant le chèque à la Banque Royale, elle le présentait pour paiement. </w:t>
      </w:r>
    </w:p>
    <w:p w:rsidR="00857221" w:rsidRPr="00D01B97" w:rsidRDefault="00857221" w:rsidP="00EE7529">
      <w:pPr>
        <w:pStyle w:val="Citation-AltC"/>
        <w:tabs>
          <w:tab w:val="left" w:pos="1620"/>
        </w:tabs>
        <w:ind w:hanging="1166"/>
        <w:rPr>
          <w:szCs w:val="24"/>
          <w:lang w:val="fr-CA"/>
        </w:rPr>
      </w:pPr>
      <w:r w:rsidRPr="00D01B97">
        <w:rPr>
          <w:szCs w:val="24"/>
          <w:lang w:val="fr-CA"/>
        </w:rPr>
        <w:tab/>
      </w:r>
      <w:r w:rsidR="0073274B">
        <w:rPr>
          <w:szCs w:val="24"/>
          <w:lang w:val="fr-CA"/>
        </w:rPr>
        <w:tab/>
      </w:r>
      <w:r w:rsidR="00D41A1A">
        <w:rPr>
          <w:szCs w:val="24"/>
          <w:lang w:val="fr-CA"/>
        </w:rPr>
        <w:t>Capital en déposant c</w:t>
      </w:r>
      <w:r w:rsidRPr="00D01B97">
        <w:rPr>
          <w:szCs w:val="24"/>
          <w:lang w:val="fr-CA"/>
        </w:rPr>
        <w:t xml:space="preserve">e chèque, </w:t>
      </w:r>
      <w:r w:rsidR="00D41A1A">
        <w:rPr>
          <w:szCs w:val="24"/>
          <w:lang w:val="fr-CA"/>
        </w:rPr>
        <w:t xml:space="preserve">n’a pas exigé </w:t>
      </w:r>
      <w:r w:rsidRPr="00D01B97">
        <w:rPr>
          <w:szCs w:val="24"/>
          <w:lang w:val="fr-CA"/>
        </w:rPr>
        <w:t>paiement</w:t>
      </w:r>
      <w:r w:rsidR="00D41A1A">
        <w:rPr>
          <w:szCs w:val="24"/>
          <w:lang w:val="fr-CA"/>
        </w:rPr>
        <w:t>, mais a donné mandat à la B</w:t>
      </w:r>
      <w:r w:rsidRPr="00D01B97">
        <w:rPr>
          <w:szCs w:val="24"/>
          <w:lang w:val="fr-CA"/>
        </w:rPr>
        <w:t>anque de le présenter pou</w:t>
      </w:r>
      <w:r w:rsidR="00EE7529">
        <w:rPr>
          <w:szCs w:val="24"/>
          <w:lang w:val="fr-CA"/>
        </w:rPr>
        <w:t>r paiement à All-Canadian.  All-</w:t>
      </w:r>
      <w:r w:rsidRPr="00D01B97">
        <w:rPr>
          <w:szCs w:val="24"/>
          <w:lang w:val="fr-CA"/>
        </w:rPr>
        <w:t xml:space="preserve">Canadian a refusé </w:t>
      </w:r>
      <w:r w:rsidR="00D41A1A">
        <w:rPr>
          <w:szCs w:val="24"/>
          <w:lang w:val="fr-CA"/>
        </w:rPr>
        <w:t>ce paiement, et la B</w:t>
      </w:r>
      <w:r w:rsidRPr="00D01B97">
        <w:rPr>
          <w:szCs w:val="24"/>
          <w:lang w:val="fr-CA"/>
        </w:rPr>
        <w:t>anque ne peut être responsable envers Capital.</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Cette affaire illustre non seulement la distinction entre la remise d’un chèque pour dépôt et la présentation au paiement, mais aussi la raison d’être des règles suivant lesquelles la banque à qui le preneur présente le chèque n’a aucune obligation envers lui en tant que preneur et n’est tenue de débourser les fonds qu’au moment où le chèque lui est présenté en sa qualité de banque tirée.  Plusieurs faits peuvent survenir entre le moment où le chèque est libellé et celui de sa présentation au paiement : par exemple, une opposition au paiement peut être faite, comme c’était le cas dans l’affaire </w:t>
      </w:r>
      <w:r w:rsidRPr="00D01B97">
        <w:rPr>
          <w:rFonts w:cs="Times New Roman"/>
          <w:i/>
          <w:szCs w:val="24"/>
          <w:lang w:val="fr-CA"/>
        </w:rPr>
        <w:t>Capital Associates</w:t>
      </w:r>
      <w:r w:rsidRPr="00D01B97">
        <w:rPr>
          <w:rFonts w:cs="Times New Roman"/>
          <w:szCs w:val="24"/>
          <w:lang w:val="fr-CA"/>
        </w:rPr>
        <w:t>, le chèque peut être négocié en faveur d’un tiers, il peut s’écouler un délai excessif, ou encore le tireur peut devenir insolvable ou être frappé d’incapacité.  En règle générale, la banque n’assume aucun risque susceptible de se réaliser entre le moment où elle reçoit le chèque pour dépôt et ce</w:t>
      </w:r>
      <w:r w:rsidR="00EE7529">
        <w:rPr>
          <w:rFonts w:cs="Times New Roman"/>
          <w:szCs w:val="24"/>
          <w:lang w:val="fr-CA"/>
        </w:rPr>
        <w:t>lui de la présentation de celui-</w:t>
      </w:r>
      <w:r w:rsidRPr="00D01B97">
        <w:rPr>
          <w:rFonts w:cs="Times New Roman"/>
          <w:szCs w:val="24"/>
          <w:lang w:val="fr-CA"/>
        </w:rPr>
        <w:t xml:space="preserve">ci au tiré en vue de son paiement.  Les fonds dont la banque tirée se sert pour payer le chèque sont ceux du tireur, à savoir la personne qui procède au transfert des fonds en se servant du mécanisme que le chèque permet </w:t>
      </w:r>
      <w:r w:rsidRPr="00D01B97">
        <w:rPr>
          <w:rFonts w:cs="Times New Roman"/>
          <w:szCs w:val="24"/>
          <w:lang w:val="fr-CA"/>
        </w:rPr>
        <w:lastRenderedPageBreak/>
        <w:t xml:space="preserve">d’activer.  Comme le précise la </w:t>
      </w:r>
      <w:r w:rsidRPr="00D01B97">
        <w:rPr>
          <w:rFonts w:cs="Times New Roman"/>
          <w:i/>
          <w:szCs w:val="24"/>
          <w:lang w:val="fr-CA"/>
        </w:rPr>
        <w:t>LLC</w:t>
      </w:r>
      <w:r w:rsidRPr="00D01B97">
        <w:rPr>
          <w:rFonts w:cs="Times New Roman"/>
          <w:szCs w:val="24"/>
          <w:lang w:val="fr-CA"/>
        </w:rPr>
        <w:t xml:space="preserve">, c’est la personne qui tire </w:t>
      </w:r>
      <w:r w:rsidR="00EE7529">
        <w:rPr>
          <w:rFonts w:cs="Times New Roman"/>
          <w:szCs w:val="24"/>
          <w:lang w:val="fr-CA"/>
        </w:rPr>
        <w:t>une lettre qui promet que celle-</w:t>
      </w:r>
      <w:r w:rsidRPr="00D01B97">
        <w:rPr>
          <w:rFonts w:cs="Times New Roman"/>
          <w:szCs w:val="24"/>
          <w:lang w:val="fr-CA"/>
        </w:rPr>
        <w:t>ci sera payée sur présentation (</w:t>
      </w:r>
      <w:r w:rsidRPr="00D01B97">
        <w:rPr>
          <w:rFonts w:cs="Times New Roman"/>
          <w:i/>
          <w:szCs w:val="24"/>
          <w:lang w:val="fr-CA"/>
        </w:rPr>
        <w:t>LLC</w:t>
      </w:r>
      <w:r w:rsidRPr="00D01B97">
        <w:rPr>
          <w:rFonts w:cs="Times New Roman"/>
          <w:szCs w:val="24"/>
          <w:lang w:val="fr-CA"/>
        </w:rPr>
        <w:t xml:space="preserve">, art. 129) : </w:t>
      </w:r>
    </w:p>
    <w:p w:rsidR="00857221" w:rsidRPr="00D01B97" w:rsidRDefault="00EE7529" w:rsidP="00EE7529">
      <w:pPr>
        <w:pStyle w:val="Citation-AltC"/>
        <w:tabs>
          <w:tab w:val="left" w:pos="1620"/>
          <w:tab w:val="left" w:pos="2340"/>
        </w:tabs>
        <w:spacing w:after="240"/>
        <w:ind w:hanging="1166"/>
        <w:contextualSpacing w:val="0"/>
        <w:rPr>
          <w:szCs w:val="24"/>
          <w:lang w:val="fr-CA"/>
        </w:rPr>
      </w:pPr>
      <w:bookmarkStart w:id="0" w:name="s-129."/>
      <w:r>
        <w:rPr>
          <w:rStyle w:val="sectionlabel"/>
          <w:szCs w:val="24"/>
          <w:lang w:val="fr-CA"/>
        </w:rPr>
        <w:tab/>
      </w:r>
      <w:r w:rsidR="00857221" w:rsidRPr="00D01B97">
        <w:rPr>
          <w:rStyle w:val="sectionlabel"/>
          <w:szCs w:val="24"/>
          <w:lang w:val="fr-CA"/>
        </w:rPr>
        <w:tab/>
        <w:t>129</w:t>
      </w:r>
      <w:bookmarkEnd w:id="0"/>
      <w:r w:rsidR="00857221" w:rsidRPr="00D01B97">
        <w:rPr>
          <w:rStyle w:val="sectionlabel"/>
          <w:szCs w:val="24"/>
          <w:lang w:val="fr-CA"/>
        </w:rPr>
        <w:t>.</w:t>
      </w:r>
      <w:r w:rsidR="00F04115">
        <w:rPr>
          <w:rStyle w:val="sectionlabel"/>
          <w:szCs w:val="24"/>
          <w:lang w:val="fr-CA"/>
        </w:rPr>
        <w:tab/>
      </w:r>
      <w:r w:rsidR="00857221" w:rsidRPr="00D01B97">
        <w:rPr>
          <w:szCs w:val="24"/>
          <w:lang w:val="fr-CA"/>
        </w:rPr>
        <w:t xml:space="preserve">La personne qui </w:t>
      </w:r>
      <w:r w:rsidR="00857221" w:rsidRPr="00F04115">
        <w:rPr>
          <w:lang w:val="fr-CA"/>
        </w:rPr>
        <w:t>tire</w:t>
      </w:r>
      <w:r w:rsidR="00857221" w:rsidRPr="00D01B97">
        <w:rPr>
          <w:szCs w:val="24"/>
          <w:lang w:val="fr-CA"/>
        </w:rPr>
        <w:t xml:space="preserve"> une lettre, ce faisant :</w:t>
      </w:r>
    </w:p>
    <w:p w:rsidR="00857221" w:rsidRPr="00D01B97" w:rsidRDefault="00EE7529" w:rsidP="00F04115">
      <w:pPr>
        <w:pStyle w:val="Citation-AltC"/>
        <w:tabs>
          <w:tab w:val="left" w:pos="1170"/>
          <w:tab w:val="left" w:pos="1620"/>
          <w:tab w:val="left" w:pos="2340"/>
        </w:tabs>
        <w:ind w:left="1627" w:hanging="1627"/>
        <w:contextualSpacing w:val="0"/>
        <w:rPr>
          <w:szCs w:val="24"/>
          <w:lang w:val="fr-CA"/>
        </w:rPr>
      </w:pPr>
      <w:r>
        <w:rPr>
          <w:rStyle w:val="Emphasis"/>
          <w:szCs w:val="24"/>
          <w:lang w:val="fr-CA"/>
        </w:rPr>
        <w:tab/>
      </w:r>
      <w:r w:rsidR="00857221" w:rsidRPr="00D01B97">
        <w:rPr>
          <w:rStyle w:val="Emphasis"/>
          <w:szCs w:val="24"/>
          <w:lang w:val="fr-CA"/>
        </w:rPr>
        <w:tab/>
        <w:t>a</w:t>
      </w:r>
      <w:r w:rsidR="00857221" w:rsidRPr="00D01B97">
        <w:rPr>
          <w:szCs w:val="24"/>
          <w:lang w:val="fr-CA"/>
        </w:rPr>
        <w:t>)</w:t>
      </w:r>
      <w:r>
        <w:rPr>
          <w:szCs w:val="24"/>
          <w:lang w:val="fr-CA"/>
        </w:rPr>
        <w:tab/>
      </w:r>
      <w:r w:rsidR="00857221" w:rsidRPr="00D01B97">
        <w:rPr>
          <w:szCs w:val="24"/>
          <w:lang w:val="fr-CA"/>
        </w:rPr>
        <w:t xml:space="preserve">promet que, </w:t>
      </w:r>
      <w:r w:rsidR="00857221" w:rsidRPr="00D01B97">
        <w:rPr>
          <w:szCs w:val="24"/>
          <w:u w:val="single"/>
          <w:lang w:val="fr-CA"/>
        </w:rPr>
        <w:t>sur présentation en bonne et due forme</w:t>
      </w:r>
      <w:r w:rsidR="00857221" w:rsidRPr="00D01B97">
        <w:rPr>
          <w:szCs w:val="24"/>
          <w:lang w:val="fr-CA"/>
        </w:rPr>
        <w:t>, elle sera acceptée et payée à sa valeur, et s’engage, en cas de refus, à indemniser le détenteur ou tout endosseur forcé de l’acquitter, si les formalités obligatoires à la suite d’un refus ont été dûment remplies; . . .</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Il ressort clairement des règles en matière de présentation que l’obligation de la banque tirée, à savoir celle de faire un paiement au détenteur du chèque, ne lui incombe qu’à l’égard du tireur et que cette obligation n’est déclenchée qu’au moment où le chèque lui est présenté.  Il est également clair que, sous réserve des dispositions de la </w:t>
      </w:r>
      <w:r w:rsidRPr="00D01B97">
        <w:rPr>
          <w:rFonts w:cs="Times New Roman"/>
          <w:i/>
          <w:szCs w:val="24"/>
          <w:lang w:val="fr-CA"/>
        </w:rPr>
        <w:t>LLC</w:t>
      </w:r>
      <w:r w:rsidRPr="00D01B97">
        <w:rPr>
          <w:rFonts w:cs="Times New Roman"/>
          <w:szCs w:val="24"/>
          <w:lang w:val="fr-CA"/>
        </w:rPr>
        <w:t>, l’obligation du tiré envers le tireur consiste à débourser les fonds seulement sur présentation de la lettre par son détenteur, à savoir la personne ayant le droit de recevoir les fonds, ou par le mandataire de cette personne.</w:t>
      </w:r>
    </w:p>
    <w:p w:rsidR="00857221" w:rsidRPr="00D01B97" w:rsidRDefault="00857221" w:rsidP="00857221">
      <w:pPr>
        <w:pStyle w:val="ParaNoNdepar-AltN"/>
        <w:rPr>
          <w:rFonts w:cs="Times New Roman"/>
          <w:szCs w:val="24"/>
          <w:lang w:val="fr-CA"/>
        </w:rPr>
      </w:pPr>
      <w:r w:rsidRPr="00D01B97">
        <w:rPr>
          <w:rFonts w:cs="Times New Roman"/>
          <w:szCs w:val="24"/>
          <w:lang w:val="fr-CA"/>
        </w:rPr>
        <w:t>Il ressort également de ce qui précède que, tant du point de vue de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en sa qualité de preneur, que de celui de </w:t>
      </w:r>
      <w:proofErr w:type="spellStart"/>
      <w:r w:rsidRPr="00D01B97">
        <w:rPr>
          <w:rFonts w:cs="Times New Roman"/>
          <w:szCs w:val="24"/>
          <w:lang w:val="fr-CA"/>
        </w:rPr>
        <w:t>Trustco</w:t>
      </w:r>
      <w:proofErr w:type="spellEnd"/>
      <w:r w:rsidRPr="00D01B97">
        <w:rPr>
          <w:rFonts w:cs="Times New Roman"/>
          <w:szCs w:val="24"/>
          <w:lang w:val="fr-CA"/>
        </w:rPr>
        <w:t>, en tant que banque tirée, le simple fait que des chèques payables à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ont été remis à </w:t>
      </w:r>
      <w:proofErr w:type="spellStart"/>
      <w:r w:rsidRPr="00D01B97">
        <w:rPr>
          <w:rFonts w:cs="Times New Roman"/>
          <w:szCs w:val="24"/>
          <w:lang w:val="fr-CA"/>
        </w:rPr>
        <w:t>Trustco</w:t>
      </w:r>
      <w:proofErr w:type="spellEnd"/>
      <w:r w:rsidRPr="00D01B97">
        <w:rPr>
          <w:rFonts w:cs="Times New Roman"/>
          <w:szCs w:val="24"/>
          <w:lang w:val="fr-CA"/>
        </w:rPr>
        <w:t xml:space="preserve"> en vue de le</w:t>
      </w:r>
      <w:r w:rsidR="00F04115">
        <w:rPr>
          <w:rFonts w:cs="Times New Roman"/>
          <w:szCs w:val="24"/>
          <w:lang w:val="fr-CA"/>
        </w:rPr>
        <w:t>ur dépôt n’imposait pas à celle-</w:t>
      </w:r>
      <w:r w:rsidRPr="00D01B97">
        <w:rPr>
          <w:rFonts w:cs="Times New Roman"/>
          <w:szCs w:val="24"/>
          <w:lang w:val="fr-CA"/>
        </w:rPr>
        <w:t>ci l’obligation de faire un paiement à celui</w:t>
      </w:r>
      <w:r w:rsidR="00F04115">
        <w:rPr>
          <w:rFonts w:cs="Times New Roman"/>
          <w:szCs w:val="24"/>
          <w:lang w:val="fr-CA"/>
        </w:rPr>
        <w:t>-</w:t>
      </w:r>
      <w:r w:rsidRPr="00D01B97">
        <w:rPr>
          <w:rFonts w:cs="Times New Roman"/>
          <w:szCs w:val="24"/>
          <w:lang w:val="fr-CA"/>
        </w:rPr>
        <w:t xml:space="preserve">là en application du par. 224(1) de la </w:t>
      </w:r>
      <w:r w:rsidRPr="00D01B97">
        <w:rPr>
          <w:rFonts w:cs="Times New Roman"/>
          <w:i/>
          <w:szCs w:val="24"/>
          <w:lang w:val="fr-CA"/>
        </w:rPr>
        <w:t>LIR</w:t>
      </w:r>
      <w:r w:rsidRPr="00D01B97">
        <w:rPr>
          <w:rFonts w:cs="Times New Roman"/>
          <w:szCs w:val="24"/>
          <w:lang w:val="fr-CA"/>
        </w:rPr>
        <w:t>.</w:t>
      </w:r>
    </w:p>
    <w:p w:rsidR="00857221" w:rsidRPr="00D01B97" w:rsidRDefault="00857221" w:rsidP="00857221">
      <w:pPr>
        <w:pStyle w:val="ParaNoNdepar-AltN"/>
        <w:rPr>
          <w:rFonts w:cs="Times New Roman"/>
          <w:szCs w:val="24"/>
          <w:lang w:val="fr-CA"/>
        </w:rPr>
      </w:pPr>
      <w:r w:rsidRPr="00D01B97">
        <w:rPr>
          <w:rFonts w:cs="Times New Roman"/>
          <w:szCs w:val="24"/>
          <w:lang w:val="fr-CA"/>
        </w:rPr>
        <w:lastRenderedPageBreak/>
        <w:t>Dans ses motifs de jugement en l’espèce, la Juge en chef s’appuie sur un commentaire de la professeure </w:t>
      </w:r>
      <w:proofErr w:type="spellStart"/>
      <w:r w:rsidRPr="00D01B97">
        <w:rPr>
          <w:rFonts w:cs="Times New Roman"/>
          <w:szCs w:val="24"/>
          <w:lang w:val="fr-CA"/>
        </w:rPr>
        <w:t>Ogilvie</w:t>
      </w:r>
      <w:proofErr w:type="spellEnd"/>
      <w:r w:rsidRPr="00D01B97">
        <w:rPr>
          <w:rFonts w:cs="Times New Roman"/>
          <w:szCs w:val="24"/>
          <w:lang w:val="fr-CA"/>
        </w:rPr>
        <w:t xml:space="preserve"> pour étayer </w:t>
      </w:r>
      <w:r w:rsidR="00F04115">
        <w:rPr>
          <w:rFonts w:cs="Times New Roman"/>
          <w:szCs w:val="24"/>
          <w:lang w:val="fr-CA"/>
        </w:rPr>
        <w:t>l’affirmation qu’il existe peut-</w:t>
      </w:r>
      <w:r w:rsidRPr="00D01B97">
        <w:rPr>
          <w:rFonts w:cs="Times New Roman"/>
          <w:szCs w:val="24"/>
          <w:lang w:val="fr-CA"/>
        </w:rPr>
        <w:t>être un contrat entre le preneur et la banque tirée (</w:t>
      </w:r>
      <w:r w:rsidRPr="00D01B97">
        <w:rPr>
          <w:rFonts w:cs="Times New Roman"/>
          <w:i/>
          <w:szCs w:val="24"/>
          <w:lang w:val="fr-CA"/>
        </w:rPr>
        <w:t>Bank and Customer Law in Canada</w:t>
      </w:r>
      <w:r w:rsidR="00461D00">
        <w:rPr>
          <w:rFonts w:cs="Times New Roman"/>
          <w:szCs w:val="24"/>
          <w:lang w:val="fr-CA"/>
        </w:rPr>
        <w:t xml:space="preserve">, </w:t>
      </w:r>
      <w:r w:rsidR="00F04115">
        <w:rPr>
          <w:rFonts w:cs="Times New Roman"/>
          <w:szCs w:val="24"/>
          <w:lang w:val="fr-CA"/>
        </w:rPr>
        <w:t>p. 288-</w:t>
      </w:r>
      <w:r w:rsidR="00CB5267">
        <w:rPr>
          <w:rFonts w:cs="Times New Roman"/>
          <w:szCs w:val="24"/>
          <w:lang w:val="fr-CA"/>
        </w:rPr>
        <w:t>2</w:t>
      </w:r>
      <w:r w:rsidRPr="00D01B97">
        <w:rPr>
          <w:rFonts w:cs="Times New Roman"/>
          <w:szCs w:val="24"/>
          <w:lang w:val="fr-CA"/>
        </w:rPr>
        <w:t xml:space="preserve">91).  En toute déférence, je ne pense pas que ce commentaire étaye cette affirmation générale.  La professeure </w:t>
      </w:r>
      <w:proofErr w:type="spellStart"/>
      <w:r w:rsidRPr="00D01B97">
        <w:rPr>
          <w:rFonts w:cs="Times New Roman"/>
          <w:szCs w:val="24"/>
          <w:lang w:val="fr-CA"/>
        </w:rPr>
        <w:t>Ogilvie</w:t>
      </w:r>
      <w:proofErr w:type="spellEnd"/>
      <w:r w:rsidRPr="00D01B97">
        <w:rPr>
          <w:rFonts w:cs="Times New Roman"/>
          <w:szCs w:val="24"/>
          <w:lang w:val="fr-CA"/>
        </w:rPr>
        <w:t xml:space="preserve"> affirme plutôt, en expliquant les différents recours qui s’offrent au client d’une banque en cas de retard du paiement d’un chèque déposé au compte du pren</w:t>
      </w:r>
      <w:r w:rsidR="00F04115">
        <w:rPr>
          <w:rFonts w:cs="Times New Roman"/>
          <w:szCs w:val="24"/>
          <w:lang w:val="fr-CA"/>
        </w:rPr>
        <w:t>eur, dans la situation où celui-</w:t>
      </w:r>
      <w:r w:rsidRPr="00D01B97">
        <w:rPr>
          <w:rFonts w:cs="Times New Roman"/>
          <w:szCs w:val="24"/>
          <w:lang w:val="fr-CA"/>
        </w:rPr>
        <w:t>ci et le tireur ont tous les deux un compte à la même banque, que le preneur peut intenter une action pour violation de contrat contre la banque — dans cet exemple, la banque aurait manqué à son obligation envers son client de présenter le chèque dans un délai raisonnable.  Il convient de souligner que, dans de telles circonstances, la banque à l’origine du retard est, en fait, la banque d’encaissement, à savoir la partie au contrat conclu avec le titulaire du compte où le chèque est déposé.  Selon moi, le commentaire de la professeure </w:t>
      </w:r>
      <w:proofErr w:type="spellStart"/>
      <w:r w:rsidRPr="00D01B97">
        <w:rPr>
          <w:rFonts w:cs="Times New Roman"/>
          <w:szCs w:val="24"/>
          <w:lang w:val="fr-CA"/>
        </w:rPr>
        <w:t>Ogilvie</w:t>
      </w:r>
      <w:proofErr w:type="spellEnd"/>
      <w:r w:rsidRPr="00D01B97">
        <w:rPr>
          <w:rFonts w:cs="Times New Roman"/>
          <w:szCs w:val="24"/>
          <w:lang w:val="fr-CA"/>
        </w:rPr>
        <w:t xml:space="preserve"> ne permet pas de déduire qu’il existe une obligation contractuelle de verser le montant du chèque au preneur simplement parce que ce dernier et le tireur sont des clients de la même banque.  S’il incombe à la banque une obligation contractuelle envers son client, c’est soit parce que </w:t>
      </w:r>
      <w:proofErr w:type="spellStart"/>
      <w:r w:rsidRPr="00D01B97">
        <w:rPr>
          <w:rFonts w:cs="Times New Roman"/>
          <w:szCs w:val="24"/>
          <w:lang w:val="fr-CA"/>
        </w:rPr>
        <w:t>celui</w:t>
      </w:r>
      <w:r w:rsidRPr="00D01B97">
        <w:rPr>
          <w:rFonts w:cs="Times New Roman"/>
          <w:szCs w:val="24"/>
          <w:lang w:val="fr-CA"/>
        </w:rPr>
        <w:noBreakHyphen/>
        <w:t>ci</w:t>
      </w:r>
      <w:proofErr w:type="spellEnd"/>
      <w:r w:rsidRPr="00D01B97">
        <w:rPr>
          <w:rFonts w:cs="Times New Roman"/>
          <w:szCs w:val="24"/>
          <w:lang w:val="fr-CA"/>
        </w:rPr>
        <w:t xml:space="preserve"> lui a donné pour instructions de payer le chèque — en sa qualité de tireur du chèque et titulaire du compte d’où proviennent les fonds nécessaires —, soit parce qu’il lui a demandé de l’encaisser, en tant que titulaire du compte où le chèque est déposé.  J’ajouterais que la situation est différente dans les cas où, comme en l’espèce, le preneur n’est pas le seul titulaire du compte où le chèque est déposé.  </w:t>
      </w:r>
    </w:p>
    <w:p w:rsidR="00857221" w:rsidRPr="00D01B97" w:rsidRDefault="00857221" w:rsidP="00857221">
      <w:pPr>
        <w:pStyle w:val="ParaNoNdepar-AltN"/>
        <w:rPr>
          <w:rFonts w:cs="Times New Roman"/>
          <w:szCs w:val="24"/>
          <w:lang w:val="fr-CA"/>
        </w:rPr>
      </w:pPr>
      <w:r w:rsidRPr="00D01B97">
        <w:rPr>
          <w:rFonts w:cs="Times New Roman"/>
          <w:szCs w:val="24"/>
          <w:lang w:val="fr-CA"/>
        </w:rPr>
        <w:lastRenderedPageBreak/>
        <w:t>En l’espèce, les droits de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en sa qualité de titulaire d’un compte à la banque n’ont aucun effet sur ses droits à titre de preneur des chèques.  Si l’on supposait, pour les fins de la discussion, que Canada n’avait fait aucune demande péremptoire de paiement ni aucune concession — contrairement à ce qui s’est produit en réalité —, il faudrait conclure, dans le cas où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aurait présenté les chèques à sa succursale en vue de s’en faire remettre le montant </w:t>
      </w:r>
      <w:proofErr w:type="spellStart"/>
      <w:r w:rsidRPr="00D01B97">
        <w:rPr>
          <w:rFonts w:cs="Times New Roman"/>
          <w:szCs w:val="24"/>
          <w:lang w:val="fr-CA"/>
        </w:rPr>
        <w:t>sur</w:t>
      </w:r>
      <w:r w:rsidRPr="00D01B97">
        <w:rPr>
          <w:rFonts w:cs="Times New Roman"/>
          <w:szCs w:val="24"/>
          <w:lang w:val="fr-CA"/>
        </w:rPr>
        <w:noBreakHyphen/>
        <w:t>le</w:t>
      </w:r>
      <w:r w:rsidRPr="00D01B97">
        <w:rPr>
          <w:rFonts w:cs="Times New Roman"/>
          <w:szCs w:val="24"/>
          <w:lang w:val="fr-CA"/>
        </w:rPr>
        <w:noBreakHyphen/>
        <w:t>champ</w:t>
      </w:r>
      <w:proofErr w:type="spellEnd"/>
      <w:r w:rsidRPr="00D01B97">
        <w:rPr>
          <w:rFonts w:cs="Times New Roman"/>
          <w:szCs w:val="24"/>
          <w:lang w:val="fr-CA"/>
        </w:rPr>
        <w:t xml:space="preserve"> (s’il les avait encaissés), que </w:t>
      </w:r>
      <w:proofErr w:type="spellStart"/>
      <w:r w:rsidRPr="00D01B97">
        <w:rPr>
          <w:rFonts w:cs="Times New Roman"/>
          <w:szCs w:val="24"/>
          <w:lang w:val="fr-CA"/>
        </w:rPr>
        <w:t>Trustco</w:t>
      </w:r>
      <w:proofErr w:type="spellEnd"/>
      <w:r w:rsidRPr="00D01B97">
        <w:rPr>
          <w:rFonts w:cs="Times New Roman"/>
          <w:szCs w:val="24"/>
          <w:lang w:val="fr-CA"/>
        </w:rPr>
        <w:t xml:space="preserve"> aurait violé les obligations contractuelles qui lui incombaient à l’égard de ce dernier, en sa qualité de titulaire du compte en fiducie, si elle avait omis de le lui verser.  Quoi qu’il en soit, ce n’est pas ce qui s’est produit.  Non seulement les chèques ont</w:t>
      </w:r>
      <w:r w:rsidR="00F04115">
        <w:rPr>
          <w:rFonts w:cs="Times New Roman"/>
          <w:szCs w:val="24"/>
          <w:lang w:val="fr-CA"/>
        </w:rPr>
        <w:t>-</w:t>
      </w:r>
      <w:r w:rsidRPr="00D01B97">
        <w:rPr>
          <w:rFonts w:cs="Times New Roman"/>
          <w:szCs w:val="24"/>
          <w:lang w:val="fr-CA"/>
        </w:rPr>
        <w:t xml:space="preserve">ils été déposés de façon anonyme au compte conjoint, mais ils devaient d’abord être traités par l’entremise du système de compensation avant la présentation au paiement.  L’arrêt </w:t>
      </w:r>
      <w:r w:rsidRPr="00D01B97">
        <w:rPr>
          <w:rFonts w:cs="Times New Roman"/>
          <w:i/>
          <w:szCs w:val="24"/>
          <w:lang w:val="fr-CA"/>
        </w:rPr>
        <w:t>Capital</w:t>
      </w:r>
      <w:r w:rsidRPr="00D01B97">
        <w:rPr>
          <w:rFonts w:cs="Times New Roman"/>
          <w:szCs w:val="24"/>
          <w:lang w:val="fr-CA"/>
        </w:rPr>
        <w:t xml:space="preserve"> </w:t>
      </w:r>
      <w:r w:rsidRPr="00D01B97">
        <w:rPr>
          <w:rFonts w:cs="Times New Roman"/>
          <w:i/>
          <w:szCs w:val="24"/>
          <w:lang w:val="fr-CA"/>
        </w:rPr>
        <w:t>Associates</w:t>
      </w:r>
      <w:r w:rsidRPr="00D01B97">
        <w:rPr>
          <w:rFonts w:cs="Times New Roman"/>
          <w:szCs w:val="24"/>
          <w:lang w:val="fr-CA"/>
        </w:rPr>
        <w:t xml:space="preserve"> établit clairement que la présentation au paiement et le dépôt ne sont pas synonymes.  Cette distinction est d’une importance cruciale pour l’issue de la présente affaire.</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Le fait que </w:t>
      </w:r>
      <w:proofErr w:type="spellStart"/>
      <w:r w:rsidRPr="00D01B97">
        <w:rPr>
          <w:rFonts w:cs="Times New Roman"/>
          <w:szCs w:val="24"/>
          <w:lang w:val="fr-CA"/>
        </w:rPr>
        <w:t>Trustco</w:t>
      </w:r>
      <w:proofErr w:type="spellEnd"/>
      <w:r w:rsidRPr="00D01B97">
        <w:rPr>
          <w:rFonts w:cs="Times New Roman"/>
          <w:szCs w:val="24"/>
          <w:lang w:val="fr-CA"/>
        </w:rPr>
        <w:t xml:space="preserve">, en sa qualité de banque tirée, a reçu les chèques tant pour leur dépôt que pour leur paiement — bien que ces deux opérations ne se soient pas déroulées de façon simultanée — a compliqué le règlement du litige.  L’affaire anglaise </w:t>
      </w:r>
      <w:r w:rsidRPr="00D01B97">
        <w:rPr>
          <w:rFonts w:cs="Times New Roman"/>
          <w:i/>
          <w:szCs w:val="24"/>
          <w:lang w:val="fr-CA"/>
        </w:rPr>
        <w:t xml:space="preserve">Boyd c. </w:t>
      </w:r>
      <w:proofErr w:type="spellStart"/>
      <w:r w:rsidRPr="00D01B97">
        <w:rPr>
          <w:rFonts w:cs="Times New Roman"/>
          <w:i/>
          <w:szCs w:val="24"/>
          <w:lang w:val="fr-CA"/>
        </w:rPr>
        <w:t>Emmerson</w:t>
      </w:r>
      <w:proofErr w:type="spellEnd"/>
      <w:r w:rsidRPr="00D01B97">
        <w:rPr>
          <w:rFonts w:cs="Times New Roman"/>
          <w:szCs w:val="24"/>
          <w:lang w:val="fr-CA"/>
        </w:rPr>
        <w:t xml:space="preserve"> (1834), 2 Ad. &amp; E. 184, 111 E.R. 71, porte sur des faits semblables à ceux qui nous intéressent ici.  Dans cette affaire, le demandeur avait dit au caissier d’une banque de porter le montant d’un chèque au crédit de son compte.  Cette banque était aussi celle sur laquelle le chèque était tiré.  Elle avait refusé d’honorer le chèque parce que le tireur ne disposait pas des fonds nécessaires.  Le </w:t>
      </w:r>
      <w:r w:rsidRPr="00D01B97">
        <w:rPr>
          <w:rFonts w:cs="Times New Roman"/>
          <w:szCs w:val="24"/>
          <w:lang w:val="fr-CA"/>
        </w:rPr>
        <w:lastRenderedPageBreak/>
        <w:t>juge en chef lord </w:t>
      </w:r>
      <w:proofErr w:type="spellStart"/>
      <w:r w:rsidRPr="00D01B97">
        <w:rPr>
          <w:rFonts w:cs="Times New Roman"/>
          <w:szCs w:val="24"/>
          <w:lang w:val="fr-CA"/>
        </w:rPr>
        <w:t>Denman</w:t>
      </w:r>
      <w:proofErr w:type="spellEnd"/>
      <w:r w:rsidRPr="00D01B97">
        <w:rPr>
          <w:rFonts w:cs="Times New Roman"/>
          <w:szCs w:val="24"/>
          <w:lang w:val="fr-CA"/>
        </w:rPr>
        <w:t xml:space="preserve"> a conclu que la banque avait été justifiée de refuser le paiement parce qu’elle avait accepté le chèque en vue de son encaissement.  La banque avait suivi les instructions de son client, à savoir </w:t>
      </w:r>
      <w:proofErr w:type="gramStart"/>
      <w:r w:rsidRPr="00D01B97">
        <w:rPr>
          <w:rFonts w:cs="Times New Roman"/>
          <w:szCs w:val="24"/>
          <w:lang w:val="fr-CA"/>
        </w:rPr>
        <w:t>porter</w:t>
      </w:r>
      <w:proofErr w:type="gramEnd"/>
      <w:r w:rsidRPr="00D01B97">
        <w:rPr>
          <w:rFonts w:cs="Times New Roman"/>
          <w:szCs w:val="24"/>
          <w:lang w:val="fr-CA"/>
        </w:rPr>
        <w:t xml:space="preserve"> le montant du chèque à son compte.  Par conséquent, le crédit dépendait de l’existence de fonds suffisants dans le compte du tireur.</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Les décisions </w:t>
      </w:r>
      <w:r w:rsidRPr="00D01B97">
        <w:rPr>
          <w:rFonts w:cs="Times New Roman"/>
          <w:i/>
          <w:szCs w:val="24"/>
          <w:lang w:val="fr-CA"/>
        </w:rPr>
        <w:t>Boyd</w:t>
      </w:r>
      <w:r w:rsidRPr="00D01B97">
        <w:rPr>
          <w:rFonts w:cs="Times New Roman"/>
          <w:szCs w:val="24"/>
          <w:lang w:val="fr-CA"/>
        </w:rPr>
        <w:t xml:space="preserve">, </w:t>
      </w:r>
      <w:r w:rsidRPr="00D01B97">
        <w:rPr>
          <w:rFonts w:cs="Times New Roman"/>
          <w:i/>
          <w:szCs w:val="24"/>
          <w:lang w:val="fr-CA"/>
        </w:rPr>
        <w:t>Banque de Montréal</w:t>
      </w:r>
      <w:r w:rsidRPr="00D01B97">
        <w:rPr>
          <w:rFonts w:cs="Times New Roman"/>
          <w:szCs w:val="24"/>
          <w:lang w:val="fr-CA"/>
        </w:rPr>
        <w:t xml:space="preserve"> et </w:t>
      </w:r>
      <w:r w:rsidRPr="00D01B97">
        <w:rPr>
          <w:rFonts w:cs="Times New Roman"/>
          <w:i/>
          <w:szCs w:val="24"/>
          <w:lang w:val="fr-CA"/>
        </w:rPr>
        <w:t>Capital Associates</w:t>
      </w:r>
      <w:r w:rsidRPr="00D01B97">
        <w:rPr>
          <w:rFonts w:cs="Times New Roman"/>
          <w:szCs w:val="24"/>
          <w:lang w:val="fr-CA"/>
        </w:rPr>
        <w:t xml:space="preserve"> sont pertinentes en l’espèce.  Le fait que les chèques ont été tirés sur un compte détenu chez </w:t>
      </w:r>
      <w:proofErr w:type="spellStart"/>
      <w:r w:rsidRPr="00D01B97">
        <w:rPr>
          <w:rFonts w:cs="Times New Roman"/>
          <w:szCs w:val="24"/>
          <w:lang w:val="fr-CA"/>
        </w:rPr>
        <w:t>Trustco</w:t>
      </w:r>
      <w:proofErr w:type="spellEnd"/>
      <w:r w:rsidRPr="00D01B97">
        <w:rPr>
          <w:rFonts w:cs="Times New Roman"/>
          <w:szCs w:val="24"/>
          <w:lang w:val="fr-CA"/>
        </w:rPr>
        <w:t xml:space="preserve"> et qu’ils y ont</w:t>
      </w:r>
      <w:r w:rsidR="00A53406">
        <w:rPr>
          <w:rFonts w:cs="Times New Roman"/>
          <w:szCs w:val="24"/>
          <w:lang w:val="fr-CA"/>
        </w:rPr>
        <w:t xml:space="preserve"> été</w:t>
      </w:r>
      <w:r w:rsidRPr="00D01B97">
        <w:rPr>
          <w:rFonts w:cs="Times New Roman"/>
          <w:szCs w:val="24"/>
          <w:lang w:val="fr-CA"/>
        </w:rPr>
        <w:t xml:space="preserve"> déposés ne modifie en rien la situation juridique de cette dernière.  Elle n’a pas reçu les chèques en tant que banque tirée, et les instructions qui lui ont été données de déposer les fonds faisaient d’elle la banque d’encaissement.  À ce titre, il ne lui incombait aucune obligation de payer quoi que ce soit à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w:t>
      </w:r>
    </w:p>
    <w:p w:rsidR="00857221" w:rsidRPr="00D01B97" w:rsidRDefault="00857221" w:rsidP="009327A4">
      <w:pPr>
        <w:pStyle w:val="TitleTitre-AltT"/>
        <w:keepNext/>
        <w:tabs>
          <w:tab w:val="clear" w:pos="360"/>
          <w:tab w:val="left" w:pos="540"/>
        </w:tabs>
        <w:spacing w:after="720"/>
        <w:ind w:left="540" w:hanging="540"/>
        <w:rPr>
          <w:rFonts w:cs="Times New Roman"/>
          <w:szCs w:val="24"/>
          <w:lang w:val="fr-CA"/>
        </w:rPr>
      </w:pPr>
      <w:r w:rsidRPr="00D01B97">
        <w:rPr>
          <w:rFonts w:cs="Times New Roman"/>
          <w:szCs w:val="24"/>
          <w:lang w:val="fr-CA"/>
        </w:rPr>
        <w:t>II.</w:t>
      </w:r>
      <w:r w:rsidRPr="00D01B97">
        <w:rPr>
          <w:rFonts w:cs="Times New Roman"/>
          <w:szCs w:val="24"/>
          <w:lang w:val="fr-CA"/>
        </w:rPr>
        <w:tab/>
      </w:r>
      <w:r w:rsidRPr="00D01B97">
        <w:rPr>
          <w:rFonts w:cs="Times New Roman"/>
          <w:szCs w:val="24"/>
          <w:u w:val="single"/>
          <w:lang w:val="fr-CA"/>
        </w:rPr>
        <w:t>Conclusion</w:t>
      </w:r>
    </w:p>
    <w:p w:rsidR="00857221" w:rsidRPr="00D01B97" w:rsidRDefault="00857221" w:rsidP="00857221">
      <w:pPr>
        <w:pStyle w:val="ParaNoNdepar-AltN"/>
        <w:rPr>
          <w:rFonts w:cs="Times New Roman"/>
          <w:szCs w:val="24"/>
          <w:lang w:val="fr-CA"/>
        </w:rPr>
      </w:pPr>
      <w:r w:rsidRPr="00D01B97">
        <w:rPr>
          <w:rFonts w:cs="Times New Roman"/>
          <w:szCs w:val="24"/>
          <w:lang w:val="fr-CA"/>
        </w:rPr>
        <w:t>La banque n’a pas d’obligation envers la personne du seul fait que celle</w:t>
      </w:r>
      <w:r w:rsidR="00F04115">
        <w:rPr>
          <w:rFonts w:cs="Times New Roman"/>
          <w:szCs w:val="24"/>
          <w:lang w:val="fr-CA"/>
        </w:rPr>
        <w:t>-</w:t>
      </w:r>
      <w:r w:rsidRPr="00D01B97">
        <w:rPr>
          <w:rFonts w:cs="Times New Roman"/>
          <w:szCs w:val="24"/>
          <w:lang w:val="fr-CA"/>
        </w:rPr>
        <w:t xml:space="preserve">ci est nommément désignée comme preneur à la face même du chèque.  D’abord, le tiré est redevable au tireur.  Ensuite, il faut déterminer à qui le tiré peut faire le paiement.  Pour ce faire, il est essentiel de prendre connaissance de ce qui est écrit au verso du chèque, où se trouvent les instructions à exécuter ou l’endossement.  En l’espèce, les instructions étaient de déposer les chèques au compte conjoint. La </w:t>
      </w:r>
      <w:r w:rsidRPr="00D01B97">
        <w:rPr>
          <w:rFonts w:cs="Times New Roman"/>
          <w:szCs w:val="24"/>
          <w:lang w:val="fr-CA"/>
        </w:rPr>
        <w:lastRenderedPageBreak/>
        <w:t>banque n’avait pas pour instructions de remettre les fonds à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le débiteur fiscal. </w:t>
      </w:r>
    </w:p>
    <w:p w:rsidR="00857221" w:rsidRPr="00D01B97" w:rsidRDefault="00857221" w:rsidP="00857221">
      <w:pPr>
        <w:pStyle w:val="ParaNoNdepar-AltN"/>
        <w:rPr>
          <w:rFonts w:cs="Times New Roman"/>
          <w:szCs w:val="24"/>
          <w:lang w:val="fr-CA"/>
        </w:rPr>
      </w:pPr>
      <w:r w:rsidRPr="00D01B97">
        <w:rPr>
          <w:rFonts w:cs="Times New Roman"/>
          <w:szCs w:val="24"/>
          <w:lang w:val="fr-CA"/>
        </w:rPr>
        <w:t>Canada ne peut affirmer que le compte conjoint lui est inaccessible tout en traitant les titulaires de ce compte comme s’il s’agissait d’une seule et même personne, à savoir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Comme Canada adopte le point de vue qu’il ne peut saisir de fonds dans l’un ou l’autre compte, il ne faut pas confondre l’obligation de </w:t>
      </w:r>
      <w:proofErr w:type="spellStart"/>
      <w:r w:rsidRPr="00D01B97">
        <w:rPr>
          <w:rFonts w:cs="Times New Roman"/>
          <w:szCs w:val="24"/>
          <w:lang w:val="fr-CA"/>
        </w:rPr>
        <w:t>Trustco</w:t>
      </w:r>
      <w:proofErr w:type="spellEnd"/>
      <w:r w:rsidRPr="00D01B97">
        <w:rPr>
          <w:rFonts w:cs="Times New Roman"/>
          <w:szCs w:val="24"/>
          <w:lang w:val="fr-CA"/>
        </w:rPr>
        <w:t xml:space="preserve"> de remettre des fonds à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à titre personnel et son obligation d’en verser aux titulaires du compte conjoint.  En somme, de deux choses l’une : ou bien Canada établit que </w:t>
      </w:r>
      <w:proofErr w:type="spellStart"/>
      <w:r w:rsidRPr="00D01B97">
        <w:rPr>
          <w:rFonts w:cs="Times New Roman"/>
          <w:szCs w:val="24"/>
          <w:lang w:val="fr-CA"/>
        </w:rPr>
        <w:t>Trustco</w:t>
      </w:r>
      <w:proofErr w:type="spellEnd"/>
      <w:r w:rsidRPr="00D01B97">
        <w:rPr>
          <w:rFonts w:cs="Times New Roman"/>
          <w:szCs w:val="24"/>
          <w:lang w:val="fr-CA"/>
        </w:rPr>
        <w:t xml:space="preserve"> était tenue de remettre les fonds à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en sa qualité de preneur, ce qu’il ne peut pas faire, comme je l’ai démontré, ou bien il fait valoir qu’il avait le droit de saisir les fonds déposés au compte conjoint, ce qu’il a </w:t>
      </w:r>
      <w:proofErr w:type="spellStart"/>
      <w:r w:rsidRPr="00D01B97">
        <w:rPr>
          <w:rFonts w:cs="Times New Roman"/>
          <w:szCs w:val="24"/>
          <w:lang w:val="fr-CA"/>
        </w:rPr>
        <w:t>lui</w:t>
      </w:r>
      <w:r w:rsidRPr="00D01B97">
        <w:rPr>
          <w:rFonts w:cs="Times New Roman"/>
          <w:szCs w:val="24"/>
          <w:lang w:val="fr-CA"/>
        </w:rPr>
        <w:noBreakHyphen/>
        <w:t>même</w:t>
      </w:r>
      <w:proofErr w:type="spellEnd"/>
      <w:r w:rsidRPr="00D01B97">
        <w:rPr>
          <w:rFonts w:cs="Times New Roman"/>
          <w:szCs w:val="24"/>
          <w:lang w:val="fr-CA"/>
        </w:rPr>
        <w:t xml:space="preserve"> concédé ne pas pouvoir faire.</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L’obligation d’une banque de verser des fonds n’est déclenchée que par la loi, la </w:t>
      </w:r>
      <w:proofErr w:type="spellStart"/>
      <w:r w:rsidRPr="00D01B97">
        <w:rPr>
          <w:rFonts w:cs="Times New Roman"/>
          <w:szCs w:val="24"/>
          <w:lang w:val="fr-CA"/>
        </w:rPr>
        <w:t>common</w:t>
      </w:r>
      <w:proofErr w:type="spellEnd"/>
      <w:r w:rsidRPr="00D01B97">
        <w:rPr>
          <w:rFonts w:cs="Times New Roman"/>
          <w:szCs w:val="24"/>
          <w:lang w:val="fr-CA"/>
        </w:rPr>
        <w:t xml:space="preserve"> </w:t>
      </w:r>
      <w:proofErr w:type="spellStart"/>
      <w:r w:rsidRPr="00D01B97">
        <w:rPr>
          <w:rFonts w:cs="Times New Roman"/>
          <w:szCs w:val="24"/>
          <w:lang w:val="fr-CA"/>
        </w:rPr>
        <w:t>law</w:t>
      </w:r>
      <w:proofErr w:type="spellEnd"/>
      <w:r w:rsidRPr="00D01B97">
        <w:rPr>
          <w:rFonts w:cs="Times New Roman"/>
          <w:szCs w:val="24"/>
          <w:lang w:val="fr-CA"/>
        </w:rPr>
        <w:t xml:space="preserve"> ou un contrat.  En l’espèce, Canada ne peut invoquer aucune de ces sources.  Ce résultat s’accorde parfaitement avec les concessions de Canada qu’il ne peut saisir de fonds dans le compte en fiducie ou le compte conjoint et le fait que </w:t>
      </w:r>
      <w:proofErr w:type="spellStart"/>
      <w:r w:rsidRPr="00D01B97">
        <w:rPr>
          <w:rFonts w:cs="Times New Roman"/>
          <w:szCs w:val="24"/>
          <w:lang w:val="fr-CA"/>
        </w:rPr>
        <w:t>Trustco</w:t>
      </w:r>
      <w:proofErr w:type="spellEnd"/>
      <w:r w:rsidRPr="00D01B97">
        <w:rPr>
          <w:rFonts w:cs="Times New Roman"/>
          <w:szCs w:val="24"/>
          <w:lang w:val="fr-CA"/>
        </w:rPr>
        <w:t xml:space="preserve"> a porté les fonds en cause au crédit du compte conjoint; elle ne les a pas remis à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Accepter le point de vue de Canada reviendrait à dire que le preneur a présenté les chèques au tiré en vue de leur paiement avant même qu’ils n’aient été </w:t>
      </w:r>
      <w:r w:rsidRPr="00D01B97">
        <w:rPr>
          <w:rFonts w:cs="Times New Roman"/>
          <w:szCs w:val="24"/>
          <w:lang w:val="fr-CA"/>
        </w:rPr>
        <w:lastRenderedPageBreak/>
        <w:t xml:space="preserve">déposés.  Or, ce n’est pas ce qui s’est produit en l’espèce.  Accepter que </w:t>
      </w:r>
      <w:proofErr w:type="spellStart"/>
      <w:r w:rsidRPr="00D01B97">
        <w:rPr>
          <w:rFonts w:cs="Times New Roman"/>
          <w:szCs w:val="24"/>
          <w:lang w:val="fr-CA"/>
        </w:rPr>
        <w:t>Trustco</w:t>
      </w:r>
      <w:proofErr w:type="spellEnd"/>
      <w:r w:rsidRPr="00D01B97">
        <w:rPr>
          <w:rFonts w:cs="Times New Roman"/>
          <w:szCs w:val="24"/>
          <w:lang w:val="fr-CA"/>
        </w:rPr>
        <w:t xml:space="preserve"> était tenue de remettre les fonds à M</w:t>
      </w:r>
      <w:r w:rsidRPr="00D01B97">
        <w:rPr>
          <w:rFonts w:cs="Times New Roman"/>
          <w:szCs w:val="24"/>
          <w:vertAlign w:val="superscript"/>
          <w:lang w:val="fr-CA"/>
        </w:rPr>
        <w:t>e</w:t>
      </w:r>
      <w:r w:rsidRPr="00D01B97">
        <w:rPr>
          <w:rFonts w:cs="Times New Roman"/>
          <w:szCs w:val="24"/>
          <w:lang w:val="fr-CA"/>
        </w:rPr>
        <w:t> </w:t>
      </w:r>
      <w:proofErr w:type="spellStart"/>
      <w:r w:rsidRPr="00D01B97">
        <w:rPr>
          <w:rFonts w:cs="Times New Roman"/>
          <w:szCs w:val="24"/>
          <w:lang w:val="fr-CA"/>
        </w:rPr>
        <w:t>McLeod</w:t>
      </w:r>
      <w:proofErr w:type="spellEnd"/>
      <w:r w:rsidRPr="00D01B97">
        <w:rPr>
          <w:rFonts w:cs="Times New Roman"/>
          <w:szCs w:val="24"/>
          <w:lang w:val="fr-CA"/>
        </w:rPr>
        <w:t xml:space="preserve"> reviendrait aussi à dire que la banque tirée qui honore un chèque fait un paiement au preneur sans même avoir déterminé qui est le détenteur du chèque.  La thèse de Canada est incompatible avec le fait que la banque qui accepte un chèque pour dépôt n’agit pas en qualité de banque tirée, et ce même s’il se trouve qu’elle est aussi la banque tirée.  Selon l’interprétation de Canada, les banques saisies de réclamations de tiers seraient chaque fois tenues de déterminer si les preneurs ont l’obligation de faire des paiements alors que, souvent, au moment de la négociation, les preneurs ne sont même pas leurs clients.  Ce n’est pas ce que prévoient la </w:t>
      </w:r>
      <w:proofErr w:type="spellStart"/>
      <w:r w:rsidRPr="00D01B97">
        <w:rPr>
          <w:rFonts w:cs="Times New Roman"/>
          <w:szCs w:val="24"/>
          <w:lang w:val="fr-CA"/>
        </w:rPr>
        <w:t>common</w:t>
      </w:r>
      <w:proofErr w:type="spellEnd"/>
      <w:r w:rsidRPr="00D01B97">
        <w:rPr>
          <w:rFonts w:cs="Times New Roman"/>
          <w:szCs w:val="24"/>
          <w:lang w:val="fr-CA"/>
        </w:rPr>
        <w:t xml:space="preserve"> </w:t>
      </w:r>
      <w:proofErr w:type="spellStart"/>
      <w:r w:rsidRPr="00D01B97">
        <w:rPr>
          <w:rFonts w:cs="Times New Roman"/>
          <w:szCs w:val="24"/>
          <w:lang w:val="fr-CA"/>
        </w:rPr>
        <w:t>law</w:t>
      </w:r>
      <w:proofErr w:type="spellEnd"/>
      <w:r w:rsidRPr="00D01B97">
        <w:rPr>
          <w:rFonts w:cs="Times New Roman"/>
          <w:szCs w:val="24"/>
          <w:lang w:val="fr-CA"/>
        </w:rPr>
        <w:t xml:space="preserve"> et la </w:t>
      </w:r>
      <w:r w:rsidRPr="00D01B97">
        <w:rPr>
          <w:rFonts w:cs="Times New Roman"/>
          <w:i/>
          <w:szCs w:val="24"/>
          <w:lang w:val="fr-CA"/>
        </w:rPr>
        <w:t>LLC</w:t>
      </w:r>
      <w:r w:rsidRPr="00D01B97">
        <w:rPr>
          <w:rFonts w:cs="Times New Roman"/>
          <w:szCs w:val="24"/>
          <w:lang w:val="fr-CA"/>
        </w:rPr>
        <w:t>.</w:t>
      </w:r>
    </w:p>
    <w:p w:rsidR="00857221" w:rsidRPr="00D01B97" w:rsidRDefault="00857221" w:rsidP="00857221">
      <w:pPr>
        <w:pStyle w:val="ParaNoNdepar-AltN"/>
        <w:rPr>
          <w:rFonts w:cs="Times New Roman"/>
          <w:szCs w:val="24"/>
          <w:lang w:val="fr-CA"/>
        </w:rPr>
      </w:pPr>
      <w:r w:rsidRPr="00D01B97">
        <w:rPr>
          <w:rFonts w:cs="Times New Roman"/>
          <w:szCs w:val="24"/>
          <w:lang w:val="fr-CA"/>
        </w:rPr>
        <w:t xml:space="preserve">Pour ces motifs, je suis d’avis d’accueillir le pourvoi, d’infirmer l’arrêt de la Cour d’appel fédérale et le jugement de la Cour canadienne de l’impôt, et d’annuler les cotisations, le tout avec dépens dans toutes les cours. </w:t>
      </w:r>
    </w:p>
    <w:p w:rsidR="00857221" w:rsidRPr="00926A4D" w:rsidRDefault="00857221" w:rsidP="00857221">
      <w:pPr>
        <w:tabs>
          <w:tab w:val="left" w:pos="-1440"/>
          <w:tab w:val="left" w:pos="-720"/>
          <w:tab w:val="left" w:pos="1170"/>
        </w:tabs>
        <w:spacing w:before="480" w:after="480" w:line="480" w:lineRule="auto"/>
        <w:jc w:val="both"/>
        <w:rPr>
          <w:smallCaps/>
        </w:rPr>
      </w:pPr>
      <w:r w:rsidRPr="00926A4D">
        <w:rPr>
          <w:smallCaps/>
        </w:rPr>
        <w:tab/>
      </w:r>
      <w:r w:rsidR="002C1482">
        <w:t xml:space="preserve">Version française des motifs de la juge </w:t>
      </w:r>
      <w:r w:rsidR="003F6404">
        <w:t xml:space="preserve">en chef </w:t>
      </w:r>
      <w:proofErr w:type="spellStart"/>
      <w:r w:rsidR="002C1482">
        <w:t>McLachlin</w:t>
      </w:r>
      <w:proofErr w:type="spellEnd"/>
      <w:r w:rsidR="002C1482">
        <w:t xml:space="preserve"> et des juges Fish et Abella rendus par</w:t>
      </w:r>
    </w:p>
    <w:p w:rsidR="00857221" w:rsidRPr="00926A4D" w:rsidRDefault="00EE7344" w:rsidP="00857221">
      <w:pPr>
        <w:pStyle w:val="ParaNoNdepar-AltN"/>
        <w:rPr>
          <w:rFonts w:cs="Times New Roman"/>
          <w:szCs w:val="24"/>
          <w:lang w:val="fr-CA"/>
        </w:rPr>
      </w:pPr>
      <w:r w:rsidRPr="00B307E8">
        <w:rPr>
          <w:smallCaps/>
          <w:lang w:val="fr-CA"/>
        </w:rPr>
        <w:t>La</w:t>
      </w:r>
      <w:r w:rsidRPr="00EE7344">
        <w:rPr>
          <w:smallCaps/>
          <w:lang w:val="fr-CA"/>
        </w:rPr>
        <w:t xml:space="preserve"> </w:t>
      </w:r>
      <w:r w:rsidR="00C97271">
        <w:rPr>
          <w:smallCaps/>
          <w:lang w:val="fr-CA"/>
        </w:rPr>
        <w:t>J</w:t>
      </w:r>
      <w:r w:rsidRPr="00EE7344">
        <w:rPr>
          <w:smallCaps/>
          <w:lang w:val="fr-CA"/>
        </w:rPr>
        <w:t xml:space="preserve">uge en chef </w:t>
      </w:r>
      <w:r w:rsidRPr="00EE7344">
        <w:rPr>
          <w:lang w:val="fr-CA"/>
        </w:rPr>
        <w:t>(dissidente)</w:t>
      </w:r>
      <w:r>
        <w:rPr>
          <w:smallCaps/>
          <w:lang w:val="fr-CA"/>
        </w:rPr>
        <w:t xml:space="preserve"> </w:t>
      </w:r>
      <w:r w:rsidRPr="00EE7344">
        <w:rPr>
          <w:lang w:val="fr-CA"/>
        </w:rPr>
        <w:t xml:space="preserve">— </w:t>
      </w:r>
      <w:r w:rsidR="00857221" w:rsidRPr="00926A4D">
        <w:rPr>
          <w:rFonts w:cs="Times New Roman"/>
          <w:szCs w:val="24"/>
          <w:lang w:val="fr-CA"/>
        </w:rPr>
        <w:t>J’ai pris connaissance des motifs de la juge Deschamps et, en toute déférence, je suis d’avis qu’il y a lieu de rejeter le pourvoi.</w:t>
      </w:r>
    </w:p>
    <w:p w:rsidR="00857221" w:rsidRPr="00926A4D" w:rsidRDefault="00857221" w:rsidP="00857221">
      <w:pPr>
        <w:pStyle w:val="ParaNoNdepar-AltN"/>
        <w:rPr>
          <w:rFonts w:cs="Times New Roman"/>
          <w:szCs w:val="24"/>
          <w:lang w:val="fr-CA"/>
        </w:rPr>
      </w:pPr>
      <w:r w:rsidRPr="00926A4D">
        <w:rPr>
          <w:rFonts w:cs="Times New Roman"/>
          <w:szCs w:val="24"/>
          <w:lang w:val="fr-CA"/>
        </w:rPr>
        <w:lastRenderedPageBreak/>
        <w:t>Bien que je sois en grande partie d’accord avec l’analyse de la juge</w:t>
      </w:r>
      <w:r>
        <w:rPr>
          <w:rFonts w:cs="Times New Roman"/>
          <w:szCs w:val="24"/>
          <w:lang w:val="fr-CA"/>
        </w:rPr>
        <w:t> </w:t>
      </w:r>
      <w:r w:rsidRPr="00926A4D">
        <w:rPr>
          <w:rFonts w:cs="Times New Roman"/>
          <w:szCs w:val="24"/>
          <w:lang w:val="fr-CA"/>
        </w:rPr>
        <w:t>Deschamps, il y a deux points bien précis sur lesquels nous divergeons d’opinion et qui nous mènent à des résultats différents en l’espèce.  En premier lieu, selon la juge Deschamps, lorsque le client remet un chèque à sa banque en lui ordonnant de déposer les fonds à son compte, la banque devient la détentrice du chèque et, partant, les fonds encais</w:t>
      </w:r>
      <w:r w:rsidR="009327A4">
        <w:rPr>
          <w:rFonts w:cs="Times New Roman"/>
          <w:szCs w:val="24"/>
          <w:lang w:val="fr-CA"/>
        </w:rPr>
        <w:t>sés par suite du dépôt de celui-</w:t>
      </w:r>
      <w:r w:rsidRPr="00926A4D">
        <w:rPr>
          <w:rFonts w:cs="Times New Roman"/>
          <w:szCs w:val="24"/>
          <w:lang w:val="fr-CA"/>
        </w:rPr>
        <w:t>ci sont versés à elle.  À mon avis, la banque ne devient pas la détentrice du chèque; elle ne fait que percevoir les fonds à titre de mandataire agissant pour le compte de son mandant</w:t>
      </w:r>
      <w:r w:rsidR="00D41A1A">
        <w:rPr>
          <w:rFonts w:cs="Times New Roman"/>
          <w:szCs w:val="24"/>
          <w:lang w:val="fr-CA"/>
        </w:rPr>
        <w:t xml:space="preserve"> : </w:t>
      </w:r>
      <w:r w:rsidRPr="00926A4D">
        <w:rPr>
          <w:rFonts w:cs="Times New Roman"/>
          <w:i/>
          <w:szCs w:val="24"/>
          <w:lang w:val="fr-CA"/>
        </w:rPr>
        <w:t>B.M.P. Global Distribu</w:t>
      </w:r>
      <w:r w:rsidR="009327A4">
        <w:rPr>
          <w:rFonts w:cs="Times New Roman"/>
          <w:i/>
          <w:szCs w:val="24"/>
          <w:lang w:val="fr-CA"/>
        </w:rPr>
        <w:t>tion Inc. c. Banque de Nouvelle-</w:t>
      </w:r>
      <w:r w:rsidRPr="00926A4D">
        <w:rPr>
          <w:rFonts w:cs="Times New Roman"/>
          <w:i/>
          <w:szCs w:val="24"/>
          <w:lang w:val="fr-CA"/>
        </w:rPr>
        <w:t>Écosse</w:t>
      </w:r>
      <w:r w:rsidRPr="00926A4D">
        <w:rPr>
          <w:rFonts w:cs="Times New Roman"/>
          <w:szCs w:val="24"/>
          <w:lang w:val="fr-CA"/>
        </w:rPr>
        <w:t>, 2009 </w:t>
      </w:r>
      <w:r w:rsidR="00E47738">
        <w:rPr>
          <w:rFonts w:cs="Times New Roman"/>
          <w:szCs w:val="24"/>
          <w:lang w:val="fr-CA"/>
        </w:rPr>
        <w:t xml:space="preserve">CSC 15, [2009] 1 R.C.S. 504, </w:t>
      </w:r>
      <w:r w:rsidRPr="00926A4D">
        <w:rPr>
          <w:rFonts w:cs="Times New Roman"/>
          <w:szCs w:val="24"/>
          <w:lang w:val="fr-CA"/>
        </w:rPr>
        <w:t xml:space="preserve">par. 83. </w:t>
      </w:r>
    </w:p>
    <w:p w:rsidR="00857221" w:rsidRPr="00926A4D" w:rsidRDefault="00857221" w:rsidP="00857221">
      <w:pPr>
        <w:pStyle w:val="ParaNoNdepar-AltN"/>
        <w:rPr>
          <w:rFonts w:cs="Times New Roman"/>
          <w:szCs w:val="24"/>
          <w:lang w:val="fr-CA"/>
        </w:rPr>
      </w:pPr>
      <w:r w:rsidRPr="00926A4D">
        <w:rPr>
          <w:rFonts w:cs="Times New Roman"/>
          <w:szCs w:val="24"/>
          <w:lang w:val="fr-CA"/>
        </w:rPr>
        <w:t xml:space="preserve">En second lieu, la juge Deschamps se fonde sur l’argument subsidiaire suivant lequel dans les cas où, comme en l’espèce, les fonds sont déposés à un compte conjoint, ils sont payables aux deux détenteurs du compte plutôt qu’au seul preneur du chèque.  Je ne partage pas ce point de vue. À mon avis, « la banque [. . .] reçoit les fonds à titre de mandataire du </w:t>
      </w:r>
      <w:r w:rsidRPr="00926A4D">
        <w:rPr>
          <w:rFonts w:cs="Times New Roman"/>
          <w:szCs w:val="24"/>
          <w:u w:val="single"/>
          <w:lang w:val="fr-CA"/>
        </w:rPr>
        <w:t>preneur</w:t>
      </w:r>
      <w:r w:rsidRPr="00926A4D">
        <w:rPr>
          <w:rFonts w:cs="Times New Roman"/>
          <w:szCs w:val="24"/>
          <w:lang w:val="fr-CA"/>
        </w:rPr>
        <w:t> » (</w:t>
      </w:r>
      <w:r w:rsidRPr="00926A4D">
        <w:rPr>
          <w:rFonts w:cs="Times New Roman"/>
          <w:i/>
          <w:szCs w:val="24"/>
          <w:lang w:val="fr-CA"/>
        </w:rPr>
        <w:t>B.M.P.</w:t>
      </w:r>
      <w:r w:rsidRPr="00926A4D">
        <w:rPr>
          <w:rFonts w:cs="Times New Roman"/>
          <w:szCs w:val="24"/>
          <w:lang w:val="fr-CA"/>
        </w:rPr>
        <w:t>, par. 83 (je souligne)) et, pendant qu’ils sont en transit, ils ne sont payables qu’au preneur.  Je reviendrai sur ces points plus loin.</w:t>
      </w:r>
    </w:p>
    <w:p w:rsidR="00857221" w:rsidRPr="00926A4D" w:rsidRDefault="00857221" w:rsidP="00857221">
      <w:pPr>
        <w:pStyle w:val="ParaNoNdepar-AltN"/>
        <w:rPr>
          <w:rFonts w:cs="Times New Roman"/>
          <w:szCs w:val="24"/>
          <w:lang w:val="fr-CA"/>
        </w:rPr>
      </w:pPr>
      <w:r w:rsidRPr="00926A4D">
        <w:rPr>
          <w:rFonts w:cs="Times New Roman"/>
          <w:szCs w:val="24"/>
          <w:lang w:val="fr-CA"/>
        </w:rPr>
        <w:t xml:space="preserve">Dans le présent pourvoi, Hypothèques </w:t>
      </w:r>
      <w:proofErr w:type="spellStart"/>
      <w:r w:rsidRPr="00926A4D">
        <w:rPr>
          <w:rFonts w:cs="Times New Roman"/>
          <w:szCs w:val="24"/>
          <w:lang w:val="fr-CA"/>
        </w:rPr>
        <w:t>Trustco</w:t>
      </w:r>
      <w:proofErr w:type="spellEnd"/>
      <w:r w:rsidRPr="00926A4D">
        <w:rPr>
          <w:rFonts w:cs="Times New Roman"/>
          <w:szCs w:val="24"/>
          <w:lang w:val="fr-CA"/>
        </w:rPr>
        <w:t xml:space="preserve"> Canada (la </w:t>
      </w:r>
      <w:r w:rsidR="00D41A1A" w:rsidRPr="00926A4D">
        <w:rPr>
          <w:rFonts w:cs="Times New Roman"/>
          <w:szCs w:val="24"/>
          <w:lang w:val="fr-CA"/>
        </w:rPr>
        <w:t>« </w:t>
      </w:r>
      <w:r w:rsidRPr="00926A4D">
        <w:rPr>
          <w:rFonts w:cs="Times New Roman"/>
          <w:szCs w:val="24"/>
          <w:lang w:val="fr-CA"/>
        </w:rPr>
        <w:t>Banque ») admet que la seule question à trancher est de savoir si elle était tenue de faire un paiement au débiteur fiscal (« M</w:t>
      </w:r>
      <w:r w:rsidRPr="00926A4D">
        <w:rPr>
          <w:rFonts w:cs="Times New Roman"/>
          <w:szCs w:val="24"/>
          <w:vertAlign w:val="superscript"/>
          <w:lang w:val="fr-CA"/>
        </w:rPr>
        <w:t>e</w:t>
      </w:r>
      <w:r w:rsidRPr="00926A4D">
        <w:rPr>
          <w:rFonts w:cs="Times New Roman"/>
          <w:szCs w:val="24"/>
          <w:lang w:val="fr-CA"/>
        </w:rPr>
        <w:t xml:space="preserve"> </w:t>
      </w:r>
      <w:proofErr w:type="spellStart"/>
      <w:r w:rsidRPr="00926A4D">
        <w:rPr>
          <w:rFonts w:cs="Times New Roman"/>
          <w:szCs w:val="24"/>
          <w:lang w:val="fr-CA"/>
        </w:rPr>
        <w:t>McLeod</w:t>
      </w:r>
      <w:proofErr w:type="spellEnd"/>
      <w:r w:rsidRPr="00926A4D">
        <w:rPr>
          <w:rFonts w:cs="Times New Roman"/>
          <w:szCs w:val="24"/>
          <w:lang w:val="fr-CA"/>
        </w:rPr>
        <w:t> ») par suite des ch</w:t>
      </w:r>
      <w:r w:rsidR="009327A4">
        <w:rPr>
          <w:rFonts w:cs="Times New Roman"/>
          <w:szCs w:val="24"/>
          <w:lang w:val="fr-CA"/>
        </w:rPr>
        <w:t xml:space="preserve">èques qu’il s’était </w:t>
      </w:r>
      <w:proofErr w:type="gramStart"/>
      <w:r w:rsidR="009327A4">
        <w:rPr>
          <w:rFonts w:cs="Times New Roman"/>
          <w:szCs w:val="24"/>
          <w:lang w:val="fr-CA"/>
        </w:rPr>
        <w:t>faits</w:t>
      </w:r>
      <w:proofErr w:type="gramEnd"/>
      <w:r w:rsidR="009327A4">
        <w:rPr>
          <w:rFonts w:cs="Times New Roman"/>
          <w:szCs w:val="24"/>
          <w:lang w:val="fr-CA"/>
        </w:rPr>
        <w:t xml:space="preserve"> à lui-</w:t>
      </w:r>
      <w:r w:rsidRPr="00926A4D">
        <w:rPr>
          <w:rFonts w:cs="Times New Roman"/>
          <w:szCs w:val="24"/>
          <w:lang w:val="fr-CA"/>
        </w:rPr>
        <w:t xml:space="preserve">même.  Dans l’affirmative, la Banque avait alors l’obligation de payer le receveur </w:t>
      </w:r>
      <w:r w:rsidRPr="00926A4D">
        <w:rPr>
          <w:rFonts w:cs="Times New Roman"/>
          <w:szCs w:val="24"/>
          <w:lang w:val="fr-CA"/>
        </w:rPr>
        <w:lastRenderedPageBreak/>
        <w:t>général et elle devait répondre de tout défaut de remettre les fonds à ce dernier, conformément à la demande péremptoire de paiement.</w:t>
      </w:r>
    </w:p>
    <w:p w:rsidR="00857221" w:rsidRPr="00926A4D" w:rsidRDefault="00857221" w:rsidP="00857221">
      <w:pPr>
        <w:pStyle w:val="ParaNoNdepar-AltN"/>
        <w:rPr>
          <w:rFonts w:cs="Times New Roman"/>
          <w:szCs w:val="24"/>
          <w:lang w:val="fr-CA"/>
        </w:rPr>
      </w:pPr>
      <w:r w:rsidRPr="00926A4D">
        <w:rPr>
          <w:rFonts w:cs="Times New Roman"/>
          <w:szCs w:val="24"/>
          <w:lang w:val="fr-CA"/>
        </w:rPr>
        <w:t>Pour les fins de l’analyse qui suit, il est essentiel de préciser que nous traitons ici exclusivement de la situation dans laquelle un débiteur fiscal tire un chèque pour son propre compte et non pour celui d’un tiers.  Il importe également de se rappeler qu’en l’espèce la banque tirée et la banque d’encaissement sont une seule et même banque.</w:t>
      </w:r>
    </w:p>
    <w:p w:rsidR="00857221" w:rsidRPr="00926A4D" w:rsidRDefault="00857221" w:rsidP="00857221">
      <w:pPr>
        <w:pStyle w:val="ParaNoNdepar-AltN"/>
        <w:rPr>
          <w:rFonts w:cs="Times New Roman"/>
          <w:szCs w:val="24"/>
          <w:lang w:val="fr-CA"/>
        </w:rPr>
      </w:pPr>
      <w:r w:rsidRPr="00926A4D">
        <w:rPr>
          <w:rFonts w:cs="Times New Roman"/>
          <w:szCs w:val="24"/>
          <w:lang w:val="fr-CA"/>
        </w:rPr>
        <w:t xml:space="preserve">Je commencerai par rappeler brièvement les principes juridiques applicables pour ensuite expliquer de quelle manière le par. 224(1) de la </w:t>
      </w:r>
      <w:r w:rsidRPr="00926A4D">
        <w:rPr>
          <w:rFonts w:cs="Times New Roman"/>
          <w:i/>
          <w:szCs w:val="24"/>
          <w:lang w:val="fr-CA"/>
        </w:rPr>
        <w:t>Loi de l’impôt sur le revenu</w:t>
      </w:r>
      <w:r w:rsidRPr="00926A4D">
        <w:rPr>
          <w:rFonts w:cs="Times New Roman"/>
          <w:szCs w:val="24"/>
          <w:lang w:val="fr-CA"/>
        </w:rPr>
        <w:t>, L.R.C. 1985, ch. 1 (5</w:t>
      </w:r>
      <w:r w:rsidRPr="00926A4D">
        <w:rPr>
          <w:rFonts w:cs="Times New Roman"/>
          <w:szCs w:val="24"/>
          <w:vertAlign w:val="superscript"/>
          <w:lang w:val="fr-CA"/>
        </w:rPr>
        <w:t>e</w:t>
      </w:r>
      <w:r w:rsidR="00B2330F">
        <w:rPr>
          <w:rFonts w:cs="Times New Roman"/>
          <w:szCs w:val="24"/>
          <w:lang w:val="fr-CA"/>
        </w:rPr>
        <w:t xml:space="preserve"> suppl.) (</w:t>
      </w:r>
      <w:r w:rsidRPr="00926A4D">
        <w:rPr>
          <w:rFonts w:cs="Times New Roman"/>
          <w:szCs w:val="24"/>
          <w:lang w:val="fr-CA"/>
        </w:rPr>
        <w:t>« </w:t>
      </w:r>
      <w:r w:rsidRPr="00926A4D">
        <w:rPr>
          <w:rFonts w:cs="Times New Roman"/>
          <w:i/>
          <w:szCs w:val="24"/>
          <w:lang w:val="fr-CA"/>
        </w:rPr>
        <w:t>LIR</w:t>
      </w:r>
      <w:r w:rsidRPr="00926A4D">
        <w:rPr>
          <w:rFonts w:cs="Times New Roman"/>
          <w:szCs w:val="24"/>
          <w:lang w:val="fr-CA"/>
        </w:rPr>
        <w:t> »)</w:t>
      </w:r>
      <w:r w:rsidR="004C6EBE">
        <w:rPr>
          <w:rFonts w:cs="Times New Roman"/>
          <w:szCs w:val="24"/>
          <w:lang w:val="fr-CA"/>
        </w:rPr>
        <w:t>,</w:t>
      </w:r>
      <w:r w:rsidRPr="00926A4D">
        <w:rPr>
          <w:rFonts w:cs="Times New Roman"/>
          <w:szCs w:val="24"/>
          <w:lang w:val="fr-CA"/>
        </w:rPr>
        <w:t xml:space="preserve"> s’applique aux faits qui nous occupe</w:t>
      </w:r>
      <w:r w:rsidR="00F60DE2">
        <w:rPr>
          <w:rFonts w:cs="Times New Roman"/>
          <w:szCs w:val="24"/>
          <w:lang w:val="fr-CA"/>
        </w:rPr>
        <w:t>nt</w:t>
      </w:r>
      <w:r w:rsidRPr="00926A4D">
        <w:rPr>
          <w:rFonts w:cs="Times New Roman"/>
          <w:szCs w:val="24"/>
          <w:lang w:val="fr-CA"/>
        </w:rPr>
        <w:t>.</w:t>
      </w:r>
    </w:p>
    <w:p w:rsidR="00857221" w:rsidRPr="00926A4D" w:rsidRDefault="00857221" w:rsidP="009327A4">
      <w:pPr>
        <w:pStyle w:val="TitleTitre-AltT"/>
        <w:keepNext/>
        <w:tabs>
          <w:tab w:val="clear" w:pos="360"/>
          <w:tab w:val="left" w:pos="540"/>
        </w:tabs>
        <w:spacing w:after="720"/>
        <w:ind w:left="540" w:hanging="540"/>
        <w:rPr>
          <w:rFonts w:cs="Times New Roman"/>
          <w:szCs w:val="24"/>
          <w:lang w:val="fr-CA"/>
        </w:rPr>
      </w:pPr>
      <w:r w:rsidRPr="00926A4D">
        <w:rPr>
          <w:rFonts w:cs="Times New Roman"/>
          <w:szCs w:val="24"/>
          <w:lang w:val="fr-CA"/>
        </w:rPr>
        <w:t>I.</w:t>
      </w:r>
      <w:r w:rsidRPr="00926A4D">
        <w:rPr>
          <w:rFonts w:cs="Times New Roman"/>
          <w:szCs w:val="24"/>
          <w:lang w:val="fr-CA"/>
        </w:rPr>
        <w:tab/>
      </w:r>
      <w:r w:rsidRPr="00926A4D">
        <w:rPr>
          <w:rFonts w:cs="Times New Roman"/>
          <w:szCs w:val="24"/>
          <w:u w:val="single"/>
          <w:lang w:val="fr-CA"/>
        </w:rPr>
        <w:t>La Loi</w:t>
      </w:r>
    </w:p>
    <w:p w:rsidR="00857221" w:rsidRPr="00926A4D" w:rsidRDefault="00857221" w:rsidP="009327A4">
      <w:pPr>
        <w:pStyle w:val="TitleTitre-AltT"/>
        <w:keepNext/>
        <w:tabs>
          <w:tab w:val="clear" w:pos="360"/>
          <w:tab w:val="left" w:pos="540"/>
        </w:tabs>
        <w:spacing w:after="720"/>
        <w:ind w:left="540" w:hanging="540"/>
        <w:rPr>
          <w:rFonts w:cs="Times New Roman"/>
          <w:i/>
          <w:szCs w:val="24"/>
          <w:lang w:val="fr-CA"/>
        </w:rPr>
      </w:pPr>
      <w:r w:rsidRPr="00926A4D">
        <w:rPr>
          <w:rFonts w:cs="Times New Roman"/>
          <w:szCs w:val="24"/>
          <w:lang w:val="fr-CA"/>
        </w:rPr>
        <w:t>A.</w:t>
      </w:r>
      <w:r w:rsidRPr="00926A4D">
        <w:rPr>
          <w:rFonts w:cs="Times New Roman"/>
          <w:szCs w:val="24"/>
          <w:lang w:val="fr-CA"/>
        </w:rPr>
        <w:tab/>
      </w:r>
      <w:r w:rsidRPr="00926A4D">
        <w:rPr>
          <w:rFonts w:cs="Times New Roman"/>
          <w:i/>
          <w:szCs w:val="24"/>
          <w:lang w:val="fr-CA"/>
        </w:rPr>
        <w:t>Application du par</w:t>
      </w:r>
      <w:r w:rsidR="00640CF7">
        <w:rPr>
          <w:rFonts w:cs="Times New Roman"/>
          <w:i/>
          <w:szCs w:val="24"/>
          <w:lang w:val="fr-CA"/>
        </w:rPr>
        <w:t>.</w:t>
      </w:r>
      <w:r w:rsidRPr="00926A4D">
        <w:rPr>
          <w:rFonts w:cs="Times New Roman"/>
          <w:i/>
          <w:szCs w:val="24"/>
          <w:lang w:val="fr-CA"/>
        </w:rPr>
        <w:t xml:space="preserve"> 224(1) de la Loi de l’impôt sur le revenu</w:t>
      </w:r>
    </w:p>
    <w:p w:rsidR="00857221" w:rsidRPr="00926A4D" w:rsidRDefault="00857221" w:rsidP="00857221">
      <w:pPr>
        <w:pStyle w:val="ParaNoNdepar-AltN"/>
        <w:rPr>
          <w:rFonts w:cs="Times New Roman"/>
          <w:szCs w:val="24"/>
          <w:lang w:val="fr-CA"/>
        </w:rPr>
      </w:pPr>
      <w:r w:rsidRPr="00926A4D">
        <w:rPr>
          <w:rFonts w:cs="Times New Roman"/>
          <w:szCs w:val="24"/>
          <w:lang w:val="fr-CA"/>
        </w:rPr>
        <w:t xml:space="preserve">L’application du par. 224(1) de la </w:t>
      </w:r>
      <w:r w:rsidRPr="00926A4D">
        <w:rPr>
          <w:rFonts w:cs="Times New Roman"/>
          <w:i/>
          <w:szCs w:val="24"/>
          <w:lang w:val="fr-CA"/>
        </w:rPr>
        <w:t>LIR</w:t>
      </w:r>
      <w:r w:rsidRPr="00926A4D">
        <w:rPr>
          <w:rFonts w:cs="Times New Roman"/>
          <w:szCs w:val="24"/>
          <w:lang w:val="fr-CA"/>
        </w:rPr>
        <w:t xml:space="preserve"> éclaire l’analyse qu’il convient de faire, et il faut bien comprendre la façon dont il fonctionne avant d’aller plus loin. Pour les fins qui nous occupent, la disposition relative à la demande péremptoire de paiement peut être reformulée comme suit :</w:t>
      </w:r>
    </w:p>
    <w:p w:rsidR="00857221" w:rsidRPr="00926A4D" w:rsidRDefault="009327A4" w:rsidP="009327A4">
      <w:pPr>
        <w:pStyle w:val="Citation-AltC"/>
        <w:tabs>
          <w:tab w:val="left" w:pos="1170"/>
          <w:tab w:val="left" w:pos="1620"/>
        </w:tabs>
        <w:ind w:hanging="1166"/>
        <w:rPr>
          <w:szCs w:val="24"/>
          <w:lang w:val="fr-CA"/>
        </w:rPr>
      </w:pPr>
      <w:r>
        <w:rPr>
          <w:rStyle w:val="noarticlepara"/>
          <w:b/>
          <w:bCs/>
          <w:szCs w:val="24"/>
          <w:lang w:val="fr-CA"/>
        </w:rPr>
        <w:lastRenderedPageBreak/>
        <w:tab/>
      </w:r>
      <w:r w:rsidR="00857221" w:rsidRPr="00857221">
        <w:rPr>
          <w:rStyle w:val="noarticlepara"/>
          <w:b/>
          <w:bCs/>
          <w:szCs w:val="24"/>
          <w:lang w:val="fr-CA"/>
        </w:rPr>
        <w:tab/>
      </w:r>
      <w:r w:rsidR="00857221" w:rsidRPr="00857221">
        <w:rPr>
          <w:rStyle w:val="noarticlepara"/>
          <w:b/>
          <w:bCs/>
          <w:szCs w:val="24"/>
          <w:lang w:val="fr-CA"/>
        </w:rPr>
        <w:tab/>
        <w:t>224.</w:t>
      </w:r>
      <w:r w:rsidR="00857221" w:rsidRPr="00926A4D">
        <w:rPr>
          <w:szCs w:val="24"/>
          <w:lang w:val="fr-CA"/>
        </w:rPr>
        <w:t xml:space="preserve"> (1) S’il sait </w:t>
      </w:r>
      <w:r w:rsidR="00640CF7">
        <w:rPr>
          <w:szCs w:val="24"/>
          <w:lang w:val="fr-CA"/>
        </w:rPr>
        <w:t>[</w:t>
      </w:r>
      <w:r w:rsidR="00857221" w:rsidRPr="00926A4D">
        <w:rPr>
          <w:szCs w:val="24"/>
          <w:lang w:val="fr-CA"/>
        </w:rPr>
        <w:t>. . .</w:t>
      </w:r>
      <w:r w:rsidR="00640CF7">
        <w:rPr>
          <w:szCs w:val="24"/>
          <w:lang w:val="fr-CA"/>
        </w:rPr>
        <w:t>]</w:t>
      </w:r>
      <w:r w:rsidR="00857221" w:rsidRPr="00926A4D">
        <w:rPr>
          <w:szCs w:val="24"/>
          <w:lang w:val="fr-CA"/>
        </w:rPr>
        <w:t xml:space="preserve"> </w:t>
      </w:r>
      <w:r w:rsidR="00857221" w:rsidRPr="00C97271">
        <w:rPr>
          <w:lang w:val="fr-CA"/>
        </w:rPr>
        <w:t>qu’une</w:t>
      </w:r>
      <w:r w:rsidR="00857221" w:rsidRPr="00926A4D">
        <w:rPr>
          <w:szCs w:val="24"/>
          <w:lang w:val="fr-CA"/>
        </w:rPr>
        <w:t xml:space="preserve"> personne est </w:t>
      </w:r>
      <w:r w:rsidR="00640CF7">
        <w:rPr>
          <w:szCs w:val="24"/>
          <w:lang w:val="fr-CA"/>
        </w:rPr>
        <w:t>[</w:t>
      </w:r>
      <w:r w:rsidR="00857221" w:rsidRPr="00926A4D">
        <w:rPr>
          <w:szCs w:val="24"/>
          <w:lang w:val="fr-CA"/>
        </w:rPr>
        <w:t>. . .</w:t>
      </w:r>
      <w:r w:rsidR="00640CF7">
        <w:rPr>
          <w:szCs w:val="24"/>
          <w:lang w:val="fr-CA"/>
        </w:rPr>
        <w:t>]</w:t>
      </w:r>
      <w:r w:rsidR="00857221" w:rsidRPr="00926A4D">
        <w:rPr>
          <w:szCs w:val="24"/>
          <w:lang w:val="fr-CA"/>
        </w:rPr>
        <w:t xml:space="preserve"> tenue de faire un paiement à une autre personne </w:t>
      </w:r>
      <w:r w:rsidR="00640CF7">
        <w:rPr>
          <w:szCs w:val="24"/>
          <w:lang w:val="fr-CA"/>
        </w:rPr>
        <w:t>[</w:t>
      </w:r>
      <w:r w:rsidR="00857221" w:rsidRPr="00926A4D">
        <w:rPr>
          <w:szCs w:val="24"/>
          <w:lang w:val="fr-CA"/>
        </w:rPr>
        <w:t>. . .</w:t>
      </w:r>
      <w:r w:rsidR="00640CF7">
        <w:rPr>
          <w:szCs w:val="24"/>
          <w:lang w:val="fr-CA"/>
        </w:rPr>
        <w:t>]</w:t>
      </w:r>
      <w:r w:rsidR="00857221" w:rsidRPr="00926A4D">
        <w:rPr>
          <w:szCs w:val="24"/>
          <w:lang w:val="fr-CA"/>
        </w:rPr>
        <w:t xml:space="preserve"> ([le] « débiteur fiscal ») </w:t>
      </w:r>
      <w:r w:rsidR="00640CF7">
        <w:rPr>
          <w:szCs w:val="24"/>
          <w:lang w:val="fr-CA"/>
        </w:rPr>
        <w:t>[</w:t>
      </w:r>
      <w:r w:rsidR="00857221" w:rsidRPr="00926A4D">
        <w:rPr>
          <w:szCs w:val="24"/>
          <w:lang w:val="fr-CA"/>
        </w:rPr>
        <w:t>. . .</w:t>
      </w:r>
      <w:r w:rsidR="00640CF7">
        <w:rPr>
          <w:szCs w:val="24"/>
          <w:lang w:val="fr-CA"/>
        </w:rPr>
        <w:t>]</w:t>
      </w:r>
      <w:r w:rsidR="00857221" w:rsidRPr="00926A4D">
        <w:rPr>
          <w:szCs w:val="24"/>
          <w:lang w:val="fr-CA"/>
        </w:rPr>
        <w:t xml:space="preserve"> le ministre peut exiger </w:t>
      </w:r>
      <w:r w:rsidR="00640CF7">
        <w:rPr>
          <w:szCs w:val="24"/>
          <w:lang w:val="fr-CA"/>
        </w:rPr>
        <w:t>[</w:t>
      </w:r>
      <w:r w:rsidR="00857221" w:rsidRPr="00926A4D">
        <w:rPr>
          <w:szCs w:val="24"/>
          <w:lang w:val="fr-CA"/>
        </w:rPr>
        <w:t>. . .</w:t>
      </w:r>
      <w:r w:rsidR="00640CF7">
        <w:rPr>
          <w:szCs w:val="24"/>
          <w:lang w:val="fr-CA"/>
        </w:rPr>
        <w:t>]</w:t>
      </w:r>
      <w:r w:rsidR="00857221" w:rsidRPr="00926A4D">
        <w:rPr>
          <w:szCs w:val="24"/>
          <w:lang w:val="fr-CA"/>
        </w:rPr>
        <w:t xml:space="preserve"> de cette personne que les fonds autrement payables au débiteur fiscal soient </w:t>
      </w:r>
      <w:r w:rsidR="00640CF7">
        <w:rPr>
          <w:szCs w:val="24"/>
          <w:lang w:val="fr-CA"/>
        </w:rPr>
        <w:t>[</w:t>
      </w:r>
      <w:r w:rsidR="00857221" w:rsidRPr="00926A4D">
        <w:rPr>
          <w:szCs w:val="24"/>
          <w:lang w:val="fr-CA"/>
        </w:rPr>
        <w:t>. . .</w:t>
      </w:r>
      <w:r w:rsidR="00640CF7">
        <w:rPr>
          <w:szCs w:val="24"/>
          <w:lang w:val="fr-CA"/>
        </w:rPr>
        <w:t>]</w:t>
      </w:r>
      <w:r w:rsidR="00857221" w:rsidRPr="00926A4D">
        <w:rPr>
          <w:szCs w:val="24"/>
          <w:lang w:val="fr-CA"/>
        </w:rPr>
        <w:t xml:space="preserve"> versés </w:t>
      </w:r>
      <w:r w:rsidR="00640CF7">
        <w:rPr>
          <w:szCs w:val="24"/>
          <w:lang w:val="fr-CA"/>
        </w:rPr>
        <w:t>[</w:t>
      </w:r>
      <w:r w:rsidR="00857221" w:rsidRPr="00926A4D">
        <w:rPr>
          <w:szCs w:val="24"/>
          <w:lang w:val="fr-CA"/>
        </w:rPr>
        <w:t>. . .</w:t>
      </w:r>
      <w:r w:rsidR="00640CF7">
        <w:rPr>
          <w:szCs w:val="24"/>
          <w:lang w:val="fr-CA"/>
        </w:rPr>
        <w:t>]</w:t>
      </w:r>
      <w:r w:rsidR="00857221" w:rsidRPr="00926A4D">
        <w:rPr>
          <w:szCs w:val="24"/>
          <w:lang w:val="fr-CA"/>
        </w:rPr>
        <w:t xml:space="preserve"> au receveur général au titre de l’obligation du débiteur fiscal</w:t>
      </w:r>
      <w:r w:rsidR="004C6EBE">
        <w:rPr>
          <w:szCs w:val="24"/>
          <w:lang w:val="fr-CA"/>
        </w:rPr>
        <w:t xml:space="preserve"> </w:t>
      </w:r>
      <w:r w:rsidR="00857221" w:rsidRPr="00926A4D">
        <w:rPr>
          <w:szCs w:val="24"/>
          <w:lang w:val="fr-CA"/>
        </w:rPr>
        <w:t>. . .</w:t>
      </w:r>
    </w:p>
    <w:p w:rsidR="00857221" w:rsidRPr="00926A4D" w:rsidRDefault="00857221" w:rsidP="00857221">
      <w:pPr>
        <w:pStyle w:val="ParaNoNdepar-AltN"/>
        <w:rPr>
          <w:rFonts w:cs="Times New Roman"/>
          <w:szCs w:val="24"/>
          <w:lang w:val="fr-CA"/>
        </w:rPr>
      </w:pPr>
      <w:r w:rsidRPr="00926A4D">
        <w:rPr>
          <w:rFonts w:cs="Times New Roman"/>
          <w:szCs w:val="24"/>
          <w:lang w:val="fr-CA"/>
        </w:rPr>
        <w:t xml:space="preserve">Aucune définition technique particulière n’est donnée de la condition préalable suivant laquelle la personne qui se voit signifier la demande péremptoire de paiement doit être « tenue » de payer le débiteur fiscal.  Comme il est déclaré dans </w:t>
      </w:r>
      <w:r w:rsidR="00A955BC">
        <w:rPr>
          <w:rFonts w:cs="Times New Roman"/>
          <w:i/>
          <w:szCs w:val="24"/>
          <w:lang w:val="fr-CA"/>
        </w:rPr>
        <w:t>Canada c. National Trust Co.</w:t>
      </w:r>
      <w:r w:rsidR="00A955BC">
        <w:rPr>
          <w:rFonts w:cs="Times New Roman"/>
          <w:szCs w:val="24"/>
          <w:lang w:val="fr-CA"/>
        </w:rPr>
        <w:t>,</w:t>
      </w:r>
      <w:r w:rsidR="004C6EBE">
        <w:rPr>
          <w:rFonts w:cs="Times New Roman"/>
          <w:szCs w:val="24"/>
          <w:lang w:val="fr-CA"/>
        </w:rPr>
        <w:t xml:space="preserve"> </w:t>
      </w:r>
      <w:r w:rsidRPr="00926A4D">
        <w:rPr>
          <w:rFonts w:cs="Times New Roman"/>
          <w:szCs w:val="24"/>
          <w:lang w:val="fr-CA"/>
        </w:rPr>
        <w:t>1998</w:t>
      </w:r>
      <w:r w:rsidR="00A955BC">
        <w:rPr>
          <w:rFonts w:cs="Times New Roman"/>
          <w:szCs w:val="24"/>
          <w:lang w:val="fr-CA"/>
        </w:rPr>
        <w:t xml:space="preserve"> </w:t>
      </w:r>
      <w:proofErr w:type="spellStart"/>
      <w:r w:rsidR="00A955BC">
        <w:rPr>
          <w:rFonts w:cs="Times New Roman"/>
          <w:szCs w:val="24"/>
          <w:lang w:val="fr-CA"/>
        </w:rPr>
        <w:t>CanLII</w:t>
      </w:r>
      <w:proofErr w:type="spellEnd"/>
      <w:r w:rsidR="00A955BC">
        <w:rPr>
          <w:rFonts w:cs="Times New Roman"/>
          <w:szCs w:val="24"/>
          <w:lang w:val="fr-CA"/>
        </w:rPr>
        <w:t xml:space="preserve"> 8214</w:t>
      </w:r>
      <w:r w:rsidR="00106656">
        <w:rPr>
          <w:rFonts w:cs="Times New Roman"/>
          <w:szCs w:val="24"/>
          <w:lang w:val="fr-CA"/>
        </w:rPr>
        <w:t xml:space="preserve"> (C.A.F.), </w:t>
      </w:r>
      <w:r w:rsidRPr="00926A4D">
        <w:rPr>
          <w:rFonts w:cs="Times New Roman"/>
          <w:szCs w:val="24"/>
          <w:lang w:val="fr-CA"/>
        </w:rPr>
        <w:t>par. 46</w:t>
      </w:r>
      <w:r w:rsidR="009327A4">
        <w:rPr>
          <w:rFonts w:cs="Times New Roman"/>
          <w:szCs w:val="24"/>
          <w:lang w:val="fr-CA"/>
        </w:rPr>
        <w:t>-</w:t>
      </w:r>
      <w:r w:rsidRPr="00926A4D">
        <w:rPr>
          <w:rFonts w:cs="Times New Roman"/>
          <w:szCs w:val="24"/>
          <w:lang w:val="fr-CA"/>
        </w:rPr>
        <w:t>47 :</w:t>
      </w:r>
    </w:p>
    <w:p w:rsidR="00857221" w:rsidRPr="00926A4D" w:rsidRDefault="009327A4" w:rsidP="009327A4">
      <w:pPr>
        <w:pStyle w:val="Citation-AltC"/>
        <w:tabs>
          <w:tab w:val="left" w:pos="1170"/>
          <w:tab w:val="left" w:pos="1800"/>
        </w:tabs>
        <w:spacing w:after="240"/>
        <w:ind w:hanging="1166"/>
        <w:contextualSpacing w:val="0"/>
        <w:rPr>
          <w:szCs w:val="24"/>
          <w:lang w:val="fr-CA"/>
        </w:rPr>
      </w:pPr>
      <w:r>
        <w:rPr>
          <w:szCs w:val="24"/>
          <w:lang w:val="fr-CA"/>
        </w:rPr>
        <w:tab/>
      </w:r>
      <w:r w:rsidR="00857221" w:rsidRPr="00926A4D">
        <w:rPr>
          <w:szCs w:val="24"/>
          <w:lang w:val="fr-CA"/>
        </w:rPr>
        <w:tab/>
      </w:r>
      <w:r w:rsidR="00857221" w:rsidRPr="00926A4D">
        <w:rPr>
          <w:szCs w:val="24"/>
          <w:lang w:val="fr-CA"/>
        </w:rPr>
        <w:tab/>
        <w:t xml:space="preserve">Le sens ordinaire du </w:t>
      </w:r>
      <w:r w:rsidR="00857221" w:rsidRPr="00C97271">
        <w:rPr>
          <w:lang w:val="fr-CA"/>
        </w:rPr>
        <w:t>mot</w:t>
      </w:r>
      <w:r w:rsidR="00857221" w:rsidRPr="00926A4D">
        <w:rPr>
          <w:szCs w:val="24"/>
          <w:lang w:val="fr-CA"/>
        </w:rPr>
        <w:t xml:space="preserve"> « tenu » dans un contexte juridique est d’indiquer le fait qu’une personne est responsable en droit. Aussi, je partage l’opinion de madame le juge </w:t>
      </w:r>
      <w:proofErr w:type="spellStart"/>
      <w:r w:rsidR="00857221" w:rsidRPr="00926A4D">
        <w:rPr>
          <w:szCs w:val="24"/>
          <w:lang w:val="fr-CA"/>
        </w:rPr>
        <w:t>McLachlin</w:t>
      </w:r>
      <w:proofErr w:type="spellEnd"/>
      <w:r w:rsidR="00857221" w:rsidRPr="00926A4D">
        <w:rPr>
          <w:szCs w:val="24"/>
          <w:lang w:val="fr-CA"/>
        </w:rPr>
        <w:t xml:space="preserve">, lorsque, dans l’arrêt </w:t>
      </w:r>
      <w:proofErr w:type="spellStart"/>
      <w:r w:rsidR="00857221" w:rsidRPr="00926A4D">
        <w:rPr>
          <w:i/>
          <w:szCs w:val="24"/>
          <w:lang w:val="fr-CA"/>
        </w:rPr>
        <w:t>Discovery</w:t>
      </w:r>
      <w:proofErr w:type="spellEnd"/>
      <w:r w:rsidR="00857221" w:rsidRPr="00926A4D">
        <w:rPr>
          <w:i/>
          <w:szCs w:val="24"/>
          <w:lang w:val="fr-CA"/>
        </w:rPr>
        <w:t xml:space="preserve"> Trust </w:t>
      </w:r>
      <w:proofErr w:type="spellStart"/>
      <w:r w:rsidR="00857221" w:rsidRPr="00926A4D">
        <w:rPr>
          <w:i/>
          <w:szCs w:val="24"/>
          <w:lang w:val="fr-CA"/>
        </w:rPr>
        <w:t>Company</w:t>
      </w:r>
      <w:proofErr w:type="spellEnd"/>
      <w:r w:rsidR="00857221" w:rsidRPr="00926A4D">
        <w:rPr>
          <w:i/>
          <w:szCs w:val="24"/>
          <w:lang w:val="fr-CA"/>
        </w:rPr>
        <w:t xml:space="preserve"> v. Abbott et al</w:t>
      </w:r>
      <w:r w:rsidR="00857221" w:rsidRPr="00926A4D">
        <w:rPr>
          <w:szCs w:val="24"/>
          <w:lang w:val="fr-CA"/>
        </w:rPr>
        <w:t>, un cas où une demande délivrée en vertu du paragraphe 224(1) a été signifiée à un fiduciaire, elle a dit que :</w:t>
      </w:r>
    </w:p>
    <w:p w:rsidR="00857221" w:rsidRPr="00926A4D" w:rsidRDefault="00857221" w:rsidP="009327A4">
      <w:pPr>
        <w:pStyle w:val="Citation-AltC"/>
        <w:keepNext/>
        <w:tabs>
          <w:tab w:val="left" w:pos="1800"/>
        </w:tabs>
        <w:spacing w:after="240"/>
        <w:ind w:left="1800" w:hanging="1800"/>
        <w:contextualSpacing w:val="0"/>
        <w:rPr>
          <w:szCs w:val="24"/>
          <w:lang w:val="fr-CA"/>
        </w:rPr>
      </w:pPr>
      <w:r w:rsidRPr="00926A4D">
        <w:rPr>
          <w:szCs w:val="24"/>
          <w:lang w:val="fr-CA"/>
        </w:rPr>
        <w:tab/>
        <w:t>[</w:t>
      </w:r>
      <w:r w:rsidRPr="00926A4D">
        <w:rPr>
          <w:smallCaps/>
          <w:szCs w:val="24"/>
          <w:lang w:val="fr-CA"/>
        </w:rPr>
        <w:t>traduction</w:t>
      </w:r>
      <w:r w:rsidRPr="00926A4D">
        <w:rPr>
          <w:szCs w:val="24"/>
          <w:lang w:val="fr-CA"/>
        </w:rPr>
        <w:t>]</w:t>
      </w:r>
    </w:p>
    <w:p w:rsidR="00857221" w:rsidRPr="00926A4D" w:rsidRDefault="00857221" w:rsidP="009327A4">
      <w:pPr>
        <w:pStyle w:val="Citation-AltC"/>
        <w:tabs>
          <w:tab w:val="left" w:pos="1800"/>
        </w:tabs>
        <w:spacing w:after="240"/>
        <w:ind w:left="1800" w:hanging="1800"/>
        <w:contextualSpacing w:val="0"/>
        <w:rPr>
          <w:szCs w:val="24"/>
          <w:lang w:val="fr-CA"/>
        </w:rPr>
      </w:pPr>
      <w:r w:rsidRPr="00926A4D">
        <w:rPr>
          <w:szCs w:val="24"/>
          <w:lang w:val="fr-CA"/>
        </w:rPr>
        <w:tab/>
        <w:t>. . . la demande aux tierces parties [la demande péremptoire de paiement du paragraphe 224(1)] par laquelle la réclamation de la Couronne est faite en l’espèce n’est pas restrein</w:t>
      </w:r>
      <w:r w:rsidR="009327A4">
        <w:rPr>
          <w:szCs w:val="24"/>
          <w:lang w:val="fr-CA"/>
        </w:rPr>
        <w:t>te aux cas de relation débiteur-</w:t>
      </w:r>
      <w:r w:rsidRPr="00926A4D">
        <w:rPr>
          <w:szCs w:val="24"/>
          <w:lang w:val="fr-CA"/>
        </w:rPr>
        <w:t>créancier, comme</w:t>
      </w:r>
      <w:r w:rsidR="009327A4">
        <w:rPr>
          <w:szCs w:val="24"/>
          <w:lang w:val="fr-CA"/>
        </w:rPr>
        <w:t xml:space="preserve"> l’est une ordonnance de saisie-</w:t>
      </w:r>
      <w:r w:rsidRPr="00926A4D">
        <w:rPr>
          <w:szCs w:val="24"/>
          <w:lang w:val="fr-CA"/>
        </w:rPr>
        <w:t xml:space="preserve">arrêt; elle est rédigée de manière à s’appliquer à </w:t>
      </w:r>
      <w:r w:rsidRPr="009045EF">
        <w:rPr>
          <w:szCs w:val="24"/>
          <w:u w:val="single"/>
          <w:lang w:val="fr-CA"/>
        </w:rPr>
        <w:t>tout cas</w:t>
      </w:r>
      <w:r w:rsidRPr="00926A4D">
        <w:rPr>
          <w:szCs w:val="24"/>
          <w:lang w:val="fr-CA"/>
        </w:rPr>
        <w:t xml:space="preserve"> où le fiduciaire est « tenu de faire un paiement au contribuable »</w:t>
      </w:r>
      <w:r w:rsidR="009045EF">
        <w:rPr>
          <w:szCs w:val="24"/>
          <w:lang w:val="fr-CA"/>
        </w:rPr>
        <w:t>.  [non-souligné dans l’original</w:t>
      </w:r>
      <w:r w:rsidRPr="00926A4D">
        <w:rPr>
          <w:szCs w:val="24"/>
          <w:lang w:val="fr-CA"/>
        </w:rPr>
        <w:t xml:space="preserve">] </w:t>
      </w:r>
    </w:p>
    <w:p w:rsidR="00857221" w:rsidRPr="00926A4D" w:rsidRDefault="00857221" w:rsidP="009327A4">
      <w:pPr>
        <w:pStyle w:val="Citation-AltC"/>
        <w:tabs>
          <w:tab w:val="left" w:pos="1170"/>
          <w:tab w:val="left" w:pos="1800"/>
        </w:tabs>
        <w:spacing w:after="240"/>
        <w:ind w:hanging="1166"/>
        <w:contextualSpacing w:val="0"/>
        <w:rPr>
          <w:szCs w:val="24"/>
          <w:lang w:val="fr-FR"/>
        </w:rPr>
      </w:pPr>
      <w:r w:rsidRPr="00926A4D">
        <w:rPr>
          <w:szCs w:val="24"/>
          <w:lang w:val="fr-FR"/>
        </w:rPr>
        <w:tab/>
      </w:r>
      <w:r w:rsidR="009327A4">
        <w:rPr>
          <w:szCs w:val="24"/>
          <w:lang w:val="fr-FR"/>
        </w:rPr>
        <w:tab/>
      </w:r>
      <w:r w:rsidRPr="00926A4D">
        <w:rPr>
          <w:szCs w:val="24"/>
          <w:lang w:val="fr-FR"/>
        </w:rPr>
        <w:tab/>
        <w:t xml:space="preserve">Je suis </w:t>
      </w:r>
      <w:r w:rsidRPr="00926A4D">
        <w:rPr>
          <w:szCs w:val="24"/>
          <w:lang w:val="fr-CA"/>
        </w:rPr>
        <w:t>donc</w:t>
      </w:r>
      <w:r w:rsidRPr="00926A4D">
        <w:rPr>
          <w:szCs w:val="24"/>
          <w:lang w:val="fr-FR"/>
        </w:rPr>
        <w:t xml:space="preserve"> </w:t>
      </w:r>
      <w:r w:rsidRPr="009327A4">
        <w:rPr>
          <w:szCs w:val="24"/>
          <w:lang w:val="fr-CA"/>
        </w:rPr>
        <w:t>d’avis</w:t>
      </w:r>
      <w:r w:rsidRPr="00926A4D">
        <w:rPr>
          <w:szCs w:val="24"/>
          <w:lang w:val="fr-FR"/>
        </w:rPr>
        <w:t xml:space="preserve"> que le juge de la Cour de l’impôt a commis une erreur de droit en restreignant l’application des termes « tenue de faire un paiement » aux seu</w:t>
      </w:r>
      <w:r w:rsidR="009327A4">
        <w:rPr>
          <w:szCs w:val="24"/>
          <w:lang w:val="fr-FR"/>
        </w:rPr>
        <w:t>ls cas où une relation débiteur-</w:t>
      </w:r>
      <w:r w:rsidRPr="00926A4D">
        <w:rPr>
          <w:szCs w:val="24"/>
          <w:lang w:val="fr-FR"/>
        </w:rPr>
        <w:t>créancier existe. En raisonnant de la sorte, il s’est empêché d’examiner la seule question pertinente devant être considérée dans l’interprétation de ce paragraphe. Il s’agit de la question suivante : l’intimée avait</w:t>
      </w:r>
      <w:r w:rsidR="009327A4">
        <w:rPr>
          <w:szCs w:val="24"/>
          <w:lang w:val="fr-FR"/>
        </w:rPr>
        <w:t>-</w:t>
      </w:r>
      <w:r w:rsidRPr="00926A4D">
        <w:rPr>
          <w:szCs w:val="24"/>
          <w:lang w:val="fr-FR"/>
        </w:rPr>
        <w:t>elle en droit la responsabilité de faire un paiement au débiteur fiscal le 1</w:t>
      </w:r>
      <w:r w:rsidRPr="00926A4D">
        <w:rPr>
          <w:szCs w:val="24"/>
          <w:vertAlign w:val="superscript"/>
          <w:lang w:val="fr-FR"/>
        </w:rPr>
        <w:t>er</w:t>
      </w:r>
      <w:r w:rsidRPr="00926A4D">
        <w:rPr>
          <w:szCs w:val="24"/>
          <w:lang w:val="fr-FR"/>
        </w:rPr>
        <w:t xml:space="preserve"> février 1994? </w:t>
      </w:r>
      <w:r w:rsidRPr="00926A4D">
        <w:rPr>
          <w:szCs w:val="24"/>
          <w:lang w:val="fr-CA"/>
        </w:rPr>
        <w:t>[Texte entre crochets dans l’original.]</w:t>
      </w:r>
    </w:p>
    <w:p w:rsidR="00857221" w:rsidRPr="00926A4D" w:rsidRDefault="00857221" w:rsidP="00857221">
      <w:pPr>
        <w:pStyle w:val="ParaNoNdepar-AltN"/>
        <w:rPr>
          <w:rFonts w:cs="Times New Roman"/>
          <w:szCs w:val="24"/>
          <w:lang w:val="fr-CA"/>
        </w:rPr>
      </w:pPr>
      <w:r w:rsidRPr="00926A4D">
        <w:rPr>
          <w:rFonts w:cs="Times New Roman"/>
          <w:szCs w:val="24"/>
          <w:lang w:val="fr-CA"/>
        </w:rPr>
        <w:lastRenderedPageBreak/>
        <w:t xml:space="preserve">Il n’y a pas lieu non plus d’interpréter de façon particulière la condition préalable suivant laquelle les fonds doivent être « payables » au débiteur fiscal.  Ici encore, on trouve ce qui suit dans l’arrêt </w:t>
      </w:r>
      <w:r w:rsidRPr="00926A4D">
        <w:rPr>
          <w:rFonts w:cs="Times New Roman"/>
          <w:i/>
          <w:szCs w:val="24"/>
          <w:lang w:val="fr-CA"/>
        </w:rPr>
        <w:t>National Trust Co.</w:t>
      </w:r>
      <w:r w:rsidRPr="00926A4D">
        <w:rPr>
          <w:rFonts w:cs="Times New Roman"/>
          <w:szCs w:val="24"/>
          <w:lang w:val="fr-CA"/>
        </w:rPr>
        <w:t>, aux par. 61</w:t>
      </w:r>
      <w:r w:rsidRPr="00926A4D">
        <w:rPr>
          <w:rFonts w:cs="Times New Roman"/>
          <w:szCs w:val="24"/>
          <w:lang w:val="fr-CA"/>
        </w:rPr>
        <w:noBreakHyphen/>
        <w:t>62 :</w:t>
      </w:r>
    </w:p>
    <w:p w:rsidR="00857221" w:rsidRPr="00926A4D" w:rsidRDefault="009327A4" w:rsidP="009327A4">
      <w:pPr>
        <w:pStyle w:val="Citation-AltC"/>
        <w:tabs>
          <w:tab w:val="left" w:pos="1170"/>
          <w:tab w:val="left" w:pos="1800"/>
        </w:tabs>
        <w:spacing w:after="240"/>
        <w:ind w:hanging="1166"/>
        <w:contextualSpacing w:val="0"/>
        <w:rPr>
          <w:szCs w:val="24"/>
          <w:lang w:val="fr-CA"/>
        </w:rPr>
      </w:pPr>
      <w:r>
        <w:rPr>
          <w:szCs w:val="24"/>
          <w:lang w:val="fr-CA"/>
        </w:rPr>
        <w:tab/>
      </w:r>
      <w:r w:rsidR="00857221" w:rsidRPr="00926A4D">
        <w:rPr>
          <w:szCs w:val="24"/>
          <w:lang w:val="fr-CA"/>
        </w:rPr>
        <w:tab/>
      </w:r>
      <w:r w:rsidR="00857221" w:rsidRPr="00926A4D">
        <w:rPr>
          <w:szCs w:val="24"/>
          <w:lang w:val="fr-CA"/>
        </w:rPr>
        <w:tab/>
        <w:t xml:space="preserve">J’aborde </w:t>
      </w:r>
      <w:r w:rsidR="00857221" w:rsidRPr="00C97271">
        <w:rPr>
          <w:lang w:val="fr-CA"/>
        </w:rPr>
        <w:t>maintenant</w:t>
      </w:r>
      <w:r w:rsidR="00857221" w:rsidRPr="00926A4D">
        <w:rPr>
          <w:szCs w:val="24"/>
          <w:lang w:val="fr-CA"/>
        </w:rPr>
        <w:t xml:space="preserve"> la question de savoir si le produit était « payable » au sens du paragraphe 224(1). J’estime que cette question est régie par l’arrêt </w:t>
      </w:r>
      <w:proofErr w:type="spellStart"/>
      <w:r w:rsidR="00857221" w:rsidRPr="00926A4D">
        <w:rPr>
          <w:i/>
          <w:szCs w:val="24"/>
          <w:lang w:val="fr-CA"/>
        </w:rPr>
        <w:t>DeConinck</w:t>
      </w:r>
      <w:proofErr w:type="spellEnd"/>
      <w:r w:rsidR="00857221" w:rsidRPr="00926A4D">
        <w:rPr>
          <w:szCs w:val="24"/>
          <w:lang w:val="fr-CA"/>
        </w:rPr>
        <w:t xml:space="preserve">, précité, et par la décision rendue par la Cour dans l’arrêt </w:t>
      </w:r>
      <w:r w:rsidR="00857221" w:rsidRPr="00926A4D">
        <w:rPr>
          <w:i/>
          <w:szCs w:val="24"/>
          <w:lang w:val="fr-CA"/>
        </w:rPr>
        <w:t xml:space="preserve">Canada c. </w:t>
      </w:r>
      <w:proofErr w:type="spellStart"/>
      <w:r w:rsidR="00857221" w:rsidRPr="00926A4D">
        <w:rPr>
          <w:i/>
          <w:szCs w:val="24"/>
          <w:lang w:val="fr-CA"/>
        </w:rPr>
        <w:t>Yannelis</w:t>
      </w:r>
      <w:proofErr w:type="spellEnd"/>
      <w:r w:rsidR="00857221" w:rsidRPr="00926A4D">
        <w:rPr>
          <w:szCs w:val="24"/>
          <w:lang w:val="fr-CA"/>
        </w:rPr>
        <w:t>, dans laquelle le juge Stone, s’exprimant au nom de la Cour, a affirmé, à la page 636 :</w:t>
      </w:r>
    </w:p>
    <w:p w:rsidR="00857221" w:rsidRPr="00926A4D" w:rsidRDefault="00857221" w:rsidP="001223AF">
      <w:pPr>
        <w:pStyle w:val="Citation-AltC"/>
        <w:tabs>
          <w:tab w:val="left" w:pos="2340"/>
        </w:tabs>
        <w:spacing w:after="240"/>
        <w:ind w:left="1800" w:hanging="1800"/>
        <w:contextualSpacing w:val="0"/>
        <w:rPr>
          <w:szCs w:val="24"/>
          <w:lang w:val="fr-CA"/>
        </w:rPr>
      </w:pPr>
      <w:r w:rsidRPr="00926A4D">
        <w:rPr>
          <w:szCs w:val="24"/>
          <w:lang w:val="fr-CA"/>
        </w:rPr>
        <w:tab/>
      </w:r>
      <w:r w:rsidRPr="00926A4D">
        <w:rPr>
          <w:szCs w:val="24"/>
          <w:lang w:val="fr-CA"/>
        </w:rPr>
        <w:tab/>
        <w:t xml:space="preserve">Le mot « payable » n’est pas </w:t>
      </w:r>
      <w:r w:rsidRPr="00C97271">
        <w:rPr>
          <w:lang w:val="fr-CA"/>
        </w:rPr>
        <w:t>un</w:t>
      </w:r>
      <w:r w:rsidRPr="00926A4D">
        <w:rPr>
          <w:szCs w:val="24"/>
          <w:lang w:val="fr-CA"/>
        </w:rPr>
        <w:t xml:space="preserve"> mot technique.  Il n’est pas non plus défini dans le Règlement.  Je ne vois pas qu’il a été utilisé dans un sens spécial.  J’estime donc qu’il devrait être interprété à la lumière des définitions lexicographiques.</w:t>
      </w:r>
    </w:p>
    <w:p w:rsidR="00857221" w:rsidRPr="00926A4D" w:rsidRDefault="001223AF" w:rsidP="001223AF">
      <w:pPr>
        <w:pStyle w:val="Citation-AltC"/>
        <w:tabs>
          <w:tab w:val="left" w:pos="1170"/>
          <w:tab w:val="left" w:pos="1800"/>
        </w:tabs>
        <w:spacing w:after="240"/>
        <w:ind w:hanging="1166"/>
        <w:contextualSpacing w:val="0"/>
        <w:rPr>
          <w:szCs w:val="24"/>
          <w:lang w:val="fr-CA"/>
        </w:rPr>
      </w:pPr>
      <w:r>
        <w:rPr>
          <w:szCs w:val="24"/>
          <w:lang w:val="fr-CA"/>
        </w:rPr>
        <w:tab/>
      </w:r>
      <w:r>
        <w:rPr>
          <w:szCs w:val="24"/>
          <w:lang w:val="fr-CA"/>
        </w:rPr>
        <w:tab/>
      </w:r>
      <w:r w:rsidR="00857221" w:rsidRPr="00926A4D">
        <w:rPr>
          <w:szCs w:val="24"/>
          <w:lang w:val="fr-CA"/>
        </w:rPr>
        <w:tab/>
      </w:r>
      <w:proofErr w:type="gramStart"/>
      <w:r w:rsidR="00857221" w:rsidRPr="00926A4D">
        <w:rPr>
          <w:szCs w:val="24"/>
          <w:lang w:val="fr-CA"/>
        </w:rPr>
        <w:t>et</w:t>
      </w:r>
      <w:proofErr w:type="gramEnd"/>
      <w:r w:rsidR="00857221" w:rsidRPr="00926A4D">
        <w:rPr>
          <w:szCs w:val="24"/>
          <w:lang w:val="fr-CA"/>
        </w:rPr>
        <w:t xml:space="preserve"> à la </w:t>
      </w:r>
      <w:r w:rsidR="00857221" w:rsidRPr="00C97271">
        <w:rPr>
          <w:lang w:val="fr-CA"/>
        </w:rPr>
        <w:t>page</w:t>
      </w:r>
      <w:r w:rsidR="00857221" w:rsidRPr="00926A4D">
        <w:rPr>
          <w:szCs w:val="24"/>
          <w:lang w:val="fr-CA"/>
        </w:rPr>
        <w:t xml:space="preserve"> 638 :</w:t>
      </w:r>
    </w:p>
    <w:p w:rsidR="00B57ACB" w:rsidRPr="00926A4D" w:rsidRDefault="009327A4" w:rsidP="001223AF">
      <w:pPr>
        <w:pStyle w:val="Citation-AltC"/>
        <w:tabs>
          <w:tab w:val="left" w:pos="2340"/>
        </w:tabs>
        <w:ind w:left="1800" w:hanging="1800"/>
        <w:contextualSpacing w:val="0"/>
        <w:rPr>
          <w:szCs w:val="24"/>
          <w:lang w:val="fr-CA"/>
        </w:rPr>
      </w:pPr>
      <w:r>
        <w:rPr>
          <w:szCs w:val="24"/>
          <w:lang w:val="fr-CA"/>
        </w:rPr>
        <w:tab/>
      </w:r>
      <w:r w:rsidR="00857221" w:rsidRPr="00926A4D">
        <w:rPr>
          <w:szCs w:val="24"/>
          <w:lang w:val="fr-CA"/>
        </w:rPr>
        <w:tab/>
        <w:t xml:space="preserve">Je suis parvenu à la conclusion que le mot « payable » figurant au </w:t>
      </w:r>
      <w:proofErr w:type="spellStart"/>
      <w:r w:rsidR="00857221" w:rsidRPr="00926A4D">
        <w:rPr>
          <w:szCs w:val="24"/>
          <w:lang w:val="fr-CA"/>
        </w:rPr>
        <w:t>sous</w:t>
      </w:r>
      <w:r w:rsidR="00857221" w:rsidRPr="00926A4D">
        <w:rPr>
          <w:szCs w:val="24"/>
          <w:lang w:val="fr-CA"/>
        </w:rPr>
        <w:noBreakHyphen/>
        <w:t>alinéa</w:t>
      </w:r>
      <w:proofErr w:type="spellEnd"/>
      <w:r w:rsidR="00857221" w:rsidRPr="00926A4D">
        <w:rPr>
          <w:szCs w:val="24"/>
          <w:lang w:val="fr-CA"/>
        </w:rPr>
        <w:t xml:space="preserve"> 58(8)</w:t>
      </w:r>
      <w:r w:rsidR="00857221" w:rsidRPr="00926A4D">
        <w:rPr>
          <w:i/>
          <w:szCs w:val="24"/>
          <w:lang w:val="fr-CA"/>
        </w:rPr>
        <w:t>b</w:t>
      </w:r>
      <w:r w:rsidR="00857221" w:rsidRPr="00926A4D">
        <w:rPr>
          <w:szCs w:val="24"/>
          <w:lang w:val="fr-CA"/>
        </w:rPr>
        <w:t xml:space="preserve">)(i) [de la </w:t>
      </w:r>
      <w:r w:rsidR="00857221" w:rsidRPr="00926A4D">
        <w:rPr>
          <w:i/>
          <w:szCs w:val="24"/>
          <w:lang w:val="fr-CA"/>
        </w:rPr>
        <w:t>Loi sur l’assurance</w:t>
      </w:r>
      <w:r w:rsidR="001223AF">
        <w:rPr>
          <w:i/>
          <w:szCs w:val="24"/>
          <w:lang w:val="fr-CA"/>
        </w:rPr>
        <w:t>-</w:t>
      </w:r>
      <w:r w:rsidR="00857221" w:rsidRPr="00926A4D">
        <w:rPr>
          <w:i/>
          <w:szCs w:val="24"/>
          <w:lang w:val="fr-CA"/>
        </w:rPr>
        <w:t>chômage</w:t>
      </w:r>
      <w:r w:rsidR="00857221" w:rsidRPr="00926A4D">
        <w:rPr>
          <w:szCs w:val="24"/>
          <w:lang w:val="fr-CA"/>
        </w:rPr>
        <w:t>] renvoie au moment où la paye de vacances est due à un prestataire en ce sens qu’il peut, par son contrat de travail et par la règle générale, se la faire payer et que son employeur est tenu de la verser.  Autrement dit, elle est payable lorsqu’un demandeur est en mesure, sur le plan juridique, de faire exécuter le paiement.</w:t>
      </w:r>
      <w:r w:rsidR="00B57ACB" w:rsidRPr="00B57ACB">
        <w:rPr>
          <w:szCs w:val="24"/>
          <w:lang w:val="fr-CA"/>
        </w:rPr>
        <w:t xml:space="preserve"> </w:t>
      </w:r>
      <w:r w:rsidR="00B57ACB">
        <w:rPr>
          <w:szCs w:val="24"/>
          <w:lang w:val="fr-CA"/>
        </w:rPr>
        <w:t>[</w:t>
      </w:r>
      <w:r w:rsidR="00B57ACB" w:rsidRPr="00926A4D">
        <w:rPr>
          <w:szCs w:val="24"/>
          <w:lang w:val="fr-CA"/>
        </w:rPr>
        <w:t xml:space="preserve">Texte </w:t>
      </w:r>
      <w:r w:rsidR="00B57ACB">
        <w:rPr>
          <w:szCs w:val="24"/>
          <w:lang w:val="fr-CA"/>
        </w:rPr>
        <w:t>entre crochets dans l’original.]</w:t>
      </w:r>
    </w:p>
    <w:p w:rsidR="00857221" w:rsidRPr="00926A4D" w:rsidRDefault="00857221" w:rsidP="00857221">
      <w:pPr>
        <w:pStyle w:val="ParaNoNdepar-AltN"/>
        <w:rPr>
          <w:rFonts w:cs="Times New Roman"/>
          <w:szCs w:val="24"/>
          <w:lang w:val="fr-CA"/>
        </w:rPr>
      </w:pPr>
      <w:r w:rsidRPr="00926A4D">
        <w:rPr>
          <w:rFonts w:cs="Times New Roman"/>
          <w:szCs w:val="24"/>
          <w:lang w:val="fr-CA"/>
        </w:rPr>
        <w:t>Selon moi, il ressort de la jurisprudence que la personne ou l’institution à qui le ministre signifie une demande péremptoire de paiement doit être légalement tenue de faire un paiement au débiteur fiscal.  Le champ d’application du</w:t>
      </w:r>
      <w:r w:rsidR="00201E7E">
        <w:rPr>
          <w:rFonts w:cs="Times New Roman"/>
          <w:szCs w:val="24"/>
          <w:lang w:val="fr-CA"/>
        </w:rPr>
        <w:t xml:space="preserve"> par.</w:t>
      </w:r>
      <w:r w:rsidRPr="00926A4D">
        <w:rPr>
          <w:rFonts w:cs="Times New Roman"/>
          <w:szCs w:val="24"/>
          <w:lang w:val="fr-CA"/>
        </w:rPr>
        <w:t xml:space="preserve"> 224(1) n’est pas étroitement circonscrit : ce paragraphe s’applique chaque fois que le débiteur fiscal est légalement en mesure de contraindre au paiement celui à qui la demande péremptoire de paiement est signifiée.  Une interprétation plus restrictive de ce paragraphe entraverait le bon fonctionnement du pouvoir qu’il confère au ministre.</w:t>
      </w:r>
    </w:p>
    <w:p w:rsidR="00857221" w:rsidRPr="00926A4D" w:rsidRDefault="00857221" w:rsidP="00857221">
      <w:pPr>
        <w:pStyle w:val="ParaNoNdepar-AltN"/>
        <w:rPr>
          <w:rFonts w:cs="Times New Roman"/>
          <w:szCs w:val="24"/>
          <w:lang w:val="fr-CA"/>
        </w:rPr>
      </w:pPr>
      <w:r w:rsidRPr="00926A4D">
        <w:rPr>
          <w:rFonts w:cs="Times New Roman"/>
          <w:szCs w:val="24"/>
          <w:lang w:val="fr-CA"/>
        </w:rPr>
        <w:lastRenderedPageBreak/>
        <w:t>Cette interprétation de la disposition pertinente à l’esprit, je passe maintenant à l’examen de la nature des rapports juridiques qui existent entre la banque et son client et de la mécanique de ces rapports dans le contexte du par. 224(1).</w:t>
      </w:r>
    </w:p>
    <w:p w:rsidR="00857221" w:rsidRPr="00926A4D" w:rsidRDefault="001223AF" w:rsidP="001223AF">
      <w:pPr>
        <w:pStyle w:val="TitleTitre-AltT"/>
        <w:keepNext/>
        <w:tabs>
          <w:tab w:val="clear" w:pos="360"/>
          <w:tab w:val="left" w:pos="540"/>
        </w:tabs>
        <w:spacing w:after="720"/>
        <w:ind w:left="540" w:hanging="540"/>
        <w:rPr>
          <w:rFonts w:cs="Times New Roman"/>
          <w:i/>
          <w:szCs w:val="24"/>
          <w:lang w:val="fr-CA"/>
        </w:rPr>
      </w:pPr>
      <w:r>
        <w:rPr>
          <w:rFonts w:cs="Times New Roman"/>
          <w:szCs w:val="24"/>
          <w:lang w:val="fr-CA"/>
        </w:rPr>
        <w:t>B.</w:t>
      </w:r>
      <w:r>
        <w:rPr>
          <w:rFonts w:cs="Times New Roman"/>
          <w:szCs w:val="24"/>
          <w:lang w:val="fr-CA"/>
        </w:rPr>
        <w:tab/>
      </w:r>
      <w:r w:rsidR="00857221" w:rsidRPr="00926A4D">
        <w:rPr>
          <w:rFonts w:cs="Times New Roman"/>
          <w:i/>
          <w:szCs w:val="24"/>
          <w:lang w:val="fr-CA"/>
        </w:rPr>
        <w:t>Nature des rapports juridiques entre une banque et son client</w:t>
      </w:r>
    </w:p>
    <w:p w:rsidR="00857221" w:rsidRPr="00926A4D" w:rsidRDefault="00857221" w:rsidP="00857221">
      <w:pPr>
        <w:pStyle w:val="ParaNoNdepar-AltN"/>
        <w:rPr>
          <w:rFonts w:cs="Times New Roman"/>
          <w:szCs w:val="24"/>
          <w:lang w:val="fr-CA"/>
        </w:rPr>
      </w:pPr>
      <w:r w:rsidRPr="00926A4D">
        <w:rPr>
          <w:rFonts w:cs="Times New Roman"/>
          <w:szCs w:val="24"/>
          <w:lang w:val="fr-CA"/>
        </w:rPr>
        <w:t xml:space="preserve">La relation qui existe entre une banque et son client est une relation </w:t>
      </w:r>
      <w:proofErr w:type="spellStart"/>
      <w:r w:rsidRPr="00926A4D">
        <w:rPr>
          <w:rFonts w:cs="Times New Roman"/>
          <w:szCs w:val="24"/>
          <w:lang w:val="fr-CA"/>
        </w:rPr>
        <w:t>débiteur</w:t>
      </w:r>
      <w:r w:rsidRPr="00926A4D">
        <w:rPr>
          <w:rFonts w:cs="Times New Roman"/>
          <w:szCs w:val="24"/>
          <w:lang w:val="fr-CA"/>
        </w:rPr>
        <w:noBreakHyphen/>
        <w:t>créancier</w:t>
      </w:r>
      <w:proofErr w:type="spellEnd"/>
      <w:r w:rsidRPr="00926A4D">
        <w:rPr>
          <w:rFonts w:cs="Times New Roman"/>
          <w:szCs w:val="24"/>
          <w:lang w:val="fr-CA"/>
        </w:rPr>
        <w:t xml:space="preserve"> dans laquelle la banque joue le rôle de débitrice : </w:t>
      </w:r>
      <w:r w:rsidRPr="00926A4D">
        <w:rPr>
          <w:rFonts w:cs="Times New Roman"/>
          <w:i/>
          <w:szCs w:val="24"/>
          <w:lang w:val="fr-CA"/>
        </w:rPr>
        <w:t>Foley c. Hill</w:t>
      </w:r>
      <w:r w:rsidRPr="00926A4D">
        <w:rPr>
          <w:rFonts w:cs="Times New Roman"/>
          <w:szCs w:val="24"/>
          <w:lang w:val="fr-CA"/>
        </w:rPr>
        <w:t xml:space="preserve"> (1848), 2 H.L.C. 28, 9 E.R. 1002. L’obligation de rembourser entre en jeu lorsque le client exige un paiement de la banque.  Le client peut demander à être payé en espèces ou par chèque. </w:t>
      </w:r>
    </w:p>
    <w:p w:rsidR="00857221" w:rsidRPr="00926A4D" w:rsidRDefault="00857221" w:rsidP="00857221">
      <w:pPr>
        <w:pStyle w:val="ParaNoNdepar-AltN"/>
        <w:rPr>
          <w:rFonts w:cs="Times New Roman"/>
          <w:szCs w:val="24"/>
          <w:lang w:val="fr-CA"/>
        </w:rPr>
      </w:pPr>
      <w:r w:rsidRPr="00926A4D">
        <w:rPr>
          <w:rFonts w:cs="Times New Roman"/>
          <w:szCs w:val="24"/>
          <w:lang w:val="fr-CA"/>
        </w:rPr>
        <w:t xml:space="preserve">Habituellement, la banque sur laquelle le chèque est tiré (la banque tirée) n’a aucune obligation de payer le preneur du chèque; elle a des obligations légales seulement à l’égard de son client (le tireur) : </w:t>
      </w:r>
      <w:r w:rsidRPr="00926A4D">
        <w:rPr>
          <w:rFonts w:cs="Times New Roman"/>
          <w:i/>
          <w:szCs w:val="24"/>
          <w:lang w:val="fr-CA"/>
        </w:rPr>
        <w:t>Schroeder c. Central Bank of London</w:t>
      </w:r>
      <w:r w:rsidRPr="00926A4D">
        <w:rPr>
          <w:rFonts w:cs="Times New Roman"/>
          <w:szCs w:val="24"/>
          <w:lang w:val="fr-CA"/>
        </w:rPr>
        <w:t xml:space="preserve"> (1876), 34 L.T. 735 (C.P. Div.); </w:t>
      </w:r>
      <w:r w:rsidRPr="00926A4D">
        <w:rPr>
          <w:rFonts w:cs="Times New Roman"/>
          <w:i/>
          <w:szCs w:val="24"/>
          <w:lang w:val="fr-CA"/>
        </w:rPr>
        <w:t xml:space="preserve">Thomson c. </w:t>
      </w:r>
      <w:proofErr w:type="spellStart"/>
      <w:r w:rsidRPr="00926A4D">
        <w:rPr>
          <w:rFonts w:cs="Times New Roman"/>
          <w:i/>
          <w:szCs w:val="24"/>
          <w:lang w:val="fr-CA"/>
        </w:rPr>
        <w:t>Merchants</w:t>
      </w:r>
      <w:proofErr w:type="spellEnd"/>
      <w:r w:rsidRPr="00926A4D">
        <w:rPr>
          <w:rFonts w:cs="Times New Roman"/>
          <w:i/>
          <w:szCs w:val="24"/>
          <w:lang w:val="fr-CA"/>
        </w:rPr>
        <w:t xml:space="preserve"> Bank of Canada</w:t>
      </w:r>
      <w:r w:rsidRPr="00926A4D">
        <w:rPr>
          <w:rFonts w:cs="Times New Roman"/>
          <w:szCs w:val="24"/>
          <w:lang w:val="fr-CA"/>
        </w:rPr>
        <w:t xml:space="preserve"> (1919), 58 R.C.S. 287, p. 298; </w:t>
      </w:r>
      <w:proofErr w:type="spellStart"/>
      <w:r w:rsidRPr="00926A4D">
        <w:rPr>
          <w:rFonts w:cs="Times New Roman"/>
          <w:i/>
          <w:szCs w:val="24"/>
          <w:lang w:val="fr-CA"/>
        </w:rPr>
        <w:t>Schimnowski</w:t>
      </w:r>
      <w:proofErr w:type="spellEnd"/>
      <w:r w:rsidRPr="00926A4D">
        <w:rPr>
          <w:rFonts w:cs="Times New Roman"/>
          <w:i/>
          <w:szCs w:val="24"/>
          <w:lang w:val="fr-CA"/>
        </w:rPr>
        <w:t xml:space="preserve"> </w:t>
      </w:r>
      <w:proofErr w:type="spellStart"/>
      <w:r w:rsidRPr="00926A4D">
        <w:rPr>
          <w:rFonts w:cs="Times New Roman"/>
          <w:i/>
          <w:szCs w:val="24"/>
          <w:lang w:val="fr-CA"/>
        </w:rPr>
        <w:t>Estate</w:t>
      </w:r>
      <w:proofErr w:type="spellEnd"/>
      <w:r w:rsidRPr="00926A4D">
        <w:rPr>
          <w:rFonts w:cs="Times New Roman"/>
          <w:i/>
          <w:szCs w:val="24"/>
          <w:lang w:val="fr-CA"/>
        </w:rPr>
        <w:t xml:space="preserve">, </w:t>
      </w:r>
      <w:proofErr w:type="spellStart"/>
      <w:r w:rsidRPr="00926A4D">
        <w:rPr>
          <w:rFonts w:cs="Times New Roman"/>
          <w:i/>
          <w:szCs w:val="24"/>
          <w:lang w:val="fr-CA"/>
        </w:rPr>
        <w:t>Re</w:t>
      </w:r>
      <w:proofErr w:type="spellEnd"/>
      <w:r w:rsidR="00756230">
        <w:rPr>
          <w:rFonts w:cs="Times New Roman"/>
          <w:szCs w:val="24"/>
          <w:lang w:val="fr-CA"/>
        </w:rPr>
        <w:t>, [1996]</w:t>
      </w:r>
      <w:r w:rsidRPr="00926A4D">
        <w:rPr>
          <w:rFonts w:cs="Times New Roman"/>
          <w:szCs w:val="24"/>
          <w:lang w:val="fr-CA"/>
        </w:rPr>
        <w:t xml:space="preserve"> 6 W.W.R. 194 (C.A. Man.), par. 19.  Ce principe est confirmé par le par. 16(1) et l’art. 126 de la </w:t>
      </w:r>
      <w:r w:rsidRPr="00926A4D">
        <w:rPr>
          <w:rFonts w:cs="Times New Roman"/>
          <w:i/>
          <w:szCs w:val="24"/>
          <w:lang w:val="fr-CA"/>
        </w:rPr>
        <w:t>Loi sur les lettres de change</w:t>
      </w:r>
      <w:r w:rsidRPr="00926A4D">
        <w:rPr>
          <w:rFonts w:cs="Times New Roman"/>
          <w:szCs w:val="24"/>
          <w:lang w:val="fr-CA"/>
        </w:rPr>
        <w:t>, L.R.C. 1985, ch. B</w:t>
      </w:r>
      <w:r w:rsidRPr="00926A4D">
        <w:rPr>
          <w:rFonts w:cs="Times New Roman"/>
          <w:szCs w:val="24"/>
          <w:lang w:val="fr-CA"/>
        </w:rPr>
        <w:noBreakHyphen/>
        <w:t>4 (« </w:t>
      </w:r>
      <w:r w:rsidRPr="00926A4D">
        <w:rPr>
          <w:rFonts w:cs="Times New Roman"/>
          <w:i/>
          <w:szCs w:val="24"/>
          <w:lang w:val="fr-CA"/>
        </w:rPr>
        <w:t>LLC</w:t>
      </w:r>
      <w:r w:rsidRPr="00926A4D">
        <w:rPr>
          <w:rFonts w:cs="Times New Roman"/>
          <w:szCs w:val="24"/>
          <w:lang w:val="fr-CA"/>
        </w:rPr>
        <w:t xml:space="preserve"> »).  Les rapports juridiques qui existent entre le tireur et la banque tirée découlent du contrat bancaire intervenu entre eux; si le preneur n’est pas partie à ce contrat, il n’a aucun lien avec la banque. </w:t>
      </w:r>
    </w:p>
    <w:p w:rsidR="00857221" w:rsidRPr="00926A4D" w:rsidRDefault="00857221" w:rsidP="00857221">
      <w:pPr>
        <w:pStyle w:val="ParaNoNdepar-AltN"/>
        <w:rPr>
          <w:rFonts w:cs="Times New Roman"/>
          <w:szCs w:val="24"/>
          <w:lang w:val="fr-CA"/>
        </w:rPr>
      </w:pPr>
      <w:r w:rsidRPr="00926A4D">
        <w:rPr>
          <w:rFonts w:cs="Times New Roman"/>
          <w:szCs w:val="24"/>
          <w:lang w:val="fr-CA"/>
        </w:rPr>
        <w:lastRenderedPageBreak/>
        <w:t xml:space="preserve">Cependant, si le preneur et le tireur sont une </w:t>
      </w:r>
      <w:r w:rsidR="001223AF">
        <w:rPr>
          <w:rFonts w:cs="Times New Roman"/>
          <w:szCs w:val="24"/>
          <w:lang w:val="fr-CA"/>
        </w:rPr>
        <w:t>seule et même personne, c’est-</w:t>
      </w:r>
      <w:r w:rsidR="004F7540">
        <w:rPr>
          <w:rFonts w:cs="Times New Roman"/>
          <w:szCs w:val="24"/>
          <w:lang w:val="fr-CA"/>
        </w:rPr>
        <w:t>à</w:t>
      </w:r>
      <w:r w:rsidR="001223AF">
        <w:rPr>
          <w:rFonts w:cs="Times New Roman"/>
          <w:szCs w:val="24"/>
          <w:lang w:val="fr-CA"/>
        </w:rPr>
        <w:t>-</w:t>
      </w:r>
      <w:r w:rsidRPr="00926A4D">
        <w:rPr>
          <w:rFonts w:cs="Times New Roman"/>
          <w:szCs w:val="24"/>
          <w:lang w:val="fr-CA"/>
        </w:rPr>
        <w:t>dire dans le cas où la personne se fait un chèque à elle</w:t>
      </w:r>
      <w:r w:rsidR="001223AF">
        <w:rPr>
          <w:rFonts w:cs="Times New Roman"/>
          <w:szCs w:val="24"/>
          <w:lang w:val="fr-CA"/>
        </w:rPr>
        <w:t>-</w:t>
      </w:r>
      <w:r w:rsidRPr="00926A4D">
        <w:rPr>
          <w:rFonts w:cs="Times New Roman"/>
          <w:szCs w:val="24"/>
          <w:lang w:val="fr-CA"/>
        </w:rPr>
        <w:t xml:space="preserve">même, la banque est tenue de payer le preneur une fois le chèque présenté.  Il en est ainsi parce que la banque a l’obligation de remettre à son client, sur demande, les fonds qui lui ont été confiés : </w:t>
      </w:r>
      <w:r w:rsidRPr="00926A4D">
        <w:rPr>
          <w:rFonts w:cs="Times New Roman"/>
          <w:i/>
          <w:szCs w:val="24"/>
          <w:lang w:val="fr-CA"/>
        </w:rPr>
        <w:t>Foley</w:t>
      </w:r>
      <w:r w:rsidRPr="00926A4D">
        <w:rPr>
          <w:rFonts w:cs="Times New Roman"/>
          <w:szCs w:val="24"/>
          <w:lang w:val="fr-CA"/>
        </w:rPr>
        <w:t>.  En effet, dans le cas où le client se fait un chèque à lui</w:t>
      </w:r>
      <w:r w:rsidR="001223AF">
        <w:rPr>
          <w:rFonts w:cs="Times New Roman"/>
          <w:szCs w:val="24"/>
          <w:lang w:val="fr-CA"/>
        </w:rPr>
        <w:t>-</w:t>
      </w:r>
      <w:r w:rsidRPr="00926A4D">
        <w:rPr>
          <w:rFonts w:cs="Times New Roman"/>
          <w:szCs w:val="24"/>
          <w:lang w:val="fr-CA"/>
        </w:rPr>
        <w:t>même en vue de se faire payer à même les fonds qu’il a déposés à la banque, cette dernière a l’obligation contractuelle de payer le c</w:t>
      </w:r>
      <w:r w:rsidR="001223AF">
        <w:rPr>
          <w:rFonts w:cs="Times New Roman"/>
          <w:szCs w:val="24"/>
          <w:lang w:val="fr-CA"/>
        </w:rPr>
        <w:t>hèque sur présentation de celui-</w:t>
      </w:r>
      <w:r w:rsidRPr="00926A4D">
        <w:rPr>
          <w:rFonts w:cs="Times New Roman"/>
          <w:szCs w:val="24"/>
          <w:lang w:val="fr-CA"/>
        </w:rPr>
        <w:t xml:space="preserve">ci, une fois qu’elle s’est assurée que le chèque est payable régulièrement. </w:t>
      </w:r>
    </w:p>
    <w:p w:rsidR="00857221" w:rsidRPr="00926A4D" w:rsidRDefault="00857221" w:rsidP="00857221">
      <w:pPr>
        <w:pStyle w:val="ParaNoNdepar-AltN"/>
        <w:rPr>
          <w:rFonts w:cs="Times New Roman"/>
          <w:szCs w:val="24"/>
          <w:lang w:val="fr-CA"/>
        </w:rPr>
      </w:pPr>
      <w:r w:rsidRPr="00926A4D">
        <w:rPr>
          <w:rFonts w:cs="Times New Roman"/>
          <w:szCs w:val="24"/>
          <w:lang w:val="fr-CA"/>
        </w:rPr>
        <w:t>Il ressort également de la jurisprudence que la banque tirée est tenue de payer le preneur s’il s’agit d’un de ses clients.  En pareil cas, il existe un contrat entre le preneur et la ban</w:t>
      </w:r>
      <w:r w:rsidR="001223AF">
        <w:rPr>
          <w:rFonts w:cs="Times New Roman"/>
          <w:szCs w:val="24"/>
          <w:lang w:val="fr-CA"/>
        </w:rPr>
        <w:t>que tirée.  Comme l’explique M. </w:t>
      </w:r>
      <w:r w:rsidRPr="00926A4D">
        <w:rPr>
          <w:rFonts w:cs="Times New Roman"/>
          <w:szCs w:val="24"/>
          <w:lang w:val="fr-CA"/>
        </w:rPr>
        <w:t>H. </w:t>
      </w:r>
      <w:proofErr w:type="spellStart"/>
      <w:r w:rsidRPr="00926A4D">
        <w:rPr>
          <w:rFonts w:cs="Times New Roman"/>
          <w:szCs w:val="24"/>
          <w:lang w:val="fr-CA"/>
        </w:rPr>
        <w:t>Ogilvie</w:t>
      </w:r>
      <w:proofErr w:type="spellEnd"/>
      <w:r w:rsidRPr="00926A4D">
        <w:rPr>
          <w:rFonts w:cs="Times New Roman"/>
          <w:szCs w:val="24"/>
          <w:lang w:val="fr-CA"/>
        </w:rPr>
        <w:t xml:space="preserve">, </w:t>
      </w:r>
      <w:r w:rsidRPr="00926A4D">
        <w:rPr>
          <w:rFonts w:cs="Times New Roman"/>
          <w:smallCaps/>
          <w:szCs w:val="24"/>
          <w:lang w:val="fr-CA"/>
        </w:rPr>
        <w:t>[traduction</w:t>
      </w:r>
      <w:r w:rsidRPr="00926A4D">
        <w:rPr>
          <w:rFonts w:cs="Times New Roman"/>
          <w:szCs w:val="24"/>
          <w:lang w:val="fr-CA"/>
        </w:rPr>
        <w:t xml:space="preserve">] « </w:t>
      </w:r>
      <w:r w:rsidR="004C6EBE">
        <w:rPr>
          <w:rFonts w:cs="Times New Roman"/>
          <w:szCs w:val="24"/>
          <w:lang w:val="fr-CA"/>
        </w:rPr>
        <w:t>[</w:t>
      </w:r>
      <w:r w:rsidRPr="00926A4D">
        <w:rPr>
          <w:rFonts w:cs="Times New Roman"/>
          <w:szCs w:val="24"/>
          <w:lang w:val="fr-CA"/>
        </w:rPr>
        <w:t>s</w:t>
      </w:r>
      <w:r w:rsidR="004C6EBE">
        <w:rPr>
          <w:rFonts w:cs="Times New Roman"/>
          <w:szCs w:val="24"/>
          <w:lang w:val="fr-CA"/>
        </w:rPr>
        <w:t>]</w:t>
      </w:r>
      <w:r w:rsidRPr="00926A4D">
        <w:rPr>
          <w:rFonts w:cs="Times New Roman"/>
          <w:szCs w:val="24"/>
          <w:lang w:val="fr-CA"/>
        </w:rPr>
        <w:t>i le tireur et le preneur sont des clients de la même banque, le preneur peut directement intenter une poursuite pour inexécution de contrat, ainsi que pour retard dans l’encaissement » (</w:t>
      </w:r>
      <w:r w:rsidRPr="00926A4D">
        <w:rPr>
          <w:rFonts w:cs="Times New Roman"/>
          <w:i/>
          <w:szCs w:val="24"/>
          <w:lang w:val="fr-CA"/>
        </w:rPr>
        <w:t>Bank and Customer Law in Canada</w:t>
      </w:r>
      <w:r w:rsidRPr="00926A4D">
        <w:rPr>
          <w:rFonts w:cs="Times New Roman"/>
          <w:szCs w:val="24"/>
          <w:lang w:val="fr-CA"/>
        </w:rPr>
        <w:t xml:space="preserve"> (2007), p. 291).  </w:t>
      </w:r>
    </w:p>
    <w:p w:rsidR="00857221" w:rsidRPr="00926A4D" w:rsidRDefault="00857221" w:rsidP="001223AF">
      <w:pPr>
        <w:pStyle w:val="TitleTitre-AltT"/>
        <w:keepNext/>
        <w:tabs>
          <w:tab w:val="clear" w:pos="360"/>
          <w:tab w:val="left" w:pos="540"/>
        </w:tabs>
        <w:spacing w:after="720"/>
        <w:ind w:left="540" w:hanging="540"/>
        <w:rPr>
          <w:rFonts w:cs="Times New Roman"/>
          <w:i/>
          <w:szCs w:val="24"/>
          <w:lang w:val="fr-CA"/>
        </w:rPr>
      </w:pPr>
      <w:r w:rsidRPr="00926A4D">
        <w:rPr>
          <w:rFonts w:cs="Times New Roman"/>
          <w:szCs w:val="24"/>
          <w:lang w:val="fr-CA"/>
        </w:rPr>
        <w:t>C.</w:t>
      </w:r>
      <w:r w:rsidRPr="00926A4D">
        <w:rPr>
          <w:rFonts w:cs="Times New Roman"/>
          <w:szCs w:val="24"/>
          <w:lang w:val="fr-CA"/>
        </w:rPr>
        <w:tab/>
      </w:r>
      <w:r w:rsidR="001223AF">
        <w:rPr>
          <w:rFonts w:cs="Times New Roman"/>
          <w:i/>
          <w:szCs w:val="24"/>
          <w:lang w:val="fr-CA"/>
        </w:rPr>
        <w:t>Le chèque déposé est-</w:t>
      </w:r>
      <w:r w:rsidRPr="00926A4D">
        <w:rPr>
          <w:rFonts w:cs="Times New Roman"/>
          <w:i/>
          <w:szCs w:val="24"/>
          <w:lang w:val="fr-CA"/>
        </w:rPr>
        <w:t>il payable au preneur/client ou à la banque?</w:t>
      </w:r>
    </w:p>
    <w:p w:rsidR="00857221" w:rsidRPr="00926A4D" w:rsidRDefault="00857221" w:rsidP="00857221">
      <w:pPr>
        <w:pStyle w:val="ParaNoNdepar-AltN"/>
        <w:rPr>
          <w:rFonts w:cs="Times New Roman"/>
          <w:szCs w:val="24"/>
          <w:lang w:val="fr-CA"/>
        </w:rPr>
      </w:pPr>
      <w:r w:rsidRPr="00926A4D">
        <w:rPr>
          <w:rFonts w:cs="Times New Roman"/>
          <w:szCs w:val="24"/>
          <w:lang w:val="fr-CA"/>
        </w:rPr>
        <w:t xml:space="preserve"> Selon la Banque, les chèques, une fois déposés, n’étaient plus « payables » à M</w:t>
      </w:r>
      <w:r w:rsidRPr="00926A4D">
        <w:rPr>
          <w:rFonts w:cs="Times New Roman"/>
          <w:szCs w:val="24"/>
          <w:vertAlign w:val="superscript"/>
          <w:lang w:val="fr-CA"/>
        </w:rPr>
        <w:t>e</w:t>
      </w:r>
      <w:r w:rsidRPr="00926A4D">
        <w:rPr>
          <w:rFonts w:cs="Times New Roman"/>
          <w:szCs w:val="24"/>
          <w:lang w:val="fr-CA"/>
        </w:rPr>
        <w:t xml:space="preserve"> </w:t>
      </w:r>
      <w:proofErr w:type="spellStart"/>
      <w:r w:rsidRPr="00926A4D">
        <w:rPr>
          <w:rFonts w:cs="Times New Roman"/>
          <w:szCs w:val="24"/>
          <w:lang w:val="fr-CA"/>
        </w:rPr>
        <w:t>McLeod</w:t>
      </w:r>
      <w:proofErr w:type="spellEnd"/>
      <w:r w:rsidRPr="00926A4D">
        <w:rPr>
          <w:rFonts w:cs="Times New Roman"/>
          <w:szCs w:val="24"/>
          <w:lang w:val="fr-CA"/>
        </w:rPr>
        <w:t>, mais [</w:t>
      </w:r>
      <w:r w:rsidRPr="00926A4D">
        <w:rPr>
          <w:rFonts w:cs="Times New Roman"/>
          <w:smallCaps/>
          <w:szCs w:val="24"/>
          <w:lang w:val="fr-CA"/>
        </w:rPr>
        <w:t>traduction]</w:t>
      </w:r>
      <w:r w:rsidRPr="00926A4D">
        <w:rPr>
          <w:rFonts w:cs="Times New Roman"/>
          <w:szCs w:val="24"/>
          <w:lang w:val="fr-CA"/>
        </w:rPr>
        <w:t xml:space="preserve"> « étaient désormais payables à la Banque conformément au par</w:t>
      </w:r>
      <w:r w:rsidR="001223AF">
        <w:rPr>
          <w:rFonts w:cs="Times New Roman"/>
          <w:szCs w:val="24"/>
          <w:lang w:val="fr-CA"/>
        </w:rPr>
        <w:t>.</w:t>
      </w:r>
      <w:r w:rsidRPr="00926A4D">
        <w:rPr>
          <w:rFonts w:cs="Times New Roman"/>
          <w:szCs w:val="24"/>
          <w:lang w:val="fr-CA"/>
        </w:rPr>
        <w:t xml:space="preserve"> 165(3) de la </w:t>
      </w:r>
      <w:r w:rsidRPr="00926A4D">
        <w:rPr>
          <w:rFonts w:cs="Times New Roman"/>
          <w:i/>
          <w:szCs w:val="24"/>
          <w:lang w:val="fr-CA"/>
        </w:rPr>
        <w:t>Loi sur les lettres de change </w:t>
      </w:r>
      <w:r w:rsidRPr="00926A4D">
        <w:rPr>
          <w:rFonts w:cs="Times New Roman"/>
          <w:szCs w:val="24"/>
          <w:lang w:val="fr-CA"/>
        </w:rPr>
        <w:t>»</w:t>
      </w:r>
      <w:r w:rsidR="004C6EBE">
        <w:rPr>
          <w:rFonts w:cs="Times New Roman"/>
          <w:szCs w:val="24"/>
          <w:lang w:val="fr-CA"/>
        </w:rPr>
        <w:t xml:space="preserve"> (mémoire, par. 51)</w:t>
      </w:r>
      <w:r w:rsidRPr="00926A4D">
        <w:rPr>
          <w:rFonts w:cs="Times New Roman"/>
          <w:szCs w:val="24"/>
          <w:lang w:val="fr-CA"/>
        </w:rPr>
        <w:t xml:space="preserve">.  La Banque soutient que, dès lors qu’un chèque est remis à la </w:t>
      </w:r>
      <w:r w:rsidR="001223AF">
        <w:rPr>
          <w:rFonts w:cs="Times New Roman"/>
          <w:szCs w:val="24"/>
          <w:lang w:val="fr-CA"/>
        </w:rPr>
        <w:t>banque pour encaissement, celle-</w:t>
      </w:r>
      <w:r w:rsidRPr="00926A4D">
        <w:rPr>
          <w:rFonts w:cs="Times New Roman"/>
          <w:szCs w:val="24"/>
          <w:lang w:val="fr-CA"/>
        </w:rPr>
        <w:t xml:space="preserve">ci en devient la détentrice, et tout paiement effectué à même les </w:t>
      </w:r>
      <w:r w:rsidRPr="00926A4D">
        <w:rPr>
          <w:rFonts w:cs="Times New Roman"/>
          <w:szCs w:val="24"/>
          <w:lang w:val="fr-CA"/>
        </w:rPr>
        <w:lastRenderedPageBreak/>
        <w:t xml:space="preserve">fonds provenant du chèque lui est fait à elle seule.  En conséquence, le par. 224(1) de la </w:t>
      </w:r>
      <w:r w:rsidRPr="00926A4D">
        <w:rPr>
          <w:rFonts w:cs="Times New Roman"/>
          <w:i/>
          <w:szCs w:val="24"/>
          <w:lang w:val="fr-CA"/>
        </w:rPr>
        <w:t xml:space="preserve">LIR </w:t>
      </w:r>
      <w:r w:rsidRPr="00926A4D">
        <w:rPr>
          <w:rFonts w:cs="Times New Roman"/>
          <w:szCs w:val="24"/>
          <w:lang w:val="fr-CA"/>
        </w:rPr>
        <w:t>ne s’applique pas, la Banque n’étant jamais tenue de faire un paiement au preneur (M</w:t>
      </w:r>
      <w:r w:rsidRPr="00926A4D">
        <w:rPr>
          <w:rFonts w:cs="Times New Roman"/>
          <w:szCs w:val="24"/>
          <w:vertAlign w:val="superscript"/>
          <w:lang w:val="fr-CA"/>
        </w:rPr>
        <w:t>e</w:t>
      </w:r>
      <w:r w:rsidRPr="00926A4D">
        <w:rPr>
          <w:rFonts w:cs="Times New Roman"/>
          <w:szCs w:val="24"/>
          <w:lang w:val="fr-CA"/>
        </w:rPr>
        <w:t> </w:t>
      </w:r>
      <w:proofErr w:type="spellStart"/>
      <w:r w:rsidRPr="00926A4D">
        <w:rPr>
          <w:rFonts w:cs="Times New Roman"/>
          <w:szCs w:val="24"/>
          <w:lang w:val="fr-CA"/>
        </w:rPr>
        <w:t>McLeod</w:t>
      </w:r>
      <w:proofErr w:type="spellEnd"/>
      <w:r w:rsidRPr="00926A4D">
        <w:rPr>
          <w:rFonts w:cs="Times New Roman"/>
          <w:szCs w:val="24"/>
          <w:lang w:val="fr-CA"/>
        </w:rPr>
        <w:t>); le paiemen</w:t>
      </w:r>
      <w:r w:rsidR="001223AF">
        <w:rPr>
          <w:rFonts w:cs="Times New Roman"/>
          <w:szCs w:val="24"/>
          <w:lang w:val="fr-CA"/>
        </w:rPr>
        <w:t>t, elle doit se le faire à elle-</w:t>
      </w:r>
      <w:r w:rsidRPr="00926A4D">
        <w:rPr>
          <w:rFonts w:cs="Times New Roman"/>
          <w:szCs w:val="24"/>
          <w:lang w:val="fr-CA"/>
        </w:rPr>
        <w:t>même en sa qualité d’intermédiaire.  Dans ses motifs, la juge Deschamps accepte cette proposition.  En toute déférence, je ne puis me rallier à ce point de vue.</w:t>
      </w:r>
    </w:p>
    <w:p w:rsidR="00857221" w:rsidRPr="00926A4D" w:rsidRDefault="00857221" w:rsidP="00857221">
      <w:pPr>
        <w:pStyle w:val="ParaNoNdepar-AltN"/>
        <w:rPr>
          <w:rFonts w:cs="Times New Roman"/>
          <w:szCs w:val="24"/>
          <w:lang w:val="fr-CA"/>
        </w:rPr>
      </w:pPr>
      <w:r w:rsidRPr="00926A4D">
        <w:rPr>
          <w:rFonts w:cs="Times New Roman"/>
          <w:szCs w:val="24"/>
          <w:lang w:val="fr-CA"/>
        </w:rPr>
        <w:t xml:space="preserve">À mon avis, l’appelante se méprend sur la relation qui existe entre une banque et son client qui dépose un chèque.  Premièrement, la banque qui encaisse un chèque déposé reçoit les fonds à titre de mandataire de son client (le preneur) : </w:t>
      </w:r>
      <w:r w:rsidRPr="00926A4D">
        <w:rPr>
          <w:rFonts w:cs="Times New Roman"/>
          <w:i/>
          <w:szCs w:val="24"/>
          <w:lang w:val="fr-CA"/>
        </w:rPr>
        <w:t>B.M.P.</w:t>
      </w:r>
      <w:r w:rsidRPr="00926A4D">
        <w:rPr>
          <w:rFonts w:cs="Times New Roman"/>
          <w:szCs w:val="24"/>
          <w:lang w:val="fr-CA"/>
        </w:rPr>
        <w:t xml:space="preserve">; voir également </w:t>
      </w:r>
      <w:r w:rsidRPr="00926A4D">
        <w:rPr>
          <w:rFonts w:cs="Times New Roman"/>
          <w:i/>
          <w:szCs w:val="24"/>
          <w:lang w:val="fr-CA"/>
        </w:rPr>
        <w:t>Westminster Bank Ltd. c. Hilton</w:t>
      </w:r>
      <w:r w:rsidR="00532017">
        <w:rPr>
          <w:rFonts w:cs="Times New Roman"/>
          <w:szCs w:val="24"/>
          <w:lang w:val="fr-CA"/>
        </w:rPr>
        <w:t xml:space="preserve"> (1926), 43 T.L.R. 124 (H</w:t>
      </w:r>
      <w:r w:rsidRPr="00926A4D">
        <w:rPr>
          <w:rFonts w:cs="Times New Roman"/>
          <w:szCs w:val="24"/>
          <w:lang w:val="fr-CA"/>
        </w:rPr>
        <w:t xml:space="preserve">.L.), p. 126.  Cela suppose deux opérations.  Les fonds sont d’abord « portés au crédit [du] mandant », le preneur/client, par la banque, pour être « de nouveau remis [à la banque] en vertu du contrat bancaire » : </w:t>
      </w:r>
      <w:r w:rsidRPr="00926A4D">
        <w:rPr>
          <w:rFonts w:cs="Times New Roman"/>
          <w:i/>
          <w:szCs w:val="24"/>
          <w:lang w:val="fr-CA"/>
        </w:rPr>
        <w:t>B.M.P.</w:t>
      </w:r>
      <w:r w:rsidR="004D21EB">
        <w:rPr>
          <w:rFonts w:cs="Times New Roman"/>
          <w:szCs w:val="24"/>
          <w:lang w:val="fr-CA"/>
        </w:rPr>
        <w:t xml:space="preserve">, </w:t>
      </w:r>
      <w:r w:rsidRPr="00926A4D">
        <w:rPr>
          <w:rFonts w:cs="Times New Roman"/>
          <w:szCs w:val="24"/>
          <w:lang w:val="fr-CA"/>
        </w:rPr>
        <w:t>par. 77, la juge Deschamps.  Le fait que ces opérations soient consécutives ne change rien à la conclusion que, sur le plan juridique, elles constituent deux étapes distinctes.  Le chèque déposé est donc payable au client au moment où il est déposé; il n’est jamais payable à la banque.</w:t>
      </w:r>
    </w:p>
    <w:p w:rsidR="00857221" w:rsidRPr="00926A4D" w:rsidRDefault="00857221" w:rsidP="00857221">
      <w:pPr>
        <w:pStyle w:val="ParaNoNdepar-AltN"/>
        <w:rPr>
          <w:rFonts w:cs="Times New Roman"/>
          <w:szCs w:val="24"/>
          <w:lang w:val="fr-CA"/>
        </w:rPr>
      </w:pPr>
      <w:r w:rsidRPr="00926A4D">
        <w:rPr>
          <w:rFonts w:cs="Times New Roman"/>
          <w:szCs w:val="24"/>
          <w:lang w:val="fr-CA"/>
        </w:rPr>
        <w:t xml:space="preserve">Dans </w:t>
      </w:r>
      <w:r w:rsidRPr="00926A4D">
        <w:rPr>
          <w:rFonts w:cs="Times New Roman"/>
          <w:i/>
          <w:szCs w:val="24"/>
          <w:lang w:val="fr-CA"/>
        </w:rPr>
        <w:t>B.M.P. </w:t>
      </w:r>
      <w:r w:rsidRPr="00926A4D">
        <w:rPr>
          <w:rFonts w:cs="Times New Roman"/>
          <w:szCs w:val="24"/>
          <w:lang w:val="fr-CA"/>
        </w:rPr>
        <w:t>(par. 83), notre Cour explique pourquoi il ne convient pas selon elle de recourir à une analyse formaliste pour décrire les opérations effectuées dans le cadre du système de compensation :</w:t>
      </w:r>
    </w:p>
    <w:p w:rsidR="00857221" w:rsidRPr="00926A4D" w:rsidRDefault="00857221" w:rsidP="001223AF">
      <w:pPr>
        <w:pStyle w:val="Citation-AltC"/>
        <w:tabs>
          <w:tab w:val="left" w:pos="1170"/>
        </w:tabs>
        <w:ind w:hanging="1166"/>
        <w:rPr>
          <w:szCs w:val="24"/>
          <w:lang w:val="fr-CA"/>
        </w:rPr>
      </w:pPr>
      <w:r w:rsidRPr="00926A4D">
        <w:rPr>
          <w:szCs w:val="24"/>
          <w:lang w:val="fr-CA"/>
        </w:rPr>
        <w:tab/>
      </w:r>
      <w:r w:rsidRPr="00926A4D">
        <w:rPr>
          <w:szCs w:val="24"/>
          <w:u w:val="single"/>
          <w:lang w:val="fr-CA"/>
        </w:rPr>
        <w:t>Le système de compensation devrait toutefois être un facteur neutre</w:t>
      </w:r>
      <w:r w:rsidR="0089796B">
        <w:rPr>
          <w:szCs w:val="24"/>
          <w:lang w:val="fr-CA"/>
        </w:rPr>
        <w:t xml:space="preserve"> [.</w:t>
      </w:r>
      <w:r w:rsidR="005D3794">
        <w:rPr>
          <w:szCs w:val="24"/>
          <w:lang w:val="fr-CA"/>
        </w:rPr>
        <w:t> </w:t>
      </w:r>
      <w:r w:rsidR="0089796B">
        <w:rPr>
          <w:szCs w:val="24"/>
          <w:lang w:val="fr-CA"/>
        </w:rPr>
        <w:t>.</w:t>
      </w:r>
      <w:r w:rsidR="005D3794">
        <w:rPr>
          <w:szCs w:val="24"/>
          <w:lang w:val="fr-CA"/>
        </w:rPr>
        <w:t> </w:t>
      </w:r>
      <w:r w:rsidRPr="00926A4D">
        <w:rPr>
          <w:szCs w:val="24"/>
          <w:lang w:val="fr-CA"/>
        </w:rPr>
        <w:t>.</w:t>
      </w:r>
      <w:r w:rsidR="0089796B">
        <w:rPr>
          <w:szCs w:val="24"/>
          <w:lang w:val="fr-CA"/>
        </w:rPr>
        <w:t>]</w:t>
      </w:r>
      <w:r w:rsidRPr="00926A4D">
        <w:rPr>
          <w:szCs w:val="24"/>
          <w:lang w:val="fr-CA"/>
        </w:rPr>
        <w:t xml:space="preserve"> D’ailleurs, je préfère apprécier la possibilité de suivre un bien après la </w:t>
      </w:r>
      <w:r w:rsidRPr="00926A4D">
        <w:rPr>
          <w:szCs w:val="24"/>
          <w:lang w:val="fr-FR"/>
        </w:rPr>
        <w:t>compensation</w:t>
      </w:r>
      <w:r w:rsidRPr="00926A4D">
        <w:rPr>
          <w:szCs w:val="24"/>
          <w:lang w:val="fr-CA"/>
        </w:rPr>
        <w:t xml:space="preserve"> </w:t>
      </w:r>
      <w:r w:rsidRPr="00926A4D">
        <w:rPr>
          <w:szCs w:val="24"/>
          <w:u w:val="single"/>
          <w:lang w:val="fr-CA"/>
        </w:rPr>
        <w:t>et ne pas</w:t>
      </w:r>
      <w:r w:rsidRPr="00926A4D">
        <w:rPr>
          <w:szCs w:val="24"/>
          <w:lang w:val="fr-CA"/>
        </w:rPr>
        <w:t xml:space="preserve"> considérer cette opération comme </w:t>
      </w:r>
      <w:r w:rsidRPr="00926A4D">
        <w:rPr>
          <w:szCs w:val="24"/>
          <w:u w:val="single"/>
          <w:lang w:val="fr-CA"/>
        </w:rPr>
        <w:t>une rupture systématique dans la chaîne de possession des fonds</w:t>
      </w:r>
      <w:r w:rsidRPr="00926A4D">
        <w:rPr>
          <w:szCs w:val="24"/>
          <w:lang w:val="fr-CA"/>
        </w:rPr>
        <w:t xml:space="preserve">.  Tout comme la </w:t>
      </w:r>
      <w:r w:rsidRPr="00926A4D">
        <w:rPr>
          <w:szCs w:val="24"/>
          <w:lang w:val="fr-CA"/>
        </w:rPr>
        <w:lastRenderedPageBreak/>
        <w:t>banque d’encaissement reçoit les fonds à titre de mandataire du preneur, le système de compensation représente seulement un processus de paiement.  [Je souligne.]</w:t>
      </w:r>
    </w:p>
    <w:p w:rsidR="00857221" w:rsidRPr="00926A4D" w:rsidRDefault="00857221" w:rsidP="00857221">
      <w:pPr>
        <w:pStyle w:val="ContinueParaSuitedupar-AltP"/>
        <w:rPr>
          <w:rFonts w:cs="Times New Roman"/>
          <w:szCs w:val="24"/>
          <w:lang w:val="fr-CA"/>
        </w:rPr>
      </w:pPr>
      <w:r w:rsidRPr="00926A4D">
        <w:rPr>
          <w:rFonts w:cs="Times New Roman"/>
          <w:szCs w:val="24"/>
          <w:lang w:val="fr-CA"/>
        </w:rPr>
        <w:t xml:space="preserve">Dans le cas où un client tire un chèque en son propre nom et le dépose ensuite dans un autre compte, le fait que les fonds transitent par un système de compensation et qu’une banque traite </w:t>
      </w:r>
      <w:proofErr w:type="spellStart"/>
      <w:r w:rsidRPr="00926A4D">
        <w:rPr>
          <w:rFonts w:cs="Times New Roman"/>
          <w:szCs w:val="24"/>
          <w:lang w:val="fr-CA"/>
        </w:rPr>
        <w:t>ceux</w:t>
      </w:r>
      <w:r w:rsidRPr="00926A4D">
        <w:rPr>
          <w:rFonts w:cs="Times New Roman"/>
          <w:szCs w:val="24"/>
          <w:lang w:val="fr-CA"/>
        </w:rPr>
        <w:noBreakHyphen/>
        <w:t>ci</w:t>
      </w:r>
      <w:proofErr w:type="spellEnd"/>
      <w:r w:rsidRPr="00926A4D">
        <w:rPr>
          <w:rFonts w:cs="Times New Roman"/>
          <w:szCs w:val="24"/>
          <w:lang w:val="fr-CA"/>
        </w:rPr>
        <w:t xml:space="preserve"> en tant que mandataire de son client n’a aucune importance. </w:t>
      </w:r>
    </w:p>
    <w:p w:rsidR="00857221" w:rsidRPr="00926A4D" w:rsidRDefault="00857221" w:rsidP="00857221">
      <w:pPr>
        <w:pStyle w:val="ParaNoNdepar-AltN"/>
        <w:rPr>
          <w:rFonts w:cs="Times New Roman"/>
          <w:szCs w:val="24"/>
          <w:lang w:val="fr-CA"/>
        </w:rPr>
      </w:pPr>
      <w:r w:rsidRPr="00926A4D">
        <w:rPr>
          <w:rFonts w:cs="Times New Roman"/>
          <w:szCs w:val="24"/>
          <w:lang w:val="fr-CA"/>
        </w:rPr>
        <w:t xml:space="preserve">En second lieu, le par. 165(3) de la </w:t>
      </w:r>
      <w:r w:rsidRPr="00926A4D">
        <w:rPr>
          <w:rFonts w:cs="Times New Roman"/>
          <w:i/>
          <w:szCs w:val="24"/>
          <w:lang w:val="fr-CA"/>
        </w:rPr>
        <w:t xml:space="preserve">LLC </w:t>
      </w:r>
      <w:r w:rsidRPr="00926A4D">
        <w:rPr>
          <w:rFonts w:cs="Times New Roman"/>
          <w:szCs w:val="24"/>
          <w:lang w:val="fr-CA"/>
        </w:rPr>
        <w:t xml:space="preserve">ne prévoit pas que la banque </w:t>
      </w:r>
      <w:r w:rsidRPr="00926A4D">
        <w:rPr>
          <w:rFonts w:cs="Times New Roman"/>
          <w:i/>
          <w:szCs w:val="24"/>
          <w:lang w:val="fr-CA"/>
        </w:rPr>
        <w:t>devient</w:t>
      </w:r>
      <w:r w:rsidRPr="00926A4D">
        <w:rPr>
          <w:rFonts w:cs="Times New Roman"/>
          <w:szCs w:val="24"/>
          <w:lang w:val="fr-CA"/>
        </w:rPr>
        <w:t xml:space="preserve"> le détenteur du chèque.  Il prévoit plutôt ce qui suit :</w:t>
      </w:r>
    </w:p>
    <w:p w:rsidR="0054441E" w:rsidRDefault="00857221" w:rsidP="001223AF">
      <w:pPr>
        <w:pStyle w:val="ParaNoNdepar-AltN"/>
        <w:numPr>
          <w:ilvl w:val="0"/>
          <w:numId w:val="0"/>
        </w:numPr>
        <w:tabs>
          <w:tab w:val="left" w:pos="1170"/>
          <w:tab w:val="left" w:pos="1710"/>
        </w:tabs>
        <w:spacing w:before="0" w:after="240" w:line="240" w:lineRule="auto"/>
        <w:ind w:left="1166" w:hanging="1166"/>
        <w:rPr>
          <w:rStyle w:val="InQuoteChar"/>
          <w:szCs w:val="24"/>
          <w:lang w:val="fr-CA"/>
        </w:rPr>
      </w:pPr>
      <w:r w:rsidRPr="00926A4D">
        <w:rPr>
          <w:rStyle w:val="InQuoteChar"/>
          <w:szCs w:val="24"/>
          <w:lang w:val="fr-CA"/>
        </w:rPr>
        <w:tab/>
      </w:r>
      <w:r w:rsidR="00B307E8">
        <w:rPr>
          <w:rStyle w:val="InQuoteChar"/>
          <w:szCs w:val="24"/>
          <w:lang w:val="fr-CA"/>
        </w:rPr>
        <w:tab/>
      </w:r>
      <w:r w:rsidR="001223AF">
        <w:rPr>
          <w:rStyle w:val="InQuoteChar"/>
          <w:szCs w:val="24"/>
          <w:lang w:val="fr-CA"/>
        </w:rPr>
        <w:tab/>
      </w:r>
      <w:r w:rsidR="0054441E">
        <w:rPr>
          <w:rStyle w:val="InQuoteChar"/>
          <w:b/>
          <w:szCs w:val="24"/>
          <w:lang w:val="fr-CA"/>
        </w:rPr>
        <w:t>165.</w:t>
      </w:r>
      <w:r w:rsidR="001223AF">
        <w:rPr>
          <w:rStyle w:val="InQuoteChar"/>
          <w:szCs w:val="24"/>
          <w:lang w:val="fr-CA"/>
        </w:rPr>
        <w:t xml:space="preserve"> . . .</w:t>
      </w:r>
    </w:p>
    <w:p w:rsidR="00857221" w:rsidRPr="00926A4D" w:rsidRDefault="00857221" w:rsidP="001E6EE0">
      <w:pPr>
        <w:pStyle w:val="Citation-AltC"/>
        <w:tabs>
          <w:tab w:val="left" w:pos="1170"/>
          <w:tab w:val="left" w:pos="1710"/>
          <w:tab w:val="left" w:pos="2340"/>
        </w:tabs>
        <w:ind w:left="1170" w:hanging="1080"/>
        <w:rPr>
          <w:szCs w:val="24"/>
          <w:lang w:val="fr-CA"/>
        </w:rPr>
      </w:pPr>
      <w:r w:rsidRPr="00926A4D">
        <w:rPr>
          <w:rStyle w:val="InQuoteChar"/>
          <w:szCs w:val="24"/>
          <w:lang w:val="fr-CA"/>
        </w:rPr>
        <w:tab/>
      </w:r>
      <w:r w:rsidR="001E6EE0">
        <w:rPr>
          <w:rStyle w:val="InQuoteChar"/>
          <w:szCs w:val="24"/>
          <w:lang w:val="fr-CA"/>
        </w:rPr>
        <w:tab/>
        <w:t>(3)</w:t>
      </w:r>
      <w:r w:rsidR="001E6EE0">
        <w:rPr>
          <w:rStyle w:val="InQuoteChar"/>
          <w:szCs w:val="24"/>
          <w:lang w:val="fr-CA"/>
        </w:rPr>
        <w:tab/>
      </w:r>
      <w:r w:rsidRPr="00926A4D">
        <w:rPr>
          <w:rStyle w:val="InQuoteChar"/>
          <w:szCs w:val="24"/>
          <w:lang w:val="fr-CA"/>
        </w:rPr>
        <w:t xml:space="preserve">Lorsqu’un chèque </w:t>
      </w:r>
      <w:r w:rsidRPr="001E6EE0">
        <w:rPr>
          <w:rStyle w:val="InQuoteChar"/>
          <w:rFonts w:eastAsia="Times New Roman" w:cstheme="minorBidi"/>
          <w:color w:val="000000" w:themeColor="text1"/>
          <w:lang w:val="fr-CA"/>
        </w:rPr>
        <w:t>est</w:t>
      </w:r>
      <w:r w:rsidRPr="00926A4D">
        <w:rPr>
          <w:rStyle w:val="InQuoteChar"/>
          <w:szCs w:val="24"/>
          <w:lang w:val="fr-CA"/>
        </w:rPr>
        <w:t xml:space="preserve"> livré à une banque en vue de son dépôt au compte d’une personne et que la banque porte au crédit de </w:t>
      </w:r>
      <w:proofErr w:type="spellStart"/>
      <w:r w:rsidRPr="00926A4D">
        <w:rPr>
          <w:rStyle w:val="InQuoteChar"/>
          <w:szCs w:val="24"/>
          <w:lang w:val="fr-CA"/>
        </w:rPr>
        <w:t>celle</w:t>
      </w:r>
      <w:r w:rsidRPr="00926A4D">
        <w:rPr>
          <w:rStyle w:val="InQuoteChar"/>
          <w:szCs w:val="24"/>
          <w:lang w:val="fr-CA"/>
        </w:rPr>
        <w:noBreakHyphen/>
        <w:t>ci</w:t>
      </w:r>
      <w:proofErr w:type="spellEnd"/>
      <w:r w:rsidRPr="00926A4D">
        <w:rPr>
          <w:rStyle w:val="InQuoteChar"/>
          <w:szCs w:val="24"/>
          <w:lang w:val="fr-CA"/>
        </w:rPr>
        <w:t xml:space="preserve"> le montant du chèque, </w:t>
      </w:r>
      <w:r w:rsidRPr="00926A4D">
        <w:rPr>
          <w:rStyle w:val="InQuoteChar"/>
          <w:szCs w:val="24"/>
          <w:u w:val="single"/>
          <w:lang w:val="fr-CA"/>
        </w:rPr>
        <w:t>la banque acquiert tous les droits et pouvoirs du détenteur régulier du chèque</w:t>
      </w:r>
      <w:r w:rsidRPr="00926A4D">
        <w:rPr>
          <w:szCs w:val="24"/>
          <w:lang w:val="fr-CA"/>
        </w:rPr>
        <w:t>.</w:t>
      </w:r>
    </w:p>
    <w:p w:rsidR="00857221" w:rsidRPr="00926A4D" w:rsidRDefault="00857221" w:rsidP="00857221">
      <w:pPr>
        <w:pStyle w:val="ParaNoNdepar-AltN"/>
        <w:rPr>
          <w:rFonts w:cs="Times New Roman"/>
          <w:spacing w:val="-3"/>
          <w:szCs w:val="24"/>
          <w:lang w:val="fr-CA"/>
        </w:rPr>
      </w:pPr>
      <w:r w:rsidRPr="00926A4D">
        <w:rPr>
          <w:rFonts w:cs="Times New Roman"/>
          <w:szCs w:val="24"/>
          <w:lang w:val="fr-CA"/>
        </w:rPr>
        <w:t xml:space="preserve">Il y a une importante distinction à faire entre le détenteur effectif du chèque à l’ordre de qui </w:t>
      </w:r>
      <w:proofErr w:type="spellStart"/>
      <w:r w:rsidRPr="00926A4D">
        <w:rPr>
          <w:rFonts w:cs="Times New Roman"/>
          <w:szCs w:val="24"/>
          <w:lang w:val="fr-CA"/>
        </w:rPr>
        <w:t>celui</w:t>
      </w:r>
      <w:r w:rsidRPr="00926A4D">
        <w:rPr>
          <w:rFonts w:cs="Times New Roman"/>
          <w:szCs w:val="24"/>
          <w:lang w:val="fr-CA"/>
        </w:rPr>
        <w:noBreakHyphen/>
        <w:t>ci</w:t>
      </w:r>
      <w:proofErr w:type="spellEnd"/>
      <w:r w:rsidRPr="00926A4D">
        <w:rPr>
          <w:rFonts w:cs="Times New Roman"/>
          <w:szCs w:val="24"/>
          <w:lang w:val="fr-CA"/>
        </w:rPr>
        <w:t xml:space="preserve"> est libellé et le simple fait d’acquérir « </w:t>
      </w:r>
      <w:r w:rsidRPr="00926A4D">
        <w:rPr>
          <w:rStyle w:val="InQuoteChar"/>
          <w:rFonts w:cs="Times New Roman"/>
          <w:szCs w:val="24"/>
          <w:lang w:val="fr-CA"/>
        </w:rPr>
        <w:t>tous les droits et pouvoirs du détenteur régulier du chèque ».  C</w:t>
      </w:r>
      <w:r w:rsidRPr="00926A4D">
        <w:rPr>
          <w:rFonts w:cs="Times New Roman"/>
          <w:szCs w:val="24"/>
          <w:lang w:val="fr-CA"/>
        </w:rPr>
        <w:t xml:space="preserve">ette distinction a été soulignée par les juges majoritaires dans </w:t>
      </w:r>
      <w:r w:rsidRPr="00926A4D">
        <w:rPr>
          <w:rFonts w:cs="Times New Roman"/>
          <w:i/>
          <w:szCs w:val="24"/>
          <w:lang w:val="fr-CA"/>
        </w:rPr>
        <w:t xml:space="preserve">Boma </w:t>
      </w:r>
      <w:proofErr w:type="spellStart"/>
      <w:r w:rsidRPr="00926A4D">
        <w:rPr>
          <w:rFonts w:cs="Times New Roman"/>
          <w:i/>
          <w:szCs w:val="24"/>
          <w:lang w:val="fr-CA"/>
        </w:rPr>
        <w:t>Manufacturing</w:t>
      </w:r>
      <w:proofErr w:type="spellEnd"/>
      <w:r w:rsidRPr="00926A4D">
        <w:rPr>
          <w:rFonts w:cs="Times New Roman"/>
          <w:i/>
          <w:szCs w:val="24"/>
          <w:lang w:val="fr-CA"/>
        </w:rPr>
        <w:t xml:space="preserve"> Ltd. c. Banque Canadienne Impériale de Commerce</w:t>
      </w:r>
      <w:r w:rsidR="003063A0">
        <w:rPr>
          <w:rFonts w:cs="Times New Roman"/>
          <w:spacing w:val="-3"/>
          <w:szCs w:val="24"/>
          <w:lang w:val="fr-CA"/>
        </w:rPr>
        <w:t>, [1996] 3 R.C.S. 727, par. 69-</w:t>
      </w:r>
      <w:r w:rsidRPr="00926A4D">
        <w:rPr>
          <w:rFonts w:cs="Times New Roman"/>
          <w:spacing w:val="-3"/>
          <w:szCs w:val="24"/>
          <w:lang w:val="fr-CA"/>
        </w:rPr>
        <w:t xml:space="preserve">70, le juge </w:t>
      </w:r>
      <w:proofErr w:type="spellStart"/>
      <w:r w:rsidRPr="00926A4D">
        <w:rPr>
          <w:rFonts w:cs="Times New Roman"/>
          <w:spacing w:val="-3"/>
          <w:szCs w:val="24"/>
          <w:lang w:val="fr-CA"/>
        </w:rPr>
        <w:t>Iacobucci</w:t>
      </w:r>
      <w:proofErr w:type="spellEnd"/>
      <w:r w:rsidRPr="00926A4D">
        <w:rPr>
          <w:rFonts w:cs="Times New Roman"/>
          <w:spacing w:val="-3"/>
          <w:szCs w:val="24"/>
          <w:lang w:val="fr-CA"/>
        </w:rPr>
        <w:t>, et par B. </w:t>
      </w:r>
      <w:r w:rsidRPr="00926A4D">
        <w:rPr>
          <w:rFonts w:cs="Times New Roman"/>
          <w:szCs w:val="24"/>
          <w:lang w:val="fr-CA"/>
        </w:rPr>
        <w:t xml:space="preserve">Crawford dans son ouvrage intitulé </w:t>
      </w:r>
      <w:r w:rsidRPr="00926A4D">
        <w:rPr>
          <w:rFonts w:cs="Times New Roman"/>
          <w:i/>
          <w:szCs w:val="24"/>
          <w:lang w:val="fr-CA"/>
        </w:rPr>
        <w:t xml:space="preserve">The Law of </w:t>
      </w:r>
      <w:proofErr w:type="spellStart"/>
      <w:r w:rsidRPr="00926A4D">
        <w:rPr>
          <w:rFonts w:cs="Times New Roman"/>
          <w:i/>
          <w:szCs w:val="24"/>
          <w:lang w:val="fr-CA"/>
        </w:rPr>
        <w:t>Banking</w:t>
      </w:r>
      <w:proofErr w:type="spellEnd"/>
      <w:r w:rsidRPr="00926A4D">
        <w:rPr>
          <w:rFonts w:cs="Times New Roman"/>
          <w:i/>
          <w:szCs w:val="24"/>
          <w:lang w:val="fr-CA"/>
        </w:rPr>
        <w:t xml:space="preserve"> and </w:t>
      </w:r>
      <w:proofErr w:type="spellStart"/>
      <w:r w:rsidRPr="00926A4D">
        <w:rPr>
          <w:rFonts w:cs="Times New Roman"/>
          <w:i/>
          <w:szCs w:val="24"/>
          <w:lang w:val="fr-CA"/>
        </w:rPr>
        <w:t>Payment</w:t>
      </w:r>
      <w:proofErr w:type="spellEnd"/>
      <w:r w:rsidRPr="00926A4D">
        <w:rPr>
          <w:rFonts w:cs="Times New Roman"/>
          <w:i/>
          <w:szCs w:val="24"/>
          <w:lang w:val="fr-CA"/>
        </w:rPr>
        <w:t xml:space="preserve"> in Canada</w:t>
      </w:r>
      <w:r w:rsidRPr="00926A4D">
        <w:rPr>
          <w:rFonts w:cs="Times New Roman"/>
          <w:szCs w:val="24"/>
          <w:lang w:val="fr-CA"/>
        </w:rPr>
        <w:t xml:space="preserve"> (feuilles mobiles), </w:t>
      </w:r>
      <w:r w:rsidRPr="00926A4D">
        <w:rPr>
          <w:rFonts w:cs="Times New Roman"/>
          <w:spacing w:val="-3"/>
          <w:szCs w:val="24"/>
          <w:lang w:val="fr-CA"/>
        </w:rPr>
        <w:t>p. 10</w:t>
      </w:r>
      <w:r w:rsidRPr="00926A4D">
        <w:rPr>
          <w:rFonts w:cs="Times New Roman"/>
          <w:spacing w:val="-3"/>
          <w:szCs w:val="24"/>
          <w:lang w:val="fr-CA"/>
        </w:rPr>
        <w:noBreakHyphen/>
        <w:t>83.  L’objectif restreint que vise le par. 165(3) </w:t>
      </w:r>
      <w:r w:rsidRPr="00926A4D">
        <w:rPr>
          <w:rFonts w:cs="Times New Roman"/>
          <w:szCs w:val="24"/>
          <w:lang w:val="fr-CA"/>
        </w:rPr>
        <w:t xml:space="preserve">de la </w:t>
      </w:r>
      <w:r w:rsidRPr="00926A4D">
        <w:rPr>
          <w:rFonts w:cs="Times New Roman"/>
          <w:i/>
          <w:szCs w:val="24"/>
          <w:lang w:val="fr-CA"/>
        </w:rPr>
        <w:t xml:space="preserve">LLC </w:t>
      </w:r>
      <w:r w:rsidRPr="00926A4D">
        <w:rPr>
          <w:rFonts w:cs="Times New Roman"/>
          <w:spacing w:val="-3"/>
          <w:szCs w:val="24"/>
          <w:lang w:val="fr-CA"/>
        </w:rPr>
        <w:t>a été défini comme suit par le juge </w:t>
      </w:r>
      <w:proofErr w:type="spellStart"/>
      <w:r w:rsidRPr="00926A4D">
        <w:rPr>
          <w:rFonts w:cs="Times New Roman"/>
          <w:spacing w:val="-3"/>
          <w:szCs w:val="24"/>
          <w:lang w:val="fr-CA"/>
        </w:rPr>
        <w:t>Iacobucci</w:t>
      </w:r>
      <w:proofErr w:type="spellEnd"/>
      <w:r w:rsidRPr="00926A4D">
        <w:rPr>
          <w:rFonts w:cs="Times New Roman"/>
          <w:spacing w:val="-3"/>
          <w:szCs w:val="24"/>
          <w:lang w:val="fr-CA"/>
        </w:rPr>
        <w:t xml:space="preserve"> dans </w:t>
      </w:r>
      <w:r w:rsidRPr="00926A4D">
        <w:rPr>
          <w:rFonts w:cs="Times New Roman"/>
          <w:i/>
          <w:spacing w:val="-3"/>
          <w:szCs w:val="24"/>
          <w:lang w:val="fr-CA"/>
        </w:rPr>
        <w:t>Boma </w:t>
      </w:r>
      <w:r w:rsidRPr="003C063E">
        <w:rPr>
          <w:rFonts w:cs="Times New Roman"/>
          <w:spacing w:val="-3"/>
          <w:szCs w:val="24"/>
          <w:lang w:val="fr-CA"/>
        </w:rPr>
        <w:t>:</w:t>
      </w:r>
    </w:p>
    <w:p w:rsidR="00857221" w:rsidRPr="00926A4D" w:rsidRDefault="00857221" w:rsidP="001E6EE0">
      <w:pPr>
        <w:pStyle w:val="Citation-AltC"/>
        <w:tabs>
          <w:tab w:val="left" w:pos="1170"/>
        </w:tabs>
        <w:ind w:hanging="1166"/>
        <w:rPr>
          <w:szCs w:val="24"/>
          <w:lang w:val="fr-CA"/>
        </w:rPr>
      </w:pPr>
      <w:r w:rsidRPr="00926A4D">
        <w:rPr>
          <w:szCs w:val="24"/>
          <w:lang w:val="fr-CA"/>
        </w:rPr>
        <w:lastRenderedPageBreak/>
        <w:tab/>
        <w:t>Lorsqu’une banque d’encaissement se voit présenter un chèque pour dépôt au crédit du preneur, elle a essentiellement le droit de supposer que le tireur voulait réellement que le preneur reçoive le montant du chèque.  [</w:t>
      </w:r>
      <w:proofErr w:type="gramStart"/>
      <w:r w:rsidRPr="00926A4D">
        <w:rPr>
          <w:szCs w:val="24"/>
          <w:lang w:val="fr-CA"/>
        </w:rPr>
        <w:t>par</w:t>
      </w:r>
      <w:proofErr w:type="gramEnd"/>
      <w:r w:rsidRPr="00926A4D">
        <w:rPr>
          <w:szCs w:val="24"/>
          <w:lang w:val="fr-CA"/>
        </w:rPr>
        <w:t>. 78] </w:t>
      </w:r>
    </w:p>
    <w:p w:rsidR="00857221" w:rsidRPr="00926A4D" w:rsidRDefault="00857221" w:rsidP="00857221">
      <w:pPr>
        <w:pStyle w:val="ParaNoNdepar-AltN"/>
        <w:rPr>
          <w:rFonts w:cs="Times New Roman"/>
          <w:szCs w:val="24"/>
          <w:lang w:val="fr-CA"/>
        </w:rPr>
      </w:pPr>
      <w:r w:rsidRPr="00926A4D">
        <w:rPr>
          <w:rFonts w:cs="Times New Roman"/>
          <w:szCs w:val="24"/>
          <w:lang w:val="fr-CA"/>
        </w:rPr>
        <w:t xml:space="preserve">Le paragraphe 165(3) de la </w:t>
      </w:r>
      <w:r w:rsidRPr="00926A4D">
        <w:rPr>
          <w:rFonts w:cs="Times New Roman"/>
          <w:i/>
          <w:szCs w:val="24"/>
          <w:lang w:val="fr-CA"/>
        </w:rPr>
        <w:t xml:space="preserve">LLC </w:t>
      </w:r>
      <w:r w:rsidRPr="00926A4D">
        <w:rPr>
          <w:rFonts w:cs="Times New Roman"/>
          <w:szCs w:val="24"/>
          <w:lang w:val="fr-CA"/>
        </w:rPr>
        <w:t>vise à dégager de toute responsabilité la banque d’encaissement qui dépose des chèques frauduleux.  Il atteint cet objectif bien précis en accordant à la banque d’encaissement « </w:t>
      </w:r>
      <w:r w:rsidRPr="00926A4D">
        <w:rPr>
          <w:rStyle w:val="InQuoteChar"/>
          <w:rFonts w:cs="Times New Roman"/>
          <w:szCs w:val="24"/>
          <w:lang w:val="fr-CA"/>
        </w:rPr>
        <w:t xml:space="preserve">tous les droits et pouvoirs du détenteur régulier du chèque », et n’exige pas que </w:t>
      </w:r>
      <w:r w:rsidRPr="00926A4D">
        <w:rPr>
          <w:rFonts w:cs="Times New Roman"/>
          <w:szCs w:val="24"/>
          <w:lang w:val="fr-CA"/>
        </w:rPr>
        <w:t xml:space="preserve">la banque soit effectivement désignée comme la détentrice régulière de </w:t>
      </w:r>
      <w:proofErr w:type="spellStart"/>
      <w:r w:rsidRPr="00926A4D">
        <w:rPr>
          <w:rFonts w:cs="Times New Roman"/>
          <w:szCs w:val="24"/>
          <w:lang w:val="fr-CA"/>
        </w:rPr>
        <w:t>celui</w:t>
      </w:r>
      <w:r w:rsidRPr="00926A4D">
        <w:rPr>
          <w:rFonts w:cs="Times New Roman"/>
          <w:szCs w:val="24"/>
          <w:lang w:val="fr-CA"/>
        </w:rPr>
        <w:noBreakHyphen/>
        <w:t>ci</w:t>
      </w:r>
      <w:proofErr w:type="spellEnd"/>
      <w:r w:rsidRPr="00926A4D">
        <w:rPr>
          <w:rFonts w:cs="Times New Roman"/>
          <w:szCs w:val="24"/>
          <w:lang w:val="fr-CA"/>
        </w:rPr>
        <w:t xml:space="preserve"> : </w:t>
      </w:r>
      <w:r w:rsidRPr="00926A4D">
        <w:rPr>
          <w:rFonts w:cs="Times New Roman"/>
          <w:spacing w:val="-3"/>
          <w:szCs w:val="24"/>
          <w:lang w:val="fr-CA"/>
        </w:rPr>
        <w:t>Crawford, p. 10</w:t>
      </w:r>
      <w:r w:rsidRPr="00926A4D">
        <w:rPr>
          <w:rFonts w:cs="Times New Roman"/>
          <w:spacing w:val="-3"/>
          <w:szCs w:val="24"/>
          <w:lang w:val="fr-CA"/>
        </w:rPr>
        <w:noBreakHyphen/>
        <w:t xml:space="preserve">83.  Je suis donc d’accord avec l’intimée que la façon dont la </w:t>
      </w:r>
      <w:r w:rsidRPr="00926A4D">
        <w:rPr>
          <w:rFonts w:cs="Times New Roman"/>
          <w:szCs w:val="24"/>
          <w:lang w:val="fr-CA"/>
        </w:rPr>
        <w:t xml:space="preserve">Banque utilise cette disposition est sans rapport avec l’objectif de </w:t>
      </w:r>
      <w:proofErr w:type="spellStart"/>
      <w:r w:rsidRPr="00926A4D">
        <w:rPr>
          <w:rFonts w:cs="Times New Roman"/>
          <w:szCs w:val="24"/>
          <w:lang w:val="fr-CA"/>
        </w:rPr>
        <w:t>celle</w:t>
      </w:r>
      <w:r w:rsidRPr="00926A4D">
        <w:rPr>
          <w:rFonts w:cs="Times New Roman"/>
          <w:szCs w:val="24"/>
          <w:lang w:val="fr-CA"/>
        </w:rPr>
        <w:noBreakHyphen/>
        <w:t>ci</w:t>
      </w:r>
      <w:proofErr w:type="spellEnd"/>
      <w:r w:rsidRPr="00926A4D">
        <w:rPr>
          <w:rFonts w:cs="Times New Roman"/>
          <w:szCs w:val="24"/>
          <w:lang w:val="fr-CA"/>
        </w:rPr>
        <w:t xml:space="preserve"> et qu’il convient donc de la rejeter.</w:t>
      </w:r>
    </w:p>
    <w:p w:rsidR="00857221" w:rsidRPr="00926A4D" w:rsidRDefault="00857221" w:rsidP="00857221">
      <w:pPr>
        <w:pStyle w:val="ParaNoNdepar-AltN"/>
        <w:rPr>
          <w:rFonts w:cs="Times New Roman"/>
          <w:szCs w:val="24"/>
          <w:lang w:val="fr-CA"/>
        </w:rPr>
      </w:pPr>
      <w:bookmarkStart w:id="1" w:name="citeas((Cite_as:_14_S.E._891)"/>
      <w:bookmarkStart w:id="2" w:name="I86e5f95cdbc911dc81b58c7818c06073"/>
      <w:bookmarkStart w:id="3" w:name="I86e5f95ddbc911dc81b58c7818c06073"/>
      <w:bookmarkEnd w:id="1"/>
      <w:bookmarkEnd w:id="2"/>
      <w:bookmarkEnd w:id="3"/>
      <w:r w:rsidRPr="00926A4D">
        <w:rPr>
          <w:rFonts w:cs="Times New Roman"/>
          <w:szCs w:val="24"/>
          <w:lang w:val="fr-CA"/>
        </w:rPr>
        <w:t>Pour ces motifs, je conclus que tout chèque déposé est payable au preneur mais ne l’est jamais à la banque, si ce n’est qu’en sa qualité de mandataire du preneur.</w:t>
      </w:r>
    </w:p>
    <w:p w:rsidR="00857221" w:rsidRPr="00926A4D" w:rsidRDefault="00857221" w:rsidP="001E6EE0">
      <w:pPr>
        <w:pStyle w:val="TitleTitre-AltT"/>
        <w:keepNext/>
        <w:tabs>
          <w:tab w:val="clear" w:pos="360"/>
          <w:tab w:val="left" w:pos="540"/>
        </w:tabs>
        <w:spacing w:after="720"/>
        <w:ind w:left="540" w:hanging="540"/>
        <w:rPr>
          <w:rFonts w:cs="Times New Roman"/>
          <w:i/>
          <w:szCs w:val="24"/>
          <w:lang w:val="fr-CA"/>
        </w:rPr>
      </w:pPr>
      <w:r w:rsidRPr="00926A4D">
        <w:rPr>
          <w:rFonts w:cs="Times New Roman"/>
          <w:szCs w:val="24"/>
          <w:lang w:val="fr-CA"/>
        </w:rPr>
        <w:t>D.</w:t>
      </w:r>
      <w:r w:rsidRPr="00926A4D">
        <w:rPr>
          <w:rFonts w:cs="Times New Roman"/>
          <w:szCs w:val="24"/>
          <w:lang w:val="fr-CA"/>
        </w:rPr>
        <w:tab/>
      </w:r>
      <w:r w:rsidRPr="00926A4D">
        <w:rPr>
          <w:rFonts w:cs="Times New Roman"/>
          <w:i/>
          <w:szCs w:val="24"/>
          <w:lang w:val="fr-CA"/>
        </w:rPr>
        <w:t>Le dépôt des ch</w:t>
      </w:r>
      <w:r w:rsidR="003063A0">
        <w:rPr>
          <w:rFonts w:cs="Times New Roman"/>
          <w:i/>
          <w:szCs w:val="24"/>
          <w:lang w:val="fr-CA"/>
        </w:rPr>
        <w:t>èques dans un compte conjoint a-t-</w:t>
      </w:r>
      <w:r w:rsidRPr="00926A4D">
        <w:rPr>
          <w:rFonts w:cs="Times New Roman"/>
          <w:i/>
          <w:szCs w:val="24"/>
          <w:lang w:val="fr-CA"/>
        </w:rPr>
        <w:t>il une incidence sur le plan juridique?</w:t>
      </w:r>
    </w:p>
    <w:p w:rsidR="00857221" w:rsidRPr="00926A4D" w:rsidRDefault="00857221" w:rsidP="00857221">
      <w:pPr>
        <w:pStyle w:val="ParaNoNdepar-AltN"/>
        <w:rPr>
          <w:rFonts w:cs="Times New Roman"/>
          <w:szCs w:val="24"/>
          <w:lang w:val="fr-CA"/>
        </w:rPr>
      </w:pPr>
      <w:r w:rsidRPr="00926A4D">
        <w:rPr>
          <w:rFonts w:cs="Times New Roman"/>
          <w:szCs w:val="24"/>
          <w:lang w:val="fr-CA"/>
        </w:rPr>
        <w:t xml:space="preserve">Dans ses motifs, la juge Deschamps soutient en outre que si la Banque n’était pas </w:t>
      </w:r>
      <w:proofErr w:type="spellStart"/>
      <w:r w:rsidRPr="00926A4D">
        <w:rPr>
          <w:rFonts w:cs="Times New Roman"/>
          <w:szCs w:val="24"/>
          <w:lang w:val="fr-CA"/>
        </w:rPr>
        <w:t>elle</w:t>
      </w:r>
      <w:r w:rsidRPr="00926A4D">
        <w:rPr>
          <w:rFonts w:cs="Times New Roman"/>
          <w:szCs w:val="24"/>
          <w:lang w:val="fr-CA"/>
        </w:rPr>
        <w:noBreakHyphen/>
        <w:t>même</w:t>
      </w:r>
      <w:proofErr w:type="spellEnd"/>
      <w:r w:rsidRPr="00926A4D">
        <w:rPr>
          <w:rFonts w:cs="Times New Roman"/>
          <w:szCs w:val="24"/>
          <w:lang w:val="fr-CA"/>
        </w:rPr>
        <w:t xml:space="preserve"> la détentrice du chèque, elle n’avait d’obligation qu’à l’égard des deux détenteurs du compte conjointement.  En toute déférence, il me semble que le résultat auquel les juges majoritaires parviennent est erroné en droit et entraîne des répercussions malheureuses.</w:t>
      </w:r>
    </w:p>
    <w:p w:rsidR="00857221" w:rsidRPr="00926A4D" w:rsidRDefault="00857221" w:rsidP="00857221">
      <w:pPr>
        <w:pStyle w:val="ParaNoNdepar-AltN"/>
        <w:rPr>
          <w:rFonts w:cs="Times New Roman"/>
          <w:szCs w:val="24"/>
          <w:lang w:val="fr-CA"/>
        </w:rPr>
      </w:pPr>
      <w:r w:rsidRPr="00926A4D">
        <w:rPr>
          <w:rFonts w:cs="Times New Roman"/>
          <w:szCs w:val="24"/>
          <w:lang w:val="fr-CA"/>
        </w:rPr>
        <w:lastRenderedPageBreak/>
        <w:t xml:space="preserve">Je suis d’accord que le ministre ne pouvait </w:t>
      </w:r>
      <w:proofErr w:type="spellStart"/>
      <w:r w:rsidRPr="00926A4D">
        <w:rPr>
          <w:rFonts w:cs="Times New Roman"/>
          <w:szCs w:val="24"/>
          <w:lang w:val="fr-CA"/>
        </w:rPr>
        <w:t>saisir</w:t>
      </w:r>
      <w:r w:rsidRPr="00926A4D">
        <w:rPr>
          <w:rFonts w:cs="Times New Roman"/>
          <w:szCs w:val="24"/>
          <w:lang w:val="fr-CA"/>
        </w:rPr>
        <w:noBreakHyphen/>
        <w:t>arrêter</w:t>
      </w:r>
      <w:proofErr w:type="spellEnd"/>
      <w:r w:rsidRPr="00926A4D">
        <w:rPr>
          <w:rFonts w:cs="Times New Roman"/>
          <w:szCs w:val="24"/>
          <w:lang w:val="fr-CA"/>
        </w:rPr>
        <w:t xml:space="preserve"> les fonds une fois qu’ils se trouvaient dans le compte conjoint.  Il ne s’ensuit pas pour autant qu’il ne </w:t>
      </w:r>
      <w:proofErr w:type="gramStart"/>
      <w:r w:rsidRPr="00926A4D">
        <w:rPr>
          <w:rFonts w:cs="Times New Roman"/>
          <w:szCs w:val="24"/>
          <w:lang w:val="fr-CA"/>
        </w:rPr>
        <w:t>pouvait</w:t>
      </w:r>
      <w:proofErr w:type="gramEnd"/>
      <w:r w:rsidRPr="00926A4D">
        <w:rPr>
          <w:rFonts w:cs="Times New Roman"/>
          <w:szCs w:val="24"/>
          <w:lang w:val="fr-CA"/>
        </w:rPr>
        <w:t xml:space="preserve"> pas intercepter les fonds en transit avant qu’ils ne parviennent au compte.  En effet, la demande péremptoire de paiement prévue au par. 224(1) de la </w:t>
      </w:r>
      <w:r w:rsidRPr="00926A4D">
        <w:rPr>
          <w:rFonts w:cs="Times New Roman"/>
          <w:i/>
          <w:szCs w:val="24"/>
          <w:lang w:val="fr-CA"/>
        </w:rPr>
        <w:t>LIR</w:t>
      </w:r>
      <w:r w:rsidRPr="00926A4D">
        <w:rPr>
          <w:rFonts w:cs="Times New Roman"/>
          <w:szCs w:val="24"/>
          <w:lang w:val="fr-CA"/>
        </w:rPr>
        <w:t xml:space="preserve"> permet d’intercepter des fonds alors qu’ils sont en transit. </w:t>
      </w:r>
    </w:p>
    <w:p w:rsidR="00857221" w:rsidRPr="00926A4D" w:rsidRDefault="00857221" w:rsidP="00857221">
      <w:pPr>
        <w:pStyle w:val="ParaNoNdepar-AltN"/>
        <w:spacing w:before="0"/>
        <w:rPr>
          <w:rStyle w:val="documentbody"/>
          <w:rFonts w:cs="Times New Roman"/>
          <w:szCs w:val="24"/>
          <w:lang w:val="fr-CA"/>
        </w:rPr>
      </w:pPr>
      <w:r w:rsidRPr="00926A4D">
        <w:rPr>
          <w:rFonts w:cs="Times New Roman"/>
          <w:szCs w:val="24"/>
          <w:lang w:val="fr-CA"/>
        </w:rPr>
        <w:t xml:space="preserve">Une fois qu’ils ont été déposés de façon irrévocable dans un compte conjoint, les fonds deviennent la propriété conjointe des détenteurs du compte en vertu de leur contrat bancaire.  À partir de ce </w:t>
      </w:r>
      <w:proofErr w:type="spellStart"/>
      <w:r w:rsidRPr="00926A4D">
        <w:rPr>
          <w:rFonts w:cs="Times New Roman"/>
          <w:szCs w:val="24"/>
          <w:lang w:val="fr-CA"/>
        </w:rPr>
        <w:t>moment</w:t>
      </w:r>
      <w:r w:rsidRPr="00926A4D">
        <w:rPr>
          <w:rFonts w:cs="Times New Roman"/>
          <w:szCs w:val="24"/>
          <w:lang w:val="fr-CA"/>
        </w:rPr>
        <w:noBreakHyphen/>
        <w:t>là</w:t>
      </w:r>
      <w:proofErr w:type="spellEnd"/>
      <w:r w:rsidRPr="00926A4D">
        <w:rPr>
          <w:rFonts w:cs="Times New Roman"/>
          <w:szCs w:val="24"/>
          <w:lang w:val="fr-CA"/>
        </w:rPr>
        <w:t xml:space="preserve">, les fonds ne peuvent être </w:t>
      </w:r>
      <w:proofErr w:type="spellStart"/>
      <w:r w:rsidRPr="00926A4D">
        <w:rPr>
          <w:rFonts w:cs="Times New Roman"/>
          <w:szCs w:val="24"/>
          <w:lang w:val="fr-CA"/>
        </w:rPr>
        <w:t>saisis</w:t>
      </w:r>
      <w:r w:rsidRPr="00926A4D">
        <w:rPr>
          <w:rFonts w:cs="Times New Roman"/>
          <w:szCs w:val="24"/>
          <w:lang w:val="fr-CA"/>
        </w:rPr>
        <w:noBreakHyphen/>
        <w:t>arrêtés</w:t>
      </w:r>
      <w:proofErr w:type="spellEnd"/>
      <w:r w:rsidRPr="00926A4D">
        <w:rPr>
          <w:rFonts w:cs="Times New Roman"/>
          <w:szCs w:val="24"/>
          <w:lang w:val="fr-CA"/>
        </w:rPr>
        <w:t xml:space="preserve"> par le ministre parce qu’ils n’appartiennent plus exclusivement au débiteur fiscal : </w:t>
      </w:r>
      <w:r w:rsidRPr="00926A4D">
        <w:rPr>
          <w:rFonts w:cs="Times New Roman"/>
          <w:i/>
          <w:szCs w:val="24"/>
          <w:lang w:val="fr-CA"/>
        </w:rPr>
        <w:t xml:space="preserve">Macdonald c. </w:t>
      </w:r>
      <w:proofErr w:type="spellStart"/>
      <w:r w:rsidRPr="00926A4D">
        <w:rPr>
          <w:rFonts w:cs="Times New Roman"/>
          <w:i/>
          <w:szCs w:val="24"/>
          <w:lang w:val="fr-CA"/>
        </w:rPr>
        <w:t>Tacquah</w:t>
      </w:r>
      <w:proofErr w:type="spellEnd"/>
      <w:r w:rsidRPr="00926A4D">
        <w:rPr>
          <w:rFonts w:cs="Times New Roman"/>
          <w:i/>
          <w:szCs w:val="24"/>
          <w:lang w:val="fr-CA"/>
        </w:rPr>
        <w:t xml:space="preserve"> Gold Mines Co. </w:t>
      </w:r>
      <w:r w:rsidRPr="00926A4D">
        <w:rPr>
          <w:rFonts w:cs="Times New Roman"/>
          <w:szCs w:val="24"/>
          <w:lang w:val="en-US"/>
        </w:rPr>
        <w:t xml:space="preserve">(1884), 13 Q.B.D. 535 (C.A.); </w:t>
      </w:r>
      <w:proofErr w:type="spellStart"/>
      <w:r w:rsidRPr="00926A4D">
        <w:rPr>
          <w:rFonts w:cs="Times New Roman"/>
          <w:i/>
          <w:szCs w:val="24"/>
          <w:lang w:val="en-US"/>
        </w:rPr>
        <w:t>Hirschorn</w:t>
      </w:r>
      <w:proofErr w:type="spellEnd"/>
      <w:r w:rsidRPr="00926A4D">
        <w:rPr>
          <w:rFonts w:cs="Times New Roman"/>
          <w:i/>
          <w:szCs w:val="24"/>
          <w:lang w:val="en-US"/>
        </w:rPr>
        <w:t xml:space="preserve"> c. Evans</w:t>
      </w:r>
      <w:r w:rsidRPr="00926A4D">
        <w:rPr>
          <w:rFonts w:cs="Times New Roman"/>
          <w:szCs w:val="24"/>
          <w:lang w:val="en-US"/>
        </w:rPr>
        <w:t xml:space="preserve">, [1938] 2 K.B. 801 (C.A.); </w:t>
      </w:r>
      <w:proofErr w:type="spellStart"/>
      <w:r w:rsidRPr="00926A4D">
        <w:rPr>
          <w:rFonts w:cs="Times New Roman"/>
          <w:i/>
          <w:szCs w:val="24"/>
          <w:lang w:val="en-US"/>
        </w:rPr>
        <w:t>Westcoast</w:t>
      </w:r>
      <w:proofErr w:type="spellEnd"/>
      <w:r w:rsidRPr="00926A4D">
        <w:rPr>
          <w:rFonts w:cs="Times New Roman"/>
          <w:i/>
          <w:szCs w:val="24"/>
          <w:lang w:val="en-US"/>
        </w:rPr>
        <w:t xml:space="preserve"> Commodities Inc. c. Chen </w:t>
      </w:r>
      <w:r w:rsidRPr="00926A4D">
        <w:rPr>
          <w:rFonts w:cs="Times New Roman"/>
          <w:szCs w:val="24"/>
          <w:lang w:val="en-US"/>
        </w:rPr>
        <w:t>(1986), 55 O.R. (2d) 264 (H.C.J.); M. H. Ogilvie, « Why Joint Acc</w:t>
      </w:r>
      <w:r w:rsidR="0065409D">
        <w:rPr>
          <w:rFonts w:cs="Times New Roman"/>
          <w:szCs w:val="24"/>
          <w:lang w:val="en-US"/>
        </w:rPr>
        <w:t xml:space="preserve">ounts Should Not Be Garnished — </w:t>
      </w:r>
      <w:proofErr w:type="spellStart"/>
      <w:r w:rsidRPr="00926A4D">
        <w:rPr>
          <w:rFonts w:cs="Times New Roman"/>
          <w:i/>
          <w:szCs w:val="24"/>
          <w:lang w:val="en-US"/>
        </w:rPr>
        <w:t>Westcoast</w:t>
      </w:r>
      <w:proofErr w:type="spellEnd"/>
      <w:r w:rsidRPr="00926A4D">
        <w:rPr>
          <w:rFonts w:cs="Times New Roman"/>
          <w:i/>
          <w:szCs w:val="24"/>
          <w:lang w:val="en-US"/>
        </w:rPr>
        <w:t xml:space="preserve"> Commodities Inc. v. Jose Chow Chen</w:t>
      </w:r>
      <w:r w:rsidRPr="00926A4D">
        <w:rPr>
          <w:rFonts w:cs="Times New Roman"/>
          <w:szCs w:val="24"/>
          <w:lang w:val="en-US"/>
        </w:rPr>
        <w:t> » (1986</w:t>
      </w:r>
      <w:r w:rsidRPr="00926A4D">
        <w:rPr>
          <w:rFonts w:cs="Times New Roman"/>
          <w:szCs w:val="24"/>
          <w:lang w:val="en-US"/>
        </w:rPr>
        <w:noBreakHyphen/>
        <w:t>1987)</w:t>
      </w:r>
      <w:r w:rsidR="003C4E71">
        <w:rPr>
          <w:rFonts w:cs="Times New Roman"/>
          <w:szCs w:val="24"/>
          <w:lang w:val="en-US"/>
        </w:rPr>
        <w:t>,</w:t>
      </w:r>
      <w:r w:rsidRPr="00926A4D">
        <w:rPr>
          <w:rFonts w:cs="Times New Roman"/>
          <w:szCs w:val="24"/>
          <w:lang w:val="en-US"/>
        </w:rPr>
        <w:t xml:space="preserve"> 1 </w:t>
      </w:r>
      <w:r w:rsidRPr="00926A4D">
        <w:rPr>
          <w:rFonts w:cs="Times New Roman"/>
          <w:i/>
          <w:szCs w:val="24"/>
          <w:lang w:val="en-US"/>
        </w:rPr>
        <w:t>B.F.L.R.</w:t>
      </w:r>
      <w:r w:rsidRPr="00926A4D">
        <w:rPr>
          <w:rFonts w:cs="Times New Roman"/>
          <w:szCs w:val="24"/>
          <w:lang w:val="en-US"/>
        </w:rPr>
        <w:t xml:space="preserve"> 267.  </w:t>
      </w:r>
      <w:r w:rsidR="003C4E71">
        <w:rPr>
          <w:rFonts w:cs="Times New Roman"/>
          <w:szCs w:val="24"/>
          <w:lang w:val="fr-CA"/>
        </w:rPr>
        <w:t>La</w:t>
      </w:r>
      <w:r w:rsidRPr="00926A4D">
        <w:rPr>
          <w:rFonts w:cs="Times New Roman"/>
          <w:szCs w:val="24"/>
          <w:lang w:val="fr-CA"/>
        </w:rPr>
        <w:t xml:space="preserve"> professeur</w:t>
      </w:r>
      <w:r w:rsidR="003C4E71">
        <w:rPr>
          <w:rFonts w:cs="Times New Roman"/>
          <w:szCs w:val="24"/>
          <w:lang w:val="fr-CA"/>
        </w:rPr>
        <w:t>e</w:t>
      </w:r>
      <w:r w:rsidRPr="00926A4D">
        <w:rPr>
          <w:rFonts w:cs="Times New Roman"/>
          <w:szCs w:val="24"/>
          <w:lang w:val="fr-CA"/>
        </w:rPr>
        <w:t> </w:t>
      </w:r>
      <w:proofErr w:type="spellStart"/>
      <w:r w:rsidRPr="00926A4D">
        <w:rPr>
          <w:rStyle w:val="documentbody"/>
          <w:rFonts w:cs="Times New Roman"/>
          <w:szCs w:val="24"/>
          <w:lang w:val="fr-CA"/>
        </w:rPr>
        <w:t>Ogilvie</w:t>
      </w:r>
      <w:proofErr w:type="spellEnd"/>
      <w:r w:rsidRPr="00926A4D">
        <w:rPr>
          <w:rStyle w:val="documentbody"/>
          <w:rFonts w:cs="Times New Roman"/>
          <w:szCs w:val="24"/>
          <w:lang w:val="fr-CA"/>
        </w:rPr>
        <w:t xml:space="preserve"> justifie comme suit la règle interdisant la </w:t>
      </w:r>
      <w:proofErr w:type="spellStart"/>
      <w:r w:rsidRPr="00926A4D">
        <w:rPr>
          <w:rStyle w:val="documentbody"/>
          <w:rFonts w:cs="Times New Roman"/>
          <w:szCs w:val="24"/>
          <w:lang w:val="fr-CA"/>
        </w:rPr>
        <w:t>saisie</w:t>
      </w:r>
      <w:r w:rsidRPr="00926A4D">
        <w:rPr>
          <w:rStyle w:val="documentbody"/>
          <w:rFonts w:cs="Times New Roman"/>
          <w:szCs w:val="24"/>
          <w:lang w:val="fr-CA"/>
        </w:rPr>
        <w:noBreakHyphen/>
        <w:t>arrêt</w:t>
      </w:r>
      <w:proofErr w:type="spellEnd"/>
      <w:r w:rsidRPr="00926A4D">
        <w:rPr>
          <w:rStyle w:val="documentbody"/>
          <w:rFonts w:cs="Times New Roman"/>
          <w:szCs w:val="24"/>
          <w:lang w:val="fr-CA"/>
        </w:rPr>
        <w:t xml:space="preserve"> des comptes conjoints : </w:t>
      </w:r>
    </w:p>
    <w:p w:rsidR="00857221" w:rsidRPr="00926A4D" w:rsidRDefault="00857221" w:rsidP="001E6EE0">
      <w:pPr>
        <w:pStyle w:val="Citation-AltC"/>
        <w:tabs>
          <w:tab w:val="left" w:pos="1170"/>
        </w:tabs>
        <w:ind w:hanging="1166"/>
        <w:rPr>
          <w:rStyle w:val="documentbody"/>
          <w:szCs w:val="24"/>
          <w:lang w:val="fr-CA"/>
        </w:rPr>
      </w:pPr>
      <w:r w:rsidRPr="00A36CB7">
        <w:rPr>
          <w:rStyle w:val="documentbody"/>
          <w:szCs w:val="24"/>
          <w:lang w:val="fr-CA"/>
        </w:rPr>
        <w:tab/>
      </w:r>
      <w:r w:rsidR="00BC5FA8" w:rsidRPr="00926A4D">
        <w:rPr>
          <w:rStyle w:val="documentbody"/>
          <w:smallCaps/>
          <w:szCs w:val="24"/>
          <w:lang w:val="fr-CA"/>
        </w:rPr>
        <w:t>[</w:t>
      </w:r>
      <w:r w:rsidR="00BC5FA8" w:rsidRPr="00926A4D">
        <w:rPr>
          <w:smallCaps/>
          <w:szCs w:val="24"/>
          <w:lang w:val="fr-CA"/>
        </w:rPr>
        <w:t>traduction</w:t>
      </w:r>
      <w:r w:rsidR="00BC5FA8" w:rsidRPr="00926A4D">
        <w:rPr>
          <w:rStyle w:val="documentbody"/>
          <w:smallCaps/>
          <w:szCs w:val="24"/>
          <w:lang w:val="fr-CA"/>
        </w:rPr>
        <w:t>]</w:t>
      </w:r>
      <w:r w:rsidR="00BC5FA8">
        <w:rPr>
          <w:rStyle w:val="documentbody"/>
          <w:smallCaps/>
          <w:szCs w:val="24"/>
          <w:lang w:val="fr-CA"/>
        </w:rPr>
        <w:t xml:space="preserve"> </w:t>
      </w:r>
      <w:r w:rsidRPr="00926A4D">
        <w:rPr>
          <w:rStyle w:val="documentbody"/>
          <w:szCs w:val="24"/>
          <w:u w:val="single"/>
          <w:lang w:val="fr-CA"/>
        </w:rPr>
        <w:t>Comme tous les fonds déposés dans un compte conjoint sont réputés être des biens conjoints, aucun des titulaires du compte conjoint ne peut poursuivre individuellement la banque en vue de recouvrer des fonds de ce compte.</w:t>
      </w:r>
      <w:r w:rsidRPr="00926A4D">
        <w:rPr>
          <w:rStyle w:val="documentbody"/>
          <w:szCs w:val="24"/>
          <w:lang w:val="fr-CA"/>
        </w:rPr>
        <w:t xml:space="preserve">  Il s’agit en pareil cas d’une action en recouvrement d’une créance </w:t>
      </w:r>
      <w:r w:rsidR="005D3794">
        <w:rPr>
          <w:rStyle w:val="documentbody"/>
          <w:szCs w:val="24"/>
          <w:lang w:val="fr-CA"/>
        </w:rPr>
        <w:t>[</w:t>
      </w:r>
      <w:r w:rsidRPr="00926A4D">
        <w:rPr>
          <w:rStyle w:val="documentbody"/>
          <w:szCs w:val="24"/>
          <w:lang w:val="fr-CA"/>
        </w:rPr>
        <w:t>. . .</w:t>
      </w:r>
      <w:r w:rsidR="005D3794">
        <w:rPr>
          <w:rStyle w:val="documentbody"/>
          <w:szCs w:val="24"/>
          <w:lang w:val="fr-CA"/>
        </w:rPr>
        <w:t>]</w:t>
      </w:r>
      <w:r w:rsidRPr="00926A4D">
        <w:rPr>
          <w:rStyle w:val="documentbody"/>
          <w:szCs w:val="24"/>
          <w:lang w:val="fr-CA"/>
        </w:rPr>
        <w:t xml:space="preserve"> et les créanciers conjoints de la banque, les titulaires du compte conjoint, doivent poursuivre </w:t>
      </w:r>
      <w:r w:rsidR="00D9074A">
        <w:rPr>
          <w:rStyle w:val="documentbody"/>
          <w:szCs w:val="24"/>
          <w:lang w:val="fr-CA"/>
        </w:rPr>
        <w:t>conjointement.  [Je souligne; p</w:t>
      </w:r>
      <w:r w:rsidRPr="00926A4D">
        <w:rPr>
          <w:rStyle w:val="documentbody"/>
          <w:szCs w:val="24"/>
          <w:lang w:val="fr-CA"/>
        </w:rPr>
        <w:t>. 270</w:t>
      </w:r>
      <w:r w:rsidRPr="00926A4D">
        <w:rPr>
          <w:rStyle w:val="documentbody"/>
          <w:szCs w:val="24"/>
          <w:lang w:val="fr-CA"/>
        </w:rPr>
        <w:noBreakHyphen/>
        <w:t>271.]</w:t>
      </w:r>
    </w:p>
    <w:p w:rsidR="00857221" w:rsidRPr="00926A4D" w:rsidRDefault="00857221" w:rsidP="00857221">
      <w:pPr>
        <w:pStyle w:val="ContinueParaSuitedupar-AltP"/>
        <w:rPr>
          <w:rStyle w:val="documentbody"/>
          <w:rFonts w:cs="Times New Roman"/>
          <w:szCs w:val="24"/>
          <w:lang w:val="fr-CA"/>
        </w:rPr>
      </w:pPr>
      <w:r w:rsidRPr="00926A4D">
        <w:rPr>
          <w:rStyle w:val="documentbody"/>
          <w:rFonts w:cs="Times New Roman"/>
          <w:szCs w:val="24"/>
          <w:lang w:val="fr-CA"/>
        </w:rPr>
        <w:lastRenderedPageBreak/>
        <w:t xml:space="preserve">Comme ni l’un ni l’autre des titulaires du compte conjoint ne pouvait poursuivre la banque de son propre chef en vue de recouvrer les fonds, il s’ensuit que le compte ne peut faire l’objet d’une </w:t>
      </w:r>
      <w:proofErr w:type="spellStart"/>
      <w:r w:rsidRPr="00926A4D">
        <w:rPr>
          <w:rStyle w:val="documentbody"/>
          <w:rFonts w:cs="Times New Roman"/>
          <w:szCs w:val="24"/>
          <w:lang w:val="fr-CA"/>
        </w:rPr>
        <w:t>saisie</w:t>
      </w:r>
      <w:r w:rsidRPr="00926A4D">
        <w:rPr>
          <w:rStyle w:val="documentbody"/>
          <w:rFonts w:cs="Times New Roman"/>
          <w:szCs w:val="24"/>
          <w:lang w:val="fr-CA"/>
        </w:rPr>
        <w:noBreakHyphen/>
        <w:t>arrêt</w:t>
      </w:r>
      <w:proofErr w:type="spellEnd"/>
      <w:r w:rsidRPr="00926A4D">
        <w:rPr>
          <w:rStyle w:val="documentbody"/>
          <w:rFonts w:cs="Times New Roman"/>
          <w:szCs w:val="24"/>
          <w:lang w:val="fr-CA"/>
        </w:rPr>
        <w:t xml:space="preserve"> dans les cas où seulement l’un des deux titulaires du compte a une créance envers un tiers.</w:t>
      </w:r>
    </w:p>
    <w:p w:rsidR="00857221" w:rsidRPr="00926A4D" w:rsidRDefault="00857221" w:rsidP="00857221">
      <w:pPr>
        <w:pStyle w:val="ParaNoNdepar-AltN"/>
        <w:rPr>
          <w:rFonts w:cs="Times New Roman"/>
          <w:szCs w:val="24"/>
          <w:lang w:val="fr-CA"/>
        </w:rPr>
      </w:pPr>
      <w:r w:rsidRPr="00926A4D">
        <w:rPr>
          <w:rFonts w:cs="Times New Roman"/>
          <w:szCs w:val="24"/>
          <w:lang w:val="fr-CA"/>
        </w:rPr>
        <w:t xml:space="preserve">Cependant, avant que les fonds ne parviennent au compte conjoint et pendant qu’ils sont encore en transit, la banque tirée n’est tenue de faire un paiement qu’au preneur du chèque.  L’autre titulaire du compte conjoint n’avait aucun droit sur les fonds tant que </w:t>
      </w:r>
      <w:proofErr w:type="spellStart"/>
      <w:r w:rsidRPr="00926A4D">
        <w:rPr>
          <w:rFonts w:cs="Times New Roman"/>
          <w:szCs w:val="24"/>
          <w:lang w:val="fr-CA"/>
        </w:rPr>
        <w:t>ceux</w:t>
      </w:r>
      <w:r w:rsidRPr="00926A4D">
        <w:rPr>
          <w:rFonts w:cs="Times New Roman"/>
          <w:szCs w:val="24"/>
          <w:lang w:val="fr-CA"/>
        </w:rPr>
        <w:noBreakHyphen/>
        <w:t>ci</w:t>
      </w:r>
      <w:proofErr w:type="spellEnd"/>
      <w:r w:rsidRPr="00926A4D">
        <w:rPr>
          <w:rFonts w:cs="Times New Roman"/>
          <w:szCs w:val="24"/>
          <w:lang w:val="fr-CA"/>
        </w:rPr>
        <w:t xml:space="preserve"> n’y avaient pas été déposés.  M</w:t>
      </w:r>
      <w:r w:rsidRPr="00926A4D">
        <w:rPr>
          <w:rFonts w:cs="Times New Roman"/>
          <w:szCs w:val="24"/>
          <w:vertAlign w:val="superscript"/>
          <w:lang w:val="fr-CA"/>
        </w:rPr>
        <w:t>e</w:t>
      </w:r>
      <w:r w:rsidRPr="00926A4D">
        <w:rPr>
          <w:rFonts w:cs="Times New Roman"/>
          <w:szCs w:val="24"/>
          <w:lang w:val="fr-CA"/>
        </w:rPr>
        <w:t xml:space="preserve"> </w:t>
      </w:r>
      <w:proofErr w:type="spellStart"/>
      <w:r w:rsidRPr="00926A4D">
        <w:rPr>
          <w:rFonts w:cs="Times New Roman"/>
          <w:szCs w:val="24"/>
          <w:lang w:val="fr-CA"/>
        </w:rPr>
        <w:t>McLeod</w:t>
      </w:r>
      <w:proofErr w:type="spellEnd"/>
      <w:r w:rsidRPr="00926A4D">
        <w:rPr>
          <w:rFonts w:cs="Times New Roman"/>
          <w:szCs w:val="24"/>
          <w:lang w:val="fr-CA"/>
        </w:rPr>
        <w:t xml:space="preserve"> aurait pu poursuivre la Banque </w:t>
      </w:r>
      <w:r w:rsidRPr="00926A4D">
        <w:rPr>
          <w:rFonts w:cs="Times New Roman"/>
          <w:i/>
          <w:szCs w:val="24"/>
          <w:lang w:val="fr-CA"/>
        </w:rPr>
        <w:t xml:space="preserve">en son propre nom </w:t>
      </w:r>
      <w:r w:rsidRPr="00926A4D">
        <w:rPr>
          <w:rFonts w:cs="Times New Roman"/>
          <w:szCs w:val="24"/>
          <w:lang w:val="fr-CA"/>
        </w:rPr>
        <w:t xml:space="preserve">si elle avait refusé d’honorer son chèque.  Ce n’est donc que la qualité de </w:t>
      </w:r>
      <w:r w:rsidRPr="00926A4D">
        <w:rPr>
          <w:rFonts w:cs="Times New Roman"/>
          <w:i/>
          <w:szCs w:val="24"/>
          <w:lang w:val="fr-CA"/>
        </w:rPr>
        <w:t xml:space="preserve">preneur </w:t>
      </w:r>
      <w:r w:rsidRPr="00926A4D">
        <w:rPr>
          <w:rFonts w:cs="Times New Roman"/>
          <w:szCs w:val="24"/>
          <w:lang w:val="fr-CA"/>
        </w:rPr>
        <w:t xml:space="preserve">du débiteur fiscal qui compte pour déclencher l’application du par. 224(1) de la </w:t>
      </w:r>
      <w:r w:rsidRPr="00926A4D">
        <w:rPr>
          <w:rFonts w:cs="Times New Roman"/>
          <w:i/>
          <w:szCs w:val="24"/>
          <w:lang w:val="fr-CA"/>
        </w:rPr>
        <w:t>LIR</w:t>
      </w:r>
      <w:r w:rsidRPr="00926A4D">
        <w:rPr>
          <w:rFonts w:cs="Times New Roman"/>
          <w:szCs w:val="24"/>
          <w:lang w:val="fr-CA"/>
        </w:rPr>
        <w:t xml:space="preserve"> lorsqu’il s’agit d’un compte conjoint. </w:t>
      </w:r>
    </w:p>
    <w:p w:rsidR="00857221" w:rsidRPr="00926A4D" w:rsidRDefault="00857221" w:rsidP="00857221">
      <w:pPr>
        <w:pStyle w:val="ParaNoNdepar-AltN"/>
        <w:rPr>
          <w:rFonts w:cs="Times New Roman"/>
          <w:szCs w:val="24"/>
          <w:lang w:val="fr-CA"/>
        </w:rPr>
      </w:pPr>
      <w:r w:rsidRPr="00926A4D">
        <w:rPr>
          <w:rFonts w:cs="Times New Roman"/>
          <w:szCs w:val="24"/>
          <w:lang w:val="fr-CA"/>
        </w:rPr>
        <w:t>J’ajouterais que le ministre doit, dans toute demande péremptoire de paiement, indiquer le nom du débiteur fiscal en cause.  Ainsi, la banque qui se voit remettre une telle demande n’est jamais tenue de faire l’inventaire des dettes de tiers inconnus : elle doit simplement remettre au ministre les fonds qu’elle était tenue de verser au débiteur fiscal.</w:t>
      </w:r>
    </w:p>
    <w:p w:rsidR="00857221" w:rsidRPr="00926A4D" w:rsidRDefault="00857221" w:rsidP="00857221">
      <w:pPr>
        <w:pStyle w:val="ParaNoNdepar-AltN"/>
        <w:rPr>
          <w:rFonts w:cs="Times New Roman"/>
          <w:szCs w:val="24"/>
          <w:lang w:val="fr-CA"/>
        </w:rPr>
      </w:pPr>
      <w:r w:rsidRPr="00926A4D">
        <w:rPr>
          <w:rFonts w:cs="Times New Roman"/>
          <w:szCs w:val="24"/>
          <w:lang w:val="fr-CA"/>
        </w:rPr>
        <w:t xml:space="preserve">Je crains également que la conception que la juge Deschamps se fait de l’importance juridique du compte conjoint n’ait des conséquences négatives dans d’autres domaines du droit.  En effet, une interprétation restrictive des pouvoirs en matière de </w:t>
      </w:r>
      <w:proofErr w:type="spellStart"/>
      <w:r w:rsidRPr="00926A4D">
        <w:rPr>
          <w:rFonts w:cs="Times New Roman"/>
          <w:szCs w:val="24"/>
          <w:lang w:val="fr-CA"/>
        </w:rPr>
        <w:t>saisie</w:t>
      </w:r>
      <w:r w:rsidRPr="00926A4D">
        <w:rPr>
          <w:rFonts w:cs="Times New Roman"/>
          <w:szCs w:val="24"/>
          <w:lang w:val="fr-CA"/>
        </w:rPr>
        <w:noBreakHyphen/>
        <w:t>arrêt</w:t>
      </w:r>
      <w:proofErr w:type="spellEnd"/>
      <w:r w:rsidRPr="00926A4D">
        <w:rPr>
          <w:rFonts w:cs="Times New Roman"/>
          <w:szCs w:val="24"/>
          <w:lang w:val="fr-CA"/>
        </w:rPr>
        <w:t xml:space="preserve"> risque d’avoir des répercussions dangereuses si on l’applique, </w:t>
      </w:r>
      <w:r w:rsidRPr="00926A4D">
        <w:rPr>
          <w:rFonts w:cs="Times New Roman"/>
          <w:szCs w:val="24"/>
          <w:lang w:val="fr-CA"/>
        </w:rPr>
        <w:lastRenderedPageBreak/>
        <w:t>par exemple, aux prestations alimentaires familiales.  La simple existence d’un compte conjoint ne saurait faire échec au versement d’aliments aux enfants et au conjoint.</w:t>
      </w:r>
    </w:p>
    <w:p w:rsidR="00857221" w:rsidRPr="00926A4D" w:rsidRDefault="00857221" w:rsidP="001E6EE0">
      <w:pPr>
        <w:pStyle w:val="TitleTitre-AltT"/>
        <w:keepNext/>
        <w:tabs>
          <w:tab w:val="clear" w:pos="360"/>
          <w:tab w:val="left" w:pos="540"/>
        </w:tabs>
        <w:spacing w:after="720"/>
        <w:ind w:left="540" w:hanging="540"/>
        <w:rPr>
          <w:rFonts w:cs="Times New Roman"/>
          <w:szCs w:val="24"/>
          <w:lang w:val="fr-CA"/>
        </w:rPr>
      </w:pPr>
      <w:r w:rsidRPr="00926A4D">
        <w:rPr>
          <w:rFonts w:cs="Times New Roman"/>
          <w:szCs w:val="24"/>
          <w:lang w:val="fr-CA"/>
        </w:rPr>
        <w:t>II.</w:t>
      </w:r>
      <w:r w:rsidRPr="00926A4D">
        <w:rPr>
          <w:rFonts w:cs="Times New Roman"/>
          <w:szCs w:val="24"/>
          <w:lang w:val="fr-CA"/>
        </w:rPr>
        <w:tab/>
      </w:r>
      <w:r w:rsidRPr="00926A4D">
        <w:rPr>
          <w:rFonts w:cs="Times New Roman"/>
          <w:szCs w:val="24"/>
          <w:u w:val="single"/>
          <w:lang w:val="fr-CA"/>
        </w:rPr>
        <w:t>Application de l’analyse aux faits</w:t>
      </w:r>
    </w:p>
    <w:p w:rsidR="00857221" w:rsidRPr="00926A4D" w:rsidRDefault="00857221" w:rsidP="00857221">
      <w:pPr>
        <w:pStyle w:val="ParaNoNdepar-AltN"/>
        <w:widowControl w:val="0"/>
        <w:rPr>
          <w:rFonts w:cs="Times New Roman"/>
          <w:szCs w:val="24"/>
          <w:lang w:val="fr-CA"/>
        </w:rPr>
      </w:pPr>
      <w:r w:rsidRPr="00926A4D">
        <w:rPr>
          <w:rFonts w:cs="Times New Roman"/>
          <w:szCs w:val="24"/>
          <w:lang w:val="fr-CA"/>
        </w:rPr>
        <w:t>Si nous appliquons cette analyse au cas qui nous occupe, nous constatons que la Banque était tenue de verser les fonds à son client dès lors qu’elle avait reçu les chèques que M</w:t>
      </w:r>
      <w:r w:rsidRPr="00926A4D">
        <w:rPr>
          <w:rFonts w:cs="Times New Roman"/>
          <w:szCs w:val="24"/>
          <w:vertAlign w:val="superscript"/>
          <w:lang w:val="fr-CA"/>
        </w:rPr>
        <w:t>e</w:t>
      </w:r>
      <w:r w:rsidRPr="00926A4D">
        <w:rPr>
          <w:rFonts w:cs="Times New Roman"/>
          <w:szCs w:val="24"/>
          <w:lang w:val="fr-CA"/>
        </w:rPr>
        <w:t xml:space="preserve"> </w:t>
      </w:r>
      <w:proofErr w:type="spellStart"/>
      <w:r w:rsidRPr="00926A4D">
        <w:rPr>
          <w:rFonts w:cs="Times New Roman"/>
          <w:szCs w:val="24"/>
          <w:lang w:val="fr-CA"/>
        </w:rPr>
        <w:t>McL</w:t>
      </w:r>
      <w:r w:rsidR="001E6EE0">
        <w:rPr>
          <w:rFonts w:cs="Times New Roman"/>
          <w:szCs w:val="24"/>
          <w:lang w:val="fr-CA"/>
        </w:rPr>
        <w:t>eod</w:t>
      </w:r>
      <w:proofErr w:type="spellEnd"/>
      <w:r w:rsidR="001E6EE0">
        <w:rPr>
          <w:rFonts w:cs="Times New Roman"/>
          <w:szCs w:val="24"/>
          <w:lang w:val="fr-CA"/>
        </w:rPr>
        <w:t xml:space="preserve"> s’était faits à lui-</w:t>
      </w:r>
      <w:r w:rsidRPr="00926A4D">
        <w:rPr>
          <w:rFonts w:cs="Times New Roman"/>
          <w:szCs w:val="24"/>
          <w:lang w:val="fr-CA"/>
        </w:rPr>
        <w:t>même.  La Banque était donc contractuellement tenue de satisfaire à la demande de paiement de son client.  Par conséquent, toutes les conditions prévues au par. 224(1) se trouvaient réunies, et la demande péremptoire de paiement visait les fonds en transit entre les comptes de M</w:t>
      </w:r>
      <w:r w:rsidRPr="00926A4D">
        <w:rPr>
          <w:rFonts w:cs="Times New Roman"/>
          <w:szCs w:val="24"/>
          <w:vertAlign w:val="superscript"/>
          <w:lang w:val="fr-CA"/>
        </w:rPr>
        <w:t>e</w:t>
      </w:r>
      <w:r w:rsidRPr="00926A4D">
        <w:rPr>
          <w:rFonts w:cs="Times New Roman"/>
          <w:szCs w:val="24"/>
          <w:lang w:val="fr-CA"/>
        </w:rPr>
        <w:t xml:space="preserve"> </w:t>
      </w:r>
      <w:proofErr w:type="spellStart"/>
      <w:r w:rsidRPr="00926A4D">
        <w:rPr>
          <w:rFonts w:cs="Times New Roman"/>
          <w:szCs w:val="24"/>
          <w:lang w:val="fr-CA"/>
        </w:rPr>
        <w:t>McLeod</w:t>
      </w:r>
      <w:proofErr w:type="spellEnd"/>
      <w:r w:rsidRPr="00926A4D">
        <w:rPr>
          <w:rFonts w:cs="Times New Roman"/>
          <w:szCs w:val="24"/>
          <w:lang w:val="fr-CA"/>
        </w:rPr>
        <w:t>.</w:t>
      </w:r>
    </w:p>
    <w:p w:rsidR="00857221" w:rsidRPr="00926A4D" w:rsidRDefault="00857221" w:rsidP="001E6EE0">
      <w:pPr>
        <w:pStyle w:val="TitleTitre-AltT"/>
        <w:keepNext/>
        <w:tabs>
          <w:tab w:val="clear" w:pos="360"/>
          <w:tab w:val="left" w:pos="540"/>
        </w:tabs>
        <w:spacing w:after="720"/>
        <w:ind w:left="540" w:hanging="540"/>
        <w:rPr>
          <w:rFonts w:cs="Times New Roman"/>
          <w:szCs w:val="24"/>
          <w:lang w:val="fr-CA"/>
        </w:rPr>
      </w:pPr>
      <w:r w:rsidRPr="00926A4D">
        <w:rPr>
          <w:rFonts w:cs="Times New Roman"/>
          <w:szCs w:val="24"/>
          <w:lang w:val="fr-CA"/>
        </w:rPr>
        <w:t>III.</w:t>
      </w:r>
      <w:r w:rsidRPr="00926A4D">
        <w:rPr>
          <w:rFonts w:cs="Times New Roman"/>
          <w:szCs w:val="24"/>
          <w:lang w:val="fr-CA"/>
        </w:rPr>
        <w:tab/>
      </w:r>
      <w:r w:rsidRPr="00926A4D">
        <w:rPr>
          <w:rFonts w:cs="Times New Roman"/>
          <w:szCs w:val="24"/>
          <w:u w:val="single"/>
          <w:lang w:val="fr-CA"/>
        </w:rPr>
        <w:t>Conclusion</w:t>
      </w:r>
    </w:p>
    <w:p w:rsidR="00857221" w:rsidRPr="00926A4D" w:rsidRDefault="00857221" w:rsidP="00857221">
      <w:pPr>
        <w:pStyle w:val="ParaNoNdepar-AltN"/>
        <w:rPr>
          <w:rFonts w:cs="Times New Roman"/>
          <w:szCs w:val="24"/>
          <w:lang w:val="fr-CA"/>
        </w:rPr>
      </w:pPr>
      <w:r w:rsidRPr="00926A4D">
        <w:rPr>
          <w:rFonts w:cs="Times New Roman"/>
          <w:szCs w:val="24"/>
          <w:lang w:val="fr-CA"/>
        </w:rPr>
        <w:t xml:space="preserve">Pour ces motifs, je suis d’avis de rejeter le pourvoi avec dépens. </w:t>
      </w:r>
    </w:p>
    <w:p w:rsidR="0033393C" w:rsidRPr="007039B9" w:rsidRDefault="00933468" w:rsidP="00861499">
      <w:pPr>
        <w:pStyle w:val="SCCNormalDoubleSpacing"/>
        <w:spacing w:after="480"/>
        <w:rPr>
          <w:i/>
          <w:szCs w:val="24"/>
        </w:rPr>
      </w:pPr>
      <w:r w:rsidRPr="007039B9">
        <w:rPr>
          <w:i/>
          <w:szCs w:val="24"/>
        </w:rPr>
        <w:tab/>
      </w:r>
      <w:r w:rsidR="0006799E" w:rsidRPr="007039B9">
        <w:rPr>
          <w:i/>
          <w:szCs w:val="24"/>
        </w:rPr>
        <w:t>Pourvoi accueilli avec dépens,</w:t>
      </w:r>
      <w:r w:rsidR="004F2E4E" w:rsidRPr="007039B9">
        <w:rPr>
          <w:i/>
          <w:szCs w:val="24"/>
        </w:rPr>
        <w:t xml:space="preserve"> la juge en chef</w:t>
      </w:r>
      <w:r w:rsidR="004F2E4E" w:rsidRPr="007039B9">
        <w:rPr>
          <w:szCs w:val="24"/>
        </w:rPr>
        <w:t xml:space="preserve"> </w:t>
      </w:r>
      <w:proofErr w:type="spellStart"/>
      <w:r w:rsidR="004F2E4E" w:rsidRPr="007039B9">
        <w:rPr>
          <w:smallCaps/>
          <w:szCs w:val="24"/>
        </w:rPr>
        <w:t>McLachlin</w:t>
      </w:r>
      <w:proofErr w:type="spellEnd"/>
      <w:r w:rsidR="004F2E4E" w:rsidRPr="007039B9">
        <w:rPr>
          <w:i/>
          <w:szCs w:val="24"/>
        </w:rPr>
        <w:t xml:space="preserve"> et les juges </w:t>
      </w:r>
      <w:r w:rsidR="004F2E4E" w:rsidRPr="007039B9">
        <w:rPr>
          <w:smallCaps/>
          <w:szCs w:val="24"/>
        </w:rPr>
        <w:t>Fish</w:t>
      </w:r>
      <w:r w:rsidR="004F2E4E" w:rsidRPr="007039B9">
        <w:rPr>
          <w:i/>
          <w:szCs w:val="24"/>
        </w:rPr>
        <w:t xml:space="preserve"> et </w:t>
      </w:r>
      <w:r w:rsidR="004F2E4E" w:rsidRPr="007039B9">
        <w:rPr>
          <w:smallCaps/>
          <w:szCs w:val="24"/>
        </w:rPr>
        <w:t>Abella</w:t>
      </w:r>
      <w:r w:rsidR="004F2E4E" w:rsidRPr="007039B9">
        <w:rPr>
          <w:i/>
          <w:szCs w:val="24"/>
        </w:rPr>
        <w:t xml:space="preserve"> sont dissidents</w:t>
      </w:r>
      <w:r w:rsidRPr="007039B9">
        <w:rPr>
          <w:i/>
          <w:szCs w:val="24"/>
        </w:rPr>
        <w:t>.</w:t>
      </w:r>
    </w:p>
    <w:p w:rsidR="00A1328B" w:rsidRPr="007039B9" w:rsidRDefault="00933468" w:rsidP="00861499">
      <w:pPr>
        <w:pStyle w:val="SCCNormalDoubleSpacing"/>
        <w:spacing w:after="480"/>
        <w:rPr>
          <w:i/>
          <w:szCs w:val="24"/>
        </w:rPr>
      </w:pPr>
      <w:r w:rsidRPr="007039B9">
        <w:rPr>
          <w:szCs w:val="24"/>
        </w:rPr>
        <w:tab/>
      </w:r>
      <w:r w:rsidRPr="007039B9">
        <w:rPr>
          <w:rStyle w:val="SCCCounselNameChar"/>
          <w:szCs w:val="24"/>
        </w:rPr>
        <w:t>Procureurs</w:t>
      </w:r>
      <w:r w:rsidRPr="007039B9">
        <w:rPr>
          <w:szCs w:val="24"/>
        </w:rPr>
        <w:t xml:space="preserve"> </w:t>
      </w:r>
      <w:r w:rsidRPr="007039B9">
        <w:rPr>
          <w:i/>
          <w:szCs w:val="24"/>
        </w:rPr>
        <w:t>de l’appelante</w:t>
      </w:r>
      <w:r w:rsidR="00CF4900" w:rsidRPr="007039B9">
        <w:rPr>
          <w:i/>
          <w:szCs w:val="24"/>
        </w:rPr>
        <w:t> :</w:t>
      </w:r>
      <w:r w:rsidR="00F86840" w:rsidRPr="007039B9">
        <w:rPr>
          <w:i/>
          <w:szCs w:val="24"/>
        </w:rPr>
        <w:t> </w:t>
      </w:r>
      <w:r w:rsidRPr="007039B9">
        <w:rPr>
          <w:i/>
          <w:szCs w:val="24"/>
        </w:rPr>
        <w:t xml:space="preserve">McCarthy </w:t>
      </w:r>
      <w:proofErr w:type="spellStart"/>
      <w:r w:rsidRPr="007039B9">
        <w:rPr>
          <w:i/>
          <w:szCs w:val="24"/>
        </w:rPr>
        <w:t>Tétrault</w:t>
      </w:r>
      <w:proofErr w:type="spellEnd"/>
      <w:r w:rsidRPr="007039B9">
        <w:rPr>
          <w:i/>
          <w:szCs w:val="24"/>
        </w:rPr>
        <w:t>, Toronto.</w:t>
      </w:r>
    </w:p>
    <w:p w:rsidR="0043088E" w:rsidRPr="00857221" w:rsidRDefault="00933468" w:rsidP="00857221">
      <w:pPr>
        <w:pStyle w:val="SCCNormalDoubleSpacing"/>
        <w:rPr>
          <w:szCs w:val="24"/>
        </w:rPr>
      </w:pPr>
      <w:r w:rsidRPr="007039B9">
        <w:rPr>
          <w:szCs w:val="24"/>
        </w:rPr>
        <w:tab/>
      </w:r>
      <w:r w:rsidRPr="007039B9">
        <w:rPr>
          <w:rStyle w:val="SCCCounselNameChar"/>
          <w:szCs w:val="24"/>
        </w:rPr>
        <w:t>Procureur</w:t>
      </w:r>
      <w:r w:rsidRPr="007039B9">
        <w:rPr>
          <w:szCs w:val="24"/>
        </w:rPr>
        <w:t xml:space="preserve"> </w:t>
      </w:r>
      <w:r w:rsidRPr="007039B9">
        <w:rPr>
          <w:i/>
          <w:szCs w:val="24"/>
        </w:rPr>
        <w:t>de l’intimée</w:t>
      </w:r>
      <w:r w:rsidR="00CF4900" w:rsidRPr="007039B9">
        <w:rPr>
          <w:i/>
          <w:szCs w:val="24"/>
        </w:rPr>
        <w:t> :</w:t>
      </w:r>
      <w:r w:rsidR="00F86840" w:rsidRPr="007039B9">
        <w:rPr>
          <w:i/>
          <w:szCs w:val="24"/>
        </w:rPr>
        <w:t> </w:t>
      </w:r>
      <w:r w:rsidRPr="007039B9">
        <w:rPr>
          <w:i/>
          <w:szCs w:val="24"/>
        </w:rPr>
        <w:t>Procureur général du Canada, Ottawa.</w:t>
      </w:r>
      <w:r w:rsidR="00857221" w:rsidRPr="00857221">
        <w:rPr>
          <w:szCs w:val="24"/>
        </w:rPr>
        <w:t xml:space="preserve"> </w:t>
      </w:r>
    </w:p>
    <w:sectPr w:rsidR="0043088E" w:rsidRPr="00857221" w:rsidSect="000C54A5">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A1A" w:rsidRDefault="00D41A1A">
      <w:r>
        <w:separator/>
      </w:r>
    </w:p>
  </w:endnote>
  <w:endnote w:type="continuationSeparator" w:id="0">
    <w:p w:rsidR="00D41A1A" w:rsidRDefault="00D41A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1A" w:rsidRDefault="00D41A1A">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1A" w:rsidRDefault="00D41A1A">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A1A" w:rsidRDefault="00D41A1A">
      <w:r>
        <w:separator/>
      </w:r>
    </w:p>
  </w:footnote>
  <w:footnote w:type="continuationSeparator" w:id="0">
    <w:p w:rsidR="00D41A1A" w:rsidRDefault="00D41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1A" w:rsidRDefault="00D41A1A">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688"/>
      <w:docPartObj>
        <w:docPartGallery w:val="Page Numbers (Top of Page)"/>
        <w:docPartUnique/>
      </w:docPartObj>
    </w:sdtPr>
    <w:sdtContent>
      <w:p w:rsidR="00D41A1A" w:rsidRDefault="00D41A1A">
        <w:pPr>
          <w:pStyle w:val="Header"/>
          <w:jc w:val="center"/>
        </w:pPr>
        <w:r>
          <w:t xml:space="preserve">- </w:t>
        </w:r>
        <w:fldSimple w:instr=" PAGE   \* MERGEFORMAT ">
          <w:r w:rsidR="005F098B">
            <w:rPr>
              <w:noProof/>
            </w:rPr>
            <w:t>2</w:t>
          </w:r>
        </w:fldSimple>
        <w:r>
          <w:t xml:space="preserve"> -</w:t>
        </w:r>
      </w:p>
    </w:sdtContent>
  </w:sdt>
  <w:p w:rsidR="00D41A1A" w:rsidRDefault="00D41A1A"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50A7CDF"/>
    <w:multiLevelType w:val="hybridMultilevel"/>
    <w:tmpl w:val="4D7CE82A"/>
    <w:lvl w:ilvl="0" w:tplc="965A86F0">
      <w:start w:val="1"/>
      <w:numFmt w:val="lowerLetter"/>
      <w:lvlText w:val="%1)"/>
      <w:lvlJc w:val="left"/>
      <w:pPr>
        <w:ind w:left="1526" w:hanging="360"/>
      </w:pPr>
      <w:rPr>
        <w:rFonts w:hint="default"/>
      </w:rPr>
    </w:lvl>
    <w:lvl w:ilvl="1" w:tplc="0C0C0019" w:tentative="1">
      <w:start w:val="1"/>
      <w:numFmt w:val="lowerLetter"/>
      <w:lvlText w:val="%2."/>
      <w:lvlJc w:val="left"/>
      <w:pPr>
        <w:ind w:left="2246" w:hanging="360"/>
      </w:pPr>
    </w:lvl>
    <w:lvl w:ilvl="2" w:tplc="0C0C001B" w:tentative="1">
      <w:start w:val="1"/>
      <w:numFmt w:val="lowerRoman"/>
      <w:lvlText w:val="%3."/>
      <w:lvlJc w:val="right"/>
      <w:pPr>
        <w:ind w:left="2966" w:hanging="180"/>
      </w:pPr>
    </w:lvl>
    <w:lvl w:ilvl="3" w:tplc="0C0C000F" w:tentative="1">
      <w:start w:val="1"/>
      <w:numFmt w:val="decimal"/>
      <w:lvlText w:val="%4."/>
      <w:lvlJc w:val="left"/>
      <w:pPr>
        <w:ind w:left="3686" w:hanging="360"/>
      </w:pPr>
    </w:lvl>
    <w:lvl w:ilvl="4" w:tplc="0C0C0019" w:tentative="1">
      <w:start w:val="1"/>
      <w:numFmt w:val="lowerLetter"/>
      <w:lvlText w:val="%5."/>
      <w:lvlJc w:val="left"/>
      <w:pPr>
        <w:ind w:left="4406" w:hanging="360"/>
      </w:pPr>
    </w:lvl>
    <w:lvl w:ilvl="5" w:tplc="0C0C001B" w:tentative="1">
      <w:start w:val="1"/>
      <w:numFmt w:val="lowerRoman"/>
      <w:lvlText w:val="%6."/>
      <w:lvlJc w:val="right"/>
      <w:pPr>
        <w:ind w:left="5126" w:hanging="180"/>
      </w:pPr>
    </w:lvl>
    <w:lvl w:ilvl="6" w:tplc="0C0C000F" w:tentative="1">
      <w:start w:val="1"/>
      <w:numFmt w:val="decimal"/>
      <w:lvlText w:val="%7."/>
      <w:lvlJc w:val="left"/>
      <w:pPr>
        <w:ind w:left="5846" w:hanging="360"/>
      </w:pPr>
    </w:lvl>
    <w:lvl w:ilvl="7" w:tplc="0C0C0019" w:tentative="1">
      <w:start w:val="1"/>
      <w:numFmt w:val="lowerLetter"/>
      <w:lvlText w:val="%8."/>
      <w:lvlJc w:val="left"/>
      <w:pPr>
        <w:ind w:left="6566" w:hanging="360"/>
      </w:pPr>
    </w:lvl>
    <w:lvl w:ilvl="8" w:tplc="0C0C001B" w:tentative="1">
      <w:start w:val="1"/>
      <w:numFmt w:val="lowerRoman"/>
      <w:lvlText w:val="%9."/>
      <w:lvlJc w:val="right"/>
      <w:pPr>
        <w:ind w:left="7286" w:hanging="180"/>
      </w:p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5C2747C"/>
    <w:multiLevelType w:val="hybridMultilevel"/>
    <w:tmpl w:val="0F06B9B6"/>
    <w:lvl w:ilvl="0" w:tplc="0F847D8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BE57C60"/>
    <w:multiLevelType w:val="hybridMultilevel"/>
    <w:tmpl w:val="8086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FA236D0"/>
    <w:multiLevelType w:val="multilevel"/>
    <w:tmpl w:val="CCAECC56"/>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9">
    <w:nsid w:val="511C703F"/>
    <w:multiLevelType w:val="hybridMultilevel"/>
    <w:tmpl w:val="F38E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0"/>
  </w:num>
  <w:num w:numId="3">
    <w:abstractNumId w:val="21"/>
  </w:num>
  <w:num w:numId="4">
    <w:abstractNumId w:val="13"/>
  </w:num>
  <w:num w:numId="5">
    <w:abstractNumId w:val="11"/>
  </w:num>
  <w:num w:numId="6">
    <w:abstractNumId w:val="16"/>
  </w:num>
  <w:num w:numId="7">
    <w:abstractNumId w:val="17"/>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9"/>
  </w:num>
  <w:num w:numId="21">
    <w:abstractNumId w:val="18"/>
  </w:num>
  <w:num w:numId="22">
    <w:abstractNumId w:val="1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3665"/>
  </w:hdrShapeDefaults>
  <w:footnotePr>
    <w:footnote w:id="-1"/>
    <w:footnote w:id="0"/>
  </w:footnotePr>
  <w:endnotePr>
    <w:endnote w:id="-1"/>
    <w:endnote w:id="0"/>
  </w:endnotePr>
  <w:compat/>
  <w:rsids>
    <w:rsidRoot w:val="0031414C"/>
    <w:rsid w:val="000074EA"/>
    <w:rsid w:val="0001418D"/>
    <w:rsid w:val="0002297A"/>
    <w:rsid w:val="00025198"/>
    <w:rsid w:val="0002571B"/>
    <w:rsid w:val="00044E9E"/>
    <w:rsid w:val="00055A36"/>
    <w:rsid w:val="000578A3"/>
    <w:rsid w:val="00064563"/>
    <w:rsid w:val="000648CC"/>
    <w:rsid w:val="0006799E"/>
    <w:rsid w:val="0007274D"/>
    <w:rsid w:val="000752AB"/>
    <w:rsid w:val="00087384"/>
    <w:rsid w:val="00094DE0"/>
    <w:rsid w:val="000A5321"/>
    <w:rsid w:val="000C54A5"/>
    <w:rsid w:val="000C59B8"/>
    <w:rsid w:val="000D4289"/>
    <w:rsid w:val="000F2D13"/>
    <w:rsid w:val="000F6474"/>
    <w:rsid w:val="00106656"/>
    <w:rsid w:val="00111DE2"/>
    <w:rsid w:val="00116B38"/>
    <w:rsid w:val="001223AF"/>
    <w:rsid w:val="0013109F"/>
    <w:rsid w:val="00135406"/>
    <w:rsid w:val="00135972"/>
    <w:rsid w:val="0013651E"/>
    <w:rsid w:val="00140667"/>
    <w:rsid w:val="001426A9"/>
    <w:rsid w:val="00147F3E"/>
    <w:rsid w:val="00154D7C"/>
    <w:rsid w:val="001570B0"/>
    <w:rsid w:val="001667F3"/>
    <w:rsid w:val="00172A04"/>
    <w:rsid w:val="00175A97"/>
    <w:rsid w:val="00185394"/>
    <w:rsid w:val="0019621B"/>
    <w:rsid w:val="001A451D"/>
    <w:rsid w:val="001B33E0"/>
    <w:rsid w:val="001B4573"/>
    <w:rsid w:val="001C779F"/>
    <w:rsid w:val="001D291B"/>
    <w:rsid w:val="001D2AC1"/>
    <w:rsid w:val="001E1041"/>
    <w:rsid w:val="001E6EE0"/>
    <w:rsid w:val="001F36B2"/>
    <w:rsid w:val="001F7673"/>
    <w:rsid w:val="001F7B31"/>
    <w:rsid w:val="00201E7E"/>
    <w:rsid w:val="0021144E"/>
    <w:rsid w:val="00220FC2"/>
    <w:rsid w:val="00222818"/>
    <w:rsid w:val="00224FC0"/>
    <w:rsid w:val="00225EA4"/>
    <w:rsid w:val="00226EAF"/>
    <w:rsid w:val="00231F3A"/>
    <w:rsid w:val="002406EE"/>
    <w:rsid w:val="00243D84"/>
    <w:rsid w:val="00251E22"/>
    <w:rsid w:val="00272036"/>
    <w:rsid w:val="002745BA"/>
    <w:rsid w:val="002745CC"/>
    <w:rsid w:val="002C1482"/>
    <w:rsid w:val="002D1A45"/>
    <w:rsid w:val="002D39A4"/>
    <w:rsid w:val="002E6705"/>
    <w:rsid w:val="002F696C"/>
    <w:rsid w:val="0030299A"/>
    <w:rsid w:val="0030329A"/>
    <w:rsid w:val="003063A0"/>
    <w:rsid w:val="00307AFD"/>
    <w:rsid w:val="0031086F"/>
    <w:rsid w:val="00310E05"/>
    <w:rsid w:val="0031414C"/>
    <w:rsid w:val="00314E01"/>
    <w:rsid w:val="00315788"/>
    <w:rsid w:val="0032089D"/>
    <w:rsid w:val="0033393C"/>
    <w:rsid w:val="00334E9E"/>
    <w:rsid w:val="00335E87"/>
    <w:rsid w:val="003452D3"/>
    <w:rsid w:val="0034770C"/>
    <w:rsid w:val="0035259D"/>
    <w:rsid w:val="003713F5"/>
    <w:rsid w:val="003866EC"/>
    <w:rsid w:val="00394476"/>
    <w:rsid w:val="003A4C70"/>
    <w:rsid w:val="003A4E15"/>
    <w:rsid w:val="003B0D69"/>
    <w:rsid w:val="003B6AC9"/>
    <w:rsid w:val="003C063E"/>
    <w:rsid w:val="003C4E71"/>
    <w:rsid w:val="003C799C"/>
    <w:rsid w:val="003E1C71"/>
    <w:rsid w:val="003F327B"/>
    <w:rsid w:val="003F6404"/>
    <w:rsid w:val="004059A7"/>
    <w:rsid w:val="00406166"/>
    <w:rsid w:val="00411300"/>
    <w:rsid w:val="0041373B"/>
    <w:rsid w:val="00416233"/>
    <w:rsid w:val="00417FC2"/>
    <w:rsid w:val="0042454A"/>
    <w:rsid w:val="00426659"/>
    <w:rsid w:val="0043088E"/>
    <w:rsid w:val="00435D12"/>
    <w:rsid w:val="004439D8"/>
    <w:rsid w:val="00461D00"/>
    <w:rsid w:val="00462786"/>
    <w:rsid w:val="00465132"/>
    <w:rsid w:val="0047384A"/>
    <w:rsid w:val="00480C90"/>
    <w:rsid w:val="0048396F"/>
    <w:rsid w:val="004919EB"/>
    <w:rsid w:val="00493C18"/>
    <w:rsid w:val="00494CDC"/>
    <w:rsid w:val="004A0397"/>
    <w:rsid w:val="004A600C"/>
    <w:rsid w:val="004B404E"/>
    <w:rsid w:val="004B6055"/>
    <w:rsid w:val="004C478D"/>
    <w:rsid w:val="004C4D9C"/>
    <w:rsid w:val="004C5007"/>
    <w:rsid w:val="004C6EBE"/>
    <w:rsid w:val="004D1C43"/>
    <w:rsid w:val="004D21EB"/>
    <w:rsid w:val="004D2367"/>
    <w:rsid w:val="004E1A9E"/>
    <w:rsid w:val="004E6A2C"/>
    <w:rsid w:val="004F2E4E"/>
    <w:rsid w:val="004F7540"/>
    <w:rsid w:val="00507F09"/>
    <w:rsid w:val="00512870"/>
    <w:rsid w:val="00521AE8"/>
    <w:rsid w:val="00526665"/>
    <w:rsid w:val="00527180"/>
    <w:rsid w:val="00532017"/>
    <w:rsid w:val="00536719"/>
    <w:rsid w:val="00541E4E"/>
    <w:rsid w:val="0054441E"/>
    <w:rsid w:val="005549DE"/>
    <w:rsid w:val="005564A7"/>
    <w:rsid w:val="00576406"/>
    <w:rsid w:val="0057741C"/>
    <w:rsid w:val="00587178"/>
    <w:rsid w:val="00596EAF"/>
    <w:rsid w:val="005A1A37"/>
    <w:rsid w:val="005A228D"/>
    <w:rsid w:val="005B258E"/>
    <w:rsid w:val="005D3794"/>
    <w:rsid w:val="005E4698"/>
    <w:rsid w:val="005F098B"/>
    <w:rsid w:val="00606DA5"/>
    <w:rsid w:val="00625C35"/>
    <w:rsid w:val="00634E1B"/>
    <w:rsid w:val="00640CF7"/>
    <w:rsid w:val="00645057"/>
    <w:rsid w:val="0065409D"/>
    <w:rsid w:val="00654858"/>
    <w:rsid w:val="006565F4"/>
    <w:rsid w:val="00663BEA"/>
    <w:rsid w:val="00681A92"/>
    <w:rsid w:val="00681AD1"/>
    <w:rsid w:val="006837F7"/>
    <w:rsid w:val="006A56F1"/>
    <w:rsid w:val="006B5922"/>
    <w:rsid w:val="006B5FF5"/>
    <w:rsid w:val="006C5661"/>
    <w:rsid w:val="006D4790"/>
    <w:rsid w:val="006D59F7"/>
    <w:rsid w:val="006E5A5C"/>
    <w:rsid w:val="006E6302"/>
    <w:rsid w:val="006E68E7"/>
    <w:rsid w:val="00701759"/>
    <w:rsid w:val="00702C6F"/>
    <w:rsid w:val="007039B9"/>
    <w:rsid w:val="0073274B"/>
    <w:rsid w:val="00747288"/>
    <w:rsid w:val="00747DD3"/>
    <w:rsid w:val="00752F4E"/>
    <w:rsid w:val="007549C8"/>
    <w:rsid w:val="00756230"/>
    <w:rsid w:val="0075714D"/>
    <w:rsid w:val="00762D30"/>
    <w:rsid w:val="00762E20"/>
    <w:rsid w:val="00763377"/>
    <w:rsid w:val="00766D14"/>
    <w:rsid w:val="00767A0F"/>
    <w:rsid w:val="007834A8"/>
    <w:rsid w:val="007A05F6"/>
    <w:rsid w:val="007A3DF3"/>
    <w:rsid w:val="007B6B90"/>
    <w:rsid w:val="007B6F4A"/>
    <w:rsid w:val="007D255B"/>
    <w:rsid w:val="007E1C47"/>
    <w:rsid w:val="007E337A"/>
    <w:rsid w:val="007E5C70"/>
    <w:rsid w:val="007F2FF5"/>
    <w:rsid w:val="007F5B3F"/>
    <w:rsid w:val="00817190"/>
    <w:rsid w:val="0082436E"/>
    <w:rsid w:val="00831F5A"/>
    <w:rsid w:val="008322BD"/>
    <w:rsid w:val="00854682"/>
    <w:rsid w:val="00855307"/>
    <w:rsid w:val="00857221"/>
    <w:rsid w:val="00861499"/>
    <w:rsid w:val="00862CF3"/>
    <w:rsid w:val="00864CF8"/>
    <w:rsid w:val="00873C9A"/>
    <w:rsid w:val="00874914"/>
    <w:rsid w:val="00886547"/>
    <w:rsid w:val="00892E1A"/>
    <w:rsid w:val="008958F5"/>
    <w:rsid w:val="0089796B"/>
    <w:rsid w:val="008A26C1"/>
    <w:rsid w:val="008A3AA9"/>
    <w:rsid w:val="008A6558"/>
    <w:rsid w:val="008A727C"/>
    <w:rsid w:val="008B7ACE"/>
    <w:rsid w:val="008C01DA"/>
    <w:rsid w:val="008E6869"/>
    <w:rsid w:val="008F16D9"/>
    <w:rsid w:val="008F78E9"/>
    <w:rsid w:val="00902462"/>
    <w:rsid w:val="009045EF"/>
    <w:rsid w:val="0091621A"/>
    <w:rsid w:val="009327A4"/>
    <w:rsid w:val="00933468"/>
    <w:rsid w:val="009345DA"/>
    <w:rsid w:val="00936998"/>
    <w:rsid w:val="009403F3"/>
    <w:rsid w:val="009465F2"/>
    <w:rsid w:val="00957FA2"/>
    <w:rsid w:val="009608A1"/>
    <w:rsid w:val="00966913"/>
    <w:rsid w:val="00967374"/>
    <w:rsid w:val="009675B0"/>
    <w:rsid w:val="0097543E"/>
    <w:rsid w:val="00980E87"/>
    <w:rsid w:val="00983F3F"/>
    <w:rsid w:val="00985C69"/>
    <w:rsid w:val="00990716"/>
    <w:rsid w:val="0099079B"/>
    <w:rsid w:val="009A361E"/>
    <w:rsid w:val="009A4ACE"/>
    <w:rsid w:val="009A795E"/>
    <w:rsid w:val="009B2D38"/>
    <w:rsid w:val="009B2F23"/>
    <w:rsid w:val="009B53E2"/>
    <w:rsid w:val="009B57B3"/>
    <w:rsid w:val="009C041F"/>
    <w:rsid w:val="009D5AEB"/>
    <w:rsid w:val="009E1405"/>
    <w:rsid w:val="009F383F"/>
    <w:rsid w:val="009F77B3"/>
    <w:rsid w:val="00A05F0E"/>
    <w:rsid w:val="00A1328B"/>
    <w:rsid w:val="00A21107"/>
    <w:rsid w:val="00A21B90"/>
    <w:rsid w:val="00A24E15"/>
    <w:rsid w:val="00A30298"/>
    <w:rsid w:val="00A3345B"/>
    <w:rsid w:val="00A53406"/>
    <w:rsid w:val="00A548CB"/>
    <w:rsid w:val="00A6242E"/>
    <w:rsid w:val="00A643E7"/>
    <w:rsid w:val="00A6644A"/>
    <w:rsid w:val="00A73C38"/>
    <w:rsid w:val="00A80811"/>
    <w:rsid w:val="00A955BC"/>
    <w:rsid w:val="00AB2260"/>
    <w:rsid w:val="00AB5BC0"/>
    <w:rsid w:val="00AC4242"/>
    <w:rsid w:val="00AC6322"/>
    <w:rsid w:val="00AC7437"/>
    <w:rsid w:val="00AC7A44"/>
    <w:rsid w:val="00AF03C5"/>
    <w:rsid w:val="00AF20F6"/>
    <w:rsid w:val="00B000D8"/>
    <w:rsid w:val="00B00F75"/>
    <w:rsid w:val="00B145B6"/>
    <w:rsid w:val="00B148DC"/>
    <w:rsid w:val="00B2330F"/>
    <w:rsid w:val="00B26263"/>
    <w:rsid w:val="00B307E8"/>
    <w:rsid w:val="00B50C81"/>
    <w:rsid w:val="00B557F8"/>
    <w:rsid w:val="00B57ACB"/>
    <w:rsid w:val="00B63673"/>
    <w:rsid w:val="00B64972"/>
    <w:rsid w:val="00B66DD8"/>
    <w:rsid w:val="00B8145D"/>
    <w:rsid w:val="00B815FC"/>
    <w:rsid w:val="00B81712"/>
    <w:rsid w:val="00B93FBC"/>
    <w:rsid w:val="00BA519E"/>
    <w:rsid w:val="00BB27BD"/>
    <w:rsid w:val="00BC15F5"/>
    <w:rsid w:val="00BC5FA8"/>
    <w:rsid w:val="00C02092"/>
    <w:rsid w:val="00C057F7"/>
    <w:rsid w:val="00C0663B"/>
    <w:rsid w:val="00C10108"/>
    <w:rsid w:val="00C107A0"/>
    <w:rsid w:val="00C14660"/>
    <w:rsid w:val="00C17BC4"/>
    <w:rsid w:val="00C20485"/>
    <w:rsid w:val="00C24C8C"/>
    <w:rsid w:val="00C24D91"/>
    <w:rsid w:val="00C36D68"/>
    <w:rsid w:val="00C435BB"/>
    <w:rsid w:val="00C44001"/>
    <w:rsid w:val="00C52532"/>
    <w:rsid w:val="00C53F14"/>
    <w:rsid w:val="00C55C2E"/>
    <w:rsid w:val="00C600CF"/>
    <w:rsid w:val="00C6084F"/>
    <w:rsid w:val="00C62A66"/>
    <w:rsid w:val="00C62A6F"/>
    <w:rsid w:val="00C67CA5"/>
    <w:rsid w:val="00C71458"/>
    <w:rsid w:val="00C71F58"/>
    <w:rsid w:val="00C77613"/>
    <w:rsid w:val="00C828E7"/>
    <w:rsid w:val="00C83C5A"/>
    <w:rsid w:val="00C851F3"/>
    <w:rsid w:val="00C921DD"/>
    <w:rsid w:val="00C93954"/>
    <w:rsid w:val="00C97271"/>
    <w:rsid w:val="00CA4D82"/>
    <w:rsid w:val="00CA6391"/>
    <w:rsid w:val="00CB05FA"/>
    <w:rsid w:val="00CB5267"/>
    <w:rsid w:val="00CC2876"/>
    <w:rsid w:val="00CC4700"/>
    <w:rsid w:val="00CE3171"/>
    <w:rsid w:val="00CF1601"/>
    <w:rsid w:val="00CF4900"/>
    <w:rsid w:val="00D0719D"/>
    <w:rsid w:val="00D1005C"/>
    <w:rsid w:val="00D10D6D"/>
    <w:rsid w:val="00D14FC2"/>
    <w:rsid w:val="00D30BD3"/>
    <w:rsid w:val="00D32086"/>
    <w:rsid w:val="00D37A3F"/>
    <w:rsid w:val="00D4189E"/>
    <w:rsid w:val="00D41A1A"/>
    <w:rsid w:val="00D41D8E"/>
    <w:rsid w:val="00D42C3A"/>
    <w:rsid w:val="00D45FCF"/>
    <w:rsid w:val="00D4667A"/>
    <w:rsid w:val="00D46903"/>
    <w:rsid w:val="00D510BB"/>
    <w:rsid w:val="00D5435D"/>
    <w:rsid w:val="00D74F2E"/>
    <w:rsid w:val="00D9074A"/>
    <w:rsid w:val="00DA0590"/>
    <w:rsid w:val="00DB1373"/>
    <w:rsid w:val="00DB5FF0"/>
    <w:rsid w:val="00DC1788"/>
    <w:rsid w:val="00DC2E49"/>
    <w:rsid w:val="00DC3251"/>
    <w:rsid w:val="00DD438E"/>
    <w:rsid w:val="00DE1A5D"/>
    <w:rsid w:val="00DE6605"/>
    <w:rsid w:val="00DF0CA8"/>
    <w:rsid w:val="00DF49A7"/>
    <w:rsid w:val="00E01106"/>
    <w:rsid w:val="00E07EE2"/>
    <w:rsid w:val="00E21FBE"/>
    <w:rsid w:val="00E24573"/>
    <w:rsid w:val="00E377A1"/>
    <w:rsid w:val="00E40639"/>
    <w:rsid w:val="00E45109"/>
    <w:rsid w:val="00E46B77"/>
    <w:rsid w:val="00E47738"/>
    <w:rsid w:val="00E51AA8"/>
    <w:rsid w:val="00E531C7"/>
    <w:rsid w:val="00E54B02"/>
    <w:rsid w:val="00E7446A"/>
    <w:rsid w:val="00E91EF1"/>
    <w:rsid w:val="00E97830"/>
    <w:rsid w:val="00EA03E5"/>
    <w:rsid w:val="00EA16A4"/>
    <w:rsid w:val="00EA2535"/>
    <w:rsid w:val="00EA62ED"/>
    <w:rsid w:val="00ED0977"/>
    <w:rsid w:val="00ED3D91"/>
    <w:rsid w:val="00EE0FAF"/>
    <w:rsid w:val="00EE19A3"/>
    <w:rsid w:val="00EE7344"/>
    <w:rsid w:val="00EE7529"/>
    <w:rsid w:val="00EF5A2B"/>
    <w:rsid w:val="00F00EB7"/>
    <w:rsid w:val="00F0278A"/>
    <w:rsid w:val="00F04115"/>
    <w:rsid w:val="00F047F7"/>
    <w:rsid w:val="00F2258E"/>
    <w:rsid w:val="00F275BA"/>
    <w:rsid w:val="00F33658"/>
    <w:rsid w:val="00F36AB6"/>
    <w:rsid w:val="00F409CE"/>
    <w:rsid w:val="00F60DE2"/>
    <w:rsid w:val="00F6520B"/>
    <w:rsid w:val="00F772FA"/>
    <w:rsid w:val="00F832A1"/>
    <w:rsid w:val="00F8358F"/>
    <w:rsid w:val="00F84BE8"/>
    <w:rsid w:val="00F84DF4"/>
    <w:rsid w:val="00F853FB"/>
    <w:rsid w:val="00F85C97"/>
    <w:rsid w:val="00F86840"/>
    <w:rsid w:val="00F87049"/>
    <w:rsid w:val="00F87C67"/>
    <w:rsid w:val="00F952AA"/>
    <w:rsid w:val="00FA0DEC"/>
    <w:rsid w:val="00FA2FE1"/>
    <w:rsid w:val="00FA3B30"/>
    <w:rsid w:val="00FB03C1"/>
    <w:rsid w:val="00FB3B81"/>
    <w:rsid w:val="00FC0553"/>
    <w:rsid w:val="00FC09CF"/>
    <w:rsid w:val="00FC606D"/>
    <w:rsid w:val="00FD068D"/>
    <w:rsid w:val="00FD0690"/>
    <w:rsid w:val="00FD4F28"/>
    <w:rsid w:val="00FE46D4"/>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customStyle="1" w:styleId="ParaNoNdepar-AltN">
    <w:name w:val="Para. No. / Nº de par. - Alt N"/>
    <w:qFormat/>
    <w:rsid w:val="00FE46D4"/>
    <w:pPr>
      <w:numPr>
        <w:numId w:val="1"/>
      </w:numPr>
      <w:spacing w:before="480" w:after="480" w:line="480" w:lineRule="auto"/>
      <w:jc w:val="both"/>
    </w:pPr>
    <w:rPr>
      <w:rFonts w:eastAsiaTheme="minorEastAsia" w:cstheme="minorBidi"/>
      <w:sz w:val="24"/>
      <w:szCs w:val="22"/>
      <w:lang w:eastAsia="en-US"/>
    </w:rPr>
  </w:style>
  <w:style w:type="paragraph" w:customStyle="1" w:styleId="InQuote">
    <w:name w:val="In Quote"/>
    <w:basedOn w:val="Normal"/>
    <w:link w:val="InQuoteChar"/>
    <w:qFormat/>
    <w:rsid w:val="000D4289"/>
    <w:pPr>
      <w:spacing w:before="120" w:after="120"/>
      <w:ind w:left="360" w:right="360"/>
      <w:jc w:val="both"/>
    </w:pPr>
    <w:rPr>
      <w:rFonts w:eastAsiaTheme="minorHAnsi"/>
      <w:lang w:val="en-US"/>
    </w:rPr>
  </w:style>
  <w:style w:type="character" w:customStyle="1" w:styleId="InQuoteChar">
    <w:name w:val="In Quote Char"/>
    <w:basedOn w:val="DefaultParagraphFont"/>
    <w:link w:val="InQuote"/>
    <w:rsid w:val="000D4289"/>
    <w:rPr>
      <w:rFonts w:eastAsiaTheme="minorHAnsi"/>
      <w:sz w:val="24"/>
      <w:lang w:val="en-US"/>
    </w:rPr>
  </w:style>
  <w:style w:type="paragraph" w:styleId="ListParagraph">
    <w:name w:val="List Paragraph"/>
    <w:basedOn w:val="Normal"/>
    <w:uiPriority w:val="34"/>
    <w:qFormat/>
    <w:rsid w:val="00857221"/>
    <w:pPr>
      <w:ind w:left="720"/>
    </w:pPr>
    <w:rPr>
      <w:lang w:val="en-CA"/>
    </w:rPr>
  </w:style>
  <w:style w:type="paragraph" w:styleId="NoSpacing">
    <w:name w:val="No Spacing"/>
    <w:uiPriority w:val="1"/>
    <w:rsid w:val="00857221"/>
    <w:rPr>
      <w:sz w:val="24"/>
    </w:rPr>
  </w:style>
  <w:style w:type="paragraph" w:customStyle="1" w:styleId="SCCLsocOtherPartyRoleSeparator">
    <w:name w:val="SCC.Lsoc.OtherPartyRoleSeparator"/>
    <w:basedOn w:val="Normal"/>
    <w:next w:val="Normal"/>
    <w:link w:val="SCCLsocOtherPartyRoleSeparatorChar"/>
    <w:rsid w:val="00857221"/>
    <w:pPr>
      <w:spacing w:after="480"/>
    </w:pPr>
    <w:rPr>
      <w:rFonts w:eastAsiaTheme="minorHAnsi" w:cstheme="minorBidi"/>
      <w:szCs w:val="22"/>
      <w:lang w:val="en-CA" w:eastAsia="en-US"/>
    </w:rPr>
  </w:style>
  <w:style w:type="paragraph" w:customStyle="1" w:styleId="SCCCoram">
    <w:name w:val="SCC.Coram"/>
    <w:basedOn w:val="Normal"/>
    <w:next w:val="Normal"/>
    <w:link w:val="SCCCoramChar"/>
    <w:rsid w:val="00857221"/>
    <w:pPr>
      <w:pBdr>
        <w:bottom w:val="single" w:sz="4" w:space="1" w:color="auto"/>
      </w:pBdr>
    </w:pPr>
    <w:rPr>
      <w:rFonts w:eastAsiaTheme="minorHAnsi" w:cstheme="minorBidi"/>
      <w:szCs w:val="22"/>
      <w:lang w:val="en-CA" w:eastAsia="en-US"/>
    </w:rPr>
  </w:style>
  <w:style w:type="character" w:customStyle="1" w:styleId="SCCCoramChar">
    <w:name w:val="SCC.Coram Char"/>
    <w:basedOn w:val="DefaultParagraphFont"/>
    <w:link w:val="SCCCoram"/>
    <w:rsid w:val="0085722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57221"/>
    <w:rPr>
      <w:rFonts w:eastAsiaTheme="minorHAnsi" w:cstheme="minorBidi"/>
      <w:sz w:val="24"/>
      <w:szCs w:val="22"/>
      <w:lang w:eastAsia="en-US"/>
    </w:rPr>
  </w:style>
  <w:style w:type="character" w:customStyle="1" w:styleId="SCCBanSummaryChar">
    <w:name w:val="SCC.BanSummary Char"/>
    <w:basedOn w:val="DefaultParagraphFont"/>
    <w:link w:val="SCCBanSummary"/>
    <w:rsid w:val="00857221"/>
    <w:rPr>
      <w:b/>
      <w:sz w:val="24"/>
      <w:lang w:val="fr-CA"/>
    </w:rPr>
  </w:style>
  <w:style w:type="table" w:styleId="TableGrid">
    <w:name w:val="Table Grid"/>
    <w:basedOn w:val="TableNormal"/>
    <w:uiPriority w:val="59"/>
    <w:rsid w:val="008572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857221"/>
    <w:pPr>
      <w:spacing w:after="720"/>
      <w:ind w:left="1166"/>
      <w:contextualSpacing/>
      <w:jc w:val="both"/>
    </w:pPr>
    <w:rPr>
      <w:lang w:val="en-CA"/>
    </w:rPr>
  </w:style>
  <w:style w:type="paragraph" w:styleId="FootnoteText">
    <w:name w:val="footnote text"/>
    <w:basedOn w:val="Normal"/>
    <w:link w:val="FootnoteTextChar"/>
    <w:uiPriority w:val="99"/>
    <w:semiHidden/>
    <w:unhideWhenUsed/>
    <w:rsid w:val="00857221"/>
    <w:rPr>
      <w:sz w:val="20"/>
      <w:lang w:val="en-US"/>
    </w:rPr>
  </w:style>
  <w:style w:type="character" w:customStyle="1" w:styleId="FootnoteTextChar">
    <w:name w:val="Footnote Text Char"/>
    <w:basedOn w:val="DefaultParagraphFont"/>
    <w:link w:val="FootnoteText"/>
    <w:uiPriority w:val="99"/>
    <w:semiHidden/>
    <w:rsid w:val="00857221"/>
    <w:rPr>
      <w:lang w:val="en-US"/>
    </w:rPr>
  </w:style>
  <w:style w:type="character" w:styleId="FootnoteReference">
    <w:name w:val="footnote reference"/>
    <w:basedOn w:val="DefaultParagraphFont"/>
    <w:uiPriority w:val="99"/>
    <w:semiHidden/>
    <w:unhideWhenUsed/>
    <w:rsid w:val="00857221"/>
    <w:rPr>
      <w:vertAlign w:val="superscript"/>
    </w:rPr>
  </w:style>
  <w:style w:type="character" w:customStyle="1" w:styleId="definedterm">
    <w:name w:val="definedterm"/>
    <w:basedOn w:val="DefaultParagraphFont"/>
    <w:rsid w:val="00857221"/>
  </w:style>
  <w:style w:type="paragraph" w:customStyle="1" w:styleId="section">
    <w:name w:val="section"/>
    <w:basedOn w:val="Normal"/>
    <w:rsid w:val="00857221"/>
    <w:pPr>
      <w:spacing w:before="168" w:after="120"/>
      <w:ind w:firstLine="360"/>
    </w:pPr>
    <w:rPr>
      <w:szCs w:val="24"/>
      <w:lang w:eastAsia="fr-CA"/>
    </w:rPr>
  </w:style>
  <w:style w:type="paragraph" w:customStyle="1" w:styleId="paragraph">
    <w:name w:val="paragraph"/>
    <w:basedOn w:val="Normal"/>
    <w:rsid w:val="00857221"/>
    <w:pPr>
      <w:spacing w:before="168" w:after="120"/>
      <w:ind w:left="360"/>
    </w:pPr>
    <w:rPr>
      <w:szCs w:val="24"/>
      <w:lang w:eastAsia="fr-CA"/>
    </w:rPr>
  </w:style>
  <w:style w:type="character" w:customStyle="1" w:styleId="sectionlabel">
    <w:name w:val="sectionlabel"/>
    <w:basedOn w:val="DefaultParagraphFont"/>
    <w:rsid w:val="00857221"/>
    <w:rPr>
      <w:b/>
      <w:bCs/>
    </w:rPr>
  </w:style>
  <w:style w:type="character" w:styleId="Emphasis">
    <w:name w:val="Emphasis"/>
    <w:basedOn w:val="DefaultParagraphFont"/>
    <w:uiPriority w:val="20"/>
    <w:qFormat/>
    <w:rsid w:val="00857221"/>
    <w:rPr>
      <w:i/>
      <w:iCs/>
    </w:rPr>
  </w:style>
  <w:style w:type="paragraph" w:customStyle="1" w:styleId="ContinueParaSuitedupar-AltP">
    <w:name w:val="Continue Para. / Suite du par. - Alt P"/>
    <w:next w:val="ParaNoNdepar-AltN"/>
    <w:uiPriority w:val="1"/>
    <w:qFormat/>
    <w:rsid w:val="00857221"/>
    <w:pPr>
      <w:spacing w:before="480" w:after="480" w:line="480" w:lineRule="auto"/>
      <w:jc w:val="both"/>
    </w:pPr>
    <w:rPr>
      <w:rFonts w:eastAsiaTheme="minorHAnsi" w:cstheme="minorBidi"/>
      <w:sz w:val="24"/>
      <w:szCs w:val="22"/>
      <w:lang w:eastAsia="en-US"/>
    </w:rPr>
  </w:style>
  <w:style w:type="paragraph" w:styleId="DocumentMap">
    <w:name w:val="Document Map"/>
    <w:basedOn w:val="Normal"/>
    <w:link w:val="DocumentMapChar"/>
    <w:uiPriority w:val="99"/>
    <w:semiHidden/>
    <w:unhideWhenUsed/>
    <w:rsid w:val="00857221"/>
    <w:rPr>
      <w:rFonts w:ascii="Tahoma" w:hAnsi="Tahoma" w:cs="Tahoma"/>
      <w:sz w:val="16"/>
      <w:szCs w:val="16"/>
      <w:lang w:val="en-CA"/>
    </w:rPr>
  </w:style>
  <w:style w:type="character" w:customStyle="1" w:styleId="DocumentMapChar">
    <w:name w:val="Document Map Char"/>
    <w:basedOn w:val="DefaultParagraphFont"/>
    <w:link w:val="DocumentMap"/>
    <w:uiPriority w:val="99"/>
    <w:semiHidden/>
    <w:rsid w:val="00857221"/>
    <w:rPr>
      <w:rFonts w:ascii="Tahoma" w:hAnsi="Tahoma" w:cs="Tahoma"/>
      <w:sz w:val="16"/>
      <w:szCs w:val="16"/>
    </w:rPr>
  </w:style>
  <w:style w:type="paragraph" w:customStyle="1" w:styleId="Citation-AltC">
    <w:name w:val="Citation - Alt C"/>
    <w:uiPriority w:val="2"/>
    <w:qFormat/>
    <w:rsid w:val="00857221"/>
    <w:pPr>
      <w:spacing w:after="720"/>
      <w:ind w:left="1166"/>
      <w:contextualSpacing/>
      <w:jc w:val="both"/>
    </w:pPr>
    <w:rPr>
      <w:sz w:val="24"/>
    </w:rPr>
  </w:style>
  <w:style w:type="character" w:styleId="CommentReference">
    <w:name w:val="annotation reference"/>
    <w:basedOn w:val="DefaultParagraphFont"/>
    <w:uiPriority w:val="99"/>
    <w:semiHidden/>
    <w:unhideWhenUsed/>
    <w:rsid w:val="00857221"/>
    <w:rPr>
      <w:sz w:val="16"/>
      <w:szCs w:val="16"/>
    </w:rPr>
  </w:style>
  <w:style w:type="paragraph" w:styleId="CommentText">
    <w:name w:val="annotation text"/>
    <w:basedOn w:val="Normal"/>
    <w:link w:val="CommentTextChar"/>
    <w:uiPriority w:val="99"/>
    <w:semiHidden/>
    <w:unhideWhenUsed/>
    <w:rsid w:val="00857221"/>
    <w:rPr>
      <w:sz w:val="20"/>
      <w:lang w:val="en-CA"/>
    </w:rPr>
  </w:style>
  <w:style w:type="character" w:customStyle="1" w:styleId="CommentTextChar">
    <w:name w:val="Comment Text Char"/>
    <w:basedOn w:val="DefaultParagraphFont"/>
    <w:link w:val="CommentText"/>
    <w:uiPriority w:val="99"/>
    <w:semiHidden/>
    <w:rsid w:val="00857221"/>
  </w:style>
  <w:style w:type="paragraph" w:styleId="CommentSubject">
    <w:name w:val="annotation subject"/>
    <w:basedOn w:val="CommentText"/>
    <w:next w:val="CommentText"/>
    <w:link w:val="CommentSubjectChar"/>
    <w:uiPriority w:val="99"/>
    <w:semiHidden/>
    <w:unhideWhenUsed/>
    <w:rsid w:val="00857221"/>
    <w:rPr>
      <w:b/>
      <w:bCs/>
    </w:rPr>
  </w:style>
  <w:style w:type="character" w:customStyle="1" w:styleId="CommentSubjectChar">
    <w:name w:val="Comment Subject Char"/>
    <w:basedOn w:val="CommentTextChar"/>
    <w:link w:val="CommentSubject"/>
    <w:uiPriority w:val="99"/>
    <w:semiHidden/>
    <w:rsid w:val="00857221"/>
    <w:rPr>
      <w:b/>
      <w:bCs/>
    </w:rPr>
  </w:style>
  <w:style w:type="paragraph" w:customStyle="1" w:styleId="TitleTitre-AltT">
    <w:name w:val="Title / Titre - Alt T"/>
    <w:next w:val="ParaNoNdepar-AltN"/>
    <w:uiPriority w:val="3"/>
    <w:qFormat/>
    <w:rsid w:val="00857221"/>
    <w:pPr>
      <w:tabs>
        <w:tab w:val="left" w:pos="360"/>
      </w:tabs>
      <w:spacing w:before="480" w:after="480"/>
      <w:ind w:left="360" w:hanging="360"/>
      <w:jc w:val="both"/>
    </w:pPr>
    <w:rPr>
      <w:rFonts w:eastAsiaTheme="minorHAnsi" w:cstheme="minorBidi"/>
      <w:sz w:val="24"/>
      <w:szCs w:val="22"/>
      <w:lang w:eastAsia="en-US"/>
    </w:rPr>
  </w:style>
  <w:style w:type="paragraph" w:customStyle="1" w:styleId="JudgeJuge">
    <w:name w:val="Judge / Juge"/>
    <w:link w:val="JudgeJugeChar"/>
    <w:uiPriority w:val="3"/>
    <w:rsid w:val="00857221"/>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857221"/>
    <w:rPr>
      <w:smallCaps/>
      <w:sz w:val="24"/>
    </w:rPr>
  </w:style>
  <w:style w:type="paragraph" w:customStyle="1" w:styleId="note-marginale">
    <w:name w:val="note-marginale"/>
    <w:basedOn w:val="Normal"/>
    <w:rsid w:val="00857221"/>
    <w:pPr>
      <w:spacing w:before="100" w:beforeAutospacing="1" w:after="100" w:afterAutospacing="1"/>
    </w:pPr>
    <w:rPr>
      <w:rFonts w:eastAsiaTheme="minorHAnsi" w:cstheme="minorBidi"/>
      <w:szCs w:val="22"/>
      <w:lang w:val="en-US" w:eastAsia="en-US"/>
    </w:rPr>
  </w:style>
  <w:style w:type="paragraph" w:customStyle="1" w:styleId="article">
    <w:name w:val="article"/>
    <w:basedOn w:val="Normal"/>
    <w:rsid w:val="00857221"/>
    <w:pPr>
      <w:spacing w:before="100" w:beforeAutospacing="1" w:after="100" w:afterAutospacing="1"/>
    </w:pPr>
    <w:rPr>
      <w:rFonts w:eastAsiaTheme="minorHAnsi" w:cstheme="minorBidi"/>
      <w:szCs w:val="22"/>
      <w:lang w:val="en-US" w:eastAsia="en-US"/>
    </w:rPr>
  </w:style>
  <w:style w:type="character" w:customStyle="1" w:styleId="noarticlepara">
    <w:name w:val="no_article_para"/>
    <w:basedOn w:val="DefaultParagraphFont"/>
    <w:rsid w:val="00857221"/>
  </w:style>
  <w:style w:type="character" w:customStyle="1" w:styleId="paragraph1">
    <w:name w:val="paragraph1"/>
    <w:basedOn w:val="DefaultParagraphFont"/>
    <w:rsid w:val="00857221"/>
  </w:style>
  <w:style w:type="paragraph" w:customStyle="1" w:styleId="Memotext">
    <w:name w:val="Memo text"/>
    <w:basedOn w:val="Normal"/>
    <w:link w:val="MemotextChar"/>
    <w:qFormat/>
    <w:rsid w:val="00857221"/>
    <w:pPr>
      <w:spacing w:after="120" w:line="0" w:lineRule="atLeast"/>
      <w:ind w:firstLine="720"/>
      <w:jc w:val="both"/>
    </w:pPr>
    <w:rPr>
      <w:rFonts w:eastAsiaTheme="minorHAnsi" w:cstheme="minorBidi"/>
      <w:lang w:val="en-US"/>
    </w:rPr>
  </w:style>
  <w:style w:type="character" w:customStyle="1" w:styleId="MemotextChar">
    <w:name w:val="Memo text Char"/>
    <w:basedOn w:val="DefaultParagraphFont"/>
    <w:link w:val="Memotext"/>
    <w:rsid w:val="00857221"/>
    <w:rPr>
      <w:rFonts w:eastAsiaTheme="minorHAnsi" w:cstheme="minorBidi"/>
      <w:sz w:val="24"/>
      <w:lang w:val="en-US"/>
    </w:rPr>
  </w:style>
  <w:style w:type="paragraph" w:styleId="NormalWeb">
    <w:name w:val="Normal (Web)"/>
    <w:basedOn w:val="Normal"/>
    <w:uiPriority w:val="99"/>
    <w:semiHidden/>
    <w:unhideWhenUsed/>
    <w:rsid w:val="00857221"/>
    <w:pPr>
      <w:spacing w:before="100" w:beforeAutospacing="1" w:after="100" w:afterAutospacing="1"/>
    </w:pPr>
    <w:rPr>
      <w:rFonts w:eastAsiaTheme="minorHAnsi" w:cstheme="minorBidi"/>
      <w:szCs w:val="22"/>
      <w:lang w:val="en-US" w:eastAsia="en-US"/>
    </w:rPr>
  </w:style>
  <w:style w:type="character" w:styleId="Hyperlink">
    <w:name w:val="Hyperlink"/>
    <w:basedOn w:val="DefaultParagraphFont"/>
    <w:uiPriority w:val="99"/>
    <w:unhideWhenUsed/>
    <w:rsid w:val="00857221"/>
    <w:rPr>
      <w:color w:val="0000FF"/>
      <w:u w:val="single"/>
    </w:rPr>
  </w:style>
  <w:style w:type="character" w:customStyle="1" w:styleId="ssl2">
    <w:name w:val="ss_l2"/>
    <w:basedOn w:val="DefaultParagraphFont"/>
    <w:rsid w:val="00857221"/>
  </w:style>
  <w:style w:type="character" w:customStyle="1" w:styleId="documentbody">
    <w:name w:val="documentbody"/>
    <w:basedOn w:val="DefaultParagraphFont"/>
    <w:rsid w:val="00857221"/>
  </w:style>
  <w:style w:type="paragraph" w:customStyle="1" w:styleId="paramem">
    <w:name w:val="para mem"/>
    <w:basedOn w:val="Normal"/>
    <w:link w:val="paramemChar"/>
    <w:qFormat/>
    <w:rsid w:val="00857221"/>
    <w:pPr>
      <w:spacing w:before="120" w:after="120" w:line="0" w:lineRule="atLeast"/>
      <w:ind w:firstLine="720"/>
      <w:jc w:val="both"/>
    </w:pPr>
    <w:rPr>
      <w:rFonts w:eastAsiaTheme="minorHAnsi" w:cstheme="minorBidi"/>
      <w:lang w:val="en-US"/>
    </w:rPr>
  </w:style>
  <w:style w:type="character" w:customStyle="1" w:styleId="paramemChar">
    <w:name w:val="para mem Char"/>
    <w:basedOn w:val="DefaultParagraphFont"/>
    <w:link w:val="paramem"/>
    <w:rsid w:val="00857221"/>
    <w:rPr>
      <w:rFonts w:eastAsiaTheme="minorHAnsi" w:cstheme="minorBidi"/>
      <w:sz w:val="24"/>
      <w:lang w:val="en-US"/>
    </w:rPr>
  </w:style>
  <w:style w:type="paragraph" w:customStyle="1" w:styleId="ColorfulList-Accent11">
    <w:name w:val="Colorful List - Accent 11"/>
    <w:basedOn w:val="Normal"/>
    <w:uiPriority w:val="34"/>
    <w:rsid w:val="00857221"/>
    <w:pPr>
      <w:spacing w:after="200" w:line="276" w:lineRule="auto"/>
      <w:contextualSpacing/>
    </w:pPr>
    <w:rPr>
      <w:rFonts w:eastAsiaTheme="minorHAnsi" w:cstheme="minorBidi"/>
      <w:szCs w:val="22"/>
      <w:lang w:val="en-US" w:eastAsia="en-US"/>
    </w:rPr>
  </w:style>
  <w:style w:type="table" w:customStyle="1" w:styleId="TableGrid1">
    <w:name w:val="Table Grid1"/>
    <w:basedOn w:val="TableNormal"/>
    <w:next w:val="TableGrid"/>
    <w:uiPriority w:val="59"/>
    <w:rsid w:val="005F098B"/>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776E-F77C-47C2-B403-E9B0B1DE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12836</Words>
  <Characters>62214</Characters>
  <Application>Microsoft Office Word</Application>
  <DocSecurity>0</DocSecurity>
  <Lines>518</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2011-07-15T15:04:00Z</dcterms:created>
  <dcterms:modified xsi:type="dcterms:W3CDTF">2011-12-12T20:05:00Z</dcterms:modified>
</cp:coreProperties>
</file>